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8AC686">
      <w:pPr>
        <w:jc w:val="center"/>
        <w:rPr>
          <w:rFonts w:hint="eastAsia" w:asciiTheme="minorEastAsia" w:hAnsiTheme="minorEastAsia" w:eastAsiaTheme="minorEastAsia" w:cstheme="minorEastAsia"/>
          <w:b/>
          <w:bCs/>
          <w:color w:val="auto"/>
          <w:sz w:val="52"/>
          <w:szCs w:val="52"/>
          <w:highlight w:val="none"/>
          <w:lang w:val="zh-CN"/>
        </w:rPr>
      </w:pPr>
      <w:bookmarkStart w:id="353" w:name="_GoBack"/>
    </w:p>
    <w:p w14:paraId="416710DC">
      <w:pPr>
        <w:jc w:val="center"/>
        <w:rPr>
          <w:rFonts w:hint="eastAsia" w:asciiTheme="minorEastAsia" w:hAnsiTheme="minorEastAsia" w:eastAsiaTheme="minorEastAsia" w:cstheme="minorEastAsia"/>
          <w:b/>
          <w:bCs/>
          <w:color w:val="auto"/>
          <w:sz w:val="52"/>
          <w:szCs w:val="52"/>
          <w:highlight w:val="none"/>
          <w:lang w:val="zh-CN"/>
        </w:rPr>
      </w:pPr>
    </w:p>
    <w:p w14:paraId="59AD16A1">
      <w:pPr>
        <w:jc w:val="center"/>
        <w:rPr>
          <w:rFonts w:hint="eastAsia" w:asciiTheme="minorEastAsia" w:hAnsiTheme="minorEastAsia" w:eastAsiaTheme="minorEastAsia" w:cstheme="minorEastAsia"/>
          <w:b/>
          <w:color w:val="auto"/>
          <w:sz w:val="36"/>
          <w:highlight w:val="none"/>
        </w:rPr>
      </w:pPr>
      <w:r>
        <w:rPr>
          <w:rFonts w:hint="eastAsia" w:asciiTheme="minorEastAsia" w:hAnsiTheme="minorEastAsia" w:eastAsiaTheme="minorEastAsia" w:cstheme="minorEastAsia"/>
          <w:b/>
          <w:bCs/>
          <w:color w:val="auto"/>
          <w:sz w:val="52"/>
          <w:szCs w:val="52"/>
          <w:highlight w:val="none"/>
          <w:lang w:val="zh-CN"/>
        </w:rPr>
        <w:t>新疆介石项目管理有限公司</w:t>
      </w:r>
    </w:p>
    <w:p w14:paraId="268D6A52">
      <w:pPr>
        <w:jc w:val="center"/>
        <w:rPr>
          <w:rFonts w:hint="eastAsia" w:asciiTheme="minorEastAsia" w:hAnsiTheme="minorEastAsia" w:eastAsiaTheme="minorEastAsia" w:cstheme="minorEastAsia"/>
          <w:b/>
          <w:color w:val="auto"/>
          <w:sz w:val="36"/>
          <w:highlight w:val="none"/>
        </w:rPr>
      </w:pPr>
    </w:p>
    <w:p w14:paraId="357250AD">
      <w:pPr>
        <w:rPr>
          <w:rFonts w:hint="eastAsia" w:asciiTheme="minorEastAsia" w:hAnsiTheme="minorEastAsia" w:eastAsiaTheme="minorEastAsia" w:cstheme="minorEastAsia"/>
          <w:b/>
          <w:color w:val="auto"/>
          <w:sz w:val="28"/>
          <w:szCs w:val="24"/>
          <w:highlight w:val="none"/>
        </w:rPr>
      </w:pPr>
    </w:p>
    <w:p w14:paraId="474A18B3">
      <w:pPr>
        <w:rPr>
          <w:rFonts w:hint="eastAsia" w:asciiTheme="minorEastAsia" w:hAnsiTheme="minorEastAsia" w:eastAsiaTheme="minorEastAsia" w:cstheme="minorEastAsia"/>
          <w:b/>
          <w:color w:val="auto"/>
          <w:sz w:val="28"/>
          <w:szCs w:val="24"/>
          <w:highlight w:val="none"/>
        </w:rPr>
      </w:pPr>
    </w:p>
    <w:p w14:paraId="179509C4">
      <w:pPr>
        <w:rPr>
          <w:rFonts w:hint="eastAsia" w:asciiTheme="minorEastAsia" w:hAnsiTheme="minorEastAsia" w:eastAsiaTheme="minorEastAsia" w:cstheme="minorEastAsia"/>
          <w:b/>
          <w:color w:val="auto"/>
          <w:sz w:val="28"/>
          <w:szCs w:val="24"/>
          <w:highlight w:val="none"/>
        </w:rPr>
      </w:pPr>
    </w:p>
    <w:p w14:paraId="174A82BE">
      <w:pPr>
        <w:pStyle w:val="21"/>
        <w:spacing w:line="300" w:lineRule="auto"/>
        <w:jc w:val="both"/>
        <w:rPr>
          <w:rFonts w:hint="eastAsia" w:asciiTheme="minorEastAsia" w:hAnsiTheme="minorEastAsia" w:eastAsiaTheme="minorEastAsia" w:cstheme="minorEastAsia"/>
          <w:color w:val="auto"/>
          <w:sz w:val="48"/>
          <w:szCs w:val="48"/>
          <w:highlight w:val="none"/>
        </w:rPr>
      </w:pPr>
    </w:p>
    <w:p w14:paraId="6D9CB527">
      <w:pPr>
        <w:jc w:val="center"/>
        <w:rPr>
          <w:rFonts w:hint="eastAsia" w:asciiTheme="minorEastAsia" w:hAnsiTheme="minorEastAsia" w:eastAsiaTheme="minorEastAsia" w:cstheme="minorEastAsia"/>
          <w:b/>
          <w:color w:val="auto"/>
          <w:sz w:val="96"/>
          <w:szCs w:val="21"/>
          <w:highlight w:val="none"/>
        </w:rPr>
      </w:pPr>
      <w:r>
        <w:rPr>
          <w:rFonts w:hint="eastAsia" w:asciiTheme="minorEastAsia" w:hAnsiTheme="minorEastAsia" w:eastAsiaTheme="minorEastAsia" w:cstheme="minorEastAsia"/>
          <w:b/>
          <w:color w:val="auto"/>
          <w:sz w:val="96"/>
          <w:szCs w:val="21"/>
          <w:highlight w:val="none"/>
        </w:rPr>
        <w:t>竞争性磋商文件</w:t>
      </w:r>
    </w:p>
    <w:p w14:paraId="3927E1EB">
      <w:pPr>
        <w:tabs>
          <w:tab w:val="left" w:pos="1620"/>
          <w:tab w:val="left" w:pos="1800"/>
          <w:tab w:val="left" w:pos="1980"/>
        </w:tabs>
        <w:spacing w:line="720" w:lineRule="auto"/>
        <w:jc w:val="center"/>
        <w:rPr>
          <w:rFonts w:hint="eastAsia" w:asciiTheme="minorEastAsia" w:hAnsiTheme="minorEastAsia" w:eastAsiaTheme="minorEastAsia" w:cstheme="minorEastAsia"/>
          <w:color w:val="auto"/>
          <w:sz w:val="33"/>
          <w:highlight w:val="none"/>
          <w:lang w:eastAsia="zh-CN"/>
        </w:rPr>
      </w:pPr>
      <w:r>
        <w:rPr>
          <w:rFonts w:hint="eastAsia" w:asciiTheme="minorEastAsia" w:hAnsiTheme="minorEastAsia" w:eastAsiaTheme="minorEastAsia" w:cstheme="minorEastAsia"/>
          <w:color w:val="auto"/>
          <w:sz w:val="33"/>
          <w:highlight w:val="none"/>
        </w:rPr>
        <w:t>项目编号：</w:t>
      </w:r>
      <w:r>
        <w:rPr>
          <w:rFonts w:hint="eastAsia" w:asciiTheme="minorEastAsia" w:hAnsiTheme="minorEastAsia" w:eastAsiaTheme="minorEastAsia" w:cstheme="minorEastAsia"/>
          <w:color w:val="auto"/>
          <w:sz w:val="33"/>
          <w:highlight w:val="none"/>
          <w:lang w:eastAsia="zh-CN"/>
        </w:rPr>
        <w:t>XJJSZC（JZXCS）2025-004</w:t>
      </w:r>
    </w:p>
    <w:p w14:paraId="6D0B60E4">
      <w:pPr>
        <w:jc w:val="center"/>
        <w:rPr>
          <w:rFonts w:hint="eastAsia" w:asciiTheme="minorEastAsia" w:hAnsiTheme="minorEastAsia" w:eastAsiaTheme="minorEastAsia" w:cstheme="minorEastAsia"/>
          <w:color w:val="auto"/>
          <w:sz w:val="33"/>
          <w:highlight w:val="none"/>
        </w:rPr>
      </w:pPr>
    </w:p>
    <w:p w14:paraId="0461859F">
      <w:pPr>
        <w:pStyle w:val="10"/>
        <w:ind w:firstLine="660"/>
        <w:rPr>
          <w:rFonts w:hint="eastAsia" w:asciiTheme="minorEastAsia" w:hAnsiTheme="minorEastAsia" w:eastAsiaTheme="minorEastAsia" w:cstheme="minorEastAsia"/>
          <w:color w:val="auto"/>
          <w:sz w:val="33"/>
          <w:highlight w:val="none"/>
        </w:rPr>
      </w:pPr>
    </w:p>
    <w:p w14:paraId="4DD36F22">
      <w:pPr>
        <w:rPr>
          <w:rFonts w:hint="eastAsia" w:asciiTheme="minorEastAsia" w:hAnsiTheme="minorEastAsia" w:eastAsiaTheme="minorEastAsia" w:cstheme="minorEastAsia"/>
          <w:color w:val="auto"/>
          <w:sz w:val="33"/>
          <w:highlight w:val="none"/>
        </w:rPr>
      </w:pPr>
    </w:p>
    <w:p w14:paraId="248092F5">
      <w:pPr>
        <w:pStyle w:val="5"/>
        <w:rPr>
          <w:rFonts w:hint="eastAsia" w:asciiTheme="minorEastAsia" w:hAnsiTheme="minorEastAsia" w:eastAsiaTheme="minorEastAsia" w:cstheme="minorEastAsia"/>
          <w:color w:val="auto"/>
          <w:sz w:val="33"/>
          <w:highlight w:val="none"/>
        </w:rPr>
      </w:pPr>
    </w:p>
    <w:p w14:paraId="2D3E5E72">
      <w:pPr>
        <w:rPr>
          <w:rFonts w:hint="eastAsia"/>
          <w:color w:val="auto"/>
          <w:highlight w:val="none"/>
        </w:rPr>
      </w:pPr>
    </w:p>
    <w:p w14:paraId="1EEDEA28">
      <w:pPr>
        <w:pStyle w:val="45"/>
        <w:spacing w:line="360" w:lineRule="auto"/>
        <w:ind w:firstLine="948" w:firstLineChars="295"/>
        <w:rPr>
          <w:rFonts w:hint="default" w:asciiTheme="minorEastAsia" w:hAnsiTheme="minorEastAsia" w:eastAsiaTheme="minorEastAsia" w:cstheme="minorEastAsia"/>
          <w:b/>
          <w:color w:val="auto"/>
          <w:sz w:val="32"/>
          <w:szCs w:val="32"/>
          <w:highlight w:val="none"/>
          <w:lang w:val="en-US" w:eastAsia="zh-CN"/>
        </w:rPr>
      </w:pPr>
      <w:r>
        <w:rPr>
          <w:rFonts w:hint="eastAsia" w:asciiTheme="minorEastAsia" w:hAnsiTheme="minorEastAsia" w:eastAsiaTheme="minorEastAsia" w:cstheme="minorEastAsia"/>
          <w:b/>
          <w:color w:val="auto"/>
          <w:sz w:val="32"/>
          <w:szCs w:val="32"/>
          <w:highlight w:val="none"/>
          <w:lang w:eastAsia="zh-CN"/>
        </w:rPr>
        <w:t>招标项目名称：尉犁县团结镇2025年设施农业建设项目(二标段)一日光温室大棚建设</w:t>
      </w:r>
    </w:p>
    <w:p w14:paraId="5EB2CB4B">
      <w:pPr>
        <w:pStyle w:val="45"/>
        <w:spacing w:line="360" w:lineRule="auto"/>
        <w:ind w:firstLine="948" w:firstLineChars="295"/>
        <w:rPr>
          <w:rFonts w:hint="eastAsia" w:asciiTheme="minorEastAsia" w:hAnsiTheme="minorEastAsia" w:eastAsiaTheme="minorEastAsia" w:cstheme="minorEastAsia"/>
          <w:b/>
          <w:color w:val="auto"/>
          <w:sz w:val="32"/>
          <w:szCs w:val="32"/>
          <w:highlight w:val="none"/>
        </w:rPr>
      </w:pPr>
    </w:p>
    <w:p w14:paraId="2B9FEA6B">
      <w:pPr>
        <w:pStyle w:val="45"/>
        <w:spacing w:line="360" w:lineRule="auto"/>
        <w:ind w:firstLine="1269" w:firstLineChars="395"/>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采购单位：</w:t>
      </w:r>
      <w:r>
        <w:rPr>
          <w:rFonts w:hint="eastAsia" w:asciiTheme="minorEastAsia" w:hAnsiTheme="minorEastAsia" w:eastAsiaTheme="minorEastAsia" w:cstheme="minorEastAsia"/>
          <w:b/>
          <w:color w:val="auto"/>
          <w:sz w:val="32"/>
          <w:szCs w:val="32"/>
          <w:highlight w:val="none"/>
          <w:lang w:val="en-US" w:eastAsia="zh-CN"/>
        </w:rPr>
        <w:t>新疆尉犁县团结镇人民政府</w:t>
      </w:r>
    </w:p>
    <w:p w14:paraId="31A2AA95">
      <w:pPr>
        <w:pStyle w:val="45"/>
        <w:spacing w:line="360" w:lineRule="auto"/>
        <w:ind w:firstLine="948" w:firstLineChars="295"/>
        <w:rPr>
          <w:rFonts w:hint="eastAsia" w:asciiTheme="minorEastAsia" w:hAnsiTheme="minorEastAsia" w:eastAsiaTheme="minorEastAsia" w:cstheme="minorEastAsia"/>
          <w:b/>
          <w:color w:val="auto"/>
          <w:sz w:val="32"/>
          <w:szCs w:val="32"/>
          <w:highlight w:val="none"/>
        </w:rPr>
      </w:pPr>
    </w:p>
    <w:p w14:paraId="0D47D7F3">
      <w:pPr>
        <w:pStyle w:val="4"/>
        <w:keepNext w:val="0"/>
        <w:widowControl/>
        <w:spacing w:line="450" w:lineRule="atLeast"/>
        <w:ind w:firstLine="1285" w:firstLineChars="400"/>
        <w:jc w:val="both"/>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采购代理机构：</w:t>
      </w:r>
      <w:r>
        <w:rPr>
          <w:rFonts w:hint="eastAsia" w:asciiTheme="minorEastAsia" w:hAnsiTheme="minorEastAsia" w:eastAsiaTheme="minorEastAsia" w:cstheme="minorEastAsia"/>
          <w:b/>
          <w:color w:val="auto"/>
          <w:kern w:val="0"/>
          <w:sz w:val="32"/>
          <w:szCs w:val="32"/>
          <w:highlight w:val="none"/>
          <w:lang w:val="zh-CN"/>
        </w:rPr>
        <w:t>新疆介石项目管理有限公司</w:t>
      </w:r>
    </w:p>
    <w:p w14:paraId="457F59E9">
      <w:pPr>
        <w:pStyle w:val="4"/>
        <w:keepNext w:val="0"/>
        <w:widowControl/>
        <w:spacing w:line="450" w:lineRule="atLeast"/>
        <w:jc w:val="both"/>
        <w:rPr>
          <w:rFonts w:hint="eastAsia" w:asciiTheme="minorEastAsia" w:hAnsiTheme="minorEastAsia" w:eastAsiaTheme="minorEastAsia" w:cstheme="minorEastAsia"/>
          <w:color w:val="auto"/>
          <w:sz w:val="36"/>
          <w:szCs w:val="36"/>
          <w:highlight w:val="none"/>
        </w:rPr>
      </w:pPr>
    </w:p>
    <w:p w14:paraId="2B760C2D">
      <w:pPr>
        <w:pStyle w:val="4"/>
        <w:keepNext w:val="0"/>
        <w:widowControl/>
        <w:spacing w:line="450" w:lineRule="atLeast"/>
        <w:jc w:val="both"/>
        <w:rPr>
          <w:rFonts w:hint="eastAsia" w:asciiTheme="minorEastAsia" w:hAnsiTheme="minorEastAsia" w:eastAsiaTheme="minorEastAsia" w:cstheme="minorEastAsia"/>
          <w:color w:val="auto"/>
          <w:sz w:val="36"/>
          <w:szCs w:val="36"/>
          <w:highlight w:val="none"/>
        </w:rPr>
      </w:pPr>
    </w:p>
    <w:p w14:paraId="191DAE45">
      <w:pPr>
        <w:pStyle w:val="5"/>
        <w:rPr>
          <w:rFonts w:hint="eastAsia" w:asciiTheme="minorEastAsia" w:hAnsiTheme="minorEastAsia" w:eastAsiaTheme="minorEastAsia" w:cstheme="minorEastAsia"/>
          <w:color w:val="auto"/>
          <w:sz w:val="36"/>
          <w:szCs w:val="36"/>
          <w:highlight w:val="none"/>
        </w:rPr>
      </w:pPr>
    </w:p>
    <w:p w14:paraId="61A6571C">
      <w:pPr>
        <w:rPr>
          <w:rFonts w:hint="eastAsia"/>
          <w:color w:val="auto"/>
          <w:highlight w:val="none"/>
        </w:rPr>
      </w:pPr>
    </w:p>
    <w:p w14:paraId="38485110">
      <w:pPr>
        <w:jc w:val="center"/>
        <w:rPr>
          <w:rFonts w:hint="eastAsia"/>
          <w:b/>
          <w:bCs/>
          <w:color w:val="auto"/>
          <w:sz w:val="52"/>
          <w:szCs w:val="52"/>
          <w:highlight w:val="none"/>
          <w:lang w:eastAsia="zh-CN"/>
        </w:rPr>
      </w:pPr>
      <w:r>
        <w:rPr>
          <w:rFonts w:hint="eastAsia"/>
          <w:b/>
          <w:bCs/>
          <w:color w:val="auto"/>
          <w:sz w:val="52"/>
          <w:szCs w:val="52"/>
          <w:highlight w:val="none"/>
        </w:rPr>
        <w:t>目录</w:t>
      </w:r>
    </w:p>
    <w:p w14:paraId="17B84839">
      <w:pPr>
        <w:jc w:val="center"/>
        <w:rPr>
          <w:rFonts w:hint="eastAsia"/>
          <w:b/>
          <w:bCs/>
          <w:color w:val="auto"/>
          <w:sz w:val="52"/>
          <w:szCs w:val="52"/>
          <w:highlight w:val="none"/>
          <w:lang w:eastAsia="zh-CN"/>
        </w:rPr>
      </w:pPr>
    </w:p>
    <w:p w14:paraId="2D2E9DCF">
      <w:pPr>
        <w:pStyle w:val="73"/>
        <w:tabs>
          <w:tab w:val="right" w:leader="dot" w:pos="9070"/>
        </w:tabs>
        <w:spacing w:line="480" w:lineRule="auto"/>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HYPERLINK\l"_Toc13129_WPSOffice_Level1"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第一章竞争性磋商公告</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4</w:t>
      </w:r>
    </w:p>
    <w:p w14:paraId="4FE2DBA0">
      <w:pPr>
        <w:pStyle w:val="73"/>
        <w:tabs>
          <w:tab w:val="right" w:leader="dot" w:pos="9070"/>
        </w:tabs>
        <w:spacing w:line="480" w:lineRule="auto"/>
        <w:rPr>
          <w:rFonts w:hint="eastAsia"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HYPERLINK\l"_Toc32258_WPSOffice_Level1"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第二章磋商供应商须知</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7</w:t>
      </w:r>
    </w:p>
    <w:p w14:paraId="47B356BA">
      <w:pPr>
        <w:pStyle w:val="73"/>
        <w:tabs>
          <w:tab w:val="right" w:leader="dot" w:pos="9070"/>
        </w:tabs>
        <w:spacing w:line="480" w:lineRule="auto"/>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HYPERLINK\l"_Toc3717_WPSOffice_Level1"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第三章磋商响应文件的编制、递交</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21</w:t>
      </w:r>
    </w:p>
    <w:p w14:paraId="68AB45A7">
      <w:pPr>
        <w:pStyle w:val="73"/>
        <w:tabs>
          <w:tab w:val="right" w:leader="dot" w:pos="9070"/>
        </w:tabs>
        <w:spacing w:line="480" w:lineRule="auto"/>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HYPERLINK\l"_Toc12453_WPSOffice_Level1"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第四章磋商、评审、确定成交供应商</w:t>
      </w:r>
      <w:r>
        <w:rPr>
          <w:rFonts w:hint="eastAsia" w:ascii="宋体" w:hAnsi="宋体" w:cs="宋体"/>
          <w:color w:val="auto"/>
          <w:sz w:val="28"/>
          <w:szCs w:val="28"/>
          <w:highlight w:val="none"/>
        </w:rPr>
        <w:tab/>
      </w:r>
      <w:r>
        <w:rPr>
          <w:rFonts w:hint="eastAsia" w:ascii="宋体" w:hAnsi="宋体" w:cs="宋体"/>
          <w:color w:val="auto"/>
          <w:sz w:val="28"/>
          <w:szCs w:val="28"/>
          <w:highlight w:val="none"/>
          <w:lang w:val="en-US" w:eastAsia="zh-CN"/>
        </w:rPr>
        <w:t>26</w:t>
      </w:r>
    </w:p>
    <w:p w14:paraId="42ED326B">
      <w:pPr>
        <w:pStyle w:val="73"/>
        <w:tabs>
          <w:tab w:val="right" w:leader="dot" w:pos="9070"/>
        </w:tabs>
        <w:spacing w:line="480" w:lineRule="auto"/>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t>第五章评定成交方式和标准</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35</w:t>
      </w:r>
    </w:p>
    <w:p w14:paraId="6D855771">
      <w:pPr>
        <w:pStyle w:val="73"/>
        <w:tabs>
          <w:tab w:val="right" w:leader="dot" w:pos="9070"/>
        </w:tabs>
        <w:spacing w:line="480" w:lineRule="auto"/>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HYPERLINK\l"_Toc7744_WPSOffice_Level1"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第六章</w:t>
      </w:r>
      <w:r>
        <w:rPr>
          <w:rFonts w:hint="eastAsia" w:ascii="宋体" w:hAnsi="宋体" w:cs="宋体"/>
          <w:color w:val="auto"/>
          <w:sz w:val="28"/>
          <w:szCs w:val="28"/>
          <w:highlight w:val="none"/>
          <w:lang w:val="en-US" w:eastAsia="zh-CN"/>
        </w:rPr>
        <w:t>工程量清单（另附）</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41</w:t>
      </w:r>
    </w:p>
    <w:p w14:paraId="3C893ADE">
      <w:pPr>
        <w:pStyle w:val="73"/>
        <w:tabs>
          <w:tab w:val="right" w:leader="dot" w:pos="9070"/>
        </w:tabs>
        <w:spacing w:line="480" w:lineRule="auto"/>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HYPERLINK\l"_Toc11436_WPSOffice_Level1"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第七章合同格式及合同条款</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43</w:t>
      </w:r>
    </w:p>
    <w:p w14:paraId="72186F92">
      <w:pPr>
        <w:pStyle w:val="73"/>
        <w:tabs>
          <w:tab w:val="right" w:leader="dot" w:pos="9070"/>
        </w:tabs>
        <w:spacing w:line="480" w:lineRule="auto"/>
        <w:rPr>
          <w:rFonts w:hint="default" w:ascii="宋体" w:hAnsi="宋体" w:eastAsia="宋体" w:cs="宋体"/>
          <w:color w:val="auto"/>
          <w:sz w:val="28"/>
          <w:szCs w:val="28"/>
          <w:highlight w:val="none"/>
          <w:lang w:val="en-US" w:eastAsia="zh-CN"/>
        </w:rPr>
      </w:pPr>
      <w:r>
        <w:rPr>
          <w:rFonts w:hint="eastAsia" w:ascii="宋体" w:hAnsi="宋体" w:cs="宋体"/>
          <w:color w:val="auto"/>
          <w:sz w:val="28"/>
          <w:szCs w:val="28"/>
          <w:highlight w:val="none"/>
        </w:rPr>
        <w:fldChar w:fldCharType="begin"/>
      </w:r>
      <w:r>
        <w:rPr>
          <w:rFonts w:hint="eastAsia" w:ascii="宋体" w:hAnsi="宋体" w:cs="宋体"/>
          <w:color w:val="auto"/>
          <w:sz w:val="28"/>
          <w:szCs w:val="28"/>
          <w:highlight w:val="none"/>
        </w:rPr>
        <w:instrText xml:space="preserve">HYPERLINK\l"_Toc11362_WPSOffice_Level1"</w:instrText>
      </w:r>
      <w:r>
        <w:rPr>
          <w:rFonts w:hint="eastAsia" w:ascii="宋体" w:hAnsi="宋体" w:cs="宋体"/>
          <w:color w:val="auto"/>
          <w:sz w:val="28"/>
          <w:szCs w:val="28"/>
          <w:highlight w:val="none"/>
        </w:rPr>
        <w:fldChar w:fldCharType="separate"/>
      </w:r>
      <w:r>
        <w:rPr>
          <w:rFonts w:hint="eastAsia" w:ascii="宋体" w:hAnsi="宋体" w:cs="宋体"/>
          <w:color w:val="auto"/>
          <w:sz w:val="28"/>
          <w:szCs w:val="28"/>
          <w:highlight w:val="none"/>
        </w:rPr>
        <w:t>第八章磋商响应文件格式</w:t>
      </w:r>
      <w:r>
        <w:rPr>
          <w:rFonts w:hint="eastAsia" w:ascii="宋体" w:hAnsi="宋体" w:cs="宋体"/>
          <w:color w:val="auto"/>
          <w:sz w:val="28"/>
          <w:szCs w:val="28"/>
          <w:highlight w:val="none"/>
        </w:rPr>
        <w:tab/>
      </w:r>
      <w:r>
        <w:rPr>
          <w:rFonts w:hint="eastAsia" w:ascii="宋体" w:hAnsi="宋体" w:cs="宋体"/>
          <w:color w:val="auto"/>
          <w:sz w:val="28"/>
          <w:szCs w:val="28"/>
          <w:highlight w:val="none"/>
        </w:rPr>
        <w:fldChar w:fldCharType="end"/>
      </w:r>
      <w:r>
        <w:rPr>
          <w:rFonts w:hint="eastAsia" w:ascii="宋体" w:hAnsi="宋体" w:cs="宋体"/>
          <w:color w:val="auto"/>
          <w:sz w:val="28"/>
          <w:szCs w:val="28"/>
          <w:highlight w:val="none"/>
          <w:lang w:val="en-US" w:eastAsia="zh-CN"/>
        </w:rPr>
        <w:t>78</w:t>
      </w:r>
    </w:p>
    <w:p w14:paraId="42761A26">
      <w:pPr>
        <w:spacing w:line="360" w:lineRule="auto"/>
        <w:rPr>
          <w:color w:val="auto"/>
          <w:highlight w:val="none"/>
        </w:rPr>
      </w:pPr>
      <w:r>
        <w:rPr>
          <w:rFonts w:hint="eastAsia" w:ascii="宋体" w:hAnsi="宋体" w:cs="宋体"/>
          <w:color w:val="auto"/>
          <w:sz w:val="28"/>
          <w:szCs w:val="28"/>
          <w:highlight w:val="none"/>
        </w:rPr>
        <w:tab/>
      </w:r>
      <w:r>
        <w:rPr>
          <w:rFonts w:hint="eastAsia" w:ascii="宋体" w:hAnsi="宋体" w:cs="宋体"/>
          <w:color w:val="auto"/>
          <w:sz w:val="28"/>
          <w:szCs w:val="28"/>
          <w:highlight w:val="none"/>
        </w:rPr>
        <w:tab/>
      </w:r>
    </w:p>
    <w:p w14:paraId="404920AB">
      <w:pPr>
        <w:rPr>
          <w:rFonts w:hint="eastAsia" w:asciiTheme="minorEastAsia" w:hAnsiTheme="minorEastAsia" w:eastAsiaTheme="minorEastAsia" w:cstheme="minorEastAsia"/>
          <w:color w:val="auto"/>
          <w:sz w:val="36"/>
          <w:szCs w:val="36"/>
          <w:highlight w:val="none"/>
        </w:rPr>
      </w:pPr>
    </w:p>
    <w:p w14:paraId="42D538D1">
      <w:pPr>
        <w:pStyle w:val="5"/>
        <w:rPr>
          <w:rFonts w:hint="eastAsia" w:asciiTheme="minorEastAsia" w:hAnsiTheme="minorEastAsia" w:eastAsiaTheme="minorEastAsia" w:cstheme="minorEastAsia"/>
          <w:color w:val="auto"/>
          <w:sz w:val="36"/>
          <w:szCs w:val="36"/>
          <w:highlight w:val="none"/>
        </w:rPr>
      </w:pPr>
    </w:p>
    <w:p w14:paraId="159D2B45">
      <w:pPr>
        <w:rPr>
          <w:rFonts w:hint="eastAsia" w:asciiTheme="minorEastAsia" w:hAnsiTheme="minorEastAsia" w:eastAsiaTheme="minorEastAsia" w:cstheme="minorEastAsia"/>
          <w:color w:val="auto"/>
          <w:sz w:val="36"/>
          <w:szCs w:val="36"/>
          <w:highlight w:val="none"/>
        </w:rPr>
      </w:pPr>
    </w:p>
    <w:p w14:paraId="1AC3FA66">
      <w:pPr>
        <w:pStyle w:val="5"/>
        <w:rPr>
          <w:rFonts w:hint="eastAsia" w:asciiTheme="minorEastAsia" w:hAnsiTheme="minorEastAsia" w:eastAsiaTheme="minorEastAsia" w:cstheme="minorEastAsia"/>
          <w:color w:val="auto"/>
          <w:sz w:val="36"/>
          <w:szCs w:val="36"/>
          <w:highlight w:val="none"/>
        </w:rPr>
      </w:pPr>
    </w:p>
    <w:p w14:paraId="469CE22C">
      <w:pPr>
        <w:rPr>
          <w:rFonts w:hint="eastAsia" w:asciiTheme="minorEastAsia" w:hAnsiTheme="minorEastAsia" w:eastAsiaTheme="minorEastAsia" w:cstheme="minorEastAsia"/>
          <w:color w:val="auto"/>
          <w:sz w:val="36"/>
          <w:szCs w:val="36"/>
          <w:highlight w:val="none"/>
        </w:rPr>
      </w:pPr>
    </w:p>
    <w:p w14:paraId="4CBD3950">
      <w:pPr>
        <w:pStyle w:val="5"/>
        <w:rPr>
          <w:rFonts w:hint="eastAsia"/>
          <w:color w:val="auto"/>
          <w:highlight w:val="none"/>
        </w:rPr>
      </w:pPr>
    </w:p>
    <w:p w14:paraId="12A733C1">
      <w:pPr>
        <w:pStyle w:val="5"/>
        <w:rPr>
          <w:rFonts w:hint="eastAsia"/>
          <w:color w:val="auto"/>
          <w:highlight w:val="none"/>
        </w:rPr>
      </w:pPr>
    </w:p>
    <w:p w14:paraId="6657E6E5">
      <w:pPr>
        <w:rPr>
          <w:rFonts w:hint="eastAsia"/>
          <w:color w:val="auto"/>
          <w:highlight w:val="none"/>
        </w:rPr>
      </w:pPr>
    </w:p>
    <w:p w14:paraId="042028EC">
      <w:pPr>
        <w:pStyle w:val="5"/>
        <w:rPr>
          <w:rFonts w:hint="eastAsia"/>
          <w:color w:val="auto"/>
          <w:highlight w:val="none"/>
        </w:rPr>
      </w:pPr>
    </w:p>
    <w:p w14:paraId="7FB2B787">
      <w:pPr>
        <w:pStyle w:val="4"/>
        <w:keepNext w:val="0"/>
        <w:widowControl/>
        <w:spacing w:line="450" w:lineRule="atLeast"/>
        <w:jc w:val="center"/>
        <w:rPr>
          <w:rFonts w:hint="default" w:asciiTheme="minorEastAsia" w:hAnsiTheme="minorEastAsia" w:eastAsiaTheme="minorEastAsia" w:cstheme="minorEastAsia"/>
          <w:color w:val="auto"/>
          <w:sz w:val="36"/>
          <w:szCs w:val="36"/>
          <w:highlight w:val="none"/>
          <w:lang w:val="en-US" w:eastAsia="zh-CN"/>
        </w:rPr>
      </w:pPr>
      <w:r>
        <w:rPr>
          <w:rFonts w:hint="eastAsia" w:asciiTheme="minorEastAsia" w:hAnsiTheme="minorEastAsia" w:eastAsiaTheme="minorEastAsia" w:cstheme="minorEastAsia"/>
          <w:color w:val="auto"/>
          <w:sz w:val="36"/>
          <w:szCs w:val="36"/>
          <w:highlight w:val="none"/>
          <w:lang w:val="en-US" w:eastAsia="zh-CN"/>
        </w:rPr>
        <w:t>第一章竞争性磋商公告</w:t>
      </w:r>
    </w:p>
    <w:p w14:paraId="51D85BFE">
      <w:pPr>
        <w:pStyle w:val="4"/>
        <w:keepNext w:val="0"/>
        <w:widowControl/>
        <w:spacing w:line="450" w:lineRule="atLeast"/>
        <w:jc w:val="center"/>
        <w:rPr>
          <w:rFonts w:hint="eastAsia" w:asciiTheme="minorEastAsia" w:hAnsiTheme="minorEastAsia" w:eastAsiaTheme="minorEastAsia" w:cstheme="minorEastAsia"/>
          <w:color w:val="auto"/>
          <w:sz w:val="26"/>
          <w:szCs w:val="26"/>
          <w:highlight w:val="none"/>
          <w:lang w:val="zh-CN"/>
        </w:rPr>
      </w:pPr>
    </w:p>
    <w:p w14:paraId="02826C4B">
      <w:pPr>
        <w:pStyle w:val="4"/>
        <w:keepNext w:val="0"/>
        <w:widowControl/>
        <w:spacing w:line="450" w:lineRule="atLeast"/>
        <w:jc w:val="center"/>
        <w:rPr>
          <w:rFonts w:hint="eastAsia" w:asciiTheme="minorEastAsia" w:hAnsiTheme="minorEastAsia" w:eastAsiaTheme="minorEastAsia" w:cstheme="minorEastAsia"/>
          <w:color w:val="auto"/>
          <w:sz w:val="26"/>
          <w:szCs w:val="26"/>
          <w:highlight w:val="none"/>
          <w:lang w:val="en-US" w:eastAsia="zh-CN"/>
        </w:rPr>
      </w:pPr>
      <w:r>
        <w:rPr>
          <w:rFonts w:hint="eastAsia" w:asciiTheme="minorEastAsia" w:hAnsiTheme="minorEastAsia" w:eastAsiaTheme="minorEastAsia" w:cstheme="minorEastAsia"/>
          <w:color w:val="auto"/>
          <w:sz w:val="26"/>
          <w:szCs w:val="26"/>
          <w:highlight w:val="none"/>
          <w:lang w:val="zh-CN"/>
        </w:rPr>
        <w:t>新疆介石项目管理有限公司</w:t>
      </w:r>
      <w:r>
        <w:rPr>
          <w:rFonts w:hint="eastAsia" w:asciiTheme="minorEastAsia" w:hAnsiTheme="minorEastAsia" w:eastAsiaTheme="minorEastAsia" w:cstheme="minorEastAsia"/>
          <w:color w:val="auto"/>
          <w:sz w:val="26"/>
          <w:szCs w:val="26"/>
          <w:highlight w:val="none"/>
        </w:rPr>
        <w:t>关于</w:t>
      </w:r>
      <w:r>
        <w:rPr>
          <w:rFonts w:hint="eastAsia" w:asciiTheme="minorEastAsia" w:hAnsiTheme="minorEastAsia" w:eastAsiaTheme="minorEastAsia" w:cstheme="minorEastAsia"/>
          <w:color w:val="auto"/>
          <w:sz w:val="26"/>
          <w:szCs w:val="26"/>
          <w:highlight w:val="none"/>
          <w:lang w:val="en-US" w:eastAsia="zh-CN"/>
        </w:rPr>
        <w:t>尉犁县团结镇2025年设施农业建设项目(二标段)一日光温室大棚建设</w:t>
      </w:r>
    </w:p>
    <w:p w14:paraId="6478748E">
      <w:pPr>
        <w:pStyle w:val="4"/>
        <w:keepNext w:val="0"/>
        <w:widowControl/>
        <w:spacing w:line="450" w:lineRule="atLeast"/>
        <w:jc w:val="center"/>
        <w:rPr>
          <w:rFonts w:hint="eastAsia" w:asciiTheme="minorEastAsia" w:hAnsiTheme="minorEastAsia" w:eastAsiaTheme="minorEastAsia" w:cstheme="minorEastAsia"/>
          <w:color w:val="auto"/>
          <w:sz w:val="36"/>
          <w:szCs w:val="36"/>
          <w:highlight w:val="none"/>
        </w:rPr>
      </w:pPr>
      <w:r>
        <w:rPr>
          <w:rFonts w:hint="eastAsia" w:asciiTheme="minorEastAsia" w:hAnsiTheme="minorEastAsia" w:eastAsiaTheme="minorEastAsia" w:cstheme="minorEastAsia"/>
          <w:color w:val="auto"/>
          <w:sz w:val="26"/>
          <w:szCs w:val="26"/>
          <w:highlight w:val="none"/>
        </w:rPr>
        <w:t>竞争性磋商公告</w:t>
      </w:r>
    </w:p>
    <w:p w14:paraId="1288BE46">
      <w:pPr>
        <w:pStyle w:val="4"/>
        <w:keepNext w:val="0"/>
        <w:widowControl/>
        <w:spacing w:line="450" w:lineRule="atLeast"/>
        <w:rPr>
          <w:rFonts w:hint="eastAsia" w:asciiTheme="minorEastAsia" w:hAnsiTheme="minorEastAsia" w:eastAsiaTheme="minorEastAsia" w:cstheme="minorEastAsia"/>
          <w:color w:val="auto"/>
          <w:sz w:val="27"/>
          <w:szCs w:val="27"/>
          <w:highlight w:val="none"/>
        </w:rPr>
      </w:pPr>
      <w:r>
        <w:rPr>
          <w:rFonts w:hint="eastAsia" w:asciiTheme="minorEastAsia" w:hAnsiTheme="minorEastAsia" w:eastAsiaTheme="minorEastAsia" w:cstheme="minorEastAsia"/>
          <w:color w:val="auto"/>
          <w:sz w:val="27"/>
          <w:highlight w:val="none"/>
        </w:rPr>
        <mc:AlternateContent>
          <mc:Choice Requires="wps">
            <w:drawing>
              <wp:anchor distT="0" distB="0" distL="114300" distR="114300" simplePos="0" relativeHeight="251660288" behindDoc="0" locked="0" layoutInCell="1" allowOverlap="1">
                <wp:simplePos x="0" y="0"/>
                <wp:positionH relativeFrom="column">
                  <wp:posOffset>339725</wp:posOffset>
                </wp:positionH>
                <wp:positionV relativeFrom="paragraph">
                  <wp:posOffset>158115</wp:posOffset>
                </wp:positionV>
                <wp:extent cx="5629275" cy="1609725"/>
                <wp:effectExtent l="7620" t="7620" r="20955" b="20955"/>
                <wp:wrapNone/>
                <wp:docPr id="20" name="矩形 20"/>
                <wp:cNvGraphicFramePr/>
                <a:graphic xmlns:a="http://schemas.openxmlformats.org/drawingml/2006/main">
                  <a:graphicData uri="http://schemas.microsoft.com/office/word/2010/wordprocessingShape">
                    <wps:wsp>
                      <wps:cNvSpPr/>
                      <wps:spPr>
                        <a:xfrm>
                          <a:off x="0" y="0"/>
                          <a:ext cx="5629275" cy="160972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14:paraId="374853CF">
                            <w:pPr>
                              <w:pStyle w:val="4"/>
                              <w:keepNext w:val="0"/>
                              <w:widowControl/>
                              <w:spacing w:line="450" w:lineRule="atLeast"/>
                            </w:pPr>
                            <w:r>
                              <w:rPr>
                                <w:rFonts w:hint="eastAsia"/>
                                <w:sz w:val="27"/>
                                <w:szCs w:val="27"/>
                              </w:rPr>
                              <w:t>项目概况</w:t>
                            </w:r>
                          </w:p>
                          <w:p w14:paraId="7DA50156">
                            <w:pPr>
                              <w:rPr>
                                <w:rFonts w:hint="eastAsia" w:asciiTheme="minorEastAsia" w:hAnsiTheme="minorEastAsia" w:eastAsiaTheme="minorEastAsia" w:cstheme="minorEastAsia"/>
                              </w:rPr>
                            </w:pPr>
                            <w:r>
                              <w:rPr>
                                <w:rFonts w:hint="eastAsia" w:asciiTheme="minorEastAsia" w:hAnsiTheme="minorEastAsia" w:eastAsiaTheme="minorEastAsia" w:cstheme="minorEastAsia"/>
                                <w:color w:val="000000"/>
                                <w:sz w:val="27"/>
                                <w:szCs w:val="27"/>
                                <w:highlight w:val="none"/>
                                <w:lang w:val="en-US" w:eastAsia="zh-CN"/>
                              </w:rPr>
                              <w:t>尉犁县团结镇2025年设施农业建设项目(二标段)一日光温室大棚建设</w:t>
                            </w:r>
                            <w:r>
                              <w:rPr>
                                <w:rFonts w:hint="eastAsia" w:asciiTheme="minorEastAsia" w:hAnsiTheme="minorEastAsia" w:eastAsiaTheme="minorEastAsia" w:cstheme="minorEastAsia"/>
                                <w:color w:val="000000"/>
                                <w:sz w:val="27"/>
                                <w:szCs w:val="27"/>
                                <w:highlight w:val="none"/>
                              </w:rPr>
                              <w:t>的潜在供应商应登陆政采云平台在线申请获取采购文件（进入“项目采购”应用，在获取采购文件菜单中选择项目，申请获取采购文件），并</w:t>
                            </w:r>
                            <w:r>
                              <w:rPr>
                                <w:rFonts w:hint="eastAsia" w:asciiTheme="minorEastAsia" w:hAnsiTheme="minorEastAsia" w:eastAsiaTheme="minorEastAsia" w:cstheme="minorEastAsia"/>
                                <w:color w:val="auto"/>
                                <w:sz w:val="27"/>
                                <w:szCs w:val="27"/>
                                <w:highlight w:val="none"/>
                              </w:rPr>
                              <w:t>于</w:t>
                            </w:r>
                            <w:r>
                              <w:rPr>
                                <w:rFonts w:hint="eastAsia" w:asciiTheme="minorEastAsia" w:hAnsiTheme="minorEastAsia" w:eastAsiaTheme="minorEastAsia" w:cstheme="minorEastAsia"/>
                                <w:color w:val="0000FF"/>
                                <w:sz w:val="27"/>
                                <w:szCs w:val="27"/>
                                <w:highlight w:val="none"/>
                                <w:lang w:eastAsia="zh-CN"/>
                              </w:rPr>
                              <w:t>2025年4月21日</w:t>
                            </w:r>
                            <w:r>
                              <w:rPr>
                                <w:rFonts w:hint="eastAsia" w:asciiTheme="minorEastAsia" w:hAnsiTheme="minorEastAsia" w:eastAsiaTheme="minorEastAsia" w:cstheme="minorEastAsia"/>
                                <w:color w:val="auto"/>
                                <w:sz w:val="27"/>
                                <w:szCs w:val="27"/>
                                <w:highlight w:val="none"/>
                              </w:rPr>
                              <w:t>1</w:t>
                            </w:r>
                            <w:r>
                              <w:rPr>
                                <w:rFonts w:hint="eastAsia" w:asciiTheme="minorEastAsia" w:hAnsiTheme="minorEastAsia" w:eastAsiaTheme="minorEastAsia" w:cstheme="minorEastAsia"/>
                                <w:color w:val="auto"/>
                                <w:sz w:val="27"/>
                                <w:szCs w:val="27"/>
                                <w:highlight w:val="none"/>
                                <w:lang w:val="en-US" w:eastAsia="zh-CN"/>
                              </w:rPr>
                              <w:t>0：3</w:t>
                            </w:r>
                            <w:r>
                              <w:rPr>
                                <w:rFonts w:hint="eastAsia" w:asciiTheme="minorEastAsia" w:hAnsiTheme="minorEastAsia" w:eastAsiaTheme="minorEastAsia" w:cstheme="minorEastAsia"/>
                                <w:color w:val="auto"/>
                                <w:sz w:val="27"/>
                                <w:szCs w:val="27"/>
                                <w:highlight w:val="none"/>
                              </w:rPr>
                              <w:t>0（</w:t>
                            </w:r>
                            <w:r>
                              <w:rPr>
                                <w:rFonts w:hint="eastAsia" w:asciiTheme="minorEastAsia" w:hAnsiTheme="minorEastAsia" w:eastAsiaTheme="minorEastAsia" w:cstheme="minorEastAsia"/>
                                <w:color w:val="000000"/>
                                <w:sz w:val="27"/>
                                <w:szCs w:val="27"/>
                                <w:highlight w:val="none"/>
                              </w:rPr>
                              <w:t>北京时间）前提交响应文件。</w:t>
                            </w:r>
                          </w:p>
                        </w:txbxContent>
                      </wps:txbx>
                      <wps:bodyPr upright="1"/>
                    </wps:wsp>
                  </a:graphicData>
                </a:graphic>
              </wp:anchor>
            </w:drawing>
          </mc:Choice>
          <mc:Fallback>
            <w:pict>
              <v:rect id="_x0000_s1026" o:spid="_x0000_s1026" o:spt="1" style="position:absolute;left:0pt;margin-left:26.75pt;margin-top:12.45pt;height:126.75pt;width:443.25pt;z-index:251660288;mso-width-relative:page;mso-height-relative:page;" fillcolor="#FFFFFF" filled="t" stroked="t" coordsize="21600,21600" o:gfxdata="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esgOfNgAAAAJAQAADwAAAAAAAAABACAAAAAi&#10;AAAAZHJzL2Rvd25yZXYueG1sUEsBAhQAFAAAAAgAh07iQGN4qJRDAgAAwgQAAA4AAAAAAAAAAQAg&#10;AAAAJwEAAGRycy9lMm9Eb2MueG1sUEsFBgAAAAAGAAYAWQEAANwFAAAAAA==&#10;">
                <v:fill type="gradient" on="t" color2="#FFFFFF" angle="90" focus="100%" focussize="0,0">
                  <o:fill type="gradientUnscaled" v:ext="backwardCompatible"/>
                </v:fill>
                <v:stroke weight="1.25pt" color="#000000" joinstyle="miter"/>
                <v:imagedata o:title=""/>
                <o:lock v:ext="edit" aspectratio="f"/>
                <v:textbox>
                  <w:txbxContent>
                    <w:p w14:paraId="374853CF">
                      <w:pPr>
                        <w:pStyle w:val="4"/>
                        <w:keepNext w:val="0"/>
                        <w:widowControl/>
                        <w:spacing w:line="450" w:lineRule="atLeast"/>
                      </w:pPr>
                      <w:r>
                        <w:rPr>
                          <w:rFonts w:hint="eastAsia"/>
                          <w:sz w:val="27"/>
                          <w:szCs w:val="27"/>
                        </w:rPr>
                        <w:t>项目概况</w:t>
                      </w:r>
                    </w:p>
                    <w:p w14:paraId="7DA50156">
                      <w:pPr>
                        <w:rPr>
                          <w:rFonts w:hint="eastAsia" w:asciiTheme="minorEastAsia" w:hAnsiTheme="minorEastAsia" w:eastAsiaTheme="minorEastAsia" w:cstheme="minorEastAsia"/>
                        </w:rPr>
                      </w:pPr>
                      <w:r>
                        <w:rPr>
                          <w:rFonts w:hint="eastAsia" w:asciiTheme="minorEastAsia" w:hAnsiTheme="minorEastAsia" w:eastAsiaTheme="minorEastAsia" w:cstheme="minorEastAsia"/>
                          <w:color w:val="000000"/>
                          <w:sz w:val="27"/>
                          <w:szCs w:val="27"/>
                          <w:highlight w:val="none"/>
                          <w:lang w:val="en-US" w:eastAsia="zh-CN"/>
                        </w:rPr>
                        <w:t>尉犁县团结镇2025年设施农业建设项目(二标段)一日光温室大棚建设</w:t>
                      </w:r>
                      <w:r>
                        <w:rPr>
                          <w:rFonts w:hint="eastAsia" w:asciiTheme="minorEastAsia" w:hAnsiTheme="minorEastAsia" w:eastAsiaTheme="minorEastAsia" w:cstheme="minorEastAsia"/>
                          <w:color w:val="000000"/>
                          <w:sz w:val="27"/>
                          <w:szCs w:val="27"/>
                          <w:highlight w:val="none"/>
                        </w:rPr>
                        <w:t>的潜在供应商应登陆政采云平台在线申请获取采购文件（进入“项目采购”应用，在获取采购文件菜单中选择项目，申请获取采购文件），并</w:t>
                      </w:r>
                      <w:r>
                        <w:rPr>
                          <w:rFonts w:hint="eastAsia" w:asciiTheme="minorEastAsia" w:hAnsiTheme="minorEastAsia" w:eastAsiaTheme="minorEastAsia" w:cstheme="minorEastAsia"/>
                          <w:color w:val="auto"/>
                          <w:sz w:val="27"/>
                          <w:szCs w:val="27"/>
                          <w:highlight w:val="none"/>
                        </w:rPr>
                        <w:t>于</w:t>
                      </w:r>
                      <w:r>
                        <w:rPr>
                          <w:rFonts w:hint="eastAsia" w:asciiTheme="minorEastAsia" w:hAnsiTheme="minorEastAsia" w:eastAsiaTheme="minorEastAsia" w:cstheme="minorEastAsia"/>
                          <w:color w:val="0000FF"/>
                          <w:sz w:val="27"/>
                          <w:szCs w:val="27"/>
                          <w:highlight w:val="none"/>
                          <w:lang w:eastAsia="zh-CN"/>
                        </w:rPr>
                        <w:t>2025年4月21日</w:t>
                      </w:r>
                      <w:r>
                        <w:rPr>
                          <w:rFonts w:hint="eastAsia" w:asciiTheme="minorEastAsia" w:hAnsiTheme="minorEastAsia" w:eastAsiaTheme="minorEastAsia" w:cstheme="minorEastAsia"/>
                          <w:color w:val="auto"/>
                          <w:sz w:val="27"/>
                          <w:szCs w:val="27"/>
                          <w:highlight w:val="none"/>
                        </w:rPr>
                        <w:t>1</w:t>
                      </w:r>
                      <w:r>
                        <w:rPr>
                          <w:rFonts w:hint="eastAsia" w:asciiTheme="minorEastAsia" w:hAnsiTheme="minorEastAsia" w:eastAsiaTheme="minorEastAsia" w:cstheme="minorEastAsia"/>
                          <w:color w:val="auto"/>
                          <w:sz w:val="27"/>
                          <w:szCs w:val="27"/>
                          <w:highlight w:val="none"/>
                          <w:lang w:val="en-US" w:eastAsia="zh-CN"/>
                        </w:rPr>
                        <w:t>0：3</w:t>
                      </w:r>
                      <w:r>
                        <w:rPr>
                          <w:rFonts w:hint="eastAsia" w:asciiTheme="minorEastAsia" w:hAnsiTheme="minorEastAsia" w:eastAsiaTheme="minorEastAsia" w:cstheme="minorEastAsia"/>
                          <w:color w:val="auto"/>
                          <w:sz w:val="27"/>
                          <w:szCs w:val="27"/>
                          <w:highlight w:val="none"/>
                        </w:rPr>
                        <w:t>0（</w:t>
                      </w:r>
                      <w:r>
                        <w:rPr>
                          <w:rFonts w:hint="eastAsia" w:asciiTheme="minorEastAsia" w:hAnsiTheme="minorEastAsia" w:eastAsiaTheme="minorEastAsia" w:cstheme="minorEastAsia"/>
                          <w:color w:val="000000"/>
                          <w:sz w:val="27"/>
                          <w:szCs w:val="27"/>
                          <w:highlight w:val="none"/>
                        </w:rPr>
                        <w:t>北京时间）前提交响应文件。</w:t>
                      </w:r>
                    </w:p>
                  </w:txbxContent>
                </v:textbox>
              </v:rect>
            </w:pict>
          </mc:Fallback>
        </mc:AlternateContent>
      </w:r>
    </w:p>
    <w:p w14:paraId="5995923B">
      <w:pPr>
        <w:pStyle w:val="4"/>
        <w:keepNext w:val="0"/>
        <w:widowControl/>
        <w:spacing w:line="450" w:lineRule="atLeast"/>
        <w:rPr>
          <w:rFonts w:hint="eastAsia" w:asciiTheme="minorEastAsia" w:hAnsiTheme="minorEastAsia" w:eastAsiaTheme="minorEastAsia" w:cstheme="minorEastAsia"/>
          <w:color w:val="auto"/>
          <w:sz w:val="27"/>
          <w:szCs w:val="27"/>
          <w:highlight w:val="none"/>
        </w:rPr>
      </w:pPr>
    </w:p>
    <w:p w14:paraId="362730E6">
      <w:pPr>
        <w:pStyle w:val="4"/>
        <w:keepNext w:val="0"/>
        <w:widowControl/>
        <w:spacing w:line="450" w:lineRule="atLeast"/>
        <w:rPr>
          <w:rFonts w:hint="eastAsia" w:asciiTheme="minorEastAsia" w:hAnsiTheme="minorEastAsia" w:eastAsiaTheme="minorEastAsia" w:cstheme="minorEastAsia"/>
          <w:color w:val="auto"/>
          <w:sz w:val="27"/>
          <w:szCs w:val="27"/>
          <w:highlight w:val="none"/>
        </w:rPr>
      </w:pPr>
    </w:p>
    <w:p w14:paraId="1D48CA10">
      <w:pPr>
        <w:pStyle w:val="4"/>
        <w:keepNext w:val="0"/>
        <w:widowControl/>
        <w:spacing w:line="450" w:lineRule="atLeast"/>
        <w:rPr>
          <w:rFonts w:hint="eastAsia" w:asciiTheme="minorEastAsia" w:hAnsiTheme="minorEastAsia" w:eastAsiaTheme="minorEastAsia" w:cstheme="minorEastAsia"/>
          <w:color w:val="auto"/>
          <w:sz w:val="27"/>
          <w:szCs w:val="27"/>
          <w:highlight w:val="none"/>
        </w:rPr>
      </w:pPr>
    </w:p>
    <w:p w14:paraId="213CD2B9">
      <w:pPr>
        <w:pStyle w:val="4"/>
        <w:keepNext w:val="0"/>
        <w:widowControl/>
        <w:spacing w:line="450" w:lineRule="atLeast"/>
        <w:rPr>
          <w:rFonts w:hint="eastAsia" w:asciiTheme="minorEastAsia" w:hAnsiTheme="minorEastAsia" w:eastAsiaTheme="minorEastAsia" w:cstheme="minorEastAsia"/>
          <w:color w:val="auto"/>
          <w:sz w:val="27"/>
          <w:szCs w:val="27"/>
          <w:highlight w:val="none"/>
        </w:rPr>
      </w:pPr>
    </w:p>
    <w:p w14:paraId="39D0F607">
      <w:pPr>
        <w:spacing w:line="360" w:lineRule="auto"/>
        <w:rPr>
          <w:rStyle w:val="34"/>
          <w:rFonts w:hint="eastAsia" w:asciiTheme="minorEastAsia" w:hAnsiTheme="minorEastAsia" w:eastAsiaTheme="minorEastAsia" w:cstheme="minorEastAsia"/>
          <w:color w:val="auto"/>
          <w:kern w:val="0"/>
          <w:sz w:val="27"/>
          <w:szCs w:val="27"/>
          <w:highlight w:val="none"/>
          <w:lang w:val="en-US" w:eastAsia="zh-CN" w:bidi="ar-SA"/>
        </w:rPr>
      </w:pPr>
    </w:p>
    <w:p w14:paraId="51E6008A">
      <w:pPr>
        <w:spacing w:line="360" w:lineRule="auto"/>
        <w:ind w:firstLine="813" w:firstLineChars="300"/>
        <w:rPr>
          <w:rStyle w:val="34"/>
          <w:rFonts w:hint="eastAsia" w:asciiTheme="minorEastAsia" w:hAnsiTheme="minorEastAsia" w:eastAsiaTheme="minorEastAsia" w:cstheme="minorEastAsia"/>
          <w:color w:val="auto"/>
          <w:kern w:val="0"/>
          <w:sz w:val="27"/>
          <w:szCs w:val="27"/>
          <w:highlight w:val="none"/>
          <w:lang w:val="en-US" w:eastAsia="zh-CN" w:bidi="ar-SA"/>
        </w:rPr>
      </w:pPr>
      <w:r>
        <w:rPr>
          <w:rStyle w:val="34"/>
          <w:rFonts w:hint="eastAsia" w:asciiTheme="minorEastAsia" w:hAnsiTheme="minorEastAsia" w:eastAsiaTheme="minorEastAsia" w:cstheme="minorEastAsia"/>
          <w:color w:val="auto"/>
          <w:kern w:val="0"/>
          <w:sz w:val="27"/>
          <w:szCs w:val="27"/>
          <w:highlight w:val="none"/>
          <w:lang w:val="en-US" w:eastAsia="zh-CN" w:bidi="ar-SA"/>
        </w:rPr>
        <w:t>一、项目基本情况</w:t>
      </w:r>
    </w:p>
    <w:p w14:paraId="238F4C7F">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项目名称：尉犁县团结镇2025年设施农业建设项目(二标段)一日光温室大棚建设</w:t>
      </w:r>
    </w:p>
    <w:p w14:paraId="1B5174C2">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项目编号：XJJSZC（JZXCS）2025-004</w:t>
      </w:r>
    </w:p>
    <w:p w14:paraId="7C25CED2">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采购方式：竞争性磋商</w:t>
      </w:r>
    </w:p>
    <w:p w14:paraId="70901EED">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预算金额（元）：1600000.00元</w:t>
      </w:r>
    </w:p>
    <w:p w14:paraId="4D37E959">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最高限价（元）：1599531.66元</w:t>
      </w:r>
    </w:p>
    <w:p w14:paraId="3964211C">
      <w:pPr>
        <w:spacing w:line="360" w:lineRule="auto"/>
        <w:ind w:firstLine="720" w:firstLineChars="3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项目简要描述：新建日光温室大棚2栋，每栋建设面积4600平方米，配套附属设施。</w:t>
      </w:r>
    </w:p>
    <w:p w14:paraId="2F4D952D">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工期：190日历天，计划开工日期2025年4月24日，计划竣工日期2025年10月30日</w:t>
      </w:r>
      <w:r>
        <w:rPr>
          <w:rFonts w:hint="eastAsia" w:asciiTheme="minorEastAsia" w:hAnsiTheme="minorEastAsia" w:eastAsiaTheme="minorEastAsia" w:cstheme="minorEastAsia"/>
          <w:color w:val="auto"/>
          <w:sz w:val="24"/>
          <w:szCs w:val="24"/>
          <w:highlight w:val="none"/>
          <w:lang w:val="en-US" w:eastAsia="zh-CN"/>
        </w:rPr>
        <w:t>；</w:t>
      </w:r>
    </w:p>
    <w:p w14:paraId="5CD0D8F6">
      <w:pPr>
        <w:spacing w:line="360" w:lineRule="auto"/>
        <w:ind w:firstLine="720" w:firstLineChars="300"/>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建设地点：尉犁县团结镇</w:t>
      </w:r>
    </w:p>
    <w:p w14:paraId="2710199A">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本项目（否）接受联合体投标。</w:t>
      </w:r>
    </w:p>
    <w:p w14:paraId="4B9F84BB">
      <w:pPr>
        <w:spacing w:line="360" w:lineRule="auto"/>
        <w:ind w:firstLine="813" w:firstLineChars="300"/>
        <w:rPr>
          <w:rStyle w:val="34"/>
          <w:rFonts w:hint="eastAsia" w:asciiTheme="minorEastAsia" w:hAnsiTheme="minorEastAsia" w:eastAsiaTheme="minorEastAsia" w:cstheme="minorEastAsia"/>
          <w:color w:val="auto"/>
          <w:kern w:val="0"/>
          <w:sz w:val="27"/>
          <w:szCs w:val="27"/>
          <w:highlight w:val="none"/>
          <w:lang w:val="en-US" w:eastAsia="zh-CN" w:bidi="ar-SA"/>
        </w:rPr>
      </w:pPr>
      <w:r>
        <w:rPr>
          <w:rStyle w:val="34"/>
          <w:rFonts w:hint="eastAsia" w:asciiTheme="minorEastAsia" w:hAnsiTheme="minorEastAsia" w:eastAsiaTheme="minorEastAsia" w:cstheme="minorEastAsia"/>
          <w:color w:val="auto"/>
          <w:kern w:val="0"/>
          <w:sz w:val="27"/>
          <w:szCs w:val="27"/>
          <w:highlight w:val="none"/>
          <w:lang w:val="en-US" w:eastAsia="zh-CN" w:bidi="ar-SA"/>
        </w:rPr>
        <w:t>二、申请人的资格要求：</w:t>
      </w:r>
    </w:p>
    <w:p w14:paraId="1BA9CC57">
      <w:pPr>
        <w:spacing w:line="360" w:lineRule="auto"/>
        <w:ind w:firstLine="723" w:firstLineChars="30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1、本项目基本资格要求：</w:t>
      </w:r>
    </w:p>
    <w:p w14:paraId="0C5D1DFF">
      <w:pPr>
        <w:spacing w:line="360" w:lineRule="auto"/>
        <w:ind w:firstLine="720" w:firstLineChars="3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（1）满足《中华人民共和国政府采购法》第二十二条规定；</w:t>
      </w:r>
    </w:p>
    <w:p w14:paraId="2069BCCB">
      <w:pPr>
        <w:spacing w:line="360" w:lineRule="auto"/>
        <w:ind w:left="479" w:leftChars="228" w:firstLine="240" w:firstLineChars="10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r>
        <w:rPr>
          <w:rFonts w:hint="default" w:ascii="宋体" w:hAnsi="宋体" w:eastAsia="宋体" w:cs="宋体"/>
          <w:color w:val="auto"/>
          <w:kern w:val="0"/>
          <w:sz w:val="24"/>
          <w:szCs w:val="24"/>
          <w:highlight w:val="none"/>
          <w:lang w:val="en-US" w:eastAsia="zh-CN"/>
        </w:rPr>
        <w:t>单位负责人为同一人或者存在直接控股、管理关系的不同供应商，不得参加同一合同项下的政府采购活动。除单一来源采购项目外，</w:t>
      </w:r>
      <w:r>
        <w:rPr>
          <w:rFonts w:hint="eastAsia" w:ascii="宋体" w:hAnsi="宋体" w:eastAsia="宋体" w:cs="宋体"/>
          <w:color w:val="auto"/>
          <w:kern w:val="0"/>
          <w:sz w:val="24"/>
          <w:szCs w:val="24"/>
          <w:highlight w:val="none"/>
          <w:lang w:val="en-US" w:eastAsia="zh-CN"/>
        </w:rPr>
        <w:t>为采购项目提供整体设计、规范编制或者项目管理、监理、检测等服务的供应商，不得再参加该采购项目的其他采购活动。</w:t>
      </w:r>
    </w:p>
    <w:p w14:paraId="62CA4D5F">
      <w:pPr>
        <w:numPr>
          <w:ilvl w:val="0"/>
          <w:numId w:val="0"/>
        </w:numPr>
        <w:spacing w:line="360" w:lineRule="auto"/>
        <w:ind w:left="479" w:leftChars="228" w:firstLine="240" w:firstLineChars="10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eastAsia="zh-CN"/>
        </w:rPr>
        <w:t>经信用中国（www.creditchina.gov.cn）、中国政府采购网（www.ccgp.gov.cn）等渠道查询后，列入失信被执行人、重大税收违法案件当事人名单、政府采购严重违法失信行为记录名单的，取消投标资格（提供网站无任何不良记录的查询截图并加盖公章，时间为自招标公告发布日期起至开标日期止；</w:t>
      </w:r>
      <w:r>
        <w:rPr>
          <w:rFonts w:hint="eastAsia" w:ascii="宋体" w:hAnsi="宋体" w:eastAsia="宋体" w:cs="宋体"/>
          <w:color w:val="auto"/>
          <w:kern w:val="0"/>
          <w:sz w:val="24"/>
          <w:szCs w:val="24"/>
          <w:highlight w:val="none"/>
          <w:lang w:val="en-US" w:eastAsia="zh-CN"/>
        </w:rPr>
        <w:t>开标时，以网上查询记录为准</w:t>
      </w:r>
      <w:r>
        <w:rPr>
          <w:rFonts w:hint="eastAsia" w:ascii="宋体" w:hAnsi="宋体" w:eastAsia="宋体" w:cs="宋体"/>
          <w:color w:val="auto"/>
          <w:kern w:val="0"/>
          <w:sz w:val="24"/>
          <w:szCs w:val="24"/>
          <w:highlight w:val="none"/>
          <w:lang w:val="zh-CN" w:eastAsia="zh-CN"/>
        </w:rPr>
        <w:t>）；</w:t>
      </w:r>
    </w:p>
    <w:p w14:paraId="69EFA235">
      <w:pPr>
        <w:spacing w:line="360" w:lineRule="auto"/>
        <w:ind w:firstLine="720" w:firstLineChars="300"/>
        <w:rPr>
          <w:rFonts w:hint="default" w:eastAsiaTheme="minorEastAsia"/>
          <w:color w:val="auto"/>
          <w:highlight w:val="none"/>
          <w:lang w:val="en-US"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eastAsia="zh-CN"/>
        </w:rPr>
        <w:t>）</w:t>
      </w:r>
      <w:r>
        <w:rPr>
          <w:rFonts w:hint="eastAsia" w:asciiTheme="minorEastAsia" w:hAnsiTheme="minorEastAsia" w:eastAsiaTheme="minorEastAsia" w:cstheme="minorEastAsia"/>
          <w:color w:val="auto"/>
          <w:sz w:val="24"/>
          <w:szCs w:val="24"/>
          <w:highlight w:val="none"/>
          <w:lang w:val="en-US" w:eastAsia="zh-CN"/>
        </w:rPr>
        <w:t>本项目不接受联合体投标。</w:t>
      </w:r>
    </w:p>
    <w:p w14:paraId="70F51393">
      <w:pPr>
        <w:spacing w:line="360" w:lineRule="auto"/>
        <w:rPr>
          <w:rFonts w:hint="eastAsia" w:ascii="宋体" w:hAnsi="宋体" w:eastAsia="宋体" w:cs="宋体"/>
          <w:color w:val="auto"/>
          <w:kern w:val="0"/>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rPr>
        <w:t>2、落实政府采购政策需满足的资格要求：</w:t>
      </w:r>
      <w:r>
        <w:rPr>
          <w:rFonts w:hint="eastAsia" w:ascii="宋体" w:hAnsi="宋体" w:eastAsia="宋体" w:cs="宋体"/>
          <w:color w:val="auto"/>
          <w:kern w:val="0"/>
          <w:sz w:val="24"/>
          <w:szCs w:val="24"/>
          <w:highlight w:val="none"/>
          <w:lang w:val="zh-CN" w:eastAsia="zh-CN"/>
        </w:rPr>
        <w:t>本项目专门面</w:t>
      </w:r>
      <w:r>
        <w:rPr>
          <w:rFonts w:hint="eastAsia" w:ascii="宋体" w:hAnsi="宋体" w:eastAsia="宋体" w:cs="宋体"/>
          <w:color w:val="auto"/>
          <w:kern w:val="0"/>
          <w:sz w:val="24"/>
          <w:szCs w:val="24"/>
          <w:highlight w:val="none"/>
          <w:lang w:val="en-US" w:eastAsia="zh-CN"/>
        </w:rPr>
        <w:t>向中小</w:t>
      </w:r>
      <w:r>
        <w:rPr>
          <w:rFonts w:hint="eastAsia" w:ascii="宋体" w:hAnsi="宋体" w:eastAsia="宋体" w:cs="宋体"/>
          <w:color w:val="auto"/>
          <w:kern w:val="0"/>
          <w:sz w:val="24"/>
          <w:szCs w:val="24"/>
          <w:highlight w:val="none"/>
          <w:lang w:val="zh-CN" w:eastAsia="zh-CN"/>
        </w:rPr>
        <w:t>企业采购（</w:t>
      </w:r>
      <w:r>
        <w:rPr>
          <w:rFonts w:hint="eastAsia" w:ascii="宋体" w:hAnsi="宋体" w:eastAsia="宋体" w:cs="宋体"/>
          <w:color w:val="auto"/>
          <w:kern w:val="0"/>
          <w:sz w:val="24"/>
          <w:szCs w:val="24"/>
          <w:highlight w:val="none"/>
          <w:lang w:val="en-US" w:eastAsia="zh-CN"/>
        </w:rPr>
        <w:t>中小企业预留100%</w:t>
      </w:r>
      <w:r>
        <w:rPr>
          <w:rFonts w:hint="eastAsia" w:ascii="宋体" w:hAnsi="宋体" w:eastAsia="宋体" w:cs="宋体"/>
          <w:color w:val="auto"/>
          <w:kern w:val="0"/>
          <w:sz w:val="24"/>
          <w:szCs w:val="24"/>
          <w:highlight w:val="none"/>
          <w:lang w:val="zh-CN" w:eastAsia="zh-CN"/>
        </w:rPr>
        <w:t>）；</w:t>
      </w:r>
    </w:p>
    <w:p w14:paraId="559C26E2">
      <w:pPr>
        <w:numPr>
          <w:ilvl w:val="0"/>
          <w:numId w:val="0"/>
        </w:numPr>
        <w:spacing w:line="360" w:lineRule="auto"/>
        <w:ind w:leftChars="0" w:firstLine="720" w:firstLineChars="3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）《政府采购促进中小企业发展管理办法》（财库[2020]46号文）；</w:t>
      </w:r>
    </w:p>
    <w:p w14:paraId="52295646">
      <w:pPr>
        <w:numPr>
          <w:ilvl w:val="0"/>
          <w:numId w:val="0"/>
        </w:numPr>
        <w:spacing w:line="360" w:lineRule="auto"/>
        <w:ind w:leftChars="0" w:firstLine="720" w:firstLineChars="3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zh-CN" w:eastAsia="zh-CN"/>
        </w:rPr>
        <w:t>（</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val="zh-CN" w:eastAsia="zh-CN"/>
        </w:rPr>
        <w:t>）</w:t>
      </w:r>
      <w:r>
        <w:rPr>
          <w:rFonts w:hint="eastAsia" w:ascii="宋体" w:hAnsi="宋体" w:eastAsia="宋体" w:cs="宋体"/>
          <w:color w:val="auto"/>
          <w:kern w:val="0"/>
          <w:sz w:val="24"/>
          <w:szCs w:val="24"/>
          <w:highlight w:val="none"/>
          <w:lang w:val="zh-CN" w:eastAsia="zh-CN"/>
        </w:rPr>
        <w:t>《关于落实好政府采购支持中小企业发展的通知》（新财购〔2022〕22号）；</w:t>
      </w:r>
    </w:p>
    <w:p w14:paraId="668D8015">
      <w:pPr>
        <w:numPr>
          <w:ilvl w:val="0"/>
          <w:numId w:val="0"/>
        </w:numPr>
        <w:spacing w:line="360" w:lineRule="auto"/>
        <w:ind w:left="479" w:leftChars="228" w:firstLine="240" w:firstLineChars="100"/>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color w:val="auto"/>
          <w:kern w:val="0"/>
          <w:sz w:val="24"/>
          <w:szCs w:val="24"/>
          <w:highlight w:val="none"/>
          <w:lang w:val="zh-CN" w:eastAsia="zh-CN"/>
        </w:rPr>
        <w:t>（</w:t>
      </w:r>
      <w:r>
        <w:rPr>
          <w:rFonts w:hint="eastAsia" w:ascii="宋体" w:hAnsi="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eastAsia="zh-CN"/>
        </w:rPr>
        <w:t>）财政部关于进一步加大政府采购支持中小企业力度的通知（财库[2022]19号）</w:t>
      </w:r>
      <w:r>
        <w:rPr>
          <w:rFonts w:hint="eastAsia" w:ascii="宋体" w:hAnsi="宋体" w:cs="宋体"/>
          <w:color w:val="auto"/>
          <w:kern w:val="0"/>
          <w:sz w:val="24"/>
          <w:szCs w:val="24"/>
          <w:highlight w:val="none"/>
          <w:lang w:val="zh-CN" w:eastAsia="zh-CN"/>
        </w:rPr>
        <w:t>；</w:t>
      </w:r>
    </w:p>
    <w:p w14:paraId="59706BCB">
      <w:pPr>
        <w:numPr>
          <w:ilvl w:val="0"/>
          <w:numId w:val="0"/>
        </w:numPr>
        <w:spacing w:line="360" w:lineRule="auto"/>
        <w:ind w:left="479" w:leftChars="228" w:firstLine="240" w:firstLineChars="10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eastAsia="zh-CN"/>
        </w:rPr>
        <w:t>）</w:t>
      </w:r>
      <w:r>
        <w:rPr>
          <w:rFonts w:hint="eastAsia" w:asciiTheme="minorEastAsia" w:hAnsiTheme="minorEastAsia" w:eastAsiaTheme="minorEastAsia" w:cstheme="minorEastAsia"/>
          <w:color w:val="auto"/>
          <w:sz w:val="24"/>
          <w:szCs w:val="24"/>
          <w:highlight w:val="none"/>
        </w:rPr>
        <w:t>财政部、司法部《关于政府采购支持监狱企业发展有关问题的通知》（财库[2014]68号文）。</w:t>
      </w:r>
    </w:p>
    <w:p w14:paraId="75A3F7FD">
      <w:pPr>
        <w:spacing w:line="360" w:lineRule="auto"/>
        <w:ind w:left="477" w:leftChars="227" w:firstLine="240" w:firstLineChars="1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）财政部、民政部、中国残疾人联合会《关于促进残疾人就业政府采购政策的通知》（财库[2017]141号）；</w:t>
      </w:r>
    </w:p>
    <w:p w14:paraId="15A7CE46">
      <w:pPr>
        <w:spacing w:line="360" w:lineRule="auto"/>
        <w:ind w:left="237" w:leftChars="113" w:firstLine="241" w:firstLineChars="10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3、本项目特定资格要求：</w:t>
      </w:r>
    </w:p>
    <w:p w14:paraId="7D3026BE">
      <w:pPr>
        <w:spacing w:line="360" w:lineRule="auto"/>
        <w:ind w:left="239" w:leftChars="114" w:firstLine="240" w:firstLineChars="1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施工企业资格要求：具备建筑工程施工总承包三级及以上资质且同时具备钢结构工程专业承包三级及以上资质，具有有效的安全生产许可证，并在人员、设备、资金等方面具有相应的施工能力；自治区外投标企业应按照新疆维吾尔自治区住建厅2018年4月24日发布的《关于进一步推动自治区建筑市场统一开放的通知》的规定，登录新疆建筑市场监督和诚信信息一体化平台（简称新疆建设云），网址（http://jsy.xjjs.gov.cn）,须在施工开始前完成注册报送基本信息和人员信息。</w:t>
      </w:r>
    </w:p>
    <w:p w14:paraId="0573F089">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（2）项目负责人资格要求：拟派的项目负责人（项目经理）需具备建筑工程专业二级（含二级）以上注册建造师执业资格，具备有效的安全生产考核合格证书（B类），未担任其他在建工程项目的项目经理。</w:t>
      </w:r>
    </w:p>
    <w:p w14:paraId="5F7B8562">
      <w:pPr>
        <w:spacing w:line="360" w:lineRule="auto"/>
        <w:ind w:firstLine="271" w:firstLineChars="100"/>
        <w:rPr>
          <w:rStyle w:val="34"/>
          <w:rFonts w:hint="eastAsia" w:asciiTheme="minorEastAsia" w:hAnsiTheme="minorEastAsia" w:eastAsiaTheme="minorEastAsia" w:cstheme="minorEastAsia"/>
          <w:color w:val="auto"/>
          <w:kern w:val="0"/>
          <w:sz w:val="27"/>
          <w:szCs w:val="27"/>
          <w:highlight w:val="none"/>
          <w:lang w:val="en-US" w:eastAsia="zh-CN" w:bidi="ar-SA"/>
        </w:rPr>
      </w:pPr>
      <w:r>
        <w:rPr>
          <w:rStyle w:val="34"/>
          <w:rFonts w:hint="eastAsia" w:asciiTheme="minorEastAsia" w:hAnsiTheme="minorEastAsia" w:eastAsiaTheme="minorEastAsia" w:cstheme="minorEastAsia"/>
          <w:color w:val="auto"/>
          <w:kern w:val="0"/>
          <w:sz w:val="27"/>
          <w:szCs w:val="27"/>
          <w:highlight w:val="none"/>
          <w:lang w:val="en-US" w:eastAsia="zh-CN" w:bidi="ar-SA"/>
        </w:rPr>
        <w:t>三、获取采购文件</w:t>
      </w:r>
    </w:p>
    <w:p w14:paraId="13CA4F7B">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时间：2025年4月9日至2025年4月16日，每天上午</w:t>
      </w:r>
      <w:r>
        <w:rPr>
          <w:rFonts w:hint="eastAsia" w:ascii="宋体" w:hAnsi="宋体" w:cs="宋体"/>
          <w:i w:val="0"/>
          <w:iCs w:val="0"/>
          <w:caps w:val="0"/>
          <w:color w:val="auto"/>
          <w:spacing w:val="0"/>
          <w:kern w:val="0"/>
          <w:sz w:val="24"/>
          <w:szCs w:val="24"/>
          <w:highlight w:val="none"/>
          <w:lang w:val="en-US" w:eastAsia="zh-CN" w:bidi="ar-SA"/>
        </w:rPr>
        <w:t>00</w:t>
      </w:r>
      <w:r>
        <w:rPr>
          <w:rFonts w:hint="eastAsia" w:ascii="宋体" w:hAnsi="宋体" w:eastAsia="宋体" w:cs="宋体"/>
          <w:i w:val="0"/>
          <w:iCs w:val="0"/>
          <w:caps w:val="0"/>
          <w:color w:val="auto"/>
          <w:spacing w:val="0"/>
          <w:kern w:val="0"/>
          <w:sz w:val="24"/>
          <w:szCs w:val="24"/>
          <w:highlight w:val="none"/>
          <w:lang w:val="en-US" w:eastAsia="zh-CN" w:bidi="ar-SA"/>
        </w:rPr>
        <w:t>:00至14:00，下午1</w:t>
      </w:r>
      <w:r>
        <w:rPr>
          <w:rFonts w:hint="eastAsia" w:ascii="宋体" w:hAnsi="宋体" w:cs="宋体"/>
          <w:i w:val="0"/>
          <w:iCs w:val="0"/>
          <w:caps w:val="0"/>
          <w:color w:val="auto"/>
          <w:spacing w:val="0"/>
          <w:kern w:val="0"/>
          <w:sz w:val="24"/>
          <w:szCs w:val="24"/>
          <w:highlight w:val="none"/>
          <w:lang w:val="en-US" w:eastAsia="zh-CN" w:bidi="ar-SA"/>
        </w:rPr>
        <w:t>4</w:t>
      </w:r>
      <w:r>
        <w:rPr>
          <w:rFonts w:hint="eastAsia" w:ascii="宋体" w:hAnsi="宋体" w:eastAsia="宋体" w:cs="宋体"/>
          <w:i w:val="0"/>
          <w:iCs w:val="0"/>
          <w:caps w:val="0"/>
          <w:color w:val="auto"/>
          <w:spacing w:val="0"/>
          <w:kern w:val="0"/>
          <w:sz w:val="24"/>
          <w:szCs w:val="24"/>
          <w:highlight w:val="none"/>
          <w:lang w:val="en-US" w:eastAsia="zh-CN" w:bidi="ar-SA"/>
        </w:rPr>
        <w:t>:00至</w:t>
      </w:r>
      <w:r>
        <w:rPr>
          <w:rFonts w:hint="eastAsia" w:ascii="宋体" w:hAnsi="宋体" w:cs="宋体"/>
          <w:i w:val="0"/>
          <w:iCs w:val="0"/>
          <w:caps w:val="0"/>
          <w:color w:val="auto"/>
          <w:spacing w:val="0"/>
          <w:kern w:val="0"/>
          <w:sz w:val="24"/>
          <w:szCs w:val="24"/>
          <w:highlight w:val="none"/>
          <w:lang w:val="en-US" w:eastAsia="zh-CN" w:bidi="ar-SA"/>
        </w:rPr>
        <w:t>23</w:t>
      </w:r>
      <w:r>
        <w:rPr>
          <w:rFonts w:hint="eastAsia" w:ascii="宋体" w:hAnsi="宋体" w:eastAsia="宋体" w:cs="宋体"/>
          <w:i w:val="0"/>
          <w:iCs w:val="0"/>
          <w:caps w:val="0"/>
          <w:color w:val="auto"/>
          <w:spacing w:val="0"/>
          <w:kern w:val="0"/>
          <w:sz w:val="24"/>
          <w:szCs w:val="24"/>
          <w:highlight w:val="none"/>
          <w:lang w:val="en-US" w:eastAsia="zh-CN" w:bidi="ar-SA"/>
        </w:rPr>
        <w:t>:</w:t>
      </w:r>
      <w:r>
        <w:rPr>
          <w:rFonts w:hint="eastAsia" w:ascii="宋体" w:hAnsi="宋体" w:cs="宋体"/>
          <w:i w:val="0"/>
          <w:iCs w:val="0"/>
          <w:caps w:val="0"/>
          <w:color w:val="auto"/>
          <w:spacing w:val="0"/>
          <w:kern w:val="0"/>
          <w:sz w:val="24"/>
          <w:szCs w:val="24"/>
          <w:highlight w:val="none"/>
          <w:lang w:val="en-US" w:eastAsia="zh-CN" w:bidi="ar-SA"/>
        </w:rPr>
        <w:t>59</w:t>
      </w:r>
      <w:r>
        <w:rPr>
          <w:rFonts w:hint="eastAsia" w:ascii="宋体" w:hAnsi="宋体" w:eastAsia="宋体" w:cs="宋体"/>
          <w:i w:val="0"/>
          <w:iCs w:val="0"/>
          <w:caps w:val="0"/>
          <w:color w:val="auto"/>
          <w:spacing w:val="0"/>
          <w:kern w:val="0"/>
          <w:sz w:val="24"/>
          <w:szCs w:val="24"/>
          <w:highlight w:val="none"/>
          <w:lang w:val="en-US" w:eastAsia="zh-CN" w:bidi="ar-SA"/>
        </w:rPr>
        <w:t>（北京时间，法定节假日除外）</w:t>
      </w:r>
    </w:p>
    <w:p w14:paraId="5FD9CB37">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地点：政采云平台</w:t>
      </w:r>
    </w:p>
    <w:p w14:paraId="67BD8D07">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方式：供应商登陆政采云平台在线申请获取采购文件（进入“项目采购”应用，在获取采购文件菜单中选择项目，申请获取采购文件）</w:t>
      </w:r>
    </w:p>
    <w:p w14:paraId="4392CFAF">
      <w:pPr>
        <w:spacing w:line="360" w:lineRule="auto"/>
        <w:ind w:left="239" w:leftChars="114" w:firstLine="240" w:firstLineChars="100"/>
        <w:rPr>
          <w:rFonts w:hint="default"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售价（元）：0元</w:t>
      </w:r>
    </w:p>
    <w:p w14:paraId="2DDBDBB1">
      <w:pPr>
        <w:numPr>
          <w:ilvl w:val="0"/>
          <w:numId w:val="0"/>
        </w:numPr>
        <w:spacing w:line="360" w:lineRule="auto"/>
        <w:ind w:firstLine="542" w:firstLineChars="200"/>
        <w:rPr>
          <w:rStyle w:val="34"/>
          <w:rFonts w:hint="eastAsia" w:asciiTheme="minorEastAsia" w:hAnsiTheme="minorEastAsia" w:eastAsiaTheme="minorEastAsia" w:cstheme="minorEastAsia"/>
          <w:color w:val="auto"/>
          <w:kern w:val="0"/>
          <w:sz w:val="27"/>
          <w:szCs w:val="27"/>
          <w:highlight w:val="none"/>
          <w:lang w:val="en-US" w:eastAsia="zh-CN" w:bidi="ar-SA"/>
        </w:rPr>
      </w:pPr>
      <w:r>
        <w:rPr>
          <w:rStyle w:val="34"/>
          <w:rFonts w:hint="eastAsia" w:asciiTheme="minorEastAsia" w:hAnsiTheme="minorEastAsia" w:eastAsiaTheme="minorEastAsia" w:cstheme="minorEastAsia"/>
          <w:color w:val="auto"/>
          <w:kern w:val="0"/>
          <w:sz w:val="27"/>
          <w:szCs w:val="27"/>
          <w:highlight w:val="none"/>
          <w:lang w:val="en-US" w:eastAsia="zh-CN" w:bidi="ar-SA"/>
        </w:rPr>
        <w:t>四、提交响应文件截止时间、开标时间和地点</w:t>
      </w:r>
    </w:p>
    <w:p w14:paraId="1479688A">
      <w:pPr>
        <w:numPr>
          <w:ilvl w:val="0"/>
          <w:numId w:val="0"/>
        </w:numPr>
        <w:spacing w:line="360" w:lineRule="auto"/>
        <w:ind w:firstLine="480" w:firstLineChars="2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提交响应文件截止时间：</w:t>
      </w:r>
      <w:r>
        <w:rPr>
          <w:rFonts w:hint="eastAsia" w:ascii="宋体" w:hAnsi="宋体" w:cs="宋体"/>
          <w:i w:val="0"/>
          <w:iCs w:val="0"/>
          <w:caps w:val="0"/>
          <w:color w:val="auto"/>
          <w:spacing w:val="0"/>
          <w:kern w:val="0"/>
          <w:sz w:val="24"/>
          <w:szCs w:val="24"/>
          <w:highlight w:val="none"/>
          <w:lang w:val="en-US" w:eastAsia="zh-CN" w:bidi="ar-SA"/>
        </w:rPr>
        <w:t>2025年4月21日</w:t>
      </w:r>
      <w:r>
        <w:rPr>
          <w:rFonts w:hint="eastAsia" w:ascii="宋体" w:hAnsi="宋体" w:eastAsia="宋体" w:cs="宋体"/>
          <w:i w:val="0"/>
          <w:iCs w:val="0"/>
          <w:caps w:val="0"/>
          <w:color w:val="auto"/>
          <w:spacing w:val="0"/>
          <w:kern w:val="0"/>
          <w:sz w:val="24"/>
          <w:szCs w:val="24"/>
          <w:highlight w:val="none"/>
          <w:lang w:val="en-US" w:eastAsia="zh-CN" w:bidi="ar-SA"/>
        </w:rPr>
        <w:t>10:30（北京时间）</w:t>
      </w:r>
    </w:p>
    <w:p w14:paraId="7815B0C1">
      <w:pPr>
        <w:spacing w:line="360" w:lineRule="auto"/>
        <w:ind w:firstLine="480" w:firstLineChars="2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投标地点：政采云平台（http://www.zcygov.cn/）</w:t>
      </w:r>
    </w:p>
    <w:p w14:paraId="6A89CAF6">
      <w:pPr>
        <w:spacing w:line="360" w:lineRule="auto"/>
        <w:ind w:firstLine="480" w:firstLineChars="2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开标时间：</w:t>
      </w:r>
      <w:r>
        <w:rPr>
          <w:rFonts w:hint="eastAsia" w:ascii="宋体" w:hAnsi="宋体" w:cs="宋体"/>
          <w:i w:val="0"/>
          <w:iCs w:val="0"/>
          <w:caps w:val="0"/>
          <w:color w:val="auto"/>
          <w:spacing w:val="0"/>
          <w:kern w:val="0"/>
          <w:sz w:val="24"/>
          <w:szCs w:val="24"/>
          <w:highlight w:val="none"/>
          <w:lang w:val="en-US" w:eastAsia="zh-CN" w:bidi="ar-SA"/>
        </w:rPr>
        <w:t>2025年4月21日</w:t>
      </w:r>
      <w:r>
        <w:rPr>
          <w:rFonts w:hint="eastAsia" w:ascii="宋体" w:hAnsi="宋体" w:eastAsia="宋体" w:cs="宋体"/>
          <w:i w:val="0"/>
          <w:iCs w:val="0"/>
          <w:caps w:val="0"/>
          <w:color w:val="auto"/>
          <w:spacing w:val="0"/>
          <w:kern w:val="0"/>
          <w:sz w:val="24"/>
          <w:szCs w:val="24"/>
          <w:highlight w:val="none"/>
          <w:lang w:val="en-US" w:eastAsia="zh-CN" w:bidi="ar-SA"/>
        </w:rPr>
        <w:t>10:30（北京时间）</w:t>
      </w:r>
    </w:p>
    <w:p w14:paraId="6A6E640D">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开标地点：政采云平台（http://www.zcygov.cn/）</w:t>
      </w:r>
    </w:p>
    <w:p w14:paraId="6683FD94">
      <w:pPr>
        <w:spacing w:line="360" w:lineRule="auto"/>
        <w:ind w:firstLine="542" w:firstLineChars="200"/>
        <w:rPr>
          <w:rStyle w:val="34"/>
          <w:rFonts w:hint="eastAsia" w:asciiTheme="minorEastAsia" w:hAnsiTheme="minorEastAsia" w:eastAsiaTheme="minorEastAsia" w:cstheme="minorEastAsia"/>
          <w:color w:val="auto"/>
          <w:kern w:val="0"/>
          <w:sz w:val="27"/>
          <w:szCs w:val="27"/>
          <w:highlight w:val="none"/>
          <w:lang w:val="en-US" w:eastAsia="zh-CN" w:bidi="ar-SA"/>
        </w:rPr>
      </w:pPr>
      <w:r>
        <w:rPr>
          <w:rStyle w:val="34"/>
          <w:rFonts w:hint="eastAsia" w:asciiTheme="minorEastAsia" w:hAnsiTheme="minorEastAsia" w:eastAsiaTheme="minorEastAsia" w:cstheme="minorEastAsia"/>
          <w:color w:val="auto"/>
          <w:kern w:val="0"/>
          <w:sz w:val="27"/>
          <w:szCs w:val="27"/>
          <w:highlight w:val="none"/>
          <w:lang w:val="en-US" w:eastAsia="zh-CN" w:bidi="ar-SA"/>
        </w:rPr>
        <w:t>五、公告期限</w:t>
      </w:r>
    </w:p>
    <w:p w14:paraId="2D85D2C8">
      <w:pPr>
        <w:spacing w:line="360" w:lineRule="auto"/>
        <w:ind w:firstLine="480" w:firstLineChars="2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自本公告发布之日起不少于</w:t>
      </w:r>
      <w:r>
        <w:rPr>
          <w:rFonts w:hint="eastAsia" w:ascii="宋体" w:hAnsi="宋体" w:cs="宋体"/>
          <w:i w:val="0"/>
          <w:iCs w:val="0"/>
          <w:caps w:val="0"/>
          <w:color w:val="auto"/>
          <w:spacing w:val="0"/>
          <w:kern w:val="0"/>
          <w:sz w:val="24"/>
          <w:szCs w:val="24"/>
          <w:highlight w:val="none"/>
          <w:lang w:val="en-US" w:eastAsia="zh-CN" w:bidi="ar-SA"/>
        </w:rPr>
        <w:t>3</w:t>
      </w:r>
      <w:r>
        <w:rPr>
          <w:rFonts w:hint="eastAsia" w:ascii="宋体" w:hAnsi="宋体" w:eastAsia="宋体" w:cs="宋体"/>
          <w:i w:val="0"/>
          <w:iCs w:val="0"/>
          <w:caps w:val="0"/>
          <w:color w:val="auto"/>
          <w:spacing w:val="0"/>
          <w:kern w:val="0"/>
          <w:sz w:val="24"/>
          <w:szCs w:val="24"/>
          <w:highlight w:val="none"/>
          <w:lang w:val="en-US" w:eastAsia="zh-CN" w:bidi="ar-SA"/>
        </w:rPr>
        <w:t>个工作日</w:t>
      </w:r>
      <w:r>
        <w:rPr>
          <w:rFonts w:hint="eastAsia" w:ascii="宋体" w:hAnsi="宋体" w:eastAsia="宋体" w:cs="宋体"/>
          <w:i w:val="0"/>
          <w:iCs w:val="0"/>
          <w:caps w:val="0"/>
          <w:color w:val="auto"/>
          <w:spacing w:val="0"/>
          <w:kern w:val="0"/>
          <w:sz w:val="24"/>
          <w:szCs w:val="24"/>
          <w:highlight w:val="none"/>
          <w:lang w:val="en-US" w:eastAsia="zh-CN" w:bidi="ar-SA"/>
        </w:rPr>
        <w:t>。</w:t>
      </w:r>
    </w:p>
    <w:p w14:paraId="669628F7">
      <w:pPr>
        <w:spacing w:line="360" w:lineRule="auto"/>
        <w:ind w:firstLine="542" w:firstLineChars="200"/>
        <w:rPr>
          <w:rStyle w:val="34"/>
          <w:rFonts w:hint="eastAsia" w:asciiTheme="minorEastAsia" w:hAnsiTheme="minorEastAsia" w:eastAsiaTheme="minorEastAsia" w:cstheme="minorEastAsia"/>
          <w:color w:val="auto"/>
          <w:kern w:val="0"/>
          <w:sz w:val="27"/>
          <w:szCs w:val="27"/>
          <w:highlight w:val="none"/>
          <w:lang w:val="en-US" w:eastAsia="zh-CN" w:bidi="ar-SA"/>
        </w:rPr>
      </w:pPr>
      <w:r>
        <w:rPr>
          <w:rStyle w:val="34"/>
          <w:rFonts w:hint="eastAsia" w:asciiTheme="minorEastAsia" w:hAnsiTheme="minorEastAsia" w:eastAsiaTheme="minorEastAsia" w:cstheme="minorEastAsia"/>
          <w:color w:val="auto"/>
          <w:kern w:val="0"/>
          <w:sz w:val="27"/>
          <w:szCs w:val="27"/>
          <w:highlight w:val="none"/>
          <w:lang w:val="en-US" w:eastAsia="zh-CN" w:bidi="ar-SA"/>
        </w:rPr>
        <w:t>六、其他补充事宜</w:t>
      </w:r>
    </w:p>
    <w:p w14:paraId="1F318F66">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1.本次公告同时在新疆政府采购网发布。</w:t>
      </w:r>
    </w:p>
    <w:p w14:paraId="648B9F8A">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2.请供应商随时关注本项目的澄清、答疑、变更事项。</w:t>
      </w:r>
    </w:p>
    <w:p w14:paraId="0EAD4F2F">
      <w:pPr>
        <w:spacing w:line="360" w:lineRule="auto"/>
        <w:ind w:firstLine="542" w:firstLineChars="200"/>
        <w:rPr>
          <w:rFonts w:hint="eastAsia" w:asciiTheme="minorEastAsia" w:hAnsiTheme="minorEastAsia" w:eastAsiaTheme="minorEastAsia" w:cstheme="minorEastAsia"/>
          <w:color w:val="auto"/>
          <w:sz w:val="31"/>
          <w:szCs w:val="31"/>
          <w:highlight w:val="none"/>
        </w:rPr>
      </w:pPr>
      <w:r>
        <w:rPr>
          <w:rStyle w:val="34"/>
          <w:rFonts w:hint="eastAsia" w:asciiTheme="minorEastAsia" w:hAnsiTheme="minorEastAsia" w:eastAsiaTheme="minorEastAsia" w:cstheme="minorEastAsia"/>
          <w:color w:val="auto"/>
          <w:sz w:val="27"/>
          <w:szCs w:val="27"/>
          <w:highlight w:val="none"/>
          <w:lang w:eastAsia="zh-CN"/>
        </w:rPr>
        <w:t>七</w:t>
      </w:r>
      <w:r>
        <w:rPr>
          <w:rStyle w:val="34"/>
          <w:rFonts w:hint="eastAsia" w:asciiTheme="minorEastAsia" w:hAnsiTheme="minorEastAsia" w:eastAsiaTheme="minorEastAsia" w:cstheme="minorEastAsia"/>
          <w:color w:val="auto"/>
          <w:sz w:val="27"/>
          <w:szCs w:val="27"/>
          <w:highlight w:val="none"/>
        </w:rPr>
        <w:t>、凡对本次招标提出询问，请按以下方式联系</w:t>
      </w:r>
    </w:p>
    <w:p w14:paraId="25F865F6">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1.采购人信息</w:t>
      </w:r>
    </w:p>
    <w:p w14:paraId="3BFA81B0">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名称：</w:t>
      </w:r>
      <w:r>
        <w:rPr>
          <w:rFonts w:hint="eastAsia" w:ascii="宋体" w:hAnsi="宋体" w:cs="宋体"/>
          <w:i w:val="0"/>
          <w:iCs w:val="0"/>
          <w:caps w:val="0"/>
          <w:color w:val="auto"/>
          <w:spacing w:val="0"/>
          <w:kern w:val="0"/>
          <w:sz w:val="24"/>
          <w:szCs w:val="24"/>
          <w:highlight w:val="none"/>
          <w:lang w:val="en-US" w:eastAsia="zh-CN" w:bidi="ar-SA"/>
        </w:rPr>
        <w:t>新疆尉犁县团结镇人民政府</w:t>
      </w:r>
    </w:p>
    <w:p w14:paraId="619CDC24">
      <w:pPr>
        <w:spacing w:line="360" w:lineRule="auto"/>
        <w:ind w:left="239" w:leftChars="114" w:firstLine="240" w:firstLineChars="100"/>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联系人：闫伟峰</w:t>
      </w:r>
    </w:p>
    <w:p w14:paraId="2FD68569">
      <w:pPr>
        <w:spacing w:line="360" w:lineRule="auto"/>
        <w:ind w:left="239" w:leftChars="114" w:firstLine="240" w:firstLineChars="100"/>
        <w:rPr>
          <w:rFonts w:hint="default"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联系方式：13369866311</w:t>
      </w:r>
    </w:p>
    <w:p w14:paraId="0AAD2B46">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2.采购代理机构信息</w:t>
      </w:r>
    </w:p>
    <w:p w14:paraId="30E5230F">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名称：</w:t>
      </w:r>
      <w:r>
        <w:rPr>
          <w:rFonts w:hint="eastAsia" w:asciiTheme="minorEastAsia" w:hAnsiTheme="minorEastAsia" w:eastAsiaTheme="minorEastAsia" w:cstheme="minorEastAsia"/>
          <w:color w:val="auto"/>
          <w:sz w:val="24"/>
          <w:szCs w:val="24"/>
          <w:highlight w:val="none"/>
          <w:lang w:val="en-US" w:eastAsia="zh-CN"/>
        </w:rPr>
        <w:t>新疆介石项目管理有限公司</w:t>
      </w:r>
    </w:p>
    <w:p w14:paraId="40E9B85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val="en-US" w:eastAsia="zh-CN"/>
        </w:rPr>
        <w:t>库尔勒市铁克其乡迎宾路98号智慧嘉苑4栋2层01号</w:t>
      </w:r>
    </w:p>
    <w:p w14:paraId="3C6143A5">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项目联系人：</w:t>
      </w:r>
      <w:r>
        <w:rPr>
          <w:rFonts w:hint="eastAsia" w:asciiTheme="minorEastAsia" w:hAnsiTheme="minorEastAsia" w:eastAsiaTheme="minorEastAsia" w:cstheme="minorEastAsia"/>
          <w:color w:val="auto"/>
          <w:sz w:val="24"/>
          <w:szCs w:val="24"/>
          <w:highlight w:val="none"/>
          <w:lang w:val="en-US" w:eastAsia="zh-CN"/>
        </w:rPr>
        <w:t>谢小东</w:t>
      </w:r>
    </w:p>
    <w:p w14:paraId="58E6CCD8">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联系方式</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17794895987</w:t>
      </w:r>
    </w:p>
    <w:p w14:paraId="538255FC">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p>
    <w:p w14:paraId="5A5F987B">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p>
    <w:p w14:paraId="5AAFDA0F">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p>
    <w:p w14:paraId="7266D92E">
      <w:pPr>
        <w:rPr>
          <w:rFonts w:hint="eastAsia"/>
          <w:color w:val="auto"/>
          <w:highlight w:val="none"/>
        </w:rPr>
      </w:pPr>
    </w:p>
    <w:p w14:paraId="400D2546">
      <w:pPr>
        <w:numPr>
          <w:ilvl w:val="0"/>
          <w:numId w:val="4"/>
        </w:numPr>
        <w:spacing w:line="700" w:lineRule="exact"/>
        <w:jc w:val="center"/>
        <w:rPr>
          <w:rFonts w:hint="eastAsia" w:asciiTheme="minorEastAsia" w:hAnsiTheme="minorEastAsia" w:eastAsiaTheme="minorEastAsia" w:cstheme="minorEastAsia"/>
          <w:b/>
          <w:color w:val="auto"/>
          <w:kern w:val="2"/>
          <w:sz w:val="36"/>
          <w:szCs w:val="36"/>
          <w:highlight w:val="none"/>
          <w:lang w:val="en-US" w:eastAsia="zh-CN" w:bidi="ar-SA"/>
        </w:rPr>
      </w:pPr>
      <w:r>
        <w:rPr>
          <w:rFonts w:hint="eastAsia" w:asciiTheme="minorEastAsia" w:hAnsiTheme="minorEastAsia" w:eastAsiaTheme="minorEastAsia" w:cstheme="minorEastAsia"/>
          <w:b/>
          <w:color w:val="auto"/>
          <w:kern w:val="2"/>
          <w:sz w:val="36"/>
          <w:szCs w:val="36"/>
          <w:highlight w:val="none"/>
          <w:lang w:val="en-US" w:eastAsia="zh-CN" w:bidi="ar-SA"/>
        </w:rPr>
        <w:t>磋商供应商须知</w:t>
      </w:r>
    </w:p>
    <w:p w14:paraId="790A9BCB">
      <w:pPr>
        <w:numPr>
          <w:ilvl w:val="0"/>
          <w:numId w:val="0"/>
        </w:numPr>
        <w:spacing w:line="700" w:lineRule="exact"/>
        <w:jc w:val="center"/>
        <w:rPr>
          <w:rFonts w:hint="eastAsia" w:asciiTheme="minorEastAsia" w:hAnsiTheme="minorEastAsia" w:eastAsiaTheme="minorEastAsia" w:cstheme="minorEastAsia"/>
          <w:b/>
          <w:color w:val="auto"/>
          <w:kern w:val="2"/>
          <w:sz w:val="26"/>
          <w:szCs w:val="26"/>
          <w:highlight w:val="none"/>
          <w:lang w:val="en-US" w:eastAsia="zh-CN" w:bidi="ar-SA"/>
        </w:rPr>
      </w:pPr>
      <w:r>
        <w:rPr>
          <w:rFonts w:hint="eastAsia" w:asciiTheme="minorEastAsia" w:hAnsiTheme="minorEastAsia" w:eastAsiaTheme="minorEastAsia" w:cstheme="minorEastAsia"/>
          <w:b/>
          <w:color w:val="auto"/>
          <w:kern w:val="2"/>
          <w:sz w:val="26"/>
          <w:szCs w:val="26"/>
          <w:highlight w:val="none"/>
          <w:lang w:val="en-US" w:eastAsia="zh-CN" w:bidi="ar-SA"/>
        </w:rPr>
        <w:t>供应商须知前附表</w:t>
      </w:r>
    </w:p>
    <w:tbl>
      <w:tblPr>
        <w:tblStyle w:val="31"/>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759"/>
        <w:gridCol w:w="7030"/>
      </w:tblGrid>
      <w:tr w14:paraId="25A9C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tblHeader/>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F900C7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项号</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934D34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163B89C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内容</w:t>
            </w:r>
          </w:p>
        </w:tc>
      </w:tr>
      <w:tr w14:paraId="6EE08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17" w:type="dxa"/>
            <w:vMerge w:val="restart"/>
            <w:tcBorders>
              <w:top w:val="single" w:color="auto" w:sz="4" w:space="0"/>
              <w:left w:val="single" w:color="auto" w:sz="4" w:space="0"/>
              <w:right w:val="single" w:color="auto" w:sz="4" w:space="0"/>
            </w:tcBorders>
            <w:noWrap w:val="0"/>
            <w:vAlign w:val="center"/>
          </w:tcPr>
          <w:p w14:paraId="7E868C8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SEQ前附表\*MERGEFORMAT</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rPr>
              <w:fldChar w:fldCharType="end"/>
            </w:r>
          </w:p>
          <w:p w14:paraId="303D7F18">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90476F7">
            <w:pPr>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项目名称</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5B59A378">
            <w:pPr>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eastAsia="zh-CN"/>
              </w:rPr>
              <w:t>尉犁县团结镇2025年设施农业建设项目(二标段)一日光温室大棚建设</w:t>
            </w:r>
          </w:p>
        </w:tc>
      </w:tr>
      <w:tr w14:paraId="722C2E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817" w:type="dxa"/>
            <w:vMerge w:val="continue"/>
            <w:tcBorders>
              <w:left w:val="single" w:color="auto" w:sz="4" w:space="0"/>
              <w:right w:val="single" w:color="auto" w:sz="4" w:space="0"/>
            </w:tcBorders>
            <w:noWrap w:val="0"/>
            <w:vAlign w:val="center"/>
          </w:tcPr>
          <w:p w14:paraId="372F6C92">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7093ADC">
            <w:pPr>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项目编号</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15E7D20B">
            <w:pPr>
              <w:jc w:val="left"/>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eastAsia="zh-CN"/>
              </w:rPr>
              <w:t>XJJSZC（JZXCS）2025-004</w:t>
            </w:r>
          </w:p>
        </w:tc>
      </w:tr>
      <w:tr w14:paraId="017EB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817" w:type="dxa"/>
            <w:vMerge w:val="continue"/>
            <w:tcBorders>
              <w:left w:val="single" w:color="auto" w:sz="4" w:space="0"/>
              <w:right w:val="single" w:color="auto" w:sz="4" w:space="0"/>
            </w:tcBorders>
            <w:noWrap w:val="0"/>
            <w:vAlign w:val="center"/>
          </w:tcPr>
          <w:p w14:paraId="2291E4E2">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604C058">
            <w:pPr>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采购人</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1A4FD03D">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采购人名称：</w:t>
            </w:r>
            <w:r>
              <w:rPr>
                <w:rFonts w:hint="eastAsia" w:ascii="宋体" w:hAnsi="宋体" w:cs="宋体"/>
                <w:color w:val="auto"/>
                <w:sz w:val="24"/>
                <w:szCs w:val="24"/>
                <w:highlight w:val="none"/>
                <w:lang w:val="en-US" w:eastAsia="zh-CN"/>
              </w:rPr>
              <w:t>新疆尉犁县团结镇人民政府</w:t>
            </w:r>
          </w:p>
          <w:p w14:paraId="3804FEAB">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w:t>
            </w:r>
            <w:r>
              <w:rPr>
                <w:rFonts w:hint="eastAsia" w:ascii="宋体" w:hAnsi="宋体" w:cs="宋体"/>
                <w:color w:val="auto"/>
                <w:sz w:val="24"/>
                <w:szCs w:val="24"/>
                <w:highlight w:val="none"/>
                <w:lang w:val="en-US" w:eastAsia="zh-CN"/>
              </w:rPr>
              <w:t>闫伟峰</w:t>
            </w:r>
          </w:p>
          <w:p w14:paraId="20BB136D">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13369866311</w:t>
            </w:r>
          </w:p>
        </w:tc>
      </w:tr>
      <w:tr w14:paraId="7AE5F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5" w:hRule="atLeast"/>
          <w:jc w:val="center"/>
        </w:trPr>
        <w:tc>
          <w:tcPr>
            <w:tcW w:w="817" w:type="dxa"/>
            <w:vMerge w:val="continue"/>
            <w:tcBorders>
              <w:left w:val="single" w:color="auto" w:sz="4" w:space="0"/>
              <w:right w:val="single" w:color="auto" w:sz="4" w:space="0"/>
            </w:tcBorders>
            <w:noWrap w:val="0"/>
            <w:vAlign w:val="center"/>
          </w:tcPr>
          <w:p w14:paraId="263104DB">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5585EAC">
            <w:pPr>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采购代理机构</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5B8182A9">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名称：新疆介石项目管理有限公司</w:t>
            </w:r>
          </w:p>
          <w:p w14:paraId="404CF9F2">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地址：库尔勒市铁克其乡迎宾路98号智慧嘉苑4-2-01</w:t>
            </w:r>
          </w:p>
          <w:p w14:paraId="365E3F4D">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联系人：谢小东</w:t>
            </w:r>
          </w:p>
          <w:p w14:paraId="67D276DF">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联系电话：17794895987</w:t>
            </w:r>
          </w:p>
        </w:tc>
      </w:tr>
      <w:tr w14:paraId="2EC842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817" w:type="dxa"/>
            <w:vMerge w:val="continue"/>
            <w:tcBorders>
              <w:left w:val="single" w:color="auto" w:sz="4" w:space="0"/>
              <w:right w:val="single" w:color="auto" w:sz="4" w:space="0"/>
            </w:tcBorders>
            <w:noWrap w:val="0"/>
            <w:vAlign w:val="center"/>
          </w:tcPr>
          <w:p w14:paraId="7E8D1C45">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253A740">
            <w:pPr>
              <w:adjustRightInd w:val="0"/>
              <w:snapToGrid w:val="0"/>
              <w:spacing w:before="120" w:beforeLines="50"/>
              <w:jc w:val="center"/>
              <w:rPr>
                <w:rFonts w:hint="eastAsia" w:ascii="宋体" w:hAnsi="宋体" w:cs="宋体"/>
                <w:b w:val="0"/>
                <w:bCs w:val="0"/>
                <w:color w:val="auto"/>
                <w:sz w:val="24"/>
                <w:szCs w:val="24"/>
                <w:highlight w:val="none"/>
              </w:rPr>
            </w:pPr>
            <w:r>
              <w:rPr>
                <w:rFonts w:hint="eastAsia" w:ascii="宋体" w:hAnsi="宋体" w:cs="宋体"/>
                <w:b w:val="0"/>
                <w:bCs w:val="0"/>
                <w:color w:val="auto"/>
                <w:sz w:val="24"/>
                <w:szCs w:val="24"/>
                <w:highlight w:val="none"/>
              </w:rPr>
              <w:t>资金来源</w:t>
            </w:r>
          </w:p>
          <w:p w14:paraId="1FA32029">
            <w:pPr>
              <w:jc w:val="center"/>
              <w:rPr>
                <w:rFonts w:hint="eastAsia" w:asciiTheme="minorEastAsia" w:hAnsiTheme="minorEastAsia" w:eastAsiaTheme="minorEastAsia" w:cstheme="minorEastAsia"/>
                <w:b w:val="0"/>
                <w:bCs w:val="0"/>
                <w:color w:val="auto"/>
                <w:sz w:val="24"/>
                <w:szCs w:val="24"/>
                <w:highlight w:val="none"/>
              </w:rPr>
            </w:pPr>
            <w:r>
              <w:rPr>
                <w:rFonts w:hint="eastAsia" w:ascii="宋体" w:hAnsi="宋体" w:cs="宋体"/>
                <w:b w:val="0"/>
                <w:bCs w:val="0"/>
                <w:color w:val="auto"/>
                <w:sz w:val="24"/>
                <w:szCs w:val="24"/>
                <w:highlight w:val="none"/>
              </w:rPr>
              <w:t>及落实情况</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4AF3866">
            <w:pPr>
              <w:jc w:val="left"/>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中央预算内资金，已落实</w:t>
            </w:r>
          </w:p>
        </w:tc>
      </w:tr>
      <w:tr w14:paraId="175C1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817" w:type="dxa"/>
            <w:vMerge w:val="continue"/>
            <w:tcBorders>
              <w:left w:val="single" w:color="auto" w:sz="4" w:space="0"/>
              <w:right w:val="single" w:color="auto" w:sz="4" w:space="0"/>
            </w:tcBorders>
            <w:noWrap w:val="0"/>
            <w:vAlign w:val="center"/>
          </w:tcPr>
          <w:p w14:paraId="55466A74">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19CBC75">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项目预算</w:t>
            </w:r>
          </w:p>
          <w:p w14:paraId="46CD8224">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及</w:t>
            </w:r>
            <w:r>
              <w:rPr>
                <w:rFonts w:hint="eastAsia" w:ascii="宋体" w:hAnsi="宋体" w:eastAsia="宋体" w:cs="宋体"/>
                <w:b w:val="0"/>
                <w:bCs w:val="0"/>
                <w:color w:val="auto"/>
                <w:sz w:val="24"/>
                <w:szCs w:val="24"/>
                <w:highlight w:val="none"/>
              </w:rPr>
              <w:t>最高限价</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B16AF31">
            <w:pPr>
              <w:adjustRightInd w:val="0"/>
              <w:snapToGrid w:val="0"/>
              <w:spacing w:before="120" w:beforeLines="5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项目预算：</w:t>
            </w:r>
            <w:r>
              <w:rPr>
                <w:rFonts w:hint="eastAsia" w:ascii="宋体" w:hAnsi="宋体" w:cs="宋体"/>
                <w:b w:val="0"/>
                <w:bCs w:val="0"/>
                <w:color w:val="auto"/>
                <w:sz w:val="24"/>
                <w:szCs w:val="24"/>
                <w:highlight w:val="none"/>
                <w:lang w:val="en-US" w:eastAsia="zh-CN"/>
              </w:rPr>
              <w:t>160.00</w:t>
            </w:r>
            <w:r>
              <w:rPr>
                <w:rFonts w:hint="eastAsia" w:ascii="宋体" w:hAnsi="宋体" w:eastAsia="宋体" w:cs="宋体"/>
                <w:b w:val="0"/>
                <w:bCs w:val="0"/>
                <w:color w:val="auto"/>
                <w:sz w:val="24"/>
                <w:szCs w:val="24"/>
                <w:highlight w:val="none"/>
                <w:lang w:val="en-US" w:eastAsia="zh-CN"/>
              </w:rPr>
              <w:t>万元</w:t>
            </w:r>
          </w:p>
          <w:p w14:paraId="167BEA13">
            <w:pPr>
              <w:adjustRightInd w:val="0"/>
              <w:snapToGrid w:val="0"/>
              <w:spacing w:before="120" w:beforeLines="50"/>
              <w:jc w:val="left"/>
              <w:rPr>
                <w:rFonts w:hint="eastAsia" w:asciiTheme="minorEastAsia" w:hAnsiTheme="minorEastAsia" w:eastAsiaTheme="minorEastAsia" w:cstheme="minorEastAsia"/>
                <w:color w:val="auto"/>
                <w:sz w:val="24"/>
                <w:szCs w:val="24"/>
                <w:highlight w:val="none"/>
                <w:lang w:eastAsia="zh-CN"/>
              </w:rPr>
            </w:pPr>
            <w:r>
              <w:rPr>
                <w:rFonts w:hint="eastAsia" w:ascii="宋体" w:hAnsi="宋体" w:eastAsia="宋体" w:cs="宋体"/>
                <w:b/>
                <w:bCs/>
                <w:color w:val="auto"/>
                <w:sz w:val="24"/>
                <w:szCs w:val="24"/>
                <w:highlight w:val="none"/>
                <w:lang w:val="en-US" w:eastAsia="zh-CN"/>
              </w:rPr>
              <w:t>项目</w:t>
            </w:r>
            <w:r>
              <w:rPr>
                <w:rFonts w:hint="eastAsia" w:ascii="宋体" w:hAnsi="宋体" w:eastAsia="宋体" w:cs="宋体"/>
                <w:b/>
                <w:bCs/>
                <w:color w:val="auto"/>
                <w:sz w:val="24"/>
                <w:szCs w:val="24"/>
                <w:highlight w:val="none"/>
              </w:rPr>
              <w:t>最高限</w:t>
            </w:r>
            <w:r>
              <w:rPr>
                <w:rFonts w:hint="eastAsia" w:ascii="宋体" w:hAnsi="宋体" w:eastAsia="宋体" w:cs="宋体"/>
                <w:b/>
                <w:bCs/>
                <w:color w:val="auto"/>
                <w:sz w:val="24"/>
                <w:szCs w:val="24"/>
                <w:highlight w:val="none"/>
                <w:lang w:val="en-US" w:eastAsia="zh-CN"/>
              </w:rPr>
              <w:t>价：1599531.66元（投标报价超过最高限价将作废标处理）</w:t>
            </w:r>
          </w:p>
        </w:tc>
      </w:tr>
      <w:tr w14:paraId="32263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17" w:type="dxa"/>
            <w:vMerge w:val="continue"/>
            <w:tcBorders>
              <w:left w:val="single" w:color="auto" w:sz="4" w:space="0"/>
              <w:right w:val="single" w:color="auto" w:sz="4" w:space="0"/>
            </w:tcBorders>
            <w:noWrap w:val="0"/>
            <w:vAlign w:val="center"/>
          </w:tcPr>
          <w:p w14:paraId="0AD81E58">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61D018">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采购方式</w:t>
            </w:r>
          </w:p>
        </w:tc>
        <w:tc>
          <w:tcPr>
            <w:tcW w:w="70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26B4225">
            <w:pPr>
              <w:spacing w:line="360" w:lineRule="auto"/>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竞争性磋商</w:t>
            </w:r>
          </w:p>
        </w:tc>
      </w:tr>
      <w:tr w14:paraId="1A019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17" w:type="dxa"/>
            <w:vMerge w:val="continue"/>
            <w:tcBorders>
              <w:left w:val="single" w:color="auto" w:sz="4" w:space="0"/>
              <w:right w:val="single" w:color="auto" w:sz="4" w:space="0"/>
            </w:tcBorders>
            <w:noWrap w:val="0"/>
            <w:vAlign w:val="center"/>
          </w:tcPr>
          <w:p w14:paraId="11B5DD8B">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281860">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项目简要描述</w:t>
            </w:r>
          </w:p>
        </w:tc>
        <w:tc>
          <w:tcPr>
            <w:tcW w:w="70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7FE38C4">
            <w:pPr>
              <w:spacing w:line="360" w:lineRule="auto"/>
              <w:jc w:val="left"/>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新建日光温室大棚2栋，每栋建设面积4600平方米，配套附属设施，</w:t>
            </w:r>
          </w:p>
        </w:tc>
      </w:tr>
      <w:tr w14:paraId="0BB5E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817" w:type="dxa"/>
            <w:vMerge w:val="continue"/>
            <w:tcBorders>
              <w:left w:val="single" w:color="auto" w:sz="4" w:space="0"/>
              <w:bottom w:val="single" w:color="auto" w:sz="4" w:space="0"/>
              <w:right w:val="single" w:color="auto" w:sz="4" w:space="0"/>
            </w:tcBorders>
            <w:noWrap w:val="0"/>
            <w:vAlign w:val="center"/>
          </w:tcPr>
          <w:p w14:paraId="6ACBF7AD">
            <w:pPr>
              <w:jc w:val="center"/>
              <w:rPr>
                <w:rFonts w:hint="eastAsia" w:asciiTheme="minorEastAsia" w:hAnsiTheme="minorEastAsia" w:eastAsiaTheme="minorEastAsia" w:cstheme="minorEastAsia"/>
                <w:color w:val="auto"/>
                <w:sz w:val="24"/>
                <w:szCs w:val="24"/>
                <w:highlight w:val="none"/>
              </w:rPr>
            </w:pPr>
          </w:p>
        </w:tc>
        <w:tc>
          <w:tcPr>
            <w:tcW w:w="175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21A603">
            <w:pPr>
              <w:jc w:val="center"/>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采购范围</w:t>
            </w:r>
          </w:p>
        </w:tc>
        <w:tc>
          <w:tcPr>
            <w:tcW w:w="70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C9E66C6">
            <w:pPr>
              <w:spacing w:line="360" w:lineRule="auto"/>
              <w:jc w:val="both"/>
              <w:rPr>
                <w:rFonts w:hint="default"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本工程施工</w:t>
            </w:r>
            <w:r>
              <w:rPr>
                <w:rFonts w:hint="eastAsia" w:ascii="宋体" w:hAnsi="宋体" w:eastAsia="宋体" w:cs="宋体"/>
                <w:color w:val="auto"/>
                <w:kern w:val="0"/>
                <w:sz w:val="24"/>
                <w:szCs w:val="24"/>
                <w:highlight w:val="none"/>
                <w:lang w:val="en-US" w:eastAsia="zh-CN"/>
              </w:rPr>
              <w:t>包括施工图纸、工程量清单、招标文件范围内所有内容。</w:t>
            </w:r>
          </w:p>
        </w:tc>
      </w:tr>
      <w:tr w14:paraId="584E86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817" w:type="dxa"/>
            <w:tcBorders>
              <w:left w:val="single" w:color="auto" w:sz="4" w:space="0"/>
              <w:bottom w:val="single" w:color="auto" w:sz="4" w:space="0"/>
              <w:right w:val="single" w:color="auto" w:sz="4" w:space="0"/>
            </w:tcBorders>
            <w:noWrap w:val="0"/>
            <w:vAlign w:val="center"/>
          </w:tcPr>
          <w:p w14:paraId="4CE91A64">
            <w:pPr>
              <w:jc w:val="center"/>
              <w:rPr>
                <w:rFonts w:hint="eastAsia" w:asciiTheme="minorEastAsia" w:hAnsiTheme="minorEastAsia" w:eastAsiaTheme="minorEastAsia" w:cstheme="minorEastAsia"/>
                <w:color w:val="auto"/>
                <w:sz w:val="24"/>
                <w:szCs w:val="24"/>
                <w:highlight w:val="none"/>
                <w:lang w:val="en-US" w:eastAsia="zh-CN"/>
              </w:rPr>
            </w:pPr>
          </w:p>
          <w:p w14:paraId="59B6A8C2">
            <w:pPr>
              <w:jc w:val="center"/>
              <w:rPr>
                <w:rFonts w:hint="eastAsia" w:asciiTheme="minorEastAsia" w:hAnsiTheme="minorEastAsia" w:eastAsiaTheme="minorEastAsia" w:cstheme="minorEastAsia"/>
                <w:color w:val="auto"/>
                <w:sz w:val="24"/>
                <w:szCs w:val="24"/>
                <w:highlight w:val="none"/>
                <w:lang w:val="en-US" w:eastAsia="zh-CN"/>
              </w:rPr>
            </w:pPr>
          </w:p>
          <w:p w14:paraId="1674E2E9">
            <w:pPr>
              <w:jc w:val="center"/>
              <w:rPr>
                <w:rFonts w:hint="eastAsia" w:asciiTheme="minorEastAsia" w:hAnsiTheme="minorEastAsia" w:eastAsiaTheme="minorEastAsia" w:cstheme="minorEastAsia"/>
                <w:color w:val="auto"/>
                <w:sz w:val="24"/>
                <w:szCs w:val="24"/>
                <w:highlight w:val="none"/>
                <w:lang w:val="en-US" w:eastAsia="zh-CN"/>
              </w:rPr>
            </w:pPr>
          </w:p>
          <w:p w14:paraId="4BA66DE2">
            <w:pPr>
              <w:jc w:val="center"/>
              <w:rPr>
                <w:rFonts w:hint="eastAsia" w:asciiTheme="minorEastAsia" w:hAnsiTheme="minorEastAsia" w:eastAsiaTheme="minorEastAsia" w:cstheme="minorEastAsia"/>
                <w:color w:val="auto"/>
                <w:sz w:val="24"/>
                <w:szCs w:val="24"/>
                <w:highlight w:val="none"/>
                <w:lang w:val="en-US" w:eastAsia="zh-CN"/>
              </w:rPr>
            </w:pPr>
          </w:p>
          <w:p w14:paraId="7C7C2465">
            <w:pPr>
              <w:jc w:val="center"/>
              <w:rPr>
                <w:rFonts w:hint="eastAsia" w:asciiTheme="minorEastAsia" w:hAnsiTheme="minorEastAsia" w:eastAsiaTheme="minorEastAsia" w:cstheme="minorEastAsia"/>
                <w:color w:val="auto"/>
                <w:sz w:val="24"/>
                <w:szCs w:val="24"/>
                <w:highlight w:val="none"/>
                <w:lang w:val="en-US" w:eastAsia="zh-CN"/>
              </w:rPr>
            </w:pPr>
          </w:p>
          <w:p w14:paraId="440511CA">
            <w:pPr>
              <w:jc w:val="center"/>
              <w:rPr>
                <w:rFonts w:hint="eastAsia" w:asciiTheme="minorEastAsia" w:hAnsiTheme="minorEastAsia" w:eastAsiaTheme="minorEastAsia" w:cstheme="minorEastAsia"/>
                <w:color w:val="auto"/>
                <w:sz w:val="24"/>
                <w:szCs w:val="24"/>
                <w:highlight w:val="none"/>
                <w:lang w:val="en-US" w:eastAsia="zh-CN"/>
              </w:rPr>
            </w:pPr>
          </w:p>
          <w:p w14:paraId="3C062956">
            <w:pPr>
              <w:jc w:val="center"/>
              <w:rPr>
                <w:rFonts w:hint="eastAsia" w:asciiTheme="minorEastAsia" w:hAnsiTheme="minorEastAsia" w:eastAsiaTheme="minorEastAsia" w:cstheme="minorEastAsia"/>
                <w:color w:val="auto"/>
                <w:sz w:val="24"/>
                <w:szCs w:val="24"/>
                <w:highlight w:val="none"/>
                <w:lang w:val="en-US" w:eastAsia="zh-CN"/>
              </w:rPr>
            </w:pPr>
          </w:p>
          <w:p w14:paraId="4F1E22CD">
            <w:pPr>
              <w:jc w:val="center"/>
              <w:rPr>
                <w:rFonts w:hint="eastAsia" w:asciiTheme="minorEastAsia" w:hAnsiTheme="minorEastAsia" w:eastAsiaTheme="minorEastAsia" w:cstheme="minorEastAsia"/>
                <w:color w:val="auto"/>
                <w:sz w:val="24"/>
                <w:szCs w:val="24"/>
                <w:highlight w:val="none"/>
                <w:lang w:val="en-US" w:eastAsia="zh-CN"/>
              </w:rPr>
            </w:pPr>
          </w:p>
          <w:p w14:paraId="5C1879C0">
            <w:pPr>
              <w:jc w:val="center"/>
              <w:rPr>
                <w:rFonts w:hint="eastAsia" w:asciiTheme="minorEastAsia" w:hAnsiTheme="minorEastAsia" w:eastAsiaTheme="minorEastAsia" w:cstheme="minorEastAsia"/>
                <w:color w:val="auto"/>
                <w:sz w:val="24"/>
                <w:szCs w:val="24"/>
                <w:highlight w:val="none"/>
                <w:lang w:val="en-US" w:eastAsia="zh-CN"/>
              </w:rPr>
            </w:pPr>
          </w:p>
          <w:p w14:paraId="6CA30DCC">
            <w:pPr>
              <w:jc w:val="center"/>
              <w:rPr>
                <w:rFonts w:hint="eastAsia" w:asciiTheme="minorEastAsia" w:hAnsiTheme="minorEastAsia" w:eastAsiaTheme="minorEastAsia" w:cstheme="minorEastAsia"/>
                <w:color w:val="auto"/>
                <w:sz w:val="24"/>
                <w:szCs w:val="24"/>
                <w:highlight w:val="none"/>
                <w:lang w:val="en-US" w:eastAsia="zh-CN"/>
              </w:rPr>
            </w:pPr>
          </w:p>
          <w:p w14:paraId="418E7ED6">
            <w:pPr>
              <w:jc w:val="center"/>
              <w:rPr>
                <w:rFonts w:hint="eastAsia" w:asciiTheme="minorEastAsia" w:hAnsiTheme="minorEastAsia" w:eastAsiaTheme="minorEastAsia" w:cstheme="minorEastAsia"/>
                <w:color w:val="auto"/>
                <w:sz w:val="24"/>
                <w:szCs w:val="24"/>
                <w:highlight w:val="none"/>
                <w:lang w:val="en-US" w:eastAsia="zh-CN"/>
              </w:rPr>
            </w:pPr>
          </w:p>
          <w:p w14:paraId="4ABC1A92">
            <w:pPr>
              <w:jc w:val="center"/>
              <w:rPr>
                <w:rFonts w:hint="eastAsia" w:asciiTheme="minorEastAsia" w:hAnsiTheme="minorEastAsia" w:eastAsiaTheme="minorEastAsia" w:cstheme="minorEastAsia"/>
                <w:color w:val="auto"/>
                <w:sz w:val="24"/>
                <w:szCs w:val="24"/>
                <w:highlight w:val="none"/>
                <w:lang w:val="en-US" w:eastAsia="zh-CN"/>
              </w:rPr>
            </w:pPr>
          </w:p>
          <w:p w14:paraId="2FF31753">
            <w:pPr>
              <w:jc w:val="center"/>
              <w:rPr>
                <w:rFonts w:hint="eastAsia" w:asciiTheme="minorEastAsia" w:hAnsiTheme="minorEastAsia" w:eastAsiaTheme="minorEastAsia" w:cstheme="minorEastAsia"/>
                <w:color w:val="auto"/>
                <w:sz w:val="24"/>
                <w:szCs w:val="24"/>
                <w:highlight w:val="none"/>
                <w:lang w:val="en-US" w:eastAsia="zh-CN"/>
              </w:rPr>
            </w:pPr>
          </w:p>
          <w:p w14:paraId="43A777C7">
            <w:pPr>
              <w:jc w:val="center"/>
              <w:rPr>
                <w:rFonts w:hint="eastAsia" w:asciiTheme="minorEastAsia" w:hAnsiTheme="minorEastAsia" w:eastAsiaTheme="minorEastAsia" w:cstheme="minorEastAsia"/>
                <w:color w:val="auto"/>
                <w:sz w:val="24"/>
                <w:szCs w:val="24"/>
                <w:highlight w:val="none"/>
                <w:lang w:val="en-US" w:eastAsia="zh-CN"/>
              </w:rPr>
            </w:pPr>
          </w:p>
          <w:p w14:paraId="09CD18EF">
            <w:pPr>
              <w:jc w:val="center"/>
              <w:rPr>
                <w:rFonts w:hint="eastAsia" w:asciiTheme="minorEastAsia" w:hAnsiTheme="minorEastAsia" w:eastAsiaTheme="minorEastAsia" w:cstheme="minorEastAsia"/>
                <w:color w:val="auto"/>
                <w:sz w:val="24"/>
                <w:szCs w:val="24"/>
                <w:highlight w:val="none"/>
                <w:lang w:val="en-US" w:eastAsia="zh-CN"/>
              </w:rPr>
            </w:pPr>
          </w:p>
          <w:p w14:paraId="1683B2F4">
            <w:pPr>
              <w:jc w:val="center"/>
              <w:rPr>
                <w:rFonts w:hint="eastAsia" w:asciiTheme="minorEastAsia" w:hAnsiTheme="minorEastAsia" w:eastAsiaTheme="minorEastAsia" w:cstheme="minorEastAsia"/>
                <w:color w:val="auto"/>
                <w:sz w:val="24"/>
                <w:szCs w:val="24"/>
                <w:highlight w:val="none"/>
                <w:lang w:val="en-US" w:eastAsia="zh-CN"/>
              </w:rPr>
            </w:pPr>
          </w:p>
          <w:p w14:paraId="1FDAAE95">
            <w:pPr>
              <w:jc w:val="center"/>
              <w:rPr>
                <w:rFonts w:hint="eastAsia" w:asciiTheme="minorEastAsia" w:hAnsiTheme="minorEastAsia" w:eastAsiaTheme="minorEastAsia" w:cstheme="minorEastAsia"/>
                <w:color w:val="auto"/>
                <w:sz w:val="24"/>
                <w:szCs w:val="24"/>
                <w:highlight w:val="none"/>
                <w:lang w:val="en-US" w:eastAsia="zh-CN"/>
              </w:rPr>
            </w:pPr>
          </w:p>
          <w:p w14:paraId="499A4E55">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p w14:paraId="69521F41">
            <w:pPr>
              <w:pStyle w:val="5"/>
              <w:rPr>
                <w:rFonts w:hint="eastAsia" w:asciiTheme="minorEastAsia" w:hAnsiTheme="minorEastAsia" w:eastAsiaTheme="minorEastAsia" w:cstheme="minorEastAsia"/>
                <w:color w:val="auto"/>
                <w:sz w:val="24"/>
                <w:szCs w:val="24"/>
                <w:highlight w:val="none"/>
                <w:lang w:val="en-US" w:eastAsia="zh-CN"/>
              </w:rPr>
            </w:pPr>
          </w:p>
          <w:p w14:paraId="097CFC04">
            <w:pPr>
              <w:rPr>
                <w:rFonts w:hint="eastAsia"/>
                <w:color w:val="auto"/>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421EF9">
            <w:pPr>
              <w:jc w:val="center"/>
              <w:rPr>
                <w:rFonts w:hint="eastAsia" w:ascii="宋体" w:hAnsi="宋体" w:eastAsia="宋体" w:cs="宋体"/>
                <w:b w:val="0"/>
                <w:bCs w:val="0"/>
                <w:color w:val="auto"/>
                <w:sz w:val="24"/>
                <w:szCs w:val="24"/>
                <w:highlight w:val="none"/>
                <w:lang w:val="en-US" w:eastAsia="zh-CN"/>
              </w:rPr>
            </w:pPr>
          </w:p>
          <w:p w14:paraId="3091D2F5">
            <w:pPr>
              <w:jc w:val="center"/>
              <w:rPr>
                <w:rFonts w:hint="eastAsia" w:ascii="宋体" w:hAnsi="宋体" w:eastAsia="宋体" w:cs="宋体"/>
                <w:b w:val="0"/>
                <w:bCs w:val="0"/>
                <w:color w:val="auto"/>
                <w:sz w:val="24"/>
                <w:szCs w:val="24"/>
                <w:highlight w:val="none"/>
                <w:lang w:val="en-US" w:eastAsia="zh-CN"/>
              </w:rPr>
            </w:pPr>
          </w:p>
          <w:p w14:paraId="0CC15867">
            <w:pPr>
              <w:jc w:val="center"/>
              <w:rPr>
                <w:rFonts w:hint="eastAsia" w:ascii="宋体" w:hAnsi="宋体" w:eastAsia="宋体" w:cs="宋体"/>
                <w:b w:val="0"/>
                <w:bCs w:val="0"/>
                <w:color w:val="auto"/>
                <w:sz w:val="24"/>
                <w:szCs w:val="24"/>
                <w:highlight w:val="none"/>
                <w:lang w:val="en-US" w:eastAsia="zh-CN"/>
              </w:rPr>
            </w:pPr>
          </w:p>
          <w:p w14:paraId="3D34A731">
            <w:pPr>
              <w:jc w:val="center"/>
              <w:rPr>
                <w:rFonts w:hint="eastAsia" w:ascii="宋体" w:hAnsi="宋体" w:eastAsia="宋体" w:cs="宋体"/>
                <w:b w:val="0"/>
                <w:bCs w:val="0"/>
                <w:color w:val="auto"/>
                <w:sz w:val="24"/>
                <w:szCs w:val="24"/>
                <w:highlight w:val="none"/>
                <w:lang w:val="en-US" w:eastAsia="zh-CN"/>
              </w:rPr>
            </w:pPr>
          </w:p>
          <w:p w14:paraId="3CEAA783">
            <w:pPr>
              <w:jc w:val="center"/>
              <w:rPr>
                <w:rFonts w:hint="eastAsia" w:ascii="宋体" w:hAnsi="宋体" w:eastAsia="宋体" w:cs="宋体"/>
                <w:b w:val="0"/>
                <w:bCs w:val="0"/>
                <w:color w:val="auto"/>
                <w:sz w:val="24"/>
                <w:szCs w:val="24"/>
                <w:highlight w:val="none"/>
                <w:lang w:val="en-US" w:eastAsia="zh-CN"/>
              </w:rPr>
            </w:pPr>
          </w:p>
          <w:p w14:paraId="736E90A3">
            <w:pPr>
              <w:jc w:val="center"/>
              <w:rPr>
                <w:rFonts w:hint="eastAsia" w:ascii="宋体" w:hAnsi="宋体" w:eastAsia="宋体" w:cs="宋体"/>
                <w:b w:val="0"/>
                <w:bCs w:val="0"/>
                <w:color w:val="auto"/>
                <w:sz w:val="24"/>
                <w:szCs w:val="24"/>
                <w:highlight w:val="none"/>
                <w:lang w:val="en-US" w:eastAsia="zh-CN"/>
              </w:rPr>
            </w:pPr>
          </w:p>
          <w:p w14:paraId="58DC8D9A">
            <w:pPr>
              <w:jc w:val="center"/>
              <w:rPr>
                <w:rFonts w:hint="eastAsia" w:ascii="宋体" w:hAnsi="宋体" w:eastAsia="宋体" w:cs="宋体"/>
                <w:b w:val="0"/>
                <w:bCs w:val="0"/>
                <w:color w:val="auto"/>
                <w:sz w:val="24"/>
                <w:szCs w:val="24"/>
                <w:highlight w:val="none"/>
                <w:lang w:val="en-US" w:eastAsia="zh-CN"/>
              </w:rPr>
            </w:pPr>
          </w:p>
          <w:p w14:paraId="29662345">
            <w:pPr>
              <w:jc w:val="center"/>
              <w:rPr>
                <w:rFonts w:hint="eastAsia" w:ascii="宋体" w:hAnsi="宋体" w:eastAsia="宋体" w:cs="宋体"/>
                <w:b w:val="0"/>
                <w:bCs w:val="0"/>
                <w:color w:val="auto"/>
                <w:sz w:val="24"/>
                <w:szCs w:val="24"/>
                <w:highlight w:val="none"/>
                <w:lang w:val="en-US" w:eastAsia="zh-CN"/>
              </w:rPr>
            </w:pPr>
          </w:p>
          <w:p w14:paraId="265513B9">
            <w:pPr>
              <w:jc w:val="center"/>
              <w:rPr>
                <w:rFonts w:hint="eastAsia" w:ascii="宋体" w:hAnsi="宋体" w:eastAsia="宋体" w:cs="宋体"/>
                <w:b w:val="0"/>
                <w:bCs w:val="0"/>
                <w:color w:val="auto"/>
                <w:sz w:val="24"/>
                <w:szCs w:val="24"/>
                <w:highlight w:val="none"/>
                <w:lang w:val="en-US" w:eastAsia="zh-CN"/>
              </w:rPr>
            </w:pPr>
          </w:p>
          <w:p w14:paraId="051726E1">
            <w:pPr>
              <w:jc w:val="center"/>
              <w:rPr>
                <w:rFonts w:hint="eastAsia" w:ascii="宋体" w:hAnsi="宋体" w:eastAsia="宋体" w:cs="宋体"/>
                <w:b w:val="0"/>
                <w:bCs w:val="0"/>
                <w:color w:val="auto"/>
                <w:sz w:val="24"/>
                <w:szCs w:val="24"/>
                <w:highlight w:val="none"/>
                <w:lang w:val="en-US" w:eastAsia="zh-CN"/>
              </w:rPr>
            </w:pPr>
          </w:p>
          <w:p w14:paraId="07571E90">
            <w:pPr>
              <w:jc w:val="center"/>
              <w:rPr>
                <w:rFonts w:hint="eastAsia" w:ascii="宋体" w:hAnsi="宋体" w:eastAsia="宋体" w:cs="宋体"/>
                <w:b w:val="0"/>
                <w:bCs w:val="0"/>
                <w:color w:val="auto"/>
                <w:sz w:val="24"/>
                <w:szCs w:val="24"/>
                <w:highlight w:val="none"/>
                <w:lang w:val="en-US" w:eastAsia="zh-CN"/>
              </w:rPr>
            </w:pPr>
          </w:p>
          <w:p w14:paraId="52006FAE">
            <w:pPr>
              <w:jc w:val="center"/>
              <w:rPr>
                <w:rFonts w:hint="eastAsia" w:ascii="宋体" w:hAnsi="宋体" w:eastAsia="宋体" w:cs="宋体"/>
                <w:b w:val="0"/>
                <w:bCs w:val="0"/>
                <w:color w:val="auto"/>
                <w:sz w:val="24"/>
                <w:szCs w:val="24"/>
                <w:highlight w:val="none"/>
                <w:lang w:val="en-US" w:eastAsia="zh-CN"/>
              </w:rPr>
            </w:pPr>
          </w:p>
          <w:p w14:paraId="09B0C459">
            <w:pPr>
              <w:jc w:val="center"/>
              <w:rPr>
                <w:rFonts w:hint="eastAsia" w:ascii="宋体" w:hAnsi="宋体" w:eastAsia="宋体" w:cs="宋体"/>
                <w:b w:val="0"/>
                <w:bCs w:val="0"/>
                <w:color w:val="auto"/>
                <w:sz w:val="24"/>
                <w:szCs w:val="24"/>
                <w:highlight w:val="none"/>
                <w:lang w:val="en-US" w:eastAsia="zh-CN"/>
              </w:rPr>
            </w:pPr>
          </w:p>
          <w:p w14:paraId="7F318484">
            <w:pPr>
              <w:jc w:val="center"/>
              <w:rPr>
                <w:rFonts w:hint="eastAsia" w:ascii="宋体" w:hAnsi="宋体" w:eastAsia="宋体" w:cs="宋体"/>
                <w:b w:val="0"/>
                <w:bCs w:val="0"/>
                <w:color w:val="auto"/>
                <w:sz w:val="24"/>
                <w:szCs w:val="24"/>
                <w:highlight w:val="none"/>
                <w:lang w:val="en-US" w:eastAsia="zh-CN"/>
              </w:rPr>
            </w:pPr>
          </w:p>
          <w:p w14:paraId="693CBF19">
            <w:pPr>
              <w:jc w:val="center"/>
              <w:rPr>
                <w:rFonts w:hint="eastAsia" w:ascii="宋体" w:hAnsi="宋体" w:eastAsia="宋体" w:cs="宋体"/>
                <w:b w:val="0"/>
                <w:bCs w:val="0"/>
                <w:color w:val="auto"/>
                <w:sz w:val="24"/>
                <w:szCs w:val="24"/>
                <w:highlight w:val="none"/>
                <w:lang w:val="en-US" w:eastAsia="zh-CN"/>
              </w:rPr>
            </w:pPr>
          </w:p>
          <w:p w14:paraId="4504BBD9">
            <w:pPr>
              <w:jc w:val="center"/>
              <w:rPr>
                <w:rFonts w:hint="eastAsia" w:ascii="宋体" w:hAnsi="宋体" w:eastAsia="宋体" w:cs="宋体"/>
                <w:b w:val="0"/>
                <w:bCs w:val="0"/>
                <w:color w:val="auto"/>
                <w:sz w:val="24"/>
                <w:szCs w:val="24"/>
                <w:highlight w:val="none"/>
                <w:lang w:val="en-US" w:eastAsia="zh-CN"/>
              </w:rPr>
            </w:pPr>
          </w:p>
          <w:p w14:paraId="14FFFAB2">
            <w:pPr>
              <w:jc w:val="center"/>
              <w:rPr>
                <w:rFonts w:hint="eastAsia" w:ascii="宋体" w:hAnsi="宋体" w:eastAsia="宋体" w:cs="宋体"/>
                <w:b w:val="0"/>
                <w:bCs w:val="0"/>
                <w:color w:val="auto"/>
                <w:sz w:val="24"/>
                <w:szCs w:val="24"/>
                <w:highlight w:val="none"/>
                <w:lang w:val="en-US" w:eastAsia="zh-CN"/>
              </w:rPr>
            </w:pPr>
          </w:p>
          <w:p w14:paraId="07DDEB61">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供应商</w:t>
            </w:r>
          </w:p>
          <w:p w14:paraId="7F51ABAD">
            <w:pPr>
              <w:jc w:val="center"/>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资格条件</w:t>
            </w:r>
          </w:p>
        </w:tc>
        <w:tc>
          <w:tcPr>
            <w:tcW w:w="7030"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56774E0">
            <w:pPr>
              <w:spacing w:line="360" w:lineRule="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1、本项目基本资格要求：</w:t>
            </w:r>
          </w:p>
          <w:p w14:paraId="1CF2B316">
            <w:pP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（1）满足《中华人民共和国政府采购法》第二十二条规定；</w:t>
            </w:r>
          </w:p>
          <w:p w14:paraId="7EAB224F">
            <w:pP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r>
              <w:rPr>
                <w:rFonts w:hint="default" w:asciiTheme="minorEastAsia" w:hAnsiTheme="minorEastAsia" w:eastAsiaTheme="minorEastAsia" w:cstheme="minorEastAsia"/>
                <w:color w:val="auto"/>
                <w:sz w:val="24"/>
                <w:szCs w:val="24"/>
                <w:highlight w:val="none"/>
                <w:lang w:val="en-US" w:eastAsia="zh-CN"/>
              </w:rPr>
              <w:t>单位负责人为同一人或者存在直接控股、管理关系的不同供应商，不得参加同一合同项下的政府采购活动。除单一来源采购项目外，</w:t>
            </w:r>
            <w:r>
              <w:rPr>
                <w:rFonts w:hint="eastAsia" w:asciiTheme="minorEastAsia" w:hAnsiTheme="minorEastAsia" w:eastAsiaTheme="minorEastAsia" w:cstheme="minorEastAsia"/>
                <w:color w:val="auto"/>
                <w:sz w:val="24"/>
                <w:szCs w:val="24"/>
                <w:highlight w:val="none"/>
                <w:lang w:val="en-US" w:eastAsia="zh-CN"/>
              </w:rPr>
              <w:t>为采购项目提供整体设计、规范编制或者项目管理、监理、检测等服务的供应商，不得再参加该采购项目的其他采购活动。</w:t>
            </w:r>
          </w:p>
          <w:p w14:paraId="707FA828">
            <w:pPr>
              <w:spacing w:line="360" w:lineRule="auto"/>
              <w:rPr>
                <w:rFonts w:hint="eastAsia" w:asciiTheme="minorEastAsia" w:hAnsiTheme="minorEastAsia" w:eastAsiaTheme="minorEastAsia" w:cstheme="minorEastAsia"/>
                <w:color w:val="auto"/>
                <w:sz w:val="24"/>
                <w:szCs w:val="24"/>
                <w:highlight w:val="none"/>
                <w:lang w:val="zh-CN" w:eastAsia="zh-CN"/>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val="zh-CN" w:eastAsia="zh-CN"/>
              </w:rPr>
              <w:t>经信用中国（www.creditchina.gov.cn）、中国政府采购网（www.ccgp.gov.cn）等渠道查询后，列入失信被执行人、重大税收违法案件当事人名单、政府采购严重违法失信行为记录名单的，取消投标资格（提供网站无任何不良记录的查询截图并加盖公章，时间为自招标公告发布日期起至开标日期止；</w:t>
            </w:r>
            <w:r>
              <w:rPr>
                <w:rFonts w:hint="eastAsia" w:asciiTheme="minorEastAsia" w:hAnsiTheme="minorEastAsia" w:eastAsiaTheme="minorEastAsia" w:cstheme="minorEastAsia"/>
                <w:color w:val="auto"/>
                <w:sz w:val="24"/>
                <w:szCs w:val="24"/>
                <w:highlight w:val="none"/>
                <w:lang w:val="en-US" w:eastAsia="zh-CN"/>
              </w:rPr>
              <w:t>开标时，以网上查询记录为准</w:t>
            </w:r>
            <w:r>
              <w:rPr>
                <w:rFonts w:hint="eastAsia" w:asciiTheme="minorEastAsia" w:hAnsiTheme="minorEastAsia" w:eastAsiaTheme="minorEastAsia" w:cstheme="minorEastAsia"/>
                <w:color w:val="auto"/>
                <w:sz w:val="24"/>
                <w:szCs w:val="24"/>
                <w:highlight w:val="none"/>
                <w:lang w:val="zh-CN" w:eastAsia="zh-CN"/>
              </w:rPr>
              <w:t>）；</w:t>
            </w:r>
          </w:p>
          <w:p w14:paraId="4E1B0805">
            <w:pPr>
              <w:spacing w:line="360" w:lineRule="auto"/>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zh-CN" w:eastAsia="zh-CN"/>
              </w:rPr>
              <w:t>（</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val="zh-CN" w:eastAsia="zh-CN"/>
              </w:rPr>
              <w:t>）</w:t>
            </w:r>
            <w:r>
              <w:rPr>
                <w:rFonts w:hint="eastAsia" w:asciiTheme="minorEastAsia" w:hAnsiTheme="minorEastAsia" w:eastAsiaTheme="minorEastAsia" w:cstheme="minorEastAsia"/>
                <w:color w:val="auto"/>
                <w:sz w:val="24"/>
                <w:szCs w:val="24"/>
                <w:highlight w:val="none"/>
                <w:lang w:val="en-US" w:eastAsia="zh-CN"/>
              </w:rPr>
              <w:t>本项目不接受联合体投标。</w:t>
            </w:r>
          </w:p>
          <w:p w14:paraId="7B86E2D2">
            <w:pP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rPr>
              <w:t>2、落实政府采购政策需满足的资格要求</w:t>
            </w:r>
            <w:r>
              <w:rPr>
                <w:rFonts w:hint="eastAsia" w:asciiTheme="minorEastAsia" w:hAnsiTheme="minorEastAsia" w:eastAsiaTheme="minorEastAsia" w:cstheme="minorEastAsia"/>
                <w:color w:val="auto"/>
                <w:sz w:val="24"/>
                <w:szCs w:val="24"/>
                <w:highlight w:val="none"/>
              </w:rPr>
              <w:t>：</w:t>
            </w:r>
            <w:r>
              <w:rPr>
                <w:rFonts w:hint="eastAsia" w:ascii="宋体" w:hAnsi="宋体" w:eastAsia="宋体" w:cs="宋体"/>
                <w:color w:val="auto"/>
                <w:kern w:val="0"/>
                <w:sz w:val="24"/>
                <w:szCs w:val="24"/>
                <w:highlight w:val="none"/>
                <w:lang w:val="zh-CN" w:eastAsia="zh-CN"/>
              </w:rPr>
              <w:t>本项目专门面</w:t>
            </w:r>
            <w:r>
              <w:rPr>
                <w:rFonts w:hint="eastAsia" w:ascii="宋体" w:hAnsi="宋体" w:eastAsia="宋体" w:cs="宋体"/>
                <w:color w:val="auto"/>
                <w:kern w:val="0"/>
                <w:sz w:val="24"/>
                <w:szCs w:val="24"/>
                <w:highlight w:val="none"/>
                <w:lang w:val="en-US" w:eastAsia="zh-CN"/>
              </w:rPr>
              <w:t>向中小</w:t>
            </w:r>
            <w:r>
              <w:rPr>
                <w:rFonts w:hint="eastAsia" w:ascii="宋体" w:hAnsi="宋体" w:eastAsia="宋体" w:cs="宋体"/>
                <w:color w:val="auto"/>
                <w:kern w:val="0"/>
                <w:sz w:val="24"/>
                <w:szCs w:val="24"/>
                <w:highlight w:val="none"/>
                <w:lang w:val="zh-CN" w:eastAsia="zh-CN"/>
              </w:rPr>
              <w:t>企业采购（</w:t>
            </w:r>
            <w:r>
              <w:rPr>
                <w:rFonts w:hint="eastAsia" w:ascii="宋体" w:hAnsi="宋体" w:eastAsia="宋体" w:cs="宋体"/>
                <w:color w:val="auto"/>
                <w:kern w:val="0"/>
                <w:sz w:val="24"/>
                <w:szCs w:val="24"/>
                <w:highlight w:val="none"/>
                <w:lang w:val="en-US" w:eastAsia="zh-CN"/>
              </w:rPr>
              <w:t>中小企业预留100%</w:t>
            </w:r>
            <w:r>
              <w:rPr>
                <w:rFonts w:hint="eastAsia" w:ascii="宋体" w:hAnsi="宋体" w:eastAsia="宋体" w:cs="宋体"/>
                <w:color w:val="auto"/>
                <w:kern w:val="0"/>
                <w:sz w:val="24"/>
                <w:szCs w:val="24"/>
                <w:highlight w:val="none"/>
                <w:lang w:val="zh-CN" w:eastAsia="zh-CN"/>
              </w:rPr>
              <w:t>）；</w:t>
            </w:r>
          </w:p>
          <w:p w14:paraId="39E8176C">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（1）《政府采购促进中小企业发展管理办法》（财库〔2020〕46号）；</w:t>
            </w:r>
          </w:p>
          <w:p w14:paraId="6347D980">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eastAsia="zh-CN"/>
              </w:rPr>
              <w:t>）《关于落实好政府采购支持中小企业发展的通知》（新财购〔2022〕22号）；</w:t>
            </w:r>
          </w:p>
          <w:p w14:paraId="7EB5BB3C">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eastAsia="zh-CN"/>
              </w:rPr>
              <w:t>）财政部关于进一步加大政府采购支持中小企业力度的通知（财库[2022]19号）；</w:t>
            </w:r>
          </w:p>
          <w:p w14:paraId="16424E99">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eastAsia="zh-CN"/>
              </w:rPr>
              <w:t>）</w:t>
            </w:r>
            <w:r>
              <w:rPr>
                <w:rFonts w:hint="eastAsia" w:asciiTheme="minorEastAsia" w:hAnsiTheme="minorEastAsia" w:eastAsiaTheme="minorEastAsia" w:cstheme="minorEastAsia"/>
                <w:color w:val="auto"/>
                <w:sz w:val="24"/>
                <w:szCs w:val="24"/>
                <w:highlight w:val="none"/>
              </w:rPr>
              <w:t>财政部、司法部《关于政府采购支持监狱企业发展有关问题的通知》（财库[2014]68号文）。</w:t>
            </w:r>
          </w:p>
          <w:p w14:paraId="57F8EB7B">
            <w:pPr>
              <w:spacing w:line="360" w:lineRule="auto"/>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）财政部、民政部、中国残疾人联合会《关于促进残疾人就业政府采购政策的通知》（财库[2017]141号）；</w:t>
            </w:r>
          </w:p>
          <w:p w14:paraId="182D64C3">
            <w:pPr>
              <w:spacing w:line="360" w:lineRule="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3、本项目特定资格要求：</w:t>
            </w:r>
          </w:p>
          <w:p w14:paraId="095938BB">
            <w:pPr>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施工企业资格要求：具备建筑工程施工总承包三级及以上资质且同时具备钢结构工程专业承包三级及以上资质，具有有效的安全生产许可证，并在人员、设备、资金等方面具有相应的施工能力；自治区外投标企业应按照新疆维吾尔自治区住建厅2018年4月24日发布的《关于进一步推动自治区建筑市场统一开放的通知》的规定，登录新疆建筑市场监督和诚信信息一体化平台（简称新疆建设云），网址（http://jsy.xjjs.gov.cn）,须在施工开始前完成注册报送基本信息和人员信息。</w:t>
            </w:r>
          </w:p>
          <w:p w14:paraId="24059E5D">
            <w:pPr>
              <w:spacing w:line="360" w:lineRule="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（2）项目负责人资格要求：拟派的项目负责人（项目经理）需具备建筑工程专业二级（含二级）以上注册建造师执业资格，具备有效的安全生产考</w:t>
            </w:r>
            <w:r>
              <w:rPr>
                <w:rFonts w:hint="eastAsia" w:ascii="宋体" w:hAnsi="宋体" w:eastAsia="宋体" w:cs="宋体"/>
                <w:i w:val="0"/>
                <w:iCs w:val="0"/>
                <w:caps w:val="0"/>
                <w:color w:val="auto"/>
                <w:spacing w:val="0"/>
                <w:kern w:val="0"/>
                <w:sz w:val="24"/>
                <w:szCs w:val="24"/>
                <w:highlight w:val="none"/>
                <w:lang w:val="en-US" w:eastAsia="zh-CN" w:bidi="ar-SA"/>
              </w:rPr>
              <w:t>核合格证书（B类），未担任其他在建工程项目的项目经理。</w:t>
            </w:r>
          </w:p>
        </w:tc>
      </w:tr>
      <w:tr w14:paraId="2F563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jc w:val="center"/>
        </w:trPr>
        <w:tc>
          <w:tcPr>
            <w:tcW w:w="817" w:type="dxa"/>
            <w:vMerge w:val="restart"/>
            <w:tcBorders>
              <w:top w:val="single" w:color="auto" w:sz="4" w:space="0"/>
              <w:left w:val="single" w:color="auto" w:sz="4" w:space="0"/>
              <w:right w:val="single" w:color="auto" w:sz="4" w:space="0"/>
            </w:tcBorders>
            <w:noWrap w:val="0"/>
            <w:vAlign w:val="center"/>
          </w:tcPr>
          <w:p w14:paraId="69CCE2C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p w14:paraId="61A54312">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F52DC8D">
            <w:pPr>
              <w:jc w:val="center"/>
              <w:rPr>
                <w:rFonts w:hint="eastAsia" w:asciiTheme="minorEastAsia" w:hAnsiTheme="minorEastAsia" w:eastAsiaTheme="minorEastAsia" w:cstheme="minorEastAsia"/>
                <w:b w:val="0"/>
                <w:bCs w:val="0"/>
                <w:color w:val="auto"/>
                <w:sz w:val="24"/>
                <w:szCs w:val="24"/>
                <w:highlight w:val="none"/>
                <w:lang w:eastAsia="zh-CN"/>
              </w:rPr>
            </w:pPr>
            <w:r>
              <w:rPr>
                <w:rFonts w:hint="eastAsia" w:asciiTheme="minorEastAsia" w:hAnsiTheme="minorEastAsia" w:eastAsiaTheme="minorEastAsia" w:cstheme="minorEastAsia"/>
                <w:b w:val="0"/>
                <w:bCs w:val="0"/>
                <w:color w:val="auto"/>
                <w:sz w:val="24"/>
                <w:szCs w:val="24"/>
                <w:highlight w:val="none"/>
                <w:lang w:val="en-US" w:eastAsia="zh-CN"/>
              </w:rPr>
              <w:t>施工工期</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53FBDBC">
            <w:pPr>
              <w:spacing w:line="360" w:lineRule="auto"/>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190天(日历天)；计划开工日期2025年4月24日，计划竣工日期2025年10月30日；</w:t>
            </w:r>
          </w:p>
        </w:tc>
      </w:tr>
      <w:tr w14:paraId="21440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817" w:type="dxa"/>
            <w:vMerge w:val="continue"/>
            <w:tcBorders>
              <w:left w:val="single" w:color="auto" w:sz="4" w:space="0"/>
              <w:right w:val="single" w:color="auto" w:sz="4" w:space="0"/>
            </w:tcBorders>
            <w:noWrap w:val="0"/>
            <w:vAlign w:val="center"/>
          </w:tcPr>
          <w:p w14:paraId="65AA0EDE">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D18F98C">
            <w:pPr>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建设</w:t>
            </w:r>
            <w:r>
              <w:rPr>
                <w:rFonts w:hint="eastAsia" w:asciiTheme="minorEastAsia" w:hAnsiTheme="minorEastAsia" w:eastAsiaTheme="minorEastAsia" w:cstheme="minorEastAsia"/>
                <w:b w:val="0"/>
                <w:bCs w:val="0"/>
                <w:color w:val="auto"/>
                <w:sz w:val="24"/>
                <w:szCs w:val="24"/>
                <w:highlight w:val="none"/>
              </w:rPr>
              <w:t>地点</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FA5669C">
            <w:pPr>
              <w:jc w:val="both"/>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eastAsia="zh-CN"/>
              </w:rPr>
              <w:t>尉犁县</w:t>
            </w:r>
            <w:r>
              <w:rPr>
                <w:rFonts w:hint="eastAsia" w:asciiTheme="minorEastAsia" w:hAnsiTheme="minorEastAsia" w:eastAsiaTheme="minorEastAsia" w:cstheme="minorEastAsia"/>
                <w:color w:val="auto"/>
                <w:kern w:val="0"/>
                <w:sz w:val="24"/>
                <w:szCs w:val="24"/>
                <w:highlight w:val="none"/>
                <w:lang w:val="en-US" w:eastAsia="zh-CN"/>
              </w:rPr>
              <w:t>团结镇</w:t>
            </w:r>
          </w:p>
        </w:tc>
      </w:tr>
      <w:tr w14:paraId="7D0EB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817" w:type="dxa"/>
            <w:vMerge w:val="continue"/>
            <w:tcBorders>
              <w:left w:val="single" w:color="auto" w:sz="4" w:space="0"/>
              <w:right w:val="single" w:color="auto" w:sz="4" w:space="0"/>
            </w:tcBorders>
            <w:noWrap w:val="0"/>
            <w:vAlign w:val="center"/>
          </w:tcPr>
          <w:p w14:paraId="69800AA9">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0E4DFF5">
            <w:pPr>
              <w:jc w:val="center"/>
              <w:rPr>
                <w:rFonts w:hint="default"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质量要求</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0469AA0B">
            <w:pPr>
              <w:jc w:val="left"/>
              <w:rPr>
                <w:rFonts w:hint="eastAsia" w:asciiTheme="minorEastAsia" w:hAnsiTheme="minorEastAsia" w:eastAsiaTheme="minorEastAsia" w:cstheme="minorEastAsia"/>
                <w:color w:val="auto"/>
                <w:kern w:val="0"/>
                <w:sz w:val="24"/>
                <w:szCs w:val="24"/>
                <w:highlight w:val="none"/>
                <w:lang w:val="en-US" w:eastAsia="zh-CN"/>
              </w:rPr>
            </w:pPr>
            <w:r>
              <w:rPr>
                <w:rFonts w:hint="eastAsia" w:ascii="宋体" w:hAnsi="宋体" w:eastAsia="宋体" w:cs="宋体"/>
                <w:color w:val="auto"/>
                <w:sz w:val="24"/>
                <w:szCs w:val="24"/>
                <w:highlight w:val="none"/>
                <w:lang w:val="en-US" w:eastAsia="zh-CN"/>
              </w:rPr>
              <w:t>合格并由采购单位验收通过；</w:t>
            </w:r>
          </w:p>
        </w:tc>
      </w:tr>
      <w:tr w14:paraId="1BCC3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817" w:type="dxa"/>
            <w:vMerge w:val="continue"/>
            <w:tcBorders>
              <w:left w:val="single" w:color="auto" w:sz="4" w:space="0"/>
              <w:right w:val="single" w:color="auto" w:sz="4" w:space="0"/>
            </w:tcBorders>
            <w:noWrap w:val="0"/>
            <w:vAlign w:val="center"/>
          </w:tcPr>
          <w:p w14:paraId="42278CAD">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EAA37C6">
            <w:pPr>
              <w:adjustRightInd w:val="0"/>
              <w:snapToGrid w:val="0"/>
              <w:spacing w:before="120" w:beforeLines="50"/>
              <w:jc w:val="center"/>
              <w:rPr>
                <w:rFonts w:hint="eastAsia" w:asciiTheme="minorEastAsia" w:hAnsiTheme="minorEastAsia" w:eastAsiaTheme="minorEastAsia" w:cstheme="minorEastAsia"/>
                <w:b w:val="0"/>
                <w:bCs w:val="0"/>
                <w:color w:val="auto"/>
                <w:sz w:val="24"/>
                <w:szCs w:val="24"/>
                <w:highlight w:val="none"/>
              </w:rPr>
            </w:pPr>
            <w:r>
              <w:rPr>
                <w:rFonts w:hint="eastAsia" w:ascii="宋体" w:hAnsi="宋体" w:eastAsia="宋体" w:cs="宋体"/>
                <w:b w:val="0"/>
                <w:bCs w:val="0"/>
                <w:color w:val="auto"/>
                <w:sz w:val="24"/>
                <w:szCs w:val="24"/>
                <w:highlight w:val="none"/>
              </w:rPr>
              <w:t>承包方式</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BA9C157">
            <w:pPr>
              <w:adjustRightInd w:val="0"/>
              <w:snapToGrid w:val="0"/>
              <w:spacing w:before="120" w:beforeLines="50"/>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aps w:val="0"/>
                <w:color w:val="auto"/>
                <w:spacing w:val="0"/>
                <w:sz w:val="24"/>
                <w:szCs w:val="24"/>
                <w:highlight w:val="none"/>
                <w:lang w:val="en-US" w:eastAsia="zh-CN"/>
              </w:rPr>
              <w:t>包工包料</w:t>
            </w:r>
          </w:p>
        </w:tc>
      </w:tr>
      <w:tr w14:paraId="181F0B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817" w:type="dxa"/>
            <w:vMerge w:val="continue"/>
            <w:tcBorders>
              <w:left w:val="single" w:color="auto" w:sz="4" w:space="0"/>
              <w:right w:val="single" w:color="auto" w:sz="4" w:space="0"/>
            </w:tcBorders>
            <w:noWrap w:val="0"/>
            <w:vAlign w:val="center"/>
          </w:tcPr>
          <w:p w14:paraId="1E4D48E0">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7D6E4F5">
            <w:pPr>
              <w:adjustRightInd w:val="0"/>
              <w:snapToGrid w:val="0"/>
              <w:spacing w:before="120" w:beforeLines="50"/>
              <w:jc w:val="center"/>
              <w:rPr>
                <w:rFonts w:hint="eastAsia" w:asciiTheme="minorEastAsia" w:hAnsiTheme="minorEastAsia" w:eastAsiaTheme="minorEastAsia" w:cstheme="minorEastAsia"/>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是否允许分包</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11FCAF43">
            <w:pPr>
              <w:adjustRightInd w:val="0"/>
              <w:snapToGrid w:val="0"/>
              <w:spacing w:before="120" w:beforeLines="50"/>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aps w:val="0"/>
                <w:color w:val="auto"/>
                <w:spacing w:val="0"/>
                <w:sz w:val="24"/>
                <w:szCs w:val="24"/>
                <w:highlight w:val="none"/>
                <w:lang w:val="en-US" w:eastAsia="zh-CN"/>
              </w:rPr>
              <w:t>不允许分包</w:t>
            </w:r>
          </w:p>
        </w:tc>
      </w:tr>
      <w:tr w14:paraId="20B03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vMerge w:val="continue"/>
            <w:tcBorders>
              <w:left w:val="single" w:color="auto" w:sz="4" w:space="0"/>
              <w:right w:val="single" w:color="auto" w:sz="4" w:space="0"/>
            </w:tcBorders>
            <w:noWrap w:val="0"/>
            <w:vAlign w:val="center"/>
          </w:tcPr>
          <w:p w14:paraId="6485DED9">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73D8AC7">
            <w:pPr>
              <w:adjustRightInd w:val="0"/>
              <w:snapToGrid w:val="0"/>
              <w:spacing w:before="120" w:beforeLines="50" w:line="360" w:lineRule="auto"/>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付款方式</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6592DC4">
            <w:pPr>
              <w:spacing w:line="360" w:lineRule="auto"/>
              <w:jc w:val="both"/>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lang w:val="en-US" w:eastAsia="zh-CN"/>
              </w:rPr>
              <w:t>合同签订后10日内支付合同价30%的预付款，按工程进度付款，工程竣工验收合格后支付到合同价的80%，工程结算审计完成后支付到结算价的97%，留结算价3%的质保金，待1年缺陷责任期满后3日内一次性付清。</w:t>
            </w:r>
          </w:p>
        </w:tc>
      </w:tr>
      <w:tr w14:paraId="32767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vMerge w:val="continue"/>
            <w:tcBorders>
              <w:left w:val="single" w:color="auto" w:sz="4" w:space="0"/>
              <w:right w:val="single" w:color="auto" w:sz="4" w:space="0"/>
            </w:tcBorders>
            <w:noWrap w:val="0"/>
            <w:vAlign w:val="center"/>
          </w:tcPr>
          <w:p w14:paraId="064FADD0">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6AA0FB8">
            <w:pPr>
              <w:adjustRightInd w:val="0"/>
              <w:snapToGrid w:val="0"/>
              <w:spacing w:before="120" w:beforeLines="50" w:line="360" w:lineRule="auto"/>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责任缺陷期</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F673636">
            <w:pPr>
              <w:adjustRightInd w:val="0"/>
              <w:snapToGrid w:val="0"/>
              <w:spacing w:before="120" w:beforeLines="50" w:line="360" w:lineRule="auto"/>
              <w:rPr>
                <w:rFonts w:hint="default" w:ascii="宋体" w:hAnsi="宋体" w:eastAsia="宋体" w:cs="宋体"/>
                <w:i w:val="0"/>
                <w:iCs w:val="0"/>
                <w:caps w:val="0"/>
                <w:color w:val="auto"/>
                <w:spacing w:val="0"/>
                <w:sz w:val="24"/>
                <w:szCs w:val="24"/>
                <w:highlight w:val="none"/>
                <w:lang w:val="en-US" w:eastAsia="zh-CN"/>
              </w:rPr>
            </w:pPr>
            <w:r>
              <w:rPr>
                <w:rFonts w:hint="eastAsia" w:ascii="宋体" w:hAnsi="宋体" w:cs="宋体"/>
                <w:i w:val="0"/>
                <w:iCs w:val="0"/>
                <w:caps w:val="0"/>
                <w:color w:val="auto"/>
                <w:spacing w:val="0"/>
                <w:sz w:val="24"/>
                <w:szCs w:val="24"/>
                <w:highlight w:val="none"/>
                <w:lang w:val="en-US" w:eastAsia="zh-CN"/>
              </w:rPr>
              <w:t>12个月</w:t>
            </w:r>
          </w:p>
        </w:tc>
      </w:tr>
      <w:tr w14:paraId="18C0E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vMerge w:val="continue"/>
            <w:tcBorders>
              <w:left w:val="single" w:color="auto" w:sz="4" w:space="0"/>
              <w:right w:val="single" w:color="auto" w:sz="4" w:space="0"/>
            </w:tcBorders>
            <w:noWrap w:val="0"/>
            <w:vAlign w:val="center"/>
          </w:tcPr>
          <w:p w14:paraId="12633072">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82F6C26">
            <w:pPr>
              <w:adjustRightInd w:val="0"/>
              <w:snapToGrid w:val="0"/>
              <w:spacing w:before="120" w:beforeLines="50" w:line="360" w:lineRule="auto"/>
              <w:jc w:val="center"/>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质量保修期</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43B57A6">
            <w:pPr>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color w:val="auto"/>
                <w:sz w:val="24"/>
                <w:szCs w:val="24"/>
                <w:highlight w:val="none"/>
                <w:lang w:val="en-US" w:eastAsia="zh-CN"/>
              </w:rPr>
              <w:t>按《房屋建筑工程质量保修办法》相关规定执行。</w:t>
            </w:r>
          </w:p>
        </w:tc>
      </w:tr>
      <w:tr w14:paraId="27598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vMerge w:val="continue"/>
            <w:tcBorders>
              <w:left w:val="single" w:color="auto" w:sz="4" w:space="0"/>
              <w:right w:val="single" w:color="auto" w:sz="4" w:space="0"/>
            </w:tcBorders>
            <w:noWrap w:val="0"/>
            <w:vAlign w:val="center"/>
          </w:tcPr>
          <w:p w14:paraId="144ACC43">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CA6D692">
            <w:pPr>
              <w:adjustRightInd w:val="0"/>
              <w:snapToGrid w:val="0"/>
              <w:spacing w:before="120" w:beforeLines="50" w:line="360" w:lineRule="auto"/>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质保金</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7A450711">
            <w:pPr>
              <w:adjustRightInd w:val="0"/>
              <w:snapToGrid w:val="0"/>
              <w:spacing w:before="120" w:beforeLines="50" w:line="360" w:lineRule="auto"/>
              <w:rPr>
                <w:rFonts w:hint="default" w:ascii="宋体" w:hAnsi="宋体" w:eastAsia="宋体" w:cs="宋体"/>
                <w:i w:val="0"/>
                <w:iCs w:val="0"/>
                <w:caps w:val="0"/>
                <w:color w:val="auto"/>
                <w:spacing w:val="0"/>
                <w:sz w:val="24"/>
                <w:szCs w:val="24"/>
                <w:highlight w:val="none"/>
                <w:lang w:val="en-US" w:eastAsia="zh-CN"/>
              </w:rPr>
            </w:pPr>
            <w:r>
              <w:rPr>
                <w:rFonts w:hint="eastAsia" w:ascii="宋体" w:hAnsi="宋体" w:cs="宋体"/>
                <w:i w:val="0"/>
                <w:iCs w:val="0"/>
                <w:caps w:val="0"/>
                <w:color w:val="auto"/>
                <w:spacing w:val="0"/>
                <w:sz w:val="24"/>
                <w:szCs w:val="24"/>
                <w:highlight w:val="none"/>
                <w:lang w:val="en-US" w:eastAsia="zh-CN"/>
              </w:rPr>
              <w:t>结算价的3%</w:t>
            </w:r>
          </w:p>
        </w:tc>
      </w:tr>
      <w:tr w14:paraId="74183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vMerge w:val="continue"/>
            <w:tcBorders>
              <w:left w:val="single" w:color="auto" w:sz="4" w:space="0"/>
              <w:right w:val="single" w:color="auto" w:sz="4" w:space="0"/>
            </w:tcBorders>
            <w:noWrap w:val="0"/>
            <w:vAlign w:val="center"/>
          </w:tcPr>
          <w:p w14:paraId="60B0DC27">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F22A6AB">
            <w:pPr>
              <w:adjustRightInd w:val="0"/>
              <w:snapToGrid w:val="0"/>
              <w:spacing w:before="120" w:beforeLines="50" w:line="360" w:lineRule="auto"/>
              <w:jc w:val="center"/>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履约保证金</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104C97B0">
            <w:pPr>
              <w:adjustRightInd w:val="0"/>
              <w:snapToGrid w:val="0"/>
              <w:spacing w:before="120" w:beforeLines="50" w:line="360" w:lineRule="auto"/>
              <w:rPr>
                <w:rFonts w:hint="default" w:ascii="宋体" w:hAnsi="宋体" w:eastAsia="宋体" w:cs="宋体"/>
                <w:i w:val="0"/>
                <w:iCs w:val="0"/>
                <w:caps w:val="0"/>
                <w:color w:val="auto"/>
                <w:spacing w:val="0"/>
                <w:sz w:val="24"/>
                <w:szCs w:val="24"/>
                <w:highlight w:val="none"/>
                <w:lang w:val="en-US" w:eastAsia="zh-CN"/>
              </w:rPr>
            </w:pPr>
            <w:r>
              <w:rPr>
                <w:rFonts w:hint="eastAsia" w:ascii="宋体" w:hAnsi="宋体" w:cs="宋体"/>
                <w:i w:val="0"/>
                <w:iCs w:val="0"/>
                <w:caps w:val="0"/>
                <w:color w:val="auto"/>
                <w:spacing w:val="0"/>
                <w:sz w:val="24"/>
                <w:szCs w:val="24"/>
                <w:highlight w:val="none"/>
                <w:lang w:val="en-US" w:eastAsia="zh-CN"/>
              </w:rPr>
              <w:t>合同价的5%</w:t>
            </w:r>
          </w:p>
        </w:tc>
      </w:tr>
      <w:tr w14:paraId="14893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17" w:type="dxa"/>
            <w:vMerge w:val="continue"/>
            <w:tcBorders>
              <w:left w:val="single" w:color="auto" w:sz="4" w:space="0"/>
              <w:bottom w:val="single" w:color="auto" w:sz="4" w:space="0"/>
              <w:right w:val="single" w:color="auto" w:sz="4" w:space="0"/>
            </w:tcBorders>
            <w:noWrap w:val="0"/>
            <w:vAlign w:val="center"/>
          </w:tcPr>
          <w:p w14:paraId="3E011766">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A7A64E5">
            <w:pPr>
              <w:adjustRightInd w:val="0"/>
              <w:snapToGrid w:val="0"/>
              <w:spacing w:before="120" w:beforeLines="50"/>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技术规范</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73429F31">
            <w:pPr>
              <w:spacing w:line="360" w:lineRule="auto"/>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（1）本工程技术标准、技术要求必须符合国家和地方现行相关质量评定标准和施工技术规范。</w:t>
            </w:r>
          </w:p>
          <w:p w14:paraId="3723ADFE">
            <w:pPr>
              <w:spacing w:line="360" w:lineRule="auto"/>
              <w:rPr>
                <w:rFonts w:hint="eastAsia"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（2）本工程的材料检验和质量、工艺试验按国家、地方现行相关规定执行。</w:t>
            </w:r>
          </w:p>
        </w:tc>
      </w:tr>
      <w:tr w14:paraId="5A622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A0C84E4">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44A8447">
            <w:pPr>
              <w:adjustRightInd w:val="0"/>
              <w:snapToGrid w:val="0"/>
              <w:spacing w:before="120" w:beforeLines="50"/>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联合体投标</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585E5BF">
            <w:pPr>
              <w:adjustRightInd w:val="0"/>
              <w:snapToGrid w:val="0"/>
              <w:spacing w:before="120" w:beforeLines="50"/>
              <w:rPr>
                <w:rFonts w:hint="eastAsia" w:ascii="宋体" w:hAnsi="宋体" w:eastAsia="宋体" w:cs="宋体"/>
                <w:i w:val="0"/>
                <w:iCs w:val="0"/>
                <w:caps w:val="0"/>
                <w:color w:val="auto"/>
                <w:spacing w:val="0"/>
                <w:sz w:val="24"/>
                <w:szCs w:val="24"/>
                <w:highlight w:val="none"/>
                <w:lang w:val="en-US" w:eastAsia="zh-CN"/>
              </w:rPr>
            </w:pPr>
            <w:r>
              <w:rPr>
                <w:rFonts w:hint="default" w:ascii="宋体" w:hAnsi="宋体" w:cs="宋体"/>
                <w:color w:val="auto"/>
                <w:sz w:val="24"/>
                <w:szCs w:val="24"/>
                <w:highlight w:val="none"/>
                <w:lang w:val="en-US"/>
              </w:rPr>
              <w:t>☑</w:t>
            </w:r>
            <w:r>
              <w:rPr>
                <w:rFonts w:hint="eastAsia" w:ascii="宋体" w:hAnsi="宋体" w:cs="宋体"/>
                <w:color w:val="auto"/>
                <w:sz w:val="24"/>
                <w:szCs w:val="24"/>
                <w:highlight w:val="none"/>
              </w:rPr>
              <w:t>不接受</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接受</w:t>
            </w:r>
          </w:p>
        </w:tc>
      </w:tr>
      <w:tr w14:paraId="4CD0C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F432D49">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1F8BC3AB">
            <w:pPr>
              <w:adjustRightInd w:val="0"/>
              <w:snapToGrid w:val="0"/>
              <w:spacing w:before="120" w:beforeLines="5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踏勘现场</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4F62E53">
            <w:pPr>
              <w:adjustRightInd w:val="0"/>
              <w:snapToGrid w:val="0"/>
              <w:spacing w:before="120" w:beforeLines="50"/>
              <w:rPr>
                <w:rFonts w:hint="default" w:ascii="宋体" w:hAnsi="宋体" w:cs="宋体"/>
                <w:color w:val="auto"/>
                <w:sz w:val="24"/>
                <w:szCs w:val="24"/>
                <w:highlight w:val="none"/>
                <w:lang w:val="en-US"/>
              </w:rPr>
            </w:pPr>
            <w:r>
              <w:rPr>
                <w:rFonts w:hint="eastAsia" w:ascii="宋体" w:hAnsi="宋体" w:eastAsia="宋体" w:cs="宋体"/>
                <w:color w:val="auto"/>
                <w:kern w:val="0"/>
                <w:sz w:val="24"/>
                <w:szCs w:val="24"/>
                <w:highlight w:val="none"/>
                <w:lang w:val="en-US" w:eastAsia="zh-CN" w:bidi="zh-CN"/>
              </w:rPr>
              <w:t>☑不组织□组织</w:t>
            </w:r>
          </w:p>
        </w:tc>
      </w:tr>
      <w:tr w14:paraId="39551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A49AE2C">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B68E09F">
            <w:pPr>
              <w:adjustRightInd w:val="0"/>
              <w:snapToGrid w:val="0"/>
              <w:spacing w:before="120" w:beforeLines="50"/>
              <w:jc w:val="center"/>
              <w:rPr>
                <w:rFonts w:hint="eastAsia" w:ascii="宋体" w:hAnsi="宋体" w:cs="宋体"/>
                <w:b w:val="0"/>
                <w:bCs w:val="0"/>
                <w:color w:val="auto"/>
                <w:sz w:val="24"/>
                <w:szCs w:val="24"/>
                <w:highlight w:val="none"/>
              </w:rPr>
            </w:pPr>
            <w:r>
              <w:rPr>
                <w:rFonts w:hint="eastAsia" w:ascii="宋体" w:hAnsi="宋体" w:eastAsia="宋体" w:cs="宋体"/>
                <w:b w:val="0"/>
                <w:bCs w:val="0"/>
                <w:color w:val="auto"/>
                <w:sz w:val="24"/>
                <w:szCs w:val="24"/>
                <w:highlight w:val="none"/>
              </w:rPr>
              <w:t>是否允许进口产品</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79B5CC68">
            <w:pPr>
              <w:adjustRightInd w:val="0"/>
              <w:snapToGrid w:val="0"/>
              <w:spacing w:before="120" w:beforeLines="50"/>
              <w:rPr>
                <w:rFonts w:hint="default" w:ascii="宋体" w:hAnsi="宋体" w:cs="宋体"/>
                <w:color w:val="auto"/>
                <w:sz w:val="24"/>
                <w:szCs w:val="24"/>
                <w:highlight w:val="none"/>
                <w:lang w:val="en-US"/>
              </w:rPr>
            </w:pPr>
            <w:r>
              <w:rPr>
                <w:rFonts w:hint="default" w:ascii="宋体" w:hAnsi="宋体" w:cs="宋体"/>
                <w:color w:val="auto"/>
                <w:sz w:val="24"/>
                <w:szCs w:val="24"/>
                <w:highlight w:val="none"/>
                <w:lang w:val="en-US"/>
              </w:rPr>
              <w:t>☑</w:t>
            </w:r>
            <w:r>
              <w:rPr>
                <w:rFonts w:hint="eastAsia" w:ascii="宋体" w:hAnsi="宋体" w:cs="宋体"/>
                <w:color w:val="auto"/>
                <w:sz w:val="24"/>
                <w:szCs w:val="24"/>
                <w:highlight w:val="none"/>
              </w:rPr>
              <w:t>不</w:t>
            </w:r>
            <w:r>
              <w:rPr>
                <w:rFonts w:hint="eastAsia" w:ascii="宋体" w:hAnsi="宋体" w:cs="宋体"/>
                <w:color w:val="auto"/>
                <w:sz w:val="24"/>
                <w:szCs w:val="24"/>
                <w:highlight w:val="none"/>
                <w:lang w:val="en-US" w:eastAsia="zh-CN"/>
              </w:rPr>
              <w:t>允许</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允许</w:t>
            </w:r>
          </w:p>
        </w:tc>
      </w:tr>
      <w:tr w14:paraId="4D3DE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FA6432C">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F37ACDE">
            <w:pPr>
              <w:adjustRightInd w:val="0"/>
              <w:snapToGrid w:val="0"/>
              <w:spacing w:before="120" w:beforeLines="50"/>
              <w:jc w:val="center"/>
              <w:rPr>
                <w:rFonts w:hint="eastAsia" w:ascii="宋体" w:hAnsi="宋体" w:cs="宋体"/>
                <w:b w:val="0"/>
                <w:bCs w:val="0"/>
                <w:color w:val="auto"/>
                <w:sz w:val="24"/>
                <w:szCs w:val="24"/>
                <w:highlight w:val="none"/>
              </w:rPr>
            </w:pPr>
            <w:r>
              <w:rPr>
                <w:rFonts w:hint="eastAsia" w:ascii="宋体" w:hAnsi="宋体" w:eastAsia="宋体" w:cs="宋体"/>
                <w:b w:val="0"/>
                <w:bCs w:val="0"/>
                <w:color w:val="auto"/>
                <w:sz w:val="24"/>
                <w:szCs w:val="24"/>
                <w:highlight w:val="none"/>
              </w:rPr>
              <w:t>备选方案</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BFF3287">
            <w:pPr>
              <w:adjustRightInd w:val="0"/>
              <w:snapToGrid w:val="0"/>
              <w:spacing w:before="120" w:beforeLines="50"/>
              <w:rPr>
                <w:rFonts w:hint="default" w:ascii="宋体" w:hAnsi="宋体" w:cs="宋体"/>
                <w:color w:val="auto"/>
                <w:sz w:val="24"/>
                <w:szCs w:val="24"/>
                <w:highlight w:val="none"/>
                <w:lang w:val="en-US"/>
              </w:rPr>
            </w:pPr>
            <w:r>
              <w:rPr>
                <w:rFonts w:hint="default" w:ascii="宋体" w:hAnsi="宋体" w:cs="宋体"/>
                <w:color w:val="auto"/>
                <w:sz w:val="24"/>
                <w:szCs w:val="24"/>
                <w:highlight w:val="none"/>
                <w:lang w:val="en-US"/>
              </w:rPr>
              <w:t>☑</w:t>
            </w:r>
            <w:r>
              <w:rPr>
                <w:rFonts w:hint="eastAsia" w:ascii="宋体" w:hAnsi="宋体" w:cs="宋体"/>
                <w:color w:val="auto"/>
                <w:sz w:val="24"/>
                <w:szCs w:val="24"/>
                <w:highlight w:val="none"/>
              </w:rPr>
              <w:t>不接受□接受</w:t>
            </w:r>
          </w:p>
        </w:tc>
      </w:tr>
      <w:tr w14:paraId="216AE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6EAA5494">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8F33CFD">
            <w:pPr>
              <w:jc w:val="center"/>
              <w:rPr>
                <w:rFonts w:hint="eastAsia" w:ascii="宋体" w:hAnsi="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投标有效期</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2B7EF97">
            <w:pPr>
              <w:jc w:val="both"/>
              <w:rPr>
                <w:rFonts w:hint="default" w:ascii="宋体" w:hAnsi="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90</w:t>
            </w:r>
            <w:r>
              <w:rPr>
                <w:rFonts w:hint="eastAsia" w:ascii="宋体" w:hAnsi="宋体" w:eastAsia="宋体" w:cs="宋体"/>
                <w:color w:val="auto"/>
                <w:kern w:val="0"/>
                <w:sz w:val="24"/>
                <w:szCs w:val="24"/>
                <w:highlight w:val="none"/>
                <w:lang w:bidi="zh-CN"/>
              </w:rPr>
              <w:t>日历天（从投标截止之日算起）</w:t>
            </w:r>
          </w:p>
        </w:tc>
      </w:tr>
      <w:tr w14:paraId="2D478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35ADB5E">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DCFC39D">
            <w:pPr>
              <w:jc w:val="center"/>
              <w:rPr>
                <w:rFonts w:hint="eastAsia" w:ascii="宋体" w:hAnsi="宋体" w:cs="宋体"/>
                <w:b/>
                <w:bCs/>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磋商</w:t>
            </w:r>
            <w:r>
              <w:rPr>
                <w:rFonts w:hint="eastAsia" w:asciiTheme="minorEastAsia" w:hAnsiTheme="minorEastAsia" w:eastAsiaTheme="minorEastAsia" w:cstheme="minorEastAsia"/>
                <w:color w:val="auto"/>
                <w:sz w:val="24"/>
                <w:szCs w:val="24"/>
                <w:highlight w:val="none"/>
              </w:rPr>
              <w:t>保证金</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01DDF585">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投标保证金金额（元）：</w:t>
            </w:r>
            <w:r>
              <w:rPr>
                <w:rFonts w:hint="eastAsia" w:ascii="宋体" w:hAnsi="宋体" w:cs="宋体"/>
                <w:bCs/>
                <w:color w:val="auto"/>
                <w:sz w:val="24"/>
                <w:szCs w:val="24"/>
                <w:highlight w:val="none"/>
                <w:lang w:val="en-US" w:eastAsia="zh-CN"/>
              </w:rPr>
              <w:t>20</w:t>
            </w:r>
            <w:r>
              <w:rPr>
                <w:rFonts w:hint="eastAsia" w:ascii="宋体" w:hAnsi="宋体" w:eastAsia="宋体" w:cs="宋体"/>
                <w:bCs/>
                <w:color w:val="auto"/>
                <w:sz w:val="24"/>
                <w:szCs w:val="24"/>
                <w:highlight w:val="none"/>
                <w:lang w:val="en-US" w:eastAsia="zh-CN"/>
              </w:rPr>
              <w:t>000</w:t>
            </w:r>
            <w:r>
              <w:rPr>
                <w:rFonts w:hint="eastAsia" w:ascii="宋体" w:hAnsi="宋体" w:cs="宋体"/>
                <w:bCs/>
                <w:color w:val="auto"/>
                <w:sz w:val="24"/>
                <w:szCs w:val="24"/>
                <w:highlight w:val="none"/>
                <w:lang w:val="en-US" w:eastAsia="zh-CN"/>
              </w:rPr>
              <w:t>.00</w:t>
            </w:r>
            <w:r>
              <w:rPr>
                <w:rFonts w:hint="eastAsia" w:ascii="宋体" w:hAnsi="宋体" w:eastAsia="宋体" w:cs="宋体"/>
                <w:bCs/>
                <w:color w:val="auto"/>
                <w:sz w:val="24"/>
                <w:szCs w:val="24"/>
                <w:highlight w:val="none"/>
                <w:lang w:val="en-US" w:eastAsia="zh-CN"/>
              </w:rPr>
              <w:t>元（大写：</w:t>
            </w:r>
            <w:r>
              <w:rPr>
                <w:rFonts w:hint="eastAsia" w:ascii="宋体" w:hAnsi="宋体" w:cs="宋体"/>
                <w:bCs/>
                <w:color w:val="auto"/>
                <w:sz w:val="24"/>
                <w:szCs w:val="24"/>
                <w:highlight w:val="none"/>
                <w:lang w:val="en-US" w:eastAsia="zh-CN"/>
              </w:rPr>
              <w:t>贰万元整</w:t>
            </w:r>
            <w:r>
              <w:rPr>
                <w:rFonts w:hint="eastAsia" w:ascii="宋体" w:hAnsi="宋体" w:eastAsia="宋体" w:cs="宋体"/>
                <w:bCs/>
                <w:color w:val="auto"/>
                <w:sz w:val="24"/>
                <w:szCs w:val="24"/>
                <w:highlight w:val="none"/>
                <w:lang w:val="en-US" w:eastAsia="zh-CN"/>
              </w:rPr>
              <w:t>）；</w:t>
            </w:r>
          </w:p>
          <w:p w14:paraId="66585636">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缴纳方式：转账、电汇、支票、汇票、本票、金融机构或担保机构出具的保函（推荐使用政府采购电子保函）等非现金形式以基本户进行提交。</w:t>
            </w:r>
          </w:p>
          <w:p w14:paraId="65C6F5DB">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磋商保证金缴纳账号：</w:t>
            </w:r>
          </w:p>
          <w:p w14:paraId="694C7D89">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账户名称：新疆介石项目管理有限公司</w:t>
            </w:r>
          </w:p>
          <w:p w14:paraId="00EDF103">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开户银行：中国建设银行库尔勒石化大道支行</w:t>
            </w:r>
          </w:p>
          <w:p w14:paraId="7C9DF8AE">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银行账号：65050110575400001431</w:t>
            </w:r>
          </w:p>
          <w:p w14:paraId="690AEC89">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行号：105888000241</w:t>
            </w:r>
          </w:p>
          <w:p w14:paraId="3E4EAA23">
            <w:pPr>
              <w:spacing w:line="360" w:lineRule="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缴纳期限：须在</w:t>
            </w:r>
            <w:r>
              <w:rPr>
                <w:rFonts w:hint="eastAsia" w:ascii="宋体" w:hAnsi="宋体" w:cs="宋体"/>
                <w:bCs/>
                <w:color w:val="auto"/>
                <w:sz w:val="24"/>
                <w:szCs w:val="24"/>
                <w:highlight w:val="none"/>
                <w:lang w:val="en-US" w:eastAsia="zh-CN"/>
              </w:rPr>
              <w:t>2025年4月21日</w:t>
            </w:r>
            <w:r>
              <w:rPr>
                <w:rFonts w:hint="eastAsia" w:ascii="宋体" w:hAnsi="宋体" w:eastAsia="宋体" w:cs="宋体"/>
                <w:bCs/>
                <w:color w:val="auto"/>
                <w:sz w:val="24"/>
                <w:szCs w:val="24"/>
                <w:highlight w:val="none"/>
                <w:lang w:val="en-US" w:eastAsia="zh-CN"/>
              </w:rPr>
              <w:t>10:30时（北京时间）前将投标保证金汇入指定账户，供应商应充分考虑资金在途时间。</w:t>
            </w:r>
          </w:p>
          <w:p w14:paraId="029975BD">
            <w:pPr>
              <w:spacing w:line="360" w:lineRule="auto"/>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缴纳凭证上注明：投标人名称、金额、</w:t>
            </w:r>
            <w:r>
              <w:rPr>
                <w:rFonts w:hint="eastAsia" w:asciiTheme="minorEastAsia" w:hAnsiTheme="minorEastAsia" w:eastAsiaTheme="minorEastAsia" w:cstheme="minorEastAsia"/>
                <w:b w:val="0"/>
                <w:bCs w:val="0"/>
                <w:color w:val="auto"/>
                <w:sz w:val="24"/>
                <w:szCs w:val="24"/>
                <w:highlight w:val="none"/>
                <w:lang w:eastAsia="zh-CN"/>
              </w:rPr>
              <w:t>XJJSZC（JZXCS）2025-004</w:t>
            </w:r>
          </w:p>
        </w:tc>
      </w:tr>
      <w:tr w14:paraId="6616D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F0BF711">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10</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E836E4A">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供应商提出问题的截止时间</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5B64A59A">
            <w:pPr>
              <w:spacing w:line="360" w:lineRule="auto"/>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在响应文件递交截止时间5日前</w:t>
            </w:r>
          </w:p>
        </w:tc>
      </w:tr>
      <w:tr w14:paraId="5CD24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75267694">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C0CC314">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采购人书面澄清的时间</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AF84832">
            <w:pPr>
              <w:spacing w:line="340" w:lineRule="exact"/>
              <w:jc w:val="left"/>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在响应文件递交截止时间5日前</w:t>
            </w:r>
          </w:p>
        </w:tc>
      </w:tr>
      <w:tr w14:paraId="0002F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DEC39AB">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54BE820">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评标方法</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C5816CB">
            <w:pPr>
              <w:jc w:val="left"/>
              <w:rPr>
                <w:rFonts w:hint="default" w:ascii="宋体" w:hAnsi="宋体" w:cs="宋体"/>
                <w:color w:val="auto"/>
                <w:sz w:val="24"/>
                <w:szCs w:val="24"/>
                <w:highlight w:val="none"/>
                <w:lang w:val="en-US"/>
              </w:rPr>
            </w:pPr>
            <w:r>
              <w:rPr>
                <w:rFonts w:hint="eastAsia" w:ascii="宋体" w:hAnsi="宋体" w:eastAsia="宋体" w:cs="宋体"/>
                <w:color w:val="auto"/>
                <w:sz w:val="24"/>
                <w:szCs w:val="24"/>
                <w:highlight w:val="none"/>
              </w:rPr>
              <w:t>综合评分法</w:t>
            </w:r>
          </w:p>
        </w:tc>
      </w:tr>
      <w:tr w14:paraId="543C1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7381707">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80CB1FA">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评审小组</w:t>
            </w:r>
          </w:p>
          <w:p w14:paraId="5940A31A">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的组建</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F7565F8">
            <w:pPr>
              <w:overflowPunct w:val="0"/>
              <w:spacing w:line="440" w:lineRule="exact"/>
              <w:jc w:val="left"/>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招标采购单位依法组建磋商小组共</w:t>
            </w:r>
            <w:r>
              <w:rPr>
                <w:rFonts w:hint="eastAsia" w:ascii="宋体" w:hAnsi="宋体" w:cs="宋体"/>
                <w:bCs/>
                <w:color w:val="auto"/>
                <w:sz w:val="24"/>
                <w:szCs w:val="24"/>
                <w:highlight w:val="none"/>
                <w:u w:val="single"/>
                <w:lang w:val="en-US" w:eastAsia="zh-CN"/>
              </w:rPr>
              <w:t>5</w:t>
            </w:r>
            <w:r>
              <w:rPr>
                <w:rFonts w:hint="eastAsia" w:ascii="宋体" w:hAnsi="宋体" w:eastAsia="宋体" w:cs="宋体"/>
                <w:bCs/>
                <w:color w:val="auto"/>
                <w:sz w:val="24"/>
                <w:szCs w:val="24"/>
                <w:highlight w:val="none"/>
                <w:lang w:val="en-US" w:eastAsia="zh-CN"/>
              </w:rPr>
              <w:t>人组成，其中采购人代表</w:t>
            </w:r>
            <w:r>
              <w:rPr>
                <w:rFonts w:hint="eastAsia" w:ascii="宋体" w:hAnsi="宋体" w:eastAsia="宋体" w:cs="宋体"/>
                <w:bCs/>
                <w:color w:val="auto"/>
                <w:sz w:val="24"/>
                <w:szCs w:val="24"/>
                <w:highlight w:val="none"/>
                <w:u w:val="single"/>
                <w:lang w:val="en-US" w:eastAsia="zh-CN"/>
              </w:rPr>
              <w:t>1</w:t>
            </w:r>
            <w:r>
              <w:rPr>
                <w:rFonts w:hint="eastAsia" w:ascii="宋体" w:hAnsi="宋体" w:eastAsia="宋体" w:cs="宋体"/>
                <w:bCs/>
                <w:color w:val="auto"/>
                <w:sz w:val="24"/>
                <w:szCs w:val="24"/>
                <w:highlight w:val="none"/>
                <w:lang w:val="en-US" w:eastAsia="zh-CN"/>
              </w:rPr>
              <w:t>人和专家评委</w:t>
            </w:r>
            <w:r>
              <w:rPr>
                <w:rFonts w:hint="eastAsia" w:ascii="宋体" w:hAnsi="宋体" w:cs="宋体"/>
                <w:bCs/>
                <w:color w:val="auto"/>
                <w:sz w:val="24"/>
                <w:szCs w:val="24"/>
                <w:highlight w:val="none"/>
                <w:u w:val="single"/>
                <w:lang w:val="en-US" w:eastAsia="zh-CN"/>
              </w:rPr>
              <w:t>4</w:t>
            </w:r>
            <w:r>
              <w:rPr>
                <w:rFonts w:hint="eastAsia" w:ascii="宋体" w:hAnsi="宋体" w:eastAsia="宋体" w:cs="宋体"/>
                <w:bCs/>
                <w:color w:val="auto"/>
                <w:sz w:val="24"/>
                <w:szCs w:val="24"/>
                <w:highlight w:val="none"/>
                <w:lang w:val="en-US" w:eastAsia="zh-CN"/>
              </w:rPr>
              <w:t>人。小组确定方式：从政采云专家库中随机抽取确定。</w:t>
            </w:r>
          </w:p>
        </w:tc>
      </w:tr>
      <w:tr w14:paraId="50160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817" w:type="dxa"/>
            <w:vMerge w:val="restart"/>
            <w:tcBorders>
              <w:top w:val="single" w:color="auto" w:sz="4" w:space="0"/>
              <w:left w:val="single" w:color="auto" w:sz="4" w:space="0"/>
              <w:right w:val="single" w:color="auto" w:sz="4" w:space="0"/>
            </w:tcBorders>
            <w:noWrap w:val="0"/>
            <w:vAlign w:val="center"/>
          </w:tcPr>
          <w:p w14:paraId="12A539F1">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34487DF">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投标计价方式</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072CBADB">
            <w:pPr>
              <w:overflowPunct w:val="0"/>
              <w:spacing w:line="440" w:lineRule="exact"/>
              <w:jc w:val="left"/>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工程量清单计价</w:t>
            </w:r>
          </w:p>
        </w:tc>
      </w:tr>
      <w:tr w14:paraId="4C954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8" w:hRule="atLeast"/>
          <w:jc w:val="center"/>
        </w:trPr>
        <w:tc>
          <w:tcPr>
            <w:tcW w:w="817" w:type="dxa"/>
            <w:vMerge w:val="continue"/>
            <w:tcBorders>
              <w:left w:val="single" w:color="auto" w:sz="4" w:space="0"/>
              <w:bottom w:val="single" w:color="auto" w:sz="4" w:space="0"/>
              <w:right w:val="single" w:color="auto" w:sz="4" w:space="0"/>
            </w:tcBorders>
            <w:noWrap w:val="0"/>
            <w:vAlign w:val="center"/>
          </w:tcPr>
          <w:p w14:paraId="5FFCD67B">
            <w:pPr>
              <w:jc w:val="center"/>
              <w:rPr>
                <w:rFonts w:hint="eastAsia" w:asciiTheme="minorEastAsia" w:hAnsiTheme="minorEastAsia" w:eastAsiaTheme="minorEastAsia" w:cstheme="minorEastAsia"/>
                <w:color w:val="auto"/>
                <w:sz w:val="24"/>
                <w:szCs w:val="24"/>
                <w:highlight w:val="none"/>
                <w:lang w:val="en-US" w:eastAsia="zh-CN"/>
              </w:rPr>
            </w:pPr>
          </w:p>
        </w:tc>
        <w:tc>
          <w:tcPr>
            <w:tcW w:w="1759" w:type="dxa"/>
            <w:tcBorders>
              <w:top w:val="single" w:color="auto" w:sz="4" w:space="0"/>
              <w:left w:val="single" w:color="auto" w:sz="4" w:space="0"/>
              <w:bottom w:val="single" w:color="auto" w:sz="4" w:space="0"/>
              <w:right w:val="single" w:color="auto" w:sz="4" w:space="0"/>
            </w:tcBorders>
            <w:noWrap w:val="0"/>
            <w:vAlign w:val="center"/>
          </w:tcPr>
          <w:p w14:paraId="3D3925A8">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投标报价要求</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3168D71C">
            <w:pPr>
              <w:widowControl/>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（1）不论投标结果如何，投标人均应自行承担所有与投标有关的全部费用。</w:t>
            </w:r>
          </w:p>
          <w:p w14:paraId="280F2CC9">
            <w:pPr>
              <w:widowControl/>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（2）本项目的报价和结算支付均以人民币为货币单位。</w:t>
            </w:r>
          </w:p>
          <w:p w14:paraId="1DE7349B">
            <w:pPr>
              <w:widowControl/>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（3）工程量清单中所列工程量仅作为各投标人投标报价的共同基础，不能作为最终结算与支付的唯一依据。结算工程经招标人和承包人双方核定确认，最终以招标人的审计结果为准。</w:t>
            </w:r>
          </w:p>
          <w:p w14:paraId="239499FE">
            <w:pPr>
              <w:pStyle w:val="40"/>
              <w:spacing w:line="360" w:lineRule="auto"/>
              <w:ind w:left="0" w:leftChars="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投标总报价为供应商完成招标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1E5D05B5">
            <w:pPr>
              <w:overflowPunct w:val="0"/>
              <w:spacing w:line="440" w:lineRule="exact"/>
              <w:jc w:val="left"/>
              <w:rPr>
                <w:rFonts w:hint="default" w:ascii="宋体" w:hAnsi="宋体" w:cs="宋体"/>
                <w:color w:val="auto"/>
                <w:sz w:val="24"/>
                <w:szCs w:val="24"/>
                <w:highlight w:val="none"/>
                <w:lang w:val="en-US"/>
              </w:rPr>
            </w:pPr>
            <w:r>
              <w:rPr>
                <w:rFonts w:hint="eastAsia" w:ascii="宋体" w:hAnsi="宋体" w:eastAsia="宋体" w:cs="宋体"/>
                <w:color w:val="auto"/>
                <w:sz w:val="24"/>
                <w:szCs w:val="24"/>
                <w:highlight w:val="none"/>
                <w:lang w:val="en-US" w:eastAsia="zh-CN"/>
              </w:rPr>
              <w:t>（5）投标人应先到工地踏勘以充分了解工地位置、情况、道路、储存空间、装卸限制及任何其它足以影响承包价的情况，在投标报价中考虑，任何因忽视或误解工地情况而导致的索赔或工期延长申请将不获批准。</w:t>
            </w:r>
          </w:p>
        </w:tc>
      </w:tr>
      <w:tr w14:paraId="0A0E65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left w:val="single" w:color="auto" w:sz="4" w:space="0"/>
              <w:bottom w:val="single" w:color="auto" w:sz="4" w:space="0"/>
              <w:right w:val="single" w:color="auto" w:sz="4" w:space="0"/>
            </w:tcBorders>
            <w:noWrap w:val="0"/>
            <w:vAlign w:val="center"/>
          </w:tcPr>
          <w:p w14:paraId="065C113D">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15</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9B030A0">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低于成本价不正当竞争预防措施</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101C9649">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在评标过程中，投标人报价低于其他有效投标人报价有可能影响产品质量或者不能诚信履约的，评标委员会应当要求其在评标现场合理的时间内提供成本构成书面说明，并提交相关证明材料。</w:t>
            </w:r>
          </w:p>
          <w:p w14:paraId="624C21BD">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书面说明应当按照国家财务会计制度的规定要求，逐项就供应商提供的货物、工程和服务的主营业务成本（应根据供应商企业类型予以区别）、税金及附加、销售费用、管理费用、财务费用等成本构成事项详细陈述。</w:t>
            </w:r>
          </w:p>
          <w:p w14:paraId="2FC49A25">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329351AB">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p>
        </w:tc>
      </w:tr>
      <w:tr w14:paraId="6B05B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left w:val="single" w:color="auto" w:sz="4" w:space="0"/>
              <w:bottom w:val="single" w:color="auto" w:sz="4" w:space="0"/>
              <w:right w:val="single" w:color="auto" w:sz="4" w:space="0"/>
            </w:tcBorders>
            <w:noWrap w:val="0"/>
            <w:vAlign w:val="center"/>
          </w:tcPr>
          <w:p w14:paraId="573E11A2">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16</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625BCE5">
            <w:pPr>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商务、经济、技术文件</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EF73CCD">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1、投标文件组成：由商务</w:t>
            </w:r>
            <w:r>
              <w:rPr>
                <w:rFonts w:hint="eastAsia" w:ascii="宋体" w:hAnsi="宋体" w:eastAsia="宋体" w:cs="宋体"/>
                <w:color w:val="auto"/>
                <w:sz w:val="24"/>
                <w:szCs w:val="24"/>
                <w:highlight w:val="none"/>
                <w:lang w:val="en-US" w:eastAsia="zh-CN"/>
              </w:rPr>
              <w:t>部分</w:t>
            </w:r>
            <w:r>
              <w:rPr>
                <w:rFonts w:hint="eastAsia" w:ascii="宋体" w:hAnsi="宋体" w:eastAsia="宋体" w:cs="宋体"/>
                <w:color w:val="auto"/>
                <w:sz w:val="24"/>
                <w:szCs w:val="24"/>
                <w:highlight w:val="none"/>
                <w:lang w:val="zh-CN"/>
              </w:rPr>
              <w:t>、技术</w:t>
            </w:r>
            <w:r>
              <w:rPr>
                <w:rFonts w:hint="eastAsia" w:ascii="宋体" w:hAnsi="宋体" w:eastAsia="宋体" w:cs="宋体"/>
                <w:color w:val="auto"/>
                <w:sz w:val="24"/>
                <w:szCs w:val="24"/>
                <w:highlight w:val="none"/>
                <w:lang w:val="en-US" w:eastAsia="zh-CN"/>
              </w:rPr>
              <w:t>部分</w:t>
            </w:r>
            <w:r>
              <w:rPr>
                <w:rFonts w:hint="eastAsia" w:ascii="宋体" w:hAnsi="宋体" w:eastAsia="宋体" w:cs="宋体"/>
                <w:color w:val="auto"/>
                <w:sz w:val="24"/>
                <w:szCs w:val="24"/>
                <w:highlight w:val="none"/>
                <w:lang w:val="zh-CN"/>
              </w:rPr>
              <w:t>和经济</w:t>
            </w:r>
            <w:r>
              <w:rPr>
                <w:rFonts w:hint="eastAsia" w:ascii="宋体" w:hAnsi="宋体" w:eastAsia="宋体" w:cs="宋体"/>
                <w:color w:val="auto"/>
                <w:sz w:val="24"/>
                <w:szCs w:val="24"/>
                <w:highlight w:val="none"/>
                <w:lang w:val="en-US" w:eastAsia="zh-CN"/>
              </w:rPr>
              <w:t>部分</w:t>
            </w:r>
            <w:r>
              <w:rPr>
                <w:rFonts w:hint="eastAsia" w:ascii="宋体" w:hAnsi="宋体" w:eastAsia="宋体" w:cs="宋体"/>
                <w:color w:val="auto"/>
                <w:sz w:val="24"/>
                <w:szCs w:val="24"/>
                <w:highlight w:val="none"/>
                <w:lang w:val="zh-CN"/>
              </w:rPr>
              <w:t>构成。</w:t>
            </w:r>
          </w:p>
          <w:p w14:paraId="71A370EA">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投标文件编制：供应商应先安装“政采云电子投标客户端”，并按照本采购文件和“政府采购云平台”的要求，通过“政采云电子投标客户端”编制并加密投标文件。</w:t>
            </w:r>
          </w:p>
          <w:p w14:paraId="4FB94C66">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投标文件的签章：电子签章。</w:t>
            </w:r>
          </w:p>
          <w:p w14:paraId="03EC25A4">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投标文件的形式：☑电子投标文件</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包括“电子加密投标文件”、“备份投标文件”（如有）</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zh-CN"/>
              </w:rPr>
              <w:t>☑“纸质标书”；</w:t>
            </w:r>
          </w:p>
          <w:p w14:paraId="0EF254DE">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（1）“电子加密投标文件”是指通过“政采云电子投标客户端”完成投标文件编制后生成并加密的数据电文形式的投标文件。</w:t>
            </w:r>
          </w:p>
          <w:p w14:paraId="013D081A">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（2）“备份投标文件”（若有）是指与“电子加密投标文件”同时生成的数据电文形式的电子文件（备份标书），其他方式编制的备份投标文件视为无效备份投标文件。</w:t>
            </w:r>
          </w:p>
          <w:p w14:paraId="0CDCB6EB">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5、投标文件份数：</w:t>
            </w:r>
          </w:p>
          <w:p w14:paraId="66E65A61">
            <w:pPr>
              <w:spacing w:line="360" w:lineRule="auto"/>
              <w:jc w:val="left"/>
              <w:rPr>
                <w:rFonts w:hint="eastAsia"/>
                <w:color w:val="auto"/>
                <w:highlight w:val="none"/>
                <w:lang w:val="zh-CN"/>
              </w:rPr>
            </w:pPr>
            <w:r>
              <w:rPr>
                <w:rFonts w:hint="eastAsia" w:ascii="宋体" w:hAnsi="宋体" w:eastAsia="宋体" w:cs="宋体"/>
                <w:color w:val="auto"/>
                <w:sz w:val="24"/>
                <w:szCs w:val="24"/>
                <w:highlight w:val="none"/>
                <w:lang w:val="zh-CN"/>
              </w:rPr>
              <w:t>（1）“电子加密投标文件”：在线上传递交。</w:t>
            </w:r>
          </w:p>
          <w:p w14:paraId="119CDDC8">
            <w:pPr>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rPr>
              <w:t>）“纸质标书”：开标后</w:t>
            </w:r>
            <w:r>
              <w:rPr>
                <w:rFonts w:hint="eastAsia" w:ascii="宋体" w:hAnsi="宋体" w:eastAsia="宋体" w:cs="宋体"/>
                <w:color w:val="auto"/>
                <w:sz w:val="24"/>
                <w:szCs w:val="24"/>
                <w:highlight w:val="none"/>
                <w:lang w:val="en-US" w:eastAsia="zh-CN"/>
              </w:rPr>
              <w:t>中标人</w:t>
            </w:r>
            <w:r>
              <w:rPr>
                <w:rFonts w:hint="eastAsia" w:ascii="宋体" w:hAnsi="宋体" w:eastAsia="宋体" w:cs="宋体"/>
                <w:color w:val="auto"/>
                <w:sz w:val="24"/>
                <w:szCs w:val="24"/>
                <w:highlight w:val="none"/>
                <w:lang w:val="zh-CN"/>
              </w:rPr>
              <w:t>需在公示期满后</w:t>
            </w:r>
            <w:r>
              <w:rPr>
                <w:rFonts w:hint="eastAsia" w:ascii="宋体" w:hAnsi="宋体" w:eastAsia="宋体" w:cs="宋体"/>
                <w:color w:val="auto"/>
                <w:sz w:val="24"/>
                <w:szCs w:val="24"/>
                <w:highlight w:val="none"/>
                <w:lang w:val="en-US" w:eastAsia="zh-CN"/>
              </w:rPr>
              <w:t>2日内</w:t>
            </w:r>
            <w:r>
              <w:rPr>
                <w:rFonts w:hint="eastAsia" w:ascii="宋体" w:hAnsi="宋体" w:eastAsia="宋体" w:cs="宋体"/>
                <w:color w:val="auto"/>
                <w:sz w:val="24"/>
                <w:szCs w:val="24"/>
                <w:highlight w:val="none"/>
                <w:lang w:val="zh-CN"/>
              </w:rPr>
              <w:t>，另行提交纸质版及电子版投标文件（</w:t>
            </w:r>
            <w:r>
              <w:rPr>
                <w:rFonts w:hint="eastAsia" w:ascii="宋体" w:hAnsi="宋体" w:eastAsia="宋体" w:cs="宋体"/>
                <w:color w:val="auto"/>
                <w:sz w:val="24"/>
                <w:szCs w:val="24"/>
                <w:highlight w:val="none"/>
                <w:lang w:val="en-US" w:eastAsia="zh-CN"/>
              </w:rPr>
              <w:t>纸质版</w:t>
            </w:r>
            <w:r>
              <w:rPr>
                <w:rFonts w:hint="eastAsia" w:ascii="宋体" w:hAnsi="宋体" w:eastAsia="宋体" w:cs="宋体"/>
                <w:color w:val="auto"/>
                <w:sz w:val="24"/>
                <w:szCs w:val="24"/>
                <w:highlight w:val="none"/>
                <w:lang w:val="zh-CN"/>
              </w:rPr>
              <w:t>正本一份、副本</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val="zh-CN"/>
              </w:rPr>
              <w:t>份及电子版</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U盘或光盘</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一份</w:t>
            </w:r>
            <w:r>
              <w:rPr>
                <w:rFonts w:hint="eastAsia" w:ascii="宋体" w:hAnsi="宋体" w:eastAsia="宋体" w:cs="宋体"/>
                <w:color w:val="auto"/>
                <w:sz w:val="24"/>
                <w:szCs w:val="24"/>
                <w:highlight w:val="none"/>
                <w:lang w:val="zh-CN"/>
              </w:rPr>
              <w:t>）。递交至招标</w:t>
            </w:r>
            <w:r>
              <w:rPr>
                <w:rFonts w:hint="eastAsia" w:ascii="宋体" w:hAnsi="宋体" w:eastAsia="宋体" w:cs="宋体"/>
                <w:color w:val="auto"/>
                <w:sz w:val="24"/>
                <w:szCs w:val="24"/>
                <w:highlight w:val="none"/>
                <w:lang w:val="en-US" w:eastAsia="zh-CN"/>
              </w:rPr>
              <w:t>代理处存档，内容须与电子版投标文件内容一致，纸质投标文件一律不予退还。</w:t>
            </w:r>
            <w:r>
              <w:rPr>
                <w:rFonts w:hint="eastAsia" w:ascii="宋体" w:hAnsi="宋体" w:eastAsia="宋体" w:cs="宋体"/>
                <w:color w:val="auto"/>
                <w:sz w:val="24"/>
                <w:szCs w:val="24"/>
                <w:highlight w:val="none"/>
                <w:lang w:val="zh-CN"/>
              </w:rPr>
              <w:t>纸质版及电子版标书邮寄地址及收件人：</w:t>
            </w:r>
            <w:r>
              <w:rPr>
                <w:rFonts w:hint="eastAsia" w:ascii="宋体" w:hAnsi="宋体" w:eastAsia="宋体" w:cs="宋体"/>
                <w:color w:val="auto"/>
                <w:sz w:val="24"/>
                <w:szCs w:val="24"/>
                <w:highlight w:val="none"/>
                <w:lang w:val="en-US" w:eastAsia="zh-CN"/>
              </w:rPr>
              <w:t>库尔勒市铁克其乡迎宾路98号智慧嘉苑4栋2层01号</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新疆介石项目管理有限公司</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收件</w:t>
            </w:r>
            <w:r>
              <w:rPr>
                <w:rFonts w:hint="eastAsia" w:ascii="宋体" w:hAnsi="宋体" w:eastAsia="宋体" w:cs="宋体"/>
                <w:color w:val="auto"/>
                <w:sz w:val="24"/>
                <w:szCs w:val="24"/>
                <w:highlight w:val="none"/>
                <w:lang w:val="zh-CN" w:eastAsia="zh-CN"/>
              </w:rPr>
              <w:t>人</w:t>
            </w:r>
            <w:r>
              <w:rPr>
                <w:rFonts w:hint="eastAsia" w:ascii="宋体" w:hAnsi="宋体" w:eastAsia="宋体" w:cs="宋体"/>
                <w:color w:val="auto"/>
                <w:sz w:val="24"/>
                <w:szCs w:val="24"/>
                <w:highlight w:val="none"/>
                <w:lang w:val="en-US" w:eastAsia="zh-CN"/>
              </w:rPr>
              <w:t>:谢小东，</w:t>
            </w:r>
            <w:r>
              <w:rPr>
                <w:rFonts w:hint="eastAsia" w:ascii="宋体" w:hAnsi="宋体" w:eastAsia="宋体" w:cs="宋体"/>
                <w:color w:val="auto"/>
                <w:sz w:val="24"/>
                <w:szCs w:val="24"/>
                <w:highlight w:val="none"/>
                <w:lang w:val="zh-CN" w:eastAsia="zh-CN"/>
              </w:rPr>
              <w:t>联系电话：</w:t>
            </w:r>
            <w:r>
              <w:rPr>
                <w:rFonts w:hint="eastAsia" w:ascii="宋体" w:hAnsi="宋体" w:eastAsia="宋体" w:cs="宋体"/>
                <w:color w:val="auto"/>
                <w:sz w:val="24"/>
                <w:szCs w:val="24"/>
                <w:highlight w:val="none"/>
                <w:lang w:val="en-US" w:eastAsia="zh-CN"/>
              </w:rPr>
              <w:t>17794895987</w:t>
            </w:r>
            <w:r>
              <w:rPr>
                <w:rFonts w:hint="eastAsia" w:ascii="宋体" w:hAnsi="宋体" w:eastAsia="宋体" w:cs="宋体"/>
                <w:color w:val="auto"/>
                <w:sz w:val="24"/>
                <w:szCs w:val="24"/>
                <w:highlight w:val="none"/>
                <w:lang w:val="zh-CN" w:eastAsia="zh-CN"/>
              </w:rPr>
              <w:t>。</w:t>
            </w:r>
          </w:p>
          <w:p w14:paraId="55A77151">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通过“政府采购云平台”成功上传递交的“电子加密投标文件”已按时解密的，“备份投标文件”自动失效。投标截止时间前，供应商仅递交了“备份投标文件”而未将“电子加密投标文件”成功上传至“政府采购云平台”的，投标无效。</w:t>
            </w:r>
          </w:p>
          <w:p w14:paraId="639D56BD">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6、投标截止后，在投标有效期内，供应商不能撤销投标文件。</w:t>
            </w:r>
          </w:p>
          <w:p w14:paraId="3AB87260">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zh-CN"/>
              </w:rPr>
              <w:t>、中标后，供应商拒绝签订合同的，采购人可以按照评审报告推荐的中标候选人名单排序，确定下一候选人为中标供应商，也可以重新开展政府采购活动。</w:t>
            </w:r>
          </w:p>
          <w:p w14:paraId="1A79BFC2">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lang w:val="zh-CN"/>
              </w:rPr>
              <w:t>、存在下列行为的，招标代理机构将其失信行为上报政府采购主管部门，由主管部门按有关规定对其违法失信行为记录进行公开：</w:t>
            </w:r>
          </w:p>
          <w:p w14:paraId="768C0535">
            <w:pPr>
              <w:spacing w:line="360" w:lineRule="auto"/>
              <w:jc w:val="left"/>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（1）中标或者成交后，拒绝签订政府采购合同的；</w:t>
            </w:r>
          </w:p>
          <w:p w14:paraId="493DE4DA">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（2）投标有效期内撤销投标文件的</w:t>
            </w:r>
            <w:r>
              <w:rPr>
                <w:rFonts w:hint="eastAsia" w:ascii="宋体" w:hAnsi="宋体" w:eastAsia="宋体" w:cs="宋体"/>
                <w:color w:val="auto"/>
                <w:sz w:val="24"/>
                <w:szCs w:val="24"/>
                <w:highlight w:val="none"/>
                <w:lang w:val="zh-CN" w:eastAsia="zh-CN"/>
              </w:rPr>
              <w:t>。</w:t>
            </w:r>
          </w:p>
        </w:tc>
      </w:tr>
      <w:tr w14:paraId="3255C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1ADFB5E">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17</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702E792">
            <w:pPr>
              <w:jc w:val="center"/>
              <w:rPr>
                <w:rFonts w:hint="eastAsia" w:ascii="宋体" w:hAnsi="宋体" w:cs="宋体"/>
                <w:b/>
                <w:bCs/>
                <w:color w:val="auto"/>
                <w:sz w:val="24"/>
                <w:szCs w:val="24"/>
                <w:highlight w:val="none"/>
              </w:rPr>
            </w:pPr>
            <w:r>
              <w:rPr>
                <w:rFonts w:hint="eastAsia" w:ascii="宋体" w:hAnsi="宋体" w:eastAsia="宋体" w:cs="宋体"/>
                <w:b w:val="0"/>
                <w:bCs w:val="0"/>
                <w:color w:val="auto"/>
                <w:sz w:val="24"/>
                <w:szCs w:val="24"/>
                <w:highlight w:val="none"/>
              </w:rPr>
              <w:t>标前准备</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7EDAB8BC">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1、本项目实行网上投标，采用电子投标文件。若供应商参与投标，自行承担投标一切费用。</w:t>
            </w:r>
          </w:p>
          <w:p w14:paraId="4CCC8806">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2、各供应商在开标前应确保成为新疆维吾尔自治区政府采购网正式注册入库供应商，并完成CA数字证书申领。因未注册入库、未办理CA数字证书等原因造成无法投标或投标失败等后果由供应商自行承担。</w:t>
            </w:r>
          </w:p>
          <w:p w14:paraId="2652E3F3">
            <w:pPr>
              <w:overflowPunct w:val="0"/>
              <w:spacing w:line="440" w:lineRule="exact"/>
              <w:jc w:val="left"/>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3、供应商将政采云电子交易客户端下载、安装完成后，可通过账号密码或CA登录客户端进行投标文件制作。在使用政采云投标客户端时，建议使用WIN7及以上操作系统。客户端请至新疆政府采购网（</w:t>
            </w:r>
            <w:r>
              <w:rPr>
                <w:rFonts w:hint="eastAsia" w:ascii="宋体" w:hAnsi="宋体" w:eastAsia="宋体" w:cs="宋体"/>
                <w:bCs/>
                <w:color w:val="auto"/>
                <w:sz w:val="24"/>
                <w:szCs w:val="24"/>
                <w:highlight w:val="none"/>
                <w:lang w:val="en-US" w:eastAsia="zh-CN"/>
              </w:rPr>
              <w:fldChar w:fldCharType="begin"/>
            </w:r>
            <w:r>
              <w:rPr>
                <w:rFonts w:hint="eastAsia" w:ascii="宋体" w:hAnsi="宋体" w:eastAsia="宋体" w:cs="宋体"/>
                <w:bCs/>
                <w:color w:val="auto"/>
                <w:sz w:val="24"/>
                <w:szCs w:val="24"/>
                <w:highlight w:val="none"/>
                <w:lang w:val="en-US" w:eastAsia="zh-CN"/>
              </w:rPr>
              <w:instrText xml:space="preserve">HYPERLINK"http://www.ccgp-xinjiang.gov.cn/"</w:instrText>
            </w:r>
            <w:r>
              <w:rPr>
                <w:rFonts w:hint="eastAsia" w:ascii="宋体" w:hAnsi="宋体" w:eastAsia="宋体" w:cs="宋体"/>
                <w:bCs/>
                <w:color w:val="auto"/>
                <w:sz w:val="24"/>
                <w:szCs w:val="24"/>
                <w:highlight w:val="none"/>
                <w:lang w:val="en-US" w:eastAsia="zh-CN"/>
              </w:rPr>
              <w:fldChar w:fldCharType="separate"/>
            </w:r>
            <w:r>
              <w:rPr>
                <w:rFonts w:hint="eastAsia" w:ascii="宋体" w:hAnsi="宋体" w:eastAsia="宋体" w:cs="宋体"/>
                <w:bCs/>
                <w:color w:val="auto"/>
                <w:sz w:val="24"/>
                <w:szCs w:val="24"/>
                <w:highlight w:val="none"/>
                <w:lang w:val="en-US" w:eastAsia="zh-CN"/>
              </w:rPr>
              <w:t>http://www.ccgp-xinjiang.gov.cn/</w:t>
            </w:r>
            <w:r>
              <w:rPr>
                <w:rFonts w:hint="eastAsia" w:ascii="宋体" w:hAnsi="宋体" w:eastAsia="宋体" w:cs="宋体"/>
                <w:bCs/>
                <w:color w:val="auto"/>
                <w:sz w:val="24"/>
                <w:szCs w:val="24"/>
                <w:highlight w:val="none"/>
                <w:lang w:val="en-US" w:eastAsia="zh-CN"/>
              </w:rPr>
              <w:fldChar w:fldCharType="end"/>
            </w:r>
            <w:r>
              <w:rPr>
                <w:rFonts w:hint="eastAsia" w:ascii="宋体" w:hAnsi="宋体" w:eastAsia="宋体" w:cs="宋体"/>
                <w:bCs/>
                <w:color w:val="auto"/>
                <w:sz w:val="24"/>
                <w:szCs w:val="24"/>
                <w:highlight w:val="none"/>
                <w:lang w:val="en-US" w:eastAsia="zh-CN"/>
              </w:rPr>
              <w:t>）下载专区查看，如有问题可拨打政采云客户服务热线95763进行咨询。</w:t>
            </w:r>
          </w:p>
        </w:tc>
      </w:tr>
      <w:tr w14:paraId="6DFA8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46C6CFDC">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18</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8FC0DC5">
            <w:pPr>
              <w:adjustRightInd w:val="0"/>
              <w:snapToGrid w:val="0"/>
              <w:spacing w:before="120" w:beforeLines="50"/>
              <w:jc w:val="center"/>
              <w:rPr>
                <w:rFonts w:hint="eastAsia" w:ascii="宋体" w:hAnsi="宋体" w:cs="宋体"/>
                <w:b/>
                <w:bCs/>
                <w:color w:val="auto"/>
                <w:sz w:val="24"/>
                <w:szCs w:val="24"/>
                <w:highlight w:val="none"/>
              </w:rPr>
            </w:pPr>
            <w:r>
              <w:rPr>
                <w:rFonts w:hint="eastAsia" w:ascii="宋体" w:hAnsi="宋体" w:eastAsia="宋体" w:cs="宋体"/>
                <w:b w:val="0"/>
                <w:bCs w:val="0"/>
                <w:color w:val="auto"/>
                <w:sz w:val="24"/>
                <w:szCs w:val="24"/>
                <w:highlight w:val="none"/>
              </w:rPr>
              <w:t>响应文件递交</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01FD7205">
            <w:pPr>
              <w:overflowPunct w:val="0"/>
              <w:spacing w:line="44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投标截止时间：</w:t>
            </w:r>
            <w:r>
              <w:rPr>
                <w:rFonts w:hint="eastAsia" w:ascii="宋体" w:hAnsi="宋体" w:cs="宋体"/>
                <w:bCs/>
                <w:color w:val="auto"/>
                <w:sz w:val="24"/>
                <w:szCs w:val="24"/>
                <w:highlight w:val="none"/>
                <w:lang w:val="en-US" w:eastAsia="zh-CN"/>
              </w:rPr>
              <w:t>2025年4月21日</w:t>
            </w:r>
            <w:r>
              <w:rPr>
                <w:rFonts w:hint="eastAsia" w:ascii="宋体" w:hAnsi="宋体" w:eastAsia="宋体" w:cs="宋体"/>
                <w:bCs/>
                <w:color w:val="auto"/>
                <w:sz w:val="24"/>
                <w:szCs w:val="24"/>
                <w:highlight w:val="none"/>
                <w:lang w:val="en-US" w:eastAsia="zh-CN"/>
              </w:rPr>
              <w:t>10:30时（北京时间）</w:t>
            </w:r>
          </w:p>
          <w:p w14:paraId="196DC82D">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投标递交地点：政采云平台</w:t>
            </w:r>
          </w:p>
          <w:p w14:paraId="353CD6E2">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注：</w:t>
            </w:r>
          </w:p>
          <w:p w14:paraId="4F8CF906">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（1）投标文件上传，使用政府采购云平台投标文件制作工具，制作完成需将加密投标文件在投标截止时间前上传至政采云平台对应位置。</w:t>
            </w:r>
          </w:p>
          <w:p w14:paraId="4BA0B82D">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（2）与加密标书同时生成的备份标书，在出现异常情况进行异常处理时使用。比如当加密标书无法正常解密时，可以在开启标书信息前，通过异常处理上传备份标书。</w:t>
            </w:r>
          </w:p>
          <w:p w14:paraId="5355568E">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（3）平台会校验标书一致性及标书身份识别，切勿手动修改标书。</w:t>
            </w:r>
          </w:p>
          <w:p w14:paraId="37B0F904">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（4）供应商生成的后缀格式为.bfbs的备份标书是无法查看的，主要是为了在开标解密时异常处理使用。</w:t>
            </w:r>
          </w:p>
          <w:p w14:paraId="41D00318">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（5）凡因个人原因无法正常解密投标文件（且没提供备份文件至采购代理机构），致使供应商无法参与评标，供应商自行承担后果。</w:t>
            </w:r>
          </w:p>
          <w:p w14:paraId="0B965142">
            <w:pPr>
              <w:overflowPunct w:val="0"/>
              <w:spacing w:line="440" w:lineRule="exact"/>
              <w:jc w:val="left"/>
              <w:rPr>
                <w:rFonts w:hint="default" w:ascii="宋体" w:hAnsi="宋体" w:cs="宋体"/>
                <w:color w:val="auto"/>
                <w:sz w:val="24"/>
                <w:szCs w:val="24"/>
                <w:highlight w:val="none"/>
                <w:lang w:val="en-US"/>
              </w:rPr>
            </w:pPr>
            <w:r>
              <w:rPr>
                <w:rFonts w:hint="eastAsia" w:ascii="宋体" w:hAnsi="宋体" w:eastAsia="宋体" w:cs="宋体"/>
                <w:bCs/>
                <w:color w:val="auto"/>
                <w:sz w:val="24"/>
                <w:szCs w:val="24"/>
                <w:highlight w:val="none"/>
                <w:lang w:val="en-US" w:eastAsia="zh-CN"/>
              </w:rPr>
              <w:t>（6）电报、电话、传真、电子邮件等形式的投标概不接受。</w:t>
            </w:r>
          </w:p>
        </w:tc>
      </w:tr>
      <w:tr w14:paraId="7E113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3468218C">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19</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4E4750FC">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rPr>
              <w:t>开标</w:t>
            </w:r>
            <w:r>
              <w:rPr>
                <w:rFonts w:hint="eastAsia" w:ascii="宋体" w:hAnsi="宋体" w:eastAsia="宋体" w:cs="宋体"/>
                <w:b w:val="0"/>
                <w:bCs w:val="0"/>
                <w:color w:val="auto"/>
                <w:sz w:val="24"/>
                <w:szCs w:val="24"/>
                <w:highlight w:val="none"/>
                <w:lang w:val="en-US" w:eastAsia="zh-CN"/>
              </w:rPr>
              <w:t>时间</w:t>
            </w:r>
          </w:p>
          <w:p w14:paraId="5D2F63B3">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及</w:t>
            </w:r>
            <w:r>
              <w:rPr>
                <w:rFonts w:hint="eastAsia" w:ascii="宋体" w:hAnsi="宋体" w:eastAsia="宋体" w:cs="宋体"/>
                <w:b w:val="0"/>
                <w:bCs w:val="0"/>
                <w:color w:val="auto"/>
                <w:sz w:val="24"/>
                <w:szCs w:val="24"/>
                <w:highlight w:val="none"/>
                <w:lang w:eastAsia="zh-CN"/>
              </w:rPr>
              <w:t>地点</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BD2D37E">
            <w:pPr>
              <w:overflowPunct w:val="0"/>
              <w:spacing w:line="440" w:lineRule="exact"/>
              <w:jc w:val="left"/>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开标时间：</w:t>
            </w:r>
            <w:r>
              <w:rPr>
                <w:rFonts w:hint="eastAsia" w:ascii="宋体" w:hAnsi="宋体" w:cs="宋体"/>
                <w:color w:val="auto"/>
                <w:kern w:val="0"/>
                <w:sz w:val="24"/>
                <w:szCs w:val="24"/>
                <w:highlight w:val="none"/>
                <w:lang w:val="en-US" w:eastAsia="zh-CN"/>
              </w:rPr>
              <w:t>2025年4月21日</w:t>
            </w:r>
            <w:r>
              <w:rPr>
                <w:rFonts w:hint="eastAsia" w:ascii="宋体" w:hAnsi="宋体" w:eastAsia="宋体" w:cs="宋体"/>
                <w:color w:val="auto"/>
                <w:kern w:val="0"/>
                <w:sz w:val="24"/>
                <w:szCs w:val="24"/>
                <w:highlight w:val="none"/>
                <w:lang w:val="en-US" w:eastAsia="zh-CN"/>
              </w:rPr>
              <w:t>10:30时（北京时间）</w:t>
            </w:r>
          </w:p>
          <w:p w14:paraId="1E83B387">
            <w:pPr>
              <w:overflowPunct w:val="0"/>
              <w:spacing w:line="440" w:lineRule="exact"/>
              <w:jc w:val="left"/>
              <w:rPr>
                <w:rFonts w:hint="default" w:ascii="宋体" w:hAnsi="宋体" w:eastAsia="宋体" w:cs="宋体"/>
                <w:bCs/>
                <w:color w:val="auto"/>
                <w:sz w:val="24"/>
                <w:szCs w:val="24"/>
                <w:highlight w:val="none"/>
                <w:lang w:val="en-US"/>
              </w:rPr>
            </w:pPr>
            <w:r>
              <w:rPr>
                <w:rFonts w:hint="eastAsia" w:ascii="宋体" w:hAnsi="宋体" w:eastAsia="宋体" w:cs="宋体"/>
                <w:bCs/>
                <w:color w:val="auto"/>
                <w:sz w:val="24"/>
                <w:szCs w:val="24"/>
                <w:highlight w:val="none"/>
                <w:lang w:val="en-US" w:eastAsia="zh-CN"/>
              </w:rPr>
              <w:t>开标地点：政采云平台</w:t>
            </w:r>
          </w:p>
          <w:p w14:paraId="01A41ED9">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投标人应于</w:t>
            </w:r>
            <w:r>
              <w:rPr>
                <w:rFonts w:hint="eastAsia" w:ascii="宋体" w:hAnsi="宋体" w:cs="宋体"/>
                <w:color w:val="auto"/>
                <w:kern w:val="0"/>
                <w:sz w:val="24"/>
                <w:szCs w:val="24"/>
                <w:highlight w:val="none"/>
                <w:lang w:val="en-US" w:eastAsia="zh-CN"/>
              </w:rPr>
              <w:t>2025年4月21日</w:t>
            </w:r>
            <w:r>
              <w:rPr>
                <w:rFonts w:hint="eastAsia" w:ascii="宋体" w:hAnsi="宋体" w:eastAsia="宋体" w:cs="宋体"/>
                <w:color w:val="auto"/>
                <w:kern w:val="0"/>
                <w:sz w:val="24"/>
                <w:szCs w:val="24"/>
                <w:highlight w:val="none"/>
                <w:lang w:val="en-US" w:eastAsia="zh-CN"/>
              </w:rPr>
              <w:t>10：30北京时间）</w:t>
            </w:r>
            <w:r>
              <w:rPr>
                <w:rFonts w:hint="eastAsia" w:ascii="宋体" w:hAnsi="宋体" w:eastAsia="宋体" w:cs="宋体"/>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w:t>
            </w:r>
            <w:r>
              <w:rPr>
                <w:rFonts w:hint="eastAsia" w:ascii="宋体" w:hAnsi="宋体" w:eastAsia="宋体" w:cs="宋体"/>
                <w:bCs/>
                <w:color w:val="auto"/>
                <w:sz w:val="24"/>
                <w:szCs w:val="24"/>
                <w:highlight w:val="none"/>
                <w:lang w:val="en-US" w:eastAsia="zh-CN"/>
              </w:rPr>
              <w:t>95763</w:t>
            </w:r>
            <w:r>
              <w:rPr>
                <w:rFonts w:hint="eastAsia" w:ascii="宋体" w:hAnsi="宋体" w:eastAsia="宋体" w:cs="宋体"/>
                <w:bCs/>
                <w:color w:val="auto"/>
                <w:sz w:val="24"/>
                <w:szCs w:val="24"/>
                <w:highlight w:val="none"/>
              </w:rPr>
              <w:t>。</w:t>
            </w:r>
          </w:p>
        </w:tc>
      </w:tr>
      <w:tr w14:paraId="71723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0FB35087">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20</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D5D7493">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投</w:t>
            </w:r>
            <w:r>
              <w:rPr>
                <w:rFonts w:hint="eastAsia" w:ascii="宋体" w:hAnsi="宋体" w:eastAsia="宋体" w:cs="宋体"/>
                <w:b w:val="0"/>
                <w:bCs w:val="0"/>
                <w:color w:val="auto"/>
                <w:sz w:val="24"/>
                <w:szCs w:val="24"/>
                <w:highlight w:val="none"/>
              </w:rPr>
              <w:t>标文件</w:t>
            </w:r>
          </w:p>
          <w:p w14:paraId="46A1991D">
            <w:pPr>
              <w:jc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解密时间</w:t>
            </w:r>
          </w:p>
          <w:p w14:paraId="47663832">
            <w:pPr>
              <w:jc w:val="center"/>
              <w:rPr>
                <w:rFonts w:hint="eastAsia" w:ascii="宋体" w:hAnsi="宋体" w:eastAsia="宋体" w:cs="宋体"/>
                <w:b w:val="0"/>
                <w:bCs w:val="0"/>
                <w:color w:val="auto"/>
                <w:sz w:val="24"/>
                <w:szCs w:val="24"/>
                <w:highlight w:val="none"/>
              </w:rPr>
            </w:pP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A281E99">
            <w:pPr>
              <w:overflowPunct w:val="0"/>
              <w:spacing w:line="440" w:lineRule="exact"/>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开标时间后</w:t>
            </w:r>
            <w:r>
              <w:rPr>
                <w:rFonts w:hint="eastAsia" w:ascii="宋体" w:hAnsi="宋体" w:eastAsia="宋体" w:cs="宋体"/>
                <w:color w:val="auto"/>
                <w:kern w:val="0"/>
                <w:sz w:val="24"/>
                <w:szCs w:val="24"/>
                <w:highlight w:val="none"/>
                <w:lang w:val="en-US" w:eastAsia="zh-CN"/>
              </w:rPr>
              <w:t>30分钟内（</w:t>
            </w:r>
            <w:r>
              <w:rPr>
                <w:rFonts w:hint="eastAsia" w:ascii="宋体" w:hAnsi="宋体" w:cs="宋体"/>
                <w:color w:val="auto"/>
                <w:kern w:val="0"/>
                <w:sz w:val="24"/>
                <w:szCs w:val="24"/>
                <w:highlight w:val="none"/>
                <w:lang w:val="en-US" w:eastAsia="zh-CN"/>
              </w:rPr>
              <w:t>2025年4月21日</w:t>
            </w:r>
            <w:r>
              <w:rPr>
                <w:rFonts w:hint="eastAsia" w:ascii="宋体" w:hAnsi="宋体" w:eastAsia="宋体" w:cs="宋体"/>
                <w:color w:val="auto"/>
                <w:kern w:val="0"/>
                <w:sz w:val="24"/>
                <w:szCs w:val="24"/>
                <w:highlight w:val="none"/>
                <w:lang w:val="en-US" w:eastAsia="zh-CN"/>
              </w:rPr>
              <w:t>10：30时-11：00前）供应商可</w:t>
            </w:r>
            <w:r>
              <w:rPr>
                <w:rFonts w:hint="eastAsia" w:ascii="宋体" w:hAnsi="宋体" w:eastAsia="宋体" w:cs="宋体"/>
                <w:bCs/>
                <w:color w:val="auto"/>
                <w:sz w:val="24"/>
                <w:szCs w:val="24"/>
                <w:highlight w:val="none"/>
              </w:rPr>
              <w:t>以登录“政采云”平台，用“项目采购-开标评标”功能进行解密投标文件。若供应商在规定时间内</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CN"/>
              </w:rPr>
              <w:t>2025年4月21日</w:t>
            </w:r>
            <w:r>
              <w:rPr>
                <w:rFonts w:hint="eastAsia" w:ascii="宋体" w:hAnsi="宋体" w:eastAsia="宋体" w:cs="宋体"/>
                <w:color w:val="auto"/>
                <w:kern w:val="0"/>
                <w:sz w:val="24"/>
                <w:szCs w:val="24"/>
                <w:highlight w:val="none"/>
                <w:lang w:val="en-US" w:eastAsia="zh-CN"/>
              </w:rPr>
              <w:t>11:00前）</w:t>
            </w:r>
            <w:r>
              <w:rPr>
                <w:rFonts w:hint="eastAsia" w:ascii="宋体" w:hAnsi="宋体" w:eastAsia="宋体" w:cs="宋体"/>
                <w:bCs/>
                <w:color w:val="auto"/>
                <w:sz w:val="24"/>
                <w:szCs w:val="24"/>
                <w:highlight w:val="none"/>
              </w:rPr>
              <w:t>未按时解密的，视为投标文件撤回。</w:t>
            </w:r>
          </w:p>
        </w:tc>
      </w:tr>
      <w:tr w14:paraId="77040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B510C0C">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21</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58100877">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废标和无效</w:t>
            </w:r>
          </w:p>
          <w:p w14:paraId="0178ADF9">
            <w:pPr>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投标情形</w:t>
            </w:r>
          </w:p>
          <w:p w14:paraId="6EB734B0">
            <w:pPr>
              <w:adjustRightInd w:val="0"/>
              <w:snapToGrid w:val="0"/>
              <w:spacing w:before="120" w:beforeLines="50"/>
              <w:jc w:val="center"/>
              <w:rPr>
                <w:rFonts w:hint="eastAsia" w:ascii="宋体" w:hAnsi="宋体" w:eastAsia="宋体" w:cs="宋体"/>
                <w:b w:val="0"/>
                <w:bCs w:val="0"/>
                <w:color w:val="auto"/>
                <w:sz w:val="24"/>
                <w:szCs w:val="24"/>
                <w:highlight w:val="none"/>
              </w:rPr>
            </w:pPr>
          </w:p>
        </w:tc>
        <w:tc>
          <w:tcPr>
            <w:tcW w:w="7030" w:type="dxa"/>
            <w:tcBorders>
              <w:top w:val="single" w:color="auto" w:sz="4" w:space="0"/>
              <w:left w:val="single" w:color="auto" w:sz="4" w:space="0"/>
              <w:bottom w:val="single" w:color="auto" w:sz="4" w:space="0"/>
              <w:right w:val="single" w:color="auto" w:sz="4" w:space="0"/>
            </w:tcBorders>
            <w:noWrap w:val="0"/>
            <w:vAlign w:val="center"/>
          </w:tcPr>
          <w:p w14:paraId="5384B21C">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(1)开标过程中的废标情形</w:t>
            </w:r>
            <w:r>
              <w:rPr>
                <w:rFonts w:hint="eastAsia" w:ascii="宋体" w:hAnsi="宋体" w:eastAsia="宋体" w:cs="宋体"/>
                <w:color w:val="auto"/>
                <w:sz w:val="24"/>
                <w:szCs w:val="24"/>
                <w:highlight w:val="none"/>
                <w:lang w:eastAsia="zh-CN"/>
              </w:rPr>
              <w:t>：</w:t>
            </w:r>
          </w:p>
          <w:p w14:paraId="694AF574">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a.在主持人宣布开标会开始时，到场的投标人不足三家的；</w:t>
            </w:r>
          </w:p>
          <w:p w14:paraId="2A6F012B">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b.出现影响采购公正的违法、违规行为的；</w:t>
            </w:r>
          </w:p>
          <w:p w14:paraId="1725D9E2">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c.因重大变故，采购任务取消的。</w:t>
            </w:r>
          </w:p>
          <w:p w14:paraId="702A9CCD">
            <w:pPr>
              <w:spacing w:line="360" w:lineRule="auto"/>
              <w:jc w:val="lef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d.法律法规规定的其它情形。</w:t>
            </w:r>
          </w:p>
          <w:p w14:paraId="6C988681">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(2)开标过程中的无效投标情形</w:t>
            </w:r>
          </w:p>
          <w:p w14:paraId="2F5EA1F5">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a.未按照招标文件的规定缴纳投标保证金的；</w:t>
            </w:r>
          </w:p>
          <w:p w14:paraId="25B164B2">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b.投标文件超过规定的时间送达的；</w:t>
            </w:r>
          </w:p>
          <w:p w14:paraId="4A80161A">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c.</w:t>
            </w:r>
            <w:r>
              <w:rPr>
                <w:rFonts w:hint="eastAsia" w:ascii="宋体" w:hAnsi="宋体" w:eastAsia="宋体" w:cs="宋体"/>
                <w:color w:val="auto"/>
                <w:sz w:val="24"/>
                <w:szCs w:val="24"/>
                <w:highlight w:val="none"/>
                <w:lang w:val="en-US" w:eastAsia="zh-CN"/>
              </w:rPr>
              <w:t>未进行加密</w:t>
            </w:r>
            <w:r>
              <w:rPr>
                <w:rFonts w:hint="eastAsia" w:ascii="宋体" w:hAnsi="宋体" w:eastAsia="宋体" w:cs="宋体"/>
                <w:color w:val="auto"/>
                <w:sz w:val="24"/>
                <w:szCs w:val="24"/>
                <w:highlight w:val="none"/>
              </w:rPr>
              <w:t>的作无效投标处理。</w:t>
            </w:r>
          </w:p>
          <w:p w14:paraId="35C22EE5">
            <w:pPr>
              <w:spacing w:line="360" w:lineRule="auto"/>
              <w:jc w:val="left"/>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(3)评标过程中的废标和无效投标的情形，由评标委员会</w:t>
            </w:r>
            <w:r>
              <w:rPr>
                <w:rFonts w:hint="eastAsia" w:ascii="宋体" w:hAnsi="宋体" w:eastAsia="宋体" w:cs="宋体"/>
                <w:color w:val="auto"/>
                <w:sz w:val="24"/>
                <w:szCs w:val="24"/>
                <w:highlight w:val="none"/>
                <w:lang w:val="en-US" w:eastAsia="zh-CN"/>
              </w:rPr>
              <w:t>根据</w:t>
            </w:r>
            <w:r>
              <w:rPr>
                <w:rFonts w:hint="eastAsia" w:ascii="宋体" w:hAnsi="宋体" w:eastAsia="宋体" w:cs="宋体"/>
                <w:color w:val="auto"/>
                <w:sz w:val="24"/>
                <w:szCs w:val="24"/>
                <w:highlight w:val="none"/>
              </w:rPr>
              <w:t>判定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详见</w:t>
            </w:r>
            <w:r>
              <w:rPr>
                <w:rFonts w:hint="eastAsia" w:ascii="宋体" w:hAnsi="宋体" w:eastAsia="宋体" w:cs="宋体"/>
                <w:color w:val="auto"/>
                <w:sz w:val="24"/>
                <w:szCs w:val="24"/>
                <w:highlight w:val="none"/>
                <w:lang w:val="en-US" w:eastAsia="zh-CN"/>
              </w:rPr>
              <w:t>招标文件相关要求</w:t>
            </w:r>
            <w:r>
              <w:rPr>
                <w:rFonts w:hint="eastAsia" w:ascii="宋体" w:hAnsi="宋体" w:eastAsia="宋体" w:cs="宋体"/>
                <w:color w:val="auto"/>
                <w:sz w:val="24"/>
                <w:szCs w:val="24"/>
                <w:highlight w:val="none"/>
              </w:rPr>
              <w:t>。</w:t>
            </w:r>
          </w:p>
        </w:tc>
      </w:tr>
      <w:tr w14:paraId="491B6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10BBA9B3">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22</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069B7A3">
            <w:pPr>
              <w:jc w:val="center"/>
              <w:rPr>
                <w:rFonts w:hint="eastAsia" w:ascii="宋体" w:hAnsi="宋体" w:eastAsia="宋体" w:cs="宋体"/>
                <w:b w:val="0"/>
                <w:bCs w:val="0"/>
                <w:color w:val="auto"/>
                <w:sz w:val="24"/>
                <w:szCs w:val="24"/>
                <w:highlight w:val="none"/>
              </w:rPr>
            </w:pPr>
            <w:r>
              <w:rPr>
                <w:rFonts w:hint="eastAsia" w:ascii="宋体" w:hAnsi="宋体" w:cs="宋体"/>
                <w:b w:val="0"/>
                <w:bCs w:val="0"/>
                <w:color w:val="auto"/>
                <w:sz w:val="24"/>
                <w:szCs w:val="24"/>
                <w:highlight w:val="none"/>
              </w:rPr>
              <w:t>磋商轮数</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819D6A2">
            <w:pPr>
              <w:spacing w:line="360" w:lineRule="auto"/>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磋商轮数:二次（</w:t>
            </w:r>
            <w:r>
              <w:rPr>
                <w:rFonts w:hint="eastAsia" w:ascii="宋体" w:hAnsi="宋体" w:eastAsia="宋体" w:cs="宋体"/>
                <w:color w:val="auto"/>
                <w:sz w:val="24"/>
                <w:szCs w:val="24"/>
                <w:highlight w:val="none"/>
                <w:lang w:val="en-US" w:eastAsia="zh-CN"/>
              </w:rPr>
              <w:t>二次报价不得高于一次报价</w:t>
            </w:r>
            <w:r>
              <w:rPr>
                <w:rFonts w:hint="eastAsia" w:ascii="宋体" w:hAnsi="宋体" w:eastAsia="宋体" w:cs="宋体"/>
                <w:color w:val="auto"/>
                <w:sz w:val="24"/>
                <w:szCs w:val="24"/>
                <w:highlight w:val="none"/>
                <w:lang w:val="zh-CN"/>
              </w:rPr>
              <w:t>）；</w:t>
            </w:r>
          </w:p>
        </w:tc>
      </w:tr>
      <w:tr w14:paraId="71732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8"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49C11096">
            <w:pPr>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23</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2870F986">
            <w:pPr>
              <w:jc w:val="center"/>
              <w:rPr>
                <w:rFonts w:hint="eastAsia" w:ascii="宋体" w:hAnsi="宋体" w:eastAsia="宋体" w:cs="宋体"/>
                <w:b w:val="0"/>
                <w:bCs w:val="0"/>
                <w:color w:val="auto"/>
                <w:sz w:val="24"/>
                <w:szCs w:val="24"/>
                <w:highlight w:val="none"/>
                <w:lang w:val="en-US" w:eastAsia="zh-CN"/>
              </w:rPr>
            </w:pPr>
          </w:p>
          <w:p w14:paraId="5C72F1B4">
            <w:pPr>
              <w:jc w:val="center"/>
              <w:rPr>
                <w:rFonts w:hint="eastAsia" w:ascii="宋体" w:hAnsi="宋体" w:eastAsia="宋体" w:cs="宋体"/>
                <w:b w:val="0"/>
                <w:bCs w:val="0"/>
                <w:color w:val="auto"/>
                <w:sz w:val="24"/>
                <w:szCs w:val="24"/>
                <w:highlight w:val="none"/>
                <w:lang w:val="en-US" w:eastAsia="zh-CN"/>
              </w:rPr>
            </w:pPr>
          </w:p>
          <w:p w14:paraId="6F7D65F9">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政府采购政策</w:t>
            </w:r>
          </w:p>
          <w:p w14:paraId="7CA51129">
            <w:pPr>
              <w:jc w:val="center"/>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说明</w:t>
            </w:r>
          </w:p>
          <w:p w14:paraId="34F891FD">
            <w:pPr>
              <w:adjustRightInd w:val="0"/>
              <w:snapToGrid w:val="0"/>
              <w:spacing w:before="120" w:beforeLines="50"/>
              <w:jc w:val="center"/>
              <w:rPr>
                <w:rFonts w:hint="eastAsia" w:asciiTheme="minorEastAsia" w:hAnsiTheme="minorEastAsia" w:eastAsiaTheme="minorEastAsia" w:cstheme="minorEastAsia"/>
                <w:color w:val="auto"/>
                <w:kern w:val="2"/>
                <w:sz w:val="24"/>
                <w:szCs w:val="24"/>
                <w:highlight w:val="none"/>
                <w:lang w:val="en-US" w:eastAsia="zh-CN" w:bidi="ar-SA"/>
              </w:rPr>
            </w:pP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91F963F">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本项目采购标的对应的中小企业划分标准所属行业：建筑业。</w:t>
            </w:r>
          </w:p>
          <w:p w14:paraId="0BC6E132">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☑专门面向中小企业采购项目（不享受价格扣除）</w:t>
            </w:r>
          </w:p>
          <w:p w14:paraId="504A4776">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中小企业预留占比100.00%,其中：小微企业预留占比0</w:t>
            </w:r>
          </w:p>
          <w:p w14:paraId="2978C6A1">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□非专门面向中小企业采购项目（价格扣除）：</w:t>
            </w:r>
          </w:p>
          <w:p w14:paraId="25468ED6">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对小型和微型企业产品的价格给予10%-20%的扣除，用扣除后的价格参与评标，本项目的扣除比例为：小型企业扣除10%、微型企业扣除10%。</w:t>
            </w:r>
          </w:p>
          <w:p w14:paraId="18BDDE31">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残疾人福利性单位视同小型、微型企业。残疾人福利性单位属于小型、微型企业的，不重复享受政策。</w:t>
            </w:r>
          </w:p>
          <w:p w14:paraId="1C1FF723">
            <w:pPr>
              <w:overflowPunct w:val="0"/>
              <w:spacing w:line="440" w:lineRule="exact"/>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rPr>
              <w:t>□非专门面向中小企业采购项目（其他优惠）：</w:t>
            </w:r>
          </w:p>
        </w:tc>
      </w:tr>
      <w:tr w14:paraId="0EDBC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56BD077D">
            <w:pPr>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24</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6A37E106">
            <w:pPr>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政府采购政策支持</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76816FB">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（1）《政府采购促进中小企业发展管理办法》（财库〔2020〕46号）；</w:t>
            </w:r>
          </w:p>
          <w:p w14:paraId="210705C8">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2</w:t>
            </w:r>
            <w:r>
              <w:rPr>
                <w:rFonts w:hint="eastAsia" w:ascii="宋体" w:hAnsi="宋体" w:eastAsia="宋体" w:cs="宋体"/>
                <w:color w:val="auto"/>
                <w:kern w:val="0"/>
                <w:sz w:val="24"/>
                <w:szCs w:val="24"/>
                <w:highlight w:val="none"/>
                <w:lang w:val="zh-CN" w:eastAsia="zh-CN"/>
              </w:rPr>
              <w:t>）《关于落实好政府采购支持中小企业发展的通知》（新财购〔2022〕22号）；</w:t>
            </w:r>
          </w:p>
          <w:p w14:paraId="34DBADD9">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lang w:val="zh-CN" w:eastAsia="zh-CN"/>
              </w:rPr>
              <w:t>）财政部关于进一步加大政府采购支持中小企业力度的通知（财库[2022]19号）；</w:t>
            </w:r>
          </w:p>
          <w:p w14:paraId="10B71175">
            <w:pPr>
              <w:numPr>
                <w:ilvl w:val="0"/>
                <w:numId w:val="0"/>
              </w:numPr>
              <w:spacing w:line="360" w:lineRule="auto"/>
              <w:ind w:leftChars="0"/>
              <w:rPr>
                <w:rFonts w:hint="eastAsia" w:ascii="宋体" w:hAnsi="宋体" w:eastAsia="宋体" w:cs="宋体"/>
                <w:color w:val="auto"/>
                <w:kern w:val="0"/>
                <w:sz w:val="24"/>
                <w:szCs w:val="24"/>
                <w:highlight w:val="none"/>
                <w:lang w:val="zh-CN" w:eastAsia="zh-CN"/>
              </w:rPr>
            </w:pPr>
            <w:r>
              <w:rPr>
                <w:rFonts w:hint="eastAsia" w:ascii="宋体" w:hAnsi="宋体" w:eastAsia="宋体" w:cs="宋体"/>
                <w:color w:val="auto"/>
                <w:kern w:val="0"/>
                <w:sz w:val="24"/>
                <w:szCs w:val="24"/>
                <w:highlight w:val="none"/>
                <w:lang w:val="zh-CN" w:eastAsia="zh-CN"/>
              </w:rPr>
              <w:t>（</w:t>
            </w:r>
            <w:r>
              <w:rPr>
                <w:rFonts w:hint="eastAsia" w:ascii="宋体" w:hAnsi="宋体" w:eastAsia="宋体" w:cs="宋体"/>
                <w:color w:val="auto"/>
                <w:kern w:val="0"/>
                <w:sz w:val="24"/>
                <w:szCs w:val="24"/>
                <w:highlight w:val="none"/>
                <w:lang w:val="en-US" w:eastAsia="zh-CN"/>
              </w:rPr>
              <w:t>4</w:t>
            </w:r>
            <w:r>
              <w:rPr>
                <w:rFonts w:hint="eastAsia" w:ascii="宋体" w:hAnsi="宋体" w:eastAsia="宋体" w:cs="宋体"/>
                <w:color w:val="auto"/>
                <w:kern w:val="0"/>
                <w:sz w:val="24"/>
                <w:szCs w:val="24"/>
                <w:highlight w:val="none"/>
                <w:lang w:val="zh-CN" w:eastAsia="zh-CN"/>
              </w:rPr>
              <w:t>）</w:t>
            </w:r>
            <w:r>
              <w:rPr>
                <w:rFonts w:hint="eastAsia" w:asciiTheme="minorEastAsia" w:hAnsiTheme="minorEastAsia" w:eastAsiaTheme="minorEastAsia" w:cstheme="minorEastAsia"/>
                <w:color w:val="auto"/>
                <w:sz w:val="24"/>
                <w:szCs w:val="24"/>
                <w:highlight w:val="none"/>
              </w:rPr>
              <w:t>财政部、司法部《关于政府采购支持监狱企业发展有关问题的通知》（财库[2014]68号文）。</w:t>
            </w:r>
          </w:p>
          <w:p w14:paraId="06AF9B18">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）财政部、民政部、中国残疾人联合会《关于促进残疾人就业政府采购政策的通知》（财库[2017]141号）；</w:t>
            </w:r>
          </w:p>
          <w:p w14:paraId="75DB6463">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（6）财政部、国家发展改革委、生态环境部、市场监管总局《关于调整优化节能产品、环境标志产品政府采购执行机制的通知》（财库[2019]9号文）；</w:t>
            </w:r>
          </w:p>
          <w:p w14:paraId="4C1D88BE">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（7）财政部、生态环境部《关于印发环境标志产品政府采购品目清单的通知》（财库[2019]18号文）；</w:t>
            </w:r>
          </w:p>
          <w:p w14:paraId="0C9B8730">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（8）财政部、发展改革委《关于印发节能产品政府采购品目清单的通知》（财库[2019]19号文）；</w:t>
            </w:r>
          </w:p>
          <w:p w14:paraId="03E20533">
            <w:pPr>
              <w:overflowPunct w:val="0"/>
              <w:spacing w:line="440" w:lineRule="exact"/>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（9）市场监管总局《市场监管总局关于发布参与实施政府采购节能产品、环境标志产品认证机构名录的公告》（2019年第16号）；</w:t>
            </w:r>
          </w:p>
        </w:tc>
      </w:tr>
      <w:tr w14:paraId="13900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D2237EB">
            <w:pPr>
              <w:jc w:val="center"/>
              <w:rPr>
                <w:rFonts w:hint="default"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25</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7D4944F6">
            <w:pPr>
              <w:spacing w:line="360" w:lineRule="auto"/>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宋体" w:hAnsi="宋体"/>
                <w:b w:val="0"/>
                <w:bCs/>
                <w:color w:val="auto"/>
                <w:kern w:val="0"/>
                <w:sz w:val="24"/>
                <w:highlight w:val="none"/>
              </w:rPr>
              <w:t>中标公示媒介</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4F1A0F7E">
            <w:pPr>
              <w:spacing w:line="360" w:lineRule="auto"/>
              <w:jc w:val="left"/>
              <w:rPr>
                <w:rFonts w:hint="eastAsia" w:ascii="宋体" w:hAnsi="宋体" w:eastAsia="宋体" w:cs="宋体"/>
                <w:color w:val="auto"/>
                <w:kern w:val="0"/>
                <w:sz w:val="24"/>
                <w:szCs w:val="24"/>
                <w:highlight w:val="none"/>
                <w:lang w:val="en-US" w:eastAsia="zh-CN"/>
              </w:rPr>
            </w:pPr>
            <w:r>
              <w:rPr>
                <w:rFonts w:hint="eastAsia" w:ascii="宋体" w:hAnsi="宋体" w:cs="宋体"/>
                <w:color w:val="auto"/>
                <w:sz w:val="24"/>
                <w:szCs w:val="24"/>
                <w:highlight w:val="none"/>
                <w:shd w:val="clear" w:color="auto" w:fill="FFFFFF"/>
              </w:rPr>
              <w:t>在新疆政府采购网发布</w:t>
            </w:r>
          </w:p>
        </w:tc>
      </w:tr>
      <w:tr w14:paraId="5EA8E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86CB97B">
            <w:pPr>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en-US" w:eastAsia="zh-CN"/>
              </w:rPr>
              <w:t>6</w:t>
            </w:r>
          </w:p>
        </w:tc>
        <w:tc>
          <w:tcPr>
            <w:tcW w:w="1759" w:type="dxa"/>
            <w:tcBorders>
              <w:top w:val="single" w:color="auto" w:sz="4" w:space="0"/>
              <w:left w:val="single" w:color="auto" w:sz="4" w:space="0"/>
              <w:bottom w:val="single" w:color="auto" w:sz="4" w:space="0"/>
              <w:right w:val="single" w:color="auto" w:sz="4" w:space="0"/>
            </w:tcBorders>
            <w:noWrap w:val="0"/>
            <w:vAlign w:val="center"/>
          </w:tcPr>
          <w:p w14:paraId="0D31E02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招标代理</w:t>
            </w:r>
          </w:p>
          <w:p w14:paraId="00D5F78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服务费</w:t>
            </w:r>
          </w:p>
        </w:tc>
        <w:tc>
          <w:tcPr>
            <w:tcW w:w="7030" w:type="dxa"/>
            <w:tcBorders>
              <w:top w:val="single" w:color="auto" w:sz="4" w:space="0"/>
              <w:left w:val="single" w:color="auto" w:sz="4" w:space="0"/>
              <w:bottom w:val="single" w:color="auto" w:sz="4" w:space="0"/>
              <w:right w:val="single" w:color="auto" w:sz="4" w:space="0"/>
            </w:tcBorders>
            <w:noWrap w:val="0"/>
            <w:vAlign w:val="center"/>
          </w:tcPr>
          <w:p w14:paraId="6D35E7C4">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代理报酬的计算方法：参照原国家计委《招标代理服务收费管理暂行办法》（计加盖[2002]1980号）、国家发展改革委办公厅《关于招标代理服务收费有关问题的通知》（发改办价格[2003]857号）和国家发展改革委《关于降低部分建设项目收费标准规范收费行为等有关问题的通知》（发改价格[2011]534号）规定，以中标金额为基准计算收取。中标金额在5亿元以上的代理服务费实行收费上限，服务类代理服务费上限为300万元。</w:t>
            </w:r>
          </w:p>
          <w:p w14:paraId="1E02C184">
            <w:pPr>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2、代理报酬支付方式：</w:t>
            </w:r>
            <w:r>
              <w:rPr>
                <w:rFonts w:hint="eastAsia" w:ascii="宋体" w:hAnsi="宋体" w:eastAsia="宋体" w:cs="宋体"/>
                <w:color w:val="auto"/>
                <w:sz w:val="24"/>
                <w:szCs w:val="24"/>
                <w:highlight w:val="none"/>
                <w:lang w:val="en-US" w:eastAsia="zh-CN"/>
              </w:rPr>
              <w:t>中标金额的1.5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w:t>
            </w:r>
          </w:p>
          <w:p w14:paraId="3F925024">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3、代理报酬的支付时间：由中标人领取中标通知书时支付</w:t>
            </w:r>
          </w:p>
          <w:p w14:paraId="31224970">
            <w:pPr>
              <w:spacing w:line="360" w:lineRule="auto"/>
              <w:jc w:val="left"/>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color w:val="auto"/>
                <w:sz w:val="24"/>
                <w:szCs w:val="24"/>
                <w:highlight w:val="none"/>
              </w:rPr>
              <w:t>针对招标代理服务费，如中标人需我司开具“增值税专用发票”的，在投标时须同时提交开具“增值税专用发票”的相关财务信息材料（在税务部门备案的信息）并加盖公章，包括：单位名称、纳税人识别号、营业地址及联系电话、开户银行及账号，以及</w:t>
            </w:r>
            <w:r>
              <w:rPr>
                <w:rFonts w:hint="eastAsia" w:asciiTheme="minorEastAsia" w:hAnsiTheme="minorEastAsia" w:eastAsiaTheme="minorEastAsia" w:cstheme="minorEastAsia"/>
                <w:color w:val="auto"/>
                <w:sz w:val="24"/>
                <w:szCs w:val="24"/>
                <w:highlight w:val="none"/>
              </w:rPr>
              <w:t>一般纳税人证明，否则将开具“增值税普通发票”；由于投标人没有及时提交上述资料而导致无法开具“增值税专用发票”的，后果由投标人自行承担。</w:t>
            </w:r>
          </w:p>
        </w:tc>
      </w:tr>
      <w:tr w14:paraId="63FF5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0" w:hRule="atLeast"/>
          <w:jc w:val="center"/>
        </w:trPr>
        <w:tc>
          <w:tcPr>
            <w:tcW w:w="817" w:type="dxa"/>
            <w:tcBorders>
              <w:top w:val="single" w:color="auto" w:sz="4" w:space="0"/>
              <w:left w:val="single" w:color="auto" w:sz="4" w:space="0"/>
              <w:bottom w:val="single" w:color="auto" w:sz="4" w:space="0"/>
              <w:right w:val="single" w:color="auto" w:sz="4" w:space="0"/>
            </w:tcBorders>
            <w:noWrap w:val="0"/>
            <w:vAlign w:val="center"/>
          </w:tcPr>
          <w:p w14:paraId="2A56C8B5">
            <w:pPr>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注意</w:t>
            </w:r>
          </w:p>
          <w:p w14:paraId="719DFF28">
            <w:pPr>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宋体" w:hAnsi="宋体" w:eastAsia="宋体" w:cs="宋体"/>
                <w:b/>
                <w:bCs/>
                <w:color w:val="auto"/>
                <w:sz w:val="24"/>
                <w:szCs w:val="24"/>
                <w:highlight w:val="none"/>
                <w:lang w:val="en-US" w:eastAsia="zh-CN"/>
              </w:rPr>
              <w:t>事项</w:t>
            </w:r>
          </w:p>
        </w:tc>
        <w:tc>
          <w:tcPr>
            <w:tcW w:w="8789" w:type="dxa"/>
            <w:gridSpan w:val="2"/>
            <w:tcBorders>
              <w:top w:val="single" w:color="auto" w:sz="4" w:space="0"/>
              <w:left w:val="single" w:color="auto" w:sz="4" w:space="0"/>
              <w:bottom w:val="single" w:color="auto" w:sz="4" w:space="0"/>
              <w:right w:val="single" w:color="auto" w:sz="4" w:space="0"/>
            </w:tcBorders>
            <w:noWrap w:val="0"/>
            <w:vAlign w:val="center"/>
          </w:tcPr>
          <w:p w14:paraId="789349F9">
            <w:pPr>
              <w:numPr>
                <w:ilvl w:val="0"/>
                <w:numId w:val="5"/>
              </w:numPr>
              <w:overflowPunct w:val="0"/>
              <w:spacing w:line="440" w:lineRule="exact"/>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请务必确保投标文件制作客户端为最新版本，旧版本可能导致投标文件解密失败。</w:t>
            </w:r>
          </w:p>
          <w:p w14:paraId="556A69D8">
            <w:pPr>
              <w:pStyle w:val="10"/>
              <w:widowControl w:val="0"/>
              <w:numPr>
                <w:ilvl w:val="0"/>
                <w:numId w:val="0"/>
              </w:numPr>
              <w:jc w:val="both"/>
              <w:rPr>
                <w:rFonts w:hint="eastAsia"/>
                <w:color w:val="auto"/>
                <w:highlight w:val="none"/>
                <w:lang w:val="en-US" w:eastAsia="zh-CN"/>
              </w:rPr>
            </w:pPr>
          </w:p>
          <w:p w14:paraId="2E088495">
            <w:pPr>
              <w:pStyle w:val="2"/>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请投标单位提前自学线上开标流程；投标截止时间当天，线上开标环节，投标文件解密时长30分钟，投标供应商请自备笔记本电脑及CA锁进行投标文件解密以及操作投标事项，请投标人提前调试好在线参标电脑各项配置。</w:t>
            </w:r>
          </w:p>
          <w:p w14:paraId="38700502">
            <w:pPr>
              <w:pStyle w:val="2"/>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3.招标文件中采购清单、技术需求等如有偏差，如有疑义请在澄清中及时提出；否则视为充分理解招标文件各项要求。</w:t>
            </w:r>
          </w:p>
          <w:p w14:paraId="7EB5E891">
            <w:pPr>
              <w:pStyle w:val="2"/>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本次采用政府采购云平台线上招标、投标，请各潜在投标人及时办理CA锁和学习政府采购云平台线上投标相关知识。请在政府采购云平台登录后，进行下载采购招标文件。请各投标人获取招标文件后及时关注云平台答疑文件获取栏目。具体相关事宜见政府采购云平台。本项目采用资格后审，请投标人仔细阅读招标文件和各项要求，制作文件及相关资料过程中，若因投标人资格条件不符、提供资料不全等原因导致投标文件予以退还，责任自负。</w:t>
            </w:r>
          </w:p>
          <w:p w14:paraId="380EE874">
            <w:pPr>
              <w:pStyle w:val="2"/>
              <w:spacing w:line="360" w:lineRule="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6.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14:paraId="2E41205C">
            <w:pPr>
              <w:pStyle w:val="29"/>
              <w:ind w:left="0" w:leftChars="0" w:firstLine="0" w:firstLineChars="0"/>
              <w:rPr>
                <w:rFonts w:hint="eastAsia" w:asciiTheme="minorEastAsia" w:hAnsiTheme="minorEastAsia" w:eastAsiaTheme="minorEastAsia" w:cstheme="minorEastAsia"/>
                <w:color w:val="auto"/>
                <w:sz w:val="24"/>
                <w:szCs w:val="24"/>
                <w:highlight w:val="none"/>
              </w:rPr>
            </w:pPr>
            <w:r>
              <w:rPr>
                <w:rFonts w:hint="eastAsia" w:ascii="宋体" w:hAnsi="宋体" w:eastAsia="宋体" w:cs="Times New Roman"/>
                <w:color w:val="auto"/>
                <w:kern w:val="2"/>
                <w:sz w:val="24"/>
                <w:szCs w:val="24"/>
                <w:highlight w:val="none"/>
                <w:lang w:val="en-US" w:eastAsia="zh-CN" w:bidi="ar-SA"/>
              </w:rPr>
              <w:t>6.</w:t>
            </w:r>
            <w:r>
              <w:rPr>
                <w:rFonts w:hint="eastAsia" w:ascii="宋体" w:hAnsi="宋体" w:cs="宋体"/>
                <w:color w:val="auto"/>
                <w:sz w:val="24"/>
                <w:szCs w:val="24"/>
                <w:highlight w:val="none"/>
              </w:rPr>
              <w:t>本表内容与招标文件其它内容不一致的，应当以本表内容为准。</w:t>
            </w:r>
          </w:p>
        </w:tc>
      </w:tr>
    </w:tbl>
    <w:p w14:paraId="5F781BF1">
      <w:pPr>
        <w:widowControl/>
        <w:spacing w:line="480" w:lineRule="exact"/>
        <w:jc w:val="both"/>
        <w:rPr>
          <w:rFonts w:hint="eastAsia" w:asciiTheme="minorEastAsia" w:hAnsiTheme="minorEastAsia" w:eastAsiaTheme="minorEastAsia" w:cstheme="minorEastAsia"/>
          <w:b/>
          <w:color w:val="auto"/>
          <w:sz w:val="36"/>
          <w:szCs w:val="36"/>
          <w:highlight w:val="none"/>
        </w:rPr>
      </w:pPr>
    </w:p>
    <w:p w14:paraId="095BB0C6">
      <w:pPr>
        <w:pStyle w:val="25"/>
        <w:rPr>
          <w:rFonts w:hint="eastAsia"/>
          <w:color w:val="auto"/>
          <w:highlight w:val="none"/>
          <w:lang w:val="en-US" w:eastAsia="zh-CN"/>
        </w:rPr>
      </w:pPr>
    </w:p>
    <w:p w14:paraId="7255C957">
      <w:pPr>
        <w:pStyle w:val="5"/>
        <w:spacing w:before="0" w:after="0"/>
        <w:jc w:val="left"/>
        <w:rPr>
          <w:rFonts w:hint="eastAsia" w:ascii="宋体" w:hAnsi="宋体" w:eastAsia="宋体" w:cs="宋体"/>
          <w:color w:val="auto"/>
          <w:sz w:val="24"/>
          <w:szCs w:val="24"/>
          <w:highlight w:val="none"/>
        </w:rPr>
      </w:pPr>
      <w:bookmarkStart w:id="0" w:name="_Toc163267141"/>
      <w:r>
        <w:rPr>
          <w:rFonts w:hint="eastAsia" w:ascii="宋体" w:hAnsi="宋体" w:eastAsia="宋体" w:cs="宋体"/>
          <w:color w:val="auto"/>
          <w:sz w:val="24"/>
          <w:szCs w:val="24"/>
          <w:highlight w:val="none"/>
        </w:rPr>
        <w:t>一、说明</w:t>
      </w:r>
      <w:bookmarkEnd w:id="0"/>
    </w:p>
    <w:p w14:paraId="498435EE">
      <w:pPr>
        <w:snapToGrid w:val="0"/>
        <w:spacing w:line="360" w:lineRule="auto"/>
        <w:ind w:firstLine="482" w:firstLineChars="200"/>
        <w:jc w:val="left"/>
        <w:rPr>
          <w:rFonts w:hint="eastAsia" w:ascii="宋体" w:hAnsi="宋体" w:cs="宋体"/>
          <w:color w:val="auto"/>
          <w:sz w:val="24"/>
          <w:szCs w:val="24"/>
          <w:highlight w:val="none"/>
        </w:rPr>
      </w:pPr>
      <w:r>
        <w:rPr>
          <w:rFonts w:hint="eastAsia" w:ascii="宋体" w:hAnsi="宋体" w:cs="宋体"/>
          <w:b/>
          <w:color w:val="auto"/>
          <w:sz w:val="24"/>
          <w:szCs w:val="24"/>
          <w:highlight w:val="none"/>
        </w:rPr>
        <w:t>1.适用范围：</w:t>
      </w:r>
    </w:p>
    <w:p w14:paraId="6AD179EB">
      <w:pPr>
        <w:spacing w:line="360" w:lineRule="auto"/>
        <w:ind w:firstLine="720" w:firstLineChars="300"/>
        <w:rPr>
          <w:rStyle w:val="75"/>
          <w:rFonts w:hint="eastAsia" w:ascii="宋体" w:hAnsi="宋体" w:eastAsia="宋体" w:cs="宋体"/>
          <w:color w:val="auto"/>
          <w:sz w:val="24"/>
          <w:szCs w:val="24"/>
          <w:highlight w:val="none"/>
        </w:rPr>
      </w:pPr>
      <w:r>
        <w:rPr>
          <w:rStyle w:val="75"/>
          <w:rFonts w:hint="eastAsia" w:ascii="宋体" w:hAnsi="宋体" w:eastAsia="宋体" w:cs="宋体"/>
          <w:color w:val="auto"/>
          <w:sz w:val="24"/>
          <w:szCs w:val="24"/>
          <w:highlight w:val="none"/>
        </w:rPr>
        <w:t>1.1本磋商文件仅适用于</w:t>
      </w:r>
      <w:r>
        <w:rPr>
          <w:rFonts w:hint="eastAsia" w:ascii="宋体" w:hAnsi="宋体" w:cs="宋体"/>
          <w:color w:val="auto"/>
          <w:sz w:val="24"/>
          <w:szCs w:val="24"/>
          <w:highlight w:val="none"/>
          <w:lang w:val="en-US" w:eastAsia="zh-CN"/>
        </w:rPr>
        <w:t>尉犁县团结镇2025年设施农业建设项目(二标段)一日光温室大棚建设</w:t>
      </w:r>
      <w:r>
        <w:rPr>
          <w:rStyle w:val="75"/>
          <w:rFonts w:hint="eastAsia" w:ascii="宋体" w:hAnsi="宋体" w:eastAsia="宋体" w:cs="宋体"/>
          <w:color w:val="auto"/>
          <w:sz w:val="24"/>
          <w:szCs w:val="24"/>
          <w:highlight w:val="none"/>
        </w:rPr>
        <w:t>。</w:t>
      </w:r>
    </w:p>
    <w:p w14:paraId="42657521">
      <w:pPr>
        <w:spacing w:line="360" w:lineRule="auto"/>
        <w:ind w:firstLine="480" w:firstLineChars="200"/>
        <w:textAlignment w:val="baseline"/>
        <w:rPr>
          <w:rStyle w:val="75"/>
          <w:rFonts w:hint="eastAsia" w:ascii="宋体" w:hAnsi="宋体" w:eastAsia="宋体" w:cs="宋体"/>
          <w:color w:val="auto"/>
          <w:sz w:val="24"/>
          <w:szCs w:val="24"/>
          <w:highlight w:val="none"/>
        </w:rPr>
      </w:pPr>
      <w:r>
        <w:rPr>
          <w:rStyle w:val="75"/>
          <w:rFonts w:hint="eastAsia" w:ascii="宋体" w:hAnsi="宋体" w:eastAsia="宋体" w:cs="宋体"/>
          <w:color w:val="auto"/>
          <w:sz w:val="24"/>
          <w:szCs w:val="24"/>
          <w:highlight w:val="none"/>
        </w:rPr>
        <w:t>1.2磋商依据</w:t>
      </w:r>
    </w:p>
    <w:p w14:paraId="2A19D1C1">
      <w:pPr>
        <w:spacing w:line="360" w:lineRule="auto"/>
        <w:ind w:firstLine="480" w:firstLineChars="200"/>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根据《中华人民共和国政府采购法》、《中华人民共和国政府采购实施条例》、《财政部关于印发〈政府采购竞争性磋商采购方式管理暂行办法〉的通知》（财库〔2014〕214号）、《中华人民共和国</w:t>
      </w:r>
      <w:r>
        <w:rPr>
          <w:rStyle w:val="75"/>
          <w:rFonts w:hint="eastAsia" w:ascii="宋体" w:hAnsi="宋体" w:cs="宋体"/>
          <w:color w:val="auto"/>
          <w:sz w:val="24"/>
          <w:szCs w:val="24"/>
          <w:highlight w:val="none"/>
          <w:lang w:val="en-US"/>
        </w:rPr>
        <w:t>招投标法</w:t>
      </w:r>
      <w:r>
        <w:rPr>
          <w:rStyle w:val="75"/>
          <w:rFonts w:hint="eastAsia" w:ascii="宋体" w:hAnsi="宋体" w:cs="宋体"/>
          <w:color w:val="auto"/>
          <w:sz w:val="24"/>
          <w:szCs w:val="24"/>
          <w:highlight w:val="none"/>
        </w:rPr>
        <w:t>》等有关法律、法规。</w:t>
      </w:r>
    </w:p>
    <w:p w14:paraId="23BF2EBF">
      <w:pPr>
        <w:snapToGrid w:val="0"/>
        <w:spacing w:line="360" w:lineRule="auto"/>
        <w:ind w:firstLine="482" w:firstLineChars="200"/>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2.定义：</w:t>
      </w:r>
    </w:p>
    <w:p w14:paraId="47538FBF">
      <w:pPr>
        <w:spacing w:line="360" w:lineRule="auto"/>
        <w:ind w:firstLine="720" w:firstLineChars="300"/>
        <w:rPr>
          <w:rFonts w:hint="eastAsia" w:ascii="宋体" w:hAnsi="宋体" w:cs="宋体"/>
          <w:color w:val="auto"/>
          <w:sz w:val="24"/>
          <w:szCs w:val="24"/>
          <w:highlight w:val="none"/>
        </w:rPr>
      </w:pPr>
      <w:r>
        <w:rPr>
          <w:rFonts w:hint="eastAsia" w:ascii="宋体" w:hAnsi="宋体" w:cs="宋体"/>
          <w:color w:val="auto"/>
          <w:sz w:val="24"/>
          <w:szCs w:val="24"/>
          <w:highlight w:val="none"/>
        </w:rPr>
        <w:t>2.1“采购人”系</w:t>
      </w:r>
      <w:r>
        <w:rPr>
          <w:rFonts w:hint="eastAsia" w:ascii="宋体" w:hAnsi="宋体" w:eastAsia="宋体" w:cs="宋体"/>
          <w:color w:val="auto"/>
          <w:sz w:val="24"/>
          <w:szCs w:val="24"/>
          <w:highlight w:val="none"/>
          <w:lang w:val="en-US" w:eastAsia="zh-CN"/>
        </w:rPr>
        <w:t>指：</w:t>
      </w:r>
      <w:r>
        <w:rPr>
          <w:rFonts w:hint="eastAsia" w:ascii="宋体" w:hAnsi="宋体" w:cs="宋体"/>
          <w:color w:val="auto"/>
          <w:sz w:val="24"/>
          <w:szCs w:val="24"/>
          <w:highlight w:val="none"/>
          <w:lang w:val="en-US" w:eastAsia="zh-CN"/>
        </w:rPr>
        <w:t>新疆尉犁县团结镇人民政府</w:t>
      </w:r>
      <w:r>
        <w:rPr>
          <w:rFonts w:hint="eastAsia" w:ascii="宋体" w:hAnsi="宋体" w:cs="宋体"/>
          <w:color w:val="auto"/>
          <w:sz w:val="24"/>
          <w:szCs w:val="24"/>
          <w:highlight w:val="none"/>
        </w:rPr>
        <w:t>。</w:t>
      </w:r>
    </w:p>
    <w:p w14:paraId="3ADDD0B0">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2.2“采购代理机构”指：</w:t>
      </w:r>
      <w:r>
        <w:rPr>
          <w:rFonts w:hint="eastAsia" w:ascii="宋体" w:hAnsi="宋体" w:eastAsia="宋体" w:cs="宋体"/>
          <w:color w:val="auto"/>
          <w:sz w:val="24"/>
          <w:szCs w:val="24"/>
          <w:highlight w:val="none"/>
          <w:lang w:val="en-US" w:eastAsia="zh-CN"/>
        </w:rPr>
        <w:t>新疆介石项目管理有限公司</w:t>
      </w:r>
      <w:r>
        <w:rPr>
          <w:rFonts w:hint="eastAsia" w:ascii="宋体" w:hAnsi="宋体" w:cs="宋体"/>
          <w:color w:val="auto"/>
          <w:sz w:val="24"/>
          <w:szCs w:val="24"/>
          <w:highlight w:val="none"/>
        </w:rPr>
        <w:t>。</w:t>
      </w:r>
    </w:p>
    <w:p w14:paraId="5714C489">
      <w:pPr>
        <w:pStyle w:val="17"/>
        <w:spacing w:line="360" w:lineRule="auto"/>
        <w:ind w:firstLine="480" w:firstLineChars="200"/>
        <w:rPr>
          <w:rFonts w:hint="eastAsia" w:hAnsi="宋体" w:cs="宋体"/>
          <w:color w:val="auto"/>
          <w:sz w:val="24"/>
          <w:szCs w:val="24"/>
          <w:highlight w:val="none"/>
        </w:rPr>
      </w:pPr>
      <w:r>
        <w:rPr>
          <w:rFonts w:hint="eastAsia" w:ascii="宋体" w:hAnsi="宋体" w:eastAsia="宋体" w:cs="宋体"/>
          <w:color w:val="auto"/>
          <w:sz w:val="24"/>
          <w:szCs w:val="24"/>
          <w:highlight w:val="none"/>
        </w:rPr>
        <w:t>2.3“供应商”系指具备资格并响应磋商文件要求提交响应文件的法人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其他组织或者自然人，供应商若成交，在签订和执行合同阶段称“乙方”。</w:t>
      </w:r>
    </w:p>
    <w:p w14:paraId="6E61FCEE">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2.4“磋商文件”系指由采购人向供应商发出的本采购项目的全部文件（包括修改文件、补充文件、答疑纪要、各种通知和附件等）。</w:t>
      </w:r>
    </w:p>
    <w:p w14:paraId="66A210CE">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2.5“响应文件”系指供应商根据磋商文件提交的所有文件。</w:t>
      </w:r>
    </w:p>
    <w:p w14:paraId="4A9E8E38">
      <w:pPr>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bCs/>
          <w:color w:val="auto"/>
          <w:sz w:val="24"/>
          <w:szCs w:val="24"/>
          <w:highlight w:val="none"/>
        </w:rPr>
        <w:t>2.6“货物”，系指供方根据合同规定须向采购人提供的各种形态和种类的物品，包括产品、</w:t>
      </w:r>
      <w:r>
        <w:rPr>
          <w:rFonts w:hint="eastAsia" w:ascii="宋体" w:hAnsi="宋体" w:cs="宋体"/>
          <w:bCs/>
          <w:color w:val="auto"/>
          <w:sz w:val="24"/>
          <w:szCs w:val="24"/>
          <w:highlight w:val="none"/>
          <w:lang w:val="en-US" w:eastAsia="zh-CN"/>
        </w:rPr>
        <w:t>设备、</w:t>
      </w:r>
      <w:r>
        <w:rPr>
          <w:rFonts w:hint="eastAsia" w:ascii="宋体" w:hAnsi="宋体" w:cs="宋体"/>
          <w:bCs/>
          <w:color w:val="auto"/>
          <w:sz w:val="24"/>
          <w:szCs w:val="24"/>
          <w:highlight w:val="none"/>
        </w:rPr>
        <w:t>配</w:t>
      </w:r>
      <w:r>
        <w:rPr>
          <w:rFonts w:hint="eastAsia" w:ascii="宋体" w:hAnsi="宋体" w:cs="宋体"/>
          <w:bCs/>
          <w:color w:val="auto"/>
          <w:sz w:val="24"/>
          <w:szCs w:val="24"/>
          <w:highlight w:val="none"/>
          <w:lang w:val="en-US" w:eastAsia="zh-CN"/>
        </w:rPr>
        <w:t>件</w:t>
      </w:r>
      <w:r>
        <w:rPr>
          <w:rFonts w:hint="eastAsia" w:ascii="宋体" w:hAnsi="宋体" w:cs="宋体"/>
          <w:bCs/>
          <w:color w:val="auto"/>
          <w:sz w:val="24"/>
          <w:szCs w:val="24"/>
          <w:highlight w:val="none"/>
        </w:rPr>
        <w:t>等。</w:t>
      </w:r>
    </w:p>
    <w:p w14:paraId="591CE580">
      <w:pPr>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2.7</w:t>
      </w:r>
      <w:r>
        <w:rPr>
          <w:rFonts w:hint="eastAsia" w:ascii="宋体" w:hAnsi="宋体" w:cs="宋体"/>
          <w:bCs/>
          <w:color w:val="auto"/>
          <w:sz w:val="24"/>
          <w:szCs w:val="24"/>
          <w:highlight w:val="none"/>
        </w:rPr>
        <w:t>“</w:t>
      </w:r>
      <w:r>
        <w:rPr>
          <w:rFonts w:hint="eastAsia" w:ascii="宋体" w:hAnsi="宋体" w:cs="宋体"/>
          <w:color w:val="auto"/>
          <w:sz w:val="24"/>
          <w:szCs w:val="24"/>
          <w:highlight w:val="none"/>
        </w:rPr>
        <w:t>服务</w:t>
      </w:r>
      <w:r>
        <w:rPr>
          <w:rFonts w:hint="eastAsia" w:ascii="宋体" w:hAnsi="宋体" w:cs="宋体"/>
          <w:bCs/>
          <w:color w:val="auto"/>
          <w:sz w:val="24"/>
          <w:szCs w:val="24"/>
          <w:highlight w:val="none"/>
        </w:rPr>
        <w:t>”</w:t>
      </w:r>
      <w:r>
        <w:rPr>
          <w:rFonts w:hint="eastAsia" w:ascii="宋体" w:hAnsi="宋体" w:cs="宋体"/>
          <w:color w:val="auto"/>
          <w:sz w:val="24"/>
          <w:szCs w:val="24"/>
          <w:highlight w:val="none"/>
        </w:rPr>
        <w:t>系指合同文本、技术规范及标准、项目采购需求、本磋商文件规定，成交供应商完成应承担的所有工作并提交相关成果资料。</w:t>
      </w:r>
    </w:p>
    <w:p w14:paraId="4A70F7A1">
      <w:pPr>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2.8</w:t>
      </w:r>
      <w:r>
        <w:rPr>
          <w:rFonts w:hint="eastAsia" w:ascii="宋体" w:hAnsi="宋体" w:cs="宋体"/>
          <w:bCs/>
          <w:color w:val="auto"/>
          <w:sz w:val="24"/>
          <w:szCs w:val="24"/>
          <w:highlight w:val="none"/>
        </w:rPr>
        <w:t>“工程”</w:t>
      </w:r>
      <w:r>
        <w:rPr>
          <w:rFonts w:hint="eastAsia" w:ascii="宋体" w:hAnsi="宋体" w:cs="宋体"/>
          <w:color w:val="auto"/>
          <w:sz w:val="24"/>
          <w:szCs w:val="24"/>
          <w:highlight w:val="none"/>
        </w:rPr>
        <w:t>系指供方根据合同规定须向采购人提供的永久或临时工程。</w:t>
      </w:r>
    </w:p>
    <w:p w14:paraId="6C5D66F0">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2.9凡提及的“天、日期、星期、月份和年份”系指公历日历的日历天、日期、星期、月份和年份。</w:t>
      </w:r>
    </w:p>
    <w:p w14:paraId="63A03077">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2.10.本文件及本合同的货币单位为人民币。</w:t>
      </w:r>
    </w:p>
    <w:p w14:paraId="71E7B02E">
      <w:pPr>
        <w:snapToGrid w:val="0"/>
        <w:spacing w:line="360" w:lineRule="auto"/>
        <w:ind w:firstLine="482" w:firstLineChars="200"/>
        <w:jc w:val="left"/>
        <w:rPr>
          <w:rFonts w:hint="eastAsia" w:ascii="宋体" w:hAnsi="宋体" w:cs="宋体"/>
          <w:b/>
          <w:color w:val="auto"/>
          <w:sz w:val="24"/>
          <w:szCs w:val="24"/>
          <w:highlight w:val="none"/>
        </w:rPr>
      </w:pPr>
      <w:bookmarkStart w:id="1" w:name="_Toc243906313"/>
      <w:bookmarkStart w:id="2" w:name="_Toc233274813"/>
      <w:bookmarkStart w:id="3" w:name="_Toc243907573"/>
      <w:bookmarkStart w:id="4" w:name="_Toc246216182"/>
      <w:r>
        <w:rPr>
          <w:rFonts w:hint="eastAsia" w:ascii="宋体" w:hAnsi="宋体" w:cs="宋体"/>
          <w:b/>
          <w:color w:val="auto"/>
          <w:sz w:val="24"/>
          <w:szCs w:val="24"/>
          <w:highlight w:val="none"/>
        </w:rPr>
        <w:t>3、采购范围及</w:t>
      </w:r>
      <w:bookmarkEnd w:id="1"/>
      <w:bookmarkEnd w:id="2"/>
      <w:bookmarkEnd w:id="3"/>
      <w:bookmarkEnd w:id="4"/>
      <w:r>
        <w:rPr>
          <w:rFonts w:hint="eastAsia" w:ascii="宋体" w:hAnsi="宋体" w:cs="宋体"/>
          <w:b/>
          <w:color w:val="auto"/>
          <w:sz w:val="24"/>
          <w:szCs w:val="24"/>
          <w:highlight w:val="none"/>
        </w:rPr>
        <w:t>相关要求</w:t>
      </w:r>
    </w:p>
    <w:p w14:paraId="3417B1AF">
      <w:pPr>
        <w:spacing w:line="360" w:lineRule="auto"/>
        <w:ind w:firstLine="420" w:firstLineChars="175"/>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3.1采购范围：</w:t>
      </w:r>
      <w:r>
        <w:rPr>
          <w:rFonts w:hint="eastAsia" w:asciiTheme="minorEastAsia" w:hAnsiTheme="minorEastAsia" w:eastAsiaTheme="minorEastAsia" w:cstheme="minorEastAsia"/>
          <w:color w:val="auto"/>
          <w:kern w:val="0"/>
          <w:sz w:val="24"/>
          <w:szCs w:val="24"/>
          <w:highlight w:val="none"/>
          <w:lang w:val="en-US" w:eastAsia="zh-CN"/>
        </w:rPr>
        <w:t>本工程施工包括施工图纸、工程量清单、招标文件范围内所有内容</w:t>
      </w:r>
      <w:r>
        <w:rPr>
          <w:rFonts w:hint="eastAsia" w:ascii="宋体" w:hAnsi="宋体" w:eastAsia="宋体" w:cs="宋体"/>
          <w:color w:val="auto"/>
          <w:kern w:val="2"/>
          <w:sz w:val="24"/>
          <w:szCs w:val="24"/>
          <w:highlight w:val="none"/>
          <w:lang w:val="en-US" w:eastAsia="zh-CN" w:bidi="ar-SA"/>
        </w:rPr>
        <w:t>。</w:t>
      </w:r>
      <w:bookmarkStart w:id="5" w:name="_Toc243907574"/>
      <w:bookmarkStart w:id="6" w:name="_Toc246216183"/>
      <w:bookmarkStart w:id="7" w:name="_Toc243906314"/>
      <w:bookmarkStart w:id="8" w:name="_Toc233274814"/>
    </w:p>
    <w:p w14:paraId="1D551DDA">
      <w:pPr>
        <w:spacing w:line="360" w:lineRule="auto"/>
        <w:ind w:firstLine="420" w:firstLineChars="175"/>
        <w:rPr>
          <w:rFonts w:hint="eastAsia" w:ascii="宋体" w:hAnsi="宋体" w:eastAsia="宋体" w:cs="宋体"/>
          <w:color w:val="auto"/>
          <w:kern w:val="0"/>
          <w:sz w:val="24"/>
          <w:szCs w:val="24"/>
          <w:highlight w:val="none"/>
          <w:lang w:val="en-US" w:eastAsia="zh-CN"/>
        </w:rPr>
      </w:pPr>
      <w:r>
        <w:rPr>
          <w:rStyle w:val="75"/>
          <w:rFonts w:hint="eastAsia" w:ascii="宋体" w:hAnsi="宋体" w:cs="宋体"/>
          <w:color w:val="auto"/>
          <w:sz w:val="24"/>
          <w:szCs w:val="24"/>
          <w:highlight w:val="none"/>
        </w:rPr>
        <w:t>3.2</w:t>
      </w:r>
      <w:r>
        <w:rPr>
          <w:rStyle w:val="75"/>
          <w:rFonts w:hint="eastAsia" w:ascii="宋体" w:hAnsi="宋体" w:cs="宋体"/>
          <w:color w:val="auto"/>
          <w:sz w:val="24"/>
          <w:szCs w:val="24"/>
          <w:highlight w:val="none"/>
          <w:lang w:val="en-US"/>
        </w:rPr>
        <w:t>施工工期</w:t>
      </w:r>
      <w:r>
        <w:rPr>
          <w:rStyle w:val="75"/>
          <w:rFonts w:hint="eastAsia" w:ascii="宋体" w:hAnsi="宋体" w:cs="宋体"/>
          <w:color w:val="auto"/>
          <w:sz w:val="24"/>
          <w:szCs w:val="24"/>
          <w:highlight w:val="none"/>
        </w:rPr>
        <w:t>：</w:t>
      </w:r>
      <w:r>
        <w:rPr>
          <w:rFonts w:hint="eastAsia" w:ascii="宋体" w:hAnsi="宋体" w:cs="宋体"/>
          <w:color w:val="auto"/>
          <w:kern w:val="0"/>
          <w:sz w:val="24"/>
          <w:szCs w:val="24"/>
          <w:highlight w:val="none"/>
          <w:u w:val="single"/>
          <w:lang w:val="en-US" w:eastAsia="zh-CN"/>
        </w:rPr>
        <w:t>190</w:t>
      </w:r>
      <w:r>
        <w:rPr>
          <w:rFonts w:hint="eastAsia" w:ascii="宋体" w:hAnsi="宋体" w:eastAsia="宋体" w:cs="宋体"/>
          <w:color w:val="auto"/>
          <w:kern w:val="0"/>
          <w:sz w:val="24"/>
          <w:szCs w:val="24"/>
          <w:highlight w:val="none"/>
          <w:lang w:val="en-US" w:eastAsia="zh-CN"/>
        </w:rPr>
        <w:t>日历天，计划开工日期</w:t>
      </w:r>
      <w:r>
        <w:rPr>
          <w:rFonts w:hint="eastAsia" w:ascii="宋体" w:hAnsi="宋体" w:cs="宋体"/>
          <w:color w:val="auto"/>
          <w:kern w:val="0"/>
          <w:sz w:val="24"/>
          <w:szCs w:val="24"/>
          <w:highlight w:val="none"/>
          <w:lang w:val="en-US" w:eastAsia="zh-CN"/>
        </w:rPr>
        <w:t>2025年4月24日</w:t>
      </w:r>
      <w:r>
        <w:rPr>
          <w:rFonts w:hint="eastAsia" w:ascii="宋体" w:hAnsi="宋体" w:eastAsia="宋体" w:cs="宋体"/>
          <w:color w:val="auto"/>
          <w:kern w:val="0"/>
          <w:sz w:val="24"/>
          <w:szCs w:val="24"/>
          <w:highlight w:val="none"/>
          <w:lang w:val="en-US" w:eastAsia="zh-CN"/>
        </w:rPr>
        <w:t>，计划竣工日期</w:t>
      </w:r>
      <w:r>
        <w:rPr>
          <w:rFonts w:hint="eastAsia" w:ascii="宋体" w:hAnsi="宋体" w:cs="宋体"/>
          <w:color w:val="auto"/>
          <w:kern w:val="0"/>
          <w:sz w:val="24"/>
          <w:szCs w:val="24"/>
          <w:highlight w:val="none"/>
          <w:lang w:val="en-US" w:eastAsia="zh-CN"/>
        </w:rPr>
        <w:t>2025年10月30日</w:t>
      </w:r>
      <w:r>
        <w:rPr>
          <w:rFonts w:hint="eastAsia" w:ascii="宋体" w:hAnsi="宋体" w:eastAsia="宋体" w:cs="宋体"/>
          <w:color w:val="auto"/>
          <w:kern w:val="0"/>
          <w:sz w:val="24"/>
          <w:szCs w:val="24"/>
          <w:highlight w:val="none"/>
          <w:lang w:val="en-US" w:eastAsia="zh-CN"/>
        </w:rPr>
        <w:t>；</w:t>
      </w:r>
    </w:p>
    <w:p w14:paraId="10131F1F">
      <w:pPr>
        <w:spacing w:line="360" w:lineRule="auto"/>
        <w:ind w:left="0" w:leftChars="0" w:firstLine="420" w:firstLineChars="175"/>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3.3</w:t>
      </w:r>
      <w:r>
        <w:rPr>
          <w:rStyle w:val="75"/>
          <w:rFonts w:hint="eastAsia" w:ascii="宋体" w:hAnsi="宋体" w:cs="宋体"/>
          <w:color w:val="auto"/>
          <w:sz w:val="24"/>
          <w:szCs w:val="24"/>
          <w:highlight w:val="none"/>
          <w:lang w:val="en-US"/>
        </w:rPr>
        <w:t>建设</w:t>
      </w:r>
      <w:r>
        <w:rPr>
          <w:rStyle w:val="75"/>
          <w:rFonts w:hint="eastAsia" w:ascii="宋体" w:hAnsi="宋体" w:cs="宋体"/>
          <w:color w:val="auto"/>
          <w:sz w:val="24"/>
          <w:szCs w:val="24"/>
          <w:highlight w:val="none"/>
        </w:rPr>
        <w:t>地点：</w:t>
      </w:r>
      <w:r>
        <w:rPr>
          <w:rFonts w:hint="eastAsia" w:ascii="宋体" w:hAnsi="宋体" w:eastAsia="宋体" w:cs="宋体"/>
          <w:color w:val="auto"/>
          <w:sz w:val="24"/>
          <w:szCs w:val="24"/>
          <w:highlight w:val="none"/>
          <w:lang w:val="en-US" w:eastAsia="zh-CN"/>
        </w:rPr>
        <w:t>尉犁县团结镇</w:t>
      </w:r>
    </w:p>
    <w:p w14:paraId="525BD4A7">
      <w:pPr>
        <w:spacing w:line="360" w:lineRule="auto"/>
        <w:ind w:firstLine="420" w:firstLineChars="175"/>
        <w:rPr>
          <w:rFonts w:hint="eastAsia" w:ascii="宋体" w:hAnsi="宋体" w:eastAsia="宋体" w:cs="宋体"/>
          <w:color w:val="auto"/>
          <w:kern w:val="0"/>
          <w:sz w:val="24"/>
          <w:szCs w:val="24"/>
          <w:highlight w:val="none"/>
          <w:lang w:val="en-US" w:eastAsia="zh-CN"/>
        </w:rPr>
      </w:pPr>
      <w:r>
        <w:rPr>
          <w:rStyle w:val="75"/>
          <w:rFonts w:hint="eastAsia" w:ascii="宋体" w:hAnsi="宋体" w:cs="宋体"/>
          <w:color w:val="auto"/>
          <w:sz w:val="24"/>
          <w:szCs w:val="24"/>
          <w:highlight w:val="none"/>
        </w:rPr>
        <w:t>3.4质量要求：</w:t>
      </w:r>
      <w:r>
        <w:rPr>
          <w:rFonts w:hint="eastAsia" w:ascii="宋体" w:hAnsi="宋体" w:eastAsia="宋体" w:cs="宋体"/>
          <w:color w:val="auto"/>
          <w:kern w:val="0"/>
          <w:sz w:val="24"/>
          <w:szCs w:val="24"/>
          <w:highlight w:val="none"/>
          <w:lang w:val="en-US" w:eastAsia="zh-CN"/>
        </w:rPr>
        <w:t>合格并由采购单位验收通过；</w:t>
      </w:r>
    </w:p>
    <w:p w14:paraId="16BF311D">
      <w:pPr>
        <w:spacing w:line="360" w:lineRule="auto"/>
        <w:ind w:firstLine="420" w:firstLineChars="175"/>
        <w:rPr>
          <w:rFonts w:hint="eastAsia" w:ascii="宋体" w:hAnsi="宋体" w:eastAsia="宋体" w:cs="宋体"/>
          <w:color w:val="auto"/>
          <w:kern w:val="0"/>
          <w:sz w:val="24"/>
          <w:szCs w:val="24"/>
          <w:highlight w:val="none"/>
          <w:lang w:val="en-US" w:eastAsia="zh-CN"/>
        </w:rPr>
      </w:pPr>
      <w:r>
        <w:rPr>
          <w:rStyle w:val="75"/>
          <w:rFonts w:hint="eastAsia" w:ascii="宋体" w:hAnsi="宋体" w:cs="宋体"/>
          <w:color w:val="auto"/>
          <w:sz w:val="24"/>
          <w:szCs w:val="24"/>
          <w:highlight w:val="none"/>
        </w:rPr>
        <w:t>3.5</w:t>
      </w:r>
      <w:r>
        <w:rPr>
          <w:rStyle w:val="75"/>
          <w:rFonts w:hint="eastAsia" w:ascii="宋体" w:hAnsi="宋体" w:cs="宋体"/>
          <w:color w:val="auto"/>
          <w:sz w:val="24"/>
          <w:szCs w:val="24"/>
          <w:highlight w:val="none"/>
          <w:lang w:val="en-US"/>
        </w:rPr>
        <w:t>责任缺</w:t>
      </w:r>
      <w:r>
        <w:rPr>
          <w:rFonts w:hint="eastAsia" w:ascii="宋体" w:hAnsi="宋体" w:eastAsia="宋体" w:cs="宋体"/>
          <w:color w:val="auto"/>
          <w:kern w:val="0"/>
          <w:sz w:val="24"/>
          <w:szCs w:val="24"/>
          <w:highlight w:val="none"/>
          <w:lang w:val="en-US" w:eastAsia="zh-CN"/>
        </w:rPr>
        <w:t>陷期：12个月；</w:t>
      </w:r>
    </w:p>
    <w:p w14:paraId="19A0F2D8">
      <w:pPr>
        <w:spacing w:line="360" w:lineRule="auto"/>
        <w:ind w:firstLine="420" w:firstLineChars="175"/>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3.6质量保修期：按《房屋建筑工程质量保修办法》相关规定执行。</w:t>
      </w:r>
    </w:p>
    <w:p w14:paraId="67CC927E">
      <w:pPr>
        <w:spacing w:line="360" w:lineRule="auto"/>
        <w:ind w:firstLine="420" w:firstLineChars="175"/>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3.7质保金：结算价的3%</w:t>
      </w:r>
    </w:p>
    <w:p w14:paraId="73D4C42D">
      <w:pPr>
        <w:spacing w:line="360" w:lineRule="auto"/>
        <w:ind w:firstLine="420" w:firstLineChars="175"/>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3.8履约保证金：合同价的5%</w:t>
      </w:r>
    </w:p>
    <w:p w14:paraId="53C321F3">
      <w:pPr>
        <w:spacing w:line="360" w:lineRule="auto"/>
        <w:ind w:firstLine="420" w:firstLineChars="175"/>
        <w:rPr>
          <w:rFonts w:hint="eastAsia" w:ascii="宋体" w:hAnsi="宋体" w:eastAsia="宋体" w:cs="宋体"/>
          <w:color w:val="auto"/>
          <w:kern w:val="0"/>
          <w:sz w:val="24"/>
          <w:szCs w:val="24"/>
          <w:highlight w:val="none"/>
          <w:lang w:val="en-US" w:eastAsia="zh-CN"/>
        </w:rPr>
      </w:pPr>
      <w:r>
        <w:rPr>
          <w:rStyle w:val="75"/>
          <w:rFonts w:hint="eastAsia" w:ascii="宋体" w:hAnsi="宋体" w:cs="宋体"/>
          <w:color w:val="auto"/>
          <w:sz w:val="24"/>
          <w:szCs w:val="24"/>
          <w:highlight w:val="none"/>
        </w:rPr>
        <w:t>3.</w:t>
      </w:r>
      <w:r>
        <w:rPr>
          <w:rStyle w:val="75"/>
          <w:rFonts w:hint="eastAsia" w:ascii="宋体" w:hAnsi="宋体" w:cs="宋体"/>
          <w:color w:val="auto"/>
          <w:sz w:val="24"/>
          <w:szCs w:val="24"/>
          <w:highlight w:val="none"/>
          <w:lang w:val="en-US"/>
        </w:rPr>
        <w:t>9</w:t>
      </w:r>
      <w:r>
        <w:rPr>
          <w:rStyle w:val="75"/>
          <w:rFonts w:hint="eastAsia" w:ascii="宋体" w:hAnsi="宋体" w:cs="宋体"/>
          <w:color w:val="auto"/>
          <w:sz w:val="24"/>
          <w:szCs w:val="24"/>
          <w:highlight w:val="none"/>
        </w:rPr>
        <w:t>付款方式：</w:t>
      </w:r>
      <w:r>
        <w:rPr>
          <w:rFonts w:hint="eastAsia" w:ascii="宋体" w:hAnsi="宋体" w:eastAsia="宋体" w:cs="宋体"/>
          <w:color w:val="auto"/>
          <w:kern w:val="0"/>
          <w:sz w:val="24"/>
          <w:szCs w:val="24"/>
          <w:highlight w:val="none"/>
          <w:lang w:val="en-US" w:eastAsia="zh-CN"/>
        </w:rPr>
        <w:t>合同签订后10日内支付合同价30%的预付款，按工程进度付款，工程竣工验收合格后支付到合同价的80%，工程结算审计完成后支付到结算价的97%，留结算价3%的质保金，待1年缺陷责任期满后3日内一次性付清。</w:t>
      </w:r>
    </w:p>
    <w:p w14:paraId="095EFCBE">
      <w:pPr>
        <w:snapToGrid w:val="0"/>
        <w:spacing w:line="360" w:lineRule="auto"/>
        <w:ind w:firstLine="482" w:firstLineChars="200"/>
        <w:jc w:val="left"/>
        <w:rPr>
          <w:rFonts w:hint="eastAsia" w:ascii="宋体" w:hAnsi="宋体" w:cs="宋体"/>
          <w:b/>
          <w:color w:val="auto"/>
          <w:sz w:val="24"/>
          <w:szCs w:val="24"/>
          <w:highlight w:val="none"/>
        </w:rPr>
      </w:pPr>
      <w:r>
        <w:rPr>
          <w:rFonts w:hint="eastAsia" w:ascii="宋体" w:hAnsi="宋体" w:cs="宋体"/>
          <w:b/>
          <w:color w:val="auto"/>
          <w:sz w:val="24"/>
          <w:szCs w:val="24"/>
          <w:highlight w:val="none"/>
        </w:rPr>
        <w:t>4、</w:t>
      </w:r>
      <w:bookmarkEnd w:id="5"/>
      <w:bookmarkEnd w:id="6"/>
      <w:bookmarkEnd w:id="7"/>
      <w:bookmarkEnd w:id="8"/>
      <w:r>
        <w:rPr>
          <w:rFonts w:hint="eastAsia" w:ascii="宋体" w:hAnsi="宋体" w:cs="宋体"/>
          <w:b/>
          <w:color w:val="auto"/>
          <w:sz w:val="24"/>
          <w:szCs w:val="24"/>
          <w:highlight w:val="none"/>
        </w:rPr>
        <w:t>合格供应商资格要求</w:t>
      </w:r>
    </w:p>
    <w:p w14:paraId="2BB27EAB">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4.1详见第一章“竞争性磋商采购公告”中的供应商资格要求。</w:t>
      </w:r>
    </w:p>
    <w:p w14:paraId="7E2DAB0D">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4.2</w:t>
      </w:r>
      <w:r>
        <w:rPr>
          <w:rFonts w:hint="eastAsia" w:ascii="宋体" w:hAnsi="宋体" w:eastAsia="宋体" w:cs="宋体"/>
          <w:color w:val="auto"/>
          <w:sz w:val="24"/>
          <w:szCs w:val="24"/>
          <w:highlight w:val="none"/>
        </w:rPr>
        <w:t>投标人或投标人之间如果存在下列情形之一的，不得同时参加同一包（标段）或者不分包（标段）的同一项目投标：</w:t>
      </w:r>
    </w:p>
    <w:p w14:paraId="58390514">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（1）单位负责人为同一个人或者存在直接控股、管理关系的不同投标人；</w:t>
      </w:r>
    </w:p>
    <w:p w14:paraId="5A91C916">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（2）母公司、全资子公司及其控股公司；</w:t>
      </w:r>
    </w:p>
    <w:p w14:paraId="1C8856FC">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（3）为本次采购项目提供整体设计、规范编制或者项目管理、监理、检测等服务的投标人；</w:t>
      </w:r>
    </w:p>
    <w:p w14:paraId="53F01452">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（4）参加投标的其他组织之间存在特殊的利害关系的；</w:t>
      </w:r>
    </w:p>
    <w:p w14:paraId="2506CEAF">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（5）法律法规规定的其他情形。</w:t>
      </w:r>
    </w:p>
    <w:p w14:paraId="131E329B">
      <w:pPr>
        <w:spacing w:line="360" w:lineRule="auto"/>
        <w:ind w:firstLine="482"/>
        <w:jc w:val="left"/>
        <w:rPr>
          <w:rFonts w:hint="eastAsia" w:ascii="宋体" w:hAnsi="宋体" w:eastAsia="宋体" w:cs="宋体"/>
          <w:b/>
          <w:bCs/>
          <w:color w:val="auto"/>
          <w:sz w:val="24"/>
          <w:szCs w:val="24"/>
          <w:highlight w:val="none"/>
        </w:rPr>
      </w:pPr>
      <w:r>
        <w:rPr>
          <w:rFonts w:hint="default" w:ascii="宋体" w:hAnsi="宋体" w:eastAsia="宋体" w:cs="宋体"/>
          <w:b/>
          <w:bCs/>
          <w:color w:val="auto"/>
          <w:sz w:val="24"/>
          <w:szCs w:val="24"/>
          <w:highlight w:val="none"/>
        </w:rPr>
        <w:t>5、</w:t>
      </w:r>
      <w:r>
        <w:rPr>
          <w:rFonts w:hint="eastAsia" w:ascii="宋体" w:hAnsi="宋体" w:eastAsia="宋体" w:cs="宋体"/>
          <w:b/>
          <w:bCs/>
          <w:color w:val="auto"/>
          <w:sz w:val="24"/>
          <w:szCs w:val="24"/>
          <w:highlight w:val="none"/>
        </w:rPr>
        <w:t>投标保证金</w:t>
      </w:r>
    </w:p>
    <w:p w14:paraId="3103C402">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.1投标人在领取招标文件时，应提供不少于投标人须知前附表</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规定数额的投标保证金。</w:t>
      </w:r>
    </w:p>
    <w:p w14:paraId="07DBBBF0">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.2投标人有下列情形之一者，投标保证金将被没收：</w:t>
      </w:r>
    </w:p>
    <w:p w14:paraId="69CFF167">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.2.1投标人在投标有效期内撤回其投标文件；</w:t>
      </w:r>
    </w:p>
    <w:p w14:paraId="5FEC15C7">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.2.2投标人不接受按招标文件规定对其投标报价进行修正的；</w:t>
      </w:r>
    </w:p>
    <w:p w14:paraId="51F12A6A">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.2.3中标人未能在规定期限内签署合同协议书或提交履约保证金的；</w:t>
      </w:r>
    </w:p>
    <w:p w14:paraId="0EBBB023">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.2.4投标人超过投标截止时间送达投标文件的。</w:t>
      </w:r>
    </w:p>
    <w:p w14:paraId="3BE2F543">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.3退还投标保证金</w:t>
      </w:r>
    </w:p>
    <w:p w14:paraId="23E02B66">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.3.1未中标的投标人的投标保证金，将在中标通知书发出后5个工作日内无息退还。</w:t>
      </w:r>
    </w:p>
    <w:p w14:paraId="0875F98F">
      <w:pPr>
        <w:spacing w:line="360" w:lineRule="auto"/>
        <w:ind w:firstLine="482"/>
        <w:jc w:val="left"/>
        <w:rPr>
          <w:rFonts w:hint="default"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.3.2、中标方的投标保证金，将在领取中标通知书，缴纳履约保证金并签订合同后5个工作日内无息退还，中标企业退还保证金时，还需提供采购合同复印件。</w:t>
      </w:r>
    </w:p>
    <w:p w14:paraId="4E2B71D5">
      <w:pPr>
        <w:snapToGrid w:val="0"/>
        <w:spacing w:line="360" w:lineRule="auto"/>
        <w:ind w:firstLine="482" w:firstLineChars="200"/>
        <w:jc w:val="left"/>
        <w:rPr>
          <w:rFonts w:hint="eastAsia" w:ascii="宋体" w:hAnsi="宋体" w:cs="宋体"/>
          <w:b/>
          <w:color w:val="auto"/>
          <w:sz w:val="24"/>
          <w:szCs w:val="24"/>
          <w:highlight w:val="none"/>
        </w:rPr>
      </w:pPr>
      <w:r>
        <w:rPr>
          <w:rFonts w:hint="default" w:ascii="宋体" w:hAnsi="宋体" w:cs="宋体"/>
          <w:b/>
          <w:color w:val="auto"/>
          <w:sz w:val="24"/>
          <w:szCs w:val="24"/>
          <w:highlight w:val="none"/>
        </w:rPr>
        <w:t>6</w:t>
      </w:r>
      <w:r>
        <w:rPr>
          <w:rFonts w:hint="eastAsia" w:ascii="宋体" w:hAnsi="宋体" w:cs="宋体"/>
          <w:b/>
          <w:color w:val="auto"/>
          <w:sz w:val="24"/>
          <w:szCs w:val="24"/>
          <w:highlight w:val="none"/>
        </w:rPr>
        <w:t>、政府采购活动中，采购人员及相关人员与供应商有下列利害关系之一的，应当回避：</w:t>
      </w:r>
    </w:p>
    <w:p w14:paraId="7D853BF2">
      <w:pPr>
        <w:spacing w:line="360" w:lineRule="auto"/>
        <w:ind w:firstLine="482"/>
        <w:jc w:val="left"/>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rPr>
        <w:t>6</w:t>
      </w:r>
      <w:r>
        <w:rPr>
          <w:rFonts w:hint="eastAsia" w:ascii="宋体" w:hAnsi="宋体" w:eastAsia="宋体" w:cs="宋体"/>
          <w:color w:val="auto"/>
          <w:sz w:val="24"/>
          <w:szCs w:val="24"/>
          <w:highlight w:val="none"/>
        </w:rPr>
        <w:t>.1参加采购活动前3年内与供应商存在劳动关系；</w:t>
      </w:r>
    </w:p>
    <w:p w14:paraId="5EEA5AEB">
      <w:pPr>
        <w:spacing w:line="360" w:lineRule="auto"/>
        <w:ind w:firstLine="482"/>
        <w:jc w:val="left"/>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rPr>
        <w:t>6</w:t>
      </w:r>
      <w:r>
        <w:rPr>
          <w:rFonts w:hint="eastAsia" w:ascii="宋体" w:hAnsi="宋体" w:eastAsia="宋体" w:cs="宋体"/>
          <w:color w:val="auto"/>
          <w:sz w:val="24"/>
          <w:szCs w:val="24"/>
          <w:highlight w:val="none"/>
        </w:rPr>
        <w:t>.2参加采购活动前3年内担任供应商的董事、监事；</w:t>
      </w:r>
    </w:p>
    <w:p w14:paraId="3B79D39F">
      <w:pPr>
        <w:spacing w:line="360" w:lineRule="auto"/>
        <w:ind w:firstLine="482"/>
        <w:jc w:val="left"/>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rPr>
        <w:t>6</w:t>
      </w:r>
      <w:r>
        <w:rPr>
          <w:rFonts w:hint="eastAsia" w:ascii="宋体" w:hAnsi="宋体" w:eastAsia="宋体" w:cs="宋体"/>
          <w:color w:val="auto"/>
          <w:sz w:val="24"/>
          <w:szCs w:val="24"/>
          <w:highlight w:val="none"/>
        </w:rPr>
        <w:t>.3参加采购活动前3年内是供应商的控股股东或者实际控制人；</w:t>
      </w:r>
    </w:p>
    <w:p w14:paraId="0059AFBE">
      <w:pPr>
        <w:spacing w:line="360" w:lineRule="auto"/>
        <w:ind w:firstLine="482"/>
        <w:jc w:val="left"/>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rPr>
        <w:t>6</w:t>
      </w:r>
      <w:r>
        <w:rPr>
          <w:rFonts w:hint="eastAsia" w:ascii="宋体" w:hAnsi="宋体" w:eastAsia="宋体" w:cs="宋体"/>
          <w:color w:val="auto"/>
          <w:sz w:val="24"/>
          <w:szCs w:val="24"/>
          <w:highlight w:val="none"/>
        </w:rPr>
        <w:t>.4与供应商的法定代表人或者负责人有夫妻、直系血亲、三代以内旁系血亲或者近姻亲关系；</w:t>
      </w:r>
    </w:p>
    <w:p w14:paraId="37844834">
      <w:pPr>
        <w:spacing w:line="360" w:lineRule="auto"/>
        <w:ind w:firstLine="482"/>
        <w:jc w:val="left"/>
        <w:rPr>
          <w:rFonts w:hint="eastAsia" w:ascii="宋体" w:hAnsi="宋体" w:eastAsia="宋体" w:cs="宋体"/>
          <w:color w:val="auto"/>
          <w:sz w:val="24"/>
          <w:szCs w:val="24"/>
          <w:highlight w:val="none"/>
        </w:rPr>
      </w:pPr>
      <w:r>
        <w:rPr>
          <w:rFonts w:hint="default" w:ascii="宋体" w:hAnsi="宋体" w:eastAsia="宋体" w:cs="宋体"/>
          <w:color w:val="auto"/>
          <w:sz w:val="24"/>
          <w:szCs w:val="24"/>
          <w:highlight w:val="none"/>
        </w:rPr>
        <w:t>6</w:t>
      </w:r>
      <w:r>
        <w:rPr>
          <w:rFonts w:hint="eastAsia" w:ascii="宋体" w:hAnsi="宋体" w:eastAsia="宋体" w:cs="宋体"/>
          <w:color w:val="auto"/>
          <w:sz w:val="24"/>
          <w:szCs w:val="24"/>
          <w:highlight w:val="none"/>
        </w:rPr>
        <w:t>.5与供应商有其他可能影响政府采购活动公平、公正进行的关系。</w:t>
      </w:r>
    </w:p>
    <w:p w14:paraId="3F829EBC">
      <w:pPr>
        <w:pStyle w:val="76"/>
        <w:spacing w:line="360" w:lineRule="auto"/>
        <w:ind w:left="1" w:firstLine="512" w:firstLineChars="200"/>
        <w:rPr>
          <w:rFonts w:hint="eastAsia" w:hAnsi="宋体" w:cs="宋体"/>
          <w:color w:val="auto"/>
          <w:kern w:val="2"/>
          <w:sz w:val="24"/>
          <w:szCs w:val="24"/>
          <w:highlight w:val="none"/>
        </w:rPr>
      </w:pPr>
      <w:r>
        <w:rPr>
          <w:rFonts w:hint="eastAsia" w:hAnsi="宋体" w:cs="宋体"/>
          <w:color w:val="auto"/>
          <w:kern w:val="2"/>
          <w:sz w:val="24"/>
          <w:szCs w:val="24"/>
          <w:highlight w:val="none"/>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14:paraId="568A9034">
      <w:pPr>
        <w:pStyle w:val="76"/>
        <w:spacing w:line="360" w:lineRule="auto"/>
        <w:ind w:left="1" w:firstLine="512" w:firstLineChars="200"/>
        <w:rPr>
          <w:rFonts w:hint="eastAsia" w:hAnsi="宋体" w:cs="宋体"/>
          <w:color w:val="auto"/>
          <w:kern w:val="2"/>
          <w:sz w:val="24"/>
          <w:szCs w:val="24"/>
          <w:highlight w:val="none"/>
        </w:rPr>
      </w:pPr>
      <w:r>
        <w:rPr>
          <w:rFonts w:hint="eastAsia" w:hAnsi="宋体" w:cs="宋体"/>
          <w:color w:val="auto"/>
          <w:kern w:val="2"/>
          <w:sz w:val="24"/>
          <w:szCs w:val="24"/>
          <w:highlight w:val="none"/>
        </w:rPr>
        <w:t>供应商认为采购人员及相关人员与其他供应商有利害关系的，可以向采购代理机构书面提出回避申请，并说明理由。采购代理机构将及时询问被申请回避人员，有利害关系的被申请回避人员应当回避。</w:t>
      </w:r>
    </w:p>
    <w:p w14:paraId="2F499DA0">
      <w:pPr>
        <w:autoSpaceDE w:val="0"/>
        <w:autoSpaceDN w:val="0"/>
        <w:adjustRightInd w:val="0"/>
        <w:spacing w:line="360" w:lineRule="auto"/>
        <w:ind w:firstLine="420"/>
        <w:rPr>
          <w:rFonts w:hint="eastAsia" w:ascii="宋体" w:hAnsi="宋体" w:eastAsia="宋体" w:cs="宋体"/>
          <w:b/>
          <w:color w:val="auto"/>
          <w:kern w:val="2"/>
          <w:sz w:val="24"/>
          <w:szCs w:val="24"/>
          <w:highlight w:val="none"/>
          <w:lang w:val="zh-CN" w:eastAsia="zh-CN" w:bidi="ar-SA"/>
        </w:rPr>
      </w:pPr>
      <w:r>
        <w:rPr>
          <w:rFonts w:hint="eastAsia" w:ascii="宋体" w:hAnsi="宋体" w:eastAsia="宋体" w:cs="宋体"/>
          <w:b/>
          <w:color w:val="auto"/>
          <w:kern w:val="2"/>
          <w:sz w:val="24"/>
          <w:szCs w:val="24"/>
          <w:highlight w:val="none"/>
          <w:lang w:val="en-US" w:eastAsia="zh-CN" w:bidi="ar-SA"/>
        </w:rPr>
        <w:t>7</w:t>
      </w:r>
      <w:r>
        <w:rPr>
          <w:rFonts w:hint="eastAsia" w:ascii="宋体" w:hAnsi="宋体" w:eastAsia="宋体" w:cs="宋体"/>
          <w:b/>
          <w:color w:val="auto"/>
          <w:kern w:val="2"/>
          <w:sz w:val="24"/>
          <w:szCs w:val="24"/>
          <w:highlight w:val="none"/>
          <w:lang w:val="zh-CN" w:eastAsia="zh-CN" w:bidi="ar-SA"/>
        </w:rPr>
        <w:t>、招标控制价</w:t>
      </w:r>
    </w:p>
    <w:p w14:paraId="4EA6B4F0">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7.1招标控制价：指招标人根据国家或省级、行业建设主管部门颁发的有关计价依据和办法，按设计施工图纸计算的，对招标工程限定的最高工程造价。</w:t>
      </w:r>
    </w:p>
    <w:p w14:paraId="1D2125E8">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7.2国有资金投资的工程建设项目应实行工程量清单招标，并应编制招标控制价。招标控制价超过批准的概算时，招标人应将其报原概算部门审核。投标人的投标报价高于招标控制价的，其投标应予以拒绝。</w:t>
      </w:r>
    </w:p>
    <w:p w14:paraId="7F0FAF92">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7.3招标控制价应由具有编制能力的招标人，或受其委托具有相应资质的工程造价咨询人编制。</w:t>
      </w:r>
    </w:p>
    <w:p w14:paraId="47743CD2">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7.4招标控制价应依据</w:t>
      </w:r>
      <w:r>
        <w:rPr>
          <w:rFonts w:hint="eastAsia" w:ascii="宋体" w:hAnsi="宋体" w:eastAsia="宋体" w:cs="宋体"/>
          <w:color w:val="auto"/>
          <w:sz w:val="24"/>
          <w:szCs w:val="24"/>
          <w:highlight w:val="none"/>
          <w:lang w:val="zh-CN" w:eastAsia="zh-CN"/>
        </w:rPr>
        <w:t>《建设工程工程量清单计价规范》GB50500-2013和</w:t>
      </w:r>
      <w:r>
        <w:rPr>
          <w:rFonts w:hint="eastAsia" w:ascii="宋体" w:hAnsi="宋体" w:eastAsia="宋体" w:cs="宋体"/>
          <w:color w:val="auto"/>
          <w:sz w:val="24"/>
          <w:szCs w:val="24"/>
          <w:highlight w:val="none"/>
          <w:lang w:val="en-US" w:eastAsia="zh-CN"/>
        </w:rPr>
        <w:t>国家或省级、行业建设主管部门颁发的计价定额和计价办法编制。</w:t>
      </w:r>
    </w:p>
    <w:p w14:paraId="36669BD7">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7.5</w:t>
      </w:r>
      <w:r>
        <w:rPr>
          <w:rFonts w:hint="eastAsia" w:ascii="宋体" w:hAnsi="宋体" w:eastAsia="宋体" w:cs="宋体"/>
          <w:color w:val="auto"/>
          <w:sz w:val="24"/>
          <w:szCs w:val="24"/>
          <w:highlight w:val="none"/>
        </w:rPr>
        <w:t>招标控制价应在招标时公布，不应上调或下浮。</w:t>
      </w:r>
    </w:p>
    <w:p w14:paraId="5E2F607A">
      <w:pPr>
        <w:pStyle w:val="17"/>
        <w:spacing w:line="360" w:lineRule="auto"/>
        <w:ind w:firstLine="482" w:firstLineChars="200"/>
        <w:rPr>
          <w:rFonts w:hint="eastAsia" w:hAnsi="宋体" w:cs="宋体"/>
          <w:b/>
          <w:color w:val="auto"/>
          <w:sz w:val="24"/>
          <w:szCs w:val="24"/>
          <w:highlight w:val="none"/>
        </w:rPr>
      </w:pPr>
      <w:r>
        <w:rPr>
          <w:rFonts w:hint="eastAsia" w:hAnsi="宋体" w:cs="宋体"/>
          <w:b/>
          <w:color w:val="auto"/>
          <w:sz w:val="24"/>
          <w:szCs w:val="24"/>
          <w:highlight w:val="none"/>
          <w:lang w:val="en-US" w:eastAsia="zh-CN"/>
        </w:rPr>
        <w:t>8</w:t>
      </w:r>
      <w:r>
        <w:rPr>
          <w:rFonts w:hint="eastAsia" w:hAnsi="宋体" w:cs="宋体"/>
          <w:b/>
          <w:color w:val="auto"/>
          <w:sz w:val="24"/>
          <w:szCs w:val="24"/>
          <w:highlight w:val="none"/>
        </w:rPr>
        <w:t>、参与磋商费用</w:t>
      </w:r>
    </w:p>
    <w:p w14:paraId="78D2868E">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8</w:t>
      </w:r>
      <w:r>
        <w:rPr>
          <w:rFonts w:hint="eastAsia" w:hAnsi="宋体" w:cs="宋体"/>
          <w:color w:val="auto"/>
          <w:sz w:val="24"/>
          <w:szCs w:val="24"/>
          <w:highlight w:val="none"/>
        </w:rPr>
        <w:t>.1供应商应承担所有与磋商准备和磋商有关的全部费用，不论磋商结果如何，采购人和采购代理机构无义务和责任承担供应商所发生的一切费用。</w:t>
      </w:r>
    </w:p>
    <w:p w14:paraId="3E90A023">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8</w:t>
      </w:r>
      <w:r>
        <w:rPr>
          <w:rFonts w:hint="eastAsia" w:hAnsi="宋体" w:cs="宋体"/>
          <w:color w:val="auto"/>
          <w:sz w:val="24"/>
          <w:szCs w:val="24"/>
          <w:highlight w:val="none"/>
        </w:rPr>
        <w:t>.2供应商在磋商准备、实地考察和磋商的全过程中，如果发生人身伤亡、财物或其它任何损失，不论何种原因所造成，均由供应商自行承担全部责任和损失。</w:t>
      </w:r>
    </w:p>
    <w:p w14:paraId="2F518D35">
      <w:pPr>
        <w:pStyle w:val="17"/>
        <w:spacing w:line="360" w:lineRule="auto"/>
        <w:ind w:firstLine="482" w:firstLineChars="200"/>
        <w:rPr>
          <w:rFonts w:hint="eastAsia" w:ascii="宋体" w:hAnsi="宋体" w:eastAsia="宋体" w:cs="宋体"/>
          <w:b/>
          <w:color w:val="auto"/>
          <w:sz w:val="24"/>
          <w:szCs w:val="24"/>
          <w:highlight w:val="none"/>
        </w:rPr>
      </w:pPr>
      <w:bookmarkStart w:id="9" w:name="_Toc233274816"/>
      <w:bookmarkStart w:id="10" w:name="_Toc243906316"/>
      <w:bookmarkStart w:id="11" w:name="_Toc243907576"/>
      <w:bookmarkStart w:id="12" w:name="_Toc245897276"/>
      <w:r>
        <w:rPr>
          <w:rFonts w:hint="eastAsia" w:ascii="宋体" w:hAnsi="宋体" w:eastAsia="宋体" w:cs="宋体"/>
          <w:b/>
          <w:color w:val="auto"/>
          <w:sz w:val="24"/>
          <w:szCs w:val="24"/>
          <w:highlight w:val="none"/>
          <w:lang w:val="en-US" w:eastAsia="zh-CN"/>
        </w:rPr>
        <w:t>9</w:t>
      </w:r>
      <w:r>
        <w:rPr>
          <w:rFonts w:hint="eastAsia" w:ascii="宋体" w:hAnsi="宋体" w:eastAsia="宋体" w:cs="宋体"/>
          <w:b/>
          <w:color w:val="auto"/>
          <w:sz w:val="24"/>
          <w:szCs w:val="24"/>
          <w:highlight w:val="none"/>
        </w:rPr>
        <w:t>、法律适用</w:t>
      </w:r>
      <w:bookmarkEnd w:id="9"/>
      <w:bookmarkEnd w:id="10"/>
      <w:bookmarkEnd w:id="11"/>
      <w:bookmarkEnd w:id="12"/>
    </w:p>
    <w:p w14:paraId="5E48145C">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9</w:t>
      </w:r>
      <w:r>
        <w:rPr>
          <w:rFonts w:hint="eastAsia" w:hAnsi="宋体" w:cs="宋体"/>
          <w:color w:val="auto"/>
          <w:sz w:val="24"/>
          <w:szCs w:val="24"/>
          <w:highlight w:val="none"/>
        </w:rPr>
        <w:t>.1本次磋商活动及由本次磋商产生的合同受中国法律制约和保护。</w:t>
      </w:r>
    </w:p>
    <w:p w14:paraId="24FC8BA9">
      <w:pPr>
        <w:pStyle w:val="17"/>
        <w:spacing w:line="360" w:lineRule="auto"/>
        <w:ind w:firstLine="482" w:firstLineChars="200"/>
        <w:rPr>
          <w:rFonts w:hint="eastAsia" w:hAnsi="宋体" w:cs="宋体"/>
          <w:b/>
          <w:color w:val="auto"/>
          <w:sz w:val="24"/>
          <w:szCs w:val="24"/>
          <w:highlight w:val="none"/>
        </w:rPr>
      </w:pPr>
      <w:bookmarkStart w:id="13" w:name="_Toc233274817"/>
      <w:bookmarkStart w:id="14" w:name="_Toc243907577"/>
      <w:bookmarkStart w:id="15" w:name="_Toc245897277"/>
      <w:bookmarkStart w:id="16" w:name="_Toc243906317"/>
      <w:r>
        <w:rPr>
          <w:rFonts w:hint="eastAsia" w:hAnsi="宋体" w:cs="宋体"/>
          <w:b/>
          <w:color w:val="auto"/>
          <w:sz w:val="24"/>
          <w:szCs w:val="24"/>
          <w:highlight w:val="none"/>
          <w:lang w:val="en-US" w:eastAsia="zh-CN"/>
        </w:rPr>
        <w:t>10</w:t>
      </w:r>
      <w:r>
        <w:rPr>
          <w:rFonts w:hint="eastAsia" w:hAnsi="宋体" w:cs="宋体"/>
          <w:b/>
          <w:color w:val="auto"/>
          <w:sz w:val="24"/>
          <w:szCs w:val="24"/>
          <w:highlight w:val="none"/>
        </w:rPr>
        <w:t>、磋商文件的约束力</w:t>
      </w:r>
      <w:bookmarkEnd w:id="13"/>
      <w:bookmarkEnd w:id="14"/>
      <w:bookmarkEnd w:id="15"/>
      <w:bookmarkEnd w:id="16"/>
    </w:p>
    <w:p w14:paraId="298C8D42">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10</w:t>
      </w:r>
      <w:r>
        <w:rPr>
          <w:rFonts w:hint="eastAsia" w:hAnsi="宋体" w:cs="宋体"/>
          <w:color w:val="auto"/>
          <w:sz w:val="24"/>
          <w:szCs w:val="24"/>
          <w:highlight w:val="none"/>
        </w:rPr>
        <w:t>.1供应商若成交，即被认为接受了本磋商文件中的所有条件和规定。是采购人与成交供应商签订合同的依据且是合同的组成部分。</w:t>
      </w:r>
    </w:p>
    <w:p w14:paraId="4484A831">
      <w:pPr>
        <w:pStyle w:val="77"/>
        <w:tabs>
          <w:tab w:val="left" w:pos="0"/>
        </w:tabs>
        <w:spacing w:line="360" w:lineRule="auto"/>
        <w:ind w:left="0" w:leftChars="0" w:firstLine="0" w:firstLineChars="0"/>
        <w:rPr>
          <w:rFonts w:hint="eastAsia" w:hAnsi="宋体" w:cs="宋体"/>
          <w:b/>
          <w:color w:val="auto"/>
          <w:sz w:val="36"/>
          <w:szCs w:val="36"/>
          <w:highlight w:val="none"/>
        </w:rPr>
      </w:pPr>
    </w:p>
    <w:p w14:paraId="1E0AB776">
      <w:pPr>
        <w:pStyle w:val="77"/>
        <w:tabs>
          <w:tab w:val="left" w:pos="0"/>
        </w:tabs>
        <w:spacing w:line="360" w:lineRule="auto"/>
        <w:ind w:left="1680" w:leftChars="800" w:firstLine="723" w:firstLineChars="200"/>
        <w:rPr>
          <w:rFonts w:hint="eastAsia" w:hAnsi="宋体" w:cs="宋体"/>
          <w:b/>
          <w:color w:val="auto"/>
          <w:sz w:val="36"/>
          <w:szCs w:val="36"/>
          <w:highlight w:val="none"/>
        </w:rPr>
      </w:pPr>
      <w:r>
        <w:rPr>
          <w:rFonts w:hint="eastAsia" w:hAnsi="宋体" w:cs="宋体"/>
          <w:b/>
          <w:color w:val="auto"/>
          <w:sz w:val="36"/>
          <w:szCs w:val="36"/>
          <w:highlight w:val="none"/>
        </w:rPr>
        <w:t>第三章磋商响应文件的编制、递交</w:t>
      </w:r>
    </w:p>
    <w:p w14:paraId="64D10BD1">
      <w:pPr>
        <w:pStyle w:val="17"/>
        <w:spacing w:line="360" w:lineRule="auto"/>
        <w:ind w:firstLine="482" w:firstLineChars="200"/>
        <w:outlineLvl w:val="1"/>
        <w:rPr>
          <w:rFonts w:hint="eastAsia" w:hAnsi="宋体" w:cs="宋体"/>
          <w:b/>
          <w:bCs/>
          <w:color w:val="auto"/>
          <w:sz w:val="24"/>
          <w:szCs w:val="24"/>
          <w:highlight w:val="none"/>
        </w:rPr>
      </w:pPr>
      <w:bookmarkStart w:id="17" w:name="_Toc243907579"/>
      <w:bookmarkStart w:id="18" w:name="_Toc243906319"/>
      <w:bookmarkStart w:id="19" w:name="_Toc246216188"/>
      <w:bookmarkStart w:id="20" w:name="_Toc233274819"/>
      <w:r>
        <w:rPr>
          <w:rFonts w:hint="eastAsia" w:hAnsi="宋体" w:cs="宋体"/>
          <w:b/>
          <w:bCs/>
          <w:color w:val="auto"/>
          <w:sz w:val="24"/>
          <w:szCs w:val="24"/>
          <w:highlight w:val="none"/>
          <w:lang w:val="en-US" w:eastAsia="zh-CN"/>
        </w:rPr>
        <w:t>1</w:t>
      </w:r>
      <w:r>
        <w:rPr>
          <w:rFonts w:hint="eastAsia" w:hAnsi="宋体" w:cs="宋体"/>
          <w:b/>
          <w:bCs/>
          <w:color w:val="auto"/>
          <w:sz w:val="24"/>
          <w:szCs w:val="24"/>
          <w:highlight w:val="none"/>
        </w:rPr>
        <w:t>、磋商文件的组成</w:t>
      </w:r>
      <w:bookmarkEnd w:id="17"/>
      <w:bookmarkEnd w:id="18"/>
      <w:bookmarkEnd w:id="19"/>
      <w:bookmarkEnd w:id="20"/>
    </w:p>
    <w:p w14:paraId="4870044C">
      <w:pPr>
        <w:spacing w:line="360" w:lineRule="auto"/>
        <w:ind w:firstLine="720" w:firstLineChars="3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.1本磋商文件是</w:t>
      </w:r>
      <w:r>
        <w:rPr>
          <w:rFonts w:hint="eastAsia" w:ascii="宋体" w:hAnsi="宋体" w:cs="宋体"/>
          <w:color w:val="auto"/>
          <w:sz w:val="24"/>
          <w:szCs w:val="24"/>
          <w:highlight w:val="none"/>
          <w:lang w:val="en-US" w:eastAsia="zh-CN"/>
        </w:rPr>
        <w:t>对</w:t>
      </w:r>
      <w:r>
        <w:rPr>
          <w:rFonts w:hint="eastAsia" w:ascii="宋体" w:hAnsi="宋体" w:cs="宋体"/>
          <w:color w:val="auto"/>
          <w:sz w:val="24"/>
          <w:szCs w:val="24"/>
          <w:highlight w:val="none"/>
          <w:lang w:val="en-US" w:eastAsia="zh-CN"/>
        </w:rPr>
        <w:t>尉犁县团结镇2025年设施农业建设项目(二标段)一日光温室大棚建设</w:t>
      </w:r>
      <w:r>
        <w:rPr>
          <w:rFonts w:hint="eastAsia" w:ascii="宋体" w:hAnsi="宋体" w:eastAsia="宋体" w:cs="宋体"/>
          <w:color w:val="auto"/>
          <w:kern w:val="0"/>
          <w:sz w:val="24"/>
          <w:szCs w:val="24"/>
          <w:highlight w:val="none"/>
          <w:lang w:val="en-US" w:eastAsia="zh-CN"/>
        </w:rPr>
        <w:t>的</w:t>
      </w:r>
      <w:r>
        <w:rPr>
          <w:rFonts w:hint="eastAsia" w:ascii="宋体" w:hAnsi="宋体" w:cs="宋体"/>
          <w:color w:val="auto"/>
          <w:sz w:val="24"/>
          <w:szCs w:val="24"/>
          <w:highlight w:val="none"/>
        </w:rPr>
        <w:t>磋商程序、合同文本</w:t>
      </w:r>
      <w:r>
        <w:rPr>
          <w:rFonts w:hint="eastAsia" w:ascii="宋体" w:hAnsi="宋体" w:cs="宋体"/>
          <w:color w:val="auto"/>
          <w:sz w:val="24"/>
          <w:szCs w:val="24"/>
          <w:highlight w:val="none"/>
          <w:lang w:val="en-US" w:eastAsia="zh-CN"/>
        </w:rPr>
        <w:t>等内容</w:t>
      </w:r>
      <w:r>
        <w:rPr>
          <w:rFonts w:hint="eastAsia" w:ascii="宋体" w:hAnsi="宋体" w:cs="宋体"/>
          <w:color w:val="auto"/>
          <w:sz w:val="24"/>
          <w:szCs w:val="24"/>
          <w:highlight w:val="none"/>
        </w:rPr>
        <w:t>进行说明。</w:t>
      </w:r>
    </w:p>
    <w:p w14:paraId="1864DF1D">
      <w:pPr>
        <w:spacing w:line="360" w:lineRule="auto"/>
        <w:ind w:firstLine="720" w:firstLineChars="3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本</w:t>
      </w:r>
      <w:r>
        <w:rPr>
          <w:rFonts w:hint="eastAsia" w:ascii="宋体" w:hAnsi="宋体" w:cs="宋体"/>
          <w:color w:val="auto"/>
          <w:sz w:val="24"/>
          <w:szCs w:val="24"/>
          <w:highlight w:val="none"/>
        </w:rPr>
        <w:t>磋商文件包括下列内容：</w:t>
      </w:r>
    </w:p>
    <w:p w14:paraId="39FD23B1">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HYPERLINK\l"_Toc13129_WPSOffice_Level1"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第一章竞争性磋商公告</w:t>
      </w:r>
      <w:r>
        <w:rPr>
          <w:rFonts w:hint="eastAsia" w:hAnsi="宋体" w:cs="宋体"/>
          <w:color w:val="auto"/>
          <w:sz w:val="24"/>
          <w:szCs w:val="24"/>
          <w:highlight w:val="none"/>
        </w:rPr>
        <w:fldChar w:fldCharType="end"/>
      </w:r>
    </w:p>
    <w:p w14:paraId="592F78C4">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HYPERLINK\l"_Toc32258_WPSOffice_Level1"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第二章磋商供应商须知</w:t>
      </w:r>
      <w:r>
        <w:rPr>
          <w:rFonts w:hint="eastAsia" w:hAnsi="宋体" w:cs="宋体"/>
          <w:color w:val="auto"/>
          <w:sz w:val="24"/>
          <w:szCs w:val="24"/>
          <w:highlight w:val="none"/>
        </w:rPr>
        <w:fldChar w:fldCharType="end"/>
      </w:r>
    </w:p>
    <w:p w14:paraId="3E33D7C4">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HYPERLINK\l"_Toc3717_WPSOffice_Level1"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第三章磋商响应文件的编制、递交</w:t>
      </w:r>
      <w:r>
        <w:rPr>
          <w:rFonts w:hint="eastAsia" w:hAnsi="宋体" w:cs="宋体"/>
          <w:color w:val="auto"/>
          <w:sz w:val="24"/>
          <w:szCs w:val="24"/>
          <w:highlight w:val="none"/>
        </w:rPr>
        <w:fldChar w:fldCharType="end"/>
      </w:r>
    </w:p>
    <w:p w14:paraId="7A9395D6">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HYPERLINK\l"_Toc12453_WPSOffice_Level1"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第四章磋商、评审、确定成交供应商</w:t>
      </w:r>
    </w:p>
    <w:p w14:paraId="4AB897CB">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t>第五章评定成交方式和标准</w:t>
      </w:r>
      <w:r>
        <w:rPr>
          <w:rFonts w:hint="eastAsia" w:hAnsi="宋体" w:cs="宋体"/>
          <w:color w:val="auto"/>
          <w:sz w:val="24"/>
          <w:szCs w:val="24"/>
          <w:highlight w:val="none"/>
        </w:rPr>
        <w:tab/>
      </w:r>
      <w:r>
        <w:rPr>
          <w:rFonts w:hint="eastAsia" w:hAnsi="宋体" w:cs="宋体"/>
          <w:color w:val="auto"/>
          <w:sz w:val="24"/>
          <w:szCs w:val="24"/>
          <w:highlight w:val="none"/>
        </w:rPr>
        <w:fldChar w:fldCharType="end"/>
      </w:r>
    </w:p>
    <w:p w14:paraId="4D18754A">
      <w:pPr>
        <w:pStyle w:val="17"/>
        <w:spacing w:line="360" w:lineRule="auto"/>
        <w:ind w:firstLine="440"/>
        <w:rPr>
          <w:rFonts w:hint="default" w:hAnsi="宋体" w:eastAsia="宋体" w:cs="宋体"/>
          <w:color w:val="auto"/>
          <w:sz w:val="24"/>
          <w:szCs w:val="24"/>
          <w:highlight w:val="none"/>
          <w:lang w:val="en-US" w:eastAsia="zh-CN"/>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HYPERLINK\l"_Toc7744_WPSOffice_Level1"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第六章</w:t>
      </w:r>
      <w:r>
        <w:rPr>
          <w:rFonts w:hint="eastAsia" w:hAnsi="宋体" w:cs="宋体"/>
          <w:color w:val="auto"/>
          <w:sz w:val="24"/>
          <w:szCs w:val="24"/>
          <w:highlight w:val="none"/>
          <w:lang w:val="en-US" w:eastAsia="zh-CN"/>
        </w:rPr>
        <w:t>工程量清单</w:t>
      </w:r>
      <w:r>
        <w:rPr>
          <w:rFonts w:hint="eastAsia" w:hAnsi="宋体" w:cs="宋体"/>
          <w:color w:val="auto"/>
          <w:sz w:val="24"/>
          <w:szCs w:val="24"/>
          <w:highlight w:val="none"/>
        </w:rPr>
        <w:fldChar w:fldCharType="end"/>
      </w:r>
      <w:r>
        <w:rPr>
          <w:rFonts w:hint="eastAsia" w:hAnsi="宋体" w:cs="宋体"/>
          <w:color w:val="auto"/>
          <w:sz w:val="24"/>
          <w:szCs w:val="24"/>
          <w:highlight w:val="none"/>
          <w:lang w:val="en-US" w:eastAsia="zh-CN"/>
        </w:rPr>
        <w:t>(另附)</w:t>
      </w:r>
    </w:p>
    <w:p w14:paraId="6C6484D5">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HYPERLINK\l"_Toc11436_WPSOffice_Level1"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第七章合同格式及合同条款</w:t>
      </w:r>
      <w:r>
        <w:rPr>
          <w:rFonts w:hint="eastAsia" w:hAnsi="宋体" w:cs="宋体"/>
          <w:color w:val="auto"/>
          <w:sz w:val="24"/>
          <w:szCs w:val="24"/>
          <w:highlight w:val="none"/>
        </w:rPr>
        <w:tab/>
      </w:r>
      <w:r>
        <w:rPr>
          <w:rFonts w:hint="eastAsia" w:hAnsi="宋体" w:cs="宋体"/>
          <w:color w:val="auto"/>
          <w:sz w:val="24"/>
          <w:szCs w:val="24"/>
          <w:highlight w:val="none"/>
        </w:rPr>
        <w:fldChar w:fldCharType="end"/>
      </w:r>
    </w:p>
    <w:p w14:paraId="6ADF3D3B">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fldChar w:fldCharType="begin"/>
      </w:r>
      <w:r>
        <w:rPr>
          <w:rFonts w:hint="eastAsia" w:hAnsi="宋体" w:cs="宋体"/>
          <w:color w:val="auto"/>
          <w:sz w:val="24"/>
          <w:szCs w:val="24"/>
          <w:highlight w:val="none"/>
        </w:rPr>
        <w:instrText xml:space="preserve">HYPERLINK\l"_Toc11362_WPSOffice_Level1"</w:instrText>
      </w:r>
      <w:r>
        <w:rPr>
          <w:rFonts w:hint="eastAsia" w:hAnsi="宋体" w:cs="宋体"/>
          <w:color w:val="auto"/>
          <w:sz w:val="24"/>
          <w:szCs w:val="24"/>
          <w:highlight w:val="none"/>
        </w:rPr>
        <w:fldChar w:fldCharType="separate"/>
      </w:r>
      <w:r>
        <w:rPr>
          <w:rFonts w:hint="eastAsia" w:hAnsi="宋体" w:cs="宋体"/>
          <w:color w:val="auto"/>
          <w:sz w:val="24"/>
          <w:szCs w:val="24"/>
          <w:highlight w:val="none"/>
        </w:rPr>
        <w:t>第八章磋商响应文件格式</w:t>
      </w:r>
      <w:r>
        <w:rPr>
          <w:rFonts w:hint="eastAsia" w:hAnsi="宋体" w:cs="宋体"/>
          <w:color w:val="auto"/>
          <w:sz w:val="24"/>
          <w:szCs w:val="24"/>
          <w:highlight w:val="none"/>
        </w:rPr>
        <w:tab/>
      </w:r>
      <w:r>
        <w:rPr>
          <w:rFonts w:hint="eastAsia" w:hAnsi="宋体" w:cs="宋体"/>
          <w:color w:val="auto"/>
          <w:sz w:val="24"/>
          <w:szCs w:val="24"/>
          <w:highlight w:val="none"/>
        </w:rPr>
        <w:fldChar w:fldCharType="end"/>
      </w:r>
    </w:p>
    <w:p w14:paraId="5CE5FCEE">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文件由本文件及由招标人按</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文件有关规定发出的</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文件补充构成。</w:t>
      </w:r>
    </w:p>
    <w:p w14:paraId="62B79DE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文件的澄清、修改、招标答疑会纪要等书面材料在本招标工程中均称</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文件补充。</w:t>
      </w:r>
    </w:p>
    <w:p w14:paraId="59B0947C">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文件补充作为</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文件的组成部分，对投标人起同等约束作用。如果</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文件补充内容与在此</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文件补充发出之前的</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文件等书面材料中相关内容相冲突，请投标人执行</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文件补充的相关内容，先前发出的</w:t>
      </w:r>
      <w:r>
        <w:rPr>
          <w:rFonts w:hint="eastAsia" w:ascii="宋体" w:hAnsi="宋体" w:eastAsia="宋体" w:cs="宋体"/>
          <w:color w:val="auto"/>
          <w:sz w:val="24"/>
          <w:szCs w:val="24"/>
          <w:highlight w:val="none"/>
          <w:lang w:eastAsia="zh-CN"/>
        </w:rPr>
        <w:t>磋商</w:t>
      </w:r>
      <w:r>
        <w:rPr>
          <w:rFonts w:hint="eastAsia" w:ascii="宋体" w:hAnsi="宋体" w:eastAsia="宋体" w:cs="宋体"/>
          <w:color w:val="auto"/>
          <w:sz w:val="24"/>
          <w:szCs w:val="24"/>
          <w:highlight w:val="none"/>
        </w:rPr>
        <w:t>文件等书面材料中相关内容自动废止。</w:t>
      </w:r>
    </w:p>
    <w:p w14:paraId="7F590D53">
      <w:pPr>
        <w:pStyle w:val="17"/>
        <w:spacing w:line="360" w:lineRule="auto"/>
        <w:ind w:firstLine="480" w:firstLineChars="200"/>
        <w:rPr>
          <w:rFonts w:hint="eastAsia" w:hAnsi="宋体" w:cs="宋体"/>
          <w:color w:val="auto"/>
          <w:sz w:val="24"/>
          <w:szCs w:val="24"/>
          <w:highlight w:val="none"/>
        </w:rPr>
      </w:pPr>
      <w:r>
        <w:rPr>
          <w:rFonts w:hint="eastAsia" w:ascii="宋体" w:hAnsi="宋体" w:eastAsia="宋体" w:cs="宋体"/>
          <w:color w:val="auto"/>
          <w:sz w:val="24"/>
          <w:szCs w:val="24"/>
          <w:highlight w:val="none"/>
          <w:lang w:val="en-US" w:eastAsia="zh-CN"/>
        </w:rPr>
        <w:t>1.5投标人应认真审阅和理解招标文件所有内容，尤其应注意有“废标”、“拒绝评审”加黑字体字样等有关条款，否则引起的后果由投标人自</w:t>
      </w:r>
      <w:r>
        <w:rPr>
          <w:rFonts w:hint="eastAsia" w:ascii="宋体" w:hAnsi="宋体" w:eastAsia="宋体" w:cs="宋体"/>
          <w:color w:val="auto"/>
          <w:sz w:val="24"/>
          <w:szCs w:val="24"/>
          <w:highlight w:val="none"/>
        </w:rPr>
        <w:t>负。</w:t>
      </w:r>
    </w:p>
    <w:p w14:paraId="6D1CFCC4">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1</w:t>
      </w:r>
      <w:r>
        <w:rPr>
          <w:rFonts w:hint="eastAsia" w:hAnsi="宋体" w:cs="宋体"/>
          <w:color w:val="auto"/>
          <w:sz w:val="24"/>
          <w:szCs w:val="24"/>
          <w:highlight w:val="none"/>
        </w:rPr>
        <w:t>.</w:t>
      </w:r>
      <w:r>
        <w:rPr>
          <w:rFonts w:hint="eastAsia" w:hAnsi="宋体" w:cs="宋体"/>
          <w:color w:val="auto"/>
          <w:sz w:val="24"/>
          <w:szCs w:val="24"/>
          <w:highlight w:val="none"/>
          <w:lang w:val="en-US" w:eastAsia="zh-CN"/>
        </w:rPr>
        <w:t>6</w:t>
      </w:r>
      <w:r>
        <w:rPr>
          <w:rFonts w:hint="eastAsia" w:hAnsi="宋体" w:cs="宋体"/>
          <w:color w:val="auto"/>
          <w:sz w:val="24"/>
          <w:szCs w:val="24"/>
          <w:highlight w:val="none"/>
        </w:rPr>
        <w:t>除非有特殊要求，磋商文件不单独提供采购项目使用地的自然环境、气候条件、劳动力及公用设施等情况，供应商被视为熟悉上述条件或若成交履行合同有关的一切情况。</w:t>
      </w:r>
    </w:p>
    <w:p w14:paraId="6FC25938">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1</w:t>
      </w:r>
      <w:r>
        <w:rPr>
          <w:rFonts w:hint="eastAsia" w:hAnsi="宋体" w:cs="宋体"/>
          <w:color w:val="auto"/>
          <w:sz w:val="24"/>
          <w:szCs w:val="24"/>
          <w:highlight w:val="none"/>
        </w:rPr>
        <w:t>.</w:t>
      </w:r>
      <w:r>
        <w:rPr>
          <w:rFonts w:hint="eastAsia" w:hAnsi="宋体" w:cs="宋体"/>
          <w:color w:val="auto"/>
          <w:sz w:val="24"/>
          <w:szCs w:val="24"/>
          <w:highlight w:val="none"/>
          <w:lang w:val="en-US" w:eastAsia="zh-CN"/>
        </w:rPr>
        <w:t>7</w:t>
      </w:r>
      <w:r>
        <w:rPr>
          <w:rFonts w:hint="eastAsia" w:hAnsi="宋体" w:cs="宋体"/>
          <w:color w:val="auto"/>
          <w:sz w:val="24"/>
          <w:szCs w:val="24"/>
          <w:highlight w:val="none"/>
        </w:rPr>
        <w:t>采购人向供应商提供的有关数据和资料，是采购人现有的能被供应商利用的资料，供应商对此做出的推论、理解和结论自行负责。</w:t>
      </w:r>
    </w:p>
    <w:p w14:paraId="5BFDC493">
      <w:pPr>
        <w:pStyle w:val="17"/>
        <w:spacing w:line="360" w:lineRule="auto"/>
        <w:ind w:firstLine="482" w:firstLineChars="200"/>
        <w:outlineLvl w:val="1"/>
        <w:rPr>
          <w:rFonts w:hint="eastAsia" w:hAnsi="宋体" w:cs="宋体"/>
          <w:b/>
          <w:bCs/>
          <w:color w:val="auto"/>
          <w:sz w:val="24"/>
          <w:szCs w:val="24"/>
          <w:highlight w:val="none"/>
        </w:rPr>
      </w:pPr>
      <w:bookmarkStart w:id="21" w:name="_Toc245897280"/>
      <w:bookmarkStart w:id="22" w:name="_Toc243906320"/>
      <w:bookmarkStart w:id="23" w:name="_Toc243907580"/>
      <w:bookmarkStart w:id="24" w:name="_Toc233274820"/>
      <w:r>
        <w:rPr>
          <w:rFonts w:hint="eastAsia" w:hAnsi="宋体" w:cs="宋体"/>
          <w:b/>
          <w:bCs/>
          <w:color w:val="auto"/>
          <w:sz w:val="24"/>
          <w:szCs w:val="24"/>
          <w:highlight w:val="none"/>
          <w:lang w:val="en-US" w:eastAsia="zh-CN"/>
        </w:rPr>
        <w:t>2</w:t>
      </w:r>
      <w:r>
        <w:rPr>
          <w:rFonts w:hint="eastAsia" w:hAnsi="宋体" w:cs="宋体"/>
          <w:b/>
          <w:bCs/>
          <w:color w:val="auto"/>
          <w:sz w:val="24"/>
          <w:szCs w:val="24"/>
          <w:highlight w:val="none"/>
        </w:rPr>
        <w:t>、磋商文件的澄清</w:t>
      </w:r>
      <w:bookmarkEnd w:id="21"/>
      <w:bookmarkEnd w:id="22"/>
      <w:bookmarkEnd w:id="23"/>
      <w:bookmarkEnd w:id="24"/>
    </w:p>
    <w:p w14:paraId="5C78F7E5">
      <w:pPr>
        <w:pStyle w:val="17"/>
        <w:spacing w:line="360" w:lineRule="auto"/>
        <w:ind w:firstLine="480" w:firstLineChars="200"/>
        <w:rPr>
          <w:rFonts w:hint="eastAsia" w:hAnsi="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.1供应商对磋商文件如有疑问，可要求澄清，应按磋商文件规定的时间前</w:t>
      </w:r>
      <w:r>
        <w:rPr>
          <w:rFonts w:hint="eastAsia" w:ascii="宋体" w:hAnsi="宋体" w:eastAsia="宋体" w:cs="宋体"/>
          <w:color w:val="auto"/>
          <w:sz w:val="24"/>
          <w:szCs w:val="24"/>
          <w:highlight w:val="none"/>
          <w:lang w:val="en-US" w:eastAsia="zh-CN"/>
        </w:rPr>
        <w:t>向招标代理机构</w:t>
      </w:r>
      <w:r>
        <w:rPr>
          <w:rFonts w:hint="eastAsia" w:ascii="宋体" w:hAnsi="宋体" w:eastAsia="宋体" w:cs="宋体"/>
          <w:color w:val="auto"/>
          <w:sz w:val="24"/>
          <w:szCs w:val="24"/>
          <w:highlight w:val="none"/>
        </w:rPr>
        <w:t>提出，采购人和采购代理机构将视情况在政采云平台上予以澄清，答复中包括所提问题，但不包括问题的来源，答复一经发布将视为已经通知所有潜在投标供应商，请各投标供应商及时关注相关信息。</w:t>
      </w:r>
    </w:p>
    <w:p w14:paraId="3D836CF7">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2</w:t>
      </w:r>
      <w:r>
        <w:rPr>
          <w:rFonts w:hint="eastAsia" w:hAnsi="宋体" w:cs="宋体"/>
          <w:color w:val="auto"/>
          <w:sz w:val="24"/>
          <w:szCs w:val="24"/>
          <w:highlight w:val="none"/>
        </w:rPr>
        <w:t>.2如果上述答复涉及对磋商文件的修改或补充，则它将被视为磋商文件的组成部分。凡原先所发磋商文件中的内容与答复中的内容不一致之处，以最后书面答复为准。任何电话或口头咨询和答复的意思解释均不具有法律约束力。</w:t>
      </w:r>
    </w:p>
    <w:p w14:paraId="4531F08B">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2</w:t>
      </w:r>
      <w:r>
        <w:rPr>
          <w:rFonts w:hint="eastAsia" w:hAnsi="宋体" w:cs="宋体"/>
          <w:color w:val="auto"/>
          <w:sz w:val="24"/>
          <w:szCs w:val="24"/>
          <w:highlight w:val="none"/>
        </w:rPr>
        <w:t>.3供应商在递交响应文件截止日期5个工作日前未对磋商文件提出异议的，采购单位将视其为同意。在规定的时间后就磋商文件内容提出的质疑将不予受理。</w:t>
      </w:r>
    </w:p>
    <w:p w14:paraId="49407CB6">
      <w:pPr>
        <w:pStyle w:val="17"/>
        <w:spacing w:line="360" w:lineRule="auto"/>
        <w:ind w:firstLine="482" w:firstLineChars="200"/>
        <w:outlineLvl w:val="1"/>
        <w:rPr>
          <w:rFonts w:hint="eastAsia" w:hAnsi="宋体" w:cs="宋体"/>
          <w:b/>
          <w:bCs/>
          <w:color w:val="auto"/>
          <w:sz w:val="24"/>
          <w:szCs w:val="24"/>
          <w:highlight w:val="none"/>
        </w:rPr>
      </w:pPr>
      <w:bookmarkStart w:id="25" w:name="_Toc243907581"/>
      <w:bookmarkStart w:id="26" w:name="_Toc243906321"/>
      <w:bookmarkStart w:id="27" w:name="_Toc233274821"/>
      <w:bookmarkStart w:id="28" w:name="_Toc245897281"/>
      <w:r>
        <w:rPr>
          <w:rFonts w:hint="eastAsia" w:hAnsi="宋体" w:cs="宋体"/>
          <w:b/>
          <w:bCs/>
          <w:color w:val="auto"/>
          <w:sz w:val="24"/>
          <w:szCs w:val="24"/>
          <w:highlight w:val="none"/>
          <w:lang w:val="en-US" w:eastAsia="zh-CN"/>
        </w:rPr>
        <w:t>3</w:t>
      </w:r>
      <w:r>
        <w:rPr>
          <w:rFonts w:hint="eastAsia" w:hAnsi="宋体" w:cs="宋体"/>
          <w:b/>
          <w:bCs/>
          <w:color w:val="auto"/>
          <w:sz w:val="24"/>
          <w:szCs w:val="24"/>
          <w:highlight w:val="none"/>
        </w:rPr>
        <w:t>、磋商文件的修改和补充</w:t>
      </w:r>
      <w:bookmarkEnd w:id="25"/>
      <w:bookmarkEnd w:id="26"/>
      <w:bookmarkEnd w:id="27"/>
      <w:bookmarkEnd w:id="28"/>
    </w:p>
    <w:p w14:paraId="3C625598">
      <w:pPr>
        <w:pStyle w:val="17"/>
        <w:spacing w:line="360" w:lineRule="auto"/>
        <w:ind w:firstLine="480" w:firstLineChars="200"/>
        <w:rPr>
          <w:rFonts w:hint="eastAsia" w:ascii="宋体" w:hAnsi="宋体" w:eastAsia="宋体" w:cs="宋体"/>
          <w:color w:val="auto"/>
          <w:sz w:val="24"/>
          <w:szCs w:val="24"/>
          <w:highlight w:val="none"/>
        </w:rPr>
      </w:pPr>
      <w:bookmarkStart w:id="29" w:name="_Toc233274823"/>
      <w:bookmarkStart w:id="30" w:name="_Toc243907583"/>
      <w:bookmarkStart w:id="31" w:name="_Toc245897283"/>
      <w:bookmarkStart w:id="32" w:name="_Toc243906323"/>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在递交响应文件截止日期5日前的任何时候，采购人可主动地或依据供应商要求澄清的疑问而修改、补充磋商文件，采购代理机构将对修改和补充的内容在政采云平台上发布，修改和补充文件将作为磋商文件的组成部分，对所有供应商具有约束力。</w:t>
      </w:r>
    </w:p>
    <w:p w14:paraId="0A8ECDC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为使供应商在准备响应文件时有合理的时间考虑磋商文件的修改和/或补充，采购代理机构可延长递交响应文件截止时间和开启时间，但至少应当在规定的递交响应文件的截止时间5日前，在政采云平台上通知所有领取磋商文件的每位供应商，不足5日的，应当顺延提交响应文件截止日期。</w:t>
      </w:r>
    </w:p>
    <w:bookmarkEnd w:id="29"/>
    <w:p w14:paraId="5B4AF222">
      <w:pPr>
        <w:pStyle w:val="17"/>
        <w:spacing w:line="360" w:lineRule="auto"/>
        <w:ind w:firstLine="482" w:firstLineChars="200"/>
        <w:outlineLvl w:val="1"/>
        <w:rPr>
          <w:rFonts w:hint="eastAsia" w:hAnsi="宋体" w:cs="宋体"/>
          <w:b/>
          <w:bCs/>
          <w:color w:val="auto"/>
          <w:sz w:val="24"/>
          <w:szCs w:val="24"/>
          <w:highlight w:val="none"/>
        </w:rPr>
      </w:pPr>
      <w:r>
        <w:rPr>
          <w:rFonts w:hint="eastAsia" w:hAnsi="宋体" w:cs="宋体"/>
          <w:b/>
          <w:bCs/>
          <w:color w:val="auto"/>
          <w:sz w:val="24"/>
          <w:szCs w:val="24"/>
          <w:highlight w:val="none"/>
          <w:lang w:val="en-US" w:eastAsia="zh-CN"/>
        </w:rPr>
        <w:t>4</w:t>
      </w:r>
      <w:r>
        <w:rPr>
          <w:rFonts w:hint="eastAsia" w:hAnsi="宋体" w:cs="宋体"/>
          <w:b/>
          <w:bCs/>
          <w:color w:val="auto"/>
          <w:sz w:val="24"/>
          <w:szCs w:val="24"/>
          <w:highlight w:val="none"/>
        </w:rPr>
        <w:t>、响应文件的编写</w:t>
      </w:r>
      <w:bookmarkEnd w:id="30"/>
      <w:bookmarkEnd w:id="31"/>
      <w:bookmarkEnd w:id="32"/>
    </w:p>
    <w:p w14:paraId="186616CD">
      <w:pPr>
        <w:pStyle w:val="17"/>
        <w:spacing w:line="360" w:lineRule="auto"/>
        <w:ind w:firstLine="480" w:firstLineChars="200"/>
        <w:rPr>
          <w:rFonts w:hint="eastAsia" w:ascii="宋体" w:hAnsi="宋体" w:eastAsia="宋体" w:cs="宋体"/>
          <w:color w:val="auto"/>
          <w:sz w:val="24"/>
          <w:szCs w:val="24"/>
          <w:highlight w:val="none"/>
        </w:rPr>
      </w:pPr>
      <w:bookmarkStart w:id="33" w:name="_Toc243906324"/>
      <w:bookmarkStart w:id="34" w:name="_Toc243907584"/>
      <w:bookmarkStart w:id="35" w:name="_Toc245897284"/>
      <w:bookmarkStart w:id="36" w:name="_Toc233274824"/>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供应商必须详细阅读磋商文件的章、节、条款、格式等所有内容，按磋商文件的要求提交响应文件，并保证所提供的全部文件及相关资料的真实性，以使其对磋商文件做出实质性响应。供应商应仔细阅读并充分理解磋商文件、技术规范及标准、项目采购需求、合同文本后编制响应文件。</w:t>
      </w:r>
    </w:p>
    <w:p w14:paraId="571A6385">
      <w:pPr>
        <w:pStyle w:val="17"/>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w:t>
      </w:r>
      <w:r>
        <w:rPr>
          <w:rFonts w:hint="eastAsia" w:hAnsi="宋体" w:cs="宋体"/>
          <w:color w:val="auto"/>
          <w:sz w:val="24"/>
          <w:szCs w:val="24"/>
          <w:highlight w:val="none"/>
        </w:rPr>
        <w:t>供应商应按磋商文件提供的格式及要求完整地填写所投标文件各项内容。</w:t>
      </w:r>
    </w:p>
    <w:p w14:paraId="54F45B71">
      <w:pPr>
        <w:pStyle w:val="17"/>
        <w:spacing w:line="360" w:lineRule="auto"/>
        <w:ind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、响应文件的语言及计量单位</w:t>
      </w:r>
      <w:bookmarkEnd w:id="33"/>
      <w:bookmarkEnd w:id="34"/>
      <w:bookmarkEnd w:id="35"/>
      <w:bookmarkEnd w:id="36"/>
    </w:p>
    <w:p w14:paraId="22170A3B">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5</w:t>
      </w:r>
      <w:r>
        <w:rPr>
          <w:rFonts w:hint="eastAsia" w:hAnsi="宋体" w:cs="宋体"/>
          <w:color w:val="auto"/>
          <w:sz w:val="24"/>
          <w:szCs w:val="24"/>
          <w:highlight w:val="none"/>
        </w:rPr>
        <w:t>.1响应文件及供应商和采购人及采购代理机构就有关磋商的所有文件和来往函件，应以中文书写。供应商可以提交用其他语言（原文）打印的资料，但必须翻译成中文，当原文和译文（中文）之间存有差异和/或矛盾时，以中文为准。</w:t>
      </w:r>
    </w:p>
    <w:p w14:paraId="2B4A974A">
      <w:pPr>
        <w:pStyle w:val="17"/>
        <w:spacing w:line="360" w:lineRule="auto"/>
        <w:ind w:firstLine="480" w:firstLineChars="200"/>
        <w:rPr>
          <w:rFonts w:hint="eastAsia" w:hAnsi="宋体" w:cs="宋体"/>
          <w:color w:val="auto"/>
          <w:sz w:val="24"/>
          <w:szCs w:val="24"/>
          <w:highlight w:val="none"/>
        </w:rPr>
      </w:pPr>
      <w:r>
        <w:rPr>
          <w:rFonts w:hint="eastAsia" w:hAnsi="宋体" w:cs="宋体"/>
          <w:color w:val="auto"/>
          <w:sz w:val="24"/>
          <w:szCs w:val="24"/>
          <w:highlight w:val="none"/>
          <w:lang w:val="en-US" w:eastAsia="zh-CN"/>
        </w:rPr>
        <w:t>5</w:t>
      </w:r>
      <w:r>
        <w:rPr>
          <w:rFonts w:hint="eastAsia" w:hAnsi="宋体" w:cs="宋体"/>
          <w:color w:val="auto"/>
          <w:sz w:val="24"/>
          <w:szCs w:val="24"/>
          <w:highlight w:val="none"/>
        </w:rPr>
        <w:t>.2除在磋商文件的项目采购需求中另有规定外，计量单位应使用中华人民共和国法定计量单位（国际单位制和国家选定的其它计量单位）。如供应商采用其它计量单位，需事先得到采购人的同意。</w:t>
      </w:r>
    </w:p>
    <w:p w14:paraId="3D3A0FD5">
      <w:pPr>
        <w:pStyle w:val="17"/>
        <w:spacing w:line="360" w:lineRule="auto"/>
        <w:ind w:firstLine="482" w:firstLineChars="200"/>
        <w:outlineLvl w:val="1"/>
        <w:rPr>
          <w:rFonts w:hint="eastAsia" w:hAnsi="宋体" w:cs="宋体"/>
          <w:b/>
          <w:bCs/>
          <w:color w:val="auto"/>
          <w:sz w:val="24"/>
          <w:szCs w:val="24"/>
          <w:highlight w:val="none"/>
        </w:rPr>
      </w:pPr>
      <w:bookmarkStart w:id="37" w:name="_Toc243906325"/>
      <w:bookmarkStart w:id="38" w:name="_Toc243907585"/>
      <w:bookmarkStart w:id="39" w:name="_Toc233274825"/>
      <w:bookmarkStart w:id="40" w:name="_Toc245897285"/>
      <w:r>
        <w:rPr>
          <w:rFonts w:hint="eastAsia" w:hAnsi="宋体" w:cs="宋体"/>
          <w:b/>
          <w:bCs/>
          <w:color w:val="auto"/>
          <w:sz w:val="24"/>
          <w:szCs w:val="24"/>
          <w:highlight w:val="none"/>
          <w:lang w:val="en-US" w:eastAsia="zh-CN"/>
        </w:rPr>
        <w:t>6</w:t>
      </w:r>
      <w:r>
        <w:rPr>
          <w:rFonts w:hint="eastAsia" w:hAnsi="宋体" w:cs="宋体"/>
          <w:b/>
          <w:bCs/>
          <w:color w:val="auto"/>
          <w:sz w:val="24"/>
          <w:szCs w:val="24"/>
          <w:highlight w:val="none"/>
        </w:rPr>
        <w:t>、响应文件的组成</w:t>
      </w:r>
      <w:bookmarkEnd w:id="37"/>
      <w:bookmarkEnd w:id="38"/>
      <w:bookmarkEnd w:id="39"/>
      <w:bookmarkEnd w:id="40"/>
    </w:p>
    <w:p w14:paraId="4C8FF4AF">
      <w:pPr>
        <w:pStyle w:val="17"/>
        <w:spacing w:line="360" w:lineRule="auto"/>
        <w:ind w:firstLine="440"/>
        <w:rPr>
          <w:rFonts w:hint="eastAsia" w:hAnsi="宋体" w:cs="宋体"/>
          <w:color w:val="auto"/>
          <w:sz w:val="24"/>
          <w:szCs w:val="24"/>
          <w:highlight w:val="none"/>
        </w:rPr>
      </w:pPr>
      <w:r>
        <w:rPr>
          <w:rFonts w:hint="eastAsia" w:hAnsi="宋体" w:cs="宋体"/>
          <w:color w:val="auto"/>
          <w:sz w:val="24"/>
          <w:szCs w:val="24"/>
          <w:highlight w:val="none"/>
        </w:rPr>
        <w:t>响应文件包括但不限于以下内容，各供应商应对照磋商文件要求提供相关的证明资料（具体详见第八章目录内容）：</w:t>
      </w:r>
    </w:p>
    <w:p w14:paraId="21868F29">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一、投标文件封面</w:t>
      </w:r>
    </w:p>
    <w:p w14:paraId="3EEAA50C">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二、资格审查资料</w:t>
      </w:r>
    </w:p>
    <w:p w14:paraId="34A12169">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三、商务技术文件组成</w:t>
      </w:r>
    </w:p>
    <w:p w14:paraId="33308868">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四、其它资料</w:t>
      </w:r>
    </w:p>
    <w:p w14:paraId="3506D9F4">
      <w:pPr>
        <w:pStyle w:val="17"/>
        <w:spacing w:line="360" w:lineRule="auto"/>
        <w:ind w:firstLine="422" w:firstLineChars="175"/>
        <w:rPr>
          <w:rFonts w:hint="eastAsia" w:hAnsi="宋体" w:cs="宋体"/>
          <w:b/>
          <w:color w:val="auto"/>
          <w:sz w:val="24"/>
          <w:szCs w:val="24"/>
          <w:highlight w:val="none"/>
        </w:rPr>
      </w:pPr>
      <w:r>
        <w:rPr>
          <w:rFonts w:hint="eastAsia" w:hAnsi="宋体" w:cs="宋体"/>
          <w:b/>
          <w:color w:val="auto"/>
          <w:sz w:val="24"/>
          <w:szCs w:val="24"/>
          <w:highlight w:val="none"/>
        </w:rPr>
        <w:t>特别说明：</w:t>
      </w:r>
    </w:p>
    <w:p w14:paraId="49DCF698">
      <w:pPr>
        <w:pStyle w:val="17"/>
        <w:spacing w:line="360" w:lineRule="auto"/>
        <w:ind w:firstLine="482" w:firstLineChars="200"/>
        <w:rPr>
          <w:rFonts w:hint="eastAsia" w:hAnsi="宋体" w:cs="宋体"/>
          <w:b/>
          <w:color w:val="auto"/>
          <w:sz w:val="24"/>
          <w:szCs w:val="24"/>
          <w:highlight w:val="none"/>
        </w:rPr>
      </w:pPr>
      <w:r>
        <w:rPr>
          <w:rFonts w:hint="eastAsia" w:hAnsi="宋体" w:cs="宋体"/>
          <w:b/>
          <w:color w:val="auto"/>
          <w:sz w:val="24"/>
          <w:szCs w:val="24"/>
          <w:highlight w:val="none"/>
        </w:rPr>
        <w:t>上述各种证件、证书等资料原件的扫描件，供应商应如实提供资料，并保证真实可靠，不得弄虚作假。如供应商隐瞒事实真相、弄虚作假，一经查实，取消该供应商的磋商资格，若成交的，取消其成交资格。</w:t>
      </w:r>
    </w:p>
    <w:p w14:paraId="4253899F">
      <w:pPr>
        <w:pStyle w:val="17"/>
        <w:spacing w:line="360" w:lineRule="auto"/>
        <w:ind w:firstLine="482" w:firstLineChars="200"/>
        <w:outlineLvl w:val="1"/>
        <w:rPr>
          <w:rFonts w:hint="eastAsia" w:ascii="宋体" w:hAnsi="宋体" w:eastAsia="宋体" w:cs="宋体"/>
          <w:b/>
          <w:bCs/>
          <w:color w:val="auto"/>
          <w:sz w:val="24"/>
          <w:szCs w:val="24"/>
          <w:highlight w:val="none"/>
        </w:rPr>
      </w:pPr>
      <w:bookmarkStart w:id="41" w:name="_Toc233274827"/>
      <w:bookmarkStart w:id="42" w:name="_Toc246216196"/>
      <w:bookmarkStart w:id="43" w:name="_Toc243907587"/>
      <w:bookmarkStart w:id="44" w:name="_Toc243906326"/>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商务报价</w:t>
      </w:r>
      <w:bookmarkEnd w:id="41"/>
      <w:bookmarkEnd w:id="42"/>
      <w:bookmarkEnd w:id="43"/>
      <w:bookmarkEnd w:id="44"/>
    </w:p>
    <w:p w14:paraId="23282D14">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r>
        <w:rPr>
          <w:rFonts w:hint="default" w:ascii="宋体" w:hAnsi="宋体" w:eastAsia="宋体" w:cs="宋体"/>
          <w:color w:val="auto"/>
          <w:sz w:val="24"/>
          <w:szCs w:val="24"/>
          <w:highlight w:val="none"/>
          <w:lang w:eastAsia="zh-CN"/>
        </w:rPr>
        <w:t>.1</w:t>
      </w:r>
      <w:r>
        <w:rPr>
          <w:rFonts w:hint="eastAsia" w:ascii="宋体" w:hAnsi="宋体" w:eastAsia="宋体" w:cs="宋体"/>
          <w:color w:val="auto"/>
          <w:sz w:val="24"/>
          <w:szCs w:val="24"/>
          <w:highlight w:val="none"/>
          <w:lang w:val="en-US" w:eastAsia="zh-CN"/>
        </w:rPr>
        <w:t>本工程投标计价方式已在投标人须知前附表中列清。</w:t>
      </w:r>
    </w:p>
    <w:p w14:paraId="6AD9AAD7">
      <w:pPr>
        <w:pStyle w:val="17"/>
        <w:spacing w:line="360" w:lineRule="auto"/>
        <w:ind w:firstLine="480" w:firstLineChars="200"/>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投标人应当根据《建设工程工程量清单计价规范》GB50500-2013、企业定额及当地市场因素及工程特点等报出综合单价；投标人应按招标人提供的工程量填报价格。</w:t>
      </w:r>
    </w:p>
    <w:p w14:paraId="075047D2">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7.3除非招标人对磋商文件予以修改，投标人应按招标人提供的工程量清单中列出的工程项目和工程量填报单价和合价。</w:t>
      </w:r>
    </w:p>
    <w:p w14:paraId="3A8C0292">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w:t>
      </w:r>
      <w:r>
        <w:rPr>
          <w:rFonts w:hint="default"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4招标人认为投标人的投标报价已包括本招标范围内的全部内容</w:t>
      </w:r>
      <w:r>
        <w:rPr>
          <w:rFonts w:hint="default"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如果投标人没有填入单价或价格的细目在实施时业主将不予支付，并认为此细目的费用已包括在工程量清单的其它单价和价格之中。</w:t>
      </w:r>
    </w:p>
    <w:p w14:paraId="07DAA05D">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7.5</w:t>
      </w:r>
      <w:r>
        <w:rPr>
          <w:rFonts w:hint="eastAsia" w:ascii="宋体" w:hAnsi="宋体" w:eastAsia="宋体" w:cs="宋体"/>
          <w:color w:val="auto"/>
          <w:sz w:val="24"/>
          <w:szCs w:val="24"/>
          <w:highlight w:val="none"/>
          <w:lang w:val="zh-CN" w:eastAsia="zh-CN"/>
        </w:rPr>
        <w:t>投标价由投标人自主确定，但不得低于成本；</w:t>
      </w:r>
    </w:p>
    <w:p w14:paraId="052692A3">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7.6商务报价总价应包括的内容和计价因素</w:t>
      </w:r>
    </w:p>
    <w:p w14:paraId="79294563">
      <w:pPr>
        <w:pStyle w:val="45"/>
        <w:spacing w:line="360" w:lineRule="auto"/>
        <w:ind w:firstLine="480" w:firstLineChars="20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（1）完成</w:t>
      </w:r>
      <w:r>
        <w:rPr>
          <w:rFonts w:hint="eastAsia" w:ascii="宋体" w:hAnsi="宋体" w:cs="宋体"/>
          <w:color w:val="auto"/>
          <w:kern w:val="2"/>
          <w:sz w:val="24"/>
          <w:szCs w:val="24"/>
          <w:highlight w:val="none"/>
          <w:lang w:val="zh-CN" w:eastAsia="zh-CN" w:bidi="ar-SA"/>
        </w:rPr>
        <w:t>尉犁县团结镇2025年设施农业建设项目(二标段)一日光温室大棚建设</w:t>
      </w:r>
      <w:r>
        <w:rPr>
          <w:rFonts w:hint="eastAsia" w:ascii="宋体" w:hAnsi="宋体" w:eastAsia="宋体" w:cs="宋体"/>
          <w:color w:val="auto"/>
          <w:kern w:val="2"/>
          <w:sz w:val="24"/>
          <w:szCs w:val="24"/>
          <w:highlight w:val="none"/>
          <w:lang w:val="zh-CN" w:eastAsia="zh-CN" w:bidi="ar-SA"/>
        </w:rPr>
        <w:t>应承担的所有工作。</w:t>
      </w:r>
    </w:p>
    <w:p w14:paraId="5C672937">
      <w:pPr>
        <w:autoSpaceDE w:val="0"/>
        <w:autoSpaceDN w:val="0"/>
        <w:adjustRightInd w:val="0"/>
        <w:spacing w:line="300" w:lineRule="auto"/>
        <w:ind w:firstLine="42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（2）供应商的商务报价应是为采购人提供全部合同工作内容，以及合同文本、技术规范及标准、项目采购需求及本磋商文件约定的所有费用的总和。</w:t>
      </w:r>
    </w:p>
    <w:p w14:paraId="2B899C30">
      <w:pPr>
        <w:autoSpaceDE w:val="0"/>
        <w:autoSpaceDN w:val="0"/>
        <w:adjustRightInd w:val="0"/>
        <w:spacing w:line="300" w:lineRule="auto"/>
        <w:ind w:firstLine="420"/>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任何因供应商忽视或误解采购范围、技术规范及标准、项目采购需求、合同文本和项目现场情况，若成交，采购人将不予批准由此而产生的索赔或服务期延长申请。</w:t>
      </w:r>
    </w:p>
    <w:p w14:paraId="1D7CA230">
      <w:pPr>
        <w:autoSpaceDE w:val="0"/>
        <w:autoSpaceDN w:val="0"/>
        <w:adjustRightInd w:val="0"/>
        <w:spacing w:line="300" w:lineRule="auto"/>
        <w:ind w:firstLine="420"/>
        <w:rPr>
          <w:rFonts w:hint="eastAsia" w:ascii="宋体" w:hAnsi="宋体" w:cs="宋体"/>
          <w:color w:val="auto"/>
          <w:sz w:val="24"/>
          <w:szCs w:val="24"/>
          <w:highlight w:val="none"/>
        </w:rPr>
      </w:pPr>
      <w:r>
        <w:rPr>
          <w:rFonts w:hint="eastAsia" w:ascii="宋体" w:hAnsi="宋体" w:eastAsia="宋体" w:cs="宋体"/>
          <w:color w:val="auto"/>
          <w:kern w:val="2"/>
          <w:sz w:val="24"/>
          <w:szCs w:val="24"/>
          <w:highlight w:val="none"/>
          <w:lang w:val="zh-CN" w:eastAsia="zh-CN" w:bidi="ar-SA"/>
        </w:rPr>
        <w:t>供应商根据对本磋商文件、技术规范和标准、项目采购需求、合同文本的理解，应达到的</w:t>
      </w:r>
      <w:r>
        <w:rPr>
          <w:rFonts w:hint="eastAsia" w:ascii="宋体" w:hAnsi="宋体" w:eastAsia="宋体" w:cs="宋体"/>
          <w:color w:val="auto"/>
          <w:kern w:val="2"/>
          <w:sz w:val="24"/>
          <w:szCs w:val="24"/>
          <w:highlight w:val="none"/>
          <w:lang w:val="en-US" w:eastAsia="zh-CN" w:bidi="ar-SA"/>
        </w:rPr>
        <w:t>质量</w:t>
      </w:r>
      <w:r>
        <w:rPr>
          <w:rFonts w:hint="eastAsia" w:ascii="宋体" w:hAnsi="宋体" w:eastAsia="宋体" w:cs="宋体"/>
          <w:color w:val="auto"/>
          <w:kern w:val="2"/>
          <w:sz w:val="24"/>
          <w:szCs w:val="24"/>
          <w:highlight w:val="none"/>
          <w:lang w:val="zh-CN" w:eastAsia="zh-CN" w:bidi="ar-SA"/>
        </w:rPr>
        <w:t>验收标准等要求，结合市场情况进行商务报价。供应商应</w:t>
      </w:r>
      <w:r>
        <w:rPr>
          <w:rFonts w:hint="eastAsia" w:ascii="宋体" w:hAnsi="宋体" w:cs="宋体"/>
          <w:color w:val="auto"/>
          <w:sz w:val="24"/>
          <w:szCs w:val="24"/>
          <w:highlight w:val="none"/>
        </w:rPr>
        <w:t>充分考虑合同执行期内工程的市场风险和国家政策性调整风险等因素对商务报价的影响。</w:t>
      </w:r>
    </w:p>
    <w:p w14:paraId="2A24B6DE">
      <w:pPr>
        <w:spacing w:line="360" w:lineRule="auto"/>
        <w:ind w:firstLine="482"/>
        <w:jc w:val="left"/>
        <w:rPr>
          <w:rFonts w:hint="eastAsia" w:ascii="宋体" w:hAnsi="宋体" w:cs="宋体"/>
          <w:color w:val="auto"/>
          <w:sz w:val="24"/>
          <w:szCs w:val="24"/>
          <w:highlight w:val="none"/>
        </w:rPr>
      </w:pPr>
      <w:bookmarkStart w:id="45" w:name="_Toc246216197"/>
      <w:bookmarkStart w:id="46" w:name="_Toc233274828"/>
      <w:bookmarkStart w:id="47" w:name="_Toc243907588"/>
      <w:bookmarkStart w:id="48" w:name="_Toc243906327"/>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供应商应按照磋商文件所附的格式完整地填写开标一览表。供应商应对采购范围内的全部内容进行报价。</w:t>
      </w:r>
    </w:p>
    <w:p w14:paraId="0072E098">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供应商若成交，不得以任何理由在合同执行期间对其投标文件响应内容进行调整。任何调整的要求将被认为是非响应而予以拒绝。</w:t>
      </w:r>
    </w:p>
    <w:bookmarkEnd w:id="45"/>
    <w:bookmarkEnd w:id="46"/>
    <w:bookmarkEnd w:id="47"/>
    <w:bookmarkEnd w:id="48"/>
    <w:p w14:paraId="261FE150">
      <w:pPr>
        <w:spacing w:line="360" w:lineRule="auto"/>
        <w:ind w:firstLine="482"/>
        <w:jc w:val="left"/>
        <w:rPr>
          <w:rFonts w:hint="eastAsia" w:ascii="宋体" w:hAnsi="宋体" w:eastAsia="宋体" w:cs="宋体"/>
          <w:b/>
          <w:bCs/>
          <w:color w:val="auto"/>
          <w:kern w:val="2"/>
          <w:sz w:val="24"/>
          <w:szCs w:val="24"/>
          <w:highlight w:val="none"/>
          <w:lang w:val="en-US" w:eastAsia="zh-CN" w:bidi="ar-SA"/>
        </w:rPr>
      </w:pPr>
      <w:bookmarkStart w:id="49" w:name="_Toc245897288"/>
      <w:r>
        <w:rPr>
          <w:rFonts w:hint="eastAsia" w:ascii="宋体" w:hAnsi="宋体" w:eastAsia="宋体" w:cs="宋体"/>
          <w:b/>
          <w:bCs/>
          <w:color w:val="auto"/>
          <w:kern w:val="2"/>
          <w:sz w:val="24"/>
          <w:szCs w:val="24"/>
          <w:highlight w:val="none"/>
          <w:lang w:val="en-US" w:eastAsia="zh-CN" w:bidi="ar-SA"/>
        </w:rPr>
        <w:t>8、商务报价货币</w:t>
      </w:r>
      <w:bookmarkEnd w:id="49"/>
    </w:p>
    <w:p w14:paraId="3CDAE816">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rPr>
        <w:t>.1开标一览表和响应文件中的所有报价一律使用人民币填报。</w:t>
      </w:r>
    </w:p>
    <w:p w14:paraId="67A35B56">
      <w:pPr>
        <w:spacing w:line="360" w:lineRule="auto"/>
        <w:ind w:firstLine="482"/>
        <w:jc w:val="left"/>
        <w:rPr>
          <w:rFonts w:hint="eastAsia" w:ascii="宋体" w:hAnsi="宋体" w:eastAsia="宋体" w:cs="宋体"/>
          <w:b/>
          <w:bCs/>
          <w:color w:val="auto"/>
          <w:kern w:val="2"/>
          <w:sz w:val="24"/>
          <w:szCs w:val="24"/>
          <w:highlight w:val="none"/>
          <w:lang w:val="en-US" w:eastAsia="zh-CN" w:bidi="ar-SA"/>
        </w:rPr>
      </w:pPr>
      <w:bookmarkStart w:id="50" w:name="_Toc243907589"/>
      <w:bookmarkStart w:id="51" w:name="_Toc243906328"/>
      <w:bookmarkStart w:id="52" w:name="_Toc245897289"/>
      <w:bookmarkStart w:id="53" w:name="_Toc233274829"/>
      <w:r>
        <w:rPr>
          <w:rFonts w:hint="eastAsia" w:ascii="宋体" w:hAnsi="宋体" w:eastAsia="宋体" w:cs="宋体"/>
          <w:b/>
          <w:bCs/>
          <w:color w:val="auto"/>
          <w:kern w:val="2"/>
          <w:sz w:val="24"/>
          <w:szCs w:val="24"/>
          <w:highlight w:val="none"/>
          <w:lang w:val="en-US" w:eastAsia="zh-CN" w:bidi="ar-SA"/>
        </w:rPr>
        <w:t>9、供应商资格证明文件</w:t>
      </w:r>
      <w:bookmarkEnd w:id="50"/>
      <w:bookmarkEnd w:id="51"/>
      <w:bookmarkEnd w:id="52"/>
      <w:bookmarkEnd w:id="53"/>
    </w:p>
    <w:p w14:paraId="7D907D13">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9</w:t>
      </w:r>
      <w:r>
        <w:rPr>
          <w:rFonts w:hint="eastAsia" w:ascii="宋体" w:hAnsi="宋体" w:cs="宋体"/>
          <w:color w:val="auto"/>
          <w:sz w:val="24"/>
          <w:szCs w:val="24"/>
          <w:highlight w:val="none"/>
        </w:rPr>
        <w:t>.1供应商必须提交证明其有资格参加磋商和成交后有能力履行合同的文件。</w:t>
      </w:r>
    </w:p>
    <w:p w14:paraId="3BA9A649">
      <w:pPr>
        <w:spacing w:line="360" w:lineRule="auto"/>
        <w:ind w:firstLine="482"/>
        <w:jc w:val="left"/>
        <w:rPr>
          <w:rFonts w:hint="eastAsia" w:ascii="宋体" w:hAnsi="宋体" w:eastAsia="宋体" w:cs="宋体"/>
          <w:b/>
          <w:bCs/>
          <w:color w:val="auto"/>
          <w:kern w:val="2"/>
          <w:sz w:val="24"/>
          <w:szCs w:val="24"/>
          <w:highlight w:val="none"/>
          <w:lang w:val="en-US" w:eastAsia="zh-CN" w:bidi="ar-SA"/>
        </w:rPr>
      </w:pPr>
      <w:bookmarkStart w:id="54" w:name="_Toc243907590"/>
      <w:bookmarkStart w:id="55" w:name="_Toc245897290"/>
      <w:bookmarkStart w:id="56" w:name="_Toc243906329"/>
      <w:bookmarkStart w:id="57" w:name="_Toc233274830"/>
      <w:r>
        <w:rPr>
          <w:rFonts w:hint="eastAsia" w:ascii="宋体" w:hAnsi="宋体" w:eastAsia="宋体" w:cs="宋体"/>
          <w:b/>
          <w:bCs/>
          <w:color w:val="auto"/>
          <w:kern w:val="2"/>
          <w:sz w:val="24"/>
          <w:szCs w:val="24"/>
          <w:highlight w:val="none"/>
          <w:lang w:val="en-US" w:eastAsia="zh-CN" w:bidi="ar-SA"/>
        </w:rPr>
        <w:t>10、提供符合磋商文件规定的技术响应文件</w:t>
      </w:r>
      <w:bookmarkEnd w:id="54"/>
      <w:bookmarkEnd w:id="55"/>
      <w:bookmarkEnd w:id="56"/>
      <w:bookmarkEnd w:id="57"/>
    </w:p>
    <w:p w14:paraId="2A7773C3">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.1供应商须提交证明其拟</w:t>
      </w:r>
      <w:r>
        <w:rPr>
          <w:rFonts w:hint="eastAsia" w:ascii="宋体" w:hAnsi="宋体" w:cs="宋体"/>
          <w:color w:val="auto"/>
          <w:sz w:val="24"/>
          <w:szCs w:val="24"/>
          <w:highlight w:val="none"/>
          <w:lang w:val="en-US" w:eastAsia="zh-CN"/>
        </w:rPr>
        <w:t>施工工程</w:t>
      </w:r>
      <w:r>
        <w:rPr>
          <w:rFonts w:hint="eastAsia" w:ascii="宋体" w:hAnsi="宋体" w:cs="宋体"/>
          <w:color w:val="auto"/>
          <w:sz w:val="24"/>
          <w:szCs w:val="24"/>
          <w:highlight w:val="none"/>
        </w:rPr>
        <w:t>符合磋商文件、技术规范及标准、项目采购需求规定的技术响应文件，作为响应文件的一部分；</w:t>
      </w:r>
    </w:p>
    <w:p w14:paraId="667781EC">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.2供应商应逐条对磋商文件、项目采购需求、合同文本等进行仔细阅读，提出自己的施工内容是否对其做出了实质性的响应。</w:t>
      </w:r>
    </w:p>
    <w:p w14:paraId="6E43E670">
      <w:pPr>
        <w:spacing w:line="360" w:lineRule="auto"/>
        <w:ind w:firstLine="482"/>
        <w:jc w:val="left"/>
        <w:rPr>
          <w:rFonts w:hint="eastAsia" w:ascii="宋体" w:hAnsi="宋体" w:cs="宋体"/>
          <w:b/>
          <w:bCs/>
          <w:color w:val="auto"/>
          <w:sz w:val="24"/>
          <w:szCs w:val="24"/>
          <w:highlight w:val="none"/>
        </w:rPr>
      </w:pPr>
      <w:bookmarkStart w:id="58" w:name="_Toc243906330"/>
      <w:bookmarkStart w:id="59" w:name="_Toc245897291"/>
      <w:bookmarkStart w:id="60" w:name="_Toc233274831"/>
      <w:bookmarkStart w:id="61" w:name="_Toc243907591"/>
      <w:r>
        <w:rPr>
          <w:rFonts w:hint="eastAsia" w:ascii="宋体" w:hAnsi="宋体" w:cs="宋体"/>
          <w:b/>
          <w:bCs/>
          <w:color w:val="auto"/>
          <w:sz w:val="24"/>
          <w:szCs w:val="24"/>
          <w:highlight w:val="none"/>
          <w:lang w:val="en-US" w:eastAsia="zh-CN"/>
        </w:rPr>
        <w:t>11</w:t>
      </w:r>
      <w:r>
        <w:rPr>
          <w:rFonts w:hint="eastAsia" w:ascii="宋体" w:hAnsi="宋体" w:cs="宋体"/>
          <w:b/>
          <w:bCs/>
          <w:color w:val="auto"/>
          <w:sz w:val="24"/>
          <w:szCs w:val="24"/>
          <w:highlight w:val="none"/>
        </w:rPr>
        <w:t>、响应文件有效期</w:t>
      </w:r>
      <w:bookmarkEnd w:id="58"/>
      <w:bookmarkEnd w:id="59"/>
      <w:bookmarkEnd w:id="60"/>
      <w:bookmarkEnd w:id="61"/>
    </w:p>
    <w:p w14:paraId="4DB0F427">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rPr>
        <w:t>.1响应文件有效期为90日历</w:t>
      </w:r>
      <w:r>
        <w:rPr>
          <w:rFonts w:hint="eastAsia" w:ascii="宋体" w:hAnsi="宋体" w:cs="宋体"/>
          <w:color w:val="auto"/>
          <w:sz w:val="24"/>
          <w:szCs w:val="24"/>
          <w:highlight w:val="none"/>
          <w:lang w:val="en-US" w:eastAsia="zh-CN"/>
        </w:rPr>
        <w:t>天</w:t>
      </w:r>
      <w:r>
        <w:rPr>
          <w:rFonts w:hint="eastAsia" w:ascii="宋体" w:hAnsi="宋体" w:eastAsia="宋体" w:cs="宋体"/>
          <w:color w:val="auto"/>
          <w:kern w:val="0"/>
          <w:sz w:val="24"/>
          <w:szCs w:val="24"/>
          <w:highlight w:val="none"/>
          <w:lang w:bidi="zh-CN"/>
        </w:rPr>
        <w:t>（从投标截止之日算起）</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rPr>
        <w:t>供应商的响应文件有效期比规定的有效期短的，将被视为非响应而予以拒绝。</w:t>
      </w:r>
    </w:p>
    <w:p w14:paraId="45594B99">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11</w:t>
      </w:r>
      <w:r>
        <w:rPr>
          <w:rFonts w:hint="eastAsia" w:ascii="宋体" w:hAnsi="宋体" w:cs="宋体"/>
          <w:color w:val="auto"/>
          <w:sz w:val="24"/>
          <w:szCs w:val="24"/>
          <w:highlight w:val="none"/>
        </w:rPr>
        <w:t>.2特殊情况下，在原有效期届满之前，采购人可征得供应商的同意延长其有效期，这种要求与答复均应以书面形式。供应商拒绝延长的，其响应文件失效。同意延长有效期的供应商，既不要求也不允许其修改响应文件。</w:t>
      </w:r>
    </w:p>
    <w:p w14:paraId="7670D4E4">
      <w:pPr>
        <w:spacing w:line="360" w:lineRule="auto"/>
        <w:ind w:firstLine="482"/>
        <w:jc w:val="left"/>
        <w:rPr>
          <w:rFonts w:hint="eastAsia" w:ascii="宋体" w:hAnsi="宋体" w:eastAsia="宋体" w:cs="宋体"/>
          <w:b/>
          <w:bCs/>
          <w:color w:val="auto"/>
          <w:sz w:val="24"/>
          <w:szCs w:val="24"/>
          <w:highlight w:val="none"/>
        </w:rPr>
      </w:pPr>
      <w:bookmarkStart w:id="62" w:name="_Toc243906331"/>
      <w:bookmarkStart w:id="63" w:name="_Toc243907592"/>
      <w:bookmarkStart w:id="64" w:name="_Toc245897292"/>
      <w:bookmarkStart w:id="65" w:name="_Toc233274832"/>
      <w:r>
        <w:rPr>
          <w:rFonts w:hint="eastAsia" w:ascii="宋体" w:hAnsi="宋体" w:eastAsia="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rPr>
        <w:t>、响应文件的签署及规定</w:t>
      </w:r>
      <w:bookmarkEnd w:id="62"/>
      <w:bookmarkEnd w:id="63"/>
      <w:bookmarkEnd w:id="64"/>
      <w:bookmarkEnd w:id="65"/>
    </w:p>
    <w:p w14:paraId="3708DDE3">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.1所有响应文件均为明标。</w:t>
      </w:r>
    </w:p>
    <w:p w14:paraId="29EFD581">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.2供应商将政采云电子交易客户端下载、安装完成后，可通过账号密码或CA登录客户端进行投标文件制作；</w:t>
      </w:r>
      <w:r>
        <w:rPr>
          <w:rFonts w:hint="eastAsia" w:ascii="宋体" w:hAnsi="宋体" w:eastAsia="宋体" w:cs="宋体"/>
          <w:color w:val="auto"/>
          <w:sz w:val="24"/>
          <w:szCs w:val="24"/>
          <w:highlight w:val="none"/>
          <w:lang w:val="zh-CN"/>
        </w:rPr>
        <w:t>投标文件应根据格式要求在需要盖章和（或）签字的地方进行签章和（或）签字；</w:t>
      </w:r>
      <w:r>
        <w:rPr>
          <w:rFonts w:hint="eastAsia" w:ascii="宋体" w:hAnsi="宋体" w:eastAsia="宋体" w:cs="宋体"/>
          <w:color w:val="auto"/>
          <w:sz w:val="24"/>
          <w:szCs w:val="24"/>
          <w:highlight w:val="none"/>
        </w:rPr>
        <w:t>在使用政采云投标客户端时，建议使用WIN7及以上操作系统。客户端请至新疆政府采购网下载专区查看，如有问题可拨打政采云客户服务热线政采云客户服务热线</w:t>
      </w:r>
      <w:r>
        <w:rPr>
          <w:rFonts w:hint="eastAsia" w:ascii="宋体" w:hAnsi="宋体" w:eastAsia="宋体" w:cs="宋体"/>
          <w:color w:val="auto"/>
          <w:sz w:val="24"/>
          <w:szCs w:val="24"/>
          <w:highlight w:val="none"/>
          <w:lang w:val="en-US"/>
        </w:rPr>
        <w:t>95763</w:t>
      </w:r>
      <w:r>
        <w:rPr>
          <w:rFonts w:hint="eastAsia" w:ascii="宋体" w:hAnsi="宋体" w:eastAsia="宋体" w:cs="宋体"/>
          <w:color w:val="auto"/>
          <w:sz w:val="24"/>
          <w:szCs w:val="24"/>
          <w:highlight w:val="none"/>
        </w:rPr>
        <w:t>进行咨询进行咨询。</w:t>
      </w:r>
    </w:p>
    <w:p w14:paraId="5810246B">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.3供应商应</w:t>
      </w:r>
      <w:r>
        <w:rPr>
          <w:rFonts w:hint="eastAsia" w:ascii="宋体" w:hAnsi="宋体" w:eastAsia="宋体" w:cs="宋体"/>
          <w:color w:val="auto"/>
          <w:sz w:val="24"/>
          <w:szCs w:val="24"/>
          <w:highlight w:val="none"/>
          <w:lang w:val="en-US" w:eastAsia="zh-CN"/>
        </w:rPr>
        <w:t>按投标须知相关要求</w:t>
      </w:r>
      <w:r>
        <w:rPr>
          <w:rFonts w:hint="eastAsia" w:ascii="宋体" w:hAnsi="宋体" w:eastAsia="宋体" w:cs="宋体"/>
          <w:color w:val="auto"/>
          <w:sz w:val="24"/>
          <w:szCs w:val="24"/>
          <w:highlight w:val="none"/>
        </w:rPr>
        <w:t>提交响应文件。</w:t>
      </w:r>
    </w:p>
    <w:p w14:paraId="780FC301">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（投标现场无需递交投标文件，中标单位公示完之后需提供）：纸质版投标文件：一式</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份，其中正本壹份，副本</w:t>
      </w:r>
      <w:r>
        <w:rPr>
          <w:rFonts w:hint="eastAsia" w:ascii="宋体" w:hAnsi="宋体" w:eastAsia="宋体" w:cs="宋体"/>
          <w:color w:val="auto"/>
          <w:sz w:val="24"/>
          <w:szCs w:val="24"/>
          <w:highlight w:val="none"/>
          <w:lang w:val="en-US" w:eastAsia="zh-CN"/>
        </w:rPr>
        <w:t>两</w:t>
      </w:r>
      <w:r>
        <w:rPr>
          <w:rFonts w:hint="eastAsia" w:ascii="宋体" w:hAnsi="宋体" w:eastAsia="宋体" w:cs="宋体"/>
          <w:color w:val="auto"/>
          <w:sz w:val="24"/>
          <w:szCs w:val="24"/>
          <w:highlight w:val="none"/>
        </w:rPr>
        <w:t>份，按A4打印纸页面编制、装订；需编制目录及页码；在每一份响应文件上要明确注明“正本”或“副本”字样，如正、副本之间有差异，以正本为准；投标文件电子版：以光盘</w:t>
      </w:r>
      <w:r>
        <w:rPr>
          <w:rFonts w:hint="eastAsia" w:ascii="宋体" w:hAnsi="宋体" w:eastAsia="宋体" w:cs="宋体"/>
          <w:color w:val="auto"/>
          <w:sz w:val="24"/>
          <w:szCs w:val="24"/>
          <w:highlight w:val="none"/>
          <w:lang w:val="en-US" w:eastAsia="zh-CN"/>
        </w:rPr>
        <w:t>或u盘</w:t>
      </w:r>
      <w:r>
        <w:rPr>
          <w:rFonts w:hint="eastAsia" w:ascii="宋体" w:hAnsi="宋体" w:eastAsia="宋体" w:cs="宋体"/>
          <w:color w:val="auto"/>
          <w:sz w:val="24"/>
          <w:szCs w:val="24"/>
          <w:highlight w:val="none"/>
        </w:rPr>
        <w:t>为介质的投标文件电子版</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份。</w:t>
      </w:r>
    </w:p>
    <w:p w14:paraId="2BCD0AE5">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12.4采购人概不接受电报、电传、电话、邮寄以及电子邮件等方式的磋商。</w:t>
      </w:r>
    </w:p>
    <w:p w14:paraId="01835C2D">
      <w:pPr>
        <w:spacing w:line="360" w:lineRule="auto"/>
        <w:ind w:firstLine="482"/>
        <w:jc w:val="left"/>
        <w:rPr>
          <w:rFonts w:hint="eastAsia" w:ascii="宋体" w:hAnsi="宋体" w:cs="宋体"/>
          <w:b/>
          <w:bCs/>
          <w:color w:val="auto"/>
          <w:sz w:val="24"/>
          <w:szCs w:val="24"/>
          <w:highlight w:val="none"/>
        </w:rPr>
      </w:pPr>
      <w:bookmarkStart w:id="66" w:name="_Toc233274838"/>
      <w:bookmarkStart w:id="67" w:name="_Toc243907598"/>
      <w:bookmarkStart w:id="68" w:name="_Toc245897298"/>
      <w:bookmarkStart w:id="69" w:name="_Toc243906337"/>
      <w:r>
        <w:rPr>
          <w:rFonts w:hint="eastAsia" w:ascii="宋体" w:hAnsi="宋体" w:cs="宋体"/>
          <w:b/>
          <w:bCs/>
          <w:color w:val="auto"/>
          <w:sz w:val="24"/>
          <w:szCs w:val="24"/>
          <w:highlight w:val="none"/>
          <w:lang w:val="en-US" w:eastAsia="zh-CN"/>
        </w:rPr>
        <w:t>13</w:t>
      </w:r>
      <w:r>
        <w:rPr>
          <w:rFonts w:hint="eastAsia" w:ascii="宋体" w:hAnsi="宋体" w:cs="宋体"/>
          <w:b/>
          <w:bCs/>
          <w:color w:val="auto"/>
          <w:sz w:val="24"/>
          <w:szCs w:val="24"/>
          <w:highlight w:val="none"/>
        </w:rPr>
        <w:t>、响应文件的递交、修改和撤回</w:t>
      </w:r>
      <w:bookmarkEnd w:id="66"/>
      <w:bookmarkEnd w:id="67"/>
      <w:bookmarkEnd w:id="68"/>
      <w:bookmarkEnd w:id="69"/>
    </w:p>
    <w:p w14:paraId="6384EC64">
      <w:pPr>
        <w:spacing w:line="360" w:lineRule="auto"/>
        <w:ind w:firstLine="482"/>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.1投标人必须按投标人须知前附表</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规定，将投标文件</w:t>
      </w:r>
      <w:r>
        <w:rPr>
          <w:rFonts w:hint="eastAsia" w:ascii="宋体" w:hAnsi="宋体" w:eastAsia="宋体" w:cs="宋体"/>
          <w:color w:val="auto"/>
          <w:sz w:val="24"/>
          <w:szCs w:val="24"/>
          <w:highlight w:val="none"/>
          <w:lang w:val="en-US" w:eastAsia="zh-CN"/>
        </w:rPr>
        <w:t>按规定的时间上传政采云平台。</w:t>
      </w:r>
      <w:r>
        <w:rPr>
          <w:rFonts w:hint="eastAsia" w:ascii="宋体" w:hAnsi="宋体" w:eastAsia="宋体" w:cs="宋体"/>
          <w:color w:val="auto"/>
          <w:kern w:val="2"/>
          <w:sz w:val="24"/>
          <w:szCs w:val="24"/>
          <w:highlight w:val="none"/>
          <w:lang w:val="en-US" w:eastAsia="zh-CN" w:bidi="ar-SA"/>
        </w:rPr>
        <w:t>投标截止时间以后上传递交的磋商响应文件将被“政府采购云平台”拒收。</w:t>
      </w:r>
    </w:p>
    <w:p w14:paraId="18975C12">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招标人事先约定延长投标截止时间的，招标人与投标人以前的投标截止期方面的全部权利、责任和义务，将适用延长至新的投标截止期。</w:t>
      </w:r>
    </w:p>
    <w:p w14:paraId="1E7B91A7">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13.3</w:t>
      </w:r>
      <w:r>
        <w:rPr>
          <w:rFonts w:hint="eastAsia" w:ascii="宋体" w:hAnsi="宋体" w:cs="宋体"/>
          <w:color w:val="auto"/>
          <w:sz w:val="24"/>
          <w:szCs w:val="24"/>
          <w:highlight w:val="none"/>
        </w:rPr>
        <w:t>供应商在提交响应文件后可在截止时间前对其响应文件进行修改或撤回</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截止时间之后，除磋商阶段外供应商不得对已投响应文件做任何修改。</w:t>
      </w:r>
    </w:p>
    <w:p w14:paraId="53C5FCAF">
      <w:pPr>
        <w:spacing w:line="360" w:lineRule="auto"/>
        <w:ind w:right="-189" w:rightChars="-90"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供应商不得在截止时间起至响应文件有效期期满前撤回响应文件。</w:t>
      </w:r>
    </w:p>
    <w:p w14:paraId="531CE650">
      <w:pPr>
        <w:spacing w:line="360" w:lineRule="auto"/>
        <w:ind w:firstLine="482"/>
        <w:jc w:val="left"/>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14</w:t>
      </w:r>
      <w:r>
        <w:rPr>
          <w:rFonts w:hint="eastAsia" w:ascii="宋体" w:hAnsi="宋体" w:cs="宋体"/>
          <w:b/>
          <w:bCs/>
          <w:color w:val="auto"/>
          <w:sz w:val="24"/>
          <w:szCs w:val="24"/>
          <w:highlight w:val="none"/>
        </w:rPr>
        <w:t>、响应文件的</w:t>
      </w:r>
      <w:r>
        <w:rPr>
          <w:rFonts w:hint="eastAsia" w:ascii="宋体" w:hAnsi="宋体" w:eastAsia="宋体" w:cs="宋体"/>
          <w:b/>
          <w:bCs/>
          <w:color w:val="auto"/>
          <w:sz w:val="24"/>
          <w:szCs w:val="24"/>
          <w:highlight w:val="none"/>
        </w:rPr>
        <w:t>澄清</w:t>
      </w:r>
    </w:p>
    <w:p w14:paraId="7BFA679B">
      <w:pPr>
        <w:spacing w:line="360" w:lineRule="auto"/>
        <w:ind w:firstLine="482"/>
        <w:jc w:val="left"/>
        <w:rPr>
          <w:rFonts w:hint="eastAsia" w:hAnsi="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.1评标过程中，评标委员会为了有助于投标文件的评审，可以要求投标人就投标文件中非改变实质性内容的部分，做出说明并提供相关材料进行澄清，但改变投标文件实质性内容的澄清评标委员会将不予接受。</w:t>
      </w:r>
    </w:p>
    <w:p w14:paraId="29955A51">
      <w:pPr>
        <w:pStyle w:val="77"/>
        <w:spacing w:line="360" w:lineRule="auto"/>
        <w:ind w:firstLine="2108" w:firstLineChars="700"/>
        <w:rPr>
          <w:rFonts w:hint="eastAsia" w:hAnsi="宋体" w:cs="宋体"/>
          <w:b/>
          <w:bCs/>
          <w:color w:val="auto"/>
          <w:sz w:val="30"/>
          <w:szCs w:val="30"/>
          <w:highlight w:val="none"/>
        </w:rPr>
      </w:pPr>
      <w:r>
        <w:rPr>
          <w:rFonts w:hint="eastAsia" w:hAnsi="宋体" w:cs="宋体"/>
          <w:b/>
          <w:color w:val="auto"/>
          <w:sz w:val="30"/>
          <w:szCs w:val="30"/>
          <w:highlight w:val="none"/>
        </w:rPr>
        <w:t>第四章、磋商、评审、确定成交供应商</w:t>
      </w:r>
    </w:p>
    <w:p w14:paraId="5E69CCBE">
      <w:pPr>
        <w:spacing w:line="360" w:lineRule="auto"/>
        <w:ind w:firstLine="482"/>
        <w:jc w:val="left"/>
        <w:rPr>
          <w:rFonts w:hint="eastAsia" w:ascii="宋体" w:hAnsi="宋体" w:eastAsia="宋体" w:cs="宋体"/>
          <w:b/>
          <w:bCs/>
          <w:color w:val="auto"/>
          <w:sz w:val="24"/>
          <w:szCs w:val="24"/>
          <w:highlight w:val="none"/>
        </w:rPr>
      </w:pPr>
      <w:bookmarkStart w:id="70" w:name="_Toc243907601"/>
      <w:bookmarkStart w:id="71" w:name="_Toc233274841"/>
      <w:bookmarkStart w:id="72" w:name="_Toc243906340"/>
      <w:bookmarkStart w:id="73" w:name="_Toc245897301"/>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w:t>
      </w:r>
      <w:bookmarkEnd w:id="70"/>
      <w:bookmarkEnd w:id="71"/>
      <w:bookmarkEnd w:id="72"/>
      <w:bookmarkEnd w:id="73"/>
      <w:r>
        <w:rPr>
          <w:rFonts w:hint="eastAsia" w:ascii="宋体" w:hAnsi="宋体" w:eastAsia="宋体" w:cs="宋体"/>
          <w:b/>
          <w:bCs/>
          <w:color w:val="auto"/>
          <w:sz w:val="24"/>
          <w:szCs w:val="24"/>
          <w:highlight w:val="none"/>
        </w:rPr>
        <w:t>磋商会议</w:t>
      </w:r>
    </w:p>
    <w:p w14:paraId="2FA69974">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.1采购人在本供应商须知前附表规定的时间和地点组织磋商会议。</w:t>
      </w:r>
    </w:p>
    <w:p w14:paraId="1519F80D">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.2本次竞争性磋商采用</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见面方式。</w:t>
      </w:r>
    </w:p>
    <w:p w14:paraId="668DEFE8">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.3磋商会议由采购代理机构组织并主持。</w:t>
      </w:r>
    </w:p>
    <w:p w14:paraId="47FB49EB">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.4在磋商过程中，工作人员如发现响应文件组成部分不齐全，由磋商小组认定其有效性。磋商小组认定的无效响应文件将不进入磋商、评审阶段。</w:t>
      </w:r>
    </w:p>
    <w:p w14:paraId="0CAD444D">
      <w:pPr>
        <w:spacing w:line="360" w:lineRule="auto"/>
        <w:ind w:firstLine="482"/>
        <w:jc w:val="left"/>
        <w:rPr>
          <w:rFonts w:hint="eastAsia" w:ascii="宋体" w:hAnsi="宋体" w:eastAsia="宋体" w:cs="宋体"/>
          <w:b/>
          <w:bCs/>
          <w:color w:val="auto"/>
          <w:sz w:val="24"/>
          <w:szCs w:val="24"/>
          <w:highlight w:val="none"/>
        </w:rPr>
      </w:pPr>
      <w:bookmarkStart w:id="74" w:name="_Toc243907602"/>
      <w:bookmarkStart w:id="75" w:name="_Toc233274842"/>
      <w:bookmarkStart w:id="76" w:name="_Toc245897302"/>
      <w:bookmarkStart w:id="77" w:name="_Toc243906341"/>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rPr>
        <w:t>、磋商小组</w:t>
      </w:r>
      <w:bookmarkEnd w:id="74"/>
      <w:bookmarkEnd w:id="75"/>
      <w:bookmarkEnd w:id="76"/>
      <w:bookmarkEnd w:id="77"/>
    </w:p>
    <w:p w14:paraId="1965CDA1">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2.1磋商小组成员组成：按照《中华人民共和国政府采购法》、《政府采购竞争性磋商采购方式管理暂行办法》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中华人民共和国招投标法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及相关法律、法规</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规定组建，由采购人代表和评审专家组成。磋商小组将负责对供应商提交的响应文件进行磋商、评审，确保磋商、评审过程公正、合法、保密，并向采购人推荐成交候选供应商。</w:t>
      </w:r>
    </w:p>
    <w:p w14:paraId="5C92D8D2">
      <w:pPr>
        <w:spacing w:line="360" w:lineRule="auto"/>
        <w:ind w:firstLine="482"/>
        <w:jc w:val="left"/>
        <w:rPr>
          <w:rFonts w:hint="eastAsia" w:ascii="宋体" w:hAnsi="宋体" w:eastAsia="宋体" w:cs="宋体"/>
          <w:b/>
          <w:bCs/>
          <w:color w:val="auto"/>
          <w:sz w:val="24"/>
          <w:szCs w:val="24"/>
          <w:highlight w:val="none"/>
        </w:rPr>
      </w:pPr>
      <w:bookmarkStart w:id="78" w:name="_Toc224622928"/>
      <w:bookmarkStart w:id="79" w:name="_Toc224623663"/>
      <w:bookmarkStart w:id="80" w:name="_Toc224623557"/>
      <w:bookmarkStart w:id="81" w:name="_Toc243906344"/>
      <w:bookmarkStart w:id="82" w:name="_Toc224620150"/>
      <w:bookmarkStart w:id="83" w:name="_Toc224624767"/>
      <w:bookmarkStart w:id="84" w:name="_Toc243907606"/>
      <w:bookmarkStart w:id="85" w:name="_Toc245897305"/>
      <w:bookmarkStart w:id="86" w:name="_Toc224620071"/>
      <w:bookmarkStart w:id="87" w:name="_Toc245897304"/>
      <w:bookmarkStart w:id="88" w:name="_Toc243906345"/>
      <w:bookmarkStart w:id="89" w:name="_Toc233274843"/>
      <w:bookmarkStart w:id="90" w:name="_Toc224624628"/>
      <w:bookmarkStart w:id="91" w:name="_Toc224623451"/>
      <w:bookmarkStart w:id="92" w:name="_Toc243907605"/>
      <w:bookmarkStart w:id="93" w:name="_Toc224624488"/>
      <w:r>
        <w:rPr>
          <w:rFonts w:hint="eastAsia" w:ascii="宋体" w:hAnsi="宋体" w:eastAsia="宋体" w:cs="宋体"/>
          <w:b/>
          <w:bCs/>
          <w:color w:val="auto"/>
          <w:sz w:val="24"/>
          <w:szCs w:val="24"/>
          <w:highlight w:val="none"/>
          <w:lang w:val="en-US" w:eastAsia="zh-CN"/>
        </w:rPr>
        <w:t>3</w:t>
      </w:r>
      <w:r>
        <w:rPr>
          <w:rFonts w:hint="eastAsia" w:ascii="宋体" w:hAnsi="宋体" w:eastAsia="宋体" w:cs="宋体"/>
          <w:b/>
          <w:bCs/>
          <w:color w:val="auto"/>
          <w:sz w:val="24"/>
          <w:szCs w:val="24"/>
          <w:highlight w:val="none"/>
        </w:rPr>
        <w:t>、磋商</w:t>
      </w:r>
    </w:p>
    <w:p w14:paraId="61E60764">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磋商小组所有成员集中与单一供应商分别进行磋商。供应商应由法定代表或法定代表授权的供应商代表及专业技术人员参与磋商。供应商所作的重要答复作为响应文件的一部分，对供应商具有约束力，但不得对磋商内容进行实质性修改。在磋商中，磋商的任何一方不得透露与磋商有关的其他供应商的技术资料和其他信息。</w:t>
      </w:r>
    </w:p>
    <w:p w14:paraId="012F88CD">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在磋商小组与各供应商进行了相同轮次的磋商后，为了更好地实现采购目标，磋商小组可以修改磋商文件，但涉及实质性变动的，将通知所有参加磋商的供应商。供应商收到修改磋商文件的通知后，可以决定是否继续参加磋商活动。</w:t>
      </w:r>
    </w:p>
    <w:p w14:paraId="09CD2FCC">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.3供应商应当按照磋商文件的变动情况和磋商小组的要求重新提交响应文件，并由其法定代表或委托代理人签字或者加盖公章。由委托代理人签字的，应当附法定代表授权书。</w:t>
      </w:r>
    </w:p>
    <w:p w14:paraId="15D10DE0">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.4磋商文件能够详细列明采购标的的技术、</w:t>
      </w:r>
      <w:r>
        <w:rPr>
          <w:rFonts w:hint="eastAsia" w:ascii="宋体" w:hAnsi="宋体" w:eastAsia="宋体" w:cs="宋体"/>
          <w:color w:val="auto"/>
          <w:sz w:val="24"/>
          <w:szCs w:val="24"/>
          <w:highlight w:val="none"/>
          <w:lang w:val="en-US" w:eastAsia="zh-CN"/>
        </w:rPr>
        <w:t>工程施工</w:t>
      </w:r>
      <w:r>
        <w:rPr>
          <w:rFonts w:hint="eastAsia" w:ascii="宋体" w:hAnsi="宋体" w:eastAsia="宋体" w:cs="宋体"/>
          <w:color w:val="auto"/>
          <w:sz w:val="24"/>
          <w:szCs w:val="24"/>
          <w:highlight w:val="none"/>
        </w:rPr>
        <w:t>要求的，磋商小组在磋商结束后，磋商小组应当要求所有实质性响应的供应商在规定时间内提交最后报价，最后报价是供应商响应文件的有效组成部分。</w:t>
      </w:r>
    </w:p>
    <w:p w14:paraId="29880D6E">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.5磋商文件不能详细列明采购标的的技术、</w:t>
      </w:r>
      <w:r>
        <w:rPr>
          <w:rFonts w:hint="eastAsia" w:ascii="宋体" w:hAnsi="宋体" w:eastAsia="宋体" w:cs="宋体"/>
          <w:color w:val="auto"/>
          <w:sz w:val="24"/>
          <w:szCs w:val="24"/>
          <w:highlight w:val="none"/>
          <w:lang w:val="en-US" w:eastAsia="zh-CN"/>
        </w:rPr>
        <w:t>工程施工</w:t>
      </w:r>
      <w:r>
        <w:rPr>
          <w:rFonts w:hint="eastAsia" w:ascii="宋体" w:hAnsi="宋体" w:eastAsia="宋体" w:cs="宋体"/>
          <w:color w:val="auto"/>
          <w:sz w:val="24"/>
          <w:szCs w:val="24"/>
          <w:highlight w:val="none"/>
        </w:rPr>
        <w:t>要求，需经磋商由供应商提供最终整修方案或解决方案的，磋商结束后，磋商小组应当按照少数服从多数的原则投票推荐3家</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以上供应商的整修方案或者解决方案，并要求其在规定时间内提交最后报价。</w:t>
      </w:r>
    </w:p>
    <w:p w14:paraId="22760520">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.6已提交响应文件的供应商，在提交最后报价之前，可以根据磋商情况退出磋商。</w:t>
      </w:r>
    </w:p>
    <w:p w14:paraId="305A446B">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.7磋商小组判断响应文件的响应性仅基于响应文件本身而不依靠任何外部证据，但响应文件有不真实、不正确的内容除外。</w:t>
      </w:r>
    </w:p>
    <w:p w14:paraId="6FF9E601">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.8如果响应文件实质上没有响应磋商文件的要求，磋商小组将予以拒绝，供应商不得通过修正或撤消不符合要求的偏离或保留，而使其成为实质上响应。</w:t>
      </w:r>
    </w:p>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p w14:paraId="4E994271">
      <w:pPr>
        <w:pStyle w:val="17"/>
        <w:spacing w:line="360" w:lineRule="auto"/>
        <w:ind w:firstLine="482" w:firstLineChars="200"/>
        <w:rPr>
          <w:rFonts w:hint="eastAsia" w:ascii="宋体" w:hAnsi="宋体" w:eastAsia="宋体" w:cs="宋体"/>
          <w:b/>
          <w:bCs/>
          <w:color w:val="auto"/>
          <w:kern w:val="2"/>
          <w:sz w:val="24"/>
          <w:szCs w:val="24"/>
          <w:highlight w:val="none"/>
          <w:lang w:val="en-US" w:eastAsia="zh-CN" w:bidi="ar-SA"/>
        </w:rPr>
      </w:pPr>
      <w:bookmarkStart w:id="94" w:name="_Toc233274845"/>
      <w:bookmarkStart w:id="95" w:name="_Toc243906346"/>
      <w:bookmarkStart w:id="96" w:name="_Toc243907607"/>
      <w:bookmarkStart w:id="97" w:name="_Toc245897306"/>
      <w:r>
        <w:rPr>
          <w:rFonts w:hint="eastAsia" w:ascii="宋体" w:hAnsi="宋体" w:eastAsia="宋体" w:cs="宋体"/>
          <w:b/>
          <w:bCs/>
          <w:color w:val="auto"/>
          <w:kern w:val="2"/>
          <w:sz w:val="24"/>
          <w:szCs w:val="24"/>
          <w:highlight w:val="none"/>
          <w:lang w:val="en-US" w:eastAsia="zh-CN" w:bidi="ar-SA"/>
        </w:rPr>
        <w:t>4、评审</w:t>
      </w:r>
    </w:p>
    <w:p w14:paraId="6D109082">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4.1经磋商确定最终采购需求和提交最后报价的供应商后，由磋商小组采用综合评分法对提交最后报价的供应商响应文件和最后报价进行综合评分。</w:t>
      </w:r>
    </w:p>
    <w:p w14:paraId="349A7506">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4.2磋商小组将对实质性响应磋商文件的响应文件进行详细评审和比较。对商务部分、技术部分、价格等进行比较，并与磋商文件、项目采购需求和采购人的实际需要进行比较和评价。</w:t>
      </w:r>
    </w:p>
    <w:p w14:paraId="748D8EF2">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4.3商务报价错误的修正</w:t>
      </w:r>
    </w:p>
    <w:p w14:paraId="330442D4">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如果发现商务报价存在计算或表达上错误，则按下列原则进行修正：</w:t>
      </w:r>
    </w:p>
    <w:p w14:paraId="62705CDC">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（1）用数字表示的数额与用文字表示的数额不一致时，以文字数额为准；</w:t>
      </w:r>
    </w:p>
    <w:p w14:paraId="7AA32CA4">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（2）单价与工程量的乘积与总价之间不一致时，以单价为准。若单价有明显小数点错位，应以总价为准，并修改单价。</w:t>
      </w:r>
    </w:p>
    <w:p w14:paraId="5394D1F6">
      <w:pPr>
        <w:pStyle w:val="17"/>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4.4磋商小组将按本章第5.3条原则修正商务报价，并要求供应商进行确认。确认后的报价和文件将对供应商具有约束力。并以修正后的报价作为评审的依据。</w:t>
      </w:r>
    </w:p>
    <w:p w14:paraId="308228AD">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5</w:t>
      </w:r>
      <w:r>
        <w:rPr>
          <w:rFonts w:hint="eastAsia" w:ascii="宋体" w:hAnsi="宋体" w:eastAsia="宋体" w:cs="宋体"/>
          <w:b/>
          <w:bCs/>
          <w:color w:val="auto"/>
          <w:sz w:val="24"/>
          <w:szCs w:val="24"/>
          <w:highlight w:val="none"/>
        </w:rPr>
        <w:t>、响应文件的澄清</w:t>
      </w:r>
    </w:p>
    <w:p w14:paraId="694CC51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.1为有助于对响应文件的审查、评价和比较，磋商小组在评审过程中有权随时请供应商对其响应文件进行澄清，但不得寻求、提供或允许对最后报价或响应文件中的其他实质性内容做任何更改。</w:t>
      </w:r>
    </w:p>
    <w:p w14:paraId="6189DE19">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.2供应商在评审过程中应保证随时接受磋商小组质询。若供应商因故不能接受质询，其响应文件仍有效，但应视为供应商已默认磋商小组对缺席的质询所作出的结论。</w:t>
      </w:r>
    </w:p>
    <w:p w14:paraId="032DBAD0">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.3磋商小组允许供应商通过澄清答复修正其最后报价中不构成重大偏离的、微小的、非正规的、不一致的或不规范的地方，但这些修正不能影响任何供应商的相关名次排列。</w:t>
      </w:r>
    </w:p>
    <w:p w14:paraId="7C99F891">
      <w:pPr>
        <w:pStyle w:val="17"/>
        <w:spacing w:line="360" w:lineRule="auto"/>
        <w:ind w:firstLine="480" w:firstLineChars="200"/>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.4如果供应商在响应文件中未对磋商文件、技术规格及标准、项目采购需求、合同主要内容等提出偏离意见或澄清，将视同供应商同意上述文件的全部条款和要求。</w:t>
      </w:r>
    </w:p>
    <w:bookmarkEnd w:id="94"/>
    <w:bookmarkEnd w:id="95"/>
    <w:bookmarkEnd w:id="96"/>
    <w:bookmarkEnd w:id="97"/>
    <w:p w14:paraId="68FBD5F2">
      <w:pPr>
        <w:pStyle w:val="17"/>
        <w:spacing w:line="360" w:lineRule="auto"/>
        <w:ind w:firstLine="482" w:firstLineChars="200"/>
        <w:rPr>
          <w:rFonts w:hint="eastAsia" w:ascii="宋体" w:hAnsi="宋体" w:eastAsia="宋体" w:cs="宋体"/>
          <w:b/>
          <w:bCs/>
          <w:color w:val="auto"/>
          <w:sz w:val="24"/>
          <w:szCs w:val="24"/>
          <w:highlight w:val="none"/>
        </w:rPr>
      </w:pPr>
      <w:bookmarkStart w:id="98" w:name="_Toc245897308"/>
      <w:bookmarkStart w:id="99" w:name="_Toc233274847"/>
      <w:bookmarkStart w:id="100" w:name="_Toc243907609"/>
      <w:bookmarkStart w:id="101" w:name="_Toc243906348"/>
      <w:r>
        <w:rPr>
          <w:rFonts w:hint="eastAsia" w:ascii="宋体" w:hAnsi="宋体" w:eastAsia="宋体" w:cs="宋体"/>
          <w:b/>
          <w:bCs/>
          <w:color w:val="auto"/>
          <w:sz w:val="24"/>
          <w:szCs w:val="24"/>
          <w:highlight w:val="none"/>
          <w:lang w:val="en-US" w:eastAsia="zh-CN"/>
        </w:rPr>
        <w:t>6</w:t>
      </w:r>
      <w:r>
        <w:rPr>
          <w:rFonts w:hint="eastAsia" w:ascii="宋体" w:hAnsi="宋体" w:eastAsia="宋体" w:cs="宋体"/>
          <w:b/>
          <w:bCs/>
          <w:color w:val="auto"/>
          <w:sz w:val="24"/>
          <w:szCs w:val="24"/>
          <w:highlight w:val="none"/>
        </w:rPr>
        <w:t>、重大偏离</w:t>
      </w:r>
    </w:p>
    <w:p w14:paraId="49331082">
      <w:pPr>
        <w:pStyle w:val="17"/>
        <w:spacing w:line="360" w:lineRule="auto"/>
        <w:ind w:firstLine="480" w:firstLineChars="200"/>
        <w:rPr>
          <w:rFonts w:hint="eastAsia" w:ascii="宋体" w:hAnsi="宋体" w:eastAsia="宋体" w:cs="宋体"/>
          <w:color w:val="auto"/>
          <w:sz w:val="24"/>
          <w:szCs w:val="24"/>
          <w:highlight w:val="none"/>
        </w:rPr>
      </w:pPr>
      <w:bookmarkStart w:id="102" w:name="_Toc243907608"/>
      <w:bookmarkStart w:id="103" w:name="_Toc245897307"/>
      <w:bookmarkStart w:id="104" w:name="_Toc243906347"/>
      <w:bookmarkStart w:id="105" w:name="_Toc233274846"/>
      <w:r>
        <w:rPr>
          <w:rFonts w:hint="eastAsia" w:ascii="宋体" w:hAnsi="宋体" w:eastAsia="宋体" w:cs="宋体"/>
          <w:color w:val="auto"/>
          <w:sz w:val="24"/>
          <w:szCs w:val="24"/>
          <w:highlight w:val="none"/>
        </w:rPr>
        <w:t>重大偏离是指实质上影响</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lang w:val="en-US" w:eastAsia="zh-CN"/>
        </w:rPr>
        <w:t>施工</w:t>
      </w:r>
      <w:r>
        <w:rPr>
          <w:rFonts w:hint="eastAsia" w:ascii="宋体" w:hAnsi="宋体" w:eastAsia="宋体" w:cs="宋体"/>
          <w:color w:val="auto"/>
          <w:sz w:val="24"/>
          <w:szCs w:val="24"/>
          <w:highlight w:val="none"/>
        </w:rPr>
        <w:t>质量和</w:t>
      </w:r>
      <w:r>
        <w:rPr>
          <w:rFonts w:hint="eastAsia" w:ascii="宋体" w:hAnsi="宋体" w:eastAsia="宋体" w:cs="宋体"/>
          <w:color w:val="auto"/>
          <w:sz w:val="24"/>
          <w:szCs w:val="24"/>
          <w:highlight w:val="none"/>
          <w:lang w:val="en-US" w:eastAsia="zh-CN"/>
        </w:rPr>
        <w:t>工期、安全</w:t>
      </w:r>
      <w:r>
        <w:rPr>
          <w:rFonts w:hint="eastAsia" w:ascii="宋体" w:hAnsi="宋体" w:eastAsia="宋体" w:cs="宋体"/>
          <w:color w:val="auto"/>
          <w:sz w:val="24"/>
          <w:szCs w:val="24"/>
          <w:highlight w:val="none"/>
        </w:rPr>
        <w:t>等，或者实质上不满足磋商文件的要求，而且限制了采购人的权力或减轻了供应商的义务。纠正或承认这些偏离将会对其他实质上响应要求的供应商合理的竞争地位产生不公正的影响。</w:t>
      </w:r>
    </w:p>
    <w:p w14:paraId="707BAD50">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7</w:t>
      </w:r>
      <w:r>
        <w:rPr>
          <w:rFonts w:hint="eastAsia" w:ascii="宋体" w:hAnsi="宋体" w:eastAsia="宋体" w:cs="宋体"/>
          <w:b/>
          <w:bCs/>
          <w:color w:val="auto"/>
          <w:sz w:val="24"/>
          <w:szCs w:val="24"/>
          <w:highlight w:val="none"/>
        </w:rPr>
        <w:t>、</w:t>
      </w:r>
      <w:bookmarkEnd w:id="102"/>
      <w:bookmarkEnd w:id="103"/>
      <w:bookmarkEnd w:id="104"/>
      <w:bookmarkEnd w:id="105"/>
      <w:r>
        <w:rPr>
          <w:rFonts w:hint="eastAsia" w:ascii="宋体" w:hAnsi="宋体" w:eastAsia="宋体" w:cs="宋体"/>
          <w:b/>
          <w:bCs/>
          <w:color w:val="auto"/>
          <w:sz w:val="24"/>
          <w:szCs w:val="24"/>
          <w:highlight w:val="none"/>
        </w:rPr>
        <w:t>无效响应文件</w:t>
      </w:r>
    </w:p>
    <w:p w14:paraId="0B16D6D7">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响应文件有下列情形之一的，由磋商小组评审后按无效响应文件处理：</w:t>
      </w:r>
    </w:p>
    <w:p w14:paraId="178E1F06">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.1供应商的商务报价高于采购项目预算；</w:t>
      </w:r>
    </w:p>
    <w:p w14:paraId="581DEF9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.2响应文件附有采购人不能接受条件的；</w:t>
      </w:r>
    </w:p>
    <w:p w14:paraId="47C622BD">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.3出现重大偏离的；</w:t>
      </w:r>
    </w:p>
    <w:p w14:paraId="30DF2FF6">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.4对磋商文件提出的实质性要求和条件未能实质性响应；</w:t>
      </w:r>
    </w:p>
    <w:p w14:paraId="3FE38208">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.5《中华人民共和国政府采购法》、《中华人民共和国政府采购实施条例》、《政府采购竞争性磋商采购方式管理暂行办法》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中华人民共和国招投标法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其它</w:t>
      </w:r>
      <w:r>
        <w:rPr>
          <w:rFonts w:hint="eastAsia" w:ascii="宋体" w:hAnsi="宋体" w:eastAsia="宋体" w:cs="宋体"/>
          <w:color w:val="auto"/>
          <w:sz w:val="24"/>
          <w:szCs w:val="24"/>
          <w:highlight w:val="none"/>
        </w:rPr>
        <w:t>相关法律法规及磋商文件明确规定可以作无效响应的其他情形。</w:t>
      </w:r>
    </w:p>
    <w:p w14:paraId="0561ED90">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8</w:t>
      </w:r>
      <w:r>
        <w:rPr>
          <w:rFonts w:hint="eastAsia" w:ascii="宋体" w:hAnsi="宋体" w:eastAsia="宋体" w:cs="宋体"/>
          <w:b/>
          <w:bCs/>
          <w:color w:val="auto"/>
          <w:sz w:val="24"/>
          <w:szCs w:val="24"/>
          <w:highlight w:val="none"/>
        </w:rPr>
        <w:t>、评审标准</w:t>
      </w:r>
    </w:p>
    <w:p w14:paraId="1322FC2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.1本项目评审采用综合评分法，严格按照磋商文件的要求和条件进行。</w:t>
      </w:r>
    </w:p>
    <w:p w14:paraId="46A5A31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.2响应文件初审。</w:t>
      </w:r>
    </w:p>
    <w:p w14:paraId="5BB7FCE3">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8.2.1</w:t>
      </w:r>
      <w:r>
        <w:rPr>
          <w:rFonts w:hint="eastAsia" w:ascii="宋体" w:hAnsi="宋体" w:eastAsia="宋体" w:cs="宋体"/>
          <w:color w:val="auto"/>
          <w:sz w:val="24"/>
          <w:szCs w:val="24"/>
          <w:highlight w:val="none"/>
        </w:rPr>
        <w:t>初审分为资格性审查和符合性审查。响应文件初审由磋商小组根据</w:t>
      </w:r>
      <w:r>
        <w:rPr>
          <w:rFonts w:hint="eastAsia" w:ascii="宋体" w:hAnsi="宋体" w:eastAsia="宋体" w:cs="宋体"/>
          <w:color w:val="auto"/>
          <w:sz w:val="24"/>
          <w:szCs w:val="24"/>
          <w:highlight w:val="none"/>
          <w:lang w:val="en-US" w:eastAsia="zh-CN"/>
        </w:rPr>
        <w:t>磋商文件要求对</w:t>
      </w:r>
      <w:r>
        <w:rPr>
          <w:rFonts w:hint="eastAsia" w:ascii="宋体" w:hAnsi="宋体" w:eastAsia="宋体" w:cs="宋体"/>
          <w:color w:val="auto"/>
          <w:sz w:val="24"/>
          <w:szCs w:val="24"/>
          <w:highlight w:val="none"/>
        </w:rPr>
        <w:t>各供应商响应文件进行评审，未通过初审的供应商其响应文件将按照无效磋商处理。</w:t>
      </w:r>
    </w:p>
    <w:p w14:paraId="781493C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资格性审查。依据法律法规和磋商文件的规定，对响应文件中的资格证明等进行审查，以确定供应商是否具备磋商资格。</w:t>
      </w:r>
    </w:p>
    <w:p w14:paraId="6B935C94">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（1）磋商小组根据评审办法规定的评审因素和评审标准，对供应商的响应文件进行资格评审。资格性检查不合格的供应商的响应文件作无效文件处理。</w:t>
      </w:r>
    </w:p>
    <w:p w14:paraId="1678F5C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（2）磋商小组在进行资格检查时，不得改变磋商文件中已载明的资格条件、标准和办法。</w:t>
      </w:r>
    </w:p>
    <w:p w14:paraId="28E6087A">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（3）磋商小组应逐项对照资格性检查要求所提交的相应证明文件。</w:t>
      </w:r>
    </w:p>
    <w:p w14:paraId="3F0C7BA1">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（4）磋商小组在评审中必要时可按供应商提供的联系方式就有关问题进行查询核实，或要求供应商做出澄清，查询及澄清结果将作为审查的依据。</w:t>
      </w:r>
    </w:p>
    <w:p w14:paraId="0CE6F72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（5）通过全部资格性检查条件合格的供应商才能通过资格检查，其响应文件方可进入下一个检查阶段。</w:t>
      </w:r>
    </w:p>
    <w:p w14:paraId="45CC088C">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符合性审查。依据磋商文件的规定，从响应文件的有效性、完整性和对磋商文件的响应程度</w:t>
      </w:r>
      <w:r>
        <w:rPr>
          <w:rFonts w:hint="eastAsia" w:ascii="宋体" w:hAnsi="宋体" w:eastAsia="宋体" w:cs="宋体"/>
          <w:color w:val="auto"/>
          <w:sz w:val="24"/>
          <w:szCs w:val="24"/>
          <w:highlight w:val="none"/>
          <w:lang w:val="en-US" w:eastAsia="zh-CN"/>
        </w:rPr>
        <w:t>等</w:t>
      </w:r>
      <w:r>
        <w:rPr>
          <w:rFonts w:hint="eastAsia" w:ascii="宋体" w:hAnsi="宋体" w:eastAsia="宋体" w:cs="宋体"/>
          <w:color w:val="auto"/>
          <w:sz w:val="24"/>
          <w:szCs w:val="24"/>
          <w:highlight w:val="none"/>
        </w:rPr>
        <w:t>进行审查，以确定是否对磋商文件的实质性要求作出响应。</w:t>
      </w:r>
    </w:p>
    <w:p w14:paraId="30CDEFC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磋商小组根据评审办法规定的评审因素和评审标准，对供应商的响应文件进行符合性检查。符合性检查不合格的供应商的响应文件作无效文件处理。</w:t>
      </w:r>
    </w:p>
    <w:p w14:paraId="731F43A5">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澄清有关问题。对响应文件中含义不明确、同类问题表述不一致或者有明显文字和计算错误的内容，磋商小组可要求供应商作出必要的澄清、说明或者纠正，并不得超出响应文件的范围或者改变响应文件的实质性内容。</w:t>
      </w:r>
    </w:p>
    <w:p w14:paraId="51F70BA6">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.4比较与评价。磋商小组按磋商文件中规定的评审标准，对资格性检查和符合性检查合格的响应文件进行商务和技术评估，综合比较与评价。</w:t>
      </w:r>
    </w:p>
    <w:p w14:paraId="39F10E21">
      <w:pPr>
        <w:pStyle w:val="17"/>
        <w:spacing w:line="360" w:lineRule="auto"/>
        <w:ind w:firstLine="480" w:firstLineChars="200"/>
        <w:rPr>
          <w:rFonts w:hint="eastAsia" w:ascii="宋体" w:hAnsi="宋体" w:eastAsia="宋体" w:cs="宋体"/>
          <w:color w:val="auto"/>
          <w:sz w:val="28"/>
          <w:szCs w:val="28"/>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.5磋商结束后，磋商小组应当要求所有实质性响应的供应商在规定时间内提交最后报价。供应商在未提高响应文件中承诺的</w:t>
      </w:r>
      <w:r>
        <w:rPr>
          <w:rFonts w:hint="eastAsia" w:ascii="宋体" w:hAnsi="宋体" w:eastAsia="宋体" w:cs="宋体"/>
          <w:color w:val="auto"/>
          <w:sz w:val="24"/>
          <w:szCs w:val="24"/>
          <w:highlight w:val="none"/>
          <w:lang w:val="en-US" w:eastAsia="zh-CN"/>
        </w:rPr>
        <w:t>施工</w:t>
      </w:r>
      <w:r>
        <w:rPr>
          <w:rFonts w:hint="eastAsia" w:ascii="宋体" w:hAnsi="宋体" w:eastAsia="宋体" w:cs="宋体"/>
          <w:color w:val="auto"/>
          <w:sz w:val="24"/>
          <w:szCs w:val="24"/>
          <w:highlight w:val="none"/>
        </w:rPr>
        <w:t>质量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进度等</w:t>
      </w:r>
      <w:r>
        <w:rPr>
          <w:rFonts w:hint="eastAsia" w:ascii="宋体" w:hAnsi="宋体" w:eastAsia="宋体" w:cs="宋体"/>
          <w:color w:val="auto"/>
          <w:sz w:val="24"/>
          <w:szCs w:val="24"/>
          <w:highlight w:val="none"/>
        </w:rPr>
        <w:t>的情况下，其最后报价不得高于对该项目之前的报价，否则，磋商小组应当对其响应文件按无效处理，不允许进入综合评分，并书面告知供应商，说明理由。</w:t>
      </w:r>
    </w:p>
    <w:p w14:paraId="510D5EC4">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.6评审分值：总分值为100分，其中价格分值为30分，其余部分（技术及商务）分值为70分。具体评审评分内容详本磋商文件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第五章、评定成交方式和标准（综合评分法）”</w:t>
      </w:r>
    </w:p>
    <w:bookmarkEnd w:id="98"/>
    <w:bookmarkEnd w:id="99"/>
    <w:bookmarkEnd w:id="100"/>
    <w:bookmarkEnd w:id="101"/>
    <w:p w14:paraId="3F39F287">
      <w:pPr>
        <w:pStyle w:val="17"/>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8.7推荐成交候选供应商</w:t>
      </w:r>
    </w:p>
    <w:p w14:paraId="2FC22DD3">
      <w:pPr>
        <w:pStyle w:val="17"/>
        <w:spacing w:line="360" w:lineRule="auto"/>
        <w:ind w:firstLine="480" w:firstLineChars="200"/>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sz w:val="24"/>
          <w:szCs w:val="24"/>
          <w:highlight w:val="none"/>
          <w:lang w:val="en-US" w:eastAsia="zh-CN"/>
        </w:rPr>
        <w:t>8.7.1各供应商的评审得分由高至低排序，评审得分排列前3名的供应商被推荐为成交候选供应商。评审得分相同的，按照最后报价由低到高的顺序推荐。评审得分且最后报价相同的，由磋商小组按照技术指标优劣顺序推荐第一名中标候选人。</w:t>
      </w:r>
    </w:p>
    <w:p w14:paraId="6F298D72">
      <w:pPr>
        <w:spacing w:line="360" w:lineRule="auto"/>
        <w:ind w:firstLine="482"/>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8.7.2评分计算结果保留两位小数，第三位小数四舍五入。</w:t>
      </w:r>
    </w:p>
    <w:p w14:paraId="0B2843F4">
      <w:pPr>
        <w:spacing w:line="360" w:lineRule="auto"/>
        <w:ind w:firstLine="482"/>
        <w:jc w:val="left"/>
        <w:rPr>
          <w:rFonts w:hint="eastAsia" w:ascii="宋体" w:hAnsi="宋体" w:eastAsia="宋体" w:cs="宋体"/>
          <w:color w:val="auto"/>
          <w:sz w:val="24"/>
          <w:szCs w:val="24"/>
          <w:highlight w:val="none"/>
          <w:lang w:val="en-US" w:eastAsia="zh-CN"/>
        </w:rPr>
      </w:pPr>
      <w:bookmarkStart w:id="106" w:name="_Toc233274848"/>
      <w:bookmarkStart w:id="107" w:name="_Toc243906349"/>
      <w:bookmarkStart w:id="108" w:name="_Toc245897309"/>
      <w:bookmarkStart w:id="109" w:name="_Toc243907610"/>
      <w:r>
        <w:rPr>
          <w:rFonts w:hint="eastAsia" w:ascii="宋体" w:hAnsi="宋体" w:eastAsia="宋体" w:cs="宋体"/>
          <w:color w:val="auto"/>
          <w:kern w:val="2"/>
          <w:sz w:val="24"/>
          <w:szCs w:val="24"/>
          <w:highlight w:val="none"/>
          <w:lang w:val="en-US" w:eastAsia="zh-CN" w:bidi="ar-SA"/>
        </w:rPr>
        <w:t>8.8</w:t>
      </w:r>
      <w:r>
        <w:rPr>
          <w:rFonts w:hint="eastAsia" w:ascii="宋体" w:hAnsi="宋体" w:cs="宋体"/>
          <w:color w:val="auto"/>
          <w:sz w:val="24"/>
          <w:szCs w:val="24"/>
          <w:highlight w:val="none"/>
        </w:rPr>
        <w:t>磋商小组复核。磋商小组评分汇总结束后，磋商小组应当进行评审复核，对拟推荐为成交候选供应商的、报价最低的、供应商资格审查未通过的、供应商</w:t>
      </w:r>
      <w:r>
        <w:rPr>
          <w:rFonts w:hint="eastAsia" w:ascii="宋体" w:hAnsi="宋体" w:eastAsia="宋体" w:cs="宋体"/>
          <w:color w:val="auto"/>
          <w:kern w:val="2"/>
          <w:sz w:val="24"/>
          <w:szCs w:val="24"/>
          <w:highlight w:val="none"/>
          <w:lang w:val="en-US" w:eastAsia="zh-CN" w:bidi="ar-SA"/>
        </w:rPr>
        <w:t>响应文件作无效处理的</w:t>
      </w:r>
      <w:r>
        <w:rPr>
          <w:rFonts w:hint="eastAsia" w:ascii="宋体" w:hAnsi="宋体" w:eastAsia="宋体" w:cs="宋体"/>
          <w:color w:val="auto"/>
          <w:sz w:val="24"/>
          <w:szCs w:val="24"/>
          <w:highlight w:val="none"/>
          <w:lang w:val="en-US" w:eastAsia="zh-CN"/>
        </w:rPr>
        <w:t>重点复核。</w:t>
      </w:r>
    </w:p>
    <w:p w14:paraId="0467D0E3">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8.9采</w:t>
      </w:r>
      <w:r>
        <w:rPr>
          <w:rFonts w:hint="eastAsia" w:ascii="宋体" w:hAnsi="宋体" w:eastAsia="宋体" w:cs="宋体"/>
          <w:color w:val="auto"/>
          <w:sz w:val="24"/>
          <w:szCs w:val="24"/>
          <w:highlight w:val="none"/>
        </w:rPr>
        <w:t>购人根据磋商小组推荐的成交候选供应商及有关规定确定成交供应商。</w:t>
      </w:r>
    </w:p>
    <w:p w14:paraId="5677A16F">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8.10在</w:t>
      </w:r>
      <w:r>
        <w:rPr>
          <w:rFonts w:hint="eastAsia" w:ascii="宋体" w:hAnsi="宋体" w:eastAsia="宋体" w:cs="宋体"/>
          <w:color w:val="auto"/>
          <w:sz w:val="24"/>
          <w:szCs w:val="24"/>
          <w:highlight w:val="none"/>
        </w:rPr>
        <w:t>确定成交供应商之前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采购人保留依法接受或拒绝任一或所有供应商的权力。</w:t>
      </w:r>
    </w:p>
    <w:p w14:paraId="4A4EB32D">
      <w:pPr>
        <w:spacing w:line="360" w:lineRule="auto"/>
        <w:ind w:firstLine="482"/>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9、</w:t>
      </w:r>
      <w:r>
        <w:rPr>
          <w:rFonts w:hint="eastAsia" w:ascii="宋体" w:hAnsi="宋体" w:eastAsia="宋体" w:cs="宋体"/>
          <w:b/>
          <w:bCs/>
          <w:color w:val="auto"/>
          <w:sz w:val="24"/>
          <w:szCs w:val="24"/>
          <w:highlight w:val="none"/>
        </w:rPr>
        <w:t>成交通知</w:t>
      </w:r>
      <w:bookmarkEnd w:id="106"/>
      <w:bookmarkEnd w:id="107"/>
      <w:bookmarkEnd w:id="108"/>
      <w:bookmarkEnd w:id="109"/>
      <w:r>
        <w:rPr>
          <w:rFonts w:hint="eastAsia" w:ascii="宋体" w:hAnsi="宋体" w:eastAsia="宋体" w:cs="宋体"/>
          <w:b/>
          <w:bCs/>
          <w:color w:val="auto"/>
          <w:sz w:val="24"/>
          <w:szCs w:val="24"/>
          <w:highlight w:val="none"/>
        </w:rPr>
        <w:t>书</w:t>
      </w:r>
    </w:p>
    <w:p w14:paraId="10FF33D2">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.1在评审结束后2个工作日内将评审报告送采购人，采购人在收到评审报告后5个工作日内确定成交供应商。</w:t>
      </w:r>
    </w:p>
    <w:p w14:paraId="4FDB052D">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2采购人确定成交供应商后，及时通知采购代理机构，采购代理机构将按程序在成交供应商确定后2个工作内公告成交结果，公告内容合法，同时向成交供应商发出成交通知书，成交通知书一经发出即发生法律效力。</w:t>
      </w:r>
    </w:p>
    <w:p w14:paraId="6B2521F0">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.3《成交通知书》将是合同的组成部分。</w:t>
      </w:r>
    </w:p>
    <w:p w14:paraId="40E3EA47">
      <w:pPr>
        <w:spacing w:line="360" w:lineRule="auto"/>
        <w:ind w:firstLine="482"/>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.4采购人将通知其他未成交的供应商。</w:t>
      </w:r>
    </w:p>
    <w:p w14:paraId="647DA9E8">
      <w:pPr>
        <w:spacing w:line="360" w:lineRule="auto"/>
        <w:ind w:firstLine="482"/>
        <w:jc w:val="left"/>
        <w:rPr>
          <w:rFonts w:hint="eastAsia" w:ascii="宋体" w:hAnsi="宋体" w:cs="宋体"/>
          <w:b/>
          <w:bCs/>
          <w:color w:val="auto"/>
          <w:sz w:val="24"/>
          <w:szCs w:val="24"/>
          <w:highlight w:val="none"/>
        </w:rPr>
      </w:pPr>
      <w:bookmarkStart w:id="110" w:name="_Toc243906350"/>
      <w:bookmarkStart w:id="111" w:name="_Toc243907611"/>
      <w:bookmarkStart w:id="112" w:name="_Toc233274849"/>
      <w:bookmarkStart w:id="113" w:name="_Toc245897310"/>
      <w:r>
        <w:rPr>
          <w:rFonts w:hint="eastAsia" w:ascii="宋体" w:hAnsi="宋体" w:cs="宋体"/>
          <w:b/>
          <w:bCs/>
          <w:color w:val="auto"/>
          <w:sz w:val="24"/>
          <w:szCs w:val="24"/>
          <w:highlight w:val="none"/>
          <w:lang w:val="en-US" w:eastAsia="zh-CN"/>
        </w:rPr>
        <w:t>10</w:t>
      </w:r>
      <w:r>
        <w:rPr>
          <w:rFonts w:hint="eastAsia" w:ascii="宋体" w:hAnsi="宋体" w:cs="宋体"/>
          <w:b/>
          <w:bCs/>
          <w:color w:val="auto"/>
          <w:sz w:val="24"/>
          <w:szCs w:val="24"/>
          <w:highlight w:val="none"/>
        </w:rPr>
        <w:t>、纪律与保密事项</w:t>
      </w:r>
      <w:bookmarkEnd w:id="110"/>
      <w:bookmarkEnd w:id="111"/>
      <w:bookmarkEnd w:id="112"/>
      <w:bookmarkEnd w:id="113"/>
    </w:p>
    <w:p w14:paraId="22100D89">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.1凡参与磋商工作的有关人员均应自觉接受有关主管部门的监督，不得向他人透露可能影响公平竞争的有关磋商的其他情况。</w:t>
      </w:r>
    </w:p>
    <w:p w14:paraId="54009E16">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2领取本磋商文件及其它相关资料者，应对文件进行保密，不得用作本次磋商以外的任何用途。由采购人向供应商提供的图纸、技术资料和所有其它资料，均视为保密资料，除非得到采购人的同意，不得向第三方透露。</w:t>
      </w:r>
    </w:p>
    <w:p w14:paraId="00DEB1B0">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.3供应商不得与采购人串通磋商，不得向采购人或者磋商小组成员行贿谋取成交，不得以他人名义参与磋商或者以其它任何方式弄虚作假骗取参与磋商。供应商不得以任何方式干扰、影响评审工作。</w:t>
      </w:r>
    </w:p>
    <w:p w14:paraId="15295C98">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4供应商不得在磋商过程中互相串通、结盟、损害磋商的公正性和竞争性，或以任何方式影响其他供应商参与正当磋商。扰乱磋商市场，破坏公平竞争原则。如供应商在磋商过程中互相串通，一经查实，将取消磋商资格。</w:t>
      </w:r>
    </w:p>
    <w:p w14:paraId="45328B89">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.5磋商之日起直至授予成交供应商合同为止，凡属于对响应文件的审查、澄清、评价、比较有关的资料和成交候选人的推荐情况及与评审有关的其他任何情况均严格保密。</w:t>
      </w:r>
    </w:p>
    <w:p w14:paraId="097103A7">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.6从磋商之日起至授予合同期间，供应商试图向磋商小组、采购代理机构施加任何影响或对采购人的比较及授予合同的决定进行影响，都可能导致其响应文件被拒绝。</w:t>
      </w:r>
    </w:p>
    <w:p w14:paraId="1ABDE2A6">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.7除供应商被要求对响应文件进行澄清外，从磋商之时起至授予合同期间，供应商不得就与其响应文件有关的事项主动与磋商小组、采购代理机构以及采购人联系。</w:t>
      </w:r>
    </w:p>
    <w:p w14:paraId="256A23FB">
      <w:pPr>
        <w:spacing w:line="360" w:lineRule="auto"/>
        <w:ind w:firstLine="482"/>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.8成交供应商确定后，采购人不对未成交供应商就评审过程以及未能成交原因作出任何解释，未成交供应商不得向磋商小组或其他有关人员询问评审过程的情况和索取评审过程的资料。</w:t>
      </w:r>
    </w:p>
    <w:p w14:paraId="3E87B585">
      <w:pPr>
        <w:pStyle w:val="17"/>
        <w:spacing w:line="360" w:lineRule="auto"/>
        <w:ind w:firstLine="482" w:firstLineChars="200"/>
        <w:outlineLvl w:val="1"/>
        <w:rPr>
          <w:rFonts w:hint="eastAsia" w:hAnsi="宋体" w:cs="宋体"/>
          <w:b/>
          <w:bCs/>
          <w:color w:val="auto"/>
          <w:sz w:val="24"/>
          <w:szCs w:val="24"/>
          <w:highlight w:val="none"/>
        </w:rPr>
      </w:pPr>
      <w:r>
        <w:rPr>
          <w:rFonts w:hint="eastAsia" w:hAnsi="宋体" w:cs="宋体"/>
          <w:b/>
          <w:bCs/>
          <w:color w:val="auto"/>
          <w:sz w:val="24"/>
          <w:szCs w:val="24"/>
          <w:highlight w:val="none"/>
          <w:lang w:val="en-US" w:eastAsia="zh-CN"/>
        </w:rPr>
        <w:t>11</w:t>
      </w:r>
      <w:r>
        <w:rPr>
          <w:rFonts w:hint="eastAsia" w:hAnsi="宋体" w:cs="宋体"/>
          <w:b/>
          <w:bCs/>
          <w:color w:val="auto"/>
          <w:sz w:val="24"/>
          <w:szCs w:val="24"/>
          <w:highlight w:val="none"/>
        </w:rPr>
        <w:t>、授予合同</w:t>
      </w:r>
    </w:p>
    <w:p w14:paraId="5FDED4B5">
      <w:pPr>
        <w:pStyle w:val="17"/>
        <w:spacing w:line="360" w:lineRule="auto"/>
        <w:ind w:firstLine="480" w:firstLineChars="200"/>
        <w:outlineLvl w:val="1"/>
        <w:rPr>
          <w:rFonts w:hint="eastAsia" w:hAnsi="宋体" w:cs="宋体"/>
          <w:color w:val="auto"/>
          <w:sz w:val="24"/>
          <w:szCs w:val="24"/>
          <w:highlight w:val="none"/>
        </w:rPr>
      </w:pPr>
      <w:r>
        <w:rPr>
          <w:rFonts w:hint="eastAsia" w:hAnsi="宋体" w:cs="宋体"/>
          <w:color w:val="auto"/>
          <w:sz w:val="24"/>
          <w:szCs w:val="24"/>
          <w:highlight w:val="none"/>
          <w:lang w:val="en-US" w:eastAsia="zh-CN"/>
        </w:rPr>
        <w:t>11</w:t>
      </w:r>
      <w:r>
        <w:rPr>
          <w:rFonts w:hint="eastAsia" w:hAnsi="宋体" w:cs="宋体"/>
          <w:color w:val="auto"/>
          <w:sz w:val="24"/>
          <w:szCs w:val="24"/>
          <w:highlight w:val="none"/>
        </w:rPr>
        <w:t>.1本采购项目的采购合同将授予按本须知确定成交供应商。</w:t>
      </w:r>
    </w:p>
    <w:p w14:paraId="423F0FA7">
      <w:pPr>
        <w:pStyle w:val="17"/>
        <w:spacing w:line="360" w:lineRule="auto"/>
        <w:ind w:firstLine="482" w:firstLineChars="200"/>
        <w:outlineLvl w:val="1"/>
        <w:rPr>
          <w:rFonts w:hint="eastAsia" w:ascii="宋体" w:hAnsi="宋体" w:eastAsia="宋体" w:cs="宋体"/>
          <w:b/>
          <w:bCs/>
          <w:color w:val="auto"/>
          <w:sz w:val="24"/>
          <w:szCs w:val="24"/>
          <w:highlight w:val="none"/>
        </w:rPr>
      </w:pPr>
      <w:bookmarkStart w:id="114" w:name="_Toc245897317"/>
      <w:bookmarkStart w:id="115" w:name="_Toc243906357"/>
      <w:bookmarkStart w:id="116" w:name="_Toc233274855"/>
      <w:bookmarkStart w:id="117" w:name="_Toc243907620"/>
      <w:bookmarkStart w:id="118" w:name="_Toc243907621"/>
      <w:bookmarkStart w:id="119" w:name="_Toc245897318"/>
      <w:r>
        <w:rPr>
          <w:rFonts w:hint="eastAsia" w:ascii="宋体" w:hAnsi="宋体" w:eastAsia="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rPr>
        <w:t>、签订合同</w:t>
      </w:r>
      <w:bookmarkEnd w:id="114"/>
      <w:bookmarkEnd w:id="115"/>
      <w:bookmarkEnd w:id="116"/>
      <w:bookmarkEnd w:id="117"/>
    </w:p>
    <w:p w14:paraId="5F0B9087">
      <w:pPr>
        <w:pStyle w:val="17"/>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.1成交供应商应当自成交通知书发出之日起三十日内，按照磋商文件和成交供应商的响应文件订立书面合同。成交供应商不得要求订立背离本响应文件合同文本等响应文件实质性内容的其他协议。</w:t>
      </w:r>
    </w:p>
    <w:p w14:paraId="31B5BB0B">
      <w:pPr>
        <w:pStyle w:val="17"/>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.2成交通知书、成交供应商的响应文件及其澄清文件、技术规范及标准、项目采购需求、本磋商文件（含修改文件或补充文件）及答疑纪要等，均为签订合同的依据。</w:t>
      </w:r>
    </w:p>
    <w:p w14:paraId="2756B5F4">
      <w:pPr>
        <w:pStyle w:val="17"/>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.3采购人如</w:t>
      </w:r>
      <w:r>
        <w:rPr>
          <w:rFonts w:hint="eastAsia" w:ascii="宋体" w:hAnsi="宋体" w:eastAsia="宋体" w:cs="宋体"/>
          <w:color w:val="auto"/>
          <w:sz w:val="24"/>
          <w:szCs w:val="24"/>
          <w:highlight w:val="none"/>
          <w:lang w:val="en-US" w:eastAsia="zh-CN"/>
        </w:rPr>
        <w:t>不</w:t>
      </w:r>
      <w:r>
        <w:rPr>
          <w:rFonts w:hint="eastAsia" w:ascii="宋体" w:hAnsi="宋体" w:eastAsia="宋体" w:cs="宋体"/>
          <w:color w:val="auto"/>
          <w:sz w:val="24"/>
          <w:szCs w:val="24"/>
          <w:highlight w:val="none"/>
        </w:rPr>
        <w:t>与成交供应商签订合同，或者采购人、成交供应商签订背离合同实质性内容的协议，由监督管理部门责令其改正。</w:t>
      </w:r>
    </w:p>
    <w:p w14:paraId="5E2A23EF">
      <w:pPr>
        <w:pStyle w:val="17"/>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.4成交供应商如不与采购人签订合同，则按违约处理，采购人将有权取消成交供应商资格，给采购人造成损失的，还应当予以赔偿，同时依法承担相应的法律责任。</w:t>
      </w:r>
    </w:p>
    <w:p w14:paraId="6CEB410E">
      <w:pPr>
        <w:pStyle w:val="17"/>
        <w:spacing w:line="360" w:lineRule="auto"/>
        <w:ind w:firstLine="480" w:firstLineChars="200"/>
        <w:outlineLvl w:val="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.5成交供应商拒绝与采购人签订合同的，采购人可以按照评审报告推荐的成交候选人名单排序，确定下一名候选人为成交供应商，并组织重新选定的成交供应商和采购人签订合同，也可以重新开展政府采购活动。</w:t>
      </w:r>
    </w:p>
    <w:p w14:paraId="4134D674">
      <w:pPr>
        <w:pStyle w:val="17"/>
        <w:spacing w:line="360" w:lineRule="auto"/>
        <w:ind w:firstLine="480" w:firstLineChars="200"/>
        <w:outlineLvl w:val="1"/>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.6未成交供应商的保证金在成交通知书发出</w:t>
      </w:r>
      <w:r>
        <w:rPr>
          <w:rFonts w:hint="eastAsia" w:ascii="宋体" w:hAnsi="宋体" w:eastAsia="宋体" w:cs="宋体"/>
          <w:color w:val="auto"/>
          <w:sz w:val="24"/>
          <w:szCs w:val="24"/>
          <w:highlight w:val="none"/>
          <w:lang w:val="en-US" w:eastAsia="zh-CN"/>
        </w:rPr>
        <w:t>之日起</w:t>
      </w:r>
      <w:r>
        <w:rPr>
          <w:rFonts w:hint="eastAsia" w:ascii="宋体" w:hAnsi="宋体" w:eastAsia="宋体" w:cs="宋体"/>
          <w:color w:val="auto"/>
          <w:sz w:val="24"/>
          <w:szCs w:val="24"/>
          <w:highlight w:val="none"/>
        </w:rPr>
        <w:t>5个工作日内退还，成交供应商的保证金在采购合同签订</w:t>
      </w:r>
      <w:r>
        <w:rPr>
          <w:rFonts w:hint="eastAsia" w:ascii="宋体" w:hAnsi="宋体" w:eastAsia="宋体" w:cs="宋体"/>
          <w:color w:val="auto"/>
          <w:sz w:val="24"/>
          <w:szCs w:val="24"/>
          <w:highlight w:val="none"/>
          <w:lang w:val="en-US" w:eastAsia="zh-CN"/>
        </w:rPr>
        <w:t>之日起</w:t>
      </w:r>
      <w:r>
        <w:rPr>
          <w:rFonts w:hint="eastAsia" w:ascii="宋体" w:hAnsi="宋体" w:eastAsia="宋体" w:cs="宋体"/>
          <w:color w:val="auto"/>
          <w:sz w:val="24"/>
          <w:szCs w:val="24"/>
          <w:highlight w:val="none"/>
        </w:rPr>
        <w:t>5个工作日内退还</w:t>
      </w:r>
      <w:r>
        <w:rPr>
          <w:rFonts w:hint="eastAsia" w:ascii="宋体" w:hAnsi="宋体" w:eastAsia="宋体" w:cs="宋体"/>
          <w:color w:val="auto"/>
          <w:sz w:val="24"/>
          <w:szCs w:val="24"/>
          <w:highlight w:val="none"/>
          <w:lang w:eastAsia="zh-CN"/>
        </w:rPr>
        <w:t>。</w:t>
      </w:r>
    </w:p>
    <w:bookmarkEnd w:id="118"/>
    <w:bookmarkEnd w:id="119"/>
    <w:p w14:paraId="752D3098">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13</w:t>
      </w:r>
      <w:r>
        <w:rPr>
          <w:rFonts w:hint="eastAsia" w:ascii="宋体" w:hAnsi="宋体" w:eastAsia="宋体" w:cs="宋体"/>
          <w:b/>
          <w:bCs/>
          <w:color w:val="auto"/>
          <w:sz w:val="24"/>
          <w:szCs w:val="24"/>
          <w:highlight w:val="none"/>
        </w:rPr>
        <w:t>、合同的签订准则</w:t>
      </w:r>
    </w:p>
    <w:p w14:paraId="4A0EF60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.1合同签订必须由采购人、成交供应商双方法定代表或其委托代理人签署并加盖法人公章后方能生效。</w:t>
      </w:r>
    </w:p>
    <w:p w14:paraId="37C1FE8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.2合同转包（实质性要求）</w:t>
      </w:r>
    </w:p>
    <w:p w14:paraId="36F5CAC1">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采购项目严禁成交供应商将任何政府采购合同义务转包。本项目所称转包，是指成交供应商将政府采购合同义务转让给第三人，并退出现有政府采购合同当事人双方的权利义务关系，受让人（即第三人）成为政府采购合同的另一方当事人的行为。</w:t>
      </w:r>
    </w:p>
    <w:p w14:paraId="28A6C727">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成交供应商转包的，视同拒绝履行政府采购合同义务，将依法追究法律责任。</w:t>
      </w:r>
    </w:p>
    <w:p w14:paraId="3678B085">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.3补充合同</w:t>
      </w:r>
    </w:p>
    <w:p w14:paraId="270FA9A5">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采购合同履行过程中，采购人需要追加与合同标的相同的</w:t>
      </w:r>
      <w:r>
        <w:rPr>
          <w:rFonts w:hint="eastAsia" w:ascii="宋体" w:hAnsi="宋体" w:eastAsia="宋体" w:cs="宋体"/>
          <w:color w:val="auto"/>
          <w:sz w:val="24"/>
          <w:szCs w:val="24"/>
          <w:highlight w:val="none"/>
          <w:lang w:val="en-US" w:eastAsia="zh-CN"/>
        </w:rPr>
        <w:t>货物、服务</w:t>
      </w:r>
      <w:r>
        <w:rPr>
          <w:rFonts w:hint="eastAsia" w:ascii="宋体" w:hAnsi="宋体" w:eastAsia="宋体" w:cs="宋体"/>
          <w:color w:val="auto"/>
          <w:sz w:val="24"/>
          <w:szCs w:val="24"/>
          <w:highlight w:val="none"/>
        </w:rPr>
        <w:t>或者</w:t>
      </w:r>
      <w:r>
        <w:rPr>
          <w:rFonts w:hint="eastAsia" w:ascii="宋体" w:hAnsi="宋体" w:eastAsia="宋体" w:cs="宋体"/>
          <w:color w:val="auto"/>
          <w:sz w:val="24"/>
          <w:szCs w:val="24"/>
          <w:highlight w:val="none"/>
          <w:lang w:val="en-US" w:eastAsia="zh-CN"/>
        </w:rPr>
        <w:t>施工</w:t>
      </w:r>
      <w:r>
        <w:rPr>
          <w:rFonts w:hint="eastAsia" w:ascii="宋体" w:hAnsi="宋体" w:eastAsia="宋体" w:cs="宋体"/>
          <w:color w:val="auto"/>
          <w:sz w:val="24"/>
          <w:szCs w:val="24"/>
          <w:highlight w:val="none"/>
        </w:rPr>
        <w:t>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w:t>
      </w:r>
    </w:p>
    <w:p w14:paraId="32356BFF">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14</w:t>
      </w:r>
      <w:r>
        <w:rPr>
          <w:rFonts w:hint="eastAsia" w:ascii="宋体" w:hAnsi="宋体" w:eastAsia="宋体" w:cs="宋体"/>
          <w:b/>
          <w:bCs/>
          <w:color w:val="auto"/>
          <w:sz w:val="24"/>
          <w:szCs w:val="24"/>
          <w:highlight w:val="none"/>
        </w:rPr>
        <w:t>询问、质疑、投诉</w:t>
      </w:r>
    </w:p>
    <w:p w14:paraId="245C2883">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14.1</w:t>
      </w:r>
      <w:r>
        <w:rPr>
          <w:rFonts w:hint="eastAsia" w:ascii="宋体" w:hAnsi="宋体" w:eastAsia="宋体" w:cs="宋体"/>
          <w:color w:val="auto"/>
          <w:sz w:val="24"/>
          <w:szCs w:val="24"/>
          <w:highlight w:val="none"/>
        </w:rPr>
        <w:t>询问</w:t>
      </w:r>
    </w:p>
    <w:p w14:paraId="4B2855C7">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供应商对采购活动事项有疑问的，可以向采购人或采购代理机构提出询问，采购人或采购代理机构应当在三个工作日内对供应商依法提出的询问作出答复，但答复的内容不得涉及商业秘密。</w:t>
      </w:r>
    </w:p>
    <w:p w14:paraId="48CFF12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w:t>
      </w:r>
      <w:r>
        <w:rPr>
          <w:rFonts w:hint="eastAsia" w:ascii="宋体" w:hAnsi="宋体" w:eastAsia="宋体" w:cs="宋体"/>
          <w:color w:val="auto"/>
          <w:sz w:val="24"/>
          <w:szCs w:val="24"/>
          <w:highlight w:val="none"/>
        </w:rPr>
        <w:t>质疑</w:t>
      </w:r>
    </w:p>
    <w:p w14:paraId="74940F5A">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14.2.1</w:t>
      </w:r>
      <w:r>
        <w:rPr>
          <w:rFonts w:hint="eastAsia" w:ascii="宋体" w:hAnsi="宋体" w:eastAsia="宋体" w:cs="宋体"/>
          <w:color w:val="auto"/>
          <w:sz w:val="24"/>
          <w:szCs w:val="24"/>
          <w:highlight w:val="none"/>
        </w:rPr>
        <w:t>供应商认为采购文件、采购过程和中标、成交结果使自己的合法权益受到损害的，可以在知道或者应知其权益受到损害之日起七个工作日内，将质疑文件原件和必要的证明材料送达采购代理机构。</w:t>
      </w:r>
    </w:p>
    <w:p w14:paraId="65D9300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14.2.2</w:t>
      </w:r>
      <w:r>
        <w:rPr>
          <w:rFonts w:hint="eastAsia" w:ascii="宋体" w:hAnsi="宋体" w:eastAsia="宋体" w:cs="宋体"/>
          <w:color w:val="auto"/>
          <w:sz w:val="24"/>
          <w:szCs w:val="24"/>
          <w:highlight w:val="none"/>
        </w:rPr>
        <w:t>供应商认为采购文件技术指标、参数、评分标准有质疑，向采购人提出，由采购人按相关规定作出答复或委托采购代理机构代为答复。供应商如对采购过程和采购结果有质疑，向采购代理机构提出，由采购代理机构按相关规定作出答复。</w:t>
      </w:r>
    </w:p>
    <w:p w14:paraId="7D734634">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14.2.3</w:t>
      </w:r>
      <w:r>
        <w:rPr>
          <w:rFonts w:hint="eastAsia" w:ascii="宋体" w:hAnsi="宋体" w:eastAsia="宋体" w:cs="宋体"/>
          <w:color w:val="auto"/>
          <w:sz w:val="24"/>
          <w:szCs w:val="24"/>
          <w:highlight w:val="none"/>
        </w:rPr>
        <w:t>上述应知其权益受到损害之日是指：</w:t>
      </w:r>
    </w:p>
    <w:p w14:paraId="32C3DCEF">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（1）对采购文件提出质疑的，为采购文件公告期限届满之日起计算；</w:t>
      </w:r>
    </w:p>
    <w:p w14:paraId="1A191BC5">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（2）对采购过程提出质疑的，自采购程序环节结束之日起计算；</w:t>
      </w:r>
    </w:p>
    <w:p w14:paraId="4FE5303D">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（3）对中标或者成交结果提出质疑的，自中标或者成交结果公告期限届满之日起计算。</w:t>
      </w:r>
    </w:p>
    <w:p w14:paraId="42714CBA">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14.2.4</w:t>
      </w:r>
      <w:r>
        <w:rPr>
          <w:rFonts w:hint="eastAsia" w:ascii="宋体" w:hAnsi="宋体" w:eastAsia="宋体" w:cs="宋体"/>
          <w:color w:val="auto"/>
          <w:sz w:val="24"/>
          <w:szCs w:val="24"/>
          <w:highlight w:val="none"/>
        </w:rPr>
        <w:t>质疑供应商在法定质疑期内应当一次性提出针对同一采购环节提出质疑。</w:t>
      </w:r>
    </w:p>
    <w:p w14:paraId="51BCAE4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14.2.5</w:t>
      </w:r>
      <w:r>
        <w:rPr>
          <w:rFonts w:hint="eastAsia" w:ascii="宋体" w:hAnsi="宋体" w:eastAsia="宋体" w:cs="宋体"/>
          <w:color w:val="auto"/>
          <w:sz w:val="24"/>
          <w:szCs w:val="24"/>
          <w:highlight w:val="none"/>
        </w:rPr>
        <w:t>质疑文件应包括以下主要内容，并按照“谁主张、谁举证”的原则，附上相关证明材料。否则，采购代理机构不予受理【财政部发布了《政府采购供应商质疑函范本》和《政府采购供应商投诉书范本》，两范本指供应商提出质疑、投诉人提起投诉时，应提交的质疑函、投诉书和必要的证明材料（下载路径：中国政府采购网→下载专区）】：</w:t>
      </w:r>
    </w:p>
    <w:p w14:paraId="5BFE1773">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（1）供应商的姓名或者名称、地址、邮编、联系人及联系电话（包括座机、手机、传真号码等）；</w:t>
      </w:r>
    </w:p>
    <w:p w14:paraId="05B9211C">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（2）质疑项目的名称、项目编号、包号、采购公告发布时间、递交投标文件或响应文件截止时间；</w:t>
      </w:r>
    </w:p>
    <w:p w14:paraId="742C537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（3）具体、明确的质疑事项和与质疑事项相关的请求；</w:t>
      </w:r>
    </w:p>
    <w:p w14:paraId="235F6CF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（4）事实依据（具体条款，认为自己合法权益受到损害或可能受到损害的相关证据材料。如涉及到产品功能或技术指标的，应出具相关制造商的证明文件）；</w:t>
      </w:r>
    </w:p>
    <w:p w14:paraId="1FC49FD5">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（5）必要的法律依据；</w:t>
      </w:r>
    </w:p>
    <w:p w14:paraId="0516E53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（6）提起质疑的日期；</w:t>
      </w:r>
    </w:p>
    <w:p w14:paraId="513FF1B1">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（7）质疑文件应当署名，质疑人为自然人的，应当由本人签字并附有效身份证明；质疑人为法人或其他组织的，应当由法定代表人签字并加盖单位公章；</w:t>
      </w:r>
    </w:p>
    <w:p w14:paraId="7F3352A6">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（8）供应商委托代理质疑的，应当提交授权委托书，并载明代理人的姓名或者名称、代理事项、具体权限、期限和相关事项。</w:t>
      </w:r>
    </w:p>
    <w:p w14:paraId="5B91B850">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14.2.6</w:t>
      </w:r>
      <w:r>
        <w:rPr>
          <w:rFonts w:hint="eastAsia" w:ascii="宋体" w:hAnsi="宋体" w:eastAsia="宋体" w:cs="宋体"/>
          <w:color w:val="auto"/>
          <w:sz w:val="24"/>
          <w:szCs w:val="24"/>
          <w:highlight w:val="none"/>
        </w:rPr>
        <w:t>质疑供应商是指直接参加本项目采购活动的供应商，未参加政府采购活动的供应商或在采购活动中自身权益未受到损害的供应商所提出的质疑不予受理。</w:t>
      </w:r>
    </w:p>
    <w:p w14:paraId="00B443BB">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14.2.7</w:t>
      </w:r>
      <w:r>
        <w:rPr>
          <w:rFonts w:hint="eastAsia" w:ascii="宋体" w:hAnsi="宋体" w:eastAsia="宋体" w:cs="宋体"/>
          <w:color w:val="auto"/>
          <w:sz w:val="24"/>
          <w:szCs w:val="24"/>
          <w:highlight w:val="none"/>
        </w:rPr>
        <w:t>采购人、采购代理机构在收到供应商的书面质疑后将及时组织调查核实，在七个工作日内作出答复，并以书面形式通知质疑供应商和其他有关供应商，答复的内容不涉及商业秘密。</w:t>
      </w:r>
    </w:p>
    <w:p w14:paraId="786CAE2E">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14.3</w:t>
      </w:r>
      <w:r>
        <w:rPr>
          <w:rFonts w:hint="eastAsia" w:ascii="宋体" w:hAnsi="宋体" w:eastAsia="宋体" w:cs="宋体"/>
          <w:color w:val="auto"/>
          <w:sz w:val="24"/>
          <w:szCs w:val="24"/>
          <w:highlight w:val="none"/>
        </w:rPr>
        <w:t>投诉</w:t>
      </w:r>
    </w:p>
    <w:p w14:paraId="209D77EC">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14.3.</w:t>
      </w:r>
      <w:r>
        <w:rPr>
          <w:rFonts w:hint="eastAsia" w:ascii="宋体" w:hAnsi="宋体" w:eastAsia="宋体" w:cs="宋体"/>
          <w:color w:val="auto"/>
          <w:sz w:val="24"/>
          <w:szCs w:val="24"/>
          <w:highlight w:val="none"/>
        </w:rPr>
        <w:t>1质疑供应商对采购人、采购代理机构的答复不满意，或采购人、采购代理机构未在规定的时间内作出答复的，可以在答复期满后十五个工作日内向采购项目同级财政部门提起投诉。</w:t>
      </w:r>
    </w:p>
    <w:p w14:paraId="22947072">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14.3.</w:t>
      </w:r>
      <w:r>
        <w:rPr>
          <w:rFonts w:hint="eastAsia" w:ascii="宋体" w:hAnsi="宋体" w:eastAsia="宋体" w:cs="宋体"/>
          <w:color w:val="auto"/>
          <w:sz w:val="24"/>
          <w:szCs w:val="24"/>
          <w:highlight w:val="none"/>
        </w:rPr>
        <w:t>2供应商投诉的事项不得超出已质疑事项的范围，但基于质疑答复内容提出的投诉事项除外。</w:t>
      </w:r>
    </w:p>
    <w:p w14:paraId="16AD32E0">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15</w:t>
      </w:r>
      <w:r>
        <w:rPr>
          <w:rFonts w:hint="eastAsia" w:ascii="宋体" w:hAnsi="宋体" w:eastAsia="宋体" w:cs="宋体"/>
          <w:b/>
          <w:bCs/>
          <w:color w:val="auto"/>
          <w:sz w:val="24"/>
          <w:szCs w:val="24"/>
          <w:highlight w:val="none"/>
        </w:rPr>
        <w:t>、诚实信用</w:t>
      </w:r>
    </w:p>
    <w:p w14:paraId="6E46A80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.1供应商不得虚假承诺，否则，按照提供虚假材料谋取中标或成交处理。</w:t>
      </w:r>
    </w:p>
    <w:p w14:paraId="2B35646C">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16</w:t>
      </w:r>
      <w:r>
        <w:rPr>
          <w:rFonts w:hint="eastAsia" w:ascii="宋体" w:hAnsi="宋体" w:eastAsia="宋体" w:cs="宋体"/>
          <w:b/>
          <w:bCs/>
          <w:color w:val="auto"/>
          <w:sz w:val="24"/>
          <w:szCs w:val="24"/>
          <w:highlight w:val="none"/>
        </w:rPr>
        <w:t>、磋商小组在政府采购活动中承担以下义务：</w:t>
      </w:r>
    </w:p>
    <w:p w14:paraId="53A1C016">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（一）遵守评审工作纪律；</w:t>
      </w:r>
    </w:p>
    <w:p w14:paraId="1FD6B21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（二）按照客观、公正、审慎的原则，根据磋商文件规定的评审程序、评审方法和评审标准进行独立评审；</w:t>
      </w:r>
    </w:p>
    <w:p w14:paraId="7BC90434">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（三）不得泄露评审文件、评审情况和在评审过程中获悉的商业秘密；</w:t>
      </w:r>
    </w:p>
    <w:p w14:paraId="00CBEFF4">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（四）及时向财政部门报告评审过程中发现的采购人、采购代理机构向评审专家做倾向性、误导性的解释或者说明，以及供应商行贿、提供虚假材料或者串通等违法行为；</w:t>
      </w:r>
    </w:p>
    <w:p w14:paraId="327AABB1">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（五）发现磋商文件内容违反国家有关强制性规定或者磋商文件存在歧义、重大缺陷导致评审工作无法进行时，停止评审并向采购人或者采购代理机构书面说明情况；</w:t>
      </w:r>
    </w:p>
    <w:p w14:paraId="0998757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（六）及时向财政、监察等部门举报在评审过程中受到非法干预的情况；</w:t>
      </w:r>
    </w:p>
    <w:p w14:paraId="440E9B53">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（七）配合答复处理供应商的询问、质疑和投诉等事项；</w:t>
      </w:r>
    </w:p>
    <w:p w14:paraId="5C56349B">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（八）法律、法规和规章规定的其他义务。</w:t>
      </w:r>
    </w:p>
    <w:p w14:paraId="027BD5F4">
      <w:pPr>
        <w:pStyle w:val="17"/>
        <w:spacing w:line="360" w:lineRule="auto"/>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17</w:t>
      </w:r>
      <w:r>
        <w:rPr>
          <w:rFonts w:hint="eastAsia" w:ascii="宋体" w:hAnsi="宋体" w:eastAsia="宋体" w:cs="宋体"/>
          <w:b/>
          <w:bCs/>
          <w:color w:val="auto"/>
          <w:sz w:val="24"/>
          <w:szCs w:val="24"/>
          <w:highlight w:val="none"/>
        </w:rPr>
        <w:t>、评审专家在政府采购活动中应当遵守以下工作纪律：</w:t>
      </w:r>
    </w:p>
    <w:p w14:paraId="70F99467">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（一）不得参加与自己有《中华人民共和国政府采购法实施条例》第九条规定的利害关系的政府采购项目的评标活动。发现参加了与自己有利害关系的评审活动，须主动提出回避，退出评审；</w:t>
      </w:r>
    </w:p>
    <w:p w14:paraId="34DC313E">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（二）评审前，应当将通讯工具或者相关电子设备交由采购代理机构统一保管；</w:t>
      </w:r>
    </w:p>
    <w:p w14:paraId="7D73649B">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（三）评审过程中，不得与外界联系，因发生不可预见情况，确实需要与外界联系的，应当在监督人员监督之下办理；</w:t>
      </w:r>
    </w:p>
    <w:p w14:paraId="69BBFB66">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评审过程中，不得发表影响评审公正的倾向性、歧视性言论，不得征询或者接受采购人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签字确认；</w:t>
      </w:r>
    </w:p>
    <w:p w14:paraId="0FDCA558">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（五）在评审过程中和评审结束后，不得记录、复制或带走任何评审资料，不得向外界透露评审内容；</w:t>
      </w:r>
    </w:p>
    <w:p w14:paraId="55A2A8F3">
      <w:pPr>
        <w:pStyle w:val="17"/>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（六）评审现场服从采购代理机构工作人员的管理，接受现场监督人员的合法监督；</w:t>
      </w:r>
    </w:p>
    <w:p w14:paraId="74F1A0B2">
      <w:pPr>
        <w:pStyle w:val="17"/>
        <w:spacing w:line="360" w:lineRule="auto"/>
        <w:ind w:firstLine="480" w:firstLineChars="200"/>
        <w:rPr>
          <w:rFonts w:hint="eastAsia" w:ascii="宋体" w:hAnsi="宋体" w:eastAsia="宋体" w:cs="宋体"/>
          <w:b/>
          <w:color w:val="auto"/>
          <w:kern w:val="2"/>
          <w:sz w:val="30"/>
          <w:szCs w:val="30"/>
          <w:highlight w:val="none"/>
          <w:lang w:val="en-US" w:eastAsia="zh-CN" w:bidi="ar-SA"/>
        </w:rPr>
      </w:pPr>
      <w:r>
        <w:rPr>
          <w:rFonts w:hint="eastAsia" w:ascii="宋体" w:hAnsi="宋体" w:eastAsia="宋体" w:cs="宋体"/>
          <w:color w:val="auto"/>
          <w:sz w:val="24"/>
          <w:szCs w:val="24"/>
          <w:highlight w:val="none"/>
        </w:rPr>
        <w:t>（七）遵守有关廉洁自律规定，不得私下接触供应商，不得收受供应商及有关业务单位和个人的财物或好处，不得接受采购代理机构的请托。</w:t>
      </w:r>
    </w:p>
    <w:p w14:paraId="72982662">
      <w:pPr>
        <w:numPr>
          <w:ilvl w:val="0"/>
          <w:numId w:val="0"/>
        </w:numPr>
        <w:spacing w:line="440" w:lineRule="exact"/>
        <w:jc w:val="center"/>
        <w:rPr>
          <w:rFonts w:hint="eastAsia" w:ascii="宋体" w:hAnsi="宋体" w:eastAsia="宋体" w:cs="宋体"/>
          <w:b/>
          <w:color w:val="auto"/>
          <w:kern w:val="2"/>
          <w:sz w:val="30"/>
          <w:szCs w:val="30"/>
          <w:highlight w:val="none"/>
          <w:lang w:val="en-US" w:eastAsia="zh-CN" w:bidi="ar-SA"/>
        </w:rPr>
      </w:pPr>
      <w:r>
        <w:rPr>
          <w:rFonts w:hint="eastAsia" w:ascii="宋体" w:hAnsi="宋体" w:eastAsia="宋体" w:cs="宋体"/>
          <w:b/>
          <w:color w:val="auto"/>
          <w:kern w:val="2"/>
          <w:sz w:val="30"/>
          <w:szCs w:val="30"/>
          <w:highlight w:val="none"/>
          <w:lang w:val="en-US" w:eastAsia="zh-CN" w:bidi="ar-SA"/>
        </w:rPr>
        <w:t>第五章、评定成交方式和标准</w:t>
      </w:r>
      <w:bookmarkStart w:id="120" w:name="_Toc163267204"/>
    </w:p>
    <w:p w14:paraId="272834CE">
      <w:pPr>
        <w:spacing w:line="360" w:lineRule="auto"/>
        <w:ind w:firstLine="3654" w:firstLineChars="1300"/>
        <w:rPr>
          <w:rFonts w:hint="eastAsia" w:ascii="宋体" w:hAnsi="宋体" w:cs="宋体"/>
          <w:b/>
          <w:bCs/>
          <w:color w:val="auto"/>
          <w:sz w:val="28"/>
          <w:szCs w:val="28"/>
          <w:highlight w:val="none"/>
        </w:rPr>
      </w:pPr>
    </w:p>
    <w:p w14:paraId="215B32FA">
      <w:pPr>
        <w:spacing w:line="360" w:lineRule="auto"/>
        <w:ind w:firstLine="482" w:firstLineChars="200"/>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1、综合评分</w:t>
      </w:r>
    </w:p>
    <w:p w14:paraId="03865204">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1.1.经磋商确定最终采购需求和提交最后报价的供应商后，由磋商小组采用综合评分法对提交最后报价供应商的响应文件和最后报价进行综合评分。</w:t>
      </w:r>
    </w:p>
    <w:p w14:paraId="328F8799">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综合评分法，是指响应文件满足磋商文件全部实质性要求且按评审因素的量化指标评审得分最高的供应商为成交候选供应商的评审方法。</w:t>
      </w:r>
    </w:p>
    <w:p w14:paraId="2448A274">
      <w:pPr>
        <w:numPr>
          <w:ilvl w:val="0"/>
          <w:numId w:val="0"/>
        </w:numPr>
        <w:spacing w:line="360" w:lineRule="auto"/>
        <w:ind w:lef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1.2评审时，磋商小组各成员应当独立对每个有效响应的文件进行评价、打分，然后汇总每个供应商每项评分因素的得分。</w:t>
      </w:r>
    </w:p>
    <w:p w14:paraId="2D759F5C">
      <w:pPr>
        <w:numPr>
          <w:ilvl w:val="0"/>
          <w:numId w:val="0"/>
        </w:numPr>
        <w:spacing w:line="360" w:lineRule="auto"/>
        <w:ind w:lef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1.3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7396A1EB">
      <w:pPr>
        <w:numPr>
          <w:ilvl w:val="0"/>
          <w:numId w:val="0"/>
        </w:numPr>
        <w:spacing w:line="360" w:lineRule="auto"/>
        <w:ind w:lef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1.4本次竟争性磋商采用两轮报价评定成交方式。</w:t>
      </w:r>
    </w:p>
    <w:p w14:paraId="44DE5078">
      <w:pPr>
        <w:spacing w:line="360" w:lineRule="auto"/>
        <w:ind w:firstLine="482" w:firstLineChars="200"/>
        <w:rPr>
          <w:rFonts w:hint="eastAsia" w:ascii="宋体" w:hAnsi="宋体" w:eastAsia="宋体" w:cs="宋体"/>
          <w:color w:val="auto"/>
          <w:kern w:val="2"/>
          <w:sz w:val="24"/>
          <w:szCs w:val="24"/>
          <w:highlight w:val="none"/>
          <w:lang w:val="en-US" w:eastAsia="zh-CN" w:bidi="ar-SA"/>
        </w:rPr>
      </w:pPr>
      <w:bookmarkStart w:id="121" w:name="_Toc11931296"/>
      <w:bookmarkStart w:id="122" w:name="_Toc11944603"/>
      <w:bookmarkStart w:id="123" w:name="_Toc523170353"/>
      <w:bookmarkStart w:id="124" w:name="_Toc522529816"/>
      <w:bookmarkStart w:id="125" w:name="_Toc514177064"/>
      <w:bookmarkStart w:id="126" w:name="_Toc524517873"/>
      <w:bookmarkStart w:id="127" w:name="_Toc9864098"/>
      <w:bookmarkStart w:id="128" w:name="_Toc5124220"/>
      <w:bookmarkStart w:id="129" w:name="_Toc498871262"/>
      <w:bookmarkStart w:id="130" w:name="_Toc494832098"/>
      <w:bookmarkStart w:id="131" w:name="_Toc9612862"/>
      <w:bookmarkStart w:id="132" w:name="_Toc509337062"/>
      <w:bookmarkStart w:id="133" w:name="_Toc10446430"/>
      <w:bookmarkStart w:id="134" w:name="_Toc524368801"/>
      <w:bookmarkStart w:id="135" w:name="_Toc498899394"/>
      <w:bookmarkStart w:id="136" w:name="_Toc509337177"/>
      <w:r>
        <w:rPr>
          <w:rFonts w:hint="eastAsia" w:ascii="宋体" w:hAnsi="宋体" w:eastAsia="宋体" w:cs="宋体"/>
          <w:b/>
          <w:bCs/>
          <w:color w:val="auto"/>
          <w:kern w:val="2"/>
          <w:sz w:val="24"/>
          <w:szCs w:val="24"/>
          <w:highlight w:val="none"/>
          <w:lang w:val="en-US" w:eastAsia="zh-CN" w:bidi="ar-SA"/>
        </w:rPr>
        <w:t>2、综合评分细则表：</w:t>
      </w:r>
    </w:p>
    <w:p w14:paraId="5CB09486">
      <w:pPr>
        <w:pStyle w:val="17"/>
        <w:rPr>
          <w:rFonts w:hint="eastAsia" w:ascii="宋体" w:hAnsi="宋体" w:eastAsia="宋体" w:cs="宋体"/>
          <w:color w:val="auto"/>
          <w:kern w:val="2"/>
          <w:sz w:val="24"/>
          <w:szCs w:val="24"/>
          <w:highlight w:val="none"/>
          <w:lang w:val="en-US" w:eastAsia="zh-CN" w:bidi="ar-SA"/>
        </w:rPr>
      </w:pPr>
    </w:p>
    <w:p w14:paraId="7A70C445">
      <w:pPr>
        <w:pStyle w:val="2"/>
        <w:spacing w:line="240" w:lineRule="auto"/>
        <w:ind w:firstLine="4498" w:firstLineChars="1600"/>
        <w:jc w:val="both"/>
        <w:rPr>
          <w:rFonts w:hint="default" w:ascii="宋体" w:hAnsi="宋体" w:eastAsia="宋体" w:cs="宋体"/>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初步评审表</w:t>
      </w:r>
    </w:p>
    <w:tbl>
      <w:tblPr>
        <w:tblStyle w:val="31"/>
        <w:tblW w:w="9801" w:type="dxa"/>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571"/>
        <w:gridCol w:w="694"/>
        <w:gridCol w:w="1613"/>
        <w:gridCol w:w="4928"/>
        <w:gridCol w:w="1022"/>
        <w:gridCol w:w="973"/>
      </w:tblGrid>
      <w:tr w14:paraId="1AD45DE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265" w:type="dxa"/>
            <w:gridSpan w:val="2"/>
            <w:vMerge w:val="restart"/>
            <w:tcBorders>
              <w:top w:val="outset" w:color="auto" w:sz="6" w:space="0"/>
              <w:left w:val="outset" w:color="auto" w:sz="6" w:space="0"/>
              <w:bottom w:val="outset" w:color="auto" w:sz="6" w:space="0"/>
              <w:right w:val="outset" w:color="auto" w:sz="6" w:space="0"/>
            </w:tcBorders>
            <w:noWrap w:val="0"/>
            <w:vAlign w:val="center"/>
          </w:tcPr>
          <w:p w14:paraId="6C7A7E5C">
            <w:pPr>
              <w:pStyle w:val="74"/>
              <w:jc w:val="center"/>
              <w:rPr>
                <w:color w:val="auto"/>
                <w:highlight w:val="none"/>
              </w:rPr>
            </w:pPr>
            <w:r>
              <w:rPr>
                <w:b/>
                <w:color w:val="auto"/>
                <w:highlight w:val="none"/>
              </w:rPr>
              <w:t>评分因素</w:t>
            </w:r>
          </w:p>
        </w:tc>
        <w:tc>
          <w:tcPr>
            <w:tcW w:w="1613" w:type="dxa"/>
            <w:vMerge w:val="restart"/>
            <w:tcBorders>
              <w:top w:val="outset" w:color="auto" w:sz="6" w:space="0"/>
              <w:left w:val="outset" w:color="auto" w:sz="6" w:space="0"/>
              <w:bottom w:val="outset" w:color="auto" w:sz="6" w:space="0"/>
              <w:right w:val="outset" w:color="auto" w:sz="6" w:space="0"/>
            </w:tcBorders>
            <w:noWrap w:val="0"/>
            <w:vAlign w:val="center"/>
          </w:tcPr>
          <w:p w14:paraId="7B2B3466">
            <w:pPr>
              <w:pStyle w:val="74"/>
              <w:jc w:val="center"/>
              <w:rPr>
                <w:color w:val="auto"/>
                <w:highlight w:val="none"/>
              </w:rPr>
            </w:pPr>
            <w:r>
              <w:rPr>
                <w:b/>
                <w:color w:val="auto"/>
                <w:highlight w:val="none"/>
              </w:rPr>
              <w:t>评分点</w:t>
            </w:r>
          </w:p>
        </w:tc>
        <w:tc>
          <w:tcPr>
            <w:tcW w:w="4928" w:type="dxa"/>
            <w:vMerge w:val="restart"/>
            <w:tcBorders>
              <w:top w:val="outset" w:color="auto" w:sz="6" w:space="0"/>
              <w:left w:val="outset" w:color="auto" w:sz="6" w:space="0"/>
              <w:bottom w:val="outset" w:color="auto" w:sz="6" w:space="0"/>
              <w:right w:val="outset" w:color="auto" w:sz="6" w:space="0"/>
            </w:tcBorders>
            <w:noWrap w:val="0"/>
            <w:vAlign w:val="center"/>
          </w:tcPr>
          <w:p w14:paraId="77C59E08">
            <w:pPr>
              <w:pStyle w:val="74"/>
              <w:jc w:val="center"/>
              <w:rPr>
                <w:color w:val="auto"/>
                <w:highlight w:val="none"/>
              </w:rPr>
            </w:pPr>
            <w:r>
              <w:rPr>
                <w:b/>
                <w:color w:val="auto"/>
                <w:highlight w:val="none"/>
              </w:rPr>
              <w:t>评分标准</w:t>
            </w:r>
          </w:p>
        </w:tc>
        <w:tc>
          <w:tcPr>
            <w:tcW w:w="1995" w:type="dxa"/>
            <w:gridSpan w:val="2"/>
            <w:tcBorders>
              <w:top w:val="outset" w:color="auto" w:sz="6" w:space="0"/>
              <w:left w:val="outset" w:color="auto" w:sz="6" w:space="0"/>
              <w:bottom w:val="outset" w:color="auto" w:sz="6" w:space="0"/>
              <w:right w:val="outset" w:color="auto" w:sz="6" w:space="0"/>
            </w:tcBorders>
            <w:noWrap w:val="0"/>
            <w:vAlign w:val="center"/>
          </w:tcPr>
          <w:p w14:paraId="1076B6EB">
            <w:pPr>
              <w:pStyle w:val="74"/>
              <w:jc w:val="center"/>
              <w:rPr>
                <w:color w:val="auto"/>
                <w:highlight w:val="none"/>
              </w:rPr>
            </w:pPr>
            <w:r>
              <w:rPr>
                <w:b/>
                <w:color w:val="auto"/>
                <w:highlight w:val="none"/>
              </w:rPr>
              <w:t>评审意见</w:t>
            </w:r>
          </w:p>
        </w:tc>
      </w:tr>
      <w:tr w14:paraId="4034BD2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44" w:hRule="atLeast"/>
        </w:trPr>
        <w:tc>
          <w:tcPr>
            <w:tcW w:w="1265" w:type="dxa"/>
            <w:gridSpan w:val="2"/>
            <w:vMerge w:val="continue"/>
            <w:tcBorders>
              <w:top w:val="outset" w:color="auto" w:sz="6" w:space="0"/>
              <w:left w:val="outset" w:color="auto" w:sz="6" w:space="0"/>
              <w:bottom w:val="outset" w:color="auto" w:sz="6" w:space="0"/>
              <w:right w:val="outset" w:color="auto" w:sz="6" w:space="0"/>
            </w:tcBorders>
            <w:noWrap w:val="0"/>
            <w:vAlign w:val="center"/>
          </w:tcPr>
          <w:p w14:paraId="127FAF6A">
            <w:pPr>
              <w:pStyle w:val="74"/>
              <w:jc w:val="center"/>
              <w:rPr>
                <w:color w:val="auto"/>
                <w:highlight w:val="none"/>
              </w:rPr>
            </w:pPr>
          </w:p>
        </w:tc>
        <w:tc>
          <w:tcPr>
            <w:tcW w:w="1613" w:type="dxa"/>
            <w:vMerge w:val="continue"/>
            <w:tcBorders>
              <w:top w:val="outset" w:color="auto" w:sz="6" w:space="0"/>
              <w:left w:val="outset" w:color="auto" w:sz="6" w:space="0"/>
              <w:bottom w:val="outset" w:color="auto" w:sz="6" w:space="0"/>
              <w:right w:val="outset" w:color="auto" w:sz="6" w:space="0"/>
            </w:tcBorders>
            <w:noWrap w:val="0"/>
            <w:vAlign w:val="center"/>
          </w:tcPr>
          <w:p w14:paraId="09F6C8D2">
            <w:pPr>
              <w:pStyle w:val="74"/>
              <w:jc w:val="center"/>
              <w:rPr>
                <w:color w:val="auto"/>
                <w:highlight w:val="none"/>
              </w:rPr>
            </w:pPr>
          </w:p>
        </w:tc>
        <w:tc>
          <w:tcPr>
            <w:tcW w:w="4928" w:type="dxa"/>
            <w:vMerge w:val="continue"/>
            <w:tcBorders>
              <w:top w:val="outset" w:color="auto" w:sz="6" w:space="0"/>
              <w:left w:val="outset" w:color="auto" w:sz="6" w:space="0"/>
              <w:bottom w:val="outset" w:color="auto" w:sz="6" w:space="0"/>
              <w:right w:val="outset" w:color="auto" w:sz="6" w:space="0"/>
            </w:tcBorders>
            <w:noWrap w:val="0"/>
            <w:vAlign w:val="center"/>
          </w:tcPr>
          <w:p w14:paraId="49C3E5E8">
            <w:pPr>
              <w:pStyle w:val="74"/>
              <w:jc w:val="center"/>
              <w:rPr>
                <w:color w:val="auto"/>
                <w:highlight w:val="none"/>
              </w:rPr>
            </w:pPr>
          </w:p>
        </w:tc>
        <w:tc>
          <w:tcPr>
            <w:tcW w:w="1022" w:type="dxa"/>
            <w:tcBorders>
              <w:top w:val="outset" w:color="auto" w:sz="6" w:space="0"/>
              <w:left w:val="outset" w:color="auto" w:sz="6" w:space="0"/>
              <w:bottom w:val="outset" w:color="auto" w:sz="6" w:space="0"/>
              <w:right w:val="outset" w:color="auto" w:sz="6" w:space="0"/>
            </w:tcBorders>
            <w:noWrap w:val="0"/>
            <w:vAlign w:val="center"/>
          </w:tcPr>
          <w:p w14:paraId="7D32F72D">
            <w:pPr>
              <w:pStyle w:val="74"/>
              <w:jc w:val="center"/>
              <w:rPr>
                <w:rFonts w:hint="eastAsia" w:eastAsia="宋体"/>
                <w:color w:val="auto"/>
                <w:highlight w:val="none"/>
                <w:lang w:eastAsia="zh-CN"/>
              </w:rPr>
            </w:pPr>
            <w:r>
              <w:rPr>
                <w:rFonts w:hint="eastAsia" w:eastAsia="宋体"/>
                <w:b/>
                <w:color w:val="auto"/>
                <w:highlight w:val="none"/>
                <w:lang w:eastAsia="zh-CN"/>
              </w:rPr>
              <w:t>通过</w:t>
            </w:r>
          </w:p>
        </w:tc>
        <w:tc>
          <w:tcPr>
            <w:tcW w:w="973" w:type="dxa"/>
            <w:tcBorders>
              <w:top w:val="outset" w:color="auto" w:sz="6" w:space="0"/>
              <w:left w:val="outset" w:color="auto" w:sz="6" w:space="0"/>
              <w:bottom w:val="outset" w:color="auto" w:sz="6" w:space="0"/>
              <w:right w:val="outset" w:color="auto" w:sz="6" w:space="0"/>
            </w:tcBorders>
            <w:noWrap w:val="0"/>
            <w:vAlign w:val="center"/>
          </w:tcPr>
          <w:p w14:paraId="622AB413">
            <w:pPr>
              <w:pStyle w:val="74"/>
              <w:jc w:val="center"/>
              <w:rPr>
                <w:rFonts w:hint="eastAsia" w:eastAsia="宋体"/>
                <w:color w:val="auto"/>
                <w:highlight w:val="none"/>
                <w:lang w:eastAsia="zh-CN"/>
              </w:rPr>
            </w:pPr>
            <w:r>
              <w:rPr>
                <w:rFonts w:hint="eastAsia" w:eastAsia="宋体"/>
                <w:b/>
                <w:color w:val="auto"/>
                <w:highlight w:val="none"/>
                <w:lang w:eastAsia="zh-CN"/>
              </w:rPr>
              <w:t>不通过</w:t>
            </w:r>
          </w:p>
        </w:tc>
      </w:tr>
      <w:tr w14:paraId="77FE25F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150" w:hRule="atLeast"/>
        </w:trPr>
        <w:tc>
          <w:tcPr>
            <w:tcW w:w="571" w:type="dxa"/>
            <w:vMerge w:val="restart"/>
            <w:tcBorders>
              <w:top w:val="outset" w:color="auto" w:sz="6" w:space="0"/>
              <w:left w:val="outset" w:color="auto" w:sz="6" w:space="0"/>
              <w:bottom w:val="outset" w:color="auto" w:sz="6" w:space="0"/>
              <w:right w:val="outset" w:color="auto" w:sz="6" w:space="0"/>
            </w:tcBorders>
            <w:noWrap w:val="0"/>
            <w:vAlign w:val="center"/>
          </w:tcPr>
          <w:p w14:paraId="0E5B9D1F">
            <w:pPr>
              <w:pStyle w:val="74"/>
              <w:jc w:val="center"/>
              <w:rPr>
                <w:color w:val="auto"/>
                <w:highlight w:val="none"/>
              </w:rPr>
            </w:pPr>
          </w:p>
          <w:p w14:paraId="5FE016FA">
            <w:pPr>
              <w:pStyle w:val="74"/>
              <w:jc w:val="center"/>
              <w:rPr>
                <w:color w:val="auto"/>
                <w:highlight w:val="none"/>
              </w:rPr>
            </w:pPr>
          </w:p>
          <w:p w14:paraId="1AA30DF3">
            <w:pPr>
              <w:pStyle w:val="74"/>
              <w:jc w:val="center"/>
              <w:rPr>
                <w:color w:val="auto"/>
                <w:highlight w:val="none"/>
              </w:rPr>
            </w:pPr>
          </w:p>
          <w:p w14:paraId="64F9DB56">
            <w:pPr>
              <w:pStyle w:val="74"/>
              <w:jc w:val="center"/>
              <w:rPr>
                <w:color w:val="auto"/>
                <w:highlight w:val="none"/>
              </w:rPr>
            </w:pPr>
          </w:p>
          <w:p w14:paraId="22119230">
            <w:pPr>
              <w:pStyle w:val="74"/>
              <w:jc w:val="center"/>
              <w:rPr>
                <w:color w:val="auto"/>
                <w:highlight w:val="none"/>
              </w:rPr>
            </w:pPr>
          </w:p>
          <w:p w14:paraId="6B46CCD1">
            <w:pPr>
              <w:pStyle w:val="74"/>
              <w:jc w:val="center"/>
              <w:rPr>
                <w:color w:val="auto"/>
                <w:highlight w:val="none"/>
              </w:rPr>
            </w:pPr>
          </w:p>
          <w:p w14:paraId="4089F891">
            <w:pPr>
              <w:pStyle w:val="74"/>
              <w:jc w:val="center"/>
              <w:rPr>
                <w:color w:val="auto"/>
                <w:highlight w:val="none"/>
              </w:rPr>
            </w:pPr>
          </w:p>
          <w:p w14:paraId="074BB7A3">
            <w:pPr>
              <w:pStyle w:val="74"/>
              <w:jc w:val="center"/>
              <w:rPr>
                <w:color w:val="auto"/>
                <w:highlight w:val="none"/>
              </w:rPr>
            </w:pPr>
          </w:p>
          <w:p w14:paraId="55F484B7">
            <w:pPr>
              <w:pStyle w:val="74"/>
              <w:jc w:val="center"/>
              <w:rPr>
                <w:color w:val="auto"/>
                <w:highlight w:val="none"/>
              </w:rPr>
            </w:pPr>
          </w:p>
          <w:p w14:paraId="57AA7E12">
            <w:pPr>
              <w:pStyle w:val="74"/>
              <w:jc w:val="center"/>
              <w:rPr>
                <w:color w:val="auto"/>
                <w:highlight w:val="none"/>
              </w:rPr>
            </w:pPr>
          </w:p>
          <w:p w14:paraId="156C7E4E">
            <w:pPr>
              <w:pStyle w:val="74"/>
              <w:jc w:val="center"/>
              <w:rPr>
                <w:color w:val="auto"/>
                <w:highlight w:val="none"/>
              </w:rPr>
            </w:pPr>
          </w:p>
          <w:p w14:paraId="183B8D50">
            <w:pPr>
              <w:pStyle w:val="74"/>
              <w:jc w:val="center"/>
              <w:rPr>
                <w:color w:val="auto"/>
                <w:highlight w:val="none"/>
              </w:rPr>
            </w:pPr>
          </w:p>
          <w:p w14:paraId="305DD5BF">
            <w:pPr>
              <w:pStyle w:val="74"/>
              <w:jc w:val="center"/>
              <w:rPr>
                <w:color w:val="auto"/>
                <w:highlight w:val="none"/>
              </w:rPr>
            </w:pPr>
          </w:p>
          <w:p w14:paraId="7191059B">
            <w:pPr>
              <w:pStyle w:val="74"/>
              <w:jc w:val="center"/>
              <w:rPr>
                <w:color w:val="auto"/>
                <w:highlight w:val="none"/>
              </w:rPr>
            </w:pPr>
          </w:p>
          <w:p w14:paraId="2329D857">
            <w:pPr>
              <w:pStyle w:val="74"/>
              <w:jc w:val="center"/>
              <w:rPr>
                <w:color w:val="auto"/>
                <w:highlight w:val="none"/>
              </w:rPr>
            </w:pPr>
          </w:p>
          <w:p w14:paraId="2E23AAC0">
            <w:pPr>
              <w:pStyle w:val="74"/>
              <w:jc w:val="center"/>
              <w:rPr>
                <w:color w:val="auto"/>
                <w:highlight w:val="none"/>
              </w:rPr>
            </w:pPr>
          </w:p>
          <w:p w14:paraId="569BA5AC">
            <w:pPr>
              <w:pStyle w:val="74"/>
              <w:jc w:val="center"/>
              <w:rPr>
                <w:color w:val="auto"/>
                <w:highlight w:val="none"/>
              </w:rPr>
            </w:pPr>
          </w:p>
          <w:p w14:paraId="2C6770AC">
            <w:pPr>
              <w:pStyle w:val="74"/>
              <w:jc w:val="center"/>
              <w:rPr>
                <w:color w:val="auto"/>
                <w:highlight w:val="none"/>
              </w:rPr>
            </w:pPr>
          </w:p>
          <w:p w14:paraId="32C2D90F">
            <w:pPr>
              <w:pStyle w:val="74"/>
              <w:jc w:val="center"/>
              <w:rPr>
                <w:b/>
                <w:bCs/>
                <w:color w:val="auto"/>
                <w:highlight w:val="none"/>
              </w:rPr>
            </w:pPr>
          </w:p>
          <w:p w14:paraId="29A14EBC">
            <w:pPr>
              <w:pStyle w:val="74"/>
              <w:jc w:val="center"/>
              <w:rPr>
                <w:b/>
                <w:bCs/>
                <w:color w:val="auto"/>
                <w:highlight w:val="none"/>
              </w:rPr>
            </w:pPr>
          </w:p>
          <w:p w14:paraId="732B539E">
            <w:pPr>
              <w:pStyle w:val="74"/>
              <w:jc w:val="center"/>
              <w:rPr>
                <w:color w:val="auto"/>
                <w:highlight w:val="none"/>
              </w:rPr>
            </w:pPr>
            <w:r>
              <w:rPr>
                <w:b/>
                <w:bCs/>
                <w:color w:val="auto"/>
                <w:highlight w:val="none"/>
              </w:rPr>
              <w:t>初步评审</w:t>
            </w:r>
          </w:p>
        </w:tc>
        <w:tc>
          <w:tcPr>
            <w:tcW w:w="694" w:type="dxa"/>
            <w:vMerge w:val="restart"/>
            <w:tcBorders>
              <w:top w:val="outset" w:color="auto" w:sz="6" w:space="0"/>
              <w:left w:val="outset" w:color="auto" w:sz="6" w:space="0"/>
              <w:right w:val="outset" w:color="auto" w:sz="6" w:space="0"/>
            </w:tcBorders>
            <w:noWrap w:val="0"/>
            <w:vAlign w:val="center"/>
          </w:tcPr>
          <w:p w14:paraId="737D5B86">
            <w:pPr>
              <w:pStyle w:val="74"/>
              <w:jc w:val="center"/>
              <w:rPr>
                <w:rFonts w:hint="eastAsia" w:ascii="宋体" w:hAnsi="宋体" w:eastAsia="宋体" w:cs="Times New Roman"/>
                <w:color w:val="auto"/>
                <w:kern w:val="2"/>
                <w:sz w:val="21"/>
                <w:szCs w:val="21"/>
                <w:highlight w:val="none"/>
                <w:lang w:val="en-US" w:eastAsia="zh-CN" w:bidi="ar-SA"/>
              </w:rPr>
            </w:pPr>
          </w:p>
          <w:p w14:paraId="6994E0A4">
            <w:pPr>
              <w:pStyle w:val="74"/>
              <w:jc w:val="center"/>
              <w:rPr>
                <w:rFonts w:hint="eastAsia" w:ascii="宋体" w:hAnsi="宋体" w:eastAsia="宋体" w:cs="Times New Roman"/>
                <w:color w:val="auto"/>
                <w:kern w:val="2"/>
                <w:sz w:val="21"/>
                <w:szCs w:val="21"/>
                <w:highlight w:val="none"/>
                <w:lang w:val="en-US" w:eastAsia="zh-CN" w:bidi="ar-SA"/>
              </w:rPr>
            </w:pPr>
          </w:p>
          <w:p w14:paraId="2A58ABD8">
            <w:pPr>
              <w:pStyle w:val="74"/>
              <w:jc w:val="center"/>
              <w:rPr>
                <w:rFonts w:hint="eastAsia" w:ascii="宋体" w:hAnsi="宋体" w:eastAsia="宋体" w:cs="Times New Roman"/>
                <w:b/>
                <w:bCs/>
                <w:color w:val="auto"/>
                <w:kern w:val="2"/>
                <w:sz w:val="21"/>
                <w:szCs w:val="21"/>
                <w:highlight w:val="none"/>
                <w:lang w:val="en-US" w:eastAsia="zh-CN" w:bidi="ar-SA"/>
              </w:rPr>
            </w:pPr>
          </w:p>
          <w:p w14:paraId="6E2EFB57">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资</w:t>
            </w:r>
          </w:p>
          <w:p w14:paraId="01CBF380">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格</w:t>
            </w:r>
          </w:p>
          <w:p w14:paraId="1066B7FF">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检</w:t>
            </w:r>
          </w:p>
          <w:p w14:paraId="23077298">
            <w:pPr>
              <w:pStyle w:val="74"/>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eastAsia="Times New Roman" w:cs="宋体"/>
                <w:b/>
                <w:bCs/>
                <w:color w:val="auto"/>
                <w:sz w:val="24"/>
                <w:highlight w:val="none"/>
                <w:lang w:val="en-US" w:eastAsia="zh-CN"/>
              </w:rPr>
              <w:t>查</w:t>
            </w:r>
          </w:p>
        </w:tc>
        <w:tc>
          <w:tcPr>
            <w:tcW w:w="1613" w:type="dxa"/>
            <w:tcBorders>
              <w:top w:val="outset" w:color="auto" w:sz="6" w:space="0"/>
              <w:left w:val="outset" w:color="auto" w:sz="6" w:space="0"/>
              <w:bottom w:val="outset" w:color="auto" w:sz="6" w:space="0"/>
              <w:right w:val="outset" w:color="auto" w:sz="6" w:space="0"/>
            </w:tcBorders>
            <w:noWrap w:val="0"/>
            <w:vAlign w:val="center"/>
          </w:tcPr>
          <w:p w14:paraId="25ACFC93">
            <w:pPr>
              <w:pStyle w:val="74"/>
              <w:jc w:val="center"/>
              <w:rPr>
                <w:rFonts w:hint="eastAsia" w:ascii="宋体" w:hAnsi="宋体" w:eastAsia="宋体" w:cs="Times New Roman"/>
                <w:color w:val="auto"/>
                <w:kern w:val="2"/>
                <w:sz w:val="21"/>
                <w:szCs w:val="21"/>
                <w:highlight w:val="none"/>
                <w:lang w:val="en-US" w:eastAsia="zh-CN" w:bidi="ar-SA"/>
              </w:rPr>
            </w:pPr>
            <w:r>
              <w:rPr>
                <w:rFonts w:hint="eastAsia" w:ascii="宋体" w:hAnsi="宋体" w:cs="宋体"/>
                <w:color w:val="auto"/>
                <w:sz w:val="24"/>
                <w:highlight w:val="none"/>
              </w:rPr>
              <w:t>符合《中华人民共和国政府采购法》第二十二条的相关规定。</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1E5D77DD">
            <w:pPr>
              <w:pStyle w:val="74"/>
              <w:numPr>
                <w:ilvl w:val="0"/>
                <w:numId w:val="6"/>
              </w:numPr>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是否</w:t>
            </w:r>
            <w:r>
              <w:rPr>
                <w:rFonts w:hint="eastAsia" w:ascii="宋体" w:hAnsi="宋体" w:eastAsia="宋体" w:cs="宋体"/>
                <w:color w:val="auto"/>
                <w:sz w:val="24"/>
                <w:highlight w:val="none"/>
              </w:rPr>
              <w:t>在中华人民共和国境内注册或登记，</w:t>
            </w:r>
            <w:r>
              <w:rPr>
                <w:rFonts w:hint="eastAsia" w:ascii="宋体" w:hAnsi="宋体" w:eastAsia="宋体" w:cs="宋体"/>
                <w:color w:val="auto"/>
                <w:sz w:val="24"/>
                <w:highlight w:val="none"/>
                <w:lang w:val="en-US" w:eastAsia="zh-CN"/>
              </w:rPr>
              <w:t>并提供</w:t>
            </w:r>
            <w:r>
              <w:rPr>
                <w:rFonts w:hint="eastAsia" w:ascii="宋体" w:hAnsi="宋体" w:eastAsia="宋体" w:cs="宋体"/>
                <w:color w:val="auto"/>
                <w:sz w:val="24"/>
                <w:highlight w:val="none"/>
              </w:rPr>
              <w:t>有效的营业执照（</w:t>
            </w:r>
            <w:r>
              <w:rPr>
                <w:rFonts w:hint="eastAsia" w:ascii="宋体" w:hAnsi="宋体" w:eastAsia="宋体" w:cs="宋体"/>
                <w:color w:val="auto"/>
                <w:sz w:val="24"/>
                <w:highlight w:val="none"/>
                <w:lang w:val="en-US" w:eastAsia="zh-CN"/>
              </w:rPr>
              <w:t>或</w:t>
            </w:r>
            <w:r>
              <w:rPr>
                <w:rFonts w:hint="eastAsia" w:ascii="宋体" w:hAnsi="宋体" w:eastAsia="宋体" w:cs="宋体"/>
                <w:color w:val="auto"/>
                <w:sz w:val="24"/>
                <w:highlight w:val="none"/>
              </w:rPr>
              <w:t>事业单位法人证书</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民办非企业单位登记证书</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社会团体法人登记证书</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基金会法人登记证书</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自然人身份证）；</w:t>
            </w:r>
          </w:p>
          <w:p w14:paraId="5A328C5A">
            <w:pPr>
              <w:pStyle w:val="74"/>
              <w:numPr>
                <w:ilvl w:val="0"/>
                <w:numId w:val="6"/>
              </w:numPr>
              <w:rPr>
                <w:rFonts w:hint="eastAsia" w:ascii="宋体" w:hAnsi="宋体" w:eastAsia="宋体"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是否</w:t>
            </w:r>
            <w:r>
              <w:rPr>
                <w:rFonts w:hint="eastAsia" w:ascii="宋体" w:hAnsi="宋体" w:eastAsia="宋体" w:cs="宋体"/>
                <w:color w:val="auto"/>
                <w:sz w:val="24"/>
                <w:highlight w:val="none"/>
                <w:lang w:val="en-US" w:eastAsia="zh-CN"/>
              </w:rPr>
              <w:t>提供</w:t>
            </w:r>
            <w:r>
              <w:rPr>
                <w:rFonts w:hint="eastAsia" w:ascii="宋体" w:hAnsi="宋体" w:cs="宋体"/>
                <w:color w:val="auto"/>
                <w:sz w:val="24"/>
                <w:highlight w:val="none"/>
              </w:rPr>
              <w:t>符合《中华人民共和国政府采购法》第二十二条</w:t>
            </w:r>
            <w:r>
              <w:rPr>
                <w:rFonts w:hint="eastAsia" w:ascii="宋体" w:hAnsi="宋体" w:eastAsia="宋体" w:cs="宋体"/>
                <w:color w:val="auto"/>
                <w:sz w:val="24"/>
                <w:highlight w:val="none"/>
                <w:lang w:eastAsia="zh-CN"/>
              </w:rPr>
              <w:t>的</w:t>
            </w:r>
            <w:r>
              <w:rPr>
                <w:rFonts w:hint="eastAsia" w:ascii="宋体" w:hAnsi="宋体" w:eastAsia="宋体" w:cs="宋体"/>
                <w:color w:val="auto"/>
                <w:sz w:val="24"/>
                <w:highlight w:val="none"/>
                <w:lang w:val="en-US" w:eastAsia="zh-CN"/>
              </w:rPr>
              <w:t>承诺书或证明材料；</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12A73431">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1E7D303C">
            <w:pPr>
              <w:pStyle w:val="74"/>
              <w:rPr>
                <w:color w:val="auto"/>
                <w:highlight w:val="none"/>
              </w:rPr>
            </w:pPr>
          </w:p>
        </w:tc>
      </w:tr>
      <w:tr w14:paraId="6ED4535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761" w:hRule="atLeast"/>
        </w:trPr>
        <w:tc>
          <w:tcPr>
            <w:tcW w:w="571" w:type="dxa"/>
            <w:vMerge w:val="continue"/>
            <w:tcBorders>
              <w:left w:val="outset" w:color="auto" w:sz="6" w:space="0"/>
              <w:right w:val="outset" w:color="auto" w:sz="6" w:space="0"/>
            </w:tcBorders>
            <w:noWrap w:val="0"/>
            <w:vAlign w:val="center"/>
          </w:tcPr>
          <w:p w14:paraId="3A406940">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4B6E9AED">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4C8A3FEB">
            <w:pPr>
              <w:pStyle w:val="74"/>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法人身份证明或授权委托书</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5D5D1A95">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法定代表人</w:t>
            </w:r>
            <w:r>
              <w:rPr>
                <w:rFonts w:hint="eastAsia" w:ascii="宋体" w:hAnsi="宋体" w:cs="宋体"/>
                <w:color w:val="auto"/>
                <w:sz w:val="24"/>
                <w:highlight w:val="none"/>
                <w:lang w:val="en-US" w:eastAsia="zh-CN"/>
              </w:rPr>
              <w:t>是否</w:t>
            </w:r>
            <w:r>
              <w:rPr>
                <w:rFonts w:hint="eastAsia" w:ascii="宋体" w:hAnsi="宋体" w:eastAsia="Times New Roman" w:cs="宋体"/>
                <w:color w:val="auto"/>
                <w:sz w:val="24"/>
                <w:highlight w:val="none"/>
                <w:lang w:val="en-US" w:eastAsia="zh-CN"/>
              </w:rPr>
              <w:t>提供身份证明或委托代理人</w:t>
            </w:r>
            <w:r>
              <w:rPr>
                <w:rFonts w:hint="eastAsia" w:ascii="宋体" w:hAnsi="宋体" w:cs="宋体"/>
                <w:color w:val="auto"/>
                <w:sz w:val="24"/>
                <w:highlight w:val="none"/>
                <w:lang w:val="en-US" w:eastAsia="zh-CN"/>
              </w:rPr>
              <w:t>是否</w:t>
            </w:r>
            <w:r>
              <w:rPr>
                <w:rFonts w:hint="eastAsia" w:ascii="宋体" w:hAnsi="宋体" w:eastAsia="Times New Roman" w:cs="宋体"/>
                <w:color w:val="auto"/>
                <w:sz w:val="24"/>
                <w:highlight w:val="none"/>
                <w:lang w:val="en-US" w:eastAsia="zh-CN"/>
              </w:rPr>
              <w:t>提供身份证和授权委托书；</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2A3ECC9F">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3791EFE2">
            <w:pPr>
              <w:pStyle w:val="74"/>
              <w:rPr>
                <w:color w:val="auto"/>
                <w:highlight w:val="none"/>
              </w:rPr>
            </w:pPr>
          </w:p>
        </w:tc>
      </w:tr>
      <w:tr w14:paraId="7ED8E27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6" w:hRule="atLeast"/>
        </w:trPr>
        <w:tc>
          <w:tcPr>
            <w:tcW w:w="571" w:type="dxa"/>
            <w:vMerge w:val="continue"/>
            <w:tcBorders>
              <w:left w:val="outset" w:color="auto" w:sz="6" w:space="0"/>
              <w:right w:val="outset" w:color="auto" w:sz="6" w:space="0"/>
            </w:tcBorders>
            <w:noWrap w:val="0"/>
            <w:vAlign w:val="center"/>
          </w:tcPr>
          <w:p w14:paraId="3FCA5F67">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3B346A89">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vMerge w:val="restart"/>
            <w:tcBorders>
              <w:top w:val="outset" w:color="auto" w:sz="6" w:space="0"/>
              <w:left w:val="outset" w:color="auto" w:sz="6" w:space="0"/>
              <w:right w:val="outset" w:color="auto" w:sz="6" w:space="0"/>
            </w:tcBorders>
            <w:noWrap w:val="0"/>
            <w:vAlign w:val="center"/>
          </w:tcPr>
          <w:p w14:paraId="0BB5DE1E">
            <w:pPr>
              <w:pStyle w:val="74"/>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企业资格</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77C52613">
            <w:pPr>
              <w:pStyle w:val="74"/>
              <w:jc w:val="left"/>
              <w:rPr>
                <w:rFonts w:hint="eastAsia" w:ascii="宋体" w:hAnsi="宋体" w:eastAsia="Times New Roman"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是否提供：建筑工程施工总承包三级及以上资质且同时具备钢结构工程专业承包三级及以上资质证书，有效的安全生产许可证，并在人员、设备、资金等方面具有相应的施工能力；</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60213CF0">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57EC2C30">
            <w:pPr>
              <w:pStyle w:val="74"/>
              <w:rPr>
                <w:color w:val="auto"/>
                <w:highlight w:val="none"/>
              </w:rPr>
            </w:pPr>
          </w:p>
        </w:tc>
      </w:tr>
      <w:tr w14:paraId="3997EF9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780" w:hRule="atLeast"/>
        </w:trPr>
        <w:tc>
          <w:tcPr>
            <w:tcW w:w="571" w:type="dxa"/>
            <w:vMerge w:val="continue"/>
            <w:tcBorders>
              <w:left w:val="outset" w:color="auto" w:sz="6" w:space="0"/>
              <w:right w:val="outset" w:color="auto" w:sz="6" w:space="0"/>
            </w:tcBorders>
            <w:noWrap w:val="0"/>
            <w:vAlign w:val="center"/>
          </w:tcPr>
          <w:p w14:paraId="3A577CB0">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6637CC2B">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vMerge w:val="continue"/>
            <w:tcBorders>
              <w:left w:val="outset" w:color="auto" w:sz="6" w:space="0"/>
              <w:bottom w:val="outset" w:color="auto" w:sz="6" w:space="0"/>
              <w:right w:val="outset" w:color="auto" w:sz="6" w:space="0"/>
            </w:tcBorders>
            <w:noWrap w:val="0"/>
            <w:vAlign w:val="center"/>
          </w:tcPr>
          <w:p w14:paraId="44CECC7E">
            <w:pPr>
              <w:pStyle w:val="74"/>
              <w:jc w:val="center"/>
              <w:rPr>
                <w:rFonts w:hint="eastAsia"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outset" w:color="auto" w:sz="6" w:space="0"/>
              <w:right w:val="outset" w:color="auto" w:sz="6" w:space="0"/>
            </w:tcBorders>
            <w:noWrap w:val="0"/>
            <w:vAlign w:val="center"/>
          </w:tcPr>
          <w:p w14:paraId="3F1D535F">
            <w:pPr>
              <w:spacing w:line="240" w:lineRule="auto"/>
              <w:rPr>
                <w:rFonts w:hint="default"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区外投标企业是否提供：自治区外投标企业应按照新疆维吾尔自治区住建厅2018年4月24日发布的《关于进一步推动自治区建筑市场统一开放的通知》的规定，登录新疆建筑市场监督和诚信信息一体化平台（简称新疆建设云），网址（http://jsy.xjjs.gov.cn）,须在施工开始前完成注册报送基本信息和人员信息</w:t>
            </w:r>
            <w:r>
              <w:rPr>
                <w:rFonts w:hint="eastAsia" w:ascii="宋体" w:hAnsi="宋体" w:eastAsia="Times New Roman" w:cs="宋体"/>
                <w:color w:val="auto"/>
                <w:sz w:val="24"/>
                <w:highlight w:val="none"/>
                <w:lang w:val="en-US" w:eastAsia="zh-CN"/>
              </w:rPr>
              <w:t>（内容自拟，提供承诺书）；</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52E8CC53">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3ECD1ECF">
            <w:pPr>
              <w:pStyle w:val="74"/>
              <w:rPr>
                <w:color w:val="auto"/>
                <w:highlight w:val="none"/>
              </w:rPr>
            </w:pPr>
          </w:p>
        </w:tc>
      </w:tr>
      <w:tr w14:paraId="4F628B4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86" w:hRule="atLeast"/>
        </w:trPr>
        <w:tc>
          <w:tcPr>
            <w:tcW w:w="571" w:type="dxa"/>
            <w:vMerge w:val="continue"/>
            <w:tcBorders>
              <w:left w:val="outset" w:color="auto" w:sz="6" w:space="0"/>
              <w:right w:val="outset" w:color="auto" w:sz="6" w:space="0"/>
            </w:tcBorders>
            <w:noWrap w:val="0"/>
            <w:vAlign w:val="center"/>
          </w:tcPr>
          <w:p w14:paraId="5D55A7F2">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486F4226">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3142DD8">
            <w:pPr>
              <w:pStyle w:val="74"/>
              <w:jc w:val="center"/>
              <w:rPr>
                <w:rFonts w:hint="eastAsia" w:ascii="宋体" w:hAnsi="宋体" w:eastAsia="宋体" w:cs="宋体"/>
                <w:i w:val="0"/>
                <w:iCs w:val="0"/>
                <w:caps w:val="0"/>
                <w:color w:val="auto"/>
                <w:spacing w:val="0"/>
                <w:kern w:val="0"/>
                <w:sz w:val="24"/>
                <w:szCs w:val="24"/>
                <w:highlight w:val="none"/>
                <w:lang w:val="en-US"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项目负责人</w:t>
            </w:r>
          </w:p>
          <w:p w14:paraId="6C6F5BDE">
            <w:pPr>
              <w:pStyle w:val="74"/>
              <w:jc w:val="center"/>
              <w:rPr>
                <w:rFonts w:hint="default" w:ascii="宋体" w:hAnsi="宋体" w:eastAsia="Times New Roman"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资格</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23DEABD5">
            <w:pPr>
              <w:pStyle w:val="74"/>
              <w:jc w:val="left"/>
              <w:rPr>
                <w:rFonts w:hint="eastAsia" w:ascii="宋体" w:hAnsi="宋体" w:eastAsia="Times New Roman"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是否提供：拟派项目负责人（项目经理）的建筑工程专业二级（含二级）以上注册建造师执业资格证书及注册证书，有效的安全生产考核合格证书（B类），未担任其他在建工程项目的项目经理的承诺书。</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654D34C6">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0A6798BC">
            <w:pPr>
              <w:pStyle w:val="74"/>
              <w:rPr>
                <w:color w:val="auto"/>
                <w:highlight w:val="none"/>
              </w:rPr>
            </w:pPr>
          </w:p>
        </w:tc>
      </w:tr>
      <w:tr w14:paraId="5109CD8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200" w:hRule="atLeast"/>
        </w:trPr>
        <w:tc>
          <w:tcPr>
            <w:tcW w:w="571" w:type="dxa"/>
            <w:vMerge w:val="continue"/>
            <w:tcBorders>
              <w:left w:val="outset" w:color="auto" w:sz="6" w:space="0"/>
              <w:right w:val="outset" w:color="auto" w:sz="6" w:space="0"/>
            </w:tcBorders>
            <w:noWrap w:val="0"/>
            <w:vAlign w:val="center"/>
          </w:tcPr>
          <w:p w14:paraId="7D1B49B5">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35E037D6">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35A94CF0">
            <w:pPr>
              <w:pStyle w:val="74"/>
              <w:numPr>
                <w:ilvl w:val="0"/>
                <w:numId w:val="0"/>
              </w:numPr>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信用查询</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6DABEABF">
            <w:pPr>
              <w:pStyle w:val="74"/>
              <w:jc w:val="left"/>
              <w:rPr>
                <w:rFonts w:hint="eastAsia" w:ascii="宋体" w:hAnsi="宋体" w:eastAsia="宋体"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zh-CN" w:eastAsia="zh-CN" w:bidi="ar-SA"/>
              </w:rPr>
              <w:t>经信用中国、中国政府采购网等渠道查询后，列入失信被执行人、重大税收违法案件当事人名单、政府采购严重违法失信行为记录名单的，取消投标资格（</w:t>
            </w:r>
            <w:r>
              <w:rPr>
                <w:rFonts w:hint="eastAsia" w:ascii="宋体" w:hAnsi="宋体" w:eastAsia="宋体" w:cs="宋体"/>
                <w:i w:val="0"/>
                <w:iCs w:val="0"/>
                <w:caps w:val="0"/>
                <w:color w:val="auto"/>
                <w:spacing w:val="0"/>
                <w:kern w:val="0"/>
                <w:sz w:val="24"/>
                <w:szCs w:val="24"/>
                <w:highlight w:val="none"/>
                <w:lang w:val="en-US" w:eastAsia="zh-CN" w:bidi="ar-SA"/>
              </w:rPr>
              <w:t>是否</w:t>
            </w:r>
            <w:r>
              <w:rPr>
                <w:rFonts w:hint="eastAsia" w:ascii="宋体" w:hAnsi="宋体" w:eastAsia="宋体" w:cs="宋体"/>
                <w:i w:val="0"/>
                <w:iCs w:val="0"/>
                <w:caps w:val="0"/>
                <w:color w:val="auto"/>
                <w:spacing w:val="0"/>
                <w:kern w:val="0"/>
                <w:sz w:val="24"/>
                <w:szCs w:val="24"/>
                <w:highlight w:val="none"/>
                <w:lang w:val="zh-CN" w:eastAsia="zh-CN" w:bidi="ar-SA"/>
              </w:rPr>
              <w:t>提供网站无任何不良记录的查询截图并加盖公章，时间为自招标公告发布日期起至开标日期止；</w:t>
            </w:r>
            <w:r>
              <w:rPr>
                <w:rFonts w:hint="eastAsia" w:ascii="宋体" w:hAnsi="宋体" w:eastAsia="宋体" w:cs="宋体"/>
                <w:i w:val="0"/>
                <w:iCs w:val="0"/>
                <w:caps w:val="0"/>
                <w:color w:val="auto"/>
                <w:spacing w:val="0"/>
                <w:kern w:val="0"/>
                <w:sz w:val="24"/>
                <w:szCs w:val="24"/>
                <w:highlight w:val="none"/>
                <w:lang w:val="en-US" w:eastAsia="zh-CN" w:bidi="ar-SA"/>
              </w:rPr>
              <w:t>开标时，以网上查询记录为准</w:t>
            </w:r>
            <w:r>
              <w:rPr>
                <w:rFonts w:hint="eastAsia" w:ascii="宋体" w:hAnsi="宋体" w:eastAsia="宋体" w:cs="宋体"/>
                <w:i w:val="0"/>
                <w:iCs w:val="0"/>
                <w:caps w:val="0"/>
                <w:color w:val="auto"/>
                <w:spacing w:val="0"/>
                <w:kern w:val="0"/>
                <w:sz w:val="24"/>
                <w:szCs w:val="24"/>
                <w:highlight w:val="none"/>
                <w:lang w:val="zh-CN" w:eastAsia="zh-CN" w:bidi="ar-SA"/>
              </w:rPr>
              <w:t>）；</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60A1DD4A">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4E70D233">
            <w:pPr>
              <w:pStyle w:val="74"/>
              <w:rPr>
                <w:color w:val="auto"/>
                <w:highlight w:val="none"/>
              </w:rPr>
            </w:pPr>
          </w:p>
        </w:tc>
      </w:tr>
      <w:tr w14:paraId="6D68497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703" w:hRule="atLeast"/>
        </w:trPr>
        <w:tc>
          <w:tcPr>
            <w:tcW w:w="571" w:type="dxa"/>
            <w:vMerge w:val="continue"/>
            <w:tcBorders>
              <w:left w:val="outset" w:color="auto" w:sz="6" w:space="0"/>
              <w:right w:val="outset" w:color="auto" w:sz="6" w:space="0"/>
            </w:tcBorders>
            <w:noWrap w:val="0"/>
            <w:vAlign w:val="center"/>
          </w:tcPr>
          <w:p w14:paraId="38454015">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56FF5E12">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0A6F8D0F">
            <w:pPr>
              <w:pStyle w:val="74"/>
              <w:jc w:val="center"/>
              <w:rPr>
                <w:rFonts w:hint="eastAsia" w:ascii="宋体" w:hAnsi="宋体" w:eastAsia="Times New Roman" w:cs="宋体"/>
                <w:color w:val="auto"/>
                <w:sz w:val="24"/>
                <w:szCs w:val="24"/>
                <w:highlight w:val="none"/>
                <w:lang w:val="en-US" w:eastAsia="zh-CN" w:bidi="ar-SA"/>
              </w:rPr>
            </w:pPr>
            <w:r>
              <w:rPr>
                <w:rFonts w:hint="eastAsia" w:ascii="宋体" w:hAnsi="宋体" w:eastAsia="Times New Roman" w:cs="宋体"/>
                <w:color w:val="auto"/>
                <w:sz w:val="24"/>
                <w:highlight w:val="none"/>
                <w:lang w:val="en-US" w:eastAsia="zh-CN"/>
              </w:rPr>
              <w:t>投标保证金</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3F5A7697">
            <w:pPr>
              <w:pStyle w:val="74"/>
              <w:jc w:val="both"/>
              <w:rPr>
                <w:rFonts w:hint="eastAsia" w:ascii="宋体" w:hAnsi="宋体" w:eastAsia="Times New Roman" w:cs="宋体"/>
                <w:color w:val="auto"/>
                <w:sz w:val="24"/>
                <w:szCs w:val="24"/>
                <w:highlight w:val="none"/>
                <w:lang w:val="zh-CN" w:eastAsia="zh-CN" w:bidi="ar-SA"/>
              </w:rPr>
            </w:pPr>
            <w:r>
              <w:rPr>
                <w:rFonts w:hint="eastAsia" w:ascii="宋体" w:hAnsi="宋体" w:eastAsia="宋体" w:cs="宋体"/>
                <w:i w:val="0"/>
                <w:iCs w:val="0"/>
                <w:caps w:val="0"/>
                <w:color w:val="auto"/>
                <w:spacing w:val="0"/>
                <w:kern w:val="0"/>
                <w:sz w:val="24"/>
                <w:szCs w:val="24"/>
                <w:highlight w:val="none"/>
                <w:lang w:val="en-US" w:eastAsia="zh-CN" w:bidi="ar-SA"/>
              </w:rPr>
              <w:t>是否</w:t>
            </w:r>
            <w:r>
              <w:rPr>
                <w:rFonts w:hint="eastAsia" w:ascii="宋体" w:hAnsi="宋体" w:eastAsia="Times New Roman" w:cs="宋体"/>
                <w:color w:val="auto"/>
                <w:sz w:val="24"/>
                <w:highlight w:val="none"/>
                <w:lang w:val="zh-CN" w:eastAsia="zh-CN"/>
              </w:rPr>
              <w:t>提供</w:t>
            </w:r>
            <w:r>
              <w:rPr>
                <w:rFonts w:hint="eastAsia" w:ascii="宋体" w:hAnsi="宋体" w:eastAsia="Times New Roman" w:cs="宋体"/>
                <w:color w:val="auto"/>
                <w:sz w:val="24"/>
                <w:highlight w:val="none"/>
                <w:lang w:val="en-US" w:eastAsia="zh-CN"/>
              </w:rPr>
              <w:t>有效的</w:t>
            </w:r>
            <w:r>
              <w:rPr>
                <w:rFonts w:hint="eastAsia" w:ascii="宋体" w:hAnsi="宋体" w:eastAsia="Times New Roman" w:cs="宋体"/>
                <w:color w:val="auto"/>
                <w:sz w:val="24"/>
                <w:highlight w:val="none"/>
                <w:lang w:val="zh-CN" w:eastAsia="zh-CN"/>
              </w:rPr>
              <w:t>投标保证金</w:t>
            </w:r>
            <w:r>
              <w:rPr>
                <w:rFonts w:hint="eastAsia" w:ascii="宋体" w:hAnsi="宋体" w:eastAsia="Times New Roman" w:cs="宋体"/>
                <w:color w:val="auto"/>
                <w:sz w:val="24"/>
                <w:highlight w:val="none"/>
                <w:lang w:val="en-US" w:eastAsia="zh-CN"/>
              </w:rPr>
              <w:t>缴纳</w:t>
            </w:r>
            <w:r>
              <w:rPr>
                <w:rFonts w:hint="eastAsia" w:ascii="宋体" w:hAnsi="宋体" w:eastAsia="Times New Roman" w:cs="宋体"/>
                <w:color w:val="auto"/>
                <w:sz w:val="24"/>
                <w:highlight w:val="none"/>
                <w:lang w:val="zh-CN" w:eastAsia="zh-CN"/>
              </w:rPr>
              <w:t>凭证</w:t>
            </w:r>
            <w:r>
              <w:rPr>
                <w:rFonts w:hint="eastAsia" w:ascii="宋体" w:hAnsi="宋体" w:eastAsia="Times New Roman" w:cs="宋体"/>
                <w:color w:val="auto"/>
                <w:sz w:val="24"/>
                <w:highlight w:val="none"/>
                <w:lang w:val="en-US" w:eastAsia="zh-CN"/>
              </w:rPr>
              <w:t>；</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50FEE01C">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09E34251">
            <w:pPr>
              <w:pStyle w:val="74"/>
              <w:rPr>
                <w:color w:val="auto"/>
                <w:highlight w:val="none"/>
              </w:rPr>
            </w:pPr>
          </w:p>
        </w:tc>
      </w:tr>
      <w:tr w14:paraId="3785ED4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left w:val="outset" w:color="auto" w:sz="6" w:space="0"/>
              <w:right w:val="outset" w:color="auto" w:sz="6" w:space="0"/>
            </w:tcBorders>
            <w:noWrap w:val="0"/>
            <w:vAlign w:val="center"/>
          </w:tcPr>
          <w:p w14:paraId="6A87F79D">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475674E5">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628F8547">
            <w:pPr>
              <w:pStyle w:val="74"/>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未组成</w:t>
            </w:r>
          </w:p>
          <w:p w14:paraId="4D4A48F3">
            <w:pPr>
              <w:pStyle w:val="74"/>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联合投标</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3B4BBAFB">
            <w:pPr>
              <w:pStyle w:val="74"/>
              <w:jc w:val="both"/>
              <w:rPr>
                <w:rFonts w:hint="default" w:ascii="宋体" w:hAnsi="宋体" w:eastAsia="Times New Roman"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是否</w:t>
            </w:r>
            <w:r>
              <w:rPr>
                <w:rFonts w:hint="eastAsia" w:ascii="宋体" w:hAnsi="宋体" w:eastAsia="Times New Roman" w:cs="宋体"/>
                <w:color w:val="auto"/>
                <w:sz w:val="24"/>
                <w:highlight w:val="none"/>
                <w:lang w:val="en-US" w:eastAsia="zh-CN"/>
              </w:rPr>
              <w:t>提供未组成联合投标的承诺书（内容自拟）；</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57635D40">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4BDE512B">
            <w:pPr>
              <w:pStyle w:val="74"/>
              <w:rPr>
                <w:color w:val="auto"/>
                <w:highlight w:val="none"/>
              </w:rPr>
            </w:pPr>
          </w:p>
        </w:tc>
      </w:tr>
      <w:tr w14:paraId="53E418A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left w:val="outset" w:color="auto" w:sz="6" w:space="0"/>
              <w:right w:val="outset" w:color="auto" w:sz="6" w:space="0"/>
            </w:tcBorders>
            <w:noWrap w:val="0"/>
            <w:vAlign w:val="center"/>
          </w:tcPr>
          <w:p w14:paraId="49D1F9F3">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49B020B5">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27C66231">
            <w:pPr>
              <w:pStyle w:val="74"/>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其它要求</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1C543640">
            <w:pPr>
              <w:numPr>
                <w:ilvl w:val="0"/>
                <w:numId w:val="0"/>
              </w:numPr>
              <w:spacing w:line="240" w:lineRule="auto"/>
              <w:ind w:leftChars="0"/>
              <w:rPr>
                <w:rFonts w:hint="default" w:ascii="宋体" w:hAnsi="宋体" w:eastAsia="Times New Roman" w:cs="宋体"/>
                <w:color w:val="auto"/>
                <w:sz w:val="24"/>
                <w:highlight w:val="none"/>
                <w:lang w:val="en-US" w:eastAsia="zh-CN"/>
              </w:rPr>
            </w:pPr>
            <w:r>
              <w:rPr>
                <w:rFonts w:hint="eastAsia" w:ascii="宋体" w:hAnsi="宋体" w:eastAsia="宋体" w:cs="宋体"/>
                <w:i w:val="0"/>
                <w:iCs w:val="0"/>
                <w:caps w:val="0"/>
                <w:color w:val="auto"/>
                <w:spacing w:val="0"/>
                <w:kern w:val="0"/>
                <w:sz w:val="24"/>
                <w:szCs w:val="24"/>
                <w:highlight w:val="none"/>
                <w:lang w:val="en-US" w:eastAsia="zh-CN" w:bidi="ar-SA"/>
              </w:rPr>
              <w:t>是否</w:t>
            </w:r>
            <w:r>
              <w:rPr>
                <w:rFonts w:hint="eastAsia" w:ascii="宋体" w:hAnsi="宋体" w:eastAsia="Times New Roman" w:cs="宋体"/>
                <w:color w:val="auto"/>
                <w:kern w:val="0"/>
                <w:sz w:val="24"/>
                <w:szCs w:val="24"/>
                <w:highlight w:val="none"/>
                <w:lang w:val="en-US" w:eastAsia="zh-CN" w:bidi="ar-SA"/>
              </w:rPr>
              <w:t>提供“</w:t>
            </w:r>
            <w:r>
              <w:rPr>
                <w:rFonts w:hint="eastAsia" w:ascii="宋体" w:hAnsi="宋体" w:eastAsia="Times New Roman" w:cs="宋体"/>
                <w:color w:val="auto"/>
                <w:kern w:val="0"/>
                <w:sz w:val="24"/>
                <w:szCs w:val="24"/>
                <w:highlight w:val="none"/>
                <w:lang w:val="zh-CN" w:eastAsia="zh-CN" w:bidi="ar-SA"/>
              </w:rPr>
              <w:t>单位负责人为同一人或者存在直接控股、管理关系的不同供应商，不得参加同一合同项下的政府采购活动；</w:t>
            </w:r>
            <w:r>
              <w:rPr>
                <w:rFonts w:hint="default" w:ascii="宋体" w:hAnsi="宋体" w:eastAsia="Times New Roman" w:cs="宋体"/>
                <w:color w:val="auto"/>
                <w:kern w:val="0"/>
                <w:sz w:val="24"/>
                <w:szCs w:val="24"/>
                <w:highlight w:val="none"/>
                <w:lang w:val="en-US" w:eastAsia="zh-CN" w:bidi="ar-SA"/>
              </w:rPr>
              <w:t>除单一来源采购项目外，</w:t>
            </w:r>
            <w:r>
              <w:rPr>
                <w:rFonts w:hint="eastAsia" w:ascii="宋体" w:hAnsi="宋体" w:eastAsia="Times New Roman" w:cs="宋体"/>
                <w:color w:val="auto"/>
                <w:kern w:val="0"/>
                <w:sz w:val="24"/>
                <w:szCs w:val="24"/>
                <w:highlight w:val="none"/>
                <w:lang w:val="en-US" w:eastAsia="zh-CN" w:bidi="ar-SA"/>
              </w:rPr>
              <w:t>为采购项目提供整体设计、规范编制或者项目管理、监理、检测等服务的供应商，不得再参加该采购项目的其他采购活动”的承诺书（内容自拟）；</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389B10B4">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1B33BAB1">
            <w:pPr>
              <w:pStyle w:val="74"/>
              <w:rPr>
                <w:color w:val="auto"/>
                <w:highlight w:val="none"/>
              </w:rPr>
            </w:pPr>
          </w:p>
        </w:tc>
      </w:tr>
      <w:tr w14:paraId="51F9056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c>
          <w:tcPr>
            <w:tcW w:w="571" w:type="dxa"/>
            <w:vMerge w:val="continue"/>
            <w:tcBorders>
              <w:left w:val="outset" w:color="auto" w:sz="6" w:space="0"/>
              <w:right w:val="outset" w:color="auto" w:sz="6" w:space="0"/>
            </w:tcBorders>
            <w:noWrap w:val="0"/>
            <w:vAlign w:val="center"/>
          </w:tcPr>
          <w:p w14:paraId="30DC30FE">
            <w:pPr>
              <w:pStyle w:val="74"/>
              <w:jc w:val="center"/>
              <w:rPr>
                <w:color w:val="auto"/>
                <w:highlight w:val="none"/>
              </w:rPr>
            </w:pPr>
          </w:p>
        </w:tc>
        <w:tc>
          <w:tcPr>
            <w:tcW w:w="694" w:type="dxa"/>
            <w:vMerge w:val="continue"/>
            <w:tcBorders>
              <w:left w:val="outset" w:color="auto" w:sz="6" w:space="0"/>
              <w:right w:val="outset" w:color="auto" w:sz="6" w:space="0"/>
            </w:tcBorders>
            <w:noWrap w:val="0"/>
            <w:vAlign w:val="center"/>
          </w:tcPr>
          <w:p w14:paraId="4619956B">
            <w:pPr>
              <w:pStyle w:val="74"/>
              <w:jc w:val="center"/>
              <w:rPr>
                <w:rFonts w:hint="eastAsia" w:ascii="宋体" w:hAnsi="宋体" w:eastAsia="宋体" w:cs="Times New Roman"/>
                <w:color w:val="auto"/>
                <w:kern w:val="2"/>
                <w:sz w:val="21"/>
                <w:szCs w:val="21"/>
                <w:highlight w:val="none"/>
                <w:lang w:val="en-US" w:eastAsia="zh-CN" w:bidi="ar-SA"/>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58FA500A">
            <w:pPr>
              <w:pStyle w:val="74"/>
              <w:jc w:val="center"/>
              <w:rPr>
                <w:rFonts w:hint="eastAsia" w:ascii="宋体" w:hAnsi="宋体" w:eastAsia="Times New Roman" w:cs="宋体"/>
                <w:color w:val="auto"/>
                <w:sz w:val="24"/>
                <w:szCs w:val="24"/>
                <w:highlight w:val="none"/>
                <w:lang w:val="en-US" w:eastAsia="zh-CN" w:bidi="ar-SA"/>
              </w:rPr>
            </w:pPr>
            <w:r>
              <w:rPr>
                <w:rFonts w:hint="eastAsia" w:ascii="宋体" w:hAnsi="宋体" w:cs="宋体"/>
                <w:color w:val="auto"/>
                <w:sz w:val="24"/>
                <w:highlight w:val="none"/>
                <w:lang w:val="en-US" w:eastAsia="zh-CN"/>
              </w:rPr>
              <w:t>中</w:t>
            </w:r>
            <w:r>
              <w:rPr>
                <w:rFonts w:hint="eastAsia" w:ascii="宋体" w:hAnsi="宋体" w:eastAsia="Times New Roman" w:cs="宋体"/>
                <w:color w:val="auto"/>
                <w:sz w:val="24"/>
                <w:highlight w:val="none"/>
                <w:lang w:val="en-US" w:eastAsia="zh-CN"/>
              </w:rPr>
              <w:t>小企业</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055B81C6">
            <w:pPr>
              <w:pStyle w:val="74"/>
              <w:jc w:val="left"/>
              <w:rPr>
                <w:rFonts w:hint="default" w:ascii="宋体" w:hAnsi="宋体" w:eastAsia="Times New Roman" w:cs="宋体"/>
                <w:color w:val="auto"/>
                <w:sz w:val="24"/>
                <w:highlight w:val="none"/>
                <w:lang w:val="en-US" w:eastAsia="zh-CN"/>
              </w:rPr>
            </w:pPr>
            <w:r>
              <w:rPr>
                <w:rFonts w:hint="default" w:ascii="宋体" w:hAnsi="宋体" w:eastAsia="Times New Roman" w:cs="宋体"/>
                <w:color w:val="auto"/>
                <w:sz w:val="24"/>
                <w:highlight w:val="none"/>
                <w:lang w:val="en-US" w:eastAsia="zh-CN"/>
              </w:rPr>
              <w:t>是否提供符合要求的《中小企业声明函》</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6EFF6C1B">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773EB6CB">
            <w:pPr>
              <w:pStyle w:val="74"/>
              <w:rPr>
                <w:color w:val="auto"/>
                <w:highlight w:val="none"/>
              </w:rPr>
            </w:pPr>
          </w:p>
        </w:tc>
      </w:tr>
      <w:tr w14:paraId="0BA5D26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4009B00E">
            <w:pPr>
              <w:pStyle w:val="74"/>
              <w:rPr>
                <w:color w:val="auto"/>
                <w:highlight w:val="none"/>
              </w:rPr>
            </w:pPr>
          </w:p>
        </w:tc>
        <w:tc>
          <w:tcPr>
            <w:tcW w:w="694" w:type="dxa"/>
            <w:vMerge w:val="restart"/>
            <w:tcBorders>
              <w:top w:val="single" w:color="auto" w:sz="4" w:space="0"/>
              <w:left w:val="outset" w:color="auto" w:sz="6" w:space="0"/>
              <w:right w:val="outset" w:color="auto" w:sz="6" w:space="0"/>
            </w:tcBorders>
            <w:noWrap w:val="0"/>
            <w:vAlign w:val="center"/>
          </w:tcPr>
          <w:p w14:paraId="07CBDD9A">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符</w:t>
            </w:r>
          </w:p>
          <w:p w14:paraId="51D93D50">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合</w:t>
            </w:r>
          </w:p>
          <w:p w14:paraId="3C7F6EDD">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性</w:t>
            </w:r>
          </w:p>
          <w:p w14:paraId="01BF7834">
            <w:pPr>
              <w:pStyle w:val="74"/>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b/>
                <w:bCs/>
                <w:color w:val="auto"/>
                <w:sz w:val="24"/>
                <w:highlight w:val="none"/>
                <w:lang w:val="en-US" w:eastAsia="zh-CN"/>
              </w:rPr>
              <w:t>检</w:t>
            </w:r>
          </w:p>
          <w:p w14:paraId="2D74CBEF">
            <w:pPr>
              <w:pStyle w:val="74"/>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b/>
                <w:bCs/>
                <w:color w:val="auto"/>
                <w:sz w:val="24"/>
                <w:highlight w:val="none"/>
                <w:lang w:val="en-US" w:eastAsia="zh-CN"/>
              </w:rPr>
              <w:t>查</w:t>
            </w:r>
          </w:p>
        </w:tc>
        <w:tc>
          <w:tcPr>
            <w:tcW w:w="1613" w:type="dxa"/>
            <w:tcBorders>
              <w:top w:val="outset" w:color="auto" w:sz="6" w:space="0"/>
              <w:left w:val="outset" w:color="auto" w:sz="6" w:space="0"/>
              <w:bottom w:val="outset" w:color="auto" w:sz="6" w:space="0"/>
              <w:right w:val="outset" w:color="auto" w:sz="6" w:space="0"/>
            </w:tcBorders>
            <w:noWrap w:val="0"/>
            <w:vAlign w:val="center"/>
          </w:tcPr>
          <w:p w14:paraId="08E18104">
            <w:pPr>
              <w:pStyle w:val="74"/>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响应文件签字、盖章</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328D0282">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响应文件是否按照磋商文件规定要求签字、盖章；</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63D020BC">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49114F53">
            <w:pPr>
              <w:pStyle w:val="74"/>
              <w:rPr>
                <w:color w:val="auto"/>
                <w:highlight w:val="none"/>
              </w:rPr>
            </w:pPr>
          </w:p>
        </w:tc>
      </w:tr>
      <w:tr w14:paraId="125FE9B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21D11042">
            <w:pPr>
              <w:pStyle w:val="74"/>
              <w:rPr>
                <w:color w:val="auto"/>
                <w:highlight w:val="none"/>
              </w:rPr>
            </w:pPr>
          </w:p>
        </w:tc>
        <w:tc>
          <w:tcPr>
            <w:tcW w:w="694" w:type="dxa"/>
            <w:vMerge w:val="continue"/>
            <w:tcBorders>
              <w:left w:val="outset" w:color="auto" w:sz="6" w:space="0"/>
              <w:right w:val="outset" w:color="auto" w:sz="6" w:space="0"/>
            </w:tcBorders>
            <w:noWrap w:val="0"/>
            <w:vAlign w:val="center"/>
          </w:tcPr>
          <w:p w14:paraId="00841C6C">
            <w:pPr>
              <w:pStyle w:val="74"/>
              <w:jc w:val="left"/>
              <w:rPr>
                <w:rFonts w:hint="eastAsia" w:ascii="宋体" w:hAnsi="宋体" w:eastAsia="Times New Roman" w:cs="宋体"/>
                <w:color w:val="auto"/>
                <w:sz w:val="24"/>
                <w:highlight w:val="none"/>
                <w:lang w:val="en-US" w:eastAsia="zh-CN"/>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0D6F7EE0">
            <w:pPr>
              <w:pStyle w:val="74"/>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响应文件组成</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596CA851">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投标文件是否按招标文件规定的内容、格式等进行编制；</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17C1F321">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4278CD88">
            <w:pPr>
              <w:pStyle w:val="74"/>
              <w:rPr>
                <w:color w:val="auto"/>
                <w:highlight w:val="none"/>
              </w:rPr>
            </w:pPr>
          </w:p>
        </w:tc>
      </w:tr>
      <w:tr w14:paraId="695CDDB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540" w:hRule="atLeast"/>
        </w:trPr>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30AC3851">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63416D26">
            <w:pPr>
              <w:pStyle w:val="74"/>
              <w:jc w:val="left"/>
              <w:rPr>
                <w:rFonts w:hint="eastAsia" w:ascii="宋体" w:hAnsi="宋体" w:eastAsia="Times New Roman" w:cs="宋体"/>
                <w:color w:val="auto"/>
                <w:sz w:val="24"/>
                <w:highlight w:val="none"/>
                <w:lang w:val="en-US" w:eastAsia="zh-CN"/>
              </w:rPr>
            </w:pPr>
          </w:p>
        </w:tc>
        <w:tc>
          <w:tcPr>
            <w:tcW w:w="1613" w:type="dxa"/>
            <w:tcBorders>
              <w:top w:val="outset" w:color="auto" w:sz="6" w:space="0"/>
              <w:left w:val="outset" w:color="auto" w:sz="6" w:space="0"/>
              <w:bottom w:val="outset" w:color="auto" w:sz="6" w:space="0"/>
              <w:right w:val="outset" w:color="auto" w:sz="6" w:space="0"/>
            </w:tcBorders>
            <w:noWrap w:val="0"/>
            <w:vAlign w:val="center"/>
          </w:tcPr>
          <w:p w14:paraId="1D8CCE56">
            <w:pPr>
              <w:pStyle w:val="74"/>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供应商是否</w:t>
            </w:r>
          </w:p>
          <w:p w14:paraId="6B2B46C0">
            <w:pPr>
              <w:pStyle w:val="74"/>
              <w:jc w:val="center"/>
              <w:rPr>
                <w:rFonts w:hint="eastAsia" w:ascii="宋体" w:hAnsi="宋体" w:eastAsia="Times New Roman" w:cs="宋体"/>
                <w:color w:val="auto"/>
                <w:sz w:val="24"/>
                <w:szCs w:val="24"/>
                <w:highlight w:val="none"/>
                <w:lang w:val="en-US" w:eastAsia="zh-CN" w:bidi="ar-SA"/>
              </w:rPr>
            </w:pPr>
            <w:r>
              <w:rPr>
                <w:rFonts w:hint="eastAsia" w:ascii="宋体" w:hAnsi="宋体" w:eastAsia="Times New Roman" w:cs="宋体"/>
                <w:color w:val="auto"/>
                <w:sz w:val="24"/>
                <w:highlight w:val="none"/>
                <w:lang w:val="en-US" w:eastAsia="zh-CN"/>
              </w:rPr>
              <w:t>符合要求</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0D5C2894">
            <w:pPr>
              <w:pStyle w:val="74"/>
              <w:jc w:val="left"/>
              <w:rPr>
                <w:rFonts w:hint="default" w:ascii="宋体" w:hAnsi="宋体" w:eastAsia="Times New Roman" w:cs="宋体"/>
                <w:color w:val="auto"/>
                <w:sz w:val="24"/>
                <w:szCs w:val="24"/>
                <w:highlight w:val="none"/>
                <w:lang w:val="en-US" w:eastAsia="zh-CN" w:bidi="ar-SA"/>
              </w:rPr>
            </w:pPr>
            <w:r>
              <w:rPr>
                <w:rFonts w:hint="eastAsia" w:ascii="宋体" w:hAnsi="宋体" w:eastAsia="Times New Roman" w:cs="宋体"/>
                <w:color w:val="auto"/>
                <w:sz w:val="24"/>
                <w:highlight w:val="none"/>
                <w:lang w:val="en-US" w:eastAsia="zh-CN"/>
              </w:rPr>
              <w:t>供应商是否满足磋商文件中规定的施工工期、建设地点、质量要求、承包方式、不允许分包、付款方式、投标有效期，责任缺陷期、质量保修期、履约保证金等相关要求；</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2BBA1BE9">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30B0D381">
            <w:pPr>
              <w:pStyle w:val="74"/>
              <w:rPr>
                <w:color w:val="auto"/>
                <w:highlight w:val="none"/>
              </w:rPr>
            </w:pPr>
          </w:p>
        </w:tc>
      </w:tr>
      <w:tr w14:paraId="4F0AEAD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645" w:hRule="atLeast"/>
        </w:trPr>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12FE390C">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77B22903">
            <w:pPr>
              <w:pStyle w:val="74"/>
              <w:jc w:val="left"/>
              <w:rPr>
                <w:rFonts w:hint="eastAsia" w:ascii="宋体" w:hAnsi="宋体" w:eastAsia="Times New Roman" w:cs="宋体"/>
                <w:color w:val="auto"/>
                <w:sz w:val="24"/>
                <w:highlight w:val="none"/>
                <w:lang w:val="en-US" w:eastAsia="zh-CN"/>
              </w:rPr>
            </w:pPr>
          </w:p>
        </w:tc>
        <w:tc>
          <w:tcPr>
            <w:tcW w:w="1613" w:type="dxa"/>
            <w:vMerge w:val="restart"/>
            <w:tcBorders>
              <w:top w:val="outset" w:color="auto" w:sz="6" w:space="0"/>
              <w:left w:val="outset" w:color="auto" w:sz="6" w:space="0"/>
              <w:right w:val="outset" w:color="auto" w:sz="6" w:space="0"/>
            </w:tcBorders>
            <w:noWrap w:val="0"/>
            <w:vAlign w:val="center"/>
          </w:tcPr>
          <w:p w14:paraId="420DFF7D">
            <w:pPr>
              <w:pStyle w:val="74"/>
              <w:jc w:val="center"/>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投标报价</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185F88DF">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投标报价是否未超过最高限价；</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6A9A79C8">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6431B038">
            <w:pPr>
              <w:pStyle w:val="74"/>
              <w:rPr>
                <w:color w:val="auto"/>
                <w:highlight w:val="none"/>
              </w:rPr>
            </w:pPr>
          </w:p>
        </w:tc>
      </w:tr>
      <w:tr w14:paraId="52B42A6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49D9A86C">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304606CD">
            <w:pPr>
              <w:pStyle w:val="74"/>
              <w:jc w:val="left"/>
              <w:rPr>
                <w:rFonts w:hint="eastAsia" w:ascii="宋体" w:hAnsi="宋体" w:eastAsia="Times New Roman" w:cs="宋体"/>
                <w:color w:val="auto"/>
                <w:sz w:val="24"/>
                <w:highlight w:val="none"/>
                <w:lang w:val="en-US" w:eastAsia="zh-CN"/>
              </w:rPr>
            </w:pPr>
          </w:p>
        </w:tc>
        <w:tc>
          <w:tcPr>
            <w:tcW w:w="1613" w:type="dxa"/>
            <w:vMerge w:val="continue"/>
            <w:tcBorders>
              <w:left w:val="outset" w:color="auto" w:sz="6" w:space="0"/>
              <w:right w:val="outset" w:color="auto" w:sz="6" w:space="0"/>
            </w:tcBorders>
            <w:noWrap w:val="0"/>
            <w:vAlign w:val="center"/>
          </w:tcPr>
          <w:p w14:paraId="44572E9B">
            <w:pPr>
              <w:pStyle w:val="74"/>
              <w:jc w:val="left"/>
              <w:rPr>
                <w:rFonts w:hint="eastAsia"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outset" w:color="auto" w:sz="6" w:space="0"/>
              <w:right w:val="outset" w:color="auto" w:sz="6" w:space="0"/>
            </w:tcBorders>
            <w:noWrap w:val="0"/>
            <w:vAlign w:val="center"/>
          </w:tcPr>
          <w:p w14:paraId="6F9640B4">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投标文件是否未对同一招标项目作出两个及以上报价的；</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7AC5943A">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2FA9B58F">
            <w:pPr>
              <w:pStyle w:val="74"/>
              <w:rPr>
                <w:color w:val="auto"/>
                <w:highlight w:val="none"/>
              </w:rPr>
            </w:pPr>
          </w:p>
        </w:tc>
      </w:tr>
      <w:tr w14:paraId="66AA9B6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435" w:hRule="atLeast"/>
        </w:trPr>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4682C509">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54B750F3">
            <w:pPr>
              <w:pStyle w:val="74"/>
              <w:jc w:val="left"/>
              <w:rPr>
                <w:rFonts w:hint="eastAsia" w:ascii="宋体" w:hAnsi="宋体" w:eastAsia="Times New Roman" w:cs="宋体"/>
                <w:color w:val="auto"/>
                <w:sz w:val="24"/>
                <w:highlight w:val="none"/>
                <w:lang w:val="en-US" w:eastAsia="zh-CN"/>
              </w:rPr>
            </w:pPr>
          </w:p>
        </w:tc>
        <w:tc>
          <w:tcPr>
            <w:tcW w:w="1613" w:type="dxa"/>
            <w:vMerge w:val="continue"/>
            <w:tcBorders>
              <w:left w:val="outset" w:color="auto" w:sz="6" w:space="0"/>
              <w:right w:val="outset" w:color="auto" w:sz="6" w:space="0"/>
            </w:tcBorders>
            <w:noWrap w:val="0"/>
            <w:vAlign w:val="center"/>
          </w:tcPr>
          <w:p w14:paraId="70227F34">
            <w:pPr>
              <w:pStyle w:val="74"/>
              <w:jc w:val="left"/>
              <w:rPr>
                <w:rFonts w:hint="eastAsia"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outset" w:color="auto" w:sz="6" w:space="0"/>
              <w:right w:val="outset" w:color="auto" w:sz="6" w:space="0"/>
            </w:tcBorders>
            <w:noWrap w:val="0"/>
            <w:vAlign w:val="center"/>
          </w:tcPr>
          <w:p w14:paraId="248270F3">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zh-CN" w:eastAsia="zh-CN"/>
              </w:rPr>
              <w:t>投标人</w:t>
            </w:r>
            <w:r>
              <w:rPr>
                <w:rFonts w:hint="eastAsia" w:ascii="宋体" w:hAnsi="宋体" w:eastAsia="Times New Roman" w:cs="宋体"/>
                <w:color w:val="auto"/>
                <w:sz w:val="24"/>
                <w:highlight w:val="none"/>
                <w:lang w:val="en-US" w:eastAsia="zh-CN"/>
              </w:rPr>
              <w:t>是否</w:t>
            </w:r>
            <w:r>
              <w:rPr>
                <w:rFonts w:hint="eastAsia" w:ascii="宋体" w:hAnsi="宋体" w:eastAsia="Times New Roman" w:cs="宋体"/>
                <w:color w:val="auto"/>
                <w:sz w:val="24"/>
                <w:highlight w:val="none"/>
                <w:lang w:val="zh-CN" w:eastAsia="zh-CN"/>
              </w:rPr>
              <w:t>按招标人提供的工程量清单填报价格；填写的项目编码、项目名称、项目特征、计量单位、工程量</w:t>
            </w:r>
            <w:r>
              <w:rPr>
                <w:rFonts w:hint="eastAsia" w:ascii="宋体" w:hAnsi="宋体" w:eastAsia="Times New Roman" w:cs="宋体"/>
                <w:color w:val="auto"/>
                <w:sz w:val="24"/>
                <w:highlight w:val="none"/>
                <w:lang w:val="en-US" w:eastAsia="zh-CN"/>
              </w:rPr>
              <w:t>是否</w:t>
            </w:r>
            <w:r>
              <w:rPr>
                <w:rFonts w:hint="eastAsia" w:ascii="宋体" w:hAnsi="宋体" w:eastAsia="Times New Roman" w:cs="宋体"/>
                <w:color w:val="auto"/>
                <w:sz w:val="24"/>
                <w:highlight w:val="none"/>
                <w:lang w:val="zh-CN" w:eastAsia="zh-CN"/>
              </w:rPr>
              <w:t>与招标人提供</w:t>
            </w:r>
            <w:r>
              <w:rPr>
                <w:rFonts w:hint="eastAsia" w:ascii="宋体" w:hAnsi="宋体" w:eastAsia="Times New Roman" w:cs="宋体"/>
                <w:color w:val="auto"/>
                <w:sz w:val="24"/>
                <w:highlight w:val="none"/>
                <w:lang w:val="en-US" w:eastAsia="zh-CN"/>
              </w:rPr>
              <w:t>的清单</w:t>
            </w:r>
            <w:r>
              <w:rPr>
                <w:rFonts w:hint="eastAsia" w:ascii="宋体" w:hAnsi="宋体" w:eastAsia="Times New Roman" w:cs="宋体"/>
                <w:color w:val="auto"/>
                <w:sz w:val="24"/>
                <w:highlight w:val="none"/>
                <w:lang w:val="zh-CN" w:eastAsia="zh-CN"/>
              </w:rPr>
              <w:t>一致。</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5FE37DC7">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6DC4A7D1">
            <w:pPr>
              <w:pStyle w:val="74"/>
              <w:rPr>
                <w:color w:val="auto"/>
                <w:highlight w:val="none"/>
              </w:rPr>
            </w:pPr>
          </w:p>
        </w:tc>
      </w:tr>
      <w:tr w14:paraId="345733E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461" w:hRule="atLeast"/>
        </w:trPr>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282312BD">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5F38EF8B">
            <w:pPr>
              <w:pStyle w:val="74"/>
              <w:jc w:val="left"/>
              <w:rPr>
                <w:rFonts w:hint="eastAsia" w:ascii="宋体" w:hAnsi="宋体" w:eastAsia="Times New Roman" w:cs="宋体"/>
                <w:color w:val="auto"/>
                <w:sz w:val="24"/>
                <w:highlight w:val="none"/>
                <w:lang w:val="en-US" w:eastAsia="zh-CN"/>
              </w:rPr>
            </w:pPr>
          </w:p>
        </w:tc>
        <w:tc>
          <w:tcPr>
            <w:tcW w:w="1613" w:type="dxa"/>
            <w:vMerge w:val="continue"/>
            <w:tcBorders>
              <w:left w:val="outset" w:color="auto" w:sz="6" w:space="0"/>
              <w:bottom w:val="outset" w:color="auto" w:sz="6" w:space="0"/>
              <w:right w:val="outset" w:color="auto" w:sz="6" w:space="0"/>
            </w:tcBorders>
            <w:noWrap w:val="0"/>
            <w:vAlign w:val="center"/>
          </w:tcPr>
          <w:p w14:paraId="0724EA7E">
            <w:pPr>
              <w:pStyle w:val="74"/>
              <w:jc w:val="left"/>
              <w:rPr>
                <w:rFonts w:hint="default"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outset" w:color="auto" w:sz="6" w:space="0"/>
              <w:right w:val="outset" w:color="auto" w:sz="6" w:space="0"/>
            </w:tcBorders>
            <w:noWrap w:val="0"/>
            <w:vAlign w:val="center"/>
          </w:tcPr>
          <w:p w14:paraId="2B36BAA8">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zh-CN" w:eastAsia="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1FB6E864">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0C9E05B9">
            <w:pPr>
              <w:pStyle w:val="74"/>
              <w:rPr>
                <w:color w:val="auto"/>
                <w:highlight w:val="none"/>
              </w:rPr>
            </w:pPr>
          </w:p>
        </w:tc>
      </w:tr>
      <w:tr w14:paraId="4D307F13">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61C26A10">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4395D17A">
            <w:pPr>
              <w:pStyle w:val="74"/>
              <w:jc w:val="left"/>
              <w:rPr>
                <w:rFonts w:hint="eastAsia" w:ascii="宋体" w:hAnsi="宋体" w:eastAsia="Times New Roman" w:cs="宋体"/>
                <w:color w:val="auto"/>
                <w:sz w:val="24"/>
                <w:highlight w:val="none"/>
                <w:lang w:val="en-US" w:eastAsia="zh-CN"/>
              </w:rPr>
            </w:pPr>
          </w:p>
        </w:tc>
        <w:tc>
          <w:tcPr>
            <w:tcW w:w="1613" w:type="dxa"/>
            <w:vMerge w:val="restart"/>
            <w:tcBorders>
              <w:top w:val="outset" w:color="auto" w:sz="6" w:space="0"/>
              <w:left w:val="outset" w:color="auto" w:sz="6" w:space="0"/>
              <w:right w:val="outset" w:color="auto" w:sz="6" w:space="0"/>
            </w:tcBorders>
            <w:noWrap w:val="0"/>
            <w:vAlign w:val="center"/>
          </w:tcPr>
          <w:p w14:paraId="0692CC28">
            <w:pPr>
              <w:pStyle w:val="74"/>
              <w:jc w:val="center"/>
              <w:rPr>
                <w:rFonts w:hint="default"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en-US" w:eastAsia="zh-CN"/>
              </w:rPr>
              <w:t>其它</w:t>
            </w:r>
          </w:p>
        </w:tc>
        <w:tc>
          <w:tcPr>
            <w:tcW w:w="4928" w:type="dxa"/>
            <w:tcBorders>
              <w:top w:val="outset" w:color="auto" w:sz="6" w:space="0"/>
              <w:left w:val="outset" w:color="auto" w:sz="6" w:space="0"/>
              <w:bottom w:val="outset" w:color="auto" w:sz="6" w:space="0"/>
              <w:right w:val="outset" w:color="auto" w:sz="6" w:space="0"/>
            </w:tcBorders>
            <w:noWrap w:val="0"/>
            <w:vAlign w:val="center"/>
          </w:tcPr>
          <w:p w14:paraId="5750E7BC">
            <w:pPr>
              <w:spacing w:line="240" w:lineRule="auto"/>
              <w:rPr>
                <w:rFonts w:hint="eastAsia" w:ascii="宋体" w:hAnsi="宋体" w:eastAsia="Times New Roman" w:cs="宋体"/>
                <w:color w:val="auto"/>
                <w:kern w:val="0"/>
                <w:sz w:val="24"/>
                <w:szCs w:val="24"/>
                <w:highlight w:val="none"/>
                <w:lang w:val="en-US" w:eastAsia="zh-CN" w:bidi="ar-SA"/>
              </w:rPr>
            </w:pPr>
            <w:r>
              <w:rPr>
                <w:rFonts w:hint="eastAsia" w:ascii="宋体" w:hAnsi="宋体" w:eastAsia="Times New Roman" w:cs="宋体"/>
                <w:color w:val="auto"/>
                <w:kern w:val="0"/>
                <w:sz w:val="24"/>
                <w:szCs w:val="24"/>
                <w:highlight w:val="none"/>
                <w:lang w:val="zh-CN" w:eastAsia="zh-CN" w:bidi="ar-SA"/>
              </w:rPr>
              <w:t>在评标过程中，发现投标人以他人名义投标、串通投标、以行贿手段谋取成交或者以其他弄虚作假方式投标的；</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5AAC2745">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408A9196">
            <w:pPr>
              <w:pStyle w:val="74"/>
              <w:rPr>
                <w:color w:val="auto"/>
                <w:highlight w:val="none"/>
              </w:rPr>
            </w:pPr>
          </w:p>
        </w:tc>
      </w:tr>
      <w:tr w14:paraId="7BBD835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762EECF9">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0D33A65F">
            <w:pPr>
              <w:pStyle w:val="74"/>
              <w:jc w:val="left"/>
              <w:rPr>
                <w:rFonts w:hint="eastAsia" w:ascii="宋体" w:hAnsi="宋体" w:eastAsia="Times New Roman" w:cs="宋体"/>
                <w:color w:val="auto"/>
                <w:sz w:val="24"/>
                <w:highlight w:val="none"/>
                <w:lang w:val="en-US" w:eastAsia="zh-CN"/>
              </w:rPr>
            </w:pPr>
          </w:p>
        </w:tc>
        <w:tc>
          <w:tcPr>
            <w:tcW w:w="1613" w:type="dxa"/>
            <w:vMerge w:val="continue"/>
            <w:tcBorders>
              <w:left w:val="outset" w:color="auto" w:sz="6" w:space="0"/>
              <w:right w:val="outset" w:color="auto" w:sz="6" w:space="0"/>
            </w:tcBorders>
            <w:noWrap w:val="0"/>
            <w:vAlign w:val="center"/>
          </w:tcPr>
          <w:p w14:paraId="1D12F5DB">
            <w:pPr>
              <w:pStyle w:val="74"/>
              <w:jc w:val="center"/>
              <w:rPr>
                <w:rFonts w:hint="eastAsia"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outset" w:color="auto" w:sz="6" w:space="0"/>
              <w:right w:val="outset" w:color="auto" w:sz="6" w:space="0"/>
            </w:tcBorders>
            <w:noWrap w:val="0"/>
            <w:vAlign w:val="center"/>
          </w:tcPr>
          <w:p w14:paraId="4232926D">
            <w:pPr>
              <w:spacing w:line="240" w:lineRule="auto"/>
              <w:rPr>
                <w:rFonts w:hint="eastAsia" w:ascii="宋体" w:hAnsi="宋体" w:eastAsia="Times New Roman" w:cs="宋体"/>
                <w:color w:val="auto"/>
                <w:kern w:val="0"/>
                <w:sz w:val="24"/>
                <w:szCs w:val="24"/>
                <w:highlight w:val="none"/>
                <w:lang w:val="en-US" w:eastAsia="zh-CN" w:bidi="ar-SA"/>
              </w:rPr>
            </w:pPr>
            <w:r>
              <w:rPr>
                <w:rFonts w:hint="eastAsia" w:ascii="宋体" w:hAnsi="宋体" w:eastAsia="Times New Roman" w:cs="宋体"/>
                <w:color w:val="auto"/>
                <w:kern w:val="0"/>
                <w:sz w:val="24"/>
                <w:szCs w:val="24"/>
                <w:highlight w:val="none"/>
                <w:lang w:val="zh-CN" w:eastAsia="zh-CN" w:bidi="ar-SA"/>
              </w:rPr>
              <w:t>投标文件是否存在</w:t>
            </w:r>
            <w:r>
              <w:rPr>
                <w:rFonts w:hint="eastAsia" w:ascii="宋体" w:hAnsi="宋体" w:eastAsia="Times New Roman" w:cs="宋体"/>
                <w:color w:val="auto"/>
                <w:kern w:val="0"/>
                <w:sz w:val="24"/>
                <w:szCs w:val="24"/>
                <w:highlight w:val="none"/>
                <w:lang w:val="en-US" w:eastAsia="zh-CN" w:bidi="ar-SA"/>
              </w:rPr>
              <w:t>招标</w:t>
            </w:r>
            <w:r>
              <w:rPr>
                <w:rFonts w:hint="eastAsia" w:ascii="宋体" w:hAnsi="宋体" w:eastAsia="Times New Roman" w:cs="宋体"/>
                <w:color w:val="auto"/>
                <w:kern w:val="0"/>
                <w:sz w:val="24"/>
                <w:szCs w:val="24"/>
                <w:highlight w:val="none"/>
                <w:lang w:val="zh-CN" w:eastAsia="zh-CN" w:bidi="ar-SA"/>
              </w:rPr>
              <w:t>文件中规定的其它无效投标条款的；</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54A90D92">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5F8660E5">
            <w:pPr>
              <w:pStyle w:val="74"/>
              <w:rPr>
                <w:color w:val="auto"/>
                <w:highlight w:val="none"/>
              </w:rPr>
            </w:pPr>
          </w:p>
        </w:tc>
      </w:tr>
      <w:tr w14:paraId="28C8A49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outset" w:color="auto" w:sz="6" w:space="0"/>
              <w:right w:val="outset" w:color="auto" w:sz="6" w:space="0"/>
            </w:tcBorders>
            <w:noWrap w:val="0"/>
            <w:vAlign w:val="center"/>
          </w:tcPr>
          <w:p w14:paraId="3317D111">
            <w:pPr>
              <w:pStyle w:val="74"/>
              <w:rPr>
                <w:color w:val="auto"/>
                <w:highlight w:val="none"/>
              </w:rPr>
            </w:pPr>
          </w:p>
        </w:tc>
        <w:tc>
          <w:tcPr>
            <w:tcW w:w="694" w:type="dxa"/>
            <w:vMerge w:val="continue"/>
            <w:tcBorders>
              <w:top w:val="outset" w:color="auto" w:sz="6" w:space="0"/>
              <w:left w:val="outset" w:color="auto" w:sz="6" w:space="0"/>
              <w:bottom w:val="outset" w:color="auto" w:sz="6" w:space="0"/>
              <w:right w:val="outset" w:color="auto" w:sz="6" w:space="0"/>
            </w:tcBorders>
            <w:noWrap w:val="0"/>
            <w:vAlign w:val="center"/>
          </w:tcPr>
          <w:p w14:paraId="40169B85">
            <w:pPr>
              <w:pStyle w:val="74"/>
              <w:jc w:val="left"/>
              <w:rPr>
                <w:rFonts w:hint="eastAsia" w:ascii="宋体" w:hAnsi="宋体" w:eastAsia="Times New Roman" w:cs="宋体"/>
                <w:color w:val="auto"/>
                <w:sz w:val="24"/>
                <w:highlight w:val="none"/>
                <w:lang w:val="en-US" w:eastAsia="zh-CN"/>
              </w:rPr>
            </w:pPr>
          </w:p>
        </w:tc>
        <w:tc>
          <w:tcPr>
            <w:tcW w:w="1613" w:type="dxa"/>
            <w:vMerge w:val="continue"/>
            <w:tcBorders>
              <w:left w:val="outset" w:color="auto" w:sz="6" w:space="0"/>
              <w:right w:val="outset" w:color="auto" w:sz="6" w:space="0"/>
            </w:tcBorders>
            <w:noWrap w:val="0"/>
            <w:vAlign w:val="center"/>
          </w:tcPr>
          <w:p w14:paraId="451A2953">
            <w:pPr>
              <w:pStyle w:val="74"/>
              <w:jc w:val="center"/>
              <w:rPr>
                <w:rFonts w:hint="eastAsia"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outset" w:color="auto" w:sz="6" w:space="0"/>
              <w:right w:val="outset" w:color="auto" w:sz="6" w:space="0"/>
            </w:tcBorders>
            <w:noWrap w:val="0"/>
            <w:vAlign w:val="center"/>
          </w:tcPr>
          <w:p w14:paraId="2AB7FD4F">
            <w:pPr>
              <w:spacing w:line="240" w:lineRule="auto"/>
              <w:rPr>
                <w:rFonts w:hint="eastAsia" w:ascii="宋体" w:hAnsi="宋体" w:eastAsia="Times New Roman" w:cs="宋体"/>
                <w:color w:val="auto"/>
                <w:kern w:val="0"/>
                <w:sz w:val="24"/>
                <w:szCs w:val="24"/>
                <w:highlight w:val="none"/>
                <w:lang w:val="en-US" w:eastAsia="zh-CN" w:bidi="ar-SA"/>
              </w:rPr>
            </w:pPr>
            <w:r>
              <w:rPr>
                <w:rFonts w:hint="eastAsia" w:ascii="宋体" w:hAnsi="宋体" w:eastAsia="Times New Roman" w:cs="宋体"/>
                <w:color w:val="auto"/>
                <w:kern w:val="0"/>
                <w:sz w:val="24"/>
                <w:szCs w:val="24"/>
                <w:highlight w:val="none"/>
                <w:lang w:val="zh-CN" w:eastAsia="zh-CN" w:bidi="ar-SA"/>
              </w:rPr>
              <w:t>投标文件是否</w:t>
            </w:r>
            <w:r>
              <w:rPr>
                <w:rFonts w:hint="eastAsia" w:ascii="宋体" w:hAnsi="宋体" w:eastAsia="Times New Roman" w:cs="宋体"/>
                <w:color w:val="auto"/>
                <w:kern w:val="0"/>
                <w:sz w:val="24"/>
                <w:szCs w:val="24"/>
                <w:highlight w:val="none"/>
                <w:lang w:val="en-US" w:eastAsia="zh-CN" w:bidi="ar-SA"/>
              </w:rPr>
              <w:t>存在</w:t>
            </w:r>
            <w:r>
              <w:rPr>
                <w:rFonts w:hint="eastAsia" w:ascii="宋体" w:hAnsi="宋体" w:eastAsia="Times New Roman" w:cs="宋体"/>
                <w:color w:val="auto"/>
                <w:kern w:val="0"/>
                <w:sz w:val="24"/>
                <w:szCs w:val="24"/>
                <w:highlight w:val="none"/>
                <w:lang w:val="zh-CN" w:eastAsia="zh-CN" w:bidi="ar-SA"/>
              </w:rPr>
              <w:t>不符合</w:t>
            </w:r>
            <w:r>
              <w:rPr>
                <w:rFonts w:hint="eastAsia" w:ascii="宋体" w:hAnsi="宋体" w:eastAsia="Times New Roman" w:cs="宋体"/>
                <w:color w:val="auto"/>
                <w:kern w:val="0"/>
                <w:sz w:val="24"/>
                <w:szCs w:val="24"/>
                <w:highlight w:val="none"/>
                <w:lang w:val="en-US" w:eastAsia="zh-CN" w:bidi="ar-SA"/>
              </w:rPr>
              <w:t>招标</w:t>
            </w:r>
            <w:r>
              <w:rPr>
                <w:rFonts w:hint="eastAsia" w:ascii="宋体" w:hAnsi="宋体" w:eastAsia="Times New Roman" w:cs="宋体"/>
                <w:color w:val="auto"/>
                <w:kern w:val="0"/>
                <w:sz w:val="24"/>
                <w:szCs w:val="24"/>
                <w:highlight w:val="none"/>
                <w:lang w:val="zh-CN" w:eastAsia="zh-CN" w:bidi="ar-SA"/>
              </w:rPr>
              <w:t>文件要求的</w:t>
            </w:r>
            <w:r>
              <w:rPr>
                <w:rFonts w:hint="eastAsia" w:ascii="宋体" w:hAnsi="宋体" w:eastAsia="Times New Roman" w:cs="宋体"/>
                <w:color w:val="auto"/>
                <w:kern w:val="0"/>
                <w:sz w:val="24"/>
                <w:szCs w:val="24"/>
                <w:highlight w:val="none"/>
                <w:lang w:val="en-US" w:eastAsia="zh-CN" w:bidi="ar-SA"/>
              </w:rPr>
              <w:t>其它实质性条款的</w:t>
            </w:r>
            <w:r>
              <w:rPr>
                <w:rFonts w:hint="eastAsia" w:ascii="宋体" w:hAnsi="宋体" w:eastAsia="Times New Roman" w:cs="宋体"/>
                <w:color w:val="auto"/>
                <w:kern w:val="0"/>
                <w:sz w:val="24"/>
                <w:szCs w:val="24"/>
                <w:highlight w:val="none"/>
                <w:lang w:val="zh-CN" w:eastAsia="zh-CN" w:bidi="ar-SA"/>
              </w:rPr>
              <w:t>；</w:t>
            </w:r>
          </w:p>
        </w:tc>
        <w:tc>
          <w:tcPr>
            <w:tcW w:w="1022" w:type="dxa"/>
            <w:tcBorders>
              <w:top w:val="outset" w:color="auto" w:sz="6" w:space="0"/>
              <w:left w:val="outset" w:color="auto" w:sz="6" w:space="0"/>
              <w:bottom w:val="outset" w:color="auto" w:sz="6" w:space="0"/>
              <w:right w:val="outset" w:color="auto" w:sz="6" w:space="0"/>
            </w:tcBorders>
            <w:noWrap w:val="0"/>
            <w:vAlign w:val="center"/>
          </w:tcPr>
          <w:p w14:paraId="25DBE1AD">
            <w:pPr>
              <w:pStyle w:val="74"/>
              <w:rPr>
                <w:color w:val="auto"/>
                <w:highlight w:val="none"/>
              </w:rPr>
            </w:pPr>
          </w:p>
        </w:tc>
        <w:tc>
          <w:tcPr>
            <w:tcW w:w="973" w:type="dxa"/>
            <w:tcBorders>
              <w:top w:val="outset" w:color="auto" w:sz="6" w:space="0"/>
              <w:left w:val="outset" w:color="auto" w:sz="6" w:space="0"/>
              <w:bottom w:val="outset" w:color="auto" w:sz="6" w:space="0"/>
              <w:right w:val="outset" w:color="auto" w:sz="6" w:space="0"/>
            </w:tcBorders>
            <w:noWrap w:val="0"/>
            <w:vAlign w:val="center"/>
          </w:tcPr>
          <w:p w14:paraId="3014F9EC">
            <w:pPr>
              <w:pStyle w:val="74"/>
              <w:rPr>
                <w:color w:val="auto"/>
                <w:highlight w:val="none"/>
              </w:rPr>
            </w:pPr>
          </w:p>
        </w:tc>
      </w:tr>
      <w:tr w14:paraId="670FDA20">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571" w:type="dxa"/>
            <w:vMerge w:val="continue"/>
            <w:tcBorders>
              <w:top w:val="outset" w:color="auto" w:sz="6" w:space="0"/>
              <w:left w:val="outset" w:color="auto" w:sz="6" w:space="0"/>
              <w:bottom w:val="single" w:color="auto" w:sz="4" w:space="0"/>
              <w:right w:val="outset" w:color="auto" w:sz="6" w:space="0"/>
            </w:tcBorders>
            <w:noWrap w:val="0"/>
            <w:vAlign w:val="center"/>
          </w:tcPr>
          <w:p w14:paraId="2794396F">
            <w:pPr>
              <w:pStyle w:val="74"/>
              <w:rPr>
                <w:color w:val="auto"/>
                <w:highlight w:val="none"/>
              </w:rPr>
            </w:pPr>
          </w:p>
        </w:tc>
        <w:tc>
          <w:tcPr>
            <w:tcW w:w="694" w:type="dxa"/>
            <w:vMerge w:val="continue"/>
            <w:tcBorders>
              <w:top w:val="outset" w:color="auto" w:sz="6" w:space="0"/>
              <w:left w:val="outset" w:color="auto" w:sz="6" w:space="0"/>
              <w:bottom w:val="single" w:color="auto" w:sz="4" w:space="0"/>
              <w:right w:val="outset" w:color="auto" w:sz="6" w:space="0"/>
            </w:tcBorders>
            <w:noWrap w:val="0"/>
            <w:vAlign w:val="center"/>
          </w:tcPr>
          <w:p w14:paraId="173778EB">
            <w:pPr>
              <w:pStyle w:val="74"/>
              <w:jc w:val="left"/>
              <w:rPr>
                <w:rFonts w:hint="eastAsia" w:ascii="宋体" w:hAnsi="宋体" w:eastAsia="Times New Roman" w:cs="宋体"/>
                <w:color w:val="auto"/>
                <w:sz w:val="24"/>
                <w:highlight w:val="none"/>
                <w:lang w:val="en-US" w:eastAsia="zh-CN"/>
              </w:rPr>
            </w:pPr>
          </w:p>
        </w:tc>
        <w:tc>
          <w:tcPr>
            <w:tcW w:w="1613" w:type="dxa"/>
            <w:vMerge w:val="continue"/>
            <w:tcBorders>
              <w:left w:val="outset" w:color="auto" w:sz="6" w:space="0"/>
              <w:bottom w:val="single" w:color="auto" w:sz="4" w:space="0"/>
              <w:right w:val="outset" w:color="auto" w:sz="6" w:space="0"/>
            </w:tcBorders>
            <w:noWrap w:val="0"/>
            <w:vAlign w:val="center"/>
          </w:tcPr>
          <w:p w14:paraId="6E52A656">
            <w:pPr>
              <w:pStyle w:val="74"/>
              <w:jc w:val="center"/>
              <w:rPr>
                <w:rFonts w:hint="default" w:ascii="宋体" w:hAnsi="宋体" w:eastAsia="Times New Roman" w:cs="宋体"/>
                <w:color w:val="auto"/>
                <w:sz w:val="24"/>
                <w:highlight w:val="none"/>
                <w:lang w:val="en-US" w:eastAsia="zh-CN"/>
              </w:rPr>
            </w:pPr>
          </w:p>
        </w:tc>
        <w:tc>
          <w:tcPr>
            <w:tcW w:w="4928" w:type="dxa"/>
            <w:tcBorders>
              <w:top w:val="outset" w:color="auto" w:sz="6" w:space="0"/>
              <w:left w:val="outset" w:color="auto" w:sz="6" w:space="0"/>
              <w:bottom w:val="single" w:color="auto" w:sz="4" w:space="0"/>
              <w:right w:val="outset" w:color="auto" w:sz="6" w:space="0"/>
            </w:tcBorders>
            <w:noWrap w:val="0"/>
            <w:vAlign w:val="center"/>
          </w:tcPr>
          <w:p w14:paraId="4509BC4B">
            <w:pPr>
              <w:pStyle w:val="74"/>
              <w:jc w:val="left"/>
              <w:rPr>
                <w:rFonts w:hint="eastAsia" w:ascii="宋体" w:hAnsi="宋体" w:eastAsia="Times New Roman" w:cs="宋体"/>
                <w:color w:val="auto"/>
                <w:sz w:val="24"/>
                <w:highlight w:val="none"/>
                <w:lang w:val="en-US" w:eastAsia="zh-CN"/>
              </w:rPr>
            </w:pPr>
            <w:r>
              <w:rPr>
                <w:rFonts w:hint="eastAsia" w:ascii="宋体" w:hAnsi="宋体" w:eastAsia="Times New Roman" w:cs="宋体"/>
                <w:color w:val="auto"/>
                <w:sz w:val="24"/>
                <w:highlight w:val="none"/>
                <w:lang w:val="zh-CN" w:eastAsia="zh-CN"/>
              </w:rPr>
              <w:t>投标文件是否附有招标人不能接受的条件；</w:t>
            </w:r>
          </w:p>
        </w:tc>
        <w:tc>
          <w:tcPr>
            <w:tcW w:w="1022" w:type="dxa"/>
            <w:tcBorders>
              <w:top w:val="outset" w:color="auto" w:sz="6" w:space="0"/>
              <w:left w:val="outset" w:color="auto" w:sz="6" w:space="0"/>
              <w:bottom w:val="single" w:color="auto" w:sz="4" w:space="0"/>
              <w:right w:val="outset" w:color="auto" w:sz="6" w:space="0"/>
            </w:tcBorders>
            <w:noWrap w:val="0"/>
            <w:vAlign w:val="center"/>
          </w:tcPr>
          <w:p w14:paraId="70C32E6D">
            <w:pPr>
              <w:pStyle w:val="74"/>
              <w:rPr>
                <w:color w:val="auto"/>
                <w:highlight w:val="none"/>
              </w:rPr>
            </w:pPr>
          </w:p>
        </w:tc>
        <w:tc>
          <w:tcPr>
            <w:tcW w:w="973" w:type="dxa"/>
            <w:tcBorders>
              <w:top w:val="outset" w:color="auto" w:sz="6" w:space="0"/>
              <w:left w:val="outset" w:color="auto" w:sz="6" w:space="0"/>
              <w:bottom w:val="single" w:color="auto" w:sz="4" w:space="0"/>
              <w:right w:val="outset" w:color="auto" w:sz="6" w:space="0"/>
            </w:tcBorders>
            <w:noWrap w:val="0"/>
            <w:vAlign w:val="center"/>
          </w:tcPr>
          <w:p w14:paraId="16867E50">
            <w:pPr>
              <w:pStyle w:val="74"/>
              <w:rPr>
                <w:color w:val="auto"/>
                <w:highlight w:val="none"/>
              </w:rPr>
            </w:pPr>
          </w:p>
        </w:tc>
      </w:tr>
      <w:tr w14:paraId="3AF6A234">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265" w:type="dxa"/>
            <w:gridSpan w:val="2"/>
            <w:tcBorders>
              <w:top w:val="single" w:color="auto" w:sz="4" w:space="0"/>
              <w:left w:val="outset" w:color="auto" w:sz="6" w:space="0"/>
              <w:bottom w:val="outset" w:color="auto" w:sz="6" w:space="0"/>
              <w:right w:val="outset" w:color="auto" w:sz="6" w:space="0"/>
            </w:tcBorders>
            <w:noWrap w:val="0"/>
            <w:vAlign w:val="center"/>
          </w:tcPr>
          <w:p w14:paraId="73F23869">
            <w:pPr>
              <w:spacing w:line="400" w:lineRule="exact"/>
              <w:jc w:val="center"/>
              <w:rPr>
                <w:rFonts w:hint="eastAsia" w:ascii="宋体" w:hAnsi="宋体" w:eastAsia="Times New Roman" w:cs="宋体"/>
                <w:color w:val="auto"/>
                <w:kern w:val="0"/>
                <w:sz w:val="24"/>
                <w:szCs w:val="24"/>
                <w:highlight w:val="none"/>
                <w:lang w:val="en-US" w:eastAsia="zh-CN" w:bidi="ar-SA"/>
              </w:rPr>
            </w:pPr>
            <w:r>
              <w:rPr>
                <w:rFonts w:hint="eastAsia" w:ascii="宋体" w:hAnsi="宋体" w:eastAsia="Times New Roman" w:cs="宋体"/>
                <w:color w:val="auto"/>
                <w:kern w:val="0"/>
                <w:sz w:val="24"/>
                <w:szCs w:val="24"/>
                <w:highlight w:val="none"/>
                <w:lang w:val="zh-CN" w:eastAsia="zh-CN" w:bidi="ar-SA"/>
              </w:rPr>
              <w:t>说明</w:t>
            </w:r>
          </w:p>
        </w:tc>
        <w:tc>
          <w:tcPr>
            <w:tcW w:w="8536" w:type="dxa"/>
            <w:gridSpan w:val="4"/>
            <w:tcBorders>
              <w:top w:val="single" w:color="auto" w:sz="4" w:space="0"/>
              <w:left w:val="outset" w:color="auto" w:sz="6" w:space="0"/>
              <w:bottom w:val="outset" w:color="auto" w:sz="6" w:space="0"/>
              <w:right w:val="outset" w:color="auto" w:sz="6" w:space="0"/>
            </w:tcBorders>
            <w:noWrap w:val="0"/>
            <w:vAlign w:val="center"/>
          </w:tcPr>
          <w:p w14:paraId="7D9E68AB">
            <w:pPr>
              <w:spacing w:line="400" w:lineRule="exact"/>
              <w:rPr>
                <w:rFonts w:hint="eastAsia" w:ascii="宋体" w:hAnsi="宋体" w:eastAsia="Times New Roman" w:cs="宋体"/>
                <w:color w:val="auto"/>
                <w:kern w:val="0"/>
                <w:sz w:val="24"/>
                <w:szCs w:val="24"/>
                <w:highlight w:val="none"/>
                <w:lang w:val="zh-CN" w:eastAsia="zh-CN" w:bidi="ar-SA"/>
              </w:rPr>
            </w:pPr>
            <w:r>
              <w:rPr>
                <w:rFonts w:hint="eastAsia" w:ascii="宋体" w:hAnsi="宋体" w:eastAsia="Times New Roman" w:cs="宋体"/>
                <w:color w:val="auto"/>
                <w:kern w:val="0"/>
                <w:sz w:val="24"/>
                <w:szCs w:val="24"/>
                <w:highlight w:val="none"/>
                <w:lang w:val="zh-CN" w:eastAsia="zh-CN" w:bidi="ar-SA"/>
              </w:rPr>
              <w:t>每一项评审内容：通过打（√），不通过打（×）；</w:t>
            </w:r>
          </w:p>
          <w:p w14:paraId="7887BE82">
            <w:pPr>
              <w:spacing w:line="400" w:lineRule="exact"/>
              <w:rPr>
                <w:rFonts w:hint="eastAsia" w:ascii="宋体" w:hAnsi="宋体" w:eastAsia="Times New Roman" w:cs="宋体"/>
                <w:color w:val="auto"/>
                <w:kern w:val="0"/>
                <w:sz w:val="24"/>
                <w:szCs w:val="24"/>
                <w:highlight w:val="none"/>
                <w:lang w:val="zh-CN" w:eastAsia="zh-CN" w:bidi="ar-SA"/>
              </w:rPr>
            </w:pPr>
            <w:r>
              <w:rPr>
                <w:rFonts w:hint="eastAsia" w:ascii="宋体" w:hAnsi="宋体" w:eastAsia="Times New Roman" w:cs="宋体"/>
                <w:color w:val="auto"/>
                <w:kern w:val="0"/>
                <w:sz w:val="24"/>
                <w:szCs w:val="24"/>
                <w:highlight w:val="none"/>
                <w:lang w:val="zh-CN" w:eastAsia="zh-CN" w:bidi="ar-SA"/>
              </w:rPr>
              <w:t>审查最终结论：通过或不通过</w:t>
            </w:r>
          </w:p>
        </w:tc>
      </w:tr>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tbl>
    <w:p w14:paraId="2A3AEE85">
      <w:pPr>
        <w:rPr>
          <w:rFonts w:hint="eastAsia"/>
          <w:color w:val="auto"/>
          <w:highlight w:val="none"/>
        </w:rPr>
      </w:pPr>
    </w:p>
    <w:p w14:paraId="6BE2B575">
      <w:pPr>
        <w:rPr>
          <w:rFonts w:hint="eastAsia"/>
          <w:color w:val="auto"/>
          <w:highlight w:val="none"/>
        </w:rPr>
      </w:pPr>
    </w:p>
    <w:p w14:paraId="2359DE77">
      <w:pPr>
        <w:rPr>
          <w:rFonts w:hint="eastAsia"/>
          <w:color w:val="auto"/>
          <w:highlight w:val="none"/>
        </w:rPr>
      </w:pPr>
    </w:p>
    <w:p w14:paraId="75D48708">
      <w:pPr>
        <w:pStyle w:val="2"/>
        <w:spacing w:line="240" w:lineRule="auto"/>
        <w:ind w:firstLine="3092" w:firstLineChars="1100"/>
        <w:jc w:val="both"/>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商务技术、价格响应性评审表</w:t>
      </w:r>
    </w:p>
    <w:tbl>
      <w:tblPr>
        <w:tblStyle w:val="31"/>
        <w:tblW w:w="92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4"/>
        <w:gridCol w:w="6513"/>
        <w:gridCol w:w="1059"/>
      </w:tblGrid>
      <w:tr w14:paraId="3D100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8207" w:type="dxa"/>
            <w:gridSpan w:val="2"/>
            <w:noWrap w:val="0"/>
            <w:vAlign w:val="center"/>
          </w:tcPr>
          <w:p w14:paraId="796F35C2">
            <w:pPr>
              <w:pStyle w:val="74"/>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具体评分办法</w:t>
            </w:r>
          </w:p>
        </w:tc>
        <w:tc>
          <w:tcPr>
            <w:tcW w:w="1059" w:type="dxa"/>
            <w:noWrap w:val="0"/>
            <w:vAlign w:val="center"/>
          </w:tcPr>
          <w:p w14:paraId="7A3C0846">
            <w:pPr>
              <w:pStyle w:val="74"/>
              <w:jc w:val="center"/>
              <w:rPr>
                <w:rFonts w:hint="eastAsia" w:ascii="宋体" w:hAnsi="宋体" w:eastAsia="Times New Roman" w:cs="宋体"/>
                <w:b/>
                <w:bCs/>
                <w:color w:val="auto"/>
                <w:sz w:val="24"/>
                <w:highlight w:val="none"/>
                <w:lang w:val="en-US" w:eastAsia="zh-CN"/>
              </w:rPr>
            </w:pPr>
            <w:r>
              <w:rPr>
                <w:rFonts w:hint="eastAsia" w:ascii="宋体" w:hAnsi="宋体" w:eastAsia="Times New Roman" w:cs="宋体"/>
                <w:b/>
                <w:bCs/>
                <w:color w:val="auto"/>
                <w:sz w:val="24"/>
                <w:highlight w:val="none"/>
                <w:lang w:val="en-US" w:eastAsia="zh-CN"/>
              </w:rPr>
              <w:t>100分</w:t>
            </w:r>
          </w:p>
        </w:tc>
      </w:tr>
      <w:tr w14:paraId="0E5DE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8207" w:type="dxa"/>
            <w:gridSpan w:val="2"/>
            <w:noWrap w:val="0"/>
            <w:vAlign w:val="center"/>
          </w:tcPr>
          <w:p w14:paraId="1FC1C6DF">
            <w:pPr>
              <w:widowControl w:val="0"/>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价格部分</w:t>
            </w:r>
          </w:p>
        </w:tc>
        <w:tc>
          <w:tcPr>
            <w:tcW w:w="1059" w:type="dxa"/>
            <w:noWrap w:val="0"/>
            <w:vAlign w:val="center"/>
          </w:tcPr>
          <w:p w14:paraId="259AF22E">
            <w:pPr>
              <w:widowControl w:val="0"/>
              <w:spacing w:line="360" w:lineRule="auto"/>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30分</w:t>
            </w:r>
          </w:p>
        </w:tc>
      </w:tr>
      <w:tr w14:paraId="534F9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7" w:hRule="atLeast"/>
        </w:trPr>
        <w:tc>
          <w:tcPr>
            <w:tcW w:w="1694" w:type="dxa"/>
            <w:noWrap w:val="0"/>
            <w:vAlign w:val="center"/>
          </w:tcPr>
          <w:p w14:paraId="321943A0">
            <w:pPr>
              <w:widowControl w:val="0"/>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价格</w:t>
            </w:r>
          </w:p>
          <w:p w14:paraId="5808F007">
            <w:pPr>
              <w:widowControl w:val="0"/>
              <w:jc w:val="center"/>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部分</w:t>
            </w:r>
          </w:p>
          <w:p w14:paraId="6D093FEE">
            <w:pPr>
              <w:pStyle w:val="30"/>
              <w:ind w:left="420" w:firstLine="420"/>
              <w:jc w:val="left"/>
              <w:rPr>
                <w:rFonts w:hint="eastAsia"/>
                <w:color w:val="auto"/>
                <w:highlight w:val="none"/>
              </w:rPr>
            </w:pPr>
          </w:p>
        </w:tc>
        <w:tc>
          <w:tcPr>
            <w:tcW w:w="6513" w:type="dxa"/>
            <w:noWrap w:val="0"/>
            <w:vAlign w:val="center"/>
          </w:tcPr>
          <w:p w14:paraId="7503269D">
            <w:pPr>
              <w:widowControl w:val="0"/>
              <w:spacing w:line="360" w:lineRule="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评</w:t>
            </w:r>
            <w:r>
              <w:rPr>
                <w:rFonts w:hint="eastAsia" w:ascii="宋体" w:hAnsi="宋体" w:eastAsia="宋体" w:cs="宋体"/>
                <w:color w:val="auto"/>
                <w:sz w:val="24"/>
                <w:szCs w:val="24"/>
                <w:highlight w:val="none"/>
              </w:rPr>
              <w:t>分办法：采用低价优先法计算，即满足磋商文件要求且价格最低的报价为评标基准价，其价格得分为满分。</w:t>
            </w:r>
          </w:p>
          <w:p w14:paraId="622B1137">
            <w:pPr>
              <w:widowControl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价格得分=（磋商基准价/磋商报价）×价格权值，如此类推，算出所有供应商的价格得分；</w:t>
            </w:r>
          </w:p>
          <w:p w14:paraId="00524B0F">
            <w:pPr>
              <w:widowControl w:val="0"/>
              <w:spacing w:line="360" w:lineRule="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以最终有效报价作为计算报价；</w:t>
            </w:r>
          </w:p>
          <w:p w14:paraId="76C76D1E">
            <w:pPr>
              <w:widowControl w:val="0"/>
              <w:spacing w:line="360" w:lineRule="auto"/>
              <w:rPr>
                <w:rFonts w:hint="eastAsia" w:ascii="宋体" w:hAnsi="宋体" w:cs="宋体"/>
                <w:color w:val="auto"/>
                <w:sz w:val="24"/>
                <w:szCs w:val="24"/>
                <w:highlight w:val="none"/>
              </w:rPr>
            </w:pPr>
            <w:r>
              <w:rPr>
                <w:rFonts w:hint="eastAsia" w:ascii="宋体" w:hAnsi="宋体" w:eastAsia="宋体" w:cs="宋体"/>
                <w:color w:val="auto"/>
                <w:sz w:val="24"/>
                <w:szCs w:val="24"/>
                <w:highlight w:val="none"/>
              </w:rPr>
              <w:t>本项目为专门面向</w:t>
            </w:r>
            <w:r>
              <w:rPr>
                <w:rFonts w:hint="eastAsia" w:ascii="宋体" w:hAnsi="宋体" w:eastAsia="宋体" w:cs="宋体"/>
                <w:color w:val="auto"/>
                <w:sz w:val="24"/>
                <w:szCs w:val="24"/>
                <w:highlight w:val="none"/>
                <w:lang w:val="en-US" w:eastAsia="zh-CN"/>
              </w:rPr>
              <w:t>中</w:t>
            </w:r>
            <w:r>
              <w:rPr>
                <w:rFonts w:hint="eastAsia" w:ascii="宋体" w:hAnsi="宋体" w:eastAsia="宋体" w:cs="宋体"/>
                <w:color w:val="auto"/>
                <w:sz w:val="24"/>
                <w:szCs w:val="24"/>
                <w:highlight w:val="none"/>
              </w:rPr>
              <w:t>小企业采购，不进行价格扣除评审。</w:t>
            </w:r>
          </w:p>
        </w:tc>
        <w:tc>
          <w:tcPr>
            <w:tcW w:w="1059" w:type="dxa"/>
            <w:noWrap w:val="0"/>
            <w:vAlign w:val="center"/>
          </w:tcPr>
          <w:p w14:paraId="72030C38">
            <w:pPr>
              <w:widowControl w:val="0"/>
              <w:spacing w:line="360" w:lineRule="auto"/>
              <w:ind w:firstLine="240" w:firstLineChars="100"/>
              <w:rPr>
                <w:rFonts w:hint="eastAsia" w:ascii="宋体" w:hAnsi="宋体" w:cs="宋体"/>
                <w:b/>
                <w:bCs/>
                <w:color w:val="auto"/>
                <w:sz w:val="24"/>
                <w:szCs w:val="24"/>
                <w:highlight w:val="none"/>
              </w:rPr>
            </w:pPr>
            <w:r>
              <w:rPr>
                <w:rStyle w:val="75"/>
                <w:rFonts w:hint="eastAsia" w:ascii="宋体" w:hAnsi="宋体" w:cs="宋体"/>
                <w:color w:val="auto"/>
                <w:sz w:val="24"/>
                <w:szCs w:val="24"/>
                <w:highlight w:val="none"/>
              </w:rPr>
              <w:t>30</w:t>
            </w:r>
          </w:p>
        </w:tc>
      </w:tr>
      <w:tr w14:paraId="4AE13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8207" w:type="dxa"/>
            <w:gridSpan w:val="2"/>
            <w:noWrap w:val="0"/>
            <w:vAlign w:val="center"/>
          </w:tcPr>
          <w:p w14:paraId="47C20BCB">
            <w:pPr>
              <w:widowControl w:val="0"/>
              <w:spacing w:line="360" w:lineRule="auto"/>
              <w:ind w:firstLine="480" w:firstLineChars="200"/>
              <w:jc w:val="center"/>
              <w:rPr>
                <w:rFonts w:hint="eastAsia" w:ascii="宋体" w:hAnsi="宋体" w:cs="宋体"/>
                <w:b/>
                <w:bCs/>
                <w:color w:val="auto"/>
                <w:sz w:val="28"/>
                <w:szCs w:val="28"/>
                <w:highlight w:val="none"/>
              </w:rPr>
            </w:pPr>
            <w:r>
              <w:rPr>
                <w:rFonts w:hint="eastAsia" w:ascii="宋体" w:hAnsi="宋体" w:eastAsia="Times New Roman" w:cs="宋体"/>
                <w:b/>
                <w:bCs/>
                <w:color w:val="auto"/>
                <w:kern w:val="0"/>
                <w:sz w:val="24"/>
                <w:szCs w:val="24"/>
                <w:highlight w:val="none"/>
                <w:lang w:val="en-US" w:eastAsia="zh-CN" w:bidi="ar-SA"/>
              </w:rPr>
              <w:t>技术商务部分</w:t>
            </w:r>
          </w:p>
        </w:tc>
        <w:tc>
          <w:tcPr>
            <w:tcW w:w="1059" w:type="dxa"/>
            <w:noWrap w:val="0"/>
            <w:vAlign w:val="center"/>
          </w:tcPr>
          <w:p w14:paraId="10E9A22B">
            <w:pPr>
              <w:widowControl w:val="0"/>
              <w:spacing w:line="360" w:lineRule="auto"/>
              <w:jc w:val="center"/>
              <w:rPr>
                <w:rFonts w:hint="eastAsia" w:ascii="宋体" w:hAnsi="宋体" w:cs="宋体"/>
                <w:b/>
                <w:bCs/>
                <w:color w:val="auto"/>
                <w:sz w:val="28"/>
                <w:szCs w:val="28"/>
                <w:highlight w:val="none"/>
              </w:rPr>
            </w:pPr>
            <w:r>
              <w:rPr>
                <w:rFonts w:hint="eastAsia" w:ascii="宋体" w:hAnsi="宋体" w:cs="宋体"/>
                <w:b/>
                <w:bCs/>
                <w:color w:val="auto"/>
                <w:sz w:val="24"/>
                <w:szCs w:val="24"/>
                <w:highlight w:val="none"/>
              </w:rPr>
              <w:t>70分</w:t>
            </w:r>
          </w:p>
        </w:tc>
      </w:tr>
      <w:tr w14:paraId="0C80D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9266" w:type="dxa"/>
            <w:gridSpan w:val="3"/>
            <w:noWrap w:val="0"/>
            <w:vAlign w:val="center"/>
          </w:tcPr>
          <w:p w14:paraId="62E682FB">
            <w:pPr>
              <w:widowControl w:val="0"/>
              <w:spacing w:line="360" w:lineRule="auto"/>
              <w:jc w:val="center"/>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rPr>
              <w:t>（一）商务部分</w:t>
            </w:r>
          </w:p>
        </w:tc>
      </w:tr>
      <w:tr w14:paraId="5D9B9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trPr>
        <w:tc>
          <w:tcPr>
            <w:tcW w:w="1694" w:type="dxa"/>
            <w:noWrap w:val="0"/>
            <w:vAlign w:val="center"/>
          </w:tcPr>
          <w:p w14:paraId="0B9A15AB">
            <w:pPr>
              <w:spacing w:line="240" w:lineRule="auto"/>
              <w:jc w:val="center"/>
              <w:rPr>
                <w:rFonts w:hint="eastAsia" w:ascii="宋体" w:hAnsi="宋体" w:eastAsia="Times New Roman" w:cs="宋体"/>
                <w:color w:val="auto"/>
                <w:kern w:val="0"/>
                <w:sz w:val="24"/>
                <w:szCs w:val="24"/>
                <w:highlight w:val="none"/>
                <w:lang w:val="zh-CN" w:eastAsia="zh-CN" w:bidi="ar-SA"/>
              </w:rPr>
            </w:pPr>
            <w:r>
              <w:rPr>
                <w:rFonts w:hint="eastAsia" w:ascii="宋体" w:hAnsi="宋体" w:eastAsia="Times New Roman" w:cs="宋体"/>
                <w:color w:val="auto"/>
                <w:kern w:val="0"/>
                <w:sz w:val="24"/>
                <w:szCs w:val="24"/>
                <w:highlight w:val="none"/>
                <w:lang w:val="zh-CN" w:eastAsia="zh-CN" w:bidi="ar-SA"/>
              </w:rPr>
              <w:t>企业业绩</w:t>
            </w:r>
          </w:p>
        </w:tc>
        <w:tc>
          <w:tcPr>
            <w:tcW w:w="6513" w:type="dxa"/>
            <w:noWrap w:val="0"/>
            <w:vAlign w:val="center"/>
          </w:tcPr>
          <w:p w14:paraId="1938C39F">
            <w:pPr>
              <w:spacing w:line="240" w:lineRule="auto"/>
              <w:jc w:val="left"/>
              <w:rPr>
                <w:rFonts w:hint="eastAsia" w:ascii="宋体" w:hAnsi="宋体" w:eastAsia="Times New Roman" w:cs="宋体"/>
                <w:color w:val="auto"/>
                <w:kern w:val="0"/>
                <w:sz w:val="24"/>
                <w:szCs w:val="24"/>
                <w:highlight w:val="none"/>
                <w:lang w:val="zh-CN" w:eastAsia="zh-CN" w:bidi="ar-SA"/>
              </w:rPr>
            </w:pPr>
            <w:r>
              <w:rPr>
                <w:rFonts w:hint="eastAsia" w:ascii="宋体" w:hAnsi="宋体" w:eastAsia="Times New Roman" w:cs="宋体"/>
                <w:color w:val="auto"/>
                <w:kern w:val="0"/>
                <w:sz w:val="24"/>
                <w:szCs w:val="24"/>
                <w:highlight w:val="none"/>
                <w:lang w:val="zh-CN" w:eastAsia="zh-CN" w:bidi="ar-SA"/>
              </w:rPr>
              <w:t>供应商提供近三年（2022年4月至今，以合同签订日期为准）完成的类似工程业绩，每提供一项业绩得2分，满分4分，不提供不得分；</w:t>
            </w:r>
          </w:p>
          <w:p w14:paraId="4E44F0E4">
            <w:pPr>
              <w:spacing w:line="240" w:lineRule="auto"/>
              <w:jc w:val="left"/>
              <w:rPr>
                <w:rFonts w:hint="eastAsia"/>
                <w:color w:val="auto"/>
                <w:highlight w:val="none"/>
                <w:lang w:val="zh-CN" w:eastAsia="zh-CN"/>
              </w:rPr>
            </w:pPr>
            <w:r>
              <w:rPr>
                <w:rFonts w:hint="eastAsia" w:ascii="宋体" w:hAnsi="宋体" w:eastAsia="Times New Roman" w:cs="宋体"/>
                <w:color w:val="auto"/>
                <w:kern w:val="0"/>
                <w:sz w:val="24"/>
                <w:szCs w:val="24"/>
                <w:highlight w:val="none"/>
                <w:lang w:val="zh-CN" w:eastAsia="zh-CN" w:bidi="ar-SA"/>
              </w:rPr>
              <w:t>提供以下资料的扫描件：中标通知书（或成交通知书）+合同协议书+工程接收证书（工程竣工验收证书）</w:t>
            </w:r>
          </w:p>
        </w:tc>
        <w:tc>
          <w:tcPr>
            <w:tcW w:w="1059" w:type="dxa"/>
            <w:noWrap w:val="0"/>
            <w:vAlign w:val="center"/>
          </w:tcPr>
          <w:p w14:paraId="34A6C28E">
            <w:pPr>
              <w:widowControl w:val="0"/>
              <w:spacing w:line="360" w:lineRule="auto"/>
              <w:jc w:val="center"/>
              <w:rPr>
                <w:rFonts w:ascii="宋体" w:hAnsi="宋体" w:cs="宋体"/>
                <w:b/>
                <w:bCs/>
                <w:color w:val="auto"/>
                <w:sz w:val="24"/>
                <w:szCs w:val="24"/>
                <w:highlight w:val="none"/>
              </w:rPr>
            </w:pPr>
            <w:r>
              <w:rPr>
                <w:rFonts w:hint="eastAsia" w:ascii="宋体" w:hAnsi="宋体" w:cs="宋体"/>
                <w:color w:val="auto"/>
                <w:sz w:val="24"/>
                <w:szCs w:val="24"/>
                <w:highlight w:val="none"/>
              </w:rPr>
              <w:t>4</w:t>
            </w:r>
          </w:p>
        </w:tc>
      </w:tr>
      <w:tr w14:paraId="17B98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trPr>
        <w:tc>
          <w:tcPr>
            <w:tcW w:w="1694" w:type="dxa"/>
            <w:noWrap w:val="0"/>
            <w:vAlign w:val="center"/>
          </w:tcPr>
          <w:p w14:paraId="31D028C6">
            <w:pPr>
              <w:pStyle w:val="27"/>
              <w:jc w:val="center"/>
              <w:rPr>
                <w:rFonts w:hint="eastAsia" w:ascii="宋体" w:hAnsi="宋体" w:eastAsia="Times New Roman" w:cs="宋体"/>
                <w:color w:val="auto"/>
                <w:kern w:val="0"/>
                <w:sz w:val="24"/>
                <w:szCs w:val="24"/>
                <w:highlight w:val="none"/>
                <w:lang w:val="zh-CN" w:eastAsia="zh-CN" w:bidi="ar-SA"/>
              </w:rPr>
            </w:pPr>
            <w:r>
              <w:rPr>
                <w:rFonts w:hint="eastAsia" w:ascii="宋体" w:hAnsi="宋体" w:eastAsia="Times New Roman" w:cs="宋体"/>
                <w:color w:val="auto"/>
                <w:kern w:val="0"/>
                <w:sz w:val="24"/>
                <w:szCs w:val="24"/>
                <w:highlight w:val="none"/>
                <w:lang w:val="zh-CN" w:eastAsia="zh-CN" w:bidi="ar-SA"/>
              </w:rPr>
              <w:t>项目</w:t>
            </w:r>
          </w:p>
          <w:p w14:paraId="251FD068">
            <w:pPr>
              <w:pStyle w:val="27"/>
              <w:jc w:val="center"/>
              <w:rPr>
                <w:rFonts w:hint="eastAsia" w:ascii="宋体" w:hAnsi="宋体" w:eastAsia="Times New Roman" w:cs="宋体"/>
                <w:color w:val="auto"/>
                <w:kern w:val="0"/>
                <w:sz w:val="24"/>
                <w:szCs w:val="24"/>
                <w:highlight w:val="none"/>
                <w:lang w:val="en-US" w:eastAsia="zh-CN" w:bidi="ar-SA"/>
              </w:rPr>
            </w:pPr>
            <w:r>
              <w:rPr>
                <w:rFonts w:hint="eastAsia" w:ascii="宋体" w:hAnsi="宋体" w:eastAsia="Times New Roman" w:cs="宋体"/>
                <w:color w:val="auto"/>
                <w:kern w:val="0"/>
                <w:sz w:val="24"/>
                <w:szCs w:val="24"/>
                <w:highlight w:val="none"/>
                <w:lang w:val="zh-CN" w:eastAsia="zh-CN" w:bidi="ar-SA"/>
              </w:rPr>
              <w:t>管理人员</w:t>
            </w:r>
          </w:p>
        </w:tc>
        <w:tc>
          <w:tcPr>
            <w:tcW w:w="6513" w:type="dxa"/>
            <w:noWrap w:val="0"/>
            <w:vAlign w:val="center"/>
          </w:tcPr>
          <w:p w14:paraId="0B12EBD2">
            <w:pPr>
              <w:pStyle w:val="27"/>
              <w:rPr>
                <w:rFonts w:hint="eastAsia" w:ascii="宋体" w:hAnsi="宋体" w:eastAsia="Times New Roman" w:cs="宋体"/>
                <w:color w:val="auto"/>
                <w:kern w:val="0"/>
                <w:sz w:val="24"/>
                <w:szCs w:val="24"/>
                <w:highlight w:val="none"/>
                <w:lang w:val="en-US" w:eastAsia="zh-CN" w:bidi="ar-SA"/>
              </w:rPr>
            </w:pPr>
            <w:r>
              <w:rPr>
                <w:rFonts w:hint="eastAsia" w:ascii="宋体" w:hAnsi="宋体" w:eastAsia="Times New Roman" w:cs="宋体"/>
                <w:color w:val="auto"/>
                <w:kern w:val="0"/>
                <w:sz w:val="24"/>
                <w:szCs w:val="24"/>
                <w:highlight w:val="none"/>
                <w:lang w:val="en-US" w:eastAsia="zh-CN" w:bidi="ar-SA"/>
              </w:rPr>
              <w:t>项目负责人（项目经理）、技术负责人、施工员、安全员、质检员、资料员、材料员、造价师等岗位配备齐全，满足招标文件要求等方面进行评审（8分）</w:t>
            </w:r>
          </w:p>
        </w:tc>
        <w:tc>
          <w:tcPr>
            <w:tcW w:w="1059" w:type="dxa"/>
            <w:noWrap w:val="0"/>
            <w:vAlign w:val="center"/>
          </w:tcPr>
          <w:p w14:paraId="64D584B2">
            <w:pPr>
              <w:widowControl w:val="0"/>
              <w:spacing w:line="360" w:lineRule="auto"/>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8</w:t>
            </w:r>
          </w:p>
        </w:tc>
      </w:tr>
      <w:tr w14:paraId="65CC2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9266" w:type="dxa"/>
            <w:gridSpan w:val="3"/>
            <w:noWrap w:val="0"/>
            <w:vAlign w:val="center"/>
          </w:tcPr>
          <w:p w14:paraId="11104780">
            <w:pPr>
              <w:widowControl w:val="0"/>
              <w:spacing w:line="360" w:lineRule="auto"/>
              <w:jc w:val="center"/>
              <w:rPr>
                <w:rFonts w:hint="eastAsia" w:ascii="宋体" w:hAnsi="宋体" w:cs="宋体"/>
                <w:color w:val="auto"/>
                <w:sz w:val="24"/>
                <w:szCs w:val="24"/>
                <w:highlight w:val="none"/>
              </w:rPr>
            </w:pPr>
            <w:r>
              <w:rPr>
                <w:rFonts w:hint="eastAsia" w:ascii="宋体" w:hAnsi="宋体" w:cs="宋体"/>
                <w:b/>
                <w:bCs/>
                <w:color w:val="auto"/>
                <w:sz w:val="24"/>
                <w:szCs w:val="24"/>
                <w:highlight w:val="none"/>
              </w:rPr>
              <w:t>（二）技术部分</w:t>
            </w:r>
          </w:p>
        </w:tc>
      </w:tr>
      <w:tr w14:paraId="1F094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0" w:hRule="atLeast"/>
        </w:trPr>
        <w:tc>
          <w:tcPr>
            <w:tcW w:w="1694" w:type="dxa"/>
            <w:noWrap w:val="0"/>
            <w:vAlign w:val="center"/>
          </w:tcPr>
          <w:p w14:paraId="2DDAE32F">
            <w:pPr>
              <w:widowControl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施工方案</w:t>
            </w:r>
            <w:r>
              <w:rPr>
                <w:rFonts w:hint="eastAsia" w:ascii="宋体" w:hAnsi="宋体" w:cs="宋体"/>
                <w:color w:val="auto"/>
                <w:sz w:val="24"/>
                <w:szCs w:val="24"/>
                <w:highlight w:val="none"/>
                <w:lang w:val="en-US" w:eastAsia="zh-CN"/>
              </w:rPr>
              <w:t>及技术措施</w:t>
            </w:r>
          </w:p>
        </w:tc>
        <w:tc>
          <w:tcPr>
            <w:tcW w:w="6513" w:type="dxa"/>
            <w:noWrap w:val="0"/>
            <w:vAlign w:val="center"/>
          </w:tcPr>
          <w:p w14:paraId="59143420">
            <w:pPr>
              <w:pStyle w:val="10"/>
              <w:spacing w:line="24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①施工方案内容全面、科学合理、技术措施得当；②劳动力组织均衡，工序衔接合理符合施工特点，紧凑科学，注重效率；③机械设备配备齐全、完全满足工程需要且运行良好；④平面布置图科学合理；</w:t>
            </w:r>
          </w:p>
          <w:p w14:paraId="42A09C37">
            <w:pPr>
              <w:pStyle w:val="10"/>
              <w:spacing w:line="24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【以上内容每项5分，最高得20分】</w:t>
            </w:r>
          </w:p>
          <w:p w14:paraId="3BB575D5">
            <w:pPr>
              <w:pStyle w:val="10"/>
              <w:spacing w:line="24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（1）完全满足的，每项得5分；</w:t>
            </w:r>
          </w:p>
          <w:p w14:paraId="392B84C6">
            <w:pPr>
              <w:pStyle w:val="10"/>
              <w:spacing w:line="24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（2）基本满足的，每项得3.5分；</w:t>
            </w:r>
          </w:p>
          <w:p w14:paraId="1D265E17">
            <w:pPr>
              <w:pStyle w:val="10"/>
              <w:spacing w:line="240" w:lineRule="auto"/>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（3）部分满足，存在缺陷（或错误/瑕疵）的，得2分；</w:t>
            </w:r>
          </w:p>
          <w:p w14:paraId="3882596D">
            <w:pPr>
              <w:widowControl w:val="0"/>
              <w:rPr>
                <w:rFonts w:hint="eastAsia" w:ascii="宋体" w:hAnsi="宋体" w:cs="宋体"/>
                <w:color w:val="auto"/>
                <w:sz w:val="24"/>
                <w:szCs w:val="24"/>
                <w:highlight w:val="none"/>
              </w:rPr>
            </w:pPr>
            <w:r>
              <w:rPr>
                <w:rFonts w:hint="eastAsia" w:ascii="宋体" w:hAnsi="宋体" w:eastAsia="宋体" w:cs="宋体"/>
                <w:color w:val="auto"/>
                <w:sz w:val="24"/>
                <w:szCs w:val="24"/>
                <w:highlight w:val="none"/>
              </w:rPr>
              <w:t>（4）不满足或未提供的，不得分。</w:t>
            </w:r>
          </w:p>
        </w:tc>
        <w:tc>
          <w:tcPr>
            <w:tcW w:w="1059" w:type="dxa"/>
            <w:noWrap w:val="0"/>
            <w:vAlign w:val="center"/>
          </w:tcPr>
          <w:p w14:paraId="1764DD7A">
            <w:pPr>
              <w:widowControl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r>
      <w:tr w14:paraId="712F1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1694" w:type="dxa"/>
            <w:noWrap w:val="0"/>
            <w:vAlign w:val="center"/>
          </w:tcPr>
          <w:p w14:paraId="3BF37F6C">
            <w:pPr>
              <w:widowControl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确保工期的</w:t>
            </w:r>
          </w:p>
          <w:p w14:paraId="42ECBF31">
            <w:pPr>
              <w:widowControl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技术组织措施</w:t>
            </w:r>
          </w:p>
        </w:tc>
        <w:tc>
          <w:tcPr>
            <w:tcW w:w="6513" w:type="dxa"/>
            <w:noWrap w:val="0"/>
            <w:vAlign w:val="center"/>
          </w:tcPr>
          <w:p w14:paraId="3C33A889">
            <w:pPr>
              <w:pStyle w:val="10"/>
              <w:spacing w:line="24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①工期目标明确；②在空间和时间上做合理的统筹安排；③工期进度保障措施符合施工的科学规律；④施工总进度图科学合理；</w:t>
            </w:r>
          </w:p>
          <w:p w14:paraId="4A067F00">
            <w:pPr>
              <w:pStyle w:val="10"/>
              <w:spacing w:line="24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【以上内容满足一项得4分；最高得16分】</w:t>
            </w:r>
          </w:p>
          <w:p w14:paraId="464339C8">
            <w:pPr>
              <w:pStyle w:val="10"/>
              <w:spacing w:line="24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（1）完全满足的，每项得4分；</w:t>
            </w:r>
          </w:p>
          <w:p w14:paraId="30669432">
            <w:pPr>
              <w:pStyle w:val="10"/>
              <w:spacing w:line="24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（2）基本满足的，每项得3分；</w:t>
            </w:r>
          </w:p>
          <w:p w14:paraId="65FC02F1">
            <w:pPr>
              <w:pStyle w:val="10"/>
              <w:spacing w:line="240" w:lineRule="auto"/>
              <w:ind w:left="0" w:leftChars="0" w:firstLine="0" w:firstLineChars="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（3）部分满足，但存在缺陷（或错误/瑕疵）的，得2分；</w:t>
            </w:r>
          </w:p>
          <w:p w14:paraId="4EE1B493">
            <w:pPr>
              <w:widowControl w:val="0"/>
              <w:rPr>
                <w:rFonts w:hint="eastAsia" w:ascii="宋体" w:hAnsi="宋体" w:cs="宋体"/>
                <w:color w:val="auto"/>
                <w:sz w:val="24"/>
                <w:szCs w:val="24"/>
                <w:highlight w:val="none"/>
                <w:lang w:eastAsia="zh-CN"/>
              </w:rPr>
            </w:pPr>
            <w:r>
              <w:rPr>
                <w:rFonts w:hint="eastAsia" w:ascii="宋体" w:hAnsi="宋体" w:eastAsia="宋体" w:cs="宋体"/>
                <w:color w:val="auto"/>
                <w:kern w:val="0"/>
                <w:sz w:val="24"/>
                <w:szCs w:val="24"/>
                <w:highlight w:val="none"/>
                <w:lang w:val="en-US" w:eastAsia="zh-CN"/>
              </w:rPr>
              <w:t>（4）不满足或未提供的，不得分。</w:t>
            </w:r>
          </w:p>
        </w:tc>
        <w:tc>
          <w:tcPr>
            <w:tcW w:w="1059" w:type="dxa"/>
            <w:noWrap w:val="0"/>
            <w:vAlign w:val="center"/>
          </w:tcPr>
          <w:p w14:paraId="4DE8B9BE">
            <w:pPr>
              <w:widowControl w:val="0"/>
              <w:spacing w:line="360" w:lineRule="auto"/>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w:t>
            </w:r>
          </w:p>
        </w:tc>
      </w:tr>
      <w:tr w14:paraId="09C0A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trPr>
        <w:tc>
          <w:tcPr>
            <w:tcW w:w="1694" w:type="dxa"/>
            <w:noWrap w:val="0"/>
            <w:vAlign w:val="center"/>
          </w:tcPr>
          <w:p w14:paraId="6F8265DD">
            <w:pPr>
              <w:widowControl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确保工程质量</w:t>
            </w:r>
          </w:p>
          <w:p w14:paraId="2E9683CF">
            <w:pPr>
              <w:widowControl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的技术组织</w:t>
            </w:r>
          </w:p>
          <w:p w14:paraId="309CABC2">
            <w:pPr>
              <w:widowControl w:val="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措施</w:t>
            </w:r>
          </w:p>
        </w:tc>
        <w:tc>
          <w:tcPr>
            <w:tcW w:w="6513" w:type="dxa"/>
            <w:noWrap w:val="0"/>
            <w:vAlign w:val="center"/>
          </w:tcPr>
          <w:p w14:paraId="08F3894A">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①工程质量保障体系完整；②工程质量保证措施切实可行；③符合国家规定的强制性标准；④制定了质量通病的防治措施；</w:t>
            </w:r>
          </w:p>
          <w:p w14:paraId="3B18210A">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【以上内容满足一项得3分；最高得12分】</w:t>
            </w:r>
          </w:p>
          <w:p w14:paraId="1D5A0B6D">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（1）完全满足的，每项得3分；</w:t>
            </w:r>
          </w:p>
          <w:p w14:paraId="4E9E3695">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（2）基本满足的，每项得2分；</w:t>
            </w:r>
          </w:p>
          <w:p w14:paraId="61707556">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（3）部分满足，存在缺陷（或错误/瑕疵）的，得1分；</w:t>
            </w:r>
          </w:p>
          <w:p w14:paraId="1B077DF9">
            <w:pPr>
              <w:widowControl w:val="0"/>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eastAsia="zh-CN"/>
              </w:rPr>
              <w:t>（4）不满足或未提供的，不得分。</w:t>
            </w:r>
          </w:p>
        </w:tc>
        <w:tc>
          <w:tcPr>
            <w:tcW w:w="1059" w:type="dxa"/>
            <w:noWrap w:val="0"/>
            <w:vAlign w:val="center"/>
          </w:tcPr>
          <w:p w14:paraId="55ABBF9B">
            <w:pPr>
              <w:widowControl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r>
      <w:tr w14:paraId="3AFE8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6" w:hRule="atLeast"/>
        </w:trPr>
        <w:tc>
          <w:tcPr>
            <w:tcW w:w="1694" w:type="dxa"/>
            <w:noWrap w:val="0"/>
            <w:vAlign w:val="center"/>
          </w:tcPr>
          <w:p w14:paraId="404040FE">
            <w:pPr>
              <w:widowControl w:val="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安全管理体系与措施</w:t>
            </w:r>
          </w:p>
        </w:tc>
        <w:tc>
          <w:tcPr>
            <w:tcW w:w="6513" w:type="dxa"/>
            <w:noWrap w:val="0"/>
            <w:vAlign w:val="center"/>
          </w:tcPr>
          <w:p w14:paraId="6DA17737">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①安全管理目标明确；②安全生产管理小组健全，职责分工明确；③安全管理制度齐全。</w:t>
            </w:r>
          </w:p>
          <w:p w14:paraId="78DC9E4A">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【以上内容满足一项得2分；最高得6分】</w:t>
            </w:r>
          </w:p>
          <w:p w14:paraId="1DD16D90">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（1）完全满足的，每项得2分；</w:t>
            </w:r>
          </w:p>
          <w:p w14:paraId="71DE63A7">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（2）基本满足的，每项得1分；</w:t>
            </w:r>
          </w:p>
          <w:p w14:paraId="767527A4">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（3）部分满足，存在缺陷（或错误/瑕疵）的，得0.5分；</w:t>
            </w:r>
          </w:p>
          <w:p w14:paraId="23AA59B6">
            <w:pPr>
              <w:widowContro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（4）不满足或未提供的，不得分。</w:t>
            </w:r>
          </w:p>
        </w:tc>
        <w:tc>
          <w:tcPr>
            <w:tcW w:w="1059" w:type="dxa"/>
            <w:noWrap w:val="0"/>
            <w:vAlign w:val="center"/>
          </w:tcPr>
          <w:p w14:paraId="52519F6E">
            <w:pPr>
              <w:widowControl w:val="0"/>
              <w:spacing w:line="360" w:lineRule="auto"/>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6</w:t>
            </w:r>
          </w:p>
        </w:tc>
      </w:tr>
      <w:tr w14:paraId="4E597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1694" w:type="dxa"/>
            <w:noWrap w:val="0"/>
            <w:vAlign w:val="center"/>
          </w:tcPr>
          <w:p w14:paraId="30A35F87">
            <w:pPr>
              <w:widowControl w:val="0"/>
              <w:rPr>
                <w:rFonts w:hint="eastAsia" w:ascii="宋体" w:hAnsi="宋体" w:cs="宋体"/>
                <w:color w:val="auto"/>
                <w:sz w:val="24"/>
                <w:szCs w:val="24"/>
                <w:highlight w:val="none"/>
              </w:rPr>
            </w:pPr>
            <w:r>
              <w:rPr>
                <w:rFonts w:hint="eastAsia" w:ascii="宋体" w:hAnsi="宋体" w:cs="宋体"/>
                <w:color w:val="auto"/>
                <w:sz w:val="24"/>
                <w:szCs w:val="24"/>
                <w:highlight w:val="none"/>
              </w:rPr>
              <w:t>确保文明施工</w:t>
            </w:r>
          </w:p>
          <w:p w14:paraId="52491DD3">
            <w:pPr>
              <w:widowControl w:val="0"/>
              <w:rPr>
                <w:rFonts w:hint="eastAsia" w:ascii="宋体" w:hAnsi="宋体" w:cs="宋体"/>
                <w:color w:val="auto"/>
                <w:sz w:val="24"/>
                <w:szCs w:val="24"/>
                <w:highlight w:val="none"/>
              </w:rPr>
            </w:pPr>
            <w:r>
              <w:rPr>
                <w:rFonts w:hint="eastAsia" w:ascii="宋体" w:hAnsi="宋体" w:cs="宋体"/>
                <w:color w:val="auto"/>
                <w:sz w:val="24"/>
                <w:szCs w:val="24"/>
                <w:highlight w:val="none"/>
              </w:rPr>
              <w:t>与环境保护的</w:t>
            </w:r>
          </w:p>
          <w:p w14:paraId="18305B73">
            <w:pPr>
              <w:widowControl w:val="0"/>
              <w:rPr>
                <w:rFonts w:hint="eastAsia" w:ascii="宋体" w:hAnsi="宋体" w:cs="宋体"/>
                <w:color w:val="auto"/>
                <w:sz w:val="24"/>
                <w:szCs w:val="24"/>
                <w:highlight w:val="none"/>
              </w:rPr>
            </w:pPr>
            <w:r>
              <w:rPr>
                <w:rFonts w:hint="eastAsia" w:ascii="宋体" w:hAnsi="宋体" w:cs="宋体"/>
                <w:color w:val="auto"/>
                <w:sz w:val="24"/>
                <w:szCs w:val="24"/>
                <w:highlight w:val="none"/>
              </w:rPr>
              <w:t>技术组织措施</w:t>
            </w:r>
          </w:p>
        </w:tc>
        <w:tc>
          <w:tcPr>
            <w:tcW w:w="6513" w:type="dxa"/>
            <w:noWrap w:val="0"/>
            <w:vAlign w:val="center"/>
          </w:tcPr>
          <w:p w14:paraId="28DBC507">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①文明施工措施得力，科学可行；②环境保护措施得力，科学可行；</w:t>
            </w:r>
          </w:p>
          <w:p w14:paraId="34FE3207">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【以上内容满足一项得2分；最高得4分】</w:t>
            </w:r>
          </w:p>
          <w:p w14:paraId="206F1641">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（1）完全满足的，每项得2分；</w:t>
            </w:r>
          </w:p>
          <w:p w14:paraId="3875CA4B">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（2）基本满足的，每项得1分；</w:t>
            </w:r>
          </w:p>
          <w:p w14:paraId="42E0D9FA">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（3）部分满足，存在缺陷（或错误/瑕疵）的，得0.5分；</w:t>
            </w:r>
          </w:p>
          <w:p w14:paraId="383CAB2E">
            <w:pPr>
              <w:widowControl w:val="0"/>
              <w:rPr>
                <w:rFonts w:ascii="宋体" w:hAnsi="宋体" w:cs="宋体"/>
                <w:color w:val="auto"/>
                <w:sz w:val="24"/>
                <w:szCs w:val="24"/>
                <w:highlight w:val="none"/>
              </w:rPr>
            </w:pPr>
            <w:r>
              <w:rPr>
                <w:rFonts w:hint="eastAsia" w:ascii="宋体" w:hAnsi="宋体" w:eastAsia="宋体" w:cs="宋体"/>
                <w:color w:val="auto"/>
                <w:sz w:val="24"/>
                <w:szCs w:val="24"/>
                <w:highlight w:val="none"/>
                <w:lang w:val="en-US" w:eastAsia="zh-CN"/>
              </w:rPr>
              <w:t>（4）不满足或未提供的，不得分。</w:t>
            </w:r>
          </w:p>
        </w:tc>
        <w:tc>
          <w:tcPr>
            <w:tcW w:w="1059" w:type="dxa"/>
            <w:noWrap w:val="0"/>
            <w:vAlign w:val="center"/>
          </w:tcPr>
          <w:p w14:paraId="7C8A7B85">
            <w:pPr>
              <w:widowControl w:val="0"/>
              <w:spacing w:line="360" w:lineRule="auto"/>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r>
      <w:tr w14:paraId="6FBCA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9266" w:type="dxa"/>
            <w:gridSpan w:val="3"/>
            <w:noWrap w:val="0"/>
            <w:vAlign w:val="center"/>
          </w:tcPr>
          <w:p w14:paraId="20EF6C25">
            <w:pPr>
              <w:widowControl w:val="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说明：1.数据要求真实、可信，如出现虚假或不属实信息，则取消投标资格；</w:t>
            </w:r>
          </w:p>
          <w:p w14:paraId="701C1442">
            <w:pPr>
              <w:widowControl w:val="0"/>
              <w:ind w:firstLine="720" w:firstLineChars="3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2.评审项目不得为负分；</w:t>
            </w:r>
          </w:p>
          <w:p w14:paraId="472C893E">
            <w:pPr>
              <w:widowControl w:val="0"/>
              <w:ind w:firstLine="720" w:firstLineChars="300"/>
              <w:jc w:val="left"/>
              <w:rPr>
                <w:rStyle w:val="75"/>
                <w:rFonts w:hint="eastAsia" w:ascii="宋体" w:hAnsi="宋体" w:cs="宋体"/>
                <w:color w:val="auto"/>
                <w:sz w:val="24"/>
                <w:szCs w:val="24"/>
                <w:highlight w:val="none"/>
              </w:rPr>
            </w:pPr>
            <w:r>
              <w:rPr>
                <w:rFonts w:hint="eastAsia" w:ascii="宋体" w:hAnsi="宋体" w:cs="宋体"/>
                <w:color w:val="auto"/>
                <w:sz w:val="24"/>
                <w:szCs w:val="24"/>
                <w:highlight w:val="none"/>
              </w:rPr>
              <w:t>3.得分保留小数点后两位；</w:t>
            </w:r>
          </w:p>
        </w:tc>
      </w:tr>
    </w:tbl>
    <w:p w14:paraId="28D0FF08">
      <w:pPr>
        <w:spacing w:line="360" w:lineRule="auto"/>
        <w:ind w:right="561" w:rightChars="267" w:firstLine="480" w:firstLineChars="200"/>
        <w:jc w:val="left"/>
        <w:textAlignment w:val="baseline"/>
        <w:rPr>
          <w:rStyle w:val="75"/>
          <w:rFonts w:hint="eastAsia" w:ascii="宋体" w:hAnsi="宋体" w:eastAsia="宋体" w:cs="宋体"/>
          <w:color w:val="auto"/>
          <w:sz w:val="24"/>
          <w:szCs w:val="24"/>
          <w:highlight w:val="none"/>
          <w:lang w:val="zh-CN" w:eastAsia="zh-CN"/>
        </w:rPr>
      </w:pPr>
      <w:r>
        <w:rPr>
          <w:rStyle w:val="75"/>
          <w:rFonts w:hint="eastAsia" w:ascii="宋体" w:hAnsi="宋体" w:eastAsia="宋体" w:cs="宋体"/>
          <w:color w:val="auto"/>
          <w:sz w:val="24"/>
          <w:szCs w:val="24"/>
          <w:highlight w:val="none"/>
          <w:lang w:val="en-US" w:eastAsia="zh-CN"/>
        </w:rPr>
        <w:t>注：1.</w:t>
      </w:r>
      <w:r>
        <w:rPr>
          <w:rStyle w:val="75"/>
          <w:rFonts w:hint="eastAsia" w:ascii="宋体" w:hAnsi="宋体" w:eastAsia="宋体" w:cs="宋体"/>
          <w:color w:val="auto"/>
          <w:sz w:val="24"/>
          <w:szCs w:val="24"/>
          <w:highlight w:val="none"/>
          <w:lang w:val="zh-CN" w:eastAsia="zh-CN"/>
        </w:rPr>
        <w:t>评标委员会应当执行连续评标的原则完成全部评标工作。只有发生不可抗力导致评标工作无法继续时，评标活动方可暂停。发生评标暂停情况时，评标委员会应当封存全部</w:t>
      </w:r>
      <w:r>
        <w:rPr>
          <w:rStyle w:val="75"/>
          <w:rFonts w:hint="eastAsia" w:ascii="宋体" w:hAnsi="宋体" w:eastAsia="宋体" w:cs="宋体"/>
          <w:color w:val="auto"/>
          <w:sz w:val="24"/>
          <w:szCs w:val="24"/>
          <w:highlight w:val="none"/>
          <w:lang w:val="en-US" w:eastAsia="zh-CN"/>
        </w:rPr>
        <w:t>资料</w:t>
      </w:r>
      <w:r>
        <w:rPr>
          <w:rStyle w:val="75"/>
          <w:rFonts w:hint="eastAsia" w:ascii="宋体" w:hAnsi="宋体" w:eastAsia="宋体" w:cs="宋体"/>
          <w:color w:val="auto"/>
          <w:sz w:val="24"/>
          <w:szCs w:val="24"/>
          <w:highlight w:val="none"/>
          <w:lang w:val="zh-CN" w:eastAsia="zh-CN"/>
        </w:rPr>
        <w:t>，待不可抗力的影响结束且具备继续评标的条件时，由原评标委员会继续评标。</w:t>
      </w:r>
    </w:p>
    <w:p w14:paraId="4F86364A">
      <w:pPr>
        <w:spacing w:line="360" w:lineRule="auto"/>
        <w:ind w:right="561" w:rightChars="267" w:firstLine="480" w:firstLineChars="200"/>
        <w:jc w:val="left"/>
        <w:textAlignment w:val="baseline"/>
        <w:rPr>
          <w:rStyle w:val="75"/>
          <w:rFonts w:hint="eastAsia" w:ascii="宋体" w:hAnsi="宋体" w:eastAsia="宋体" w:cs="宋体"/>
          <w:color w:val="auto"/>
          <w:sz w:val="24"/>
          <w:szCs w:val="24"/>
          <w:highlight w:val="none"/>
          <w:lang w:val="zh-CN" w:eastAsia="zh-CN"/>
        </w:rPr>
      </w:pPr>
      <w:r>
        <w:rPr>
          <w:rStyle w:val="75"/>
          <w:rFonts w:hint="eastAsia" w:ascii="宋体" w:hAnsi="宋体" w:eastAsia="宋体" w:cs="宋体"/>
          <w:color w:val="auto"/>
          <w:sz w:val="24"/>
          <w:szCs w:val="24"/>
          <w:highlight w:val="none"/>
          <w:lang w:val="en-US" w:eastAsia="zh-CN"/>
        </w:rPr>
        <w:t>2.</w:t>
      </w:r>
      <w:r>
        <w:rPr>
          <w:rStyle w:val="75"/>
          <w:rFonts w:hint="eastAsia" w:ascii="宋体" w:hAnsi="宋体" w:eastAsia="宋体" w:cs="宋体"/>
          <w:color w:val="auto"/>
          <w:sz w:val="24"/>
          <w:szCs w:val="24"/>
          <w:highlight w:val="none"/>
          <w:lang w:val="zh-CN" w:eastAsia="zh-CN"/>
        </w:rPr>
        <w:t>除非发生下列情况之一，评标委员会成员不得在评标中途更换：(1)因不可抗拒的客观原因，不能到场或需在评标中途退出评标活动；(2)根据法律法规规定，某个或某几个评标委员会成员需要回避。退出评标的评标委员会成员，其已完成的评标行为无效。根据本招标文件规定的评标委员会成员产生方式另行确定替代者进行评标。</w:t>
      </w:r>
    </w:p>
    <w:p w14:paraId="732D8FDD">
      <w:pPr>
        <w:spacing w:line="360" w:lineRule="auto"/>
        <w:ind w:right="561" w:rightChars="267" w:firstLine="480" w:firstLineChars="200"/>
        <w:jc w:val="left"/>
        <w:textAlignment w:val="baseline"/>
        <w:rPr>
          <w:rStyle w:val="75"/>
          <w:rFonts w:hint="eastAsia" w:ascii="宋体" w:hAnsi="宋体" w:eastAsia="宋体" w:cs="宋体"/>
          <w:color w:val="auto"/>
          <w:sz w:val="24"/>
          <w:szCs w:val="24"/>
          <w:highlight w:val="none"/>
        </w:rPr>
      </w:pPr>
      <w:r>
        <w:rPr>
          <w:rStyle w:val="75"/>
          <w:rFonts w:hint="eastAsia" w:ascii="宋体" w:hAnsi="宋体" w:eastAsia="宋体" w:cs="宋体"/>
          <w:color w:val="auto"/>
          <w:sz w:val="24"/>
          <w:szCs w:val="24"/>
          <w:highlight w:val="none"/>
          <w:lang w:val="en-US" w:eastAsia="zh-CN"/>
        </w:rPr>
        <w:t>3.</w:t>
      </w:r>
      <w:r>
        <w:rPr>
          <w:rStyle w:val="75"/>
          <w:rFonts w:hint="eastAsia" w:ascii="宋体" w:hAnsi="宋体" w:eastAsia="宋体" w:cs="宋体"/>
          <w:color w:val="auto"/>
          <w:sz w:val="24"/>
          <w:szCs w:val="24"/>
          <w:highlight w:val="none"/>
          <w:lang w:val="zh-CN" w:eastAsia="zh-CN"/>
        </w:rPr>
        <w:t>在任何评标环节中，需评标委员会就某项评审结论做出表决的，由评标委员会全体成员按照少数服从多数的原则，以记名投票方式表决</w:t>
      </w:r>
      <w:r>
        <w:rPr>
          <w:rStyle w:val="75"/>
          <w:rFonts w:hint="eastAsia" w:ascii="宋体" w:hAnsi="宋体" w:eastAsia="宋体" w:cs="宋体"/>
          <w:color w:val="auto"/>
          <w:sz w:val="24"/>
          <w:szCs w:val="24"/>
          <w:highlight w:val="none"/>
          <w:lang w:val="en-US" w:eastAsia="zh-CN"/>
        </w:rPr>
        <w:t>.</w:t>
      </w:r>
    </w:p>
    <w:p w14:paraId="034E13C6">
      <w:pPr>
        <w:spacing w:line="360" w:lineRule="auto"/>
        <w:ind w:firstLine="482" w:firstLineChars="200"/>
        <w:jc w:val="left"/>
        <w:textAlignment w:val="baseline"/>
        <w:rPr>
          <w:rStyle w:val="75"/>
          <w:rFonts w:hint="eastAsia" w:ascii="宋体" w:hAnsi="宋体" w:cs="宋体"/>
          <w:b/>
          <w:bCs/>
          <w:color w:val="auto"/>
          <w:sz w:val="24"/>
          <w:szCs w:val="24"/>
          <w:highlight w:val="none"/>
        </w:rPr>
      </w:pPr>
      <w:r>
        <w:rPr>
          <w:rStyle w:val="75"/>
          <w:rFonts w:hint="eastAsia" w:ascii="宋体" w:hAnsi="宋体" w:cs="宋体"/>
          <w:b/>
          <w:bCs/>
          <w:color w:val="auto"/>
          <w:sz w:val="24"/>
          <w:szCs w:val="24"/>
          <w:highlight w:val="none"/>
          <w:lang w:val="en-US"/>
        </w:rPr>
        <w:t>3</w:t>
      </w:r>
      <w:r>
        <w:rPr>
          <w:rStyle w:val="75"/>
          <w:rFonts w:hint="eastAsia" w:ascii="宋体" w:hAnsi="宋体" w:cs="宋体"/>
          <w:b/>
          <w:bCs/>
          <w:color w:val="auto"/>
          <w:sz w:val="24"/>
          <w:szCs w:val="24"/>
          <w:highlight w:val="none"/>
        </w:rPr>
        <w:t>.评标原则：</w:t>
      </w:r>
    </w:p>
    <w:p w14:paraId="46F35B6D">
      <w:pPr>
        <w:spacing w:line="360" w:lineRule="auto"/>
        <w:ind w:firstLine="480" w:firstLineChars="200"/>
        <w:jc w:val="left"/>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（1）评标过程中应遵循公开、公平、公正、择优的原则；</w:t>
      </w:r>
    </w:p>
    <w:p w14:paraId="0C145114">
      <w:pPr>
        <w:spacing w:line="360" w:lineRule="auto"/>
        <w:ind w:firstLine="480" w:firstLineChars="200"/>
        <w:jc w:val="left"/>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（2）评标应同时维护</w:t>
      </w:r>
      <w:r>
        <w:rPr>
          <w:rStyle w:val="75"/>
          <w:rFonts w:hint="eastAsia" w:ascii="宋体" w:hAnsi="宋体" w:cs="宋体"/>
          <w:color w:val="auto"/>
          <w:sz w:val="24"/>
          <w:szCs w:val="24"/>
          <w:highlight w:val="none"/>
          <w:lang w:val="en-US"/>
        </w:rPr>
        <w:t>采购</w:t>
      </w:r>
      <w:r>
        <w:rPr>
          <w:rStyle w:val="75"/>
          <w:rFonts w:hint="eastAsia" w:ascii="宋体" w:hAnsi="宋体" w:cs="宋体"/>
          <w:color w:val="auto"/>
          <w:sz w:val="24"/>
          <w:szCs w:val="24"/>
          <w:highlight w:val="none"/>
        </w:rPr>
        <w:t>单位和投标单位的利益；</w:t>
      </w:r>
    </w:p>
    <w:p w14:paraId="59782AE1">
      <w:pPr>
        <w:spacing w:line="360" w:lineRule="auto"/>
        <w:ind w:firstLine="480" w:firstLineChars="200"/>
        <w:jc w:val="left"/>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（3）资格审查合格的投标企业，中标机会均等；</w:t>
      </w:r>
    </w:p>
    <w:p w14:paraId="45DB1A70">
      <w:pPr>
        <w:spacing w:line="360" w:lineRule="auto"/>
        <w:ind w:firstLine="480" w:firstLineChars="200"/>
        <w:jc w:val="left"/>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（4）评标人员不得私自泄露评标内容；</w:t>
      </w:r>
    </w:p>
    <w:p w14:paraId="37B9D8CB">
      <w:pPr>
        <w:spacing w:line="360" w:lineRule="auto"/>
        <w:ind w:firstLine="480" w:firstLineChars="200"/>
        <w:jc w:val="left"/>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（5）评标采取质量、性能、价格、服务综合比，少数服从多数；</w:t>
      </w:r>
    </w:p>
    <w:p w14:paraId="309B7B5B">
      <w:pPr>
        <w:spacing w:line="360" w:lineRule="auto"/>
        <w:ind w:firstLine="482" w:firstLineChars="200"/>
        <w:jc w:val="left"/>
        <w:textAlignment w:val="baseline"/>
        <w:rPr>
          <w:rStyle w:val="75"/>
          <w:rFonts w:hint="eastAsia" w:ascii="宋体" w:hAnsi="宋体" w:cs="宋体"/>
          <w:b/>
          <w:bCs/>
          <w:color w:val="auto"/>
          <w:sz w:val="24"/>
          <w:szCs w:val="24"/>
          <w:highlight w:val="none"/>
        </w:rPr>
      </w:pPr>
      <w:r>
        <w:rPr>
          <w:rStyle w:val="75"/>
          <w:rFonts w:hint="eastAsia" w:ascii="宋体" w:hAnsi="宋体" w:cs="宋体"/>
          <w:b/>
          <w:bCs/>
          <w:color w:val="auto"/>
          <w:sz w:val="24"/>
          <w:szCs w:val="24"/>
          <w:highlight w:val="none"/>
          <w:lang w:val="en-US"/>
        </w:rPr>
        <w:t>4</w:t>
      </w:r>
      <w:r>
        <w:rPr>
          <w:rStyle w:val="75"/>
          <w:rFonts w:hint="eastAsia" w:ascii="宋体" w:hAnsi="宋体" w:cs="宋体"/>
          <w:b/>
          <w:bCs/>
          <w:color w:val="auto"/>
          <w:sz w:val="24"/>
          <w:szCs w:val="24"/>
          <w:highlight w:val="none"/>
        </w:rPr>
        <w:t>.</w:t>
      </w:r>
      <w:r>
        <w:rPr>
          <w:rFonts w:hint="eastAsia" w:ascii="宋体" w:hAnsi="宋体" w:cs="宋体"/>
          <w:b/>
          <w:color w:val="auto"/>
          <w:sz w:val="24"/>
          <w:szCs w:val="24"/>
          <w:highlight w:val="none"/>
          <w:lang w:val="zh-CN"/>
        </w:rPr>
        <w:t>推荐原则</w:t>
      </w:r>
      <w:r>
        <w:rPr>
          <w:rFonts w:hint="eastAsia" w:ascii="宋体" w:hAnsi="宋体" w:cs="宋体"/>
          <w:b/>
          <w:color w:val="auto"/>
          <w:sz w:val="24"/>
          <w:szCs w:val="24"/>
          <w:highlight w:val="none"/>
        </w:rPr>
        <w:t>及定标原则</w:t>
      </w:r>
      <w:r>
        <w:rPr>
          <w:rStyle w:val="75"/>
          <w:rFonts w:hint="eastAsia" w:ascii="宋体" w:hAnsi="宋体" w:cs="宋体"/>
          <w:b/>
          <w:bCs/>
          <w:color w:val="auto"/>
          <w:sz w:val="24"/>
          <w:szCs w:val="24"/>
          <w:highlight w:val="none"/>
        </w:rPr>
        <w:t>：</w:t>
      </w:r>
    </w:p>
    <w:p w14:paraId="225305E8">
      <w:pPr>
        <w:spacing w:line="360" w:lineRule="auto"/>
        <w:ind w:firstLine="480" w:firstLineChars="200"/>
        <w:jc w:val="left"/>
        <w:textAlignment w:val="baseline"/>
        <w:rPr>
          <w:rStyle w:val="75"/>
          <w:rFonts w:hint="eastAsia" w:ascii="宋体" w:hAnsi="宋体" w:cs="宋体"/>
          <w:color w:val="auto"/>
          <w:sz w:val="24"/>
          <w:szCs w:val="24"/>
          <w:highlight w:val="none"/>
        </w:rPr>
      </w:pPr>
      <w:r>
        <w:rPr>
          <w:rStyle w:val="75"/>
          <w:rFonts w:hint="eastAsia" w:ascii="宋体" w:hAnsi="宋体" w:cs="宋体"/>
          <w:color w:val="auto"/>
          <w:sz w:val="24"/>
          <w:szCs w:val="24"/>
          <w:highlight w:val="none"/>
        </w:rPr>
        <w:t>（1）</w:t>
      </w:r>
      <w:r>
        <w:rPr>
          <w:rFonts w:hint="eastAsia" w:ascii="宋体" w:hAnsi="宋体" w:cs="宋体"/>
          <w:b/>
          <w:color w:val="auto"/>
          <w:sz w:val="24"/>
          <w:szCs w:val="24"/>
          <w:highlight w:val="none"/>
          <w:lang w:val="zh-CN"/>
        </w:rPr>
        <w:t>推荐原则：</w:t>
      </w:r>
      <w:r>
        <w:rPr>
          <w:rFonts w:hint="eastAsia" w:ascii="宋体" w:hAnsi="宋体" w:cs="宋体"/>
          <w:color w:val="auto"/>
          <w:sz w:val="24"/>
          <w:szCs w:val="24"/>
          <w:highlight w:val="none"/>
          <w:lang w:val="zh-CN"/>
        </w:rPr>
        <w:t>经磋商评标委员会综合评分</w:t>
      </w:r>
      <w:r>
        <w:rPr>
          <w:rFonts w:hint="eastAsia" w:ascii="宋体" w:hAnsi="宋体" w:cs="宋体"/>
          <w:color w:val="auto"/>
          <w:sz w:val="24"/>
          <w:szCs w:val="24"/>
          <w:highlight w:val="none"/>
        </w:rPr>
        <w:t>由高到低的顺序进行排序，综合得分最高为第一成交候选人，以此类推。</w:t>
      </w:r>
    </w:p>
    <w:p w14:paraId="049FBDA8">
      <w:pPr>
        <w:spacing w:line="360" w:lineRule="auto"/>
        <w:ind w:firstLine="480" w:firstLineChars="200"/>
        <w:jc w:val="left"/>
        <w:textAlignment w:val="baseline"/>
        <w:rPr>
          <w:rFonts w:hint="eastAsia" w:ascii="宋体" w:hAnsi="宋体" w:cs="宋体"/>
          <w:color w:val="auto"/>
          <w:sz w:val="24"/>
          <w:szCs w:val="24"/>
          <w:highlight w:val="none"/>
          <w:lang w:val="zh-CN"/>
        </w:rPr>
      </w:pPr>
      <w:r>
        <w:rPr>
          <w:rStyle w:val="75"/>
          <w:rFonts w:hint="eastAsia" w:ascii="宋体" w:hAnsi="宋体" w:cs="宋体"/>
          <w:color w:val="auto"/>
          <w:sz w:val="24"/>
          <w:szCs w:val="24"/>
          <w:highlight w:val="none"/>
        </w:rPr>
        <w:t>（2）</w:t>
      </w:r>
      <w:r>
        <w:rPr>
          <w:rFonts w:hint="eastAsia" w:ascii="宋体" w:hAnsi="宋体" w:cs="宋体"/>
          <w:b/>
          <w:color w:val="auto"/>
          <w:sz w:val="24"/>
          <w:szCs w:val="24"/>
          <w:highlight w:val="none"/>
        </w:rPr>
        <w:t>定标原则：</w:t>
      </w:r>
      <w:r>
        <w:rPr>
          <w:rFonts w:hint="eastAsia" w:ascii="宋体" w:hAnsi="宋体" w:cs="宋体"/>
          <w:color w:val="auto"/>
          <w:sz w:val="24"/>
          <w:szCs w:val="24"/>
          <w:highlight w:val="none"/>
          <w:lang w:val="zh-CN"/>
        </w:rPr>
        <w:t>磋商小组根据综合评分由高到低的原则，以评审报告的形式将排序前三名的供应商推荐给采购人，由</w:t>
      </w:r>
      <w:r>
        <w:rPr>
          <w:rFonts w:hint="eastAsia" w:ascii="宋体" w:hAnsi="宋体" w:cs="宋体"/>
          <w:color w:val="auto"/>
          <w:sz w:val="24"/>
          <w:szCs w:val="24"/>
          <w:highlight w:val="none"/>
        </w:rPr>
        <w:t>得分最高为第一成交候选人</w:t>
      </w:r>
      <w:r>
        <w:rPr>
          <w:rFonts w:hint="eastAsia" w:ascii="宋体" w:hAnsi="宋体" w:cs="宋体"/>
          <w:color w:val="auto"/>
          <w:sz w:val="24"/>
          <w:szCs w:val="24"/>
          <w:highlight w:val="none"/>
          <w:lang w:val="zh-CN"/>
        </w:rPr>
        <w:t>。</w:t>
      </w:r>
    </w:p>
    <w:p w14:paraId="5FA2C25F">
      <w:pP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br w:type="page"/>
      </w:r>
    </w:p>
    <w:p w14:paraId="16AC33A0">
      <w:pPr>
        <w:pStyle w:val="2"/>
        <w:rPr>
          <w:rFonts w:hint="eastAsia"/>
          <w:color w:val="auto"/>
          <w:highlight w:val="none"/>
        </w:rPr>
      </w:pPr>
    </w:p>
    <w:p w14:paraId="280DE955">
      <w:pPr>
        <w:spacing w:line="360" w:lineRule="auto"/>
        <w:jc w:val="center"/>
        <w:textAlignment w:val="baseline"/>
        <w:rPr>
          <w:rFonts w:hint="eastAsia" w:ascii="宋体" w:hAnsi="宋体" w:cs="宋体"/>
          <w:b/>
          <w:color w:val="auto"/>
          <w:sz w:val="30"/>
          <w:szCs w:val="30"/>
          <w:highlight w:val="none"/>
        </w:rPr>
      </w:pPr>
    </w:p>
    <w:p w14:paraId="14B44A63">
      <w:pPr>
        <w:spacing w:line="360" w:lineRule="auto"/>
        <w:jc w:val="center"/>
        <w:textAlignment w:val="baseline"/>
        <w:rPr>
          <w:rFonts w:hint="eastAsia" w:ascii="宋体" w:hAnsi="宋体" w:cs="宋体"/>
          <w:b/>
          <w:color w:val="auto"/>
          <w:sz w:val="30"/>
          <w:szCs w:val="30"/>
          <w:highlight w:val="none"/>
        </w:rPr>
      </w:pPr>
    </w:p>
    <w:p w14:paraId="773EFCD4">
      <w:pPr>
        <w:spacing w:line="360" w:lineRule="auto"/>
        <w:jc w:val="center"/>
        <w:textAlignment w:val="baseline"/>
        <w:rPr>
          <w:rFonts w:hint="eastAsia" w:ascii="宋体" w:hAnsi="宋体" w:cs="宋体"/>
          <w:b/>
          <w:color w:val="auto"/>
          <w:sz w:val="30"/>
          <w:szCs w:val="30"/>
          <w:highlight w:val="none"/>
        </w:rPr>
      </w:pPr>
    </w:p>
    <w:p w14:paraId="1B82939C">
      <w:pPr>
        <w:pStyle w:val="78"/>
        <w:ind w:firstLine="560"/>
        <w:rPr>
          <w:rStyle w:val="75"/>
          <w:rFonts w:hint="eastAsia" w:ascii="宋体" w:hAnsi="宋体" w:cs="宋体"/>
          <w:color w:val="auto"/>
          <w:sz w:val="28"/>
          <w:szCs w:val="28"/>
          <w:highlight w:val="none"/>
        </w:rPr>
      </w:pPr>
    </w:p>
    <w:p w14:paraId="732DEA95">
      <w:pPr>
        <w:pStyle w:val="78"/>
        <w:ind w:firstLine="560"/>
        <w:rPr>
          <w:rStyle w:val="75"/>
          <w:rFonts w:hint="eastAsia" w:ascii="宋体" w:hAnsi="宋体" w:cs="宋体"/>
          <w:color w:val="auto"/>
          <w:sz w:val="28"/>
          <w:szCs w:val="28"/>
          <w:highlight w:val="none"/>
        </w:rPr>
      </w:pPr>
    </w:p>
    <w:p w14:paraId="15E1F2E9">
      <w:pPr>
        <w:pStyle w:val="78"/>
        <w:ind w:firstLine="560"/>
        <w:rPr>
          <w:rStyle w:val="75"/>
          <w:rFonts w:hint="eastAsia" w:ascii="宋体" w:hAnsi="宋体" w:cs="宋体"/>
          <w:color w:val="auto"/>
          <w:sz w:val="28"/>
          <w:szCs w:val="28"/>
          <w:highlight w:val="none"/>
        </w:rPr>
      </w:pPr>
    </w:p>
    <w:p w14:paraId="2893F9A4">
      <w:pPr>
        <w:pStyle w:val="78"/>
        <w:ind w:firstLine="560"/>
        <w:rPr>
          <w:rStyle w:val="75"/>
          <w:rFonts w:hint="eastAsia" w:ascii="宋体" w:hAnsi="宋体" w:cs="宋体"/>
          <w:color w:val="auto"/>
          <w:sz w:val="28"/>
          <w:szCs w:val="28"/>
          <w:highlight w:val="none"/>
        </w:rPr>
      </w:pPr>
    </w:p>
    <w:p w14:paraId="67568267">
      <w:pPr>
        <w:pStyle w:val="78"/>
        <w:ind w:firstLine="560"/>
        <w:rPr>
          <w:rStyle w:val="75"/>
          <w:rFonts w:hint="eastAsia" w:ascii="宋体" w:hAnsi="宋体" w:cs="宋体"/>
          <w:color w:val="auto"/>
          <w:sz w:val="28"/>
          <w:szCs w:val="28"/>
          <w:highlight w:val="none"/>
        </w:rPr>
      </w:pPr>
    </w:p>
    <w:p w14:paraId="3E1419FC">
      <w:pPr>
        <w:pStyle w:val="78"/>
        <w:ind w:firstLine="560"/>
        <w:rPr>
          <w:rStyle w:val="75"/>
          <w:rFonts w:hint="eastAsia" w:ascii="宋体" w:hAnsi="宋体" w:cs="宋体"/>
          <w:color w:val="auto"/>
          <w:sz w:val="28"/>
          <w:szCs w:val="28"/>
          <w:highlight w:val="none"/>
        </w:rPr>
      </w:pPr>
    </w:p>
    <w:p w14:paraId="05011B26">
      <w:pPr>
        <w:pStyle w:val="78"/>
        <w:ind w:firstLine="560"/>
        <w:rPr>
          <w:rStyle w:val="75"/>
          <w:rFonts w:hint="eastAsia" w:ascii="宋体" w:hAnsi="宋体" w:cs="宋体"/>
          <w:color w:val="auto"/>
          <w:sz w:val="28"/>
          <w:szCs w:val="28"/>
          <w:highlight w:val="none"/>
        </w:rPr>
      </w:pPr>
    </w:p>
    <w:p w14:paraId="27870CB7">
      <w:pPr>
        <w:pStyle w:val="78"/>
        <w:ind w:firstLine="560"/>
        <w:rPr>
          <w:rStyle w:val="75"/>
          <w:rFonts w:hint="eastAsia" w:ascii="宋体" w:hAnsi="宋体" w:cs="宋体"/>
          <w:color w:val="auto"/>
          <w:sz w:val="28"/>
          <w:szCs w:val="28"/>
          <w:highlight w:val="none"/>
        </w:rPr>
      </w:pPr>
    </w:p>
    <w:p w14:paraId="744A792C">
      <w:pPr>
        <w:pStyle w:val="78"/>
        <w:ind w:firstLine="560"/>
        <w:rPr>
          <w:rStyle w:val="75"/>
          <w:rFonts w:hint="eastAsia" w:ascii="宋体" w:hAnsi="宋体" w:cs="宋体"/>
          <w:color w:val="auto"/>
          <w:sz w:val="28"/>
          <w:szCs w:val="28"/>
          <w:highlight w:val="none"/>
        </w:rPr>
      </w:pPr>
    </w:p>
    <w:p w14:paraId="44D39E51">
      <w:pPr>
        <w:pStyle w:val="78"/>
        <w:ind w:firstLine="560"/>
        <w:rPr>
          <w:rStyle w:val="75"/>
          <w:rFonts w:hint="eastAsia" w:ascii="宋体" w:hAnsi="宋体" w:cs="宋体"/>
          <w:color w:val="auto"/>
          <w:sz w:val="28"/>
          <w:szCs w:val="28"/>
          <w:highlight w:val="none"/>
        </w:rPr>
      </w:pPr>
    </w:p>
    <w:p w14:paraId="50A803F3">
      <w:pPr>
        <w:pStyle w:val="78"/>
        <w:ind w:firstLine="560"/>
        <w:rPr>
          <w:rStyle w:val="75"/>
          <w:rFonts w:hint="eastAsia" w:ascii="宋体" w:hAnsi="宋体" w:cs="宋体"/>
          <w:color w:val="auto"/>
          <w:sz w:val="28"/>
          <w:szCs w:val="28"/>
          <w:highlight w:val="none"/>
        </w:rPr>
      </w:pPr>
    </w:p>
    <w:p w14:paraId="0D15A377">
      <w:pPr>
        <w:tabs>
          <w:tab w:val="left" w:pos="900"/>
        </w:tabs>
        <w:jc w:val="both"/>
        <w:rPr>
          <w:rFonts w:hint="eastAsia" w:ascii="宋体" w:hAnsi="宋体" w:eastAsia="宋体" w:cs="宋体"/>
          <w:b/>
          <w:bCs/>
          <w:color w:val="auto"/>
          <w:kern w:val="0"/>
          <w:sz w:val="30"/>
          <w:szCs w:val="30"/>
          <w:highlight w:val="none"/>
          <w:lang w:val="en-US" w:eastAsia="zh-CN" w:bidi="ar-SA"/>
        </w:rPr>
      </w:pPr>
      <w:bookmarkStart w:id="137" w:name="_Toc293736024"/>
      <w:bookmarkStart w:id="138" w:name="_Toc293736067"/>
      <w:bookmarkStart w:id="139" w:name="_Toc17352"/>
      <w:bookmarkStart w:id="140" w:name="_Toc293739005"/>
      <w:bookmarkStart w:id="141" w:name="_Toc446599330"/>
    </w:p>
    <w:p w14:paraId="3BF77304">
      <w:pPr>
        <w:pStyle w:val="77"/>
        <w:spacing w:line="360" w:lineRule="auto"/>
        <w:ind w:firstLine="2570" w:firstLineChars="800"/>
        <w:outlineLvl w:val="0"/>
        <w:rPr>
          <w:rFonts w:hint="default" w:hAnsi="宋体" w:eastAsia="宋体" w:cs="宋体"/>
          <w:b/>
          <w:color w:val="auto"/>
          <w:sz w:val="32"/>
          <w:szCs w:val="32"/>
          <w:highlight w:val="none"/>
          <w:lang w:val="en-US" w:eastAsia="zh-CN"/>
        </w:rPr>
      </w:pPr>
      <w:r>
        <w:rPr>
          <w:rFonts w:hint="eastAsia" w:hAnsi="宋体" w:cs="宋体"/>
          <w:b/>
          <w:color w:val="auto"/>
          <w:sz w:val="32"/>
          <w:szCs w:val="32"/>
          <w:highlight w:val="none"/>
        </w:rPr>
        <w:t>第</w:t>
      </w:r>
      <w:r>
        <w:rPr>
          <w:rFonts w:hint="eastAsia" w:hAnsi="宋体" w:cs="宋体"/>
          <w:b/>
          <w:color w:val="auto"/>
          <w:sz w:val="32"/>
          <w:szCs w:val="32"/>
          <w:highlight w:val="none"/>
          <w:lang w:val="en-US" w:eastAsia="zh-CN"/>
        </w:rPr>
        <w:t>六</w:t>
      </w:r>
      <w:r>
        <w:rPr>
          <w:rFonts w:hint="eastAsia" w:hAnsi="宋体" w:cs="宋体"/>
          <w:b/>
          <w:color w:val="auto"/>
          <w:sz w:val="32"/>
          <w:szCs w:val="32"/>
          <w:highlight w:val="none"/>
        </w:rPr>
        <w:t>章</w:t>
      </w:r>
      <w:r>
        <w:rPr>
          <w:rFonts w:hint="eastAsia" w:hAnsi="宋体" w:cs="宋体"/>
          <w:b/>
          <w:color w:val="auto"/>
          <w:sz w:val="32"/>
          <w:szCs w:val="32"/>
          <w:highlight w:val="none"/>
          <w:lang w:val="en-US" w:eastAsia="zh-CN"/>
        </w:rPr>
        <w:t>工程量清单（另附）</w:t>
      </w:r>
    </w:p>
    <w:p w14:paraId="76773B7A">
      <w:pPr>
        <w:tabs>
          <w:tab w:val="left" w:pos="900"/>
        </w:tabs>
        <w:jc w:val="center"/>
        <w:rPr>
          <w:rFonts w:hint="eastAsia" w:ascii="宋体" w:hAnsi="宋体" w:eastAsia="宋体" w:cs="宋体"/>
          <w:b/>
          <w:bCs/>
          <w:color w:val="auto"/>
          <w:kern w:val="0"/>
          <w:sz w:val="30"/>
          <w:szCs w:val="30"/>
          <w:highlight w:val="none"/>
          <w:lang w:val="en-US" w:eastAsia="zh-CN" w:bidi="ar-SA"/>
        </w:rPr>
      </w:pPr>
    </w:p>
    <w:p w14:paraId="0102F216">
      <w:pPr>
        <w:tabs>
          <w:tab w:val="left" w:pos="900"/>
        </w:tabs>
        <w:jc w:val="center"/>
        <w:rPr>
          <w:rFonts w:hint="eastAsia" w:ascii="宋体" w:hAnsi="宋体" w:eastAsia="宋体" w:cs="宋体"/>
          <w:b/>
          <w:bCs/>
          <w:color w:val="auto"/>
          <w:kern w:val="0"/>
          <w:sz w:val="30"/>
          <w:szCs w:val="30"/>
          <w:highlight w:val="none"/>
          <w:lang w:val="en-US" w:eastAsia="zh-CN" w:bidi="ar-SA"/>
        </w:rPr>
      </w:pPr>
    </w:p>
    <w:p w14:paraId="0D25BC6C">
      <w:pPr>
        <w:tabs>
          <w:tab w:val="left" w:pos="900"/>
        </w:tabs>
        <w:jc w:val="center"/>
        <w:rPr>
          <w:rFonts w:hint="eastAsia" w:ascii="宋体" w:hAnsi="宋体" w:eastAsia="宋体" w:cs="宋体"/>
          <w:b/>
          <w:bCs/>
          <w:color w:val="auto"/>
          <w:kern w:val="0"/>
          <w:sz w:val="30"/>
          <w:szCs w:val="30"/>
          <w:highlight w:val="none"/>
          <w:lang w:val="en-US" w:eastAsia="zh-CN" w:bidi="ar-SA"/>
        </w:rPr>
      </w:pPr>
    </w:p>
    <w:p w14:paraId="4B60DFBB">
      <w:pPr>
        <w:tabs>
          <w:tab w:val="left" w:pos="900"/>
        </w:tabs>
        <w:jc w:val="center"/>
        <w:rPr>
          <w:rFonts w:hint="eastAsia" w:ascii="宋体" w:hAnsi="宋体" w:eastAsia="宋体" w:cs="宋体"/>
          <w:b/>
          <w:bCs/>
          <w:color w:val="auto"/>
          <w:kern w:val="0"/>
          <w:sz w:val="30"/>
          <w:szCs w:val="30"/>
          <w:highlight w:val="none"/>
          <w:lang w:val="en-US" w:eastAsia="zh-CN" w:bidi="ar-SA"/>
        </w:rPr>
      </w:pPr>
    </w:p>
    <w:p w14:paraId="4BFE7708">
      <w:pPr>
        <w:rPr>
          <w:rFonts w:hint="eastAsia"/>
          <w:b/>
          <w:bCs/>
          <w:color w:val="auto"/>
          <w:sz w:val="32"/>
          <w:highlight w:val="none"/>
        </w:rPr>
      </w:pPr>
      <w:r>
        <w:rPr>
          <w:rFonts w:hint="eastAsia"/>
          <w:b/>
          <w:bCs/>
          <w:color w:val="auto"/>
          <w:sz w:val="32"/>
          <w:highlight w:val="none"/>
        </w:rPr>
        <w:br w:type="page"/>
      </w:r>
    </w:p>
    <w:p w14:paraId="2D0E4176">
      <w:pPr>
        <w:pStyle w:val="77"/>
        <w:spacing w:line="360" w:lineRule="auto"/>
        <w:ind w:left="0" w:leftChars="0" w:firstLine="2891" w:firstLineChars="900"/>
        <w:outlineLvl w:val="0"/>
        <w:rPr>
          <w:rFonts w:hint="eastAsia"/>
          <w:color w:val="auto"/>
          <w:highlight w:val="none"/>
        </w:rPr>
      </w:pPr>
      <w:bookmarkStart w:id="142" w:name="_Toc4674"/>
      <w:r>
        <w:rPr>
          <w:rFonts w:hint="eastAsia" w:hAnsi="宋体" w:cs="宋体"/>
          <w:b/>
          <w:color w:val="auto"/>
          <w:sz w:val="32"/>
          <w:szCs w:val="32"/>
          <w:highlight w:val="none"/>
        </w:rPr>
        <w:t>第七章合同格式及合同条款</w:t>
      </w:r>
      <w:bookmarkEnd w:id="142"/>
    </w:p>
    <w:bookmarkEnd w:id="137"/>
    <w:bookmarkEnd w:id="138"/>
    <w:bookmarkEnd w:id="139"/>
    <w:bookmarkEnd w:id="140"/>
    <w:bookmarkEnd w:id="141"/>
    <w:p w14:paraId="1E2A026E">
      <w:pPr>
        <w:widowControl/>
        <w:spacing w:line="360" w:lineRule="auto"/>
        <w:ind w:firstLine="562" w:firstLineChars="200"/>
        <w:jc w:val="center"/>
        <w:rPr>
          <w:rFonts w:hint="eastAsia" w:ascii="Courier New" w:hAnsi="Courier New" w:eastAsia="宋体" w:cs="Times New Roman"/>
          <w:b/>
          <w:bCs/>
          <w:color w:val="auto"/>
          <w:kern w:val="2"/>
          <w:sz w:val="28"/>
          <w:szCs w:val="28"/>
          <w:highlight w:val="none"/>
          <w:lang w:val="zh-CN" w:eastAsia="zh-CN" w:bidi="ar-SA"/>
        </w:rPr>
      </w:pPr>
      <w:bookmarkStart w:id="143" w:name="_Toc387415849"/>
      <w:bookmarkStart w:id="144" w:name="_Toc27742"/>
      <w:bookmarkStart w:id="145" w:name="_Toc54111878"/>
      <w:bookmarkStart w:id="146" w:name="_Toc53675245"/>
      <w:r>
        <w:rPr>
          <w:rFonts w:hint="eastAsia" w:ascii="Courier New" w:hAnsi="Courier New" w:eastAsia="宋体" w:cs="Times New Roman"/>
          <w:b/>
          <w:bCs/>
          <w:color w:val="auto"/>
          <w:kern w:val="2"/>
          <w:sz w:val="28"/>
          <w:szCs w:val="28"/>
          <w:highlight w:val="none"/>
          <w:lang w:val="en-US" w:eastAsia="zh-CN" w:bidi="ar-SA"/>
        </w:rPr>
        <w:t>合同</w:t>
      </w:r>
      <w:r>
        <w:rPr>
          <w:rFonts w:hint="eastAsia" w:ascii="Courier New" w:hAnsi="Courier New" w:eastAsia="宋体" w:cs="Times New Roman"/>
          <w:b/>
          <w:bCs/>
          <w:color w:val="auto"/>
          <w:kern w:val="2"/>
          <w:sz w:val="28"/>
          <w:szCs w:val="28"/>
          <w:highlight w:val="none"/>
          <w:lang w:val="zh-CN" w:eastAsia="zh-CN" w:bidi="ar-SA"/>
        </w:rPr>
        <w:t>协议书</w:t>
      </w:r>
      <w:bookmarkEnd w:id="143"/>
      <w:bookmarkEnd w:id="144"/>
    </w:p>
    <w:p w14:paraId="70924590">
      <w:pPr>
        <w:widowControl/>
        <w:spacing w:line="360" w:lineRule="auto"/>
        <w:ind w:firstLine="480" w:firstLineChars="200"/>
        <w:rPr>
          <w:rFonts w:hint="default" w:ascii="宋体" w:hAnsi="宋体" w:eastAsia="宋体" w:cs="宋体"/>
          <w:b/>
          <w:bCs/>
          <w:color w:val="auto"/>
          <w:kern w:val="0"/>
          <w:sz w:val="24"/>
          <w:szCs w:val="24"/>
          <w:highlight w:val="none"/>
          <w:u w:val="single"/>
          <w:lang w:val="en-US" w:eastAsia="zh-CN"/>
        </w:rPr>
      </w:pPr>
      <w:r>
        <w:rPr>
          <w:rFonts w:hint="eastAsia" w:ascii="宋体" w:hAnsi="宋体" w:cs="宋体"/>
          <w:color w:val="auto"/>
          <w:kern w:val="0"/>
          <w:sz w:val="24"/>
          <w:szCs w:val="24"/>
          <w:highlight w:val="none"/>
        </w:rPr>
        <w:t xml:space="preserve">发包人(全称): </w:t>
      </w:r>
      <w:r>
        <w:rPr>
          <w:rFonts w:hint="eastAsia" w:ascii="宋体" w:hAnsi="宋体" w:cs="宋体"/>
          <w:b/>
          <w:bCs/>
          <w:color w:val="auto"/>
          <w:kern w:val="0"/>
          <w:sz w:val="24"/>
          <w:szCs w:val="24"/>
          <w:highlight w:val="none"/>
          <w:u w:val="single"/>
          <w:lang w:val="en-US" w:eastAsia="zh-CN"/>
        </w:rPr>
        <w:t xml:space="preserve">    </w:t>
      </w:r>
      <w:r>
        <w:rPr>
          <w:rFonts w:hint="eastAsia" w:ascii="宋体" w:hAnsi="宋体" w:cs="宋体"/>
          <w:i w:val="0"/>
          <w:iCs w:val="0"/>
          <w:caps w:val="0"/>
          <w:color w:val="auto"/>
          <w:spacing w:val="0"/>
          <w:kern w:val="0"/>
          <w:sz w:val="24"/>
          <w:szCs w:val="24"/>
          <w:highlight w:val="none"/>
          <w:u w:val="single"/>
          <w:lang w:val="en-US" w:eastAsia="zh-CN" w:bidi="ar-SA"/>
        </w:rPr>
        <w:t>新疆尉犁县团结镇人民政府</w:t>
      </w:r>
      <w:r>
        <w:rPr>
          <w:rFonts w:hint="eastAsia" w:ascii="宋体" w:hAnsi="宋体" w:cs="宋体"/>
          <w:b/>
          <w:bCs/>
          <w:color w:val="auto"/>
          <w:kern w:val="0"/>
          <w:sz w:val="24"/>
          <w:szCs w:val="24"/>
          <w:highlight w:val="none"/>
          <w:u w:val="single"/>
          <w:lang w:val="en-US" w:eastAsia="zh-CN"/>
        </w:rPr>
        <w:t xml:space="preserve">   </w:t>
      </w:r>
    </w:p>
    <w:p w14:paraId="05EACF91">
      <w:pPr>
        <w:widowControl/>
        <w:spacing w:line="360" w:lineRule="auto"/>
        <w:ind w:firstLine="480" w:firstLineChars="200"/>
        <w:rPr>
          <w:rFonts w:hint="eastAsia" w:ascii="宋体" w:hAnsi="宋体" w:cs="宋体"/>
          <w:b/>
          <w:bCs/>
          <w:color w:val="auto"/>
          <w:kern w:val="0"/>
          <w:sz w:val="24"/>
          <w:szCs w:val="24"/>
          <w:highlight w:val="none"/>
          <w:u w:val="none"/>
          <w:lang w:val="en-US" w:eastAsia="zh-CN"/>
        </w:rPr>
      </w:pPr>
      <w:r>
        <w:rPr>
          <w:rFonts w:hint="eastAsia" w:ascii="宋体" w:hAnsi="宋体" w:cs="宋体"/>
          <w:color w:val="auto"/>
          <w:kern w:val="0"/>
          <w:sz w:val="24"/>
          <w:szCs w:val="24"/>
          <w:highlight w:val="none"/>
        </w:rPr>
        <w:t>承包人(全称):</w:t>
      </w:r>
      <w:r>
        <w:rPr>
          <w:rFonts w:hint="eastAsia" w:ascii="宋体" w:hAnsi="宋体" w:cs="宋体"/>
          <w:b/>
          <w:bCs/>
          <w:color w:val="auto"/>
          <w:kern w:val="0"/>
          <w:sz w:val="24"/>
          <w:szCs w:val="24"/>
          <w:highlight w:val="none"/>
          <w:u w:val="single"/>
        </w:rPr>
        <w:t xml:space="preserve"> </w:t>
      </w:r>
      <w:r>
        <w:rPr>
          <w:rFonts w:hint="eastAsia" w:ascii="宋体" w:hAnsi="宋体" w:cs="宋体"/>
          <w:b/>
          <w:bCs/>
          <w:color w:val="auto"/>
          <w:kern w:val="0"/>
          <w:sz w:val="24"/>
          <w:szCs w:val="24"/>
          <w:highlight w:val="none"/>
          <w:u w:val="single"/>
          <w:lang w:val="en-US" w:eastAsia="zh-CN"/>
        </w:rPr>
        <w:t xml:space="preserve">                           </w:t>
      </w:r>
    </w:p>
    <w:p w14:paraId="325111ED">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根据《中华人民共和国</w:t>
      </w:r>
      <w:r>
        <w:rPr>
          <w:rStyle w:val="81"/>
          <w:rFonts w:hint="eastAsia" w:ascii="宋体" w:hAnsi="宋体" w:eastAsia="宋体"/>
          <w:color w:val="auto"/>
          <w:sz w:val="24"/>
          <w:highlight w:val="none"/>
          <w:lang w:val="en-US" w:eastAsia="zh-CN"/>
        </w:rPr>
        <w:t>民法典</w:t>
      </w:r>
      <w:r>
        <w:rPr>
          <w:rStyle w:val="81"/>
          <w:rFonts w:hint="eastAsia" w:ascii="宋体" w:hAnsi="宋体" w:eastAsia="宋体"/>
          <w:color w:val="auto"/>
          <w:sz w:val="24"/>
          <w:highlight w:val="none"/>
        </w:rPr>
        <w:t>》、《中华人民共和国建筑法》及有关法律规定，遵循平等、自愿、公平和诚实信用的原则，双方就</w:t>
      </w:r>
      <w:r>
        <w:rPr>
          <w:rStyle w:val="81"/>
          <w:rFonts w:hint="eastAsia" w:ascii="宋体" w:hAnsi="宋体" w:eastAsia="宋体"/>
          <w:color w:val="auto"/>
          <w:sz w:val="24"/>
          <w:highlight w:val="none"/>
          <w:u w:val="single"/>
        </w:rPr>
        <w:t xml:space="preserve"> </w:t>
      </w:r>
      <w:r>
        <w:rPr>
          <w:rFonts w:hint="eastAsia" w:ascii="宋体" w:hAnsi="宋体" w:cs="宋体"/>
          <w:color w:val="auto"/>
          <w:sz w:val="24"/>
          <w:szCs w:val="24"/>
          <w:highlight w:val="none"/>
          <w:u w:val="single"/>
          <w:lang w:val="en-US" w:eastAsia="zh-CN"/>
        </w:rPr>
        <w:t>尉犁县团结镇2025年设施农业建设项目(二标段)一日光温室大棚建设</w:t>
      </w:r>
      <w:r>
        <w:rPr>
          <w:rFonts w:hint="eastAsia" w:ascii="宋体" w:hAnsi="宋体" w:eastAsia="宋体" w:cs="宋体"/>
          <w:color w:val="auto"/>
          <w:kern w:val="0"/>
          <w:sz w:val="24"/>
          <w:szCs w:val="24"/>
          <w:highlight w:val="none"/>
          <w:u w:val="single"/>
          <w:lang w:val="en-US" w:eastAsia="zh-CN"/>
        </w:rPr>
        <w:t xml:space="preserve"> </w:t>
      </w:r>
      <w:r>
        <w:rPr>
          <w:rStyle w:val="81"/>
          <w:rFonts w:hint="eastAsia" w:ascii="宋体" w:hAnsi="宋体" w:eastAsia="宋体"/>
          <w:color w:val="auto"/>
          <w:sz w:val="24"/>
          <w:highlight w:val="none"/>
        </w:rPr>
        <w:t>施工及有关事项协商一致，共同达成如下协议：</w:t>
      </w:r>
    </w:p>
    <w:p w14:paraId="7A9E5480">
      <w:pPr>
        <w:widowControl/>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一、工程概况</w:t>
      </w:r>
    </w:p>
    <w:p w14:paraId="4A2F412C">
      <w:pPr>
        <w:widowControl/>
        <w:spacing w:line="360" w:lineRule="auto"/>
        <w:ind w:firstLine="480" w:firstLineChars="200"/>
        <w:rPr>
          <w:rFonts w:hint="default" w:ascii="宋体" w:hAnsi="宋体" w:eastAsia="宋体"/>
          <w:color w:val="auto"/>
          <w:kern w:val="0"/>
          <w:sz w:val="24"/>
          <w:szCs w:val="24"/>
          <w:highlight w:val="none"/>
          <w:u w:val="single"/>
          <w:lang w:val="en-US" w:eastAsia="zh-CN"/>
        </w:rPr>
      </w:pP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rPr>
        <w:t>工程名称：</w:t>
      </w:r>
      <w:r>
        <w:rPr>
          <w:rFonts w:hint="eastAsia" w:ascii="宋体" w:hAnsi="宋体" w:cs="宋体"/>
          <w:color w:val="auto"/>
          <w:sz w:val="24"/>
          <w:szCs w:val="24"/>
          <w:highlight w:val="none"/>
          <w:u w:val="single"/>
          <w:lang w:val="en-US" w:eastAsia="zh-CN"/>
        </w:rPr>
        <w:t>尉犁县团结镇2025年设施农业建设项目(二标段)一日光温室大棚建设</w:t>
      </w:r>
    </w:p>
    <w:p w14:paraId="1B0EAD80">
      <w:pPr>
        <w:keepNext w:val="0"/>
        <w:keepLines w:val="0"/>
        <w:widowControl/>
        <w:suppressLineNumbers w:val="0"/>
        <w:spacing w:line="360" w:lineRule="auto"/>
        <w:ind w:firstLine="480" w:firstLineChars="200"/>
        <w:jc w:val="left"/>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lang w:val="en-US" w:eastAsia="zh-CN"/>
        </w:rPr>
        <w:t>2、工程</w:t>
      </w:r>
      <w:r>
        <w:rPr>
          <w:rFonts w:hint="eastAsia" w:ascii="宋体" w:hAnsi="宋体" w:cs="宋体"/>
          <w:color w:val="auto"/>
          <w:kern w:val="0"/>
          <w:sz w:val="24"/>
          <w:szCs w:val="24"/>
          <w:highlight w:val="none"/>
        </w:rPr>
        <w:t>地点：</w:t>
      </w:r>
      <w:r>
        <w:rPr>
          <w:rFonts w:hint="eastAsia" w:ascii="宋体" w:hAnsi="宋体" w:eastAsia="宋体" w:cs="宋体"/>
          <w:color w:val="auto"/>
          <w:sz w:val="24"/>
          <w:szCs w:val="24"/>
          <w:highlight w:val="none"/>
          <w:u w:val="single"/>
          <w:lang w:val="en-US" w:eastAsia="zh-CN"/>
        </w:rPr>
        <w:t xml:space="preserve"> 尉犁县团结镇 </w:t>
      </w:r>
      <w:r>
        <w:rPr>
          <w:rFonts w:hint="eastAsia" w:ascii="宋体" w:hAnsi="宋体" w:cs="宋体"/>
          <w:color w:val="auto"/>
          <w:kern w:val="0"/>
          <w:sz w:val="24"/>
          <w:szCs w:val="24"/>
          <w:highlight w:val="none"/>
          <w:u w:val="single"/>
          <w:lang w:val="en-US" w:eastAsia="zh-CN"/>
        </w:rPr>
        <w:t xml:space="preserve"> </w:t>
      </w:r>
    </w:p>
    <w:p w14:paraId="38BD24B7">
      <w:pPr>
        <w:keepNext w:val="0"/>
        <w:keepLines w:val="0"/>
        <w:widowControl/>
        <w:suppressLineNumbers w:val="0"/>
        <w:spacing w:line="360" w:lineRule="auto"/>
        <w:ind w:firstLine="480" w:firstLineChars="200"/>
        <w:jc w:val="left"/>
        <w:rPr>
          <w:rStyle w:val="81"/>
          <w:rFonts w:hint="eastAsia" w:ascii="宋体" w:hAnsi="宋体" w:eastAsia="宋体"/>
          <w:color w:val="auto"/>
          <w:sz w:val="24"/>
          <w:highlight w:val="none"/>
          <w:u w:val="single"/>
          <w:lang w:val="en-US" w:eastAsia="zh-CN"/>
        </w:rPr>
      </w:pPr>
      <w:r>
        <w:rPr>
          <w:rStyle w:val="81"/>
          <w:rFonts w:hint="eastAsia" w:ascii="宋体" w:hAnsi="宋体" w:eastAsia="宋体"/>
          <w:color w:val="auto"/>
          <w:sz w:val="24"/>
          <w:highlight w:val="none"/>
          <w:u w:val="none"/>
        </w:rPr>
        <w:t>3</w:t>
      </w:r>
      <w:r>
        <w:rPr>
          <w:rStyle w:val="81"/>
          <w:rFonts w:hint="eastAsia" w:ascii="宋体" w:hAnsi="宋体" w:eastAsia="宋体"/>
          <w:color w:val="auto"/>
          <w:sz w:val="24"/>
          <w:highlight w:val="none"/>
          <w:u w:val="none"/>
          <w:lang w:eastAsia="zh-CN"/>
        </w:rPr>
        <w:t>、</w:t>
      </w:r>
      <w:r>
        <w:rPr>
          <w:rStyle w:val="81"/>
          <w:rFonts w:hint="eastAsia" w:ascii="宋体" w:hAnsi="宋体" w:eastAsia="宋体"/>
          <w:color w:val="auto"/>
          <w:sz w:val="24"/>
          <w:highlight w:val="none"/>
          <w:u w:val="none"/>
        </w:rPr>
        <w:t>工程立项批准文号：</w:t>
      </w:r>
      <w:r>
        <w:rPr>
          <w:rStyle w:val="81"/>
          <w:rFonts w:hint="eastAsia" w:ascii="宋体" w:hAnsi="宋体" w:eastAsia="宋体"/>
          <w:color w:val="auto"/>
          <w:sz w:val="24"/>
          <w:highlight w:val="none"/>
          <w:u w:val="single"/>
          <w:lang w:val="en-US" w:eastAsia="zh-CN"/>
        </w:rPr>
        <w:t xml:space="preserve"> </w:t>
      </w:r>
      <w:r>
        <w:rPr>
          <w:rStyle w:val="81"/>
          <w:rFonts w:hint="eastAsia" w:ascii="宋体" w:hAnsi="宋体"/>
          <w:color w:val="auto"/>
          <w:sz w:val="24"/>
          <w:highlight w:val="none"/>
          <w:u w:val="single"/>
          <w:lang w:val="en-US" w:eastAsia="zh-CN"/>
        </w:rPr>
        <w:t xml:space="preserve">  </w:t>
      </w:r>
      <w:r>
        <w:rPr>
          <w:rStyle w:val="81"/>
          <w:rFonts w:hint="eastAsia" w:ascii="宋体" w:hAnsi="宋体" w:eastAsia="宋体"/>
          <w:color w:val="auto"/>
          <w:sz w:val="24"/>
          <w:highlight w:val="none"/>
          <w:u w:val="single"/>
          <w:lang w:val="en-US" w:eastAsia="zh-CN"/>
        </w:rPr>
        <w:t xml:space="preserve"> </w:t>
      </w:r>
    </w:p>
    <w:p w14:paraId="3E178447">
      <w:pPr>
        <w:pStyle w:val="80"/>
        <w:autoSpaceDE w:val="0"/>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Style w:val="81"/>
          <w:rFonts w:hint="eastAsia" w:ascii="宋体" w:hAnsi="宋体" w:eastAsia="宋体"/>
          <w:color w:val="auto"/>
          <w:sz w:val="24"/>
          <w:highlight w:val="none"/>
        </w:rPr>
        <w:t>4</w:t>
      </w:r>
      <w:r>
        <w:rPr>
          <w:rStyle w:val="81"/>
          <w:rFonts w:hint="eastAsia" w:ascii="宋体" w:hAnsi="宋体" w:eastAsia="宋体"/>
          <w:color w:val="auto"/>
          <w:sz w:val="24"/>
          <w:highlight w:val="none"/>
          <w:lang w:eastAsia="zh-CN"/>
        </w:rPr>
        <w:t>、</w:t>
      </w:r>
      <w:r>
        <w:rPr>
          <w:rStyle w:val="81"/>
          <w:rFonts w:hint="eastAsia" w:ascii="宋体" w:hAnsi="宋体" w:eastAsia="宋体"/>
          <w:color w:val="auto"/>
          <w:sz w:val="24"/>
          <w:highlight w:val="none"/>
        </w:rPr>
        <w:t>资金来源：</w:t>
      </w:r>
      <w:r>
        <w:rPr>
          <w:rFonts w:hint="eastAsia" w:ascii="宋体" w:hAnsi="宋体" w:cs="宋体"/>
          <w:color w:val="auto"/>
          <w:kern w:val="0"/>
          <w:sz w:val="24"/>
          <w:szCs w:val="24"/>
          <w:highlight w:val="none"/>
          <w:u w:val="single"/>
          <w:lang w:val="en-US" w:eastAsia="zh-CN" w:bidi="ar-SA"/>
        </w:rPr>
        <w:t>财政资金</w:t>
      </w:r>
    </w:p>
    <w:p w14:paraId="0FD38C09">
      <w:pPr>
        <w:tabs>
          <w:tab w:val="left" w:pos="1920"/>
        </w:tabs>
        <w:spacing w:line="360" w:lineRule="auto"/>
        <w:ind w:firstLine="480" w:firstLineChars="200"/>
        <w:rPr>
          <w:rStyle w:val="81"/>
          <w:rFonts w:hint="eastAsia" w:ascii="宋体" w:hAnsi="宋体" w:eastAsia="宋体"/>
          <w:color w:val="auto"/>
          <w:sz w:val="24"/>
          <w:highlight w:val="none"/>
          <w:u w:val="single"/>
          <w:lang w:eastAsia="zh-CN"/>
        </w:rPr>
      </w:pPr>
      <w:r>
        <w:rPr>
          <w:rStyle w:val="81"/>
          <w:rFonts w:hint="eastAsia" w:ascii="宋体" w:hAnsi="宋体" w:eastAsia="宋体"/>
          <w:color w:val="auto"/>
          <w:sz w:val="24"/>
          <w:highlight w:val="none"/>
          <w:lang w:val="en-US" w:eastAsia="zh-CN"/>
        </w:rPr>
        <w:t>5、</w:t>
      </w:r>
      <w:r>
        <w:rPr>
          <w:rStyle w:val="81"/>
          <w:rFonts w:hint="eastAsia" w:ascii="宋体" w:hAnsi="宋体" w:eastAsia="宋体"/>
          <w:color w:val="auto"/>
          <w:sz w:val="24"/>
          <w:highlight w:val="none"/>
        </w:rPr>
        <w:t>工程内容：</w:t>
      </w:r>
      <w:r>
        <w:rPr>
          <w:rFonts w:hint="eastAsia" w:ascii="宋体" w:hAnsi="宋体" w:cs="宋体"/>
          <w:color w:val="auto"/>
          <w:sz w:val="24"/>
          <w:szCs w:val="24"/>
          <w:highlight w:val="none"/>
          <w:u w:val="single"/>
          <w:lang w:val="en-US" w:eastAsia="zh-CN"/>
        </w:rPr>
        <w:t>新建日光温室大棚2栋，每栋建设面积4600平方米，配套附属设施</w:t>
      </w:r>
      <w:r>
        <w:rPr>
          <w:rStyle w:val="81"/>
          <w:rFonts w:hint="eastAsia" w:ascii="宋体" w:hAnsi="宋体" w:eastAsia="宋体"/>
          <w:color w:val="auto"/>
          <w:sz w:val="24"/>
          <w:highlight w:val="none"/>
          <w:u w:val="single"/>
        </w:rPr>
        <w:t>（具体详见工程量清单）</w:t>
      </w:r>
      <w:r>
        <w:rPr>
          <w:rStyle w:val="81"/>
          <w:rFonts w:hint="eastAsia" w:ascii="宋体" w:hAnsi="宋体" w:eastAsia="宋体"/>
          <w:color w:val="auto"/>
          <w:sz w:val="24"/>
          <w:highlight w:val="none"/>
          <w:u w:val="single"/>
          <w:lang w:eastAsia="zh-CN"/>
        </w:rPr>
        <w:t>。</w:t>
      </w:r>
    </w:p>
    <w:p w14:paraId="3B9BA8D3">
      <w:pPr>
        <w:pStyle w:val="80"/>
        <w:autoSpaceDE w:val="0"/>
        <w:adjustRightInd w:val="0"/>
        <w:snapToGrid w:val="0"/>
        <w:spacing w:line="360" w:lineRule="auto"/>
        <w:ind w:firstLine="720" w:firstLineChars="3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群体工程应附《承包人承揽工程项目一览表》（附件1）。</w:t>
      </w:r>
    </w:p>
    <w:p w14:paraId="4E1B00A6">
      <w:pPr>
        <w:pStyle w:val="80"/>
        <w:numPr>
          <w:ilvl w:val="0"/>
          <w:numId w:val="7"/>
        </w:numPr>
        <w:autoSpaceDE w:val="0"/>
        <w:adjustRightInd w:val="0"/>
        <w:snapToGrid w:val="0"/>
        <w:spacing w:line="360" w:lineRule="auto"/>
        <w:ind w:firstLine="480" w:firstLineChars="200"/>
        <w:rPr>
          <w:rFonts w:hint="eastAsia" w:ascii="宋体" w:hAnsi="宋体" w:eastAsia="宋体" w:cs="宋体"/>
          <w:color w:val="auto"/>
          <w:kern w:val="0"/>
          <w:sz w:val="24"/>
          <w:szCs w:val="24"/>
          <w:highlight w:val="none"/>
          <w:u w:val="single"/>
          <w:lang w:val="en-US" w:eastAsia="zh-CN"/>
        </w:rPr>
      </w:pPr>
      <w:r>
        <w:rPr>
          <w:rStyle w:val="81"/>
          <w:rFonts w:hint="eastAsia" w:ascii="宋体" w:hAnsi="宋体" w:eastAsia="宋体"/>
          <w:color w:val="auto"/>
          <w:sz w:val="24"/>
          <w:highlight w:val="none"/>
        </w:rPr>
        <w:t>工程承包范围：</w:t>
      </w:r>
      <w:r>
        <w:rPr>
          <w:rFonts w:hint="eastAsia" w:asciiTheme="minorEastAsia" w:hAnsiTheme="minorEastAsia" w:eastAsiaTheme="minorEastAsia" w:cstheme="minorEastAsia"/>
          <w:color w:val="auto"/>
          <w:kern w:val="0"/>
          <w:sz w:val="24"/>
          <w:szCs w:val="24"/>
          <w:highlight w:val="none"/>
          <w:u w:val="single"/>
          <w:lang w:val="en-US" w:eastAsia="zh-CN"/>
        </w:rPr>
        <w:t>本工程施工</w:t>
      </w:r>
      <w:r>
        <w:rPr>
          <w:rFonts w:hint="eastAsia" w:ascii="宋体" w:hAnsi="宋体" w:eastAsia="宋体" w:cs="宋体"/>
          <w:color w:val="auto"/>
          <w:kern w:val="0"/>
          <w:sz w:val="24"/>
          <w:szCs w:val="24"/>
          <w:highlight w:val="none"/>
          <w:u w:val="single"/>
          <w:lang w:val="en-US" w:eastAsia="zh-CN"/>
        </w:rPr>
        <w:t>包括施工图纸、工程量清单、招标文件范围内所有内容。</w:t>
      </w:r>
    </w:p>
    <w:p w14:paraId="49E53515">
      <w:pPr>
        <w:pStyle w:val="80"/>
        <w:numPr>
          <w:ilvl w:val="0"/>
          <w:numId w:val="0"/>
        </w:numPr>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二、合同工期</w:t>
      </w:r>
    </w:p>
    <w:p w14:paraId="5F681D90">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计划开工日期：</w:t>
      </w:r>
      <w:r>
        <w:rPr>
          <w:rFonts w:hint="eastAsia" w:ascii="宋体" w:hAnsi="宋体" w:cs="Times New Roman"/>
          <w:bCs/>
          <w:color w:val="auto"/>
          <w:sz w:val="24"/>
          <w:highlight w:val="none"/>
          <w:u w:val="single"/>
          <w:lang w:val="en-US" w:eastAsia="zh-CN"/>
        </w:rPr>
        <w:t>2025年4月24日</w:t>
      </w:r>
    </w:p>
    <w:p w14:paraId="6928656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计划竣工日期：</w:t>
      </w:r>
      <w:r>
        <w:rPr>
          <w:rFonts w:hint="eastAsia" w:ascii="宋体" w:hAnsi="宋体" w:cs="Times New Roman"/>
          <w:bCs/>
          <w:color w:val="auto"/>
          <w:sz w:val="24"/>
          <w:highlight w:val="none"/>
          <w:u w:val="single"/>
          <w:lang w:val="en-US" w:eastAsia="zh-CN"/>
        </w:rPr>
        <w:t>2025年10月30日</w:t>
      </w:r>
    </w:p>
    <w:p w14:paraId="3BDFD927">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工期总日历天数：</w:t>
      </w:r>
      <w:r>
        <w:rPr>
          <w:rFonts w:hint="eastAsia" w:ascii="宋体" w:hAnsi="宋体" w:cs="Times New Roman"/>
          <w:bCs/>
          <w:color w:val="auto"/>
          <w:sz w:val="24"/>
          <w:highlight w:val="none"/>
          <w:u w:val="single"/>
          <w:lang w:val="en-US" w:eastAsia="zh-CN"/>
        </w:rPr>
        <w:t>190</w:t>
      </w:r>
      <w:r>
        <w:rPr>
          <w:rStyle w:val="81"/>
          <w:rFonts w:hint="eastAsia" w:ascii="宋体" w:hAnsi="宋体" w:eastAsia="宋体"/>
          <w:color w:val="auto"/>
          <w:sz w:val="24"/>
          <w:highlight w:val="none"/>
        </w:rPr>
        <w:t>天。工期总日历天数与根据前述计划开竣工日期计算的工期天数不一致的，以工期总日历天数为准。</w:t>
      </w:r>
    </w:p>
    <w:p w14:paraId="6DB7174A">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bookmarkStart w:id="147" w:name="_Toc338666818"/>
      <w:bookmarkEnd w:id="147"/>
      <w:r>
        <w:rPr>
          <w:rStyle w:val="81"/>
          <w:rFonts w:hint="eastAsia" w:ascii="宋体" w:hAnsi="宋体" w:eastAsia="宋体"/>
          <w:color w:val="auto"/>
          <w:sz w:val="24"/>
          <w:highlight w:val="none"/>
        </w:rPr>
        <w:t>三、质量标准</w:t>
      </w:r>
    </w:p>
    <w:p w14:paraId="5FB92C0A">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工程质量符合</w:t>
      </w:r>
      <w:r>
        <w:rPr>
          <w:rFonts w:hint="eastAsia" w:ascii="宋体" w:hAnsi="宋体" w:eastAsia="宋体" w:cs="宋体"/>
          <w:color w:val="auto"/>
          <w:sz w:val="24"/>
          <w:szCs w:val="24"/>
          <w:highlight w:val="none"/>
          <w:u w:val="single"/>
          <w:lang w:val="en-US" w:eastAsia="zh-CN"/>
        </w:rPr>
        <w:t xml:space="preserve">   合格   </w:t>
      </w:r>
      <w:r>
        <w:rPr>
          <w:rStyle w:val="81"/>
          <w:rFonts w:hint="eastAsia" w:ascii="宋体" w:hAnsi="宋体" w:eastAsia="宋体"/>
          <w:color w:val="auto"/>
          <w:sz w:val="24"/>
          <w:highlight w:val="none"/>
        </w:rPr>
        <w:t>标准。</w:t>
      </w:r>
    </w:p>
    <w:p w14:paraId="51A314B8">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四、签约合同价与合同价格形式 </w:t>
      </w:r>
    </w:p>
    <w:p w14:paraId="0101AC3B">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1.签约合同价为：</w:t>
      </w:r>
    </w:p>
    <w:p w14:paraId="30325456">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人民币（大写）</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元)；</w:t>
      </w:r>
    </w:p>
    <w:p w14:paraId="54B661E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其中：</w:t>
      </w:r>
    </w:p>
    <w:p w14:paraId="6E5692AC">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（1）安全文明施工费：</w:t>
      </w:r>
    </w:p>
    <w:p w14:paraId="46672CEE">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人民币（大写）</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 xml:space="preserve"> (¥</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元)；</w:t>
      </w:r>
    </w:p>
    <w:p w14:paraId="0BA6363A">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（2）材料和工程设备暂估价金额：</w:t>
      </w:r>
    </w:p>
    <w:p w14:paraId="50478DCE">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人民币（大写）</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元)；</w:t>
      </w:r>
    </w:p>
    <w:p w14:paraId="47C410DF">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（3）专业工程暂估价金额：</w:t>
      </w:r>
    </w:p>
    <w:p w14:paraId="77D22D45">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人民币（大写）</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元)；</w:t>
      </w:r>
    </w:p>
    <w:p w14:paraId="20AF0937">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（4）暂列金额：</w:t>
      </w:r>
    </w:p>
    <w:p w14:paraId="24A4E768">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人民币（大写）</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元)。</w:t>
      </w:r>
    </w:p>
    <w:p w14:paraId="3184C03B">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2.合同价格形式：</w:t>
      </w:r>
    </w:p>
    <w:p w14:paraId="75E7A81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五、项目经理</w:t>
      </w:r>
    </w:p>
    <w:p w14:paraId="3D80AF4B">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承包人项目经理：</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 xml:space="preserve">                        。</w:t>
      </w:r>
    </w:p>
    <w:p w14:paraId="3FBF62B5">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六、合同文件构成</w:t>
      </w:r>
    </w:p>
    <w:p w14:paraId="53FE4D15">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本协议书与下列文件一起构成合同文件：</w:t>
      </w:r>
    </w:p>
    <w:p w14:paraId="244C0A3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（1）中标通知书（如果有）；</w:t>
      </w:r>
    </w:p>
    <w:p w14:paraId="216C588F">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（2）投标函及其附录（如果有）； </w:t>
      </w:r>
    </w:p>
    <w:p w14:paraId="05791A93">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（3）专用合同条款及其附件；</w:t>
      </w:r>
    </w:p>
    <w:p w14:paraId="44AC5F64">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（4）通用合同条款；</w:t>
      </w:r>
    </w:p>
    <w:p w14:paraId="7E9E6CBD">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（5）技术标准和要求；</w:t>
      </w:r>
    </w:p>
    <w:p w14:paraId="5395B29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（6）图纸；</w:t>
      </w:r>
    </w:p>
    <w:p w14:paraId="510D65D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（7）已标价工程量清单或预算书；</w:t>
      </w:r>
    </w:p>
    <w:p w14:paraId="4DF3DE78">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（8）其他合同文件。</w:t>
      </w:r>
    </w:p>
    <w:p w14:paraId="60B5AD4F">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在合同订立及履行过程中形成的与合同有关的文件均构成合同文件组成部分。</w:t>
      </w:r>
    </w:p>
    <w:p w14:paraId="218ABF6E">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上述各项合同文件包括合同当事人就该项合同文件所作出的补充和修改，属于同一类内容的文件，应以最新签署的为准。专用合同条款及其附件须经合同当事人签字或盖章。</w:t>
      </w:r>
    </w:p>
    <w:p w14:paraId="39086506">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七、承诺</w:t>
      </w:r>
    </w:p>
    <w:p w14:paraId="7FCAE17A">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1.发包人承诺按照法律规定履行项目审批手续、筹集工程建设资金并按照合同约定的期限和方式支付合同价款。</w:t>
      </w:r>
    </w:p>
    <w:p w14:paraId="6A680C9C">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2.承包人承诺按照法律规定及合同约定组织完成工程施工，确保工程质量和安全，不进行转包及违法分包，并在缺陷责任期及保修期内承担相应的工程维修责任。</w:t>
      </w:r>
    </w:p>
    <w:p w14:paraId="7C83EFB4">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3.发包人和承包人通过招投标形式签订合同的，双方理解并承诺不再就同一工程另行签订与合同实质性内容相背离的协议。</w:t>
      </w:r>
    </w:p>
    <w:p w14:paraId="6321014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八、词语含义</w:t>
      </w:r>
    </w:p>
    <w:p w14:paraId="15D2AA3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本协议书中词语含义与第二部分通用合同条款中赋予的含义相同。</w:t>
      </w:r>
    </w:p>
    <w:p w14:paraId="445672D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九、签订时间</w:t>
      </w:r>
    </w:p>
    <w:p w14:paraId="0B90CECD">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本合同于</w:t>
      </w:r>
      <w:r>
        <w:rPr>
          <w:rFonts w:hint="eastAsia" w:ascii="宋体" w:hAnsi="宋体" w:eastAsia="宋体" w:cs="Times New Roman"/>
          <w:bCs/>
          <w:color w:val="auto"/>
          <w:sz w:val="24"/>
          <w:highlight w:val="none"/>
          <w:u w:val="single"/>
        </w:rPr>
        <w:t xml:space="preserve">       </w:t>
      </w:r>
      <w:r>
        <w:rPr>
          <w:rFonts w:hint="eastAsia" w:ascii="宋体" w:hAnsi="宋体" w:eastAsia="宋体" w:cs="Times New Roman"/>
          <w:bCs/>
          <w:color w:val="auto"/>
          <w:sz w:val="24"/>
          <w:highlight w:val="none"/>
        </w:rPr>
        <w:t>年</w:t>
      </w:r>
      <w:r>
        <w:rPr>
          <w:rFonts w:hint="eastAsia" w:ascii="宋体" w:hAnsi="宋体" w:eastAsia="宋体" w:cs="Times New Roman"/>
          <w:bCs/>
          <w:color w:val="auto"/>
          <w:sz w:val="24"/>
          <w:highlight w:val="none"/>
          <w:u w:val="single"/>
        </w:rPr>
        <w:t xml:space="preserve">      </w:t>
      </w:r>
      <w:r>
        <w:rPr>
          <w:rFonts w:hint="eastAsia" w:ascii="宋体" w:hAnsi="宋体" w:eastAsia="宋体" w:cs="Times New Roman"/>
          <w:bCs/>
          <w:color w:val="auto"/>
          <w:sz w:val="24"/>
          <w:highlight w:val="none"/>
        </w:rPr>
        <w:t>月</w:t>
      </w:r>
      <w:r>
        <w:rPr>
          <w:rFonts w:hint="eastAsia" w:ascii="宋体" w:hAnsi="宋体" w:eastAsia="宋体" w:cs="Times New Roman"/>
          <w:bCs/>
          <w:color w:val="auto"/>
          <w:sz w:val="24"/>
          <w:highlight w:val="none"/>
          <w:u w:val="single"/>
        </w:rPr>
        <w:t xml:space="preserve">       </w:t>
      </w:r>
      <w:r>
        <w:rPr>
          <w:rFonts w:hint="eastAsia" w:ascii="宋体" w:hAnsi="宋体" w:eastAsia="宋体" w:cs="Times New Roman"/>
          <w:bCs/>
          <w:color w:val="auto"/>
          <w:sz w:val="24"/>
          <w:highlight w:val="none"/>
        </w:rPr>
        <w:t>日</w:t>
      </w:r>
      <w:r>
        <w:rPr>
          <w:rStyle w:val="81"/>
          <w:rFonts w:hint="eastAsia" w:ascii="宋体" w:hAnsi="宋体" w:eastAsia="宋体"/>
          <w:color w:val="auto"/>
          <w:sz w:val="24"/>
          <w:highlight w:val="none"/>
        </w:rPr>
        <w:t>签订。</w:t>
      </w:r>
    </w:p>
    <w:p w14:paraId="733C3547">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十、签订地点</w:t>
      </w:r>
    </w:p>
    <w:p w14:paraId="47203EDA">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本合同在</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签订。</w:t>
      </w:r>
    </w:p>
    <w:p w14:paraId="10533B18">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十一、补充协议</w:t>
      </w:r>
    </w:p>
    <w:p w14:paraId="69279962">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合同未尽事宜，合同当事人另行签订补充协议，补充协议是合同的组成部分。</w:t>
      </w:r>
    </w:p>
    <w:p w14:paraId="11785A97">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十二、合同生效</w:t>
      </w:r>
    </w:p>
    <w:p w14:paraId="310B9A8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本合同自</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生效。</w:t>
      </w:r>
    </w:p>
    <w:p w14:paraId="5BBFA19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十三、合同份数</w:t>
      </w:r>
    </w:p>
    <w:p w14:paraId="107C919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本合同一式</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份，均具有同等法律效力，发包人执</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份，承包人执</w:t>
      </w:r>
      <w:r>
        <w:rPr>
          <w:rFonts w:hint="eastAsia" w:ascii="宋体" w:hAnsi="宋体" w:eastAsia="宋体" w:cs="Times New Roman"/>
          <w:bCs/>
          <w:color w:val="auto"/>
          <w:sz w:val="24"/>
          <w:highlight w:val="none"/>
          <w:u w:val="single"/>
        </w:rPr>
        <w:t xml:space="preserve">      </w:t>
      </w:r>
      <w:r>
        <w:rPr>
          <w:rStyle w:val="81"/>
          <w:rFonts w:hint="eastAsia" w:ascii="宋体" w:hAnsi="宋体" w:eastAsia="宋体"/>
          <w:color w:val="auto"/>
          <w:sz w:val="24"/>
          <w:highlight w:val="none"/>
        </w:rPr>
        <w:t xml:space="preserve"> 份。</w:t>
      </w:r>
    </w:p>
    <w:p w14:paraId="251DD118">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发包人：(公章)                        承包人：(公章)</w:t>
      </w:r>
    </w:p>
    <w:p w14:paraId="0E20751B">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法定代表人或其委托代理人：（签字）      法定代表人或其委托代理人：（签字）</w:t>
      </w:r>
    </w:p>
    <w:p w14:paraId="5B12758A">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组织机构代码：                        组织机构代码：   </w:t>
      </w:r>
    </w:p>
    <w:p w14:paraId="1B22556C">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地  址：                              地  址：   </w:t>
      </w:r>
    </w:p>
    <w:p w14:paraId="5FBB2D28">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邮政编码：                            邮政编码：   </w:t>
      </w:r>
    </w:p>
    <w:p w14:paraId="7FBF36A3">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法定代表人：                          法定代表人：  </w:t>
      </w:r>
    </w:p>
    <w:p w14:paraId="664222B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委托代理人：                         </w:t>
      </w:r>
      <w:r>
        <w:rPr>
          <w:rStyle w:val="81"/>
          <w:rFonts w:hint="eastAsia" w:ascii="宋体" w:hAnsi="宋体"/>
          <w:color w:val="auto"/>
          <w:sz w:val="24"/>
          <w:highlight w:val="none"/>
          <w:lang w:val="en-US" w:eastAsia="zh-CN"/>
        </w:rPr>
        <w:t xml:space="preserve"> </w:t>
      </w:r>
      <w:r>
        <w:rPr>
          <w:rStyle w:val="81"/>
          <w:rFonts w:hint="eastAsia" w:ascii="宋体" w:hAnsi="宋体" w:eastAsia="宋体"/>
          <w:color w:val="auto"/>
          <w:sz w:val="24"/>
          <w:highlight w:val="none"/>
        </w:rPr>
        <w:t xml:space="preserve">委托代理人：   </w:t>
      </w:r>
    </w:p>
    <w:p w14:paraId="1D2E251B">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电  话：                              电  话：   </w:t>
      </w:r>
    </w:p>
    <w:p w14:paraId="5F4E7047">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传  真：                              传  真：   </w:t>
      </w:r>
    </w:p>
    <w:p w14:paraId="6487210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电子信箱：                            电子信箱：   </w:t>
      </w:r>
    </w:p>
    <w:p w14:paraId="34663D41">
      <w:pPr>
        <w:pStyle w:val="80"/>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sz w:val="24"/>
          <w:highlight w:val="none"/>
        </w:rPr>
        <w:t xml:space="preserve">开户银行：                            开户银行：   </w:t>
      </w:r>
    </w:p>
    <w:p w14:paraId="56A9576C">
      <w:pPr>
        <w:pStyle w:val="82"/>
        <w:ind w:firstLine="480" w:firstLineChars="200"/>
        <w:rPr>
          <w:rFonts w:hint="eastAsia" w:ascii="Calibri" w:hAnsi="Calibri" w:eastAsia="仿宋_GB2312" w:cs="Times New Roman"/>
          <w:color w:val="auto"/>
          <w:sz w:val="30"/>
          <w:szCs w:val="30"/>
          <w:highlight w:val="none"/>
        </w:rPr>
      </w:pPr>
      <w:r>
        <w:rPr>
          <w:rStyle w:val="81"/>
          <w:rFonts w:hint="eastAsia" w:ascii="宋体" w:hAnsi="宋体" w:eastAsia="宋体"/>
          <w:color w:val="auto"/>
          <w:sz w:val="24"/>
          <w:highlight w:val="none"/>
        </w:rPr>
        <w:t xml:space="preserve">账  号：                              </w:t>
      </w:r>
      <w:r>
        <w:rPr>
          <w:rStyle w:val="81"/>
          <w:rFonts w:hint="eastAsia" w:ascii="宋体" w:hAnsi="宋体"/>
          <w:color w:val="auto"/>
          <w:sz w:val="24"/>
          <w:highlight w:val="none"/>
          <w:lang w:val="en-US" w:eastAsia="zh-CN"/>
        </w:rPr>
        <w:t xml:space="preserve"> </w:t>
      </w:r>
      <w:r>
        <w:rPr>
          <w:rStyle w:val="81"/>
          <w:rFonts w:hint="eastAsia" w:ascii="宋体" w:hAnsi="宋体" w:eastAsia="宋体"/>
          <w:color w:val="auto"/>
          <w:sz w:val="24"/>
          <w:highlight w:val="none"/>
        </w:rPr>
        <w:t>账  号：</w:t>
      </w:r>
      <w:r>
        <w:rPr>
          <w:rFonts w:hint="eastAsia" w:ascii="Calibri" w:hAnsi="Calibri" w:eastAsia="仿宋_GB2312" w:cs="Times New Roman"/>
          <w:color w:val="auto"/>
          <w:sz w:val="30"/>
          <w:szCs w:val="30"/>
          <w:highlight w:val="none"/>
        </w:rPr>
        <w:t xml:space="preserve"> </w:t>
      </w:r>
    </w:p>
    <w:p w14:paraId="0F081325">
      <w:pPr>
        <w:widowControl/>
        <w:spacing w:line="360" w:lineRule="auto"/>
        <w:jc w:val="both"/>
        <w:outlineLvl w:val="9"/>
        <w:rPr>
          <w:rFonts w:hint="eastAsia" w:ascii="宋体" w:hAnsi="宋体" w:eastAsia="宋体" w:cs="宋体"/>
          <w:b/>
          <w:bCs/>
          <w:color w:val="auto"/>
          <w:sz w:val="24"/>
          <w:szCs w:val="24"/>
          <w:highlight w:val="none"/>
          <w:lang w:val="en-US" w:eastAsia="zh-CN"/>
        </w:rPr>
      </w:pPr>
      <w:r>
        <w:rPr>
          <w:rFonts w:hint="eastAsia" w:ascii="宋体" w:hAnsi="宋体"/>
          <w:b/>
          <w:bCs/>
          <w:color w:val="auto"/>
          <w:sz w:val="24"/>
          <w:highlight w:val="none"/>
          <w:lang w:val="en-US" w:eastAsia="zh-CN"/>
        </w:rPr>
        <w:t xml:space="preserve">            </w:t>
      </w:r>
      <w:r>
        <w:rPr>
          <w:rFonts w:hint="eastAsia" w:ascii="宋体" w:hAnsi="宋体" w:eastAsia="宋体" w:cs="宋体"/>
          <w:b/>
          <w:bCs/>
          <w:color w:val="auto"/>
          <w:sz w:val="24"/>
          <w:szCs w:val="24"/>
          <w:highlight w:val="none"/>
          <w:lang w:val="en-US" w:eastAsia="zh-CN"/>
        </w:rPr>
        <w:t xml:space="preserve">      </w:t>
      </w:r>
    </w:p>
    <w:p w14:paraId="212F602A">
      <w:pPr>
        <w:widowControl/>
        <w:spacing w:line="360" w:lineRule="auto"/>
        <w:ind w:firstLine="562" w:firstLineChars="200"/>
        <w:jc w:val="center"/>
        <w:rPr>
          <w:rFonts w:hint="eastAsia" w:ascii="Courier New" w:hAnsi="Courier New" w:eastAsia="宋体" w:cs="Times New Roman"/>
          <w:b/>
          <w:bCs/>
          <w:color w:val="auto"/>
          <w:kern w:val="2"/>
          <w:sz w:val="28"/>
          <w:szCs w:val="28"/>
          <w:highlight w:val="none"/>
          <w:lang w:val="en-US" w:eastAsia="zh-CN" w:bidi="ar-SA"/>
        </w:rPr>
      </w:pPr>
      <w:r>
        <w:rPr>
          <w:rFonts w:hint="eastAsia" w:ascii="Courier New" w:hAnsi="Courier New" w:eastAsia="宋体" w:cs="Times New Roman"/>
          <w:b/>
          <w:bCs/>
          <w:color w:val="auto"/>
          <w:kern w:val="2"/>
          <w:sz w:val="28"/>
          <w:szCs w:val="28"/>
          <w:highlight w:val="none"/>
          <w:lang w:val="zh-CN" w:eastAsia="zh-CN" w:bidi="ar-SA"/>
        </w:rPr>
        <w:t>通用条款</w:t>
      </w:r>
      <w:bookmarkStart w:id="148" w:name="_Toc351203495"/>
      <w:bookmarkStart w:id="149" w:name="_Toc337558727"/>
    </w:p>
    <w:p w14:paraId="0431CC92">
      <w:pPr>
        <w:pStyle w:val="84"/>
        <w:tabs>
          <w:tab w:val="left" w:pos="576"/>
        </w:tabs>
        <w:spacing w:line="360" w:lineRule="auto"/>
        <w:jc w:val="center"/>
        <w:outlineLvl w:val="9"/>
        <w:rPr>
          <w:rFonts w:hint="eastAsia" w:ascii="宋体" w:hAnsi="宋体" w:eastAsia="宋体" w:cs="宋体"/>
          <w:b/>
          <w:bCs/>
          <w:color w:val="auto"/>
          <w:kern w:val="2"/>
          <w:sz w:val="24"/>
          <w:szCs w:val="24"/>
          <w:highlight w:val="none"/>
          <w:lang w:val="zh-CN"/>
        </w:rPr>
      </w:pPr>
      <w:bookmarkStart w:id="150" w:name="_Toc9992"/>
      <w:r>
        <w:rPr>
          <w:rFonts w:hint="eastAsia" w:ascii="宋体" w:hAnsi="宋体" w:eastAsia="宋体" w:cs="宋体"/>
          <w:b/>
          <w:bCs/>
          <w:color w:val="auto"/>
          <w:kern w:val="2"/>
          <w:sz w:val="24"/>
          <w:szCs w:val="24"/>
          <w:highlight w:val="none"/>
          <w:lang w:val="zh-CN"/>
        </w:rPr>
        <w:t>通用合同条款执行住房和城乡建设部、国家工商行政管理总局制定的</w:t>
      </w:r>
    </w:p>
    <w:p w14:paraId="1F0309FA">
      <w:pPr>
        <w:pStyle w:val="84"/>
        <w:tabs>
          <w:tab w:val="left" w:pos="576"/>
        </w:tabs>
        <w:spacing w:line="360" w:lineRule="auto"/>
        <w:jc w:val="center"/>
        <w:outlineLvl w:val="9"/>
        <w:rPr>
          <w:rFonts w:hint="eastAsia" w:ascii="宋体" w:hAnsi="宋体" w:eastAsia="宋体" w:cs="宋体"/>
          <w:b/>
          <w:bCs/>
          <w:color w:val="auto"/>
          <w:kern w:val="2"/>
          <w:sz w:val="24"/>
          <w:szCs w:val="24"/>
          <w:highlight w:val="none"/>
          <w:lang w:val="zh-CN"/>
        </w:rPr>
      </w:pPr>
      <w:r>
        <w:rPr>
          <w:rFonts w:hint="eastAsia" w:ascii="宋体" w:hAnsi="宋体" w:eastAsia="宋体" w:cs="宋体"/>
          <w:b/>
          <w:bCs/>
          <w:color w:val="auto"/>
          <w:kern w:val="2"/>
          <w:sz w:val="24"/>
          <w:szCs w:val="24"/>
          <w:highlight w:val="none"/>
          <w:lang w:val="zh-CN"/>
        </w:rPr>
        <w:t>《建设工程施工合同示范文本》（GF—201</w:t>
      </w:r>
      <w:r>
        <w:rPr>
          <w:rFonts w:hint="eastAsia" w:ascii="宋体" w:hAnsi="宋体" w:eastAsia="宋体" w:cs="宋体"/>
          <w:b/>
          <w:bCs/>
          <w:color w:val="auto"/>
          <w:kern w:val="2"/>
          <w:sz w:val="24"/>
          <w:szCs w:val="24"/>
          <w:highlight w:val="none"/>
          <w:lang w:val="en-US" w:eastAsia="zh-CN"/>
        </w:rPr>
        <w:t>7</w:t>
      </w:r>
      <w:r>
        <w:rPr>
          <w:rFonts w:hint="eastAsia" w:ascii="宋体" w:hAnsi="宋体" w:eastAsia="宋体" w:cs="宋体"/>
          <w:b/>
          <w:bCs/>
          <w:color w:val="auto"/>
          <w:kern w:val="2"/>
          <w:sz w:val="24"/>
          <w:szCs w:val="24"/>
          <w:highlight w:val="none"/>
          <w:lang w:val="zh-CN"/>
        </w:rPr>
        <w:t>—0201）</w:t>
      </w:r>
      <w:bookmarkEnd w:id="148"/>
      <w:bookmarkEnd w:id="149"/>
      <w:bookmarkEnd w:id="150"/>
      <w:bookmarkStart w:id="151" w:name="_Toc387415850"/>
    </w:p>
    <w:p w14:paraId="6EB03D40">
      <w:pPr>
        <w:pStyle w:val="84"/>
        <w:tabs>
          <w:tab w:val="left" w:pos="576"/>
        </w:tabs>
        <w:spacing w:line="360" w:lineRule="auto"/>
        <w:jc w:val="center"/>
        <w:outlineLvl w:val="1"/>
        <w:rPr>
          <w:rFonts w:hint="eastAsia" w:ascii="宋体" w:hAnsi="宋体" w:eastAsia="宋体" w:cs="宋体"/>
          <w:b/>
          <w:bCs/>
          <w:color w:val="auto"/>
          <w:sz w:val="24"/>
          <w:szCs w:val="24"/>
          <w:highlight w:val="none"/>
          <w:lang w:val="zh-CN"/>
        </w:rPr>
      </w:pPr>
      <w:bookmarkStart w:id="152" w:name="_Toc15900"/>
    </w:p>
    <w:p w14:paraId="708662AC">
      <w:pPr>
        <w:widowControl/>
        <w:spacing w:line="360" w:lineRule="auto"/>
        <w:ind w:firstLine="562" w:firstLineChars="200"/>
        <w:jc w:val="center"/>
        <w:rPr>
          <w:rFonts w:hint="eastAsia" w:ascii="Courier New" w:hAnsi="Courier New" w:eastAsia="宋体" w:cs="Times New Roman"/>
          <w:b/>
          <w:bCs/>
          <w:color w:val="auto"/>
          <w:kern w:val="2"/>
          <w:sz w:val="28"/>
          <w:szCs w:val="28"/>
          <w:highlight w:val="none"/>
          <w:lang w:val="zh-CN" w:eastAsia="zh-CN" w:bidi="ar-SA"/>
        </w:rPr>
      </w:pPr>
      <w:r>
        <w:rPr>
          <w:rFonts w:hint="eastAsia" w:ascii="Courier New" w:hAnsi="Courier New" w:eastAsia="宋体" w:cs="Times New Roman"/>
          <w:b/>
          <w:bCs/>
          <w:color w:val="auto"/>
          <w:kern w:val="2"/>
          <w:sz w:val="28"/>
          <w:szCs w:val="28"/>
          <w:highlight w:val="none"/>
          <w:lang w:val="zh-CN" w:eastAsia="zh-CN" w:bidi="ar-SA"/>
        </w:rPr>
        <w:t xml:space="preserve"> 专用合同条款</w:t>
      </w:r>
      <w:bookmarkEnd w:id="151"/>
      <w:bookmarkEnd w:id="152"/>
    </w:p>
    <w:p w14:paraId="3C96D7F9">
      <w:pPr>
        <w:pStyle w:val="85"/>
        <w:widowControl/>
        <w:autoSpaceDE w:val="0"/>
        <w:adjustRightInd w:val="0"/>
        <w:snapToGrid w:val="0"/>
        <w:spacing w:line="360" w:lineRule="auto"/>
        <w:rPr>
          <w:rStyle w:val="81"/>
          <w:rFonts w:ascii="宋体" w:hAnsi="宋体"/>
          <w:color w:val="auto"/>
          <w:sz w:val="24"/>
          <w:szCs w:val="24"/>
          <w:highlight w:val="none"/>
        </w:rPr>
      </w:pPr>
      <w:bookmarkStart w:id="153" w:name="_Toc256000346"/>
      <w:bookmarkStart w:id="154" w:name="_Toc256000244"/>
      <w:bookmarkStart w:id="155" w:name="_Toc256000036_0"/>
      <w:bookmarkStart w:id="156" w:name="_Toc256000195"/>
      <w:bookmarkStart w:id="157" w:name="_Toc256000404"/>
      <w:bookmarkStart w:id="158" w:name="_Toc256000147_0"/>
      <w:bookmarkStart w:id="159" w:name="_Toc256000101"/>
      <w:r>
        <w:rPr>
          <w:rStyle w:val="81"/>
          <w:rFonts w:hint="eastAsia" w:ascii="宋体" w:hAnsi="宋体"/>
          <w:color w:val="auto"/>
          <w:sz w:val="24"/>
          <w:szCs w:val="24"/>
          <w:highlight w:val="none"/>
          <w:shd w:val="clear" w:color="auto" w:fill="FFFFFF"/>
          <w:lang w:val="en-US" w:eastAsia="zh-CN"/>
        </w:rPr>
        <w:t xml:space="preserve">     </w:t>
      </w:r>
      <w:r>
        <w:rPr>
          <w:rStyle w:val="81"/>
          <w:rFonts w:hint="eastAsia" w:ascii="宋体" w:hAnsi="宋体"/>
          <w:color w:val="auto"/>
          <w:sz w:val="24"/>
          <w:szCs w:val="24"/>
          <w:highlight w:val="none"/>
          <w:shd w:val="clear" w:color="auto" w:fill="FFFFFF"/>
        </w:rPr>
        <w:t>1. 一般约定</w:t>
      </w:r>
      <w:bookmarkEnd w:id="153"/>
      <w:bookmarkEnd w:id="154"/>
      <w:bookmarkEnd w:id="155"/>
      <w:bookmarkEnd w:id="156"/>
      <w:bookmarkEnd w:id="157"/>
      <w:bookmarkEnd w:id="158"/>
      <w:bookmarkEnd w:id="159"/>
    </w:p>
    <w:p w14:paraId="3EB75FB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 词语定义</w:t>
      </w:r>
    </w:p>
    <w:p w14:paraId="6399584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1.1.1合同</w:t>
      </w:r>
    </w:p>
    <w:p w14:paraId="39F03FF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1.1.1.10其他合同文件包括：</w:t>
      </w:r>
      <w:r>
        <w:rPr>
          <w:rStyle w:val="81"/>
          <w:rFonts w:hint="eastAsia" w:ascii="宋体" w:hAnsi="宋体" w:eastAsia="宋体"/>
          <w:color w:val="auto"/>
          <w:kern w:val="0"/>
          <w:sz w:val="24"/>
          <w:highlight w:val="none"/>
          <w:u w:val="single"/>
          <w:shd w:val="clear" w:color="auto" w:fill="FFFFFF"/>
        </w:rPr>
        <w:t>履行合同过程中双方书面确认的对合同内容有实质性影响的会议纪要、签证、设计变更等资料。</w:t>
      </w:r>
      <w:r>
        <w:rPr>
          <w:rStyle w:val="81"/>
          <w:rFonts w:hint="eastAsia" w:ascii="宋体" w:hAnsi="宋体" w:eastAsia="宋体"/>
          <w:color w:val="auto"/>
          <w:kern w:val="0"/>
          <w:sz w:val="24"/>
          <w:highlight w:val="none"/>
          <w:shd w:val="clear" w:color="auto" w:fill="FFFFFF"/>
        </w:rPr>
        <w:t xml:space="preserve"> </w:t>
      </w:r>
    </w:p>
    <w:p w14:paraId="2DBAB86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1.1.2 合同当事人及其他相关方</w:t>
      </w:r>
    </w:p>
    <w:p w14:paraId="4F4DB7B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1.1.2.4监理人：</w:t>
      </w:r>
    </w:p>
    <w:p w14:paraId="40F9CD82">
      <w:pPr>
        <w:pStyle w:val="80"/>
        <w:widowControl/>
        <w:autoSpaceDE w:val="0"/>
        <w:adjustRightInd w:val="0"/>
        <w:snapToGrid w:val="0"/>
        <w:spacing w:line="360" w:lineRule="auto"/>
        <w:ind w:firstLine="600"/>
        <w:rPr>
          <w:rFonts w:ascii="宋体" w:hAnsi="宋体" w:eastAsia="宋体" w:cs="Times New Roman"/>
          <w:bCs/>
          <w:color w:val="auto"/>
          <w:sz w:val="24"/>
          <w:highlight w:val="none"/>
          <w:u w:val="single"/>
        </w:rPr>
      </w:pPr>
      <w:r>
        <w:rPr>
          <w:rStyle w:val="81"/>
          <w:rFonts w:hint="eastAsia" w:ascii="宋体" w:hAnsi="宋体" w:eastAsia="宋体"/>
          <w:color w:val="auto"/>
          <w:kern w:val="0"/>
          <w:sz w:val="24"/>
          <w:highlight w:val="none"/>
          <w:shd w:val="clear" w:color="auto" w:fill="FFFFFF"/>
        </w:rPr>
        <w:t>名    称：</w:t>
      </w:r>
      <w:r>
        <w:rPr>
          <w:rFonts w:hint="eastAsia" w:ascii="宋体" w:hAnsi="宋体" w:eastAsia="宋体" w:cs="Times New Roman"/>
          <w:bCs/>
          <w:color w:val="auto"/>
          <w:sz w:val="24"/>
          <w:highlight w:val="none"/>
          <w:u w:val="single"/>
        </w:rPr>
        <w:t xml:space="preserve">                   </w:t>
      </w:r>
    </w:p>
    <w:p w14:paraId="7A963AB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资质类别和等级：</w:t>
      </w:r>
      <w:r>
        <w:rPr>
          <w:rFonts w:hint="eastAsia" w:ascii="宋体" w:hAnsi="宋体" w:eastAsia="宋体" w:cs="Times New Roman"/>
          <w:bCs/>
          <w:color w:val="auto"/>
          <w:sz w:val="24"/>
          <w:highlight w:val="none"/>
          <w:u w:val="single"/>
        </w:rPr>
        <w:t xml:space="preserve">                   </w:t>
      </w:r>
    </w:p>
    <w:p w14:paraId="0983442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联系电话：</w:t>
      </w:r>
      <w:r>
        <w:rPr>
          <w:rFonts w:hint="eastAsia" w:ascii="宋体" w:hAnsi="宋体" w:eastAsia="宋体" w:cs="Times New Roman"/>
          <w:bCs/>
          <w:color w:val="auto"/>
          <w:sz w:val="24"/>
          <w:highlight w:val="none"/>
          <w:u w:val="single"/>
        </w:rPr>
        <w:t xml:space="preserve">                   </w:t>
      </w:r>
    </w:p>
    <w:p w14:paraId="5995A09F">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电子信箱：</w:t>
      </w:r>
      <w:r>
        <w:rPr>
          <w:rFonts w:hint="eastAsia" w:ascii="宋体" w:hAnsi="宋体" w:eastAsia="宋体" w:cs="Times New Roman"/>
          <w:bCs/>
          <w:color w:val="auto"/>
          <w:sz w:val="24"/>
          <w:highlight w:val="none"/>
          <w:u w:val="single"/>
        </w:rPr>
        <w:t xml:space="preserve">                   </w:t>
      </w:r>
    </w:p>
    <w:p w14:paraId="21B6785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通信地址：</w:t>
      </w:r>
      <w:r>
        <w:rPr>
          <w:rFonts w:hint="eastAsia" w:ascii="宋体" w:hAnsi="宋体" w:eastAsia="宋体" w:cs="Times New Roman"/>
          <w:bCs/>
          <w:color w:val="auto"/>
          <w:sz w:val="24"/>
          <w:highlight w:val="none"/>
          <w:u w:val="single"/>
        </w:rPr>
        <w:t xml:space="preserve">                   </w:t>
      </w:r>
    </w:p>
    <w:p w14:paraId="0AA2A54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1.1.2.5 设计人：</w:t>
      </w:r>
      <w:r>
        <w:rPr>
          <w:rFonts w:hint="eastAsia" w:ascii="宋体" w:hAnsi="宋体" w:eastAsia="宋体" w:cs="Times New Roman"/>
          <w:bCs/>
          <w:color w:val="auto"/>
          <w:sz w:val="24"/>
          <w:highlight w:val="none"/>
          <w:u w:val="single"/>
        </w:rPr>
        <w:t xml:space="preserve">                   </w:t>
      </w:r>
    </w:p>
    <w:p w14:paraId="1F56DB7F">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名    称：</w:t>
      </w:r>
      <w:r>
        <w:rPr>
          <w:rFonts w:hint="eastAsia" w:ascii="宋体" w:hAnsi="宋体" w:eastAsia="宋体" w:cs="Times New Roman"/>
          <w:bCs/>
          <w:color w:val="auto"/>
          <w:sz w:val="24"/>
          <w:highlight w:val="none"/>
          <w:u w:val="single"/>
        </w:rPr>
        <w:t xml:space="preserve">                   </w:t>
      </w:r>
    </w:p>
    <w:p w14:paraId="1D0F98E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资质类别和等级：</w:t>
      </w:r>
      <w:r>
        <w:rPr>
          <w:rFonts w:hint="eastAsia" w:ascii="宋体" w:hAnsi="宋体" w:eastAsia="宋体" w:cs="Times New Roman"/>
          <w:bCs/>
          <w:color w:val="auto"/>
          <w:sz w:val="24"/>
          <w:highlight w:val="none"/>
          <w:u w:val="single"/>
        </w:rPr>
        <w:t xml:space="preserve">                   </w:t>
      </w:r>
    </w:p>
    <w:p w14:paraId="7EF6C27E">
      <w:pPr>
        <w:pStyle w:val="80"/>
        <w:widowControl/>
        <w:autoSpaceDE w:val="0"/>
        <w:adjustRightInd w:val="0"/>
        <w:snapToGrid w:val="0"/>
        <w:spacing w:line="360" w:lineRule="auto"/>
        <w:ind w:firstLine="600"/>
        <w:rPr>
          <w:rFonts w:hint="eastAsia" w:ascii="宋体" w:hAnsi="宋体" w:eastAsia="宋体" w:cs="Times New Roman"/>
          <w:bCs/>
          <w:color w:val="auto"/>
          <w:sz w:val="24"/>
          <w:highlight w:val="none"/>
          <w:u w:val="single"/>
        </w:rPr>
      </w:pPr>
      <w:r>
        <w:rPr>
          <w:rStyle w:val="81"/>
          <w:rFonts w:hint="eastAsia" w:ascii="宋体" w:hAnsi="宋体" w:eastAsia="宋体"/>
          <w:color w:val="auto"/>
          <w:kern w:val="0"/>
          <w:sz w:val="24"/>
          <w:highlight w:val="none"/>
          <w:shd w:val="clear" w:color="auto" w:fill="FFFFFF"/>
        </w:rPr>
        <w:t>联系电话：</w:t>
      </w:r>
      <w:r>
        <w:rPr>
          <w:rFonts w:hint="eastAsia" w:ascii="宋体" w:hAnsi="宋体" w:eastAsia="宋体" w:cs="Times New Roman"/>
          <w:bCs/>
          <w:color w:val="auto"/>
          <w:sz w:val="24"/>
          <w:highlight w:val="none"/>
          <w:u w:val="single"/>
        </w:rPr>
        <w:t xml:space="preserve">                   </w:t>
      </w:r>
    </w:p>
    <w:p w14:paraId="18796E7F">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电子信箱：</w:t>
      </w:r>
      <w:r>
        <w:rPr>
          <w:rFonts w:hint="eastAsia" w:ascii="宋体" w:hAnsi="宋体" w:eastAsia="宋体" w:cs="Times New Roman"/>
          <w:bCs/>
          <w:color w:val="auto"/>
          <w:sz w:val="24"/>
          <w:highlight w:val="none"/>
          <w:u w:val="single"/>
        </w:rPr>
        <w:t xml:space="preserve">                   </w:t>
      </w:r>
    </w:p>
    <w:p w14:paraId="5AC4927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通信地址：</w:t>
      </w:r>
      <w:r>
        <w:rPr>
          <w:rFonts w:hint="eastAsia" w:ascii="宋体" w:hAnsi="宋体" w:eastAsia="宋体" w:cs="Times New Roman"/>
          <w:bCs/>
          <w:color w:val="auto"/>
          <w:sz w:val="24"/>
          <w:highlight w:val="none"/>
          <w:u w:val="single"/>
        </w:rPr>
        <w:t xml:space="preserve">                   </w:t>
      </w:r>
    </w:p>
    <w:p w14:paraId="2011FDA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1.1.3 工程和设备</w:t>
      </w:r>
    </w:p>
    <w:p w14:paraId="21D449B9">
      <w:pPr>
        <w:pStyle w:val="80"/>
        <w:widowControl/>
        <w:autoSpaceDE w:val="0"/>
        <w:adjustRightInd w:val="0"/>
        <w:snapToGrid w:val="0"/>
        <w:spacing w:line="360" w:lineRule="auto"/>
        <w:ind w:firstLine="600"/>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1.1.3.7 作为施工现场组成部分的其他场所包括：</w:t>
      </w:r>
      <w:r>
        <w:rPr>
          <w:rStyle w:val="81"/>
          <w:rFonts w:hint="eastAsia" w:ascii="宋体" w:hAnsi="宋体" w:eastAsia="宋体"/>
          <w:color w:val="auto"/>
          <w:kern w:val="0"/>
          <w:sz w:val="24"/>
          <w:highlight w:val="none"/>
          <w:u w:val="single"/>
          <w:shd w:val="clear" w:color="auto" w:fill="FFFFFF"/>
        </w:rPr>
        <w:t>符合通用条款规定的发包方提供的施工场地。</w:t>
      </w:r>
    </w:p>
    <w:p w14:paraId="17AB84C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1.1.3.9 永久占地包括：</w:t>
      </w:r>
      <w:r>
        <w:rPr>
          <w:rStyle w:val="81"/>
          <w:rFonts w:hint="eastAsia" w:ascii="宋体" w:hAnsi="宋体" w:eastAsia="宋体" w:cs="Times New Roman"/>
          <w:color w:val="auto"/>
          <w:kern w:val="0"/>
          <w:sz w:val="24"/>
          <w:highlight w:val="none"/>
          <w:u w:val="single"/>
          <w:shd w:val="clear" w:color="auto" w:fill="FFFFFF"/>
        </w:rPr>
        <w:t>由规划部门制定的红线图范围内占用的土地 。</w:t>
      </w:r>
    </w:p>
    <w:p w14:paraId="08FEA5C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1.1.3.10 临时占地包括：</w:t>
      </w:r>
      <w:r>
        <w:rPr>
          <w:rStyle w:val="81"/>
          <w:rFonts w:hint="eastAsia" w:ascii="宋体" w:hAnsi="宋体" w:eastAsia="宋体"/>
          <w:color w:val="auto"/>
          <w:kern w:val="0"/>
          <w:sz w:val="24"/>
          <w:highlight w:val="none"/>
          <w:u w:val="single"/>
          <w:shd w:val="clear" w:color="auto" w:fill="FFFFFF"/>
          <w:lang w:eastAsia="en-US"/>
        </w:rPr>
        <w:t>施工必需的临时设施及施工现场必需的施工通道、作业危险区域防护用地</w:t>
      </w:r>
      <w:r>
        <w:rPr>
          <w:rStyle w:val="81"/>
          <w:rFonts w:hint="eastAsia" w:ascii="宋体" w:hAnsi="宋体" w:eastAsia="宋体"/>
          <w:color w:val="auto"/>
          <w:kern w:val="0"/>
          <w:sz w:val="24"/>
          <w:highlight w:val="none"/>
          <w:u w:val="single"/>
          <w:shd w:val="clear" w:color="auto" w:fill="FFFFFF"/>
          <w:lang w:val="en-US" w:eastAsia="zh-CN"/>
        </w:rPr>
        <w:t>等</w:t>
      </w:r>
      <w:r>
        <w:rPr>
          <w:rStyle w:val="81"/>
          <w:rFonts w:hint="eastAsia" w:ascii="宋体" w:hAnsi="宋体" w:eastAsia="宋体"/>
          <w:color w:val="auto"/>
          <w:kern w:val="0"/>
          <w:sz w:val="24"/>
          <w:highlight w:val="none"/>
          <w:u w:val="single"/>
          <w:shd w:val="clear" w:color="auto" w:fill="FFFFFF"/>
          <w:lang w:eastAsia="en-US"/>
        </w:rPr>
        <w:t>。</w:t>
      </w:r>
    </w:p>
    <w:p w14:paraId="10DA37B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1.3法律：适用于合同的其他规范性文件：</w:t>
      </w:r>
      <w:r>
        <w:rPr>
          <w:rStyle w:val="81"/>
          <w:rFonts w:hint="eastAsia" w:ascii="宋体" w:hAnsi="宋体" w:eastAsia="宋体"/>
          <w:color w:val="auto"/>
          <w:kern w:val="0"/>
          <w:sz w:val="24"/>
          <w:highlight w:val="none"/>
          <w:u w:val="single"/>
          <w:shd w:val="clear" w:color="auto" w:fill="FFFFFF"/>
        </w:rPr>
        <w:t>执行《中华人民共和国</w:t>
      </w:r>
      <w:r>
        <w:rPr>
          <w:rStyle w:val="81"/>
          <w:rFonts w:hint="eastAsia" w:ascii="宋体" w:hAnsi="宋体" w:eastAsia="宋体"/>
          <w:color w:val="auto"/>
          <w:kern w:val="0"/>
          <w:sz w:val="24"/>
          <w:highlight w:val="none"/>
          <w:u w:val="single"/>
          <w:shd w:val="clear" w:color="auto" w:fill="FFFFFF"/>
          <w:lang w:val="en-US" w:eastAsia="zh-CN"/>
        </w:rPr>
        <w:t>民法典</w:t>
      </w:r>
      <w:r>
        <w:rPr>
          <w:rStyle w:val="81"/>
          <w:rFonts w:hint="eastAsia" w:ascii="宋体" w:hAnsi="宋体" w:eastAsia="宋体"/>
          <w:color w:val="auto"/>
          <w:kern w:val="0"/>
          <w:sz w:val="24"/>
          <w:highlight w:val="none"/>
          <w:u w:val="single"/>
          <w:shd w:val="clear" w:color="auto" w:fill="FFFFFF"/>
        </w:rPr>
        <w:t>》、《中华人民共和国建筑法》</w:t>
      </w:r>
      <w:r>
        <w:rPr>
          <w:rStyle w:val="81"/>
          <w:rFonts w:hint="eastAsia" w:ascii="宋体" w:hAnsi="宋体" w:eastAsia="宋体"/>
          <w:color w:val="auto"/>
          <w:kern w:val="0"/>
          <w:sz w:val="24"/>
          <w:highlight w:val="none"/>
          <w:u w:val="single"/>
          <w:shd w:val="clear" w:color="auto" w:fill="FFFFFF"/>
          <w:lang w:eastAsia="zh-CN"/>
        </w:rPr>
        <w:t>、</w:t>
      </w:r>
      <w:r>
        <w:rPr>
          <w:rStyle w:val="81"/>
          <w:rFonts w:hint="eastAsia" w:ascii="宋体" w:hAnsi="宋体" w:eastAsia="宋体"/>
          <w:color w:val="auto"/>
          <w:kern w:val="0"/>
          <w:sz w:val="24"/>
          <w:highlight w:val="none"/>
          <w:u w:val="single"/>
          <w:shd w:val="clear" w:color="auto" w:fill="FFFFFF"/>
        </w:rPr>
        <w:t>中华人民共和国国务院《建设工程质量管理条例</w:t>
      </w:r>
      <w:r>
        <w:rPr>
          <w:rStyle w:val="81"/>
          <w:rFonts w:hint="eastAsia" w:ascii="宋体" w:hAnsi="宋体" w:eastAsia="宋体" w:cs="Times New Roman"/>
          <w:color w:val="auto"/>
          <w:kern w:val="0"/>
          <w:sz w:val="24"/>
          <w:highlight w:val="none"/>
          <w:u w:val="single"/>
          <w:shd w:val="clear" w:color="auto" w:fill="FFFFFF"/>
        </w:rPr>
        <w:t>》</w:t>
      </w:r>
      <w:r>
        <w:rPr>
          <w:rStyle w:val="81"/>
          <w:rFonts w:hint="eastAsia" w:ascii="宋体" w:hAnsi="宋体" w:eastAsia="宋体" w:cs="Times New Roman"/>
          <w:color w:val="auto"/>
          <w:kern w:val="0"/>
          <w:sz w:val="24"/>
          <w:highlight w:val="none"/>
          <w:u w:val="single"/>
          <w:shd w:val="clear" w:color="auto" w:fill="FFFFFF"/>
          <w:lang w:val="en-US" w:eastAsia="zh-CN"/>
        </w:rPr>
        <w:t>等</w:t>
      </w:r>
      <w:r>
        <w:rPr>
          <w:rStyle w:val="81"/>
          <w:rFonts w:hint="eastAsia" w:ascii="宋体" w:hAnsi="宋体" w:eastAsia="宋体" w:cs="Times New Roman"/>
          <w:color w:val="auto"/>
          <w:kern w:val="0"/>
          <w:sz w:val="24"/>
          <w:highlight w:val="none"/>
          <w:u w:val="single"/>
          <w:shd w:val="clear" w:color="auto" w:fill="FFFFFF"/>
        </w:rPr>
        <w:t>国家法律法规。</w:t>
      </w:r>
    </w:p>
    <w:p w14:paraId="27D2D03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 标准和规范</w:t>
      </w:r>
    </w:p>
    <w:p w14:paraId="0768B96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1.4.1适用于工程的标准规范包括：</w:t>
      </w:r>
      <w:r>
        <w:rPr>
          <w:rStyle w:val="81"/>
          <w:rFonts w:hint="eastAsia" w:ascii="宋体" w:hAnsi="宋体" w:eastAsia="宋体"/>
          <w:color w:val="auto"/>
          <w:kern w:val="0"/>
          <w:sz w:val="24"/>
          <w:highlight w:val="none"/>
          <w:u w:val="single"/>
          <w:shd w:val="clear" w:color="auto" w:fill="FFFFFF"/>
        </w:rPr>
        <w:t>适用于工程的国家标准、行业标准、工程所在地的地方性标准以及相应的规范、规程等。</w:t>
      </w:r>
    </w:p>
    <w:p w14:paraId="29928042">
      <w:pPr>
        <w:pStyle w:val="80"/>
        <w:widowControl/>
        <w:autoSpaceDE w:val="0"/>
        <w:adjustRightInd w:val="0"/>
        <w:snapToGrid w:val="0"/>
        <w:spacing w:line="360" w:lineRule="auto"/>
        <w:ind w:firstLine="600"/>
        <w:rPr>
          <w:rStyle w:val="81"/>
          <w:rFonts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1.4.2 发包人提供国外标准、规范的名称：</w:t>
      </w:r>
      <w:r>
        <w:rPr>
          <w:rStyle w:val="81"/>
          <w:rFonts w:hint="eastAsia" w:ascii="宋体" w:hAnsi="宋体" w:eastAsia="宋体"/>
          <w:color w:val="auto"/>
          <w:kern w:val="0"/>
          <w:sz w:val="24"/>
          <w:highlight w:val="none"/>
          <w:u w:val="single"/>
          <w:shd w:val="clear" w:color="auto" w:fill="FFFFFF"/>
        </w:rPr>
        <w:t xml:space="preserve">     /   </w:t>
      </w:r>
    </w:p>
    <w:p w14:paraId="119C5F3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发包人提供国外标准、规范的份数：</w:t>
      </w:r>
      <w:r>
        <w:rPr>
          <w:rStyle w:val="81"/>
          <w:rFonts w:hint="eastAsia" w:ascii="宋体" w:hAnsi="宋体" w:eastAsia="宋体"/>
          <w:color w:val="auto"/>
          <w:kern w:val="0"/>
          <w:sz w:val="24"/>
          <w:highlight w:val="none"/>
          <w:u w:val="single"/>
          <w:shd w:val="clear" w:color="auto" w:fill="FFFFFF"/>
        </w:rPr>
        <w:t xml:space="preserve">     /   </w:t>
      </w:r>
    </w:p>
    <w:p w14:paraId="34D084E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发包人提供国外标准、规范的名称：</w:t>
      </w:r>
      <w:r>
        <w:rPr>
          <w:rStyle w:val="81"/>
          <w:rFonts w:hint="eastAsia" w:ascii="宋体" w:hAnsi="宋体" w:eastAsia="宋体"/>
          <w:color w:val="auto"/>
          <w:kern w:val="0"/>
          <w:sz w:val="24"/>
          <w:highlight w:val="none"/>
          <w:u w:val="single"/>
          <w:shd w:val="clear" w:color="auto" w:fill="FFFFFF"/>
        </w:rPr>
        <w:t xml:space="preserve">     /   </w:t>
      </w:r>
    </w:p>
    <w:p w14:paraId="7B9CFC5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1.4.3发包人对工程的技术标准和功能要求的特殊要求：</w:t>
      </w:r>
      <w:r>
        <w:rPr>
          <w:rStyle w:val="81"/>
          <w:rFonts w:hint="eastAsia" w:ascii="宋体" w:hAnsi="宋体" w:eastAsia="宋体"/>
          <w:color w:val="auto"/>
          <w:kern w:val="0"/>
          <w:sz w:val="24"/>
          <w:highlight w:val="none"/>
          <w:u w:val="single"/>
          <w:shd w:val="clear" w:color="auto" w:fill="FFFFFF"/>
        </w:rPr>
        <w:t xml:space="preserve">     /   </w:t>
      </w:r>
    </w:p>
    <w:p w14:paraId="63E269A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 合同文件的优先顺序</w:t>
      </w:r>
    </w:p>
    <w:p w14:paraId="040C638D">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lang w:eastAsia="zh-CN"/>
        </w:rPr>
      </w:pPr>
      <w:r>
        <w:rPr>
          <w:rStyle w:val="81"/>
          <w:rFonts w:hint="eastAsia" w:ascii="宋体" w:hAnsi="宋体" w:eastAsia="宋体"/>
          <w:color w:val="auto"/>
          <w:kern w:val="0"/>
          <w:sz w:val="24"/>
          <w:highlight w:val="none"/>
          <w:shd w:val="clear" w:color="auto" w:fill="FFFFFF"/>
        </w:rPr>
        <w:t>合同文件组成及优先顺序为：</w:t>
      </w:r>
      <w:r>
        <w:rPr>
          <w:rStyle w:val="81"/>
          <w:rFonts w:hint="eastAsia" w:ascii="宋体" w:hAnsi="宋体" w:eastAsia="宋体"/>
          <w:color w:val="auto"/>
          <w:kern w:val="0"/>
          <w:sz w:val="24"/>
          <w:highlight w:val="none"/>
          <w:u w:val="single"/>
          <w:shd w:val="clear" w:color="auto" w:fill="FFFFFF"/>
        </w:rPr>
        <w:t>（1）本合同协议书；（2）中标通知书；（3）投标书及其附件；（4）专用合同条款；（5）本合同通用条款；（6）标准规范及有关技术文件；（7）图纸；（8）工程量清单；（9）工程报价单或预算</w:t>
      </w:r>
      <w:r>
        <w:rPr>
          <w:rStyle w:val="81"/>
          <w:rFonts w:hint="eastAsia" w:ascii="宋体" w:hAnsi="宋体" w:eastAsia="宋体" w:cs="Times New Roman"/>
          <w:color w:val="auto"/>
          <w:kern w:val="0"/>
          <w:sz w:val="24"/>
          <w:highlight w:val="none"/>
          <w:u w:val="single"/>
          <w:shd w:val="clear" w:color="auto" w:fill="FFFFFF"/>
        </w:rPr>
        <w:t>书</w:t>
      </w:r>
      <w:r>
        <w:rPr>
          <w:rStyle w:val="81"/>
          <w:rFonts w:hint="eastAsia" w:ascii="宋体" w:hAnsi="宋体" w:eastAsia="宋体" w:cs="Times New Roman"/>
          <w:color w:val="auto"/>
          <w:kern w:val="0"/>
          <w:sz w:val="24"/>
          <w:highlight w:val="none"/>
          <w:u w:val="single"/>
          <w:shd w:val="clear" w:color="auto" w:fill="FFFFFF"/>
          <w:lang w:eastAsia="zh-CN"/>
        </w:rPr>
        <w:t>；</w:t>
      </w:r>
      <w:r>
        <w:rPr>
          <w:rStyle w:val="81"/>
          <w:rFonts w:hint="eastAsia" w:ascii="宋体" w:hAnsi="宋体" w:eastAsia="宋体" w:cs="Times New Roman"/>
          <w:color w:val="auto"/>
          <w:kern w:val="0"/>
          <w:sz w:val="24"/>
          <w:highlight w:val="none"/>
          <w:u w:val="single"/>
          <w:shd w:val="clear" w:color="auto" w:fill="FFFFFF"/>
        </w:rPr>
        <w:t>（10）其他合同文件。</w:t>
      </w:r>
    </w:p>
    <w:p w14:paraId="799E80E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1.6 图纸和承包人文件 </w:t>
      </w:r>
    </w:p>
    <w:p w14:paraId="39FDD3B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1.6.1 图纸的提供</w:t>
      </w:r>
    </w:p>
    <w:p w14:paraId="23637C3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发包人向承包人提供图纸的期限：</w:t>
      </w:r>
      <w:r>
        <w:rPr>
          <w:rStyle w:val="81"/>
          <w:rFonts w:hint="eastAsia" w:ascii="宋体" w:hAnsi="宋体" w:eastAsia="宋体"/>
          <w:color w:val="auto"/>
          <w:kern w:val="0"/>
          <w:sz w:val="24"/>
          <w:highlight w:val="none"/>
          <w:u w:val="single"/>
          <w:shd w:val="clear" w:color="auto" w:fill="FFFFFF"/>
        </w:rPr>
        <w:t>承包人进场前7天内</w:t>
      </w:r>
    </w:p>
    <w:p w14:paraId="5214C0E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发包人向承包人提供图纸的数量：</w:t>
      </w:r>
      <w:r>
        <w:rPr>
          <w:rStyle w:val="81"/>
          <w:rFonts w:hint="eastAsia" w:ascii="宋体" w:hAnsi="宋体" w:eastAsia="宋体"/>
          <w:color w:val="auto"/>
          <w:kern w:val="0"/>
          <w:sz w:val="24"/>
          <w:highlight w:val="none"/>
          <w:u w:val="single"/>
          <w:shd w:val="clear" w:color="auto" w:fill="FFFFFF"/>
        </w:rPr>
        <w:t>提供4套图纸</w:t>
      </w:r>
    </w:p>
    <w:p w14:paraId="5D99A98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发包人向承包人提供图纸的内容：</w:t>
      </w:r>
      <w:r>
        <w:rPr>
          <w:rStyle w:val="81"/>
          <w:rFonts w:hint="eastAsia" w:ascii="宋体" w:hAnsi="宋体" w:eastAsia="宋体"/>
          <w:color w:val="auto"/>
          <w:kern w:val="0"/>
          <w:sz w:val="24"/>
          <w:highlight w:val="none"/>
          <w:u w:val="single"/>
          <w:shd w:val="clear" w:color="auto" w:fill="FFFFFF"/>
        </w:rPr>
        <w:t>施工图所包含的所有内容</w:t>
      </w:r>
      <w:r>
        <w:rPr>
          <w:rStyle w:val="81"/>
          <w:rFonts w:hint="eastAsia" w:ascii="宋体" w:hAnsi="宋体" w:eastAsia="宋体"/>
          <w:color w:val="auto"/>
          <w:kern w:val="0"/>
          <w:sz w:val="24"/>
          <w:highlight w:val="none"/>
          <w:shd w:val="clear" w:color="auto" w:fill="FFFFFF"/>
        </w:rPr>
        <w:t xml:space="preserve"> </w:t>
      </w:r>
    </w:p>
    <w:p w14:paraId="3F02BE56">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1.6.4 承包人文件</w:t>
      </w:r>
    </w:p>
    <w:p w14:paraId="0DE9CAB9">
      <w:pPr>
        <w:pStyle w:val="80"/>
        <w:widowControl/>
        <w:autoSpaceDE w:val="0"/>
        <w:adjustRightInd w:val="0"/>
        <w:snapToGrid w:val="0"/>
        <w:spacing w:line="360" w:lineRule="auto"/>
        <w:ind w:firstLine="54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需要由承包人提供的文件，包括：</w:t>
      </w:r>
      <w:r>
        <w:rPr>
          <w:rStyle w:val="81"/>
          <w:rFonts w:hint="eastAsia" w:ascii="宋体" w:hAnsi="宋体" w:eastAsia="宋体"/>
          <w:color w:val="auto"/>
          <w:kern w:val="0"/>
          <w:sz w:val="24"/>
          <w:highlight w:val="none"/>
          <w:u w:val="single"/>
          <w:shd w:val="clear" w:color="auto" w:fill="FFFFFF"/>
        </w:rPr>
        <w:t>双方另行确定</w:t>
      </w:r>
    </w:p>
    <w:p w14:paraId="142BFDD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承包人提供的文件的期限为：</w:t>
      </w:r>
      <w:r>
        <w:rPr>
          <w:rStyle w:val="81"/>
          <w:rFonts w:hint="eastAsia" w:ascii="宋体" w:hAnsi="宋体" w:eastAsia="宋体"/>
          <w:color w:val="auto"/>
          <w:kern w:val="0"/>
          <w:sz w:val="24"/>
          <w:highlight w:val="none"/>
          <w:u w:val="single"/>
          <w:shd w:val="clear" w:color="auto" w:fill="FFFFFF"/>
        </w:rPr>
        <w:t>接到中标通知书三天内</w:t>
      </w:r>
    </w:p>
    <w:p w14:paraId="00DDAE1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承包人提供的文件的数量为：</w:t>
      </w:r>
      <w:r>
        <w:rPr>
          <w:rStyle w:val="81"/>
          <w:rFonts w:hint="eastAsia" w:ascii="宋体" w:hAnsi="宋体" w:eastAsia="宋体"/>
          <w:color w:val="auto"/>
          <w:kern w:val="0"/>
          <w:sz w:val="24"/>
          <w:highlight w:val="none"/>
          <w:u w:val="single"/>
          <w:shd w:val="clear" w:color="auto" w:fill="FFFFFF"/>
        </w:rPr>
        <w:t>双方另行确定</w:t>
      </w:r>
    </w:p>
    <w:p w14:paraId="1F49B11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承包人提供的文件的形式为：</w:t>
      </w:r>
      <w:r>
        <w:rPr>
          <w:rStyle w:val="81"/>
          <w:rFonts w:hint="eastAsia" w:ascii="宋体" w:hAnsi="宋体" w:eastAsia="宋体"/>
          <w:color w:val="auto"/>
          <w:kern w:val="0"/>
          <w:sz w:val="24"/>
          <w:highlight w:val="none"/>
          <w:u w:val="single"/>
          <w:shd w:val="clear" w:color="auto" w:fill="FFFFFF"/>
        </w:rPr>
        <w:t>书面形式</w:t>
      </w:r>
    </w:p>
    <w:p w14:paraId="098036E6">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发包人审批承包人文件的期限：</w:t>
      </w:r>
      <w:r>
        <w:rPr>
          <w:rStyle w:val="81"/>
          <w:rFonts w:hint="eastAsia" w:ascii="宋体" w:hAnsi="宋体" w:eastAsia="宋体"/>
          <w:color w:val="auto"/>
          <w:kern w:val="0"/>
          <w:sz w:val="24"/>
          <w:highlight w:val="none"/>
          <w:u w:val="single"/>
          <w:shd w:val="clear" w:color="auto" w:fill="FFFFFF"/>
        </w:rPr>
        <w:t>双方另行确定</w:t>
      </w:r>
    </w:p>
    <w:p w14:paraId="0DE87C1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1.6.5 现场图纸准备</w:t>
      </w:r>
    </w:p>
    <w:p w14:paraId="2912F03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关于现场图纸准备的约定：</w:t>
      </w:r>
      <w:r>
        <w:rPr>
          <w:rStyle w:val="81"/>
          <w:rFonts w:hint="eastAsia" w:ascii="宋体" w:hAnsi="宋体" w:eastAsia="宋体"/>
          <w:color w:val="auto"/>
          <w:kern w:val="0"/>
          <w:sz w:val="24"/>
          <w:highlight w:val="none"/>
          <w:u w:val="single"/>
          <w:shd w:val="clear" w:color="auto" w:fill="FFFFFF"/>
        </w:rPr>
        <w:t>执行通用条款</w:t>
      </w:r>
    </w:p>
    <w:p w14:paraId="58A2EE1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1.7 联络</w:t>
      </w:r>
    </w:p>
    <w:p w14:paraId="5AC2ADC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1.7.1发包人和承包人应当在</w:t>
      </w:r>
      <w:r>
        <w:rPr>
          <w:rStyle w:val="81"/>
          <w:rFonts w:hint="eastAsia" w:ascii="宋体" w:hAnsi="宋体" w:eastAsia="宋体"/>
          <w:color w:val="auto"/>
          <w:kern w:val="0"/>
          <w:sz w:val="24"/>
          <w:highlight w:val="none"/>
          <w:u w:val="single"/>
          <w:shd w:val="clear" w:color="auto" w:fill="FFFFFF"/>
        </w:rPr>
        <w:t xml:space="preserve"> 7 </w:t>
      </w:r>
      <w:r>
        <w:rPr>
          <w:rStyle w:val="81"/>
          <w:rFonts w:hint="eastAsia" w:ascii="宋体" w:hAnsi="宋体" w:eastAsia="宋体"/>
          <w:color w:val="auto"/>
          <w:kern w:val="0"/>
          <w:sz w:val="24"/>
          <w:highlight w:val="none"/>
          <w:shd w:val="clear" w:color="auto" w:fill="FFFFFF"/>
        </w:rPr>
        <w:t>天内将与合同有关的通知、批准、证明、证书、指示、指令、要求、请求、同意、意见、确定和决定等书面函件送达对方当事人。</w:t>
      </w:r>
    </w:p>
    <w:p w14:paraId="5EA4AA8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1.7.2 发包人接收文件的地点：</w:t>
      </w:r>
      <w:r>
        <w:rPr>
          <w:rStyle w:val="81"/>
          <w:rFonts w:hint="eastAsia" w:ascii="宋体" w:hAnsi="宋体" w:eastAsia="宋体"/>
          <w:color w:val="auto"/>
          <w:kern w:val="0"/>
          <w:sz w:val="24"/>
          <w:highlight w:val="none"/>
          <w:u w:val="single"/>
          <w:shd w:val="clear" w:color="auto" w:fill="FFFFFF"/>
        </w:rPr>
        <w:t>项目所在地发包人项目部</w:t>
      </w:r>
    </w:p>
    <w:p w14:paraId="73224A9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发包人指定的接收人为：</w:t>
      </w:r>
      <w:r>
        <w:rPr>
          <w:rStyle w:val="81"/>
          <w:rFonts w:hint="eastAsia" w:ascii="宋体" w:hAnsi="宋体" w:eastAsia="宋体"/>
          <w:color w:val="auto"/>
          <w:kern w:val="0"/>
          <w:sz w:val="24"/>
          <w:highlight w:val="none"/>
          <w:u w:val="single"/>
          <w:shd w:val="clear" w:color="auto" w:fill="FFFFFF"/>
        </w:rPr>
        <w:t>业主派驻现场代表</w:t>
      </w:r>
    </w:p>
    <w:p w14:paraId="7B3BF36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承包人接收文件的地点：</w:t>
      </w:r>
      <w:r>
        <w:rPr>
          <w:rStyle w:val="81"/>
          <w:rFonts w:hint="eastAsia" w:ascii="宋体" w:hAnsi="宋体" w:eastAsia="宋体"/>
          <w:color w:val="auto"/>
          <w:kern w:val="0"/>
          <w:sz w:val="24"/>
          <w:highlight w:val="none"/>
          <w:u w:val="single"/>
          <w:shd w:val="clear" w:color="auto" w:fill="FFFFFF"/>
        </w:rPr>
        <w:t>项目所在地承包人项目部</w:t>
      </w:r>
    </w:p>
    <w:p w14:paraId="310FE2A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承包人指定的接收人为：</w:t>
      </w:r>
      <w:r>
        <w:rPr>
          <w:rStyle w:val="81"/>
          <w:rFonts w:hint="eastAsia" w:ascii="宋体" w:hAnsi="宋体" w:eastAsia="宋体"/>
          <w:color w:val="auto"/>
          <w:kern w:val="0"/>
          <w:sz w:val="24"/>
          <w:highlight w:val="none"/>
          <w:u w:val="single"/>
          <w:shd w:val="clear" w:color="auto" w:fill="FFFFFF"/>
        </w:rPr>
        <w:t>承包方项目经理</w:t>
      </w:r>
    </w:p>
    <w:p w14:paraId="12B51736">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监理人接收文件的地点：</w:t>
      </w:r>
      <w:r>
        <w:rPr>
          <w:rStyle w:val="81"/>
          <w:rFonts w:hint="eastAsia" w:ascii="宋体" w:hAnsi="宋体" w:eastAsia="宋体"/>
          <w:color w:val="auto"/>
          <w:kern w:val="0"/>
          <w:sz w:val="24"/>
          <w:highlight w:val="none"/>
          <w:u w:val="single"/>
          <w:shd w:val="clear" w:color="auto" w:fill="FFFFFF"/>
        </w:rPr>
        <w:t>项目所在地监理人办公室</w:t>
      </w:r>
    </w:p>
    <w:p w14:paraId="733D1DD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监理人指定的接收人为：</w:t>
      </w:r>
      <w:r>
        <w:rPr>
          <w:rStyle w:val="81"/>
          <w:rFonts w:hint="eastAsia" w:ascii="宋体" w:hAnsi="宋体" w:eastAsia="宋体"/>
          <w:color w:val="auto"/>
          <w:kern w:val="0"/>
          <w:sz w:val="24"/>
          <w:highlight w:val="none"/>
          <w:u w:val="single"/>
          <w:shd w:val="clear" w:color="auto" w:fill="FFFFFF"/>
        </w:rPr>
        <w:t>监理工程师</w:t>
      </w:r>
    </w:p>
    <w:p w14:paraId="4D335A34">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1.10 交通运输</w:t>
      </w:r>
    </w:p>
    <w:p w14:paraId="6B1D9B5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1.10.1 出入现场的权利</w:t>
      </w:r>
    </w:p>
    <w:p w14:paraId="63D271AE">
      <w:pPr>
        <w:pStyle w:val="80"/>
        <w:widowControl/>
        <w:autoSpaceDE w:val="0"/>
        <w:adjustRightInd w:val="0"/>
        <w:snapToGrid w:val="0"/>
        <w:spacing w:line="360" w:lineRule="auto"/>
        <w:ind w:firstLine="480" w:firstLineChars="2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关于出入现场的权利的约定：</w:t>
      </w:r>
      <w:r>
        <w:rPr>
          <w:rStyle w:val="81"/>
          <w:rFonts w:hint="eastAsia" w:ascii="宋体" w:hAnsi="宋体" w:eastAsia="宋体"/>
          <w:color w:val="auto"/>
          <w:kern w:val="0"/>
          <w:sz w:val="24"/>
          <w:highlight w:val="none"/>
          <w:u w:val="single"/>
          <w:shd w:val="clear" w:color="auto" w:fill="FFFFFF"/>
        </w:rPr>
        <w:t>由承包人按发包人要求负责取得出入施工现场所需的批准手续和全部权利，以及取得因施工所需修建道路及其他基础设施的权利，并承担相关手续费用和建设费用。</w:t>
      </w:r>
    </w:p>
    <w:p w14:paraId="1ADA9F0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1.10.3 场内交通</w:t>
      </w:r>
    </w:p>
    <w:p w14:paraId="3DD1BC99">
      <w:pPr>
        <w:pStyle w:val="80"/>
        <w:widowControl/>
        <w:autoSpaceDE w:val="0"/>
        <w:adjustRightInd w:val="0"/>
        <w:snapToGrid w:val="0"/>
        <w:spacing w:line="360" w:lineRule="auto"/>
        <w:ind w:firstLine="600"/>
        <w:jc w:val="left"/>
        <w:rPr>
          <w:rFonts w:hint="eastAsia" w:eastAsia="宋体"/>
          <w:color w:val="auto"/>
          <w:spacing w:val="3"/>
          <w:highlight w:val="none"/>
          <w:u w:val="single" w:color="auto"/>
          <w:lang w:eastAsia="zh-CN"/>
        </w:rPr>
      </w:pPr>
      <w:r>
        <w:rPr>
          <w:rStyle w:val="81"/>
          <w:rFonts w:hint="eastAsia" w:ascii="宋体" w:hAnsi="宋体" w:eastAsia="宋体"/>
          <w:color w:val="auto"/>
          <w:kern w:val="0"/>
          <w:sz w:val="24"/>
          <w:highlight w:val="none"/>
          <w:shd w:val="clear" w:color="auto" w:fill="FFFFFF"/>
        </w:rPr>
        <w:t>关于场外交通和场内交通的边界的约定：</w:t>
      </w:r>
      <w:r>
        <w:rPr>
          <w:rStyle w:val="81"/>
          <w:rFonts w:hint="eastAsia" w:ascii="宋体" w:hAnsi="宋体" w:eastAsia="宋体" w:cs="Times New Roman"/>
          <w:color w:val="auto"/>
          <w:kern w:val="0"/>
          <w:sz w:val="24"/>
          <w:highlight w:val="none"/>
          <w:u w:val="single"/>
          <w:shd w:val="clear" w:color="auto" w:fill="FFFFFF"/>
        </w:rPr>
        <w:t>以规划部门批准的工程用地范围为界</w:t>
      </w:r>
      <w:r>
        <w:rPr>
          <w:rStyle w:val="81"/>
          <w:rFonts w:hint="eastAsia" w:ascii="宋体" w:hAnsi="宋体" w:eastAsia="宋体" w:cs="Times New Roman"/>
          <w:color w:val="auto"/>
          <w:kern w:val="0"/>
          <w:sz w:val="24"/>
          <w:highlight w:val="none"/>
          <w:u w:val="single"/>
          <w:shd w:val="clear" w:color="auto" w:fill="FFFFFF"/>
          <w:lang w:eastAsia="zh-CN"/>
        </w:rPr>
        <w:t>；</w:t>
      </w:r>
    </w:p>
    <w:p w14:paraId="6CBD5BC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lang w:eastAsia="zh-CN"/>
        </w:rPr>
      </w:pPr>
      <w:r>
        <w:rPr>
          <w:rStyle w:val="81"/>
          <w:rFonts w:hint="eastAsia" w:ascii="宋体" w:hAnsi="宋体" w:eastAsia="宋体"/>
          <w:color w:val="auto"/>
          <w:kern w:val="0"/>
          <w:sz w:val="24"/>
          <w:highlight w:val="none"/>
          <w:shd w:val="clear" w:color="auto" w:fill="FFFFFF"/>
        </w:rPr>
        <w:t>关于发包人向承包人免费提供满足工程施工需要的场内道路和交通设施的约定：</w:t>
      </w:r>
      <w:r>
        <w:rPr>
          <w:rStyle w:val="81"/>
          <w:rFonts w:hint="eastAsia" w:ascii="宋体" w:hAnsi="宋体" w:eastAsia="宋体"/>
          <w:color w:val="auto"/>
          <w:kern w:val="0"/>
          <w:sz w:val="24"/>
          <w:highlight w:val="none"/>
          <w:u w:val="single"/>
          <w:shd w:val="clear" w:color="auto" w:fill="FFFFFF"/>
        </w:rPr>
        <w:t>双方另行确定</w:t>
      </w:r>
      <w:r>
        <w:rPr>
          <w:rStyle w:val="81"/>
          <w:rFonts w:hint="eastAsia" w:ascii="宋体" w:hAnsi="宋体" w:eastAsia="宋体"/>
          <w:color w:val="auto"/>
          <w:kern w:val="0"/>
          <w:sz w:val="24"/>
          <w:highlight w:val="none"/>
          <w:u w:val="single"/>
          <w:shd w:val="clear" w:color="auto" w:fill="FFFFFF"/>
          <w:lang w:eastAsia="zh-CN"/>
        </w:rPr>
        <w:t>；</w:t>
      </w:r>
    </w:p>
    <w:p w14:paraId="4B5B634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1.10.4超大件和超重件的运输</w:t>
      </w:r>
    </w:p>
    <w:p w14:paraId="12505D2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运输超大件或超重件所需的道路和桥梁临时加固改造费用和其他有关费用承包方由</w:t>
      </w:r>
      <w:r>
        <w:rPr>
          <w:rStyle w:val="81"/>
          <w:rFonts w:hint="eastAsia" w:ascii="宋体" w:hAnsi="宋体" w:eastAsia="宋体"/>
          <w:color w:val="auto"/>
          <w:kern w:val="0"/>
          <w:sz w:val="24"/>
          <w:highlight w:val="none"/>
          <w:u w:val="single"/>
          <w:shd w:val="clear" w:color="auto" w:fill="FFFFFF"/>
        </w:rPr>
        <w:t xml:space="preserve"> 承包人 </w:t>
      </w:r>
      <w:r>
        <w:rPr>
          <w:rStyle w:val="81"/>
          <w:rFonts w:hint="eastAsia" w:ascii="宋体" w:hAnsi="宋体" w:eastAsia="宋体"/>
          <w:color w:val="auto"/>
          <w:kern w:val="0"/>
          <w:sz w:val="24"/>
          <w:highlight w:val="none"/>
          <w:shd w:val="clear" w:color="auto" w:fill="FFFFFF"/>
        </w:rPr>
        <w:t>承担。</w:t>
      </w:r>
    </w:p>
    <w:p w14:paraId="071AEE8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1.11 知识产权</w:t>
      </w:r>
    </w:p>
    <w:p w14:paraId="4BCA50D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1.11.1关于发包人提供给承包人的图纸、发包人为实施工程自行编制或委托编制的技术规范以及反映发包人关于合同要求或其他类似性质的文件的著作权的归属：</w:t>
      </w:r>
      <w:r>
        <w:rPr>
          <w:rStyle w:val="81"/>
          <w:rFonts w:hint="eastAsia" w:ascii="宋体" w:hAnsi="宋体" w:eastAsia="宋体"/>
          <w:color w:val="auto"/>
          <w:kern w:val="0"/>
          <w:sz w:val="24"/>
          <w:highlight w:val="none"/>
          <w:u w:val="single"/>
          <w:shd w:val="clear" w:color="auto" w:fill="FFFFFF"/>
        </w:rPr>
        <w:t>执行通用条款</w:t>
      </w:r>
    </w:p>
    <w:p w14:paraId="5A97B41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关于发包人提供的上述文件的使用限制的要求：</w:t>
      </w:r>
      <w:r>
        <w:rPr>
          <w:rStyle w:val="81"/>
          <w:rFonts w:hint="eastAsia" w:ascii="宋体" w:hAnsi="宋体" w:eastAsia="宋体"/>
          <w:color w:val="auto"/>
          <w:kern w:val="0"/>
          <w:sz w:val="24"/>
          <w:highlight w:val="none"/>
          <w:u w:val="single"/>
          <w:shd w:val="clear" w:color="auto" w:fill="FFFFFF"/>
        </w:rPr>
        <w:t>执行通用条款</w:t>
      </w:r>
    </w:p>
    <w:p w14:paraId="65FB358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1.11.2 关于承包人为实施工程所编制文件的著作权的归属：</w:t>
      </w:r>
    </w:p>
    <w:p w14:paraId="597AF92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关于承包人提供的上述文件的使用限制的要求：</w:t>
      </w:r>
      <w:r>
        <w:rPr>
          <w:rStyle w:val="81"/>
          <w:rFonts w:hint="eastAsia" w:ascii="宋体" w:hAnsi="宋体" w:eastAsia="宋体"/>
          <w:color w:val="auto"/>
          <w:kern w:val="0"/>
          <w:sz w:val="24"/>
          <w:highlight w:val="none"/>
          <w:u w:val="single"/>
          <w:shd w:val="clear" w:color="auto" w:fill="FFFFFF"/>
        </w:rPr>
        <w:t>执行通用条款</w:t>
      </w:r>
    </w:p>
    <w:p w14:paraId="2513CD7E">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1.11.4 承包人在施工过程中所采用的专利、专有技术、技术秘密的使用费的承担方式：</w:t>
      </w:r>
      <w:r>
        <w:rPr>
          <w:rStyle w:val="81"/>
          <w:rFonts w:hint="eastAsia" w:ascii="宋体" w:hAnsi="宋体" w:eastAsia="宋体"/>
          <w:color w:val="auto"/>
          <w:kern w:val="0"/>
          <w:sz w:val="24"/>
          <w:highlight w:val="none"/>
          <w:u w:val="single"/>
          <w:shd w:val="clear" w:color="auto" w:fill="FFFFFF"/>
        </w:rPr>
        <w:t xml:space="preserve">执行通用条款 </w:t>
      </w:r>
    </w:p>
    <w:p w14:paraId="561C424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1.13工程量清单错误的修正</w:t>
      </w:r>
    </w:p>
    <w:p w14:paraId="1836EAD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出现工程量清单错误时，是否调整合同价格：</w:t>
      </w:r>
      <w:r>
        <w:rPr>
          <w:rStyle w:val="81"/>
          <w:rFonts w:hint="eastAsia" w:ascii="宋体" w:hAnsi="宋体" w:eastAsia="宋体" w:cs="Times New Roman"/>
          <w:color w:val="auto"/>
          <w:kern w:val="0"/>
          <w:sz w:val="24"/>
          <w:highlight w:val="none"/>
          <w:u w:val="single"/>
          <w:shd w:val="clear" w:color="auto" w:fill="FFFFFF"/>
        </w:rPr>
        <w:t>允许调</w:t>
      </w:r>
      <w:r>
        <w:rPr>
          <w:rStyle w:val="81"/>
          <w:rFonts w:hint="eastAsia" w:ascii="宋体" w:hAnsi="宋体" w:eastAsia="宋体"/>
          <w:color w:val="auto"/>
          <w:kern w:val="0"/>
          <w:sz w:val="24"/>
          <w:highlight w:val="none"/>
          <w:u w:val="single"/>
          <w:shd w:val="clear" w:color="auto" w:fill="FFFFFF"/>
        </w:rPr>
        <w:t>整合同价格</w:t>
      </w:r>
    </w:p>
    <w:p w14:paraId="022DC3D7">
      <w:pPr>
        <w:pStyle w:val="2"/>
        <w:spacing w:before="38" w:line="360" w:lineRule="auto"/>
        <w:ind w:left="237" w:leftChars="113" w:right="89" w:firstLine="420" w:firstLineChars="175"/>
        <w:jc w:val="both"/>
        <w:rPr>
          <w:rStyle w:val="81"/>
          <w:rFonts w:hint="eastAsia" w:ascii="宋体" w:hAnsi="宋体"/>
          <w:color w:val="auto"/>
          <w:sz w:val="24"/>
          <w:szCs w:val="24"/>
          <w:highlight w:val="none"/>
          <w:shd w:val="clear" w:color="auto" w:fill="FFFFFF"/>
        </w:rPr>
      </w:pPr>
      <w:bookmarkStart w:id="160" w:name="_Toc256000347"/>
      <w:bookmarkStart w:id="161" w:name="_Toc256000405"/>
      <w:bookmarkStart w:id="162" w:name="_Toc256000102"/>
      <w:bookmarkStart w:id="163" w:name="_Toc256000196"/>
      <w:bookmarkStart w:id="164" w:name="_Toc256000037_0"/>
      <w:bookmarkStart w:id="165" w:name="_Toc256000148_0"/>
      <w:bookmarkStart w:id="166" w:name="_Toc256000245"/>
      <w:r>
        <w:rPr>
          <w:rStyle w:val="81"/>
          <w:rFonts w:hint="eastAsia" w:ascii="宋体" w:hAnsi="宋体" w:eastAsia="宋体" w:cs="Times New Roman"/>
          <w:color w:val="auto"/>
          <w:kern w:val="0"/>
          <w:sz w:val="24"/>
          <w:szCs w:val="24"/>
          <w:highlight w:val="none"/>
          <w:shd w:val="clear" w:color="auto" w:fill="FFFFFF"/>
          <w:lang w:eastAsia="en-US"/>
        </w:rPr>
        <w:t>允许调整合同价格的工程量偏差范围：经发包方确认后：</w:t>
      </w:r>
      <w:r>
        <w:rPr>
          <w:rStyle w:val="81"/>
          <w:rFonts w:hint="eastAsia" w:ascii="宋体" w:hAnsi="宋体" w:eastAsia="宋体" w:cs="Times New Roman"/>
          <w:color w:val="auto"/>
          <w:kern w:val="0"/>
          <w:sz w:val="24"/>
          <w:szCs w:val="24"/>
          <w:highlight w:val="none"/>
          <w:u w:val="single"/>
          <w:shd w:val="clear" w:color="auto" w:fill="FFFFFF"/>
          <w:lang w:eastAsia="en-US"/>
        </w:rPr>
        <w:t>（1）工程量清单存在缺项、漏 项的；（2）工程量清单偏差超出 15%以上的；（3）未按照国家现行计量规范强制性规定计量的 。</w:t>
      </w:r>
    </w:p>
    <w:p w14:paraId="75ACBFCF">
      <w:pPr>
        <w:pStyle w:val="85"/>
        <w:widowControl/>
        <w:autoSpaceDE w:val="0"/>
        <w:adjustRightInd w:val="0"/>
        <w:snapToGrid w:val="0"/>
        <w:spacing w:line="360" w:lineRule="auto"/>
        <w:ind w:firstLine="602" w:firstLineChars="250"/>
        <w:rPr>
          <w:rStyle w:val="81"/>
          <w:rFonts w:hint="eastAsia" w:ascii="宋体" w:hAnsi="宋体"/>
          <w:color w:val="auto"/>
          <w:sz w:val="24"/>
          <w:szCs w:val="24"/>
          <w:highlight w:val="none"/>
        </w:rPr>
      </w:pPr>
      <w:r>
        <w:rPr>
          <w:rStyle w:val="81"/>
          <w:rFonts w:hint="eastAsia" w:ascii="宋体" w:hAnsi="宋体"/>
          <w:color w:val="auto"/>
          <w:sz w:val="24"/>
          <w:szCs w:val="24"/>
          <w:highlight w:val="none"/>
          <w:shd w:val="clear" w:color="auto" w:fill="FFFFFF"/>
        </w:rPr>
        <w:t>2. 发包人</w:t>
      </w:r>
      <w:bookmarkEnd w:id="160"/>
      <w:bookmarkEnd w:id="161"/>
      <w:bookmarkEnd w:id="162"/>
      <w:bookmarkEnd w:id="163"/>
      <w:bookmarkEnd w:id="164"/>
      <w:bookmarkEnd w:id="165"/>
      <w:bookmarkEnd w:id="166"/>
    </w:p>
    <w:p w14:paraId="1E9089A4">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2.2 发包人代表</w:t>
      </w:r>
    </w:p>
    <w:p w14:paraId="5F87F06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发包人代表：</w:t>
      </w:r>
      <w:r>
        <w:rPr>
          <w:rStyle w:val="81"/>
          <w:rFonts w:hint="eastAsia" w:ascii="宋体" w:hAnsi="宋体" w:eastAsia="宋体"/>
          <w:color w:val="auto"/>
          <w:kern w:val="0"/>
          <w:sz w:val="24"/>
          <w:highlight w:val="none"/>
          <w:u w:val="single"/>
          <w:shd w:val="clear" w:color="auto" w:fill="FFFFFF"/>
        </w:rPr>
        <w:t xml:space="preserve">              </w:t>
      </w:r>
    </w:p>
    <w:p w14:paraId="5C0783C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姓    名：</w:t>
      </w:r>
      <w:r>
        <w:rPr>
          <w:rStyle w:val="81"/>
          <w:rFonts w:hint="eastAsia" w:ascii="宋体" w:hAnsi="宋体" w:eastAsia="宋体"/>
          <w:color w:val="auto"/>
          <w:kern w:val="0"/>
          <w:sz w:val="24"/>
          <w:highlight w:val="none"/>
          <w:u w:val="single"/>
          <w:shd w:val="clear" w:color="auto" w:fill="FFFFFF"/>
        </w:rPr>
        <w:t>与中标人签订施工合同时约定</w:t>
      </w:r>
    </w:p>
    <w:p w14:paraId="1448765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身份证号：</w:t>
      </w:r>
      <w:r>
        <w:rPr>
          <w:rStyle w:val="81"/>
          <w:rFonts w:hint="eastAsia" w:ascii="宋体" w:hAnsi="宋体" w:eastAsia="宋体"/>
          <w:color w:val="auto"/>
          <w:kern w:val="0"/>
          <w:sz w:val="24"/>
          <w:highlight w:val="none"/>
          <w:u w:val="single"/>
          <w:shd w:val="clear" w:color="auto" w:fill="FFFFFF"/>
        </w:rPr>
        <w:t xml:space="preserve">              </w:t>
      </w:r>
    </w:p>
    <w:p w14:paraId="6DF0FD4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职    务：</w:t>
      </w:r>
      <w:r>
        <w:rPr>
          <w:rStyle w:val="81"/>
          <w:rFonts w:hint="eastAsia" w:ascii="宋体" w:hAnsi="宋体" w:eastAsia="宋体"/>
          <w:color w:val="auto"/>
          <w:kern w:val="0"/>
          <w:sz w:val="24"/>
          <w:highlight w:val="none"/>
          <w:u w:val="single"/>
          <w:shd w:val="clear" w:color="auto" w:fill="FFFFFF"/>
        </w:rPr>
        <w:t xml:space="preserve">              </w:t>
      </w:r>
    </w:p>
    <w:p w14:paraId="1630276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联系电话：</w:t>
      </w:r>
      <w:r>
        <w:rPr>
          <w:rStyle w:val="81"/>
          <w:rFonts w:hint="eastAsia" w:ascii="宋体" w:hAnsi="宋体" w:eastAsia="宋体"/>
          <w:color w:val="auto"/>
          <w:kern w:val="0"/>
          <w:sz w:val="24"/>
          <w:highlight w:val="none"/>
          <w:u w:val="single"/>
          <w:shd w:val="clear" w:color="auto" w:fill="FFFFFF"/>
        </w:rPr>
        <w:t xml:space="preserve">              </w:t>
      </w:r>
    </w:p>
    <w:p w14:paraId="5A193FD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电子信箱：</w:t>
      </w:r>
      <w:r>
        <w:rPr>
          <w:rStyle w:val="81"/>
          <w:rFonts w:hint="eastAsia" w:ascii="宋体" w:hAnsi="宋体" w:eastAsia="宋体"/>
          <w:color w:val="auto"/>
          <w:kern w:val="0"/>
          <w:sz w:val="24"/>
          <w:highlight w:val="none"/>
          <w:u w:val="single"/>
          <w:shd w:val="clear" w:color="auto" w:fill="FFFFFF"/>
        </w:rPr>
        <w:t xml:space="preserve">              </w:t>
      </w:r>
    </w:p>
    <w:p w14:paraId="6D7902E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通信地址：</w:t>
      </w:r>
      <w:r>
        <w:rPr>
          <w:rStyle w:val="81"/>
          <w:rFonts w:hint="eastAsia" w:ascii="宋体" w:hAnsi="宋体" w:eastAsia="宋体"/>
          <w:color w:val="auto"/>
          <w:kern w:val="0"/>
          <w:sz w:val="24"/>
          <w:highlight w:val="none"/>
          <w:u w:val="single"/>
          <w:shd w:val="clear" w:color="auto" w:fill="FFFFFF"/>
        </w:rPr>
        <w:t xml:space="preserve">              </w:t>
      </w:r>
    </w:p>
    <w:p w14:paraId="38A397C1">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发包人对发包人代表的授权范围如下：</w:t>
      </w:r>
      <w:r>
        <w:rPr>
          <w:rStyle w:val="81"/>
          <w:rFonts w:hint="eastAsia" w:ascii="宋体" w:hAnsi="宋体" w:eastAsia="宋体"/>
          <w:color w:val="auto"/>
          <w:kern w:val="0"/>
          <w:sz w:val="24"/>
          <w:highlight w:val="none"/>
          <w:u w:val="single"/>
          <w:shd w:val="clear" w:color="auto" w:fill="FFFFFF"/>
        </w:rPr>
        <w:t>督促指导</w:t>
      </w:r>
      <w:r>
        <w:rPr>
          <w:rStyle w:val="81"/>
          <w:rFonts w:hint="eastAsia" w:ascii="宋体" w:hAnsi="宋体" w:eastAsia="宋体"/>
          <w:color w:val="auto"/>
          <w:kern w:val="0"/>
          <w:sz w:val="24"/>
          <w:highlight w:val="none"/>
          <w:u w:val="single"/>
          <w:shd w:val="clear" w:color="auto" w:fill="FFFFFF"/>
          <w:lang w:val="en-US" w:eastAsia="zh-CN"/>
        </w:rPr>
        <w:t>监理</w:t>
      </w:r>
      <w:r>
        <w:rPr>
          <w:rStyle w:val="81"/>
          <w:rFonts w:hint="eastAsia" w:ascii="宋体" w:hAnsi="宋体" w:eastAsia="宋体"/>
          <w:color w:val="auto"/>
          <w:kern w:val="0"/>
          <w:sz w:val="24"/>
          <w:highlight w:val="none"/>
          <w:u w:val="single"/>
          <w:shd w:val="clear" w:color="auto" w:fill="FFFFFF"/>
        </w:rPr>
        <w:t>工程师行使职权，协调施工现场各方面的关系，协调工程质量、进度和安全文明施工中存在的问题，解决有关设计和技术签证、办理、 签认现场</w:t>
      </w:r>
      <w:r>
        <w:rPr>
          <w:rStyle w:val="81"/>
          <w:rFonts w:hint="eastAsia" w:ascii="宋体" w:hAnsi="宋体" w:eastAsia="宋体"/>
          <w:color w:val="auto"/>
          <w:kern w:val="0"/>
          <w:sz w:val="24"/>
          <w:highlight w:val="none"/>
          <w:u w:val="single"/>
          <w:shd w:val="clear" w:color="auto" w:fill="FFFFFF"/>
          <w:lang w:val="en-US" w:eastAsia="zh-CN"/>
        </w:rPr>
        <w:t>经济</w:t>
      </w:r>
      <w:r>
        <w:rPr>
          <w:rStyle w:val="81"/>
          <w:rFonts w:hint="eastAsia" w:ascii="宋体" w:hAnsi="宋体" w:eastAsia="宋体"/>
          <w:color w:val="auto"/>
          <w:kern w:val="0"/>
          <w:sz w:val="24"/>
          <w:highlight w:val="none"/>
          <w:u w:val="single"/>
          <w:shd w:val="clear" w:color="auto" w:fill="FFFFFF"/>
        </w:rPr>
        <w:t>技术签证，审核工程精度报表等。</w:t>
      </w:r>
    </w:p>
    <w:p w14:paraId="7460A7BF">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2.4 施工现场、施工条件和基础资料的提供</w:t>
      </w:r>
    </w:p>
    <w:p w14:paraId="3BEFCC1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2.4.1 提供施工现场</w:t>
      </w:r>
    </w:p>
    <w:p w14:paraId="72DCBFC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关于发包人移交施工现场的期限要求：</w:t>
      </w:r>
      <w:r>
        <w:rPr>
          <w:rStyle w:val="81"/>
          <w:rFonts w:hint="eastAsia" w:ascii="宋体" w:hAnsi="宋体" w:eastAsia="宋体"/>
          <w:color w:val="auto"/>
          <w:kern w:val="0"/>
          <w:sz w:val="24"/>
          <w:highlight w:val="none"/>
          <w:u w:val="single"/>
          <w:shd w:val="clear" w:color="auto" w:fill="FFFFFF"/>
        </w:rPr>
        <w:t>按中标后合同约定</w:t>
      </w:r>
    </w:p>
    <w:p w14:paraId="0B7169C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2.4.2 提供施工条件</w:t>
      </w:r>
    </w:p>
    <w:p w14:paraId="4AA818D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关于发包人应负责提供施工所需要的条件，包括：</w:t>
      </w:r>
      <w:r>
        <w:rPr>
          <w:rStyle w:val="81"/>
          <w:rFonts w:hint="eastAsia" w:ascii="宋体" w:hAnsi="宋体" w:eastAsia="宋体"/>
          <w:color w:val="auto"/>
          <w:kern w:val="0"/>
          <w:sz w:val="24"/>
          <w:highlight w:val="none"/>
          <w:u w:val="single"/>
          <w:shd w:val="clear" w:color="auto" w:fill="FFFFFF"/>
        </w:rPr>
        <w:t>施工用水、施工用电由发包人指定接点，并满足施工要求，接点至施工现场管道/管线、计量设备由承包人自行解决，承包人按时向发包人缴纳水电费（价格执行施工当地价格）</w:t>
      </w:r>
    </w:p>
    <w:p w14:paraId="17FF286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2.5 资金来源证明及支付担保</w:t>
      </w:r>
    </w:p>
    <w:p w14:paraId="63FD83C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发包人提供资金来源证明的期限要求：</w:t>
      </w:r>
      <w:r>
        <w:rPr>
          <w:rStyle w:val="81"/>
          <w:rFonts w:hint="eastAsia" w:ascii="宋体" w:hAnsi="宋体" w:eastAsia="宋体"/>
          <w:color w:val="auto"/>
          <w:kern w:val="0"/>
          <w:sz w:val="24"/>
          <w:highlight w:val="none"/>
          <w:u w:val="single"/>
          <w:shd w:val="clear" w:color="auto" w:fill="FFFFFF"/>
        </w:rPr>
        <w:t xml:space="preserve">   /      </w:t>
      </w:r>
    </w:p>
    <w:p w14:paraId="1AB91B74">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发包人是否提供支付担保：</w:t>
      </w:r>
      <w:r>
        <w:rPr>
          <w:rStyle w:val="81"/>
          <w:rFonts w:hint="eastAsia" w:ascii="宋体" w:hAnsi="宋体" w:eastAsia="宋体"/>
          <w:color w:val="auto"/>
          <w:kern w:val="0"/>
          <w:sz w:val="24"/>
          <w:highlight w:val="none"/>
          <w:u w:val="single"/>
          <w:shd w:val="clear" w:color="auto" w:fill="FFFFFF"/>
        </w:rPr>
        <w:t xml:space="preserve">   /      </w:t>
      </w:r>
    </w:p>
    <w:p w14:paraId="1E00D35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发包人提供支付担保的形式：</w:t>
      </w:r>
      <w:r>
        <w:rPr>
          <w:rStyle w:val="81"/>
          <w:rFonts w:hint="eastAsia" w:ascii="宋体" w:hAnsi="宋体" w:eastAsia="宋体"/>
          <w:color w:val="auto"/>
          <w:kern w:val="0"/>
          <w:sz w:val="24"/>
          <w:highlight w:val="none"/>
          <w:u w:val="single"/>
          <w:shd w:val="clear" w:color="auto" w:fill="FFFFFF"/>
        </w:rPr>
        <w:t xml:space="preserve">   /      </w:t>
      </w:r>
    </w:p>
    <w:p w14:paraId="6233E171">
      <w:pPr>
        <w:pStyle w:val="85"/>
        <w:widowControl/>
        <w:autoSpaceDE w:val="0"/>
        <w:adjustRightInd w:val="0"/>
        <w:snapToGrid w:val="0"/>
        <w:spacing w:line="360" w:lineRule="auto"/>
        <w:ind w:firstLine="602" w:firstLineChars="250"/>
        <w:rPr>
          <w:rStyle w:val="81"/>
          <w:rFonts w:hint="eastAsia" w:ascii="宋体" w:hAnsi="宋体"/>
          <w:color w:val="auto"/>
          <w:sz w:val="24"/>
          <w:szCs w:val="24"/>
          <w:highlight w:val="none"/>
        </w:rPr>
      </w:pPr>
      <w:bookmarkStart w:id="167" w:name="_Toc256000038_0"/>
      <w:bookmarkStart w:id="168" w:name="_Toc256000246"/>
      <w:bookmarkStart w:id="169" w:name="_Toc256000197"/>
      <w:bookmarkStart w:id="170" w:name="_Toc256000348"/>
      <w:bookmarkStart w:id="171" w:name="_Toc256000149_0"/>
      <w:bookmarkStart w:id="172" w:name="_Toc256000406"/>
      <w:bookmarkStart w:id="173" w:name="_Toc256000103"/>
      <w:r>
        <w:rPr>
          <w:rStyle w:val="81"/>
          <w:rFonts w:hint="eastAsia" w:ascii="宋体" w:hAnsi="宋体"/>
          <w:color w:val="auto"/>
          <w:sz w:val="24"/>
          <w:szCs w:val="24"/>
          <w:highlight w:val="none"/>
          <w:shd w:val="clear" w:color="auto" w:fill="FFFFFF"/>
        </w:rPr>
        <w:t>3. 承包人</w:t>
      </w:r>
      <w:bookmarkEnd w:id="167"/>
      <w:bookmarkEnd w:id="168"/>
      <w:bookmarkEnd w:id="169"/>
      <w:bookmarkEnd w:id="170"/>
      <w:bookmarkEnd w:id="171"/>
      <w:bookmarkEnd w:id="172"/>
      <w:bookmarkEnd w:id="173"/>
    </w:p>
    <w:p w14:paraId="4F87086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3.1 承包人的一般义务</w:t>
      </w:r>
    </w:p>
    <w:p w14:paraId="04969420">
      <w:pPr>
        <w:pStyle w:val="80"/>
        <w:widowControl/>
        <w:autoSpaceDE w:val="0"/>
        <w:adjustRightInd w:val="0"/>
        <w:snapToGrid w:val="0"/>
        <w:spacing w:line="360" w:lineRule="auto"/>
        <w:ind w:firstLine="600"/>
        <w:jc w:val="left"/>
        <w:rPr>
          <w:rStyle w:val="81"/>
          <w:rFonts w:hint="eastAsia" w:ascii="宋体" w:hAnsi="宋体" w:eastAsia="宋体" w:cs="Times New Roman"/>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w:t>
      </w:r>
      <w:r>
        <w:rPr>
          <w:rStyle w:val="81"/>
          <w:rFonts w:hint="eastAsia" w:ascii="宋体" w:hAnsi="宋体"/>
          <w:color w:val="auto"/>
          <w:kern w:val="0"/>
          <w:sz w:val="24"/>
          <w:highlight w:val="none"/>
          <w:shd w:val="clear" w:color="auto" w:fill="FFFFFF"/>
          <w:lang w:val="en-US" w:eastAsia="zh-CN"/>
        </w:rPr>
        <w:t>1</w:t>
      </w:r>
      <w:r>
        <w:rPr>
          <w:rStyle w:val="81"/>
          <w:rFonts w:hint="eastAsia" w:ascii="宋体" w:hAnsi="宋体" w:eastAsia="宋体"/>
          <w:color w:val="auto"/>
          <w:kern w:val="0"/>
          <w:sz w:val="24"/>
          <w:highlight w:val="none"/>
          <w:shd w:val="clear" w:color="auto" w:fill="FFFFFF"/>
        </w:rPr>
        <w:t>）承包人提交的竣工资料的内容：</w:t>
      </w:r>
      <w:r>
        <w:rPr>
          <w:rStyle w:val="81"/>
          <w:rFonts w:hint="eastAsia" w:ascii="宋体" w:hAnsi="宋体" w:eastAsia="宋体" w:cs="Times New Roman"/>
          <w:color w:val="auto"/>
          <w:kern w:val="0"/>
          <w:sz w:val="24"/>
          <w:highlight w:val="none"/>
          <w:u w:val="single"/>
          <w:shd w:val="clear" w:color="auto" w:fill="FFFFFF"/>
          <w:lang w:val="en-US" w:eastAsia="zh-CN"/>
        </w:rPr>
        <w:t>1.</w:t>
      </w:r>
      <w:r>
        <w:rPr>
          <w:rStyle w:val="81"/>
          <w:rFonts w:hint="eastAsia" w:ascii="宋体" w:hAnsi="宋体" w:eastAsia="宋体" w:cs="Times New Roman"/>
          <w:color w:val="auto"/>
          <w:kern w:val="0"/>
          <w:sz w:val="24"/>
          <w:highlight w:val="none"/>
          <w:u w:val="single"/>
          <w:shd w:val="clear" w:color="auto" w:fill="FFFFFF"/>
        </w:rPr>
        <w:t>工程施工技术资料、2</w:t>
      </w:r>
      <w:r>
        <w:rPr>
          <w:rStyle w:val="81"/>
          <w:rFonts w:hint="eastAsia" w:ascii="宋体" w:hAnsi="宋体" w:eastAsia="宋体" w:cs="Times New Roman"/>
          <w:color w:val="auto"/>
          <w:kern w:val="0"/>
          <w:sz w:val="24"/>
          <w:highlight w:val="none"/>
          <w:u w:val="single"/>
          <w:shd w:val="clear" w:color="auto" w:fill="FFFFFF"/>
          <w:lang w:val="en-US" w:eastAsia="zh-CN"/>
        </w:rPr>
        <w:t>.</w:t>
      </w:r>
      <w:r>
        <w:rPr>
          <w:rStyle w:val="81"/>
          <w:rFonts w:hint="eastAsia" w:ascii="宋体" w:hAnsi="宋体" w:eastAsia="宋体" w:cs="Times New Roman"/>
          <w:color w:val="auto"/>
          <w:kern w:val="0"/>
          <w:sz w:val="24"/>
          <w:highlight w:val="none"/>
          <w:u w:val="single"/>
          <w:shd w:val="clear" w:color="auto" w:fill="FFFFFF"/>
        </w:rPr>
        <w:t>工程质量保证资料、3</w:t>
      </w:r>
      <w:r>
        <w:rPr>
          <w:rStyle w:val="81"/>
          <w:rFonts w:hint="eastAsia" w:ascii="宋体" w:hAnsi="宋体" w:eastAsia="宋体" w:cs="Times New Roman"/>
          <w:color w:val="auto"/>
          <w:kern w:val="0"/>
          <w:sz w:val="24"/>
          <w:highlight w:val="none"/>
          <w:u w:val="single"/>
          <w:shd w:val="clear" w:color="auto" w:fill="FFFFFF"/>
          <w:lang w:val="en-US" w:eastAsia="zh-CN"/>
        </w:rPr>
        <w:t>.</w:t>
      </w:r>
      <w:r>
        <w:rPr>
          <w:rStyle w:val="81"/>
          <w:rFonts w:hint="eastAsia" w:ascii="宋体" w:hAnsi="宋体" w:eastAsia="宋体" w:cs="Times New Roman"/>
          <w:color w:val="auto"/>
          <w:kern w:val="0"/>
          <w:sz w:val="24"/>
          <w:highlight w:val="none"/>
          <w:u w:val="single"/>
          <w:shd w:val="clear" w:color="auto" w:fill="FFFFFF"/>
        </w:rPr>
        <w:t>工程检验评定资料、4</w:t>
      </w:r>
      <w:r>
        <w:rPr>
          <w:rStyle w:val="81"/>
          <w:rFonts w:hint="eastAsia" w:ascii="宋体" w:hAnsi="宋体" w:eastAsia="宋体" w:cs="Times New Roman"/>
          <w:color w:val="auto"/>
          <w:kern w:val="0"/>
          <w:sz w:val="24"/>
          <w:highlight w:val="none"/>
          <w:u w:val="single"/>
          <w:shd w:val="clear" w:color="auto" w:fill="FFFFFF"/>
          <w:lang w:val="en-US" w:eastAsia="zh-CN"/>
        </w:rPr>
        <w:t>.</w:t>
      </w:r>
      <w:r>
        <w:rPr>
          <w:rStyle w:val="81"/>
          <w:rFonts w:hint="eastAsia" w:ascii="宋体" w:hAnsi="宋体" w:eastAsia="宋体" w:cs="Times New Roman"/>
          <w:color w:val="auto"/>
          <w:kern w:val="0"/>
          <w:sz w:val="24"/>
          <w:highlight w:val="none"/>
          <w:u w:val="single"/>
          <w:shd w:val="clear" w:color="auto" w:fill="FFFFFF"/>
        </w:rPr>
        <w:t>竣工图、5</w:t>
      </w:r>
      <w:r>
        <w:rPr>
          <w:rStyle w:val="81"/>
          <w:rFonts w:hint="eastAsia" w:ascii="宋体" w:hAnsi="宋体" w:eastAsia="宋体" w:cs="Times New Roman"/>
          <w:color w:val="auto"/>
          <w:kern w:val="0"/>
          <w:sz w:val="24"/>
          <w:highlight w:val="none"/>
          <w:u w:val="single"/>
          <w:shd w:val="clear" w:color="auto" w:fill="FFFFFF"/>
          <w:lang w:val="en-US" w:eastAsia="zh-CN"/>
        </w:rPr>
        <w:t>.</w:t>
      </w:r>
      <w:r>
        <w:rPr>
          <w:rStyle w:val="81"/>
          <w:rFonts w:hint="eastAsia" w:ascii="宋体" w:hAnsi="宋体" w:eastAsia="宋体" w:cs="Times New Roman"/>
          <w:color w:val="auto"/>
          <w:kern w:val="0"/>
          <w:sz w:val="24"/>
          <w:highlight w:val="none"/>
          <w:u w:val="single"/>
          <w:shd w:val="clear" w:color="auto" w:fill="FFFFFF"/>
        </w:rPr>
        <w:t>规定的其他应交资料</w:t>
      </w:r>
      <w:r>
        <w:rPr>
          <w:rStyle w:val="81"/>
          <w:rFonts w:hint="eastAsia" w:ascii="宋体" w:hAnsi="宋体" w:eastAsia="宋体" w:cs="Times New Roman"/>
          <w:color w:val="auto"/>
          <w:kern w:val="0"/>
          <w:sz w:val="24"/>
          <w:highlight w:val="none"/>
          <w:u w:val="single"/>
          <w:shd w:val="clear" w:color="auto" w:fill="FFFFFF"/>
          <w:lang w:eastAsia="zh-CN"/>
        </w:rPr>
        <w:t>、</w:t>
      </w:r>
      <w:r>
        <w:rPr>
          <w:rStyle w:val="81"/>
          <w:rFonts w:hint="eastAsia" w:ascii="宋体" w:hAnsi="宋体" w:eastAsia="宋体" w:cs="Times New Roman"/>
          <w:color w:val="auto"/>
          <w:kern w:val="0"/>
          <w:sz w:val="24"/>
          <w:highlight w:val="none"/>
          <w:u w:val="single"/>
          <w:shd w:val="clear" w:color="auto" w:fill="FFFFFF"/>
          <w:lang w:val="en-US" w:eastAsia="zh-CN"/>
        </w:rPr>
        <w:t>6.</w:t>
      </w:r>
      <w:r>
        <w:rPr>
          <w:rStyle w:val="81"/>
          <w:rFonts w:hint="eastAsia" w:ascii="宋体" w:hAnsi="宋体" w:eastAsia="宋体" w:cs="Times New Roman"/>
          <w:color w:val="auto"/>
          <w:kern w:val="0"/>
          <w:sz w:val="24"/>
          <w:highlight w:val="none"/>
          <w:u w:val="single"/>
          <w:shd w:val="clear" w:color="auto" w:fill="FFFFFF"/>
        </w:rPr>
        <w:t>竣工资料移交要求：自竣工验收合格后一个月内完成。。</w:t>
      </w:r>
    </w:p>
    <w:p w14:paraId="6A7BB81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承包人需要提交的竣工资料套数：</w:t>
      </w:r>
      <w:r>
        <w:rPr>
          <w:rStyle w:val="81"/>
          <w:rFonts w:hint="eastAsia" w:ascii="宋体" w:hAnsi="宋体" w:eastAsia="宋体"/>
          <w:color w:val="auto"/>
          <w:kern w:val="0"/>
          <w:sz w:val="24"/>
          <w:highlight w:val="none"/>
          <w:u w:val="single"/>
          <w:shd w:val="clear" w:color="auto" w:fill="FFFFFF"/>
          <w:lang w:val="en-US" w:eastAsia="zh-CN"/>
        </w:rPr>
        <w:t>4</w:t>
      </w:r>
      <w:r>
        <w:rPr>
          <w:rStyle w:val="81"/>
          <w:rFonts w:hint="eastAsia" w:ascii="宋体" w:hAnsi="宋体" w:eastAsia="宋体"/>
          <w:color w:val="auto"/>
          <w:kern w:val="0"/>
          <w:sz w:val="24"/>
          <w:highlight w:val="none"/>
          <w:u w:val="single"/>
          <w:shd w:val="clear" w:color="auto" w:fill="FFFFFF"/>
        </w:rPr>
        <w:t>份</w:t>
      </w:r>
    </w:p>
    <w:p w14:paraId="524D0EB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承包人提交的竣工资料的费用承担：</w:t>
      </w:r>
      <w:r>
        <w:rPr>
          <w:rStyle w:val="81"/>
          <w:rFonts w:hint="eastAsia" w:ascii="宋体" w:hAnsi="宋体" w:eastAsia="宋体"/>
          <w:color w:val="auto"/>
          <w:kern w:val="0"/>
          <w:sz w:val="24"/>
          <w:highlight w:val="none"/>
          <w:u w:val="single"/>
          <w:shd w:val="clear" w:color="auto" w:fill="FFFFFF"/>
        </w:rPr>
        <w:t>由自行承包人承担</w:t>
      </w:r>
    </w:p>
    <w:p w14:paraId="2A06484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承包人提交的竣工资料移交时间：</w:t>
      </w:r>
      <w:r>
        <w:rPr>
          <w:rStyle w:val="81"/>
          <w:rFonts w:hint="eastAsia" w:ascii="宋体" w:hAnsi="宋体" w:eastAsia="宋体" w:cs="Times New Roman"/>
          <w:color w:val="auto"/>
          <w:kern w:val="0"/>
          <w:sz w:val="24"/>
          <w:highlight w:val="none"/>
          <w:u w:val="single"/>
          <w:shd w:val="clear" w:color="auto" w:fill="FFFFFF"/>
        </w:rPr>
        <w:t xml:space="preserve">工程竣工验收合格后 </w:t>
      </w:r>
      <w:r>
        <w:rPr>
          <w:rStyle w:val="81"/>
          <w:rFonts w:hint="eastAsia" w:ascii="宋体" w:hAnsi="宋体" w:eastAsia="宋体" w:cs="Times New Roman"/>
          <w:color w:val="auto"/>
          <w:kern w:val="0"/>
          <w:sz w:val="24"/>
          <w:highlight w:val="none"/>
          <w:u w:val="single"/>
          <w:shd w:val="clear" w:color="auto" w:fill="FFFFFF"/>
          <w:lang w:val="en-US" w:eastAsia="zh-CN"/>
        </w:rPr>
        <w:t>1</w:t>
      </w:r>
      <w:r>
        <w:rPr>
          <w:rStyle w:val="81"/>
          <w:rFonts w:hint="eastAsia" w:ascii="宋体" w:hAnsi="宋体" w:eastAsia="宋体" w:cs="Times New Roman"/>
          <w:color w:val="auto"/>
          <w:kern w:val="0"/>
          <w:sz w:val="24"/>
          <w:highlight w:val="none"/>
          <w:u w:val="single"/>
          <w:shd w:val="clear" w:color="auto" w:fill="FFFFFF"/>
        </w:rPr>
        <w:t xml:space="preserve"> 个月内</w:t>
      </w:r>
    </w:p>
    <w:p w14:paraId="5960885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承包人提交的竣工资料形式要求：</w:t>
      </w:r>
      <w:r>
        <w:rPr>
          <w:rStyle w:val="81"/>
          <w:rFonts w:hint="eastAsia" w:ascii="宋体" w:hAnsi="宋体" w:eastAsia="宋体"/>
          <w:color w:val="auto"/>
          <w:kern w:val="0"/>
          <w:sz w:val="24"/>
          <w:highlight w:val="none"/>
          <w:u w:val="single"/>
          <w:shd w:val="clear" w:color="auto" w:fill="FFFFFF"/>
        </w:rPr>
        <w:t>书面及电子文档</w:t>
      </w:r>
    </w:p>
    <w:p w14:paraId="0363F2D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w:t>
      </w:r>
      <w:r>
        <w:rPr>
          <w:rStyle w:val="81"/>
          <w:rFonts w:hint="eastAsia" w:ascii="宋体" w:hAnsi="宋体"/>
          <w:color w:val="auto"/>
          <w:kern w:val="0"/>
          <w:sz w:val="24"/>
          <w:highlight w:val="none"/>
          <w:shd w:val="clear" w:color="auto" w:fill="FFFFFF"/>
          <w:lang w:val="en-US" w:eastAsia="zh-CN"/>
        </w:rPr>
        <w:t>2</w:t>
      </w:r>
      <w:r>
        <w:rPr>
          <w:rStyle w:val="81"/>
          <w:rFonts w:hint="eastAsia" w:ascii="宋体" w:hAnsi="宋体" w:eastAsia="宋体"/>
          <w:color w:val="auto"/>
          <w:kern w:val="0"/>
          <w:sz w:val="24"/>
          <w:highlight w:val="none"/>
          <w:shd w:val="clear" w:color="auto" w:fill="FFFFFF"/>
        </w:rPr>
        <w:t>）承包人应履行的其他义务：</w:t>
      </w:r>
      <w:r>
        <w:rPr>
          <w:rStyle w:val="81"/>
          <w:rFonts w:hint="eastAsia" w:ascii="宋体" w:hAnsi="宋体" w:eastAsia="宋体"/>
          <w:color w:val="auto"/>
          <w:kern w:val="0"/>
          <w:sz w:val="24"/>
          <w:highlight w:val="none"/>
          <w:u w:val="single"/>
          <w:shd w:val="clear" w:color="auto" w:fill="FFFFFF"/>
        </w:rPr>
        <w:t>双方另行确定</w:t>
      </w:r>
    </w:p>
    <w:p w14:paraId="00C58DF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3.2 项目经理</w:t>
      </w:r>
    </w:p>
    <w:p w14:paraId="76044BF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3.2.1 项目经理：</w:t>
      </w:r>
    </w:p>
    <w:p w14:paraId="273C784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姓    名：</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69542B7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身份证号：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6330AAD2">
      <w:pPr>
        <w:pStyle w:val="80"/>
        <w:widowControl/>
        <w:autoSpaceDE w:val="0"/>
        <w:adjustRightInd w:val="0"/>
        <w:snapToGrid w:val="0"/>
        <w:spacing w:line="360" w:lineRule="auto"/>
        <w:ind w:firstLine="600"/>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建造师执业资格等级：</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4AD1D91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建造师注册证书号：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3ECDB6AF">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建造师执业印章号：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3304EEE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安全生产考核合格证书号：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69E608F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联系电话：</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516A8C3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电子信箱：</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572B025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通信地址：</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682E5F4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承包人对项目经理的授权范围如下：</w:t>
      </w:r>
      <w:r>
        <w:rPr>
          <w:rStyle w:val="81"/>
          <w:rFonts w:hint="eastAsia" w:ascii="宋体" w:hAnsi="宋体" w:eastAsia="宋体"/>
          <w:color w:val="auto"/>
          <w:kern w:val="0"/>
          <w:sz w:val="24"/>
          <w:highlight w:val="none"/>
          <w:u w:val="single"/>
          <w:shd w:val="clear" w:color="auto" w:fill="FFFFFF"/>
        </w:rPr>
        <w:t>全权处理本项目的一切事物</w:t>
      </w:r>
    </w:p>
    <w:p w14:paraId="2227E062">
      <w:pPr>
        <w:pStyle w:val="80"/>
        <w:widowControl/>
        <w:autoSpaceDE w:val="0"/>
        <w:adjustRightInd w:val="0"/>
        <w:snapToGrid w:val="0"/>
        <w:spacing w:line="360" w:lineRule="auto"/>
        <w:ind w:firstLine="600"/>
        <w:jc w:val="left"/>
        <w:rPr>
          <w:rStyle w:val="81"/>
          <w:rFonts w:hint="eastAsia" w:ascii="宋体" w:hAnsi="宋体" w:eastAsia="宋体"/>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关于项目经理每月在施工现场的时间要求：</w:t>
      </w:r>
      <w:r>
        <w:rPr>
          <w:rStyle w:val="81"/>
          <w:rFonts w:hint="eastAsia" w:ascii="宋体" w:hAnsi="宋体" w:eastAsia="宋体"/>
          <w:color w:val="auto"/>
          <w:kern w:val="0"/>
          <w:sz w:val="24"/>
          <w:highlight w:val="none"/>
          <w:u w:val="single"/>
          <w:shd w:val="clear" w:color="auto" w:fill="FFFFFF"/>
        </w:rPr>
        <w:t>开工之日起至竣工结束，项目经理每周至少5日，每天必须不少于8小时在现场组织施工。</w:t>
      </w:r>
    </w:p>
    <w:p w14:paraId="77A2DBA6">
      <w:pPr>
        <w:pStyle w:val="80"/>
        <w:widowControl/>
        <w:autoSpaceDE w:val="0"/>
        <w:adjustRightInd w:val="0"/>
        <w:snapToGrid w:val="0"/>
        <w:spacing w:line="360" w:lineRule="auto"/>
        <w:ind w:firstLine="600"/>
        <w:rPr>
          <w:rStyle w:val="81"/>
          <w:rFonts w:hint="eastAsia" w:ascii="宋体" w:hAnsi="宋体" w:eastAsia="宋体"/>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承包人未提交劳动合同，以及没有为项目经理缴纳社会保险证明的违约责任：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000元罚款，责令期限提交劳动合同并补缴纳社会保险。</w:t>
      </w:r>
    </w:p>
    <w:p w14:paraId="34961B75">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项目经理未经批准，擅自离开施工现场的违约责任：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000元罚款，承包人承担上述违约给发包人造成的一切损失。</w:t>
      </w:r>
    </w:p>
    <w:p w14:paraId="0D6AE51B">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3.2.3 承包人擅自更换项目经理的违约责任：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000元罚款，承包人承担上述违约给发包人造成的一切损失。</w:t>
      </w:r>
    </w:p>
    <w:p w14:paraId="27C323FE">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3.2.4 承包人无正当理由拒绝更换项目经理的违约责任：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000元罚款，承包人承担上述违约给发包人造成的一切损失。</w:t>
      </w:r>
    </w:p>
    <w:p w14:paraId="13A037F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3.3 承包人人员</w:t>
      </w:r>
    </w:p>
    <w:p w14:paraId="5AAE898B">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3.3.1 承包人提交项目管理机构及施工现场管理人员安排报告的期限：</w:t>
      </w:r>
      <w:r>
        <w:rPr>
          <w:rStyle w:val="81"/>
          <w:rFonts w:hint="eastAsia" w:ascii="宋体" w:hAnsi="宋体" w:eastAsia="宋体"/>
          <w:color w:val="auto"/>
          <w:kern w:val="0"/>
          <w:sz w:val="24"/>
          <w:highlight w:val="none"/>
          <w:u w:val="single"/>
          <w:shd w:val="clear" w:color="auto" w:fill="FFFFFF"/>
        </w:rPr>
        <w:t>接到开工通知后2天内。</w:t>
      </w:r>
    </w:p>
    <w:p w14:paraId="63D2D33B">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3.3.3 承包人无正当理由拒绝撤换主要施工管理人员的违约责任：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000元罚款，承包人承担上述违约给发包人造成的一切损失。</w:t>
      </w:r>
    </w:p>
    <w:p w14:paraId="491FD03C">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3.3.4 承包人主要施工管理人员离开施工现场的批准要求：</w:t>
      </w:r>
      <w:r>
        <w:rPr>
          <w:rStyle w:val="81"/>
          <w:rFonts w:hint="eastAsia" w:ascii="宋体" w:hAnsi="宋体" w:eastAsia="宋体"/>
          <w:color w:val="auto"/>
          <w:kern w:val="0"/>
          <w:sz w:val="24"/>
          <w:highlight w:val="none"/>
          <w:u w:val="single"/>
          <w:shd w:val="clear" w:color="auto" w:fill="FFFFFF"/>
        </w:rPr>
        <w:t>由总监理工程师批准，发包人认可后方可离开。</w:t>
      </w:r>
    </w:p>
    <w:p w14:paraId="1DB5C8AA">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3.3.5承包人擅自更换主要施工管理人员的违约责任：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000元罚款，承包人承担上述违约给发包人造成的一切损失。</w:t>
      </w:r>
    </w:p>
    <w:p w14:paraId="753D5D31">
      <w:pPr>
        <w:pStyle w:val="80"/>
        <w:widowControl/>
        <w:autoSpaceDE w:val="0"/>
        <w:adjustRightInd w:val="0"/>
        <w:snapToGrid w:val="0"/>
        <w:spacing w:line="360" w:lineRule="auto"/>
        <w:ind w:firstLine="6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承包人主要施工管理人员擅自离开施工现场的违约责任：</w:t>
      </w:r>
      <w:r>
        <w:rPr>
          <w:rStyle w:val="81"/>
          <w:rFonts w:hint="eastAsia" w:ascii="宋体" w:hAnsi="宋体" w:eastAsia="宋体"/>
          <w:color w:val="auto"/>
          <w:kern w:val="0"/>
          <w:sz w:val="24"/>
          <w:highlight w:val="none"/>
          <w:u w:val="single"/>
          <w:shd w:val="clear" w:color="auto" w:fill="FFFFFF"/>
        </w:rPr>
        <w:t>处以</w:t>
      </w:r>
      <w:r>
        <w:rPr>
          <w:rStyle w:val="81"/>
          <w:rFonts w:hint="eastAsia" w:ascii="宋体" w:hAnsi="宋体" w:eastAsia="宋体"/>
          <w:color w:val="auto"/>
          <w:kern w:val="0"/>
          <w:sz w:val="24"/>
          <w:highlight w:val="none"/>
          <w:u w:val="single"/>
          <w:shd w:val="clear" w:color="auto" w:fill="FFFFFF"/>
          <w:lang w:val="en-US" w:eastAsia="zh-CN"/>
        </w:rPr>
        <w:t>1</w:t>
      </w:r>
      <w:r>
        <w:rPr>
          <w:rStyle w:val="81"/>
          <w:rFonts w:hint="eastAsia" w:ascii="宋体" w:hAnsi="宋体" w:eastAsia="宋体"/>
          <w:color w:val="auto"/>
          <w:kern w:val="0"/>
          <w:sz w:val="24"/>
          <w:highlight w:val="none"/>
          <w:u w:val="single"/>
          <w:shd w:val="clear" w:color="auto" w:fill="FFFFFF"/>
        </w:rPr>
        <w:t>000~</w:t>
      </w:r>
      <w:r>
        <w:rPr>
          <w:rStyle w:val="81"/>
          <w:rFonts w:hint="eastAsia" w:ascii="宋体" w:hAnsi="宋体" w:eastAsia="宋体"/>
          <w:color w:val="auto"/>
          <w:kern w:val="0"/>
          <w:sz w:val="24"/>
          <w:highlight w:val="none"/>
          <w:u w:val="single"/>
          <w:shd w:val="clear" w:color="auto" w:fill="FFFFFF"/>
          <w:lang w:val="en-US" w:eastAsia="zh-CN"/>
        </w:rPr>
        <w:t>2</w:t>
      </w:r>
      <w:r>
        <w:rPr>
          <w:rStyle w:val="81"/>
          <w:rFonts w:hint="eastAsia" w:ascii="宋体" w:hAnsi="宋体" w:eastAsia="宋体"/>
          <w:color w:val="auto"/>
          <w:kern w:val="0"/>
          <w:sz w:val="24"/>
          <w:highlight w:val="none"/>
          <w:u w:val="single"/>
          <w:shd w:val="clear" w:color="auto" w:fill="FFFFFF"/>
        </w:rPr>
        <w:t>000元罚款，承包人承担上述违约给发包人造成的一切损失。</w:t>
      </w:r>
    </w:p>
    <w:p w14:paraId="3083D91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3.5 分包</w:t>
      </w:r>
    </w:p>
    <w:p w14:paraId="730B9EB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3.5.1 分包的一般约定</w:t>
      </w:r>
    </w:p>
    <w:p w14:paraId="0B005C1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禁止分包的工程包括：</w:t>
      </w:r>
      <w:r>
        <w:rPr>
          <w:rStyle w:val="81"/>
          <w:rFonts w:hint="eastAsia" w:ascii="宋体" w:hAnsi="宋体" w:eastAsia="宋体"/>
          <w:color w:val="auto"/>
          <w:kern w:val="0"/>
          <w:sz w:val="24"/>
          <w:highlight w:val="none"/>
          <w:u w:val="single"/>
          <w:shd w:val="clear" w:color="auto" w:fill="FFFFFF"/>
        </w:rPr>
        <w:t>本工程不允许分包</w:t>
      </w:r>
    </w:p>
    <w:p w14:paraId="61A6B8EC">
      <w:pPr>
        <w:pStyle w:val="80"/>
        <w:widowControl/>
        <w:autoSpaceDE w:val="0"/>
        <w:adjustRightInd w:val="0"/>
        <w:snapToGrid w:val="0"/>
        <w:spacing w:line="360" w:lineRule="auto"/>
        <w:ind w:firstLine="600"/>
        <w:jc w:val="lef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主体结构、关键性工作的范围：</w:t>
      </w:r>
      <w:r>
        <w:rPr>
          <w:rStyle w:val="81"/>
          <w:rFonts w:hint="eastAsia" w:ascii="宋体" w:hAnsi="宋体" w:eastAsia="宋体"/>
          <w:color w:val="auto"/>
          <w:kern w:val="0"/>
          <w:sz w:val="24"/>
          <w:highlight w:val="none"/>
          <w:u w:val="single"/>
          <w:shd w:val="clear" w:color="auto" w:fill="FFFFFF"/>
        </w:rPr>
        <w:t xml:space="preserve">      /    </w:t>
      </w:r>
      <w:r>
        <w:rPr>
          <w:rStyle w:val="81"/>
          <w:rFonts w:hint="eastAsia" w:ascii="宋体" w:hAnsi="宋体" w:eastAsia="宋体"/>
          <w:color w:val="auto"/>
          <w:kern w:val="0"/>
          <w:sz w:val="24"/>
          <w:highlight w:val="none"/>
          <w:shd w:val="clear" w:color="auto" w:fill="FFFFFF"/>
        </w:rPr>
        <w:t xml:space="preserve"> </w:t>
      </w:r>
    </w:p>
    <w:p w14:paraId="7B0B543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3.5.2分包的确定</w:t>
      </w:r>
    </w:p>
    <w:p w14:paraId="59CFACD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允许分包的专业工程包括：</w:t>
      </w:r>
      <w:r>
        <w:rPr>
          <w:rStyle w:val="81"/>
          <w:rFonts w:hint="eastAsia" w:ascii="宋体" w:hAnsi="宋体" w:eastAsia="宋体"/>
          <w:color w:val="auto"/>
          <w:kern w:val="0"/>
          <w:sz w:val="24"/>
          <w:highlight w:val="none"/>
          <w:u w:val="single"/>
          <w:shd w:val="clear" w:color="auto" w:fill="FFFFFF"/>
        </w:rPr>
        <w:t xml:space="preserve">      /    </w:t>
      </w:r>
    </w:p>
    <w:p w14:paraId="0BBEBCA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其他关于分包的约定：</w:t>
      </w:r>
      <w:r>
        <w:rPr>
          <w:rStyle w:val="81"/>
          <w:rFonts w:hint="eastAsia" w:ascii="宋体" w:hAnsi="宋体" w:eastAsia="宋体"/>
          <w:color w:val="auto"/>
          <w:kern w:val="0"/>
          <w:sz w:val="24"/>
          <w:highlight w:val="none"/>
          <w:u w:val="single"/>
          <w:shd w:val="clear" w:color="auto" w:fill="FFFFFF"/>
        </w:rPr>
        <w:t xml:space="preserve">      /    </w:t>
      </w:r>
    </w:p>
    <w:p w14:paraId="7FEDB4A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3.5.4 分包合同价款</w:t>
      </w:r>
    </w:p>
    <w:p w14:paraId="0027F47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关于分包合同价款支付的约定：</w:t>
      </w:r>
      <w:r>
        <w:rPr>
          <w:rStyle w:val="81"/>
          <w:rFonts w:hint="eastAsia" w:ascii="宋体" w:hAnsi="宋体" w:eastAsia="宋体"/>
          <w:color w:val="auto"/>
          <w:kern w:val="0"/>
          <w:sz w:val="24"/>
          <w:highlight w:val="none"/>
          <w:u w:val="single"/>
          <w:shd w:val="clear" w:color="auto" w:fill="FFFFFF"/>
        </w:rPr>
        <w:t xml:space="preserve">      /    </w:t>
      </w:r>
    </w:p>
    <w:p w14:paraId="302F8FC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3.6 工程照管与成品、半成品保护</w:t>
      </w:r>
    </w:p>
    <w:p w14:paraId="382C61B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承包人负责照管工程及工程相关的材料、工程设备的起始时间：</w:t>
      </w:r>
      <w:r>
        <w:rPr>
          <w:rStyle w:val="81"/>
          <w:rFonts w:hint="eastAsia" w:ascii="宋体" w:hAnsi="宋体" w:eastAsia="宋体"/>
          <w:color w:val="auto"/>
          <w:kern w:val="0"/>
          <w:sz w:val="24"/>
          <w:highlight w:val="none"/>
          <w:u w:val="single"/>
          <w:shd w:val="clear" w:color="auto" w:fill="FFFFFF"/>
        </w:rPr>
        <w:t>设备、人员进场至验收交付使用前由承包人负责保管，无其他特殊要求的，费用由承包人承担。</w:t>
      </w:r>
    </w:p>
    <w:p w14:paraId="359DDE4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3.7 履约担保</w:t>
      </w:r>
    </w:p>
    <w:p w14:paraId="7E56BA1F">
      <w:pPr>
        <w:pStyle w:val="80"/>
        <w:widowControl/>
        <w:autoSpaceDE w:val="0"/>
        <w:adjustRightInd w:val="0"/>
        <w:snapToGrid w:val="0"/>
        <w:spacing w:line="360" w:lineRule="auto"/>
        <w:ind w:firstLine="600"/>
        <w:jc w:val="left"/>
        <w:rPr>
          <w:rStyle w:val="81"/>
          <w:rFonts w:hint="default" w:ascii="宋体" w:hAnsi="宋体" w:eastAsia="宋体"/>
          <w:color w:val="auto"/>
          <w:sz w:val="24"/>
          <w:highlight w:val="none"/>
          <w:lang w:val="en-US" w:eastAsia="zh-CN"/>
        </w:rPr>
      </w:pPr>
      <w:r>
        <w:rPr>
          <w:rStyle w:val="81"/>
          <w:rFonts w:hint="eastAsia" w:ascii="宋体" w:hAnsi="宋体" w:eastAsia="宋体"/>
          <w:color w:val="auto"/>
          <w:kern w:val="0"/>
          <w:sz w:val="24"/>
          <w:highlight w:val="none"/>
          <w:shd w:val="clear" w:color="auto" w:fill="FFFFFF"/>
        </w:rPr>
        <w:t>承包人是否提供履约担保：</w:t>
      </w:r>
      <w:r>
        <w:rPr>
          <w:rStyle w:val="81"/>
          <w:rFonts w:hint="eastAsia" w:ascii="宋体" w:hAnsi="宋体"/>
          <w:color w:val="auto"/>
          <w:kern w:val="0"/>
          <w:sz w:val="24"/>
          <w:highlight w:val="none"/>
          <w:u w:val="single"/>
          <w:shd w:val="clear" w:color="auto" w:fill="FFFFFF"/>
          <w:lang w:val="en-US" w:eastAsia="zh-CN"/>
        </w:rPr>
        <w:t xml:space="preserve"> 提供 </w:t>
      </w:r>
    </w:p>
    <w:p w14:paraId="2F48549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承包人提供履约担保的形式、金额及期限的：</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u w:val="single"/>
          <w:shd w:val="clear" w:color="auto" w:fill="FFFFFF"/>
          <w:lang w:val="en-US" w:eastAsia="zh-CN"/>
        </w:rPr>
        <w:t>合同价的5%</w:t>
      </w:r>
      <w:r>
        <w:rPr>
          <w:rStyle w:val="81"/>
          <w:rFonts w:hint="eastAsia" w:ascii="宋体" w:hAnsi="宋体" w:eastAsia="宋体"/>
          <w:color w:val="auto"/>
          <w:kern w:val="0"/>
          <w:sz w:val="24"/>
          <w:highlight w:val="none"/>
          <w:u w:val="single"/>
          <w:shd w:val="clear" w:color="auto" w:fill="FFFFFF"/>
        </w:rPr>
        <w:t xml:space="preserve">   </w:t>
      </w:r>
    </w:p>
    <w:p w14:paraId="2B9C2A4A">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174" w:name="_Toc256000150_0"/>
      <w:bookmarkStart w:id="175" w:name="_Toc256000104"/>
      <w:bookmarkStart w:id="176" w:name="_Toc256000039_0"/>
      <w:bookmarkStart w:id="177" w:name="_Toc256000407"/>
      <w:bookmarkStart w:id="178" w:name="_Toc256000349"/>
      <w:bookmarkStart w:id="179" w:name="_Toc256000198"/>
      <w:bookmarkStart w:id="180" w:name="_Toc256000247"/>
      <w:r>
        <w:rPr>
          <w:rStyle w:val="81"/>
          <w:rFonts w:hint="eastAsia" w:ascii="宋体" w:hAnsi="宋体"/>
          <w:color w:val="auto"/>
          <w:sz w:val="24"/>
          <w:szCs w:val="24"/>
          <w:highlight w:val="none"/>
          <w:shd w:val="clear" w:color="auto" w:fill="FFFFFF"/>
        </w:rPr>
        <w:t>4. 监理人</w:t>
      </w:r>
      <w:bookmarkEnd w:id="174"/>
      <w:bookmarkEnd w:id="175"/>
      <w:bookmarkEnd w:id="176"/>
      <w:bookmarkEnd w:id="177"/>
      <w:bookmarkEnd w:id="178"/>
      <w:bookmarkEnd w:id="179"/>
      <w:bookmarkEnd w:id="180"/>
    </w:p>
    <w:p w14:paraId="4951B18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4.1监理人的一般规定</w:t>
      </w:r>
    </w:p>
    <w:p w14:paraId="539F76D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关于监理人的监理内容：</w:t>
      </w:r>
      <w:r>
        <w:rPr>
          <w:rStyle w:val="81"/>
          <w:rFonts w:hint="eastAsia" w:ascii="宋体" w:hAnsi="宋体" w:eastAsia="宋体"/>
          <w:color w:val="auto"/>
          <w:kern w:val="0"/>
          <w:sz w:val="24"/>
          <w:highlight w:val="none"/>
          <w:u w:val="single"/>
          <w:shd w:val="clear" w:color="auto" w:fill="FFFFFF"/>
        </w:rPr>
        <w:t>详见监理合同</w:t>
      </w:r>
    </w:p>
    <w:p w14:paraId="0E0E82C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关于监理人的监理权限：</w:t>
      </w:r>
      <w:r>
        <w:rPr>
          <w:rStyle w:val="81"/>
          <w:rFonts w:hint="eastAsia" w:ascii="宋体" w:hAnsi="宋体" w:eastAsia="宋体"/>
          <w:color w:val="auto"/>
          <w:kern w:val="0"/>
          <w:sz w:val="24"/>
          <w:highlight w:val="none"/>
          <w:u w:val="single"/>
          <w:shd w:val="clear" w:color="auto" w:fill="FFFFFF"/>
        </w:rPr>
        <w:t>详见监理合同</w:t>
      </w:r>
    </w:p>
    <w:p w14:paraId="7187345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关于监理人在施工现场的办公场所、生活场所的提供和费用承担的约定：</w:t>
      </w:r>
      <w:r>
        <w:rPr>
          <w:rStyle w:val="81"/>
          <w:rFonts w:hint="eastAsia" w:ascii="宋体" w:hAnsi="宋体" w:eastAsia="宋体"/>
          <w:color w:val="auto"/>
          <w:kern w:val="0"/>
          <w:sz w:val="24"/>
          <w:highlight w:val="none"/>
          <w:u w:val="single"/>
          <w:shd w:val="clear" w:color="auto" w:fill="FFFFFF"/>
        </w:rPr>
        <w:t>详见监理合同</w:t>
      </w:r>
    </w:p>
    <w:p w14:paraId="78E85A2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4.2 监理人员</w:t>
      </w:r>
    </w:p>
    <w:p w14:paraId="168D1BCF">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总监理工程师：</w:t>
      </w:r>
    </w:p>
    <w:p w14:paraId="1307898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姓    名： </w:t>
      </w:r>
      <w:r>
        <w:rPr>
          <w:rStyle w:val="81"/>
          <w:rFonts w:hint="eastAsia" w:ascii="宋体" w:hAnsi="宋体" w:eastAsia="宋体"/>
          <w:color w:val="auto"/>
          <w:kern w:val="0"/>
          <w:sz w:val="24"/>
          <w:highlight w:val="none"/>
          <w:u w:val="single"/>
          <w:shd w:val="clear" w:color="auto" w:fill="FFFFFF"/>
        </w:rPr>
        <w:t xml:space="preserve">              </w:t>
      </w:r>
    </w:p>
    <w:p w14:paraId="6301671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职    务： </w:t>
      </w:r>
      <w:r>
        <w:rPr>
          <w:rStyle w:val="81"/>
          <w:rFonts w:hint="eastAsia" w:ascii="宋体" w:hAnsi="宋体" w:eastAsia="宋体"/>
          <w:color w:val="auto"/>
          <w:kern w:val="0"/>
          <w:sz w:val="24"/>
          <w:highlight w:val="none"/>
          <w:u w:val="single"/>
          <w:shd w:val="clear" w:color="auto" w:fill="FFFFFF"/>
        </w:rPr>
        <w:t xml:space="preserve">              </w:t>
      </w:r>
    </w:p>
    <w:p w14:paraId="7C653C2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监理工程师执业资格证书号：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67A7133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联系电话：</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5B70360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电子信箱：</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0AFB5F0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通信地址：</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0EA1C91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关于监理人的其他约定：</w:t>
      </w:r>
      <w:r>
        <w:rPr>
          <w:rStyle w:val="81"/>
          <w:rFonts w:hint="eastAsia" w:ascii="宋体" w:hAnsi="宋体" w:eastAsia="宋体"/>
          <w:color w:val="auto"/>
          <w:kern w:val="0"/>
          <w:sz w:val="24"/>
          <w:highlight w:val="none"/>
          <w:u w:val="single"/>
          <w:shd w:val="clear" w:color="auto" w:fill="FFFFFF"/>
        </w:rPr>
        <w:t xml:space="preserve">       /      </w:t>
      </w:r>
    </w:p>
    <w:p w14:paraId="1A44522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4.4 商定或确定</w:t>
      </w:r>
    </w:p>
    <w:p w14:paraId="528E080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在发包人和承包人不能通过协商达成一致意见时，发包人授权监理人对以下事项进行确定：</w:t>
      </w:r>
      <w:r>
        <w:rPr>
          <w:rStyle w:val="81"/>
          <w:rFonts w:hint="eastAsia" w:ascii="宋体" w:hAnsi="宋体" w:eastAsia="宋体"/>
          <w:color w:val="auto"/>
          <w:kern w:val="0"/>
          <w:sz w:val="24"/>
          <w:highlight w:val="none"/>
          <w:u w:val="single"/>
          <w:shd w:val="clear" w:color="auto" w:fill="FFFFFF"/>
        </w:rPr>
        <w:t xml:space="preserve">      /     </w:t>
      </w:r>
    </w:p>
    <w:p w14:paraId="549CEF11">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181" w:name="_Toc256000151_0"/>
      <w:bookmarkStart w:id="182" w:name="_Toc256000040_0"/>
      <w:bookmarkStart w:id="183" w:name="_Toc256000199"/>
      <w:bookmarkStart w:id="184" w:name="_Toc256000105"/>
      <w:bookmarkStart w:id="185" w:name="_Toc256000248"/>
      <w:bookmarkStart w:id="186" w:name="_Toc256000408"/>
      <w:bookmarkStart w:id="187" w:name="_Toc256000350"/>
      <w:r>
        <w:rPr>
          <w:rStyle w:val="81"/>
          <w:rFonts w:hint="eastAsia" w:ascii="宋体" w:hAnsi="宋体"/>
          <w:color w:val="auto"/>
          <w:sz w:val="24"/>
          <w:szCs w:val="24"/>
          <w:highlight w:val="none"/>
          <w:shd w:val="clear" w:color="auto" w:fill="FFFFFF"/>
        </w:rPr>
        <w:t>5. 工程质量</w:t>
      </w:r>
      <w:bookmarkEnd w:id="181"/>
      <w:bookmarkEnd w:id="182"/>
      <w:bookmarkEnd w:id="183"/>
      <w:bookmarkEnd w:id="184"/>
      <w:bookmarkEnd w:id="185"/>
      <w:bookmarkEnd w:id="186"/>
      <w:bookmarkEnd w:id="187"/>
    </w:p>
    <w:p w14:paraId="33E4507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5.1 质量要求</w:t>
      </w:r>
    </w:p>
    <w:p w14:paraId="4490E0B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5.1.1 特殊质量标准和要求：</w:t>
      </w:r>
      <w:r>
        <w:rPr>
          <w:rStyle w:val="81"/>
          <w:rFonts w:hint="eastAsia" w:ascii="宋体" w:hAnsi="宋体" w:eastAsia="宋体"/>
          <w:color w:val="auto"/>
          <w:kern w:val="0"/>
          <w:sz w:val="24"/>
          <w:highlight w:val="none"/>
          <w:u w:val="single"/>
          <w:shd w:val="clear" w:color="auto" w:fill="FFFFFF"/>
        </w:rPr>
        <w:t xml:space="preserve">      /     </w:t>
      </w:r>
    </w:p>
    <w:p w14:paraId="422FF86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关于工程奖项的约定：</w:t>
      </w:r>
      <w:r>
        <w:rPr>
          <w:rStyle w:val="81"/>
          <w:rFonts w:hint="eastAsia" w:ascii="宋体" w:hAnsi="宋体" w:eastAsia="宋体"/>
          <w:color w:val="auto"/>
          <w:kern w:val="0"/>
          <w:sz w:val="24"/>
          <w:highlight w:val="none"/>
          <w:u w:val="single"/>
          <w:shd w:val="clear" w:color="auto" w:fill="FFFFFF"/>
        </w:rPr>
        <w:t xml:space="preserve">      /     </w:t>
      </w:r>
    </w:p>
    <w:p w14:paraId="3B0DA7B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5.3 隐蔽工程检查</w:t>
      </w:r>
    </w:p>
    <w:p w14:paraId="495C9EE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5.3.2承包人提前通知监理人隐蔽工程检查的期限的约定：</w:t>
      </w:r>
      <w:r>
        <w:rPr>
          <w:rStyle w:val="81"/>
          <w:rFonts w:hint="eastAsia" w:ascii="宋体" w:hAnsi="宋体" w:eastAsia="宋体"/>
          <w:color w:val="auto"/>
          <w:kern w:val="0"/>
          <w:sz w:val="24"/>
          <w:highlight w:val="none"/>
          <w:u w:val="single"/>
          <w:shd w:val="clear" w:color="auto" w:fill="FFFFFF"/>
        </w:rPr>
        <w:t>共同检查前48小时书面通知监理人</w:t>
      </w:r>
    </w:p>
    <w:p w14:paraId="74D4321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监理人不能按时进行检查时，应提前</w:t>
      </w:r>
      <w:r>
        <w:rPr>
          <w:rStyle w:val="81"/>
          <w:rFonts w:hint="eastAsia" w:ascii="宋体" w:hAnsi="宋体" w:eastAsia="宋体"/>
          <w:color w:val="auto"/>
          <w:kern w:val="0"/>
          <w:sz w:val="24"/>
          <w:highlight w:val="none"/>
          <w:u w:val="single"/>
          <w:shd w:val="clear" w:color="auto" w:fill="FFFFFF"/>
        </w:rPr>
        <w:t>24</w:t>
      </w:r>
      <w:r>
        <w:rPr>
          <w:rStyle w:val="81"/>
          <w:rFonts w:hint="eastAsia" w:ascii="宋体" w:hAnsi="宋体" w:eastAsia="宋体"/>
          <w:color w:val="auto"/>
          <w:kern w:val="0"/>
          <w:sz w:val="24"/>
          <w:highlight w:val="none"/>
          <w:shd w:val="clear" w:color="auto" w:fill="FFFFFF"/>
        </w:rPr>
        <w:t>小时提交书面延期要求。</w:t>
      </w:r>
    </w:p>
    <w:p w14:paraId="5D2C3B5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关于延期最长不得超过：</w:t>
      </w:r>
      <w:r>
        <w:rPr>
          <w:rStyle w:val="81"/>
          <w:rFonts w:hint="eastAsia" w:ascii="宋体" w:hAnsi="宋体" w:eastAsia="宋体"/>
          <w:color w:val="auto"/>
          <w:kern w:val="0"/>
          <w:sz w:val="24"/>
          <w:highlight w:val="none"/>
          <w:u w:val="single"/>
          <w:shd w:val="clear" w:color="auto" w:fill="FFFFFF"/>
        </w:rPr>
        <w:t>48小时。</w:t>
      </w:r>
    </w:p>
    <w:p w14:paraId="43C56B7E">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188" w:name="_Toc256000409"/>
      <w:bookmarkStart w:id="189" w:name="_Toc256000152_0"/>
      <w:bookmarkStart w:id="190" w:name="_Toc256000106"/>
      <w:bookmarkStart w:id="191" w:name="_Toc256000351"/>
      <w:bookmarkStart w:id="192" w:name="_Toc256000249"/>
      <w:bookmarkStart w:id="193" w:name="_Toc256000041_0"/>
      <w:bookmarkStart w:id="194" w:name="_Toc256000200"/>
      <w:r>
        <w:rPr>
          <w:rStyle w:val="81"/>
          <w:rFonts w:hint="eastAsia" w:ascii="宋体" w:hAnsi="宋体"/>
          <w:color w:val="auto"/>
          <w:sz w:val="24"/>
          <w:szCs w:val="24"/>
          <w:highlight w:val="none"/>
          <w:shd w:val="clear" w:color="auto" w:fill="FFFFFF"/>
        </w:rPr>
        <w:t>6. 安全文明施工与环境保护</w:t>
      </w:r>
      <w:bookmarkEnd w:id="188"/>
      <w:bookmarkEnd w:id="189"/>
      <w:bookmarkEnd w:id="190"/>
      <w:bookmarkEnd w:id="191"/>
      <w:bookmarkEnd w:id="192"/>
      <w:bookmarkEnd w:id="193"/>
      <w:bookmarkEnd w:id="194"/>
    </w:p>
    <w:p w14:paraId="0672C48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6.1安全文明施工</w:t>
      </w:r>
    </w:p>
    <w:p w14:paraId="513EE240">
      <w:pPr>
        <w:pStyle w:val="80"/>
        <w:widowControl/>
        <w:autoSpaceDE w:val="0"/>
        <w:adjustRightInd w:val="0"/>
        <w:snapToGrid w:val="0"/>
        <w:spacing w:line="360" w:lineRule="auto"/>
        <w:ind w:firstLine="600"/>
        <w:jc w:val="left"/>
        <w:rPr>
          <w:rStyle w:val="81"/>
          <w:rFonts w:hint="eastAsia" w:ascii="宋体" w:hAnsi="宋体" w:eastAsia="宋体" w:cs="Times New Roman"/>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6.1.1 项目安全生产的达标目标及相应事项的约定：</w:t>
      </w:r>
      <w:r>
        <w:rPr>
          <w:rStyle w:val="81"/>
          <w:rFonts w:hint="eastAsia" w:ascii="宋体" w:hAnsi="宋体" w:eastAsia="宋体" w:cs="Times New Roman"/>
          <w:color w:val="auto"/>
          <w:kern w:val="0"/>
          <w:sz w:val="24"/>
          <w:highlight w:val="none"/>
          <w:u w:val="single"/>
          <w:shd w:val="clear" w:color="auto" w:fill="FFFFFF"/>
        </w:rPr>
        <w:t xml:space="preserve"> 执行通用条款，施工过程中因施工单位管理不善所造成的一切事故和案件的所有结果 均由施工方自理。</w:t>
      </w:r>
    </w:p>
    <w:p w14:paraId="2A400CC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6.1.4 关于治安保卫的特别约定：</w:t>
      </w:r>
      <w:r>
        <w:rPr>
          <w:rStyle w:val="81"/>
          <w:rFonts w:hint="eastAsia" w:ascii="宋体" w:hAnsi="宋体" w:eastAsia="宋体"/>
          <w:color w:val="auto"/>
          <w:kern w:val="0"/>
          <w:sz w:val="24"/>
          <w:highlight w:val="none"/>
          <w:u w:val="single"/>
          <w:shd w:val="clear" w:color="auto" w:fill="FFFFFF"/>
        </w:rPr>
        <w:t>按通用条款执行</w:t>
      </w:r>
    </w:p>
    <w:p w14:paraId="5F316EB5">
      <w:pPr>
        <w:pStyle w:val="80"/>
        <w:widowControl/>
        <w:autoSpaceDE w:val="0"/>
        <w:adjustRightInd w:val="0"/>
        <w:snapToGrid w:val="0"/>
        <w:spacing w:line="360" w:lineRule="auto"/>
        <w:ind w:firstLine="600"/>
        <w:jc w:val="left"/>
        <w:rPr>
          <w:rStyle w:val="81"/>
          <w:rFonts w:hint="eastAsia" w:ascii="宋体" w:hAnsi="宋体" w:eastAsia="宋体" w:cs="Times New Roman"/>
          <w:color w:val="auto"/>
          <w:kern w:val="0"/>
          <w:sz w:val="24"/>
          <w:highlight w:val="none"/>
          <w:u w:val="single"/>
          <w:shd w:val="clear" w:color="auto" w:fill="FFFFFF"/>
          <w:lang w:val="en-US" w:eastAsia="zh-CN"/>
        </w:rPr>
      </w:pPr>
      <w:r>
        <w:rPr>
          <w:rStyle w:val="81"/>
          <w:rFonts w:hint="eastAsia" w:ascii="宋体" w:hAnsi="宋体" w:eastAsia="宋体"/>
          <w:color w:val="auto"/>
          <w:kern w:val="0"/>
          <w:sz w:val="24"/>
          <w:highlight w:val="none"/>
          <w:shd w:val="clear" w:color="auto" w:fill="FFFFFF"/>
        </w:rPr>
        <w:t>关于编制施工场地治安管理计划的约定：</w:t>
      </w:r>
      <w:r>
        <w:rPr>
          <w:rStyle w:val="81"/>
          <w:rFonts w:hint="eastAsia" w:ascii="宋体" w:hAnsi="宋体" w:eastAsia="宋体" w:cs="Times New Roman"/>
          <w:color w:val="auto"/>
          <w:kern w:val="0"/>
          <w:sz w:val="24"/>
          <w:highlight w:val="none"/>
          <w:u w:val="single"/>
          <w:shd w:val="clear" w:color="auto" w:fill="FFFFFF"/>
        </w:rPr>
        <w:t>在工程开工后7天内共同编制施工场地治安 管理计划，并制定应对突发治安事件的紧急预案。</w:t>
      </w:r>
    </w:p>
    <w:p w14:paraId="7A5658F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6.1.5 文明施工</w:t>
      </w:r>
    </w:p>
    <w:p w14:paraId="50CF65B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合同当事人对文明施工的要求：</w:t>
      </w:r>
      <w:r>
        <w:rPr>
          <w:rStyle w:val="81"/>
          <w:rFonts w:hint="eastAsia" w:ascii="宋体" w:hAnsi="宋体" w:eastAsia="宋体"/>
          <w:color w:val="auto"/>
          <w:kern w:val="0"/>
          <w:sz w:val="24"/>
          <w:highlight w:val="none"/>
          <w:u w:val="single"/>
          <w:shd w:val="clear" w:color="auto" w:fill="FFFFFF"/>
        </w:rPr>
        <w:t>达到《建设工程施工现场环境与卫生标准》（JGJ146-2013）</w:t>
      </w:r>
    </w:p>
    <w:p w14:paraId="798AB0C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6.1.6 关于安全文明施工费支付比例和支付期限的约定：</w:t>
      </w:r>
      <w:r>
        <w:rPr>
          <w:rStyle w:val="81"/>
          <w:rFonts w:hint="eastAsia" w:ascii="宋体" w:hAnsi="宋体" w:eastAsia="宋体"/>
          <w:color w:val="auto"/>
          <w:kern w:val="0"/>
          <w:sz w:val="24"/>
          <w:highlight w:val="none"/>
          <w:u w:val="single"/>
          <w:shd w:val="clear" w:color="auto" w:fill="FFFFFF"/>
        </w:rPr>
        <w:t>纳入合同价格支付</w:t>
      </w:r>
    </w:p>
    <w:p w14:paraId="05BAE95D">
      <w:pPr>
        <w:pStyle w:val="85"/>
        <w:widowControl/>
        <w:autoSpaceDE w:val="0"/>
        <w:adjustRightInd w:val="0"/>
        <w:snapToGrid w:val="0"/>
        <w:spacing w:line="360" w:lineRule="auto"/>
        <w:ind w:firstLine="241" w:firstLineChars="100"/>
        <w:rPr>
          <w:rStyle w:val="81"/>
          <w:rFonts w:hint="eastAsia" w:ascii="宋体" w:hAnsi="宋体"/>
          <w:color w:val="auto"/>
          <w:sz w:val="24"/>
          <w:szCs w:val="24"/>
          <w:highlight w:val="none"/>
          <w:shd w:val="clear" w:color="auto" w:fill="FFFFFF"/>
        </w:rPr>
      </w:pPr>
      <w:bookmarkStart w:id="195" w:name="_Toc256000107"/>
      <w:bookmarkStart w:id="196" w:name="_Toc256000250"/>
      <w:bookmarkStart w:id="197" w:name="_Toc256000042_0"/>
      <w:bookmarkStart w:id="198" w:name="_Toc256000410"/>
      <w:bookmarkStart w:id="199" w:name="_Toc256000352"/>
      <w:bookmarkStart w:id="200" w:name="_Toc256000201"/>
      <w:bookmarkStart w:id="201" w:name="_Toc256000153_0"/>
      <w:r>
        <w:rPr>
          <w:rStyle w:val="81"/>
          <w:rFonts w:hint="eastAsia" w:ascii="宋体" w:hAnsi="宋体"/>
          <w:color w:val="auto"/>
          <w:sz w:val="24"/>
          <w:szCs w:val="24"/>
          <w:highlight w:val="none"/>
          <w:shd w:val="clear" w:color="auto" w:fill="FFFFFF"/>
        </w:rPr>
        <w:t>7. 工期和进度</w:t>
      </w:r>
      <w:bookmarkEnd w:id="195"/>
      <w:bookmarkEnd w:id="196"/>
      <w:bookmarkEnd w:id="197"/>
      <w:bookmarkEnd w:id="198"/>
      <w:bookmarkEnd w:id="199"/>
      <w:bookmarkEnd w:id="200"/>
      <w:bookmarkEnd w:id="201"/>
    </w:p>
    <w:p w14:paraId="4C1685A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7.1 施工组织设计</w:t>
      </w:r>
    </w:p>
    <w:p w14:paraId="66B8AF2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7.1.1 合同当事人约定的施工组织设计应包括的其他内容：</w:t>
      </w:r>
      <w:r>
        <w:rPr>
          <w:rStyle w:val="81"/>
          <w:rFonts w:hint="eastAsia" w:ascii="宋体" w:hAnsi="宋体" w:eastAsia="宋体"/>
          <w:color w:val="auto"/>
          <w:kern w:val="0"/>
          <w:sz w:val="24"/>
          <w:highlight w:val="none"/>
          <w:u w:val="single"/>
          <w:shd w:val="clear" w:color="auto" w:fill="FFFFFF"/>
        </w:rPr>
        <w:t>按招标文件约定，招标文件无约定的按通用条款或双方另行确定</w:t>
      </w:r>
    </w:p>
    <w:p w14:paraId="5F79769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7.1.2 施工组织设计的提交和修改</w:t>
      </w:r>
    </w:p>
    <w:p w14:paraId="14F4C36C">
      <w:pPr>
        <w:pStyle w:val="2"/>
        <w:spacing w:before="37" w:line="360" w:lineRule="auto"/>
        <w:ind w:right="35" w:firstLine="480" w:firstLineChars="2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承包人提交详细施工组织设计的期限的约定：</w:t>
      </w:r>
      <w:r>
        <w:rPr>
          <w:rStyle w:val="81"/>
          <w:rFonts w:hint="eastAsia" w:ascii="宋体" w:hAnsi="宋体" w:eastAsia="宋体" w:cs="Times New Roman"/>
          <w:color w:val="auto"/>
          <w:kern w:val="0"/>
          <w:sz w:val="24"/>
          <w:szCs w:val="24"/>
          <w:highlight w:val="none"/>
          <w:u w:val="single"/>
          <w:shd w:val="clear" w:color="auto" w:fill="FFFFFF"/>
          <w:lang w:eastAsia="en-US"/>
        </w:rPr>
        <w:t>承包人应在合同签订后 14 天内，但至迟 不得晚于开工通知载明的开工日期前 7 天。</w:t>
      </w:r>
    </w:p>
    <w:p w14:paraId="6A704DB1">
      <w:pPr>
        <w:pStyle w:val="2"/>
        <w:spacing w:before="35" w:line="360" w:lineRule="auto"/>
        <w:ind w:right="35" w:firstLine="480" w:firstLineChars="200"/>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发包人和监理人在收到详细的施工组织设计后确认或提出修改意见的期限：</w:t>
      </w:r>
      <w:r>
        <w:rPr>
          <w:rStyle w:val="81"/>
          <w:rFonts w:hint="eastAsia" w:ascii="宋体" w:hAnsi="宋体" w:eastAsia="宋体" w:cs="Times New Roman"/>
          <w:color w:val="auto"/>
          <w:kern w:val="0"/>
          <w:sz w:val="24"/>
          <w:szCs w:val="24"/>
          <w:highlight w:val="none"/>
          <w:u w:val="single"/>
          <w:shd w:val="clear" w:color="auto" w:fill="FFFFFF"/>
          <w:lang w:eastAsia="en-US"/>
        </w:rPr>
        <w:t>发包人和监 理人应在监理人收到施工组织设计后 7 天内确认或提出修改意见 。</w:t>
      </w:r>
    </w:p>
    <w:p w14:paraId="50A0098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7.2 施工进度计划</w:t>
      </w:r>
    </w:p>
    <w:p w14:paraId="132AB0E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7.2.2 施工进度计划的修订</w:t>
      </w:r>
    </w:p>
    <w:p w14:paraId="53675FB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发包人和监理人在收到修订的施工进度计划后确认或提出修改意见的期限：</w:t>
      </w:r>
      <w:r>
        <w:rPr>
          <w:rStyle w:val="81"/>
          <w:rFonts w:hint="eastAsia" w:ascii="宋体" w:hAnsi="宋体" w:eastAsia="宋体"/>
          <w:color w:val="auto"/>
          <w:kern w:val="0"/>
          <w:sz w:val="24"/>
          <w:highlight w:val="none"/>
          <w:u w:val="single"/>
          <w:shd w:val="clear" w:color="auto" w:fill="FFFFFF"/>
        </w:rPr>
        <w:t>收到后7天内</w:t>
      </w:r>
    </w:p>
    <w:p w14:paraId="3076FA86">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7.3 开工</w:t>
      </w:r>
    </w:p>
    <w:p w14:paraId="2331315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7.3.1 开工准备</w:t>
      </w:r>
    </w:p>
    <w:p w14:paraId="5E1F3215">
      <w:pPr>
        <w:pStyle w:val="80"/>
        <w:widowControl/>
        <w:autoSpaceDE w:val="0"/>
        <w:adjustRightInd w:val="0"/>
        <w:snapToGrid w:val="0"/>
        <w:spacing w:line="360" w:lineRule="auto"/>
        <w:ind w:firstLine="64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关于承包人提交工程开工报审表的期限：</w:t>
      </w:r>
      <w:r>
        <w:rPr>
          <w:rStyle w:val="81"/>
          <w:rFonts w:hint="eastAsia" w:ascii="宋体" w:hAnsi="宋体" w:eastAsia="宋体" w:cs="Times New Roman"/>
          <w:color w:val="auto"/>
          <w:kern w:val="0"/>
          <w:sz w:val="24"/>
          <w:highlight w:val="none"/>
          <w:u w:val="single"/>
          <w:shd w:val="clear" w:color="auto" w:fill="FFFFFF"/>
        </w:rPr>
        <w:t>合同签定后，开工前</w:t>
      </w:r>
    </w:p>
    <w:p w14:paraId="54D3964A">
      <w:pPr>
        <w:pStyle w:val="80"/>
        <w:widowControl/>
        <w:autoSpaceDE w:val="0"/>
        <w:adjustRightInd w:val="0"/>
        <w:snapToGrid w:val="0"/>
        <w:spacing w:line="360" w:lineRule="auto"/>
        <w:ind w:firstLine="64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关于发包人应完成的其他开工准备工作及期限：</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s="Times New Roman"/>
          <w:color w:val="auto"/>
          <w:kern w:val="0"/>
          <w:sz w:val="24"/>
          <w:highlight w:val="none"/>
          <w:u w:val="single"/>
          <w:shd w:val="clear" w:color="auto" w:fill="FFFFFF"/>
        </w:rPr>
        <w:t>与中标人签订施工合同时另行约定</w:t>
      </w:r>
      <w:r>
        <w:rPr>
          <w:rStyle w:val="81"/>
          <w:rFonts w:hint="eastAsia" w:ascii="宋体" w:hAnsi="宋体" w:eastAsia="宋体"/>
          <w:color w:val="auto"/>
          <w:kern w:val="0"/>
          <w:sz w:val="24"/>
          <w:highlight w:val="none"/>
          <w:u w:val="single"/>
          <w:shd w:val="clear" w:color="auto" w:fill="FFFFFF"/>
        </w:rPr>
        <w:t xml:space="preserve">   </w:t>
      </w:r>
    </w:p>
    <w:p w14:paraId="0681F4D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关于承包人应完成的其他开工准备工作及期限：</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s="Times New Roman"/>
          <w:color w:val="auto"/>
          <w:kern w:val="0"/>
          <w:sz w:val="24"/>
          <w:highlight w:val="none"/>
          <w:u w:val="single"/>
          <w:shd w:val="clear" w:color="auto" w:fill="FFFFFF"/>
        </w:rPr>
        <w:t>与中标人签订施工合同时另行约定</w:t>
      </w:r>
      <w:r>
        <w:rPr>
          <w:rStyle w:val="81"/>
          <w:rFonts w:hint="eastAsia" w:ascii="宋体" w:hAnsi="宋体" w:eastAsia="宋体"/>
          <w:color w:val="auto"/>
          <w:kern w:val="0"/>
          <w:sz w:val="24"/>
          <w:highlight w:val="none"/>
          <w:u w:val="single"/>
          <w:shd w:val="clear" w:color="auto" w:fill="FFFFFF"/>
        </w:rPr>
        <w:t xml:space="preserve">   </w:t>
      </w:r>
    </w:p>
    <w:p w14:paraId="3D9BF85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7.3.2开工通知</w:t>
      </w:r>
    </w:p>
    <w:p w14:paraId="6AE9314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因发包人原因造成监理人未能在计划开工日期之日起按中标后合同约定天内发出开工通知的，承包人有权提出价格调整要求，或者解除合同。</w:t>
      </w:r>
    </w:p>
    <w:p w14:paraId="61EA5FF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7.4 测量放线</w:t>
      </w:r>
    </w:p>
    <w:p w14:paraId="1B6C963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7.4.1发包人通过监理人向承包人提供测量基准点、基准线和水准点及其书面资料的期限：</w:t>
      </w:r>
      <w:r>
        <w:rPr>
          <w:rStyle w:val="81"/>
          <w:rFonts w:hint="eastAsia" w:ascii="宋体" w:hAnsi="宋体" w:eastAsia="宋体"/>
          <w:color w:val="auto"/>
          <w:kern w:val="0"/>
          <w:sz w:val="24"/>
          <w:highlight w:val="none"/>
          <w:u w:val="single"/>
          <w:shd w:val="clear" w:color="auto" w:fill="FFFFFF"/>
        </w:rPr>
        <w:t xml:space="preserve"> 开工前7天内</w:t>
      </w:r>
    </w:p>
    <w:p w14:paraId="7C63FFB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7.5 工期延误</w:t>
      </w:r>
    </w:p>
    <w:p w14:paraId="6838A97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7.5.1 因发包人原因导致工期延误</w:t>
      </w:r>
    </w:p>
    <w:p w14:paraId="648D9320">
      <w:pPr>
        <w:pStyle w:val="80"/>
        <w:widowControl/>
        <w:autoSpaceDE w:val="0"/>
        <w:adjustRightInd w:val="0"/>
        <w:snapToGrid w:val="0"/>
        <w:spacing w:line="360" w:lineRule="auto"/>
        <w:ind w:firstLine="600"/>
        <w:jc w:val="left"/>
        <w:rPr>
          <w:rStyle w:val="81"/>
          <w:rFonts w:hint="eastAsia" w:ascii="宋体" w:hAnsi="宋体" w:eastAsia="宋体" w:cs="Times New Roman"/>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（7）因发包人原因导致工期延误的其他情形：</w:t>
      </w:r>
      <w:r>
        <w:rPr>
          <w:rStyle w:val="81"/>
          <w:rFonts w:hint="eastAsia" w:ascii="宋体" w:hAnsi="宋体" w:eastAsia="宋体" w:cs="Times New Roman"/>
          <w:color w:val="auto"/>
          <w:kern w:val="0"/>
          <w:sz w:val="24"/>
          <w:highlight w:val="none"/>
          <w:u w:val="single"/>
          <w:shd w:val="clear" w:color="auto" w:fill="FFFFFF"/>
        </w:rPr>
        <w:t>①发包人未能按合同约定支付工程款并确实影 响施工进度；②重大设计变更而影响施工进度；③政策处理问题影响施工进度；④不可抗力， 此延误工期须在发现后 7 天内办理签证，逾期不予认可</w:t>
      </w:r>
    </w:p>
    <w:p w14:paraId="1BC3B9D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7.5.2 因承包人原因导致工期延误</w:t>
      </w:r>
    </w:p>
    <w:p w14:paraId="2072CCB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因承包人原因造成工期延误，逾期竣工违约金的计算方法为：</w:t>
      </w:r>
      <w:r>
        <w:rPr>
          <w:rStyle w:val="81"/>
          <w:rFonts w:hint="eastAsia" w:ascii="宋体" w:hAnsi="宋体" w:eastAsia="宋体"/>
          <w:color w:val="auto"/>
          <w:kern w:val="0"/>
          <w:sz w:val="24"/>
          <w:highlight w:val="none"/>
          <w:u w:val="single"/>
          <w:shd w:val="clear" w:color="auto" w:fill="FFFFFF"/>
        </w:rPr>
        <w:t>因承包人造成工期延误，每延期一天按1000元处罚</w:t>
      </w:r>
    </w:p>
    <w:p w14:paraId="685938B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因承包人原因造成工期延误，逾期竣工违约金的上限：</w:t>
      </w:r>
      <w:r>
        <w:rPr>
          <w:rStyle w:val="81"/>
          <w:rFonts w:hint="eastAsia" w:ascii="宋体" w:hAnsi="宋体" w:eastAsia="宋体"/>
          <w:color w:val="auto"/>
          <w:kern w:val="0"/>
          <w:sz w:val="24"/>
          <w:highlight w:val="none"/>
          <w:u w:val="single"/>
          <w:shd w:val="clear" w:color="auto" w:fill="FFFFFF"/>
        </w:rPr>
        <w:t>总金额不超过合同价款2%</w:t>
      </w:r>
    </w:p>
    <w:p w14:paraId="05FD927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7.6 不利物质条件</w:t>
      </w:r>
    </w:p>
    <w:p w14:paraId="4D27AD3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不利物质条件的其他情形和有关约定：</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s="Times New Roman"/>
          <w:color w:val="auto"/>
          <w:kern w:val="0"/>
          <w:sz w:val="24"/>
          <w:highlight w:val="none"/>
          <w:u w:val="single"/>
          <w:shd w:val="clear" w:color="auto" w:fill="FFFFFF"/>
        </w:rPr>
        <w:t xml:space="preserve">  执行通用条款  </w:t>
      </w:r>
      <w:r>
        <w:rPr>
          <w:rStyle w:val="81"/>
          <w:rFonts w:hint="eastAsia" w:ascii="宋体" w:hAnsi="宋体" w:eastAsia="宋体"/>
          <w:color w:val="auto"/>
          <w:kern w:val="0"/>
          <w:sz w:val="24"/>
          <w:highlight w:val="none"/>
          <w:u w:val="single"/>
          <w:shd w:val="clear" w:color="auto" w:fill="FFFFFF"/>
        </w:rPr>
        <w:t xml:space="preserve">  </w:t>
      </w:r>
    </w:p>
    <w:p w14:paraId="599C869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7.7异常恶劣的气候条件</w:t>
      </w:r>
    </w:p>
    <w:p w14:paraId="17A23B3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发包人和承包人同意以下情形视为异常恶劣的气候条件：</w:t>
      </w:r>
      <w:r>
        <w:rPr>
          <w:rStyle w:val="81"/>
          <w:rFonts w:hint="eastAsia" w:ascii="宋体" w:hAnsi="宋体" w:eastAsia="宋体"/>
          <w:color w:val="auto"/>
          <w:kern w:val="0"/>
          <w:sz w:val="24"/>
          <w:highlight w:val="none"/>
          <w:u w:val="single"/>
          <w:shd w:val="clear" w:color="auto" w:fill="FFFFFF"/>
        </w:rPr>
        <w:t>双方另行约定</w:t>
      </w:r>
    </w:p>
    <w:p w14:paraId="2F61533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7.9 提前竣工的奖励</w:t>
      </w:r>
    </w:p>
    <w:p w14:paraId="528B312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7.9.2提前竣工的奖励：</w:t>
      </w:r>
      <w:r>
        <w:rPr>
          <w:rStyle w:val="81"/>
          <w:rFonts w:hint="eastAsia" w:ascii="宋体" w:hAnsi="宋体" w:eastAsia="宋体"/>
          <w:color w:val="auto"/>
          <w:kern w:val="0"/>
          <w:sz w:val="24"/>
          <w:highlight w:val="none"/>
          <w:u w:val="single"/>
          <w:shd w:val="clear" w:color="auto" w:fill="FFFFFF"/>
        </w:rPr>
        <w:t xml:space="preserve">      /     </w:t>
      </w:r>
    </w:p>
    <w:p w14:paraId="4B4911EE">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02" w:name="_Toc256000353"/>
      <w:bookmarkStart w:id="203" w:name="_Toc256000251"/>
      <w:bookmarkStart w:id="204" w:name="_Toc256000043_0"/>
      <w:bookmarkStart w:id="205" w:name="_Toc256000108"/>
      <w:bookmarkStart w:id="206" w:name="_Toc256000154_0"/>
      <w:bookmarkStart w:id="207" w:name="_Toc256000411"/>
      <w:bookmarkStart w:id="208" w:name="_Toc256000202"/>
      <w:r>
        <w:rPr>
          <w:rStyle w:val="81"/>
          <w:rFonts w:hint="eastAsia" w:ascii="宋体" w:hAnsi="宋体"/>
          <w:color w:val="auto"/>
          <w:sz w:val="24"/>
          <w:szCs w:val="24"/>
          <w:highlight w:val="none"/>
          <w:shd w:val="clear" w:color="auto" w:fill="FFFFFF"/>
        </w:rPr>
        <w:t>8. 材料与设备</w:t>
      </w:r>
      <w:bookmarkEnd w:id="202"/>
      <w:bookmarkEnd w:id="203"/>
      <w:bookmarkEnd w:id="204"/>
      <w:bookmarkEnd w:id="205"/>
      <w:bookmarkEnd w:id="206"/>
      <w:bookmarkEnd w:id="207"/>
      <w:bookmarkEnd w:id="208"/>
    </w:p>
    <w:p w14:paraId="2E89863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8.4材料与工程设备的保管与使用</w:t>
      </w:r>
    </w:p>
    <w:p w14:paraId="51B7A94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8.4.1发包人供应的材料设备的保管费用的承担：</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u w:val="single"/>
          <w:shd w:val="clear" w:color="auto" w:fill="FFFFFF"/>
          <w:lang w:val="en-US" w:eastAsia="zh-CN"/>
        </w:rPr>
        <w:t>由</w:t>
      </w:r>
      <w:r>
        <w:rPr>
          <w:rStyle w:val="81"/>
          <w:rFonts w:hint="eastAsia" w:ascii="宋体" w:hAnsi="宋体" w:eastAsia="宋体"/>
          <w:color w:val="auto"/>
          <w:kern w:val="0"/>
          <w:sz w:val="24"/>
          <w:highlight w:val="none"/>
          <w:u w:val="single"/>
          <w:shd w:val="clear" w:color="auto" w:fill="FFFFFF"/>
        </w:rPr>
        <w:t>承包人承担</w:t>
      </w:r>
    </w:p>
    <w:p w14:paraId="2EA0084D">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8.6 样品</w:t>
      </w:r>
    </w:p>
    <w:p w14:paraId="5456543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8.6.1 样品的报送与封存</w:t>
      </w:r>
    </w:p>
    <w:p w14:paraId="4D220A4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 xml:space="preserve">需要承包人报送样品的材料或工程设备，样品的种类、名称、规格、数量要求： </w:t>
      </w:r>
      <w:r>
        <w:rPr>
          <w:rStyle w:val="81"/>
          <w:rFonts w:hint="eastAsia" w:ascii="宋体" w:hAnsi="宋体" w:eastAsia="宋体"/>
          <w:color w:val="auto"/>
          <w:kern w:val="0"/>
          <w:sz w:val="24"/>
          <w:highlight w:val="none"/>
          <w:u w:val="single"/>
          <w:shd w:val="clear" w:color="auto" w:fill="FFFFFF"/>
        </w:rPr>
        <w:t>按管理部门要求和发包人需求确定</w:t>
      </w:r>
    </w:p>
    <w:p w14:paraId="467986F3">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8.8 施工设备和临时设施</w:t>
      </w:r>
    </w:p>
    <w:p w14:paraId="27091CB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8.8.1 承包人提供的施工设备和临时设施</w:t>
      </w:r>
    </w:p>
    <w:p w14:paraId="0E4950D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关于修建临时设施费用承担的约定：</w:t>
      </w:r>
      <w:r>
        <w:rPr>
          <w:rStyle w:val="81"/>
          <w:rFonts w:hint="eastAsia" w:ascii="宋体" w:hAnsi="宋体" w:eastAsia="宋体"/>
          <w:color w:val="auto"/>
          <w:kern w:val="0"/>
          <w:sz w:val="24"/>
          <w:highlight w:val="none"/>
          <w:u w:val="single"/>
          <w:shd w:val="clear" w:color="auto" w:fill="FFFFFF"/>
        </w:rPr>
        <w:t xml:space="preserve"> 由承包人承担</w:t>
      </w:r>
    </w:p>
    <w:p w14:paraId="3C94C533">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09" w:name="_Toc256000252"/>
      <w:bookmarkStart w:id="210" w:name="_Toc256000044_0"/>
      <w:bookmarkStart w:id="211" w:name="_Toc256000109"/>
      <w:bookmarkStart w:id="212" w:name="_Toc256000412"/>
      <w:bookmarkStart w:id="213" w:name="_Toc256000354"/>
      <w:bookmarkStart w:id="214" w:name="_Toc256000203"/>
      <w:bookmarkStart w:id="215" w:name="_Toc256000155_0"/>
      <w:r>
        <w:rPr>
          <w:rStyle w:val="81"/>
          <w:rFonts w:hint="eastAsia" w:ascii="宋体" w:hAnsi="宋体"/>
          <w:color w:val="auto"/>
          <w:sz w:val="24"/>
          <w:szCs w:val="24"/>
          <w:highlight w:val="none"/>
          <w:shd w:val="clear" w:color="auto" w:fill="FFFFFF"/>
        </w:rPr>
        <w:t>9. 试验与检验</w:t>
      </w:r>
      <w:bookmarkEnd w:id="209"/>
      <w:bookmarkEnd w:id="210"/>
      <w:bookmarkEnd w:id="211"/>
      <w:bookmarkEnd w:id="212"/>
      <w:bookmarkEnd w:id="213"/>
      <w:bookmarkEnd w:id="214"/>
      <w:bookmarkEnd w:id="215"/>
    </w:p>
    <w:p w14:paraId="41E57E8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9.1试验设备与试验人员</w:t>
      </w:r>
    </w:p>
    <w:p w14:paraId="1707896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9.1.2 试验设备</w:t>
      </w:r>
    </w:p>
    <w:p w14:paraId="0868CC0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施工现场需要配置的试验场所：</w:t>
      </w:r>
      <w:r>
        <w:rPr>
          <w:rStyle w:val="81"/>
          <w:rFonts w:hint="eastAsia" w:ascii="宋体" w:hAnsi="宋体" w:eastAsia="宋体"/>
          <w:color w:val="auto"/>
          <w:kern w:val="0"/>
          <w:sz w:val="24"/>
          <w:highlight w:val="none"/>
          <w:u w:val="single"/>
          <w:shd w:val="clear" w:color="auto" w:fill="FFFFFF"/>
        </w:rPr>
        <w:t xml:space="preserve"> 按有关规定执行</w:t>
      </w:r>
    </w:p>
    <w:p w14:paraId="26761A3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施工现场需要配备的试验设备：</w:t>
      </w:r>
      <w:r>
        <w:rPr>
          <w:rStyle w:val="81"/>
          <w:rFonts w:hint="eastAsia" w:ascii="宋体" w:hAnsi="宋体" w:eastAsia="宋体"/>
          <w:color w:val="auto"/>
          <w:kern w:val="0"/>
          <w:sz w:val="24"/>
          <w:highlight w:val="none"/>
          <w:u w:val="single"/>
          <w:shd w:val="clear" w:color="auto" w:fill="FFFFFF"/>
        </w:rPr>
        <w:t xml:space="preserve"> 按有关规定执行</w:t>
      </w:r>
    </w:p>
    <w:p w14:paraId="6EC73A2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施工现场需要具备的其他试验条件：</w:t>
      </w:r>
      <w:r>
        <w:rPr>
          <w:rStyle w:val="81"/>
          <w:rFonts w:hint="eastAsia" w:ascii="宋体" w:hAnsi="宋体" w:eastAsia="宋体"/>
          <w:color w:val="auto"/>
          <w:kern w:val="0"/>
          <w:sz w:val="24"/>
          <w:highlight w:val="none"/>
          <w:u w:val="single"/>
          <w:shd w:val="clear" w:color="auto" w:fill="FFFFFF"/>
        </w:rPr>
        <w:t xml:space="preserve">      /     </w:t>
      </w:r>
    </w:p>
    <w:p w14:paraId="533EBA5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9.4 现场工艺试验 </w:t>
      </w:r>
    </w:p>
    <w:p w14:paraId="26563A1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现场工艺试验的有关约定：</w:t>
      </w:r>
      <w:r>
        <w:rPr>
          <w:rStyle w:val="81"/>
          <w:rFonts w:hint="eastAsia" w:ascii="宋体" w:hAnsi="宋体" w:eastAsia="宋体"/>
          <w:color w:val="auto"/>
          <w:kern w:val="0"/>
          <w:sz w:val="24"/>
          <w:highlight w:val="none"/>
          <w:u w:val="single"/>
          <w:shd w:val="clear" w:color="auto" w:fill="FFFFFF"/>
        </w:rPr>
        <w:t xml:space="preserve">      /     </w:t>
      </w:r>
    </w:p>
    <w:p w14:paraId="6F8589F8">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16" w:name="_Toc256000253"/>
      <w:bookmarkStart w:id="217" w:name="_Toc256000204"/>
      <w:bookmarkStart w:id="218" w:name="_Toc256000156_0"/>
      <w:bookmarkStart w:id="219" w:name="_Toc256000413"/>
      <w:bookmarkStart w:id="220" w:name="_Toc256000355"/>
      <w:bookmarkStart w:id="221" w:name="_Toc256000045_0"/>
      <w:bookmarkStart w:id="222" w:name="_Toc256000110"/>
      <w:r>
        <w:rPr>
          <w:rStyle w:val="81"/>
          <w:rFonts w:hint="eastAsia" w:ascii="宋体" w:hAnsi="宋体"/>
          <w:color w:val="auto"/>
          <w:sz w:val="24"/>
          <w:szCs w:val="24"/>
          <w:highlight w:val="none"/>
          <w:shd w:val="clear" w:color="auto" w:fill="FFFFFF"/>
        </w:rPr>
        <w:t>10. 变更</w:t>
      </w:r>
      <w:bookmarkEnd w:id="216"/>
      <w:bookmarkEnd w:id="217"/>
      <w:bookmarkEnd w:id="218"/>
      <w:bookmarkEnd w:id="219"/>
      <w:bookmarkEnd w:id="220"/>
      <w:bookmarkEnd w:id="221"/>
      <w:bookmarkEnd w:id="222"/>
    </w:p>
    <w:p w14:paraId="3CA7CCD4">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10.1变更的范围</w:t>
      </w:r>
    </w:p>
    <w:p w14:paraId="46AA4BF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关于变更的范围的约定：</w:t>
      </w:r>
      <w:r>
        <w:rPr>
          <w:rStyle w:val="81"/>
          <w:rFonts w:hint="eastAsia" w:ascii="宋体" w:hAnsi="宋体" w:eastAsia="宋体"/>
          <w:color w:val="auto"/>
          <w:kern w:val="0"/>
          <w:sz w:val="24"/>
          <w:highlight w:val="none"/>
          <w:u w:val="single"/>
          <w:shd w:val="clear" w:color="auto" w:fill="FFFFFF"/>
        </w:rPr>
        <w:t>(1)增加或减少合同中任何工作，或追加额外的工作； (2) 取消合同中任何工作，但转由他人实施的工作除外； (3) 改变合同中任何工作的质量标准或其他特性: (4) 改变工程的基线、标高、位置和尺寸；(5) 改变工程的时间安排或实施顺序</w:t>
      </w:r>
    </w:p>
    <w:p w14:paraId="485A482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10.4 变更估价</w:t>
      </w:r>
    </w:p>
    <w:p w14:paraId="506FF64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10.4.1 变更估价原则</w:t>
      </w:r>
    </w:p>
    <w:p w14:paraId="782E53E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关于变更估价的约定: </w:t>
      </w:r>
      <w:r>
        <w:rPr>
          <w:rStyle w:val="81"/>
          <w:rFonts w:hint="eastAsia" w:ascii="宋体" w:hAnsi="宋体" w:eastAsia="宋体"/>
          <w:color w:val="auto"/>
          <w:kern w:val="0"/>
          <w:sz w:val="24"/>
          <w:highlight w:val="none"/>
          <w:u w:val="single"/>
          <w:shd w:val="clear" w:color="auto" w:fill="FFFFFF"/>
        </w:rPr>
        <w:t>①合同中有相同或类似工程项目单价的，可以参照合同中相同或类似项目的综合单价计算确定；②合同中没有相同或类似工程项目综合单价的，由承包人根据合同中约定的组价原则或参考“计价依据”提出适当的单价，经发包人或其委托的工程造价咨询单位审定后，作为结算的依据；③由于清单项目中项目特征或工程内容发生部分变更的，应以原综合单价为基础，仅就变更部分相应定额子目调整综合单价；</w:t>
      </w:r>
    </w:p>
    <w:p w14:paraId="679704C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10.5承包人的合理化建议</w:t>
      </w:r>
    </w:p>
    <w:p w14:paraId="242EB45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监理人审查承包人合理化建议的期限：</w:t>
      </w:r>
      <w:r>
        <w:rPr>
          <w:rStyle w:val="81"/>
          <w:rFonts w:hint="eastAsia" w:ascii="宋体" w:hAnsi="宋体" w:eastAsia="宋体"/>
          <w:color w:val="auto"/>
          <w:kern w:val="0"/>
          <w:sz w:val="24"/>
          <w:highlight w:val="none"/>
          <w:u w:val="single"/>
          <w:shd w:val="clear" w:color="auto" w:fill="FFFFFF"/>
        </w:rPr>
        <w:t xml:space="preserve"> 收到合理化建议后7日内</w:t>
      </w:r>
    </w:p>
    <w:p w14:paraId="3A0497C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发包人审批承包人合理化建议的期限：</w:t>
      </w:r>
      <w:r>
        <w:rPr>
          <w:rStyle w:val="81"/>
          <w:rFonts w:hint="eastAsia" w:ascii="宋体" w:hAnsi="宋体" w:eastAsia="宋体"/>
          <w:color w:val="auto"/>
          <w:kern w:val="0"/>
          <w:sz w:val="24"/>
          <w:highlight w:val="none"/>
          <w:u w:val="single"/>
          <w:shd w:val="clear" w:color="auto" w:fill="FFFFFF"/>
        </w:rPr>
        <w:t xml:space="preserve"> 收到合理化建议后7日内</w:t>
      </w:r>
    </w:p>
    <w:p w14:paraId="5E01B3C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承包人提出的合理化建议降低了合同价格或者提高了工程经济效益的奖励的方法和金额为：</w:t>
      </w:r>
      <w:r>
        <w:rPr>
          <w:rStyle w:val="81"/>
          <w:rFonts w:hint="eastAsia" w:ascii="宋体" w:hAnsi="宋体" w:eastAsia="宋体"/>
          <w:color w:val="auto"/>
          <w:kern w:val="0"/>
          <w:sz w:val="24"/>
          <w:highlight w:val="none"/>
          <w:u w:val="single"/>
          <w:shd w:val="clear" w:color="auto" w:fill="FFFFFF"/>
        </w:rPr>
        <w:t xml:space="preserve"> 双方另行确定</w:t>
      </w:r>
    </w:p>
    <w:p w14:paraId="54DE1B3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10.7 暂估价</w:t>
      </w:r>
    </w:p>
    <w:p w14:paraId="2BBFABD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暂估价材料和工程设备的明细详见附件11：《暂估价一览表》。</w:t>
      </w:r>
    </w:p>
    <w:p w14:paraId="58A26A0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10.7.1 依法必须招标的暂估价项目</w:t>
      </w:r>
    </w:p>
    <w:p w14:paraId="7C1BC2A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对于依法必须招标的暂估价项目的确认和批准采取第</w:t>
      </w:r>
      <w:r>
        <w:rPr>
          <w:rStyle w:val="81"/>
          <w:rFonts w:hint="eastAsia" w:ascii="宋体" w:hAnsi="宋体" w:eastAsia="宋体"/>
          <w:color w:val="auto"/>
          <w:kern w:val="0"/>
          <w:sz w:val="24"/>
          <w:highlight w:val="none"/>
          <w:u w:val="single"/>
          <w:shd w:val="clear" w:color="auto" w:fill="FFFFFF"/>
        </w:rPr>
        <w:t>1</w:t>
      </w:r>
      <w:r>
        <w:rPr>
          <w:rStyle w:val="81"/>
          <w:rFonts w:hint="eastAsia" w:ascii="宋体" w:hAnsi="宋体" w:eastAsia="宋体"/>
          <w:color w:val="auto"/>
          <w:kern w:val="0"/>
          <w:sz w:val="24"/>
          <w:highlight w:val="none"/>
          <w:shd w:val="clear" w:color="auto" w:fill="FFFFFF"/>
        </w:rPr>
        <w:t>种方式确定。</w:t>
      </w:r>
    </w:p>
    <w:p w14:paraId="2B4D227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10.7.2 不属于依法必须招标的暂估价项目</w:t>
      </w:r>
    </w:p>
    <w:p w14:paraId="1F8CE40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对于不属于依法必须招标的暂估价项目的确认和批准采取第</w:t>
      </w:r>
      <w:r>
        <w:rPr>
          <w:rStyle w:val="81"/>
          <w:rFonts w:hint="eastAsia" w:ascii="宋体" w:hAnsi="宋体" w:eastAsia="宋体"/>
          <w:color w:val="auto"/>
          <w:kern w:val="0"/>
          <w:sz w:val="24"/>
          <w:highlight w:val="none"/>
          <w:u w:val="single"/>
          <w:shd w:val="clear" w:color="auto" w:fill="FFFFFF"/>
        </w:rPr>
        <w:t>2</w:t>
      </w:r>
      <w:r>
        <w:rPr>
          <w:rStyle w:val="81"/>
          <w:rFonts w:hint="eastAsia" w:ascii="宋体" w:hAnsi="宋体" w:eastAsia="宋体"/>
          <w:color w:val="auto"/>
          <w:kern w:val="0"/>
          <w:sz w:val="24"/>
          <w:highlight w:val="none"/>
          <w:shd w:val="clear" w:color="auto" w:fill="FFFFFF"/>
        </w:rPr>
        <w:t>种方式确定。</w:t>
      </w:r>
    </w:p>
    <w:p w14:paraId="09A053C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第3种方式：承包人直接实施的暂估价项目</w:t>
      </w:r>
    </w:p>
    <w:p w14:paraId="02D5F06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承包人直接实施的暂估价项目的约定：</w:t>
      </w:r>
      <w:r>
        <w:rPr>
          <w:rStyle w:val="81"/>
          <w:rFonts w:hint="eastAsia" w:ascii="宋体" w:hAnsi="宋体" w:eastAsia="宋体"/>
          <w:color w:val="auto"/>
          <w:kern w:val="0"/>
          <w:sz w:val="24"/>
          <w:highlight w:val="none"/>
          <w:u w:val="single"/>
          <w:shd w:val="clear" w:color="auto" w:fill="FFFFFF"/>
        </w:rPr>
        <w:t xml:space="preserve"> 执行通用条款</w:t>
      </w:r>
    </w:p>
    <w:p w14:paraId="70CB023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10.8 暂列金额</w:t>
      </w:r>
    </w:p>
    <w:p w14:paraId="31202A1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合同当事人关于暂列金额使用的约定： </w:t>
      </w:r>
      <w:r>
        <w:rPr>
          <w:rStyle w:val="81"/>
          <w:rFonts w:hint="eastAsia" w:ascii="宋体" w:hAnsi="宋体" w:eastAsia="宋体"/>
          <w:color w:val="auto"/>
          <w:kern w:val="0"/>
          <w:sz w:val="24"/>
          <w:highlight w:val="none"/>
          <w:u w:val="single"/>
          <w:shd w:val="clear" w:color="auto" w:fill="FFFFFF"/>
        </w:rPr>
        <w:t>按照监理人或发包人的指示使用，暂列金不计入工程款付款的技术</w:t>
      </w:r>
    </w:p>
    <w:p w14:paraId="79E6ACE5">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23" w:name="_Toc256000356"/>
      <w:bookmarkStart w:id="224" w:name="_Toc256000205"/>
      <w:bookmarkStart w:id="225" w:name="_Toc256000414"/>
      <w:bookmarkStart w:id="226" w:name="_Toc256000157_0"/>
      <w:bookmarkStart w:id="227" w:name="_Toc256000111"/>
      <w:bookmarkStart w:id="228" w:name="_Toc256000254"/>
      <w:bookmarkStart w:id="229" w:name="_Toc256000046_0"/>
      <w:r>
        <w:rPr>
          <w:rStyle w:val="81"/>
          <w:rFonts w:hint="eastAsia" w:ascii="宋体" w:hAnsi="宋体"/>
          <w:color w:val="auto"/>
          <w:sz w:val="24"/>
          <w:szCs w:val="24"/>
          <w:highlight w:val="none"/>
          <w:shd w:val="clear" w:color="auto" w:fill="FFFFFF"/>
        </w:rPr>
        <w:t>11. 价格调整</w:t>
      </w:r>
      <w:bookmarkEnd w:id="223"/>
      <w:bookmarkEnd w:id="224"/>
      <w:bookmarkEnd w:id="225"/>
      <w:bookmarkEnd w:id="226"/>
      <w:bookmarkEnd w:id="227"/>
      <w:bookmarkEnd w:id="228"/>
      <w:bookmarkEnd w:id="229"/>
    </w:p>
    <w:p w14:paraId="31193CE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11.1 市场价格波动引起的调整</w:t>
      </w:r>
    </w:p>
    <w:p w14:paraId="38C42C6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 xml:space="preserve">市场价格波动是否调整合同价格的约定： </w:t>
      </w:r>
      <w:r>
        <w:rPr>
          <w:rStyle w:val="81"/>
          <w:rFonts w:hint="eastAsia" w:ascii="宋体" w:hAnsi="宋体" w:eastAsia="宋体"/>
          <w:color w:val="auto"/>
          <w:kern w:val="0"/>
          <w:sz w:val="24"/>
          <w:highlight w:val="none"/>
          <w:u w:val="single"/>
          <w:shd w:val="clear" w:color="auto" w:fill="FFFFFF"/>
        </w:rPr>
        <w:t>主要材料市场价格波动超过合同当事人约定的范围，合同价格予以调整</w:t>
      </w:r>
    </w:p>
    <w:p w14:paraId="3591DB2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因市场价格波动调整合同价格，采用以下第2种方式对合同价格进行调整：</w:t>
      </w:r>
    </w:p>
    <w:p w14:paraId="51DE9D7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第1种方式：采用价格指数进行价格调整。</w:t>
      </w:r>
    </w:p>
    <w:p w14:paraId="75D2C16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关于各可调因子、定值和变值权重，以及基本价格指数及其来源的约定：</w:t>
      </w:r>
      <w:r>
        <w:rPr>
          <w:rStyle w:val="81"/>
          <w:rFonts w:hint="eastAsia" w:ascii="宋体" w:hAnsi="宋体" w:eastAsia="宋体"/>
          <w:color w:val="auto"/>
          <w:kern w:val="0"/>
          <w:sz w:val="24"/>
          <w:highlight w:val="none"/>
          <w:u w:val="single"/>
          <w:shd w:val="clear" w:color="auto" w:fill="FFFFFF"/>
        </w:rPr>
        <w:t xml:space="preserve"> 无</w:t>
      </w:r>
    </w:p>
    <w:p w14:paraId="6C5B49C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第2种方式：采用造价信息进行价格调整。</w:t>
      </w:r>
    </w:p>
    <w:p w14:paraId="7AC1AFD8">
      <w:pPr>
        <w:pStyle w:val="80"/>
        <w:widowControl/>
        <w:autoSpaceDE w:val="0"/>
        <w:adjustRightInd w:val="0"/>
        <w:snapToGrid w:val="0"/>
        <w:spacing w:line="360" w:lineRule="auto"/>
        <w:ind w:firstLine="600"/>
        <w:jc w:val="left"/>
        <w:rPr>
          <w:rStyle w:val="81"/>
          <w:rFonts w:hint="eastAsia" w:ascii="宋体" w:hAnsi="宋体" w:eastAsia="宋体"/>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 xml:space="preserve">（2）关于基准价格的约定： </w:t>
      </w:r>
      <w:r>
        <w:rPr>
          <w:rStyle w:val="81"/>
          <w:rFonts w:hint="eastAsia" w:ascii="宋体" w:hAnsi="宋体" w:eastAsia="宋体"/>
          <w:color w:val="auto"/>
          <w:kern w:val="0"/>
          <w:sz w:val="24"/>
          <w:highlight w:val="none"/>
          <w:u w:val="single"/>
          <w:shd w:val="clear" w:color="auto" w:fill="FFFFFF"/>
        </w:rPr>
        <w:t>以投标时巴州造价站发布的巴州地区</w:t>
      </w:r>
      <w:r>
        <w:rPr>
          <w:rStyle w:val="81"/>
          <w:rFonts w:hint="eastAsia" w:ascii="宋体" w:hAnsi="宋体" w:eastAsia="宋体"/>
          <w:color w:val="auto"/>
          <w:kern w:val="0"/>
          <w:sz w:val="24"/>
          <w:highlight w:val="none"/>
          <w:u w:val="single"/>
          <w:shd w:val="clear" w:color="auto" w:fill="FFFFFF"/>
          <w:lang w:eastAsia="zh-CN"/>
        </w:rPr>
        <w:t>最新</w:t>
      </w:r>
      <w:r>
        <w:rPr>
          <w:rStyle w:val="81"/>
          <w:rFonts w:hint="eastAsia" w:ascii="宋体" w:hAnsi="宋体" w:eastAsia="宋体"/>
          <w:color w:val="auto"/>
          <w:kern w:val="0"/>
          <w:sz w:val="24"/>
          <w:highlight w:val="none"/>
          <w:u w:val="single"/>
          <w:shd w:val="clear" w:color="auto" w:fill="FFFFFF"/>
        </w:rPr>
        <w:t>信息价为基准价格。</w:t>
      </w:r>
    </w:p>
    <w:p w14:paraId="42BDAE4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专用合同条款①承包人在已标价工程量清单或预算书中载明的材料单价低于基准价格的：专用合同条款合同履行期间材料单价涨幅以基准价格为基础超过</w:t>
      </w:r>
      <w:r>
        <w:rPr>
          <w:rStyle w:val="81"/>
          <w:rFonts w:hint="eastAsia" w:ascii="宋体" w:hAnsi="宋体" w:eastAsia="宋体"/>
          <w:color w:val="auto"/>
          <w:kern w:val="0"/>
          <w:sz w:val="24"/>
          <w:highlight w:val="none"/>
          <w:u w:val="single"/>
          <w:shd w:val="clear" w:color="auto" w:fill="FFFFFF"/>
        </w:rPr>
        <w:t>5</w:t>
      </w:r>
      <w:r>
        <w:rPr>
          <w:rStyle w:val="81"/>
          <w:rFonts w:hint="eastAsia" w:ascii="宋体" w:hAnsi="宋体" w:eastAsia="宋体"/>
          <w:color w:val="auto"/>
          <w:kern w:val="0"/>
          <w:sz w:val="24"/>
          <w:highlight w:val="none"/>
          <w:shd w:val="clear" w:color="auto" w:fill="FFFFFF"/>
        </w:rPr>
        <w:t>%时，或材料单价跌幅以已标价工程量清单或预算书中载明材料单价为基础超过</w:t>
      </w:r>
      <w:r>
        <w:rPr>
          <w:rStyle w:val="81"/>
          <w:rFonts w:hint="eastAsia" w:ascii="宋体" w:hAnsi="宋体" w:eastAsia="宋体"/>
          <w:color w:val="auto"/>
          <w:kern w:val="0"/>
          <w:sz w:val="24"/>
          <w:highlight w:val="none"/>
          <w:u w:val="single"/>
          <w:shd w:val="clear" w:color="auto" w:fill="FFFFFF"/>
        </w:rPr>
        <w:t>5</w:t>
      </w:r>
      <w:r>
        <w:rPr>
          <w:rStyle w:val="81"/>
          <w:rFonts w:hint="eastAsia" w:ascii="宋体" w:hAnsi="宋体" w:eastAsia="宋体"/>
          <w:color w:val="auto"/>
          <w:kern w:val="0"/>
          <w:sz w:val="24"/>
          <w:highlight w:val="none"/>
          <w:shd w:val="clear" w:color="auto" w:fill="FFFFFF"/>
        </w:rPr>
        <w:t>%时，其超过部分据实调整。</w:t>
      </w:r>
    </w:p>
    <w:p w14:paraId="34922CC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②承包人在已标价工程量清单或预算书中载明的材料单价高于基准价格的：专用合同条款合同履行期间材料单价跌幅以基准价格为基础超过</w:t>
      </w:r>
      <w:r>
        <w:rPr>
          <w:rStyle w:val="81"/>
          <w:rFonts w:hint="eastAsia" w:ascii="宋体" w:hAnsi="宋体" w:eastAsia="宋体"/>
          <w:color w:val="auto"/>
          <w:kern w:val="0"/>
          <w:sz w:val="24"/>
          <w:highlight w:val="none"/>
          <w:u w:val="single"/>
          <w:shd w:val="clear" w:color="auto" w:fill="FFFFFF"/>
        </w:rPr>
        <w:t>5</w:t>
      </w:r>
      <w:r>
        <w:rPr>
          <w:rStyle w:val="81"/>
          <w:rFonts w:hint="eastAsia" w:ascii="宋体" w:hAnsi="宋体" w:eastAsia="宋体"/>
          <w:color w:val="auto"/>
          <w:kern w:val="0"/>
          <w:sz w:val="24"/>
          <w:highlight w:val="none"/>
          <w:shd w:val="clear" w:color="auto" w:fill="FFFFFF"/>
        </w:rPr>
        <w:t>%时，材料单价涨幅以已标价工程量清单或预算书中载明材料单价为基础超过</w:t>
      </w:r>
      <w:r>
        <w:rPr>
          <w:rStyle w:val="81"/>
          <w:rFonts w:hint="eastAsia" w:ascii="宋体" w:hAnsi="宋体" w:eastAsia="宋体"/>
          <w:color w:val="auto"/>
          <w:kern w:val="0"/>
          <w:sz w:val="24"/>
          <w:highlight w:val="none"/>
          <w:u w:val="single"/>
          <w:shd w:val="clear" w:color="auto" w:fill="FFFFFF"/>
        </w:rPr>
        <w:t>5</w:t>
      </w:r>
      <w:r>
        <w:rPr>
          <w:rStyle w:val="81"/>
          <w:rFonts w:hint="eastAsia" w:ascii="宋体" w:hAnsi="宋体" w:eastAsia="宋体"/>
          <w:color w:val="auto"/>
          <w:kern w:val="0"/>
          <w:sz w:val="24"/>
          <w:highlight w:val="none"/>
          <w:shd w:val="clear" w:color="auto" w:fill="FFFFFF"/>
        </w:rPr>
        <w:t>%时，其超过部分据实调整。</w:t>
      </w:r>
    </w:p>
    <w:p w14:paraId="1F45C3C9">
      <w:pPr>
        <w:pStyle w:val="80"/>
        <w:widowControl/>
        <w:autoSpaceDE w:val="0"/>
        <w:adjustRightInd w:val="0"/>
        <w:snapToGrid w:val="0"/>
        <w:spacing w:line="360" w:lineRule="auto"/>
        <w:ind w:firstLine="64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③承包人在已标价工程量清单或预算书中载明的材料单价等于基准单价的：专用合同条款合同履行期间材料单价涨跌幅以基准单价为基础超过±</w:t>
      </w:r>
      <w:r>
        <w:rPr>
          <w:rStyle w:val="81"/>
          <w:rFonts w:hint="eastAsia" w:ascii="宋体" w:hAnsi="宋体" w:eastAsia="宋体"/>
          <w:color w:val="auto"/>
          <w:kern w:val="0"/>
          <w:sz w:val="24"/>
          <w:highlight w:val="none"/>
          <w:u w:val="single"/>
          <w:shd w:val="clear" w:color="auto" w:fill="FFFFFF"/>
        </w:rPr>
        <w:t>5</w:t>
      </w:r>
      <w:r>
        <w:rPr>
          <w:rStyle w:val="81"/>
          <w:rFonts w:hint="eastAsia" w:ascii="宋体" w:hAnsi="宋体" w:eastAsia="宋体"/>
          <w:color w:val="auto"/>
          <w:kern w:val="0"/>
          <w:sz w:val="24"/>
          <w:highlight w:val="none"/>
          <w:shd w:val="clear" w:color="auto" w:fill="FFFFFF"/>
        </w:rPr>
        <w:t>%时，其超过部分据实调整。</w:t>
      </w:r>
    </w:p>
    <w:p w14:paraId="49D1EA14">
      <w:pPr>
        <w:pStyle w:val="80"/>
        <w:widowControl/>
        <w:autoSpaceDE w:val="0"/>
        <w:adjustRightInd w:val="0"/>
        <w:snapToGrid w:val="0"/>
        <w:spacing w:line="360" w:lineRule="auto"/>
        <w:ind w:firstLine="64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第3种方式：其他价格调整方式：</w:t>
      </w:r>
      <w:r>
        <w:rPr>
          <w:rStyle w:val="81"/>
          <w:rFonts w:hint="eastAsia" w:ascii="宋体" w:hAnsi="宋体" w:eastAsia="宋体"/>
          <w:color w:val="auto"/>
          <w:kern w:val="0"/>
          <w:sz w:val="24"/>
          <w:highlight w:val="none"/>
          <w:u w:val="single"/>
          <w:shd w:val="clear" w:color="auto" w:fill="FFFFFF"/>
        </w:rPr>
        <w:t xml:space="preserve"> 无</w:t>
      </w:r>
    </w:p>
    <w:p w14:paraId="31BDD526">
      <w:pPr>
        <w:pStyle w:val="85"/>
        <w:widowControl/>
        <w:autoSpaceDE w:val="0"/>
        <w:adjustRightInd w:val="0"/>
        <w:snapToGrid w:val="0"/>
        <w:spacing w:line="360" w:lineRule="auto"/>
        <w:jc w:val="center"/>
        <w:rPr>
          <w:rStyle w:val="81"/>
          <w:rFonts w:hint="eastAsia" w:ascii="宋体" w:hAnsi="宋体"/>
          <w:color w:val="auto"/>
          <w:sz w:val="24"/>
          <w:szCs w:val="24"/>
          <w:highlight w:val="none"/>
          <w:shd w:val="clear" w:color="auto" w:fill="FFFFFF"/>
        </w:rPr>
      </w:pPr>
      <w:bookmarkStart w:id="230" w:name="_Toc256000415"/>
      <w:bookmarkStart w:id="231" w:name="_Toc256000357"/>
      <w:bookmarkStart w:id="232" w:name="_Toc256000158_0"/>
      <w:bookmarkStart w:id="233" w:name="_Toc256000206"/>
      <w:bookmarkStart w:id="234" w:name="_Toc256000255"/>
      <w:bookmarkStart w:id="235" w:name="_Toc256000112"/>
      <w:bookmarkStart w:id="236" w:name="_Toc256000047_0"/>
      <w:r>
        <w:rPr>
          <w:rStyle w:val="81"/>
          <w:rFonts w:hint="eastAsia" w:ascii="宋体" w:hAnsi="宋体"/>
          <w:color w:val="auto"/>
          <w:sz w:val="24"/>
          <w:szCs w:val="24"/>
          <w:highlight w:val="none"/>
          <w:shd w:val="clear" w:color="auto" w:fill="FFFFFF"/>
        </w:rPr>
        <w:t>12. 合同价格、计量与支付</w:t>
      </w:r>
      <w:bookmarkEnd w:id="230"/>
      <w:bookmarkEnd w:id="231"/>
      <w:bookmarkEnd w:id="232"/>
      <w:bookmarkEnd w:id="233"/>
      <w:bookmarkEnd w:id="234"/>
      <w:bookmarkEnd w:id="235"/>
      <w:bookmarkEnd w:id="236"/>
    </w:p>
    <w:p w14:paraId="651B690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12.1 合同价格形式</w:t>
      </w:r>
    </w:p>
    <w:p w14:paraId="04B3E3A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1、单价合同。</w:t>
      </w:r>
    </w:p>
    <w:p w14:paraId="48D52A1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综合单价包含的风险范围：</w:t>
      </w:r>
      <w:r>
        <w:rPr>
          <w:rStyle w:val="81"/>
          <w:rFonts w:hint="eastAsia" w:ascii="宋体" w:hAnsi="宋体" w:eastAsia="宋体"/>
          <w:color w:val="auto"/>
          <w:kern w:val="0"/>
          <w:sz w:val="24"/>
          <w:highlight w:val="none"/>
          <w:u w:val="single"/>
          <w:shd w:val="clear" w:color="auto" w:fill="FFFFFF"/>
        </w:rPr>
        <w:t xml:space="preserve"> (1)主要材料涨跌在士5%以内的风险及其他材料市场价格波动导致的风险；(2)施工机械使用费涨跌在10%内的风险； (3) 对于承包人根据自身技术能力、管理水平、经营状况能够自主控制的风险；(4) 因承包人原因造成工期延误、延误期间如遇调价因素价格上涨的风险；(5)有经验的承包人能够和应预计的其它风险。</w:t>
      </w:r>
    </w:p>
    <w:p w14:paraId="64D847A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风险费用的计算方法： </w:t>
      </w:r>
      <w:r>
        <w:rPr>
          <w:rStyle w:val="81"/>
          <w:rFonts w:hint="eastAsia" w:ascii="宋体" w:hAnsi="宋体" w:eastAsia="宋体"/>
          <w:color w:val="auto"/>
          <w:kern w:val="0"/>
          <w:sz w:val="24"/>
          <w:highlight w:val="none"/>
          <w:u w:val="single"/>
          <w:shd w:val="clear" w:color="auto" w:fill="FFFFFF"/>
        </w:rPr>
        <w:t>在约定的风险范围内合同价款不再调整</w:t>
      </w:r>
    </w:p>
    <w:p w14:paraId="5990206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风险范围以外合同价格的调整方法：</w:t>
      </w:r>
      <w:r>
        <w:rPr>
          <w:rStyle w:val="81"/>
          <w:rFonts w:hint="eastAsia" w:ascii="宋体" w:hAnsi="宋体" w:eastAsia="宋体"/>
          <w:color w:val="auto"/>
          <w:kern w:val="0"/>
          <w:sz w:val="24"/>
          <w:highlight w:val="none"/>
          <w:u w:val="single"/>
          <w:shd w:val="clear" w:color="auto" w:fill="FFFFFF"/>
        </w:rPr>
        <w:t xml:space="preserve"> (1)主要材料涨跌超过土5%以，上按照11.1市场价格波动引起的调整约定根据形象进度划分相应调整；(2)施工机械使用费涨跌超过10%的按照行业主管部门发布的机械台班单价或机械系数调整； (3) 设计变更、现场签证按照10.4变更估价约定调整；(4) 暂定价材料及设备按照甲乙双方共同确认价格调整； (5) 暂估价按照10.7暂估价约定调整；(6) 工程量清单偏差超出15%以上的按10.4变更估价约定及建设工程清单计价规范(GB50500-2013)9.6.2调整合同单价； (7) 人工费调整以造价咨询单位出具的招标控制价中的人工费为基数以当地工程造价管理机构发布的信息价格，根据形象进度划分，相应调整。</w:t>
      </w:r>
    </w:p>
    <w:p w14:paraId="07B52C4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2、总价合同。</w:t>
      </w:r>
    </w:p>
    <w:p w14:paraId="742EDA9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总价包含的风险范围：</w:t>
      </w:r>
      <w:r>
        <w:rPr>
          <w:rStyle w:val="81"/>
          <w:rFonts w:hint="eastAsia" w:ascii="宋体" w:hAnsi="宋体" w:eastAsia="宋体"/>
          <w:color w:val="auto"/>
          <w:kern w:val="0"/>
          <w:sz w:val="24"/>
          <w:highlight w:val="none"/>
          <w:u w:val="single"/>
          <w:shd w:val="clear" w:color="auto" w:fill="FFFFFF"/>
        </w:rPr>
        <w:t xml:space="preserve">      /     </w:t>
      </w:r>
    </w:p>
    <w:p w14:paraId="063F9D6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风险费用的计算方法：</w:t>
      </w:r>
      <w:r>
        <w:rPr>
          <w:rStyle w:val="81"/>
          <w:rFonts w:hint="eastAsia" w:ascii="宋体" w:hAnsi="宋体" w:eastAsia="宋体"/>
          <w:color w:val="auto"/>
          <w:kern w:val="0"/>
          <w:sz w:val="24"/>
          <w:highlight w:val="none"/>
          <w:u w:val="single"/>
          <w:shd w:val="clear" w:color="auto" w:fill="FFFFFF"/>
        </w:rPr>
        <w:t xml:space="preserve">      /     </w:t>
      </w:r>
    </w:p>
    <w:p w14:paraId="3BED26D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风险范围以外合同价格的调整方法：</w:t>
      </w:r>
      <w:r>
        <w:rPr>
          <w:rStyle w:val="81"/>
          <w:rFonts w:hint="eastAsia" w:ascii="宋体" w:hAnsi="宋体" w:eastAsia="宋体"/>
          <w:color w:val="auto"/>
          <w:kern w:val="0"/>
          <w:sz w:val="24"/>
          <w:highlight w:val="none"/>
          <w:u w:val="single"/>
          <w:shd w:val="clear" w:color="auto" w:fill="FFFFFF"/>
        </w:rPr>
        <w:t xml:space="preserve">      /     </w:t>
      </w:r>
    </w:p>
    <w:p w14:paraId="26BD760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3、其他价格方式：</w:t>
      </w:r>
      <w:r>
        <w:rPr>
          <w:rStyle w:val="81"/>
          <w:rFonts w:hint="eastAsia" w:ascii="宋体" w:hAnsi="宋体" w:eastAsia="宋体"/>
          <w:color w:val="auto"/>
          <w:kern w:val="0"/>
          <w:sz w:val="24"/>
          <w:highlight w:val="none"/>
          <w:u w:val="single"/>
          <w:shd w:val="clear" w:color="auto" w:fill="FFFFFF"/>
        </w:rPr>
        <w:t xml:space="preserve">      /     </w:t>
      </w:r>
    </w:p>
    <w:p w14:paraId="1F61C5A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12.2 预付款</w:t>
      </w:r>
    </w:p>
    <w:p w14:paraId="768A800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12.2.1 预付款的支付</w:t>
      </w:r>
    </w:p>
    <w:p w14:paraId="35138DCF">
      <w:pPr>
        <w:pStyle w:val="80"/>
        <w:widowControl/>
        <w:autoSpaceDE w:val="0"/>
        <w:adjustRightInd w:val="0"/>
        <w:snapToGrid w:val="0"/>
        <w:spacing w:line="360" w:lineRule="auto"/>
        <w:ind w:firstLine="480" w:firstLineChars="2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预付款支付比例或金额：</w:t>
      </w:r>
      <w:r>
        <w:rPr>
          <w:rStyle w:val="81"/>
          <w:rFonts w:hint="eastAsia" w:ascii="宋体" w:hAnsi="宋体" w:eastAsia="宋体"/>
          <w:color w:val="auto"/>
          <w:kern w:val="0"/>
          <w:sz w:val="24"/>
          <w:highlight w:val="none"/>
          <w:u w:val="single"/>
          <w:shd w:val="clear" w:color="auto" w:fill="FFFFFF"/>
        </w:rPr>
        <w:t xml:space="preserve"> 按合同价的30%支付。</w:t>
      </w:r>
    </w:p>
    <w:p w14:paraId="2DC81CB0">
      <w:pPr>
        <w:pStyle w:val="80"/>
        <w:widowControl/>
        <w:autoSpaceDE w:val="0"/>
        <w:adjustRightInd w:val="0"/>
        <w:snapToGrid w:val="0"/>
        <w:spacing w:line="360" w:lineRule="auto"/>
        <w:ind w:firstLine="480" w:firstLineChars="200"/>
        <w:jc w:val="lef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预付款支付期限：</w:t>
      </w:r>
      <w:r>
        <w:rPr>
          <w:rStyle w:val="81"/>
          <w:rFonts w:hint="eastAsia" w:ascii="宋体" w:hAnsi="宋体" w:eastAsia="宋体" w:cs="Times New Roman"/>
          <w:color w:val="auto"/>
          <w:kern w:val="0"/>
          <w:sz w:val="24"/>
          <w:highlight w:val="none"/>
          <w:u w:val="single"/>
          <w:shd w:val="clear" w:color="auto" w:fill="FFFFFF"/>
          <w:lang w:val="en-US" w:eastAsia="zh-CN"/>
        </w:rPr>
        <w:t>合同签订后10日内支付</w:t>
      </w:r>
    </w:p>
    <w:p w14:paraId="05340A62">
      <w:pPr>
        <w:pStyle w:val="80"/>
        <w:widowControl/>
        <w:autoSpaceDE w:val="0"/>
        <w:adjustRightInd w:val="0"/>
        <w:snapToGrid w:val="0"/>
        <w:spacing w:line="360" w:lineRule="auto"/>
        <w:ind w:firstLine="480" w:firstLineChars="200"/>
        <w:jc w:val="left"/>
        <w:rPr>
          <w:rStyle w:val="81"/>
          <w:rFonts w:hint="eastAsia" w:ascii="宋体" w:hAnsi="宋体" w:eastAsia="宋体"/>
          <w:color w:val="auto"/>
          <w:kern w:val="0"/>
          <w:sz w:val="24"/>
          <w:highlight w:val="none"/>
          <w:u w:val="single"/>
          <w:shd w:val="clear" w:color="auto" w:fill="FFFFFF"/>
        </w:rPr>
      </w:pPr>
      <w:r>
        <w:rPr>
          <w:rStyle w:val="81"/>
          <w:rFonts w:hint="eastAsia" w:ascii="宋体" w:hAnsi="宋体" w:eastAsia="宋体"/>
          <w:color w:val="auto"/>
          <w:kern w:val="0"/>
          <w:sz w:val="24"/>
          <w:highlight w:val="none"/>
          <w:u w:val="none"/>
          <w:shd w:val="clear" w:color="auto" w:fill="FFFFFF"/>
        </w:rPr>
        <w:t>预付款扣回的方式：</w:t>
      </w:r>
      <w:r>
        <w:rPr>
          <w:rStyle w:val="81"/>
          <w:rFonts w:hint="eastAsia" w:ascii="宋体" w:hAnsi="宋体" w:eastAsia="宋体"/>
          <w:color w:val="auto"/>
          <w:kern w:val="0"/>
          <w:sz w:val="24"/>
          <w:highlight w:val="none"/>
          <w:u w:val="single"/>
          <w:shd w:val="clear" w:color="auto" w:fill="FFFFFF"/>
        </w:rPr>
        <w:t>工预付款的起扣时间为第一次支付工程进度款开始起扣，一次性扣回预付款。</w:t>
      </w:r>
    </w:p>
    <w:p w14:paraId="4527A5E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12.2.2 预付款担保</w:t>
      </w:r>
    </w:p>
    <w:p w14:paraId="1329D659">
      <w:pPr>
        <w:pStyle w:val="80"/>
        <w:widowControl/>
        <w:autoSpaceDE w:val="0"/>
        <w:adjustRightInd w:val="0"/>
        <w:snapToGrid w:val="0"/>
        <w:spacing w:line="360" w:lineRule="auto"/>
        <w:ind w:firstLine="600"/>
        <w:jc w:val="left"/>
        <w:rPr>
          <w:rStyle w:val="81"/>
          <w:rFonts w:hint="default" w:ascii="宋体" w:hAnsi="宋体" w:eastAsia="宋体"/>
          <w:color w:val="auto"/>
          <w:sz w:val="24"/>
          <w:highlight w:val="none"/>
          <w:lang w:val="en-US" w:eastAsia="zh-CN"/>
        </w:rPr>
      </w:pPr>
      <w:r>
        <w:rPr>
          <w:rStyle w:val="81"/>
          <w:rFonts w:hint="eastAsia" w:ascii="宋体" w:hAnsi="宋体" w:eastAsia="宋体"/>
          <w:color w:val="auto"/>
          <w:kern w:val="0"/>
          <w:sz w:val="24"/>
          <w:highlight w:val="none"/>
          <w:shd w:val="clear" w:color="auto" w:fill="FFFFFF"/>
        </w:rPr>
        <w:t>承包人提交预付款担保的期限：</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u w:val="single"/>
          <w:shd w:val="clear" w:color="auto" w:fill="FFFFFF"/>
          <w:lang w:val="en-US" w:eastAsia="zh-CN"/>
        </w:rPr>
        <w:t>双方另行约定</w:t>
      </w:r>
    </w:p>
    <w:p w14:paraId="15E8856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 xml:space="preserve">预付款担保的形式为： </w:t>
      </w:r>
      <w:r>
        <w:rPr>
          <w:rStyle w:val="81"/>
          <w:rFonts w:hint="eastAsia" w:ascii="宋体" w:hAnsi="宋体" w:eastAsia="宋体" w:cs="Times New Roman"/>
          <w:color w:val="auto"/>
          <w:kern w:val="0"/>
          <w:sz w:val="24"/>
          <w:highlight w:val="none"/>
          <w:u w:val="single"/>
          <w:shd w:val="clear" w:color="auto" w:fill="FFFFFF"/>
          <w:lang w:val="en-US" w:eastAsia="zh-CN"/>
        </w:rPr>
        <w:t xml:space="preserve">执行通用条款 </w:t>
      </w:r>
    </w:p>
    <w:p w14:paraId="4D6DAA3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 计量</w:t>
      </w:r>
    </w:p>
    <w:p w14:paraId="202041E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12.3.1 计量原则</w:t>
      </w:r>
    </w:p>
    <w:p w14:paraId="1A48593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工程量计算规则： </w:t>
      </w:r>
      <w:r>
        <w:rPr>
          <w:rStyle w:val="81"/>
          <w:rFonts w:hint="eastAsia" w:ascii="宋体" w:hAnsi="宋体" w:eastAsia="宋体"/>
          <w:color w:val="auto"/>
          <w:kern w:val="0"/>
          <w:sz w:val="24"/>
          <w:highlight w:val="none"/>
          <w:u w:val="single"/>
          <w:shd w:val="clear" w:color="auto" w:fill="FFFFFF"/>
        </w:rPr>
        <w:t>《建设工程工程量清单计价规范》GB50500-2013。</w:t>
      </w:r>
    </w:p>
    <w:p w14:paraId="2D44F17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12.3.2 计量周期</w:t>
      </w:r>
    </w:p>
    <w:p w14:paraId="14AB1F7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关于计量周期的约定：</w:t>
      </w:r>
      <w:r>
        <w:rPr>
          <w:rStyle w:val="81"/>
          <w:rFonts w:hint="eastAsia" w:ascii="宋体" w:hAnsi="宋体" w:eastAsia="宋体"/>
          <w:color w:val="auto"/>
          <w:kern w:val="0"/>
          <w:sz w:val="24"/>
          <w:highlight w:val="none"/>
          <w:u w:val="single"/>
          <w:shd w:val="clear" w:color="auto" w:fill="FFFFFF"/>
        </w:rPr>
        <w:t xml:space="preserve"> 按月计量</w:t>
      </w:r>
    </w:p>
    <w:p w14:paraId="0F0EBB1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12.3.3 单价合同的计量</w:t>
      </w:r>
    </w:p>
    <w:p w14:paraId="54C7648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关于单价合同计量的约定： </w:t>
      </w:r>
      <w:r>
        <w:rPr>
          <w:rStyle w:val="81"/>
          <w:rFonts w:hint="eastAsia" w:ascii="宋体" w:hAnsi="宋体" w:eastAsia="宋体"/>
          <w:color w:val="auto"/>
          <w:kern w:val="0"/>
          <w:sz w:val="24"/>
          <w:highlight w:val="none"/>
          <w:u w:val="single"/>
          <w:shd w:val="clear" w:color="auto" w:fill="FFFFFF"/>
        </w:rPr>
        <w:t>按形象进度计量</w:t>
      </w:r>
    </w:p>
    <w:p w14:paraId="52DE53C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12.3.4 总价合同的计量</w:t>
      </w:r>
    </w:p>
    <w:p w14:paraId="0544F3C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关于总价合同计量的约定：</w:t>
      </w:r>
      <w:r>
        <w:rPr>
          <w:rStyle w:val="81"/>
          <w:rFonts w:hint="eastAsia" w:ascii="宋体" w:hAnsi="宋体" w:eastAsia="宋体"/>
          <w:color w:val="auto"/>
          <w:kern w:val="0"/>
          <w:sz w:val="24"/>
          <w:highlight w:val="none"/>
          <w:u w:val="single"/>
          <w:shd w:val="clear" w:color="auto" w:fill="FFFFFF"/>
        </w:rPr>
        <w:t xml:space="preserve">      /     </w:t>
      </w:r>
    </w:p>
    <w:p w14:paraId="16FF8BB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12.3.5总价合同采用支付分解表计量支付的，是否适用第12.3.4 项〔总价合同的计量〕约定进行计量：</w:t>
      </w:r>
      <w:r>
        <w:rPr>
          <w:rStyle w:val="81"/>
          <w:rFonts w:hint="eastAsia" w:ascii="宋体" w:hAnsi="宋体" w:eastAsia="宋体"/>
          <w:color w:val="auto"/>
          <w:kern w:val="0"/>
          <w:sz w:val="24"/>
          <w:highlight w:val="none"/>
          <w:u w:val="single"/>
          <w:shd w:val="clear" w:color="auto" w:fill="FFFFFF"/>
        </w:rPr>
        <w:t xml:space="preserve">      /     </w:t>
      </w:r>
    </w:p>
    <w:p w14:paraId="68B897D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12.3.6 其他价格形式合同的计量</w:t>
      </w:r>
    </w:p>
    <w:p w14:paraId="226B6D3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其他价格形式的计量方式和程序：</w:t>
      </w:r>
      <w:r>
        <w:rPr>
          <w:rStyle w:val="81"/>
          <w:rFonts w:hint="eastAsia" w:ascii="宋体" w:hAnsi="宋体" w:eastAsia="宋体"/>
          <w:color w:val="auto"/>
          <w:kern w:val="0"/>
          <w:sz w:val="24"/>
          <w:highlight w:val="none"/>
          <w:u w:val="single"/>
          <w:shd w:val="clear" w:color="auto" w:fill="FFFFFF"/>
        </w:rPr>
        <w:t xml:space="preserve">      /     </w:t>
      </w:r>
    </w:p>
    <w:p w14:paraId="24F1079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12.4 工程进度款支付</w:t>
      </w:r>
    </w:p>
    <w:p w14:paraId="6C604AC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12.4.1 付款周期</w:t>
      </w:r>
    </w:p>
    <w:p w14:paraId="6B216D56">
      <w:pPr>
        <w:pStyle w:val="80"/>
        <w:widowControl/>
        <w:tabs>
          <w:tab w:val="left" w:pos="5944"/>
        </w:tabs>
        <w:autoSpaceDE w:val="0"/>
        <w:adjustRightInd w:val="0"/>
        <w:snapToGrid w:val="0"/>
        <w:spacing w:line="360" w:lineRule="auto"/>
        <w:ind w:firstLine="600"/>
        <w:jc w:val="left"/>
        <w:rPr>
          <w:rFonts w:hint="eastAsia" w:ascii="宋体" w:hAnsi="宋体" w:eastAsia="宋体" w:cs="Times New Roman"/>
          <w:color w:val="auto"/>
          <w:kern w:val="0"/>
          <w:sz w:val="24"/>
          <w:szCs w:val="24"/>
          <w:highlight w:val="none"/>
          <w:u w:val="single"/>
          <w:shd w:val="clear" w:color="auto" w:fill="FFFFFF"/>
          <w:lang w:val="en-US" w:eastAsia="zh-CN"/>
        </w:rPr>
      </w:pPr>
      <w:r>
        <w:rPr>
          <w:rFonts w:hint="eastAsia" w:ascii="宋体" w:hAnsi="宋体"/>
          <w:color w:val="auto"/>
          <w:kern w:val="0"/>
          <w:sz w:val="24"/>
          <w:szCs w:val="24"/>
          <w:highlight w:val="none"/>
          <w:shd w:val="clear" w:color="auto" w:fill="FFFFFF"/>
        </w:rPr>
        <w:t xml:space="preserve"> 关于付款周期的约定</w:t>
      </w:r>
      <w:r>
        <w:rPr>
          <w:rFonts w:hint="eastAsia" w:ascii="宋体" w:hAnsi="宋体"/>
          <w:color w:val="auto"/>
          <w:kern w:val="0"/>
          <w:sz w:val="24"/>
          <w:szCs w:val="24"/>
          <w:highlight w:val="none"/>
          <w:u w:val="none"/>
          <w:shd w:val="clear" w:color="auto" w:fill="FFFFFF"/>
        </w:rPr>
        <w:t>：</w:t>
      </w:r>
      <w:r>
        <w:rPr>
          <w:rFonts w:hint="eastAsia" w:ascii="宋体" w:hAnsi="宋体" w:eastAsia="宋体" w:cs="宋体"/>
          <w:color w:val="auto"/>
          <w:kern w:val="0"/>
          <w:sz w:val="24"/>
          <w:szCs w:val="24"/>
          <w:highlight w:val="none"/>
          <w:u w:val="single"/>
          <w:lang w:val="en-US" w:eastAsia="zh-CN"/>
        </w:rPr>
        <w:t>合同签订后10日内支付合同价30%的预付款，按工程进度付款，工程竣工验收合格后支付到合同价的80%，工程结算审计完成后支付到结算价的97%，留结算价3%的质保金，待1年缺陷责任期满后3日内一次性付清。</w:t>
      </w:r>
    </w:p>
    <w:p w14:paraId="6CA7147B">
      <w:pPr>
        <w:pStyle w:val="80"/>
        <w:widowControl/>
        <w:tabs>
          <w:tab w:val="left" w:pos="5944"/>
        </w:tabs>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12.4.2 进度付款申请单的编制</w:t>
      </w:r>
      <w:r>
        <w:rPr>
          <w:rStyle w:val="81"/>
          <w:rFonts w:hint="eastAsia" w:ascii="宋体" w:hAnsi="宋体" w:eastAsia="宋体"/>
          <w:color w:val="auto"/>
          <w:kern w:val="0"/>
          <w:sz w:val="24"/>
          <w:highlight w:val="none"/>
          <w:shd w:val="clear" w:color="auto" w:fill="FFFFFF"/>
        </w:rPr>
        <w:tab/>
      </w:r>
    </w:p>
    <w:p w14:paraId="361FAE0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关于进度付款申请单编制的约定： </w:t>
      </w:r>
      <w:r>
        <w:rPr>
          <w:rStyle w:val="81"/>
          <w:rFonts w:hint="eastAsia" w:ascii="宋体" w:hAnsi="宋体" w:eastAsia="宋体"/>
          <w:color w:val="auto"/>
          <w:kern w:val="0"/>
          <w:sz w:val="24"/>
          <w:highlight w:val="none"/>
          <w:u w:val="single"/>
          <w:shd w:val="clear" w:color="auto" w:fill="FFFFFF"/>
        </w:rPr>
        <w:t>执行通用条款</w:t>
      </w:r>
    </w:p>
    <w:p w14:paraId="5AA01B9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12.4.3 进度付款申请单的提交</w:t>
      </w:r>
    </w:p>
    <w:p w14:paraId="1038F613">
      <w:pPr>
        <w:pStyle w:val="80"/>
        <w:widowControl/>
        <w:autoSpaceDE w:val="0"/>
        <w:adjustRightInd w:val="0"/>
        <w:snapToGrid w:val="0"/>
        <w:spacing w:line="360" w:lineRule="auto"/>
        <w:ind w:firstLine="600"/>
        <w:jc w:val="lef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（1）单价合同进度付款申请单提交的约定：</w:t>
      </w:r>
      <w:r>
        <w:rPr>
          <w:rStyle w:val="81"/>
          <w:rFonts w:hint="eastAsia" w:ascii="宋体" w:hAnsi="宋体" w:eastAsia="宋体"/>
          <w:color w:val="auto"/>
          <w:kern w:val="0"/>
          <w:sz w:val="24"/>
          <w:highlight w:val="none"/>
          <w:u w:val="single"/>
          <w:shd w:val="clear" w:color="auto" w:fill="FFFFFF"/>
        </w:rPr>
        <w:t xml:space="preserve"> 按形象进度提交</w:t>
      </w:r>
    </w:p>
    <w:p w14:paraId="4B9D9C6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（2）总价合同进度付款申请单提交的约定：</w:t>
      </w:r>
      <w:r>
        <w:rPr>
          <w:rStyle w:val="81"/>
          <w:rFonts w:hint="eastAsia" w:ascii="宋体" w:hAnsi="宋体" w:eastAsia="宋体"/>
          <w:color w:val="auto"/>
          <w:kern w:val="0"/>
          <w:sz w:val="24"/>
          <w:highlight w:val="none"/>
          <w:u w:val="single"/>
          <w:shd w:val="clear" w:color="auto" w:fill="FFFFFF"/>
        </w:rPr>
        <w:t xml:space="preserve">      /     </w:t>
      </w:r>
    </w:p>
    <w:p w14:paraId="135F5EE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（3）其他价格形式合同进度付款申请单提交的约定：</w:t>
      </w:r>
      <w:r>
        <w:rPr>
          <w:rStyle w:val="81"/>
          <w:rFonts w:hint="eastAsia" w:ascii="宋体" w:hAnsi="宋体" w:eastAsia="宋体"/>
          <w:color w:val="auto"/>
          <w:kern w:val="0"/>
          <w:sz w:val="24"/>
          <w:highlight w:val="none"/>
          <w:u w:val="single"/>
          <w:shd w:val="clear" w:color="auto" w:fill="FFFFFF"/>
        </w:rPr>
        <w:t xml:space="preserve">      /     </w:t>
      </w:r>
    </w:p>
    <w:p w14:paraId="56CB963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12.4.4 进度款审核和支付</w:t>
      </w:r>
    </w:p>
    <w:p w14:paraId="68FC097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（1）监理人审查并报送发包人的期限：</w:t>
      </w:r>
      <w:r>
        <w:rPr>
          <w:rStyle w:val="81"/>
          <w:rFonts w:hint="eastAsia" w:ascii="宋体" w:hAnsi="宋体" w:eastAsia="宋体"/>
          <w:color w:val="auto"/>
          <w:kern w:val="0"/>
          <w:sz w:val="24"/>
          <w:highlight w:val="none"/>
          <w:u w:val="single"/>
          <w:shd w:val="clear" w:color="auto" w:fill="FFFFFF"/>
        </w:rPr>
        <w:t>收到承包人进度付款申请单以及相关资料后7天内</w:t>
      </w:r>
    </w:p>
    <w:p w14:paraId="6487FA4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发包人完成审批并签发进度款支付证书的期限：</w:t>
      </w:r>
      <w:r>
        <w:rPr>
          <w:rStyle w:val="81"/>
          <w:rFonts w:hint="eastAsia" w:ascii="宋体" w:hAnsi="宋体" w:eastAsia="宋体"/>
          <w:color w:val="auto"/>
          <w:kern w:val="0"/>
          <w:sz w:val="24"/>
          <w:highlight w:val="none"/>
          <w:u w:val="single"/>
          <w:shd w:val="clear" w:color="auto" w:fill="FFFFFF"/>
        </w:rPr>
        <w:t xml:space="preserve"> 收到后7天内</w:t>
      </w:r>
    </w:p>
    <w:p w14:paraId="0C01748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（2）发包人支付进度款的期限： </w:t>
      </w:r>
      <w:r>
        <w:rPr>
          <w:rStyle w:val="81"/>
          <w:rFonts w:hint="eastAsia" w:ascii="宋体" w:hAnsi="宋体" w:eastAsia="宋体"/>
          <w:color w:val="auto"/>
          <w:kern w:val="0"/>
          <w:sz w:val="24"/>
          <w:highlight w:val="none"/>
          <w:u w:val="single"/>
          <w:shd w:val="clear" w:color="auto" w:fill="FFFFFF"/>
        </w:rPr>
        <w:t>应在进度付款申请审批后14天内</w:t>
      </w:r>
    </w:p>
    <w:p w14:paraId="3A51972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发包人逾期支付进度款的违约金的计算方式： </w:t>
      </w:r>
      <w:r>
        <w:rPr>
          <w:rStyle w:val="81"/>
          <w:rFonts w:hint="eastAsia" w:ascii="宋体" w:hAnsi="宋体" w:eastAsia="宋体"/>
          <w:color w:val="auto"/>
          <w:kern w:val="0"/>
          <w:sz w:val="24"/>
          <w:highlight w:val="none"/>
          <w:u w:val="single"/>
          <w:shd w:val="clear" w:color="auto" w:fill="FFFFFF"/>
        </w:rPr>
        <w:t>双方另行约定</w:t>
      </w:r>
    </w:p>
    <w:p w14:paraId="7BA7227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12.4.6 支付分解表的编制</w:t>
      </w:r>
    </w:p>
    <w:p w14:paraId="61952CE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2、总价合同支付分解表的编制与审批：</w:t>
      </w:r>
      <w:r>
        <w:rPr>
          <w:rStyle w:val="81"/>
          <w:rFonts w:hint="eastAsia" w:ascii="宋体" w:hAnsi="宋体" w:eastAsia="宋体"/>
          <w:color w:val="auto"/>
          <w:kern w:val="0"/>
          <w:sz w:val="24"/>
          <w:highlight w:val="none"/>
          <w:u w:val="single"/>
          <w:shd w:val="clear" w:color="auto" w:fill="FFFFFF"/>
        </w:rPr>
        <w:t xml:space="preserve">      /     </w:t>
      </w:r>
    </w:p>
    <w:p w14:paraId="198F481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3、单价合同的总价项目支付分解表的编制与审批： </w:t>
      </w:r>
      <w:r>
        <w:rPr>
          <w:rStyle w:val="81"/>
          <w:rFonts w:hint="eastAsia" w:ascii="宋体" w:hAnsi="宋体" w:eastAsia="宋体"/>
          <w:color w:val="auto"/>
          <w:kern w:val="0"/>
          <w:sz w:val="24"/>
          <w:highlight w:val="none"/>
          <w:u w:val="single"/>
          <w:shd w:val="clear" w:color="auto" w:fill="FFFFFF"/>
        </w:rPr>
        <w:t>按合同约定</w:t>
      </w:r>
    </w:p>
    <w:p w14:paraId="473FDABF">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37" w:name="_Toc256000416"/>
      <w:bookmarkStart w:id="238" w:name="_Toc256000113"/>
      <w:bookmarkStart w:id="239" w:name="_Toc256000358"/>
      <w:bookmarkStart w:id="240" w:name="_Toc256000048_0"/>
      <w:bookmarkStart w:id="241" w:name="_Toc256000256"/>
      <w:bookmarkStart w:id="242" w:name="_Toc256000159_0"/>
      <w:bookmarkStart w:id="243" w:name="_Toc256000207"/>
      <w:r>
        <w:rPr>
          <w:rStyle w:val="81"/>
          <w:rFonts w:hint="eastAsia" w:ascii="宋体" w:hAnsi="宋体"/>
          <w:color w:val="auto"/>
          <w:sz w:val="24"/>
          <w:szCs w:val="24"/>
          <w:highlight w:val="none"/>
          <w:shd w:val="clear" w:color="auto" w:fill="FFFFFF"/>
        </w:rPr>
        <w:t>13. 验收和工程试车</w:t>
      </w:r>
      <w:bookmarkEnd w:id="237"/>
      <w:bookmarkEnd w:id="238"/>
      <w:bookmarkEnd w:id="239"/>
      <w:bookmarkEnd w:id="240"/>
      <w:bookmarkEnd w:id="241"/>
      <w:bookmarkEnd w:id="242"/>
      <w:bookmarkEnd w:id="243"/>
    </w:p>
    <w:p w14:paraId="1DB62F5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13.1 分部分项工程验收</w:t>
      </w:r>
    </w:p>
    <w:p w14:paraId="6156393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13.1.2监理人不能按时进行验收时，应提前</w:t>
      </w:r>
      <w:r>
        <w:rPr>
          <w:rStyle w:val="81"/>
          <w:rFonts w:hint="eastAsia" w:ascii="宋体" w:hAnsi="宋体" w:eastAsia="宋体"/>
          <w:color w:val="auto"/>
          <w:kern w:val="0"/>
          <w:sz w:val="24"/>
          <w:highlight w:val="none"/>
          <w:u w:val="single"/>
          <w:shd w:val="clear" w:color="auto" w:fill="FFFFFF"/>
        </w:rPr>
        <w:t>24</w:t>
      </w:r>
      <w:r>
        <w:rPr>
          <w:rStyle w:val="81"/>
          <w:rFonts w:hint="eastAsia" w:ascii="宋体" w:hAnsi="宋体" w:eastAsia="宋体"/>
          <w:color w:val="auto"/>
          <w:kern w:val="0"/>
          <w:sz w:val="24"/>
          <w:highlight w:val="none"/>
          <w:shd w:val="clear" w:color="auto" w:fill="FFFFFF"/>
        </w:rPr>
        <w:t>小时提交书面延期要求。</w:t>
      </w:r>
    </w:p>
    <w:p w14:paraId="55A0CE2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关于延期最长不得超过：</w:t>
      </w:r>
      <w:r>
        <w:rPr>
          <w:rStyle w:val="81"/>
          <w:rFonts w:hint="eastAsia" w:ascii="宋体" w:hAnsi="宋体" w:eastAsia="宋体"/>
          <w:color w:val="auto"/>
          <w:kern w:val="0"/>
          <w:sz w:val="24"/>
          <w:highlight w:val="none"/>
          <w:u w:val="single"/>
          <w:shd w:val="clear" w:color="auto" w:fill="FFFFFF"/>
        </w:rPr>
        <w:t>48</w:t>
      </w:r>
      <w:r>
        <w:rPr>
          <w:rStyle w:val="81"/>
          <w:rFonts w:hint="eastAsia" w:ascii="宋体" w:hAnsi="宋体" w:eastAsia="宋体"/>
          <w:color w:val="auto"/>
          <w:kern w:val="0"/>
          <w:sz w:val="24"/>
          <w:highlight w:val="none"/>
          <w:shd w:val="clear" w:color="auto" w:fill="FFFFFF"/>
        </w:rPr>
        <w:t>小时。</w:t>
      </w:r>
    </w:p>
    <w:p w14:paraId="7270DDD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13.2 竣工验收</w:t>
      </w:r>
    </w:p>
    <w:p w14:paraId="60F91F3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13.2.2竣工验收程序</w:t>
      </w:r>
    </w:p>
    <w:p w14:paraId="2EF89E8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关于竣工验收程序的约定： </w:t>
      </w:r>
      <w:r>
        <w:rPr>
          <w:rStyle w:val="81"/>
          <w:rFonts w:hint="eastAsia" w:ascii="宋体" w:hAnsi="宋体" w:eastAsia="宋体"/>
          <w:color w:val="auto"/>
          <w:kern w:val="0"/>
          <w:sz w:val="24"/>
          <w:highlight w:val="none"/>
          <w:u w:val="single"/>
          <w:shd w:val="clear" w:color="auto" w:fill="FFFFFF"/>
        </w:rPr>
        <w:t>按通用条款执行</w:t>
      </w:r>
    </w:p>
    <w:p w14:paraId="7FF8FEA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 xml:space="preserve">发包人不按照本项约定组织竣工验收、颁发工程接收证书的违约金的计算方法： </w:t>
      </w:r>
      <w:r>
        <w:rPr>
          <w:rStyle w:val="81"/>
          <w:rFonts w:hint="eastAsia" w:ascii="宋体" w:hAnsi="宋体" w:eastAsia="宋体"/>
          <w:color w:val="auto"/>
          <w:kern w:val="0"/>
          <w:sz w:val="24"/>
          <w:highlight w:val="none"/>
          <w:u w:val="single"/>
          <w:shd w:val="clear" w:color="auto" w:fill="FFFFFF"/>
        </w:rPr>
        <w:t>按通用条款执行</w:t>
      </w:r>
    </w:p>
    <w:p w14:paraId="545187A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13.2.5移交、接收全部与部分工程</w:t>
      </w:r>
    </w:p>
    <w:p w14:paraId="7768A40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承包人向发包人移交工程的期限： </w:t>
      </w:r>
      <w:r>
        <w:rPr>
          <w:rStyle w:val="81"/>
          <w:rFonts w:hint="eastAsia" w:ascii="宋体" w:hAnsi="宋体" w:eastAsia="宋体"/>
          <w:color w:val="auto"/>
          <w:kern w:val="0"/>
          <w:sz w:val="24"/>
          <w:highlight w:val="none"/>
          <w:u w:val="single"/>
          <w:shd w:val="clear" w:color="auto" w:fill="FFFFFF"/>
        </w:rPr>
        <w:t>颁发工程接收证书后7天内</w:t>
      </w:r>
    </w:p>
    <w:p w14:paraId="6ACD5F0E">
      <w:pPr>
        <w:pStyle w:val="80"/>
        <w:widowControl/>
        <w:autoSpaceDE w:val="0"/>
        <w:adjustRightInd w:val="0"/>
        <w:snapToGrid w:val="0"/>
        <w:spacing w:line="360" w:lineRule="auto"/>
        <w:ind w:firstLine="600"/>
        <w:jc w:val="left"/>
        <w:rPr>
          <w:rStyle w:val="81"/>
          <w:rFonts w:hint="default" w:ascii="宋体" w:hAnsi="宋体" w:eastAsia="宋体"/>
          <w:color w:val="auto"/>
          <w:sz w:val="24"/>
          <w:highlight w:val="none"/>
          <w:lang w:val="en-US" w:eastAsia="zh-CN"/>
        </w:rPr>
      </w:pPr>
      <w:r>
        <w:rPr>
          <w:rStyle w:val="81"/>
          <w:rFonts w:hint="eastAsia" w:ascii="宋体" w:hAnsi="宋体" w:eastAsia="宋体"/>
          <w:color w:val="auto"/>
          <w:kern w:val="0"/>
          <w:sz w:val="24"/>
          <w:highlight w:val="none"/>
          <w:shd w:val="clear" w:color="auto" w:fill="FFFFFF"/>
        </w:rPr>
        <w:t>发包人未按本合同约定接收全部或部分工程的，违约金的计算方法为：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u w:val="single"/>
          <w:shd w:val="clear" w:color="auto" w:fill="FFFFFF"/>
          <w:lang w:val="en-US" w:eastAsia="zh-CN"/>
        </w:rPr>
        <w:t xml:space="preserve">/ </w:t>
      </w:r>
    </w:p>
    <w:p w14:paraId="6E7A533F">
      <w:pPr>
        <w:pStyle w:val="80"/>
        <w:widowControl/>
        <w:autoSpaceDE w:val="0"/>
        <w:adjustRightInd w:val="0"/>
        <w:snapToGrid w:val="0"/>
        <w:spacing w:line="360" w:lineRule="auto"/>
        <w:ind w:firstLine="600"/>
        <w:jc w:val="left"/>
        <w:rPr>
          <w:rStyle w:val="81"/>
          <w:rFonts w:hint="default" w:ascii="宋体" w:hAnsi="宋体" w:eastAsia="宋体"/>
          <w:color w:val="auto"/>
          <w:sz w:val="24"/>
          <w:highlight w:val="none"/>
          <w:lang w:val="en-US" w:eastAsia="zh-CN"/>
        </w:rPr>
      </w:pPr>
      <w:r>
        <w:rPr>
          <w:rStyle w:val="81"/>
          <w:rFonts w:hint="eastAsia" w:ascii="宋体" w:hAnsi="宋体" w:eastAsia="宋体"/>
          <w:color w:val="auto"/>
          <w:kern w:val="0"/>
          <w:sz w:val="24"/>
          <w:highlight w:val="none"/>
          <w:shd w:val="clear" w:color="auto" w:fill="FFFFFF"/>
        </w:rPr>
        <w:t>承包人未按时移交工程的，违约金的计算方法为：</w:t>
      </w:r>
      <w:r>
        <w:rPr>
          <w:rStyle w:val="81"/>
          <w:rFonts w:hint="eastAsia" w:ascii="宋体" w:hAnsi="宋体" w:eastAsia="宋体"/>
          <w:color w:val="auto"/>
          <w:kern w:val="0"/>
          <w:sz w:val="24"/>
          <w:highlight w:val="none"/>
          <w:u w:val="single"/>
          <w:shd w:val="clear" w:color="auto" w:fill="FFFFFF"/>
          <w:lang w:val="en-US" w:eastAsia="zh-CN"/>
        </w:rPr>
        <w:t>由承包人向发包人按合同总造价的1%支付违约金</w:t>
      </w:r>
    </w:p>
    <w:p w14:paraId="2F3F7A9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13.3 工程试车</w:t>
      </w:r>
    </w:p>
    <w:p w14:paraId="5357D57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13.3.1 试车程序</w:t>
      </w:r>
    </w:p>
    <w:p w14:paraId="05D4524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工程试车内容：</w:t>
      </w:r>
      <w:r>
        <w:rPr>
          <w:rStyle w:val="81"/>
          <w:rFonts w:hint="eastAsia" w:ascii="宋体" w:hAnsi="宋体" w:eastAsia="宋体"/>
          <w:color w:val="auto"/>
          <w:kern w:val="0"/>
          <w:sz w:val="24"/>
          <w:highlight w:val="none"/>
          <w:u w:val="single"/>
          <w:shd w:val="clear" w:color="auto" w:fill="FFFFFF"/>
        </w:rPr>
        <w:t xml:space="preserve">      /     </w:t>
      </w:r>
    </w:p>
    <w:p w14:paraId="1C0E0FE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（1）单机无负荷试车费用由</w:t>
      </w:r>
      <w:r>
        <w:rPr>
          <w:rStyle w:val="81"/>
          <w:rFonts w:hint="eastAsia" w:ascii="宋体" w:hAnsi="宋体" w:eastAsia="宋体"/>
          <w:color w:val="auto"/>
          <w:kern w:val="0"/>
          <w:sz w:val="24"/>
          <w:highlight w:val="none"/>
          <w:u w:val="single"/>
          <w:shd w:val="clear" w:color="auto" w:fill="FFFFFF"/>
        </w:rPr>
        <w:t xml:space="preserve">      /     </w:t>
      </w:r>
      <w:r>
        <w:rPr>
          <w:rStyle w:val="81"/>
          <w:rFonts w:hint="eastAsia" w:ascii="宋体" w:hAnsi="宋体" w:eastAsia="宋体"/>
          <w:color w:val="auto"/>
          <w:kern w:val="0"/>
          <w:sz w:val="24"/>
          <w:highlight w:val="none"/>
          <w:shd w:val="clear" w:color="auto" w:fill="FFFFFF"/>
        </w:rPr>
        <w:t>承担；</w:t>
      </w:r>
    </w:p>
    <w:p w14:paraId="2F70B76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（2）无负荷联动试车费用由</w:t>
      </w:r>
      <w:r>
        <w:rPr>
          <w:rStyle w:val="81"/>
          <w:rFonts w:hint="eastAsia" w:ascii="宋体" w:hAnsi="宋体" w:eastAsia="宋体"/>
          <w:color w:val="auto"/>
          <w:kern w:val="0"/>
          <w:sz w:val="24"/>
          <w:highlight w:val="none"/>
          <w:u w:val="single"/>
          <w:shd w:val="clear" w:color="auto" w:fill="FFFFFF"/>
        </w:rPr>
        <w:t xml:space="preserve">      /     </w:t>
      </w:r>
      <w:r>
        <w:rPr>
          <w:rStyle w:val="81"/>
          <w:rFonts w:hint="eastAsia" w:ascii="宋体" w:hAnsi="宋体" w:eastAsia="宋体"/>
          <w:color w:val="auto"/>
          <w:kern w:val="0"/>
          <w:sz w:val="24"/>
          <w:highlight w:val="none"/>
          <w:shd w:val="clear" w:color="auto" w:fill="FFFFFF"/>
        </w:rPr>
        <w:t>承担。</w:t>
      </w:r>
    </w:p>
    <w:p w14:paraId="5D15250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13.3.3 投料试车</w:t>
      </w:r>
    </w:p>
    <w:p w14:paraId="58D83CC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关于投料试车相关事项的约定：</w:t>
      </w:r>
      <w:r>
        <w:rPr>
          <w:rStyle w:val="81"/>
          <w:rFonts w:hint="eastAsia" w:ascii="宋体" w:hAnsi="宋体" w:eastAsia="宋体"/>
          <w:color w:val="auto"/>
          <w:kern w:val="0"/>
          <w:sz w:val="24"/>
          <w:highlight w:val="none"/>
          <w:u w:val="single"/>
          <w:shd w:val="clear" w:color="auto" w:fill="FFFFFF"/>
        </w:rPr>
        <w:t xml:space="preserve">      /     </w:t>
      </w:r>
    </w:p>
    <w:p w14:paraId="51563A3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13.6 竣工退场</w:t>
      </w:r>
    </w:p>
    <w:p w14:paraId="2F9A5D5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13.6.1 竣工退场</w:t>
      </w:r>
    </w:p>
    <w:p w14:paraId="480C216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承包人完成竣工退场的期限： </w:t>
      </w:r>
      <w:r>
        <w:rPr>
          <w:rStyle w:val="81"/>
          <w:rFonts w:hint="eastAsia" w:ascii="宋体" w:hAnsi="宋体" w:eastAsia="宋体"/>
          <w:color w:val="auto"/>
          <w:kern w:val="0"/>
          <w:sz w:val="24"/>
          <w:highlight w:val="none"/>
          <w:u w:val="single"/>
          <w:shd w:val="clear" w:color="auto" w:fill="FFFFFF"/>
        </w:rPr>
        <w:t>按合同约定</w:t>
      </w:r>
    </w:p>
    <w:p w14:paraId="7E4D5E28">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44" w:name="_Toc256000114"/>
      <w:bookmarkStart w:id="245" w:name="_Toc256000257"/>
      <w:bookmarkStart w:id="246" w:name="_Toc256000208"/>
      <w:bookmarkStart w:id="247" w:name="_Toc256000359"/>
      <w:bookmarkStart w:id="248" w:name="_Toc256000049_0"/>
      <w:bookmarkStart w:id="249" w:name="_Toc256000417"/>
      <w:bookmarkStart w:id="250" w:name="_Toc256000160_0"/>
      <w:r>
        <w:rPr>
          <w:rStyle w:val="81"/>
          <w:rFonts w:hint="eastAsia" w:ascii="宋体" w:hAnsi="宋体"/>
          <w:color w:val="auto"/>
          <w:sz w:val="24"/>
          <w:szCs w:val="24"/>
          <w:highlight w:val="none"/>
          <w:shd w:val="clear" w:color="auto" w:fill="FFFFFF"/>
        </w:rPr>
        <w:t>14. 竣工结算</w:t>
      </w:r>
      <w:bookmarkEnd w:id="244"/>
      <w:bookmarkEnd w:id="245"/>
      <w:bookmarkEnd w:id="246"/>
      <w:bookmarkEnd w:id="247"/>
      <w:bookmarkEnd w:id="248"/>
      <w:bookmarkEnd w:id="249"/>
      <w:bookmarkEnd w:id="250"/>
    </w:p>
    <w:p w14:paraId="3D9F375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14.1 竣工结算申请</w:t>
      </w:r>
    </w:p>
    <w:p w14:paraId="0A7332F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承包人提交竣工结算申请单的期限：</w:t>
      </w:r>
      <w:r>
        <w:rPr>
          <w:rStyle w:val="81"/>
          <w:rFonts w:hint="eastAsia" w:ascii="宋体" w:hAnsi="宋体" w:eastAsia="宋体"/>
          <w:color w:val="auto"/>
          <w:kern w:val="0"/>
          <w:sz w:val="24"/>
          <w:highlight w:val="none"/>
          <w:u w:val="single"/>
          <w:shd w:val="clear" w:color="auto" w:fill="FFFFFF"/>
        </w:rPr>
        <w:t xml:space="preserve"> 工程竣工验收合格后28天内</w:t>
      </w:r>
    </w:p>
    <w:p w14:paraId="215A3F3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竣工结算申请单应包括的内容：</w:t>
      </w:r>
      <w:r>
        <w:rPr>
          <w:rStyle w:val="81"/>
          <w:rFonts w:hint="eastAsia" w:ascii="宋体" w:hAnsi="宋体" w:eastAsia="宋体"/>
          <w:color w:val="auto"/>
          <w:kern w:val="0"/>
          <w:sz w:val="24"/>
          <w:highlight w:val="none"/>
          <w:u w:val="single"/>
          <w:shd w:val="clear" w:color="auto" w:fill="FFFFFF"/>
        </w:rPr>
        <w:t xml:space="preserve"> 执行通用条款</w:t>
      </w:r>
    </w:p>
    <w:p w14:paraId="07A268C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14.2 竣工结算审核</w:t>
      </w:r>
    </w:p>
    <w:p w14:paraId="5FBD7E5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发包人审批竣工付款申请单的期限：</w:t>
      </w:r>
      <w:r>
        <w:rPr>
          <w:rStyle w:val="81"/>
          <w:rFonts w:hint="eastAsia" w:ascii="宋体" w:hAnsi="宋体" w:eastAsia="宋体"/>
          <w:color w:val="auto"/>
          <w:kern w:val="0"/>
          <w:sz w:val="24"/>
          <w:highlight w:val="none"/>
          <w:u w:val="single"/>
          <w:shd w:val="clear" w:color="auto" w:fill="FFFFFF"/>
        </w:rPr>
        <w:t xml:space="preserve"> 收到竣工付款申请单28天内</w:t>
      </w:r>
    </w:p>
    <w:p w14:paraId="55DE6F5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发包人完成竣工付款的期限： </w:t>
      </w:r>
      <w:r>
        <w:rPr>
          <w:rStyle w:val="81"/>
          <w:rFonts w:hint="eastAsia" w:ascii="宋体" w:hAnsi="宋体" w:eastAsia="宋体"/>
          <w:color w:val="auto"/>
          <w:kern w:val="0"/>
          <w:sz w:val="24"/>
          <w:highlight w:val="none"/>
          <w:u w:val="single"/>
          <w:shd w:val="clear" w:color="auto" w:fill="FFFFFF"/>
        </w:rPr>
        <w:t>签发竣工付款申请单28天内</w:t>
      </w:r>
    </w:p>
    <w:p w14:paraId="2F77282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关于竣工付款证书异议部分复核的方式和程序： </w:t>
      </w:r>
      <w:r>
        <w:rPr>
          <w:rStyle w:val="81"/>
          <w:rFonts w:hint="eastAsia" w:ascii="宋体" w:hAnsi="宋体" w:eastAsia="宋体"/>
          <w:color w:val="auto"/>
          <w:kern w:val="0"/>
          <w:sz w:val="24"/>
          <w:highlight w:val="none"/>
          <w:u w:val="single"/>
          <w:shd w:val="clear" w:color="auto" w:fill="FFFFFF"/>
        </w:rPr>
        <w:t>执行通用条款</w:t>
      </w:r>
    </w:p>
    <w:p w14:paraId="1CC0052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14.4 最终结清</w:t>
      </w:r>
    </w:p>
    <w:p w14:paraId="2DFFA29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14.4.1 最终结清申请单</w:t>
      </w:r>
    </w:p>
    <w:p w14:paraId="04DFEE3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承包人提交最终结清申请单的份数：</w:t>
      </w:r>
      <w:r>
        <w:rPr>
          <w:rStyle w:val="81"/>
          <w:rFonts w:hint="eastAsia" w:ascii="宋体" w:hAnsi="宋体" w:eastAsia="宋体"/>
          <w:color w:val="auto"/>
          <w:kern w:val="0"/>
          <w:sz w:val="24"/>
          <w:highlight w:val="none"/>
          <w:u w:val="single"/>
          <w:shd w:val="clear" w:color="auto" w:fill="FFFFFF"/>
        </w:rPr>
        <w:t xml:space="preserve"> 按合同约定</w:t>
      </w:r>
    </w:p>
    <w:p w14:paraId="1881C54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承包人提交最终结算申请单的期限：</w:t>
      </w:r>
      <w:r>
        <w:rPr>
          <w:rStyle w:val="81"/>
          <w:rFonts w:hint="eastAsia" w:ascii="宋体" w:hAnsi="宋体" w:eastAsia="宋体"/>
          <w:color w:val="auto"/>
          <w:kern w:val="0"/>
          <w:sz w:val="24"/>
          <w:highlight w:val="none"/>
          <w:u w:val="single"/>
          <w:shd w:val="clear" w:color="auto" w:fill="FFFFFF"/>
        </w:rPr>
        <w:t xml:space="preserve"> 按合同约定</w:t>
      </w:r>
    </w:p>
    <w:p w14:paraId="29067B62">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14.4.2 最终结清证书和支付</w:t>
      </w:r>
    </w:p>
    <w:p w14:paraId="2D7C09E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（1）发包人完成最终结清申请单的审批并颁发最终结清证书的期限： </w:t>
      </w:r>
      <w:r>
        <w:rPr>
          <w:rStyle w:val="81"/>
          <w:rFonts w:hint="eastAsia" w:ascii="宋体" w:hAnsi="宋体" w:eastAsia="宋体"/>
          <w:color w:val="auto"/>
          <w:kern w:val="0"/>
          <w:sz w:val="24"/>
          <w:highlight w:val="none"/>
          <w:u w:val="single"/>
          <w:shd w:val="clear" w:color="auto" w:fill="FFFFFF"/>
        </w:rPr>
        <w:t>按合同约定</w:t>
      </w:r>
    </w:p>
    <w:p w14:paraId="1081FE9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（2）发包人完成支付的期限：</w:t>
      </w:r>
      <w:r>
        <w:rPr>
          <w:rStyle w:val="81"/>
          <w:rFonts w:hint="eastAsia" w:ascii="宋体" w:hAnsi="宋体" w:eastAsia="宋体"/>
          <w:color w:val="auto"/>
          <w:kern w:val="0"/>
          <w:sz w:val="24"/>
          <w:highlight w:val="none"/>
          <w:u w:val="single"/>
          <w:shd w:val="clear" w:color="auto" w:fill="FFFFFF"/>
        </w:rPr>
        <w:t xml:space="preserve"> 按合同约定</w:t>
      </w:r>
    </w:p>
    <w:p w14:paraId="3E8E6432">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51" w:name="_Toc256000258"/>
      <w:bookmarkStart w:id="252" w:name="_Toc256000050_0"/>
      <w:bookmarkStart w:id="253" w:name="_Toc256000360"/>
      <w:bookmarkStart w:id="254" w:name="_Toc256000209"/>
      <w:bookmarkStart w:id="255" w:name="_Toc256000161_0"/>
      <w:bookmarkStart w:id="256" w:name="_Toc256000115"/>
      <w:bookmarkStart w:id="257" w:name="_Toc256000418"/>
      <w:r>
        <w:rPr>
          <w:rStyle w:val="81"/>
          <w:rFonts w:hint="eastAsia" w:ascii="宋体" w:hAnsi="宋体"/>
          <w:color w:val="auto"/>
          <w:sz w:val="24"/>
          <w:szCs w:val="24"/>
          <w:highlight w:val="none"/>
          <w:shd w:val="clear" w:color="auto" w:fill="FFFFFF"/>
        </w:rPr>
        <w:t>15. 缺陷责任期与保修</w:t>
      </w:r>
      <w:bookmarkEnd w:id="251"/>
      <w:bookmarkEnd w:id="252"/>
      <w:bookmarkEnd w:id="253"/>
      <w:bookmarkEnd w:id="254"/>
      <w:bookmarkEnd w:id="255"/>
      <w:bookmarkEnd w:id="256"/>
      <w:bookmarkEnd w:id="257"/>
    </w:p>
    <w:p w14:paraId="3863FBC4">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15.2缺陷责任期</w:t>
      </w:r>
    </w:p>
    <w:p w14:paraId="3C40CA6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缺陷责任期的具体期限：</w:t>
      </w:r>
      <w:r>
        <w:rPr>
          <w:rStyle w:val="81"/>
          <w:rFonts w:hint="eastAsia" w:ascii="宋体" w:hAnsi="宋体" w:eastAsia="宋体"/>
          <w:color w:val="auto"/>
          <w:kern w:val="0"/>
          <w:sz w:val="24"/>
          <w:highlight w:val="none"/>
          <w:u w:val="single"/>
          <w:shd w:val="clear" w:color="auto" w:fill="FFFFFF"/>
          <w:lang w:val="en-US" w:eastAsia="zh-CN"/>
        </w:rPr>
        <w:t>12</w:t>
      </w:r>
      <w:r>
        <w:rPr>
          <w:rStyle w:val="81"/>
          <w:rFonts w:hint="eastAsia" w:ascii="宋体" w:hAnsi="宋体" w:eastAsia="宋体"/>
          <w:color w:val="auto"/>
          <w:kern w:val="0"/>
          <w:sz w:val="24"/>
          <w:highlight w:val="none"/>
          <w:u w:val="single"/>
          <w:shd w:val="clear" w:color="auto" w:fill="FFFFFF"/>
        </w:rPr>
        <w:t>个月</w:t>
      </w:r>
    </w:p>
    <w:p w14:paraId="3086F91A">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15.3 质量保证金</w:t>
      </w:r>
    </w:p>
    <w:p w14:paraId="5486798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关于是否扣留质量保证金的约定： </w:t>
      </w:r>
      <w:r>
        <w:rPr>
          <w:rStyle w:val="81"/>
          <w:rFonts w:hint="eastAsia" w:ascii="宋体" w:hAnsi="宋体" w:eastAsia="宋体"/>
          <w:color w:val="auto"/>
          <w:kern w:val="0"/>
          <w:sz w:val="24"/>
          <w:highlight w:val="none"/>
          <w:u w:val="single"/>
          <w:shd w:val="clear" w:color="auto" w:fill="FFFFFF"/>
        </w:rPr>
        <w:t>扣留</w:t>
      </w:r>
    </w:p>
    <w:p w14:paraId="600BE9C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在工程项目竣工前，承包人按专用合同条款第3.7条提供履约担保的，发包人不得同时预留工程质量保证金。</w:t>
      </w:r>
    </w:p>
    <w:p w14:paraId="349CC53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15.3.1 承包人提供质量保证金的方式</w:t>
      </w:r>
    </w:p>
    <w:p w14:paraId="4AE3908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质量保证金采用以下第2种方式：</w:t>
      </w:r>
    </w:p>
    <w:p w14:paraId="43BD0BC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（1）质量保证金保函，保证金额为：</w:t>
      </w:r>
      <w:r>
        <w:rPr>
          <w:rStyle w:val="81"/>
          <w:rFonts w:hint="eastAsia" w:ascii="宋体" w:hAnsi="宋体" w:eastAsia="宋体"/>
          <w:color w:val="auto"/>
          <w:kern w:val="0"/>
          <w:sz w:val="24"/>
          <w:highlight w:val="none"/>
          <w:u w:val="single"/>
          <w:shd w:val="clear" w:color="auto" w:fill="FFFFFF"/>
        </w:rPr>
        <w:t xml:space="preserve">      /     </w:t>
      </w:r>
    </w:p>
    <w:p w14:paraId="72E25013">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w:t>
      </w:r>
      <w:r>
        <w:rPr>
          <w:rStyle w:val="81"/>
          <w:rFonts w:hint="eastAsia" w:ascii="宋体" w:hAnsi="宋体"/>
          <w:color w:val="auto"/>
          <w:kern w:val="0"/>
          <w:sz w:val="24"/>
          <w:highlight w:val="none"/>
          <w:u w:val="single"/>
          <w:shd w:val="clear" w:color="auto" w:fill="FFFFFF"/>
          <w:lang w:val="en-US" w:eastAsia="zh-CN"/>
        </w:rPr>
        <w:t xml:space="preserve"> </w:t>
      </w:r>
      <w:r>
        <w:rPr>
          <w:rStyle w:val="81"/>
          <w:rFonts w:hint="eastAsia" w:ascii="宋体" w:hAnsi="宋体" w:eastAsia="宋体"/>
          <w:color w:val="auto"/>
          <w:kern w:val="0"/>
          <w:sz w:val="24"/>
          <w:highlight w:val="none"/>
          <w:u w:val="single"/>
          <w:shd w:val="clear" w:color="auto" w:fill="FFFFFF"/>
        </w:rPr>
        <w:t>3</w:t>
      </w:r>
      <w:r>
        <w:rPr>
          <w:rStyle w:val="81"/>
          <w:rFonts w:hint="eastAsia" w:ascii="宋体" w:hAnsi="宋体"/>
          <w:color w:val="auto"/>
          <w:kern w:val="0"/>
          <w:sz w:val="24"/>
          <w:highlight w:val="none"/>
          <w:u w:val="singl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%的工程款；</w:t>
      </w:r>
    </w:p>
    <w:p w14:paraId="1A3B3AE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（3）其他方式:</w:t>
      </w:r>
      <w:r>
        <w:rPr>
          <w:rStyle w:val="81"/>
          <w:rFonts w:hint="eastAsia" w:ascii="宋体" w:hAnsi="宋体" w:eastAsia="宋体"/>
          <w:color w:val="auto"/>
          <w:kern w:val="0"/>
          <w:sz w:val="24"/>
          <w:highlight w:val="none"/>
          <w:u w:val="single"/>
          <w:shd w:val="clear" w:color="auto" w:fill="FFFFFF"/>
        </w:rPr>
        <w:t xml:space="preserve">      /     </w:t>
      </w:r>
    </w:p>
    <w:p w14:paraId="79F2C9C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15.3.2 质量保证金的扣留 </w:t>
      </w:r>
    </w:p>
    <w:p w14:paraId="146A922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质量保证金的扣留采取以下第</w:t>
      </w:r>
      <w:r>
        <w:rPr>
          <w:rStyle w:val="81"/>
          <w:rFonts w:hint="eastAsia" w:ascii="宋体" w:hAnsi="宋体" w:eastAsia="宋体"/>
          <w:color w:val="auto"/>
          <w:kern w:val="0"/>
          <w:sz w:val="24"/>
          <w:highlight w:val="none"/>
          <w:u w:val="single"/>
          <w:shd w:val="clear" w:color="auto" w:fill="FFFFFF"/>
        </w:rPr>
        <w:t>2</w:t>
      </w:r>
      <w:r>
        <w:rPr>
          <w:rStyle w:val="81"/>
          <w:rFonts w:hint="eastAsia" w:ascii="宋体" w:hAnsi="宋体" w:eastAsia="宋体"/>
          <w:color w:val="auto"/>
          <w:kern w:val="0"/>
          <w:sz w:val="24"/>
          <w:highlight w:val="none"/>
          <w:shd w:val="clear" w:color="auto" w:fill="FFFFFF"/>
        </w:rPr>
        <w:t>种方式：</w:t>
      </w:r>
    </w:p>
    <w:p w14:paraId="011B22D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（1）在支付工程进度款时逐次扣留，在此情形下，质量保证金的计算基数不包括预付款的支付、扣回以及价格调整的金额；</w:t>
      </w:r>
    </w:p>
    <w:p w14:paraId="57C6D79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（2）工程竣工结算时一次性扣留质量保证金；</w:t>
      </w:r>
    </w:p>
    <w:p w14:paraId="5982B2EE">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（3）其他扣留方式: </w:t>
      </w:r>
      <w:r>
        <w:rPr>
          <w:rStyle w:val="81"/>
          <w:rFonts w:hint="eastAsia" w:ascii="宋体" w:hAnsi="宋体" w:eastAsia="宋体"/>
          <w:color w:val="auto"/>
          <w:kern w:val="0"/>
          <w:sz w:val="24"/>
          <w:highlight w:val="none"/>
          <w:u w:val="single"/>
          <w:shd w:val="clear" w:color="auto" w:fill="FFFFFF"/>
        </w:rPr>
        <w:t xml:space="preserve">      /     </w:t>
      </w:r>
    </w:p>
    <w:p w14:paraId="6B72AA45">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关于质量保证金的补充约定：</w:t>
      </w:r>
      <w:r>
        <w:rPr>
          <w:rStyle w:val="81"/>
          <w:rFonts w:hint="eastAsia" w:ascii="宋体" w:hAnsi="宋体" w:eastAsia="宋体"/>
          <w:color w:val="auto"/>
          <w:kern w:val="0"/>
          <w:sz w:val="24"/>
          <w:highlight w:val="none"/>
          <w:u w:val="single"/>
          <w:shd w:val="clear" w:color="auto" w:fill="FFFFFF"/>
        </w:rPr>
        <w:t xml:space="preserve">      /     </w:t>
      </w:r>
    </w:p>
    <w:p w14:paraId="06242E3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15.4保修</w:t>
      </w:r>
    </w:p>
    <w:p w14:paraId="33FBC181">
      <w:pPr>
        <w:pStyle w:val="80"/>
        <w:widowControl/>
        <w:autoSpaceDE w:val="0"/>
        <w:adjustRightInd w:val="0"/>
        <w:snapToGrid w:val="0"/>
        <w:spacing w:line="360" w:lineRule="auto"/>
        <w:ind w:firstLine="58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15.4.1 保修责任</w:t>
      </w:r>
    </w:p>
    <w:p w14:paraId="0910CF0E">
      <w:pPr>
        <w:pStyle w:val="80"/>
        <w:widowControl/>
        <w:autoSpaceDE w:val="0"/>
        <w:adjustRightInd w:val="0"/>
        <w:snapToGrid w:val="0"/>
        <w:spacing w:line="360" w:lineRule="auto"/>
        <w:ind w:firstLine="58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工程保修期为：</w:t>
      </w:r>
      <w:r>
        <w:rPr>
          <w:rFonts w:hint="eastAsia" w:ascii="宋体" w:hAnsi="宋体" w:eastAsia="宋体" w:cs="宋体"/>
          <w:color w:val="auto"/>
          <w:sz w:val="24"/>
          <w:szCs w:val="24"/>
          <w:highlight w:val="none"/>
          <w:u w:val="single"/>
          <w:lang w:val="en-US" w:eastAsia="zh-CN"/>
        </w:rPr>
        <w:t>按《房屋建筑工程质量保修办法》相关规定执行。</w:t>
      </w:r>
    </w:p>
    <w:p w14:paraId="14BECF6B">
      <w:pPr>
        <w:pStyle w:val="80"/>
        <w:widowControl/>
        <w:autoSpaceDE w:val="0"/>
        <w:adjustRightInd w:val="0"/>
        <w:snapToGrid w:val="0"/>
        <w:spacing w:line="360" w:lineRule="auto"/>
        <w:ind w:firstLine="58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15.4.3 修复通知</w:t>
      </w:r>
    </w:p>
    <w:p w14:paraId="09273529">
      <w:pPr>
        <w:pStyle w:val="80"/>
        <w:widowControl/>
        <w:autoSpaceDE w:val="0"/>
        <w:adjustRightInd w:val="0"/>
        <w:snapToGrid w:val="0"/>
        <w:spacing w:line="360" w:lineRule="auto"/>
        <w:ind w:firstLine="585"/>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承包人收到保修通知并到达工程现场的合理时间： </w:t>
      </w:r>
      <w:r>
        <w:rPr>
          <w:rStyle w:val="81"/>
          <w:rFonts w:hint="eastAsia" w:ascii="宋体" w:hAnsi="宋体" w:eastAsia="宋体"/>
          <w:color w:val="auto"/>
          <w:kern w:val="0"/>
          <w:sz w:val="24"/>
          <w:highlight w:val="none"/>
          <w:u w:val="single"/>
          <w:shd w:val="clear" w:color="auto" w:fill="FFFFFF"/>
        </w:rPr>
        <w:t>24小时内</w:t>
      </w:r>
    </w:p>
    <w:p w14:paraId="66D857F7">
      <w:pPr>
        <w:pStyle w:val="85"/>
        <w:widowControl/>
        <w:autoSpaceDE w:val="0"/>
        <w:adjustRightInd w:val="0"/>
        <w:snapToGrid w:val="0"/>
        <w:spacing w:line="360" w:lineRule="auto"/>
        <w:rPr>
          <w:rStyle w:val="81"/>
          <w:rFonts w:hint="eastAsia" w:ascii="宋体" w:hAnsi="宋体"/>
          <w:color w:val="auto"/>
          <w:sz w:val="24"/>
          <w:szCs w:val="24"/>
          <w:highlight w:val="none"/>
        </w:rPr>
      </w:pPr>
      <w:bookmarkStart w:id="258" w:name="_Toc256000116"/>
      <w:bookmarkStart w:id="259" w:name="_Toc256000210"/>
      <w:bookmarkStart w:id="260" w:name="_Toc256000259"/>
      <w:bookmarkStart w:id="261" w:name="_Toc256000051_0"/>
      <w:bookmarkStart w:id="262" w:name="_Toc256000361"/>
      <w:bookmarkStart w:id="263" w:name="_Toc256000419"/>
      <w:bookmarkStart w:id="264" w:name="_Toc256000162_0"/>
      <w:r>
        <w:rPr>
          <w:rStyle w:val="81"/>
          <w:rFonts w:hint="eastAsia" w:ascii="宋体" w:hAnsi="宋体"/>
          <w:color w:val="auto"/>
          <w:sz w:val="24"/>
          <w:szCs w:val="24"/>
          <w:highlight w:val="none"/>
          <w:shd w:val="clear" w:color="auto" w:fill="FFFFFF"/>
        </w:rPr>
        <w:t>16. 违约</w:t>
      </w:r>
      <w:bookmarkEnd w:id="258"/>
      <w:bookmarkEnd w:id="259"/>
      <w:bookmarkEnd w:id="260"/>
      <w:bookmarkEnd w:id="261"/>
      <w:bookmarkEnd w:id="262"/>
      <w:bookmarkEnd w:id="263"/>
      <w:bookmarkEnd w:id="264"/>
    </w:p>
    <w:p w14:paraId="696EC6A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16.1 发包人违约</w:t>
      </w:r>
    </w:p>
    <w:p w14:paraId="6666266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16.1.1发包人违约的情形</w:t>
      </w:r>
    </w:p>
    <w:p w14:paraId="473DA05F">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发包人违约的其他情形：</w:t>
      </w:r>
      <w:r>
        <w:rPr>
          <w:rStyle w:val="81"/>
          <w:rFonts w:hint="eastAsia" w:ascii="宋体" w:hAnsi="宋体" w:eastAsia="宋体"/>
          <w:color w:val="auto"/>
          <w:kern w:val="0"/>
          <w:sz w:val="24"/>
          <w:highlight w:val="none"/>
          <w:u w:val="single"/>
          <w:shd w:val="clear" w:color="auto" w:fill="FFFFFF"/>
        </w:rPr>
        <w:t xml:space="preserve">      /     </w:t>
      </w:r>
    </w:p>
    <w:p w14:paraId="5BC894C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16.1.2 发包人违约的责任</w:t>
      </w:r>
    </w:p>
    <w:p w14:paraId="315A5DEC">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发包人违约责任的承担方式和计算方法：</w:t>
      </w:r>
    </w:p>
    <w:p w14:paraId="46E2B4B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u w:val="single"/>
        </w:rPr>
      </w:pPr>
      <w:r>
        <w:rPr>
          <w:rStyle w:val="81"/>
          <w:rFonts w:hint="eastAsia" w:ascii="宋体" w:hAnsi="宋体" w:eastAsia="宋体"/>
          <w:color w:val="auto"/>
          <w:kern w:val="0"/>
          <w:sz w:val="24"/>
          <w:highlight w:val="none"/>
          <w:shd w:val="clear" w:color="auto" w:fill="FFFFFF"/>
        </w:rPr>
        <w:t>（1）因发包人原因未能在计划开工日期前7天内下达开工通知的违约责任：</w:t>
      </w:r>
      <w:r>
        <w:rPr>
          <w:rStyle w:val="81"/>
          <w:rFonts w:hint="eastAsia" w:ascii="宋体" w:hAnsi="宋体" w:eastAsia="宋体"/>
          <w:color w:val="auto"/>
          <w:kern w:val="0"/>
          <w:sz w:val="24"/>
          <w:highlight w:val="none"/>
          <w:u w:val="single"/>
          <w:shd w:val="clear" w:color="auto" w:fill="FFFFFF"/>
        </w:rPr>
        <w:t>双方另行确定</w:t>
      </w:r>
    </w:p>
    <w:p w14:paraId="36A11AF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（2）因发包人原因未能按合同约定支付合同价款的违约责任： </w:t>
      </w:r>
      <w:r>
        <w:rPr>
          <w:rStyle w:val="81"/>
          <w:rFonts w:hint="eastAsia" w:ascii="宋体" w:hAnsi="宋体" w:eastAsia="宋体"/>
          <w:color w:val="auto"/>
          <w:kern w:val="0"/>
          <w:sz w:val="24"/>
          <w:highlight w:val="none"/>
          <w:u w:val="single"/>
          <w:shd w:val="clear" w:color="auto" w:fill="FFFFFF"/>
        </w:rPr>
        <w:t>双方另行确定</w:t>
      </w:r>
    </w:p>
    <w:p w14:paraId="4E9E85D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（3）发包人违反第10.1款〔变更的范围〕第（2）项约定，自行实施被取消的工作或转由他人实施的违约责任：</w:t>
      </w:r>
      <w:r>
        <w:rPr>
          <w:rStyle w:val="81"/>
          <w:rFonts w:hint="eastAsia" w:ascii="宋体" w:hAnsi="宋体" w:eastAsia="宋体"/>
          <w:color w:val="auto"/>
          <w:kern w:val="0"/>
          <w:sz w:val="24"/>
          <w:highlight w:val="none"/>
          <w:u w:val="single"/>
          <w:shd w:val="clear" w:color="auto" w:fill="FFFFFF"/>
        </w:rPr>
        <w:t xml:space="preserve"> 双方另行确定</w:t>
      </w:r>
    </w:p>
    <w:p w14:paraId="331E0B8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（4）发包人提供的材料、工程设备的规格、数量或质量不符合合同约定，或因发包人原因导致交货日期延误或交货地点变更等情况的违约责任：</w:t>
      </w:r>
      <w:r>
        <w:rPr>
          <w:rStyle w:val="81"/>
          <w:rFonts w:hint="eastAsia" w:ascii="宋体" w:hAnsi="宋体" w:eastAsia="宋体"/>
          <w:color w:val="auto"/>
          <w:kern w:val="0"/>
          <w:sz w:val="24"/>
          <w:highlight w:val="none"/>
          <w:u w:val="single"/>
          <w:shd w:val="clear" w:color="auto" w:fill="FFFFFF"/>
        </w:rPr>
        <w:t xml:space="preserve"> 双方另行确定</w:t>
      </w:r>
    </w:p>
    <w:p w14:paraId="69B00096">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（5）因发包人违反合同约定造成暂停施工的违约责任：</w:t>
      </w:r>
      <w:r>
        <w:rPr>
          <w:rStyle w:val="81"/>
          <w:rFonts w:hint="eastAsia" w:ascii="宋体" w:hAnsi="宋体" w:eastAsia="宋体"/>
          <w:color w:val="auto"/>
          <w:kern w:val="0"/>
          <w:sz w:val="24"/>
          <w:highlight w:val="none"/>
          <w:u w:val="single"/>
          <w:shd w:val="clear" w:color="auto" w:fill="FFFFFF"/>
        </w:rPr>
        <w:t xml:space="preserve"> 双方另行确定</w:t>
      </w:r>
    </w:p>
    <w:p w14:paraId="43E3EAC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（6）发包人无正当理由没有在约定期限内发出复工指示，导致承包人无法复工的违约责任： </w:t>
      </w:r>
      <w:r>
        <w:rPr>
          <w:rStyle w:val="81"/>
          <w:rFonts w:hint="eastAsia" w:ascii="宋体" w:hAnsi="宋体" w:eastAsia="宋体"/>
          <w:color w:val="auto"/>
          <w:kern w:val="0"/>
          <w:sz w:val="24"/>
          <w:highlight w:val="none"/>
          <w:u w:val="single"/>
          <w:shd w:val="clear" w:color="auto" w:fill="FFFFFF"/>
        </w:rPr>
        <w:t>双方另行确定</w:t>
      </w:r>
    </w:p>
    <w:p w14:paraId="1193C02A">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（7）其他：</w:t>
      </w:r>
      <w:r>
        <w:rPr>
          <w:rStyle w:val="81"/>
          <w:rFonts w:hint="eastAsia" w:ascii="宋体" w:hAnsi="宋体" w:eastAsia="宋体"/>
          <w:color w:val="auto"/>
          <w:kern w:val="0"/>
          <w:sz w:val="24"/>
          <w:highlight w:val="none"/>
          <w:u w:val="single"/>
          <w:shd w:val="clear" w:color="auto" w:fill="FFFFFF"/>
        </w:rPr>
        <w:t xml:space="preserve"> /</w:t>
      </w:r>
    </w:p>
    <w:p w14:paraId="71E58A59">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16.1.3 因发包人违约解除合同</w:t>
      </w:r>
    </w:p>
    <w:p w14:paraId="0C06AE70">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承包人按16.1.1项〔发包人违约的情形〕约定暂停施工满双方另行确定天后发包人仍不纠正其违约行为并致使合同目的不能实现的，承包人有权解除合同。</w:t>
      </w:r>
    </w:p>
    <w:p w14:paraId="3534C576">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16.2 承包人违约</w:t>
      </w:r>
    </w:p>
    <w:p w14:paraId="3E9FA62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16.2.1 承包人违约的情形</w:t>
      </w:r>
    </w:p>
    <w:p w14:paraId="7621D1B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承包人违约的其他情形：</w:t>
      </w:r>
      <w:r>
        <w:rPr>
          <w:rStyle w:val="81"/>
          <w:rFonts w:hint="eastAsia" w:ascii="宋体" w:hAnsi="宋体" w:eastAsia="宋体"/>
          <w:color w:val="auto"/>
          <w:kern w:val="0"/>
          <w:sz w:val="24"/>
          <w:highlight w:val="none"/>
          <w:u w:val="single"/>
          <w:shd w:val="clear" w:color="auto" w:fill="FFFFFF"/>
        </w:rPr>
        <w:t xml:space="preserve"> 双方另行确定</w:t>
      </w:r>
    </w:p>
    <w:p w14:paraId="4A979631">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16.2.2承包人违约的责任</w:t>
      </w:r>
    </w:p>
    <w:p w14:paraId="01BF95FD">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承包人违约责任的承担方式和计算方法： </w:t>
      </w:r>
      <w:r>
        <w:rPr>
          <w:rStyle w:val="81"/>
          <w:rFonts w:hint="eastAsia" w:ascii="宋体" w:hAnsi="宋体" w:eastAsia="宋体"/>
          <w:color w:val="auto"/>
          <w:kern w:val="0"/>
          <w:sz w:val="24"/>
          <w:highlight w:val="none"/>
          <w:u w:val="single"/>
          <w:shd w:val="clear" w:color="auto" w:fill="FFFFFF"/>
        </w:rPr>
        <w:t>由承包人承担全部费用，并承担相关法律责任</w:t>
      </w:r>
    </w:p>
    <w:p w14:paraId="1B6A4908">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16.2.3 因承包人违约解除合同</w:t>
      </w:r>
    </w:p>
    <w:p w14:paraId="07DC39E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关于承包人违约解除合同的特别约定： </w:t>
      </w:r>
      <w:r>
        <w:rPr>
          <w:rStyle w:val="81"/>
          <w:rFonts w:hint="eastAsia" w:ascii="宋体" w:hAnsi="宋体" w:eastAsia="宋体"/>
          <w:color w:val="auto"/>
          <w:kern w:val="0"/>
          <w:sz w:val="24"/>
          <w:highlight w:val="none"/>
          <w:u w:val="single"/>
          <w:shd w:val="clear" w:color="auto" w:fill="FFFFFF"/>
        </w:rPr>
        <w:t>按通用条款执行</w:t>
      </w:r>
    </w:p>
    <w:p w14:paraId="4EA9096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发包人继续使用承包人在施工现场的材料、设备、临时工程、承包人文件和由承包人或以其名义编制的其他文件的费用承担方式：</w:t>
      </w:r>
      <w:r>
        <w:rPr>
          <w:rStyle w:val="81"/>
          <w:rFonts w:hint="eastAsia" w:ascii="宋体" w:hAnsi="宋体" w:eastAsia="宋体"/>
          <w:color w:val="auto"/>
          <w:kern w:val="0"/>
          <w:sz w:val="24"/>
          <w:highlight w:val="none"/>
          <w:u w:val="single"/>
          <w:shd w:val="clear" w:color="auto" w:fill="FFFFFF"/>
        </w:rPr>
        <w:t xml:space="preserve"> 双方另行确定</w:t>
      </w:r>
    </w:p>
    <w:p w14:paraId="2A7C66EC">
      <w:pPr>
        <w:pStyle w:val="85"/>
        <w:widowControl/>
        <w:autoSpaceDE w:val="0"/>
        <w:adjustRightInd w:val="0"/>
        <w:snapToGrid w:val="0"/>
        <w:spacing w:line="360" w:lineRule="auto"/>
        <w:jc w:val="both"/>
        <w:rPr>
          <w:rStyle w:val="81"/>
          <w:rFonts w:hint="eastAsia" w:ascii="宋体" w:hAnsi="宋体"/>
          <w:color w:val="auto"/>
          <w:sz w:val="24"/>
          <w:szCs w:val="24"/>
          <w:highlight w:val="none"/>
          <w:shd w:val="clear" w:color="auto" w:fill="FFFFFF"/>
        </w:rPr>
      </w:pPr>
      <w:bookmarkStart w:id="265" w:name="_Toc256000260"/>
      <w:bookmarkStart w:id="266" w:name="_Toc256000052_0"/>
      <w:bookmarkStart w:id="267" w:name="_Toc256000117"/>
      <w:bookmarkStart w:id="268" w:name="_Toc256000362"/>
      <w:bookmarkStart w:id="269" w:name="_Toc256000420"/>
      <w:bookmarkStart w:id="270" w:name="_Toc256000163_0"/>
      <w:bookmarkStart w:id="271" w:name="_Toc256000211"/>
      <w:r>
        <w:rPr>
          <w:rStyle w:val="81"/>
          <w:rFonts w:hint="eastAsia" w:ascii="宋体" w:hAnsi="宋体"/>
          <w:color w:val="auto"/>
          <w:sz w:val="24"/>
          <w:szCs w:val="24"/>
          <w:highlight w:val="none"/>
          <w:shd w:val="clear" w:color="auto" w:fill="FFFFFF"/>
        </w:rPr>
        <w:t>17. 不可抗力</w:t>
      </w:r>
      <w:bookmarkEnd w:id="265"/>
      <w:bookmarkEnd w:id="266"/>
      <w:bookmarkEnd w:id="267"/>
      <w:bookmarkEnd w:id="268"/>
      <w:bookmarkEnd w:id="269"/>
      <w:bookmarkEnd w:id="270"/>
      <w:bookmarkEnd w:id="271"/>
      <w:r>
        <w:rPr>
          <w:rStyle w:val="81"/>
          <w:rFonts w:hint="eastAsia" w:ascii="宋体" w:hAnsi="宋体"/>
          <w:color w:val="auto"/>
          <w:sz w:val="24"/>
          <w:szCs w:val="24"/>
          <w:highlight w:val="none"/>
          <w:shd w:val="clear" w:color="auto" w:fill="FFFFFF"/>
        </w:rPr>
        <w:t xml:space="preserve"> </w:t>
      </w:r>
    </w:p>
    <w:p w14:paraId="538F849C">
      <w:pPr>
        <w:pStyle w:val="80"/>
        <w:widowControl/>
        <w:autoSpaceDE w:val="0"/>
        <w:adjustRightInd w:val="0"/>
        <w:snapToGrid w:val="0"/>
        <w:spacing w:line="360" w:lineRule="auto"/>
        <w:ind w:firstLine="600"/>
        <w:rPr>
          <w:rStyle w:val="81"/>
          <w:rFonts w:hint="eastAsia" w:eastAsia="宋体"/>
          <w:color w:val="auto"/>
          <w:sz w:val="24"/>
          <w:highlight w:val="none"/>
        </w:rPr>
      </w:pPr>
      <w:r>
        <w:rPr>
          <w:rStyle w:val="81"/>
          <w:rFonts w:hint="eastAsia" w:ascii="宋体" w:hAnsi="宋体" w:eastAsia="宋体"/>
          <w:color w:val="auto"/>
          <w:kern w:val="0"/>
          <w:sz w:val="24"/>
          <w:highlight w:val="none"/>
          <w:shd w:val="clear" w:color="auto" w:fill="FFFFFF"/>
        </w:rPr>
        <w:t>17.1 不可抗力的确认</w:t>
      </w:r>
    </w:p>
    <w:p w14:paraId="724ADC2D">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除通用合同条款约定的不可抗力事件之外，视为不可抗力的其他情形：</w:t>
      </w:r>
      <w:r>
        <w:rPr>
          <w:rStyle w:val="81"/>
          <w:rFonts w:hint="eastAsia" w:ascii="宋体" w:hAnsi="宋体" w:eastAsia="宋体"/>
          <w:color w:val="auto"/>
          <w:kern w:val="0"/>
          <w:sz w:val="24"/>
          <w:highlight w:val="none"/>
          <w:u w:val="single"/>
          <w:shd w:val="clear" w:color="auto" w:fill="FFFFFF"/>
        </w:rPr>
        <w:t xml:space="preserve">      /     </w:t>
      </w:r>
    </w:p>
    <w:p w14:paraId="55B09A1C">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17.4 因不可抗力解除合同</w:t>
      </w:r>
    </w:p>
    <w:p w14:paraId="66AAFCF1">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合同解除后，发包人应在商定或确定发包人应支付款项后双方另行确定天内完成款项的支付。</w:t>
      </w:r>
    </w:p>
    <w:p w14:paraId="43CA4AE7">
      <w:pPr>
        <w:pStyle w:val="85"/>
        <w:widowControl/>
        <w:autoSpaceDE w:val="0"/>
        <w:adjustRightInd w:val="0"/>
        <w:snapToGrid w:val="0"/>
        <w:spacing w:line="360" w:lineRule="auto"/>
        <w:rPr>
          <w:rStyle w:val="81"/>
          <w:color w:val="auto"/>
          <w:sz w:val="24"/>
          <w:szCs w:val="24"/>
          <w:highlight w:val="none"/>
        </w:rPr>
      </w:pPr>
      <w:bookmarkStart w:id="272" w:name="_Toc256000261"/>
      <w:bookmarkStart w:id="273" w:name="_Toc256000212"/>
      <w:bookmarkStart w:id="274" w:name="_Toc256000118"/>
      <w:bookmarkStart w:id="275" w:name="_Toc256000164_0"/>
      <w:bookmarkStart w:id="276" w:name="_Toc256000053_0"/>
      <w:bookmarkStart w:id="277" w:name="_Toc256000421"/>
      <w:bookmarkStart w:id="278" w:name="_Toc256000363"/>
      <w:r>
        <w:rPr>
          <w:rStyle w:val="81"/>
          <w:rFonts w:hint="eastAsia" w:ascii="宋体" w:hAnsi="宋体"/>
          <w:color w:val="auto"/>
          <w:sz w:val="24"/>
          <w:szCs w:val="24"/>
          <w:highlight w:val="none"/>
          <w:shd w:val="clear" w:color="auto" w:fill="FFFFFF"/>
        </w:rPr>
        <w:t>18. 保险</w:t>
      </w:r>
      <w:bookmarkEnd w:id="272"/>
      <w:bookmarkEnd w:id="273"/>
      <w:bookmarkEnd w:id="274"/>
      <w:bookmarkEnd w:id="275"/>
      <w:bookmarkEnd w:id="276"/>
      <w:bookmarkEnd w:id="277"/>
      <w:bookmarkEnd w:id="278"/>
    </w:p>
    <w:p w14:paraId="0B4E7EBA">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18.1 工程保险</w:t>
      </w:r>
    </w:p>
    <w:p w14:paraId="2AB27730">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关于工程保险的特别约定：</w:t>
      </w:r>
      <w:r>
        <w:rPr>
          <w:rStyle w:val="81"/>
          <w:rFonts w:hint="eastAsia" w:ascii="宋体" w:hAnsi="宋体" w:eastAsia="宋体"/>
          <w:color w:val="auto"/>
          <w:kern w:val="0"/>
          <w:sz w:val="24"/>
          <w:highlight w:val="none"/>
          <w:u w:val="single"/>
          <w:shd w:val="clear" w:color="auto" w:fill="FFFFFF"/>
        </w:rPr>
        <w:t xml:space="preserve"> 按通用条款执行</w:t>
      </w:r>
    </w:p>
    <w:p w14:paraId="48328810">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18.3 其他保险</w:t>
      </w:r>
    </w:p>
    <w:p w14:paraId="74E8415B">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关于其他保险的约定：</w:t>
      </w:r>
      <w:r>
        <w:rPr>
          <w:rStyle w:val="81"/>
          <w:rFonts w:hint="eastAsia" w:ascii="宋体" w:hAnsi="宋体" w:eastAsia="宋体"/>
          <w:color w:val="auto"/>
          <w:kern w:val="0"/>
          <w:sz w:val="24"/>
          <w:highlight w:val="none"/>
          <w:u w:val="single"/>
          <w:shd w:val="clear" w:color="auto" w:fill="FFFFFF"/>
        </w:rPr>
        <w:t xml:space="preserve">      /     </w:t>
      </w:r>
    </w:p>
    <w:p w14:paraId="59A1DCEB">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承包人是否应为其施工设备等办理财产保险：</w:t>
      </w:r>
      <w:r>
        <w:rPr>
          <w:rStyle w:val="81"/>
          <w:rFonts w:hint="eastAsia" w:ascii="宋体" w:hAnsi="宋体" w:eastAsia="宋体"/>
          <w:color w:val="auto"/>
          <w:kern w:val="0"/>
          <w:sz w:val="24"/>
          <w:highlight w:val="none"/>
          <w:u w:val="single"/>
          <w:shd w:val="clear" w:color="auto" w:fill="FFFFFF"/>
        </w:rPr>
        <w:t xml:space="preserve"> 按通用条款执行</w:t>
      </w:r>
    </w:p>
    <w:p w14:paraId="13854003">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18.7 通知义务</w:t>
      </w:r>
    </w:p>
    <w:p w14:paraId="4B8C2B27">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关于变更保险合同时的通知义务的约定：</w:t>
      </w:r>
      <w:r>
        <w:rPr>
          <w:rStyle w:val="81"/>
          <w:rFonts w:hint="eastAsia" w:ascii="宋体" w:hAnsi="宋体" w:eastAsia="宋体"/>
          <w:color w:val="auto"/>
          <w:kern w:val="0"/>
          <w:sz w:val="24"/>
          <w:highlight w:val="none"/>
          <w:u w:val="single"/>
          <w:shd w:val="clear" w:color="auto" w:fill="FFFFFF"/>
        </w:rPr>
        <w:t xml:space="preserve"> 按通用条款执行</w:t>
      </w:r>
    </w:p>
    <w:p w14:paraId="265F1692">
      <w:pPr>
        <w:pStyle w:val="85"/>
        <w:widowControl/>
        <w:autoSpaceDE w:val="0"/>
        <w:adjustRightInd w:val="0"/>
        <w:snapToGrid w:val="0"/>
        <w:spacing w:line="360" w:lineRule="auto"/>
        <w:rPr>
          <w:rStyle w:val="81"/>
          <w:color w:val="auto"/>
          <w:sz w:val="24"/>
          <w:szCs w:val="24"/>
          <w:highlight w:val="none"/>
        </w:rPr>
      </w:pPr>
      <w:bookmarkStart w:id="279" w:name="_Toc256000262"/>
      <w:bookmarkStart w:id="280" w:name="_Toc256000213"/>
      <w:bookmarkStart w:id="281" w:name="_Toc256000364"/>
      <w:bookmarkStart w:id="282" w:name="_Toc256000054_0"/>
      <w:bookmarkStart w:id="283" w:name="_Toc256000119"/>
      <w:bookmarkStart w:id="284" w:name="_Toc256000165_0"/>
      <w:bookmarkStart w:id="285" w:name="_Toc256000422"/>
      <w:r>
        <w:rPr>
          <w:rStyle w:val="81"/>
          <w:rFonts w:hint="eastAsia" w:ascii="宋体" w:hAnsi="宋体"/>
          <w:color w:val="auto"/>
          <w:sz w:val="24"/>
          <w:szCs w:val="24"/>
          <w:highlight w:val="none"/>
          <w:shd w:val="clear" w:color="auto" w:fill="FFFFFF"/>
        </w:rPr>
        <w:t>20. 争议解决</w:t>
      </w:r>
      <w:bookmarkEnd w:id="279"/>
      <w:bookmarkEnd w:id="280"/>
      <w:bookmarkEnd w:id="281"/>
      <w:bookmarkEnd w:id="282"/>
      <w:bookmarkEnd w:id="283"/>
      <w:bookmarkEnd w:id="284"/>
      <w:bookmarkEnd w:id="285"/>
    </w:p>
    <w:p w14:paraId="3B173AD0">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20.3 争议评审</w:t>
      </w:r>
    </w:p>
    <w:p w14:paraId="349945A2">
      <w:pPr>
        <w:pStyle w:val="80"/>
        <w:widowControl/>
        <w:autoSpaceDE w:val="0"/>
        <w:adjustRightInd w:val="0"/>
        <w:snapToGrid w:val="0"/>
        <w:spacing w:line="360" w:lineRule="auto"/>
        <w:ind w:firstLine="45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合同当事人是否同意将工程争议提交争议评审小组决定：</w:t>
      </w:r>
      <w:r>
        <w:rPr>
          <w:rStyle w:val="81"/>
          <w:rFonts w:hint="eastAsia" w:ascii="宋体" w:hAnsi="宋体" w:eastAsia="宋体"/>
          <w:color w:val="auto"/>
          <w:kern w:val="0"/>
          <w:sz w:val="24"/>
          <w:highlight w:val="none"/>
          <w:u w:val="single"/>
          <w:shd w:val="clear" w:color="auto" w:fill="FFFFFF"/>
        </w:rPr>
        <w:t xml:space="preserve">      /     </w:t>
      </w:r>
    </w:p>
    <w:p w14:paraId="4E106F86">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20.3.1 争议评审小组的确定</w:t>
      </w:r>
    </w:p>
    <w:p w14:paraId="14860DF4">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争议评审小组成员的确定：</w:t>
      </w:r>
      <w:r>
        <w:rPr>
          <w:rStyle w:val="81"/>
          <w:rFonts w:hint="eastAsia" w:ascii="宋体" w:hAnsi="宋体" w:eastAsia="宋体"/>
          <w:color w:val="auto"/>
          <w:kern w:val="0"/>
          <w:sz w:val="24"/>
          <w:highlight w:val="none"/>
          <w:u w:val="single"/>
          <w:shd w:val="clear" w:color="auto" w:fill="FFFFFF"/>
        </w:rPr>
        <w:t xml:space="preserve">      /     </w:t>
      </w:r>
    </w:p>
    <w:p w14:paraId="415E7C5F">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选定争议评审员的期限：</w:t>
      </w:r>
      <w:r>
        <w:rPr>
          <w:rStyle w:val="81"/>
          <w:rFonts w:hint="eastAsia" w:ascii="宋体" w:hAnsi="宋体" w:eastAsia="宋体"/>
          <w:color w:val="auto"/>
          <w:kern w:val="0"/>
          <w:sz w:val="24"/>
          <w:highlight w:val="none"/>
          <w:u w:val="single"/>
          <w:shd w:val="clear" w:color="auto" w:fill="FFFFFF"/>
        </w:rPr>
        <w:t xml:space="preserve">      /     </w:t>
      </w:r>
    </w:p>
    <w:p w14:paraId="50A4F975">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争议评审小组成员的报酬承担方式：</w:t>
      </w:r>
      <w:r>
        <w:rPr>
          <w:rStyle w:val="81"/>
          <w:rFonts w:hint="eastAsia" w:ascii="宋体" w:hAnsi="宋体" w:eastAsia="宋体"/>
          <w:color w:val="auto"/>
          <w:kern w:val="0"/>
          <w:sz w:val="24"/>
          <w:highlight w:val="none"/>
          <w:u w:val="single"/>
          <w:shd w:val="clear" w:color="auto" w:fill="FFFFFF"/>
        </w:rPr>
        <w:t xml:space="preserve">      /     </w:t>
      </w:r>
    </w:p>
    <w:p w14:paraId="78F2D241">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其他事项的约定：</w:t>
      </w:r>
      <w:r>
        <w:rPr>
          <w:rStyle w:val="81"/>
          <w:rFonts w:hint="eastAsia" w:ascii="宋体" w:hAnsi="宋体" w:eastAsia="宋体"/>
          <w:color w:val="auto"/>
          <w:kern w:val="0"/>
          <w:sz w:val="24"/>
          <w:highlight w:val="none"/>
          <w:u w:val="single"/>
          <w:shd w:val="clear" w:color="auto" w:fill="FFFFFF"/>
        </w:rPr>
        <w:t xml:space="preserve">      /     </w:t>
      </w:r>
    </w:p>
    <w:p w14:paraId="296386DA">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20.3.2 争议评审小组的决定</w:t>
      </w:r>
    </w:p>
    <w:p w14:paraId="2D9C0065">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合同当事人关于本项的约定：</w:t>
      </w:r>
      <w:r>
        <w:rPr>
          <w:rStyle w:val="81"/>
          <w:rFonts w:hint="eastAsia" w:ascii="宋体" w:hAnsi="宋体" w:eastAsia="宋体"/>
          <w:color w:val="auto"/>
          <w:kern w:val="0"/>
          <w:sz w:val="24"/>
          <w:highlight w:val="none"/>
          <w:u w:val="single"/>
          <w:shd w:val="clear" w:color="auto" w:fill="FFFFFF"/>
        </w:rPr>
        <w:t xml:space="preserve">      /     </w:t>
      </w:r>
    </w:p>
    <w:p w14:paraId="3215FE25">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20.4仲裁或诉讼</w:t>
      </w:r>
    </w:p>
    <w:p w14:paraId="6B86C138">
      <w:pPr>
        <w:pStyle w:val="80"/>
        <w:widowControl/>
        <w:autoSpaceDE w:val="0"/>
        <w:adjustRightInd w:val="0"/>
        <w:snapToGrid w:val="0"/>
        <w:spacing w:line="360" w:lineRule="auto"/>
        <w:ind w:firstLine="600"/>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因合同及合同有关事项发生的争议，按下列第种方式解决：</w:t>
      </w:r>
    </w:p>
    <w:p w14:paraId="745F2355">
      <w:pPr>
        <w:pStyle w:val="80"/>
        <w:widowControl/>
        <w:autoSpaceDE w:val="0"/>
        <w:adjustRightInd w:val="0"/>
        <w:snapToGrid w:val="0"/>
        <w:spacing w:line="360" w:lineRule="auto"/>
        <w:ind w:firstLine="600"/>
        <w:jc w:val="left"/>
        <w:rPr>
          <w:rStyle w:val="81"/>
          <w:rFonts w:eastAsia="宋体"/>
          <w:color w:val="auto"/>
          <w:sz w:val="24"/>
          <w:highlight w:val="none"/>
        </w:rPr>
      </w:pPr>
      <w:r>
        <w:rPr>
          <w:rStyle w:val="81"/>
          <w:rFonts w:hint="eastAsia" w:ascii="宋体" w:hAnsi="宋体" w:eastAsia="宋体"/>
          <w:color w:val="auto"/>
          <w:kern w:val="0"/>
          <w:sz w:val="24"/>
          <w:highlight w:val="none"/>
          <w:shd w:val="clear" w:color="auto" w:fill="FFFFFF"/>
        </w:rPr>
        <w:t>（1）向</w:t>
      </w:r>
      <w:r>
        <w:rPr>
          <w:rStyle w:val="81"/>
          <w:rFonts w:hint="eastAsia" w:ascii="宋体" w:hAnsi="宋体" w:eastAsia="宋体"/>
          <w:color w:val="auto"/>
          <w:kern w:val="0"/>
          <w:sz w:val="24"/>
          <w:highlight w:val="none"/>
          <w:u w:val="single"/>
          <w:shd w:val="clear" w:color="auto" w:fill="FFFFFF"/>
        </w:rPr>
        <w:t xml:space="preserve">     /    </w:t>
      </w:r>
      <w:r>
        <w:rPr>
          <w:rStyle w:val="81"/>
          <w:rFonts w:hint="eastAsia" w:ascii="宋体" w:hAnsi="宋体" w:eastAsia="宋体"/>
          <w:color w:val="auto"/>
          <w:kern w:val="0"/>
          <w:sz w:val="24"/>
          <w:highlight w:val="none"/>
          <w:shd w:val="clear" w:color="auto" w:fill="FFFFFF"/>
        </w:rPr>
        <w:t>仲裁委员会申请仲裁；</w:t>
      </w:r>
    </w:p>
    <w:p w14:paraId="59A0128C">
      <w:pPr>
        <w:pStyle w:val="80"/>
        <w:widowControl/>
        <w:autoSpaceDE w:val="0"/>
        <w:adjustRightInd w:val="0"/>
        <w:snapToGrid w:val="0"/>
        <w:spacing w:line="360" w:lineRule="auto"/>
        <w:ind w:firstLine="600"/>
        <w:jc w:val="left"/>
        <w:rPr>
          <w:rStyle w:val="81"/>
          <w:rFonts w:hint="eastAsia" w:ascii="宋体" w:hAnsi="宋体" w:eastAsia="宋体"/>
          <w:b/>
          <w:bCs/>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（2）向</w:t>
      </w:r>
      <w:r>
        <w:rPr>
          <w:rStyle w:val="81"/>
          <w:rFonts w:hint="eastAsia" w:ascii="宋体" w:hAnsi="宋体" w:eastAsia="宋体"/>
          <w:color w:val="auto"/>
          <w:kern w:val="0"/>
          <w:sz w:val="24"/>
          <w:highlight w:val="none"/>
          <w:u w:val="single"/>
          <w:shd w:val="clear" w:color="auto" w:fill="FFFFFF"/>
        </w:rPr>
        <w:t>工程所在地</w:t>
      </w:r>
      <w:r>
        <w:rPr>
          <w:rStyle w:val="81"/>
          <w:rFonts w:hint="eastAsia" w:ascii="宋体" w:hAnsi="宋体" w:eastAsia="宋体"/>
          <w:color w:val="auto"/>
          <w:kern w:val="0"/>
          <w:sz w:val="24"/>
          <w:highlight w:val="none"/>
          <w:shd w:val="clear" w:color="auto" w:fill="FFFFFF"/>
        </w:rPr>
        <w:t>人民法院起诉。</w:t>
      </w:r>
    </w:p>
    <w:p w14:paraId="0E3A632A">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0052E7C7">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79B29DB3">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5596ACDE">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6BCB60A9">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2D9D530C">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07A8CEA8">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23F337FF">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351E0DEC">
      <w:pPr>
        <w:pStyle w:val="80"/>
        <w:widowControl/>
        <w:autoSpaceDE w:val="0"/>
        <w:adjustRightInd w:val="0"/>
        <w:snapToGrid w:val="0"/>
        <w:spacing w:line="360" w:lineRule="auto"/>
        <w:jc w:val="left"/>
        <w:rPr>
          <w:rStyle w:val="81"/>
          <w:rFonts w:hint="eastAsia" w:ascii="宋体" w:hAnsi="宋体" w:eastAsia="宋体"/>
          <w:b/>
          <w:bCs/>
          <w:color w:val="auto"/>
          <w:kern w:val="0"/>
          <w:sz w:val="24"/>
          <w:highlight w:val="none"/>
          <w:shd w:val="clear" w:color="auto" w:fill="FFFFFF"/>
        </w:rPr>
      </w:pPr>
    </w:p>
    <w:p w14:paraId="04D0547A">
      <w:pPr>
        <w:pStyle w:val="80"/>
        <w:widowControl/>
        <w:autoSpaceDE w:val="0"/>
        <w:adjustRightInd w:val="0"/>
        <w:snapToGrid w:val="0"/>
        <w:spacing w:line="360" w:lineRule="auto"/>
        <w:jc w:val="left"/>
        <w:rPr>
          <w:rStyle w:val="81"/>
          <w:rFonts w:ascii="宋体" w:hAnsi="宋体" w:eastAsia="宋体"/>
          <w:color w:val="auto"/>
          <w:sz w:val="24"/>
          <w:highlight w:val="none"/>
        </w:rPr>
      </w:pPr>
      <w:r>
        <w:rPr>
          <w:rStyle w:val="81"/>
          <w:rFonts w:hint="eastAsia" w:ascii="宋体" w:hAnsi="宋体" w:eastAsia="宋体"/>
          <w:b/>
          <w:bCs/>
          <w:color w:val="auto"/>
          <w:kern w:val="0"/>
          <w:sz w:val="24"/>
          <w:highlight w:val="none"/>
          <w:shd w:val="clear" w:color="auto" w:fill="FFFFFF"/>
        </w:rPr>
        <w:t>附件</w:t>
      </w:r>
    </w:p>
    <w:p w14:paraId="51DA9529">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协议书附件：</w:t>
      </w:r>
    </w:p>
    <w:p w14:paraId="6F5C4255">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附件1：承包人承揽工程项目一览表</w:t>
      </w:r>
    </w:p>
    <w:p w14:paraId="2DC3174E">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专用合同条款附件：</w:t>
      </w:r>
    </w:p>
    <w:p w14:paraId="4D50EE79">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附件2：发包人供应材料设备一览表</w:t>
      </w:r>
    </w:p>
    <w:p w14:paraId="3DF292CA">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附件3：工程质量保修书</w:t>
      </w:r>
    </w:p>
    <w:p w14:paraId="2D0743C3">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附件4：主要建设工程文件目录</w:t>
      </w:r>
    </w:p>
    <w:p w14:paraId="7DB3E157">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附件5：承包人用于本工程施工的机械设备表</w:t>
      </w:r>
    </w:p>
    <w:p w14:paraId="2707F5E4">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附件6：承包人主要施工管理人员表</w:t>
      </w:r>
    </w:p>
    <w:p w14:paraId="5F892923">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附件7：分包人主要施工管理人员表</w:t>
      </w:r>
    </w:p>
    <w:p w14:paraId="5357E8C8">
      <w:pPr>
        <w:pStyle w:val="80"/>
        <w:widowControl/>
        <w:autoSpaceDE w:val="0"/>
        <w:adjustRightInd w:val="0"/>
        <w:snapToGrid w:val="0"/>
        <w:spacing w:line="360" w:lineRule="auto"/>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附件8：履约担保格式</w:t>
      </w:r>
    </w:p>
    <w:p w14:paraId="7B6806BE">
      <w:pPr>
        <w:pStyle w:val="80"/>
        <w:widowControl/>
        <w:autoSpaceDE w:val="0"/>
        <w:adjustRightInd w:val="0"/>
        <w:snapToGrid w:val="0"/>
        <w:spacing w:line="360" w:lineRule="auto"/>
        <w:jc w:val="lef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附件9：预付款担保格式</w:t>
      </w:r>
    </w:p>
    <w:p w14:paraId="3EED1AFF">
      <w:pPr>
        <w:pStyle w:val="80"/>
        <w:widowControl/>
        <w:autoSpaceDE w:val="0"/>
        <w:adjustRightInd w:val="0"/>
        <w:snapToGrid w:val="0"/>
        <w:spacing w:line="360" w:lineRule="auto"/>
        <w:jc w:val="lef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附件10：支付担保格式</w:t>
      </w:r>
    </w:p>
    <w:p w14:paraId="707EF43C">
      <w:pPr>
        <w:rPr>
          <w:rFonts w:hint="eastAsia" w:ascii="宋体" w:hAnsi="宋体"/>
          <w:color w:val="auto"/>
          <w:kern w:val="0"/>
          <w:sz w:val="24"/>
          <w:szCs w:val="24"/>
          <w:highlight w:val="none"/>
          <w:shd w:val="clear" w:color="auto" w:fill="FFFFFF"/>
        </w:rPr>
      </w:pPr>
      <w:r>
        <w:rPr>
          <w:rFonts w:hint="eastAsia" w:ascii="宋体" w:hAnsi="宋体"/>
          <w:color w:val="auto"/>
          <w:kern w:val="0"/>
          <w:sz w:val="24"/>
          <w:szCs w:val="24"/>
          <w:highlight w:val="none"/>
          <w:shd w:val="clear" w:color="auto" w:fill="FFFFFF"/>
        </w:rPr>
        <w:t>附件11：暂估价一览表</w:t>
      </w:r>
    </w:p>
    <w:p w14:paraId="2F134388">
      <w:pPr>
        <w:pStyle w:val="80"/>
        <w:rPr>
          <w:rStyle w:val="81"/>
          <w:rFonts w:hint="eastAsia" w:ascii="宋体" w:hAnsi="宋体"/>
          <w:color w:val="auto"/>
          <w:sz w:val="24"/>
          <w:szCs w:val="24"/>
          <w:highlight w:val="none"/>
          <w:shd w:val="clear" w:color="auto" w:fill="FFFFFF"/>
        </w:rPr>
      </w:pPr>
    </w:p>
    <w:p w14:paraId="62C67B54">
      <w:pPr>
        <w:pStyle w:val="80"/>
        <w:rPr>
          <w:rStyle w:val="81"/>
          <w:rFonts w:hint="eastAsia" w:ascii="宋体" w:hAnsi="宋体"/>
          <w:color w:val="auto"/>
          <w:sz w:val="24"/>
          <w:szCs w:val="24"/>
          <w:highlight w:val="none"/>
          <w:shd w:val="clear" w:color="auto" w:fill="FFFFFF"/>
        </w:rPr>
      </w:pPr>
    </w:p>
    <w:p w14:paraId="0798F309">
      <w:pPr>
        <w:pStyle w:val="80"/>
        <w:rPr>
          <w:rStyle w:val="81"/>
          <w:rFonts w:hint="eastAsia" w:ascii="宋体" w:hAnsi="宋体"/>
          <w:color w:val="auto"/>
          <w:sz w:val="24"/>
          <w:szCs w:val="24"/>
          <w:highlight w:val="none"/>
          <w:shd w:val="clear" w:color="auto" w:fill="FFFFFF"/>
        </w:rPr>
      </w:pPr>
    </w:p>
    <w:p w14:paraId="57EF2A7B">
      <w:pPr>
        <w:pStyle w:val="80"/>
        <w:rPr>
          <w:rStyle w:val="81"/>
          <w:rFonts w:hint="eastAsia" w:ascii="宋体" w:hAnsi="宋体"/>
          <w:color w:val="auto"/>
          <w:sz w:val="24"/>
          <w:szCs w:val="24"/>
          <w:highlight w:val="none"/>
          <w:shd w:val="clear" w:color="auto" w:fill="FFFFFF"/>
        </w:rPr>
      </w:pPr>
    </w:p>
    <w:p w14:paraId="574ABE9B">
      <w:pPr>
        <w:pStyle w:val="80"/>
        <w:rPr>
          <w:rStyle w:val="81"/>
          <w:rFonts w:hint="eastAsia" w:ascii="宋体" w:hAnsi="宋体"/>
          <w:color w:val="auto"/>
          <w:sz w:val="24"/>
          <w:szCs w:val="24"/>
          <w:highlight w:val="none"/>
          <w:shd w:val="clear" w:color="auto" w:fill="FFFFFF"/>
        </w:rPr>
      </w:pPr>
    </w:p>
    <w:p w14:paraId="77EBDC76">
      <w:pPr>
        <w:pStyle w:val="80"/>
        <w:rPr>
          <w:rStyle w:val="81"/>
          <w:rFonts w:hint="eastAsia" w:ascii="宋体" w:hAnsi="宋体"/>
          <w:color w:val="auto"/>
          <w:sz w:val="24"/>
          <w:szCs w:val="24"/>
          <w:highlight w:val="none"/>
          <w:shd w:val="clear" w:color="auto" w:fill="FFFFFF"/>
        </w:rPr>
      </w:pPr>
    </w:p>
    <w:p w14:paraId="4A1429E1">
      <w:pPr>
        <w:pStyle w:val="80"/>
        <w:rPr>
          <w:rStyle w:val="81"/>
          <w:rFonts w:hint="eastAsia" w:ascii="宋体" w:hAnsi="宋体"/>
          <w:color w:val="auto"/>
          <w:sz w:val="24"/>
          <w:szCs w:val="24"/>
          <w:highlight w:val="none"/>
          <w:shd w:val="clear" w:color="auto" w:fill="FFFFFF"/>
        </w:rPr>
      </w:pPr>
    </w:p>
    <w:p w14:paraId="003722D8">
      <w:pPr>
        <w:pStyle w:val="80"/>
        <w:rPr>
          <w:rStyle w:val="81"/>
          <w:rFonts w:hint="eastAsia" w:ascii="宋体" w:hAnsi="宋体"/>
          <w:color w:val="auto"/>
          <w:sz w:val="24"/>
          <w:szCs w:val="24"/>
          <w:highlight w:val="none"/>
          <w:shd w:val="clear" w:color="auto" w:fill="FFFFFF"/>
        </w:rPr>
      </w:pPr>
    </w:p>
    <w:p w14:paraId="51166BE4">
      <w:pPr>
        <w:pStyle w:val="80"/>
        <w:rPr>
          <w:rStyle w:val="81"/>
          <w:rFonts w:hint="eastAsia" w:ascii="宋体" w:hAnsi="宋体"/>
          <w:color w:val="auto"/>
          <w:sz w:val="24"/>
          <w:szCs w:val="24"/>
          <w:highlight w:val="none"/>
          <w:shd w:val="clear" w:color="auto" w:fill="FFFFFF"/>
        </w:rPr>
      </w:pPr>
    </w:p>
    <w:p w14:paraId="6BA0F370">
      <w:pPr>
        <w:pStyle w:val="80"/>
        <w:rPr>
          <w:rStyle w:val="81"/>
          <w:rFonts w:hint="eastAsia" w:ascii="宋体" w:hAnsi="宋体"/>
          <w:color w:val="auto"/>
          <w:sz w:val="24"/>
          <w:szCs w:val="24"/>
          <w:highlight w:val="none"/>
          <w:shd w:val="clear" w:color="auto" w:fill="FFFFFF"/>
        </w:rPr>
      </w:pPr>
    </w:p>
    <w:p w14:paraId="07B9697C">
      <w:pPr>
        <w:pStyle w:val="80"/>
        <w:rPr>
          <w:rStyle w:val="81"/>
          <w:rFonts w:hint="eastAsia" w:ascii="宋体" w:hAnsi="宋体"/>
          <w:color w:val="auto"/>
          <w:sz w:val="24"/>
          <w:szCs w:val="24"/>
          <w:highlight w:val="none"/>
          <w:shd w:val="clear" w:color="auto" w:fill="FFFFFF"/>
        </w:rPr>
      </w:pPr>
    </w:p>
    <w:p w14:paraId="430DEFF2">
      <w:pPr>
        <w:pStyle w:val="80"/>
        <w:rPr>
          <w:rStyle w:val="81"/>
          <w:rFonts w:hint="eastAsia" w:ascii="宋体" w:hAnsi="宋体"/>
          <w:color w:val="auto"/>
          <w:sz w:val="24"/>
          <w:szCs w:val="24"/>
          <w:highlight w:val="none"/>
          <w:shd w:val="clear" w:color="auto" w:fill="FFFFFF"/>
        </w:rPr>
      </w:pPr>
    </w:p>
    <w:p w14:paraId="7ECAA8D3">
      <w:pPr>
        <w:pStyle w:val="80"/>
        <w:rPr>
          <w:rStyle w:val="81"/>
          <w:rFonts w:hint="eastAsia" w:ascii="宋体" w:hAnsi="宋体"/>
          <w:color w:val="auto"/>
          <w:sz w:val="24"/>
          <w:szCs w:val="24"/>
          <w:highlight w:val="none"/>
          <w:shd w:val="clear" w:color="auto" w:fill="FFFFFF"/>
        </w:rPr>
      </w:pPr>
    </w:p>
    <w:p w14:paraId="12DBE590">
      <w:pPr>
        <w:pStyle w:val="80"/>
        <w:rPr>
          <w:rStyle w:val="81"/>
          <w:rFonts w:hint="eastAsia" w:ascii="宋体" w:hAnsi="宋体"/>
          <w:color w:val="auto"/>
          <w:sz w:val="24"/>
          <w:szCs w:val="24"/>
          <w:highlight w:val="none"/>
          <w:shd w:val="clear" w:color="auto" w:fill="FFFFFF"/>
        </w:rPr>
      </w:pPr>
    </w:p>
    <w:p w14:paraId="39B1F142">
      <w:pPr>
        <w:pStyle w:val="80"/>
        <w:rPr>
          <w:rStyle w:val="81"/>
          <w:rFonts w:hint="eastAsia" w:ascii="宋体" w:hAnsi="宋体"/>
          <w:color w:val="auto"/>
          <w:sz w:val="24"/>
          <w:szCs w:val="24"/>
          <w:highlight w:val="none"/>
          <w:shd w:val="clear" w:color="auto" w:fill="FFFFFF"/>
        </w:rPr>
      </w:pPr>
    </w:p>
    <w:p w14:paraId="1CFC3C15">
      <w:pPr>
        <w:pStyle w:val="80"/>
        <w:rPr>
          <w:rStyle w:val="81"/>
          <w:rFonts w:hint="eastAsia" w:ascii="宋体" w:hAnsi="宋体"/>
          <w:color w:val="auto"/>
          <w:sz w:val="24"/>
          <w:szCs w:val="24"/>
          <w:highlight w:val="none"/>
          <w:shd w:val="clear" w:color="auto" w:fill="FFFFFF"/>
        </w:rPr>
      </w:pPr>
    </w:p>
    <w:p w14:paraId="7E958277">
      <w:pPr>
        <w:pStyle w:val="80"/>
        <w:rPr>
          <w:rStyle w:val="81"/>
          <w:rFonts w:hint="eastAsia" w:ascii="宋体" w:hAnsi="宋体"/>
          <w:color w:val="auto"/>
          <w:sz w:val="24"/>
          <w:szCs w:val="24"/>
          <w:highlight w:val="none"/>
          <w:shd w:val="clear" w:color="auto" w:fill="FFFFFF"/>
        </w:rPr>
      </w:pPr>
    </w:p>
    <w:p w14:paraId="194D57AD">
      <w:pPr>
        <w:pStyle w:val="80"/>
        <w:rPr>
          <w:rStyle w:val="81"/>
          <w:rFonts w:hint="eastAsia" w:ascii="宋体" w:hAnsi="宋体"/>
          <w:color w:val="auto"/>
          <w:sz w:val="24"/>
          <w:szCs w:val="24"/>
          <w:highlight w:val="none"/>
          <w:shd w:val="clear" w:color="auto" w:fill="FFFFFF"/>
        </w:rPr>
      </w:pPr>
    </w:p>
    <w:p w14:paraId="4F6B622B">
      <w:pPr>
        <w:pStyle w:val="80"/>
        <w:rPr>
          <w:rStyle w:val="81"/>
          <w:rFonts w:hint="eastAsia" w:ascii="宋体" w:hAnsi="宋体"/>
          <w:color w:val="auto"/>
          <w:sz w:val="24"/>
          <w:szCs w:val="24"/>
          <w:highlight w:val="none"/>
          <w:shd w:val="clear" w:color="auto" w:fill="FFFFFF"/>
        </w:rPr>
      </w:pPr>
    </w:p>
    <w:p w14:paraId="3D42DCFA">
      <w:pPr>
        <w:pStyle w:val="80"/>
        <w:rPr>
          <w:rStyle w:val="81"/>
          <w:rFonts w:hint="eastAsia" w:ascii="宋体" w:hAnsi="宋体"/>
          <w:color w:val="auto"/>
          <w:sz w:val="24"/>
          <w:szCs w:val="24"/>
          <w:highlight w:val="none"/>
          <w:shd w:val="clear" w:color="auto" w:fill="FFFFFF"/>
        </w:rPr>
      </w:pPr>
    </w:p>
    <w:p w14:paraId="4DB19124">
      <w:pPr>
        <w:pStyle w:val="80"/>
        <w:rPr>
          <w:rStyle w:val="81"/>
          <w:rFonts w:hint="eastAsia" w:ascii="宋体" w:hAnsi="宋体"/>
          <w:color w:val="auto"/>
          <w:sz w:val="24"/>
          <w:szCs w:val="24"/>
          <w:highlight w:val="none"/>
          <w:shd w:val="clear" w:color="auto" w:fill="FFFFFF"/>
        </w:rPr>
      </w:pPr>
    </w:p>
    <w:p w14:paraId="783283E6">
      <w:pPr>
        <w:pStyle w:val="80"/>
        <w:rPr>
          <w:rStyle w:val="81"/>
          <w:rFonts w:hint="eastAsia" w:ascii="宋体" w:hAnsi="宋体"/>
          <w:color w:val="auto"/>
          <w:sz w:val="24"/>
          <w:szCs w:val="24"/>
          <w:highlight w:val="none"/>
          <w:shd w:val="clear" w:color="auto" w:fill="FFFFFF"/>
        </w:rPr>
      </w:pPr>
    </w:p>
    <w:p w14:paraId="33ACECE3">
      <w:pPr>
        <w:pStyle w:val="80"/>
        <w:rPr>
          <w:rStyle w:val="81"/>
          <w:rFonts w:hint="eastAsia" w:ascii="宋体" w:hAnsi="宋体"/>
          <w:color w:val="auto"/>
          <w:sz w:val="24"/>
          <w:szCs w:val="24"/>
          <w:highlight w:val="none"/>
          <w:shd w:val="clear" w:color="auto" w:fill="FFFFFF"/>
        </w:rPr>
      </w:pPr>
    </w:p>
    <w:p w14:paraId="7DC96743">
      <w:pPr>
        <w:pStyle w:val="80"/>
        <w:rPr>
          <w:rStyle w:val="81"/>
          <w:rFonts w:hint="eastAsia" w:ascii="宋体" w:hAnsi="宋体"/>
          <w:color w:val="auto"/>
          <w:sz w:val="24"/>
          <w:szCs w:val="24"/>
          <w:highlight w:val="none"/>
          <w:shd w:val="clear" w:color="auto" w:fill="FFFFFF"/>
        </w:rPr>
      </w:pPr>
    </w:p>
    <w:p w14:paraId="65E53473">
      <w:pPr>
        <w:pStyle w:val="85"/>
        <w:widowControl/>
        <w:autoSpaceDE w:val="0"/>
        <w:adjustRightInd w:val="0"/>
        <w:snapToGrid w:val="0"/>
        <w:spacing w:line="360" w:lineRule="auto"/>
        <w:jc w:val="left"/>
        <w:rPr>
          <w:rStyle w:val="81"/>
          <w:rFonts w:hint="eastAsia" w:ascii="宋体" w:hAnsi="宋体"/>
          <w:color w:val="auto"/>
          <w:sz w:val="24"/>
          <w:szCs w:val="24"/>
          <w:highlight w:val="none"/>
        </w:rPr>
      </w:pPr>
      <w:bookmarkStart w:id="286" w:name="_Toc256000059_0"/>
      <w:bookmarkStart w:id="287" w:name="_Toc256000424"/>
      <w:bookmarkStart w:id="288" w:name="_Toc256000366"/>
      <w:bookmarkStart w:id="289" w:name="_Toc256000124"/>
      <w:bookmarkStart w:id="290" w:name="_Toc256000218"/>
      <w:bookmarkStart w:id="291" w:name="_Toc256000170_0"/>
      <w:bookmarkStart w:id="292" w:name="_Toc256000264"/>
      <w:r>
        <w:rPr>
          <w:rStyle w:val="81"/>
          <w:rFonts w:hint="eastAsia" w:ascii="宋体" w:hAnsi="宋体"/>
          <w:color w:val="auto"/>
          <w:sz w:val="24"/>
          <w:szCs w:val="24"/>
          <w:highlight w:val="none"/>
          <w:shd w:val="clear" w:color="auto" w:fill="FFFFFF"/>
        </w:rPr>
        <w:t>附件1：</w:t>
      </w:r>
      <w:bookmarkEnd w:id="286"/>
      <w:bookmarkEnd w:id="287"/>
      <w:bookmarkEnd w:id="288"/>
      <w:bookmarkEnd w:id="289"/>
      <w:bookmarkEnd w:id="290"/>
      <w:bookmarkEnd w:id="291"/>
      <w:bookmarkEnd w:id="292"/>
    </w:p>
    <w:p w14:paraId="3DAE55BD">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承包人承揽工程项目一览表</w:t>
      </w:r>
    </w:p>
    <w:tbl>
      <w:tblPr>
        <w:tblStyle w:val="31"/>
        <w:tblW w:w="0" w:type="auto"/>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1124"/>
        <w:gridCol w:w="716"/>
        <w:gridCol w:w="1123"/>
        <w:gridCol w:w="793"/>
        <w:gridCol w:w="462"/>
        <w:gridCol w:w="793"/>
        <w:gridCol w:w="1124"/>
        <w:gridCol w:w="1438"/>
        <w:gridCol w:w="793"/>
        <w:gridCol w:w="716"/>
      </w:tblGrid>
      <w:tr w14:paraId="405CC69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7DDB9A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单位工程名称</w:t>
            </w:r>
          </w:p>
        </w:tc>
        <w:tc>
          <w:tcPr>
            <w:tcW w:w="717"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A8B6476">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建设规模</w:t>
            </w:r>
          </w:p>
        </w:tc>
        <w:tc>
          <w:tcPr>
            <w:tcW w:w="112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379D442">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建筑面积(平方米)</w:t>
            </w:r>
          </w:p>
        </w:tc>
        <w:tc>
          <w:tcPr>
            <w:tcW w:w="0" w:type="auto"/>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6ED61DD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结构形式</w:t>
            </w:r>
          </w:p>
        </w:tc>
        <w:tc>
          <w:tcPr>
            <w:tcW w:w="0" w:type="auto"/>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336F08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层数</w:t>
            </w:r>
          </w:p>
        </w:tc>
        <w:tc>
          <w:tcPr>
            <w:tcW w:w="0" w:type="auto"/>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089EDD8D">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生产能力</w:t>
            </w:r>
          </w:p>
        </w:tc>
        <w:tc>
          <w:tcPr>
            <w:tcW w:w="0" w:type="auto"/>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1EA41FEC">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设备安装内容</w:t>
            </w:r>
          </w:p>
        </w:tc>
        <w:tc>
          <w:tcPr>
            <w:tcW w:w="0" w:type="auto"/>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A9F1A8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合同价格（元）</w:t>
            </w:r>
          </w:p>
        </w:tc>
        <w:tc>
          <w:tcPr>
            <w:tcW w:w="0" w:type="auto"/>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46F667B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开工日期</w:t>
            </w:r>
          </w:p>
        </w:tc>
        <w:tc>
          <w:tcPr>
            <w:tcW w:w="717"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CDBD548">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竣工日期</w:t>
            </w:r>
          </w:p>
        </w:tc>
      </w:tr>
      <w:tr w14:paraId="3D740A9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89A81B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837D85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01E273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5FFF34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FBD925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463369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3C301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3D0930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8015D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619919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5C94D7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6DF63E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5E7A16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5A578C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471452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9E97DC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20EA7F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084AA3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9273B2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AE10EC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83034F0">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DED6FD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69FD96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F89ECA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9C5982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BB34B3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9550D9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BED73F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2C32FA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2E0BAC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BA9B9B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9F9A6A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5EA232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E66518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F41826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70550D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358B6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E060E9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DA826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60B17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9EC69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DBACF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5EDD08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EB8E7F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F5E2EE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325F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87F72A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BDAEB2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0B3DC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339FD0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F4D4C5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858BD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296071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CC913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D4B51B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742FEE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A5A8FB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71A5E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459641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D3EC9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10E94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8C5C2A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116D0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29E78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9F073B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A95863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5A7882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661C8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D815DB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D92A83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0AFD8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3DE32F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4DA86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1CBA7D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4F828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92A29B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B38AED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AAD37D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9F69A9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AD7515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D7AC31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589C20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8C0E4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08C4F5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B494A4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346C4C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7C76E4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B07F25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5A42D8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6E2BB2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1C341B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89E02A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4FD9C7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C0532A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0C633E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E15304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9123DE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D0FE00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AFA738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DCD8E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1CBBD9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23107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615AEC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FD0401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26C40C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5F487A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2FC591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FF12BD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AA27E9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58025C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0" w:type="auto"/>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CE463B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510A61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2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40DE43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13CD80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0FC323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7F4115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24915C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5007B6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0" w:type="auto"/>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846492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1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4F192F8">
            <w:pPr>
              <w:pStyle w:val="86"/>
              <w:keepNext/>
              <w:widowControl/>
              <w:autoSpaceDE w:val="0"/>
              <w:adjustRightInd w:val="0"/>
              <w:snapToGrid w:val="0"/>
              <w:spacing w:line="360" w:lineRule="auto"/>
              <w:rPr>
                <w:rStyle w:val="81"/>
                <w:rFonts w:ascii="宋体" w:hAnsi="宋体" w:eastAsia="宋体"/>
                <w:color w:val="auto"/>
                <w:sz w:val="24"/>
                <w:highlight w:val="none"/>
              </w:rPr>
            </w:pPr>
          </w:p>
        </w:tc>
      </w:tr>
    </w:tbl>
    <w:p w14:paraId="0AA1F3FD">
      <w:pPr>
        <w:pStyle w:val="85"/>
        <w:widowControl/>
        <w:autoSpaceDE w:val="0"/>
        <w:adjustRightInd w:val="0"/>
        <w:snapToGrid w:val="0"/>
        <w:spacing w:line="360" w:lineRule="auto"/>
        <w:jc w:val="left"/>
        <w:rPr>
          <w:rStyle w:val="81"/>
          <w:rFonts w:hint="eastAsia" w:ascii="宋体" w:hAnsi="宋体"/>
          <w:color w:val="auto"/>
          <w:sz w:val="24"/>
          <w:szCs w:val="24"/>
          <w:highlight w:val="none"/>
          <w:shd w:val="clear" w:color="auto" w:fill="FFFFFF"/>
        </w:rPr>
      </w:pPr>
      <w:r>
        <w:rPr>
          <w:rFonts w:hint="eastAsia" w:ascii="宋体" w:hAnsi="宋体"/>
          <w:color w:val="auto"/>
          <w:sz w:val="24"/>
          <w:szCs w:val="24"/>
          <w:highlight w:val="none"/>
          <w:shd w:val="clear" w:color="auto" w:fill="FFFFFF"/>
        </w:rPr>
        <w:br w:type="page"/>
      </w:r>
      <w:bookmarkStart w:id="293" w:name="_Toc256000060_0"/>
      <w:bookmarkStart w:id="294" w:name="_Toc256000265"/>
      <w:bookmarkStart w:id="295" w:name="_Toc256000219"/>
      <w:bookmarkStart w:id="296" w:name="_Toc256000425"/>
      <w:bookmarkStart w:id="297" w:name="_Toc256000171_0"/>
      <w:bookmarkStart w:id="298" w:name="_Toc256000056_0"/>
      <w:bookmarkStart w:id="299" w:name="_Toc256000367"/>
      <w:bookmarkStart w:id="300" w:name="_Toc256000125_0"/>
      <w:r>
        <w:rPr>
          <w:rStyle w:val="81"/>
          <w:rFonts w:hint="eastAsia" w:ascii="宋体" w:hAnsi="宋体"/>
          <w:color w:val="auto"/>
          <w:sz w:val="24"/>
          <w:szCs w:val="24"/>
          <w:highlight w:val="none"/>
          <w:shd w:val="clear" w:color="auto" w:fill="FFFFFF"/>
        </w:rPr>
        <w:t>附件2：</w:t>
      </w:r>
    </w:p>
    <w:p w14:paraId="7453BFFD">
      <w:pPr>
        <w:pStyle w:val="85"/>
        <w:widowControl/>
        <w:autoSpaceDE w:val="0"/>
        <w:adjustRightInd w:val="0"/>
        <w:snapToGrid w:val="0"/>
        <w:spacing w:line="360" w:lineRule="auto"/>
        <w:rPr>
          <w:rStyle w:val="81"/>
          <w:rFonts w:hint="eastAsia" w:ascii="宋体" w:hAnsi="宋体"/>
          <w:b/>
          <w:bCs/>
          <w:color w:val="auto"/>
          <w:sz w:val="24"/>
          <w:szCs w:val="24"/>
          <w:highlight w:val="none"/>
        </w:rPr>
      </w:pPr>
      <w:r>
        <w:rPr>
          <w:rStyle w:val="81"/>
          <w:rFonts w:hint="eastAsia" w:ascii="宋体" w:hAnsi="宋体"/>
          <w:b/>
          <w:bCs/>
          <w:color w:val="auto"/>
          <w:sz w:val="24"/>
          <w:szCs w:val="24"/>
          <w:highlight w:val="none"/>
          <w:shd w:val="clear" w:color="auto" w:fill="FFFFFF"/>
        </w:rPr>
        <w:t>发包人供应材料设备一览表</w:t>
      </w:r>
      <w:bookmarkEnd w:id="293"/>
      <w:bookmarkEnd w:id="294"/>
      <w:bookmarkEnd w:id="295"/>
      <w:bookmarkEnd w:id="296"/>
      <w:bookmarkEnd w:id="297"/>
      <w:bookmarkEnd w:id="298"/>
      <w:bookmarkEnd w:id="299"/>
      <w:bookmarkEnd w:id="300"/>
    </w:p>
    <w:tbl>
      <w:tblPr>
        <w:tblStyle w:val="31"/>
        <w:tblW w:w="0" w:type="auto"/>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561"/>
        <w:gridCol w:w="1548"/>
        <w:gridCol w:w="975"/>
        <w:gridCol w:w="562"/>
        <w:gridCol w:w="562"/>
        <w:gridCol w:w="1181"/>
        <w:gridCol w:w="975"/>
        <w:gridCol w:w="975"/>
        <w:gridCol w:w="975"/>
        <w:gridCol w:w="562"/>
      </w:tblGrid>
      <w:tr w14:paraId="65919C3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561"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40144DC">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序号</w:t>
            </w:r>
          </w:p>
        </w:tc>
        <w:tc>
          <w:tcPr>
            <w:tcW w:w="154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24CDFB6C">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材料、设备品种</w:t>
            </w:r>
          </w:p>
        </w:tc>
        <w:tc>
          <w:tcPr>
            <w:tcW w:w="975"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4A50CB2">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规格型号</w:t>
            </w:r>
          </w:p>
        </w:tc>
        <w:tc>
          <w:tcPr>
            <w:tcW w:w="56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07DC9371">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单位</w:t>
            </w:r>
          </w:p>
        </w:tc>
        <w:tc>
          <w:tcPr>
            <w:tcW w:w="56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16476CC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数量</w:t>
            </w:r>
          </w:p>
        </w:tc>
        <w:tc>
          <w:tcPr>
            <w:tcW w:w="1181"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5F65456">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单价（元）</w:t>
            </w:r>
          </w:p>
        </w:tc>
        <w:tc>
          <w:tcPr>
            <w:tcW w:w="975"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149D36E8">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质量等级</w:t>
            </w:r>
          </w:p>
        </w:tc>
        <w:tc>
          <w:tcPr>
            <w:tcW w:w="975"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6BDF6D2">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供应时间</w:t>
            </w:r>
          </w:p>
        </w:tc>
        <w:tc>
          <w:tcPr>
            <w:tcW w:w="975"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39E83A05">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送达地点</w:t>
            </w:r>
          </w:p>
        </w:tc>
        <w:tc>
          <w:tcPr>
            <w:tcW w:w="56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361B618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备注</w:t>
            </w:r>
          </w:p>
        </w:tc>
      </w:tr>
      <w:tr w14:paraId="506AF79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331399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08814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3FFA9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C08BA3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B81212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EB788D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E98DB7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14E22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DF963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E6DF84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785BF3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F50AB3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EE867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E4288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3FF0A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E54DE1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E74710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906247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F67AD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7064BE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A582C1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34314D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7BEA13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7B412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7316DD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7FEDE9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823134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BF9516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56C54B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910257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AA5B99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D6C2D2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84AF54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B65CF9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9ED6B5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CEB4A4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05FFD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8A056A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0585B7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6DB721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ACEE1E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F76425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192D0B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9692D8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998D1F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4DA9C7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287083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170BBA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AB5AB5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B50B56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59315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E8BA04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9ED64D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E17AF09">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63EE32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240EB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F405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71A31D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6E7D8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2B2338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893AA7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A71C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152841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BD936E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C1D6F9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56570D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51CF0BD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B79AAB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A1936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830EB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027F64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286B1D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897B4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62AE59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B7A7DC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9A1433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C281A4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703526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C31380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B14617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B70D2B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DFD496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EA8CAE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BB71F1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1C654F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EB489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6F3EA6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CFA670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C42559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339EE60">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03890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DC7B2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964512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5AADC3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19329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8C56D6">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EE2C49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2AD3126">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3A4FFC0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BB8B2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DB6A2F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D69D9E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BCCCD1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46FBD5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C8D3E7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03AB22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1497E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767A05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068709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124254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06DD96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ABAFB0">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4A48D7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2C9D9D3">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FC1746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9743226">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B73BB0">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8527A7">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6AA06C4">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DD103F">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6F08EDC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1ED0BB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05CDB47">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CFF82E4">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44F7D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163F54">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27B5CBA">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4DDAB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FC1949D">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DDB0A7A">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5583732">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6BD9B42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FF46C8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D78B72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27B16B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F266A5C">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24A0CDF">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2D3600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08526F5">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66B62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5C9C69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A4C383D">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13D892F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5EA4586">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E2E8C9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1403D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7EEBF74">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37CE9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1808CA5">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307DE7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2F5A827">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33DA0D2">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5CCE0CB">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44E5F54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BE231DE">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D8C3F1">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DC4FA4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F9AE1B5">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0741C4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5D1C59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AEF68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8B4B89E">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389A95A">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D20CCC1">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2F896DC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1AE98FC">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C34D5A">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D2134DF">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3430C70">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E7F39E6">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B1E03E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EC375DE">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8E1EC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B2C4791">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7F5A1D6">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4EB14E9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6F44315">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F873B0D">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7A78C9B">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2BA7BE">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1E20427">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BB2BC55">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E3FAFD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3D4E1C1">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E54BDB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001863E">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r w14:paraId="7687106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561"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9F51A93">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54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445EF5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A537B94">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6F3A248">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9A1F1D1">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118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DFE9B49">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F0B3AF6">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DD246A0">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975"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A4BFEB3">
            <w:pPr>
              <w:pStyle w:val="80"/>
              <w:widowControl/>
              <w:autoSpaceDE w:val="0"/>
              <w:adjustRightInd w:val="0"/>
              <w:snapToGrid w:val="0"/>
              <w:spacing w:line="360" w:lineRule="auto"/>
              <w:jc w:val="center"/>
              <w:rPr>
                <w:rStyle w:val="81"/>
                <w:rFonts w:ascii="宋体" w:hAnsi="宋体" w:eastAsia="宋体"/>
                <w:color w:val="auto"/>
                <w:sz w:val="24"/>
                <w:highlight w:val="none"/>
              </w:rPr>
            </w:pPr>
          </w:p>
        </w:tc>
        <w:tc>
          <w:tcPr>
            <w:tcW w:w="56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DDC7F45">
            <w:pPr>
              <w:pStyle w:val="80"/>
              <w:widowControl/>
              <w:autoSpaceDE w:val="0"/>
              <w:adjustRightInd w:val="0"/>
              <w:snapToGrid w:val="0"/>
              <w:spacing w:line="360" w:lineRule="auto"/>
              <w:jc w:val="center"/>
              <w:rPr>
                <w:rStyle w:val="81"/>
                <w:rFonts w:ascii="宋体" w:hAnsi="宋体" w:eastAsia="宋体"/>
                <w:color w:val="auto"/>
                <w:sz w:val="24"/>
                <w:highlight w:val="none"/>
              </w:rPr>
            </w:pPr>
          </w:p>
        </w:tc>
      </w:tr>
    </w:tbl>
    <w:p w14:paraId="78252146">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0039C220">
      <w:pPr>
        <w:pStyle w:val="80"/>
        <w:widowControl/>
        <w:autoSpaceDE w:val="0"/>
        <w:adjustRightInd w:val="0"/>
        <w:snapToGrid w:val="0"/>
        <w:spacing w:line="360" w:lineRule="auto"/>
        <w:rPr>
          <w:rStyle w:val="81"/>
          <w:rFonts w:hint="eastAsia" w:ascii="宋体" w:hAnsi="宋体" w:eastAsia="宋体"/>
          <w:color w:val="auto"/>
          <w:kern w:val="0"/>
          <w:sz w:val="24"/>
          <w:highlight w:val="none"/>
          <w:shd w:val="clear" w:color="auto" w:fill="FFFFFF"/>
        </w:rPr>
      </w:pPr>
    </w:p>
    <w:p w14:paraId="4D9AC6DA">
      <w:pPr>
        <w:pStyle w:val="85"/>
        <w:widowControl/>
        <w:autoSpaceDE w:val="0"/>
        <w:adjustRightInd w:val="0"/>
        <w:snapToGrid w:val="0"/>
        <w:spacing w:line="360" w:lineRule="auto"/>
        <w:jc w:val="left"/>
        <w:rPr>
          <w:rStyle w:val="81"/>
          <w:rFonts w:hint="eastAsia" w:ascii="宋体" w:hAnsi="宋体"/>
          <w:color w:val="auto"/>
          <w:sz w:val="24"/>
          <w:szCs w:val="24"/>
          <w:highlight w:val="none"/>
        </w:rPr>
      </w:pPr>
      <w:bookmarkStart w:id="301" w:name="_Toc256000172_0"/>
      <w:bookmarkStart w:id="302" w:name="_Toc256000426"/>
      <w:bookmarkStart w:id="303" w:name="_Toc256000057_0"/>
      <w:bookmarkStart w:id="304" w:name="_Toc256000220"/>
      <w:bookmarkStart w:id="305" w:name="_Toc256000061_0"/>
      <w:bookmarkStart w:id="306" w:name="_Toc256000266"/>
      <w:bookmarkStart w:id="307" w:name="_Toc256000368"/>
      <w:bookmarkStart w:id="308" w:name="_Toc256000126_0"/>
      <w:r>
        <w:rPr>
          <w:rStyle w:val="81"/>
          <w:rFonts w:hint="eastAsia" w:ascii="宋体" w:hAnsi="宋体"/>
          <w:color w:val="auto"/>
          <w:sz w:val="24"/>
          <w:szCs w:val="24"/>
          <w:highlight w:val="none"/>
          <w:shd w:val="clear" w:color="auto" w:fill="FFFFFF"/>
        </w:rPr>
        <w:t>附件3：</w:t>
      </w:r>
      <w:bookmarkEnd w:id="301"/>
      <w:bookmarkEnd w:id="302"/>
      <w:bookmarkEnd w:id="303"/>
      <w:bookmarkEnd w:id="304"/>
      <w:bookmarkEnd w:id="305"/>
      <w:bookmarkEnd w:id="306"/>
      <w:bookmarkEnd w:id="307"/>
      <w:bookmarkEnd w:id="308"/>
    </w:p>
    <w:p w14:paraId="209F2618">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工程质量保修书</w:t>
      </w:r>
    </w:p>
    <w:p w14:paraId="251E2F7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发包人（全称）：</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p>
    <w:p w14:paraId="300AACC9">
      <w:pPr>
        <w:pStyle w:val="80"/>
        <w:widowControl/>
        <w:autoSpaceDE w:val="0"/>
        <w:adjustRightInd w:val="0"/>
        <w:snapToGrid w:val="0"/>
        <w:spacing w:line="360" w:lineRule="auto"/>
        <w:ind w:firstLine="42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承包人（全称）：</w:t>
      </w:r>
      <w:r>
        <w:rPr>
          <w:rStyle w:val="81"/>
          <w:rFonts w:hint="eastAsia" w:ascii="宋体" w:hAnsi="宋体" w:eastAsia="宋体"/>
          <w:color w:val="auto"/>
          <w:kern w:val="0"/>
          <w:sz w:val="24"/>
          <w:highlight w:val="none"/>
          <w:u w:val="single"/>
          <w:shd w:val="clear" w:color="auto" w:fill="FFFFFF"/>
        </w:rPr>
        <w:t xml:space="preserve">                   </w:t>
      </w:r>
    </w:p>
    <w:p w14:paraId="5BD79A4A">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p>
    <w:p w14:paraId="340A7BAE">
      <w:pPr>
        <w:pStyle w:val="80"/>
        <w:widowControl/>
        <w:autoSpaceDE w:val="0"/>
        <w:adjustRightInd w:val="0"/>
        <w:snapToGrid w:val="0"/>
        <w:spacing w:line="360" w:lineRule="auto"/>
        <w:ind w:firstLine="52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发包人和承包人根据《中华人民共和国建筑法》和《建设工程质量管理条例》，经协商一致就</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（工程全称）签订工程质量保修书。</w:t>
      </w:r>
    </w:p>
    <w:p w14:paraId="13616620">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一、工程质量保修范围和内容</w:t>
      </w:r>
    </w:p>
    <w:p w14:paraId="2BCE3A52">
      <w:pPr>
        <w:pStyle w:val="80"/>
        <w:widowControl/>
        <w:autoSpaceDE w:val="0"/>
        <w:adjustRightInd w:val="0"/>
        <w:snapToGrid w:val="0"/>
        <w:spacing w:line="360" w:lineRule="auto"/>
        <w:ind w:firstLine="52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承包人在质量保修期内，按照有关法律规定和合同约定，承担工程质量保修责任。</w:t>
      </w:r>
    </w:p>
    <w:p w14:paraId="28385C05">
      <w:pPr>
        <w:pStyle w:val="80"/>
        <w:widowControl/>
        <w:autoSpaceDE w:val="0"/>
        <w:adjustRightInd w:val="0"/>
        <w:snapToGrid w:val="0"/>
        <w:spacing w:line="360" w:lineRule="auto"/>
        <w:ind w:firstLine="52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5AA16332">
      <w:pPr>
        <w:pStyle w:val="80"/>
        <w:widowControl/>
        <w:autoSpaceDE w:val="0"/>
        <w:adjustRightInd w:val="0"/>
        <w:snapToGrid w:val="0"/>
        <w:spacing w:line="360" w:lineRule="auto"/>
        <w:ind w:firstLine="42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w:t>
      </w:r>
    </w:p>
    <w:p w14:paraId="74994B9F">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二、质量保修期</w:t>
      </w:r>
    </w:p>
    <w:p w14:paraId="208D0AC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根据《建设工程质量管理条例》及有关规定，工程的质量保修期如下：</w:t>
      </w:r>
    </w:p>
    <w:p w14:paraId="5EDEC08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1．地基基础工程和主体结构工程为设计文件规定的工程合理使用年限；</w:t>
      </w:r>
    </w:p>
    <w:p w14:paraId="41B3F342">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2．屋面防水工程、有防水要求的卫生间、房间和外墙面的防渗为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p>
    <w:p w14:paraId="28E88BAE">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3．装修工程为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p>
    <w:p w14:paraId="23F7B28B">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4．电气管线、给排水管道、设备安装工程为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p>
    <w:p w14:paraId="01AB1FF9">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5．供热与供冷系统为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个采暖期、供冷期；</w:t>
      </w:r>
    </w:p>
    <w:p w14:paraId="54E62A9C">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6．住宅小区内的给排水设施、道路等配套工程为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p>
    <w:p w14:paraId="576CC188">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7．其他项目保修期限约定如下：</w:t>
      </w:r>
    </w:p>
    <w:p w14:paraId="6F394DDF">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w:t>
      </w:r>
    </w:p>
    <w:p w14:paraId="3258FC21">
      <w:pPr>
        <w:pStyle w:val="80"/>
        <w:widowControl/>
        <w:autoSpaceDE w:val="0"/>
        <w:adjustRightInd w:val="0"/>
        <w:snapToGrid w:val="0"/>
        <w:spacing w:line="360" w:lineRule="auto"/>
        <w:ind w:firstLine="150"/>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质量保修期自工程竣工验收合格之日起计算。</w:t>
      </w:r>
    </w:p>
    <w:p w14:paraId="313CC322">
      <w:pPr>
        <w:pStyle w:val="80"/>
        <w:widowControl/>
        <w:autoSpaceDE w:val="0"/>
        <w:adjustRightInd w:val="0"/>
        <w:snapToGrid w:val="0"/>
        <w:spacing w:line="360" w:lineRule="auto"/>
        <w:ind w:firstLine="150"/>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 xml:space="preserve"> </w:t>
      </w:r>
    </w:p>
    <w:p w14:paraId="2F464A78">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三、缺陷责任期</w:t>
      </w:r>
    </w:p>
    <w:p w14:paraId="066F447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工程缺陷责任期为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个月，缺陷责任期自工程通过竣工验收之日起计算。单位工程先于全部工程进行验收，单位工程缺陷责任期自单位工程验收合格之日起算。</w:t>
      </w:r>
    </w:p>
    <w:p w14:paraId="4F17B4F6">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缺陷责任期终止后，发包人应退还剩余的质量保证金。</w:t>
      </w:r>
    </w:p>
    <w:p w14:paraId="24E9CD54">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四、质量保修责任</w:t>
      </w:r>
    </w:p>
    <w:p w14:paraId="24B1FAB8">
      <w:pPr>
        <w:pStyle w:val="80"/>
        <w:widowControl/>
        <w:autoSpaceDE w:val="0"/>
        <w:adjustRightInd w:val="0"/>
        <w:snapToGrid w:val="0"/>
        <w:spacing w:line="360" w:lineRule="auto"/>
        <w:ind w:firstLine="61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1．属于保修范围、内容的项目，承包人应当在接到保修通知之日起7天内派人保修。承包人不在约定期限内派人保修的，发包人可以委托他人修理。</w:t>
      </w:r>
    </w:p>
    <w:p w14:paraId="690FEE5E">
      <w:pPr>
        <w:pStyle w:val="80"/>
        <w:widowControl/>
        <w:autoSpaceDE w:val="0"/>
        <w:adjustRightInd w:val="0"/>
        <w:snapToGrid w:val="0"/>
        <w:spacing w:line="360" w:lineRule="auto"/>
        <w:ind w:firstLine="61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2．发生紧急事故需抢修的，承包人在接到事故通知后，应当立即到达事故现场抢修。</w:t>
      </w:r>
    </w:p>
    <w:p w14:paraId="0257F043">
      <w:pPr>
        <w:pStyle w:val="80"/>
        <w:widowControl/>
        <w:autoSpaceDE w:val="0"/>
        <w:adjustRightInd w:val="0"/>
        <w:snapToGrid w:val="0"/>
        <w:spacing w:line="360" w:lineRule="auto"/>
        <w:ind w:firstLine="61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13BE7657">
      <w:pPr>
        <w:pStyle w:val="80"/>
        <w:widowControl/>
        <w:autoSpaceDE w:val="0"/>
        <w:adjustRightInd w:val="0"/>
        <w:snapToGrid w:val="0"/>
        <w:spacing w:line="360" w:lineRule="auto"/>
        <w:ind w:firstLine="150"/>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4．质量保修完成后，由发包人组织验收。</w:t>
      </w:r>
    </w:p>
    <w:p w14:paraId="41EBED11">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五、保修费用</w:t>
      </w:r>
    </w:p>
    <w:p w14:paraId="661834FB">
      <w:pPr>
        <w:pStyle w:val="80"/>
        <w:widowControl/>
        <w:autoSpaceDE w:val="0"/>
        <w:adjustRightInd w:val="0"/>
        <w:snapToGrid w:val="0"/>
        <w:spacing w:line="360" w:lineRule="auto"/>
        <w:ind w:firstLine="615"/>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保修费用由造成质量缺陷的责任方承担。</w:t>
      </w:r>
    </w:p>
    <w:p w14:paraId="6F1B4637">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六、双方约定的其他工程质量保修事项 </w:t>
      </w:r>
    </w:p>
    <w:p w14:paraId="1E488DB5">
      <w:pPr>
        <w:pStyle w:val="80"/>
        <w:widowControl/>
        <w:autoSpaceDE w:val="0"/>
        <w:adjustRightInd w:val="0"/>
        <w:snapToGrid w:val="0"/>
        <w:spacing w:line="360" w:lineRule="auto"/>
        <w:ind w:firstLine="15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w:t>
      </w:r>
    </w:p>
    <w:p w14:paraId="1292D4C2">
      <w:pPr>
        <w:pStyle w:val="80"/>
        <w:widowControl/>
        <w:autoSpaceDE w:val="0"/>
        <w:adjustRightInd w:val="0"/>
        <w:snapToGrid w:val="0"/>
        <w:spacing w:line="360" w:lineRule="auto"/>
        <w:ind w:firstLine="570"/>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工程质量保修书由发包人、承包人在工程竣工验收前共同签署，作为施工合同附件，其有效期限至保修期满。</w:t>
      </w:r>
    </w:p>
    <w:p w14:paraId="29E3BA02">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发包人(公章)：</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承包人(公章)：</w:t>
      </w:r>
      <w:r>
        <w:rPr>
          <w:rStyle w:val="81"/>
          <w:rFonts w:hint="eastAsia" w:ascii="宋体" w:hAnsi="宋体" w:eastAsia="宋体"/>
          <w:color w:val="auto"/>
          <w:kern w:val="0"/>
          <w:sz w:val="24"/>
          <w:highlight w:val="none"/>
          <w:u w:val="single"/>
          <w:shd w:val="clear" w:color="auto" w:fill="FFFFFF"/>
        </w:rPr>
        <w:t xml:space="preserve">        </w:t>
      </w:r>
    </w:p>
    <w:p w14:paraId="61B26942">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地  址：</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地  址：</w:t>
      </w:r>
      <w:r>
        <w:rPr>
          <w:rStyle w:val="81"/>
          <w:rFonts w:hint="eastAsia" w:ascii="宋体" w:hAnsi="宋体" w:eastAsia="宋体"/>
          <w:color w:val="auto"/>
          <w:kern w:val="0"/>
          <w:sz w:val="24"/>
          <w:highlight w:val="none"/>
          <w:u w:val="single"/>
          <w:shd w:val="clear" w:color="auto" w:fill="FFFFFF"/>
        </w:rPr>
        <w:t xml:space="preserve">          </w:t>
      </w:r>
    </w:p>
    <w:p w14:paraId="1F965D89">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法定代表人(签字)：</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法定代表人(签字)：</w:t>
      </w:r>
      <w:r>
        <w:rPr>
          <w:rStyle w:val="81"/>
          <w:rFonts w:hint="eastAsia" w:ascii="宋体" w:hAnsi="宋体" w:eastAsia="宋体"/>
          <w:color w:val="auto"/>
          <w:kern w:val="0"/>
          <w:sz w:val="24"/>
          <w:highlight w:val="none"/>
          <w:u w:val="single"/>
          <w:shd w:val="clear" w:color="auto" w:fill="FFFFFF"/>
        </w:rPr>
        <w:t xml:space="preserve">       </w:t>
      </w:r>
    </w:p>
    <w:p w14:paraId="11B0EC3A">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委托代理人(签字)：</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委托代理人(签字)：</w:t>
      </w:r>
      <w:r>
        <w:rPr>
          <w:rStyle w:val="81"/>
          <w:rFonts w:hint="eastAsia" w:ascii="宋体" w:hAnsi="宋体" w:eastAsia="宋体"/>
          <w:color w:val="auto"/>
          <w:kern w:val="0"/>
          <w:sz w:val="24"/>
          <w:highlight w:val="none"/>
          <w:u w:val="single"/>
          <w:shd w:val="clear" w:color="auto" w:fill="FFFFFF"/>
        </w:rPr>
        <w:t xml:space="preserve">       </w:t>
      </w:r>
    </w:p>
    <w:p w14:paraId="17076AB6">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  话：</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电  话：</w:t>
      </w:r>
      <w:r>
        <w:rPr>
          <w:rStyle w:val="81"/>
          <w:rFonts w:hint="eastAsia" w:ascii="宋体" w:hAnsi="宋体" w:eastAsia="宋体"/>
          <w:color w:val="auto"/>
          <w:kern w:val="0"/>
          <w:sz w:val="24"/>
          <w:highlight w:val="none"/>
          <w:u w:val="single"/>
          <w:shd w:val="clear" w:color="auto" w:fill="FFFFFF"/>
        </w:rPr>
        <w:t xml:space="preserve">          </w:t>
      </w:r>
    </w:p>
    <w:p w14:paraId="52D2712E">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传  真：</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传  真：</w:t>
      </w:r>
      <w:r>
        <w:rPr>
          <w:rStyle w:val="81"/>
          <w:rFonts w:hint="eastAsia" w:ascii="宋体" w:hAnsi="宋体" w:eastAsia="宋体"/>
          <w:color w:val="auto"/>
          <w:kern w:val="0"/>
          <w:sz w:val="24"/>
          <w:highlight w:val="none"/>
          <w:u w:val="single"/>
          <w:shd w:val="clear" w:color="auto" w:fill="FFFFFF"/>
        </w:rPr>
        <w:t xml:space="preserve">             </w:t>
      </w:r>
    </w:p>
    <w:p w14:paraId="401F262B">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开户银行：</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开户银行：</w:t>
      </w:r>
      <w:r>
        <w:rPr>
          <w:rStyle w:val="81"/>
          <w:rFonts w:hint="eastAsia" w:ascii="宋体" w:hAnsi="宋体" w:eastAsia="宋体"/>
          <w:color w:val="auto"/>
          <w:kern w:val="0"/>
          <w:sz w:val="24"/>
          <w:highlight w:val="none"/>
          <w:u w:val="single"/>
          <w:shd w:val="clear" w:color="auto" w:fill="FFFFFF"/>
        </w:rPr>
        <w:t xml:space="preserve">         </w:t>
      </w:r>
    </w:p>
    <w:p w14:paraId="5BFBC42E">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账  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账  号：</w:t>
      </w:r>
      <w:r>
        <w:rPr>
          <w:rStyle w:val="81"/>
          <w:rFonts w:hint="eastAsia" w:ascii="宋体" w:hAnsi="宋体" w:eastAsia="宋体"/>
          <w:color w:val="auto"/>
          <w:kern w:val="0"/>
          <w:sz w:val="24"/>
          <w:highlight w:val="none"/>
          <w:u w:val="single"/>
          <w:shd w:val="clear" w:color="auto" w:fill="FFFFFF"/>
        </w:rPr>
        <w:t xml:space="preserve">          </w:t>
      </w:r>
    </w:p>
    <w:p w14:paraId="13A6C75A">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邮政编码：</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shd w:val="clear" w:color="auto" w:fill="FFFFFF"/>
          <w:lang w:val="en-US" w:eastAsia="zh-CN"/>
        </w:rPr>
        <w:t xml:space="preserve">               </w:t>
      </w:r>
      <w:r>
        <w:rPr>
          <w:rStyle w:val="81"/>
          <w:rFonts w:hint="eastAsia" w:ascii="宋体" w:hAnsi="宋体" w:eastAsia="宋体"/>
          <w:color w:val="auto"/>
          <w:kern w:val="0"/>
          <w:sz w:val="24"/>
          <w:highlight w:val="none"/>
          <w:shd w:val="clear" w:color="auto" w:fill="FFFFFF"/>
        </w:rPr>
        <w:t>邮政编码：</w:t>
      </w:r>
      <w:r>
        <w:rPr>
          <w:rStyle w:val="81"/>
          <w:rFonts w:hint="eastAsia" w:ascii="宋体" w:hAnsi="宋体" w:eastAsia="宋体"/>
          <w:color w:val="auto"/>
          <w:kern w:val="0"/>
          <w:sz w:val="24"/>
          <w:highlight w:val="none"/>
          <w:u w:val="single"/>
          <w:shd w:val="clear" w:color="auto" w:fill="FFFFFF"/>
        </w:rPr>
        <w:t xml:space="preserve">           </w:t>
      </w:r>
      <w:r>
        <w:rPr>
          <w:rFonts w:hint="eastAsia" w:ascii="宋体" w:hAnsi="宋体" w:eastAsia="宋体" w:cs="Times New Roman"/>
          <w:color w:val="auto"/>
          <w:sz w:val="24"/>
          <w:highlight w:val="none"/>
          <w:shd w:val="clear" w:color="auto" w:fill="FFFFFF"/>
        </w:rPr>
        <w:br w:type="page"/>
      </w:r>
      <w:bookmarkStart w:id="309" w:name="_Toc256000058_0"/>
      <w:r>
        <w:rPr>
          <w:rStyle w:val="81"/>
          <w:rFonts w:hint="eastAsia" w:ascii="宋体" w:hAnsi="宋体" w:eastAsia="宋体"/>
          <w:b/>
          <w:bCs/>
          <w:color w:val="auto"/>
          <w:sz w:val="24"/>
          <w:highlight w:val="none"/>
          <w:shd w:val="clear" w:color="auto" w:fill="FFFFFF"/>
        </w:rPr>
        <w:t>附件4：</w:t>
      </w:r>
      <w:bookmarkEnd w:id="309"/>
    </w:p>
    <w:p w14:paraId="118B84E5">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主要建设工程文件目录</w:t>
      </w:r>
    </w:p>
    <w:tbl>
      <w:tblPr>
        <w:tblStyle w:val="31"/>
        <w:tblW w:w="9039"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1953"/>
        <w:gridCol w:w="1276"/>
        <w:gridCol w:w="1450"/>
        <w:gridCol w:w="1243"/>
        <w:gridCol w:w="1450"/>
        <w:gridCol w:w="1667"/>
      </w:tblGrid>
      <w:tr w14:paraId="07C8D7C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953"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FB69CCF">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文件名称</w:t>
            </w:r>
          </w:p>
        </w:tc>
        <w:tc>
          <w:tcPr>
            <w:tcW w:w="1276"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BF95D7F">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套数</w:t>
            </w:r>
          </w:p>
        </w:tc>
        <w:tc>
          <w:tcPr>
            <w:tcW w:w="145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2C17E95D">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费用（元）</w:t>
            </w:r>
          </w:p>
        </w:tc>
        <w:tc>
          <w:tcPr>
            <w:tcW w:w="1243"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7DB9908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质量</w:t>
            </w:r>
          </w:p>
        </w:tc>
        <w:tc>
          <w:tcPr>
            <w:tcW w:w="145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1CA82B6E">
            <w:pPr>
              <w:pStyle w:val="80"/>
              <w:widowControl/>
              <w:autoSpaceDE w:val="0"/>
              <w:adjustRightInd w:val="0"/>
              <w:snapToGrid w:val="0"/>
              <w:spacing w:line="360" w:lineRule="auto"/>
              <w:jc w:val="center"/>
              <w:rPr>
                <w:rStyle w:val="81"/>
                <w:rFonts w:ascii="宋体" w:hAnsi="宋体" w:eastAsia="宋体"/>
                <w:color w:val="auto"/>
                <w:sz w:val="24"/>
                <w:highlight w:val="none"/>
              </w:rPr>
            </w:pPr>
            <w:r>
              <w:rPr>
                <w:rStyle w:val="81"/>
                <w:rFonts w:hint="eastAsia" w:ascii="宋体" w:hAnsi="宋体" w:eastAsia="宋体"/>
                <w:color w:val="auto"/>
                <w:kern w:val="0"/>
                <w:sz w:val="24"/>
                <w:highlight w:val="none"/>
              </w:rPr>
              <w:t>移交时间</w:t>
            </w:r>
          </w:p>
        </w:tc>
        <w:tc>
          <w:tcPr>
            <w:tcW w:w="1667"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2E26E2B0">
            <w:pPr>
              <w:pStyle w:val="80"/>
              <w:widowControl/>
              <w:autoSpaceDE w:val="0"/>
              <w:adjustRightInd w:val="0"/>
              <w:snapToGrid w:val="0"/>
              <w:spacing w:line="360" w:lineRule="auto"/>
              <w:jc w:val="center"/>
              <w:rPr>
                <w:rStyle w:val="81"/>
                <w:rFonts w:ascii="宋体" w:hAnsi="宋体" w:eastAsia="宋体"/>
                <w:color w:val="auto"/>
                <w:sz w:val="24"/>
                <w:highlight w:val="none"/>
              </w:rPr>
            </w:pPr>
            <w:r>
              <w:rPr>
                <w:rStyle w:val="81"/>
                <w:rFonts w:hint="eastAsia" w:ascii="宋体" w:hAnsi="宋体" w:eastAsia="宋体"/>
                <w:color w:val="auto"/>
                <w:kern w:val="0"/>
                <w:sz w:val="24"/>
                <w:highlight w:val="none"/>
              </w:rPr>
              <w:t>责任人</w:t>
            </w:r>
          </w:p>
        </w:tc>
      </w:tr>
      <w:tr w14:paraId="3709D25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5155436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84321D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B5E59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490EEF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B955BC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5B8519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CF6B65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312E8B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0F4F22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B5D723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103B65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CC145E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D6252D5">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0EAD27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5F7F20E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F7F900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20905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494ADB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838BE5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1FD5C5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FE4C0D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F761B1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1750D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ED19E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1C6868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B1E67B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44EFB4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AED5F0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6DD728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3CDC1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132002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EE8202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FBEEB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DD6B8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FDA9F2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D6E608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2E41C5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03FF4F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69F36C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90C8ED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AB2D25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3E1DDD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5CE8F4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8901E4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6F7A41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48225E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6326A2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CA898A2">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377024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F5349D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848D3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69795E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294786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0030D9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C0D705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1862B7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49F019A">
            <w:pPr>
              <w:pStyle w:val="80"/>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0ADB95A">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D0DCBBB">
            <w:pPr>
              <w:pStyle w:val="80"/>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DD3ED4B">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8FC36D6">
            <w:pPr>
              <w:pStyle w:val="80"/>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FFC116C">
            <w:pPr>
              <w:pStyle w:val="80"/>
              <w:widowControl/>
              <w:autoSpaceDE w:val="0"/>
              <w:adjustRightInd w:val="0"/>
              <w:snapToGrid w:val="0"/>
              <w:spacing w:line="360" w:lineRule="auto"/>
              <w:rPr>
                <w:rStyle w:val="81"/>
                <w:rFonts w:ascii="宋体" w:hAnsi="宋体" w:eastAsia="宋体"/>
                <w:color w:val="auto"/>
                <w:sz w:val="24"/>
                <w:highlight w:val="none"/>
              </w:rPr>
            </w:pPr>
          </w:p>
        </w:tc>
      </w:tr>
      <w:tr w14:paraId="3F6630E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4BB8D0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75E3B2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E77526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1590A8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F441F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753244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7B6641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1E821EA">
            <w:pPr>
              <w:pStyle w:val="80"/>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4C36AF5">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5DEC6D1">
            <w:pPr>
              <w:pStyle w:val="80"/>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8EEF117">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1765585">
            <w:pPr>
              <w:pStyle w:val="80"/>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B2A418D">
            <w:pPr>
              <w:pStyle w:val="80"/>
              <w:widowControl/>
              <w:autoSpaceDE w:val="0"/>
              <w:adjustRightInd w:val="0"/>
              <w:snapToGrid w:val="0"/>
              <w:spacing w:line="360" w:lineRule="auto"/>
              <w:rPr>
                <w:rStyle w:val="81"/>
                <w:rFonts w:ascii="宋体" w:hAnsi="宋体" w:eastAsia="宋体"/>
                <w:color w:val="auto"/>
                <w:sz w:val="24"/>
                <w:highlight w:val="none"/>
              </w:rPr>
            </w:pPr>
          </w:p>
        </w:tc>
      </w:tr>
      <w:tr w14:paraId="4692AC1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7B52A31">
            <w:pPr>
              <w:pStyle w:val="80"/>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E45E5D9">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67F7006">
            <w:pPr>
              <w:pStyle w:val="80"/>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4879753">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3C0793F">
            <w:pPr>
              <w:pStyle w:val="80"/>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8BB6B10">
            <w:pPr>
              <w:pStyle w:val="80"/>
              <w:widowControl/>
              <w:autoSpaceDE w:val="0"/>
              <w:adjustRightInd w:val="0"/>
              <w:snapToGrid w:val="0"/>
              <w:spacing w:line="360" w:lineRule="auto"/>
              <w:rPr>
                <w:rStyle w:val="81"/>
                <w:rFonts w:ascii="宋体" w:hAnsi="宋体" w:eastAsia="宋体"/>
                <w:color w:val="auto"/>
                <w:sz w:val="24"/>
                <w:highlight w:val="none"/>
              </w:rPr>
            </w:pPr>
          </w:p>
        </w:tc>
      </w:tr>
      <w:tr w14:paraId="5C4FACD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750898EC">
            <w:pPr>
              <w:pStyle w:val="80"/>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6BC6290">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C4FD3D0">
            <w:pPr>
              <w:pStyle w:val="80"/>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BA24B63">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A9E45F">
            <w:pPr>
              <w:pStyle w:val="80"/>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B60B31F">
            <w:pPr>
              <w:pStyle w:val="80"/>
              <w:widowControl/>
              <w:autoSpaceDE w:val="0"/>
              <w:adjustRightInd w:val="0"/>
              <w:snapToGrid w:val="0"/>
              <w:spacing w:line="360" w:lineRule="auto"/>
              <w:rPr>
                <w:rStyle w:val="81"/>
                <w:rFonts w:ascii="宋体" w:hAnsi="宋体" w:eastAsia="宋体"/>
                <w:color w:val="auto"/>
                <w:sz w:val="24"/>
                <w:highlight w:val="none"/>
              </w:rPr>
            </w:pPr>
          </w:p>
        </w:tc>
      </w:tr>
      <w:tr w14:paraId="6EA91D1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953"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23A3ADB">
            <w:pPr>
              <w:pStyle w:val="80"/>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CA284BA">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36E2045">
            <w:pPr>
              <w:pStyle w:val="80"/>
              <w:widowControl/>
              <w:autoSpaceDE w:val="0"/>
              <w:adjustRightInd w:val="0"/>
              <w:snapToGrid w:val="0"/>
              <w:spacing w:line="360" w:lineRule="auto"/>
              <w:rPr>
                <w:rStyle w:val="81"/>
                <w:rFonts w:ascii="宋体" w:hAnsi="宋体" w:eastAsia="宋体"/>
                <w:color w:val="auto"/>
                <w:sz w:val="24"/>
                <w:highlight w:val="none"/>
              </w:rPr>
            </w:pPr>
          </w:p>
        </w:tc>
        <w:tc>
          <w:tcPr>
            <w:tcW w:w="1243"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52FB420">
            <w:pPr>
              <w:pStyle w:val="80"/>
              <w:widowControl/>
              <w:autoSpaceDE w:val="0"/>
              <w:adjustRightInd w:val="0"/>
              <w:snapToGrid w:val="0"/>
              <w:spacing w:line="360" w:lineRule="auto"/>
              <w:rPr>
                <w:rStyle w:val="81"/>
                <w:rFonts w:ascii="宋体" w:hAnsi="宋体" w:eastAsia="宋体"/>
                <w:color w:val="auto"/>
                <w:sz w:val="24"/>
                <w:highlight w:val="none"/>
              </w:rPr>
            </w:pPr>
          </w:p>
        </w:tc>
        <w:tc>
          <w:tcPr>
            <w:tcW w:w="14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7608B22">
            <w:pPr>
              <w:pStyle w:val="80"/>
              <w:widowControl/>
              <w:autoSpaceDE w:val="0"/>
              <w:adjustRightInd w:val="0"/>
              <w:snapToGrid w:val="0"/>
              <w:spacing w:line="360" w:lineRule="auto"/>
              <w:rPr>
                <w:rStyle w:val="81"/>
                <w:rFonts w:ascii="宋体" w:hAnsi="宋体" w:eastAsia="宋体"/>
                <w:color w:val="auto"/>
                <w:sz w:val="24"/>
                <w:highlight w:val="none"/>
              </w:rPr>
            </w:pPr>
          </w:p>
        </w:tc>
        <w:tc>
          <w:tcPr>
            <w:tcW w:w="1667"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6F664A0">
            <w:pPr>
              <w:pStyle w:val="80"/>
              <w:widowControl/>
              <w:autoSpaceDE w:val="0"/>
              <w:adjustRightInd w:val="0"/>
              <w:snapToGrid w:val="0"/>
              <w:spacing w:line="360" w:lineRule="auto"/>
              <w:rPr>
                <w:rStyle w:val="81"/>
                <w:rFonts w:ascii="宋体" w:hAnsi="宋体" w:eastAsia="宋体"/>
                <w:color w:val="auto"/>
                <w:sz w:val="24"/>
                <w:highlight w:val="none"/>
              </w:rPr>
            </w:pPr>
          </w:p>
        </w:tc>
      </w:tr>
    </w:tbl>
    <w:p w14:paraId="7432BA0A">
      <w:pPr>
        <w:pStyle w:val="80"/>
        <w:widowControl/>
        <w:autoSpaceDE w:val="0"/>
        <w:adjustRightInd w:val="0"/>
        <w:snapToGrid w:val="0"/>
        <w:spacing w:line="360" w:lineRule="auto"/>
        <w:rPr>
          <w:rStyle w:val="81"/>
          <w:rFonts w:hint="eastAsia" w:ascii="宋体" w:hAnsi="宋体" w:eastAsia="宋体"/>
          <w:color w:val="auto"/>
          <w:sz w:val="24"/>
          <w:highlight w:val="none"/>
        </w:rPr>
      </w:pPr>
    </w:p>
    <w:p w14:paraId="02AFC982">
      <w:pPr>
        <w:pStyle w:val="85"/>
        <w:widowControl/>
        <w:autoSpaceDE w:val="0"/>
        <w:adjustRightInd w:val="0"/>
        <w:snapToGrid w:val="0"/>
        <w:spacing w:line="360" w:lineRule="auto"/>
        <w:jc w:val="left"/>
        <w:rPr>
          <w:rStyle w:val="81"/>
          <w:rFonts w:hint="eastAsia" w:ascii="宋体" w:hAnsi="宋体"/>
          <w:color w:val="auto"/>
          <w:sz w:val="24"/>
          <w:szCs w:val="24"/>
          <w:highlight w:val="none"/>
        </w:rPr>
      </w:pPr>
      <w:r>
        <w:rPr>
          <w:rFonts w:hint="eastAsia" w:ascii="宋体" w:hAnsi="宋体"/>
          <w:color w:val="auto"/>
          <w:sz w:val="24"/>
          <w:szCs w:val="24"/>
          <w:highlight w:val="none"/>
          <w:shd w:val="clear" w:color="auto" w:fill="FFFFFF"/>
        </w:rPr>
        <w:br w:type="page"/>
      </w:r>
      <w:bookmarkStart w:id="310" w:name="_Toc256000369"/>
      <w:bookmarkStart w:id="311" w:name="_Toc256000267"/>
      <w:bookmarkStart w:id="312" w:name="_Toc256000427"/>
      <w:bookmarkStart w:id="313" w:name="_Toc256000173_0"/>
      <w:bookmarkStart w:id="314" w:name="_Toc256000127_0"/>
      <w:bookmarkStart w:id="315" w:name="_Toc256000221"/>
      <w:bookmarkStart w:id="316" w:name="_Toc256000062_0"/>
      <w:r>
        <w:rPr>
          <w:rStyle w:val="81"/>
          <w:rFonts w:hint="eastAsia" w:ascii="宋体" w:hAnsi="宋体"/>
          <w:color w:val="auto"/>
          <w:sz w:val="24"/>
          <w:szCs w:val="24"/>
          <w:highlight w:val="none"/>
          <w:shd w:val="clear" w:color="auto" w:fill="FFFFFF"/>
        </w:rPr>
        <w:t>附件5：</w:t>
      </w:r>
      <w:bookmarkEnd w:id="310"/>
      <w:bookmarkEnd w:id="311"/>
      <w:bookmarkEnd w:id="312"/>
      <w:bookmarkEnd w:id="313"/>
      <w:bookmarkEnd w:id="314"/>
      <w:bookmarkEnd w:id="315"/>
      <w:bookmarkEnd w:id="316"/>
    </w:p>
    <w:p w14:paraId="053CC39B">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承包人用于本工程施工的机械设备表</w:t>
      </w:r>
    </w:p>
    <w:tbl>
      <w:tblPr>
        <w:tblStyle w:val="31"/>
        <w:tblW w:w="9809"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1162"/>
        <w:gridCol w:w="1418"/>
        <w:gridCol w:w="850"/>
        <w:gridCol w:w="1058"/>
        <w:gridCol w:w="880"/>
        <w:gridCol w:w="1020"/>
        <w:gridCol w:w="1480"/>
        <w:gridCol w:w="1020"/>
        <w:gridCol w:w="921"/>
      </w:tblGrid>
      <w:tr w14:paraId="7D05EA1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162"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3900331">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序号</w:t>
            </w:r>
          </w:p>
        </w:tc>
        <w:tc>
          <w:tcPr>
            <w:tcW w:w="141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3CE7910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机械或设备名称</w:t>
            </w:r>
          </w:p>
        </w:tc>
        <w:tc>
          <w:tcPr>
            <w:tcW w:w="85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28306F2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规格型号</w:t>
            </w:r>
          </w:p>
        </w:tc>
        <w:tc>
          <w:tcPr>
            <w:tcW w:w="105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F5E4081">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数量</w:t>
            </w:r>
          </w:p>
        </w:tc>
        <w:tc>
          <w:tcPr>
            <w:tcW w:w="88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62F99F0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产地</w:t>
            </w:r>
          </w:p>
        </w:tc>
        <w:tc>
          <w:tcPr>
            <w:tcW w:w="102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390CD4F3">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制造年份</w:t>
            </w:r>
          </w:p>
        </w:tc>
        <w:tc>
          <w:tcPr>
            <w:tcW w:w="148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4D542062">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额定功率(kW)</w:t>
            </w:r>
          </w:p>
        </w:tc>
        <w:tc>
          <w:tcPr>
            <w:tcW w:w="1020"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497A8C5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生产能力</w:t>
            </w:r>
          </w:p>
        </w:tc>
        <w:tc>
          <w:tcPr>
            <w:tcW w:w="921"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BE73340">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备注</w:t>
            </w:r>
          </w:p>
        </w:tc>
      </w:tr>
      <w:tr w14:paraId="3C32B34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43C5A8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BA5F7C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B3E305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55DE60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1C39BB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AA4F2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E5EA4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9225FD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A0A5BD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6E09EC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D4631D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646942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22FA67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3EF37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143BC3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132017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9973B3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8F7A0D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59F84E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621CD9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78858C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2F16AF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E2F370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1A65D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B1790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86D00E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AEA9A8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18F19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A3C3622">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9EC56C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3D241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183F6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1AB22E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5184A3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24AA3A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5B1118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734F5A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E65A62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357720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017AC9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3477A8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B34487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57A318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918B7C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1A1062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08C04C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CCC07F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5A8A2E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0C9492">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C1A701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5D5881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545AD7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A0B166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C8FFE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2D12C2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FCBB6A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DA4845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678821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C66623F">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2C59A6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521481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9AE1C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B1CDCB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4F71A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010B59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43BD2C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8CABBE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C3F3F3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817C1B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708BF2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39ABB3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164373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E44F7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612009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44FFC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8166CE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EF3B23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E028DE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DFF704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5EAC53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477FD07">
            <w:pPr>
              <w:pStyle w:val="80"/>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10EC820">
            <w:pPr>
              <w:pStyle w:val="80"/>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8A6A111">
            <w:pPr>
              <w:pStyle w:val="80"/>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E522503">
            <w:pPr>
              <w:pStyle w:val="80"/>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79594D5">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0F9D8F4">
            <w:pPr>
              <w:pStyle w:val="80"/>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EB6DBDE">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8EB2829">
            <w:pPr>
              <w:pStyle w:val="80"/>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FAB0A8A">
            <w:pPr>
              <w:pStyle w:val="80"/>
              <w:widowControl/>
              <w:autoSpaceDE w:val="0"/>
              <w:adjustRightInd w:val="0"/>
              <w:snapToGrid w:val="0"/>
              <w:spacing w:line="360" w:lineRule="auto"/>
              <w:rPr>
                <w:rStyle w:val="81"/>
                <w:rFonts w:ascii="宋体" w:hAnsi="宋体" w:eastAsia="宋体"/>
                <w:color w:val="auto"/>
                <w:sz w:val="24"/>
                <w:highlight w:val="none"/>
              </w:rPr>
            </w:pPr>
          </w:p>
        </w:tc>
      </w:tr>
      <w:tr w14:paraId="1CF8924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5E6EC4E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E6D593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B669DC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3C2178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621A0F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9AF293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93748A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649E2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9295B92">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57CEDB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6AC82AD">
            <w:pPr>
              <w:pStyle w:val="80"/>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ED0E80E">
            <w:pPr>
              <w:pStyle w:val="80"/>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17376B7">
            <w:pPr>
              <w:pStyle w:val="80"/>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2F9898B">
            <w:pPr>
              <w:pStyle w:val="80"/>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28EF507">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98244CB">
            <w:pPr>
              <w:pStyle w:val="80"/>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526340F">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BB4E6FF">
            <w:pPr>
              <w:pStyle w:val="80"/>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A1EE806">
            <w:pPr>
              <w:pStyle w:val="80"/>
              <w:widowControl/>
              <w:autoSpaceDE w:val="0"/>
              <w:adjustRightInd w:val="0"/>
              <w:snapToGrid w:val="0"/>
              <w:spacing w:line="360" w:lineRule="auto"/>
              <w:rPr>
                <w:rStyle w:val="81"/>
                <w:rFonts w:ascii="宋体" w:hAnsi="宋体" w:eastAsia="宋体"/>
                <w:color w:val="auto"/>
                <w:sz w:val="24"/>
                <w:highlight w:val="none"/>
              </w:rPr>
            </w:pPr>
          </w:p>
        </w:tc>
      </w:tr>
      <w:tr w14:paraId="769C644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9A805DC">
            <w:pPr>
              <w:pStyle w:val="80"/>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C92007E">
            <w:pPr>
              <w:pStyle w:val="80"/>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A436431">
            <w:pPr>
              <w:pStyle w:val="80"/>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A1C2EA5">
            <w:pPr>
              <w:pStyle w:val="80"/>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573F032">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8379D30">
            <w:pPr>
              <w:pStyle w:val="80"/>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4B6C9CD">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F59890C">
            <w:pPr>
              <w:pStyle w:val="80"/>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19074BD">
            <w:pPr>
              <w:pStyle w:val="80"/>
              <w:widowControl/>
              <w:autoSpaceDE w:val="0"/>
              <w:adjustRightInd w:val="0"/>
              <w:snapToGrid w:val="0"/>
              <w:spacing w:line="360" w:lineRule="auto"/>
              <w:rPr>
                <w:rStyle w:val="81"/>
                <w:rFonts w:ascii="宋体" w:hAnsi="宋体" w:eastAsia="宋体"/>
                <w:color w:val="auto"/>
                <w:sz w:val="24"/>
                <w:highlight w:val="none"/>
              </w:rPr>
            </w:pPr>
          </w:p>
        </w:tc>
      </w:tr>
      <w:tr w14:paraId="5055E64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1C7F904">
            <w:pPr>
              <w:pStyle w:val="80"/>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A80DD2B">
            <w:pPr>
              <w:pStyle w:val="80"/>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56B4313">
            <w:pPr>
              <w:pStyle w:val="80"/>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0A5C1EB">
            <w:pPr>
              <w:pStyle w:val="80"/>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4127D89">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4FBF65D">
            <w:pPr>
              <w:pStyle w:val="80"/>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BD566AD">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5A619A0">
            <w:pPr>
              <w:pStyle w:val="80"/>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3A741F3">
            <w:pPr>
              <w:pStyle w:val="80"/>
              <w:widowControl/>
              <w:autoSpaceDE w:val="0"/>
              <w:adjustRightInd w:val="0"/>
              <w:snapToGrid w:val="0"/>
              <w:spacing w:line="360" w:lineRule="auto"/>
              <w:rPr>
                <w:rStyle w:val="81"/>
                <w:rFonts w:ascii="宋体" w:hAnsi="宋体" w:eastAsia="宋体"/>
                <w:color w:val="auto"/>
                <w:sz w:val="24"/>
                <w:highlight w:val="none"/>
              </w:rPr>
            </w:pPr>
          </w:p>
        </w:tc>
      </w:tr>
      <w:tr w14:paraId="53AA67A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5AE20313">
            <w:pPr>
              <w:pStyle w:val="80"/>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896311A">
            <w:pPr>
              <w:pStyle w:val="80"/>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E5ABD55">
            <w:pPr>
              <w:pStyle w:val="80"/>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62ADC54">
            <w:pPr>
              <w:pStyle w:val="80"/>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CC222D3">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6D14BC5">
            <w:pPr>
              <w:pStyle w:val="80"/>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E392CA5">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BF8293F">
            <w:pPr>
              <w:pStyle w:val="80"/>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89CF651">
            <w:pPr>
              <w:pStyle w:val="80"/>
              <w:widowControl/>
              <w:autoSpaceDE w:val="0"/>
              <w:adjustRightInd w:val="0"/>
              <w:snapToGrid w:val="0"/>
              <w:spacing w:line="360" w:lineRule="auto"/>
              <w:rPr>
                <w:rStyle w:val="81"/>
                <w:rFonts w:ascii="宋体" w:hAnsi="宋体" w:eastAsia="宋体"/>
                <w:color w:val="auto"/>
                <w:sz w:val="24"/>
                <w:highlight w:val="none"/>
              </w:rPr>
            </w:pPr>
          </w:p>
        </w:tc>
      </w:tr>
      <w:tr w14:paraId="465E42A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567" w:hRule="atLeast"/>
          <w:jc w:val="center"/>
        </w:trPr>
        <w:tc>
          <w:tcPr>
            <w:tcW w:w="116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4C39434">
            <w:pPr>
              <w:pStyle w:val="80"/>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243C010">
            <w:pPr>
              <w:pStyle w:val="80"/>
              <w:widowControl/>
              <w:autoSpaceDE w:val="0"/>
              <w:adjustRightInd w:val="0"/>
              <w:snapToGrid w:val="0"/>
              <w:spacing w:line="360" w:lineRule="auto"/>
              <w:rPr>
                <w:rStyle w:val="81"/>
                <w:rFonts w:ascii="宋体" w:hAnsi="宋体" w:eastAsia="宋体"/>
                <w:color w:val="auto"/>
                <w:sz w:val="24"/>
                <w:highlight w:val="none"/>
              </w:rPr>
            </w:pPr>
          </w:p>
        </w:tc>
        <w:tc>
          <w:tcPr>
            <w:tcW w:w="85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D947906">
            <w:pPr>
              <w:pStyle w:val="80"/>
              <w:widowControl/>
              <w:autoSpaceDE w:val="0"/>
              <w:adjustRightInd w:val="0"/>
              <w:snapToGrid w:val="0"/>
              <w:spacing w:line="360" w:lineRule="auto"/>
              <w:rPr>
                <w:rStyle w:val="81"/>
                <w:rFonts w:ascii="宋体" w:hAnsi="宋体" w:eastAsia="宋体"/>
                <w:color w:val="auto"/>
                <w:sz w:val="24"/>
                <w:highlight w:val="none"/>
              </w:rPr>
            </w:pPr>
          </w:p>
        </w:tc>
        <w:tc>
          <w:tcPr>
            <w:tcW w:w="105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794B342">
            <w:pPr>
              <w:pStyle w:val="80"/>
              <w:widowControl/>
              <w:autoSpaceDE w:val="0"/>
              <w:adjustRightInd w:val="0"/>
              <w:snapToGrid w:val="0"/>
              <w:spacing w:line="360" w:lineRule="auto"/>
              <w:rPr>
                <w:rStyle w:val="81"/>
                <w:rFonts w:ascii="宋体" w:hAnsi="宋体" w:eastAsia="宋体"/>
                <w:color w:val="auto"/>
                <w:sz w:val="24"/>
                <w:highlight w:val="none"/>
              </w:rPr>
            </w:pPr>
          </w:p>
        </w:tc>
        <w:tc>
          <w:tcPr>
            <w:tcW w:w="8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7DBAB5C">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5049090">
            <w:pPr>
              <w:pStyle w:val="80"/>
              <w:widowControl/>
              <w:autoSpaceDE w:val="0"/>
              <w:adjustRightInd w:val="0"/>
              <w:snapToGrid w:val="0"/>
              <w:spacing w:line="360" w:lineRule="auto"/>
              <w:rPr>
                <w:rStyle w:val="81"/>
                <w:rFonts w:ascii="宋体" w:hAnsi="宋体" w:eastAsia="宋体"/>
                <w:color w:val="auto"/>
                <w:sz w:val="24"/>
                <w:highlight w:val="none"/>
              </w:rPr>
            </w:pPr>
          </w:p>
        </w:tc>
        <w:tc>
          <w:tcPr>
            <w:tcW w:w="148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9771249">
            <w:pPr>
              <w:pStyle w:val="80"/>
              <w:widowControl/>
              <w:autoSpaceDE w:val="0"/>
              <w:adjustRightInd w:val="0"/>
              <w:snapToGrid w:val="0"/>
              <w:spacing w:line="360" w:lineRule="auto"/>
              <w:rPr>
                <w:rStyle w:val="81"/>
                <w:rFonts w:ascii="宋体" w:hAnsi="宋体" w:eastAsia="宋体"/>
                <w:color w:val="auto"/>
                <w:sz w:val="24"/>
                <w:highlight w:val="none"/>
              </w:rPr>
            </w:pPr>
          </w:p>
        </w:tc>
        <w:tc>
          <w:tcPr>
            <w:tcW w:w="1020"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A499548">
            <w:pPr>
              <w:pStyle w:val="80"/>
              <w:widowControl/>
              <w:autoSpaceDE w:val="0"/>
              <w:adjustRightInd w:val="0"/>
              <w:snapToGrid w:val="0"/>
              <w:spacing w:line="360" w:lineRule="auto"/>
              <w:rPr>
                <w:rStyle w:val="81"/>
                <w:rFonts w:ascii="宋体" w:hAnsi="宋体" w:eastAsia="宋体"/>
                <w:color w:val="auto"/>
                <w:sz w:val="24"/>
                <w:highlight w:val="none"/>
              </w:rPr>
            </w:pPr>
          </w:p>
        </w:tc>
        <w:tc>
          <w:tcPr>
            <w:tcW w:w="92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B21EC9D">
            <w:pPr>
              <w:pStyle w:val="80"/>
              <w:widowControl/>
              <w:autoSpaceDE w:val="0"/>
              <w:adjustRightInd w:val="0"/>
              <w:snapToGrid w:val="0"/>
              <w:spacing w:line="360" w:lineRule="auto"/>
              <w:rPr>
                <w:rStyle w:val="81"/>
                <w:rFonts w:ascii="宋体" w:hAnsi="宋体" w:eastAsia="宋体"/>
                <w:color w:val="auto"/>
                <w:sz w:val="24"/>
                <w:highlight w:val="none"/>
              </w:rPr>
            </w:pPr>
          </w:p>
        </w:tc>
      </w:tr>
    </w:tbl>
    <w:p w14:paraId="044C40CA">
      <w:pPr>
        <w:pStyle w:val="80"/>
        <w:widowControl/>
        <w:autoSpaceDE w:val="0"/>
        <w:adjustRightInd w:val="0"/>
        <w:snapToGrid w:val="0"/>
        <w:spacing w:line="360" w:lineRule="auto"/>
        <w:rPr>
          <w:rStyle w:val="81"/>
          <w:rFonts w:hint="eastAsia" w:ascii="宋体" w:hAnsi="宋体" w:eastAsia="宋体"/>
          <w:color w:val="auto"/>
          <w:sz w:val="24"/>
          <w:highlight w:val="none"/>
        </w:rPr>
      </w:pPr>
    </w:p>
    <w:p w14:paraId="309C6AFE">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68843F17">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01BA889A">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298B0CD1">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0DB34B22">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6E88EB4F">
      <w:pPr>
        <w:pStyle w:val="80"/>
        <w:widowControl/>
        <w:autoSpaceDE w:val="0"/>
        <w:adjustRightInd w:val="0"/>
        <w:snapToGrid w:val="0"/>
        <w:spacing w:line="360" w:lineRule="auto"/>
        <w:rPr>
          <w:rStyle w:val="81"/>
          <w:rFonts w:hint="eastAsia" w:ascii="宋体" w:hAnsi="宋体" w:eastAsia="宋体"/>
          <w:color w:val="auto"/>
          <w:sz w:val="24"/>
          <w:highlight w:val="none"/>
          <w:shd w:val="clear" w:color="auto" w:fill="FFFFFF"/>
        </w:rPr>
      </w:pPr>
    </w:p>
    <w:p w14:paraId="6F8BFD36">
      <w:pPr>
        <w:pStyle w:val="80"/>
        <w:widowControl/>
        <w:autoSpaceDE w:val="0"/>
        <w:adjustRightInd w:val="0"/>
        <w:snapToGrid w:val="0"/>
        <w:spacing w:line="360" w:lineRule="auto"/>
        <w:ind w:firstLine="602" w:firstLineChars="250"/>
        <w:jc w:val="left"/>
        <w:rPr>
          <w:rStyle w:val="81"/>
          <w:rFonts w:hint="eastAsia" w:ascii="宋体" w:hAnsi="宋体" w:eastAsia="宋体"/>
          <w:b/>
          <w:bCs/>
          <w:color w:val="auto"/>
          <w:sz w:val="24"/>
          <w:highlight w:val="none"/>
          <w:shd w:val="clear" w:color="auto" w:fill="FFFFFF"/>
        </w:rPr>
      </w:pPr>
      <w:r>
        <w:rPr>
          <w:rStyle w:val="81"/>
          <w:rFonts w:hint="eastAsia" w:ascii="宋体" w:hAnsi="宋体" w:eastAsia="宋体"/>
          <w:b/>
          <w:bCs/>
          <w:color w:val="auto"/>
          <w:sz w:val="24"/>
          <w:highlight w:val="none"/>
          <w:shd w:val="clear" w:color="auto" w:fill="FFFFFF"/>
        </w:rPr>
        <w:t>附件6：</w:t>
      </w:r>
    </w:p>
    <w:p w14:paraId="6872D5DA">
      <w:pPr>
        <w:pStyle w:val="80"/>
        <w:widowControl/>
        <w:autoSpaceDE w:val="0"/>
        <w:adjustRightInd w:val="0"/>
        <w:snapToGrid w:val="0"/>
        <w:spacing w:line="360" w:lineRule="auto"/>
        <w:ind w:firstLine="602" w:firstLineChars="250"/>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承包人主要施工管理人员表</w:t>
      </w:r>
    </w:p>
    <w:tbl>
      <w:tblPr>
        <w:tblStyle w:val="31"/>
        <w:tblW w:w="0" w:type="auto"/>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1834"/>
        <w:gridCol w:w="1182"/>
        <w:gridCol w:w="974"/>
        <w:gridCol w:w="974"/>
        <w:gridCol w:w="3398"/>
      </w:tblGrid>
      <w:tr w14:paraId="66BFDC4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F9DE5E8">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名称</w:t>
            </w:r>
          </w:p>
        </w:tc>
        <w:tc>
          <w:tcPr>
            <w:tcW w:w="118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3B0DA01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姓名</w:t>
            </w:r>
          </w:p>
        </w:tc>
        <w:tc>
          <w:tcPr>
            <w:tcW w:w="97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4024580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职务</w:t>
            </w:r>
          </w:p>
        </w:tc>
        <w:tc>
          <w:tcPr>
            <w:tcW w:w="97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382F516">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职称</w:t>
            </w:r>
          </w:p>
        </w:tc>
        <w:tc>
          <w:tcPr>
            <w:tcW w:w="339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BC5DD9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主要资历、经验及承担过的项目</w:t>
            </w:r>
          </w:p>
        </w:tc>
      </w:tr>
      <w:tr w14:paraId="7D17F09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362" w:type="dxa"/>
            <w:gridSpan w:val="5"/>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A8A466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一、总部人员</w:t>
            </w:r>
          </w:p>
        </w:tc>
      </w:tr>
      <w:tr w14:paraId="669966C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90" w:hRule="atLeast"/>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E1874DA">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项目主管</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1FDEC1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B9FD4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AC25B6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229B7A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83713F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324" w:hRule="atLeast"/>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62AEE0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3D0FD4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2AB2BE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5A7E99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BBACF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D98A0C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trHeight w:val="440" w:hRule="atLeast"/>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9464966">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其他人员</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04126E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426327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17ED80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AF97B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D3D508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CEFEF2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7B8356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4373B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603B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17340F3">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B708AE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362" w:type="dxa"/>
            <w:gridSpan w:val="5"/>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2A1072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二、现场人员</w:t>
            </w:r>
          </w:p>
        </w:tc>
      </w:tr>
      <w:tr w14:paraId="7035552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1181F6C">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项目经理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26051B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A8F73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C77659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33737F5">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32257F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4704DB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项目副经理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BB63F9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5D04E1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A2C233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3757C2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9DB052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86C696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技术负责人</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7E1C0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B1672B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BA2705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AE2C53">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CE2F34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4F7763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造价管理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25BFBC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ED83C5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827B1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0353D0F">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C94D87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EDD03E5">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质量管理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02AACB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51C621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1E0477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FB0C60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400D98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3CF7D3A5">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材料管理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A99238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69CAF7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FD84D4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150F75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7F19F8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71415E23">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计划管理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6BAEDC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E2879E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43BCA6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EB8B66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265F11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C1FB69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安全管理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CDA831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0BEA82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B7A90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6BE3FC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26FC9F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vMerge w:val="restart"/>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A50BD8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其他人员</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CACA94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08939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8507AC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790E5F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4EE2AB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74AEDD18">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43DA43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C7F459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C38E9F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AB51AC9">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ED9553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7E48AA56">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2E1CCB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D65C02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AEA53B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6A2AF0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F105AA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0CEF5726">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09BDE2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638903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79A73E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F710B7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81E98B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6CFABB9C">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A56AA6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CFE08E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D8E913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C4E6BD2">
            <w:pPr>
              <w:pStyle w:val="86"/>
              <w:keepNext/>
              <w:widowControl/>
              <w:autoSpaceDE w:val="0"/>
              <w:adjustRightInd w:val="0"/>
              <w:snapToGrid w:val="0"/>
              <w:spacing w:line="360" w:lineRule="auto"/>
              <w:rPr>
                <w:rStyle w:val="81"/>
                <w:rFonts w:ascii="宋体" w:hAnsi="宋体" w:eastAsia="宋体"/>
                <w:color w:val="auto"/>
                <w:sz w:val="24"/>
                <w:highlight w:val="none"/>
              </w:rPr>
            </w:pPr>
          </w:p>
        </w:tc>
      </w:tr>
    </w:tbl>
    <w:p w14:paraId="190F336E">
      <w:pPr>
        <w:pStyle w:val="85"/>
        <w:widowControl/>
        <w:autoSpaceDE w:val="0"/>
        <w:adjustRightInd w:val="0"/>
        <w:snapToGrid w:val="0"/>
        <w:spacing w:line="360" w:lineRule="auto"/>
        <w:rPr>
          <w:rStyle w:val="81"/>
          <w:rFonts w:hint="eastAsia" w:ascii="宋体" w:hAnsi="宋体"/>
          <w:color w:val="auto"/>
          <w:sz w:val="24"/>
          <w:szCs w:val="24"/>
          <w:highlight w:val="none"/>
          <w:shd w:val="clear" w:color="auto" w:fill="FFFFFF"/>
        </w:rPr>
      </w:pPr>
    </w:p>
    <w:p w14:paraId="6D61AE77">
      <w:pPr>
        <w:pStyle w:val="85"/>
        <w:widowControl/>
        <w:autoSpaceDE w:val="0"/>
        <w:adjustRightInd w:val="0"/>
        <w:snapToGrid w:val="0"/>
        <w:spacing w:line="360" w:lineRule="auto"/>
        <w:rPr>
          <w:rStyle w:val="81"/>
          <w:rFonts w:hint="eastAsia" w:ascii="宋体" w:hAnsi="宋体"/>
          <w:color w:val="auto"/>
          <w:sz w:val="24"/>
          <w:szCs w:val="24"/>
          <w:highlight w:val="none"/>
          <w:shd w:val="clear" w:color="auto" w:fill="FFFFFF"/>
        </w:rPr>
      </w:pPr>
    </w:p>
    <w:p w14:paraId="35AA364E">
      <w:pPr>
        <w:pStyle w:val="85"/>
        <w:widowControl/>
        <w:autoSpaceDE w:val="0"/>
        <w:adjustRightInd w:val="0"/>
        <w:snapToGrid w:val="0"/>
        <w:spacing w:line="360" w:lineRule="auto"/>
        <w:rPr>
          <w:rStyle w:val="81"/>
          <w:rFonts w:hint="eastAsia" w:ascii="宋体" w:hAnsi="宋体"/>
          <w:color w:val="auto"/>
          <w:sz w:val="24"/>
          <w:szCs w:val="24"/>
          <w:highlight w:val="none"/>
          <w:shd w:val="clear" w:color="auto" w:fill="FFFFFF"/>
        </w:rPr>
      </w:pPr>
    </w:p>
    <w:p w14:paraId="1E3101C1">
      <w:pPr>
        <w:pStyle w:val="85"/>
        <w:widowControl/>
        <w:autoSpaceDE w:val="0"/>
        <w:adjustRightInd w:val="0"/>
        <w:snapToGrid w:val="0"/>
        <w:spacing w:line="360" w:lineRule="auto"/>
        <w:rPr>
          <w:rStyle w:val="81"/>
          <w:rFonts w:hint="eastAsia" w:ascii="宋体" w:hAnsi="宋体"/>
          <w:color w:val="auto"/>
          <w:sz w:val="24"/>
          <w:szCs w:val="24"/>
          <w:highlight w:val="none"/>
          <w:shd w:val="clear" w:color="auto" w:fill="FFFFFF"/>
        </w:rPr>
      </w:pPr>
    </w:p>
    <w:p w14:paraId="2271D165">
      <w:pPr>
        <w:pStyle w:val="85"/>
        <w:widowControl/>
        <w:autoSpaceDE w:val="0"/>
        <w:adjustRightInd w:val="0"/>
        <w:snapToGrid w:val="0"/>
        <w:spacing w:line="360" w:lineRule="auto"/>
        <w:rPr>
          <w:rStyle w:val="81"/>
          <w:rFonts w:hint="eastAsia" w:ascii="宋体" w:hAnsi="宋体"/>
          <w:color w:val="auto"/>
          <w:sz w:val="24"/>
          <w:szCs w:val="24"/>
          <w:highlight w:val="none"/>
          <w:shd w:val="clear" w:color="auto" w:fill="FFFFFF"/>
        </w:rPr>
      </w:pPr>
    </w:p>
    <w:p w14:paraId="4466B844">
      <w:pPr>
        <w:pStyle w:val="85"/>
        <w:widowControl/>
        <w:autoSpaceDE w:val="0"/>
        <w:adjustRightInd w:val="0"/>
        <w:snapToGrid w:val="0"/>
        <w:spacing w:line="360" w:lineRule="auto"/>
        <w:jc w:val="both"/>
        <w:rPr>
          <w:rStyle w:val="81"/>
          <w:rFonts w:hint="eastAsia" w:ascii="宋体" w:hAnsi="宋体"/>
          <w:color w:val="auto"/>
          <w:sz w:val="24"/>
          <w:szCs w:val="24"/>
          <w:highlight w:val="none"/>
          <w:shd w:val="clear" w:color="auto" w:fill="FFFFFF"/>
        </w:rPr>
      </w:pPr>
      <w:bookmarkStart w:id="317" w:name="_Toc256000276"/>
      <w:bookmarkStart w:id="318" w:name="_Toc256000436"/>
      <w:bookmarkStart w:id="319" w:name="_Toc256000071"/>
      <w:bookmarkStart w:id="320" w:name="_Toc256000066_0"/>
      <w:bookmarkStart w:id="321" w:name="_Toc256000230"/>
      <w:bookmarkStart w:id="322" w:name="_Toc256000182"/>
      <w:bookmarkStart w:id="323" w:name="_Toc256000136_0"/>
      <w:bookmarkStart w:id="324" w:name="_Toc256000378"/>
      <w:bookmarkStart w:id="325" w:name="_Toc256000067_0"/>
      <w:r>
        <w:rPr>
          <w:rStyle w:val="81"/>
          <w:rFonts w:hint="eastAsia" w:ascii="宋体" w:hAnsi="宋体"/>
          <w:color w:val="auto"/>
          <w:sz w:val="24"/>
          <w:szCs w:val="24"/>
          <w:highlight w:val="none"/>
          <w:shd w:val="clear" w:color="auto" w:fill="FFFFFF"/>
        </w:rPr>
        <w:t>附件7：</w:t>
      </w:r>
    </w:p>
    <w:p w14:paraId="50D54BC3">
      <w:pPr>
        <w:pStyle w:val="85"/>
        <w:widowControl/>
        <w:autoSpaceDE w:val="0"/>
        <w:adjustRightInd w:val="0"/>
        <w:snapToGrid w:val="0"/>
        <w:spacing w:line="360" w:lineRule="auto"/>
        <w:ind w:firstLine="2650" w:firstLineChars="1100"/>
        <w:jc w:val="both"/>
        <w:rPr>
          <w:rStyle w:val="81"/>
          <w:rFonts w:hint="eastAsia" w:ascii="宋体" w:hAnsi="宋体"/>
          <w:color w:val="auto"/>
          <w:sz w:val="24"/>
          <w:szCs w:val="24"/>
          <w:highlight w:val="none"/>
        </w:rPr>
      </w:pPr>
      <w:r>
        <w:rPr>
          <w:rStyle w:val="81"/>
          <w:rFonts w:hint="eastAsia" w:ascii="宋体" w:hAnsi="宋体"/>
          <w:color w:val="auto"/>
          <w:sz w:val="24"/>
          <w:szCs w:val="24"/>
          <w:highlight w:val="none"/>
          <w:shd w:val="clear" w:color="auto" w:fill="FFFFFF"/>
        </w:rPr>
        <w:t>分包人主要施工管理人员表</w:t>
      </w:r>
      <w:bookmarkEnd w:id="317"/>
      <w:bookmarkEnd w:id="318"/>
      <w:bookmarkEnd w:id="319"/>
      <w:bookmarkEnd w:id="320"/>
      <w:bookmarkEnd w:id="321"/>
      <w:bookmarkEnd w:id="322"/>
      <w:bookmarkEnd w:id="323"/>
      <w:bookmarkEnd w:id="324"/>
      <w:bookmarkEnd w:id="325"/>
    </w:p>
    <w:tbl>
      <w:tblPr>
        <w:tblStyle w:val="31"/>
        <w:tblW w:w="0" w:type="auto"/>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1834"/>
        <w:gridCol w:w="1182"/>
        <w:gridCol w:w="974"/>
        <w:gridCol w:w="974"/>
        <w:gridCol w:w="3398"/>
      </w:tblGrid>
      <w:tr w14:paraId="28D9CE0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D82593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名称</w:t>
            </w:r>
          </w:p>
        </w:tc>
        <w:tc>
          <w:tcPr>
            <w:tcW w:w="118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30DBF4E5">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姓名</w:t>
            </w:r>
          </w:p>
        </w:tc>
        <w:tc>
          <w:tcPr>
            <w:tcW w:w="97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525021E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职务</w:t>
            </w:r>
          </w:p>
        </w:tc>
        <w:tc>
          <w:tcPr>
            <w:tcW w:w="97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1555D52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职称</w:t>
            </w:r>
          </w:p>
        </w:tc>
        <w:tc>
          <w:tcPr>
            <w:tcW w:w="339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center"/>
          </w:tcPr>
          <w:p w14:paraId="269437D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主要资历、经验及承担过的项目</w:t>
            </w:r>
          </w:p>
        </w:tc>
      </w:tr>
      <w:tr w14:paraId="4A031C6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362" w:type="dxa"/>
            <w:gridSpan w:val="5"/>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0CAF96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一、总部人员</w:t>
            </w:r>
          </w:p>
        </w:tc>
      </w:tr>
      <w:tr w14:paraId="502913D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A24FEA8">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项目主管</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06360B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497C37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5037A8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8058AE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216735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4EDF043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9AEDE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C82D42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F380CE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AE595D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4065C9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FF02696">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其他人员</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F24903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2B06C3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0D8912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AB78023">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4974AE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F08327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2AEB5D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5CF5B2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CB83AE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E5D2BE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E106F1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362" w:type="dxa"/>
            <w:gridSpan w:val="5"/>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190CB5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二、现场人员</w:t>
            </w:r>
          </w:p>
        </w:tc>
      </w:tr>
      <w:tr w14:paraId="689DC72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5E54C3BC">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项目经理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0C5DC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639526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EAB6FA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319ACA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AD65BC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1775CC40">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项目副经理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602A8A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B08CBF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FF241B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8ABCF4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53E39F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69AE02FD">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技术负责人</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81E0A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594F64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702FBC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A69209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030D6D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A247CE5">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造价管理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F01B49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0D24CF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363A22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933264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A37C59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0C12DB6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质量管理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BCE3BD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CEB293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AD7104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AA01400">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3ED9F4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8E76A8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材料管理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1DEE86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DCBEC7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E72C9D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8FF28F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B6ABC6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EE181AC">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计划管理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09431B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9B314F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918873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B75833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9B9269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2EC551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安全管理</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6AF10D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DE7BB3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2645EF3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D34904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C90B1A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1834" w:type="dxa"/>
            <w:vMerge w:val="restart"/>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center"/>
          </w:tcPr>
          <w:p w14:paraId="2B401ADF">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其他人员</w:t>
            </w: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9CB4E3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60D519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50F37AE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692D43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4AF9A8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390FDC64">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239245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451590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ED534E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A0E4D9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9B620A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188B85D8">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03BD6B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13302B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B62C18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5077D2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4249E5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670CEF98">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1F053A9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4AF7B18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CF1BD5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DA2260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AD0935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0" w:type="auto"/>
            <w:vMerge w:val="continue"/>
            <w:tcBorders>
              <w:top w:val="nil"/>
              <w:left w:val="single" w:color="auto" w:sz="8" w:space="0"/>
              <w:bottom w:val="single" w:color="auto" w:sz="8" w:space="0"/>
              <w:right w:val="single" w:color="auto" w:sz="8" w:space="0"/>
            </w:tcBorders>
            <w:noWrap w:val="0"/>
            <w:vAlign w:val="center"/>
          </w:tcPr>
          <w:p w14:paraId="2E700D9C">
            <w:pPr>
              <w:pStyle w:val="87"/>
              <w:widowControl/>
              <w:jc w:val="left"/>
              <w:rPr>
                <w:rStyle w:val="81"/>
                <w:rFonts w:ascii="宋体" w:hAnsi="宋体" w:eastAsia="宋体"/>
                <w:color w:val="auto"/>
                <w:sz w:val="24"/>
                <w:highlight w:val="none"/>
              </w:rPr>
            </w:pPr>
          </w:p>
        </w:tc>
        <w:tc>
          <w:tcPr>
            <w:tcW w:w="1182"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3FD9B5B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7F984CA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974"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0A70DE5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3398" w:type="dxa"/>
            <w:tcBorders>
              <w:top w:val="nil"/>
              <w:left w:val="nil"/>
              <w:bottom w:val="single" w:color="auto" w:sz="8" w:space="0"/>
              <w:right w:val="single" w:color="auto" w:sz="8" w:space="0"/>
            </w:tcBorders>
            <w:noWrap w:val="0"/>
            <w:tcMar>
              <w:top w:w="0" w:type="dxa"/>
              <w:left w:w="28" w:type="dxa"/>
              <w:bottom w:w="0" w:type="dxa"/>
              <w:right w:w="28" w:type="dxa"/>
            </w:tcMar>
            <w:vAlign w:val="center"/>
          </w:tcPr>
          <w:p w14:paraId="6703A8E8">
            <w:pPr>
              <w:pStyle w:val="86"/>
              <w:keepNext/>
              <w:widowControl/>
              <w:autoSpaceDE w:val="0"/>
              <w:adjustRightInd w:val="0"/>
              <w:snapToGrid w:val="0"/>
              <w:spacing w:line="360" w:lineRule="auto"/>
              <w:rPr>
                <w:rStyle w:val="81"/>
                <w:rFonts w:ascii="宋体" w:hAnsi="宋体" w:eastAsia="宋体"/>
                <w:color w:val="auto"/>
                <w:sz w:val="24"/>
                <w:highlight w:val="none"/>
              </w:rPr>
            </w:pPr>
          </w:p>
        </w:tc>
      </w:tr>
    </w:tbl>
    <w:p w14:paraId="44189C40">
      <w:pPr>
        <w:pStyle w:val="85"/>
        <w:widowControl/>
        <w:autoSpaceDE w:val="0"/>
        <w:adjustRightInd w:val="0"/>
        <w:snapToGrid w:val="0"/>
        <w:spacing w:line="360" w:lineRule="auto"/>
        <w:jc w:val="left"/>
        <w:rPr>
          <w:rStyle w:val="81"/>
          <w:rFonts w:hint="eastAsia" w:ascii="宋体" w:hAnsi="宋体"/>
          <w:color w:val="auto"/>
          <w:sz w:val="24"/>
          <w:szCs w:val="24"/>
          <w:highlight w:val="none"/>
        </w:rPr>
      </w:pPr>
      <w:r>
        <w:rPr>
          <w:rFonts w:hint="eastAsia" w:ascii="宋体" w:hAnsi="宋体"/>
          <w:color w:val="auto"/>
          <w:sz w:val="24"/>
          <w:szCs w:val="24"/>
          <w:highlight w:val="none"/>
          <w:shd w:val="clear" w:color="auto" w:fill="FFFFFF"/>
        </w:rPr>
        <w:br w:type="page"/>
      </w:r>
      <w:bookmarkStart w:id="326" w:name="_Toc256000072"/>
      <w:bookmarkStart w:id="327" w:name="_Toc256000231"/>
      <w:bookmarkStart w:id="328" w:name="_Toc256000437"/>
      <w:bookmarkStart w:id="329" w:name="_Toc256000277"/>
      <w:bookmarkStart w:id="330" w:name="_Toc256000183"/>
      <w:bookmarkStart w:id="331" w:name="_Toc256000379"/>
      <w:bookmarkStart w:id="332" w:name="_Toc256000137_0"/>
      <w:r>
        <w:rPr>
          <w:rStyle w:val="81"/>
          <w:rFonts w:hint="eastAsia" w:ascii="宋体" w:hAnsi="宋体"/>
          <w:color w:val="auto"/>
          <w:sz w:val="24"/>
          <w:szCs w:val="24"/>
          <w:highlight w:val="none"/>
          <w:shd w:val="clear" w:color="auto" w:fill="FFFFFF"/>
        </w:rPr>
        <w:t>附件8：</w:t>
      </w:r>
      <w:bookmarkEnd w:id="326"/>
      <w:bookmarkEnd w:id="327"/>
      <w:bookmarkEnd w:id="328"/>
      <w:bookmarkEnd w:id="329"/>
      <w:bookmarkEnd w:id="330"/>
      <w:bookmarkEnd w:id="331"/>
      <w:bookmarkEnd w:id="332"/>
    </w:p>
    <w:p w14:paraId="7AB3AB65">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履约担保</w:t>
      </w:r>
    </w:p>
    <w:p w14:paraId="20750B1E">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（发包人名称）：</w:t>
      </w:r>
    </w:p>
    <w:p w14:paraId="70541EBD">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p>
    <w:p w14:paraId="7F23550C">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鉴于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（发包人名称，以下简称“发包人”）与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（承包人名称）（以下称“承包人”）于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月</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日就</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（工程名称）施工及有关事项协商一致共同签订《建设工程施工合同》。我方愿意无条件地、不可撤销地就承包人履行与你方签订的合同，向你方提供连带责任担保。</w:t>
      </w:r>
    </w:p>
    <w:p w14:paraId="408861F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担保金额人民币（大写）</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元（¥</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w:t>
      </w:r>
    </w:p>
    <w:p w14:paraId="1BD4B7F8">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 担保有效期自你方与承包人签订的合同生效之日起至你方签发或应签发工程接收证书之日止。</w:t>
      </w:r>
    </w:p>
    <w:p w14:paraId="205D96B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在本担保有效期内，因承包人违反合同约定的义务给你方造成经济损失时，我方在收到你方以书面形式提出的在担保金额内的赔偿要求后，在7天内无条件支付。</w:t>
      </w:r>
    </w:p>
    <w:p w14:paraId="3AD2E481">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 你方和承包人按合同约定变更合同时，我方承担本担保规定的义务不变。</w:t>
      </w:r>
    </w:p>
    <w:p w14:paraId="53F4FE05">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 因本保函发生的纠纷，可由双方协商解决，协商不成的，任何一方均可提请仲裁委员会仲裁。</w:t>
      </w:r>
    </w:p>
    <w:p w14:paraId="0D3A456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 本保函自我方法定代表人（或其授权代理人）签字并加盖公章之日起生效。</w:t>
      </w:r>
    </w:p>
    <w:p w14:paraId="34281E07">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p>
    <w:p w14:paraId="06AA8AF8">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担 保 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（盖单位章）</w:t>
      </w:r>
    </w:p>
    <w:p w14:paraId="16C25B45">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法定代表人或其委托代理人：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（签字）</w:t>
      </w:r>
    </w:p>
    <w:p w14:paraId="3B62AD42">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地    址：</w:t>
      </w:r>
      <w:r>
        <w:rPr>
          <w:rStyle w:val="81"/>
          <w:rFonts w:hint="eastAsia" w:ascii="宋体" w:hAnsi="宋体" w:eastAsia="宋体"/>
          <w:color w:val="auto"/>
          <w:kern w:val="0"/>
          <w:sz w:val="24"/>
          <w:highlight w:val="none"/>
          <w:u w:val="single"/>
          <w:shd w:val="clear" w:color="auto" w:fill="FFFFFF"/>
        </w:rPr>
        <w:t xml:space="preserve">                     </w:t>
      </w:r>
    </w:p>
    <w:p w14:paraId="33667BB6">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邮政编码：</w:t>
      </w:r>
      <w:r>
        <w:rPr>
          <w:rStyle w:val="81"/>
          <w:rFonts w:hint="eastAsia" w:ascii="宋体" w:hAnsi="宋体" w:eastAsia="宋体"/>
          <w:color w:val="auto"/>
          <w:kern w:val="0"/>
          <w:sz w:val="24"/>
          <w:highlight w:val="none"/>
          <w:u w:val="single"/>
          <w:shd w:val="clear" w:color="auto" w:fill="FFFFFF"/>
        </w:rPr>
        <w:t xml:space="preserve">                     </w:t>
      </w:r>
    </w:p>
    <w:p w14:paraId="1E23AD95">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电    话：</w:t>
      </w:r>
      <w:r>
        <w:rPr>
          <w:rStyle w:val="81"/>
          <w:rFonts w:hint="eastAsia" w:ascii="宋体" w:hAnsi="宋体" w:eastAsia="宋体"/>
          <w:color w:val="auto"/>
          <w:kern w:val="0"/>
          <w:sz w:val="24"/>
          <w:highlight w:val="none"/>
          <w:u w:val="single"/>
          <w:shd w:val="clear" w:color="auto" w:fill="FFFFFF"/>
        </w:rPr>
        <w:t xml:space="preserve">                     </w:t>
      </w:r>
    </w:p>
    <w:p w14:paraId="7B012B35">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传    真：</w:t>
      </w:r>
      <w:r>
        <w:rPr>
          <w:rStyle w:val="81"/>
          <w:rFonts w:hint="eastAsia" w:ascii="宋体" w:hAnsi="宋体" w:eastAsia="宋体"/>
          <w:color w:val="auto"/>
          <w:kern w:val="0"/>
          <w:sz w:val="24"/>
          <w:highlight w:val="none"/>
          <w:u w:val="single"/>
          <w:shd w:val="clear" w:color="auto" w:fill="FFFFFF"/>
        </w:rPr>
        <w:t xml:space="preserve">                     </w:t>
      </w:r>
    </w:p>
    <w:p w14:paraId="76B6F7F7">
      <w:pPr>
        <w:pStyle w:val="80"/>
        <w:widowControl/>
        <w:autoSpaceDE w:val="0"/>
        <w:adjustRightInd w:val="0"/>
        <w:snapToGrid w:val="0"/>
        <w:spacing w:line="360" w:lineRule="auto"/>
        <w:ind w:left="1899" w:hanging="1899"/>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color w:val="auto"/>
          <w:kern w:val="0"/>
          <w:sz w:val="24"/>
          <w:highlight w:val="none"/>
          <w:u w:val="single"/>
          <w:shd w:val="clear" w:color="auto" w:fill="FFFFFF"/>
          <w:lang w:val="en-US" w:eastAsia="zh-CN"/>
        </w:rPr>
        <w:t xml:space="preserve">  </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月</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日</w:t>
      </w:r>
    </w:p>
    <w:p w14:paraId="08952E52">
      <w:pPr>
        <w:pStyle w:val="80"/>
        <w:widowControl/>
        <w:autoSpaceDE w:val="0"/>
        <w:adjustRightInd w:val="0"/>
        <w:snapToGrid w:val="0"/>
        <w:spacing w:line="360" w:lineRule="auto"/>
        <w:rPr>
          <w:rStyle w:val="81"/>
          <w:rFonts w:hint="eastAsia" w:ascii="宋体" w:hAnsi="宋体" w:eastAsia="宋体"/>
          <w:color w:val="auto"/>
          <w:sz w:val="24"/>
          <w:highlight w:val="none"/>
        </w:rPr>
      </w:pPr>
      <w:r>
        <w:rPr>
          <w:rFonts w:hint="eastAsia" w:ascii="宋体" w:hAnsi="宋体" w:eastAsia="宋体" w:cs="Times New Roman"/>
          <w:color w:val="auto"/>
          <w:sz w:val="24"/>
          <w:highlight w:val="none"/>
          <w:shd w:val="clear" w:color="auto" w:fill="FFFFFF"/>
        </w:rPr>
        <w:br w:type="page"/>
      </w:r>
      <w:r>
        <w:rPr>
          <w:rStyle w:val="81"/>
          <w:rFonts w:hint="eastAsia" w:ascii="宋体" w:hAnsi="宋体" w:eastAsia="宋体"/>
          <w:b/>
          <w:bCs/>
          <w:color w:val="auto"/>
          <w:sz w:val="24"/>
          <w:highlight w:val="none"/>
          <w:shd w:val="clear" w:color="auto" w:fill="FFFFFF"/>
        </w:rPr>
        <w:t>附件9：</w:t>
      </w:r>
    </w:p>
    <w:p w14:paraId="16682E76">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预付款担保</w:t>
      </w:r>
    </w:p>
    <w:p w14:paraId="376356B7">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 （发包人名称）：</w:t>
      </w:r>
    </w:p>
    <w:p w14:paraId="14D5E30E">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p>
    <w:p w14:paraId="4A3B6A2B">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根据</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承包人名称）（以下称“承包人”）与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（发包人名称）（以下简称“发包人”）于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月</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 xml:space="preserve">日签订的   </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（工程名称）《建设工程施工合同》，承包人按约定的金额向你方提交一份预付款担保，即有权得到你方支付相等金额的预付款。我方愿意就你方提供给承包人的预付款为承包人提供连带责任担保。</w:t>
      </w:r>
    </w:p>
    <w:p w14:paraId="3F1B4E99">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担保金额人民币（大写）</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元（¥</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w:t>
      </w:r>
    </w:p>
    <w:p w14:paraId="21980AB7">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 担保有效期自预付款支付给承包人起生效，至你方签发的进度款支付证书说明已完全扣清止。</w:t>
      </w:r>
    </w:p>
    <w:p w14:paraId="4354B5CE">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6A8C6FE0">
      <w:pPr>
        <w:pStyle w:val="80"/>
        <w:widowControl/>
        <w:autoSpaceDE w:val="0"/>
        <w:adjustRightInd w:val="0"/>
        <w:snapToGrid w:val="0"/>
        <w:spacing w:line="360" w:lineRule="auto"/>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 你方和承包人按合同约定变更合同时，我方承担本保函规定的义务不变。</w:t>
      </w:r>
    </w:p>
    <w:p w14:paraId="57E85237">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5. 因本保函发生的纠纷，可由双方协商解决，协商不成的，任何一方均可提请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仲裁委员会仲裁。</w:t>
      </w:r>
    </w:p>
    <w:p w14:paraId="16842CE4">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6. 本保函自我方法定代表人（或其授权代理人）签字并加盖公章之日起生效。</w:t>
      </w:r>
    </w:p>
    <w:p w14:paraId="57312533">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p>
    <w:p w14:paraId="7E06FF11">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担保人：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（盖单位章）</w:t>
      </w:r>
    </w:p>
    <w:p w14:paraId="0A74047D">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法定代表人或其委托代理人：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（签字）</w:t>
      </w:r>
    </w:p>
    <w:p w14:paraId="5B2978D0">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地    址：</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color w:val="auto"/>
          <w:kern w:val="0"/>
          <w:sz w:val="24"/>
          <w:highlight w:val="none"/>
          <w:u w:val="single"/>
          <w:shd w:val="clear" w:color="auto" w:fill="FFFFFF"/>
          <w:lang w:val="en-US" w:eastAsia="zh-CN"/>
        </w:rPr>
        <w:t xml:space="preserve"> </w:t>
      </w:r>
      <w:r>
        <w:rPr>
          <w:rStyle w:val="81"/>
          <w:rFonts w:hint="eastAsia" w:ascii="宋体" w:hAnsi="宋体" w:eastAsia="宋体"/>
          <w:color w:val="auto"/>
          <w:kern w:val="0"/>
          <w:sz w:val="24"/>
          <w:highlight w:val="none"/>
          <w:u w:val="single"/>
          <w:shd w:val="clear" w:color="auto" w:fill="FFFFFF"/>
        </w:rPr>
        <w:t xml:space="preserve">  </w:t>
      </w:r>
    </w:p>
    <w:p w14:paraId="34B198D3">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邮政编码：</w:t>
      </w:r>
      <w:r>
        <w:rPr>
          <w:rStyle w:val="81"/>
          <w:rFonts w:hint="eastAsia" w:ascii="宋体" w:hAnsi="宋体" w:eastAsia="宋体"/>
          <w:color w:val="auto"/>
          <w:kern w:val="0"/>
          <w:sz w:val="24"/>
          <w:highlight w:val="none"/>
          <w:u w:val="single"/>
          <w:shd w:val="clear" w:color="auto" w:fill="FFFFFF"/>
        </w:rPr>
        <w:t xml:space="preserve">                        </w:t>
      </w:r>
    </w:p>
    <w:p w14:paraId="46033885">
      <w:pPr>
        <w:pStyle w:val="80"/>
        <w:widowControl/>
        <w:autoSpaceDE w:val="0"/>
        <w:adjustRightInd w:val="0"/>
        <w:snapToGrid w:val="0"/>
        <w:spacing w:line="360" w:lineRule="auto"/>
        <w:rPr>
          <w:rStyle w:val="81"/>
          <w:rFonts w:hint="eastAsia" w:ascii="宋体" w:hAnsi="宋体" w:eastAsia="宋体"/>
          <w:color w:val="auto"/>
          <w:kern w:val="0"/>
          <w:sz w:val="24"/>
          <w:highlight w:val="none"/>
          <w:u w:val="single"/>
          <w:shd w:val="clear" w:color="auto" w:fill="FFFFFF"/>
        </w:rPr>
      </w:pPr>
      <w:r>
        <w:rPr>
          <w:rStyle w:val="81"/>
          <w:rFonts w:hint="eastAsia" w:ascii="宋体" w:hAnsi="宋体" w:eastAsia="宋体"/>
          <w:color w:val="auto"/>
          <w:kern w:val="0"/>
          <w:sz w:val="24"/>
          <w:highlight w:val="none"/>
          <w:shd w:val="clear" w:color="auto" w:fill="FFFFFF"/>
        </w:rPr>
        <w:t>电    话：</w:t>
      </w:r>
      <w:r>
        <w:rPr>
          <w:rStyle w:val="81"/>
          <w:rFonts w:hint="eastAsia" w:ascii="宋体" w:hAnsi="宋体" w:eastAsia="宋体"/>
          <w:color w:val="auto"/>
          <w:kern w:val="0"/>
          <w:sz w:val="24"/>
          <w:highlight w:val="none"/>
          <w:u w:val="single"/>
          <w:shd w:val="clear" w:color="auto" w:fill="FFFFFF"/>
        </w:rPr>
        <w:t xml:space="preserve">                        </w:t>
      </w:r>
    </w:p>
    <w:p w14:paraId="34BB0D63">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传    真：</w:t>
      </w:r>
      <w:r>
        <w:rPr>
          <w:rStyle w:val="81"/>
          <w:rFonts w:hint="eastAsia" w:ascii="宋体" w:hAnsi="宋体" w:eastAsia="宋体"/>
          <w:color w:val="auto"/>
          <w:kern w:val="0"/>
          <w:sz w:val="24"/>
          <w:highlight w:val="none"/>
          <w:u w:val="single"/>
          <w:shd w:val="clear" w:color="auto" w:fill="FFFFFF"/>
        </w:rPr>
        <w:t xml:space="preserve">                        </w:t>
      </w:r>
    </w:p>
    <w:p w14:paraId="0C04FD93">
      <w:pPr>
        <w:pStyle w:val="80"/>
        <w:widowControl/>
        <w:autoSpaceDE w:val="0"/>
        <w:adjustRightInd w:val="0"/>
        <w:snapToGrid w:val="0"/>
        <w:spacing w:line="360" w:lineRule="auto"/>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月</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日</w:t>
      </w:r>
      <w:r>
        <w:rPr>
          <w:rFonts w:hint="eastAsia" w:ascii="宋体" w:hAnsi="宋体" w:eastAsia="宋体" w:cs="Times New Roman"/>
          <w:color w:val="auto"/>
          <w:sz w:val="24"/>
          <w:highlight w:val="none"/>
          <w:shd w:val="clear" w:color="auto" w:fill="FFFFFF"/>
        </w:rPr>
        <w:br w:type="page"/>
      </w:r>
      <w:bookmarkStart w:id="333" w:name="_Toc256000070_0"/>
      <w:r>
        <w:rPr>
          <w:rStyle w:val="81"/>
          <w:rFonts w:hint="eastAsia" w:ascii="宋体" w:hAnsi="宋体" w:eastAsia="宋体"/>
          <w:b/>
          <w:bCs/>
          <w:color w:val="auto"/>
          <w:sz w:val="24"/>
          <w:highlight w:val="none"/>
          <w:shd w:val="clear" w:color="auto" w:fill="FFFFFF"/>
        </w:rPr>
        <w:t>附件10：</w:t>
      </w:r>
      <w:bookmarkEnd w:id="333"/>
    </w:p>
    <w:p w14:paraId="7BE628D0">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支付担保</w:t>
      </w:r>
    </w:p>
    <w:p w14:paraId="3CEE5014">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（承包人）：</w:t>
      </w:r>
    </w:p>
    <w:p w14:paraId="76E543B2">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鉴于你方作为承包人已经与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（发包人名称）（以下称“发包人”）于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月</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日签订了</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（工程名称）《建设工程施工合同》（以下称“主合同”），应发包人的申请，我方愿就发包人履行主合同约定的工程款支付义务以保证的方式向你方提供如下担保：</w:t>
      </w:r>
    </w:p>
    <w:p w14:paraId="4598F190">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一、保证的范围及保证金额</w:t>
      </w:r>
    </w:p>
    <w:p w14:paraId="2C7B5D8C">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我方的保证范围是主合同约定的工程款。</w:t>
      </w:r>
    </w:p>
    <w:p w14:paraId="3729B11E">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 本保函所称主合同约定的工程款是指主合同约定的除工程质量保证金以外的合同价款。</w:t>
      </w:r>
    </w:p>
    <w:p w14:paraId="54E03622">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我方保证的金额是主合同约定的工程款的</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%，数额最高不超过人民币元（大写：</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w:t>
      </w:r>
    </w:p>
    <w:p w14:paraId="02930588">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二、保证的方式及保证期间</w:t>
      </w:r>
    </w:p>
    <w:p w14:paraId="2FD0A19C">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我方保证的方式为：连带责任保证。</w:t>
      </w:r>
    </w:p>
    <w:p w14:paraId="781F31FD">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 我方保证的期间为：自本合同生效之日起至主合同约定的工程款支付完毕之日后</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日内。</w:t>
      </w:r>
    </w:p>
    <w:p w14:paraId="787C20CF">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你方与发包人协议变更工程款支付日期的，经我方书面同意后，保证期间按照变更后的支付日期做相应调整。</w:t>
      </w:r>
    </w:p>
    <w:p w14:paraId="485C3DD5">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三、承担保证责任的形式</w:t>
      </w:r>
    </w:p>
    <w:p w14:paraId="0631C447">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我方承担保证责任的形式是代为支付。发包人未按主合同约定向你方支付工程款的，由我方在保证金额内代为支付。</w:t>
      </w:r>
    </w:p>
    <w:p w14:paraId="01A0628E">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四、代偿的安排</w:t>
      </w:r>
    </w:p>
    <w:p w14:paraId="50B59A55">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你方要求我方承担保证责任的，应向我方发出书面索赔通知及发包人未支付主合同约定工程款的证明材料。索赔通知应写明要求索赔的金额，支付款项应到达的账号。</w:t>
      </w:r>
    </w:p>
    <w:p w14:paraId="68F9B943">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 在出现你方与发包人因工程质量发生争议，发包人拒绝向你方支付工程款的情形时，你方要求我方履行保证责任代为支付的，需提供符合相应条件要求的工程质量检测机构出具的质量说明材料。</w:t>
      </w:r>
    </w:p>
    <w:p w14:paraId="1028E691">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我方收到你方的书面索赔通知及相应的证明材料后７天内无条件支付。</w:t>
      </w:r>
    </w:p>
    <w:p w14:paraId="6A5DAD7B">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五、保证责任的解除</w:t>
      </w:r>
    </w:p>
    <w:p w14:paraId="70039E7A">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在本保函承诺的保证期间内，你方未书面向我方主张保证责任的，自保证期间届满次日起，我方保证责任解除。</w:t>
      </w:r>
    </w:p>
    <w:p w14:paraId="7578672A">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 发包人按主合同约定履行了工程款的全部支付义务的，自本保函承诺的保证期间届满次日起，我方保证责任解除。</w:t>
      </w:r>
    </w:p>
    <w:p w14:paraId="357F68F8">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我方按照本保函向你方履行保证责任所支付金额达到本保函保证金额时，自我方向你方支付（支付款项从我方账户划出）之日起，保证责任即解除。</w:t>
      </w:r>
    </w:p>
    <w:p w14:paraId="1D1A7840">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 按照法律法规的规定或出现应解除我方保证责任的其他情形的，我方在本保函项下的保证责任亦解除。</w:t>
      </w:r>
    </w:p>
    <w:p w14:paraId="6A3B5C11">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5. 我方解除保证责任后，你方应自我方保证责任解除之日起</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个工作日内，将本保函原件返还我方。</w:t>
      </w:r>
    </w:p>
    <w:p w14:paraId="4BF61220">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六、免责条款</w:t>
      </w:r>
    </w:p>
    <w:p w14:paraId="5CD2D0C8">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 因你方违约致使发包人不能履行义务的，我方不承担保证责任。</w:t>
      </w:r>
    </w:p>
    <w:p w14:paraId="76228E56">
      <w:pPr>
        <w:pStyle w:val="80"/>
        <w:widowControl/>
        <w:autoSpaceDE w:val="0"/>
        <w:adjustRightInd w:val="0"/>
        <w:snapToGrid w:val="0"/>
        <w:spacing w:line="440" w:lineRule="exact"/>
        <w:ind w:firstLine="600"/>
        <w:jc w:val="lef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2. 依照法律法规的规定或你方与发包人的另行约定，免除发包人部分或全部义务的，我方亦免除其相应的保证责任。</w:t>
      </w:r>
    </w:p>
    <w:p w14:paraId="64ED27DD">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3. 你方与发包人协议变更主合同的，如加重发包人责任致使我方保证责任加重的，需征得我方书面同意，否则我方不再承担因此而加重部分的保证责任，但主合同第10条〔变更〕约定的变更不受本款限制。</w:t>
      </w:r>
    </w:p>
    <w:p w14:paraId="5E065479">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4. 因不可抗力造成发包人不能履行义务的，我方不承担保证责任。</w:t>
      </w:r>
    </w:p>
    <w:p w14:paraId="67049F8F">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七、争议解决</w:t>
      </w:r>
    </w:p>
    <w:p w14:paraId="37744B40">
      <w:pPr>
        <w:pStyle w:val="80"/>
        <w:widowControl/>
        <w:autoSpaceDE w:val="0"/>
        <w:adjustRightInd w:val="0"/>
        <w:snapToGrid w:val="0"/>
        <w:spacing w:line="440" w:lineRule="exact"/>
        <w:ind w:firstLine="600"/>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因本保函或本保函相关事项发生的纠纷，可由双方协商解决，协商不成的，按下列第</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种方式解决：</w:t>
      </w:r>
    </w:p>
    <w:p w14:paraId="085A7763">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（1）向</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仲裁委员会申请仲裁；</w:t>
      </w:r>
    </w:p>
    <w:p w14:paraId="58324B18">
      <w:pPr>
        <w:pStyle w:val="80"/>
        <w:widowControl/>
        <w:autoSpaceDE w:val="0"/>
        <w:adjustRightInd w:val="0"/>
        <w:snapToGrid w:val="0"/>
        <w:spacing w:line="440" w:lineRule="exact"/>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（2）向</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人民法院起诉。</w:t>
      </w:r>
    </w:p>
    <w:p w14:paraId="38F46192">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八、保函的生效</w:t>
      </w:r>
    </w:p>
    <w:p w14:paraId="01507431">
      <w:pPr>
        <w:pStyle w:val="80"/>
        <w:autoSpaceDE w:val="0"/>
        <w:adjustRightInd w:val="0"/>
        <w:snapToGrid w:val="0"/>
        <w:spacing w:line="440" w:lineRule="exact"/>
        <w:rPr>
          <w:rStyle w:val="81"/>
          <w:rFonts w:hint="eastAsia" w:ascii="宋体" w:hAnsi="宋体" w:eastAsia="宋体"/>
          <w:color w:val="auto"/>
          <w:kern w:val="0"/>
          <w:sz w:val="24"/>
          <w:highlight w:val="none"/>
          <w:shd w:val="clear" w:color="auto" w:fill="FFFFFF"/>
        </w:rPr>
      </w:pPr>
      <w:r>
        <w:rPr>
          <w:rStyle w:val="81"/>
          <w:rFonts w:hint="eastAsia" w:ascii="宋体" w:hAnsi="宋体" w:eastAsia="宋体"/>
          <w:color w:val="auto"/>
          <w:kern w:val="0"/>
          <w:sz w:val="24"/>
          <w:highlight w:val="none"/>
          <w:shd w:val="clear" w:color="auto" w:fill="FFFFFF"/>
        </w:rPr>
        <w:t>本保函自我方法定代表人（或其授权代理人）签字并加盖公章之日起生效。</w:t>
      </w:r>
    </w:p>
    <w:p w14:paraId="239B4E05">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担保人：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（盖章）</w:t>
      </w:r>
    </w:p>
    <w:p w14:paraId="08AA1E2F">
      <w:pPr>
        <w:pStyle w:val="80"/>
        <w:widowControl/>
        <w:autoSpaceDE w:val="0"/>
        <w:adjustRightInd w:val="0"/>
        <w:snapToGrid w:val="0"/>
        <w:spacing w:line="440" w:lineRule="exac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法定代表人或委托代理人：</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u w:val="single"/>
          <w:shd w:val="clear" w:color="auto" w:fill="FFFFFF"/>
        </w:rPr>
        <w:tab/>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（签字）</w:t>
      </w:r>
    </w:p>
    <w:p w14:paraId="16CBD87B">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地    址：</w:t>
      </w:r>
      <w:r>
        <w:rPr>
          <w:rStyle w:val="81"/>
          <w:rFonts w:hint="eastAsia" w:ascii="宋体" w:hAnsi="宋体" w:eastAsia="宋体"/>
          <w:color w:val="auto"/>
          <w:kern w:val="0"/>
          <w:sz w:val="24"/>
          <w:highlight w:val="none"/>
          <w:u w:val="single"/>
          <w:shd w:val="clear" w:color="auto" w:fill="FFFFFF"/>
        </w:rPr>
        <w:t xml:space="preserve">                     </w:t>
      </w:r>
    </w:p>
    <w:p w14:paraId="6FBD5995">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邮政编码：</w:t>
      </w:r>
      <w:r>
        <w:rPr>
          <w:rStyle w:val="81"/>
          <w:rFonts w:hint="eastAsia" w:ascii="宋体" w:hAnsi="宋体" w:eastAsia="宋体"/>
          <w:color w:val="auto"/>
          <w:kern w:val="0"/>
          <w:sz w:val="24"/>
          <w:highlight w:val="none"/>
          <w:u w:val="single"/>
          <w:shd w:val="clear" w:color="auto" w:fill="FFFFFF"/>
        </w:rPr>
        <w:t xml:space="preserve">                      </w:t>
      </w:r>
    </w:p>
    <w:p w14:paraId="508CDCBC">
      <w:pPr>
        <w:pStyle w:val="80"/>
        <w:widowControl/>
        <w:autoSpaceDE w:val="0"/>
        <w:adjustRightInd w:val="0"/>
        <w:snapToGrid w:val="0"/>
        <w:spacing w:line="440" w:lineRule="exact"/>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传    真：</w:t>
      </w:r>
      <w:r>
        <w:rPr>
          <w:rStyle w:val="81"/>
          <w:rFonts w:hint="eastAsia" w:ascii="宋体" w:hAnsi="宋体" w:eastAsia="宋体"/>
          <w:color w:val="auto"/>
          <w:kern w:val="0"/>
          <w:sz w:val="24"/>
          <w:highlight w:val="none"/>
          <w:u w:val="single"/>
          <w:shd w:val="clear" w:color="auto" w:fill="FFFFFF"/>
        </w:rPr>
        <w:t xml:space="preserve">                     </w:t>
      </w:r>
    </w:p>
    <w:p w14:paraId="60CDD83B">
      <w:pPr>
        <w:pStyle w:val="80"/>
        <w:widowControl/>
        <w:autoSpaceDE w:val="0"/>
        <w:adjustRightInd w:val="0"/>
        <w:snapToGrid w:val="0"/>
        <w:spacing w:line="360" w:lineRule="auto"/>
        <w:ind w:firstLine="600"/>
        <w:jc w:val="left"/>
        <w:rPr>
          <w:rStyle w:val="81"/>
          <w:rFonts w:hint="eastAsia" w:ascii="宋体" w:hAnsi="宋体" w:eastAsia="宋体"/>
          <w:color w:val="auto"/>
          <w:sz w:val="24"/>
          <w:highlight w:val="none"/>
        </w:rPr>
      </w:pPr>
      <w:r>
        <w:rPr>
          <w:rStyle w:val="81"/>
          <w:rFonts w:hint="eastAsia" w:ascii="宋体" w:hAnsi="宋体" w:eastAsia="宋体"/>
          <w:color w:val="auto"/>
          <w:kern w:val="0"/>
          <w:sz w:val="24"/>
          <w:highlight w:val="none"/>
          <w:shd w:val="clear" w:color="auto" w:fill="FFFFFF"/>
        </w:rPr>
        <w:t xml:space="preserve">             </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年</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月</w:t>
      </w:r>
      <w:r>
        <w:rPr>
          <w:rStyle w:val="81"/>
          <w:rFonts w:hint="eastAsia" w:ascii="宋体" w:hAnsi="宋体" w:eastAsia="宋体"/>
          <w:color w:val="auto"/>
          <w:kern w:val="0"/>
          <w:sz w:val="24"/>
          <w:highlight w:val="none"/>
          <w:u w:val="single"/>
          <w:shd w:val="clear" w:color="auto" w:fill="FFFFFF"/>
        </w:rPr>
        <w:t xml:space="preserve">   </w:t>
      </w:r>
      <w:r>
        <w:rPr>
          <w:rStyle w:val="81"/>
          <w:rFonts w:hint="eastAsia" w:ascii="宋体" w:hAnsi="宋体" w:eastAsia="宋体"/>
          <w:color w:val="auto"/>
          <w:kern w:val="0"/>
          <w:sz w:val="24"/>
          <w:highlight w:val="none"/>
          <w:shd w:val="clear" w:color="auto" w:fill="FFFFFF"/>
        </w:rPr>
        <w:t>日</w:t>
      </w:r>
    </w:p>
    <w:p w14:paraId="356F4E82">
      <w:pPr>
        <w:pStyle w:val="85"/>
        <w:widowControl/>
        <w:autoSpaceDE w:val="0"/>
        <w:adjustRightInd w:val="0"/>
        <w:snapToGrid w:val="0"/>
        <w:spacing w:line="360" w:lineRule="auto"/>
        <w:jc w:val="left"/>
        <w:rPr>
          <w:rStyle w:val="81"/>
          <w:rFonts w:hint="eastAsia" w:ascii="宋体" w:hAnsi="宋体"/>
          <w:color w:val="auto"/>
          <w:sz w:val="24"/>
          <w:szCs w:val="24"/>
          <w:highlight w:val="none"/>
        </w:rPr>
      </w:pPr>
      <w:bookmarkStart w:id="334" w:name="_Toc256000069_0"/>
      <w:bookmarkStart w:id="335" w:name="_Toc256000139_0"/>
      <w:bookmarkStart w:id="336" w:name="_Toc256000279"/>
      <w:bookmarkStart w:id="337" w:name="_Toc256000381"/>
      <w:bookmarkStart w:id="338" w:name="_Toc256000074"/>
      <w:bookmarkStart w:id="339" w:name="_Toc256000233"/>
      <w:bookmarkStart w:id="340" w:name="_Toc256000185"/>
      <w:bookmarkStart w:id="341" w:name="_Toc256000439"/>
      <w:r>
        <w:rPr>
          <w:rStyle w:val="81"/>
          <w:rFonts w:hint="eastAsia" w:ascii="宋体" w:hAnsi="宋体"/>
          <w:color w:val="auto"/>
          <w:sz w:val="24"/>
          <w:szCs w:val="24"/>
          <w:highlight w:val="none"/>
          <w:shd w:val="clear" w:color="auto" w:fill="FFFFFF"/>
        </w:rPr>
        <w:t>附件11：</w:t>
      </w:r>
      <w:bookmarkEnd w:id="334"/>
      <w:bookmarkEnd w:id="335"/>
      <w:bookmarkEnd w:id="336"/>
      <w:bookmarkEnd w:id="337"/>
      <w:bookmarkEnd w:id="338"/>
      <w:bookmarkEnd w:id="339"/>
      <w:bookmarkEnd w:id="340"/>
      <w:bookmarkEnd w:id="341"/>
    </w:p>
    <w:p w14:paraId="1C00B56B">
      <w:pPr>
        <w:pStyle w:val="80"/>
        <w:widowControl/>
        <w:autoSpaceDE w:val="0"/>
        <w:adjustRightInd w:val="0"/>
        <w:snapToGrid w:val="0"/>
        <w:spacing w:line="360" w:lineRule="auto"/>
        <w:jc w:val="center"/>
        <w:rPr>
          <w:rStyle w:val="81"/>
          <w:rFonts w:hint="eastAsia" w:ascii="宋体" w:hAnsi="宋体" w:eastAsia="宋体"/>
          <w:b/>
          <w:bCs/>
          <w:color w:val="auto"/>
          <w:sz w:val="24"/>
          <w:highlight w:val="none"/>
        </w:rPr>
      </w:pPr>
      <w:r>
        <w:rPr>
          <w:rStyle w:val="81"/>
          <w:rFonts w:hint="eastAsia" w:ascii="宋体" w:hAnsi="宋体" w:eastAsia="宋体"/>
          <w:b/>
          <w:bCs/>
          <w:color w:val="auto"/>
          <w:kern w:val="0"/>
          <w:sz w:val="24"/>
          <w:highlight w:val="none"/>
          <w:shd w:val="clear" w:color="auto" w:fill="FFFFFF"/>
        </w:rPr>
        <w:t>11-1：材料暂估价表</w:t>
      </w:r>
    </w:p>
    <w:tbl>
      <w:tblPr>
        <w:tblStyle w:val="31"/>
        <w:tblW w:w="9073"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992"/>
        <w:gridCol w:w="1984"/>
        <w:gridCol w:w="851"/>
        <w:gridCol w:w="774"/>
        <w:gridCol w:w="1352"/>
        <w:gridCol w:w="1418"/>
        <w:gridCol w:w="1702"/>
      </w:tblGrid>
      <w:tr w14:paraId="54C7D17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13396FB">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序号</w:t>
            </w:r>
          </w:p>
        </w:tc>
        <w:tc>
          <w:tcPr>
            <w:tcW w:w="198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71FD008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名称</w:t>
            </w:r>
          </w:p>
        </w:tc>
        <w:tc>
          <w:tcPr>
            <w:tcW w:w="851"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3E3E51AD">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单位</w:t>
            </w:r>
          </w:p>
        </w:tc>
        <w:tc>
          <w:tcPr>
            <w:tcW w:w="77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63EDA2E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数量</w:t>
            </w:r>
          </w:p>
        </w:tc>
        <w:tc>
          <w:tcPr>
            <w:tcW w:w="135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33FDCF87">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单价（元）</w:t>
            </w:r>
          </w:p>
        </w:tc>
        <w:tc>
          <w:tcPr>
            <w:tcW w:w="141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7575E29A">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合价（元）</w:t>
            </w:r>
          </w:p>
        </w:tc>
        <w:tc>
          <w:tcPr>
            <w:tcW w:w="170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32ECCEA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备注</w:t>
            </w:r>
          </w:p>
        </w:tc>
      </w:tr>
      <w:tr w14:paraId="2355665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5F3FD6B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AAF948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B9C2DF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B4BAA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F80845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03233D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31ADE0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768649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958921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9BFDA3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DD1046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11363A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9E7D86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211F9E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F3BCD20">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EB56F1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5DD078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FF3D94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9C05BE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0613BA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667F7A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031996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C4BA39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7C91C7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135769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F7E630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A37862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C68883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ADF65E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2E48E5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96B2503">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25BD55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FD575E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E56669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DAA8A0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E68EB9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90D4C7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905FCD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A599EF2">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F111A3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39F797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56DF3C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D8C721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7829FC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56D0BD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FFCA76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A55D3E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C56A8B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0A353C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8A1E44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F551B7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1E2785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CA088C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13AD27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AF93EB5">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16984F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0DF03A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25B271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309D9B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DB4F15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239B44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84CE77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14AA6C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C4A114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C7C3AE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29AACE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C7C977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11938D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6CE2A9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04B2FF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C543CC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3F3371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5CE1473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E52B77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50430C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0C50C6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699D30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DC563D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A31EC50">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9B5BC1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0AC611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5DDCA6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65071C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07D236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C31DE5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7E1E9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C1746F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3024BC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7BF0D77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1E6C45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2BA2F4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FA84E4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AF3108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BB53C7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776C25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B7D6BE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51DF51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238977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F2CDBB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89AB5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FB1BD1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08B153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58BBA3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7835F3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586374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0D63D1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F20BF0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EADB8A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455E59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626717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2D8DD9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8E28B8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E51C13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DB22C7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70A9B2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80EC51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056B9B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7F22CC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9C26D6D">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D83920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A52406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F3F7D3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897AEE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799A6B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206B2A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B56B0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42C5B2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67023C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194BCD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D93686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513DD1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6A91B8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BFE84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9AC73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000622B">
            <w:pPr>
              <w:pStyle w:val="86"/>
              <w:keepNext/>
              <w:widowControl/>
              <w:autoSpaceDE w:val="0"/>
              <w:adjustRightInd w:val="0"/>
              <w:snapToGrid w:val="0"/>
              <w:spacing w:line="360" w:lineRule="auto"/>
              <w:rPr>
                <w:rStyle w:val="81"/>
                <w:rFonts w:ascii="宋体" w:hAnsi="宋体" w:eastAsia="宋体"/>
                <w:color w:val="auto"/>
                <w:sz w:val="24"/>
                <w:highlight w:val="none"/>
              </w:rPr>
            </w:pPr>
          </w:p>
        </w:tc>
      </w:tr>
    </w:tbl>
    <w:p w14:paraId="69F46B61">
      <w:pPr>
        <w:pStyle w:val="80"/>
        <w:widowControl/>
        <w:autoSpaceDE w:val="0"/>
        <w:adjustRightInd w:val="0"/>
        <w:snapToGrid w:val="0"/>
        <w:spacing w:line="360" w:lineRule="auto"/>
        <w:rPr>
          <w:rStyle w:val="81"/>
          <w:rFonts w:hint="eastAsia" w:ascii="宋体" w:hAnsi="宋体" w:eastAsia="宋体"/>
          <w:color w:val="auto"/>
          <w:sz w:val="24"/>
          <w:highlight w:val="none"/>
        </w:rPr>
      </w:pPr>
    </w:p>
    <w:p w14:paraId="5C9A556F">
      <w:pPr>
        <w:pStyle w:val="80"/>
        <w:widowControl/>
        <w:autoSpaceDE w:val="0"/>
        <w:adjustRightInd w:val="0"/>
        <w:snapToGrid w:val="0"/>
        <w:spacing w:line="360" w:lineRule="auto"/>
        <w:jc w:val="center"/>
        <w:rPr>
          <w:rStyle w:val="81"/>
          <w:rFonts w:hint="eastAsia" w:ascii="宋体" w:hAnsi="宋体" w:eastAsia="宋体"/>
          <w:color w:val="auto"/>
          <w:sz w:val="24"/>
          <w:highlight w:val="none"/>
        </w:rPr>
      </w:pPr>
      <w:r>
        <w:rPr>
          <w:rFonts w:hint="eastAsia" w:ascii="宋体" w:hAnsi="宋体" w:eastAsia="宋体" w:cs="Times New Roman"/>
          <w:color w:val="auto"/>
          <w:sz w:val="24"/>
          <w:highlight w:val="none"/>
          <w:shd w:val="clear" w:color="auto" w:fill="FFFFFF"/>
        </w:rPr>
        <w:br w:type="page"/>
      </w:r>
      <w:r>
        <w:rPr>
          <w:rStyle w:val="81"/>
          <w:rFonts w:hint="eastAsia" w:ascii="宋体" w:hAnsi="宋体" w:eastAsia="宋体"/>
          <w:b/>
          <w:bCs/>
          <w:color w:val="auto"/>
          <w:kern w:val="0"/>
          <w:sz w:val="24"/>
          <w:highlight w:val="none"/>
          <w:shd w:val="clear" w:color="auto" w:fill="FFFFFF"/>
        </w:rPr>
        <w:t>11-2：工程设备暂估价表</w:t>
      </w:r>
    </w:p>
    <w:tbl>
      <w:tblPr>
        <w:tblStyle w:val="31"/>
        <w:tblW w:w="9073"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992"/>
        <w:gridCol w:w="1984"/>
        <w:gridCol w:w="851"/>
        <w:gridCol w:w="774"/>
        <w:gridCol w:w="1352"/>
        <w:gridCol w:w="1418"/>
        <w:gridCol w:w="1702"/>
      </w:tblGrid>
      <w:tr w14:paraId="6A70DF0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77D9971F">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序号</w:t>
            </w:r>
          </w:p>
        </w:tc>
        <w:tc>
          <w:tcPr>
            <w:tcW w:w="198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5FD38650">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名称</w:t>
            </w:r>
          </w:p>
        </w:tc>
        <w:tc>
          <w:tcPr>
            <w:tcW w:w="851"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58B769C3">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单位</w:t>
            </w:r>
          </w:p>
        </w:tc>
        <w:tc>
          <w:tcPr>
            <w:tcW w:w="77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3B53F1DA">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数量</w:t>
            </w:r>
          </w:p>
        </w:tc>
        <w:tc>
          <w:tcPr>
            <w:tcW w:w="135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1F6CE166">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单价（元）</w:t>
            </w:r>
          </w:p>
        </w:tc>
        <w:tc>
          <w:tcPr>
            <w:tcW w:w="141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4E1FEB49">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合价（元）</w:t>
            </w:r>
          </w:p>
        </w:tc>
        <w:tc>
          <w:tcPr>
            <w:tcW w:w="1702"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600BEC2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备注</w:t>
            </w:r>
          </w:p>
        </w:tc>
      </w:tr>
      <w:tr w14:paraId="57BD580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902CC9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A404CB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622516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7453F2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BBDF1A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E85A19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8B5CF5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AF37190">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7D9C3E7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4DFB2F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087732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A29CA7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FFD155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85C62F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2F3FED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2143D13">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9BD06D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2910A4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9BAEB2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BF46E4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D3AE38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22576E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14A512E">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189D85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7CA5A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C4EB72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AD717C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CBD867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C27AE9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960973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4E1146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70E25D2">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343137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51CDA0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9FA921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B998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C8FD28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C4741D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389096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297AEF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310117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6B4AB2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6DC27C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6E5CD3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C47E35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7CDC5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60372F5">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CCC11E7">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F8699C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ABCA32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8B6A13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15D23D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158F0A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C259EB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AB7BBA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25772BA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4646AB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06CADD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524EEF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0CAD8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73EEBB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AE4CE0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F7B6020">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ED5130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D54C25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9C3207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F03D6B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2B7F2C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082E41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B9C1FD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F76C6C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59D605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66CD9D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03F347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DCEAE4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0665E9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C043CA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C7457A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84CB25F">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31F207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F951BB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E7FFCF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A238D6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4E96A7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C3FA8F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1272C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DC347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016D12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89ED84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A8D175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6D80DA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A0659B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7C184E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6BD338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87E9D3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A733A6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1C7F51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E9AF94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55947E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0C70EE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7F5E4C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6EDA80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1483AC0">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ADA695C">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5AF47DD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4EB3AB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8EBF21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6A8D3A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17F07D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7D3040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C155209">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5E7862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E6D417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1666EC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304966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9E9128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81AE38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BE1344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C43ABD9">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66CB93B">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0A24ADF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689B76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CC2E23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640D64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4A4F9A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AB2C88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FDE3E6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9507B5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992"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2B61C6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2F2DDB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851"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ADFCCE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77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B1118E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35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F8B3E9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41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99F32C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702"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E144B96">
            <w:pPr>
              <w:pStyle w:val="86"/>
              <w:keepNext/>
              <w:widowControl/>
              <w:autoSpaceDE w:val="0"/>
              <w:adjustRightInd w:val="0"/>
              <w:snapToGrid w:val="0"/>
              <w:spacing w:line="360" w:lineRule="auto"/>
              <w:rPr>
                <w:rStyle w:val="81"/>
                <w:rFonts w:ascii="宋体" w:hAnsi="宋体" w:eastAsia="宋体"/>
                <w:color w:val="auto"/>
                <w:sz w:val="24"/>
                <w:highlight w:val="none"/>
              </w:rPr>
            </w:pPr>
          </w:p>
        </w:tc>
      </w:tr>
    </w:tbl>
    <w:p w14:paraId="61F6EEB6">
      <w:pPr>
        <w:pStyle w:val="80"/>
        <w:widowControl/>
        <w:autoSpaceDE w:val="0"/>
        <w:adjustRightInd w:val="0"/>
        <w:snapToGrid w:val="0"/>
        <w:spacing w:line="360" w:lineRule="auto"/>
        <w:rPr>
          <w:rStyle w:val="81"/>
          <w:rFonts w:hint="eastAsia" w:ascii="宋体" w:hAnsi="宋体" w:eastAsia="宋体"/>
          <w:color w:val="auto"/>
          <w:sz w:val="24"/>
          <w:highlight w:val="none"/>
        </w:rPr>
      </w:pPr>
    </w:p>
    <w:p w14:paraId="3C07B05E">
      <w:pPr>
        <w:pStyle w:val="80"/>
        <w:widowControl/>
        <w:autoSpaceDE w:val="0"/>
        <w:adjustRightInd w:val="0"/>
        <w:snapToGrid w:val="0"/>
        <w:spacing w:line="360" w:lineRule="auto"/>
        <w:jc w:val="center"/>
        <w:rPr>
          <w:rStyle w:val="81"/>
          <w:rFonts w:hint="eastAsia" w:ascii="宋体" w:hAnsi="宋体" w:eastAsia="宋体"/>
          <w:color w:val="auto"/>
          <w:sz w:val="24"/>
          <w:highlight w:val="none"/>
        </w:rPr>
      </w:pPr>
      <w:r>
        <w:rPr>
          <w:rFonts w:hint="eastAsia" w:ascii="宋体" w:hAnsi="宋体" w:eastAsia="宋体" w:cs="Times New Roman"/>
          <w:color w:val="auto"/>
          <w:sz w:val="24"/>
          <w:highlight w:val="none"/>
          <w:shd w:val="clear" w:color="auto" w:fill="FFFFFF"/>
        </w:rPr>
        <w:br w:type="page"/>
      </w:r>
      <w:r>
        <w:rPr>
          <w:rStyle w:val="81"/>
          <w:rFonts w:hint="eastAsia" w:ascii="宋体" w:hAnsi="宋体" w:eastAsia="宋体"/>
          <w:b/>
          <w:bCs/>
          <w:color w:val="auto"/>
          <w:kern w:val="0"/>
          <w:sz w:val="24"/>
          <w:highlight w:val="none"/>
          <w:shd w:val="clear" w:color="auto" w:fill="FFFFFF"/>
        </w:rPr>
        <w:t>11-3：专业工程暂估价表</w:t>
      </w:r>
    </w:p>
    <w:tbl>
      <w:tblPr>
        <w:tblStyle w:val="31"/>
        <w:tblW w:w="0" w:type="auto"/>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0" w:type="dxa"/>
          <w:left w:w="0" w:type="dxa"/>
          <w:bottom w:w="0" w:type="dxa"/>
          <w:right w:w="0" w:type="dxa"/>
        </w:tblCellMar>
      </w:tblPr>
      <w:tblGrid>
        <w:gridCol w:w="879"/>
        <w:gridCol w:w="1984"/>
        <w:gridCol w:w="4678"/>
        <w:gridCol w:w="1276"/>
      </w:tblGrid>
      <w:tr w14:paraId="423EC4F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single" w:color="auto" w:sz="8" w:space="0"/>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C6CCA3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序号</w:t>
            </w:r>
          </w:p>
        </w:tc>
        <w:tc>
          <w:tcPr>
            <w:tcW w:w="1984"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3BCAB662">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专业工程名称</w:t>
            </w:r>
          </w:p>
        </w:tc>
        <w:tc>
          <w:tcPr>
            <w:tcW w:w="4678"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7874971E">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工程内容</w:t>
            </w:r>
          </w:p>
        </w:tc>
        <w:tc>
          <w:tcPr>
            <w:tcW w:w="1276" w:type="dxa"/>
            <w:tcBorders>
              <w:top w:val="single" w:color="auto" w:sz="8" w:space="0"/>
              <w:left w:val="nil"/>
              <w:bottom w:val="single" w:color="auto" w:sz="8" w:space="0"/>
              <w:right w:val="single" w:color="auto" w:sz="8" w:space="0"/>
            </w:tcBorders>
            <w:noWrap w:val="0"/>
            <w:tcMar>
              <w:top w:w="0" w:type="dxa"/>
              <w:left w:w="28" w:type="dxa"/>
              <w:bottom w:w="0" w:type="dxa"/>
              <w:right w:w="28" w:type="dxa"/>
            </w:tcMar>
            <w:vAlign w:val="top"/>
          </w:tcPr>
          <w:p w14:paraId="23EAE9FD">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金额</w:t>
            </w:r>
          </w:p>
        </w:tc>
      </w:tr>
      <w:tr w14:paraId="67D198C6">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55DED4A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587A12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9E75D5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392D1E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C8FCE4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AEEF87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1CCC35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3B0DD9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775AB4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FC2729A">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94D543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470F77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49FB97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CE1D9AF">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020110D">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7EE922A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91F5F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D5F8A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FF2D9D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688F4C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D5A2C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2B5A38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DC4841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979EED5">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C93BEA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5C7EADB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C0DF6F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197256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7D4864">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905566E">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5F72E1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621AED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4F233D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17206E2">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FEF2D8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C9E720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9DE185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63D65F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3DE730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9AF0EB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D8527E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623643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1CB2215">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F2F85C5">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7005C68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3B163BD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25D4E6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105D192">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3817283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C6DD171">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AC9CB3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A32C1A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9915661">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8E61C71">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72B251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F396240">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8F2016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C423B5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8FCE7EF">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C04BD4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47EF009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15D3B9D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61CA4F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07B9FA6B">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3D2A3B5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CF168B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FAB3B1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0AD942A">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56AA5FF6">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5710A7D5">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793B39B">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97BF646">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8EEE93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2C87AFBA">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6185D5C4">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23AEA404">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C6A3538">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9EF7FA9">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F7E28FC">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0AE8A219">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1AECC32D">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26C7ADF">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0D767EC">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647A58F7">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1989D89F">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79" w:type="dxa"/>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FC65827">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984"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B23D4EE">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4678"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789F43F3">
            <w:pPr>
              <w:pStyle w:val="86"/>
              <w:keepNext/>
              <w:widowControl/>
              <w:autoSpaceDE w:val="0"/>
              <w:adjustRightInd w:val="0"/>
              <w:snapToGrid w:val="0"/>
              <w:spacing w:line="360" w:lineRule="auto"/>
              <w:rPr>
                <w:rStyle w:val="81"/>
                <w:rFonts w:ascii="宋体" w:hAnsi="宋体" w:eastAsia="宋体"/>
                <w:color w:val="auto"/>
                <w:sz w:val="24"/>
                <w:highlight w:val="none"/>
              </w:rPr>
            </w:pPr>
          </w:p>
        </w:tc>
        <w:tc>
          <w:tcPr>
            <w:tcW w:w="1276" w:type="dxa"/>
            <w:tcBorders>
              <w:top w:val="nil"/>
              <w:left w:val="nil"/>
              <w:bottom w:val="single" w:color="auto" w:sz="8" w:space="0"/>
              <w:right w:val="single" w:color="auto" w:sz="8" w:space="0"/>
            </w:tcBorders>
            <w:noWrap w:val="0"/>
            <w:tcMar>
              <w:top w:w="0" w:type="dxa"/>
              <w:left w:w="28" w:type="dxa"/>
              <w:bottom w:w="0" w:type="dxa"/>
              <w:right w:w="28" w:type="dxa"/>
            </w:tcMar>
            <w:vAlign w:val="top"/>
          </w:tcPr>
          <w:p w14:paraId="4E09C3F8">
            <w:pPr>
              <w:pStyle w:val="86"/>
              <w:keepNext/>
              <w:widowControl/>
              <w:autoSpaceDE w:val="0"/>
              <w:adjustRightInd w:val="0"/>
              <w:snapToGrid w:val="0"/>
              <w:spacing w:line="360" w:lineRule="auto"/>
              <w:rPr>
                <w:rStyle w:val="81"/>
                <w:rFonts w:ascii="宋体" w:hAnsi="宋体" w:eastAsia="宋体"/>
                <w:color w:val="auto"/>
                <w:sz w:val="24"/>
                <w:highlight w:val="none"/>
              </w:rPr>
            </w:pPr>
          </w:p>
        </w:tc>
      </w:tr>
      <w:tr w14:paraId="482EBD58">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0" w:type="dxa"/>
            <w:left w:w="0" w:type="dxa"/>
            <w:bottom w:w="0" w:type="dxa"/>
            <w:right w:w="0" w:type="dxa"/>
          </w:tblCellMar>
        </w:tblPrEx>
        <w:trPr>
          <w:jc w:val="center"/>
        </w:trPr>
        <w:tc>
          <w:tcPr>
            <w:tcW w:w="8817" w:type="dxa"/>
            <w:gridSpan w:val="4"/>
            <w:tcBorders>
              <w:top w:val="nil"/>
              <w:left w:val="single" w:color="auto" w:sz="8" w:space="0"/>
              <w:bottom w:val="single" w:color="auto" w:sz="8" w:space="0"/>
              <w:right w:val="single" w:color="auto" w:sz="8" w:space="0"/>
            </w:tcBorders>
            <w:noWrap w:val="0"/>
            <w:tcMar>
              <w:top w:w="0" w:type="dxa"/>
              <w:left w:w="28" w:type="dxa"/>
              <w:bottom w:w="0" w:type="dxa"/>
              <w:right w:w="28" w:type="dxa"/>
            </w:tcMar>
            <w:vAlign w:val="top"/>
          </w:tcPr>
          <w:p w14:paraId="61DA7D64">
            <w:pPr>
              <w:pStyle w:val="86"/>
              <w:keepNext/>
              <w:widowControl/>
              <w:autoSpaceDE w:val="0"/>
              <w:adjustRightInd w:val="0"/>
              <w:snapToGrid w:val="0"/>
              <w:spacing w:line="360" w:lineRule="auto"/>
              <w:rPr>
                <w:rStyle w:val="81"/>
                <w:rFonts w:ascii="宋体" w:hAnsi="宋体" w:eastAsia="宋体"/>
                <w:color w:val="auto"/>
                <w:sz w:val="24"/>
                <w:highlight w:val="none"/>
              </w:rPr>
            </w:pPr>
            <w:r>
              <w:rPr>
                <w:rStyle w:val="81"/>
                <w:rFonts w:hint="eastAsia" w:ascii="宋体" w:hAnsi="宋体" w:eastAsia="宋体"/>
                <w:color w:val="auto"/>
                <w:sz w:val="24"/>
                <w:highlight w:val="none"/>
              </w:rPr>
              <w:t>小计：</w:t>
            </w:r>
          </w:p>
        </w:tc>
      </w:tr>
    </w:tbl>
    <w:p w14:paraId="07D0D3AB">
      <w:pPr>
        <w:pStyle w:val="17"/>
        <w:jc w:val="center"/>
        <w:outlineLvl w:val="0"/>
        <w:rPr>
          <w:rFonts w:hint="eastAsia"/>
          <w:b/>
          <w:color w:val="auto"/>
          <w:sz w:val="36"/>
          <w:szCs w:val="36"/>
          <w:highlight w:val="none"/>
        </w:rPr>
      </w:pPr>
    </w:p>
    <w:p w14:paraId="712CA22F">
      <w:pPr>
        <w:pStyle w:val="17"/>
        <w:jc w:val="center"/>
        <w:outlineLvl w:val="0"/>
        <w:rPr>
          <w:rFonts w:hint="eastAsia"/>
          <w:b/>
          <w:color w:val="auto"/>
          <w:sz w:val="36"/>
          <w:szCs w:val="36"/>
          <w:highlight w:val="none"/>
        </w:rPr>
      </w:pPr>
    </w:p>
    <w:p w14:paraId="01D43ADC">
      <w:pPr>
        <w:pStyle w:val="17"/>
        <w:jc w:val="center"/>
        <w:outlineLvl w:val="0"/>
        <w:rPr>
          <w:rFonts w:hint="eastAsia"/>
          <w:b/>
          <w:color w:val="auto"/>
          <w:sz w:val="36"/>
          <w:szCs w:val="36"/>
          <w:highlight w:val="none"/>
        </w:rPr>
      </w:pPr>
    </w:p>
    <w:p w14:paraId="223E1D93">
      <w:pPr>
        <w:pStyle w:val="17"/>
        <w:jc w:val="center"/>
        <w:outlineLvl w:val="0"/>
        <w:rPr>
          <w:rFonts w:hint="eastAsia"/>
          <w:b/>
          <w:color w:val="auto"/>
          <w:sz w:val="36"/>
          <w:szCs w:val="36"/>
          <w:highlight w:val="none"/>
        </w:rPr>
      </w:pPr>
    </w:p>
    <w:p w14:paraId="747799F4">
      <w:pPr>
        <w:pStyle w:val="17"/>
        <w:jc w:val="center"/>
        <w:outlineLvl w:val="0"/>
        <w:rPr>
          <w:rFonts w:hint="eastAsia"/>
          <w:b/>
          <w:color w:val="auto"/>
          <w:sz w:val="36"/>
          <w:szCs w:val="36"/>
          <w:highlight w:val="none"/>
        </w:rPr>
      </w:pPr>
    </w:p>
    <w:p w14:paraId="097F29AD">
      <w:pPr>
        <w:pStyle w:val="17"/>
        <w:jc w:val="center"/>
        <w:outlineLvl w:val="0"/>
        <w:rPr>
          <w:rFonts w:hint="eastAsia"/>
          <w:b/>
          <w:color w:val="auto"/>
          <w:sz w:val="36"/>
          <w:szCs w:val="36"/>
          <w:highlight w:val="none"/>
        </w:rPr>
      </w:pPr>
    </w:p>
    <w:p w14:paraId="384A7DE0">
      <w:pPr>
        <w:pStyle w:val="25"/>
        <w:ind w:left="0" w:leftChars="0" w:firstLine="0" w:firstLineChars="0"/>
        <w:jc w:val="both"/>
        <w:outlineLvl w:val="0"/>
        <w:rPr>
          <w:rFonts w:hint="eastAsia" w:ascii="宋体" w:hAnsi="宋体" w:eastAsia="宋体" w:cs="宋体"/>
          <w:b/>
          <w:color w:val="auto"/>
          <w:kern w:val="2"/>
          <w:sz w:val="32"/>
          <w:szCs w:val="32"/>
          <w:highlight w:val="none"/>
          <w:lang w:val="en-US" w:eastAsia="zh-CN" w:bidi="ar-SA"/>
        </w:rPr>
      </w:pPr>
      <w:bookmarkStart w:id="342" w:name="_Toc13349"/>
    </w:p>
    <w:bookmarkEnd w:id="145"/>
    <w:bookmarkEnd w:id="146"/>
    <w:bookmarkEnd w:id="342"/>
    <w:p w14:paraId="5289A648">
      <w:pPr>
        <w:pStyle w:val="25"/>
        <w:ind w:left="0" w:leftChars="0" w:firstLine="0" w:firstLineChars="0"/>
        <w:jc w:val="center"/>
        <w:outlineLvl w:val="0"/>
        <w:rPr>
          <w:rFonts w:hint="default"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第八章、投标文件格式</w:t>
      </w:r>
    </w:p>
    <w:p w14:paraId="391EE4F0">
      <w:pPr>
        <w:jc w:val="both"/>
        <w:rPr>
          <w:rFonts w:hint="eastAsia" w:ascii="宋体" w:hAnsi="宋体"/>
          <w:b/>
          <w:color w:val="auto"/>
          <w:kern w:val="0"/>
          <w:highlight w:val="none"/>
        </w:rPr>
      </w:pPr>
    </w:p>
    <w:p w14:paraId="78A119DF">
      <w:pPr>
        <w:rPr>
          <w:rFonts w:hint="eastAsia" w:ascii="宋体" w:hAnsi="宋体"/>
          <w:color w:val="auto"/>
          <w:kern w:val="0"/>
          <w:highlight w:val="none"/>
        </w:rPr>
      </w:pPr>
    </w:p>
    <w:p w14:paraId="44CA15F1">
      <w:pPr>
        <w:spacing w:line="360" w:lineRule="auto"/>
        <w:textAlignment w:val="baseline"/>
        <w:rPr>
          <w:rStyle w:val="75"/>
          <w:rFonts w:hint="eastAsia" w:ascii="宋体" w:hAnsi="宋体" w:cs="宋体"/>
          <w:b/>
          <w:color w:val="auto"/>
          <w:sz w:val="28"/>
          <w:szCs w:val="28"/>
          <w:highlight w:val="none"/>
        </w:rPr>
      </w:pPr>
      <w:r>
        <w:rPr>
          <w:rStyle w:val="75"/>
          <w:rFonts w:hint="eastAsia" w:ascii="宋体" w:hAnsi="宋体" w:cs="宋体"/>
          <w:b/>
          <w:color w:val="auto"/>
          <w:sz w:val="28"/>
          <w:szCs w:val="28"/>
          <w:highlight w:val="none"/>
        </w:rPr>
        <w:t>1.竞争性磋商响应文件封面格式</w:t>
      </w:r>
    </w:p>
    <w:p w14:paraId="37B7EBD3">
      <w:pPr>
        <w:pStyle w:val="78"/>
        <w:ind w:firstLine="560"/>
        <w:rPr>
          <w:rStyle w:val="75"/>
          <w:rFonts w:hint="eastAsia" w:ascii="宋体" w:hAnsi="宋体" w:cs="宋体"/>
          <w:color w:val="auto"/>
          <w:sz w:val="28"/>
          <w:szCs w:val="28"/>
          <w:highlight w:val="none"/>
        </w:rPr>
      </w:pPr>
    </w:p>
    <w:p w14:paraId="2F6148B7">
      <w:pPr>
        <w:pStyle w:val="78"/>
        <w:ind w:firstLine="560"/>
        <w:rPr>
          <w:rStyle w:val="75"/>
          <w:rFonts w:hint="eastAsia" w:ascii="宋体" w:hAnsi="宋体" w:cs="宋体"/>
          <w:color w:val="auto"/>
          <w:sz w:val="28"/>
          <w:szCs w:val="28"/>
          <w:highlight w:val="none"/>
        </w:rPr>
      </w:pPr>
    </w:p>
    <w:p w14:paraId="334941A5">
      <w:pPr>
        <w:pStyle w:val="78"/>
        <w:ind w:left="0" w:leftChars="0" w:firstLine="0" w:firstLineChars="0"/>
        <w:rPr>
          <w:rStyle w:val="75"/>
          <w:rFonts w:hint="eastAsia" w:ascii="宋体" w:hAnsi="宋体" w:cs="宋体"/>
          <w:color w:val="auto"/>
          <w:sz w:val="28"/>
          <w:szCs w:val="28"/>
          <w:highlight w:val="none"/>
        </w:rPr>
      </w:pPr>
    </w:p>
    <w:p w14:paraId="32302CCC">
      <w:pPr>
        <w:pStyle w:val="78"/>
        <w:ind w:left="0" w:leftChars="0" w:firstLine="0" w:firstLineChars="0"/>
        <w:rPr>
          <w:rStyle w:val="75"/>
          <w:rFonts w:hint="eastAsia" w:ascii="宋体" w:hAnsi="宋体" w:cs="宋体"/>
          <w:color w:val="auto"/>
          <w:sz w:val="28"/>
          <w:szCs w:val="28"/>
          <w:highlight w:val="none"/>
        </w:rPr>
      </w:pPr>
    </w:p>
    <w:p w14:paraId="34C4815E">
      <w:pPr>
        <w:tabs>
          <w:tab w:val="left" w:pos="1140"/>
        </w:tabs>
        <w:snapToGrid w:val="0"/>
        <w:spacing w:line="360" w:lineRule="auto"/>
        <w:ind w:firstLine="1687" w:firstLineChars="600"/>
        <w:textAlignment w:val="baseline"/>
        <w:rPr>
          <w:rFonts w:hint="eastAsia" w:ascii="宋体" w:hAnsi="宋体" w:cs="宋体"/>
          <w:b/>
          <w:color w:val="auto"/>
          <w:sz w:val="28"/>
          <w:szCs w:val="28"/>
          <w:highlight w:val="none"/>
        </w:rPr>
      </w:pPr>
    </w:p>
    <w:p w14:paraId="5925A8EF">
      <w:pPr>
        <w:tabs>
          <w:tab w:val="left" w:pos="1140"/>
        </w:tabs>
        <w:snapToGrid w:val="0"/>
        <w:spacing w:line="360" w:lineRule="auto"/>
        <w:ind w:firstLine="2891" w:firstLineChars="600"/>
        <w:textAlignment w:val="baseline"/>
        <w:rPr>
          <w:rStyle w:val="75"/>
          <w:rFonts w:hint="eastAsia" w:ascii="宋体" w:hAnsi="宋体" w:cs="宋体"/>
          <w:b/>
          <w:bCs/>
          <w:color w:val="auto"/>
          <w:sz w:val="48"/>
          <w:szCs w:val="48"/>
          <w:highlight w:val="none"/>
        </w:rPr>
      </w:pPr>
      <w:r>
        <w:rPr>
          <w:rStyle w:val="75"/>
          <w:rFonts w:hint="eastAsia" w:ascii="宋体" w:hAnsi="宋体" w:cs="宋体"/>
          <w:b/>
          <w:bCs/>
          <w:color w:val="auto"/>
          <w:sz w:val="48"/>
          <w:szCs w:val="48"/>
          <w:highlight w:val="none"/>
        </w:rPr>
        <w:t xml:space="preserve">竞争性磋商响应文件 </w:t>
      </w:r>
    </w:p>
    <w:p w14:paraId="76269C8B">
      <w:pPr>
        <w:spacing w:line="360" w:lineRule="auto"/>
        <w:ind w:firstLine="964" w:firstLineChars="300"/>
        <w:rPr>
          <w:rFonts w:hint="eastAsia" w:ascii="宋体" w:hAnsi="宋体" w:eastAsia="宋体" w:cs="宋体"/>
          <w:b/>
          <w:color w:val="auto"/>
          <w:sz w:val="32"/>
          <w:szCs w:val="31"/>
          <w:highlight w:val="none"/>
          <w:lang w:val="en-US" w:eastAsia="zh-CN"/>
        </w:rPr>
      </w:pPr>
      <w:r>
        <w:rPr>
          <w:rFonts w:hint="eastAsia" w:ascii="宋体" w:hAnsi="宋体" w:cs="宋体"/>
          <w:b/>
          <w:color w:val="auto"/>
          <w:sz w:val="32"/>
          <w:szCs w:val="31"/>
          <w:highlight w:val="none"/>
          <w:lang w:val="en-US" w:eastAsia="zh-CN"/>
        </w:rPr>
        <w:t xml:space="preserve">=         </w:t>
      </w:r>
      <w:r>
        <w:rPr>
          <w:rFonts w:hint="eastAsia" w:ascii="宋体" w:hAnsi="宋体" w:eastAsia="宋体" w:cs="宋体"/>
          <w:b/>
          <w:color w:val="auto"/>
          <w:sz w:val="32"/>
          <w:szCs w:val="31"/>
          <w:highlight w:val="none"/>
          <w:lang w:val="en-US" w:eastAsia="zh-CN"/>
        </w:rPr>
        <w:t>项目</w:t>
      </w:r>
      <w:r>
        <w:rPr>
          <w:rFonts w:hint="eastAsia" w:ascii="宋体" w:hAnsi="宋体" w:eastAsia="宋体" w:cs="宋体"/>
          <w:b/>
          <w:color w:val="auto"/>
          <w:sz w:val="32"/>
          <w:szCs w:val="31"/>
          <w:highlight w:val="none"/>
        </w:rPr>
        <w:t>编号：</w:t>
      </w:r>
      <w:r>
        <w:rPr>
          <w:rFonts w:hint="eastAsia" w:asciiTheme="minorEastAsia" w:hAnsiTheme="minorEastAsia" w:eastAsiaTheme="minorEastAsia" w:cstheme="minorEastAsia"/>
          <w:color w:val="auto"/>
          <w:sz w:val="33"/>
          <w:highlight w:val="none"/>
          <w:lang w:eastAsia="zh-CN"/>
        </w:rPr>
        <w:t>XJJSZC（JZXCS）2025-004</w:t>
      </w:r>
    </w:p>
    <w:p w14:paraId="0369D2AB">
      <w:pPr>
        <w:pStyle w:val="45"/>
        <w:spacing w:line="480" w:lineRule="auto"/>
        <w:jc w:val="left"/>
        <w:rPr>
          <w:rFonts w:hint="eastAsia" w:ascii="宋体" w:hAnsi="宋体" w:eastAsia="宋体" w:cs="宋体"/>
          <w:b/>
          <w:color w:val="auto"/>
          <w:sz w:val="32"/>
          <w:szCs w:val="31"/>
          <w:highlight w:val="none"/>
          <w:lang w:eastAsia="zh-CN"/>
        </w:rPr>
      </w:pPr>
    </w:p>
    <w:p w14:paraId="755D79BB">
      <w:pPr>
        <w:pStyle w:val="78"/>
        <w:ind w:firstLine="560"/>
        <w:rPr>
          <w:rStyle w:val="75"/>
          <w:rFonts w:hint="eastAsia" w:ascii="宋体" w:hAnsi="宋体" w:cs="宋体"/>
          <w:color w:val="auto"/>
          <w:sz w:val="28"/>
          <w:szCs w:val="28"/>
          <w:highlight w:val="none"/>
        </w:rPr>
      </w:pPr>
    </w:p>
    <w:p w14:paraId="41424FA1">
      <w:pPr>
        <w:pStyle w:val="78"/>
        <w:ind w:firstLine="560"/>
        <w:rPr>
          <w:rStyle w:val="75"/>
          <w:rFonts w:hint="eastAsia" w:ascii="宋体" w:hAnsi="宋体" w:cs="宋体"/>
          <w:color w:val="auto"/>
          <w:sz w:val="28"/>
          <w:szCs w:val="28"/>
          <w:highlight w:val="none"/>
        </w:rPr>
      </w:pPr>
    </w:p>
    <w:p w14:paraId="71E0DF9C">
      <w:pPr>
        <w:pStyle w:val="78"/>
        <w:ind w:firstLine="560"/>
        <w:rPr>
          <w:rStyle w:val="75"/>
          <w:rFonts w:hint="eastAsia" w:ascii="宋体" w:hAnsi="宋体" w:cs="宋体"/>
          <w:color w:val="auto"/>
          <w:sz w:val="28"/>
          <w:szCs w:val="28"/>
          <w:highlight w:val="none"/>
        </w:rPr>
      </w:pPr>
    </w:p>
    <w:p w14:paraId="03942B4A">
      <w:pPr>
        <w:pStyle w:val="78"/>
        <w:ind w:firstLine="560"/>
        <w:rPr>
          <w:rStyle w:val="75"/>
          <w:rFonts w:hint="eastAsia" w:ascii="宋体" w:hAnsi="宋体" w:cs="宋体"/>
          <w:color w:val="auto"/>
          <w:sz w:val="28"/>
          <w:szCs w:val="28"/>
          <w:highlight w:val="none"/>
        </w:rPr>
      </w:pPr>
    </w:p>
    <w:p w14:paraId="772F475D">
      <w:pPr>
        <w:pStyle w:val="78"/>
        <w:ind w:firstLine="560"/>
        <w:rPr>
          <w:rStyle w:val="75"/>
          <w:rFonts w:hint="eastAsia" w:ascii="宋体" w:hAnsi="宋体" w:cs="宋体"/>
          <w:color w:val="auto"/>
          <w:sz w:val="28"/>
          <w:szCs w:val="28"/>
          <w:highlight w:val="none"/>
        </w:rPr>
      </w:pPr>
    </w:p>
    <w:p w14:paraId="0251A11C">
      <w:pPr>
        <w:tabs>
          <w:tab w:val="left" w:pos="1140"/>
        </w:tabs>
        <w:snapToGrid w:val="0"/>
        <w:spacing w:line="360" w:lineRule="auto"/>
        <w:ind w:firstLine="560" w:firstLineChars="200"/>
        <w:textAlignment w:val="baseline"/>
        <w:rPr>
          <w:rStyle w:val="75"/>
          <w:rFonts w:hint="eastAsia" w:ascii="宋体" w:hAnsi="宋体" w:cs="宋体"/>
          <w:color w:val="auto"/>
          <w:sz w:val="28"/>
          <w:szCs w:val="28"/>
          <w:highlight w:val="none"/>
        </w:rPr>
      </w:pPr>
    </w:p>
    <w:p w14:paraId="61467E8D">
      <w:pPr>
        <w:spacing w:line="480" w:lineRule="auto"/>
        <w:ind w:firstLine="560" w:firstLineChars="200"/>
        <w:textAlignment w:val="baseline"/>
        <w:rPr>
          <w:rStyle w:val="75"/>
          <w:rFonts w:hint="eastAsia" w:ascii="宋体" w:hAnsi="宋体" w:cs="宋体"/>
          <w:color w:val="auto"/>
          <w:sz w:val="28"/>
          <w:szCs w:val="28"/>
          <w:highlight w:val="none"/>
          <w:u w:val="single"/>
          <w:lang w:val="zh-CN"/>
        </w:rPr>
      </w:pPr>
      <w:r>
        <w:rPr>
          <w:rStyle w:val="75"/>
          <w:rFonts w:hint="eastAsia" w:ascii="宋体" w:hAnsi="宋体" w:cs="宋体"/>
          <w:color w:val="auto"/>
          <w:sz w:val="28"/>
          <w:szCs w:val="28"/>
          <w:highlight w:val="none"/>
          <w:lang w:val="zh-CN"/>
        </w:rPr>
        <w:t>项目名称：</w:t>
      </w:r>
      <w:r>
        <w:rPr>
          <w:rStyle w:val="75"/>
          <w:rFonts w:hint="eastAsia" w:ascii="宋体" w:hAnsi="宋体" w:cs="宋体"/>
          <w:color w:val="auto"/>
          <w:sz w:val="28"/>
          <w:szCs w:val="28"/>
          <w:highlight w:val="none"/>
          <w:u w:val="single" w:color="000000"/>
          <w:lang w:val="zh-CN"/>
        </w:rPr>
        <w:t xml:space="preserve">     </w:t>
      </w:r>
      <w:r>
        <w:rPr>
          <w:rStyle w:val="75"/>
          <w:rFonts w:hint="eastAsia" w:ascii="宋体" w:hAnsi="宋体" w:cs="宋体"/>
          <w:color w:val="auto"/>
          <w:sz w:val="28"/>
          <w:szCs w:val="28"/>
          <w:highlight w:val="none"/>
          <w:u w:val="single" w:color="000000"/>
        </w:rPr>
        <w:t xml:space="preserve">                       </w:t>
      </w:r>
      <w:r>
        <w:rPr>
          <w:rStyle w:val="75"/>
          <w:rFonts w:hint="eastAsia" w:ascii="宋体" w:hAnsi="宋体" w:cs="宋体"/>
          <w:color w:val="auto"/>
          <w:sz w:val="28"/>
          <w:szCs w:val="28"/>
          <w:highlight w:val="none"/>
          <w:u w:val="single" w:color="000000"/>
          <w:lang w:val="zh-CN"/>
        </w:rPr>
        <w:t xml:space="preserve">               </w:t>
      </w:r>
    </w:p>
    <w:p w14:paraId="49767951">
      <w:pPr>
        <w:spacing w:line="480" w:lineRule="auto"/>
        <w:ind w:firstLine="560" w:firstLineChars="200"/>
        <w:textAlignment w:val="baseline"/>
        <w:rPr>
          <w:rStyle w:val="75"/>
          <w:rFonts w:hint="eastAsia" w:ascii="宋体" w:hAnsi="宋体" w:cs="宋体"/>
          <w:color w:val="auto"/>
          <w:sz w:val="28"/>
          <w:szCs w:val="28"/>
          <w:highlight w:val="none"/>
          <w:lang w:val="zh-CN"/>
        </w:rPr>
      </w:pPr>
      <w:r>
        <w:rPr>
          <w:rStyle w:val="75"/>
          <w:rFonts w:hint="eastAsia" w:ascii="宋体" w:hAnsi="宋体" w:cs="宋体"/>
          <w:color w:val="auto"/>
          <w:sz w:val="28"/>
          <w:szCs w:val="28"/>
          <w:highlight w:val="none"/>
          <w:lang w:val="zh-CN"/>
        </w:rPr>
        <w:t>投标单位（</w:t>
      </w:r>
      <w:r>
        <w:rPr>
          <w:rStyle w:val="75"/>
          <w:rFonts w:hint="eastAsia" w:ascii="宋体" w:hAnsi="宋体" w:cs="宋体"/>
          <w:color w:val="auto"/>
          <w:sz w:val="28"/>
          <w:szCs w:val="28"/>
          <w:highlight w:val="none"/>
        </w:rPr>
        <w:t>盖章</w:t>
      </w:r>
      <w:r>
        <w:rPr>
          <w:rStyle w:val="75"/>
          <w:rFonts w:hint="eastAsia" w:ascii="宋体" w:hAnsi="宋体" w:cs="宋体"/>
          <w:color w:val="auto"/>
          <w:sz w:val="28"/>
          <w:szCs w:val="28"/>
          <w:highlight w:val="none"/>
          <w:lang w:val="zh-CN"/>
        </w:rPr>
        <w:t>）：</w:t>
      </w:r>
      <w:r>
        <w:rPr>
          <w:rStyle w:val="75"/>
          <w:rFonts w:hint="eastAsia" w:ascii="宋体" w:hAnsi="宋体" w:cs="宋体"/>
          <w:color w:val="auto"/>
          <w:sz w:val="28"/>
          <w:szCs w:val="28"/>
          <w:highlight w:val="none"/>
          <w:u w:val="single" w:color="000000"/>
        </w:rPr>
        <w:t xml:space="preserve">                  </w:t>
      </w:r>
      <w:r>
        <w:rPr>
          <w:rStyle w:val="75"/>
          <w:rFonts w:hint="eastAsia" w:ascii="宋体" w:hAnsi="宋体" w:cs="宋体"/>
          <w:color w:val="auto"/>
          <w:sz w:val="28"/>
          <w:szCs w:val="28"/>
          <w:highlight w:val="none"/>
          <w:u w:val="single" w:color="000000"/>
          <w:lang w:val="zh-CN"/>
        </w:rPr>
        <w:t xml:space="preserve">                 </w:t>
      </w:r>
    </w:p>
    <w:p w14:paraId="7132B2D5">
      <w:pPr>
        <w:spacing w:line="480" w:lineRule="auto"/>
        <w:ind w:firstLine="560" w:firstLineChars="200"/>
        <w:textAlignment w:val="baseline"/>
        <w:rPr>
          <w:rStyle w:val="75"/>
          <w:rFonts w:hint="eastAsia" w:ascii="宋体" w:hAnsi="宋体" w:cs="宋体"/>
          <w:color w:val="auto"/>
          <w:sz w:val="28"/>
          <w:szCs w:val="28"/>
          <w:highlight w:val="none"/>
        </w:rPr>
      </w:pPr>
      <w:r>
        <w:rPr>
          <w:rStyle w:val="75"/>
          <w:rFonts w:hint="eastAsia" w:ascii="宋体" w:hAnsi="宋体" w:cs="宋体"/>
          <w:color w:val="auto"/>
          <w:sz w:val="28"/>
          <w:szCs w:val="28"/>
          <w:highlight w:val="none"/>
        </w:rPr>
        <w:t>法定代表人或委托代理人（签字或盖章）：</w:t>
      </w:r>
      <w:r>
        <w:rPr>
          <w:rStyle w:val="75"/>
          <w:rFonts w:hint="eastAsia" w:ascii="宋体" w:hAnsi="宋体" w:cs="宋体"/>
          <w:color w:val="auto"/>
          <w:sz w:val="28"/>
          <w:szCs w:val="28"/>
          <w:highlight w:val="none"/>
          <w:u w:val="single" w:color="000000"/>
        </w:rPr>
        <w:t xml:space="preserve">               </w:t>
      </w:r>
    </w:p>
    <w:p w14:paraId="0990D721">
      <w:pPr>
        <w:spacing w:line="480" w:lineRule="auto"/>
        <w:ind w:firstLine="560" w:firstLineChars="200"/>
        <w:textAlignment w:val="baseline"/>
        <w:rPr>
          <w:rStyle w:val="75"/>
          <w:rFonts w:hint="eastAsia" w:ascii="宋体" w:hAnsi="宋体" w:cs="宋体"/>
          <w:color w:val="auto"/>
          <w:sz w:val="28"/>
          <w:szCs w:val="28"/>
          <w:highlight w:val="none"/>
        </w:rPr>
      </w:pPr>
      <w:r>
        <w:rPr>
          <w:rStyle w:val="75"/>
          <w:rFonts w:hint="eastAsia" w:ascii="宋体" w:hAnsi="宋体" w:cs="宋体"/>
          <w:color w:val="auto"/>
          <w:sz w:val="28"/>
          <w:szCs w:val="28"/>
          <w:highlight w:val="none"/>
        </w:rPr>
        <w:t>投标单位地址:</w:t>
      </w:r>
      <w:r>
        <w:rPr>
          <w:rStyle w:val="75"/>
          <w:rFonts w:hint="eastAsia" w:ascii="宋体" w:hAnsi="宋体" w:cs="宋体"/>
          <w:color w:val="auto"/>
          <w:sz w:val="28"/>
          <w:szCs w:val="28"/>
          <w:highlight w:val="none"/>
          <w:lang w:val="zh-CN"/>
        </w:rPr>
        <w:t xml:space="preserve">  </w:t>
      </w:r>
      <w:r>
        <w:rPr>
          <w:rStyle w:val="75"/>
          <w:rFonts w:hint="eastAsia" w:ascii="宋体" w:hAnsi="宋体" w:cs="宋体"/>
          <w:color w:val="auto"/>
          <w:sz w:val="28"/>
          <w:szCs w:val="28"/>
          <w:highlight w:val="none"/>
          <w:u w:val="single" w:color="000000"/>
        </w:rPr>
        <w:t xml:space="preserve">                  </w:t>
      </w:r>
      <w:r>
        <w:rPr>
          <w:rStyle w:val="75"/>
          <w:rFonts w:hint="eastAsia" w:ascii="宋体" w:hAnsi="宋体" w:cs="宋体"/>
          <w:color w:val="auto"/>
          <w:sz w:val="28"/>
          <w:szCs w:val="28"/>
          <w:highlight w:val="none"/>
          <w:u w:val="single" w:color="000000"/>
          <w:lang w:val="zh-CN"/>
        </w:rPr>
        <w:t xml:space="preserve">          </w:t>
      </w:r>
      <w:r>
        <w:rPr>
          <w:rStyle w:val="75"/>
          <w:rFonts w:hint="eastAsia" w:ascii="宋体" w:hAnsi="宋体" w:cs="宋体"/>
          <w:color w:val="auto"/>
          <w:sz w:val="28"/>
          <w:szCs w:val="28"/>
          <w:highlight w:val="none"/>
          <w:u w:val="single" w:color="000000"/>
        </w:rPr>
        <w:t xml:space="preserve">      </w:t>
      </w:r>
      <w:r>
        <w:rPr>
          <w:rStyle w:val="75"/>
          <w:rFonts w:hint="eastAsia" w:ascii="宋体" w:hAnsi="宋体" w:cs="宋体"/>
          <w:color w:val="auto"/>
          <w:sz w:val="28"/>
          <w:szCs w:val="28"/>
          <w:highlight w:val="none"/>
          <w:u w:val="single" w:color="000000"/>
          <w:lang w:val="zh-CN"/>
        </w:rPr>
        <w:t xml:space="preserve">  </w:t>
      </w:r>
      <w:r>
        <w:rPr>
          <w:rStyle w:val="75"/>
          <w:rFonts w:hint="eastAsia" w:ascii="宋体" w:hAnsi="宋体" w:cs="宋体"/>
          <w:color w:val="auto"/>
          <w:sz w:val="28"/>
          <w:szCs w:val="28"/>
          <w:highlight w:val="none"/>
          <w:u w:val="single" w:color="000000"/>
        </w:rPr>
        <w:t xml:space="preserve">  </w:t>
      </w:r>
    </w:p>
    <w:p w14:paraId="2689DC87">
      <w:pPr>
        <w:tabs>
          <w:tab w:val="left" w:pos="1140"/>
        </w:tabs>
        <w:snapToGrid w:val="0"/>
        <w:spacing w:line="360" w:lineRule="auto"/>
        <w:jc w:val="right"/>
        <w:textAlignment w:val="baseline"/>
        <w:rPr>
          <w:rStyle w:val="75"/>
          <w:rFonts w:hint="eastAsia" w:ascii="宋体" w:hAnsi="宋体" w:cs="宋体"/>
          <w:color w:val="auto"/>
          <w:sz w:val="28"/>
          <w:szCs w:val="28"/>
          <w:highlight w:val="none"/>
        </w:rPr>
      </w:pPr>
    </w:p>
    <w:p w14:paraId="59E235CB">
      <w:pPr>
        <w:tabs>
          <w:tab w:val="left" w:pos="1140"/>
        </w:tabs>
        <w:snapToGrid w:val="0"/>
        <w:spacing w:line="360" w:lineRule="auto"/>
        <w:jc w:val="right"/>
        <w:textAlignment w:val="baseline"/>
        <w:rPr>
          <w:rFonts w:hint="eastAsia"/>
          <w:color w:val="auto"/>
          <w:highlight w:val="none"/>
        </w:rPr>
      </w:pPr>
      <w:r>
        <w:rPr>
          <w:rStyle w:val="75"/>
          <w:rFonts w:hint="eastAsia" w:ascii="宋体" w:hAnsi="宋体" w:cs="宋体"/>
          <w:color w:val="auto"/>
          <w:sz w:val="28"/>
          <w:szCs w:val="28"/>
          <w:highlight w:val="none"/>
        </w:rPr>
        <w:t>年    月    日</w:t>
      </w:r>
    </w:p>
    <w:p w14:paraId="4CB1525F">
      <w:pPr>
        <w:rPr>
          <w:rFonts w:hint="eastAsia" w:ascii="宋体" w:hAnsi="宋体"/>
          <w:b/>
          <w:color w:val="auto"/>
          <w:kern w:val="0"/>
          <w:highlight w:val="none"/>
        </w:rPr>
      </w:pPr>
    </w:p>
    <w:p w14:paraId="1FF1CE2F">
      <w:pPr>
        <w:rPr>
          <w:rFonts w:hint="eastAsia"/>
          <w:color w:val="auto"/>
          <w:highlight w:val="none"/>
        </w:rPr>
      </w:pPr>
    </w:p>
    <w:p w14:paraId="22FA0C28">
      <w:pPr>
        <w:spacing w:line="360" w:lineRule="auto"/>
        <w:textAlignment w:val="baseline"/>
        <w:rPr>
          <w:rStyle w:val="75"/>
          <w:rFonts w:hint="eastAsia" w:ascii="宋体" w:hAnsi="宋体" w:cs="宋体"/>
          <w:b/>
          <w:color w:val="auto"/>
          <w:sz w:val="28"/>
          <w:szCs w:val="28"/>
          <w:highlight w:val="none"/>
        </w:rPr>
      </w:pPr>
      <w:r>
        <w:rPr>
          <w:rStyle w:val="75"/>
          <w:rFonts w:hint="eastAsia" w:ascii="宋体" w:hAnsi="宋体" w:cs="宋体"/>
          <w:b/>
          <w:color w:val="auto"/>
          <w:sz w:val="28"/>
          <w:szCs w:val="28"/>
          <w:highlight w:val="none"/>
        </w:rPr>
        <w:t>2.投标文件目录格式</w:t>
      </w:r>
    </w:p>
    <w:p w14:paraId="30F592C6">
      <w:pPr>
        <w:pStyle w:val="4"/>
        <w:rPr>
          <w:rFonts w:hint="eastAsia"/>
          <w:color w:val="auto"/>
          <w:highlight w:val="none"/>
        </w:rPr>
      </w:pPr>
    </w:p>
    <w:p w14:paraId="236DD4AE">
      <w:pPr>
        <w:spacing w:line="360" w:lineRule="auto"/>
        <w:jc w:val="center"/>
        <w:rPr>
          <w:rStyle w:val="75"/>
          <w:rFonts w:hint="eastAsia" w:ascii="宋体" w:hAnsi="宋体" w:cs="宋体"/>
          <w:color w:val="auto"/>
          <w:sz w:val="44"/>
          <w:szCs w:val="44"/>
          <w:highlight w:val="none"/>
        </w:rPr>
      </w:pPr>
      <w:r>
        <w:rPr>
          <w:rFonts w:hint="eastAsia" w:ascii="宋体" w:hAnsi="宋体" w:cs="宋体"/>
          <w:b/>
          <w:color w:val="auto"/>
          <w:sz w:val="44"/>
          <w:szCs w:val="44"/>
          <w:highlight w:val="none"/>
        </w:rPr>
        <w:t>目  录</w:t>
      </w:r>
    </w:p>
    <w:p w14:paraId="7C5EF994">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一、投标函（格式附后）</w:t>
      </w:r>
    </w:p>
    <w:p w14:paraId="72374B7C">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二、法定代表人身份证明或法人授权委托书（格式附后）</w:t>
      </w:r>
    </w:p>
    <w:p w14:paraId="4E1A9169">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三、开标一览表（格式附后）</w:t>
      </w:r>
    </w:p>
    <w:p w14:paraId="3B0506D0">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四、商务及技术偏离表（格式附后）</w:t>
      </w:r>
    </w:p>
    <w:p w14:paraId="326D046B">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五、资格证明文件（具体要求详见采购文件）</w:t>
      </w:r>
    </w:p>
    <w:p w14:paraId="626F2C16">
      <w:pPr>
        <w:pStyle w:val="5"/>
        <w:ind w:firstLine="482" w:firstLineChars="200"/>
        <w:jc w:val="both"/>
        <w:rPr>
          <w:rFonts w:hint="default" w:ascii="宋体" w:hAnsi="宋体" w:eastAsia="宋体" w:cs="宋体"/>
          <w:b/>
          <w:color w:val="auto"/>
          <w:sz w:val="24"/>
          <w:highlight w:val="none"/>
          <w:lang w:val="en-US" w:eastAsia="zh-CN"/>
        </w:rPr>
      </w:pPr>
      <w:r>
        <w:rPr>
          <w:rFonts w:hint="eastAsia" w:ascii="宋体" w:hAnsi="宋体" w:eastAsia="宋体" w:cs="宋体"/>
          <w:b/>
          <w:color w:val="auto"/>
          <w:sz w:val="24"/>
          <w:highlight w:val="none"/>
          <w:lang w:val="en-US" w:eastAsia="zh-CN"/>
        </w:rPr>
        <w:t>①</w:t>
      </w:r>
      <w:r>
        <w:rPr>
          <w:rFonts w:hint="eastAsia" w:ascii="宋体" w:hAnsi="宋体" w:eastAsia="宋体" w:cs="宋体"/>
          <w:b/>
          <w:color w:val="auto"/>
          <w:sz w:val="24"/>
          <w:highlight w:val="none"/>
        </w:rPr>
        <w:t>符合《中华人民共和国政府采购法》第二十二条的相关规定</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②企业资格；③项目负责人资格；④信用查询；⑤投标保证金；⑥未组成联合投标；⑦其它要求；⑧企业声明函（格式附后）。</w:t>
      </w:r>
    </w:p>
    <w:p w14:paraId="59DDE72E">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lang w:val="ru-RU" w:eastAsia="zh-CN"/>
        </w:rPr>
        <w:t>近三年</w:t>
      </w:r>
      <w:r>
        <w:rPr>
          <w:rFonts w:hint="eastAsia" w:ascii="宋体" w:hAnsi="宋体" w:eastAsia="宋体" w:cs="宋体"/>
          <w:color w:val="auto"/>
          <w:sz w:val="24"/>
          <w:szCs w:val="24"/>
          <w:highlight w:val="none"/>
          <w:lang w:val="en-US" w:eastAsia="zh-CN"/>
        </w:rPr>
        <w:t>企业类似业绩（格式附后）</w:t>
      </w:r>
    </w:p>
    <w:p w14:paraId="2A29B876">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七、</w:t>
      </w:r>
      <w:r>
        <w:rPr>
          <w:rFonts w:hint="eastAsia" w:ascii="宋体" w:hAnsi="宋体" w:eastAsia="宋体" w:cs="宋体"/>
          <w:color w:val="auto"/>
          <w:sz w:val="24"/>
          <w:szCs w:val="24"/>
          <w:highlight w:val="none"/>
          <w:lang w:val="zh-CN" w:eastAsia="zh-CN"/>
        </w:rPr>
        <w:t>项目管理人员（</w:t>
      </w:r>
      <w:r>
        <w:rPr>
          <w:rFonts w:hint="eastAsia" w:ascii="宋体" w:hAnsi="宋体" w:eastAsia="宋体" w:cs="宋体"/>
          <w:color w:val="auto"/>
          <w:sz w:val="24"/>
          <w:szCs w:val="24"/>
          <w:highlight w:val="none"/>
          <w:lang w:val="en-US" w:eastAsia="zh-CN"/>
        </w:rPr>
        <w:t>格式附后</w:t>
      </w:r>
      <w:r>
        <w:rPr>
          <w:rFonts w:hint="eastAsia" w:ascii="宋体" w:hAnsi="宋体" w:eastAsia="宋体" w:cs="宋体"/>
          <w:color w:val="auto"/>
          <w:sz w:val="24"/>
          <w:szCs w:val="24"/>
          <w:highlight w:val="none"/>
          <w:lang w:val="zh-CN" w:eastAsia="zh-CN"/>
        </w:rPr>
        <w:t>）</w:t>
      </w:r>
    </w:p>
    <w:p w14:paraId="28E54574">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八、施工组织设计（技术标）</w:t>
      </w:r>
    </w:p>
    <w:p w14:paraId="1BA2DCC3">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（1）施工方案及技术措施</w:t>
      </w:r>
    </w:p>
    <w:p w14:paraId="17063917">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（2）确保工期的技术组织措施</w:t>
      </w:r>
    </w:p>
    <w:p w14:paraId="2F71F52E">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（3）确保工程质量的技术组织措施</w:t>
      </w:r>
    </w:p>
    <w:p w14:paraId="2DF9271E">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（4）安全管理体系与措施</w:t>
      </w:r>
    </w:p>
    <w:p w14:paraId="3DE2EF0C">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（5）确保文明施工与环境保护的技术组织措施</w:t>
      </w:r>
    </w:p>
    <w:p w14:paraId="63531523">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九、投标预算（商务标）</w:t>
      </w:r>
    </w:p>
    <w:p w14:paraId="0FE95BCC">
      <w:pPr>
        <w:spacing w:line="360" w:lineRule="auto"/>
        <w:textAlignment w:val="baseline"/>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十、提供其它有利于磋商的资料</w:t>
      </w:r>
    </w:p>
    <w:p w14:paraId="5047379D">
      <w:pPr>
        <w:spacing w:line="360" w:lineRule="auto"/>
        <w:textAlignment w:val="baseline"/>
        <w:rPr>
          <w:rStyle w:val="81"/>
          <w:rFonts w:hint="eastAsia" w:ascii="宋体" w:hAnsi="宋体" w:eastAsia="宋体" w:cs="Times New Roman"/>
          <w:color w:val="auto"/>
          <w:kern w:val="0"/>
          <w:sz w:val="24"/>
          <w:szCs w:val="22"/>
          <w:highlight w:val="none"/>
          <w:shd w:val="clear" w:color="auto" w:fill="FFFFFF"/>
          <w:lang w:val="en-US" w:eastAsia="zh-CN" w:bidi="ar-SA"/>
        </w:rPr>
      </w:pPr>
    </w:p>
    <w:p w14:paraId="76D4F9A1">
      <w:pPr>
        <w:pStyle w:val="25"/>
        <w:ind w:left="0" w:leftChars="0" w:firstLine="0" w:firstLineChars="0"/>
        <w:rPr>
          <w:rFonts w:hint="eastAsia"/>
          <w:color w:val="auto"/>
          <w:highlight w:val="none"/>
        </w:rPr>
      </w:pPr>
    </w:p>
    <w:p w14:paraId="38D42B50">
      <w:pPr>
        <w:rPr>
          <w:rFonts w:hint="eastAsia" w:ascii="宋体" w:hAnsi="宋体"/>
          <w:b/>
          <w:color w:val="auto"/>
          <w:kern w:val="0"/>
          <w:highlight w:val="none"/>
        </w:rPr>
      </w:pPr>
    </w:p>
    <w:p w14:paraId="6F591E5B">
      <w:pPr>
        <w:rPr>
          <w:rFonts w:hint="eastAsia" w:ascii="宋体" w:hAnsi="宋体"/>
          <w:b/>
          <w:color w:val="auto"/>
          <w:kern w:val="0"/>
          <w:highlight w:val="none"/>
        </w:rPr>
      </w:pPr>
    </w:p>
    <w:p w14:paraId="2A428FF7">
      <w:pPr>
        <w:rPr>
          <w:rFonts w:hint="eastAsia" w:ascii="宋体" w:hAnsi="宋体"/>
          <w:b/>
          <w:color w:val="auto"/>
          <w:kern w:val="0"/>
          <w:highlight w:val="none"/>
        </w:rPr>
      </w:pPr>
    </w:p>
    <w:p w14:paraId="20324F76">
      <w:pPr>
        <w:rPr>
          <w:rFonts w:hint="eastAsia" w:ascii="宋体" w:hAnsi="宋体"/>
          <w:b/>
          <w:color w:val="auto"/>
          <w:kern w:val="0"/>
          <w:highlight w:val="none"/>
        </w:rPr>
      </w:pPr>
    </w:p>
    <w:p w14:paraId="0A82C3A3">
      <w:pPr>
        <w:rPr>
          <w:rFonts w:hint="eastAsia" w:ascii="宋体" w:hAnsi="宋体"/>
          <w:b/>
          <w:color w:val="auto"/>
          <w:kern w:val="0"/>
          <w:highlight w:val="none"/>
        </w:rPr>
      </w:pPr>
    </w:p>
    <w:p w14:paraId="29731FB4">
      <w:pPr>
        <w:pStyle w:val="4"/>
        <w:jc w:val="both"/>
        <w:rPr>
          <w:rFonts w:hint="default" w:eastAsia="宋体"/>
          <w:color w:val="auto"/>
          <w:sz w:val="28"/>
          <w:szCs w:val="28"/>
          <w:highlight w:val="none"/>
          <w:lang w:val="en-US" w:eastAsia="zh-CN"/>
        </w:rPr>
      </w:pPr>
      <w:r>
        <w:rPr>
          <w:rFonts w:hint="eastAsia"/>
          <w:color w:val="auto"/>
          <w:sz w:val="28"/>
          <w:szCs w:val="28"/>
          <w:highlight w:val="none"/>
          <w:lang w:val="en-US" w:eastAsia="zh-CN"/>
        </w:rPr>
        <w:t>一、投标函格式：</w:t>
      </w:r>
    </w:p>
    <w:p w14:paraId="0C3A5180">
      <w:pPr>
        <w:spacing w:line="440" w:lineRule="exact"/>
        <w:jc w:val="center"/>
        <w:rPr>
          <w:rFonts w:hint="eastAsia" w:ascii="宋体" w:hAnsi="宋体"/>
          <w:b/>
          <w:color w:val="auto"/>
          <w:kern w:val="0"/>
          <w:highlight w:val="none"/>
        </w:rPr>
      </w:pPr>
    </w:p>
    <w:p w14:paraId="27F4AD71">
      <w:pPr>
        <w:pStyle w:val="4"/>
        <w:keepLines/>
        <w:spacing w:line="360" w:lineRule="auto"/>
        <w:ind w:left="0" w:leftChars="0"/>
        <w:jc w:val="center"/>
        <w:rPr>
          <w:rFonts w:hint="eastAsia" w:ascii="Cambria" w:hAnsi="Cambria" w:eastAsia="宋体" w:cs="Times New Roman"/>
          <w:bCs/>
          <w:color w:val="auto"/>
          <w:kern w:val="44"/>
          <w:sz w:val="32"/>
          <w:szCs w:val="32"/>
          <w:highlight w:val="none"/>
          <w:lang w:val="en-US" w:eastAsia="zh-CN"/>
        </w:rPr>
      </w:pPr>
      <w:r>
        <w:rPr>
          <w:rFonts w:hint="eastAsia" w:ascii="Cambria" w:hAnsi="Cambria" w:eastAsia="宋体" w:cs="Times New Roman"/>
          <w:bCs/>
          <w:color w:val="auto"/>
          <w:kern w:val="44"/>
          <w:sz w:val="32"/>
          <w:szCs w:val="32"/>
          <w:highlight w:val="none"/>
          <w:lang w:val="en-US" w:eastAsia="zh-CN"/>
        </w:rPr>
        <w:t>投  标  函</w:t>
      </w:r>
    </w:p>
    <w:p w14:paraId="27212DFB">
      <w:pPr>
        <w:spacing w:line="360" w:lineRule="auto"/>
        <w:ind w:left="484" w:leftChars="1" w:hanging="482" w:hangingChars="201"/>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 xml:space="preserve">                            </w:t>
      </w:r>
    </w:p>
    <w:p w14:paraId="14F4EB40">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1、根据已收到的</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工程的竞争性磋商文件，我单位经考察现场和研究贵方的竞争性磋商文件后，将接受该工程竞争性磋商文件中的各条款内容并且以</w:t>
      </w:r>
      <w:r>
        <w:rPr>
          <w:rFonts w:hint="eastAsia" w:ascii="宋体" w:hAnsi="宋体" w:eastAsia="宋体" w:cs="宋体"/>
          <w:color w:val="auto"/>
          <w:kern w:val="2"/>
          <w:sz w:val="24"/>
          <w:szCs w:val="24"/>
          <w:highlight w:val="none"/>
          <w:u w:val="single"/>
          <w:lang w:val="en-US" w:eastAsia="zh-CN" w:bidi="ar-SA"/>
        </w:rPr>
        <w:t xml:space="preserve">   （元）</w:t>
      </w:r>
      <w:r>
        <w:rPr>
          <w:rFonts w:hint="eastAsia" w:ascii="宋体" w:hAnsi="宋体" w:eastAsia="宋体" w:cs="宋体"/>
          <w:color w:val="auto"/>
          <w:kern w:val="2"/>
          <w:sz w:val="24"/>
          <w:szCs w:val="24"/>
          <w:highlight w:val="none"/>
          <w:lang w:val="en-US" w:eastAsia="zh-CN" w:bidi="ar-SA"/>
        </w:rPr>
        <w:t>的投标价格承包本招标范围内的工程。</w:t>
      </w:r>
    </w:p>
    <w:p w14:paraId="72572149">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2、如果我方中标，非业主原因，我方保证将在下列日期内组织施工：工期</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日历天，计划</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年</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月</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日开工，计划</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年</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月</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日竣工；</w:t>
      </w:r>
    </w:p>
    <w:p w14:paraId="1685635F">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r>
        <w:rPr>
          <w:rFonts w:hint="eastAsia" w:ascii="宋体" w:hAnsi="宋体" w:cs="宋体"/>
          <w:color w:val="auto"/>
          <w:sz w:val="24"/>
          <w:szCs w:val="24"/>
          <w:highlight w:val="none"/>
        </w:rPr>
        <w:t>我方承诺按照磋商文件要求</w:t>
      </w:r>
      <w:r>
        <w:rPr>
          <w:rFonts w:hint="eastAsia" w:ascii="宋体" w:hAnsi="宋体" w:cs="宋体"/>
          <w:color w:val="auto"/>
          <w:sz w:val="24"/>
          <w:szCs w:val="24"/>
          <w:highlight w:val="none"/>
          <w:lang w:val="en-US" w:eastAsia="zh-CN"/>
        </w:rPr>
        <w:t>进行施工</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质量要求为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建设地点为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承包方方式为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，质</w:t>
      </w:r>
      <w:r>
        <w:rPr>
          <w:rFonts w:hint="eastAsia" w:ascii="宋体" w:hAnsi="宋体" w:cs="宋体"/>
          <w:color w:val="auto"/>
          <w:sz w:val="24"/>
          <w:szCs w:val="24"/>
          <w:highlight w:val="none"/>
          <w:lang w:val="en-US" w:eastAsia="zh-CN"/>
        </w:rPr>
        <w:t>量保修期</w:t>
      </w:r>
      <w:r>
        <w:rPr>
          <w:rFonts w:hint="eastAsia" w:ascii="宋体" w:hAnsi="宋体" w:cs="宋体"/>
          <w:color w:val="auto"/>
          <w:sz w:val="24"/>
          <w:szCs w:val="24"/>
          <w:highlight w:val="none"/>
        </w:rPr>
        <w:t>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，质保金为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责任缺陷期为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，付款方式为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，磋商有效期为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，投标保证金为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none"/>
          <w:lang w:eastAsia="zh-CN"/>
        </w:rPr>
        <w:t>，</w:t>
      </w:r>
      <w:r>
        <w:rPr>
          <w:rFonts w:hint="eastAsia" w:ascii="宋体" w:hAnsi="宋体" w:cs="宋体"/>
          <w:color w:val="auto"/>
          <w:sz w:val="24"/>
          <w:szCs w:val="24"/>
          <w:highlight w:val="none"/>
          <w:u w:val="none"/>
          <w:lang w:val="en-US" w:eastAsia="zh-CN"/>
        </w:rPr>
        <w:t>履约保证金为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lang w:eastAsia="zh-CN"/>
        </w:rPr>
        <w:t>。</w:t>
      </w:r>
    </w:p>
    <w:p w14:paraId="41871093">
      <w:pPr>
        <w:numPr>
          <w:ilvl w:val="0"/>
          <w:numId w:val="0"/>
        </w:num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4、如果我方中标，我方将按竞争性磋商文件规定的时间内签订承包合同。</w:t>
      </w:r>
    </w:p>
    <w:p w14:paraId="04EE4848">
      <w:pPr>
        <w:numPr>
          <w:ilvl w:val="0"/>
          <w:numId w:val="0"/>
        </w:numPr>
        <w:spacing w:line="360" w:lineRule="auto"/>
        <w:ind w:leftChars="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5、贵方的竞争性磋商文件、中标通知书（或成交通知书）、我方的投标文件将构成约束双方的合同一部分。</w:t>
      </w:r>
    </w:p>
    <w:p w14:paraId="056716D2">
      <w:pPr>
        <w:spacing w:line="360" w:lineRule="auto"/>
        <w:ind w:firstLine="42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6、如果我方未中标，贵方没有必要对我方做出任何解释和说明，我方将充分尊重和理解贵方的选择。</w:t>
      </w:r>
    </w:p>
    <w:p w14:paraId="727F7295">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7、我方愿意遵守国家有关规定和招标文件中规定的收费标准,承付中标服务费。</w:t>
      </w:r>
    </w:p>
    <w:p w14:paraId="05D00427">
      <w:pPr>
        <w:spacing w:line="360" w:lineRule="auto"/>
        <w:ind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8、其它承诺事宜： </w:t>
      </w:r>
      <w:r>
        <w:rPr>
          <w:rFonts w:hint="eastAsia" w:ascii="宋体" w:hAnsi="宋体" w:eastAsia="宋体" w:cs="宋体"/>
          <w:color w:val="auto"/>
          <w:kern w:val="2"/>
          <w:sz w:val="24"/>
          <w:szCs w:val="24"/>
          <w:highlight w:val="none"/>
          <w:u w:val="single"/>
          <w:lang w:val="en-US" w:eastAsia="zh-CN" w:bidi="ar-SA"/>
        </w:rPr>
        <w:t xml:space="preserve">                     </w:t>
      </w:r>
      <w:r>
        <w:rPr>
          <w:rFonts w:hint="eastAsia" w:ascii="宋体" w:hAnsi="宋体" w:eastAsia="宋体" w:cs="宋体"/>
          <w:color w:val="auto"/>
          <w:kern w:val="2"/>
          <w:sz w:val="24"/>
          <w:szCs w:val="24"/>
          <w:highlight w:val="none"/>
          <w:lang w:val="en-US" w:eastAsia="zh-CN" w:bidi="ar-SA"/>
        </w:rPr>
        <w:t>。</w:t>
      </w:r>
    </w:p>
    <w:p w14:paraId="4960CE5C">
      <w:pPr>
        <w:pStyle w:val="25"/>
        <w:rPr>
          <w:rFonts w:hint="default" w:ascii="宋体" w:hAnsi="宋体" w:eastAsia="宋体" w:cs="宋体"/>
          <w:color w:val="auto"/>
          <w:kern w:val="2"/>
          <w:sz w:val="24"/>
          <w:szCs w:val="24"/>
          <w:highlight w:val="none"/>
          <w:lang w:val="en-US" w:eastAsia="zh-CN" w:bidi="ar-SA"/>
        </w:rPr>
      </w:pPr>
    </w:p>
    <w:p w14:paraId="0C91C436">
      <w:pPr>
        <w:pStyle w:val="88"/>
        <w:rPr>
          <w:rFonts w:hint="default" w:ascii="宋体" w:hAnsi="宋体" w:eastAsia="宋体" w:cs="宋体"/>
          <w:color w:val="auto"/>
          <w:kern w:val="2"/>
          <w:sz w:val="24"/>
          <w:szCs w:val="24"/>
          <w:highlight w:val="none"/>
          <w:lang w:val="en-US" w:eastAsia="zh-CN" w:bidi="ar-SA"/>
        </w:rPr>
      </w:pPr>
    </w:p>
    <w:p w14:paraId="01EF28DC">
      <w:pPr>
        <w:rPr>
          <w:rFonts w:hint="eastAsia" w:ascii="宋体" w:hAnsi="宋体" w:eastAsia="宋体" w:cs="宋体"/>
          <w:color w:val="auto"/>
          <w:kern w:val="2"/>
          <w:sz w:val="24"/>
          <w:szCs w:val="24"/>
          <w:highlight w:val="none"/>
          <w:lang w:val="en-US" w:eastAsia="zh-CN" w:bidi="ar-SA"/>
        </w:rPr>
      </w:pPr>
    </w:p>
    <w:p w14:paraId="5F629805">
      <w:pPr>
        <w:numPr>
          <w:ilvl w:val="0"/>
          <w:numId w:val="0"/>
        </w:numPr>
        <w:spacing w:line="360" w:lineRule="auto"/>
        <w:ind w:leftChars="0" w:firstLine="1680" w:firstLineChars="7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投标单位（盖章）：</w:t>
      </w:r>
      <w:r>
        <w:rPr>
          <w:rFonts w:hint="eastAsia" w:ascii="宋体" w:hAnsi="宋体" w:eastAsia="宋体" w:cs="宋体"/>
          <w:color w:val="auto"/>
          <w:kern w:val="2"/>
          <w:sz w:val="24"/>
          <w:szCs w:val="24"/>
          <w:highlight w:val="none"/>
          <w:u w:val="single"/>
          <w:lang w:val="en-US" w:eastAsia="zh-CN" w:bidi="ar-SA"/>
        </w:rPr>
        <w:t xml:space="preserve">                                      </w:t>
      </w:r>
    </w:p>
    <w:p w14:paraId="7E51C48E">
      <w:pPr>
        <w:numPr>
          <w:ilvl w:val="0"/>
          <w:numId w:val="0"/>
        </w:numPr>
        <w:spacing w:line="360" w:lineRule="auto"/>
        <w:ind w:leftChars="0" w:firstLine="480" w:firstLineChars="200"/>
        <w:rPr>
          <w:rFonts w:hint="eastAsia" w:ascii="宋体" w:hAnsi="宋体" w:eastAsia="宋体" w:cs="宋体"/>
          <w:color w:val="auto"/>
          <w:kern w:val="2"/>
          <w:sz w:val="24"/>
          <w:szCs w:val="24"/>
          <w:highlight w:val="none"/>
          <w:lang w:val="en-US" w:eastAsia="zh-CN" w:bidi="ar-SA"/>
        </w:rPr>
      </w:pPr>
    </w:p>
    <w:p w14:paraId="44F72CD1">
      <w:pPr>
        <w:numPr>
          <w:ilvl w:val="0"/>
          <w:numId w:val="0"/>
        </w:numPr>
        <w:spacing w:line="360" w:lineRule="auto"/>
        <w:ind w:leftChars="0" w:firstLine="1680" w:firstLineChars="700"/>
        <w:rPr>
          <w:rFonts w:hint="default" w:ascii="宋体" w:hAnsi="宋体" w:eastAsia="宋体" w:cs="宋体"/>
          <w:color w:val="auto"/>
          <w:kern w:val="2"/>
          <w:sz w:val="24"/>
          <w:szCs w:val="24"/>
          <w:highlight w:val="none"/>
          <w:u w:val="single"/>
          <w:lang w:val="en-US" w:eastAsia="zh-CN" w:bidi="ar-SA"/>
        </w:rPr>
      </w:pPr>
      <w:r>
        <w:rPr>
          <w:rFonts w:hint="eastAsia" w:ascii="宋体" w:hAnsi="宋体" w:eastAsia="宋体" w:cs="宋体"/>
          <w:color w:val="auto"/>
          <w:kern w:val="2"/>
          <w:sz w:val="24"/>
          <w:szCs w:val="24"/>
          <w:highlight w:val="none"/>
          <w:lang w:val="en-US" w:eastAsia="zh-CN" w:bidi="ar-SA"/>
        </w:rPr>
        <w:t>法定代表人或委托代理人（签字或盖章）：</w:t>
      </w:r>
      <w:r>
        <w:rPr>
          <w:rFonts w:hint="eastAsia" w:ascii="宋体" w:hAnsi="宋体" w:eastAsia="宋体" w:cs="宋体"/>
          <w:color w:val="auto"/>
          <w:kern w:val="2"/>
          <w:sz w:val="24"/>
          <w:szCs w:val="24"/>
          <w:highlight w:val="none"/>
          <w:u w:val="single"/>
          <w:lang w:val="en-US" w:eastAsia="zh-CN" w:bidi="ar-SA"/>
        </w:rPr>
        <w:t xml:space="preserve">                  </w:t>
      </w:r>
    </w:p>
    <w:p w14:paraId="335DA7FC">
      <w:pPr>
        <w:numPr>
          <w:ilvl w:val="0"/>
          <w:numId w:val="0"/>
        </w:numPr>
        <w:spacing w:line="360" w:lineRule="auto"/>
        <w:ind w:leftChars="0" w:firstLine="480" w:firstLineChars="200"/>
        <w:rPr>
          <w:rFonts w:hint="eastAsia" w:ascii="宋体" w:hAnsi="宋体" w:eastAsia="宋体" w:cs="宋体"/>
          <w:color w:val="auto"/>
          <w:kern w:val="2"/>
          <w:sz w:val="24"/>
          <w:szCs w:val="24"/>
          <w:highlight w:val="none"/>
          <w:lang w:val="en-US" w:eastAsia="zh-CN" w:bidi="ar-SA"/>
        </w:rPr>
      </w:pPr>
    </w:p>
    <w:p w14:paraId="6A767E2A">
      <w:pPr>
        <w:numPr>
          <w:ilvl w:val="0"/>
          <w:numId w:val="0"/>
        </w:numPr>
        <w:spacing w:line="360" w:lineRule="auto"/>
        <w:ind w:leftChars="0" w:firstLine="1680" w:firstLineChars="7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日  期：    年    月    日</w:t>
      </w:r>
    </w:p>
    <w:p w14:paraId="30F7D85F">
      <w:pPr>
        <w:pStyle w:val="4"/>
        <w:rPr>
          <w:rFonts w:hint="eastAsia"/>
          <w:color w:val="auto"/>
          <w:highlight w:val="none"/>
        </w:rPr>
      </w:pPr>
    </w:p>
    <w:p w14:paraId="07AD6971">
      <w:pPr>
        <w:pStyle w:val="18"/>
        <w:spacing w:line="360" w:lineRule="auto"/>
        <w:ind w:left="0" w:leftChars="0" w:firstLine="0" w:firstLineChars="0"/>
        <w:rPr>
          <w:rFonts w:hint="eastAsia" w:ascii="宋体" w:hAnsi="宋体" w:cs="宋体"/>
          <w:color w:val="auto"/>
          <w:sz w:val="28"/>
          <w:szCs w:val="28"/>
          <w:highlight w:val="none"/>
        </w:rPr>
      </w:pPr>
    </w:p>
    <w:p w14:paraId="08B7ABDB">
      <w:pPr>
        <w:spacing w:line="360" w:lineRule="auto"/>
        <w:ind w:left="0" w:leftChars="0" w:firstLine="0" w:firstLineChars="0"/>
        <w:rPr>
          <w:rFonts w:hint="eastAsia" w:ascii="宋体" w:hAnsi="宋体" w:cs="宋体"/>
          <w:b/>
          <w:color w:val="auto"/>
          <w:kern w:val="0"/>
          <w:sz w:val="28"/>
          <w:szCs w:val="28"/>
          <w:highlight w:val="none"/>
        </w:rPr>
      </w:pPr>
    </w:p>
    <w:p w14:paraId="06A87820">
      <w:pPr>
        <w:pStyle w:val="10"/>
        <w:ind w:left="0" w:leftChars="0" w:firstLine="0" w:firstLineChars="0"/>
        <w:rPr>
          <w:rFonts w:hint="default" w:ascii="Cambria" w:hAnsi="Cambria" w:eastAsia="宋体" w:cs="Times New Roman"/>
          <w:b/>
          <w:bCs/>
          <w:color w:val="auto"/>
          <w:kern w:val="44"/>
          <w:sz w:val="28"/>
          <w:szCs w:val="28"/>
          <w:highlight w:val="none"/>
          <w:lang w:val="en-US" w:eastAsia="zh-CN" w:bidi="ar-SA"/>
        </w:rPr>
      </w:pPr>
      <w:r>
        <w:rPr>
          <w:rFonts w:hint="eastAsia" w:ascii="Cambria" w:hAnsi="Cambria" w:eastAsia="宋体" w:cs="Times New Roman"/>
          <w:b/>
          <w:bCs/>
          <w:color w:val="auto"/>
          <w:kern w:val="44"/>
          <w:sz w:val="28"/>
          <w:szCs w:val="28"/>
          <w:highlight w:val="none"/>
          <w:lang w:val="en-US" w:eastAsia="zh-CN" w:bidi="ar-SA"/>
        </w:rPr>
        <w:t>二、法定代表人身份证明或法人授权委托书格式：</w:t>
      </w:r>
    </w:p>
    <w:p w14:paraId="21A4232B">
      <w:pPr>
        <w:ind w:left="0" w:leftChars="0" w:firstLine="0" w:firstLineChars="0"/>
        <w:rPr>
          <w:rFonts w:hint="eastAsia" w:ascii="宋体" w:hAnsi="宋体"/>
          <w:b/>
          <w:color w:val="auto"/>
          <w:kern w:val="0"/>
          <w:highlight w:val="none"/>
        </w:rPr>
      </w:pPr>
    </w:p>
    <w:p w14:paraId="5FF9081A">
      <w:pPr>
        <w:pStyle w:val="89"/>
        <w:jc w:val="both"/>
        <w:outlineLvl w:val="9"/>
        <w:rPr>
          <w:rFonts w:hint="eastAsia" w:cs="宋体"/>
          <w:b w:val="0"/>
          <w:color w:val="auto"/>
          <w:sz w:val="28"/>
          <w:szCs w:val="28"/>
          <w:highlight w:val="none"/>
        </w:rPr>
      </w:pPr>
      <w:bookmarkStart w:id="343" w:name="_Toc480368595"/>
      <w:bookmarkStart w:id="344" w:name="_Toc480368653"/>
      <w:bookmarkStart w:id="345" w:name="_Toc480371721"/>
      <w:bookmarkStart w:id="346" w:name="_Toc480368424"/>
      <w:bookmarkStart w:id="347" w:name="_Toc30613"/>
      <w:bookmarkStart w:id="348" w:name="_Toc15747"/>
      <w:bookmarkStart w:id="349" w:name="_Toc18505"/>
    </w:p>
    <w:bookmarkEnd w:id="343"/>
    <w:bookmarkEnd w:id="344"/>
    <w:bookmarkEnd w:id="345"/>
    <w:bookmarkEnd w:id="346"/>
    <w:p w14:paraId="7B269251">
      <w:pPr>
        <w:pStyle w:val="4"/>
        <w:jc w:val="center"/>
        <w:rPr>
          <w:rFonts w:hint="eastAsia" w:ascii="宋体" w:hAnsi="宋体" w:cs="宋体"/>
          <w:color w:val="auto"/>
          <w:kern w:val="0"/>
          <w:sz w:val="28"/>
          <w:szCs w:val="28"/>
          <w:highlight w:val="none"/>
        </w:rPr>
      </w:pPr>
      <w:r>
        <w:rPr>
          <w:rFonts w:hint="eastAsia" w:eastAsia="宋体" w:cs="Times New Roman"/>
          <w:b/>
          <w:bCs/>
          <w:color w:val="auto"/>
          <w:highlight w:val="none"/>
          <w:lang w:val="en-US" w:eastAsia="zh-CN"/>
        </w:rPr>
        <w:t>法定代表人身份证明书</w:t>
      </w:r>
    </w:p>
    <w:p w14:paraId="57DE93F6">
      <w:pPr>
        <w:jc w:val="center"/>
        <w:rPr>
          <w:rFonts w:hint="eastAsia" w:ascii="宋体" w:hAnsi="宋体" w:cs="宋体"/>
          <w:color w:val="auto"/>
          <w:kern w:val="0"/>
          <w:sz w:val="28"/>
          <w:szCs w:val="28"/>
          <w:highlight w:val="none"/>
        </w:rPr>
      </w:pPr>
    </w:p>
    <w:p w14:paraId="0DCB1732">
      <w:pPr>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企业名称：</w:t>
      </w:r>
      <w:r>
        <w:rPr>
          <w:rFonts w:hint="eastAsia" w:ascii="宋体" w:hAnsi="宋体" w:cs="宋体"/>
          <w:color w:val="auto"/>
          <w:kern w:val="0"/>
          <w:sz w:val="24"/>
          <w:szCs w:val="24"/>
          <w:highlight w:val="none"/>
          <w:u w:val="single"/>
        </w:rPr>
        <w:t xml:space="preserve">                                                   </w:t>
      </w:r>
    </w:p>
    <w:p w14:paraId="20BCADA7">
      <w:pPr>
        <w:rPr>
          <w:rFonts w:hint="eastAsia" w:ascii="宋体" w:hAnsi="宋体" w:cs="宋体"/>
          <w:color w:val="auto"/>
          <w:kern w:val="0"/>
          <w:sz w:val="24"/>
          <w:szCs w:val="24"/>
          <w:highlight w:val="none"/>
          <w:u w:val="single"/>
        </w:rPr>
      </w:pPr>
    </w:p>
    <w:p w14:paraId="68CE78B4">
      <w:pPr>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企业类型：</w:t>
      </w:r>
      <w:r>
        <w:rPr>
          <w:rFonts w:hint="eastAsia" w:ascii="宋体" w:hAnsi="宋体" w:cs="宋体"/>
          <w:color w:val="auto"/>
          <w:kern w:val="0"/>
          <w:sz w:val="24"/>
          <w:szCs w:val="24"/>
          <w:highlight w:val="none"/>
          <w:u w:val="single"/>
        </w:rPr>
        <w:t xml:space="preserve">                                                   </w:t>
      </w:r>
    </w:p>
    <w:p w14:paraId="5EE3CB57">
      <w:pPr>
        <w:rPr>
          <w:rFonts w:hint="eastAsia" w:ascii="宋体" w:hAnsi="宋体" w:cs="宋体"/>
          <w:color w:val="auto"/>
          <w:kern w:val="0"/>
          <w:sz w:val="24"/>
          <w:szCs w:val="24"/>
          <w:highlight w:val="none"/>
        </w:rPr>
      </w:pPr>
    </w:p>
    <w:p w14:paraId="112819EB">
      <w:pPr>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地    址：</w:t>
      </w:r>
      <w:r>
        <w:rPr>
          <w:rFonts w:hint="eastAsia" w:ascii="宋体" w:hAnsi="宋体" w:cs="宋体"/>
          <w:color w:val="auto"/>
          <w:kern w:val="0"/>
          <w:sz w:val="24"/>
          <w:szCs w:val="24"/>
          <w:highlight w:val="none"/>
          <w:u w:val="single"/>
        </w:rPr>
        <w:t xml:space="preserve">                                                   </w:t>
      </w:r>
    </w:p>
    <w:p w14:paraId="372C17FB">
      <w:pPr>
        <w:rPr>
          <w:rFonts w:hint="eastAsia" w:ascii="宋体" w:hAnsi="宋体" w:cs="宋体"/>
          <w:color w:val="auto"/>
          <w:kern w:val="0"/>
          <w:sz w:val="24"/>
          <w:szCs w:val="24"/>
          <w:highlight w:val="none"/>
        </w:rPr>
      </w:pPr>
    </w:p>
    <w:p w14:paraId="3410283F">
      <w:pPr>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营业期限：</w:t>
      </w:r>
      <w:r>
        <w:rPr>
          <w:rFonts w:hint="eastAsia" w:ascii="宋体" w:hAnsi="宋体" w:cs="宋体"/>
          <w:color w:val="auto"/>
          <w:kern w:val="0"/>
          <w:sz w:val="24"/>
          <w:szCs w:val="24"/>
          <w:highlight w:val="none"/>
          <w:u w:val="single"/>
        </w:rPr>
        <w:t xml:space="preserve">                                                   </w:t>
      </w:r>
    </w:p>
    <w:p w14:paraId="0560C5CE">
      <w:pPr>
        <w:rPr>
          <w:rFonts w:hint="eastAsia" w:ascii="宋体" w:hAnsi="宋体" w:cs="宋体"/>
          <w:color w:val="auto"/>
          <w:kern w:val="0"/>
          <w:sz w:val="24"/>
          <w:szCs w:val="24"/>
          <w:highlight w:val="none"/>
        </w:rPr>
      </w:pPr>
    </w:p>
    <w:p w14:paraId="4D27DC30">
      <w:pPr>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成立时间：</w:t>
      </w:r>
      <w:r>
        <w:rPr>
          <w:rFonts w:hint="eastAsia" w:ascii="宋体" w:hAnsi="宋体" w:cs="宋体"/>
          <w:color w:val="auto"/>
          <w:kern w:val="0"/>
          <w:sz w:val="24"/>
          <w:szCs w:val="24"/>
          <w:highlight w:val="none"/>
          <w:u w:val="single"/>
        </w:rPr>
        <w:t xml:space="preserve">                                                   </w:t>
      </w:r>
    </w:p>
    <w:p w14:paraId="1FB4FC73">
      <w:pPr>
        <w:rPr>
          <w:rFonts w:hint="eastAsia" w:ascii="宋体" w:hAnsi="宋体" w:cs="宋体"/>
          <w:color w:val="auto"/>
          <w:kern w:val="0"/>
          <w:sz w:val="24"/>
          <w:szCs w:val="24"/>
          <w:highlight w:val="none"/>
          <w:u w:val="single"/>
        </w:rPr>
      </w:pPr>
    </w:p>
    <w:p w14:paraId="4C217B9A">
      <w:pPr>
        <w:spacing w:line="480" w:lineRule="auto"/>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法定代表人信息：</w:t>
      </w:r>
    </w:p>
    <w:p w14:paraId="10525AA5">
      <w:pPr>
        <w:spacing w:line="480" w:lineRule="auto"/>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姓名：</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 xml:space="preserve">    性别：</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 xml:space="preserve"> ；       </w:t>
      </w:r>
    </w:p>
    <w:p w14:paraId="1F820F4C">
      <w:pPr>
        <w:spacing w:line="480" w:lineRule="auto"/>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年龄：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 xml:space="preserve">    职务：</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 xml:space="preserve"> ；   </w:t>
      </w:r>
    </w:p>
    <w:p w14:paraId="4D0B2820">
      <w:pPr>
        <w:spacing w:line="48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系 </w:t>
      </w:r>
      <w:r>
        <w:rPr>
          <w:rFonts w:hint="eastAsia" w:ascii="宋体" w:hAnsi="宋体" w:cs="宋体"/>
          <w:color w:val="auto"/>
          <w:kern w:val="0"/>
          <w:sz w:val="24"/>
          <w:szCs w:val="24"/>
          <w:highlight w:val="none"/>
          <w:u w:val="single"/>
        </w:rPr>
        <w:t xml:space="preserve">         （投标人名称）               </w:t>
      </w:r>
      <w:r>
        <w:rPr>
          <w:rFonts w:hint="eastAsia" w:ascii="宋体" w:hAnsi="宋体" w:cs="宋体"/>
          <w:color w:val="auto"/>
          <w:kern w:val="0"/>
          <w:sz w:val="24"/>
          <w:szCs w:val="24"/>
          <w:highlight w:val="none"/>
        </w:rPr>
        <w:t>的法定代表人。</w:t>
      </w:r>
    </w:p>
    <w:p w14:paraId="740A72E9">
      <w:pPr>
        <w:rPr>
          <w:rFonts w:hint="eastAsia" w:ascii="宋体" w:hAnsi="宋体" w:cs="宋体"/>
          <w:color w:val="auto"/>
          <w:kern w:val="0"/>
          <w:sz w:val="24"/>
          <w:szCs w:val="24"/>
          <w:highlight w:val="none"/>
        </w:rPr>
      </w:pPr>
    </w:p>
    <w:p w14:paraId="110E76BB">
      <w:pP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特此证明。</w:t>
      </w:r>
    </w:p>
    <w:p w14:paraId="306C7930">
      <w:pPr>
        <w:rPr>
          <w:rFonts w:hint="eastAsia" w:ascii="宋体" w:hAnsi="宋体" w:cs="宋体"/>
          <w:color w:val="auto"/>
          <w:kern w:val="0"/>
          <w:sz w:val="24"/>
          <w:szCs w:val="24"/>
          <w:highlight w:val="none"/>
        </w:rPr>
      </w:pPr>
    </w:p>
    <w:p w14:paraId="35D80AB0">
      <w:pP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（附法定代表人身份证正反面）</w:t>
      </w:r>
    </w:p>
    <w:p w14:paraId="3D9ED726">
      <w:pPr>
        <w:rPr>
          <w:rFonts w:hint="eastAsia" w:ascii="宋体" w:hAnsi="宋体" w:cs="宋体"/>
          <w:color w:val="auto"/>
          <w:kern w:val="0"/>
          <w:sz w:val="24"/>
          <w:szCs w:val="24"/>
          <w:highlight w:val="none"/>
        </w:rPr>
      </w:pPr>
    </w:p>
    <w:p w14:paraId="3A28B6B3">
      <w:pPr>
        <w:pStyle w:val="4"/>
        <w:rPr>
          <w:rFonts w:hint="eastAsia"/>
          <w:color w:val="auto"/>
          <w:highlight w:val="none"/>
        </w:rPr>
      </w:pPr>
    </w:p>
    <w:p w14:paraId="5F3C11C2">
      <w:pPr>
        <w:rPr>
          <w:rFonts w:hint="eastAsia" w:ascii="宋体" w:hAnsi="宋体" w:cs="宋体"/>
          <w:color w:val="auto"/>
          <w:kern w:val="0"/>
          <w:sz w:val="24"/>
          <w:szCs w:val="24"/>
          <w:highlight w:val="none"/>
        </w:rPr>
      </w:pPr>
    </w:p>
    <w:p w14:paraId="590CB42B">
      <w:pPr>
        <w:wordWrap w:val="0"/>
        <w:spacing w:line="480" w:lineRule="auto"/>
        <w:jc w:val="right"/>
        <w:rPr>
          <w:rFonts w:hint="eastAsia" w:ascii="宋体" w:hAnsi="宋体" w:cs="宋体"/>
          <w:color w:val="auto"/>
          <w:kern w:val="0"/>
          <w:sz w:val="24"/>
          <w:szCs w:val="24"/>
          <w:highlight w:val="none"/>
          <w:u w:val="single"/>
        </w:rPr>
      </w:pPr>
      <w:r>
        <w:rPr>
          <w:rFonts w:hint="eastAsia" w:ascii="宋体" w:hAnsi="宋体" w:cs="宋体"/>
          <w:color w:val="auto"/>
          <w:kern w:val="0"/>
          <w:sz w:val="24"/>
          <w:szCs w:val="24"/>
          <w:highlight w:val="none"/>
        </w:rPr>
        <w:t>投标单位（盖章）：</w:t>
      </w:r>
      <w:r>
        <w:rPr>
          <w:rFonts w:hint="eastAsia" w:ascii="宋体" w:hAnsi="宋体" w:cs="宋体"/>
          <w:color w:val="auto"/>
          <w:kern w:val="0"/>
          <w:sz w:val="24"/>
          <w:szCs w:val="24"/>
          <w:highlight w:val="none"/>
          <w:u w:val="single"/>
        </w:rPr>
        <w:t xml:space="preserve">                      </w:t>
      </w:r>
    </w:p>
    <w:p w14:paraId="0D35E878">
      <w:pPr>
        <w:spacing w:line="480" w:lineRule="auto"/>
        <w:jc w:val="center"/>
        <w:rPr>
          <w:rFonts w:hint="eastAsia" w:ascii="宋体" w:hAnsi="宋体" w:cs="宋体"/>
          <w:color w:val="auto"/>
          <w:kern w:val="0"/>
          <w:sz w:val="24"/>
          <w:szCs w:val="24"/>
          <w:highlight w:val="none"/>
          <w:lang w:val="en-US" w:eastAsia="zh-CN"/>
        </w:rPr>
      </w:pPr>
      <w:r>
        <w:rPr>
          <w:rFonts w:hint="eastAsia" w:ascii="宋体" w:hAnsi="宋体" w:cs="宋体"/>
          <w:color w:val="auto"/>
          <w:kern w:val="0"/>
          <w:sz w:val="24"/>
          <w:szCs w:val="24"/>
          <w:highlight w:val="none"/>
        </w:rPr>
        <w:t xml:space="preserve">                      </w:t>
      </w:r>
      <w:r>
        <w:rPr>
          <w:rFonts w:hint="eastAsia" w:ascii="宋体" w:hAnsi="宋体" w:cs="宋体"/>
          <w:color w:val="auto"/>
          <w:kern w:val="0"/>
          <w:sz w:val="24"/>
          <w:szCs w:val="24"/>
          <w:highlight w:val="none"/>
          <w:lang w:val="en-US" w:eastAsia="zh-CN"/>
        </w:rPr>
        <w:t xml:space="preserve">    </w:t>
      </w:r>
    </w:p>
    <w:p w14:paraId="13889D7B">
      <w:pPr>
        <w:spacing w:line="480" w:lineRule="auto"/>
        <w:jc w:val="center"/>
        <w:rPr>
          <w:rFonts w:hint="eastAsia" w:ascii="宋体" w:hAnsi="宋体" w:cs="宋体"/>
          <w:color w:val="auto"/>
          <w:sz w:val="24"/>
          <w:szCs w:val="24"/>
          <w:highlight w:val="none"/>
        </w:rPr>
      </w:pP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 xml:space="preserve"> 日    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28226413">
      <w:pPr>
        <w:rPr>
          <w:rFonts w:hint="eastAsia" w:ascii="宋体" w:hAnsi="宋体" w:cs="宋体"/>
          <w:b/>
          <w:bCs/>
          <w:color w:val="auto"/>
          <w:kern w:val="0"/>
          <w:sz w:val="28"/>
          <w:szCs w:val="28"/>
          <w:highlight w:val="none"/>
        </w:rPr>
      </w:pPr>
    </w:p>
    <w:p w14:paraId="6B9D0D1E">
      <w:pPr>
        <w:rPr>
          <w:rFonts w:hint="eastAsia"/>
          <w:color w:val="auto"/>
          <w:highlight w:val="none"/>
        </w:rPr>
      </w:pPr>
    </w:p>
    <w:p w14:paraId="2378C85C">
      <w:pPr>
        <w:jc w:val="center"/>
        <w:rPr>
          <w:rFonts w:hint="eastAsia" w:ascii="Cambria" w:hAnsi="Cambria" w:eastAsia="宋体" w:cs="Times New Roman"/>
          <w:b/>
          <w:bCs/>
          <w:color w:val="auto"/>
          <w:kern w:val="44"/>
          <w:sz w:val="32"/>
          <w:szCs w:val="44"/>
          <w:highlight w:val="none"/>
          <w:lang w:val="en-US" w:eastAsia="zh-CN" w:bidi="ar-SA"/>
        </w:rPr>
      </w:pPr>
      <w:r>
        <w:rPr>
          <w:rFonts w:hint="eastAsia" w:ascii="Cambria" w:hAnsi="Cambria" w:eastAsia="宋体" w:cs="Times New Roman"/>
          <w:b/>
          <w:bCs/>
          <w:color w:val="auto"/>
          <w:kern w:val="44"/>
          <w:sz w:val="32"/>
          <w:szCs w:val="44"/>
          <w:highlight w:val="none"/>
          <w:lang w:val="en-US" w:eastAsia="zh-CN" w:bidi="ar-SA"/>
        </w:rPr>
        <w:t>法人授权委托书</w:t>
      </w:r>
    </w:p>
    <w:p w14:paraId="20CF48AA">
      <w:pPr>
        <w:jc w:val="center"/>
        <w:rPr>
          <w:rFonts w:hint="eastAsia" w:ascii="宋体" w:hAnsi="宋体" w:cs="宋体"/>
          <w:b/>
          <w:color w:val="auto"/>
          <w:kern w:val="0"/>
          <w:sz w:val="28"/>
          <w:szCs w:val="28"/>
          <w:highlight w:val="none"/>
        </w:rPr>
      </w:pPr>
    </w:p>
    <w:p w14:paraId="22AAEF64">
      <w:pPr>
        <w:rPr>
          <w:rFonts w:hint="eastAsia" w:ascii="宋体" w:hAnsi="宋体" w:cs="宋体"/>
          <w:color w:val="auto"/>
          <w:kern w:val="0"/>
          <w:sz w:val="28"/>
          <w:szCs w:val="28"/>
          <w:highlight w:val="none"/>
        </w:rPr>
      </w:pPr>
    </w:p>
    <w:p w14:paraId="0DD955DE">
      <w:pPr>
        <w:spacing w:line="360" w:lineRule="auto"/>
        <w:ind w:firstLine="63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本授权委托书声明：我</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（姓名）系</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（投标人名称）的法定代表人，现授权委托</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（投标人名称）的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（姓名）为我公司代理人，以本公司的名义参加</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（招标人）的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招标工程的投标活动。代理人签署的投标文件和参加整个工程招标投标活动中所签署的一切文件和处理与之有关的一切事物，我均予以承认。</w:t>
      </w:r>
    </w:p>
    <w:p w14:paraId="559E1C94">
      <w:pPr>
        <w:spacing w:line="360" w:lineRule="auto"/>
        <w:rPr>
          <w:rFonts w:hint="eastAsia" w:ascii="宋体" w:hAnsi="宋体" w:cs="宋体"/>
          <w:color w:val="auto"/>
          <w:kern w:val="0"/>
          <w:sz w:val="24"/>
          <w:szCs w:val="24"/>
          <w:highlight w:val="none"/>
        </w:rPr>
      </w:pPr>
    </w:p>
    <w:p w14:paraId="0D5DFD7B">
      <w:pPr>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代理人：</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none"/>
        </w:rPr>
        <w:t xml:space="preserve"> </w:t>
      </w:r>
      <w:r>
        <w:rPr>
          <w:rFonts w:hint="eastAsia" w:ascii="宋体" w:hAnsi="宋体" w:cs="宋体"/>
          <w:color w:val="auto"/>
          <w:kern w:val="0"/>
          <w:sz w:val="24"/>
          <w:szCs w:val="24"/>
          <w:highlight w:val="none"/>
          <w:u w:val="none"/>
          <w:lang w:val="en-US" w:eastAsia="zh-CN"/>
        </w:rPr>
        <w:t xml:space="preserve"> </w:t>
      </w:r>
      <w:r>
        <w:rPr>
          <w:rFonts w:hint="eastAsia" w:ascii="宋体" w:hAnsi="宋体" w:cs="宋体"/>
          <w:color w:val="auto"/>
          <w:kern w:val="0"/>
          <w:sz w:val="24"/>
          <w:szCs w:val="24"/>
          <w:highlight w:val="none"/>
        </w:rPr>
        <w:t>性别：</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none"/>
        </w:rPr>
        <w:t xml:space="preserve"> </w:t>
      </w:r>
      <w:r>
        <w:rPr>
          <w:rFonts w:hint="eastAsia" w:ascii="宋体" w:hAnsi="宋体" w:cs="宋体"/>
          <w:color w:val="auto"/>
          <w:kern w:val="0"/>
          <w:sz w:val="24"/>
          <w:szCs w:val="24"/>
          <w:highlight w:val="none"/>
          <w:u w:val="none"/>
          <w:lang w:val="en-US" w:eastAsia="zh-CN"/>
        </w:rPr>
        <w:t xml:space="preserve">  </w:t>
      </w:r>
      <w:r>
        <w:rPr>
          <w:rFonts w:hint="eastAsia" w:ascii="宋体" w:hAnsi="宋体" w:cs="宋体"/>
          <w:color w:val="auto"/>
          <w:kern w:val="0"/>
          <w:sz w:val="24"/>
          <w:szCs w:val="24"/>
          <w:highlight w:val="none"/>
        </w:rPr>
        <w:t>年龄：</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6E85C82A">
      <w:pPr>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单  位：</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none"/>
        </w:rPr>
        <w:t xml:space="preserve"> </w:t>
      </w:r>
      <w:r>
        <w:rPr>
          <w:rFonts w:hint="eastAsia" w:ascii="宋体" w:hAnsi="宋体" w:cs="宋体"/>
          <w:color w:val="auto"/>
          <w:kern w:val="0"/>
          <w:sz w:val="24"/>
          <w:szCs w:val="24"/>
          <w:highlight w:val="none"/>
          <w:u w:val="none"/>
          <w:lang w:val="en-US" w:eastAsia="zh-CN"/>
        </w:rPr>
        <w:t xml:space="preserve"> </w:t>
      </w:r>
      <w:r>
        <w:rPr>
          <w:rFonts w:hint="eastAsia" w:ascii="宋体" w:hAnsi="宋体" w:cs="宋体"/>
          <w:color w:val="auto"/>
          <w:kern w:val="0"/>
          <w:sz w:val="24"/>
          <w:szCs w:val="24"/>
          <w:highlight w:val="none"/>
        </w:rPr>
        <w:t>部门：</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none"/>
        </w:rPr>
        <w:t xml:space="preserve"> </w:t>
      </w:r>
      <w:r>
        <w:rPr>
          <w:rFonts w:hint="eastAsia" w:ascii="宋体" w:hAnsi="宋体" w:cs="宋体"/>
          <w:color w:val="auto"/>
          <w:kern w:val="0"/>
          <w:sz w:val="24"/>
          <w:szCs w:val="24"/>
          <w:highlight w:val="none"/>
          <w:u w:val="none"/>
          <w:lang w:val="en-US" w:eastAsia="zh-CN"/>
        </w:rPr>
        <w:t xml:space="preserve">  </w:t>
      </w:r>
      <w:r>
        <w:rPr>
          <w:rFonts w:hint="eastAsia" w:ascii="宋体" w:hAnsi="宋体" w:cs="宋体"/>
          <w:color w:val="auto"/>
          <w:kern w:val="0"/>
          <w:sz w:val="24"/>
          <w:szCs w:val="24"/>
          <w:highlight w:val="none"/>
        </w:rPr>
        <w:t>职务：</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241C1939">
      <w:pPr>
        <w:rPr>
          <w:rFonts w:hint="eastAsia" w:ascii="宋体" w:hAnsi="宋体" w:cs="宋体"/>
          <w:color w:val="auto"/>
          <w:kern w:val="0"/>
          <w:sz w:val="24"/>
          <w:szCs w:val="24"/>
          <w:highlight w:val="none"/>
        </w:rPr>
      </w:pPr>
    </w:p>
    <w:p w14:paraId="365DF60F">
      <w:pPr>
        <w:rPr>
          <w:rFonts w:hint="eastAsia" w:ascii="宋体" w:hAnsi="宋体" w:cs="宋体"/>
          <w:color w:val="auto"/>
          <w:kern w:val="0"/>
          <w:sz w:val="24"/>
          <w:szCs w:val="24"/>
          <w:highlight w:val="none"/>
        </w:rPr>
      </w:pPr>
    </w:p>
    <w:p w14:paraId="4F450A5D">
      <w:pPr>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代理人无转委权。特此委托。</w:t>
      </w:r>
    </w:p>
    <w:p w14:paraId="3DF108FF">
      <w:pPr>
        <w:rPr>
          <w:rFonts w:hint="eastAsia" w:ascii="宋体" w:hAnsi="宋体" w:cs="宋体"/>
          <w:color w:val="auto"/>
          <w:kern w:val="0"/>
          <w:sz w:val="24"/>
          <w:szCs w:val="24"/>
          <w:highlight w:val="none"/>
        </w:rPr>
      </w:pPr>
    </w:p>
    <w:p w14:paraId="0FDE61BE">
      <w:pPr>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（附法定代表人身份证正反面及代理人身份证正反面）</w:t>
      </w:r>
    </w:p>
    <w:p w14:paraId="69847177">
      <w:pPr>
        <w:rPr>
          <w:rFonts w:hint="eastAsia" w:ascii="宋体" w:hAnsi="宋体" w:cs="宋体"/>
          <w:color w:val="auto"/>
          <w:kern w:val="0"/>
          <w:sz w:val="24"/>
          <w:szCs w:val="24"/>
          <w:highlight w:val="none"/>
        </w:rPr>
      </w:pPr>
    </w:p>
    <w:p w14:paraId="5E950683">
      <w:pPr>
        <w:rPr>
          <w:rFonts w:hint="eastAsia" w:ascii="宋体" w:hAnsi="宋体" w:cs="宋体"/>
          <w:color w:val="auto"/>
          <w:kern w:val="0"/>
          <w:sz w:val="24"/>
          <w:szCs w:val="24"/>
          <w:highlight w:val="none"/>
        </w:rPr>
      </w:pPr>
    </w:p>
    <w:p w14:paraId="19FE1025">
      <w:pPr>
        <w:ind w:firstLine="1920" w:firstLineChars="8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投标单位（盖章）：</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4F194F3B">
      <w:pPr>
        <w:rPr>
          <w:rFonts w:hint="eastAsia" w:ascii="宋体" w:hAnsi="宋体" w:cs="宋体"/>
          <w:color w:val="auto"/>
          <w:kern w:val="0"/>
          <w:sz w:val="24"/>
          <w:szCs w:val="24"/>
          <w:highlight w:val="none"/>
        </w:rPr>
      </w:pPr>
    </w:p>
    <w:p w14:paraId="42F93154">
      <w:pPr>
        <w:rPr>
          <w:rFonts w:hint="eastAsia" w:ascii="宋体" w:hAnsi="宋体" w:cs="宋体"/>
          <w:color w:val="auto"/>
          <w:kern w:val="0"/>
          <w:sz w:val="24"/>
          <w:szCs w:val="24"/>
          <w:highlight w:val="none"/>
        </w:rPr>
      </w:pPr>
    </w:p>
    <w:p w14:paraId="377FA424">
      <w:pPr>
        <w:ind w:firstLine="1920" w:firstLineChars="8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法定代表人（签字或盖章）：</w:t>
      </w:r>
      <w:r>
        <w:rPr>
          <w:rFonts w:hint="eastAsia" w:ascii="宋体" w:hAnsi="宋体" w:cs="宋体"/>
          <w:color w:val="auto"/>
          <w:kern w:val="0"/>
          <w:sz w:val="24"/>
          <w:szCs w:val="24"/>
          <w:highlight w:val="none"/>
          <w:u w:val="single"/>
        </w:rPr>
        <w:t xml:space="preserve">                         </w:t>
      </w:r>
    </w:p>
    <w:p w14:paraId="5A6D7A3D">
      <w:pPr>
        <w:pStyle w:val="25"/>
        <w:ind w:left="560" w:hanging="560"/>
        <w:rPr>
          <w:rFonts w:hint="eastAsia" w:ascii="宋体" w:hAnsi="宋体" w:cs="宋体"/>
          <w:color w:val="auto"/>
          <w:sz w:val="24"/>
          <w:szCs w:val="24"/>
          <w:highlight w:val="none"/>
        </w:rPr>
      </w:pPr>
    </w:p>
    <w:p w14:paraId="30A0DA26">
      <w:pPr>
        <w:pStyle w:val="25"/>
        <w:ind w:left="560" w:hanging="560"/>
        <w:rPr>
          <w:rFonts w:hint="eastAsia" w:ascii="宋体" w:hAnsi="宋体" w:cs="宋体"/>
          <w:color w:val="auto"/>
          <w:sz w:val="24"/>
          <w:szCs w:val="24"/>
          <w:highlight w:val="none"/>
        </w:rPr>
      </w:pPr>
    </w:p>
    <w:p w14:paraId="51903697">
      <w:pPr>
        <w:ind w:firstLine="1920" w:firstLineChars="8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委托代理人（签字或盖章）：</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70B8CEC7">
      <w:pPr>
        <w:jc w:val="center"/>
        <w:rPr>
          <w:rFonts w:hint="eastAsia" w:ascii="宋体" w:hAnsi="宋体" w:cs="宋体"/>
          <w:color w:val="auto"/>
          <w:kern w:val="0"/>
          <w:sz w:val="24"/>
          <w:szCs w:val="24"/>
          <w:highlight w:val="none"/>
        </w:rPr>
      </w:pPr>
    </w:p>
    <w:p w14:paraId="50C87A6D">
      <w:pPr>
        <w:jc w:val="center"/>
        <w:rPr>
          <w:rFonts w:hint="eastAsia" w:ascii="宋体" w:hAnsi="宋体" w:cs="宋体"/>
          <w:b/>
          <w:color w:val="auto"/>
          <w:kern w:val="0"/>
          <w:sz w:val="24"/>
          <w:szCs w:val="24"/>
          <w:highlight w:val="none"/>
        </w:rPr>
      </w:pPr>
    </w:p>
    <w:p w14:paraId="5516BC93">
      <w:pPr>
        <w:spacing w:before="120" w:beforeLines="50" w:after="120" w:afterLines="50" w:line="44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日</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rPr>
        <w:t>日</w:t>
      </w:r>
    </w:p>
    <w:p w14:paraId="6B83F638">
      <w:pPr>
        <w:spacing w:before="120" w:beforeLines="50" w:after="120" w:afterLines="50" w:line="440" w:lineRule="exact"/>
        <w:jc w:val="center"/>
        <w:rPr>
          <w:rFonts w:hint="eastAsia" w:ascii="宋体" w:hAnsi="宋体" w:cs="宋体"/>
          <w:color w:val="auto"/>
          <w:kern w:val="0"/>
          <w:sz w:val="24"/>
          <w:szCs w:val="24"/>
          <w:highlight w:val="none"/>
        </w:rPr>
      </w:pPr>
    </w:p>
    <w:p w14:paraId="5F019E90">
      <w:pPr>
        <w:spacing w:line="360" w:lineRule="auto"/>
        <w:jc w:val="center"/>
        <w:rPr>
          <w:rFonts w:hint="eastAsia" w:ascii="宋体" w:hAnsi="宋体" w:eastAsia="宋体" w:cs="宋体"/>
          <w:b/>
          <w:color w:val="auto"/>
          <w:sz w:val="36"/>
          <w:szCs w:val="36"/>
          <w:highlight w:val="none"/>
          <w:lang w:val="en-US" w:eastAsia="zh-CN"/>
        </w:rPr>
      </w:pPr>
    </w:p>
    <w:p w14:paraId="7D9E0551">
      <w:pPr>
        <w:spacing w:line="360" w:lineRule="auto"/>
        <w:jc w:val="center"/>
        <w:rPr>
          <w:rFonts w:hint="eastAsia" w:ascii="宋体" w:hAnsi="宋体" w:eastAsia="宋体" w:cs="宋体"/>
          <w:b/>
          <w:color w:val="auto"/>
          <w:sz w:val="36"/>
          <w:szCs w:val="36"/>
          <w:highlight w:val="none"/>
          <w:lang w:val="en-US" w:eastAsia="zh-CN"/>
        </w:rPr>
      </w:pPr>
    </w:p>
    <w:p w14:paraId="137C3590">
      <w:pPr>
        <w:spacing w:line="360" w:lineRule="auto"/>
        <w:jc w:val="center"/>
        <w:rPr>
          <w:rFonts w:hint="eastAsia" w:ascii="宋体" w:hAnsi="宋体" w:eastAsia="宋体" w:cs="宋体"/>
          <w:b/>
          <w:color w:val="auto"/>
          <w:sz w:val="36"/>
          <w:szCs w:val="36"/>
          <w:highlight w:val="none"/>
          <w:lang w:val="en-US" w:eastAsia="zh-CN"/>
        </w:rPr>
      </w:pPr>
    </w:p>
    <w:p w14:paraId="59C50817">
      <w:pPr>
        <w:spacing w:line="360" w:lineRule="auto"/>
        <w:jc w:val="both"/>
        <w:rPr>
          <w:rFonts w:hint="eastAsia" w:ascii="Cambria" w:hAnsi="Cambria" w:eastAsia="宋体" w:cs="Times New Roman"/>
          <w:b/>
          <w:bCs/>
          <w:color w:val="auto"/>
          <w:kern w:val="44"/>
          <w:sz w:val="28"/>
          <w:szCs w:val="28"/>
          <w:highlight w:val="none"/>
          <w:lang w:val="en-US" w:eastAsia="zh-CN" w:bidi="ar-SA"/>
        </w:rPr>
      </w:pPr>
    </w:p>
    <w:p w14:paraId="635EE5B8">
      <w:pPr>
        <w:spacing w:line="360" w:lineRule="auto"/>
        <w:jc w:val="both"/>
        <w:rPr>
          <w:rFonts w:hint="eastAsia" w:ascii="Cambria" w:hAnsi="Cambria" w:eastAsia="宋体" w:cs="Times New Roman"/>
          <w:b/>
          <w:bCs/>
          <w:color w:val="auto"/>
          <w:kern w:val="44"/>
          <w:sz w:val="28"/>
          <w:szCs w:val="28"/>
          <w:highlight w:val="none"/>
          <w:lang w:val="en-US" w:eastAsia="zh-CN" w:bidi="ar-SA"/>
        </w:rPr>
      </w:pPr>
    </w:p>
    <w:p w14:paraId="600C1C2B">
      <w:pPr>
        <w:spacing w:line="360" w:lineRule="auto"/>
        <w:jc w:val="both"/>
        <w:rPr>
          <w:rFonts w:hint="default" w:ascii="Cambria" w:hAnsi="Cambria" w:eastAsia="宋体" w:cs="Times New Roman"/>
          <w:b/>
          <w:bCs/>
          <w:color w:val="auto"/>
          <w:kern w:val="44"/>
          <w:sz w:val="28"/>
          <w:szCs w:val="28"/>
          <w:highlight w:val="none"/>
          <w:lang w:val="en-US" w:eastAsia="zh-CN" w:bidi="ar-SA"/>
        </w:rPr>
      </w:pPr>
      <w:r>
        <w:rPr>
          <w:rFonts w:hint="eastAsia" w:ascii="Cambria" w:hAnsi="Cambria" w:eastAsia="宋体" w:cs="Times New Roman"/>
          <w:b/>
          <w:bCs/>
          <w:color w:val="auto"/>
          <w:kern w:val="44"/>
          <w:sz w:val="28"/>
          <w:szCs w:val="28"/>
          <w:highlight w:val="none"/>
          <w:lang w:val="en-US" w:eastAsia="zh-CN" w:bidi="ar-SA"/>
        </w:rPr>
        <w:t>三、开标一览表格式：</w:t>
      </w:r>
    </w:p>
    <w:p w14:paraId="778C7FCF">
      <w:pPr>
        <w:spacing w:line="360" w:lineRule="auto"/>
        <w:jc w:val="center"/>
        <w:rPr>
          <w:rFonts w:hint="eastAsia" w:ascii="宋体" w:hAnsi="宋体" w:eastAsia="宋体" w:cs="宋体"/>
          <w:b/>
          <w:color w:val="auto"/>
          <w:sz w:val="36"/>
          <w:szCs w:val="36"/>
          <w:highlight w:val="none"/>
          <w:lang w:val="en-US" w:eastAsia="zh-CN"/>
        </w:rPr>
      </w:pPr>
    </w:p>
    <w:p w14:paraId="2006B216">
      <w:pPr>
        <w:pStyle w:val="4"/>
        <w:jc w:val="center"/>
        <w:rPr>
          <w:rFonts w:hint="eastAsia" w:ascii="宋体" w:hAnsi="宋体" w:eastAsia="宋体" w:cs="宋体"/>
          <w:color w:val="auto"/>
          <w:sz w:val="28"/>
          <w:szCs w:val="28"/>
          <w:highlight w:val="none"/>
        </w:rPr>
      </w:pPr>
      <w:r>
        <w:rPr>
          <w:rFonts w:hint="eastAsia" w:eastAsia="宋体" w:cs="Times New Roman"/>
          <w:b/>
          <w:bCs/>
          <w:color w:val="auto"/>
          <w:highlight w:val="none"/>
          <w:lang w:val="en-US" w:eastAsia="zh-CN"/>
        </w:rPr>
        <w:t>开标一览表</w:t>
      </w:r>
      <w:bookmarkEnd w:id="347"/>
      <w:bookmarkEnd w:id="348"/>
      <w:bookmarkEnd w:id="349"/>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4"/>
        <w:gridCol w:w="6934"/>
      </w:tblGrid>
      <w:tr w14:paraId="3EEFF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jc w:val="center"/>
        </w:trPr>
        <w:tc>
          <w:tcPr>
            <w:tcW w:w="1844" w:type="dxa"/>
            <w:tcBorders>
              <w:bottom w:val="single" w:color="auto" w:sz="4" w:space="0"/>
            </w:tcBorders>
            <w:noWrap w:val="0"/>
            <w:vAlign w:val="center"/>
          </w:tcPr>
          <w:p w14:paraId="54204A9D">
            <w:pPr>
              <w:pStyle w:val="90"/>
              <w:tabs>
                <w:tab w:val="left" w:pos="1337"/>
              </w:tabs>
              <w:spacing w:line="360" w:lineRule="auto"/>
              <w:jc w:val="center"/>
              <w:rPr>
                <w:rFonts w:hint="eastAsia" w:ascii="宋体" w:hAnsi="宋体" w:cs="宋体"/>
                <w:color w:val="auto"/>
                <w:sz w:val="24"/>
                <w:szCs w:val="24"/>
                <w:highlight w:val="none"/>
              </w:rPr>
            </w:pPr>
            <w:r>
              <w:rPr>
                <w:rFonts w:hint="eastAsia" w:ascii="宋体" w:hAnsi="宋体" w:cs="宋体"/>
                <w:bCs/>
                <w:color w:val="auto"/>
                <w:sz w:val="24"/>
                <w:szCs w:val="24"/>
                <w:highlight w:val="none"/>
              </w:rPr>
              <w:t>项目名称</w:t>
            </w:r>
          </w:p>
        </w:tc>
        <w:tc>
          <w:tcPr>
            <w:tcW w:w="6934" w:type="dxa"/>
            <w:tcBorders>
              <w:bottom w:val="single" w:color="auto" w:sz="4" w:space="0"/>
            </w:tcBorders>
            <w:noWrap w:val="0"/>
            <w:vAlign w:val="center"/>
          </w:tcPr>
          <w:p w14:paraId="5AA8C68B">
            <w:pPr>
              <w:pStyle w:val="90"/>
              <w:tabs>
                <w:tab w:val="left" w:pos="1337"/>
              </w:tabs>
              <w:spacing w:line="360" w:lineRule="auto"/>
              <w:rPr>
                <w:rFonts w:hint="eastAsia" w:ascii="宋体" w:hAnsi="宋体" w:cs="宋体"/>
                <w:bCs/>
                <w:color w:val="auto"/>
                <w:sz w:val="24"/>
                <w:szCs w:val="24"/>
                <w:highlight w:val="none"/>
              </w:rPr>
            </w:pPr>
          </w:p>
        </w:tc>
      </w:tr>
      <w:tr w14:paraId="70E47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1" w:hRule="atLeast"/>
          <w:jc w:val="center"/>
        </w:trPr>
        <w:tc>
          <w:tcPr>
            <w:tcW w:w="1844" w:type="dxa"/>
            <w:tcBorders>
              <w:bottom w:val="single" w:color="auto" w:sz="4" w:space="0"/>
            </w:tcBorders>
            <w:noWrap w:val="0"/>
            <w:vAlign w:val="center"/>
          </w:tcPr>
          <w:p w14:paraId="27CFBFD1">
            <w:pPr>
              <w:pStyle w:val="90"/>
              <w:tabs>
                <w:tab w:val="left" w:pos="1337"/>
              </w:tabs>
              <w:spacing w:line="360" w:lineRule="auto"/>
              <w:jc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lang w:val="en-US" w:eastAsia="zh-CN"/>
              </w:rPr>
              <w:t>项目</w:t>
            </w:r>
            <w:r>
              <w:rPr>
                <w:rFonts w:hint="eastAsia" w:ascii="宋体" w:hAnsi="宋体" w:cs="宋体"/>
                <w:bCs/>
                <w:color w:val="auto"/>
                <w:sz w:val="24"/>
                <w:szCs w:val="24"/>
                <w:highlight w:val="none"/>
              </w:rPr>
              <w:t>编号</w:t>
            </w:r>
          </w:p>
        </w:tc>
        <w:tc>
          <w:tcPr>
            <w:tcW w:w="6934" w:type="dxa"/>
            <w:tcBorders>
              <w:bottom w:val="single" w:color="auto" w:sz="4" w:space="0"/>
            </w:tcBorders>
            <w:noWrap w:val="0"/>
            <w:vAlign w:val="center"/>
          </w:tcPr>
          <w:p w14:paraId="437D680D">
            <w:pPr>
              <w:pStyle w:val="90"/>
              <w:tabs>
                <w:tab w:val="left" w:pos="1337"/>
              </w:tabs>
              <w:spacing w:line="360" w:lineRule="auto"/>
              <w:rPr>
                <w:rFonts w:hint="eastAsia" w:ascii="宋体" w:hAnsi="宋体" w:cs="宋体"/>
                <w:color w:val="auto"/>
                <w:sz w:val="24"/>
                <w:szCs w:val="24"/>
                <w:highlight w:val="none"/>
                <w:u w:val="single"/>
              </w:rPr>
            </w:pPr>
          </w:p>
        </w:tc>
      </w:tr>
      <w:tr w14:paraId="04874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1" w:hRule="atLeast"/>
          <w:jc w:val="center"/>
        </w:trPr>
        <w:tc>
          <w:tcPr>
            <w:tcW w:w="1844" w:type="dxa"/>
            <w:noWrap w:val="0"/>
            <w:vAlign w:val="center"/>
          </w:tcPr>
          <w:p w14:paraId="1D5A88F0">
            <w:pPr>
              <w:pStyle w:val="90"/>
              <w:tabs>
                <w:tab w:val="left" w:pos="1337"/>
              </w:tabs>
              <w:spacing w:line="360" w:lineRule="auto"/>
              <w:jc w:val="center"/>
              <w:rPr>
                <w:rFonts w:hint="eastAsia" w:ascii="宋体" w:hAnsi="宋体" w:cs="宋体"/>
                <w:color w:val="auto"/>
                <w:sz w:val="24"/>
                <w:szCs w:val="24"/>
                <w:highlight w:val="none"/>
              </w:rPr>
            </w:pPr>
            <w:r>
              <w:rPr>
                <w:rStyle w:val="75"/>
                <w:rFonts w:hint="eastAsia" w:ascii="宋体" w:hAnsi="宋体" w:cs="宋体"/>
                <w:color w:val="auto"/>
                <w:sz w:val="24"/>
                <w:szCs w:val="24"/>
                <w:highlight w:val="none"/>
              </w:rPr>
              <w:t>投标报价</w:t>
            </w:r>
          </w:p>
        </w:tc>
        <w:tc>
          <w:tcPr>
            <w:tcW w:w="6934" w:type="dxa"/>
            <w:noWrap w:val="0"/>
            <w:vAlign w:val="center"/>
          </w:tcPr>
          <w:p w14:paraId="77878429">
            <w:pPr>
              <w:pStyle w:val="90"/>
              <w:tabs>
                <w:tab w:val="left" w:pos="1337"/>
              </w:tabs>
              <w:spacing w:line="360" w:lineRule="auto"/>
              <w:jc w:val="both"/>
              <w:rPr>
                <w:rFonts w:hint="eastAsia" w:ascii="宋体" w:hAnsi="宋体" w:cs="宋体"/>
                <w:bCs/>
                <w:color w:val="auto"/>
                <w:sz w:val="24"/>
                <w:szCs w:val="24"/>
                <w:highlight w:val="none"/>
                <w:u w:val="single"/>
              </w:rPr>
            </w:pPr>
            <w:r>
              <w:rPr>
                <w:rFonts w:hint="eastAsia" w:ascii="宋体" w:hAnsi="宋体" w:cs="宋体"/>
                <w:color w:val="auto"/>
                <w:spacing w:val="6"/>
                <w:sz w:val="24"/>
                <w:szCs w:val="24"/>
                <w:highlight w:val="none"/>
              </w:rPr>
              <w:t xml:space="preserve">小写： </w:t>
            </w:r>
            <w:r>
              <w:rPr>
                <w:rFonts w:hint="eastAsia" w:ascii="宋体" w:hAnsi="宋体" w:cs="宋体"/>
                <w:color w:val="auto"/>
                <w:spacing w:val="6"/>
                <w:sz w:val="24"/>
                <w:szCs w:val="24"/>
                <w:highlight w:val="none"/>
                <w:u w:val="single"/>
              </w:rPr>
              <w:t xml:space="preserve">                         </w:t>
            </w:r>
          </w:p>
          <w:p w14:paraId="34222719">
            <w:pPr>
              <w:pStyle w:val="90"/>
              <w:tabs>
                <w:tab w:val="left" w:pos="1337"/>
              </w:tabs>
              <w:spacing w:line="360" w:lineRule="auto"/>
              <w:jc w:val="both"/>
              <w:rPr>
                <w:rFonts w:hint="eastAsia" w:ascii="宋体" w:hAnsi="宋体" w:cs="宋体"/>
                <w:color w:val="auto"/>
                <w:sz w:val="24"/>
                <w:szCs w:val="24"/>
                <w:highlight w:val="none"/>
              </w:rPr>
            </w:pPr>
            <w:r>
              <w:rPr>
                <w:rFonts w:hint="eastAsia" w:ascii="宋体" w:hAnsi="宋体" w:cs="宋体"/>
                <w:color w:val="auto"/>
                <w:spacing w:val="6"/>
                <w:sz w:val="24"/>
                <w:szCs w:val="24"/>
                <w:highlight w:val="none"/>
              </w:rPr>
              <w:t>大写：</w:t>
            </w:r>
            <w:r>
              <w:rPr>
                <w:rFonts w:hint="eastAsia" w:ascii="宋体" w:hAnsi="宋体" w:cs="宋体"/>
                <w:color w:val="auto"/>
                <w:spacing w:val="6"/>
                <w:sz w:val="24"/>
                <w:szCs w:val="24"/>
                <w:highlight w:val="none"/>
                <w:u w:val="single"/>
              </w:rPr>
              <w:t xml:space="preserve">                         </w:t>
            </w:r>
            <w:r>
              <w:rPr>
                <w:rFonts w:hint="eastAsia" w:ascii="宋体" w:hAnsi="宋体" w:cs="宋体"/>
                <w:color w:val="auto"/>
                <w:spacing w:val="6"/>
                <w:sz w:val="24"/>
                <w:szCs w:val="24"/>
                <w:highlight w:val="none"/>
              </w:rPr>
              <w:t xml:space="preserve"> </w:t>
            </w:r>
          </w:p>
        </w:tc>
      </w:tr>
      <w:tr w14:paraId="18823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1844" w:type="dxa"/>
            <w:noWrap w:val="0"/>
            <w:vAlign w:val="center"/>
          </w:tcPr>
          <w:p w14:paraId="28B65075">
            <w:pPr>
              <w:pStyle w:val="90"/>
              <w:tabs>
                <w:tab w:val="left" w:pos="1337"/>
              </w:tabs>
              <w:spacing w:line="360" w:lineRule="auto"/>
              <w:jc w:val="center"/>
              <w:rPr>
                <w:rFonts w:hint="eastAsia" w:ascii="宋体" w:hAnsi="宋体" w:cs="宋体"/>
                <w:bCs/>
                <w:color w:val="auto"/>
                <w:sz w:val="24"/>
                <w:szCs w:val="24"/>
                <w:highlight w:val="none"/>
              </w:rPr>
            </w:pPr>
            <w:r>
              <w:rPr>
                <w:rFonts w:hint="eastAsia" w:ascii="宋体" w:hAnsi="宋体" w:cs="宋体"/>
                <w:bCs/>
                <w:color w:val="auto"/>
                <w:sz w:val="24"/>
                <w:szCs w:val="24"/>
                <w:highlight w:val="none"/>
              </w:rPr>
              <w:t>质量要求</w:t>
            </w:r>
          </w:p>
        </w:tc>
        <w:tc>
          <w:tcPr>
            <w:tcW w:w="6934" w:type="dxa"/>
            <w:noWrap w:val="0"/>
            <w:vAlign w:val="center"/>
          </w:tcPr>
          <w:p w14:paraId="166DEBC9">
            <w:pPr>
              <w:pStyle w:val="90"/>
              <w:tabs>
                <w:tab w:val="left" w:pos="1337"/>
              </w:tabs>
              <w:spacing w:line="360" w:lineRule="auto"/>
              <w:rPr>
                <w:rFonts w:hint="eastAsia" w:ascii="宋体" w:hAnsi="宋体" w:cs="宋体"/>
                <w:color w:val="auto"/>
                <w:sz w:val="24"/>
                <w:szCs w:val="24"/>
                <w:highlight w:val="none"/>
                <w:u w:val="single"/>
              </w:rPr>
            </w:pPr>
          </w:p>
        </w:tc>
      </w:tr>
      <w:tr w14:paraId="31AFB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1844" w:type="dxa"/>
            <w:noWrap w:val="0"/>
            <w:vAlign w:val="center"/>
          </w:tcPr>
          <w:p w14:paraId="5D1FD744">
            <w:pPr>
              <w:pStyle w:val="90"/>
              <w:tabs>
                <w:tab w:val="left" w:pos="1337"/>
              </w:tabs>
              <w:spacing w:line="360" w:lineRule="auto"/>
              <w:jc w:val="center"/>
              <w:rPr>
                <w:rFonts w:hint="default" w:ascii="宋体" w:hAnsi="宋体" w:eastAsia="宋体" w:cs="宋体"/>
                <w:bCs/>
                <w:color w:val="auto"/>
                <w:sz w:val="24"/>
                <w:szCs w:val="24"/>
                <w:highlight w:val="none"/>
                <w:lang w:val="en-US" w:eastAsia="zh-CN"/>
              </w:rPr>
            </w:pPr>
            <w:r>
              <w:rPr>
                <w:rFonts w:hint="eastAsia" w:ascii="宋体" w:hAnsi="宋体" w:cs="宋体"/>
                <w:bCs/>
                <w:color w:val="auto"/>
                <w:sz w:val="24"/>
                <w:szCs w:val="24"/>
                <w:highlight w:val="none"/>
                <w:lang w:val="en-US" w:eastAsia="zh-CN"/>
              </w:rPr>
              <w:t>施工工期</w:t>
            </w:r>
          </w:p>
        </w:tc>
        <w:tc>
          <w:tcPr>
            <w:tcW w:w="6934" w:type="dxa"/>
            <w:noWrap w:val="0"/>
            <w:vAlign w:val="center"/>
          </w:tcPr>
          <w:p w14:paraId="1B88737B">
            <w:pPr>
              <w:pStyle w:val="90"/>
              <w:tabs>
                <w:tab w:val="left" w:pos="1337"/>
              </w:tabs>
              <w:spacing w:line="360" w:lineRule="auto"/>
              <w:rPr>
                <w:rFonts w:hint="eastAsia" w:ascii="宋体" w:hAnsi="宋体" w:cs="宋体"/>
                <w:color w:val="auto"/>
                <w:sz w:val="24"/>
                <w:szCs w:val="24"/>
                <w:highlight w:val="none"/>
                <w:u w:val="single"/>
              </w:rPr>
            </w:pPr>
          </w:p>
        </w:tc>
      </w:tr>
      <w:tr w14:paraId="37D98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5" w:hRule="atLeast"/>
          <w:jc w:val="center"/>
        </w:trPr>
        <w:tc>
          <w:tcPr>
            <w:tcW w:w="1844" w:type="dxa"/>
            <w:noWrap w:val="0"/>
            <w:vAlign w:val="center"/>
          </w:tcPr>
          <w:p w14:paraId="5FA56284">
            <w:pPr>
              <w:pStyle w:val="90"/>
              <w:tabs>
                <w:tab w:val="left" w:pos="1337"/>
              </w:tabs>
              <w:spacing w:line="360" w:lineRule="auto"/>
              <w:jc w:val="center"/>
              <w:rPr>
                <w:rFonts w:ascii="宋体" w:hAnsi="宋体" w:cs="宋体"/>
                <w:bCs/>
                <w:color w:val="auto"/>
                <w:sz w:val="24"/>
                <w:szCs w:val="24"/>
                <w:highlight w:val="none"/>
              </w:rPr>
            </w:pPr>
            <w:r>
              <w:rPr>
                <w:rFonts w:hint="eastAsia" w:ascii="宋体" w:hAnsi="宋体" w:cs="宋体"/>
                <w:bCs/>
                <w:color w:val="auto"/>
                <w:sz w:val="24"/>
                <w:szCs w:val="24"/>
                <w:highlight w:val="none"/>
              </w:rPr>
              <w:t>其它</w:t>
            </w:r>
          </w:p>
        </w:tc>
        <w:tc>
          <w:tcPr>
            <w:tcW w:w="6934" w:type="dxa"/>
            <w:noWrap w:val="0"/>
            <w:vAlign w:val="center"/>
          </w:tcPr>
          <w:p w14:paraId="1FB76B2F">
            <w:pPr>
              <w:pStyle w:val="90"/>
              <w:tabs>
                <w:tab w:val="left" w:pos="1337"/>
              </w:tabs>
              <w:spacing w:line="360" w:lineRule="auto"/>
              <w:rPr>
                <w:rFonts w:hint="eastAsia" w:ascii="宋体" w:hAnsi="宋体" w:cs="宋体"/>
                <w:color w:val="auto"/>
                <w:sz w:val="24"/>
                <w:szCs w:val="24"/>
                <w:highlight w:val="none"/>
                <w:u w:val="single"/>
              </w:rPr>
            </w:pPr>
          </w:p>
        </w:tc>
      </w:tr>
      <w:tr w14:paraId="46CE0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8778" w:type="dxa"/>
            <w:gridSpan w:val="2"/>
            <w:noWrap w:val="0"/>
            <w:vAlign w:val="center"/>
          </w:tcPr>
          <w:p w14:paraId="434A2340">
            <w:pPr>
              <w:pStyle w:val="90"/>
              <w:tabs>
                <w:tab w:val="left" w:pos="1337"/>
              </w:tabs>
              <w:spacing w:line="360" w:lineRule="auto"/>
              <w:rPr>
                <w:rFonts w:hint="eastAsia" w:ascii="宋体" w:hAnsi="宋体" w:cs="宋体"/>
                <w:color w:val="auto"/>
                <w:sz w:val="24"/>
                <w:szCs w:val="24"/>
                <w:highlight w:val="none"/>
              </w:rPr>
            </w:pPr>
            <w:r>
              <w:rPr>
                <w:rFonts w:hint="eastAsia" w:ascii="宋体" w:hAnsi="宋体" w:cs="宋体"/>
                <w:bCs/>
                <w:color w:val="auto"/>
                <w:sz w:val="24"/>
                <w:szCs w:val="24"/>
                <w:highlight w:val="none"/>
              </w:rPr>
              <w:t>备注：</w:t>
            </w:r>
          </w:p>
        </w:tc>
      </w:tr>
    </w:tbl>
    <w:p w14:paraId="6366B60F">
      <w:pPr>
        <w:pStyle w:val="90"/>
        <w:spacing w:line="360" w:lineRule="auto"/>
        <w:ind w:firstLine="240" w:firstLineChars="100"/>
        <w:rPr>
          <w:rFonts w:hint="eastAsia" w:ascii="宋体" w:hAnsi="宋体" w:cs="宋体"/>
          <w:color w:val="auto"/>
          <w:sz w:val="24"/>
          <w:szCs w:val="24"/>
          <w:highlight w:val="none"/>
        </w:rPr>
      </w:pPr>
      <w:r>
        <w:rPr>
          <w:rFonts w:hint="eastAsia" w:ascii="宋体" w:hAnsi="宋体" w:cs="宋体"/>
          <w:color w:val="auto"/>
          <w:sz w:val="24"/>
          <w:szCs w:val="24"/>
          <w:highlight w:val="none"/>
        </w:rPr>
        <w:t>说明：1</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投标单位严格按照规定的格式填写</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任何有选择或有条件的投标报价或表中某一包填写多个报价，均将导致投标被拒绝</w:t>
      </w:r>
      <w:r>
        <w:rPr>
          <w:rFonts w:hint="eastAsia" w:ascii="宋体" w:hAnsi="宋体" w:cs="宋体"/>
          <w:color w:val="auto"/>
          <w:sz w:val="24"/>
          <w:szCs w:val="24"/>
          <w:highlight w:val="none"/>
          <w:lang w:eastAsia="zh-CN"/>
        </w:rPr>
        <w:t>；</w:t>
      </w:r>
    </w:p>
    <w:p w14:paraId="7D41EE9C">
      <w:pPr>
        <w:pStyle w:val="90"/>
        <w:spacing w:line="360" w:lineRule="auto"/>
        <w:ind w:left="1197" w:leftChars="570" w:firstLine="1680" w:firstLineChars="700"/>
        <w:rPr>
          <w:rFonts w:hint="eastAsia" w:ascii="宋体" w:hAnsi="宋体" w:cs="宋体"/>
          <w:color w:val="auto"/>
          <w:sz w:val="24"/>
          <w:szCs w:val="24"/>
          <w:highlight w:val="none"/>
        </w:rPr>
      </w:pPr>
    </w:p>
    <w:p w14:paraId="59E9CE42">
      <w:pPr>
        <w:pStyle w:val="90"/>
        <w:spacing w:line="360" w:lineRule="auto"/>
        <w:ind w:left="1197" w:leftChars="570" w:firstLine="1680" w:firstLineChars="700"/>
        <w:rPr>
          <w:rFonts w:hint="eastAsia" w:ascii="宋体" w:hAnsi="宋体" w:cs="宋体"/>
          <w:color w:val="auto"/>
          <w:sz w:val="24"/>
          <w:szCs w:val="24"/>
          <w:highlight w:val="none"/>
        </w:rPr>
      </w:pPr>
      <w:r>
        <w:rPr>
          <w:rFonts w:hint="eastAsia" w:ascii="宋体" w:hAnsi="宋体" w:cs="宋体"/>
          <w:color w:val="auto"/>
          <w:sz w:val="24"/>
          <w:szCs w:val="24"/>
          <w:highlight w:val="none"/>
        </w:rPr>
        <w:t>投标单位（盖章）：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2897BC73">
      <w:pPr>
        <w:pStyle w:val="88"/>
        <w:ind w:firstLine="0"/>
        <w:rPr>
          <w:rFonts w:hint="eastAsia" w:ascii="宋体" w:hAnsi="宋体" w:cs="宋体"/>
          <w:color w:val="auto"/>
          <w:sz w:val="24"/>
          <w:szCs w:val="24"/>
          <w:highlight w:val="none"/>
        </w:rPr>
      </w:pPr>
    </w:p>
    <w:p w14:paraId="70918DC4">
      <w:pPr>
        <w:spacing w:line="500" w:lineRule="exact"/>
        <w:ind w:firstLine="1440" w:firstLineChars="6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038E8F2C">
      <w:pPr>
        <w:rPr>
          <w:rFonts w:hint="eastAsia" w:ascii="宋体" w:hAnsi="宋体" w:cs="宋体"/>
          <w:color w:val="auto"/>
          <w:kern w:val="0"/>
          <w:sz w:val="24"/>
          <w:szCs w:val="24"/>
          <w:highlight w:val="none"/>
        </w:rPr>
      </w:pPr>
    </w:p>
    <w:p w14:paraId="3406B72A">
      <w:pPr>
        <w:wordWrap w:val="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w:t>
      </w:r>
    </w:p>
    <w:p w14:paraId="194C037D">
      <w:pPr>
        <w:wordWrap w:val="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 xml:space="preserve"> 日</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587EF817">
      <w:pPr>
        <w:rPr>
          <w:rFonts w:hint="eastAsia"/>
          <w:color w:val="auto"/>
          <w:sz w:val="24"/>
          <w:szCs w:val="24"/>
          <w:highlight w:val="none"/>
        </w:rPr>
      </w:pPr>
    </w:p>
    <w:p w14:paraId="29109B08">
      <w:pPr>
        <w:pStyle w:val="10"/>
        <w:rPr>
          <w:rFonts w:hint="eastAsia"/>
          <w:color w:val="auto"/>
          <w:sz w:val="24"/>
          <w:szCs w:val="24"/>
          <w:highlight w:val="none"/>
        </w:rPr>
      </w:pPr>
    </w:p>
    <w:p w14:paraId="15775112">
      <w:pPr>
        <w:pStyle w:val="10"/>
        <w:ind w:left="0" w:leftChars="0" w:firstLine="0" w:firstLineChars="0"/>
        <w:rPr>
          <w:rFonts w:hint="eastAsia"/>
          <w:color w:val="auto"/>
          <w:highlight w:val="none"/>
        </w:rPr>
      </w:pPr>
    </w:p>
    <w:p w14:paraId="0FD8021F">
      <w:pPr>
        <w:rPr>
          <w:rFonts w:hint="eastAsia"/>
          <w:color w:val="auto"/>
          <w:highlight w:val="none"/>
        </w:rPr>
      </w:pPr>
    </w:p>
    <w:p w14:paraId="4D25873C">
      <w:pPr>
        <w:rPr>
          <w:rFonts w:hint="eastAsia"/>
          <w:color w:val="auto"/>
          <w:highlight w:val="none"/>
        </w:rPr>
      </w:pPr>
    </w:p>
    <w:p w14:paraId="58D62534">
      <w:pPr>
        <w:pStyle w:val="91"/>
        <w:spacing w:line="360" w:lineRule="auto"/>
        <w:jc w:val="both"/>
        <w:outlineLvl w:val="2"/>
        <w:rPr>
          <w:rFonts w:hint="eastAsia" w:ascii="Cambria" w:hAnsi="Cambria" w:eastAsia="宋体" w:cs="Times New Roman"/>
          <w:b/>
          <w:bCs/>
          <w:color w:val="auto"/>
          <w:kern w:val="44"/>
          <w:sz w:val="28"/>
          <w:szCs w:val="28"/>
          <w:highlight w:val="none"/>
          <w:lang w:val="en-US" w:eastAsia="zh-CN" w:bidi="ar-SA"/>
        </w:rPr>
      </w:pPr>
    </w:p>
    <w:p w14:paraId="754BD42E">
      <w:pPr>
        <w:pStyle w:val="91"/>
        <w:spacing w:line="360" w:lineRule="auto"/>
        <w:jc w:val="both"/>
        <w:outlineLvl w:val="2"/>
        <w:rPr>
          <w:rFonts w:hint="eastAsia" w:ascii="Cambria" w:hAnsi="Cambria" w:eastAsia="宋体" w:cs="Times New Roman"/>
          <w:b/>
          <w:bCs/>
          <w:color w:val="auto"/>
          <w:kern w:val="44"/>
          <w:sz w:val="28"/>
          <w:szCs w:val="28"/>
          <w:highlight w:val="none"/>
          <w:lang w:val="en-US" w:eastAsia="zh-CN" w:bidi="ar-SA"/>
        </w:rPr>
      </w:pPr>
      <w:r>
        <w:rPr>
          <w:rFonts w:hint="eastAsia" w:ascii="Cambria" w:hAnsi="Cambria" w:eastAsia="宋体" w:cs="Times New Roman"/>
          <w:b/>
          <w:bCs/>
          <w:color w:val="auto"/>
          <w:kern w:val="44"/>
          <w:sz w:val="28"/>
          <w:szCs w:val="28"/>
          <w:highlight w:val="none"/>
          <w:lang w:val="en-US" w:eastAsia="zh-CN" w:bidi="ar-SA"/>
        </w:rPr>
        <w:t>四、商务及技术偏离表格式</w:t>
      </w:r>
    </w:p>
    <w:p w14:paraId="30A5CC81">
      <w:pPr>
        <w:pStyle w:val="91"/>
        <w:spacing w:line="360" w:lineRule="auto"/>
        <w:jc w:val="both"/>
        <w:outlineLvl w:val="2"/>
        <w:rPr>
          <w:rFonts w:hint="eastAsia" w:ascii="Cambria" w:hAnsi="Cambria" w:eastAsia="宋体" w:cs="Times New Roman"/>
          <w:b/>
          <w:bCs/>
          <w:color w:val="auto"/>
          <w:kern w:val="44"/>
          <w:sz w:val="28"/>
          <w:szCs w:val="28"/>
          <w:highlight w:val="none"/>
          <w:lang w:val="en-US" w:eastAsia="zh-CN" w:bidi="ar-SA"/>
        </w:rPr>
      </w:pPr>
    </w:p>
    <w:p w14:paraId="642AC040">
      <w:pPr>
        <w:pStyle w:val="91"/>
        <w:spacing w:line="360" w:lineRule="auto"/>
        <w:jc w:val="center"/>
        <w:outlineLvl w:val="2"/>
        <w:rPr>
          <w:rFonts w:hint="eastAsia" w:ascii="Cambria" w:hAnsi="Cambria" w:eastAsia="宋体" w:cs="Times New Roman"/>
          <w:b/>
          <w:bCs/>
          <w:color w:val="auto"/>
          <w:kern w:val="44"/>
          <w:sz w:val="32"/>
          <w:szCs w:val="44"/>
          <w:highlight w:val="none"/>
          <w:lang w:val="en-US" w:eastAsia="zh-CN" w:bidi="ar-SA"/>
        </w:rPr>
      </w:pPr>
      <w:r>
        <w:rPr>
          <w:rFonts w:hint="eastAsia" w:ascii="Cambria" w:hAnsi="Cambria" w:eastAsia="宋体" w:cs="Times New Roman"/>
          <w:b/>
          <w:bCs/>
          <w:color w:val="auto"/>
          <w:kern w:val="44"/>
          <w:sz w:val="32"/>
          <w:szCs w:val="44"/>
          <w:highlight w:val="none"/>
          <w:lang w:val="en-US" w:eastAsia="zh-CN" w:bidi="ar-SA"/>
        </w:rPr>
        <w:t>商务及技术偏离表</w:t>
      </w:r>
    </w:p>
    <w:p w14:paraId="22F25558">
      <w:pPr>
        <w:spacing w:line="360" w:lineRule="auto"/>
        <w:ind w:firstLine="630"/>
        <w:rPr>
          <w:rFonts w:hint="eastAsia" w:ascii="宋体" w:hAnsi="宋体" w:cs="宋体"/>
          <w:color w:val="auto"/>
          <w:kern w:val="0"/>
          <w:sz w:val="28"/>
          <w:szCs w:val="28"/>
          <w:highlight w:val="none"/>
        </w:rPr>
      </w:pPr>
    </w:p>
    <w:p w14:paraId="559B2926">
      <w:pPr>
        <w:spacing w:line="360" w:lineRule="auto"/>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项目名称：</w:t>
      </w:r>
      <w:r>
        <w:rPr>
          <w:rFonts w:hint="eastAsia" w:ascii="宋体" w:hAnsi="宋体" w:cs="宋体"/>
          <w:color w:val="auto"/>
          <w:kern w:val="0"/>
          <w:sz w:val="24"/>
          <w:szCs w:val="24"/>
          <w:highlight w:val="none"/>
          <w:u w:val="single"/>
        </w:rPr>
        <w:t xml:space="preserve">                         </w:t>
      </w:r>
    </w:p>
    <w:p w14:paraId="4B260C4F">
      <w:pPr>
        <w:spacing w:line="360" w:lineRule="auto"/>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项目</w:t>
      </w:r>
      <w:r>
        <w:rPr>
          <w:rFonts w:hint="eastAsia" w:ascii="宋体" w:hAnsi="宋体" w:cs="宋体"/>
          <w:color w:val="auto"/>
          <w:kern w:val="0"/>
          <w:sz w:val="24"/>
          <w:szCs w:val="24"/>
          <w:highlight w:val="none"/>
        </w:rPr>
        <w:t>编号：</w:t>
      </w:r>
      <w:r>
        <w:rPr>
          <w:rFonts w:hint="eastAsia" w:ascii="宋体" w:hAnsi="宋体" w:cs="宋体"/>
          <w:color w:val="auto"/>
          <w:kern w:val="0"/>
          <w:sz w:val="24"/>
          <w:szCs w:val="24"/>
          <w:highlight w:val="none"/>
          <w:u w:val="single"/>
        </w:rPr>
        <w:t xml:space="preserve">                         </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4"/>
        <w:gridCol w:w="2747"/>
        <w:gridCol w:w="3120"/>
        <w:gridCol w:w="1736"/>
      </w:tblGrid>
      <w:tr w14:paraId="07C11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trPr>
        <w:tc>
          <w:tcPr>
            <w:tcW w:w="1144" w:type="dxa"/>
            <w:noWrap w:val="0"/>
            <w:vAlign w:val="bottom"/>
          </w:tcPr>
          <w:p w14:paraId="44A46834">
            <w:pPr>
              <w:spacing w:line="360" w:lineRule="auto"/>
              <w:jc w:val="center"/>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序号</w:t>
            </w:r>
          </w:p>
        </w:tc>
        <w:tc>
          <w:tcPr>
            <w:tcW w:w="2747" w:type="dxa"/>
            <w:noWrap w:val="0"/>
            <w:vAlign w:val="bottom"/>
          </w:tcPr>
          <w:p w14:paraId="35568498">
            <w:pPr>
              <w:spacing w:line="360" w:lineRule="auto"/>
              <w:jc w:val="center"/>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lang w:val="en-US" w:eastAsia="zh-CN"/>
              </w:rPr>
              <w:t>招标</w:t>
            </w:r>
            <w:r>
              <w:rPr>
                <w:rFonts w:hint="eastAsia" w:ascii="宋体" w:hAnsi="宋体" w:cs="宋体"/>
                <w:b/>
                <w:bCs/>
                <w:color w:val="auto"/>
                <w:kern w:val="0"/>
                <w:sz w:val="24"/>
                <w:szCs w:val="24"/>
                <w:highlight w:val="none"/>
              </w:rPr>
              <w:t>文件的条款</w:t>
            </w:r>
          </w:p>
        </w:tc>
        <w:tc>
          <w:tcPr>
            <w:tcW w:w="3120" w:type="dxa"/>
            <w:noWrap w:val="0"/>
            <w:vAlign w:val="bottom"/>
          </w:tcPr>
          <w:p w14:paraId="4F2E21B5">
            <w:pPr>
              <w:spacing w:line="360" w:lineRule="auto"/>
              <w:ind w:firstLine="241" w:firstLineChars="100"/>
              <w:jc w:val="center"/>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投标</w:t>
            </w:r>
            <w:r>
              <w:rPr>
                <w:rFonts w:hint="eastAsia" w:ascii="宋体" w:hAnsi="宋体" w:cs="宋体"/>
                <w:b/>
                <w:bCs/>
                <w:color w:val="auto"/>
                <w:kern w:val="0"/>
                <w:sz w:val="24"/>
                <w:szCs w:val="24"/>
                <w:highlight w:val="none"/>
                <w:lang w:val="en-US" w:eastAsia="zh-CN"/>
              </w:rPr>
              <w:t>响应</w:t>
            </w:r>
            <w:r>
              <w:rPr>
                <w:rFonts w:hint="eastAsia" w:ascii="宋体" w:hAnsi="宋体" w:cs="宋体"/>
                <w:b/>
                <w:bCs/>
                <w:color w:val="auto"/>
                <w:kern w:val="0"/>
                <w:sz w:val="24"/>
                <w:szCs w:val="24"/>
                <w:highlight w:val="none"/>
              </w:rPr>
              <w:t>文件的条款</w:t>
            </w:r>
          </w:p>
        </w:tc>
        <w:tc>
          <w:tcPr>
            <w:tcW w:w="1736" w:type="dxa"/>
            <w:noWrap w:val="0"/>
            <w:vAlign w:val="bottom"/>
          </w:tcPr>
          <w:p w14:paraId="22131E74">
            <w:pPr>
              <w:spacing w:line="360" w:lineRule="auto"/>
              <w:ind w:firstLine="482" w:firstLineChars="200"/>
              <w:jc w:val="both"/>
              <w:rPr>
                <w:rFonts w:hint="eastAsia" w:ascii="宋体" w:hAnsi="宋体" w:cs="宋体"/>
                <w:b/>
                <w:bCs/>
                <w:color w:val="auto"/>
                <w:kern w:val="0"/>
                <w:sz w:val="24"/>
                <w:szCs w:val="24"/>
                <w:highlight w:val="none"/>
              </w:rPr>
            </w:pPr>
            <w:r>
              <w:rPr>
                <w:rFonts w:hint="eastAsia" w:ascii="宋体" w:hAnsi="宋体" w:cs="宋体"/>
                <w:b/>
                <w:bCs/>
                <w:color w:val="auto"/>
                <w:kern w:val="0"/>
                <w:sz w:val="24"/>
                <w:szCs w:val="24"/>
                <w:highlight w:val="none"/>
              </w:rPr>
              <w:t>说</w:t>
            </w:r>
            <w:r>
              <w:rPr>
                <w:rFonts w:hint="eastAsia" w:ascii="宋体" w:hAnsi="宋体" w:cs="宋体"/>
                <w:b/>
                <w:bCs/>
                <w:color w:val="auto"/>
                <w:kern w:val="0"/>
                <w:sz w:val="24"/>
                <w:szCs w:val="24"/>
                <w:highlight w:val="none"/>
                <w:lang w:val="en-US" w:eastAsia="zh-CN"/>
              </w:rPr>
              <w:t xml:space="preserve"> </w:t>
            </w:r>
            <w:r>
              <w:rPr>
                <w:rFonts w:hint="eastAsia" w:ascii="宋体" w:hAnsi="宋体" w:cs="宋体"/>
                <w:b/>
                <w:bCs/>
                <w:color w:val="auto"/>
                <w:kern w:val="0"/>
                <w:sz w:val="24"/>
                <w:szCs w:val="24"/>
                <w:highlight w:val="none"/>
              </w:rPr>
              <w:t>明</w:t>
            </w:r>
          </w:p>
        </w:tc>
      </w:tr>
      <w:tr w14:paraId="5B54E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144" w:type="dxa"/>
            <w:noWrap w:val="0"/>
            <w:vAlign w:val="bottom"/>
          </w:tcPr>
          <w:p w14:paraId="40B7C964">
            <w:pPr>
              <w:spacing w:line="360" w:lineRule="auto"/>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w:t>
            </w:r>
          </w:p>
        </w:tc>
        <w:tc>
          <w:tcPr>
            <w:tcW w:w="2747" w:type="dxa"/>
            <w:noWrap w:val="0"/>
            <w:vAlign w:val="center"/>
          </w:tcPr>
          <w:p w14:paraId="29595F65">
            <w:pPr>
              <w:spacing w:line="360" w:lineRule="auto"/>
              <w:ind w:firstLine="630"/>
              <w:jc w:val="center"/>
              <w:rPr>
                <w:rFonts w:hint="eastAsia" w:ascii="宋体" w:hAnsi="宋体" w:cs="宋体"/>
                <w:color w:val="auto"/>
                <w:kern w:val="0"/>
                <w:sz w:val="24"/>
                <w:szCs w:val="24"/>
                <w:highlight w:val="none"/>
              </w:rPr>
            </w:pPr>
          </w:p>
        </w:tc>
        <w:tc>
          <w:tcPr>
            <w:tcW w:w="3120" w:type="dxa"/>
            <w:noWrap w:val="0"/>
            <w:vAlign w:val="center"/>
          </w:tcPr>
          <w:p w14:paraId="11304174">
            <w:pPr>
              <w:spacing w:line="360" w:lineRule="auto"/>
              <w:ind w:firstLine="630"/>
              <w:jc w:val="center"/>
              <w:rPr>
                <w:rFonts w:hint="eastAsia" w:ascii="宋体" w:hAnsi="宋体" w:cs="宋体"/>
                <w:color w:val="auto"/>
                <w:kern w:val="0"/>
                <w:sz w:val="24"/>
                <w:szCs w:val="24"/>
                <w:highlight w:val="none"/>
              </w:rPr>
            </w:pPr>
          </w:p>
        </w:tc>
        <w:tc>
          <w:tcPr>
            <w:tcW w:w="1736" w:type="dxa"/>
            <w:noWrap w:val="0"/>
            <w:vAlign w:val="center"/>
          </w:tcPr>
          <w:p w14:paraId="042ED807">
            <w:pPr>
              <w:spacing w:line="360" w:lineRule="auto"/>
              <w:ind w:firstLine="630"/>
              <w:jc w:val="center"/>
              <w:rPr>
                <w:rFonts w:hint="eastAsia" w:ascii="宋体" w:hAnsi="宋体" w:cs="宋体"/>
                <w:color w:val="auto"/>
                <w:kern w:val="0"/>
                <w:sz w:val="24"/>
                <w:szCs w:val="24"/>
                <w:highlight w:val="none"/>
              </w:rPr>
            </w:pPr>
          </w:p>
        </w:tc>
      </w:tr>
      <w:tr w14:paraId="19ABE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1144" w:type="dxa"/>
            <w:noWrap w:val="0"/>
            <w:vAlign w:val="bottom"/>
          </w:tcPr>
          <w:p w14:paraId="79121C0E">
            <w:pPr>
              <w:spacing w:line="360" w:lineRule="auto"/>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2</w:t>
            </w:r>
          </w:p>
        </w:tc>
        <w:tc>
          <w:tcPr>
            <w:tcW w:w="2747" w:type="dxa"/>
            <w:noWrap w:val="0"/>
            <w:vAlign w:val="center"/>
          </w:tcPr>
          <w:p w14:paraId="074CE6DB">
            <w:pPr>
              <w:spacing w:line="360" w:lineRule="auto"/>
              <w:ind w:firstLine="630"/>
              <w:jc w:val="center"/>
              <w:rPr>
                <w:rFonts w:hint="eastAsia" w:ascii="宋体" w:hAnsi="宋体" w:cs="宋体"/>
                <w:color w:val="auto"/>
                <w:kern w:val="0"/>
                <w:sz w:val="24"/>
                <w:szCs w:val="24"/>
                <w:highlight w:val="none"/>
              </w:rPr>
            </w:pPr>
          </w:p>
        </w:tc>
        <w:tc>
          <w:tcPr>
            <w:tcW w:w="3120" w:type="dxa"/>
            <w:noWrap w:val="0"/>
            <w:vAlign w:val="center"/>
          </w:tcPr>
          <w:p w14:paraId="7F3C68D0">
            <w:pPr>
              <w:spacing w:line="360" w:lineRule="auto"/>
              <w:ind w:firstLine="630"/>
              <w:jc w:val="center"/>
              <w:rPr>
                <w:rFonts w:hint="eastAsia" w:ascii="宋体" w:hAnsi="宋体" w:cs="宋体"/>
                <w:color w:val="auto"/>
                <w:kern w:val="0"/>
                <w:sz w:val="24"/>
                <w:szCs w:val="24"/>
                <w:highlight w:val="none"/>
              </w:rPr>
            </w:pPr>
          </w:p>
        </w:tc>
        <w:tc>
          <w:tcPr>
            <w:tcW w:w="1736" w:type="dxa"/>
            <w:noWrap w:val="0"/>
            <w:vAlign w:val="center"/>
          </w:tcPr>
          <w:p w14:paraId="033E8FBC">
            <w:pPr>
              <w:spacing w:line="360" w:lineRule="auto"/>
              <w:ind w:firstLine="630"/>
              <w:jc w:val="center"/>
              <w:rPr>
                <w:rFonts w:hint="eastAsia" w:ascii="宋体" w:hAnsi="宋体" w:cs="宋体"/>
                <w:color w:val="auto"/>
                <w:kern w:val="0"/>
                <w:sz w:val="24"/>
                <w:szCs w:val="24"/>
                <w:highlight w:val="none"/>
              </w:rPr>
            </w:pPr>
          </w:p>
        </w:tc>
      </w:tr>
      <w:tr w14:paraId="519F0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144" w:type="dxa"/>
            <w:noWrap w:val="0"/>
            <w:vAlign w:val="bottom"/>
          </w:tcPr>
          <w:p w14:paraId="017F96B8">
            <w:pPr>
              <w:spacing w:line="360" w:lineRule="auto"/>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3</w:t>
            </w:r>
          </w:p>
        </w:tc>
        <w:tc>
          <w:tcPr>
            <w:tcW w:w="2747" w:type="dxa"/>
            <w:noWrap w:val="0"/>
            <w:vAlign w:val="center"/>
          </w:tcPr>
          <w:p w14:paraId="163E8273">
            <w:pPr>
              <w:spacing w:line="360" w:lineRule="auto"/>
              <w:ind w:firstLine="630"/>
              <w:jc w:val="center"/>
              <w:rPr>
                <w:rFonts w:hint="eastAsia" w:ascii="宋体" w:hAnsi="宋体" w:cs="宋体"/>
                <w:color w:val="auto"/>
                <w:kern w:val="0"/>
                <w:sz w:val="24"/>
                <w:szCs w:val="24"/>
                <w:highlight w:val="none"/>
              </w:rPr>
            </w:pPr>
          </w:p>
        </w:tc>
        <w:tc>
          <w:tcPr>
            <w:tcW w:w="3120" w:type="dxa"/>
            <w:noWrap w:val="0"/>
            <w:vAlign w:val="center"/>
          </w:tcPr>
          <w:p w14:paraId="6E36A2F8">
            <w:pPr>
              <w:spacing w:line="360" w:lineRule="auto"/>
              <w:ind w:firstLine="630"/>
              <w:jc w:val="center"/>
              <w:rPr>
                <w:rFonts w:hint="eastAsia" w:ascii="宋体" w:hAnsi="宋体" w:cs="宋体"/>
                <w:color w:val="auto"/>
                <w:kern w:val="0"/>
                <w:sz w:val="24"/>
                <w:szCs w:val="24"/>
                <w:highlight w:val="none"/>
              </w:rPr>
            </w:pPr>
          </w:p>
        </w:tc>
        <w:tc>
          <w:tcPr>
            <w:tcW w:w="1736" w:type="dxa"/>
            <w:noWrap w:val="0"/>
            <w:vAlign w:val="center"/>
          </w:tcPr>
          <w:p w14:paraId="04B1E92E">
            <w:pPr>
              <w:spacing w:line="360" w:lineRule="auto"/>
              <w:ind w:firstLine="630"/>
              <w:jc w:val="center"/>
              <w:rPr>
                <w:rFonts w:hint="eastAsia" w:ascii="宋体" w:hAnsi="宋体" w:cs="宋体"/>
                <w:color w:val="auto"/>
                <w:kern w:val="0"/>
                <w:sz w:val="24"/>
                <w:szCs w:val="24"/>
                <w:highlight w:val="none"/>
              </w:rPr>
            </w:pPr>
          </w:p>
        </w:tc>
      </w:tr>
      <w:tr w14:paraId="488FB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144" w:type="dxa"/>
            <w:noWrap w:val="0"/>
            <w:vAlign w:val="bottom"/>
          </w:tcPr>
          <w:p w14:paraId="629F3CF8">
            <w:pPr>
              <w:spacing w:line="360" w:lineRule="auto"/>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4</w:t>
            </w:r>
          </w:p>
        </w:tc>
        <w:tc>
          <w:tcPr>
            <w:tcW w:w="2747" w:type="dxa"/>
            <w:noWrap w:val="0"/>
            <w:vAlign w:val="center"/>
          </w:tcPr>
          <w:p w14:paraId="78766419">
            <w:pPr>
              <w:spacing w:line="360" w:lineRule="auto"/>
              <w:ind w:firstLine="630"/>
              <w:jc w:val="center"/>
              <w:rPr>
                <w:rFonts w:hint="eastAsia" w:ascii="宋体" w:hAnsi="宋体" w:cs="宋体"/>
                <w:color w:val="auto"/>
                <w:kern w:val="0"/>
                <w:sz w:val="24"/>
                <w:szCs w:val="24"/>
                <w:highlight w:val="none"/>
              </w:rPr>
            </w:pPr>
          </w:p>
        </w:tc>
        <w:tc>
          <w:tcPr>
            <w:tcW w:w="3120" w:type="dxa"/>
            <w:noWrap w:val="0"/>
            <w:vAlign w:val="center"/>
          </w:tcPr>
          <w:p w14:paraId="20104460">
            <w:pPr>
              <w:spacing w:line="360" w:lineRule="auto"/>
              <w:ind w:firstLine="630"/>
              <w:jc w:val="center"/>
              <w:rPr>
                <w:rFonts w:hint="eastAsia" w:ascii="宋体" w:hAnsi="宋体" w:cs="宋体"/>
                <w:color w:val="auto"/>
                <w:kern w:val="0"/>
                <w:sz w:val="24"/>
                <w:szCs w:val="24"/>
                <w:highlight w:val="none"/>
              </w:rPr>
            </w:pPr>
          </w:p>
        </w:tc>
        <w:tc>
          <w:tcPr>
            <w:tcW w:w="1736" w:type="dxa"/>
            <w:noWrap w:val="0"/>
            <w:vAlign w:val="center"/>
          </w:tcPr>
          <w:p w14:paraId="7AF2333D">
            <w:pPr>
              <w:spacing w:line="360" w:lineRule="auto"/>
              <w:ind w:firstLine="630"/>
              <w:jc w:val="center"/>
              <w:rPr>
                <w:rFonts w:hint="eastAsia" w:ascii="宋体" w:hAnsi="宋体" w:cs="宋体"/>
                <w:color w:val="auto"/>
                <w:kern w:val="0"/>
                <w:sz w:val="24"/>
                <w:szCs w:val="24"/>
                <w:highlight w:val="none"/>
              </w:rPr>
            </w:pPr>
          </w:p>
        </w:tc>
      </w:tr>
      <w:tr w14:paraId="1FA52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1144" w:type="dxa"/>
            <w:noWrap w:val="0"/>
            <w:vAlign w:val="bottom"/>
          </w:tcPr>
          <w:p w14:paraId="7F78F070">
            <w:pPr>
              <w:pStyle w:val="41"/>
              <w:jc w:val="center"/>
              <w:rPr>
                <w:rFonts w:hint="eastAsia" w:hAnsi="宋体"/>
                <w:color w:val="auto"/>
                <w:sz w:val="24"/>
                <w:szCs w:val="24"/>
                <w:highlight w:val="none"/>
              </w:rPr>
            </w:pPr>
          </w:p>
          <w:p w14:paraId="1235DD67">
            <w:pPr>
              <w:pStyle w:val="41"/>
              <w:jc w:val="center"/>
              <w:rPr>
                <w:rFonts w:hint="default" w:hAnsi="宋体" w:eastAsia="宋体"/>
                <w:color w:val="auto"/>
                <w:sz w:val="24"/>
                <w:szCs w:val="24"/>
                <w:highlight w:val="none"/>
                <w:lang w:val="en-US" w:eastAsia="zh-CN"/>
              </w:rPr>
            </w:pPr>
            <w:r>
              <w:rPr>
                <w:rFonts w:hint="eastAsia"/>
                <w:color w:val="auto"/>
                <w:sz w:val="24"/>
                <w:szCs w:val="24"/>
                <w:highlight w:val="none"/>
                <w:lang w:val="en-US" w:eastAsia="zh-CN"/>
              </w:rPr>
              <w:t>......</w:t>
            </w:r>
          </w:p>
        </w:tc>
        <w:tc>
          <w:tcPr>
            <w:tcW w:w="2747" w:type="dxa"/>
            <w:noWrap w:val="0"/>
            <w:vAlign w:val="bottom"/>
          </w:tcPr>
          <w:p w14:paraId="540579D1">
            <w:pPr>
              <w:spacing w:line="360" w:lineRule="auto"/>
              <w:ind w:firstLine="630"/>
              <w:jc w:val="center"/>
              <w:rPr>
                <w:rFonts w:hint="eastAsia" w:ascii="宋体" w:hAnsi="宋体" w:cs="宋体"/>
                <w:color w:val="auto"/>
                <w:kern w:val="0"/>
                <w:sz w:val="24"/>
                <w:szCs w:val="24"/>
                <w:highlight w:val="none"/>
              </w:rPr>
            </w:pPr>
          </w:p>
        </w:tc>
        <w:tc>
          <w:tcPr>
            <w:tcW w:w="3120" w:type="dxa"/>
            <w:noWrap w:val="0"/>
            <w:vAlign w:val="bottom"/>
          </w:tcPr>
          <w:p w14:paraId="6A11B786">
            <w:pPr>
              <w:spacing w:line="360" w:lineRule="auto"/>
              <w:ind w:firstLine="630"/>
              <w:jc w:val="center"/>
              <w:rPr>
                <w:rFonts w:hint="eastAsia" w:ascii="宋体" w:hAnsi="宋体" w:cs="宋体"/>
                <w:color w:val="auto"/>
                <w:kern w:val="0"/>
                <w:sz w:val="24"/>
                <w:szCs w:val="24"/>
                <w:highlight w:val="none"/>
              </w:rPr>
            </w:pPr>
          </w:p>
        </w:tc>
        <w:tc>
          <w:tcPr>
            <w:tcW w:w="1736" w:type="dxa"/>
            <w:noWrap w:val="0"/>
            <w:vAlign w:val="bottom"/>
          </w:tcPr>
          <w:p w14:paraId="0B189238">
            <w:pPr>
              <w:spacing w:line="360" w:lineRule="auto"/>
              <w:ind w:firstLine="630"/>
              <w:jc w:val="center"/>
              <w:rPr>
                <w:rFonts w:hint="eastAsia" w:ascii="宋体" w:hAnsi="宋体" w:cs="宋体"/>
                <w:color w:val="auto"/>
                <w:kern w:val="0"/>
                <w:sz w:val="24"/>
                <w:szCs w:val="24"/>
                <w:highlight w:val="none"/>
              </w:rPr>
            </w:pPr>
          </w:p>
        </w:tc>
      </w:tr>
    </w:tbl>
    <w:p w14:paraId="64495DBE">
      <w:pPr>
        <w:spacing w:line="360" w:lineRule="auto"/>
        <w:ind w:firstLine="630"/>
        <w:rPr>
          <w:rFonts w:hint="eastAsia" w:ascii="宋体" w:hAnsi="宋体" w:cs="宋体"/>
          <w:color w:val="auto"/>
          <w:kern w:val="0"/>
          <w:sz w:val="24"/>
          <w:szCs w:val="24"/>
          <w:highlight w:val="none"/>
        </w:rPr>
      </w:pPr>
    </w:p>
    <w:p w14:paraId="1C482801">
      <w:pPr>
        <w:pStyle w:val="90"/>
        <w:spacing w:line="360" w:lineRule="auto"/>
        <w:ind w:left="1197" w:leftChars="570" w:firstLine="1680" w:firstLineChars="700"/>
        <w:rPr>
          <w:rFonts w:hint="eastAsia" w:ascii="宋体" w:hAnsi="宋体" w:cs="宋体"/>
          <w:color w:val="auto"/>
          <w:sz w:val="24"/>
          <w:szCs w:val="24"/>
          <w:highlight w:val="none"/>
        </w:rPr>
      </w:pPr>
      <w:r>
        <w:rPr>
          <w:rFonts w:hint="eastAsia" w:ascii="宋体" w:hAnsi="宋体" w:cs="宋体"/>
          <w:color w:val="auto"/>
          <w:sz w:val="24"/>
          <w:szCs w:val="24"/>
          <w:highlight w:val="none"/>
        </w:rPr>
        <w:t>投标单位（盖章）：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046DCF00">
      <w:pPr>
        <w:pStyle w:val="88"/>
        <w:ind w:firstLine="0"/>
        <w:rPr>
          <w:rFonts w:hint="eastAsia" w:ascii="宋体" w:hAnsi="宋体" w:cs="宋体"/>
          <w:color w:val="auto"/>
          <w:sz w:val="24"/>
          <w:szCs w:val="24"/>
          <w:highlight w:val="none"/>
        </w:rPr>
      </w:pPr>
    </w:p>
    <w:p w14:paraId="4CABD4B1">
      <w:pPr>
        <w:spacing w:line="500" w:lineRule="exact"/>
        <w:ind w:firstLine="1440" w:firstLineChars="6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424B376F">
      <w:pPr>
        <w:rPr>
          <w:rFonts w:hint="eastAsia" w:ascii="宋体" w:hAnsi="宋体" w:cs="宋体"/>
          <w:color w:val="auto"/>
          <w:kern w:val="0"/>
          <w:sz w:val="24"/>
          <w:szCs w:val="24"/>
          <w:highlight w:val="none"/>
        </w:rPr>
      </w:pPr>
    </w:p>
    <w:p w14:paraId="2E870D2B">
      <w:pPr>
        <w:wordWrap w:val="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 </w:t>
      </w:r>
    </w:p>
    <w:p w14:paraId="4864437E">
      <w:pPr>
        <w:wordWrap w:val="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 xml:space="preserve"> 日</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21BB0FB8">
      <w:pPr>
        <w:rPr>
          <w:rFonts w:hint="eastAsia"/>
          <w:color w:val="auto"/>
          <w:sz w:val="24"/>
          <w:szCs w:val="24"/>
          <w:highlight w:val="none"/>
        </w:rPr>
      </w:pPr>
    </w:p>
    <w:p w14:paraId="14AC6EA6">
      <w:pPr>
        <w:pStyle w:val="10"/>
        <w:rPr>
          <w:rFonts w:hint="eastAsia"/>
          <w:color w:val="auto"/>
          <w:sz w:val="24"/>
          <w:szCs w:val="24"/>
          <w:highlight w:val="none"/>
        </w:rPr>
      </w:pPr>
    </w:p>
    <w:p w14:paraId="0D0B396D">
      <w:pPr>
        <w:rPr>
          <w:rFonts w:hint="eastAsia" w:ascii="宋体" w:hAnsi="宋体" w:cs="宋体"/>
          <w:color w:val="auto"/>
          <w:kern w:val="0"/>
          <w:sz w:val="24"/>
          <w:szCs w:val="24"/>
          <w:highlight w:val="none"/>
        </w:rPr>
      </w:pPr>
    </w:p>
    <w:p w14:paraId="7D7F69C9">
      <w:pPr>
        <w:pStyle w:val="4"/>
        <w:rPr>
          <w:rFonts w:hint="eastAsia" w:ascii="宋体" w:hAnsi="宋体" w:cs="宋体"/>
          <w:color w:val="auto"/>
          <w:kern w:val="0"/>
          <w:sz w:val="24"/>
          <w:szCs w:val="24"/>
          <w:highlight w:val="none"/>
        </w:rPr>
      </w:pPr>
    </w:p>
    <w:p w14:paraId="1F941622">
      <w:pPr>
        <w:rPr>
          <w:rFonts w:hint="eastAsia" w:ascii="宋体" w:hAnsi="宋体" w:cs="宋体"/>
          <w:color w:val="auto"/>
          <w:kern w:val="0"/>
          <w:sz w:val="24"/>
          <w:szCs w:val="24"/>
          <w:highlight w:val="none"/>
        </w:rPr>
      </w:pPr>
    </w:p>
    <w:p w14:paraId="48672A1A">
      <w:pPr>
        <w:pStyle w:val="4"/>
        <w:rPr>
          <w:rFonts w:hint="eastAsia" w:ascii="宋体" w:hAnsi="宋体" w:cs="宋体"/>
          <w:color w:val="auto"/>
          <w:kern w:val="0"/>
          <w:sz w:val="24"/>
          <w:szCs w:val="24"/>
          <w:highlight w:val="none"/>
        </w:rPr>
      </w:pPr>
    </w:p>
    <w:p w14:paraId="0D6614E7">
      <w:pPr>
        <w:rPr>
          <w:rFonts w:hint="eastAsia" w:ascii="宋体" w:hAnsi="宋体" w:cs="宋体"/>
          <w:color w:val="auto"/>
          <w:kern w:val="0"/>
          <w:sz w:val="24"/>
          <w:szCs w:val="24"/>
          <w:highlight w:val="none"/>
        </w:rPr>
      </w:pPr>
    </w:p>
    <w:p w14:paraId="63C200A1">
      <w:pPr>
        <w:pStyle w:val="4"/>
        <w:rPr>
          <w:rFonts w:hint="eastAsia" w:ascii="宋体" w:hAnsi="宋体" w:cs="宋体"/>
          <w:color w:val="auto"/>
          <w:kern w:val="0"/>
          <w:sz w:val="24"/>
          <w:szCs w:val="24"/>
          <w:highlight w:val="none"/>
        </w:rPr>
      </w:pPr>
    </w:p>
    <w:p w14:paraId="5E7E1EA9">
      <w:pPr>
        <w:rPr>
          <w:rFonts w:hint="eastAsia" w:ascii="宋体" w:hAnsi="宋体" w:cs="宋体"/>
          <w:color w:val="auto"/>
          <w:kern w:val="0"/>
          <w:sz w:val="24"/>
          <w:szCs w:val="24"/>
          <w:highlight w:val="none"/>
        </w:rPr>
      </w:pPr>
    </w:p>
    <w:p w14:paraId="46BB96AF">
      <w:pPr>
        <w:pStyle w:val="4"/>
        <w:rPr>
          <w:rFonts w:hint="eastAsia" w:ascii="宋体" w:hAnsi="宋体" w:cs="宋体"/>
          <w:color w:val="auto"/>
          <w:kern w:val="0"/>
          <w:sz w:val="24"/>
          <w:szCs w:val="24"/>
          <w:highlight w:val="none"/>
        </w:rPr>
      </w:pPr>
    </w:p>
    <w:p w14:paraId="4C0F7B64">
      <w:pPr>
        <w:rPr>
          <w:rFonts w:hint="eastAsia" w:ascii="宋体" w:hAnsi="宋体" w:cs="宋体"/>
          <w:color w:val="auto"/>
          <w:kern w:val="0"/>
          <w:sz w:val="24"/>
          <w:szCs w:val="24"/>
          <w:highlight w:val="none"/>
        </w:rPr>
      </w:pPr>
    </w:p>
    <w:p w14:paraId="64FA86D4">
      <w:pPr>
        <w:pStyle w:val="5"/>
        <w:rPr>
          <w:rFonts w:hint="eastAsia"/>
          <w:color w:val="auto"/>
          <w:highlight w:val="none"/>
        </w:rPr>
      </w:pPr>
    </w:p>
    <w:p w14:paraId="36755FC5">
      <w:pPr>
        <w:rPr>
          <w:rFonts w:hint="eastAsia"/>
          <w:color w:val="auto"/>
          <w:highlight w:val="none"/>
        </w:rPr>
      </w:pPr>
    </w:p>
    <w:p w14:paraId="72CCD853">
      <w:pPr>
        <w:spacing w:line="360" w:lineRule="auto"/>
        <w:ind w:right="1002" w:rightChars="477"/>
        <w:jc w:val="left"/>
        <w:rPr>
          <w:rFonts w:hint="eastAsia" w:ascii="Times New Roman" w:hAnsi="Times New Roman" w:eastAsia="宋体" w:cs="Times New Roman"/>
          <w:b/>
          <w:color w:val="auto"/>
          <w:sz w:val="28"/>
          <w:szCs w:val="28"/>
          <w:highlight w:val="none"/>
        </w:rPr>
      </w:pPr>
      <w:r>
        <w:rPr>
          <w:rFonts w:hint="eastAsia" w:ascii="Times New Roman" w:hAnsi="Times New Roman" w:eastAsia="宋体" w:cs="Times New Roman"/>
          <w:b/>
          <w:color w:val="auto"/>
          <w:sz w:val="28"/>
          <w:szCs w:val="28"/>
          <w:highlight w:val="none"/>
          <w:lang w:val="en-US" w:eastAsia="zh-CN"/>
        </w:rPr>
        <w:t>五、</w:t>
      </w:r>
      <w:r>
        <w:rPr>
          <w:rFonts w:hint="eastAsia" w:ascii="Times New Roman" w:hAnsi="Times New Roman" w:eastAsia="宋体" w:cs="Times New Roman"/>
          <w:b/>
          <w:color w:val="auto"/>
          <w:sz w:val="28"/>
          <w:szCs w:val="28"/>
          <w:highlight w:val="none"/>
        </w:rPr>
        <w:t>声明函格式（中小微企业提供）</w:t>
      </w:r>
    </w:p>
    <w:p w14:paraId="51A695BC">
      <w:pPr>
        <w:pStyle w:val="78"/>
        <w:ind w:firstLine="560"/>
        <w:rPr>
          <w:rStyle w:val="75"/>
          <w:rFonts w:hint="eastAsia" w:ascii="宋体" w:hAnsi="宋体" w:cs="宋体"/>
          <w:color w:val="auto"/>
          <w:sz w:val="28"/>
          <w:szCs w:val="28"/>
          <w:highlight w:val="none"/>
        </w:rPr>
      </w:pPr>
    </w:p>
    <w:p w14:paraId="444CBDA5">
      <w:pPr>
        <w:spacing w:line="360" w:lineRule="auto"/>
        <w:ind w:right="1002" w:rightChars="477"/>
        <w:jc w:val="center"/>
        <w:rPr>
          <w:rFonts w:hint="eastAsia"/>
          <w:b/>
          <w:color w:val="auto"/>
          <w:sz w:val="28"/>
          <w:szCs w:val="28"/>
          <w:highlight w:val="none"/>
        </w:rPr>
      </w:pPr>
      <w:r>
        <w:rPr>
          <w:rFonts w:hint="eastAsia"/>
          <w:b/>
          <w:color w:val="auto"/>
          <w:sz w:val="28"/>
          <w:szCs w:val="28"/>
          <w:highlight w:val="none"/>
        </w:rPr>
        <w:t xml:space="preserve">    </w:t>
      </w:r>
      <w:r>
        <w:rPr>
          <w:rFonts w:hint="eastAsia"/>
          <w:b/>
          <w:color w:val="auto"/>
          <w:sz w:val="28"/>
          <w:szCs w:val="28"/>
          <w:highlight w:val="none"/>
          <w:lang w:eastAsia="zh-CN"/>
        </w:rPr>
        <w:t>（</w:t>
      </w:r>
      <w:r>
        <w:rPr>
          <w:rFonts w:hint="eastAsia"/>
          <w:b/>
          <w:color w:val="auto"/>
          <w:sz w:val="28"/>
          <w:szCs w:val="28"/>
          <w:highlight w:val="none"/>
          <w:lang w:val="en-US" w:eastAsia="zh-CN"/>
        </w:rPr>
        <w:t>1</w:t>
      </w:r>
      <w:r>
        <w:rPr>
          <w:rFonts w:hint="eastAsia"/>
          <w:b/>
          <w:color w:val="auto"/>
          <w:sz w:val="28"/>
          <w:szCs w:val="28"/>
          <w:highlight w:val="none"/>
          <w:lang w:eastAsia="zh-CN"/>
        </w:rPr>
        <w:t>）</w:t>
      </w:r>
      <w:r>
        <w:rPr>
          <w:b/>
          <w:color w:val="auto"/>
          <w:sz w:val="28"/>
          <w:szCs w:val="28"/>
          <w:highlight w:val="none"/>
        </w:rPr>
        <w:t>中小企业声明函（</w:t>
      </w:r>
      <w:r>
        <w:rPr>
          <w:rFonts w:hint="eastAsia"/>
          <w:b/>
          <w:color w:val="auto"/>
          <w:sz w:val="28"/>
          <w:szCs w:val="28"/>
          <w:highlight w:val="none"/>
        </w:rPr>
        <w:t>工程）</w:t>
      </w:r>
    </w:p>
    <w:p w14:paraId="5C3003BE">
      <w:pPr>
        <w:spacing w:line="360" w:lineRule="auto"/>
        <w:ind w:right="1002" w:rightChars="477"/>
        <w:jc w:val="center"/>
        <w:rPr>
          <w:b/>
          <w:color w:val="auto"/>
          <w:sz w:val="28"/>
          <w:szCs w:val="28"/>
          <w:highlight w:val="none"/>
        </w:rPr>
      </w:pPr>
    </w:p>
    <w:p w14:paraId="46194DD3">
      <w:pPr>
        <w:widowControl w:val="0"/>
        <w:spacing w:after="120" w:line="360" w:lineRule="auto"/>
        <w:ind w:firstLine="480" w:firstLineChars="200"/>
        <w:rPr>
          <w:rFonts w:ascii="宋体" w:hAnsi="宋体" w:cs="宋体"/>
          <w:color w:val="auto"/>
          <w:kern w:val="0"/>
          <w:sz w:val="24"/>
          <w:szCs w:val="24"/>
          <w:highlight w:val="none"/>
        </w:rPr>
      </w:pPr>
      <w:r>
        <w:rPr>
          <w:rFonts w:ascii="宋体" w:hAnsi="宋体" w:cs="宋体"/>
          <w:color w:val="auto"/>
          <w:kern w:val="0"/>
          <w:sz w:val="24"/>
          <w:szCs w:val="24"/>
          <w:highlight w:val="none"/>
        </w:rPr>
        <w:t>本公司（联合体）郑重声明，根据《政府采购促进中小企业发展管理办法》（财库）（2020）46号）的规定，本公司（联合体）参加（单位名称）</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的（项目名称）采购活动，工程的施工单位全部为符合政策的中小企业（或者服务全部由符合中小企业政策要求的中小企业承接）。相关企业（含联合体中的中小企业、签订分包意向协议的中小企业）的具体情况如下：</w:t>
      </w:r>
    </w:p>
    <w:p w14:paraId="3F39F9B2">
      <w:pPr>
        <w:widowControl w:val="0"/>
        <w:spacing w:after="120" w:line="360" w:lineRule="auto"/>
        <w:rPr>
          <w:rFonts w:ascii="宋体" w:hAnsi="宋体" w:cs="宋体"/>
          <w:color w:val="auto"/>
          <w:kern w:val="0"/>
          <w:sz w:val="24"/>
          <w:szCs w:val="24"/>
          <w:highlight w:val="none"/>
        </w:rPr>
      </w:pPr>
      <w:r>
        <w:rPr>
          <w:rFonts w:ascii="宋体" w:hAnsi="宋体" w:cs="宋体"/>
          <w:color w:val="auto"/>
          <w:kern w:val="0"/>
          <w:sz w:val="24"/>
          <w:szCs w:val="24"/>
          <w:highlight w:val="none"/>
        </w:rPr>
        <w:t>1.（标的名称）</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 xml:space="preserve"> ，属于（采购文件中明确的所属行业）</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 承建（承接）企业为（企业名称）</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，从业人员</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 xml:space="preserve"> 人，营业收入为</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万元，资产总额为</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 ，属于</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（中型企业、小型企业、微型企业）；</w:t>
      </w:r>
    </w:p>
    <w:p w14:paraId="27C623E2">
      <w:pPr>
        <w:widowControl w:val="0"/>
        <w:spacing w:after="120" w:line="360" w:lineRule="auto"/>
        <w:rPr>
          <w:rFonts w:ascii="宋体" w:hAnsi="宋体" w:cs="宋体"/>
          <w:color w:val="auto"/>
          <w:kern w:val="0"/>
          <w:sz w:val="24"/>
          <w:szCs w:val="24"/>
          <w:highlight w:val="none"/>
        </w:rPr>
      </w:pPr>
      <w:r>
        <w:rPr>
          <w:rFonts w:ascii="宋体" w:hAnsi="宋体" w:cs="宋体"/>
          <w:color w:val="auto"/>
          <w:kern w:val="0"/>
          <w:sz w:val="24"/>
          <w:szCs w:val="24"/>
          <w:highlight w:val="none"/>
        </w:rPr>
        <w:t>2.（标的名称）</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 xml:space="preserve"> ，属于（采购文件中明确的所属行业）</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 承建（承接）企业为（企业名称）</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，从业人员</w:t>
      </w:r>
      <w:r>
        <w:rPr>
          <w:rFonts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人，营业 收入为</w:t>
      </w:r>
      <w:r>
        <w:rPr>
          <w:rFonts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万元，资产总额为</w:t>
      </w:r>
      <w:r>
        <w:rPr>
          <w:rFonts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万元，属于</w:t>
      </w:r>
      <w:r>
        <w:rPr>
          <w:rFonts w:hint="eastAsia" w:ascii="宋体" w:hAnsi="宋体" w:cs="宋体"/>
          <w:color w:val="auto"/>
          <w:kern w:val="0"/>
          <w:sz w:val="24"/>
          <w:szCs w:val="24"/>
          <w:highlight w:val="none"/>
          <w:u w:val="single"/>
        </w:rPr>
        <w:t xml:space="preserve">      </w:t>
      </w:r>
      <w:r>
        <w:rPr>
          <w:rFonts w:ascii="宋体" w:hAnsi="宋体" w:cs="宋体"/>
          <w:color w:val="auto"/>
          <w:kern w:val="0"/>
          <w:sz w:val="24"/>
          <w:szCs w:val="24"/>
          <w:highlight w:val="none"/>
        </w:rPr>
        <w:t xml:space="preserve">（中型企业、小型企业、微型企业）； </w:t>
      </w:r>
    </w:p>
    <w:p w14:paraId="1619DD01">
      <w:pPr>
        <w:widowControl w:val="0"/>
        <w:spacing w:after="120" w:line="360" w:lineRule="auto"/>
        <w:rPr>
          <w:rFonts w:ascii="宋体" w:hAnsi="宋体" w:cs="宋体"/>
          <w:color w:val="auto"/>
          <w:kern w:val="0"/>
          <w:sz w:val="24"/>
          <w:szCs w:val="24"/>
          <w:highlight w:val="none"/>
        </w:rPr>
      </w:pPr>
      <w:r>
        <w:rPr>
          <w:rFonts w:ascii="宋体" w:hAnsi="宋体" w:cs="宋体"/>
          <w:color w:val="auto"/>
          <w:kern w:val="0"/>
          <w:sz w:val="24"/>
          <w:szCs w:val="24"/>
          <w:highlight w:val="none"/>
        </w:rPr>
        <w:t>……</w:t>
      </w:r>
    </w:p>
    <w:p w14:paraId="36EBA5E0">
      <w:pPr>
        <w:widowControl w:val="0"/>
        <w:spacing w:after="120" w:line="360" w:lineRule="auto"/>
        <w:ind w:firstLine="560"/>
        <w:rPr>
          <w:rFonts w:ascii="宋体" w:hAnsi="宋体" w:cs="宋体"/>
          <w:color w:val="auto"/>
          <w:kern w:val="0"/>
          <w:sz w:val="24"/>
          <w:szCs w:val="24"/>
          <w:highlight w:val="none"/>
        </w:rPr>
      </w:pPr>
      <w:r>
        <w:rPr>
          <w:rFonts w:ascii="宋体" w:hAnsi="宋体" w:cs="宋体"/>
          <w:color w:val="auto"/>
          <w:kern w:val="0"/>
          <w:sz w:val="24"/>
          <w:szCs w:val="24"/>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5B634A7E">
      <w:pPr>
        <w:widowControl w:val="0"/>
        <w:spacing w:after="120" w:line="360" w:lineRule="auto"/>
        <w:ind w:firstLine="3273" w:firstLineChars="1364"/>
        <w:rPr>
          <w:rFonts w:ascii="宋体" w:hAnsi="宋体" w:cs="宋体"/>
          <w:color w:val="auto"/>
          <w:kern w:val="0"/>
          <w:sz w:val="24"/>
          <w:szCs w:val="24"/>
          <w:highlight w:val="none"/>
        </w:rPr>
      </w:pPr>
      <w:r>
        <w:rPr>
          <w:rFonts w:ascii="宋体" w:hAnsi="宋体" w:cs="宋体"/>
          <w:color w:val="auto"/>
          <w:kern w:val="0"/>
          <w:sz w:val="24"/>
          <w:szCs w:val="24"/>
          <w:highlight w:val="none"/>
        </w:rPr>
        <w:t>企业名称（盖章）：</w:t>
      </w:r>
    </w:p>
    <w:p w14:paraId="57E02598">
      <w:pPr>
        <w:widowControl w:val="0"/>
        <w:spacing w:after="120" w:line="360" w:lineRule="auto"/>
        <w:rPr>
          <w:rFonts w:ascii="宋体" w:hAnsi="宋体" w:cs="宋体"/>
          <w:color w:val="auto"/>
          <w:kern w:val="0"/>
          <w:sz w:val="24"/>
          <w:szCs w:val="24"/>
          <w:highlight w:val="none"/>
        </w:rPr>
      </w:pPr>
      <w:r>
        <w:rPr>
          <w:rFonts w:ascii="宋体" w:hAnsi="宋体" w:cs="宋体"/>
          <w:color w:val="auto"/>
          <w:kern w:val="0"/>
          <w:sz w:val="24"/>
          <w:szCs w:val="24"/>
          <w:highlight w:val="none"/>
        </w:rPr>
        <w:t xml:space="preserve">                                     日 期</w:t>
      </w:r>
      <w:r>
        <w:rPr>
          <w:rFonts w:hint="eastAsia" w:ascii="宋体" w:hAnsi="宋体" w:cs="宋体"/>
          <w:color w:val="auto"/>
          <w:kern w:val="0"/>
          <w:sz w:val="24"/>
          <w:szCs w:val="24"/>
          <w:highlight w:val="none"/>
        </w:rPr>
        <w:t xml:space="preserve"> </w:t>
      </w:r>
      <w:r>
        <w:rPr>
          <w:rFonts w:ascii="宋体" w:hAnsi="宋体" w:cs="宋体"/>
          <w:color w:val="auto"/>
          <w:kern w:val="0"/>
          <w:sz w:val="24"/>
          <w:szCs w:val="24"/>
          <w:highlight w:val="none"/>
        </w:rPr>
        <w:t xml:space="preserve">： </w:t>
      </w:r>
    </w:p>
    <w:p w14:paraId="202A8467">
      <w:pPr>
        <w:spacing w:line="360" w:lineRule="auto"/>
        <w:ind w:right="1002" w:rightChars="477"/>
        <w:jc w:val="center"/>
        <w:rPr>
          <w:rFonts w:hint="eastAsia" w:ascii="Times New Roman" w:hAnsi="Times New Roman" w:eastAsia="宋体" w:cs="Times New Roman"/>
          <w:b/>
          <w:color w:val="auto"/>
          <w:sz w:val="28"/>
          <w:szCs w:val="28"/>
          <w:highlight w:val="none"/>
          <w:lang w:eastAsia="zh-CN"/>
        </w:rPr>
      </w:pPr>
    </w:p>
    <w:p w14:paraId="729F1A39">
      <w:pPr>
        <w:widowControl/>
        <w:spacing w:line="400" w:lineRule="exact"/>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备注：1、从业人员、营业收入、资产总额填报上一年度数据，无上一年度数据的新成立企业可不填报。</w:t>
      </w:r>
      <w:r>
        <w:rPr>
          <w:rFonts w:hint="eastAsia" w:asciiTheme="minorEastAsia" w:hAnsiTheme="minorEastAsia" w:eastAsiaTheme="minorEastAsia" w:cstheme="minorEastAsia"/>
          <w:b/>
          <w:bCs/>
          <w:color w:val="auto"/>
          <w:sz w:val="24"/>
          <w:szCs w:val="24"/>
          <w:highlight w:val="none"/>
          <w:lang w:val="en-US" w:eastAsia="zh-CN"/>
        </w:rPr>
        <w:t>2、</w:t>
      </w:r>
      <w:r>
        <w:rPr>
          <w:rFonts w:hint="eastAsia" w:asciiTheme="minorEastAsia" w:hAnsiTheme="minorEastAsia" w:eastAsiaTheme="minorEastAsia" w:cstheme="minorEastAsia"/>
          <w:b/>
          <w:bCs/>
          <w:color w:val="auto"/>
          <w:sz w:val="24"/>
          <w:szCs w:val="24"/>
          <w:highlight w:val="none"/>
        </w:rPr>
        <w:t>投标人为中小企业时需提供本声明函，并完整填写从业人员、营业收入、资产总额等内容。</w:t>
      </w:r>
    </w:p>
    <w:p w14:paraId="05EEC459">
      <w:pPr>
        <w:spacing w:line="360" w:lineRule="auto"/>
        <w:ind w:right="1002" w:rightChars="477"/>
        <w:jc w:val="center"/>
        <w:rPr>
          <w:rFonts w:hint="eastAsia" w:ascii="Times New Roman" w:hAnsi="Times New Roman" w:eastAsia="宋体" w:cs="Times New Roman"/>
          <w:b/>
          <w:color w:val="auto"/>
          <w:sz w:val="28"/>
          <w:szCs w:val="28"/>
          <w:highlight w:val="none"/>
          <w:lang w:eastAsia="zh-CN"/>
        </w:rPr>
      </w:pPr>
    </w:p>
    <w:p w14:paraId="31FFDD4E">
      <w:pPr>
        <w:spacing w:line="360" w:lineRule="auto"/>
        <w:ind w:right="1002" w:rightChars="477"/>
        <w:jc w:val="center"/>
        <w:rPr>
          <w:rFonts w:hint="eastAsia" w:ascii="Times New Roman" w:hAnsi="Times New Roman" w:eastAsia="宋体" w:cs="Times New Roman"/>
          <w:b/>
          <w:color w:val="auto"/>
          <w:sz w:val="28"/>
          <w:szCs w:val="28"/>
          <w:highlight w:val="none"/>
          <w:lang w:eastAsia="zh-CN"/>
        </w:rPr>
      </w:pPr>
    </w:p>
    <w:p w14:paraId="6BA199DB">
      <w:pPr>
        <w:spacing w:line="360" w:lineRule="auto"/>
        <w:ind w:right="1002" w:rightChars="477"/>
        <w:jc w:val="center"/>
        <w:rPr>
          <w:rFonts w:hint="eastAsia" w:ascii="Times New Roman" w:hAnsi="Times New Roman" w:eastAsia="宋体" w:cs="Times New Roman"/>
          <w:b/>
          <w:color w:val="auto"/>
          <w:sz w:val="28"/>
          <w:szCs w:val="28"/>
          <w:highlight w:val="none"/>
          <w:lang w:eastAsia="zh-CN"/>
        </w:rPr>
      </w:pPr>
    </w:p>
    <w:p w14:paraId="585A4FA4">
      <w:pPr>
        <w:spacing w:line="360" w:lineRule="auto"/>
        <w:ind w:right="1002" w:rightChars="477"/>
        <w:jc w:val="center"/>
        <w:rPr>
          <w:rFonts w:hint="eastAsia" w:ascii="Times New Roman" w:hAnsi="Times New Roman" w:eastAsia="宋体" w:cs="Times New Roman"/>
          <w:b/>
          <w:color w:val="auto"/>
          <w:sz w:val="28"/>
          <w:szCs w:val="28"/>
          <w:highlight w:val="none"/>
        </w:rPr>
      </w:pPr>
      <w:r>
        <w:rPr>
          <w:rFonts w:hint="eastAsia" w:ascii="Times New Roman" w:hAnsi="Times New Roman" w:eastAsia="宋体" w:cs="Times New Roman"/>
          <w:b/>
          <w:color w:val="auto"/>
          <w:sz w:val="28"/>
          <w:szCs w:val="28"/>
          <w:highlight w:val="none"/>
          <w:lang w:eastAsia="zh-CN"/>
        </w:rPr>
        <w:t>（</w:t>
      </w:r>
      <w:r>
        <w:rPr>
          <w:rFonts w:hint="eastAsia" w:ascii="Times New Roman" w:hAnsi="Times New Roman" w:eastAsia="宋体" w:cs="Times New Roman"/>
          <w:b/>
          <w:color w:val="auto"/>
          <w:sz w:val="28"/>
          <w:szCs w:val="28"/>
          <w:highlight w:val="none"/>
          <w:lang w:val="en-US" w:eastAsia="zh-CN"/>
        </w:rPr>
        <w:t>2</w:t>
      </w:r>
      <w:r>
        <w:rPr>
          <w:rFonts w:hint="eastAsia" w:ascii="Times New Roman" w:hAnsi="Times New Roman" w:eastAsia="宋体" w:cs="Times New Roman"/>
          <w:b/>
          <w:color w:val="auto"/>
          <w:sz w:val="28"/>
          <w:szCs w:val="28"/>
          <w:highlight w:val="none"/>
          <w:lang w:eastAsia="zh-CN"/>
        </w:rPr>
        <w:t>）</w:t>
      </w:r>
      <w:r>
        <w:rPr>
          <w:rFonts w:hint="eastAsia" w:ascii="Times New Roman" w:hAnsi="Times New Roman" w:eastAsia="宋体" w:cs="Times New Roman"/>
          <w:b/>
          <w:color w:val="auto"/>
          <w:sz w:val="28"/>
          <w:szCs w:val="28"/>
          <w:highlight w:val="none"/>
        </w:rPr>
        <w:t>监狱企业声明函</w:t>
      </w:r>
    </w:p>
    <w:p w14:paraId="0CF82590">
      <w:pPr>
        <w:keepNext w:val="0"/>
        <w:keepLines w:val="0"/>
        <w:pageBreakBefore w:val="0"/>
        <w:widowControl/>
        <w:kinsoku/>
        <w:wordWrap/>
        <w:overflowPunct/>
        <w:topLinePunct w:val="0"/>
        <w:bidi w:val="0"/>
        <w:snapToGrid/>
        <w:spacing w:line="360" w:lineRule="auto"/>
        <w:ind w:firstLine="3360" w:firstLineChars="1400"/>
        <w:jc w:val="both"/>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(监狱企业适用)</w:t>
      </w:r>
    </w:p>
    <w:p w14:paraId="31D7FFC5">
      <w:pPr>
        <w:pStyle w:val="30"/>
        <w:tabs>
          <w:tab w:val="left" w:pos="720"/>
          <w:tab w:val="left" w:pos="900"/>
          <w:tab w:val="left" w:pos="1260"/>
          <w:tab w:val="left" w:pos="2160"/>
          <w:tab w:val="left" w:pos="2880"/>
          <w:tab w:val="left" w:pos="3600"/>
          <w:tab w:val="left" w:pos="4320"/>
          <w:tab w:val="left" w:pos="5040"/>
          <w:tab w:val="left" w:pos="5760"/>
        </w:tabs>
        <w:spacing w:line="360" w:lineRule="auto"/>
        <w:rPr>
          <w:rFonts w:hint="eastAsia" w:asciiTheme="minorEastAsia" w:hAnsiTheme="minorEastAsia" w:eastAsiaTheme="minorEastAsia" w:cstheme="minorEastAsia"/>
          <w:color w:val="auto"/>
          <w:sz w:val="24"/>
          <w:szCs w:val="24"/>
          <w:highlight w:val="none"/>
        </w:rPr>
      </w:pPr>
    </w:p>
    <w:p w14:paraId="1DEA26A4">
      <w:pPr>
        <w:spacing w:line="360" w:lineRule="auto"/>
        <w:ind w:firstLine="482" w:firstLineChars="200"/>
        <w:jc w:val="both"/>
        <w:outlineLvl w:val="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监狱企业声明函【服务类，监狱企业如需享受优惠政策，还须另行提供省级以上监狱管理局、戒毒管理局（含新疆生产建设兵团）出具的监狱企业证明文件】</w:t>
      </w:r>
    </w:p>
    <w:p w14:paraId="3B4D98B0">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本投标人郑重声明，根据《财政部司法部关于政府采购支持监狱企业发展有关问题的通知》（财库〔2014〕68号）的规定，本投标人参加</w:t>
      </w:r>
      <w:r>
        <w:rPr>
          <w:rFonts w:hint="eastAsia" w:asciiTheme="minorEastAsia" w:hAnsiTheme="minorEastAsia" w:eastAsiaTheme="minorEastAsia" w:cstheme="minorEastAsia"/>
          <w:b/>
          <w:bCs/>
          <w:color w:val="auto"/>
          <w:sz w:val="24"/>
          <w:szCs w:val="24"/>
          <w:highlight w:val="none"/>
          <w:u w:val="single"/>
        </w:rPr>
        <w:t>（采购人名称）</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b/>
          <w:bCs/>
          <w:color w:val="auto"/>
          <w:sz w:val="24"/>
          <w:szCs w:val="24"/>
          <w:highlight w:val="none"/>
          <w:u w:val="single"/>
        </w:rPr>
        <w:t>（项目名称）</w:t>
      </w:r>
      <w:r>
        <w:rPr>
          <w:rFonts w:hint="eastAsia" w:asciiTheme="minorEastAsia" w:hAnsiTheme="minorEastAsia" w:eastAsiaTheme="minorEastAsia" w:cstheme="minorEastAsia"/>
          <w:color w:val="auto"/>
          <w:sz w:val="24"/>
          <w:szCs w:val="24"/>
          <w:highlight w:val="none"/>
        </w:rPr>
        <w:t>采购活动，服务全部由符合政策要求的监狱企业承接。相关监狱企业的具体情况如下：</w:t>
      </w:r>
    </w:p>
    <w:p w14:paraId="5E8B3B23">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b/>
          <w:bCs/>
          <w:color w:val="auto"/>
          <w:sz w:val="24"/>
          <w:szCs w:val="24"/>
          <w:highlight w:val="none"/>
          <w:u w:val="single"/>
        </w:rPr>
        <w:t xml:space="preserve"> （标的名称）</w:t>
      </w:r>
      <w:r>
        <w:rPr>
          <w:rFonts w:hint="eastAsia" w:asciiTheme="minorEastAsia" w:hAnsiTheme="minorEastAsia" w:eastAsiaTheme="minorEastAsia" w:cstheme="minorEastAsia"/>
          <w:color w:val="auto"/>
          <w:sz w:val="24"/>
          <w:szCs w:val="24"/>
          <w:highlight w:val="none"/>
        </w:rPr>
        <w:t xml:space="preserve"> ，承接单位为</w:t>
      </w:r>
      <w:r>
        <w:rPr>
          <w:rFonts w:hint="eastAsia" w:asciiTheme="minorEastAsia" w:hAnsiTheme="minorEastAsia" w:eastAsiaTheme="minorEastAsia" w:cstheme="minorEastAsia"/>
          <w:b/>
          <w:bCs/>
          <w:color w:val="auto"/>
          <w:sz w:val="24"/>
          <w:szCs w:val="24"/>
          <w:highlight w:val="none"/>
          <w:u w:val="single"/>
        </w:rPr>
        <w:t>（企业名称）</w:t>
      </w:r>
      <w:r>
        <w:rPr>
          <w:rFonts w:hint="eastAsia" w:asciiTheme="minorEastAsia" w:hAnsiTheme="minorEastAsia" w:eastAsiaTheme="minorEastAsia" w:cstheme="minorEastAsia"/>
          <w:color w:val="auto"/>
          <w:sz w:val="24"/>
          <w:szCs w:val="24"/>
          <w:highlight w:val="none"/>
        </w:rPr>
        <w:t>，属于</w:t>
      </w:r>
      <w:r>
        <w:rPr>
          <w:rFonts w:hint="eastAsia" w:asciiTheme="minorEastAsia" w:hAnsiTheme="minorEastAsia" w:eastAsiaTheme="minorEastAsia" w:cstheme="minorEastAsia"/>
          <w:b/>
          <w:bCs/>
          <w:color w:val="auto"/>
          <w:sz w:val="24"/>
          <w:szCs w:val="24"/>
          <w:highlight w:val="none"/>
          <w:u w:val="single"/>
        </w:rPr>
        <w:t>监狱企业</w:t>
      </w:r>
      <w:r>
        <w:rPr>
          <w:rFonts w:hint="eastAsia" w:asciiTheme="minorEastAsia" w:hAnsiTheme="minorEastAsia" w:eastAsiaTheme="minorEastAsia" w:cstheme="minorEastAsia"/>
          <w:color w:val="auto"/>
          <w:sz w:val="24"/>
          <w:szCs w:val="24"/>
          <w:highlight w:val="none"/>
        </w:rPr>
        <w:t>；</w:t>
      </w:r>
    </w:p>
    <w:p w14:paraId="578166AA">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b/>
          <w:bCs/>
          <w:color w:val="auto"/>
          <w:sz w:val="24"/>
          <w:szCs w:val="24"/>
          <w:highlight w:val="none"/>
          <w:u w:val="single"/>
        </w:rPr>
        <w:t xml:space="preserve"> （标的名称）</w:t>
      </w:r>
      <w:r>
        <w:rPr>
          <w:rFonts w:hint="eastAsia" w:asciiTheme="minorEastAsia" w:hAnsiTheme="minorEastAsia" w:eastAsiaTheme="minorEastAsia" w:cstheme="minorEastAsia"/>
          <w:color w:val="auto"/>
          <w:sz w:val="24"/>
          <w:szCs w:val="24"/>
          <w:highlight w:val="none"/>
        </w:rPr>
        <w:t xml:space="preserve"> ，承接单位为</w:t>
      </w:r>
      <w:r>
        <w:rPr>
          <w:rFonts w:hint="eastAsia" w:asciiTheme="minorEastAsia" w:hAnsiTheme="minorEastAsia" w:eastAsiaTheme="minorEastAsia" w:cstheme="minorEastAsia"/>
          <w:b/>
          <w:bCs/>
          <w:color w:val="auto"/>
          <w:sz w:val="24"/>
          <w:szCs w:val="24"/>
          <w:highlight w:val="none"/>
          <w:u w:val="single"/>
        </w:rPr>
        <w:t>（企业名称）</w:t>
      </w:r>
      <w:r>
        <w:rPr>
          <w:rFonts w:hint="eastAsia" w:asciiTheme="minorEastAsia" w:hAnsiTheme="minorEastAsia" w:eastAsiaTheme="minorEastAsia" w:cstheme="minorEastAsia"/>
          <w:color w:val="auto"/>
          <w:sz w:val="24"/>
          <w:szCs w:val="24"/>
          <w:highlight w:val="none"/>
        </w:rPr>
        <w:t>，属于</w:t>
      </w:r>
      <w:r>
        <w:rPr>
          <w:rFonts w:hint="eastAsia" w:asciiTheme="minorEastAsia" w:hAnsiTheme="minorEastAsia" w:eastAsiaTheme="minorEastAsia" w:cstheme="minorEastAsia"/>
          <w:b/>
          <w:bCs/>
          <w:color w:val="auto"/>
          <w:sz w:val="24"/>
          <w:szCs w:val="24"/>
          <w:highlight w:val="none"/>
          <w:u w:val="single"/>
        </w:rPr>
        <w:t>监狱企业</w:t>
      </w:r>
      <w:r>
        <w:rPr>
          <w:rFonts w:hint="eastAsia" w:asciiTheme="minorEastAsia" w:hAnsiTheme="minorEastAsia" w:eastAsiaTheme="minorEastAsia" w:cstheme="minorEastAsia"/>
          <w:color w:val="auto"/>
          <w:sz w:val="24"/>
          <w:szCs w:val="24"/>
          <w:highlight w:val="none"/>
        </w:rPr>
        <w:t>。</w:t>
      </w:r>
    </w:p>
    <w:p w14:paraId="5B32F0F9">
      <w:pPr>
        <w:spacing w:line="360" w:lineRule="auto"/>
        <w:ind w:firstLine="480" w:firstLineChars="200"/>
        <w:outlineLvl w:val="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14:paraId="7992B662">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本投标人对上述声明内容的真实性负责。如有虚假，将依法承担相应责任。</w:t>
      </w:r>
    </w:p>
    <w:p w14:paraId="4528FDA3">
      <w:pPr>
        <w:spacing w:line="360" w:lineRule="auto"/>
        <w:ind w:firstLine="480" w:firstLineChars="200"/>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附：省级以上监狱管理局、戒毒管理局（含新疆生产建设兵团）出具的监狱企业证明文件。</w:t>
      </w:r>
    </w:p>
    <w:p w14:paraId="63927E2D">
      <w:pPr>
        <w:keepNext w:val="0"/>
        <w:keepLines w:val="0"/>
        <w:pageBreakBefore w:val="0"/>
        <w:widowControl/>
        <w:kinsoku/>
        <w:wordWrap/>
        <w:overflowPunct/>
        <w:topLinePunct w:val="0"/>
        <w:bidi w:val="0"/>
        <w:snapToGrid/>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725B88EB">
      <w:pPr>
        <w:keepNext w:val="0"/>
        <w:keepLines w:val="0"/>
        <w:pageBreakBefore w:val="0"/>
        <w:widowControl/>
        <w:kinsoku/>
        <w:wordWrap/>
        <w:overflowPunct/>
        <w:topLinePunct w:val="0"/>
        <w:bidi w:val="0"/>
        <w:snapToGrid/>
        <w:spacing w:line="360" w:lineRule="auto"/>
        <w:rPr>
          <w:rFonts w:hint="eastAsia" w:asciiTheme="minorEastAsia" w:hAnsiTheme="minorEastAsia" w:eastAsiaTheme="minorEastAsia" w:cstheme="minorEastAsia"/>
          <w:color w:val="auto"/>
          <w:sz w:val="24"/>
          <w:szCs w:val="24"/>
          <w:highlight w:val="none"/>
        </w:rPr>
      </w:pPr>
    </w:p>
    <w:p w14:paraId="3C043ED9">
      <w:pPr>
        <w:keepNext w:val="0"/>
        <w:keepLines w:val="0"/>
        <w:pageBreakBefore w:val="0"/>
        <w:widowControl/>
        <w:kinsoku/>
        <w:wordWrap/>
        <w:overflowPunct/>
        <w:topLinePunct w:val="0"/>
        <w:bidi w:val="0"/>
        <w:snapToGrid/>
        <w:spacing w:line="360" w:lineRule="auto"/>
        <w:ind w:firstLine="3600" w:firstLineChars="1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企业名称(盖公章):</w:t>
      </w:r>
    </w:p>
    <w:p w14:paraId="3D43C3B2">
      <w:pPr>
        <w:keepNext w:val="0"/>
        <w:keepLines w:val="0"/>
        <w:pageBreakBefore w:val="0"/>
        <w:widowControl/>
        <w:kinsoku/>
        <w:wordWrap/>
        <w:overflowPunct/>
        <w:topLinePunct w:val="0"/>
        <w:bidi w:val="0"/>
        <w:snapToGrid/>
        <w:spacing w:line="360" w:lineRule="auto"/>
        <w:ind w:firstLine="3600" w:firstLineChars="1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法定代表人(负责人)或其授权代表(签字):</w:t>
      </w:r>
    </w:p>
    <w:p w14:paraId="3874263B">
      <w:pPr>
        <w:keepNext w:val="0"/>
        <w:keepLines w:val="0"/>
        <w:pageBreakBefore w:val="0"/>
        <w:widowControl/>
        <w:kinsoku/>
        <w:wordWrap/>
        <w:overflowPunct/>
        <w:topLinePunct w:val="0"/>
        <w:bidi w:val="0"/>
        <w:snapToGrid/>
        <w:spacing w:line="360" w:lineRule="auto"/>
        <w:ind w:firstLine="3600" w:firstLineChars="1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日期:</w:t>
      </w:r>
    </w:p>
    <w:p w14:paraId="55913D53">
      <w:pPr>
        <w:pStyle w:val="2"/>
        <w:spacing w:line="360" w:lineRule="auto"/>
        <w:rPr>
          <w:rFonts w:hint="eastAsia" w:asciiTheme="minorEastAsia" w:hAnsiTheme="minorEastAsia" w:eastAsiaTheme="minorEastAsia" w:cstheme="minorEastAsia"/>
          <w:color w:val="auto"/>
          <w:sz w:val="24"/>
          <w:szCs w:val="24"/>
          <w:highlight w:val="none"/>
        </w:rPr>
      </w:pPr>
    </w:p>
    <w:p w14:paraId="62B4A1C5">
      <w:pPr>
        <w:pStyle w:val="2"/>
        <w:spacing w:line="360" w:lineRule="auto"/>
        <w:rPr>
          <w:rFonts w:hint="eastAsia" w:asciiTheme="minorEastAsia" w:hAnsiTheme="minorEastAsia" w:eastAsiaTheme="minorEastAsia" w:cstheme="minorEastAsia"/>
          <w:color w:val="auto"/>
          <w:sz w:val="24"/>
          <w:szCs w:val="24"/>
          <w:highlight w:val="none"/>
        </w:rPr>
      </w:pPr>
    </w:p>
    <w:p w14:paraId="2AAE17A0">
      <w:pPr>
        <w:pStyle w:val="2"/>
        <w:spacing w:line="360" w:lineRule="auto"/>
        <w:rPr>
          <w:rFonts w:hint="eastAsia" w:asciiTheme="minorEastAsia" w:hAnsiTheme="minorEastAsia" w:eastAsiaTheme="minorEastAsia" w:cstheme="minorEastAsia"/>
          <w:color w:val="auto"/>
          <w:sz w:val="24"/>
          <w:szCs w:val="24"/>
          <w:highlight w:val="none"/>
        </w:rPr>
      </w:pPr>
    </w:p>
    <w:p w14:paraId="52CDAB22">
      <w:pPr>
        <w:pStyle w:val="2"/>
        <w:spacing w:line="360" w:lineRule="auto"/>
        <w:rPr>
          <w:rFonts w:hint="eastAsia" w:asciiTheme="minorEastAsia" w:hAnsiTheme="minorEastAsia" w:eastAsiaTheme="minorEastAsia" w:cstheme="minorEastAsia"/>
          <w:color w:val="auto"/>
          <w:sz w:val="24"/>
          <w:szCs w:val="24"/>
          <w:highlight w:val="none"/>
        </w:rPr>
      </w:pPr>
    </w:p>
    <w:p w14:paraId="54BDB5F0">
      <w:pPr>
        <w:pStyle w:val="2"/>
        <w:spacing w:line="360" w:lineRule="auto"/>
        <w:rPr>
          <w:rFonts w:hint="eastAsia" w:asciiTheme="minorEastAsia" w:hAnsiTheme="minorEastAsia" w:eastAsiaTheme="minorEastAsia" w:cstheme="minorEastAsia"/>
          <w:color w:val="auto"/>
          <w:sz w:val="24"/>
          <w:szCs w:val="24"/>
          <w:highlight w:val="none"/>
        </w:rPr>
      </w:pPr>
    </w:p>
    <w:p w14:paraId="062E7816">
      <w:pPr>
        <w:pStyle w:val="2"/>
        <w:spacing w:line="360" w:lineRule="auto"/>
        <w:rPr>
          <w:rFonts w:hint="eastAsia" w:asciiTheme="minorEastAsia" w:hAnsiTheme="minorEastAsia" w:eastAsiaTheme="minorEastAsia" w:cstheme="minorEastAsia"/>
          <w:color w:val="auto"/>
          <w:sz w:val="24"/>
          <w:szCs w:val="24"/>
          <w:highlight w:val="none"/>
        </w:rPr>
      </w:pPr>
    </w:p>
    <w:p w14:paraId="27E16D7D">
      <w:pPr>
        <w:pStyle w:val="2"/>
        <w:spacing w:line="360" w:lineRule="auto"/>
        <w:rPr>
          <w:rFonts w:hint="eastAsia" w:asciiTheme="minorEastAsia" w:hAnsiTheme="minorEastAsia" w:eastAsiaTheme="minorEastAsia" w:cstheme="minorEastAsia"/>
          <w:color w:val="auto"/>
          <w:sz w:val="24"/>
          <w:szCs w:val="24"/>
          <w:highlight w:val="none"/>
        </w:rPr>
      </w:pPr>
    </w:p>
    <w:p w14:paraId="1BF0CC5A">
      <w:pPr>
        <w:pStyle w:val="40"/>
        <w:ind w:left="0" w:leftChars="0" w:firstLine="0" w:firstLineChars="0"/>
        <w:rPr>
          <w:rFonts w:hint="eastAsia" w:asciiTheme="minorEastAsia" w:hAnsiTheme="minorEastAsia" w:eastAsiaTheme="minorEastAsia" w:cstheme="minorEastAsia"/>
          <w:color w:val="auto"/>
          <w:sz w:val="24"/>
          <w:szCs w:val="22"/>
          <w:highlight w:val="none"/>
        </w:rPr>
      </w:pPr>
    </w:p>
    <w:p w14:paraId="3C66D6D0">
      <w:pPr>
        <w:rPr>
          <w:rFonts w:hint="eastAsia" w:asciiTheme="minorEastAsia" w:hAnsiTheme="minorEastAsia" w:eastAsiaTheme="minorEastAsia" w:cstheme="minorEastAsia"/>
          <w:color w:val="auto"/>
          <w:highlight w:val="none"/>
        </w:rPr>
      </w:pPr>
    </w:p>
    <w:p w14:paraId="1EA416ED">
      <w:pPr>
        <w:pStyle w:val="30"/>
        <w:tabs>
          <w:tab w:val="left" w:pos="720"/>
          <w:tab w:val="left" w:pos="900"/>
          <w:tab w:val="left" w:pos="1260"/>
          <w:tab w:val="left" w:pos="2160"/>
          <w:tab w:val="left" w:pos="2880"/>
          <w:tab w:val="left" w:pos="3600"/>
          <w:tab w:val="left" w:pos="4320"/>
          <w:tab w:val="left" w:pos="5040"/>
          <w:tab w:val="left" w:pos="5760"/>
        </w:tabs>
        <w:rPr>
          <w:rFonts w:hint="eastAsia" w:asciiTheme="minorEastAsia" w:hAnsiTheme="minorEastAsia" w:eastAsiaTheme="minorEastAsia" w:cstheme="minorEastAsia"/>
          <w:color w:val="auto"/>
          <w:highlight w:val="none"/>
        </w:rPr>
      </w:pPr>
    </w:p>
    <w:p w14:paraId="695144B6">
      <w:pPr>
        <w:spacing w:line="360" w:lineRule="auto"/>
        <w:ind w:right="1002" w:rightChars="477"/>
        <w:jc w:val="center"/>
        <w:rPr>
          <w:rFonts w:hint="eastAsia" w:ascii="Times New Roman" w:hAnsi="Times New Roman" w:eastAsia="宋体" w:cs="Times New Roman"/>
          <w:b/>
          <w:color w:val="auto"/>
          <w:sz w:val="28"/>
          <w:szCs w:val="28"/>
          <w:highlight w:val="none"/>
        </w:rPr>
      </w:pPr>
      <w:r>
        <w:rPr>
          <w:rFonts w:hint="eastAsia" w:ascii="Times New Roman" w:hAnsi="Times New Roman" w:eastAsia="宋体" w:cs="Times New Roman"/>
          <w:b/>
          <w:color w:val="auto"/>
          <w:sz w:val="28"/>
          <w:szCs w:val="28"/>
          <w:highlight w:val="none"/>
          <w:lang w:eastAsia="zh-CN"/>
        </w:rPr>
        <w:t>（</w:t>
      </w:r>
      <w:r>
        <w:rPr>
          <w:rFonts w:hint="eastAsia" w:ascii="Times New Roman" w:hAnsi="Times New Roman" w:eastAsia="宋体" w:cs="Times New Roman"/>
          <w:b/>
          <w:color w:val="auto"/>
          <w:sz w:val="28"/>
          <w:szCs w:val="28"/>
          <w:highlight w:val="none"/>
          <w:lang w:val="en-US" w:eastAsia="zh-CN"/>
        </w:rPr>
        <w:t>3</w:t>
      </w:r>
      <w:r>
        <w:rPr>
          <w:rFonts w:hint="eastAsia" w:ascii="Times New Roman" w:hAnsi="Times New Roman" w:eastAsia="宋体" w:cs="Times New Roman"/>
          <w:b/>
          <w:color w:val="auto"/>
          <w:sz w:val="28"/>
          <w:szCs w:val="28"/>
          <w:highlight w:val="none"/>
          <w:lang w:eastAsia="zh-CN"/>
        </w:rPr>
        <w:t>）</w:t>
      </w:r>
      <w:r>
        <w:rPr>
          <w:rFonts w:hint="eastAsia" w:ascii="Times New Roman" w:hAnsi="Times New Roman" w:eastAsia="宋体" w:cs="Times New Roman"/>
          <w:b/>
          <w:color w:val="auto"/>
          <w:sz w:val="28"/>
          <w:szCs w:val="28"/>
          <w:highlight w:val="none"/>
        </w:rPr>
        <w:t>残疾人福利性单位声明函</w:t>
      </w:r>
    </w:p>
    <w:p w14:paraId="4C66321E">
      <w:pPr>
        <w:widowControl/>
        <w:spacing w:line="360" w:lineRule="auto"/>
        <w:ind w:firstLine="480" w:firstLineChars="200"/>
        <w:rPr>
          <w:rFonts w:hint="eastAsia" w:asciiTheme="minorEastAsia" w:hAnsiTheme="minorEastAsia" w:eastAsiaTheme="minorEastAsia" w:cstheme="minorEastAsia"/>
          <w:color w:val="auto"/>
          <w:sz w:val="24"/>
          <w:szCs w:val="22"/>
          <w:highlight w:val="none"/>
        </w:rPr>
      </w:pPr>
    </w:p>
    <w:p w14:paraId="6E89EC3B">
      <w:pPr>
        <w:jc w:val="center"/>
        <w:outlineLvl w:val="3"/>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残疾人福利性单位声明函</w:t>
      </w:r>
    </w:p>
    <w:p w14:paraId="48945B28">
      <w:pPr>
        <w:rPr>
          <w:rFonts w:hint="eastAsia" w:asciiTheme="minorEastAsia" w:hAnsiTheme="minorEastAsia" w:eastAsiaTheme="minorEastAsia" w:cstheme="minorEastAsia"/>
          <w:b/>
          <w:bCs/>
          <w:color w:val="auto"/>
          <w:highlight w:val="none"/>
        </w:rPr>
      </w:pPr>
    </w:p>
    <w:p w14:paraId="3E3C3F54">
      <w:pPr>
        <w:ind w:firstLine="480" w:firstLineChars="200"/>
        <w:rPr>
          <w:rFonts w:hint="eastAsia" w:asciiTheme="minorEastAsia" w:hAnsiTheme="minorEastAsia" w:eastAsiaTheme="minorEastAsia" w:cstheme="minorEastAsia"/>
          <w:color w:val="auto"/>
          <w:sz w:val="24"/>
          <w:szCs w:val="24"/>
          <w:highlight w:val="none"/>
        </w:rPr>
      </w:pPr>
    </w:p>
    <w:p w14:paraId="7D29EF3C">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本投标人郑重声明，根据《财政部民政部中国残疾人联合会关于促进残疾人就业政府采购政策的通知》（财库〔2017〕141 号）的规定，本投标人参加</w:t>
      </w:r>
      <w:r>
        <w:rPr>
          <w:rFonts w:hint="eastAsia" w:asciiTheme="minorEastAsia" w:hAnsiTheme="minorEastAsia" w:eastAsiaTheme="minorEastAsia" w:cstheme="minorEastAsia"/>
          <w:b/>
          <w:bCs/>
          <w:color w:val="auto"/>
          <w:sz w:val="24"/>
          <w:szCs w:val="24"/>
          <w:highlight w:val="none"/>
          <w:u w:val="single"/>
        </w:rPr>
        <w:t>（采购人名称）</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b/>
          <w:bCs/>
          <w:color w:val="auto"/>
          <w:sz w:val="24"/>
          <w:szCs w:val="24"/>
          <w:highlight w:val="none"/>
          <w:u w:val="single"/>
        </w:rPr>
        <w:t>（项目名称）</w:t>
      </w:r>
      <w:r>
        <w:rPr>
          <w:rFonts w:hint="eastAsia" w:asciiTheme="minorEastAsia" w:hAnsiTheme="minorEastAsia" w:eastAsiaTheme="minorEastAsia" w:cstheme="minorEastAsia"/>
          <w:color w:val="auto"/>
          <w:sz w:val="24"/>
          <w:szCs w:val="24"/>
          <w:highlight w:val="none"/>
        </w:rPr>
        <w:t>采购活动，服务全部由符合政策要求的残疾人福利性单位承接。相关残疾人福利性单位的具体情况如下：</w:t>
      </w:r>
    </w:p>
    <w:p w14:paraId="2CA8D54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b/>
          <w:bCs/>
          <w:color w:val="auto"/>
          <w:sz w:val="24"/>
          <w:szCs w:val="24"/>
          <w:highlight w:val="none"/>
          <w:u w:val="single"/>
        </w:rPr>
        <w:t xml:space="preserve"> （标的名称）</w:t>
      </w:r>
      <w:r>
        <w:rPr>
          <w:rFonts w:hint="eastAsia" w:asciiTheme="minorEastAsia" w:hAnsiTheme="minorEastAsia" w:eastAsiaTheme="minorEastAsia" w:cstheme="minorEastAsia"/>
          <w:color w:val="auto"/>
          <w:sz w:val="24"/>
          <w:szCs w:val="24"/>
          <w:highlight w:val="none"/>
        </w:rPr>
        <w:t xml:space="preserve"> ，承接企业为</w:t>
      </w:r>
      <w:r>
        <w:rPr>
          <w:rFonts w:hint="eastAsia" w:asciiTheme="minorEastAsia" w:hAnsiTheme="minorEastAsia" w:eastAsiaTheme="minorEastAsia" w:cstheme="minorEastAsia"/>
          <w:b/>
          <w:bCs/>
          <w:color w:val="auto"/>
          <w:sz w:val="24"/>
          <w:szCs w:val="24"/>
          <w:highlight w:val="none"/>
          <w:u w:val="single"/>
        </w:rPr>
        <w:t>（单位名称）</w:t>
      </w:r>
      <w:r>
        <w:rPr>
          <w:rFonts w:hint="eastAsia" w:asciiTheme="minorEastAsia" w:hAnsiTheme="minorEastAsia" w:eastAsiaTheme="minorEastAsia" w:cstheme="minorEastAsia"/>
          <w:color w:val="auto"/>
          <w:sz w:val="24"/>
          <w:szCs w:val="24"/>
          <w:highlight w:val="none"/>
        </w:rPr>
        <w:t>，属于</w:t>
      </w:r>
      <w:r>
        <w:rPr>
          <w:rFonts w:hint="eastAsia" w:asciiTheme="minorEastAsia" w:hAnsiTheme="minorEastAsia" w:eastAsiaTheme="minorEastAsia" w:cstheme="minorEastAsia"/>
          <w:b/>
          <w:bCs/>
          <w:color w:val="auto"/>
          <w:sz w:val="24"/>
          <w:szCs w:val="24"/>
          <w:highlight w:val="none"/>
          <w:u w:val="single"/>
        </w:rPr>
        <w:t>残疾人福利性单位</w:t>
      </w:r>
      <w:r>
        <w:rPr>
          <w:rFonts w:hint="eastAsia" w:asciiTheme="minorEastAsia" w:hAnsiTheme="minorEastAsia" w:eastAsiaTheme="minorEastAsia" w:cstheme="minorEastAsia"/>
          <w:color w:val="auto"/>
          <w:sz w:val="24"/>
          <w:szCs w:val="24"/>
          <w:highlight w:val="none"/>
        </w:rPr>
        <w:t>；</w:t>
      </w:r>
    </w:p>
    <w:p w14:paraId="1331688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b/>
          <w:bCs/>
          <w:color w:val="auto"/>
          <w:sz w:val="24"/>
          <w:szCs w:val="24"/>
          <w:highlight w:val="none"/>
          <w:u w:val="single"/>
        </w:rPr>
        <w:t xml:space="preserve"> （标的名称）</w:t>
      </w:r>
      <w:r>
        <w:rPr>
          <w:rFonts w:hint="eastAsia" w:asciiTheme="minorEastAsia" w:hAnsiTheme="minorEastAsia" w:eastAsiaTheme="minorEastAsia" w:cstheme="minorEastAsia"/>
          <w:color w:val="auto"/>
          <w:sz w:val="24"/>
          <w:szCs w:val="24"/>
          <w:highlight w:val="none"/>
        </w:rPr>
        <w:t xml:space="preserve"> ，承接企业为</w:t>
      </w:r>
      <w:r>
        <w:rPr>
          <w:rFonts w:hint="eastAsia" w:asciiTheme="minorEastAsia" w:hAnsiTheme="minorEastAsia" w:eastAsiaTheme="minorEastAsia" w:cstheme="minorEastAsia"/>
          <w:b/>
          <w:bCs/>
          <w:color w:val="auto"/>
          <w:sz w:val="24"/>
          <w:szCs w:val="24"/>
          <w:highlight w:val="none"/>
          <w:u w:val="single"/>
        </w:rPr>
        <w:t>（单位名称）</w:t>
      </w:r>
      <w:r>
        <w:rPr>
          <w:rFonts w:hint="eastAsia" w:asciiTheme="minorEastAsia" w:hAnsiTheme="minorEastAsia" w:eastAsiaTheme="minorEastAsia" w:cstheme="minorEastAsia"/>
          <w:color w:val="auto"/>
          <w:sz w:val="24"/>
          <w:szCs w:val="24"/>
          <w:highlight w:val="none"/>
        </w:rPr>
        <w:t>，属于</w:t>
      </w:r>
      <w:r>
        <w:rPr>
          <w:rFonts w:hint="eastAsia" w:asciiTheme="minorEastAsia" w:hAnsiTheme="minorEastAsia" w:eastAsiaTheme="minorEastAsia" w:cstheme="minorEastAsia"/>
          <w:b/>
          <w:bCs/>
          <w:color w:val="auto"/>
          <w:sz w:val="24"/>
          <w:szCs w:val="24"/>
          <w:highlight w:val="none"/>
          <w:u w:val="single"/>
        </w:rPr>
        <w:t>残疾人福利性单位</w:t>
      </w:r>
      <w:r>
        <w:rPr>
          <w:rFonts w:hint="eastAsia" w:asciiTheme="minorEastAsia" w:hAnsiTheme="minorEastAsia" w:eastAsiaTheme="minorEastAsia" w:cstheme="minorEastAsia"/>
          <w:color w:val="auto"/>
          <w:sz w:val="24"/>
          <w:szCs w:val="24"/>
          <w:highlight w:val="none"/>
        </w:rPr>
        <w:t>。</w:t>
      </w:r>
    </w:p>
    <w:p w14:paraId="3DE9B061">
      <w:pPr>
        <w:spacing w:line="360" w:lineRule="auto"/>
        <w:ind w:firstLine="480" w:firstLineChars="200"/>
        <w:outlineLvl w:val="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p>
    <w:p w14:paraId="5B4A033E">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本投标人已知悉《财政部民政部中国残疾人联合会关于促进残疾人就业政府采购政策的通知》（财库〔2017〕141 号）的规定，承诺提供的声明函内容是真实的，如提供声明函内容不实，则依法追究相关法律责任。</w:t>
      </w:r>
    </w:p>
    <w:p w14:paraId="6AA79B2D">
      <w:pPr>
        <w:pStyle w:val="2"/>
        <w:keepNext w:val="0"/>
        <w:keepLines w:val="0"/>
        <w:pageBreakBefore w:val="0"/>
        <w:kinsoku/>
        <w:wordWrap/>
        <w:overflowPunct/>
        <w:topLinePunct w:val="0"/>
        <w:bidi w:val="0"/>
        <w:snapToGrid/>
        <w:spacing w:line="360" w:lineRule="auto"/>
        <w:rPr>
          <w:rFonts w:hint="eastAsia" w:asciiTheme="minorEastAsia" w:hAnsiTheme="minorEastAsia" w:eastAsiaTheme="minorEastAsia" w:cstheme="minorEastAsia"/>
          <w:color w:val="auto"/>
          <w:sz w:val="24"/>
          <w:szCs w:val="24"/>
          <w:highlight w:val="none"/>
        </w:rPr>
      </w:pPr>
    </w:p>
    <w:p w14:paraId="72050444">
      <w:pPr>
        <w:keepNext w:val="0"/>
        <w:keepLines w:val="0"/>
        <w:pageBreakBefore w:val="0"/>
        <w:widowControl/>
        <w:kinsoku/>
        <w:wordWrap/>
        <w:overflowPunct/>
        <w:topLinePunct w:val="0"/>
        <w:bidi w:val="0"/>
        <w:snapToGrid/>
        <w:spacing w:line="360" w:lineRule="auto"/>
        <w:ind w:firstLine="3600" w:firstLineChars="1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企业名称(盖公章):</w:t>
      </w:r>
    </w:p>
    <w:p w14:paraId="1EF81337">
      <w:pPr>
        <w:keepNext w:val="0"/>
        <w:keepLines w:val="0"/>
        <w:pageBreakBefore w:val="0"/>
        <w:widowControl/>
        <w:kinsoku/>
        <w:wordWrap/>
        <w:overflowPunct/>
        <w:topLinePunct w:val="0"/>
        <w:bidi w:val="0"/>
        <w:snapToGrid/>
        <w:spacing w:line="360" w:lineRule="auto"/>
        <w:ind w:firstLine="3600" w:firstLineChars="1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法定代表人(负责人)或其授权代表(签字):</w:t>
      </w:r>
    </w:p>
    <w:p w14:paraId="21ACCEC1">
      <w:pPr>
        <w:keepNext w:val="0"/>
        <w:keepLines w:val="0"/>
        <w:pageBreakBefore w:val="0"/>
        <w:widowControl/>
        <w:kinsoku/>
        <w:wordWrap/>
        <w:overflowPunct/>
        <w:topLinePunct w:val="0"/>
        <w:bidi w:val="0"/>
        <w:snapToGrid/>
        <w:spacing w:line="360" w:lineRule="auto"/>
        <w:ind w:firstLine="3600" w:firstLineChars="15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日期:</w:t>
      </w:r>
    </w:p>
    <w:p w14:paraId="5B59F2E7">
      <w:pPr>
        <w:pStyle w:val="2"/>
        <w:spacing w:line="360" w:lineRule="auto"/>
        <w:rPr>
          <w:rFonts w:hint="eastAsia" w:asciiTheme="minorEastAsia" w:hAnsiTheme="minorEastAsia" w:eastAsiaTheme="minorEastAsia" w:cstheme="minorEastAsia"/>
          <w:color w:val="auto"/>
          <w:sz w:val="24"/>
          <w:szCs w:val="22"/>
          <w:highlight w:val="none"/>
        </w:rPr>
      </w:pPr>
    </w:p>
    <w:p w14:paraId="07F95036">
      <w:pPr>
        <w:pStyle w:val="2"/>
        <w:rPr>
          <w:rFonts w:hint="eastAsia" w:asciiTheme="minorEastAsia" w:hAnsiTheme="minorEastAsia" w:eastAsiaTheme="minorEastAsia" w:cstheme="minorEastAsia"/>
          <w:color w:val="auto"/>
          <w:sz w:val="24"/>
          <w:szCs w:val="22"/>
          <w:highlight w:val="none"/>
        </w:rPr>
      </w:pPr>
    </w:p>
    <w:p w14:paraId="7AB10C6C">
      <w:pPr>
        <w:keepNext w:val="0"/>
        <w:keepLines w:val="0"/>
        <w:pageBreakBefore w:val="0"/>
        <w:kinsoku/>
        <w:wordWrap/>
        <w:overflowPunct/>
        <w:topLinePunct w:val="0"/>
        <w:bidi w:val="0"/>
        <w:snapToGrid/>
        <w:spacing w:line="600" w:lineRule="exact"/>
        <w:jc w:val="center"/>
        <w:rPr>
          <w:rFonts w:hint="eastAsia" w:asciiTheme="minorEastAsia" w:hAnsiTheme="minorEastAsia" w:eastAsiaTheme="minorEastAsia" w:cstheme="minorEastAsia"/>
          <w:b/>
          <w:bCs/>
          <w:color w:val="auto"/>
          <w:sz w:val="36"/>
          <w:szCs w:val="24"/>
          <w:highlight w:val="none"/>
          <w:lang w:eastAsia="zh-CN"/>
        </w:rPr>
      </w:pPr>
    </w:p>
    <w:p w14:paraId="59FCEF95">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43A649CB">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2F0C98B2">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1627799D">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56C826D7">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6040D5C7">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27774F8B">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p>
    <w:p w14:paraId="552D53AC">
      <w:pPr>
        <w:numPr>
          <w:ilvl w:val="0"/>
          <w:numId w:val="0"/>
        </w:numPr>
        <w:spacing w:line="360" w:lineRule="auto"/>
        <w:textAlignment w:val="baseline"/>
        <w:rPr>
          <w:rFonts w:hint="eastAsia" w:ascii="Cambria" w:hAnsi="Cambria" w:eastAsia="宋体" w:cs="Times New Roman"/>
          <w:b/>
          <w:bCs/>
          <w:color w:val="auto"/>
          <w:kern w:val="44"/>
          <w:sz w:val="28"/>
          <w:szCs w:val="28"/>
          <w:highlight w:val="none"/>
          <w:lang w:val="en-US" w:eastAsia="zh-CN" w:bidi="ar-SA"/>
        </w:rPr>
      </w:pPr>
      <w:r>
        <w:rPr>
          <w:rFonts w:hint="eastAsia" w:ascii="Cambria" w:hAnsi="Cambria" w:eastAsia="宋体" w:cs="Times New Roman"/>
          <w:b/>
          <w:bCs/>
          <w:color w:val="auto"/>
          <w:kern w:val="44"/>
          <w:sz w:val="28"/>
          <w:szCs w:val="28"/>
          <w:highlight w:val="none"/>
          <w:lang w:val="en-US" w:eastAsia="zh-CN" w:bidi="ar-SA"/>
        </w:rPr>
        <w:t>六、</w:t>
      </w:r>
      <w:r>
        <w:rPr>
          <w:rFonts w:hint="eastAsia" w:ascii="Cambria" w:hAnsi="Cambria" w:eastAsia="宋体" w:cs="Times New Roman"/>
          <w:b/>
          <w:bCs/>
          <w:color w:val="auto"/>
          <w:kern w:val="44"/>
          <w:sz w:val="28"/>
          <w:szCs w:val="28"/>
          <w:highlight w:val="none"/>
          <w:lang w:val="ru-RU" w:eastAsia="zh-CN" w:bidi="ar-SA"/>
        </w:rPr>
        <w:t>近三年</w:t>
      </w:r>
      <w:r>
        <w:rPr>
          <w:rFonts w:hint="eastAsia" w:ascii="Cambria" w:hAnsi="Cambria" w:eastAsia="宋体" w:cs="Times New Roman"/>
          <w:b/>
          <w:bCs/>
          <w:color w:val="auto"/>
          <w:kern w:val="44"/>
          <w:sz w:val="28"/>
          <w:szCs w:val="28"/>
          <w:highlight w:val="none"/>
          <w:lang w:val="en-US" w:eastAsia="zh-CN" w:bidi="ar-SA"/>
        </w:rPr>
        <w:t>企业类似项目业绩格式</w:t>
      </w:r>
    </w:p>
    <w:p w14:paraId="4D9B223E">
      <w:pPr>
        <w:jc w:val="center"/>
        <w:rPr>
          <w:rFonts w:hint="eastAsia" w:ascii="Cambria" w:hAnsi="Cambria" w:eastAsia="宋体" w:cs="Times New Roman"/>
          <w:b/>
          <w:bCs/>
          <w:color w:val="auto"/>
          <w:kern w:val="44"/>
          <w:sz w:val="28"/>
          <w:szCs w:val="28"/>
          <w:highlight w:val="none"/>
          <w:lang w:val="ru-RU" w:eastAsia="zh-CN" w:bidi="ar-SA"/>
        </w:rPr>
      </w:pPr>
    </w:p>
    <w:p w14:paraId="0A856257">
      <w:pPr>
        <w:jc w:val="center"/>
        <w:rPr>
          <w:rFonts w:hint="default"/>
          <w:color w:val="auto"/>
          <w:highlight w:val="none"/>
          <w:lang w:val="en-US"/>
        </w:rPr>
      </w:pPr>
      <w:r>
        <w:rPr>
          <w:rFonts w:hint="eastAsia" w:ascii="Cambria" w:hAnsi="Cambria" w:eastAsia="宋体" w:cs="Times New Roman"/>
          <w:b/>
          <w:bCs/>
          <w:color w:val="auto"/>
          <w:kern w:val="44"/>
          <w:sz w:val="28"/>
          <w:szCs w:val="28"/>
          <w:highlight w:val="none"/>
          <w:lang w:val="en-US" w:eastAsia="zh-CN" w:bidi="ar-SA"/>
        </w:rPr>
        <w:t xml:space="preserve">  </w:t>
      </w:r>
      <w:r>
        <w:rPr>
          <w:rFonts w:hint="eastAsia" w:ascii="Cambria" w:hAnsi="Cambria" w:eastAsia="宋体" w:cs="Times New Roman"/>
          <w:b/>
          <w:bCs/>
          <w:color w:val="auto"/>
          <w:kern w:val="44"/>
          <w:sz w:val="28"/>
          <w:szCs w:val="28"/>
          <w:highlight w:val="none"/>
          <w:lang w:val="ru-RU" w:eastAsia="zh-CN" w:bidi="ar-SA"/>
        </w:rPr>
        <w:t>近三年</w:t>
      </w:r>
      <w:r>
        <w:rPr>
          <w:rFonts w:hint="eastAsia" w:ascii="Cambria" w:hAnsi="Cambria" w:eastAsia="宋体" w:cs="Times New Roman"/>
          <w:b/>
          <w:bCs/>
          <w:color w:val="auto"/>
          <w:kern w:val="44"/>
          <w:sz w:val="28"/>
          <w:szCs w:val="28"/>
          <w:highlight w:val="none"/>
          <w:lang w:val="en-US" w:eastAsia="zh-CN" w:bidi="ar-SA"/>
        </w:rPr>
        <w:t>企业类似项目业绩表</w:t>
      </w:r>
    </w:p>
    <w:tbl>
      <w:tblPr>
        <w:tblStyle w:val="31"/>
        <w:tblW w:w="95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5"/>
        <w:gridCol w:w="6483"/>
      </w:tblGrid>
      <w:tr w14:paraId="5C4FC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431A8482">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项目名称</w:t>
            </w:r>
          </w:p>
        </w:tc>
        <w:tc>
          <w:tcPr>
            <w:tcW w:w="6483" w:type="dxa"/>
            <w:noWrap w:val="0"/>
            <w:vAlign w:val="center"/>
          </w:tcPr>
          <w:p w14:paraId="14102AB6">
            <w:pPr>
              <w:jc w:val="center"/>
              <w:rPr>
                <w:rFonts w:ascii="宋体" w:hAnsi="宋体"/>
                <w:color w:val="auto"/>
                <w:szCs w:val="21"/>
                <w:highlight w:val="none"/>
              </w:rPr>
            </w:pPr>
          </w:p>
        </w:tc>
      </w:tr>
      <w:tr w14:paraId="70B19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6F8EF7B8">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项目所在地</w:t>
            </w:r>
          </w:p>
        </w:tc>
        <w:tc>
          <w:tcPr>
            <w:tcW w:w="6483" w:type="dxa"/>
            <w:noWrap w:val="0"/>
            <w:vAlign w:val="center"/>
          </w:tcPr>
          <w:p w14:paraId="703650EA">
            <w:pPr>
              <w:jc w:val="center"/>
              <w:rPr>
                <w:rFonts w:ascii="宋体" w:hAnsi="宋体"/>
                <w:color w:val="auto"/>
                <w:szCs w:val="21"/>
                <w:highlight w:val="none"/>
              </w:rPr>
            </w:pPr>
          </w:p>
        </w:tc>
      </w:tr>
      <w:tr w14:paraId="780C9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44EB3C8F">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合同签订日期</w:t>
            </w:r>
          </w:p>
        </w:tc>
        <w:tc>
          <w:tcPr>
            <w:tcW w:w="6483" w:type="dxa"/>
            <w:noWrap w:val="0"/>
            <w:vAlign w:val="center"/>
          </w:tcPr>
          <w:p w14:paraId="39481882">
            <w:pPr>
              <w:jc w:val="center"/>
              <w:rPr>
                <w:rFonts w:ascii="宋体" w:hAnsi="宋体"/>
                <w:color w:val="auto"/>
                <w:szCs w:val="21"/>
                <w:highlight w:val="none"/>
              </w:rPr>
            </w:pPr>
          </w:p>
        </w:tc>
      </w:tr>
      <w:tr w14:paraId="1F36B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742BEE1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发包人名称</w:t>
            </w:r>
          </w:p>
        </w:tc>
        <w:tc>
          <w:tcPr>
            <w:tcW w:w="6483" w:type="dxa"/>
            <w:noWrap w:val="0"/>
            <w:vAlign w:val="center"/>
          </w:tcPr>
          <w:p w14:paraId="63023AFA">
            <w:pPr>
              <w:jc w:val="center"/>
              <w:rPr>
                <w:rFonts w:ascii="宋体" w:hAnsi="宋体"/>
                <w:color w:val="auto"/>
                <w:szCs w:val="21"/>
                <w:highlight w:val="none"/>
              </w:rPr>
            </w:pPr>
          </w:p>
        </w:tc>
      </w:tr>
      <w:tr w14:paraId="4CAE8A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3175B631">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发包人联系人及电话</w:t>
            </w:r>
          </w:p>
        </w:tc>
        <w:tc>
          <w:tcPr>
            <w:tcW w:w="6483" w:type="dxa"/>
            <w:noWrap w:val="0"/>
            <w:vAlign w:val="center"/>
          </w:tcPr>
          <w:p w14:paraId="0398CE5B">
            <w:pPr>
              <w:jc w:val="center"/>
              <w:rPr>
                <w:rFonts w:ascii="宋体" w:hAnsi="宋体"/>
                <w:color w:val="auto"/>
                <w:szCs w:val="21"/>
                <w:highlight w:val="none"/>
              </w:rPr>
            </w:pPr>
          </w:p>
        </w:tc>
      </w:tr>
      <w:tr w14:paraId="0BBA3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0A39745B">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合同价格</w:t>
            </w:r>
          </w:p>
        </w:tc>
        <w:tc>
          <w:tcPr>
            <w:tcW w:w="6483" w:type="dxa"/>
            <w:noWrap w:val="0"/>
            <w:vAlign w:val="center"/>
          </w:tcPr>
          <w:p w14:paraId="4BE83E6B">
            <w:pPr>
              <w:jc w:val="center"/>
              <w:rPr>
                <w:rFonts w:ascii="宋体" w:hAnsi="宋体"/>
                <w:color w:val="auto"/>
                <w:szCs w:val="21"/>
                <w:highlight w:val="none"/>
              </w:rPr>
            </w:pPr>
          </w:p>
        </w:tc>
      </w:tr>
      <w:tr w14:paraId="4DF435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28D07466">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开/竣工日期</w:t>
            </w:r>
          </w:p>
        </w:tc>
        <w:tc>
          <w:tcPr>
            <w:tcW w:w="6483" w:type="dxa"/>
            <w:noWrap w:val="0"/>
            <w:vAlign w:val="center"/>
          </w:tcPr>
          <w:p w14:paraId="3EC7A3E0">
            <w:pPr>
              <w:jc w:val="center"/>
              <w:rPr>
                <w:rFonts w:ascii="宋体" w:hAnsi="宋体"/>
                <w:color w:val="auto"/>
                <w:szCs w:val="21"/>
                <w:highlight w:val="none"/>
              </w:rPr>
            </w:pPr>
          </w:p>
        </w:tc>
      </w:tr>
      <w:tr w14:paraId="0E82F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1834F867">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承担的工作</w:t>
            </w:r>
          </w:p>
        </w:tc>
        <w:tc>
          <w:tcPr>
            <w:tcW w:w="6483" w:type="dxa"/>
            <w:noWrap w:val="0"/>
            <w:vAlign w:val="center"/>
          </w:tcPr>
          <w:p w14:paraId="2C99DDDA">
            <w:pPr>
              <w:jc w:val="center"/>
              <w:rPr>
                <w:rFonts w:ascii="宋体" w:hAnsi="宋体"/>
                <w:color w:val="auto"/>
                <w:szCs w:val="21"/>
                <w:highlight w:val="none"/>
              </w:rPr>
            </w:pPr>
          </w:p>
        </w:tc>
      </w:tr>
      <w:tr w14:paraId="53CFD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41F50F1F">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工程质量</w:t>
            </w:r>
          </w:p>
        </w:tc>
        <w:tc>
          <w:tcPr>
            <w:tcW w:w="6483" w:type="dxa"/>
            <w:noWrap w:val="0"/>
            <w:vAlign w:val="center"/>
          </w:tcPr>
          <w:p w14:paraId="720FF11D">
            <w:pPr>
              <w:jc w:val="center"/>
              <w:rPr>
                <w:rFonts w:ascii="宋体" w:hAnsi="宋体"/>
                <w:color w:val="auto"/>
                <w:szCs w:val="21"/>
                <w:highlight w:val="none"/>
              </w:rPr>
            </w:pPr>
          </w:p>
        </w:tc>
      </w:tr>
      <w:tr w14:paraId="29D80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5D8860C7">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项目经理</w:t>
            </w:r>
          </w:p>
        </w:tc>
        <w:tc>
          <w:tcPr>
            <w:tcW w:w="6483" w:type="dxa"/>
            <w:noWrap w:val="0"/>
            <w:vAlign w:val="center"/>
          </w:tcPr>
          <w:p w14:paraId="243C4D38">
            <w:pPr>
              <w:jc w:val="center"/>
              <w:rPr>
                <w:rFonts w:ascii="宋体" w:hAnsi="宋体"/>
                <w:color w:val="auto"/>
                <w:szCs w:val="21"/>
                <w:highlight w:val="none"/>
              </w:rPr>
            </w:pPr>
          </w:p>
        </w:tc>
      </w:tr>
      <w:tr w14:paraId="15530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3B77E06C">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总监理工程师及电话</w:t>
            </w:r>
          </w:p>
        </w:tc>
        <w:tc>
          <w:tcPr>
            <w:tcW w:w="6483" w:type="dxa"/>
            <w:noWrap w:val="0"/>
            <w:vAlign w:val="center"/>
          </w:tcPr>
          <w:p w14:paraId="15C031E4">
            <w:pPr>
              <w:jc w:val="center"/>
              <w:rPr>
                <w:rFonts w:ascii="宋体" w:hAnsi="宋体"/>
                <w:color w:val="auto"/>
                <w:szCs w:val="21"/>
                <w:highlight w:val="none"/>
              </w:rPr>
            </w:pPr>
          </w:p>
        </w:tc>
      </w:tr>
      <w:tr w14:paraId="7B18A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jc w:val="center"/>
        </w:trPr>
        <w:tc>
          <w:tcPr>
            <w:tcW w:w="3035" w:type="dxa"/>
            <w:noWrap w:val="0"/>
            <w:vAlign w:val="center"/>
          </w:tcPr>
          <w:p w14:paraId="4C9B729B">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项目描述</w:t>
            </w:r>
          </w:p>
        </w:tc>
        <w:tc>
          <w:tcPr>
            <w:tcW w:w="6483" w:type="dxa"/>
            <w:noWrap w:val="0"/>
            <w:vAlign w:val="center"/>
          </w:tcPr>
          <w:p w14:paraId="7E08BCEE">
            <w:pPr>
              <w:jc w:val="center"/>
              <w:rPr>
                <w:rFonts w:ascii="宋体" w:hAnsi="宋体"/>
                <w:color w:val="auto"/>
                <w:szCs w:val="21"/>
                <w:highlight w:val="none"/>
              </w:rPr>
            </w:pPr>
          </w:p>
        </w:tc>
      </w:tr>
      <w:tr w14:paraId="2D2EA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3035" w:type="dxa"/>
            <w:noWrap w:val="0"/>
            <w:vAlign w:val="center"/>
          </w:tcPr>
          <w:p w14:paraId="4ED30154">
            <w:pPr>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备注</w:t>
            </w:r>
          </w:p>
        </w:tc>
        <w:tc>
          <w:tcPr>
            <w:tcW w:w="6483" w:type="dxa"/>
            <w:noWrap w:val="0"/>
            <w:vAlign w:val="center"/>
          </w:tcPr>
          <w:p w14:paraId="2E0A93E6">
            <w:pPr>
              <w:jc w:val="center"/>
              <w:rPr>
                <w:rFonts w:ascii="宋体" w:hAnsi="宋体"/>
                <w:color w:val="auto"/>
                <w:szCs w:val="21"/>
                <w:highlight w:val="none"/>
              </w:rPr>
            </w:pPr>
          </w:p>
        </w:tc>
      </w:tr>
    </w:tbl>
    <w:p w14:paraId="53248EAB">
      <w:pPr>
        <w:spacing w:line="500" w:lineRule="exact"/>
        <w:rPr>
          <w:rFonts w:hint="eastAsia" w:ascii="宋体" w:hAnsi="宋体"/>
          <w:bCs/>
          <w:color w:val="auto"/>
          <w:sz w:val="24"/>
          <w:szCs w:val="21"/>
          <w:highlight w:val="none"/>
        </w:rPr>
      </w:pPr>
      <w:r>
        <w:rPr>
          <w:rFonts w:hint="eastAsia" w:ascii="宋体" w:hAnsi="宋体" w:eastAsia="宋体" w:cs="宋体"/>
          <w:color w:val="auto"/>
          <w:sz w:val="24"/>
          <w:szCs w:val="24"/>
          <w:highlight w:val="none"/>
        </w:rPr>
        <w:t>说明：近三年（2022年4月至今，以合同签订日期为准）</w:t>
      </w:r>
      <w:r>
        <w:rPr>
          <w:rFonts w:hint="eastAsia" w:ascii="宋体" w:hAnsi="宋体" w:eastAsia="Times New Roman" w:cs="宋体"/>
          <w:color w:val="auto"/>
          <w:kern w:val="0"/>
          <w:sz w:val="24"/>
          <w:szCs w:val="24"/>
          <w:highlight w:val="none"/>
          <w:lang w:val="en-US" w:eastAsia="zh-CN" w:bidi="ar-SA"/>
        </w:rPr>
        <w:t>完成的</w:t>
      </w:r>
      <w:r>
        <w:rPr>
          <w:rFonts w:hint="eastAsia" w:ascii="宋体" w:hAnsi="宋体" w:eastAsia="Times New Roman" w:cs="宋体"/>
          <w:color w:val="auto"/>
          <w:kern w:val="0"/>
          <w:sz w:val="24"/>
          <w:szCs w:val="24"/>
          <w:highlight w:val="none"/>
          <w:lang w:val="zh-CN" w:eastAsia="zh-CN" w:bidi="ar-SA"/>
        </w:rPr>
        <w:t>类似工程业绩</w:t>
      </w:r>
      <w:r>
        <w:rPr>
          <w:rFonts w:hint="eastAsia" w:ascii="宋体" w:hAnsi="宋体" w:eastAsia="Times New Roman" w:cs="宋体"/>
          <w:color w:val="auto"/>
          <w:kern w:val="0"/>
          <w:sz w:val="24"/>
          <w:szCs w:val="24"/>
          <w:highlight w:val="none"/>
          <w:lang w:val="en-US" w:eastAsia="zh-CN" w:bidi="ar-SA"/>
        </w:rPr>
        <w:t>；</w:t>
      </w:r>
      <w:r>
        <w:rPr>
          <w:rFonts w:hint="eastAsia" w:ascii="宋体" w:hAnsi="宋体"/>
          <w:bCs/>
          <w:color w:val="auto"/>
          <w:sz w:val="24"/>
          <w:szCs w:val="21"/>
          <w:highlight w:val="none"/>
        </w:rPr>
        <w:t>本表后附中标通知书</w:t>
      </w:r>
      <w:r>
        <w:rPr>
          <w:rFonts w:hint="eastAsia" w:ascii="宋体" w:hAnsi="宋体"/>
          <w:bCs/>
          <w:color w:val="auto"/>
          <w:sz w:val="24"/>
          <w:szCs w:val="21"/>
          <w:highlight w:val="none"/>
          <w:lang w:eastAsia="zh-CN"/>
        </w:rPr>
        <w:t>（</w:t>
      </w:r>
      <w:r>
        <w:rPr>
          <w:rFonts w:hint="eastAsia" w:ascii="宋体" w:hAnsi="宋体"/>
          <w:bCs/>
          <w:color w:val="auto"/>
          <w:sz w:val="24"/>
          <w:szCs w:val="21"/>
          <w:highlight w:val="none"/>
          <w:lang w:val="en-US" w:eastAsia="zh-CN"/>
        </w:rPr>
        <w:t>或成交通知书</w:t>
      </w:r>
      <w:r>
        <w:rPr>
          <w:rFonts w:hint="eastAsia" w:ascii="宋体" w:hAnsi="宋体"/>
          <w:bCs/>
          <w:color w:val="auto"/>
          <w:sz w:val="24"/>
          <w:szCs w:val="21"/>
          <w:highlight w:val="none"/>
          <w:lang w:eastAsia="zh-CN"/>
        </w:rPr>
        <w:t>）</w:t>
      </w:r>
      <w:r>
        <w:rPr>
          <w:rFonts w:hint="eastAsia" w:ascii="宋体" w:hAnsi="宋体"/>
          <w:bCs/>
          <w:color w:val="auto"/>
          <w:sz w:val="24"/>
          <w:szCs w:val="21"/>
          <w:highlight w:val="none"/>
          <w:lang w:val="en-US" w:eastAsia="zh-CN"/>
        </w:rPr>
        <w:t>+</w:t>
      </w:r>
      <w:r>
        <w:rPr>
          <w:rFonts w:hint="eastAsia" w:ascii="宋体" w:hAnsi="宋体"/>
          <w:bCs/>
          <w:color w:val="auto"/>
          <w:sz w:val="24"/>
          <w:szCs w:val="21"/>
          <w:highlight w:val="none"/>
        </w:rPr>
        <w:t>合同协议书</w:t>
      </w:r>
      <w:r>
        <w:rPr>
          <w:rFonts w:hint="eastAsia" w:ascii="宋体" w:hAnsi="宋体"/>
          <w:bCs/>
          <w:color w:val="auto"/>
          <w:sz w:val="24"/>
          <w:szCs w:val="21"/>
          <w:highlight w:val="none"/>
          <w:lang w:val="en-US" w:eastAsia="zh-CN"/>
        </w:rPr>
        <w:t>+</w:t>
      </w:r>
      <w:r>
        <w:rPr>
          <w:rFonts w:hint="eastAsia" w:ascii="宋体" w:hAnsi="宋体"/>
          <w:bCs/>
          <w:color w:val="auto"/>
          <w:sz w:val="24"/>
          <w:szCs w:val="21"/>
          <w:highlight w:val="none"/>
        </w:rPr>
        <w:t>工程接收证书（工程竣工验收证书）的等原件扫描件</w:t>
      </w:r>
      <w:r>
        <w:rPr>
          <w:rFonts w:hint="eastAsia" w:ascii="宋体" w:hAnsi="宋体"/>
          <w:bCs/>
          <w:color w:val="auto"/>
          <w:sz w:val="24"/>
          <w:szCs w:val="21"/>
          <w:highlight w:val="none"/>
          <w:lang w:eastAsia="zh-CN"/>
        </w:rPr>
        <w:t>；</w:t>
      </w:r>
      <w:r>
        <w:rPr>
          <w:rFonts w:hint="eastAsia" w:ascii="宋体" w:hAnsi="宋体"/>
          <w:bCs/>
          <w:color w:val="auto"/>
          <w:sz w:val="24"/>
          <w:szCs w:val="21"/>
          <w:highlight w:val="none"/>
        </w:rPr>
        <w:t>每张表格只填写一个项目，并标明序号。</w:t>
      </w:r>
    </w:p>
    <w:p w14:paraId="397852EF">
      <w:pPr>
        <w:spacing w:line="500" w:lineRule="exact"/>
        <w:rPr>
          <w:rFonts w:hint="eastAsia" w:ascii="宋体" w:hAnsi="宋体"/>
          <w:bCs/>
          <w:color w:val="auto"/>
          <w:sz w:val="24"/>
          <w:szCs w:val="21"/>
          <w:highlight w:val="none"/>
          <w:lang w:val="en-US" w:eastAsia="zh-CN"/>
        </w:rPr>
      </w:pPr>
    </w:p>
    <w:p w14:paraId="3FBC7BDB">
      <w:pPr>
        <w:pStyle w:val="90"/>
        <w:spacing w:line="360" w:lineRule="auto"/>
        <w:ind w:left="1197" w:leftChars="570" w:firstLine="1680" w:firstLineChars="700"/>
        <w:rPr>
          <w:rFonts w:hint="eastAsia" w:ascii="宋体" w:hAnsi="宋体" w:cs="宋体"/>
          <w:color w:val="auto"/>
          <w:sz w:val="24"/>
          <w:szCs w:val="24"/>
          <w:highlight w:val="none"/>
        </w:rPr>
      </w:pPr>
      <w:r>
        <w:rPr>
          <w:rFonts w:hint="eastAsia" w:ascii="宋体" w:hAnsi="宋体" w:cs="宋体"/>
          <w:color w:val="auto"/>
          <w:sz w:val="24"/>
          <w:szCs w:val="24"/>
          <w:highlight w:val="none"/>
        </w:rPr>
        <w:t>投标单位（盖章）：</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rPr>
        <w:t xml:space="preserve">   </w:t>
      </w:r>
    </w:p>
    <w:p w14:paraId="4EA0E689">
      <w:pPr>
        <w:spacing w:line="500" w:lineRule="exact"/>
        <w:ind w:firstLine="1440" w:firstLineChars="6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法定代表人或委托代理人（签字或盖章）：</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p>
    <w:p w14:paraId="3CDC1619">
      <w:pPr>
        <w:rPr>
          <w:rFonts w:hint="eastAsia" w:ascii="宋体" w:hAnsi="宋体" w:cs="宋体"/>
          <w:color w:val="auto"/>
          <w:kern w:val="0"/>
          <w:sz w:val="24"/>
          <w:szCs w:val="24"/>
          <w:highlight w:val="none"/>
        </w:rPr>
      </w:pPr>
    </w:p>
    <w:p w14:paraId="46F8E1F0">
      <w:pPr>
        <w:wordWrap w:val="0"/>
        <w:jc w:val="center"/>
        <w:rPr>
          <w:rFonts w:hint="eastAsia"/>
          <w:color w:val="auto"/>
          <w:highlight w:val="none"/>
        </w:rPr>
      </w:pP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 xml:space="preserve"> 日</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期：</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年</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月</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u w:val="single"/>
          <w:lang w:val="en-US" w:eastAsia="zh-CN"/>
        </w:rPr>
        <w:t xml:space="preserve"> </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日</w:t>
      </w:r>
    </w:p>
    <w:p w14:paraId="5D9CE2E0">
      <w:pPr>
        <w:rPr>
          <w:rFonts w:hint="eastAsia"/>
          <w:color w:val="auto"/>
          <w:highlight w:val="none"/>
        </w:rPr>
      </w:pPr>
    </w:p>
    <w:p w14:paraId="14743FB7">
      <w:pPr>
        <w:pStyle w:val="4"/>
        <w:jc w:val="left"/>
        <w:rPr>
          <w:rFonts w:hint="default" w:ascii="Cambria" w:hAnsi="Cambria" w:eastAsia="宋体" w:cs="Times New Roman"/>
          <w:b/>
          <w:bCs/>
          <w:color w:val="auto"/>
          <w:kern w:val="44"/>
          <w:sz w:val="28"/>
          <w:szCs w:val="28"/>
          <w:highlight w:val="none"/>
          <w:lang w:val="en-US" w:eastAsia="zh-CN" w:bidi="ar-SA"/>
        </w:rPr>
      </w:pPr>
      <w:r>
        <w:rPr>
          <w:rFonts w:hint="eastAsia" w:eastAsia="宋体" w:cs="Times New Roman"/>
          <w:b/>
          <w:bCs/>
          <w:color w:val="auto"/>
          <w:kern w:val="44"/>
          <w:sz w:val="28"/>
          <w:szCs w:val="28"/>
          <w:highlight w:val="none"/>
          <w:lang w:val="en-US" w:eastAsia="zh-CN" w:bidi="ar-SA"/>
        </w:rPr>
        <w:t>七、</w:t>
      </w:r>
      <w:r>
        <w:rPr>
          <w:rFonts w:hint="eastAsia" w:ascii="Cambria" w:hAnsi="Cambria" w:eastAsia="宋体" w:cs="Times New Roman"/>
          <w:b/>
          <w:bCs/>
          <w:color w:val="auto"/>
          <w:kern w:val="44"/>
          <w:sz w:val="28"/>
          <w:szCs w:val="28"/>
          <w:highlight w:val="none"/>
          <w:lang w:val="en-US" w:eastAsia="zh-CN" w:bidi="ar-SA"/>
        </w:rPr>
        <w:t>项目管理人员格式</w:t>
      </w:r>
      <w:r>
        <w:rPr>
          <w:rFonts w:hint="eastAsia" w:eastAsia="宋体" w:cs="Times New Roman"/>
          <w:b/>
          <w:bCs/>
          <w:color w:val="auto"/>
          <w:kern w:val="44"/>
          <w:sz w:val="28"/>
          <w:szCs w:val="28"/>
          <w:highlight w:val="none"/>
          <w:lang w:val="en-US" w:eastAsia="zh-CN" w:bidi="ar-SA"/>
        </w:rPr>
        <w:t>：</w:t>
      </w:r>
    </w:p>
    <w:p w14:paraId="39AE1C03">
      <w:pPr>
        <w:rPr>
          <w:rFonts w:hint="eastAsia"/>
          <w:color w:val="auto"/>
          <w:highlight w:val="none"/>
        </w:rPr>
      </w:pPr>
    </w:p>
    <w:p w14:paraId="7DB21245">
      <w:pPr>
        <w:jc w:val="center"/>
        <w:rPr>
          <w:rFonts w:hint="eastAsia" w:ascii="Cambria" w:hAnsi="Cambria" w:eastAsia="宋体" w:cs="Times New Roman"/>
          <w:b/>
          <w:bCs/>
          <w:color w:val="auto"/>
          <w:kern w:val="44"/>
          <w:sz w:val="28"/>
          <w:szCs w:val="28"/>
          <w:highlight w:val="none"/>
          <w:lang w:val="en-US" w:eastAsia="zh-CN" w:bidi="ar-SA"/>
        </w:rPr>
      </w:pPr>
      <w:bookmarkStart w:id="350" w:name="_Toc10705"/>
      <w:r>
        <w:rPr>
          <w:rFonts w:hint="eastAsia" w:ascii="Cambria" w:hAnsi="Cambria" w:eastAsia="宋体" w:cs="Times New Roman"/>
          <w:b/>
          <w:bCs/>
          <w:color w:val="auto"/>
          <w:kern w:val="44"/>
          <w:sz w:val="28"/>
          <w:szCs w:val="28"/>
          <w:highlight w:val="none"/>
          <w:lang w:val="en-US" w:eastAsia="zh-CN" w:bidi="ar-SA"/>
        </w:rPr>
        <w:t>（一）</w:t>
      </w:r>
      <w:r>
        <w:rPr>
          <w:rFonts w:hint="eastAsia" w:ascii="Cambria" w:hAnsi="Cambria" w:eastAsia="宋体" w:cs="Times New Roman"/>
          <w:b/>
          <w:bCs/>
          <w:color w:val="auto"/>
          <w:kern w:val="44"/>
          <w:sz w:val="28"/>
          <w:szCs w:val="28"/>
          <w:highlight w:val="none"/>
          <w:lang w:val="en-US" w:eastAsia="en-US" w:bidi="ar-SA"/>
        </w:rPr>
        <w:t>项目管理机构组成表</w:t>
      </w:r>
      <w:bookmarkEnd w:id="350"/>
    </w:p>
    <w:tbl>
      <w:tblPr>
        <w:tblStyle w:val="31"/>
        <w:tblW w:w="9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4"/>
        <w:gridCol w:w="1027"/>
        <w:gridCol w:w="960"/>
        <w:gridCol w:w="1347"/>
        <w:gridCol w:w="893"/>
        <w:gridCol w:w="1080"/>
        <w:gridCol w:w="933"/>
        <w:gridCol w:w="1430"/>
        <w:gridCol w:w="742"/>
      </w:tblGrid>
      <w:tr w14:paraId="22571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vMerge w:val="restart"/>
            <w:noWrap w:val="0"/>
            <w:vAlign w:val="center"/>
          </w:tcPr>
          <w:p w14:paraId="298C3640">
            <w:pPr>
              <w:spacing w:line="440" w:lineRule="exact"/>
              <w:jc w:val="center"/>
              <w:rPr>
                <w:rFonts w:ascii="宋体" w:hAnsi="宋体"/>
                <w:color w:val="auto"/>
                <w:sz w:val="24"/>
                <w:szCs w:val="24"/>
                <w:highlight w:val="none"/>
              </w:rPr>
            </w:pPr>
            <w:r>
              <w:rPr>
                <w:rFonts w:ascii="宋体" w:hAnsi="宋体"/>
                <w:color w:val="auto"/>
                <w:sz w:val="24"/>
                <w:szCs w:val="24"/>
                <w:highlight w:val="none"/>
              </w:rPr>
              <w:t>职务</w:t>
            </w:r>
          </w:p>
        </w:tc>
        <w:tc>
          <w:tcPr>
            <w:tcW w:w="1027" w:type="dxa"/>
            <w:vMerge w:val="restart"/>
            <w:noWrap w:val="0"/>
            <w:vAlign w:val="center"/>
          </w:tcPr>
          <w:p w14:paraId="6EC25449">
            <w:pPr>
              <w:spacing w:line="440" w:lineRule="exact"/>
              <w:jc w:val="center"/>
              <w:rPr>
                <w:rFonts w:ascii="宋体" w:hAnsi="宋体"/>
                <w:color w:val="auto"/>
                <w:sz w:val="24"/>
                <w:szCs w:val="24"/>
                <w:highlight w:val="none"/>
              </w:rPr>
            </w:pPr>
            <w:r>
              <w:rPr>
                <w:rFonts w:ascii="宋体" w:hAnsi="宋体"/>
                <w:color w:val="auto"/>
                <w:sz w:val="24"/>
                <w:szCs w:val="24"/>
                <w:highlight w:val="none"/>
              </w:rPr>
              <w:t>姓名</w:t>
            </w:r>
          </w:p>
        </w:tc>
        <w:tc>
          <w:tcPr>
            <w:tcW w:w="960" w:type="dxa"/>
            <w:vMerge w:val="restart"/>
            <w:noWrap w:val="0"/>
            <w:vAlign w:val="center"/>
          </w:tcPr>
          <w:p w14:paraId="7562859F">
            <w:pPr>
              <w:spacing w:line="440" w:lineRule="exact"/>
              <w:jc w:val="center"/>
              <w:rPr>
                <w:rFonts w:ascii="宋体" w:hAnsi="宋体"/>
                <w:color w:val="auto"/>
                <w:sz w:val="24"/>
                <w:szCs w:val="24"/>
                <w:highlight w:val="none"/>
              </w:rPr>
            </w:pPr>
            <w:r>
              <w:rPr>
                <w:rFonts w:ascii="宋体" w:hAnsi="宋体"/>
                <w:color w:val="auto"/>
                <w:sz w:val="24"/>
                <w:szCs w:val="24"/>
                <w:highlight w:val="none"/>
              </w:rPr>
              <w:t>职称</w:t>
            </w:r>
          </w:p>
        </w:tc>
        <w:tc>
          <w:tcPr>
            <w:tcW w:w="5683" w:type="dxa"/>
            <w:gridSpan w:val="5"/>
            <w:noWrap w:val="0"/>
            <w:vAlign w:val="center"/>
          </w:tcPr>
          <w:p w14:paraId="2546E36A">
            <w:pPr>
              <w:spacing w:line="440" w:lineRule="exact"/>
              <w:jc w:val="center"/>
              <w:rPr>
                <w:rFonts w:ascii="宋体" w:hAnsi="宋体"/>
                <w:color w:val="auto"/>
                <w:sz w:val="24"/>
                <w:szCs w:val="24"/>
                <w:highlight w:val="none"/>
              </w:rPr>
            </w:pPr>
            <w:r>
              <w:rPr>
                <w:rFonts w:ascii="宋体" w:hAnsi="宋体"/>
                <w:color w:val="auto"/>
                <w:sz w:val="24"/>
                <w:szCs w:val="24"/>
                <w:highlight w:val="none"/>
              </w:rPr>
              <w:t>执业或职业资格证明</w:t>
            </w:r>
          </w:p>
        </w:tc>
        <w:tc>
          <w:tcPr>
            <w:tcW w:w="742" w:type="dxa"/>
            <w:vMerge w:val="restart"/>
            <w:noWrap w:val="0"/>
            <w:vAlign w:val="center"/>
          </w:tcPr>
          <w:p w14:paraId="5DAE8CB4">
            <w:pPr>
              <w:spacing w:line="440" w:lineRule="exact"/>
              <w:jc w:val="center"/>
              <w:rPr>
                <w:rFonts w:ascii="宋体" w:hAnsi="宋体"/>
                <w:color w:val="auto"/>
                <w:sz w:val="24"/>
                <w:szCs w:val="24"/>
                <w:highlight w:val="none"/>
              </w:rPr>
            </w:pPr>
            <w:r>
              <w:rPr>
                <w:rFonts w:ascii="宋体" w:hAnsi="宋体"/>
                <w:color w:val="auto"/>
                <w:sz w:val="24"/>
                <w:szCs w:val="24"/>
                <w:highlight w:val="none"/>
              </w:rPr>
              <w:t>备注</w:t>
            </w:r>
          </w:p>
        </w:tc>
      </w:tr>
      <w:tr w14:paraId="1EC839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1124" w:type="dxa"/>
            <w:vMerge w:val="continue"/>
            <w:noWrap w:val="0"/>
            <w:vAlign w:val="center"/>
          </w:tcPr>
          <w:p w14:paraId="0EEB957B">
            <w:pPr>
              <w:spacing w:line="440" w:lineRule="exact"/>
              <w:jc w:val="center"/>
              <w:rPr>
                <w:rFonts w:ascii="宋体" w:hAnsi="宋体"/>
                <w:color w:val="auto"/>
                <w:sz w:val="24"/>
                <w:szCs w:val="24"/>
                <w:highlight w:val="none"/>
              </w:rPr>
            </w:pPr>
          </w:p>
        </w:tc>
        <w:tc>
          <w:tcPr>
            <w:tcW w:w="1027" w:type="dxa"/>
            <w:vMerge w:val="continue"/>
            <w:noWrap w:val="0"/>
            <w:vAlign w:val="center"/>
          </w:tcPr>
          <w:p w14:paraId="1DD39162">
            <w:pPr>
              <w:spacing w:line="440" w:lineRule="exact"/>
              <w:jc w:val="center"/>
              <w:rPr>
                <w:rFonts w:ascii="宋体" w:hAnsi="宋体"/>
                <w:color w:val="auto"/>
                <w:sz w:val="24"/>
                <w:szCs w:val="24"/>
                <w:highlight w:val="none"/>
              </w:rPr>
            </w:pPr>
          </w:p>
        </w:tc>
        <w:tc>
          <w:tcPr>
            <w:tcW w:w="960" w:type="dxa"/>
            <w:vMerge w:val="continue"/>
            <w:noWrap w:val="0"/>
            <w:vAlign w:val="center"/>
          </w:tcPr>
          <w:p w14:paraId="3A979BB4">
            <w:pPr>
              <w:spacing w:line="440" w:lineRule="exact"/>
              <w:jc w:val="center"/>
              <w:rPr>
                <w:rFonts w:ascii="宋体" w:hAnsi="宋体"/>
                <w:color w:val="auto"/>
                <w:sz w:val="24"/>
                <w:szCs w:val="24"/>
                <w:highlight w:val="none"/>
              </w:rPr>
            </w:pPr>
          </w:p>
        </w:tc>
        <w:tc>
          <w:tcPr>
            <w:tcW w:w="1347" w:type="dxa"/>
            <w:noWrap w:val="0"/>
            <w:vAlign w:val="center"/>
          </w:tcPr>
          <w:p w14:paraId="5B7438DE">
            <w:pPr>
              <w:spacing w:line="440" w:lineRule="exact"/>
              <w:jc w:val="center"/>
              <w:rPr>
                <w:rFonts w:ascii="宋体" w:hAnsi="宋体"/>
                <w:color w:val="auto"/>
                <w:sz w:val="24"/>
                <w:szCs w:val="24"/>
                <w:highlight w:val="none"/>
              </w:rPr>
            </w:pPr>
            <w:r>
              <w:rPr>
                <w:rFonts w:ascii="宋体" w:hAnsi="宋体"/>
                <w:color w:val="auto"/>
                <w:sz w:val="24"/>
                <w:szCs w:val="24"/>
                <w:highlight w:val="none"/>
              </w:rPr>
              <w:t>证书名称</w:t>
            </w:r>
          </w:p>
        </w:tc>
        <w:tc>
          <w:tcPr>
            <w:tcW w:w="893" w:type="dxa"/>
            <w:noWrap w:val="0"/>
            <w:vAlign w:val="center"/>
          </w:tcPr>
          <w:p w14:paraId="16C3A204">
            <w:pPr>
              <w:spacing w:line="440" w:lineRule="exact"/>
              <w:jc w:val="center"/>
              <w:rPr>
                <w:rFonts w:ascii="宋体" w:hAnsi="宋体"/>
                <w:color w:val="auto"/>
                <w:sz w:val="24"/>
                <w:szCs w:val="24"/>
                <w:highlight w:val="none"/>
              </w:rPr>
            </w:pPr>
            <w:r>
              <w:rPr>
                <w:rFonts w:ascii="宋体" w:hAnsi="宋体"/>
                <w:color w:val="auto"/>
                <w:sz w:val="24"/>
                <w:szCs w:val="24"/>
                <w:highlight w:val="none"/>
              </w:rPr>
              <w:t>级别</w:t>
            </w:r>
          </w:p>
        </w:tc>
        <w:tc>
          <w:tcPr>
            <w:tcW w:w="1080" w:type="dxa"/>
            <w:noWrap w:val="0"/>
            <w:vAlign w:val="center"/>
          </w:tcPr>
          <w:p w14:paraId="3A6C27ED">
            <w:pPr>
              <w:spacing w:line="440" w:lineRule="exact"/>
              <w:jc w:val="center"/>
              <w:rPr>
                <w:rFonts w:ascii="宋体" w:hAnsi="宋体"/>
                <w:color w:val="auto"/>
                <w:sz w:val="24"/>
                <w:szCs w:val="24"/>
                <w:highlight w:val="none"/>
              </w:rPr>
            </w:pPr>
            <w:r>
              <w:rPr>
                <w:rFonts w:ascii="宋体" w:hAnsi="宋体"/>
                <w:color w:val="auto"/>
                <w:sz w:val="24"/>
                <w:szCs w:val="24"/>
                <w:highlight w:val="none"/>
              </w:rPr>
              <w:t>证号</w:t>
            </w:r>
          </w:p>
        </w:tc>
        <w:tc>
          <w:tcPr>
            <w:tcW w:w="933" w:type="dxa"/>
            <w:noWrap w:val="0"/>
            <w:vAlign w:val="center"/>
          </w:tcPr>
          <w:p w14:paraId="59271AA8">
            <w:pPr>
              <w:spacing w:line="440" w:lineRule="exact"/>
              <w:jc w:val="center"/>
              <w:rPr>
                <w:rFonts w:ascii="宋体" w:hAnsi="宋体"/>
                <w:color w:val="auto"/>
                <w:sz w:val="24"/>
                <w:szCs w:val="24"/>
                <w:highlight w:val="none"/>
              </w:rPr>
            </w:pPr>
            <w:r>
              <w:rPr>
                <w:rFonts w:ascii="宋体" w:hAnsi="宋体"/>
                <w:color w:val="auto"/>
                <w:sz w:val="24"/>
                <w:szCs w:val="24"/>
                <w:highlight w:val="none"/>
              </w:rPr>
              <w:t>专业</w:t>
            </w:r>
          </w:p>
        </w:tc>
        <w:tc>
          <w:tcPr>
            <w:tcW w:w="1430" w:type="dxa"/>
            <w:noWrap w:val="0"/>
            <w:vAlign w:val="center"/>
          </w:tcPr>
          <w:p w14:paraId="507E6F4C">
            <w:pPr>
              <w:spacing w:line="440" w:lineRule="exact"/>
              <w:ind w:right="109" w:rightChars="52"/>
              <w:jc w:val="center"/>
              <w:rPr>
                <w:rFonts w:ascii="宋体" w:hAnsi="宋体"/>
                <w:color w:val="auto"/>
                <w:sz w:val="24"/>
                <w:szCs w:val="24"/>
                <w:highlight w:val="none"/>
              </w:rPr>
            </w:pPr>
            <w:r>
              <w:rPr>
                <w:rFonts w:ascii="宋体" w:hAnsi="宋体"/>
                <w:color w:val="auto"/>
                <w:sz w:val="24"/>
                <w:szCs w:val="24"/>
                <w:highlight w:val="none"/>
              </w:rPr>
              <w:t>养老保险</w:t>
            </w:r>
          </w:p>
        </w:tc>
        <w:tc>
          <w:tcPr>
            <w:tcW w:w="742" w:type="dxa"/>
            <w:vMerge w:val="continue"/>
            <w:noWrap w:val="0"/>
            <w:vAlign w:val="center"/>
          </w:tcPr>
          <w:p w14:paraId="76769193">
            <w:pPr>
              <w:spacing w:line="440" w:lineRule="exact"/>
              <w:jc w:val="center"/>
              <w:rPr>
                <w:rFonts w:ascii="宋体" w:hAnsi="宋体"/>
                <w:color w:val="auto"/>
                <w:sz w:val="24"/>
                <w:szCs w:val="24"/>
                <w:highlight w:val="none"/>
              </w:rPr>
            </w:pPr>
          </w:p>
        </w:tc>
      </w:tr>
      <w:tr w14:paraId="14C0D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301E038E">
            <w:pPr>
              <w:spacing w:line="440" w:lineRule="exact"/>
              <w:jc w:val="center"/>
              <w:rPr>
                <w:rFonts w:ascii="宋体" w:hAnsi="宋体"/>
                <w:color w:val="auto"/>
                <w:szCs w:val="21"/>
                <w:highlight w:val="none"/>
              </w:rPr>
            </w:pPr>
          </w:p>
        </w:tc>
        <w:tc>
          <w:tcPr>
            <w:tcW w:w="1027" w:type="dxa"/>
            <w:noWrap w:val="0"/>
            <w:vAlign w:val="center"/>
          </w:tcPr>
          <w:p w14:paraId="42CFE081">
            <w:pPr>
              <w:spacing w:line="440" w:lineRule="exact"/>
              <w:jc w:val="center"/>
              <w:rPr>
                <w:rFonts w:ascii="宋体" w:hAnsi="宋体"/>
                <w:color w:val="auto"/>
                <w:szCs w:val="21"/>
                <w:highlight w:val="none"/>
              </w:rPr>
            </w:pPr>
          </w:p>
        </w:tc>
        <w:tc>
          <w:tcPr>
            <w:tcW w:w="960" w:type="dxa"/>
            <w:noWrap w:val="0"/>
            <w:vAlign w:val="center"/>
          </w:tcPr>
          <w:p w14:paraId="7D302CD8">
            <w:pPr>
              <w:spacing w:line="440" w:lineRule="exact"/>
              <w:jc w:val="center"/>
              <w:rPr>
                <w:rFonts w:ascii="宋体" w:hAnsi="宋体"/>
                <w:color w:val="auto"/>
                <w:szCs w:val="21"/>
                <w:highlight w:val="none"/>
              </w:rPr>
            </w:pPr>
          </w:p>
        </w:tc>
        <w:tc>
          <w:tcPr>
            <w:tcW w:w="1347" w:type="dxa"/>
            <w:noWrap w:val="0"/>
            <w:vAlign w:val="center"/>
          </w:tcPr>
          <w:p w14:paraId="424A1A27">
            <w:pPr>
              <w:spacing w:line="440" w:lineRule="exact"/>
              <w:jc w:val="center"/>
              <w:rPr>
                <w:rFonts w:ascii="宋体" w:hAnsi="宋体"/>
                <w:color w:val="auto"/>
                <w:szCs w:val="21"/>
                <w:highlight w:val="none"/>
              </w:rPr>
            </w:pPr>
          </w:p>
        </w:tc>
        <w:tc>
          <w:tcPr>
            <w:tcW w:w="893" w:type="dxa"/>
            <w:noWrap w:val="0"/>
            <w:vAlign w:val="center"/>
          </w:tcPr>
          <w:p w14:paraId="5729E3DA">
            <w:pPr>
              <w:spacing w:line="440" w:lineRule="exact"/>
              <w:jc w:val="center"/>
              <w:rPr>
                <w:rFonts w:ascii="宋体" w:hAnsi="宋体"/>
                <w:color w:val="auto"/>
                <w:szCs w:val="21"/>
                <w:highlight w:val="none"/>
              </w:rPr>
            </w:pPr>
          </w:p>
        </w:tc>
        <w:tc>
          <w:tcPr>
            <w:tcW w:w="1080" w:type="dxa"/>
            <w:noWrap w:val="0"/>
            <w:vAlign w:val="center"/>
          </w:tcPr>
          <w:p w14:paraId="52F73F9B">
            <w:pPr>
              <w:spacing w:line="440" w:lineRule="exact"/>
              <w:jc w:val="center"/>
              <w:rPr>
                <w:rFonts w:ascii="宋体" w:hAnsi="宋体"/>
                <w:color w:val="auto"/>
                <w:szCs w:val="21"/>
                <w:highlight w:val="none"/>
              </w:rPr>
            </w:pPr>
          </w:p>
        </w:tc>
        <w:tc>
          <w:tcPr>
            <w:tcW w:w="933" w:type="dxa"/>
            <w:noWrap w:val="0"/>
            <w:vAlign w:val="center"/>
          </w:tcPr>
          <w:p w14:paraId="60D17BD7">
            <w:pPr>
              <w:spacing w:line="440" w:lineRule="exact"/>
              <w:jc w:val="center"/>
              <w:rPr>
                <w:rFonts w:ascii="宋体" w:hAnsi="宋体"/>
                <w:color w:val="auto"/>
                <w:szCs w:val="21"/>
                <w:highlight w:val="none"/>
              </w:rPr>
            </w:pPr>
          </w:p>
        </w:tc>
        <w:tc>
          <w:tcPr>
            <w:tcW w:w="1430" w:type="dxa"/>
            <w:noWrap w:val="0"/>
            <w:vAlign w:val="center"/>
          </w:tcPr>
          <w:p w14:paraId="49452103">
            <w:pPr>
              <w:spacing w:line="440" w:lineRule="exact"/>
              <w:jc w:val="center"/>
              <w:rPr>
                <w:rFonts w:ascii="宋体" w:hAnsi="宋体"/>
                <w:color w:val="auto"/>
                <w:szCs w:val="21"/>
                <w:highlight w:val="none"/>
              </w:rPr>
            </w:pPr>
          </w:p>
        </w:tc>
        <w:tc>
          <w:tcPr>
            <w:tcW w:w="742" w:type="dxa"/>
            <w:noWrap w:val="0"/>
            <w:vAlign w:val="center"/>
          </w:tcPr>
          <w:p w14:paraId="42F4C64F">
            <w:pPr>
              <w:spacing w:line="440" w:lineRule="exact"/>
              <w:jc w:val="center"/>
              <w:rPr>
                <w:rFonts w:ascii="宋体" w:hAnsi="宋体"/>
                <w:color w:val="auto"/>
                <w:szCs w:val="21"/>
                <w:highlight w:val="none"/>
              </w:rPr>
            </w:pPr>
          </w:p>
        </w:tc>
      </w:tr>
      <w:tr w14:paraId="186C1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0B25A7B3">
            <w:pPr>
              <w:jc w:val="center"/>
              <w:rPr>
                <w:rFonts w:ascii="宋体" w:hAnsi="宋体"/>
                <w:bCs/>
                <w:color w:val="auto"/>
                <w:szCs w:val="21"/>
                <w:highlight w:val="none"/>
              </w:rPr>
            </w:pPr>
          </w:p>
        </w:tc>
        <w:tc>
          <w:tcPr>
            <w:tcW w:w="1027" w:type="dxa"/>
            <w:noWrap w:val="0"/>
            <w:vAlign w:val="center"/>
          </w:tcPr>
          <w:p w14:paraId="0BEB84C4">
            <w:pPr>
              <w:spacing w:line="440" w:lineRule="exact"/>
              <w:jc w:val="center"/>
              <w:rPr>
                <w:rFonts w:ascii="宋体" w:hAnsi="宋体"/>
                <w:color w:val="auto"/>
                <w:szCs w:val="21"/>
                <w:highlight w:val="none"/>
              </w:rPr>
            </w:pPr>
          </w:p>
        </w:tc>
        <w:tc>
          <w:tcPr>
            <w:tcW w:w="960" w:type="dxa"/>
            <w:noWrap w:val="0"/>
            <w:vAlign w:val="center"/>
          </w:tcPr>
          <w:p w14:paraId="0C150F60">
            <w:pPr>
              <w:spacing w:line="440" w:lineRule="exact"/>
              <w:jc w:val="center"/>
              <w:rPr>
                <w:rFonts w:ascii="宋体" w:hAnsi="宋体"/>
                <w:color w:val="auto"/>
                <w:szCs w:val="21"/>
                <w:highlight w:val="none"/>
              </w:rPr>
            </w:pPr>
          </w:p>
        </w:tc>
        <w:tc>
          <w:tcPr>
            <w:tcW w:w="1347" w:type="dxa"/>
            <w:noWrap w:val="0"/>
            <w:vAlign w:val="center"/>
          </w:tcPr>
          <w:p w14:paraId="77647261">
            <w:pPr>
              <w:spacing w:line="440" w:lineRule="exact"/>
              <w:jc w:val="center"/>
              <w:rPr>
                <w:rFonts w:ascii="宋体" w:hAnsi="宋体"/>
                <w:color w:val="auto"/>
                <w:szCs w:val="21"/>
                <w:highlight w:val="none"/>
              </w:rPr>
            </w:pPr>
          </w:p>
        </w:tc>
        <w:tc>
          <w:tcPr>
            <w:tcW w:w="893" w:type="dxa"/>
            <w:noWrap w:val="0"/>
            <w:vAlign w:val="center"/>
          </w:tcPr>
          <w:p w14:paraId="685FA701">
            <w:pPr>
              <w:spacing w:line="440" w:lineRule="exact"/>
              <w:jc w:val="center"/>
              <w:rPr>
                <w:rFonts w:ascii="宋体" w:hAnsi="宋体"/>
                <w:color w:val="auto"/>
                <w:szCs w:val="21"/>
                <w:highlight w:val="none"/>
              </w:rPr>
            </w:pPr>
          </w:p>
        </w:tc>
        <w:tc>
          <w:tcPr>
            <w:tcW w:w="1080" w:type="dxa"/>
            <w:noWrap w:val="0"/>
            <w:vAlign w:val="center"/>
          </w:tcPr>
          <w:p w14:paraId="2FD4AC7D">
            <w:pPr>
              <w:spacing w:line="440" w:lineRule="exact"/>
              <w:jc w:val="center"/>
              <w:rPr>
                <w:rFonts w:ascii="宋体" w:hAnsi="宋体"/>
                <w:color w:val="auto"/>
                <w:szCs w:val="21"/>
                <w:highlight w:val="none"/>
              </w:rPr>
            </w:pPr>
          </w:p>
        </w:tc>
        <w:tc>
          <w:tcPr>
            <w:tcW w:w="933" w:type="dxa"/>
            <w:noWrap w:val="0"/>
            <w:vAlign w:val="center"/>
          </w:tcPr>
          <w:p w14:paraId="67811B90">
            <w:pPr>
              <w:spacing w:line="440" w:lineRule="exact"/>
              <w:jc w:val="center"/>
              <w:rPr>
                <w:rFonts w:ascii="宋体" w:hAnsi="宋体"/>
                <w:color w:val="auto"/>
                <w:szCs w:val="21"/>
                <w:highlight w:val="none"/>
              </w:rPr>
            </w:pPr>
          </w:p>
        </w:tc>
        <w:tc>
          <w:tcPr>
            <w:tcW w:w="1430" w:type="dxa"/>
            <w:noWrap w:val="0"/>
            <w:vAlign w:val="center"/>
          </w:tcPr>
          <w:p w14:paraId="21DA351A">
            <w:pPr>
              <w:spacing w:line="440" w:lineRule="exact"/>
              <w:jc w:val="center"/>
              <w:rPr>
                <w:rFonts w:ascii="宋体" w:hAnsi="宋体"/>
                <w:color w:val="auto"/>
                <w:szCs w:val="21"/>
                <w:highlight w:val="none"/>
              </w:rPr>
            </w:pPr>
          </w:p>
        </w:tc>
        <w:tc>
          <w:tcPr>
            <w:tcW w:w="742" w:type="dxa"/>
            <w:noWrap w:val="0"/>
            <w:vAlign w:val="center"/>
          </w:tcPr>
          <w:p w14:paraId="39718048">
            <w:pPr>
              <w:spacing w:line="440" w:lineRule="exact"/>
              <w:jc w:val="center"/>
              <w:rPr>
                <w:rFonts w:ascii="宋体" w:hAnsi="宋体"/>
                <w:color w:val="auto"/>
                <w:szCs w:val="21"/>
                <w:highlight w:val="none"/>
              </w:rPr>
            </w:pPr>
          </w:p>
        </w:tc>
      </w:tr>
      <w:tr w14:paraId="00511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05BA2C5A">
            <w:pPr>
              <w:jc w:val="center"/>
              <w:rPr>
                <w:rFonts w:ascii="宋体" w:hAnsi="宋体"/>
                <w:bCs/>
                <w:color w:val="auto"/>
                <w:szCs w:val="21"/>
                <w:highlight w:val="none"/>
              </w:rPr>
            </w:pPr>
          </w:p>
        </w:tc>
        <w:tc>
          <w:tcPr>
            <w:tcW w:w="1027" w:type="dxa"/>
            <w:noWrap w:val="0"/>
            <w:vAlign w:val="top"/>
          </w:tcPr>
          <w:p w14:paraId="2B5D678C">
            <w:pPr>
              <w:spacing w:line="440" w:lineRule="exact"/>
              <w:jc w:val="center"/>
              <w:rPr>
                <w:rFonts w:ascii="宋体" w:hAnsi="宋体"/>
                <w:color w:val="auto"/>
                <w:szCs w:val="21"/>
                <w:highlight w:val="none"/>
              </w:rPr>
            </w:pPr>
          </w:p>
        </w:tc>
        <w:tc>
          <w:tcPr>
            <w:tcW w:w="960" w:type="dxa"/>
            <w:noWrap w:val="0"/>
            <w:vAlign w:val="top"/>
          </w:tcPr>
          <w:p w14:paraId="489AB36A">
            <w:pPr>
              <w:spacing w:line="440" w:lineRule="exact"/>
              <w:jc w:val="center"/>
              <w:rPr>
                <w:rFonts w:ascii="宋体" w:hAnsi="宋体"/>
                <w:color w:val="auto"/>
                <w:szCs w:val="21"/>
                <w:highlight w:val="none"/>
              </w:rPr>
            </w:pPr>
          </w:p>
        </w:tc>
        <w:tc>
          <w:tcPr>
            <w:tcW w:w="1347" w:type="dxa"/>
            <w:noWrap w:val="0"/>
            <w:vAlign w:val="top"/>
          </w:tcPr>
          <w:p w14:paraId="5D35703D">
            <w:pPr>
              <w:spacing w:line="440" w:lineRule="exact"/>
              <w:jc w:val="center"/>
              <w:rPr>
                <w:rFonts w:ascii="宋体" w:hAnsi="宋体"/>
                <w:color w:val="auto"/>
                <w:szCs w:val="21"/>
                <w:highlight w:val="none"/>
              </w:rPr>
            </w:pPr>
          </w:p>
        </w:tc>
        <w:tc>
          <w:tcPr>
            <w:tcW w:w="893" w:type="dxa"/>
            <w:noWrap w:val="0"/>
            <w:vAlign w:val="top"/>
          </w:tcPr>
          <w:p w14:paraId="59FA9CBF">
            <w:pPr>
              <w:spacing w:line="440" w:lineRule="exact"/>
              <w:jc w:val="center"/>
              <w:rPr>
                <w:rFonts w:ascii="宋体" w:hAnsi="宋体"/>
                <w:color w:val="auto"/>
                <w:szCs w:val="21"/>
                <w:highlight w:val="none"/>
              </w:rPr>
            </w:pPr>
          </w:p>
        </w:tc>
        <w:tc>
          <w:tcPr>
            <w:tcW w:w="1080" w:type="dxa"/>
            <w:noWrap w:val="0"/>
            <w:vAlign w:val="top"/>
          </w:tcPr>
          <w:p w14:paraId="612545FF">
            <w:pPr>
              <w:spacing w:line="440" w:lineRule="exact"/>
              <w:jc w:val="center"/>
              <w:rPr>
                <w:rFonts w:ascii="宋体" w:hAnsi="宋体"/>
                <w:color w:val="auto"/>
                <w:szCs w:val="21"/>
                <w:highlight w:val="none"/>
              </w:rPr>
            </w:pPr>
          </w:p>
        </w:tc>
        <w:tc>
          <w:tcPr>
            <w:tcW w:w="933" w:type="dxa"/>
            <w:noWrap w:val="0"/>
            <w:vAlign w:val="top"/>
          </w:tcPr>
          <w:p w14:paraId="33ABA223">
            <w:pPr>
              <w:spacing w:line="440" w:lineRule="exact"/>
              <w:jc w:val="center"/>
              <w:rPr>
                <w:rFonts w:ascii="宋体" w:hAnsi="宋体"/>
                <w:color w:val="auto"/>
                <w:szCs w:val="21"/>
                <w:highlight w:val="none"/>
              </w:rPr>
            </w:pPr>
          </w:p>
        </w:tc>
        <w:tc>
          <w:tcPr>
            <w:tcW w:w="1430" w:type="dxa"/>
            <w:noWrap w:val="0"/>
            <w:vAlign w:val="top"/>
          </w:tcPr>
          <w:p w14:paraId="7EB5A463">
            <w:pPr>
              <w:spacing w:line="440" w:lineRule="exact"/>
              <w:jc w:val="center"/>
              <w:rPr>
                <w:rFonts w:ascii="宋体" w:hAnsi="宋体"/>
                <w:color w:val="auto"/>
                <w:szCs w:val="21"/>
                <w:highlight w:val="none"/>
              </w:rPr>
            </w:pPr>
          </w:p>
        </w:tc>
        <w:tc>
          <w:tcPr>
            <w:tcW w:w="742" w:type="dxa"/>
            <w:noWrap w:val="0"/>
            <w:vAlign w:val="top"/>
          </w:tcPr>
          <w:p w14:paraId="43DB365D">
            <w:pPr>
              <w:spacing w:line="440" w:lineRule="exact"/>
              <w:jc w:val="center"/>
              <w:rPr>
                <w:rFonts w:ascii="宋体" w:hAnsi="宋体"/>
                <w:color w:val="auto"/>
                <w:szCs w:val="21"/>
                <w:highlight w:val="none"/>
              </w:rPr>
            </w:pPr>
          </w:p>
        </w:tc>
      </w:tr>
      <w:tr w14:paraId="68DA4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5DF96C81">
            <w:pPr>
              <w:jc w:val="center"/>
              <w:rPr>
                <w:rFonts w:ascii="宋体" w:hAnsi="宋体"/>
                <w:bCs/>
                <w:color w:val="auto"/>
                <w:szCs w:val="21"/>
                <w:highlight w:val="none"/>
              </w:rPr>
            </w:pPr>
          </w:p>
        </w:tc>
        <w:tc>
          <w:tcPr>
            <w:tcW w:w="1027" w:type="dxa"/>
            <w:noWrap w:val="0"/>
            <w:vAlign w:val="top"/>
          </w:tcPr>
          <w:p w14:paraId="331AAF86">
            <w:pPr>
              <w:spacing w:line="440" w:lineRule="exact"/>
              <w:jc w:val="center"/>
              <w:rPr>
                <w:rFonts w:ascii="宋体" w:hAnsi="宋体"/>
                <w:color w:val="auto"/>
                <w:szCs w:val="21"/>
                <w:highlight w:val="none"/>
              </w:rPr>
            </w:pPr>
          </w:p>
        </w:tc>
        <w:tc>
          <w:tcPr>
            <w:tcW w:w="960" w:type="dxa"/>
            <w:noWrap w:val="0"/>
            <w:vAlign w:val="top"/>
          </w:tcPr>
          <w:p w14:paraId="1FC629B5">
            <w:pPr>
              <w:spacing w:line="440" w:lineRule="exact"/>
              <w:jc w:val="center"/>
              <w:rPr>
                <w:rFonts w:ascii="宋体" w:hAnsi="宋体"/>
                <w:color w:val="auto"/>
                <w:szCs w:val="21"/>
                <w:highlight w:val="none"/>
              </w:rPr>
            </w:pPr>
          </w:p>
        </w:tc>
        <w:tc>
          <w:tcPr>
            <w:tcW w:w="1347" w:type="dxa"/>
            <w:noWrap w:val="0"/>
            <w:vAlign w:val="top"/>
          </w:tcPr>
          <w:p w14:paraId="756F1241">
            <w:pPr>
              <w:spacing w:line="440" w:lineRule="exact"/>
              <w:jc w:val="center"/>
              <w:rPr>
                <w:rFonts w:ascii="宋体" w:hAnsi="宋体"/>
                <w:color w:val="auto"/>
                <w:szCs w:val="21"/>
                <w:highlight w:val="none"/>
              </w:rPr>
            </w:pPr>
          </w:p>
        </w:tc>
        <w:tc>
          <w:tcPr>
            <w:tcW w:w="893" w:type="dxa"/>
            <w:noWrap w:val="0"/>
            <w:vAlign w:val="top"/>
          </w:tcPr>
          <w:p w14:paraId="6A1CE35F">
            <w:pPr>
              <w:spacing w:line="440" w:lineRule="exact"/>
              <w:jc w:val="center"/>
              <w:rPr>
                <w:rFonts w:ascii="宋体" w:hAnsi="宋体"/>
                <w:color w:val="auto"/>
                <w:szCs w:val="21"/>
                <w:highlight w:val="none"/>
              </w:rPr>
            </w:pPr>
          </w:p>
        </w:tc>
        <w:tc>
          <w:tcPr>
            <w:tcW w:w="1080" w:type="dxa"/>
            <w:noWrap w:val="0"/>
            <w:vAlign w:val="top"/>
          </w:tcPr>
          <w:p w14:paraId="57F22250">
            <w:pPr>
              <w:spacing w:line="440" w:lineRule="exact"/>
              <w:jc w:val="center"/>
              <w:rPr>
                <w:rFonts w:ascii="宋体" w:hAnsi="宋体"/>
                <w:color w:val="auto"/>
                <w:szCs w:val="21"/>
                <w:highlight w:val="none"/>
              </w:rPr>
            </w:pPr>
          </w:p>
        </w:tc>
        <w:tc>
          <w:tcPr>
            <w:tcW w:w="933" w:type="dxa"/>
            <w:noWrap w:val="0"/>
            <w:vAlign w:val="top"/>
          </w:tcPr>
          <w:p w14:paraId="6891FA6B">
            <w:pPr>
              <w:spacing w:line="440" w:lineRule="exact"/>
              <w:jc w:val="center"/>
              <w:rPr>
                <w:rFonts w:ascii="宋体" w:hAnsi="宋体"/>
                <w:color w:val="auto"/>
                <w:szCs w:val="21"/>
                <w:highlight w:val="none"/>
              </w:rPr>
            </w:pPr>
          </w:p>
        </w:tc>
        <w:tc>
          <w:tcPr>
            <w:tcW w:w="1430" w:type="dxa"/>
            <w:noWrap w:val="0"/>
            <w:vAlign w:val="top"/>
          </w:tcPr>
          <w:p w14:paraId="2E00916F">
            <w:pPr>
              <w:spacing w:line="440" w:lineRule="exact"/>
              <w:jc w:val="center"/>
              <w:rPr>
                <w:rFonts w:ascii="宋体" w:hAnsi="宋体"/>
                <w:color w:val="auto"/>
                <w:szCs w:val="21"/>
                <w:highlight w:val="none"/>
              </w:rPr>
            </w:pPr>
          </w:p>
        </w:tc>
        <w:tc>
          <w:tcPr>
            <w:tcW w:w="742" w:type="dxa"/>
            <w:noWrap w:val="0"/>
            <w:vAlign w:val="top"/>
          </w:tcPr>
          <w:p w14:paraId="6DFF4FFA">
            <w:pPr>
              <w:spacing w:line="440" w:lineRule="exact"/>
              <w:jc w:val="center"/>
              <w:rPr>
                <w:rFonts w:ascii="宋体" w:hAnsi="宋体"/>
                <w:color w:val="auto"/>
                <w:szCs w:val="21"/>
                <w:highlight w:val="none"/>
              </w:rPr>
            </w:pPr>
          </w:p>
        </w:tc>
      </w:tr>
      <w:tr w14:paraId="04B664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65DFAC39">
            <w:pPr>
              <w:jc w:val="center"/>
              <w:rPr>
                <w:rFonts w:ascii="宋体" w:hAnsi="宋体"/>
                <w:bCs/>
                <w:color w:val="auto"/>
                <w:szCs w:val="21"/>
                <w:highlight w:val="none"/>
              </w:rPr>
            </w:pPr>
          </w:p>
        </w:tc>
        <w:tc>
          <w:tcPr>
            <w:tcW w:w="1027" w:type="dxa"/>
            <w:noWrap w:val="0"/>
            <w:vAlign w:val="top"/>
          </w:tcPr>
          <w:p w14:paraId="78D67A41">
            <w:pPr>
              <w:spacing w:line="440" w:lineRule="exact"/>
              <w:jc w:val="center"/>
              <w:rPr>
                <w:rFonts w:ascii="宋体" w:hAnsi="宋体"/>
                <w:color w:val="auto"/>
                <w:szCs w:val="21"/>
                <w:highlight w:val="none"/>
              </w:rPr>
            </w:pPr>
          </w:p>
        </w:tc>
        <w:tc>
          <w:tcPr>
            <w:tcW w:w="960" w:type="dxa"/>
            <w:noWrap w:val="0"/>
            <w:vAlign w:val="top"/>
          </w:tcPr>
          <w:p w14:paraId="1A9B4DFC">
            <w:pPr>
              <w:spacing w:line="440" w:lineRule="exact"/>
              <w:jc w:val="center"/>
              <w:rPr>
                <w:rFonts w:ascii="宋体" w:hAnsi="宋体"/>
                <w:color w:val="auto"/>
                <w:szCs w:val="21"/>
                <w:highlight w:val="none"/>
              </w:rPr>
            </w:pPr>
          </w:p>
        </w:tc>
        <w:tc>
          <w:tcPr>
            <w:tcW w:w="1347" w:type="dxa"/>
            <w:noWrap w:val="0"/>
            <w:vAlign w:val="top"/>
          </w:tcPr>
          <w:p w14:paraId="39538560">
            <w:pPr>
              <w:spacing w:line="440" w:lineRule="exact"/>
              <w:jc w:val="center"/>
              <w:rPr>
                <w:rFonts w:ascii="宋体" w:hAnsi="宋体"/>
                <w:color w:val="auto"/>
                <w:szCs w:val="21"/>
                <w:highlight w:val="none"/>
              </w:rPr>
            </w:pPr>
          </w:p>
        </w:tc>
        <w:tc>
          <w:tcPr>
            <w:tcW w:w="893" w:type="dxa"/>
            <w:noWrap w:val="0"/>
            <w:vAlign w:val="top"/>
          </w:tcPr>
          <w:p w14:paraId="4732D075">
            <w:pPr>
              <w:spacing w:line="440" w:lineRule="exact"/>
              <w:jc w:val="center"/>
              <w:rPr>
                <w:rFonts w:ascii="宋体" w:hAnsi="宋体"/>
                <w:color w:val="auto"/>
                <w:szCs w:val="21"/>
                <w:highlight w:val="none"/>
              </w:rPr>
            </w:pPr>
          </w:p>
        </w:tc>
        <w:tc>
          <w:tcPr>
            <w:tcW w:w="1080" w:type="dxa"/>
            <w:noWrap w:val="0"/>
            <w:vAlign w:val="top"/>
          </w:tcPr>
          <w:p w14:paraId="54EB4521">
            <w:pPr>
              <w:spacing w:line="440" w:lineRule="exact"/>
              <w:jc w:val="center"/>
              <w:rPr>
                <w:rFonts w:ascii="宋体" w:hAnsi="宋体"/>
                <w:color w:val="auto"/>
                <w:szCs w:val="21"/>
                <w:highlight w:val="none"/>
              </w:rPr>
            </w:pPr>
          </w:p>
        </w:tc>
        <w:tc>
          <w:tcPr>
            <w:tcW w:w="933" w:type="dxa"/>
            <w:noWrap w:val="0"/>
            <w:vAlign w:val="top"/>
          </w:tcPr>
          <w:p w14:paraId="6A9AAF19">
            <w:pPr>
              <w:spacing w:line="440" w:lineRule="exact"/>
              <w:jc w:val="center"/>
              <w:rPr>
                <w:rFonts w:ascii="宋体" w:hAnsi="宋体"/>
                <w:color w:val="auto"/>
                <w:szCs w:val="21"/>
                <w:highlight w:val="none"/>
              </w:rPr>
            </w:pPr>
          </w:p>
        </w:tc>
        <w:tc>
          <w:tcPr>
            <w:tcW w:w="1430" w:type="dxa"/>
            <w:noWrap w:val="0"/>
            <w:vAlign w:val="top"/>
          </w:tcPr>
          <w:p w14:paraId="662720BE">
            <w:pPr>
              <w:spacing w:line="440" w:lineRule="exact"/>
              <w:jc w:val="center"/>
              <w:rPr>
                <w:rFonts w:ascii="宋体" w:hAnsi="宋体"/>
                <w:color w:val="auto"/>
                <w:szCs w:val="21"/>
                <w:highlight w:val="none"/>
              </w:rPr>
            </w:pPr>
          </w:p>
        </w:tc>
        <w:tc>
          <w:tcPr>
            <w:tcW w:w="742" w:type="dxa"/>
            <w:noWrap w:val="0"/>
            <w:vAlign w:val="top"/>
          </w:tcPr>
          <w:p w14:paraId="0AAFB041">
            <w:pPr>
              <w:spacing w:line="440" w:lineRule="exact"/>
              <w:jc w:val="center"/>
              <w:rPr>
                <w:rFonts w:ascii="宋体" w:hAnsi="宋体"/>
                <w:color w:val="auto"/>
                <w:szCs w:val="21"/>
                <w:highlight w:val="none"/>
              </w:rPr>
            </w:pPr>
          </w:p>
        </w:tc>
      </w:tr>
      <w:tr w14:paraId="7FA5E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49E488F1">
            <w:pPr>
              <w:jc w:val="center"/>
              <w:rPr>
                <w:rFonts w:ascii="宋体" w:hAnsi="宋体"/>
                <w:bCs/>
                <w:color w:val="auto"/>
                <w:szCs w:val="21"/>
                <w:highlight w:val="none"/>
              </w:rPr>
            </w:pPr>
          </w:p>
        </w:tc>
        <w:tc>
          <w:tcPr>
            <w:tcW w:w="1027" w:type="dxa"/>
            <w:noWrap w:val="0"/>
            <w:vAlign w:val="top"/>
          </w:tcPr>
          <w:p w14:paraId="21EC0E2E">
            <w:pPr>
              <w:spacing w:line="440" w:lineRule="exact"/>
              <w:jc w:val="center"/>
              <w:rPr>
                <w:rFonts w:ascii="宋体" w:hAnsi="宋体"/>
                <w:color w:val="auto"/>
                <w:szCs w:val="21"/>
                <w:highlight w:val="none"/>
              </w:rPr>
            </w:pPr>
          </w:p>
        </w:tc>
        <w:tc>
          <w:tcPr>
            <w:tcW w:w="960" w:type="dxa"/>
            <w:noWrap w:val="0"/>
            <w:vAlign w:val="top"/>
          </w:tcPr>
          <w:p w14:paraId="69C76990">
            <w:pPr>
              <w:spacing w:line="440" w:lineRule="exact"/>
              <w:jc w:val="center"/>
              <w:rPr>
                <w:rFonts w:ascii="宋体" w:hAnsi="宋体"/>
                <w:color w:val="auto"/>
                <w:szCs w:val="21"/>
                <w:highlight w:val="none"/>
              </w:rPr>
            </w:pPr>
          </w:p>
        </w:tc>
        <w:tc>
          <w:tcPr>
            <w:tcW w:w="1347" w:type="dxa"/>
            <w:noWrap w:val="0"/>
            <w:vAlign w:val="top"/>
          </w:tcPr>
          <w:p w14:paraId="58EBCC7E">
            <w:pPr>
              <w:spacing w:line="440" w:lineRule="exact"/>
              <w:jc w:val="center"/>
              <w:rPr>
                <w:rFonts w:ascii="宋体" w:hAnsi="宋体"/>
                <w:color w:val="auto"/>
                <w:szCs w:val="21"/>
                <w:highlight w:val="none"/>
              </w:rPr>
            </w:pPr>
          </w:p>
        </w:tc>
        <w:tc>
          <w:tcPr>
            <w:tcW w:w="893" w:type="dxa"/>
            <w:noWrap w:val="0"/>
            <w:vAlign w:val="top"/>
          </w:tcPr>
          <w:p w14:paraId="20CC60D4">
            <w:pPr>
              <w:spacing w:line="440" w:lineRule="exact"/>
              <w:jc w:val="center"/>
              <w:rPr>
                <w:rFonts w:ascii="宋体" w:hAnsi="宋体"/>
                <w:color w:val="auto"/>
                <w:szCs w:val="21"/>
                <w:highlight w:val="none"/>
              </w:rPr>
            </w:pPr>
          </w:p>
        </w:tc>
        <w:tc>
          <w:tcPr>
            <w:tcW w:w="1080" w:type="dxa"/>
            <w:noWrap w:val="0"/>
            <w:vAlign w:val="top"/>
          </w:tcPr>
          <w:p w14:paraId="22FF4C85">
            <w:pPr>
              <w:spacing w:line="440" w:lineRule="exact"/>
              <w:jc w:val="center"/>
              <w:rPr>
                <w:rFonts w:ascii="宋体" w:hAnsi="宋体"/>
                <w:color w:val="auto"/>
                <w:szCs w:val="21"/>
                <w:highlight w:val="none"/>
              </w:rPr>
            </w:pPr>
          </w:p>
        </w:tc>
        <w:tc>
          <w:tcPr>
            <w:tcW w:w="933" w:type="dxa"/>
            <w:noWrap w:val="0"/>
            <w:vAlign w:val="top"/>
          </w:tcPr>
          <w:p w14:paraId="709A5D02">
            <w:pPr>
              <w:spacing w:line="440" w:lineRule="exact"/>
              <w:jc w:val="center"/>
              <w:rPr>
                <w:rFonts w:ascii="宋体" w:hAnsi="宋体"/>
                <w:color w:val="auto"/>
                <w:szCs w:val="21"/>
                <w:highlight w:val="none"/>
              </w:rPr>
            </w:pPr>
          </w:p>
        </w:tc>
        <w:tc>
          <w:tcPr>
            <w:tcW w:w="1430" w:type="dxa"/>
            <w:noWrap w:val="0"/>
            <w:vAlign w:val="top"/>
          </w:tcPr>
          <w:p w14:paraId="29649AD1">
            <w:pPr>
              <w:spacing w:line="440" w:lineRule="exact"/>
              <w:jc w:val="center"/>
              <w:rPr>
                <w:rFonts w:ascii="宋体" w:hAnsi="宋体"/>
                <w:color w:val="auto"/>
                <w:szCs w:val="21"/>
                <w:highlight w:val="none"/>
              </w:rPr>
            </w:pPr>
          </w:p>
        </w:tc>
        <w:tc>
          <w:tcPr>
            <w:tcW w:w="742" w:type="dxa"/>
            <w:noWrap w:val="0"/>
            <w:vAlign w:val="top"/>
          </w:tcPr>
          <w:p w14:paraId="5C23C671">
            <w:pPr>
              <w:spacing w:line="440" w:lineRule="exact"/>
              <w:jc w:val="center"/>
              <w:rPr>
                <w:rFonts w:ascii="宋体" w:hAnsi="宋体"/>
                <w:color w:val="auto"/>
                <w:szCs w:val="21"/>
                <w:highlight w:val="none"/>
              </w:rPr>
            </w:pPr>
          </w:p>
        </w:tc>
      </w:tr>
      <w:tr w14:paraId="18E87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53A6DDE0">
            <w:pPr>
              <w:jc w:val="center"/>
              <w:rPr>
                <w:rFonts w:ascii="宋体" w:hAnsi="宋体"/>
                <w:bCs/>
                <w:color w:val="auto"/>
                <w:szCs w:val="21"/>
                <w:highlight w:val="none"/>
              </w:rPr>
            </w:pPr>
          </w:p>
        </w:tc>
        <w:tc>
          <w:tcPr>
            <w:tcW w:w="1027" w:type="dxa"/>
            <w:noWrap w:val="0"/>
            <w:vAlign w:val="top"/>
          </w:tcPr>
          <w:p w14:paraId="6DDFBA35">
            <w:pPr>
              <w:spacing w:line="440" w:lineRule="exact"/>
              <w:jc w:val="center"/>
              <w:rPr>
                <w:rFonts w:ascii="宋体" w:hAnsi="宋体"/>
                <w:color w:val="auto"/>
                <w:szCs w:val="21"/>
                <w:highlight w:val="none"/>
              </w:rPr>
            </w:pPr>
          </w:p>
        </w:tc>
        <w:tc>
          <w:tcPr>
            <w:tcW w:w="960" w:type="dxa"/>
            <w:noWrap w:val="0"/>
            <w:vAlign w:val="top"/>
          </w:tcPr>
          <w:p w14:paraId="6FF1752F">
            <w:pPr>
              <w:spacing w:line="440" w:lineRule="exact"/>
              <w:jc w:val="center"/>
              <w:rPr>
                <w:rFonts w:ascii="宋体" w:hAnsi="宋体"/>
                <w:color w:val="auto"/>
                <w:szCs w:val="21"/>
                <w:highlight w:val="none"/>
              </w:rPr>
            </w:pPr>
          </w:p>
        </w:tc>
        <w:tc>
          <w:tcPr>
            <w:tcW w:w="1347" w:type="dxa"/>
            <w:noWrap w:val="0"/>
            <w:vAlign w:val="top"/>
          </w:tcPr>
          <w:p w14:paraId="5B78ECB7">
            <w:pPr>
              <w:spacing w:line="440" w:lineRule="exact"/>
              <w:jc w:val="center"/>
              <w:rPr>
                <w:rFonts w:ascii="宋体" w:hAnsi="宋体"/>
                <w:color w:val="auto"/>
                <w:szCs w:val="21"/>
                <w:highlight w:val="none"/>
              </w:rPr>
            </w:pPr>
          </w:p>
        </w:tc>
        <w:tc>
          <w:tcPr>
            <w:tcW w:w="893" w:type="dxa"/>
            <w:noWrap w:val="0"/>
            <w:vAlign w:val="top"/>
          </w:tcPr>
          <w:p w14:paraId="53FFDB75">
            <w:pPr>
              <w:spacing w:line="440" w:lineRule="exact"/>
              <w:jc w:val="center"/>
              <w:rPr>
                <w:rFonts w:ascii="宋体" w:hAnsi="宋体"/>
                <w:color w:val="auto"/>
                <w:szCs w:val="21"/>
                <w:highlight w:val="none"/>
              </w:rPr>
            </w:pPr>
          </w:p>
        </w:tc>
        <w:tc>
          <w:tcPr>
            <w:tcW w:w="1080" w:type="dxa"/>
            <w:noWrap w:val="0"/>
            <w:vAlign w:val="top"/>
          </w:tcPr>
          <w:p w14:paraId="7BFE854F">
            <w:pPr>
              <w:spacing w:line="440" w:lineRule="exact"/>
              <w:jc w:val="center"/>
              <w:rPr>
                <w:rFonts w:ascii="宋体" w:hAnsi="宋体"/>
                <w:color w:val="auto"/>
                <w:szCs w:val="21"/>
                <w:highlight w:val="none"/>
              </w:rPr>
            </w:pPr>
          </w:p>
        </w:tc>
        <w:tc>
          <w:tcPr>
            <w:tcW w:w="933" w:type="dxa"/>
            <w:noWrap w:val="0"/>
            <w:vAlign w:val="top"/>
          </w:tcPr>
          <w:p w14:paraId="1EAE4F0C">
            <w:pPr>
              <w:spacing w:line="440" w:lineRule="exact"/>
              <w:jc w:val="center"/>
              <w:rPr>
                <w:rFonts w:ascii="宋体" w:hAnsi="宋体"/>
                <w:color w:val="auto"/>
                <w:szCs w:val="21"/>
                <w:highlight w:val="none"/>
              </w:rPr>
            </w:pPr>
          </w:p>
        </w:tc>
        <w:tc>
          <w:tcPr>
            <w:tcW w:w="1430" w:type="dxa"/>
            <w:noWrap w:val="0"/>
            <w:vAlign w:val="top"/>
          </w:tcPr>
          <w:p w14:paraId="6D92BC72">
            <w:pPr>
              <w:spacing w:line="440" w:lineRule="exact"/>
              <w:jc w:val="center"/>
              <w:rPr>
                <w:rFonts w:ascii="宋体" w:hAnsi="宋体"/>
                <w:color w:val="auto"/>
                <w:szCs w:val="21"/>
                <w:highlight w:val="none"/>
              </w:rPr>
            </w:pPr>
          </w:p>
        </w:tc>
        <w:tc>
          <w:tcPr>
            <w:tcW w:w="742" w:type="dxa"/>
            <w:noWrap w:val="0"/>
            <w:vAlign w:val="top"/>
          </w:tcPr>
          <w:p w14:paraId="55E2C09E">
            <w:pPr>
              <w:spacing w:line="440" w:lineRule="exact"/>
              <w:jc w:val="center"/>
              <w:rPr>
                <w:rFonts w:ascii="宋体" w:hAnsi="宋体"/>
                <w:color w:val="auto"/>
                <w:szCs w:val="21"/>
                <w:highlight w:val="none"/>
              </w:rPr>
            </w:pPr>
          </w:p>
        </w:tc>
      </w:tr>
      <w:tr w14:paraId="5F1BC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416D8CEF">
            <w:pPr>
              <w:jc w:val="center"/>
              <w:rPr>
                <w:rFonts w:ascii="宋体" w:hAnsi="宋体"/>
                <w:bCs/>
                <w:color w:val="auto"/>
                <w:szCs w:val="21"/>
                <w:highlight w:val="none"/>
              </w:rPr>
            </w:pPr>
          </w:p>
        </w:tc>
        <w:tc>
          <w:tcPr>
            <w:tcW w:w="1027" w:type="dxa"/>
            <w:noWrap w:val="0"/>
            <w:vAlign w:val="top"/>
          </w:tcPr>
          <w:p w14:paraId="0E417D8A">
            <w:pPr>
              <w:spacing w:line="440" w:lineRule="exact"/>
              <w:jc w:val="center"/>
              <w:rPr>
                <w:rFonts w:ascii="宋体" w:hAnsi="宋体"/>
                <w:color w:val="auto"/>
                <w:szCs w:val="21"/>
                <w:highlight w:val="none"/>
              </w:rPr>
            </w:pPr>
          </w:p>
        </w:tc>
        <w:tc>
          <w:tcPr>
            <w:tcW w:w="960" w:type="dxa"/>
            <w:noWrap w:val="0"/>
            <w:vAlign w:val="top"/>
          </w:tcPr>
          <w:p w14:paraId="1693793E">
            <w:pPr>
              <w:spacing w:line="440" w:lineRule="exact"/>
              <w:jc w:val="center"/>
              <w:rPr>
                <w:rFonts w:ascii="宋体" w:hAnsi="宋体"/>
                <w:color w:val="auto"/>
                <w:szCs w:val="21"/>
                <w:highlight w:val="none"/>
              </w:rPr>
            </w:pPr>
          </w:p>
        </w:tc>
        <w:tc>
          <w:tcPr>
            <w:tcW w:w="1347" w:type="dxa"/>
            <w:noWrap w:val="0"/>
            <w:vAlign w:val="top"/>
          </w:tcPr>
          <w:p w14:paraId="338FEE12">
            <w:pPr>
              <w:spacing w:line="440" w:lineRule="exact"/>
              <w:jc w:val="center"/>
              <w:rPr>
                <w:rFonts w:ascii="宋体" w:hAnsi="宋体"/>
                <w:color w:val="auto"/>
                <w:szCs w:val="21"/>
                <w:highlight w:val="none"/>
              </w:rPr>
            </w:pPr>
          </w:p>
        </w:tc>
        <w:tc>
          <w:tcPr>
            <w:tcW w:w="893" w:type="dxa"/>
            <w:noWrap w:val="0"/>
            <w:vAlign w:val="top"/>
          </w:tcPr>
          <w:p w14:paraId="1F2B7460">
            <w:pPr>
              <w:spacing w:line="440" w:lineRule="exact"/>
              <w:jc w:val="center"/>
              <w:rPr>
                <w:rFonts w:ascii="宋体" w:hAnsi="宋体"/>
                <w:color w:val="auto"/>
                <w:szCs w:val="21"/>
                <w:highlight w:val="none"/>
              </w:rPr>
            </w:pPr>
          </w:p>
        </w:tc>
        <w:tc>
          <w:tcPr>
            <w:tcW w:w="1080" w:type="dxa"/>
            <w:noWrap w:val="0"/>
            <w:vAlign w:val="top"/>
          </w:tcPr>
          <w:p w14:paraId="1BFC53F9">
            <w:pPr>
              <w:spacing w:line="440" w:lineRule="exact"/>
              <w:jc w:val="center"/>
              <w:rPr>
                <w:rFonts w:ascii="宋体" w:hAnsi="宋体"/>
                <w:color w:val="auto"/>
                <w:szCs w:val="21"/>
                <w:highlight w:val="none"/>
              </w:rPr>
            </w:pPr>
          </w:p>
        </w:tc>
        <w:tc>
          <w:tcPr>
            <w:tcW w:w="933" w:type="dxa"/>
            <w:noWrap w:val="0"/>
            <w:vAlign w:val="top"/>
          </w:tcPr>
          <w:p w14:paraId="5DE472D8">
            <w:pPr>
              <w:spacing w:line="440" w:lineRule="exact"/>
              <w:jc w:val="center"/>
              <w:rPr>
                <w:rFonts w:ascii="宋体" w:hAnsi="宋体"/>
                <w:color w:val="auto"/>
                <w:szCs w:val="21"/>
                <w:highlight w:val="none"/>
              </w:rPr>
            </w:pPr>
          </w:p>
        </w:tc>
        <w:tc>
          <w:tcPr>
            <w:tcW w:w="1430" w:type="dxa"/>
            <w:noWrap w:val="0"/>
            <w:vAlign w:val="top"/>
          </w:tcPr>
          <w:p w14:paraId="366239DC">
            <w:pPr>
              <w:spacing w:line="440" w:lineRule="exact"/>
              <w:jc w:val="center"/>
              <w:rPr>
                <w:rFonts w:ascii="宋体" w:hAnsi="宋体"/>
                <w:color w:val="auto"/>
                <w:szCs w:val="21"/>
                <w:highlight w:val="none"/>
              </w:rPr>
            </w:pPr>
          </w:p>
        </w:tc>
        <w:tc>
          <w:tcPr>
            <w:tcW w:w="742" w:type="dxa"/>
            <w:noWrap w:val="0"/>
            <w:vAlign w:val="top"/>
          </w:tcPr>
          <w:p w14:paraId="44F5B136">
            <w:pPr>
              <w:spacing w:line="440" w:lineRule="exact"/>
              <w:jc w:val="center"/>
              <w:rPr>
                <w:rFonts w:ascii="宋体" w:hAnsi="宋体"/>
                <w:color w:val="auto"/>
                <w:szCs w:val="21"/>
                <w:highlight w:val="none"/>
              </w:rPr>
            </w:pPr>
          </w:p>
        </w:tc>
      </w:tr>
      <w:tr w14:paraId="2EB46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49DF9FB8">
            <w:pPr>
              <w:jc w:val="center"/>
              <w:rPr>
                <w:rFonts w:ascii="宋体" w:hAnsi="宋体"/>
                <w:bCs/>
                <w:color w:val="auto"/>
                <w:szCs w:val="21"/>
                <w:highlight w:val="none"/>
              </w:rPr>
            </w:pPr>
          </w:p>
        </w:tc>
        <w:tc>
          <w:tcPr>
            <w:tcW w:w="1027" w:type="dxa"/>
            <w:noWrap w:val="0"/>
            <w:vAlign w:val="top"/>
          </w:tcPr>
          <w:p w14:paraId="31AF1A97">
            <w:pPr>
              <w:spacing w:line="440" w:lineRule="exact"/>
              <w:jc w:val="center"/>
              <w:rPr>
                <w:rFonts w:ascii="宋体" w:hAnsi="宋体"/>
                <w:color w:val="auto"/>
                <w:szCs w:val="21"/>
                <w:highlight w:val="none"/>
              </w:rPr>
            </w:pPr>
          </w:p>
        </w:tc>
        <w:tc>
          <w:tcPr>
            <w:tcW w:w="960" w:type="dxa"/>
            <w:noWrap w:val="0"/>
            <w:vAlign w:val="top"/>
          </w:tcPr>
          <w:p w14:paraId="38FD054B">
            <w:pPr>
              <w:spacing w:line="440" w:lineRule="exact"/>
              <w:jc w:val="center"/>
              <w:rPr>
                <w:rFonts w:ascii="宋体" w:hAnsi="宋体"/>
                <w:color w:val="auto"/>
                <w:szCs w:val="21"/>
                <w:highlight w:val="none"/>
              </w:rPr>
            </w:pPr>
          </w:p>
        </w:tc>
        <w:tc>
          <w:tcPr>
            <w:tcW w:w="1347" w:type="dxa"/>
            <w:noWrap w:val="0"/>
            <w:vAlign w:val="top"/>
          </w:tcPr>
          <w:p w14:paraId="5631A795">
            <w:pPr>
              <w:spacing w:line="440" w:lineRule="exact"/>
              <w:jc w:val="center"/>
              <w:rPr>
                <w:rFonts w:ascii="宋体" w:hAnsi="宋体"/>
                <w:color w:val="auto"/>
                <w:szCs w:val="21"/>
                <w:highlight w:val="none"/>
              </w:rPr>
            </w:pPr>
          </w:p>
        </w:tc>
        <w:tc>
          <w:tcPr>
            <w:tcW w:w="893" w:type="dxa"/>
            <w:noWrap w:val="0"/>
            <w:vAlign w:val="top"/>
          </w:tcPr>
          <w:p w14:paraId="2A794B6E">
            <w:pPr>
              <w:spacing w:line="440" w:lineRule="exact"/>
              <w:jc w:val="center"/>
              <w:rPr>
                <w:rFonts w:ascii="宋体" w:hAnsi="宋体"/>
                <w:color w:val="auto"/>
                <w:szCs w:val="21"/>
                <w:highlight w:val="none"/>
              </w:rPr>
            </w:pPr>
          </w:p>
        </w:tc>
        <w:tc>
          <w:tcPr>
            <w:tcW w:w="1080" w:type="dxa"/>
            <w:noWrap w:val="0"/>
            <w:vAlign w:val="top"/>
          </w:tcPr>
          <w:p w14:paraId="094AFB25">
            <w:pPr>
              <w:spacing w:line="440" w:lineRule="exact"/>
              <w:jc w:val="center"/>
              <w:rPr>
                <w:rFonts w:ascii="宋体" w:hAnsi="宋体"/>
                <w:color w:val="auto"/>
                <w:szCs w:val="21"/>
                <w:highlight w:val="none"/>
              </w:rPr>
            </w:pPr>
          </w:p>
        </w:tc>
        <w:tc>
          <w:tcPr>
            <w:tcW w:w="933" w:type="dxa"/>
            <w:noWrap w:val="0"/>
            <w:vAlign w:val="top"/>
          </w:tcPr>
          <w:p w14:paraId="477F5F4F">
            <w:pPr>
              <w:spacing w:line="440" w:lineRule="exact"/>
              <w:jc w:val="center"/>
              <w:rPr>
                <w:rFonts w:ascii="宋体" w:hAnsi="宋体"/>
                <w:color w:val="auto"/>
                <w:szCs w:val="21"/>
                <w:highlight w:val="none"/>
              </w:rPr>
            </w:pPr>
          </w:p>
        </w:tc>
        <w:tc>
          <w:tcPr>
            <w:tcW w:w="1430" w:type="dxa"/>
            <w:noWrap w:val="0"/>
            <w:vAlign w:val="top"/>
          </w:tcPr>
          <w:p w14:paraId="14E8DE13">
            <w:pPr>
              <w:spacing w:line="440" w:lineRule="exact"/>
              <w:jc w:val="center"/>
              <w:rPr>
                <w:rFonts w:ascii="宋体" w:hAnsi="宋体"/>
                <w:color w:val="auto"/>
                <w:szCs w:val="21"/>
                <w:highlight w:val="none"/>
              </w:rPr>
            </w:pPr>
          </w:p>
        </w:tc>
        <w:tc>
          <w:tcPr>
            <w:tcW w:w="742" w:type="dxa"/>
            <w:noWrap w:val="0"/>
            <w:vAlign w:val="top"/>
          </w:tcPr>
          <w:p w14:paraId="2297CE92">
            <w:pPr>
              <w:spacing w:line="440" w:lineRule="exact"/>
              <w:jc w:val="center"/>
              <w:rPr>
                <w:rFonts w:ascii="宋体" w:hAnsi="宋体"/>
                <w:color w:val="auto"/>
                <w:szCs w:val="21"/>
                <w:highlight w:val="none"/>
              </w:rPr>
            </w:pPr>
          </w:p>
        </w:tc>
      </w:tr>
      <w:tr w14:paraId="64F868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20B997F9">
            <w:pPr>
              <w:jc w:val="center"/>
              <w:rPr>
                <w:rFonts w:ascii="宋体" w:hAnsi="宋体"/>
                <w:bCs/>
                <w:color w:val="auto"/>
                <w:szCs w:val="21"/>
                <w:highlight w:val="none"/>
              </w:rPr>
            </w:pPr>
          </w:p>
        </w:tc>
        <w:tc>
          <w:tcPr>
            <w:tcW w:w="1027" w:type="dxa"/>
            <w:noWrap w:val="0"/>
            <w:vAlign w:val="top"/>
          </w:tcPr>
          <w:p w14:paraId="5F6E9FD1">
            <w:pPr>
              <w:spacing w:line="440" w:lineRule="exact"/>
              <w:jc w:val="center"/>
              <w:rPr>
                <w:rFonts w:ascii="宋体" w:hAnsi="宋体"/>
                <w:color w:val="auto"/>
                <w:szCs w:val="21"/>
                <w:highlight w:val="none"/>
              </w:rPr>
            </w:pPr>
          </w:p>
        </w:tc>
        <w:tc>
          <w:tcPr>
            <w:tcW w:w="960" w:type="dxa"/>
            <w:noWrap w:val="0"/>
            <w:vAlign w:val="top"/>
          </w:tcPr>
          <w:p w14:paraId="6389C754">
            <w:pPr>
              <w:spacing w:line="440" w:lineRule="exact"/>
              <w:jc w:val="center"/>
              <w:rPr>
                <w:rFonts w:ascii="宋体" w:hAnsi="宋体"/>
                <w:color w:val="auto"/>
                <w:szCs w:val="21"/>
                <w:highlight w:val="none"/>
              </w:rPr>
            </w:pPr>
          </w:p>
        </w:tc>
        <w:tc>
          <w:tcPr>
            <w:tcW w:w="1347" w:type="dxa"/>
            <w:noWrap w:val="0"/>
            <w:vAlign w:val="top"/>
          </w:tcPr>
          <w:p w14:paraId="0C66D1AE">
            <w:pPr>
              <w:spacing w:line="440" w:lineRule="exact"/>
              <w:jc w:val="center"/>
              <w:rPr>
                <w:rFonts w:ascii="宋体" w:hAnsi="宋体"/>
                <w:color w:val="auto"/>
                <w:szCs w:val="21"/>
                <w:highlight w:val="none"/>
              </w:rPr>
            </w:pPr>
          </w:p>
        </w:tc>
        <w:tc>
          <w:tcPr>
            <w:tcW w:w="893" w:type="dxa"/>
            <w:noWrap w:val="0"/>
            <w:vAlign w:val="top"/>
          </w:tcPr>
          <w:p w14:paraId="4D4695CD">
            <w:pPr>
              <w:spacing w:line="440" w:lineRule="exact"/>
              <w:jc w:val="center"/>
              <w:rPr>
                <w:rFonts w:ascii="宋体" w:hAnsi="宋体"/>
                <w:color w:val="auto"/>
                <w:szCs w:val="21"/>
                <w:highlight w:val="none"/>
              </w:rPr>
            </w:pPr>
          </w:p>
        </w:tc>
        <w:tc>
          <w:tcPr>
            <w:tcW w:w="1080" w:type="dxa"/>
            <w:noWrap w:val="0"/>
            <w:vAlign w:val="top"/>
          </w:tcPr>
          <w:p w14:paraId="5AF24C01">
            <w:pPr>
              <w:spacing w:line="440" w:lineRule="exact"/>
              <w:jc w:val="center"/>
              <w:rPr>
                <w:rFonts w:ascii="宋体" w:hAnsi="宋体"/>
                <w:color w:val="auto"/>
                <w:szCs w:val="21"/>
                <w:highlight w:val="none"/>
              </w:rPr>
            </w:pPr>
          </w:p>
        </w:tc>
        <w:tc>
          <w:tcPr>
            <w:tcW w:w="933" w:type="dxa"/>
            <w:noWrap w:val="0"/>
            <w:vAlign w:val="top"/>
          </w:tcPr>
          <w:p w14:paraId="57C280C5">
            <w:pPr>
              <w:spacing w:line="440" w:lineRule="exact"/>
              <w:jc w:val="center"/>
              <w:rPr>
                <w:rFonts w:ascii="宋体" w:hAnsi="宋体"/>
                <w:color w:val="auto"/>
                <w:szCs w:val="21"/>
                <w:highlight w:val="none"/>
              </w:rPr>
            </w:pPr>
          </w:p>
        </w:tc>
        <w:tc>
          <w:tcPr>
            <w:tcW w:w="1430" w:type="dxa"/>
            <w:noWrap w:val="0"/>
            <w:vAlign w:val="top"/>
          </w:tcPr>
          <w:p w14:paraId="3D2CB071">
            <w:pPr>
              <w:spacing w:line="440" w:lineRule="exact"/>
              <w:jc w:val="center"/>
              <w:rPr>
                <w:rFonts w:ascii="宋体" w:hAnsi="宋体"/>
                <w:color w:val="auto"/>
                <w:szCs w:val="21"/>
                <w:highlight w:val="none"/>
              </w:rPr>
            </w:pPr>
          </w:p>
        </w:tc>
        <w:tc>
          <w:tcPr>
            <w:tcW w:w="742" w:type="dxa"/>
            <w:noWrap w:val="0"/>
            <w:vAlign w:val="top"/>
          </w:tcPr>
          <w:p w14:paraId="293613C7">
            <w:pPr>
              <w:spacing w:line="440" w:lineRule="exact"/>
              <w:jc w:val="center"/>
              <w:rPr>
                <w:rFonts w:ascii="宋体" w:hAnsi="宋体"/>
                <w:color w:val="auto"/>
                <w:szCs w:val="21"/>
                <w:highlight w:val="none"/>
              </w:rPr>
            </w:pPr>
          </w:p>
        </w:tc>
      </w:tr>
      <w:tr w14:paraId="744F2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center"/>
          </w:tcPr>
          <w:p w14:paraId="601552DC">
            <w:pPr>
              <w:spacing w:line="440" w:lineRule="exact"/>
              <w:jc w:val="center"/>
              <w:rPr>
                <w:rFonts w:ascii="宋体" w:hAnsi="宋体"/>
                <w:bCs/>
                <w:color w:val="auto"/>
                <w:szCs w:val="21"/>
                <w:highlight w:val="none"/>
              </w:rPr>
            </w:pPr>
          </w:p>
        </w:tc>
        <w:tc>
          <w:tcPr>
            <w:tcW w:w="1027" w:type="dxa"/>
            <w:noWrap w:val="0"/>
            <w:vAlign w:val="top"/>
          </w:tcPr>
          <w:p w14:paraId="06867DFF">
            <w:pPr>
              <w:spacing w:line="440" w:lineRule="exact"/>
              <w:jc w:val="center"/>
              <w:rPr>
                <w:rFonts w:ascii="宋体" w:hAnsi="宋体"/>
                <w:color w:val="auto"/>
                <w:szCs w:val="21"/>
                <w:highlight w:val="none"/>
              </w:rPr>
            </w:pPr>
          </w:p>
        </w:tc>
        <w:tc>
          <w:tcPr>
            <w:tcW w:w="960" w:type="dxa"/>
            <w:noWrap w:val="0"/>
            <w:vAlign w:val="top"/>
          </w:tcPr>
          <w:p w14:paraId="645658F0">
            <w:pPr>
              <w:spacing w:line="440" w:lineRule="exact"/>
              <w:jc w:val="center"/>
              <w:rPr>
                <w:rFonts w:ascii="宋体" w:hAnsi="宋体"/>
                <w:color w:val="auto"/>
                <w:szCs w:val="21"/>
                <w:highlight w:val="none"/>
              </w:rPr>
            </w:pPr>
          </w:p>
        </w:tc>
        <w:tc>
          <w:tcPr>
            <w:tcW w:w="1347" w:type="dxa"/>
            <w:noWrap w:val="0"/>
            <w:vAlign w:val="top"/>
          </w:tcPr>
          <w:p w14:paraId="0ADA64A4">
            <w:pPr>
              <w:spacing w:line="440" w:lineRule="exact"/>
              <w:jc w:val="center"/>
              <w:rPr>
                <w:rFonts w:ascii="宋体" w:hAnsi="宋体"/>
                <w:color w:val="auto"/>
                <w:szCs w:val="21"/>
                <w:highlight w:val="none"/>
              </w:rPr>
            </w:pPr>
          </w:p>
        </w:tc>
        <w:tc>
          <w:tcPr>
            <w:tcW w:w="893" w:type="dxa"/>
            <w:noWrap w:val="0"/>
            <w:vAlign w:val="top"/>
          </w:tcPr>
          <w:p w14:paraId="6A6701FB">
            <w:pPr>
              <w:spacing w:line="440" w:lineRule="exact"/>
              <w:jc w:val="center"/>
              <w:rPr>
                <w:rFonts w:ascii="宋体" w:hAnsi="宋体"/>
                <w:color w:val="auto"/>
                <w:szCs w:val="21"/>
                <w:highlight w:val="none"/>
              </w:rPr>
            </w:pPr>
          </w:p>
        </w:tc>
        <w:tc>
          <w:tcPr>
            <w:tcW w:w="1080" w:type="dxa"/>
            <w:noWrap w:val="0"/>
            <w:vAlign w:val="top"/>
          </w:tcPr>
          <w:p w14:paraId="113B95CF">
            <w:pPr>
              <w:spacing w:line="440" w:lineRule="exact"/>
              <w:jc w:val="center"/>
              <w:rPr>
                <w:rFonts w:ascii="宋体" w:hAnsi="宋体"/>
                <w:color w:val="auto"/>
                <w:szCs w:val="21"/>
                <w:highlight w:val="none"/>
              </w:rPr>
            </w:pPr>
          </w:p>
        </w:tc>
        <w:tc>
          <w:tcPr>
            <w:tcW w:w="933" w:type="dxa"/>
            <w:noWrap w:val="0"/>
            <w:vAlign w:val="top"/>
          </w:tcPr>
          <w:p w14:paraId="6FB37D5A">
            <w:pPr>
              <w:spacing w:line="440" w:lineRule="exact"/>
              <w:jc w:val="center"/>
              <w:rPr>
                <w:rFonts w:ascii="宋体" w:hAnsi="宋体"/>
                <w:color w:val="auto"/>
                <w:szCs w:val="21"/>
                <w:highlight w:val="none"/>
              </w:rPr>
            </w:pPr>
          </w:p>
        </w:tc>
        <w:tc>
          <w:tcPr>
            <w:tcW w:w="1430" w:type="dxa"/>
            <w:noWrap w:val="0"/>
            <w:vAlign w:val="top"/>
          </w:tcPr>
          <w:p w14:paraId="43A13AC5">
            <w:pPr>
              <w:spacing w:line="440" w:lineRule="exact"/>
              <w:jc w:val="center"/>
              <w:rPr>
                <w:rFonts w:ascii="宋体" w:hAnsi="宋体"/>
                <w:color w:val="auto"/>
                <w:szCs w:val="21"/>
                <w:highlight w:val="none"/>
              </w:rPr>
            </w:pPr>
          </w:p>
        </w:tc>
        <w:tc>
          <w:tcPr>
            <w:tcW w:w="742" w:type="dxa"/>
            <w:noWrap w:val="0"/>
            <w:vAlign w:val="top"/>
          </w:tcPr>
          <w:p w14:paraId="390CF5D3">
            <w:pPr>
              <w:spacing w:line="440" w:lineRule="exact"/>
              <w:jc w:val="center"/>
              <w:rPr>
                <w:rFonts w:ascii="宋体" w:hAnsi="宋体"/>
                <w:color w:val="auto"/>
                <w:szCs w:val="21"/>
                <w:highlight w:val="none"/>
              </w:rPr>
            </w:pPr>
          </w:p>
        </w:tc>
      </w:tr>
      <w:tr w14:paraId="42392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top"/>
          </w:tcPr>
          <w:p w14:paraId="62E99019">
            <w:pPr>
              <w:spacing w:line="440" w:lineRule="exact"/>
              <w:jc w:val="center"/>
              <w:rPr>
                <w:rFonts w:ascii="宋体" w:hAnsi="宋体"/>
                <w:color w:val="auto"/>
                <w:szCs w:val="21"/>
                <w:highlight w:val="none"/>
              </w:rPr>
            </w:pPr>
          </w:p>
        </w:tc>
        <w:tc>
          <w:tcPr>
            <w:tcW w:w="1027" w:type="dxa"/>
            <w:noWrap w:val="0"/>
            <w:vAlign w:val="top"/>
          </w:tcPr>
          <w:p w14:paraId="18D82888">
            <w:pPr>
              <w:spacing w:line="440" w:lineRule="exact"/>
              <w:jc w:val="center"/>
              <w:rPr>
                <w:rFonts w:ascii="宋体" w:hAnsi="宋体"/>
                <w:color w:val="auto"/>
                <w:szCs w:val="21"/>
                <w:highlight w:val="none"/>
              </w:rPr>
            </w:pPr>
          </w:p>
        </w:tc>
        <w:tc>
          <w:tcPr>
            <w:tcW w:w="960" w:type="dxa"/>
            <w:noWrap w:val="0"/>
            <w:vAlign w:val="top"/>
          </w:tcPr>
          <w:p w14:paraId="0B10FCC0">
            <w:pPr>
              <w:spacing w:line="440" w:lineRule="exact"/>
              <w:jc w:val="center"/>
              <w:rPr>
                <w:rFonts w:ascii="宋体" w:hAnsi="宋体"/>
                <w:color w:val="auto"/>
                <w:szCs w:val="21"/>
                <w:highlight w:val="none"/>
              </w:rPr>
            </w:pPr>
          </w:p>
        </w:tc>
        <w:tc>
          <w:tcPr>
            <w:tcW w:w="1347" w:type="dxa"/>
            <w:noWrap w:val="0"/>
            <w:vAlign w:val="top"/>
          </w:tcPr>
          <w:p w14:paraId="3B036C3F">
            <w:pPr>
              <w:spacing w:line="440" w:lineRule="exact"/>
              <w:jc w:val="center"/>
              <w:rPr>
                <w:rFonts w:ascii="宋体" w:hAnsi="宋体"/>
                <w:color w:val="auto"/>
                <w:szCs w:val="21"/>
                <w:highlight w:val="none"/>
              </w:rPr>
            </w:pPr>
          </w:p>
        </w:tc>
        <w:tc>
          <w:tcPr>
            <w:tcW w:w="893" w:type="dxa"/>
            <w:noWrap w:val="0"/>
            <w:vAlign w:val="top"/>
          </w:tcPr>
          <w:p w14:paraId="0DCEED59">
            <w:pPr>
              <w:spacing w:line="440" w:lineRule="exact"/>
              <w:jc w:val="center"/>
              <w:rPr>
                <w:rFonts w:ascii="宋体" w:hAnsi="宋体"/>
                <w:color w:val="auto"/>
                <w:szCs w:val="21"/>
                <w:highlight w:val="none"/>
              </w:rPr>
            </w:pPr>
          </w:p>
        </w:tc>
        <w:tc>
          <w:tcPr>
            <w:tcW w:w="1080" w:type="dxa"/>
            <w:noWrap w:val="0"/>
            <w:vAlign w:val="top"/>
          </w:tcPr>
          <w:p w14:paraId="48776FC2">
            <w:pPr>
              <w:spacing w:line="440" w:lineRule="exact"/>
              <w:jc w:val="center"/>
              <w:rPr>
                <w:rFonts w:ascii="宋体" w:hAnsi="宋体"/>
                <w:color w:val="auto"/>
                <w:szCs w:val="21"/>
                <w:highlight w:val="none"/>
              </w:rPr>
            </w:pPr>
          </w:p>
        </w:tc>
        <w:tc>
          <w:tcPr>
            <w:tcW w:w="933" w:type="dxa"/>
            <w:noWrap w:val="0"/>
            <w:vAlign w:val="top"/>
          </w:tcPr>
          <w:p w14:paraId="437ECE8D">
            <w:pPr>
              <w:spacing w:line="440" w:lineRule="exact"/>
              <w:jc w:val="center"/>
              <w:rPr>
                <w:rFonts w:ascii="宋体" w:hAnsi="宋体"/>
                <w:color w:val="auto"/>
                <w:szCs w:val="21"/>
                <w:highlight w:val="none"/>
              </w:rPr>
            </w:pPr>
          </w:p>
        </w:tc>
        <w:tc>
          <w:tcPr>
            <w:tcW w:w="1430" w:type="dxa"/>
            <w:noWrap w:val="0"/>
            <w:vAlign w:val="top"/>
          </w:tcPr>
          <w:p w14:paraId="56F5E018">
            <w:pPr>
              <w:spacing w:line="440" w:lineRule="exact"/>
              <w:jc w:val="center"/>
              <w:rPr>
                <w:rFonts w:ascii="宋体" w:hAnsi="宋体"/>
                <w:color w:val="auto"/>
                <w:szCs w:val="21"/>
                <w:highlight w:val="none"/>
              </w:rPr>
            </w:pPr>
          </w:p>
        </w:tc>
        <w:tc>
          <w:tcPr>
            <w:tcW w:w="742" w:type="dxa"/>
            <w:noWrap w:val="0"/>
            <w:vAlign w:val="top"/>
          </w:tcPr>
          <w:p w14:paraId="49E3BDEC">
            <w:pPr>
              <w:spacing w:line="440" w:lineRule="exact"/>
              <w:jc w:val="center"/>
              <w:rPr>
                <w:rFonts w:ascii="宋体" w:hAnsi="宋体"/>
                <w:color w:val="auto"/>
                <w:szCs w:val="21"/>
                <w:highlight w:val="none"/>
              </w:rPr>
            </w:pPr>
          </w:p>
        </w:tc>
      </w:tr>
      <w:tr w14:paraId="376FA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top"/>
          </w:tcPr>
          <w:p w14:paraId="215FEACC">
            <w:pPr>
              <w:spacing w:line="440" w:lineRule="exact"/>
              <w:jc w:val="center"/>
              <w:rPr>
                <w:rFonts w:ascii="宋体" w:hAnsi="宋体"/>
                <w:color w:val="auto"/>
                <w:szCs w:val="21"/>
                <w:highlight w:val="none"/>
              </w:rPr>
            </w:pPr>
          </w:p>
        </w:tc>
        <w:tc>
          <w:tcPr>
            <w:tcW w:w="1027" w:type="dxa"/>
            <w:noWrap w:val="0"/>
            <w:vAlign w:val="top"/>
          </w:tcPr>
          <w:p w14:paraId="7B996BB5">
            <w:pPr>
              <w:spacing w:line="440" w:lineRule="exact"/>
              <w:jc w:val="center"/>
              <w:rPr>
                <w:rFonts w:ascii="宋体" w:hAnsi="宋体"/>
                <w:color w:val="auto"/>
                <w:szCs w:val="21"/>
                <w:highlight w:val="none"/>
              </w:rPr>
            </w:pPr>
          </w:p>
        </w:tc>
        <w:tc>
          <w:tcPr>
            <w:tcW w:w="960" w:type="dxa"/>
            <w:noWrap w:val="0"/>
            <w:vAlign w:val="top"/>
          </w:tcPr>
          <w:p w14:paraId="466C75DD">
            <w:pPr>
              <w:spacing w:line="440" w:lineRule="exact"/>
              <w:jc w:val="center"/>
              <w:rPr>
                <w:rFonts w:ascii="宋体" w:hAnsi="宋体"/>
                <w:color w:val="auto"/>
                <w:szCs w:val="21"/>
                <w:highlight w:val="none"/>
              </w:rPr>
            </w:pPr>
          </w:p>
        </w:tc>
        <w:tc>
          <w:tcPr>
            <w:tcW w:w="1347" w:type="dxa"/>
            <w:noWrap w:val="0"/>
            <w:vAlign w:val="top"/>
          </w:tcPr>
          <w:p w14:paraId="4D563D66">
            <w:pPr>
              <w:spacing w:line="440" w:lineRule="exact"/>
              <w:jc w:val="center"/>
              <w:rPr>
                <w:rFonts w:ascii="宋体" w:hAnsi="宋体"/>
                <w:color w:val="auto"/>
                <w:szCs w:val="21"/>
                <w:highlight w:val="none"/>
              </w:rPr>
            </w:pPr>
          </w:p>
        </w:tc>
        <w:tc>
          <w:tcPr>
            <w:tcW w:w="893" w:type="dxa"/>
            <w:noWrap w:val="0"/>
            <w:vAlign w:val="top"/>
          </w:tcPr>
          <w:p w14:paraId="47EDED84">
            <w:pPr>
              <w:spacing w:line="440" w:lineRule="exact"/>
              <w:jc w:val="center"/>
              <w:rPr>
                <w:rFonts w:ascii="宋体" w:hAnsi="宋体"/>
                <w:color w:val="auto"/>
                <w:szCs w:val="21"/>
                <w:highlight w:val="none"/>
              </w:rPr>
            </w:pPr>
          </w:p>
        </w:tc>
        <w:tc>
          <w:tcPr>
            <w:tcW w:w="1080" w:type="dxa"/>
            <w:noWrap w:val="0"/>
            <w:vAlign w:val="top"/>
          </w:tcPr>
          <w:p w14:paraId="1E6D4A63">
            <w:pPr>
              <w:spacing w:line="440" w:lineRule="exact"/>
              <w:jc w:val="center"/>
              <w:rPr>
                <w:rFonts w:ascii="宋体" w:hAnsi="宋体"/>
                <w:color w:val="auto"/>
                <w:szCs w:val="21"/>
                <w:highlight w:val="none"/>
              </w:rPr>
            </w:pPr>
          </w:p>
        </w:tc>
        <w:tc>
          <w:tcPr>
            <w:tcW w:w="933" w:type="dxa"/>
            <w:noWrap w:val="0"/>
            <w:vAlign w:val="top"/>
          </w:tcPr>
          <w:p w14:paraId="4A3628E2">
            <w:pPr>
              <w:spacing w:line="440" w:lineRule="exact"/>
              <w:jc w:val="center"/>
              <w:rPr>
                <w:rFonts w:ascii="宋体" w:hAnsi="宋体"/>
                <w:color w:val="auto"/>
                <w:szCs w:val="21"/>
                <w:highlight w:val="none"/>
              </w:rPr>
            </w:pPr>
          </w:p>
        </w:tc>
        <w:tc>
          <w:tcPr>
            <w:tcW w:w="1430" w:type="dxa"/>
            <w:noWrap w:val="0"/>
            <w:vAlign w:val="top"/>
          </w:tcPr>
          <w:p w14:paraId="1F3B62D3">
            <w:pPr>
              <w:spacing w:line="440" w:lineRule="exact"/>
              <w:jc w:val="center"/>
              <w:rPr>
                <w:rFonts w:ascii="宋体" w:hAnsi="宋体"/>
                <w:color w:val="auto"/>
                <w:szCs w:val="21"/>
                <w:highlight w:val="none"/>
              </w:rPr>
            </w:pPr>
          </w:p>
        </w:tc>
        <w:tc>
          <w:tcPr>
            <w:tcW w:w="742" w:type="dxa"/>
            <w:noWrap w:val="0"/>
            <w:vAlign w:val="top"/>
          </w:tcPr>
          <w:p w14:paraId="68C9794F">
            <w:pPr>
              <w:spacing w:line="440" w:lineRule="exact"/>
              <w:jc w:val="center"/>
              <w:rPr>
                <w:rFonts w:ascii="宋体" w:hAnsi="宋体"/>
                <w:color w:val="auto"/>
                <w:szCs w:val="21"/>
                <w:highlight w:val="none"/>
              </w:rPr>
            </w:pPr>
          </w:p>
        </w:tc>
      </w:tr>
      <w:tr w14:paraId="7A2C4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4" w:type="dxa"/>
            <w:noWrap w:val="0"/>
            <w:vAlign w:val="top"/>
          </w:tcPr>
          <w:p w14:paraId="5DCE5D27">
            <w:pPr>
              <w:spacing w:line="440" w:lineRule="exact"/>
              <w:jc w:val="center"/>
              <w:rPr>
                <w:rFonts w:ascii="宋体" w:hAnsi="宋体"/>
                <w:color w:val="auto"/>
                <w:szCs w:val="21"/>
                <w:highlight w:val="none"/>
              </w:rPr>
            </w:pPr>
          </w:p>
        </w:tc>
        <w:tc>
          <w:tcPr>
            <w:tcW w:w="1027" w:type="dxa"/>
            <w:noWrap w:val="0"/>
            <w:vAlign w:val="top"/>
          </w:tcPr>
          <w:p w14:paraId="448FD316">
            <w:pPr>
              <w:spacing w:line="440" w:lineRule="exact"/>
              <w:jc w:val="center"/>
              <w:rPr>
                <w:rFonts w:ascii="宋体" w:hAnsi="宋体"/>
                <w:color w:val="auto"/>
                <w:szCs w:val="21"/>
                <w:highlight w:val="none"/>
              </w:rPr>
            </w:pPr>
          </w:p>
        </w:tc>
        <w:tc>
          <w:tcPr>
            <w:tcW w:w="960" w:type="dxa"/>
            <w:noWrap w:val="0"/>
            <w:vAlign w:val="top"/>
          </w:tcPr>
          <w:p w14:paraId="4D1575CB">
            <w:pPr>
              <w:spacing w:line="440" w:lineRule="exact"/>
              <w:jc w:val="center"/>
              <w:rPr>
                <w:rFonts w:ascii="宋体" w:hAnsi="宋体"/>
                <w:color w:val="auto"/>
                <w:szCs w:val="21"/>
                <w:highlight w:val="none"/>
              </w:rPr>
            </w:pPr>
          </w:p>
        </w:tc>
        <w:tc>
          <w:tcPr>
            <w:tcW w:w="1347" w:type="dxa"/>
            <w:noWrap w:val="0"/>
            <w:vAlign w:val="top"/>
          </w:tcPr>
          <w:p w14:paraId="13ABB431">
            <w:pPr>
              <w:spacing w:line="440" w:lineRule="exact"/>
              <w:jc w:val="center"/>
              <w:rPr>
                <w:rFonts w:ascii="宋体" w:hAnsi="宋体"/>
                <w:color w:val="auto"/>
                <w:szCs w:val="21"/>
                <w:highlight w:val="none"/>
              </w:rPr>
            </w:pPr>
          </w:p>
        </w:tc>
        <w:tc>
          <w:tcPr>
            <w:tcW w:w="893" w:type="dxa"/>
            <w:noWrap w:val="0"/>
            <w:vAlign w:val="top"/>
          </w:tcPr>
          <w:p w14:paraId="691370BA">
            <w:pPr>
              <w:spacing w:line="440" w:lineRule="exact"/>
              <w:jc w:val="center"/>
              <w:rPr>
                <w:rFonts w:ascii="宋体" w:hAnsi="宋体"/>
                <w:color w:val="auto"/>
                <w:szCs w:val="21"/>
                <w:highlight w:val="none"/>
              </w:rPr>
            </w:pPr>
          </w:p>
        </w:tc>
        <w:tc>
          <w:tcPr>
            <w:tcW w:w="1080" w:type="dxa"/>
            <w:noWrap w:val="0"/>
            <w:vAlign w:val="top"/>
          </w:tcPr>
          <w:p w14:paraId="01054F54">
            <w:pPr>
              <w:spacing w:line="440" w:lineRule="exact"/>
              <w:jc w:val="center"/>
              <w:rPr>
                <w:rFonts w:ascii="宋体" w:hAnsi="宋体"/>
                <w:color w:val="auto"/>
                <w:szCs w:val="21"/>
                <w:highlight w:val="none"/>
              </w:rPr>
            </w:pPr>
          </w:p>
        </w:tc>
        <w:tc>
          <w:tcPr>
            <w:tcW w:w="933" w:type="dxa"/>
            <w:noWrap w:val="0"/>
            <w:vAlign w:val="top"/>
          </w:tcPr>
          <w:p w14:paraId="0505BDD8">
            <w:pPr>
              <w:spacing w:line="440" w:lineRule="exact"/>
              <w:jc w:val="center"/>
              <w:rPr>
                <w:rFonts w:ascii="宋体" w:hAnsi="宋体"/>
                <w:color w:val="auto"/>
                <w:szCs w:val="21"/>
                <w:highlight w:val="none"/>
              </w:rPr>
            </w:pPr>
          </w:p>
        </w:tc>
        <w:tc>
          <w:tcPr>
            <w:tcW w:w="1430" w:type="dxa"/>
            <w:noWrap w:val="0"/>
            <w:vAlign w:val="top"/>
          </w:tcPr>
          <w:p w14:paraId="4B513C7E">
            <w:pPr>
              <w:spacing w:line="440" w:lineRule="exact"/>
              <w:jc w:val="center"/>
              <w:rPr>
                <w:rFonts w:ascii="宋体" w:hAnsi="宋体"/>
                <w:color w:val="auto"/>
                <w:szCs w:val="21"/>
                <w:highlight w:val="none"/>
              </w:rPr>
            </w:pPr>
          </w:p>
        </w:tc>
        <w:tc>
          <w:tcPr>
            <w:tcW w:w="742" w:type="dxa"/>
            <w:noWrap w:val="0"/>
            <w:vAlign w:val="top"/>
          </w:tcPr>
          <w:p w14:paraId="3860F782">
            <w:pPr>
              <w:spacing w:line="440" w:lineRule="exact"/>
              <w:jc w:val="center"/>
              <w:rPr>
                <w:rFonts w:ascii="宋体" w:hAnsi="宋体"/>
                <w:color w:val="auto"/>
                <w:szCs w:val="21"/>
                <w:highlight w:val="none"/>
              </w:rPr>
            </w:pPr>
          </w:p>
        </w:tc>
      </w:tr>
    </w:tbl>
    <w:p w14:paraId="15363A44">
      <w:pPr>
        <w:spacing w:line="440" w:lineRule="exact"/>
        <w:jc w:val="left"/>
        <w:rPr>
          <w:rFonts w:ascii="宋体" w:hAnsi="宋体"/>
          <w:color w:val="auto"/>
          <w:sz w:val="24"/>
          <w:szCs w:val="21"/>
          <w:highlight w:val="none"/>
        </w:rPr>
      </w:pPr>
    </w:p>
    <w:p w14:paraId="0F3880D8">
      <w:pPr>
        <w:spacing w:line="440" w:lineRule="exact"/>
        <w:jc w:val="left"/>
        <w:rPr>
          <w:rFonts w:ascii="宋体" w:hAnsi="宋体"/>
          <w:color w:val="auto"/>
          <w:sz w:val="24"/>
          <w:szCs w:val="21"/>
          <w:highlight w:val="none"/>
        </w:rPr>
      </w:pPr>
    </w:p>
    <w:p w14:paraId="03C44F3A">
      <w:pPr>
        <w:widowControl/>
        <w:jc w:val="center"/>
        <w:outlineLvl w:val="2"/>
        <w:rPr>
          <w:rFonts w:ascii="Times New Roman" w:hAnsi="Times New Roman" w:eastAsia="Times New Roman"/>
          <w:color w:val="auto"/>
          <w:kern w:val="0"/>
          <w:sz w:val="24"/>
          <w:szCs w:val="24"/>
          <w:highlight w:val="none"/>
          <w:lang w:eastAsia="en-US"/>
        </w:rPr>
      </w:pPr>
      <w:r>
        <w:rPr>
          <w:rFonts w:ascii="Times New Roman" w:hAnsi="Times New Roman" w:eastAsia="Times New Roman"/>
          <w:color w:val="auto"/>
          <w:kern w:val="0"/>
          <w:sz w:val="24"/>
          <w:szCs w:val="24"/>
          <w:highlight w:val="none"/>
          <w:lang w:eastAsia="en-US"/>
        </w:rPr>
        <w:br w:type="page"/>
      </w:r>
      <w:bookmarkStart w:id="351" w:name="_Toc27036"/>
    </w:p>
    <w:p w14:paraId="1F90E129">
      <w:pPr>
        <w:widowControl/>
        <w:jc w:val="center"/>
        <w:outlineLvl w:val="2"/>
        <w:rPr>
          <w:rFonts w:ascii="黑体" w:hAnsi="黑体" w:eastAsia="黑体" w:cs="黑体"/>
          <w:b/>
          <w:color w:val="auto"/>
          <w:kern w:val="0"/>
          <w:sz w:val="28"/>
          <w:szCs w:val="24"/>
          <w:highlight w:val="none"/>
          <w:lang w:eastAsia="en-US"/>
        </w:rPr>
      </w:pPr>
      <w:r>
        <w:rPr>
          <w:rFonts w:hint="eastAsia" w:ascii="Cambria" w:hAnsi="Cambria" w:eastAsia="宋体" w:cs="Times New Roman"/>
          <w:b/>
          <w:bCs/>
          <w:color w:val="auto"/>
          <w:kern w:val="44"/>
          <w:sz w:val="28"/>
          <w:szCs w:val="28"/>
          <w:highlight w:val="none"/>
          <w:lang w:val="en-US" w:eastAsia="zh-CN" w:bidi="ar-SA"/>
        </w:rPr>
        <w:t>（二）</w:t>
      </w:r>
      <w:r>
        <w:rPr>
          <w:rFonts w:hint="eastAsia" w:ascii="Cambria" w:hAnsi="Cambria" w:eastAsia="宋体" w:cs="Times New Roman"/>
          <w:b/>
          <w:bCs/>
          <w:color w:val="auto"/>
          <w:kern w:val="44"/>
          <w:sz w:val="28"/>
          <w:szCs w:val="28"/>
          <w:highlight w:val="none"/>
          <w:lang w:val="en-US" w:eastAsia="en-US" w:bidi="ar-SA"/>
        </w:rPr>
        <w:t>项目经理简历表</w:t>
      </w:r>
      <w:bookmarkEnd w:id="351"/>
    </w:p>
    <w:p w14:paraId="07A444CF">
      <w:pPr>
        <w:spacing w:line="420" w:lineRule="exact"/>
        <w:ind w:firstLine="480" w:firstLineChars="200"/>
        <w:rPr>
          <w:rFonts w:ascii="宋体" w:hAnsi="宋体"/>
          <w:color w:val="auto"/>
          <w:sz w:val="24"/>
          <w:szCs w:val="21"/>
          <w:highlight w:val="none"/>
        </w:rPr>
      </w:pPr>
      <w:r>
        <w:rPr>
          <w:rFonts w:hint="eastAsia" w:ascii="宋体" w:hAnsi="宋体"/>
          <w:color w:val="auto"/>
          <w:sz w:val="24"/>
          <w:szCs w:val="21"/>
          <w:highlight w:val="none"/>
        </w:rPr>
        <w:t>项目经理应附建造师执业资格证书、注册证书、安全生产考核合格证书、身份证、职称证、学历证、养老保险</w:t>
      </w:r>
      <w:r>
        <w:rPr>
          <w:rFonts w:hint="eastAsia" w:ascii="宋体" w:hAnsi="宋体"/>
          <w:color w:val="auto"/>
          <w:sz w:val="24"/>
          <w:szCs w:val="21"/>
          <w:highlight w:val="none"/>
          <w:lang w:val="en-US" w:eastAsia="zh-CN"/>
        </w:rPr>
        <w:t>扫描件</w:t>
      </w:r>
      <w:r>
        <w:rPr>
          <w:rFonts w:hint="eastAsia" w:ascii="宋体" w:hAnsi="宋体"/>
          <w:color w:val="auto"/>
          <w:sz w:val="24"/>
          <w:szCs w:val="21"/>
          <w:highlight w:val="none"/>
        </w:rPr>
        <w:t>及未担任其他在施建设工程项目项目经理的承诺书，管理过的项目业绩须附合同协议书和竣工验收备案登记表</w:t>
      </w:r>
      <w:r>
        <w:rPr>
          <w:rFonts w:hint="eastAsia" w:ascii="宋体" w:hAnsi="宋体"/>
          <w:color w:val="auto"/>
          <w:sz w:val="24"/>
          <w:szCs w:val="21"/>
          <w:highlight w:val="none"/>
          <w:lang w:val="en-US" w:eastAsia="zh-CN"/>
        </w:rPr>
        <w:t>扫描件</w:t>
      </w:r>
      <w:r>
        <w:rPr>
          <w:rFonts w:hint="eastAsia" w:ascii="宋体" w:hAnsi="宋体"/>
          <w:color w:val="auto"/>
          <w:sz w:val="24"/>
          <w:szCs w:val="21"/>
          <w:highlight w:val="none"/>
        </w:rPr>
        <w:t>。类似项目限于以项目经理身份参与的项目。</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2"/>
        <w:gridCol w:w="57"/>
        <w:gridCol w:w="1035"/>
        <w:gridCol w:w="627"/>
        <w:gridCol w:w="507"/>
        <w:gridCol w:w="768"/>
        <w:gridCol w:w="507"/>
        <w:gridCol w:w="1739"/>
        <w:gridCol w:w="2230"/>
      </w:tblGrid>
      <w:tr w14:paraId="4824B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1599" w:type="dxa"/>
            <w:gridSpan w:val="2"/>
            <w:noWrap w:val="0"/>
            <w:vAlign w:val="center"/>
          </w:tcPr>
          <w:p w14:paraId="1140D941">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姓  名</w:t>
            </w:r>
          </w:p>
        </w:tc>
        <w:tc>
          <w:tcPr>
            <w:tcW w:w="1035" w:type="dxa"/>
            <w:noWrap w:val="0"/>
            <w:vAlign w:val="center"/>
          </w:tcPr>
          <w:p w14:paraId="335BCE88">
            <w:pPr>
              <w:widowControl w:val="0"/>
              <w:jc w:val="center"/>
              <w:rPr>
                <w:rFonts w:ascii="宋体" w:hAnsi="宋体" w:eastAsia="宋体"/>
                <w:color w:val="auto"/>
                <w:kern w:val="2"/>
                <w:sz w:val="24"/>
                <w:szCs w:val="24"/>
                <w:highlight w:val="none"/>
                <w:lang w:val="en-US" w:eastAsia="zh-CN" w:bidi="ar-SA"/>
              </w:rPr>
            </w:pPr>
          </w:p>
        </w:tc>
        <w:tc>
          <w:tcPr>
            <w:tcW w:w="1134" w:type="dxa"/>
            <w:gridSpan w:val="2"/>
            <w:noWrap w:val="0"/>
            <w:vAlign w:val="center"/>
          </w:tcPr>
          <w:p w14:paraId="2EF79BFF">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年  龄</w:t>
            </w:r>
          </w:p>
        </w:tc>
        <w:tc>
          <w:tcPr>
            <w:tcW w:w="1275" w:type="dxa"/>
            <w:gridSpan w:val="2"/>
            <w:noWrap w:val="0"/>
            <w:vAlign w:val="center"/>
          </w:tcPr>
          <w:p w14:paraId="3EADFFFC">
            <w:pPr>
              <w:widowControl w:val="0"/>
              <w:jc w:val="center"/>
              <w:rPr>
                <w:rFonts w:ascii="宋体" w:hAnsi="宋体" w:eastAsia="宋体"/>
                <w:color w:val="auto"/>
                <w:kern w:val="2"/>
                <w:sz w:val="24"/>
                <w:szCs w:val="24"/>
                <w:highlight w:val="none"/>
                <w:lang w:val="en-US" w:eastAsia="zh-CN" w:bidi="ar-SA"/>
              </w:rPr>
            </w:pPr>
          </w:p>
        </w:tc>
        <w:tc>
          <w:tcPr>
            <w:tcW w:w="1739" w:type="dxa"/>
            <w:noWrap w:val="0"/>
            <w:vAlign w:val="center"/>
          </w:tcPr>
          <w:p w14:paraId="3417607F">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学历</w:t>
            </w:r>
          </w:p>
        </w:tc>
        <w:tc>
          <w:tcPr>
            <w:tcW w:w="2230" w:type="dxa"/>
            <w:noWrap w:val="0"/>
            <w:vAlign w:val="center"/>
          </w:tcPr>
          <w:p w14:paraId="0DF04353">
            <w:pPr>
              <w:widowControl w:val="0"/>
              <w:jc w:val="center"/>
              <w:rPr>
                <w:rFonts w:ascii="宋体" w:hAnsi="宋体" w:eastAsia="宋体"/>
                <w:color w:val="auto"/>
                <w:kern w:val="2"/>
                <w:sz w:val="24"/>
                <w:szCs w:val="24"/>
                <w:highlight w:val="none"/>
                <w:lang w:val="en-US" w:eastAsia="zh-CN" w:bidi="ar-SA"/>
              </w:rPr>
            </w:pPr>
          </w:p>
        </w:tc>
      </w:tr>
      <w:tr w14:paraId="55085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599" w:type="dxa"/>
            <w:gridSpan w:val="2"/>
            <w:noWrap w:val="0"/>
            <w:vAlign w:val="center"/>
          </w:tcPr>
          <w:p w14:paraId="79829E84">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职  称</w:t>
            </w:r>
          </w:p>
        </w:tc>
        <w:tc>
          <w:tcPr>
            <w:tcW w:w="1035" w:type="dxa"/>
            <w:noWrap w:val="0"/>
            <w:vAlign w:val="center"/>
          </w:tcPr>
          <w:p w14:paraId="5D45F220">
            <w:pPr>
              <w:widowControl w:val="0"/>
              <w:jc w:val="center"/>
              <w:rPr>
                <w:rFonts w:ascii="宋体" w:hAnsi="宋体" w:eastAsia="宋体"/>
                <w:color w:val="auto"/>
                <w:kern w:val="2"/>
                <w:sz w:val="24"/>
                <w:szCs w:val="24"/>
                <w:highlight w:val="none"/>
                <w:lang w:val="en-US" w:eastAsia="zh-CN" w:bidi="ar-SA"/>
              </w:rPr>
            </w:pPr>
          </w:p>
        </w:tc>
        <w:tc>
          <w:tcPr>
            <w:tcW w:w="1134" w:type="dxa"/>
            <w:gridSpan w:val="2"/>
            <w:noWrap w:val="0"/>
            <w:vAlign w:val="center"/>
          </w:tcPr>
          <w:p w14:paraId="0ADD0965">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职  务</w:t>
            </w:r>
          </w:p>
        </w:tc>
        <w:tc>
          <w:tcPr>
            <w:tcW w:w="1275" w:type="dxa"/>
            <w:gridSpan w:val="2"/>
            <w:noWrap w:val="0"/>
            <w:vAlign w:val="center"/>
          </w:tcPr>
          <w:p w14:paraId="5493EE01">
            <w:pPr>
              <w:widowControl w:val="0"/>
              <w:jc w:val="center"/>
              <w:rPr>
                <w:rFonts w:ascii="宋体" w:hAnsi="宋体" w:eastAsia="宋体"/>
                <w:color w:val="auto"/>
                <w:kern w:val="2"/>
                <w:sz w:val="24"/>
                <w:szCs w:val="24"/>
                <w:highlight w:val="none"/>
                <w:lang w:val="en-US" w:eastAsia="zh-CN" w:bidi="ar-SA"/>
              </w:rPr>
            </w:pPr>
          </w:p>
        </w:tc>
        <w:tc>
          <w:tcPr>
            <w:tcW w:w="1739" w:type="dxa"/>
            <w:noWrap w:val="0"/>
            <w:vAlign w:val="center"/>
          </w:tcPr>
          <w:p w14:paraId="23A42654">
            <w:pPr>
              <w:widowControl w:val="0"/>
              <w:jc w:val="center"/>
              <w:rPr>
                <w:rFonts w:hint="eastAsia"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拟在本工程</w:t>
            </w:r>
          </w:p>
          <w:p w14:paraId="380125B0">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任职</w:t>
            </w:r>
          </w:p>
        </w:tc>
        <w:tc>
          <w:tcPr>
            <w:tcW w:w="2230" w:type="dxa"/>
            <w:noWrap w:val="0"/>
            <w:vAlign w:val="center"/>
          </w:tcPr>
          <w:p w14:paraId="54FF4BE6">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项目经理</w:t>
            </w:r>
          </w:p>
        </w:tc>
      </w:tr>
      <w:tr w14:paraId="3FF22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3261" w:type="dxa"/>
            <w:gridSpan w:val="4"/>
            <w:noWrap w:val="0"/>
            <w:vAlign w:val="center"/>
          </w:tcPr>
          <w:p w14:paraId="2491DA36">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注册建造师执业资格等级</w:t>
            </w:r>
          </w:p>
        </w:tc>
        <w:tc>
          <w:tcPr>
            <w:tcW w:w="1782" w:type="dxa"/>
            <w:gridSpan w:val="3"/>
            <w:noWrap w:val="0"/>
            <w:vAlign w:val="center"/>
          </w:tcPr>
          <w:p w14:paraId="40669896">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 xml:space="preserve">       级</w:t>
            </w:r>
          </w:p>
        </w:tc>
        <w:tc>
          <w:tcPr>
            <w:tcW w:w="1739" w:type="dxa"/>
            <w:noWrap w:val="0"/>
            <w:vAlign w:val="center"/>
          </w:tcPr>
          <w:p w14:paraId="4FCD2361">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建造师专业</w:t>
            </w:r>
          </w:p>
        </w:tc>
        <w:tc>
          <w:tcPr>
            <w:tcW w:w="2230" w:type="dxa"/>
            <w:noWrap w:val="0"/>
            <w:vAlign w:val="center"/>
          </w:tcPr>
          <w:p w14:paraId="16173C73">
            <w:pPr>
              <w:widowControl w:val="0"/>
              <w:jc w:val="center"/>
              <w:rPr>
                <w:rFonts w:ascii="宋体" w:hAnsi="宋体" w:eastAsia="宋体"/>
                <w:color w:val="auto"/>
                <w:kern w:val="2"/>
                <w:sz w:val="24"/>
                <w:szCs w:val="24"/>
                <w:highlight w:val="none"/>
                <w:lang w:val="en-US" w:eastAsia="zh-CN" w:bidi="ar-SA"/>
              </w:rPr>
            </w:pPr>
          </w:p>
        </w:tc>
      </w:tr>
      <w:tr w14:paraId="71DB7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3261" w:type="dxa"/>
            <w:gridSpan w:val="4"/>
            <w:noWrap w:val="0"/>
            <w:vAlign w:val="center"/>
          </w:tcPr>
          <w:p w14:paraId="3E1E69C1">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安全生产考核合格证书</w:t>
            </w:r>
          </w:p>
        </w:tc>
        <w:tc>
          <w:tcPr>
            <w:tcW w:w="5751" w:type="dxa"/>
            <w:gridSpan w:val="5"/>
            <w:noWrap w:val="0"/>
            <w:vAlign w:val="center"/>
          </w:tcPr>
          <w:p w14:paraId="05F46298">
            <w:pPr>
              <w:widowControl w:val="0"/>
              <w:jc w:val="center"/>
              <w:rPr>
                <w:rFonts w:ascii="宋体" w:hAnsi="宋体" w:eastAsia="宋体"/>
                <w:color w:val="auto"/>
                <w:kern w:val="2"/>
                <w:sz w:val="24"/>
                <w:szCs w:val="24"/>
                <w:highlight w:val="none"/>
                <w:lang w:val="en-US" w:eastAsia="zh-CN" w:bidi="ar-SA"/>
              </w:rPr>
            </w:pPr>
          </w:p>
        </w:tc>
      </w:tr>
      <w:tr w14:paraId="3DE71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1542" w:type="dxa"/>
            <w:noWrap w:val="0"/>
            <w:vAlign w:val="center"/>
          </w:tcPr>
          <w:p w14:paraId="0D763645">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毕业学校</w:t>
            </w:r>
          </w:p>
        </w:tc>
        <w:tc>
          <w:tcPr>
            <w:tcW w:w="7470" w:type="dxa"/>
            <w:gridSpan w:val="8"/>
            <w:noWrap w:val="0"/>
            <w:vAlign w:val="center"/>
          </w:tcPr>
          <w:p w14:paraId="438B60EC">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年毕业于                  学校            专业</w:t>
            </w:r>
          </w:p>
        </w:tc>
      </w:tr>
      <w:tr w14:paraId="5656A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9012" w:type="dxa"/>
            <w:gridSpan w:val="9"/>
            <w:noWrap w:val="0"/>
            <w:vAlign w:val="center"/>
          </w:tcPr>
          <w:p w14:paraId="7A8E2859">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主要工作经历</w:t>
            </w:r>
          </w:p>
        </w:tc>
      </w:tr>
      <w:tr w14:paraId="7E627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42" w:type="dxa"/>
            <w:noWrap w:val="0"/>
            <w:vAlign w:val="center"/>
          </w:tcPr>
          <w:p w14:paraId="2BCF2A75">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时  间</w:t>
            </w:r>
          </w:p>
        </w:tc>
        <w:tc>
          <w:tcPr>
            <w:tcW w:w="2994" w:type="dxa"/>
            <w:gridSpan w:val="5"/>
            <w:noWrap w:val="0"/>
            <w:vAlign w:val="center"/>
          </w:tcPr>
          <w:p w14:paraId="404651A1">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参加过的类似项目名称</w:t>
            </w:r>
          </w:p>
        </w:tc>
        <w:tc>
          <w:tcPr>
            <w:tcW w:w="2246" w:type="dxa"/>
            <w:gridSpan w:val="2"/>
            <w:noWrap w:val="0"/>
            <w:vAlign w:val="center"/>
          </w:tcPr>
          <w:p w14:paraId="00724220">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工程概况说明</w:t>
            </w:r>
          </w:p>
        </w:tc>
        <w:tc>
          <w:tcPr>
            <w:tcW w:w="2230" w:type="dxa"/>
            <w:noWrap w:val="0"/>
            <w:vAlign w:val="center"/>
          </w:tcPr>
          <w:p w14:paraId="39AD033C">
            <w:pPr>
              <w:widowControl w:val="0"/>
              <w:jc w:val="center"/>
              <w:rPr>
                <w:rFonts w:ascii="宋体" w:hAnsi="宋体" w:eastAsia="宋体"/>
                <w:color w:val="auto"/>
                <w:kern w:val="2"/>
                <w:sz w:val="24"/>
                <w:szCs w:val="24"/>
                <w:highlight w:val="none"/>
                <w:lang w:val="en-US" w:eastAsia="zh-CN" w:bidi="ar-SA"/>
              </w:rPr>
            </w:pPr>
            <w:r>
              <w:rPr>
                <w:rFonts w:hint="eastAsia" w:ascii="宋体" w:hAnsi="宋体" w:eastAsia="宋体"/>
                <w:color w:val="auto"/>
                <w:kern w:val="2"/>
                <w:sz w:val="24"/>
                <w:szCs w:val="24"/>
                <w:highlight w:val="none"/>
                <w:lang w:val="en-US" w:eastAsia="zh-CN" w:bidi="ar-SA"/>
              </w:rPr>
              <w:t>发包人及联系电话</w:t>
            </w:r>
          </w:p>
        </w:tc>
      </w:tr>
      <w:tr w14:paraId="6A59E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0149D3DE">
            <w:pPr>
              <w:widowControl w:val="0"/>
              <w:jc w:val="center"/>
              <w:rPr>
                <w:rFonts w:ascii="宋体" w:hAnsi="宋体" w:eastAsia="宋体"/>
                <w:color w:val="auto"/>
                <w:kern w:val="2"/>
                <w:sz w:val="24"/>
                <w:szCs w:val="24"/>
                <w:highlight w:val="none"/>
                <w:lang w:val="en-US" w:eastAsia="zh-CN" w:bidi="ar-SA"/>
              </w:rPr>
            </w:pPr>
          </w:p>
        </w:tc>
        <w:tc>
          <w:tcPr>
            <w:tcW w:w="2994" w:type="dxa"/>
            <w:gridSpan w:val="5"/>
            <w:noWrap w:val="0"/>
            <w:vAlign w:val="center"/>
          </w:tcPr>
          <w:p w14:paraId="39469C44">
            <w:pPr>
              <w:widowControl w:val="0"/>
              <w:jc w:val="center"/>
              <w:rPr>
                <w:rFonts w:ascii="宋体" w:hAnsi="宋体" w:eastAsia="宋体"/>
                <w:color w:val="auto"/>
                <w:kern w:val="2"/>
                <w:sz w:val="24"/>
                <w:szCs w:val="24"/>
                <w:highlight w:val="none"/>
                <w:lang w:val="en-US" w:eastAsia="zh-CN" w:bidi="ar-SA"/>
              </w:rPr>
            </w:pPr>
          </w:p>
        </w:tc>
        <w:tc>
          <w:tcPr>
            <w:tcW w:w="2246" w:type="dxa"/>
            <w:gridSpan w:val="2"/>
            <w:noWrap w:val="0"/>
            <w:vAlign w:val="center"/>
          </w:tcPr>
          <w:p w14:paraId="16DBEB2E">
            <w:pPr>
              <w:widowControl w:val="0"/>
              <w:jc w:val="center"/>
              <w:rPr>
                <w:rFonts w:ascii="宋体" w:hAnsi="宋体" w:eastAsia="宋体"/>
                <w:color w:val="auto"/>
                <w:kern w:val="2"/>
                <w:sz w:val="24"/>
                <w:szCs w:val="24"/>
                <w:highlight w:val="none"/>
                <w:lang w:val="en-US" w:eastAsia="zh-CN" w:bidi="ar-SA"/>
              </w:rPr>
            </w:pPr>
          </w:p>
        </w:tc>
        <w:tc>
          <w:tcPr>
            <w:tcW w:w="2230" w:type="dxa"/>
            <w:noWrap w:val="0"/>
            <w:vAlign w:val="center"/>
          </w:tcPr>
          <w:p w14:paraId="2B0846C5">
            <w:pPr>
              <w:widowControl w:val="0"/>
              <w:jc w:val="center"/>
              <w:rPr>
                <w:rFonts w:ascii="宋体" w:hAnsi="宋体" w:eastAsia="宋体"/>
                <w:color w:val="auto"/>
                <w:kern w:val="2"/>
                <w:sz w:val="24"/>
                <w:szCs w:val="24"/>
                <w:highlight w:val="none"/>
                <w:lang w:val="en-US" w:eastAsia="zh-CN" w:bidi="ar-SA"/>
              </w:rPr>
            </w:pPr>
          </w:p>
        </w:tc>
      </w:tr>
      <w:tr w14:paraId="3F1D5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2D8F45C1">
            <w:pPr>
              <w:widowControl w:val="0"/>
              <w:jc w:val="center"/>
              <w:rPr>
                <w:rFonts w:ascii="宋体" w:hAnsi="宋体" w:eastAsia="宋体"/>
                <w:color w:val="auto"/>
                <w:kern w:val="2"/>
                <w:sz w:val="24"/>
                <w:szCs w:val="24"/>
                <w:highlight w:val="none"/>
                <w:lang w:val="en-US" w:eastAsia="zh-CN" w:bidi="ar-SA"/>
              </w:rPr>
            </w:pPr>
          </w:p>
        </w:tc>
        <w:tc>
          <w:tcPr>
            <w:tcW w:w="2994" w:type="dxa"/>
            <w:gridSpan w:val="5"/>
            <w:noWrap w:val="0"/>
            <w:vAlign w:val="center"/>
          </w:tcPr>
          <w:p w14:paraId="775871AF">
            <w:pPr>
              <w:widowControl w:val="0"/>
              <w:jc w:val="center"/>
              <w:rPr>
                <w:rFonts w:ascii="宋体" w:hAnsi="宋体" w:eastAsia="宋体"/>
                <w:color w:val="auto"/>
                <w:kern w:val="2"/>
                <w:sz w:val="24"/>
                <w:szCs w:val="24"/>
                <w:highlight w:val="none"/>
                <w:lang w:val="en-US" w:eastAsia="zh-CN" w:bidi="ar-SA"/>
              </w:rPr>
            </w:pPr>
          </w:p>
        </w:tc>
        <w:tc>
          <w:tcPr>
            <w:tcW w:w="2246" w:type="dxa"/>
            <w:gridSpan w:val="2"/>
            <w:noWrap w:val="0"/>
            <w:vAlign w:val="center"/>
          </w:tcPr>
          <w:p w14:paraId="7F27CE59">
            <w:pPr>
              <w:widowControl w:val="0"/>
              <w:jc w:val="center"/>
              <w:rPr>
                <w:rFonts w:ascii="宋体" w:hAnsi="宋体" w:eastAsia="宋体"/>
                <w:color w:val="auto"/>
                <w:kern w:val="2"/>
                <w:sz w:val="24"/>
                <w:szCs w:val="24"/>
                <w:highlight w:val="none"/>
                <w:lang w:val="en-US" w:eastAsia="zh-CN" w:bidi="ar-SA"/>
              </w:rPr>
            </w:pPr>
          </w:p>
        </w:tc>
        <w:tc>
          <w:tcPr>
            <w:tcW w:w="2230" w:type="dxa"/>
            <w:noWrap w:val="0"/>
            <w:vAlign w:val="center"/>
          </w:tcPr>
          <w:p w14:paraId="1E38392D">
            <w:pPr>
              <w:widowControl w:val="0"/>
              <w:jc w:val="center"/>
              <w:rPr>
                <w:rFonts w:ascii="宋体" w:hAnsi="宋体" w:eastAsia="宋体"/>
                <w:color w:val="auto"/>
                <w:kern w:val="2"/>
                <w:sz w:val="24"/>
                <w:szCs w:val="24"/>
                <w:highlight w:val="none"/>
                <w:lang w:val="en-US" w:eastAsia="zh-CN" w:bidi="ar-SA"/>
              </w:rPr>
            </w:pPr>
          </w:p>
        </w:tc>
      </w:tr>
      <w:tr w14:paraId="0BA25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5C5C44D8">
            <w:pPr>
              <w:widowControl w:val="0"/>
              <w:jc w:val="center"/>
              <w:rPr>
                <w:rFonts w:ascii="宋体" w:hAnsi="宋体" w:eastAsia="宋体"/>
                <w:color w:val="auto"/>
                <w:kern w:val="2"/>
                <w:sz w:val="24"/>
                <w:szCs w:val="24"/>
                <w:highlight w:val="none"/>
                <w:lang w:val="en-US" w:eastAsia="zh-CN" w:bidi="ar-SA"/>
              </w:rPr>
            </w:pPr>
          </w:p>
        </w:tc>
        <w:tc>
          <w:tcPr>
            <w:tcW w:w="2994" w:type="dxa"/>
            <w:gridSpan w:val="5"/>
            <w:noWrap w:val="0"/>
            <w:vAlign w:val="center"/>
          </w:tcPr>
          <w:p w14:paraId="4E39ADBC">
            <w:pPr>
              <w:widowControl w:val="0"/>
              <w:jc w:val="center"/>
              <w:rPr>
                <w:rFonts w:ascii="宋体" w:hAnsi="宋体" w:eastAsia="宋体"/>
                <w:color w:val="auto"/>
                <w:kern w:val="2"/>
                <w:sz w:val="24"/>
                <w:szCs w:val="24"/>
                <w:highlight w:val="none"/>
                <w:lang w:val="en-US" w:eastAsia="zh-CN" w:bidi="ar-SA"/>
              </w:rPr>
            </w:pPr>
          </w:p>
        </w:tc>
        <w:tc>
          <w:tcPr>
            <w:tcW w:w="2246" w:type="dxa"/>
            <w:gridSpan w:val="2"/>
            <w:noWrap w:val="0"/>
            <w:vAlign w:val="center"/>
          </w:tcPr>
          <w:p w14:paraId="37BB368A">
            <w:pPr>
              <w:widowControl w:val="0"/>
              <w:jc w:val="center"/>
              <w:rPr>
                <w:rFonts w:ascii="宋体" w:hAnsi="宋体" w:eastAsia="宋体"/>
                <w:color w:val="auto"/>
                <w:kern w:val="2"/>
                <w:sz w:val="24"/>
                <w:szCs w:val="24"/>
                <w:highlight w:val="none"/>
                <w:lang w:val="en-US" w:eastAsia="zh-CN" w:bidi="ar-SA"/>
              </w:rPr>
            </w:pPr>
          </w:p>
        </w:tc>
        <w:tc>
          <w:tcPr>
            <w:tcW w:w="2230" w:type="dxa"/>
            <w:noWrap w:val="0"/>
            <w:vAlign w:val="center"/>
          </w:tcPr>
          <w:p w14:paraId="68B3CABB">
            <w:pPr>
              <w:widowControl w:val="0"/>
              <w:jc w:val="center"/>
              <w:rPr>
                <w:rFonts w:ascii="宋体" w:hAnsi="宋体" w:eastAsia="宋体"/>
                <w:color w:val="auto"/>
                <w:kern w:val="2"/>
                <w:sz w:val="24"/>
                <w:szCs w:val="24"/>
                <w:highlight w:val="none"/>
                <w:lang w:val="en-US" w:eastAsia="zh-CN" w:bidi="ar-SA"/>
              </w:rPr>
            </w:pPr>
          </w:p>
        </w:tc>
      </w:tr>
      <w:tr w14:paraId="0058C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4B5AD95C">
            <w:pPr>
              <w:widowControl w:val="0"/>
              <w:jc w:val="center"/>
              <w:rPr>
                <w:rFonts w:ascii="宋体" w:hAnsi="宋体" w:eastAsia="宋体"/>
                <w:color w:val="auto"/>
                <w:kern w:val="2"/>
                <w:sz w:val="24"/>
                <w:szCs w:val="24"/>
                <w:highlight w:val="none"/>
                <w:lang w:val="en-US" w:eastAsia="zh-CN" w:bidi="ar-SA"/>
              </w:rPr>
            </w:pPr>
          </w:p>
        </w:tc>
        <w:tc>
          <w:tcPr>
            <w:tcW w:w="2994" w:type="dxa"/>
            <w:gridSpan w:val="5"/>
            <w:noWrap w:val="0"/>
            <w:vAlign w:val="center"/>
          </w:tcPr>
          <w:p w14:paraId="0638B0DB">
            <w:pPr>
              <w:widowControl w:val="0"/>
              <w:jc w:val="center"/>
              <w:rPr>
                <w:rFonts w:ascii="宋体" w:hAnsi="宋体" w:eastAsia="宋体"/>
                <w:color w:val="auto"/>
                <w:kern w:val="2"/>
                <w:sz w:val="24"/>
                <w:szCs w:val="24"/>
                <w:highlight w:val="none"/>
                <w:lang w:val="en-US" w:eastAsia="zh-CN" w:bidi="ar-SA"/>
              </w:rPr>
            </w:pPr>
          </w:p>
        </w:tc>
        <w:tc>
          <w:tcPr>
            <w:tcW w:w="2246" w:type="dxa"/>
            <w:gridSpan w:val="2"/>
            <w:noWrap w:val="0"/>
            <w:vAlign w:val="center"/>
          </w:tcPr>
          <w:p w14:paraId="14B8A5CC">
            <w:pPr>
              <w:widowControl w:val="0"/>
              <w:jc w:val="center"/>
              <w:rPr>
                <w:rFonts w:ascii="宋体" w:hAnsi="宋体" w:eastAsia="宋体"/>
                <w:color w:val="auto"/>
                <w:kern w:val="2"/>
                <w:sz w:val="24"/>
                <w:szCs w:val="24"/>
                <w:highlight w:val="none"/>
                <w:lang w:val="en-US" w:eastAsia="zh-CN" w:bidi="ar-SA"/>
              </w:rPr>
            </w:pPr>
          </w:p>
        </w:tc>
        <w:tc>
          <w:tcPr>
            <w:tcW w:w="2230" w:type="dxa"/>
            <w:noWrap w:val="0"/>
            <w:vAlign w:val="center"/>
          </w:tcPr>
          <w:p w14:paraId="5A067176">
            <w:pPr>
              <w:widowControl w:val="0"/>
              <w:jc w:val="center"/>
              <w:rPr>
                <w:rFonts w:ascii="宋体" w:hAnsi="宋体" w:eastAsia="宋体"/>
                <w:color w:val="auto"/>
                <w:kern w:val="2"/>
                <w:sz w:val="24"/>
                <w:szCs w:val="24"/>
                <w:highlight w:val="none"/>
                <w:lang w:val="en-US" w:eastAsia="zh-CN" w:bidi="ar-SA"/>
              </w:rPr>
            </w:pPr>
          </w:p>
        </w:tc>
      </w:tr>
      <w:tr w14:paraId="62DED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211D9AFA">
            <w:pPr>
              <w:widowControl w:val="0"/>
              <w:jc w:val="center"/>
              <w:rPr>
                <w:rFonts w:ascii="宋体" w:hAnsi="宋体" w:eastAsia="宋体"/>
                <w:color w:val="auto"/>
                <w:kern w:val="2"/>
                <w:sz w:val="21"/>
                <w:szCs w:val="21"/>
                <w:highlight w:val="none"/>
                <w:lang w:val="en-US" w:eastAsia="zh-CN" w:bidi="ar-SA"/>
              </w:rPr>
            </w:pPr>
          </w:p>
        </w:tc>
        <w:tc>
          <w:tcPr>
            <w:tcW w:w="2994" w:type="dxa"/>
            <w:gridSpan w:val="5"/>
            <w:noWrap w:val="0"/>
            <w:vAlign w:val="center"/>
          </w:tcPr>
          <w:p w14:paraId="2D29843C">
            <w:pPr>
              <w:widowControl w:val="0"/>
              <w:jc w:val="center"/>
              <w:rPr>
                <w:rFonts w:ascii="宋体" w:hAnsi="宋体" w:eastAsia="宋体"/>
                <w:color w:val="auto"/>
                <w:kern w:val="2"/>
                <w:sz w:val="21"/>
                <w:szCs w:val="21"/>
                <w:highlight w:val="none"/>
                <w:lang w:val="en-US" w:eastAsia="zh-CN" w:bidi="ar-SA"/>
              </w:rPr>
            </w:pPr>
          </w:p>
        </w:tc>
        <w:tc>
          <w:tcPr>
            <w:tcW w:w="2246" w:type="dxa"/>
            <w:gridSpan w:val="2"/>
            <w:noWrap w:val="0"/>
            <w:vAlign w:val="center"/>
          </w:tcPr>
          <w:p w14:paraId="0592A5AB">
            <w:pPr>
              <w:widowControl w:val="0"/>
              <w:jc w:val="center"/>
              <w:rPr>
                <w:rFonts w:ascii="宋体" w:hAnsi="宋体" w:eastAsia="宋体"/>
                <w:color w:val="auto"/>
                <w:kern w:val="2"/>
                <w:sz w:val="21"/>
                <w:szCs w:val="21"/>
                <w:highlight w:val="none"/>
                <w:lang w:val="en-US" w:eastAsia="zh-CN" w:bidi="ar-SA"/>
              </w:rPr>
            </w:pPr>
          </w:p>
        </w:tc>
        <w:tc>
          <w:tcPr>
            <w:tcW w:w="2230" w:type="dxa"/>
            <w:noWrap w:val="0"/>
            <w:vAlign w:val="center"/>
          </w:tcPr>
          <w:p w14:paraId="75266F0E">
            <w:pPr>
              <w:widowControl w:val="0"/>
              <w:jc w:val="center"/>
              <w:rPr>
                <w:rFonts w:ascii="宋体" w:hAnsi="宋体" w:eastAsia="宋体"/>
                <w:color w:val="auto"/>
                <w:kern w:val="2"/>
                <w:sz w:val="21"/>
                <w:szCs w:val="21"/>
                <w:highlight w:val="none"/>
                <w:lang w:val="en-US" w:eastAsia="zh-CN" w:bidi="ar-SA"/>
              </w:rPr>
            </w:pPr>
          </w:p>
        </w:tc>
      </w:tr>
      <w:tr w14:paraId="18EFF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09AF1B9D">
            <w:pPr>
              <w:widowControl w:val="0"/>
              <w:jc w:val="center"/>
              <w:rPr>
                <w:rFonts w:ascii="宋体" w:hAnsi="宋体" w:eastAsia="宋体"/>
                <w:color w:val="auto"/>
                <w:kern w:val="2"/>
                <w:sz w:val="21"/>
                <w:szCs w:val="21"/>
                <w:highlight w:val="none"/>
                <w:lang w:val="en-US" w:eastAsia="zh-CN" w:bidi="ar-SA"/>
              </w:rPr>
            </w:pPr>
          </w:p>
        </w:tc>
        <w:tc>
          <w:tcPr>
            <w:tcW w:w="2994" w:type="dxa"/>
            <w:gridSpan w:val="5"/>
            <w:noWrap w:val="0"/>
            <w:vAlign w:val="center"/>
          </w:tcPr>
          <w:p w14:paraId="565F3DB4">
            <w:pPr>
              <w:widowControl w:val="0"/>
              <w:jc w:val="center"/>
              <w:rPr>
                <w:rFonts w:ascii="宋体" w:hAnsi="宋体" w:eastAsia="宋体"/>
                <w:color w:val="auto"/>
                <w:kern w:val="2"/>
                <w:sz w:val="21"/>
                <w:szCs w:val="21"/>
                <w:highlight w:val="none"/>
                <w:lang w:val="en-US" w:eastAsia="zh-CN" w:bidi="ar-SA"/>
              </w:rPr>
            </w:pPr>
          </w:p>
        </w:tc>
        <w:tc>
          <w:tcPr>
            <w:tcW w:w="2246" w:type="dxa"/>
            <w:gridSpan w:val="2"/>
            <w:noWrap w:val="0"/>
            <w:vAlign w:val="center"/>
          </w:tcPr>
          <w:p w14:paraId="571B2DA6">
            <w:pPr>
              <w:widowControl w:val="0"/>
              <w:jc w:val="center"/>
              <w:rPr>
                <w:rFonts w:ascii="宋体" w:hAnsi="宋体" w:eastAsia="宋体"/>
                <w:color w:val="auto"/>
                <w:kern w:val="2"/>
                <w:sz w:val="21"/>
                <w:szCs w:val="21"/>
                <w:highlight w:val="none"/>
                <w:lang w:val="en-US" w:eastAsia="zh-CN" w:bidi="ar-SA"/>
              </w:rPr>
            </w:pPr>
          </w:p>
        </w:tc>
        <w:tc>
          <w:tcPr>
            <w:tcW w:w="2230" w:type="dxa"/>
            <w:noWrap w:val="0"/>
            <w:vAlign w:val="center"/>
          </w:tcPr>
          <w:p w14:paraId="06649B67">
            <w:pPr>
              <w:widowControl w:val="0"/>
              <w:jc w:val="center"/>
              <w:rPr>
                <w:rFonts w:ascii="宋体" w:hAnsi="宋体" w:eastAsia="宋体"/>
                <w:color w:val="auto"/>
                <w:kern w:val="2"/>
                <w:sz w:val="21"/>
                <w:szCs w:val="21"/>
                <w:highlight w:val="none"/>
                <w:lang w:val="en-US" w:eastAsia="zh-CN" w:bidi="ar-SA"/>
              </w:rPr>
            </w:pPr>
          </w:p>
        </w:tc>
      </w:tr>
      <w:tr w14:paraId="542F7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542" w:type="dxa"/>
            <w:noWrap w:val="0"/>
            <w:vAlign w:val="center"/>
          </w:tcPr>
          <w:p w14:paraId="5AD8860B">
            <w:pPr>
              <w:widowControl w:val="0"/>
              <w:jc w:val="center"/>
              <w:rPr>
                <w:rFonts w:ascii="宋体" w:hAnsi="宋体" w:eastAsia="宋体"/>
                <w:color w:val="auto"/>
                <w:kern w:val="2"/>
                <w:sz w:val="21"/>
                <w:szCs w:val="21"/>
                <w:highlight w:val="none"/>
                <w:lang w:val="en-US" w:eastAsia="zh-CN" w:bidi="ar-SA"/>
              </w:rPr>
            </w:pPr>
          </w:p>
        </w:tc>
        <w:tc>
          <w:tcPr>
            <w:tcW w:w="2994" w:type="dxa"/>
            <w:gridSpan w:val="5"/>
            <w:noWrap w:val="0"/>
            <w:vAlign w:val="center"/>
          </w:tcPr>
          <w:p w14:paraId="41094BEC">
            <w:pPr>
              <w:widowControl w:val="0"/>
              <w:jc w:val="center"/>
              <w:rPr>
                <w:rFonts w:ascii="宋体" w:hAnsi="宋体" w:eastAsia="宋体"/>
                <w:color w:val="auto"/>
                <w:kern w:val="2"/>
                <w:sz w:val="21"/>
                <w:szCs w:val="21"/>
                <w:highlight w:val="none"/>
                <w:lang w:val="en-US" w:eastAsia="zh-CN" w:bidi="ar-SA"/>
              </w:rPr>
            </w:pPr>
          </w:p>
        </w:tc>
        <w:tc>
          <w:tcPr>
            <w:tcW w:w="2246" w:type="dxa"/>
            <w:gridSpan w:val="2"/>
            <w:noWrap w:val="0"/>
            <w:vAlign w:val="center"/>
          </w:tcPr>
          <w:p w14:paraId="25706269">
            <w:pPr>
              <w:widowControl w:val="0"/>
              <w:jc w:val="center"/>
              <w:rPr>
                <w:rFonts w:ascii="宋体" w:hAnsi="宋体" w:eastAsia="宋体"/>
                <w:color w:val="auto"/>
                <w:kern w:val="2"/>
                <w:sz w:val="21"/>
                <w:szCs w:val="21"/>
                <w:highlight w:val="none"/>
                <w:lang w:val="en-US" w:eastAsia="zh-CN" w:bidi="ar-SA"/>
              </w:rPr>
            </w:pPr>
          </w:p>
        </w:tc>
        <w:tc>
          <w:tcPr>
            <w:tcW w:w="2230" w:type="dxa"/>
            <w:noWrap w:val="0"/>
            <w:vAlign w:val="center"/>
          </w:tcPr>
          <w:p w14:paraId="42C7ACA3">
            <w:pPr>
              <w:widowControl w:val="0"/>
              <w:jc w:val="center"/>
              <w:rPr>
                <w:rFonts w:ascii="宋体" w:hAnsi="宋体" w:eastAsia="宋体"/>
                <w:color w:val="auto"/>
                <w:kern w:val="2"/>
                <w:sz w:val="21"/>
                <w:szCs w:val="21"/>
                <w:highlight w:val="none"/>
                <w:lang w:val="en-US" w:eastAsia="zh-CN" w:bidi="ar-SA"/>
              </w:rPr>
            </w:pPr>
          </w:p>
        </w:tc>
      </w:tr>
    </w:tbl>
    <w:p w14:paraId="0CFC4662">
      <w:pPr>
        <w:widowControl/>
        <w:numPr>
          <w:ilvl w:val="0"/>
          <w:numId w:val="8"/>
        </w:numPr>
        <w:jc w:val="center"/>
        <w:outlineLvl w:val="2"/>
        <w:rPr>
          <w:rFonts w:hint="eastAsia" w:ascii="Cambria" w:hAnsi="Cambria" w:eastAsia="宋体" w:cs="Times New Roman"/>
          <w:b/>
          <w:bCs/>
          <w:color w:val="auto"/>
          <w:kern w:val="44"/>
          <w:sz w:val="28"/>
          <w:szCs w:val="28"/>
          <w:highlight w:val="none"/>
          <w:lang w:val="en-US" w:eastAsia="en-US" w:bidi="ar-SA"/>
        </w:rPr>
      </w:pPr>
      <w:r>
        <w:rPr>
          <w:rFonts w:ascii="Times New Roman" w:hAnsi="Times New Roman" w:eastAsia="Times New Roman"/>
          <w:color w:val="auto"/>
          <w:kern w:val="0"/>
          <w:sz w:val="24"/>
          <w:szCs w:val="24"/>
          <w:highlight w:val="none"/>
          <w:lang w:eastAsia="en-US"/>
        </w:rPr>
        <w:br w:type="page"/>
      </w:r>
      <w:bookmarkStart w:id="352" w:name="_Toc21781"/>
      <w:r>
        <w:rPr>
          <w:rFonts w:hint="eastAsia" w:ascii="Cambria" w:hAnsi="Cambria" w:eastAsia="宋体" w:cs="Times New Roman"/>
          <w:b/>
          <w:bCs/>
          <w:color w:val="auto"/>
          <w:kern w:val="44"/>
          <w:sz w:val="28"/>
          <w:szCs w:val="28"/>
          <w:highlight w:val="none"/>
          <w:lang w:val="en-US" w:eastAsia="en-US" w:bidi="ar-SA"/>
        </w:rPr>
        <w:t>主要项目管理人员简历表</w:t>
      </w:r>
      <w:bookmarkEnd w:id="352"/>
    </w:p>
    <w:p w14:paraId="254755E0">
      <w:pPr>
        <w:spacing w:line="420" w:lineRule="exact"/>
        <w:ind w:firstLine="480" w:firstLineChars="200"/>
        <w:rPr>
          <w:color w:val="auto"/>
          <w:highlight w:val="none"/>
          <w:lang w:eastAsia="en-US"/>
        </w:rPr>
      </w:pPr>
      <w:r>
        <w:rPr>
          <w:rFonts w:hint="eastAsia" w:ascii="宋体" w:hAnsi="宋体"/>
          <w:color w:val="auto"/>
          <w:sz w:val="24"/>
          <w:szCs w:val="21"/>
          <w:highlight w:val="none"/>
        </w:rPr>
        <w:t>主要项目管理人员指</w:t>
      </w:r>
      <w:r>
        <w:rPr>
          <w:rFonts w:hint="eastAsia" w:ascii="宋体" w:hAnsi="宋体" w:eastAsia="Times New Roman" w:cs="宋体"/>
          <w:color w:val="auto"/>
          <w:kern w:val="0"/>
          <w:sz w:val="24"/>
          <w:szCs w:val="24"/>
          <w:highlight w:val="none"/>
          <w:lang w:val="zh-CN" w:eastAsia="zh-CN" w:bidi="ar-SA"/>
        </w:rPr>
        <w:t>技术负责人、施工员、</w:t>
      </w:r>
      <w:r>
        <w:rPr>
          <w:rFonts w:hint="eastAsia" w:ascii="宋体" w:hAnsi="宋体" w:eastAsia="Times New Roman" w:cs="宋体"/>
          <w:color w:val="auto"/>
          <w:kern w:val="0"/>
          <w:sz w:val="24"/>
          <w:szCs w:val="24"/>
          <w:highlight w:val="none"/>
          <w:lang w:val="en-US" w:eastAsia="zh-CN" w:bidi="ar-SA"/>
        </w:rPr>
        <w:t>专</w:t>
      </w:r>
      <w:r>
        <w:rPr>
          <w:rFonts w:hint="eastAsia" w:ascii="宋体" w:hAnsi="宋体"/>
          <w:color w:val="auto"/>
          <w:sz w:val="24"/>
          <w:szCs w:val="21"/>
          <w:highlight w:val="none"/>
        </w:rPr>
        <w:t>职安全生产管理人员</w:t>
      </w:r>
      <w:r>
        <w:rPr>
          <w:rFonts w:hint="eastAsia" w:ascii="宋体" w:hAnsi="宋体" w:eastAsia="Times New Roman" w:cs="宋体"/>
          <w:color w:val="auto"/>
          <w:kern w:val="0"/>
          <w:sz w:val="24"/>
          <w:szCs w:val="24"/>
          <w:highlight w:val="none"/>
          <w:lang w:val="zh-CN" w:eastAsia="zh-CN" w:bidi="ar-SA"/>
        </w:rPr>
        <w:t>、</w:t>
      </w:r>
      <w:r>
        <w:rPr>
          <w:rFonts w:hint="eastAsia" w:ascii="宋体" w:hAnsi="宋体" w:eastAsia="Times New Roman" w:cs="宋体"/>
          <w:color w:val="auto"/>
          <w:kern w:val="0"/>
          <w:sz w:val="24"/>
          <w:szCs w:val="24"/>
          <w:highlight w:val="none"/>
          <w:lang w:val="en-US" w:eastAsia="zh-CN" w:bidi="ar-SA"/>
        </w:rPr>
        <w:t>质检员、</w:t>
      </w:r>
      <w:r>
        <w:rPr>
          <w:rFonts w:hint="eastAsia" w:ascii="宋体" w:hAnsi="宋体" w:eastAsia="Times New Roman" w:cs="宋体"/>
          <w:color w:val="auto"/>
          <w:kern w:val="0"/>
          <w:sz w:val="24"/>
          <w:szCs w:val="24"/>
          <w:highlight w:val="none"/>
          <w:lang w:val="zh-CN" w:eastAsia="zh-CN" w:bidi="ar-SA"/>
        </w:rPr>
        <w:t>资料员、</w:t>
      </w:r>
      <w:r>
        <w:rPr>
          <w:rFonts w:hint="eastAsia" w:ascii="宋体" w:hAnsi="宋体" w:eastAsia="Times New Roman" w:cs="宋体"/>
          <w:color w:val="auto"/>
          <w:kern w:val="0"/>
          <w:sz w:val="24"/>
          <w:szCs w:val="24"/>
          <w:highlight w:val="none"/>
          <w:lang w:val="en-US" w:eastAsia="zh-CN" w:bidi="ar-SA"/>
        </w:rPr>
        <w:t>材料员、</w:t>
      </w:r>
      <w:r>
        <w:rPr>
          <w:rFonts w:hint="eastAsia" w:ascii="宋体" w:hAnsi="宋体" w:eastAsia="Times New Roman" w:cs="宋体"/>
          <w:color w:val="auto"/>
          <w:kern w:val="0"/>
          <w:sz w:val="24"/>
          <w:szCs w:val="24"/>
          <w:highlight w:val="none"/>
          <w:lang w:val="zh-CN" w:eastAsia="zh-CN" w:bidi="ar-SA"/>
        </w:rPr>
        <w:t>造价师</w:t>
      </w:r>
      <w:r>
        <w:rPr>
          <w:rFonts w:hint="eastAsia" w:ascii="宋体" w:hAnsi="宋体" w:eastAsia="Times New Roman" w:cs="宋体"/>
          <w:color w:val="auto"/>
          <w:kern w:val="0"/>
          <w:sz w:val="24"/>
          <w:szCs w:val="24"/>
          <w:highlight w:val="none"/>
          <w:lang w:val="en-US" w:eastAsia="zh-CN" w:bidi="ar-SA"/>
        </w:rPr>
        <w:t>等</w:t>
      </w:r>
      <w:r>
        <w:rPr>
          <w:rFonts w:hint="eastAsia" w:ascii="宋体" w:hAnsi="宋体" w:eastAsia="Times New Roman" w:cs="宋体"/>
          <w:color w:val="auto"/>
          <w:kern w:val="0"/>
          <w:sz w:val="24"/>
          <w:szCs w:val="24"/>
          <w:highlight w:val="none"/>
          <w:lang w:val="zh-CN" w:eastAsia="zh-CN" w:bidi="ar-SA"/>
        </w:rPr>
        <w:t>岗位</w:t>
      </w:r>
      <w:r>
        <w:rPr>
          <w:rFonts w:hint="eastAsia" w:ascii="宋体" w:hAnsi="宋体"/>
          <w:color w:val="auto"/>
          <w:sz w:val="24"/>
          <w:szCs w:val="21"/>
          <w:highlight w:val="none"/>
        </w:rPr>
        <w:t>。应附</w:t>
      </w:r>
      <w:r>
        <w:rPr>
          <w:rFonts w:hint="eastAsia" w:ascii="宋体" w:hAnsi="宋体"/>
          <w:color w:val="auto"/>
          <w:sz w:val="24"/>
          <w:szCs w:val="21"/>
          <w:highlight w:val="none"/>
          <w:lang w:val="en-US" w:eastAsia="zh-CN"/>
        </w:rPr>
        <w:t>岗位</w:t>
      </w:r>
      <w:r>
        <w:rPr>
          <w:rFonts w:hint="eastAsia" w:ascii="宋体" w:hAnsi="宋体"/>
          <w:color w:val="auto"/>
          <w:sz w:val="24"/>
          <w:szCs w:val="21"/>
          <w:highlight w:val="none"/>
        </w:rPr>
        <w:t>资格证书、身份证、职称证、学历证、养老保险</w:t>
      </w:r>
      <w:r>
        <w:rPr>
          <w:rFonts w:hint="eastAsia" w:ascii="宋体" w:hAnsi="宋体"/>
          <w:color w:val="auto"/>
          <w:sz w:val="24"/>
          <w:szCs w:val="21"/>
          <w:highlight w:val="none"/>
          <w:lang w:val="en-US" w:eastAsia="zh-CN"/>
        </w:rPr>
        <w:t>扫描件</w:t>
      </w:r>
      <w:r>
        <w:rPr>
          <w:rFonts w:hint="eastAsia" w:ascii="宋体" w:hAnsi="宋体"/>
          <w:color w:val="auto"/>
          <w:sz w:val="24"/>
          <w:szCs w:val="21"/>
          <w:highlight w:val="none"/>
        </w:rPr>
        <w:t>，专职安全生产管理人员应附安全生产考核合格证书。</w:t>
      </w:r>
    </w:p>
    <w:p w14:paraId="20692269">
      <w:pPr>
        <w:rPr>
          <w:rFonts w:ascii="宋体" w:hAnsi="宋体"/>
          <w:color w:val="auto"/>
          <w:sz w:val="24"/>
          <w:szCs w:val="21"/>
          <w:highlight w:val="none"/>
        </w:rPr>
      </w:pPr>
    </w:p>
    <w:tbl>
      <w:tblPr>
        <w:tblStyle w:val="31"/>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3"/>
        <w:gridCol w:w="1418"/>
        <w:gridCol w:w="3064"/>
        <w:gridCol w:w="1776"/>
        <w:gridCol w:w="2296"/>
      </w:tblGrid>
      <w:tr w14:paraId="72D40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9657" w:type="dxa"/>
            <w:gridSpan w:val="5"/>
            <w:noWrap w:val="0"/>
            <w:vAlign w:val="center"/>
          </w:tcPr>
          <w:p w14:paraId="500445C2">
            <w:pPr>
              <w:spacing w:line="440" w:lineRule="exact"/>
              <w:rPr>
                <w:rFonts w:hint="eastAsia" w:ascii="宋体" w:hAnsi="宋体" w:eastAsia="宋体"/>
                <w:color w:val="auto"/>
                <w:sz w:val="24"/>
                <w:szCs w:val="21"/>
                <w:highlight w:val="none"/>
                <w:lang w:eastAsia="zh-CN"/>
              </w:rPr>
            </w:pPr>
            <w:r>
              <w:rPr>
                <w:rFonts w:hint="eastAsia" w:ascii="宋体" w:hAnsi="宋体"/>
                <w:color w:val="auto"/>
                <w:sz w:val="24"/>
                <w:szCs w:val="21"/>
                <w:highlight w:val="none"/>
              </w:rPr>
              <w:t>岗位名称</w:t>
            </w:r>
            <w:r>
              <w:rPr>
                <w:rFonts w:hint="eastAsia" w:ascii="宋体" w:hAnsi="宋体"/>
                <w:color w:val="auto"/>
                <w:sz w:val="24"/>
                <w:szCs w:val="21"/>
                <w:highlight w:val="none"/>
                <w:lang w:eastAsia="zh-CN"/>
              </w:rPr>
              <w:t>：</w:t>
            </w:r>
          </w:p>
        </w:tc>
      </w:tr>
      <w:tr w14:paraId="3BFD0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521" w:type="dxa"/>
            <w:gridSpan w:val="2"/>
            <w:noWrap w:val="0"/>
            <w:vAlign w:val="center"/>
          </w:tcPr>
          <w:p w14:paraId="468591A8">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姓名</w:t>
            </w:r>
          </w:p>
        </w:tc>
        <w:tc>
          <w:tcPr>
            <w:tcW w:w="3064" w:type="dxa"/>
            <w:noWrap w:val="0"/>
            <w:vAlign w:val="center"/>
          </w:tcPr>
          <w:p w14:paraId="3DE74535">
            <w:pPr>
              <w:spacing w:line="440" w:lineRule="exact"/>
              <w:rPr>
                <w:rFonts w:ascii="宋体" w:hAnsi="宋体"/>
                <w:color w:val="auto"/>
                <w:sz w:val="24"/>
                <w:szCs w:val="21"/>
                <w:highlight w:val="none"/>
              </w:rPr>
            </w:pPr>
          </w:p>
        </w:tc>
        <w:tc>
          <w:tcPr>
            <w:tcW w:w="1776" w:type="dxa"/>
            <w:noWrap w:val="0"/>
            <w:vAlign w:val="center"/>
          </w:tcPr>
          <w:p w14:paraId="79687DB3">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年龄</w:t>
            </w:r>
          </w:p>
        </w:tc>
        <w:tc>
          <w:tcPr>
            <w:tcW w:w="2296" w:type="dxa"/>
            <w:noWrap w:val="0"/>
            <w:vAlign w:val="center"/>
          </w:tcPr>
          <w:p w14:paraId="50ABC3A9">
            <w:pPr>
              <w:spacing w:line="440" w:lineRule="exact"/>
              <w:rPr>
                <w:rFonts w:ascii="宋体" w:hAnsi="宋体"/>
                <w:color w:val="auto"/>
                <w:sz w:val="24"/>
                <w:szCs w:val="21"/>
                <w:highlight w:val="none"/>
              </w:rPr>
            </w:pPr>
          </w:p>
        </w:tc>
      </w:tr>
      <w:tr w14:paraId="3A3A0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521" w:type="dxa"/>
            <w:gridSpan w:val="2"/>
            <w:noWrap w:val="0"/>
            <w:vAlign w:val="top"/>
          </w:tcPr>
          <w:p w14:paraId="31181E4D">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性别</w:t>
            </w:r>
          </w:p>
        </w:tc>
        <w:tc>
          <w:tcPr>
            <w:tcW w:w="3064" w:type="dxa"/>
            <w:noWrap w:val="0"/>
            <w:vAlign w:val="top"/>
          </w:tcPr>
          <w:p w14:paraId="1526458E">
            <w:pPr>
              <w:spacing w:line="440" w:lineRule="exact"/>
              <w:rPr>
                <w:rFonts w:ascii="宋体" w:hAnsi="宋体"/>
                <w:color w:val="auto"/>
                <w:sz w:val="24"/>
                <w:szCs w:val="21"/>
                <w:highlight w:val="none"/>
              </w:rPr>
            </w:pPr>
          </w:p>
        </w:tc>
        <w:tc>
          <w:tcPr>
            <w:tcW w:w="1776" w:type="dxa"/>
            <w:noWrap w:val="0"/>
            <w:vAlign w:val="top"/>
          </w:tcPr>
          <w:p w14:paraId="0709C148">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毕业学校</w:t>
            </w:r>
          </w:p>
        </w:tc>
        <w:tc>
          <w:tcPr>
            <w:tcW w:w="2296" w:type="dxa"/>
            <w:noWrap w:val="0"/>
            <w:vAlign w:val="top"/>
          </w:tcPr>
          <w:p w14:paraId="1F2CCF1D">
            <w:pPr>
              <w:spacing w:line="440" w:lineRule="exact"/>
              <w:rPr>
                <w:rFonts w:ascii="宋体" w:hAnsi="宋体"/>
                <w:color w:val="auto"/>
                <w:sz w:val="24"/>
                <w:szCs w:val="21"/>
                <w:highlight w:val="none"/>
              </w:rPr>
            </w:pPr>
          </w:p>
        </w:tc>
      </w:tr>
      <w:tr w14:paraId="48C2A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521" w:type="dxa"/>
            <w:gridSpan w:val="2"/>
            <w:noWrap w:val="0"/>
            <w:vAlign w:val="top"/>
          </w:tcPr>
          <w:p w14:paraId="57D1825C">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学历和专业</w:t>
            </w:r>
          </w:p>
        </w:tc>
        <w:tc>
          <w:tcPr>
            <w:tcW w:w="3064" w:type="dxa"/>
            <w:noWrap w:val="0"/>
            <w:vAlign w:val="top"/>
          </w:tcPr>
          <w:p w14:paraId="39317DC0">
            <w:pPr>
              <w:spacing w:line="440" w:lineRule="exact"/>
              <w:rPr>
                <w:rFonts w:ascii="宋体" w:hAnsi="宋体"/>
                <w:color w:val="auto"/>
                <w:sz w:val="24"/>
                <w:szCs w:val="21"/>
                <w:highlight w:val="none"/>
              </w:rPr>
            </w:pPr>
          </w:p>
        </w:tc>
        <w:tc>
          <w:tcPr>
            <w:tcW w:w="1776" w:type="dxa"/>
            <w:noWrap w:val="0"/>
            <w:vAlign w:val="top"/>
          </w:tcPr>
          <w:p w14:paraId="228B3718">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毕业时间</w:t>
            </w:r>
          </w:p>
        </w:tc>
        <w:tc>
          <w:tcPr>
            <w:tcW w:w="2296" w:type="dxa"/>
            <w:noWrap w:val="0"/>
            <w:vAlign w:val="top"/>
          </w:tcPr>
          <w:p w14:paraId="3BC717F4">
            <w:pPr>
              <w:spacing w:line="440" w:lineRule="exact"/>
              <w:rPr>
                <w:rFonts w:ascii="宋体" w:hAnsi="宋体"/>
                <w:color w:val="auto"/>
                <w:sz w:val="24"/>
                <w:szCs w:val="21"/>
                <w:highlight w:val="none"/>
              </w:rPr>
            </w:pPr>
          </w:p>
        </w:tc>
      </w:tr>
      <w:tr w14:paraId="09E39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521" w:type="dxa"/>
            <w:gridSpan w:val="2"/>
            <w:noWrap w:val="0"/>
            <w:vAlign w:val="top"/>
          </w:tcPr>
          <w:p w14:paraId="5A3F05FC">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拥有的执业资格</w:t>
            </w:r>
          </w:p>
        </w:tc>
        <w:tc>
          <w:tcPr>
            <w:tcW w:w="3064" w:type="dxa"/>
            <w:noWrap w:val="0"/>
            <w:vAlign w:val="top"/>
          </w:tcPr>
          <w:p w14:paraId="125AE6CC">
            <w:pPr>
              <w:spacing w:line="440" w:lineRule="exact"/>
              <w:rPr>
                <w:rFonts w:ascii="宋体" w:hAnsi="宋体"/>
                <w:color w:val="auto"/>
                <w:sz w:val="24"/>
                <w:szCs w:val="21"/>
                <w:highlight w:val="none"/>
              </w:rPr>
            </w:pPr>
          </w:p>
        </w:tc>
        <w:tc>
          <w:tcPr>
            <w:tcW w:w="1776" w:type="dxa"/>
            <w:noWrap w:val="0"/>
            <w:vAlign w:val="top"/>
          </w:tcPr>
          <w:p w14:paraId="0C61C058">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专业职称</w:t>
            </w:r>
          </w:p>
        </w:tc>
        <w:tc>
          <w:tcPr>
            <w:tcW w:w="2296" w:type="dxa"/>
            <w:noWrap w:val="0"/>
            <w:vAlign w:val="top"/>
          </w:tcPr>
          <w:p w14:paraId="1F7E243F">
            <w:pPr>
              <w:spacing w:line="440" w:lineRule="exact"/>
              <w:rPr>
                <w:rFonts w:ascii="宋体" w:hAnsi="宋体"/>
                <w:color w:val="auto"/>
                <w:sz w:val="24"/>
                <w:szCs w:val="21"/>
                <w:highlight w:val="none"/>
              </w:rPr>
            </w:pPr>
          </w:p>
        </w:tc>
      </w:tr>
      <w:tr w14:paraId="424E8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521" w:type="dxa"/>
            <w:gridSpan w:val="2"/>
            <w:noWrap w:val="0"/>
            <w:vAlign w:val="center"/>
          </w:tcPr>
          <w:p w14:paraId="608B8CDC">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执业资格证书编号</w:t>
            </w:r>
          </w:p>
        </w:tc>
        <w:tc>
          <w:tcPr>
            <w:tcW w:w="3064" w:type="dxa"/>
            <w:noWrap w:val="0"/>
            <w:vAlign w:val="center"/>
          </w:tcPr>
          <w:p w14:paraId="1C6F3B50">
            <w:pPr>
              <w:spacing w:line="440" w:lineRule="exact"/>
              <w:rPr>
                <w:rFonts w:ascii="宋体" w:hAnsi="宋体"/>
                <w:color w:val="auto"/>
                <w:sz w:val="24"/>
                <w:szCs w:val="21"/>
                <w:highlight w:val="none"/>
              </w:rPr>
            </w:pPr>
          </w:p>
        </w:tc>
        <w:tc>
          <w:tcPr>
            <w:tcW w:w="1776" w:type="dxa"/>
            <w:noWrap w:val="0"/>
            <w:vAlign w:val="center"/>
          </w:tcPr>
          <w:p w14:paraId="6423CAD9">
            <w:pPr>
              <w:spacing w:line="440" w:lineRule="exact"/>
              <w:jc w:val="center"/>
              <w:rPr>
                <w:rFonts w:ascii="宋体" w:hAnsi="宋体"/>
                <w:color w:val="auto"/>
                <w:sz w:val="24"/>
                <w:szCs w:val="21"/>
                <w:highlight w:val="none"/>
              </w:rPr>
            </w:pPr>
            <w:r>
              <w:rPr>
                <w:rFonts w:hint="eastAsia" w:ascii="宋体" w:hAnsi="宋体"/>
                <w:color w:val="auto"/>
                <w:sz w:val="24"/>
                <w:szCs w:val="21"/>
                <w:highlight w:val="none"/>
              </w:rPr>
              <w:t>工作年限</w:t>
            </w:r>
          </w:p>
        </w:tc>
        <w:tc>
          <w:tcPr>
            <w:tcW w:w="2296" w:type="dxa"/>
            <w:noWrap w:val="0"/>
            <w:vAlign w:val="center"/>
          </w:tcPr>
          <w:p w14:paraId="0C4C8189">
            <w:pPr>
              <w:spacing w:line="440" w:lineRule="exact"/>
              <w:rPr>
                <w:rFonts w:ascii="宋体" w:hAnsi="宋体"/>
                <w:color w:val="auto"/>
                <w:sz w:val="24"/>
                <w:szCs w:val="21"/>
                <w:highlight w:val="none"/>
              </w:rPr>
            </w:pPr>
          </w:p>
        </w:tc>
      </w:tr>
      <w:tr w14:paraId="65414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1103" w:type="dxa"/>
            <w:noWrap w:val="0"/>
            <w:vAlign w:val="center"/>
          </w:tcPr>
          <w:p w14:paraId="4A93868A">
            <w:pPr>
              <w:spacing w:line="440" w:lineRule="exact"/>
              <w:rPr>
                <w:rFonts w:ascii="宋体" w:hAnsi="宋体"/>
                <w:color w:val="auto"/>
                <w:sz w:val="24"/>
                <w:szCs w:val="21"/>
                <w:highlight w:val="none"/>
              </w:rPr>
            </w:pPr>
          </w:p>
          <w:p w14:paraId="26486AD3">
            <w:pPr>
              <w:spacing w:line="440" w:lineRule="exact"/>
              <w:rPr>
                <w:rFonts w:ascii="宋体" w:hAnsi="宋体"/>
                <w:color w:val="auto"/>
                <w:sz w:val="24"/>
                <w:szCs w:val="21"/>
                <w:highlight w:val="none"/>
              </w:rPr>
            </w:pPr>
            <w:r>
              <w:rPr>
                <w:rFonts w:hint="eastAsia" w:ascii="宋体" w:hAnsi="宋体"/>
                <w:color w:val="auto"/>
                <w:sz w:val="24"/>
                <w:szCs w:val="21"/>
                <w:highlight w:val="none"/>
              </w:rPr>
              <w:t>主要工作业绩及担任的主要工作</w:t>
            </w:r>
          </w:p>
          <w:p w14:paraId="2BEFF6AD">
            <w:pPr>
              <w:spacing w:line="440" w:lineRule="exact"/>
              <w:rPr>
                <w:rFonts w:ascii="宋体" w:hAnsi="宋体"/>
                <w:color w:val="auto"/>
                <w:sz w:val="24"/>
                <w:szCs w:val="21"/>
                <w:highlight w:val="none"/>
              </w:rPr>
            </w:pPr>
          </w:p>
        </w:tc>
        <w:tc>
          <w:tcPr>
            <w:tcW w:w="8554" w:type="dxa"/>
            <w:gridSpan w:val="4"/>
            <w:noWrap w:val="0"/>
            <w:vAlign w:val="center"/>
          </w:tcPr>
          <w:p w14:paraId="4BBD9793">
            <w:pPr>
              <w:widowControl/>
              <w:jc w:val="left"/>
              <w:rPr>
                <w:rFonts w:ascii="宋体" w:hAnsi="宋体"/>
                <w:color w:val="auto"/>
                <w:sz w:val="24"/>
                <w:szCs w:val="21"/>
                <w:highlight w:val="none"/>
              </w:rPr>
            </w:pPr>
          </w:p>
          <w:p w14:paraId="3441C772">
            <w:pPr>
              <w:widowControl/>
              <w:jc w:val="left"/>
              <w:rPr>
                <w:rFonts w:ascii="宋体" w:hAnsi="宋体"/>
                <w:color w:val="auto"/>
                <w:sz w:val="24"/>
                <w:szCs w:val="21"/>
                <w:highlight w:val="none"/>
              </w:rPr>
            </w:pPr>
          </w:p>
          <w:p w14:paraId="7BBF34B9">
            <w:pPr>
              <w:widowControl/>
              <w:jc w:val="left"/>
              <w:rPr>
                <w:rFonts w:ascii="宋体" w:hAnsi="宋体"/>
                <w:color w:val="auto"/>
                <w:sz w:val="24"/>
                <w:szCs w:val="21"/>
                <w:highlight w:val="none"/>
              </w:rPr>
            </w:pPr>
          </w:p>
          <w:p w14:paraId="1F03845A">
            <w:pPr>
              <w:widowControl/>
              <w:jc w:val="left"/>
              <w:rPr>
                <w:rFonts w:ascii="宋体" w:hAnsi="宋体"/>
                <w:color w:val="auto"/>
                <w:sz w:val="24"/>
                <w:szCs w:val="21"/>
                <w:highlight w:val="none"/>
              </w:rPr>
            </w:pPr>
          </w:p>
          <w:p w14:paraId="65849AB8">
            <w:pPr>
              <w:widowControl/>
              <w:jc w:val="left"/>
              <w:rPr>
                <w:rFonts w:ascii="宋体" w:hAnsi="宋体"/>
                <w:color w:val="auto"/>
                <w:sz w:val="24"/>
                <w:szCs w:val="21"/>
                <w:highlight w:val="none"/>
              </w:rPr>
            </w:pPr>
          </w:p>
          <w:p w14:paraId="31A40332">
            <w:pPr>
              <w:widowControl/>
              <w:jc w:val="left"/>
              <w:rPr>
                <w:rFonts w:ascii="宋体" w:hAnsi="宋体"/>
                <w:color w:val="auto"/>
                <w:sz w:val="24"/>
                <w:szCs w:val="21"/>
                <w:highlight w:val="none"/>
              </w:rPr>
            </w:pPr>
          </w:p>
          <w:p w14:paraId="7460442C">
            <w:pPr>
              <w:widowControl/>
              <w:jc w:val="left"/>
              <w:rPr>
                <w:rFonts w:ascii="宋体" w:hAnsi="宋体"/>
                <w:color w:val="auto"/>
                <w:sz w:val="24"/>
                <w:szCs w:val="21"/>
                <w:highlight w:val="none"/>
              </w:rPr>
            </w:pPr>
          </w:p>
          <w:p w14:paraId="21A63322">
            <w:pPr>
              <w:widowControl/>
              <w:jc w:val="left"/>
              <w:rPr>
                <w:rFonts w:ascii="宋体" w:hAnsi="宋体"/>
                <w:color w:val="auto"/>
                <w:sz w:val="24"/>
                <w:szCs w:val="21"/>
                <w:highlight w:val="none"/>
              </w:rPr>
            </w:pPr>
          </w:p>
          <w:p w14:paraId="21C99989">
            <w:pPr>
              <w:widowControl/>
              <w:jc w:val="left"/>
              <w:rPr>
                <w:rFonts w:ascii="宋体" w:hAnsi="宋体"/>
                <w:color w:val="auto"/>
                <w:sz w:val="24"/>
                <w:szCs w:val="21"/>
                <w:highlight w:val="none"/>
              </w:rPr>
            </w:pPr>
          </w:p>
          <w:p w14:paraId="4EB80454">
            <w:pPr>
              <w:widowControl/>
              <w:jc w:val="left"/>
              <w:rPr>
                <w:rFonts w:ascii="宋体" w:hAnsi="宋体"/>
                <w:color w:val="auto"/>
                <w:sz w:val="24"/>
                <w:szCs w:val="21"/>
                <w:highlight w:val="none"/>
              </w:rPr>
            </w:pPr>
          </w:p>
          <w:p w14:paraId="50F71474">
            <w:pPr>
              <w:spacing w:line="440" w:lineRule="exact"/>
              <w:rPr>
                <w:rFonts w:ascii="宋体" w:hAnsi="宋体"/>
                <w:color w:val="auto"/>
                <w:sz w:val="24"/>
                <w:szCs w:val="21"/>
                <w:highlight w:val="none"/>
              </w:rPr>
            </w:pPr>
          </w:p>
          <w:p w14:paraId="03B01055">
            <w:pPr>
              <w:spacing w:line="440" w:lineRule="exact"/>
              <w:rPr>
                <w:rFonts w:ascii="宋体" w:hAnsi="宋体"/>
                <w:color w:val="auto"/>
                <w:sz w:val="24"/>
                <w:szCs w:val="21"/>
                <w:highlight w:val="none"/>
              </w:rPr>
            </w:pPr>
          </w:p>
          <w:p w14:paraId="20102C00">
            <w:pPr>
              <w:spacing w:line="440" w:lineRule="exact"/>
              <w:rPr>
                <w:rFonts w:ascii="宋体" w:hAnsi="宋体"/>
                <w:color w:val="auto"/>
                <w:sz w:val="24"/>
                <w:szCs w:val="21"/>
                <w:highlight w:val="none"/>
              </w:rPr>
            </w:pPr>
          </w:p>
          <w:p w14:paraId="649F7EA0">
            <w:pPr>
              <w:spacing w:line="440" w:lineRule="exact"/>
              <w:rPr>
                <w:rFonts w:ascii="宋体" w:hAnsi="宋体"/>
                <w:color w:val="auto"/>
                <w:sz w:val="24"/>
                <w:szCs w:val="21"/>
                <w:highlight w:val="none"/>
              </w:rPr>
            </w:pPr>
          </w:p>
          <w:p w14:paraId="27A8BD7E">
            <w:pPr>
              <w:spacing w:line="440" w:lineRule="exact"/>
              <w:rPr>
                <w:rFonts w:ascii="宋体" w:hAnsi="宋体"/>
                <w:color w:val="auto"/>
                <w:sz w:val="24"/>
                <w:szCs w:val="21"/>
                <w:highlight w:val="none"/>
              </w:rPr>
            </w:pPr>
          </w:p>
          <w:p w14:paraId="7075B0BA">
            <w:pPr>
              <w:spacing w:line="440" w:lineRule="exact"/>
              <w:rPr>
                <w:rFonts w:ascii="宋体" w:hAnsi="宋体"/>
                <w:color w:val="auto"/>
                <w:sz w:val="24"/>
                <w:szCs w:val="21"/>
                <w:highlight w:val="none"/>
              </w:rPr>
            </w:pPr>
          </w:p>
          <w:p w14:paraId="4F80CD3C">
            <w:pPr>
              <w:spacing w:line="440" w:lineRule="exact"/>
              <w:rPr>
                <w:rFonts w:ascii="宋体" w:hAnsi="宋体"/>
                <w:color w:val="auto"/>
                <w:sz w:val="24"/>
                <w:szCs w:val="21"/>
                <w:highlight w:val="none"/>
              </w:rPr>
            </w:pPr>
          </w:p>
          <w:p w14:paraId="57C7A3EB">
            <w:pPr>
              <w:spacing w:line="440" w:lineRule="exact"/>
              <w:rPr>
                <w:rFonts w:ascii="宋体" w:hAnsi="宋体"/>
                <w:color w:val="auto"/>
                <w:sz w:val="24"/>
                <w:szCs w:val="21"/>
                <w:highlight w:val="none"/>
              </w:rPr>
            </w:pPr>
          </w:p>
        </w:tc>
      </w:tr>
    </w:tbl>
    <w:p w14:paraId="1F50982D">
      <w:pPr>
        <w:pStyle w:val="5"/>
        <w:rPr>
          <w:rFonts w:hint="eastAsia"/>
          <w:color w:val="auto"/>
          <w:highlight w:val="none"/>
        </w:rPr>
      </w:pPr>
    </w:p>
    <w:bookmarkEnd w:id="353"/>
    <w:sectPr>
      <w:headerReference r:id="rId3" w:type="default"/>
      <w:footerReference r:id="rId4" w:type="default"/>
      <w:footerReference r:id="rId5" w:type="even"/>
      <w:pgSz w:w="11906" w:h="16838"/>
      <w:pgMar w:top="1701" w:right="1440"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
    <w:altName w:val="Times New Roman"/>
    <w:panose1 w:val="00000000000000000000"/>
    <w:charset w:val="00"/>
    <w:family w:val="auto"/>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roma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47CCAA">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5115898">
                          <w:pPr>
                            <w:pStyle w:val="21"/>
                            <w:rPr>
                              <w:rStyle w:val="35"/>
                            </w:rPr>
                          </w:pPr>
                          <w:r>
                            <w:fldChar w:fldCharType="begin"/>
                          </w:r>
                          <w:r>
                            <w:rPr>
                              <w:rStyle w:val="35"/>
                            </w:rPr>
                            <w:instrText xml:space="preserve">PAGE  </w:instrText>
                          </w:r>
                          <w:r>
                            <w:fldChar w:fldCharType="separate"/>
                          </w:r>
                          <w:r>
                            <w:rPr>
                              <w:rStyle w:val="35"/>
                            </w:rPr>
                            <w:t>72</w:t>
                          </w:r>
                          <w:r>
                            <w:fldChar w:fldCharType="end"/>
                          </w:r>
                        </w:p>
                      </w:txbxContent>
                    </wps:txbx>
                    <wps:bodyPr vert="horz" wrap="none" lIns="0" tIns="0" rIns="0" bIns="0" anchor="t"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ny/KJucB&#10;AADJAwAADgAAAAAAAAABACAAAAAiAQAAZHJzL2Uyb0RvYy54bWxQSwUGAAAAAAYABgBZAQAAewUA&#10;AAAA&#10;">
              <v:fill on="f" focussize="0,0"/>
              <v:stroke on="f" weight="1.25pt"/>
              <v:imagedata o:title=""/>
              <o:lock v:ext="edit" aspectratio="f"/>
              <v:textbox inset="0mm,0mm,0mm,0mm" style="mso-fit-shape-to-text:t;">
                <w:txbxContent>
                  <w:p w14:paraId="45115898">
                    <w:pPr>
                      <w:pStyle w:val="21"/>
                      <w:rPr>
                        <w:rStyle w:val="35"/>
                      </w:rPr>
                    </w:pPr>
                    <w:r>
                      <w:fldChar w:fldCharType="begin"/>
                    </w:r>
                    <w:r>
                      <w:rPr>
                        <w:rStyle w:val="35"/>
                      </w:rPr>
                      <w:instrText xml:space="preserve">PAGE  </w:instrText>
                    </w:r>
                    <w:r>
                      <w:fldChar w:fldCharType="separate"/>
                    </w:r>
                    <w:r>
                      <w:rPr>
                        <w:rStyle w:val="35"/>
                      </w:rPr>
                      <w:t>72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2238C3">
    <w:pPr>
      <w:pStyle w:val="21"/>
      <w:framePr w:wrap="around" w:vAnchor="text" w:hAnchor="margin" w:xAlign="center" w:y="1"/>
      <w:rPr>
        <w:rStyle w:val="35"/>
      </w:rPr>
    </w:pPr>
    <w:r>
      <w:fldChar w:fldCharType="begin"/>
    </w:r>
    <w:r>
      <w:rPr>
        <w:rStyle w:val="35"/>
      </w:rPr>
      <w:instrText xml:space="preserve">PAGE  </w:instrText>
    </w:r>
    <w:r>
      <w:fldChar w:fldCharType="separate"/>
    </w:r>
    <w:r>
      <w:rPr>
        <w:rStyle w:val="35"/>
      </w:rPr>
      <w:t>22</w:t>
    </w:r>
    <w:r>
      <w:fldChar w:fldCharType="end"/>
    </w:r>
  </w:p>
  <w:p w14:paraId="18183273">
    <w:pPr>
      <w:pStyle w:val="2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694D0">
    <w:pPr>
      <w:pStyle w:val="23"/>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1CDD02"/>
    <w:multiLevelType w:val="singleLevel"/>
    <w:tmpl w:val="C51CDD02"/>
    <w:lvl w:ilvl="0" w:tentative="0">
      <w:start w:val="1"/>
      <w:numFmt w:val="decimal"/>
      <w:suff w:val="nothing"/>
      <w:lvlText w:val="（%1）"/>
      <w:lvlJc w:val="left"/>
    </w:lvl>
  </w:abstractNum>
  <w:abstractNum w:abstractNumId="1">
    <w:nsid w:val="C5282D84"/>
    <w:multiLevelType w:val="singleLevel"/>
    <w:tmpl w:val="C5282D84"/>
    <w:lvl w:ilvl="0" w:tentative="0">
      <w:start w:val="2"/>
      <w:numFmt w:val="chineseCounting"/>
      <w:suff w:val="space"/>
      <w:lvlText w:val="第%1章"/>
      <w:lvlJc w:val="left"/>
      <w:rPr>
        <w:rFonts w:hint="eastAsia"/>
      </w:rPr>
    </w:lvl>
  </w:abstractNum>
  <w:abstractNum w:abstractNumId="2">
    <w:nsid w:val="00000024"/>
    <w:multiLevelType w:val="multilevel"/>
    <w:tmpl w:val="00000024"/>
    <w:lvl w:ilvl="0" w:tentative="0">
      <w:start w:val="1"/>
      <w:numFmt w:val="decimal"/>
      <w:pStyle w:val="9"/>
      <w:lvlText w:val="%1."/>
      <w:lvlJc w:val="left"/>
      <w:pPr>
        <w:tabs>
          <w:tab w:val="left" w:pos="360"/>
        </w:tabs>
        <w:ind w:left="360" w:hanging="360"/>
      </w:pPr>
      <w:rPr>
        <w:rFonts w:hint="default" w:ascii="宋体" w:hAnsi="宋体" w:eastAsia="宋体"/>
        <w:b w:val="0"/>
      </w:rPr>
    </w:lvl>
    <w:lvl w:ilvl="1" w:tentative="0">
      <w:start w:val="1"/>
      <w:numFmt w:val="decimal"/>
      <w:lvlText w:val="6.%2"/>
      <w:lvlJc w:val="left"/>
      <w:pPr>
        <w:tabs>
          <w:tab w:val="left" w:pos="992"/>
        </w:tabs>
        <w:ind w:left="992" w:hanging="567"/>
      </w:pPr>
      <w:rPr>
        <w:rFonts w:hint="eastAsia" w:ascii="宋体" w:hAnsi="宋体" w:eastAsia="宋体"/>
        <w:color w:val="auto"/>
      </w:rPr>
    </w:lvl>
    <w:lvl w:ilvl="2" w:tentative="0">
      <w:start w:val="1"/>
      <w:numFmt w:val="decimal"/>
      <w:lvlText w:val="%1.%2.%3"/>
      <w:lvlJc w:val="left"/>
      <w:pPr>
        <w:tabs>
          <w:tab w:val="left" w:pos="1418"/>
        </w:tabs>
        <w:ind w:left="1418" w:hanging="567"/>
      </w:pPr>
      <w:rPr>
        <w:rFonts w:hint="eastAsia"/>
        <w:color w:val="auto"/>
      </w:rPr>
    </w:lvl>
    <w:lvl w:ilvl="3" w:tentative="0">
      <w:start w:val="1"/>
      <w:numFmt w:val="decimal"/>
      <w:lvlText w:val="%1.%2.%3.%4"/>
      <w:lvlJc w:val="left"/>
      <w:pPr>
        <w:tabs>
          <w:tab w:val="left" w:pos="2356"/>
        </w:tabs>
        <w:ind w:left="1984" w:hanging="708"/>
      </w:pPr>
      <w:rPr>
        <w:rFonts w:hint="eastAsia"/>
      </w:rPr>
    </w:lvl>
    <w:lvl w:ilvl="4" w:tentative="0">
      <w:start w:val="1"/>
      <w:numFmt w:val="decimal"/>
      <w:lvlText w:val="%1.%2.%3.%4.%5"/>
      <w:lvlJc w:val="left"/>
      <w:pPr>
        <w:tabs>
          <w:tab w:val="left" w:pos="2781"/>
        </w:tabs>
        <w:ind w:left="2551" w:hanging="850"/>
      </w:pPr>
      <w:rPr>
        <w:rFonts w:hint="eastAsia"/>
      </w:rPr>
    </w:lvl>
    <w:lvl w:ilvl="5" w:tentative="0">
      <w:start w:val="1"/>
      <w:numFmt w:val="decimal"/>
      <w:lvlText w:val="%1.%2.%3.%4.%5.%6"/>
      <w:lvlJc w:val="left"/>
      <w:pPr>
        <w:tabs>
          <w:tab w:val="left" w:pos="3566"/>
        </w:tabs>
        <w:ind w:left="3260" w:hanging="1134"/>
      </w:pPr>
      <w:rPr>
        <w:rFonts w:hint="eastAsia"/>
      </w:rPr>
    </w:lvl>
    <w:lvl w:ilvl="6" w:tentative="0">
      <w:start w:val="1"/>
      <w:numFmt w:val="decimal"/>
      <w:lvlText w:val="%1.%2.%3.%4.%5.%6.%7"/>
      <w:lvlJc w:val="left"/>
      <w:pPr>
        <w:tabs>
          <w:tab w:val="left" w:pos="3991"/>
        </w:tabs>
        <w:ind w:left="3827" w:hanging="1276"/>
      </w:pPr>
      <w:rPr>
        <w:rFonts w:hint="eastAsia"/>
      </w:rPr>
    </w:lvl>
    <w:lvl w:ilvl="7" w:tentative="0">
      <w:start w:val="1"/>
      <w:numFmt w:val="decimal"/>
      <w:lvlText w:val="%1.%2.%3.%4.%5.%6.%7.%8"/>
      <w:lvlJc w:val="left"/>
      <w:pPr>
        <w:tabs>
          <w:tab w:val="left" w:pos="4776"/>
        </w:tabs>
        <w:ind w:left="4394" w:hanging="1418"/>
      </w:pPr>
      <w:rPr>
        <w:rFonts w:hint="eastAsia"/>
      </w:rPr>
    </w:lvl>
    <w:lvl w:ilvl="8" w:tentative="0">
      <w:start w:val="1"/>
      <w:numFmt w:val="decimal"/>
      <w:lvlText w:val="%1.%2.%3.%4.%5.%6.%7.%8.%9"/>
      <w:lvlJc w:val="left"/>
      <w:pPr>
        <w:tabs>
          <w:tab w:val="left" w:pos="5202"/>
        </w:tabs>
        <w:ind w:left="5102" w:hanging="1700"/>
      </w:pPr>
      <w:rPr>
        <w:rFonts w:hint="eastAsia"/>
      </w:rPr>
    </w:lvl>
  </w:abstractNum>
  <w:abstractNum w:abstractNumId="3">
    <w:nsid w:val="046E2D7F"/>
    <w:multiLevelType w:val="multilevel"/>
    <w:tmpl w:val="046E2D7F"/>
    <w:lvl w:ilvl="0" w:tentative="0">
      <w:start w:val="3"/>
      <w:numFmt w:val="decimal"/>
      <w:pStyle w:val="50"/>
      <w:lvlText w:val="%1、"/>
      <w:lvlJc w:val="left"/>
      <w:pPr>
        <w:tabs>
          <w:tab w:val="left" w:pos="1170"/>
        </w:tabs>
        <w:ind w:left="1170" w:hanging="720"/>
      </w:pPr>
      <w:rPr>
        <w:rFonts w:hint="default"/>
      </w:rPr>
    </w:lvl>
    <w:lvl w:ilvl="1" w:tentative="0">
      <w:start w:val="1"/>
      <w:numFmt w:val="lowerLetter"/>
      <w:lvlText w:val="%2)"/>
      <w:lvlJc w:val="left"/>
      <w:pPr>
        <w:tabs>
          <w:tab w:val="left" w:pos="1290"/>
        </w:tabs>
        <w:ind w:left="1290" w:hanging="420"/>
      </w:pPr>
    </w:lvl>
    <w:lvl w:ilvl="2" w:tentative="0">
      <w:start w:val="1"/>
      <w:numFmt w:val="lowerRoman"/>
      <w:lvlText w:val="%3."/>
      <w:lvlJc w:val="right"/>
      <w:pPr>
        <w:tabs>
          <w:tab w:val="left" w:pos="1710"/>
        </w:tabs>
        <w:ind w:left="1710" w:hanging="420"/>
      </w:pPr>
    </w:lvl>
    <w:lvl w:ilvl="3" w:tentative="0">
      <w:start w:val="1"/>
      <w:numFmt w:val="decimal"/>
      <w:lvlText w:val="%4."/>
      <w:lvlJc w:val="left"/>
      <w:pPr>
        <w:tabs>
          <w:tab w:val="left" w:pos="2130"/>
        </w:tabs>
        <w:ind w:left="2130" w:hanging="420"/>
      </w:pPr>
    </w:lvl>
    <w:lvl w:ilvl="4" w:tentative="0">
      <w:start w:val="1"/>
      <w:numFmt w:val="lowerLetter"/>
      <w:lvlText w:val="%5)"/>
      <w:lvlJc w:val="left"/>
      <w:pPr>
        <w:tabs>
          <w:tab w:val="left" w:pos="2550"/>
        </w:tabs>
        <w:ind w:left="2550" w:hanging="420"/>
      </w:pPr>
    </w:lvl>
    <w:lvl w:ilvl="5" w:tentative="0">
      <w:start w:val="1"/>
      <w:numFmt w:val="lowerRoman"/>
      <w:lvlText w:val="%6."/>
      <w:lvlJc w:val="right"/>
      <w:pPr>
        <w:tabs>
          <w:tab w:val="left" w:pos="2970"/>
        </w:tabs>
        <w:ind w:left="2970" w:hanging="420"/>
      </w:pPr>
    </w:lvl>
    <w:lvl w:ilvl="6" w:tentative="0">
      <w:start w:val="1"/>
      <w:numFmt w:val="decimal"/>
      <w:lvlText w:val="%7."/>
      <w:lvlJc w:val="left"/>
      <w:pPr>
        <w:tabs>
          <w:tab w:val="left" w:pos="3390"/>
        </w:tabs>
        <w:ind w:left="3390" w:hanging="420"/>
      </w:pPr>
    </w:lvl>
    <w:lvl w:ilvl="7" w:tentative="0">
      <w:start w:val="1"/>
      <w:numFmt w:val="lowerLetter"/>
      <w:lvlText w:val="%8)"/>
      <w:lvlJc w:val="left"/>
      <w:pPr>
        <w:tabs>
          <w:tab w:val="left" w:pos="3810"/>
        </w:tabs>
        <w:ind w:left="3810" w:hanging="420"/>
      </w:pPr>
    </w:lvl>
    <w:lvl w:ilvl="8" w:tentative="0">
      <w:start w:val="1"/>
      <w:numFmt w:val="lowerRoman"/>
      <w:lvlText w:val="%9."/>
      <w:lvlJc w:val="right"/>
      <w:pPr>
        <w:tabs>
          <w:tab w:val="left" w:pos="4230"/>
        </w:tabs>
        <w:ind w:left="4230" w:hanging="420"/>
      </w:pPr>
    </w:lvl>
  </w:abstractNum>
  <w:abstractNum w:abstractNumId="4">
    <w:nsid w:val="1795F4C9"/>
    <w:multiLevelType w:val="singleLevel"/>
    <w:tmpl w:val="1795F4C9"/>
    <w:lvl w:ilvl="0" w:tentative="0">
      <w:start w:val="6"/>
      <w:numFmt w:val="decimal"/>
      <w:suff w:val="nothing"/>
      <w:lvlText w:val="%1、"/>
      <w:lvlJc w:val="left"/>
    </w:lvl>
  </w:abstractNum>
  <w:abstractNum w:abstractNumId="5">
    <w:nsid w:val="4024E2B5"/>
    <w:multiLevelType w:val="singleLevel"/>
    <w:tmpl w:val="4024E2B5"/>
    <w:lvl w:ilvl="0" w:tentative="0">
      <w:start w:val="3"/>
      <w:numFmt w:val="chineseCounting"/>
      <w:suff w:val="nothing"/>
      <w:lvlText w:val="（%1）"/>
      <w:lvlJc w:val="left"/>
      <w:rPr>
        <w:rFonts w:hint="eastAsia"/>
      </w:rPr>
    </w:lvl>
  </w:abstractNum>
  <w:abstractNum w:abstractNumId="6">
    <w:nsid w:val="420C153B"/>
    <w:multiLevelType w:val="multilevel"/>
    <w:tmpl w:val="420C153B"/>
    <w:lvl w:ilvl="0" w:tentative="0">
      <w:start w:val="1"/>
      <w:numFmt w:val="decimal"/>
      <w:pStyle w:val="47"/>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50E267D7"/>
    <w:multiLevelType w:val="singleLevel"/>
    <w:tmpl w:val="50E267D7"/>
    <w:lvl w:ilvl="0" w:tentative="0">
      <w:start w:val="1"/>
      <w:numFmt w:val="decimal"/>
      <w:lvlText w:val="%1."/>
      <w:lvlJc w:val="left"/>
      <w:pPr>
        <w:tabs>
          <w:tab w:val="left" w:pos="312"/>
        </w:tabs>
      </w:pPr>
    </w:lvl>
  </w:abstractNum>
  <w:num w:numId="1">
    <w:abstractNumId w:val="2"/>
  </w:num>
  <w:num w:numId="2">
    <w:abstractNumId w:val="6"/>
  </w:num>
  <w:num w:numId="3">
    <w:abstractNumId w:val="3"/>
  </w:num>
  <w:num w:numId="4">
    <w:abstractNumId w:val="1"/>
  </w:num>
  <w:num w:numId="5">
    <w:abstractNumId w:val="7"/>
  </w:num>
  <w:num w:numId="6">
    <w:abstractNumId w:val="0"/>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0YjdjNWJjYzk0NGI0MTkyNGVkODVkN2FmNzNhNDUifQ=="/>
  </w:docVars>
  <w:rsids>
    <w:rsidRoot w:val="00172A27"/>
    <w:rsid w:val="000E0E08"/>
    <w:rsid w:val="00155619"/>
    <w:rsid w:val="00172A27"/>
    <w:rsid w:val="001C2354"/>
    <w:rsid w:val="001C5838"/>
    <w:rsid w:val="001F79E1"/>
    <w:rsid w:val="0021665A"/>
    <w:rsid w:val="00271461"/>
    <w:rsid w:val="002F0178"/>
    <w:rsid w:val="003025C5"/>
    <w:rsid w:val="00372A77"/>
    <w:rsid w:val="00372F90"/>
    <w:rsid w:val="004A5327"/>
    <w:rsid w:val="00556473"/>
    <w:rsid w:val="005856B9"/>
    <w:rsid w:val="005C40F9"/>
    <w:rsid w:val="005D2354"/>
    <w:rsid w:val="0063622E"/>
    <w:rsid w:val="00655363"/>
    <w:rsid w:val="00735171"/>
    <w:rsid w:val="00744E6C"/>
    <w:rsid w:val="00787C2B"/>
    <w:rsid w:val="00905172"/>
    <w:rsid w:val="00A450FF"/>
    <w:rsid w:val="00BF2B89"/>
    <w:rsid w:val="00C13BE0"/>
    <w:rsid w:val="00C75220"/>
    <w:rsid w:val="00CA63D1"/>
    <w:rsid w:val="00D00038"/>
    <w:rsid w:val="00D10B9E"/>
    <w:rsid w:val="00DE0A4C"/>
    <w:rsid w:val="00E07240"/>
    <w:rsid w:val="00EE418A"/>
    <w:rsid w:val="00EE5DDC"/>
    <w:rsid w:val="00EF37E8"/>
    <w:rsid w:val="00F33B20"/>
    <w:rsid w:val="00F54475"/>
    <w:rsid w:val="00F85B0B"/>
    <w:rsid w:val="00F85EB2"/>
    <w:rsid w:val="00FC356B"/>
    <w:rsid w:val="00FD777F"/>
    <w:rsid w:val="017D5894"/>
    <w:rsid w:val="018C47B0"/>
    <w:rsid w:val="01B400AD"/>
    <w:rsid w:val="021A2642"/>
    <w:rsid w:val="0240529D"/>
    <w:rsid w:val="02840270"/>
    <w:rsid w:val="02CB2268"/>
    <w:rsid w:val="03010450"/>
    <w:rsid w:val="03036481"/>
    <w:rsid w:val="032A36C8"/>
    <w:rsid w:val="0373742A"/>
    <w:rsid w:val="03E24543"/>
    <w:rsid w:val="03E5503B"/>
    <w:rsid w:val="044F5AED"/>
    <w:rsid w:val="04F02BDE"/>
    <w:rsid w:val="054F6C10"/>
    <w:rsid w:val="057F71C9"/>
    <w:rsid w:val="05FE4B7D"/>
    <w:rsid w:val="06245734"/>
    <w:rsid w:val="062D5FEE"/>
    <w:rsid w:val="069049B8"/>
    <w:rsid w:val="06935BA7"/>
    <w:rsid w:val="069F5282"/>
    <w:rsid w:val="06AB3A89"/>
    <w:rsid w:val="06D45DD6"/>
    <w:rsid w:val="07307E77"/>
    <w:rsid w:val="074449BC"/>
    <w:rsid w:val="076E113B"/>
    <w:rsid w:val="07AC4B13"/>
    <w:rsid w:val="07D2185E"/>
    <w:rsid w:val="08046698"/>
    <w:rsid w:val="081F4263"/>
    <w:rsid w:val="08451740"/>
    <w:rsid w:val="085D5EB1"/>
    <w:rsid w:val="08647A7B"/>
    <w:rsid w:val="08A404FB"/>
    <w:rsid w:val="08D61475"/>
    <w:rsid w:val="08E02485"/>
    <w:rsid w:val="09305B6C"/>
    <w:rsid w:val="094C3466"/>
    <w:rsid w:val="094F50FA"/>
    <w:rsid w:val="097217D3"/>
    <w:rsid w:val="098C5D95"/>
    <w:rsid w:val="09A97E66"/>
    <w:rsid w:val="0A1558FF"/>
    <w:rsid w:val="0A3A2074"/>
    <w:rsid w:val="0A47555B"/>
    <w:rsid w:val="0A6B304D"/>
    <w:rsid w:val="0ABB19B3"/>
    <w:rsid w:val="0ACD28E0"/>
    <w:rsid w:val="0ACE7FBF"/>
    <w:rsid w:val="0ACF113B"/>
    <w:rsid w:val="0AD0794C"/>
    <w:rsid w:val="0AE0788C"/>
    <w:rsid w:val="0AEB2A1D"/>
    <w:rsid w:val="0B2174B0"/>
    <w:rsid w:val="0B36617C"/>
    <w:rsid w:val="0B686CF8"/>
    <w:rsid w:val="0B801062"/>
    <w:rsid w:val="0BB74DD4"/>
    <w:rsid w:val="0BBE4AB4"/>
    <w:rsid w:val="0C2B56C5"/>
    <w:rsid w:val="0C5E2C52"/>
    <w:rsid w:val="0C6E05B4"/>
    <w:rsid w:val="0C6E3E7F"/>
    <w:rsid w:val="0C7B5776"/>
    <w:rsid w:val="0CF13B49"/>
    <w:rsid w:val="0CFA3EF2"/>
    <w:rsid w:val="0D047C99"/>
    <w:rsid w:val="0D076022"/>
    <w:rsid w:val="0D0F5B7A"/>
    <w:rsid w:val="0D126698"/>
    <w:rsid w:val="0D1412B7"/>
    <w:rsid w:val="0D1F20E2"/>
    <w:rsid w:val="0D2841C5"/>
    <w:rsid w:val="0D2D30AD"/>
    <w:rsid w:val="0D4F2C3C"/>
    <w:rsid w:val="0DA91BC0"/>
    <w:rsid w:val="0E08136F"/>
    <w:rsid w:val="0E2C2F8C"/>
    <w:rsid w:val="0E43150B"/>
    <w:rsid w:val="0E62761C"/>
    <w:rsid w:val="0E8C4A31"/>
    <w:rsid w:val="0E8D4171"/>
    <w:rsid w:val="0E956B1B"/>
    <w:rsid w:val="0E9E6512"/>
    <w:rsid w:val="0EA05995"/>
    <w:rsid w:val="0EA41ABA"/>
    <w:rsid w:val="0F0F0D85"/>
    <w:rsid w:val="0F6901C8"/>
    <w:rsid w:val="0F7B24F3"/>
    <w:rsid w:val="0F9136CD"/>
    <w:rsid w:val="0FD61361"/>
    <w:rsid w:val="101E3DAE"/>
    <w:rsid w:val="104043CA"/>
    <w:rsid w:val="104F6AFE"/>
    <w:rsid w:val="107D4817"/>
    <w:rsid w:val="11257567"/>
    <w:rsid w:val="112D790F"/>
    <w:rsid w:val="116C37E2"/>
    <w:rsid w:val="11BF3B95"/>
    <w:rsid w:val="12085097"/>
    <w:rsid w:val="12106378"/>
    <w:rsid w:val="121C2E6D"/>
    <w:rsid w:val="124D0A04"/>
    <w:rsid w:val="12591991"/>
    <w:rsid w:val="127212F9"/>
    <w:rsid w:val="12840A4C"/>
    <w:rsid w:val="129923C2"/>
    <w:rsid w:val="12F42088"/>
    <w:rsid w:val="12F4774C"/>
    <w:rsid w:val="131C20FB"/>
    <w:rsid w:val="1340403C"/>
    <w:rsid w:val="137B4287"/>
    <w:rsid w:val="13AC2366"/>
    <w:rsid w:val="13B33653"/>
    <w:rsid w:val="13C2397B"/>
    <w:rsid w:val="13EE27EF"/>
    <w:rsid w:val="140E1078"/>
    <w:rsid w:val="141E3804"/>
    <w:rsid w:val="142147DA"/>
    <w:rsid w:val="14393F00"/>
    <w:rsid w:val="1474515F"/>
    <w:rsid w:val="14D6523E"/>
    <w:rsid w:val="150A2690"/>
    <w:rsid w:val="150F67BF"/>
    <w:rsid w:val="15440D1F"/>
    <w:rsid w:val="15636BDD"/>
    <w:rsid w:val="15844850"/>
    <w:rsid w:val="159E329B"/>
    <w:rsid w:val="15CF1FAE"/>
    <w:rsid w:val="15EA55DE"/>
    <w:rsid w:val="15F17EA4"/>
    <w:rsid w:val="15F7298F"/>
    <w:rsid w:val="16172C93"/>
    <w:rsid w:val="163D4BC8"/>
    <w:rsid w:val="1666131E"/>
    <w:rsid w:val="16A2150D"/>
    <w:rsid w:val="16B26575"/>
    <w:rsid w:val="16D2144F"/>
    <w:rsid w:val="16E93363"/>
    <w:rsid w:val="16EB2510"/>
    <w:rsid w:val="16F325C5"/>
    <w:rsid w:val="171A0164"/>
    <w:rsid w:val="172B6DB1"/>
    <w:rsid w:val="17325EF0"/>
    <w:rsid w:val="176953C3"/>
    <w:rsid w:val="17827870"/>
    <w:rsid w:val="1794670D"/>
    <w:rsid w:val="17A11F25"/>
    <w:rsid w:val="17D41D2E"/>
    <w:rsid w:val="17F26C4F"/>
    <w:rsid w:val="185049B4"/>
    <w:rsid w:val="185D55C0"/>
    <w:rsid w:val="18673E19"/>
    <w:rsid w:val="18A450B7"/>
    <w:rsid w:val="18B3377B"/>
    <w:rsid w:val="18DB7583"/>
    <w:rsid w:val="18DF5267"/>
    <w:rsid w:val="18E10C8B"/>
    <w:rsid w:val="18F711F5"/>
    <w:rsid w:val="19F67059"/>
    <w:rsid w:val="1A424B3D"/>
    <w:rsid w:val="1A552EF0"/>
    <w:rsid w:val="1A861337"/>
    <w:rsid w:val="1A9E33B7"/>
    <w:rsid w:val="1A9F0813"/>
    <w:rsid w:val="1AC1388F"/>
    <w:rsid w:val="1ADC2370"/>
    <w:rsid w:val="1B024789"/>
    <w:rsid w:val="1B053295"/>
    <w:rsid w:val="1B2929DC"/>
    <w:rsid w:val="1B3C333B"/>
    <w:rsid w:val="1B7725C5"/>
    <w:rsid w:val="1B9D6BC5"/>
    <w:rsid w:val="1BB74F44"/>
    <w:rsid w:val="1BF35E31"/>
    <w:rsid w:val="1C14304D"/>
    <w:rsid w:val="1C151D67"/>
    <w:rsid w:val="1C315AE3"/>
    <w:rsid w:val="1C7134B8"/>
    <w:rsid w:val="1C834A65"/>
    <w:rsid w:val="1C8F571A"/>
    <w:rsid w:val="1C9C5761"/>
    <w:rsid w:val="1D14783F"/>
    <w:rsid w:val="1D274763"/>
    <w:rsid w:val="1DBD4AAF"/>
    <w:rsid w:val="1DD82CDE"/>
    <w:rsid w:val="1E02388A"/>
    <w:rsid w:val="1E222EF4"/>
    <w:rsid w:val="1E334045"/>
    <w:rsid w:val="1E8927EE"/>
    <w:rsid w:val="1EA2141D"/>
    <w:rsid w:val="1EBD7778"/>
    <w:rsid w:val="1F026502"/>
    <w:rsid w:val="1F1C3BAF"/>
    <w:rsid w:val="1F405CA6"/>
    <w:rsid w:val="1F7C58E9"/>
    <w:rsid w:val="1FBD02D4"/>
    <w:rsid w:val="1FD4326D"/>
    <w:rsid w:val="1FF24910"/>
    <w:rsid w:val="20090A33"/>
    <w:rsid w:val="205F798A"/>
    <w:rsid w:val="208A5506"/>
    <w:rsid w:val="20B23E05"/>
    <w:rsid w:val="20D30DB8"/>
    <w:rsid w:val="20F81719"/>
    <w:rsid w:val="211114DB"/>
    <w:rsid w:val="215B5A00"/>
    <w:rsid w:val="21E662D0"/>
    <w:rsid w:val="220D6AC6"/>
    <w:rsid w:val="220E2CF0"/>
    <w:rsid w:val="220F6312"/>
    <w:rsid w:val="22616D0D"/>
    <w:rsid w:val="226506AB"/>
    <w:rsid w:val="22BB40ED"/>
    <w:rsid w:val="22C510EA"/>
    <w:rsid w:val="22CD4CEA"/>
    <w:rsid w:val="22D362BB"/>
    <w:rsid w:val="231E74ED"/>
    <w:rsid w:val="23530CCB"/>
    <w:rsid w:val="23717628"/>
    <w:rsid w:val="23C1627F"/>
    <w:rsid w:val="23C27E3A"/>
    <w:rsid w:val="23D26F32"/>
    <w:rsid w:val="23E20307"/>
    <w:rsid w:val="23EA0B1B"/>
    <w:rsid w:val="23F45331"/>
    <w:rsid w:val="24115083"/>
    <w:rsid w:val="243454F7"/>
    <w:rsid w:val="243D56CF"/>
    <w:rsid w:val="24BE44C7"/>
    <w:rsid w:val="24D06CF2"/>
    <w:rsid w:val="252B21D0"/>
    <w:rsid w:val="256F0552"/>
    <w:rsid w:val="258230C2"/>
    <w:rsid w:val="25B311EB"/>
    <w:rsid w:val="25BF7042"/>
    <w:rsid w:val="25DB1A25"/>
    <w:rsid w:val="25E65925"/>
    <w:rsid w:val="25EC303D"/>
    <w:rsid w:val="26414B37"/>
    <w:rsid w:val="2693295B"/>
    <w:rsid w:val="26B402C7"/>
    <w:rsid w:val="26FE037B"/>
    <w:rsid w:val="27045EDC"/>
    <w:rsid w:val="27193993"/>
    <w:rsid w:val="27205733"/>
    <w:rsid w:val="27746AD6"/>
    <w:rsid w:val="277E27A6"/>
    <w:rsid w:val="277F7641"/>
    <w:rsid w:val="27B03A1B"/>
    <w:rsid w:val="27E41C3C"/>
    <w:rsid w:val="27EC4DDD"/>
    <w:rsid w:val="28160AA9"/>
    <w:rsid w:val="281D44F4"/>
    <w:rsid w:val="28726E69"/>
    <w:rsid w:val="28DC72B9"/>
    <w:rsid w:val="29643817"/>
    <w:rsid w:val="29717FC5"/>
    <w:rsid w:val="29A542E4"/>
    <w:rsid w:val="29BA39C9"/>
    <w:rsid w:val="29E2615B"/>
    <w:rsid w:val="29EB07D8"/>
    <w:rsid w:val="2A066B9C"/>
    <w:rsid w:val="2A067048"/>
    <w:rsid w:val="2A341177"/>
    <w:rsid w:val="2A5218FD"/>
    <w:rsid w:val="2AE337D3"/>
    <w:rsid w:val="2B440EAC"/>
    <w:rsid w:val="2B943A19"/>
    <w:rsid w:val="2B9C4A30"/>
    <w:rsid w:val="2C0A7E44"/>
    <w:rsid w:val="2C3438FC"/>
    <w:rsid w:val="2C53296B"/>
    <w:rsid w:val="2C7B3E28"/>
    <w:rsid w:val="2C7D639B"/>
    <w:rsid w:val="2C813436"/>
    <w:rsid w:val="2CBE4572"/>
    <w:rsid w:val="2CFE1A5A"/>
    <w:rsid w:val="2D304E35"/>
    <w:rsid w:val="2D455F9C"/>
    <w:rsid w:val="2D74711E"/>
    <w:rsid w:val="2D921B52"/>
    <w:rsid w:val="2DA134D1"/>
    <w:rsid w:val="2DA77776"/>
    <w:rsid w:val="2DCB7BFB"/>
    <w:rsid w:val="2DCF6BB5"/>
    <w:rsid w:val="2DDF0916"/>
    <w:rsid w:val="2DDF5351"/>
    <w:rsid w:val="2DF96FF8"/>
    <w:rsid w:val="2E4E18AB"/>
    <w:rsid w:val="2E4F5A09"/>
    <w:rsid w:val="2E561C2A"/>
    <w:rsid w:val="2E6F68D1"/>
    <w:rsid w:val="2E824BBB"/>
    <w:rsid w:val="2E934CA9"/>
    <w:rsid w:val="2EFF5429"/>
    <w:rsid w:val="2F470353"/>
    <w:rsid w:val="2F7A151E"/>
    <w:rsid w:val="2FB432C0"/>
    <w:rsid w:val="2FCC0489"/>
    <w:rsid w:val="2FCD3987"/>
    <w:rsid w:val="2FD10510"/>
    <w:rsid w:val="2FD80F0E"/>
    <w:rsid w:val="2FDF7015"/>
    <w:rsid w:val="30506B74"/>
    <w:rsid w:val="30675A9C"/>
    <w:rsid w:val="308807F9"/>
    <w:rsid w:val="30E27814"/>
    <w:rsid w:val="310B22DD"/>
    <w:rsid w:val="313875B4"/>
    <w:rsid w:val="31672B4C"/>
    <w:rsid w:val="31926DF6"/>
    <w:rsid w:val="31AC18B2"/>
    <w:rsid w:val="31C205E6"/>
    <w:rsid w:val="31C82FCF"/>
    <w:rsid w:val="31DF116B"/>
    <w:rsid w:val="32070B68"/>
    <w:rsid w:val="32185788"/>
    <w:rsid w:val="3234761C"/>
    <w:rsid w:val="324F033D"/>
    <w:rsid w:val="325D3E6B"/>
    <w:rsid w:val="32B35F36"/>
    <w:rsid w:val="32CB13F8"/>
    <w:rsid w:val="32E03B66"/>
    <w:rsid w:val="32F23D0A"/>
    <w:rsid w:val="32F522F5"/>
    <w:rsid w:val="331103CC"/>
    <w:rsid w:val="331C1EFD"/>
    <w:rsid w:val="335E305A"/>
    <w:rsid w:val="33DB5AFF"/>
    <w:rsid w:val="33F507CE"/>
    <w:rsid w:val="342709B9"/>
    <w:rsid w:val="342F346E"/>
    <w:rsid w:val="34493C60"/>
    <w:rsid w:val="34AE4E61"/>
    <w:rsid w:val="34BA30BB"/>
    <w:rsid w:val="35057941"/>
    <w:rsid w:val="352E0148"/>
    <w:rsid w:val="353B63E4"/>
    <w:rsid w:val="35456445"/>
    <w:rsid w:val="35845BB2"/>
    <w:rsid w:val="359130B6"/>
    <w:rsid w:val="35C6307B"/>
    <w:rsid w:val="35E846EC"/>
    <w:rsid w:val="369332D6"/>
    <w:rsid w:val="36B94AA6"/>
    <w:rsid w:val="36BC3D8B"/>
    <w:rsid w:val="36BD0003"/>
    <w:rsid w:val="36DB06DF"/>
    <w:rsid w:val="370C39F6"/>
    <w:rsid w:val="371E0B4E"/>
    <w:rsid w:val="37541B70"/>
    <w:rsid w:val="37597386"/>
    <w:rsid w:val="37795AA0"/>
    <w:rsid w:val="37920008"/>
    <w:rsid w:val="37A20C8C"/>
    <w:rsid w:val="37B00EE0"/>
    <w:rsid w:val="37C13AA8"/>
    <w:rsid w:val="37D5480C"/>
    <w:rsid w:val="38160499"/>
    <w:rsid w:val="385628CC"/>
    <w:rsid w:val="38BD382A"/>
    <w:rsid w:val="38C0721C"/>
    <w:rsid w:val="390019C7"/>
    <w:rsid w:val="390962FB"/>
    <w:rsid w:val="397054E2"/>
    <w:rsid w:val="397A3409"/>
    <w:rsid w:val="397E6E3B"/>
    <w:rsid w:val="39A8471A"/>
    <w:rsid w:val="39AB2B8B"/>
    <w:rsid w:val="39BF365D"/>
    <w:rsid w:val="39F364AE"/>
    <w:rsid w:val="3A125510"/>
    <w:rsid w:val="3A160B95"/>
    <w:rsid w:val="3A18254A"/>
    <w:rsid w:val="3A425496"/>
    <w:rsid w:val="3A4D6E69"/>
    <w:rsid w:val="3A537D73"/>
    <w:rsid w:val="3A7D599F"/>
    <w:rsid w:val="3A843F8B"/>
    <w:rsid w:val="3A89118D"/>
    <w:rsid w:val="3A8B0EFD"/>
    <w:rsid w:val="3A992100"/>
    <w:rsid w:val="3AB6112C"/>
    <w:rsid w:val="3AC727C9"/>
    <w:rsid w:val="3AD611D0"/>
    <w:rsid w:val="3B396910"/>
    <w:rsid w:val="3B52429F"/>
    <w:rsid w:val="3B566F51"/>
    <w:rsid w:val="3B77509E"/>
    <w:rsid w:val="3B887E69"/>
    <w:rsid w:val="3B8E6E59"/>
    <w:rsid w:val="3BA65DEC"/>
    <w:rsid w:val="3BBD3DCD"/>
    <w:rsid w:val="3BBF5B96"/>
    <w:rsid w:val="3BE74978"/>
    <w:rsid w:val="3C880E85"/>
    <w:rsid w:val="3CBC7E10"/>
    <w:rsid w:val="3CDA1EE4"/>
    <w:rsid w:val="3CDC2292"/>
    <w:rsid w:val="3D05582A"/>
    <w:rsid w:val="3D261061"/>
    <w:rsid w:val="3D29211F"/>
    <w:rsid w:val="3D4662D9"/>
    <w:rsid w:val="3D5440BC"/>
    <w:rsid w:val="3DB5026E"/>
    <w:rsid w:val="3DD12874"/>
    <w:rsid w:val="3DD64167"/>
    <w:rsid w:val="3DEE4511"/>
    <w:rsid w:val="3E01673E"/>
    <w:rsid w:val="3E1453F5"/>
    <w:rsid w:val="3E277EE2"/>
    <w:rsid w:val="3E4D00CB"/>
    <w:rsid w:val="3E8872F6"/>
    <w:rsid w:val="3EC35BBC"/>
    <w:rsid w:val="3ED137EE"/>
    <w:rsid w:val="3F2C52F0"/>
    <w:rsid w:val="3F6978AA"/>
    <w:rsid w:val="3F913467"/>
    <w:rsid w:val="40090159"/>
    <w:rsid w:val="40807087"/>
    <w:rsid w:val="409346DF"/>
    <w:rsid w:val="40A32121"/>
    <w:rsid w:val="40DF7875"/>
    <w:rsid w:val="40E55DD6"/>
    <w:rsid w:val="4103390E"/>
    <w:rsid w:val="4163623E"/>
    <w:rsid w:val="416656FB"/>
    <w:rsid w:val="41FA1ACA"/>
    <w:rsid w:val="42157B5E"/>
    <w:rsid w:val="42380B97"/>
    <w:rsid w:val="424203E8"/>
    <w:rsid w:val="42507548"/>
    <w:rsid w:val="42B47119"/>
    <w:rsid w:val="42BD2E06"/>
    <w:rsid w:val="42D72D40"/>
    <w:rsid w:val="42E570DE"/>
    <w:rsid w:val="43285C89"/>
    <w:rsid w:val="43302100"/>
    <w:rsid w:val="437E3311"/>
    <w:rsid w:val="438D2298"/>
    <w:rsid w:val="43BD65BA"/>
    <w:rsid w:val="43BF1E31"/>
    <w:rsid w:val="43D9356D"/>
    <w:rsid w:val="43E63682"/>
    <w:rsid w:val="44065017"/>
    <w:rsid w:val="44211954"/>
    <w:rsid w:val="44214728"/>
    <w:rsid w:val="4427252A"/>
    <w:rsid w:val="44380293"/>
    <w:rsid w:val="44405A11"/>
    <w:rsid w:val="44670B79"/>
    <w:rsid w:val="4469269E"/>
    <w:rsid w:val="448523DE"/>
    <w:rsid w:val="448D3902"/>
    <w:rsid w:val="44A95CEC"/>
    <w:rsid w:val="44C8330E"/>
    <w:rsid w:val="44D437D2"/>
    <w:rsid w:val="44EB1363"/>
    <w:rsid w:val="450B7F44"/>
    <w:rsid w:val="455E45F3"/>
    <w:rsid w:val="457C705B"/>
    <w:rsid w:val="45922701"/>
    <w:rsid w:val="459B4162"/>
    <w:rsid w:val="45B63B66"/>
    <w:rsid w:val="45DB039B"/>
    <w:rsid w:val="45FB27BA"/>
    <w:rsid w:val="463217E8"/>
    <w:rsid w:val="46335317"/>
    <w:rsid w:val="464E1EBB"/>
    <w:rsid w:val="46530AF0"/>
    <w:rsid w:val="46554267"/>
    <w:rsid w:val="46AF70F5"/>
    <w:rsid w:val="473236C0"/>
    <w:rsid w:val="475C70F4"/>
    <w:rsid w:val="47726DDC"/>
    <w:rsid w:val="4781776C"/>
    <w:rsid w:val="47BF736E"/>
    <w:rsid w:val="47E769C5"/>
    <w:rsid w:val="47E904B8"/>
    <w:rsid w:val="48397FC7"/>
    <w:rsid w:val="483E597A"/>
    <w:rsid w:val="488162EB"/>
    <w:rsid w:val="48AC4395"/>
    <w:rsid w:val="49750B99"/>
    <w:rsid w:val="498F6E65"/>
    <w:rsid w:val="49BC5E8E"/>
    <w:rsid w:val="49D27F33"/>
    <w:rsid w:val="49D448E3"/>
    <w:rsid w:val="49DF1831"/>
    <w:rsid w:val="4A251698"/>
    <w:rsid w:val="4A3576EB"/>
    <w:rsid w:val="4AC24D5B"/>
    <w:rsid w:val="4AE42F23"/>
    <w:rsid w:val="4AF00461"/>
    <w:rsid w:val="4B1A0571"/>
    <w:rsid w:val="4B1A069C"/>
    <w:rsid w:val="4B266B94"/>
    <w:rsid w:val="4B654FB6"/>
    <w:rsid w:val="4B6A5B83"/>
    <w:rsid w:val="4B716D5D"/>
    <w:rsid w:val="4B954B24"/>
    <w:rsid w:val="4BDA1FB9"/>
    <w:rsid w:val="4C3E6663"/>
    <w:rsid w:val="4CB74895"/>
    <w:rsid w:val="4CDD1CD9"/>
    <w:rsid w:val="4CE1778C"/>
    <w:rsid w:val="4D255CC4"/>
    <w:rsid w:val="4D4A249F"/>
    <w:rsid w:val="4D9000BE"/>
    <w:rsid w:val="4DA4784B"/>
    <w:rsid w:val="4DCB520D"/>
    <w:rsid w:val="4DCE5B71"/>
    <w:rsid w:val="4DDA670D"/>
    <w:rsid w:val="4E471638"/>
    <w:rsid w:val="4E5B5AFC"/>
    <w:rsid w:val="4E643E7E"/>
    <w:rsid w:val="4E915170"/>
    <w:rsid w:val="4EC07803"/>
    <w:rsid w:val="4ECA0682"/>
    <w:rsid w:val="4ECD4BAC"/>
    <w:rsid w:val="4ED2754D"/>
    <w:rsid w:val="4EEF0B69"/>
    <w:rsid w:val="4F4837B7"/>
    <w:rsid w:val="4F601C3B"/>
    <w:rsid w:val="4F6835FE"/>
    <w:rsid w:val="4FB90871"/>
    <w:rsid w:val="4FD806DC"/>
    <w:rsid w:val="50455914"/>
    <w:rsid w:val="50EF1340"/>
    <w:rsid w:val="514D29C2"/>
    <w:rsid w:val="51782A54"/>
    <w:rsid w:val="51F842B8"/>
    <w:rsid w:val="52082FA5"/>
    <w:rsid w:val="521C110E"/>
    <w:rsid w:val="52410C5B"/>
    <w:rsid w:val="524F2DD5"/>
    <w:rsid w:val="52A1643C"/>
    <w:rsid w:val="52F727E4"/>
    <w:rsid w:val="532277F3"/>
    <w:rsid w:val="53464982"/>
    <w:rsid w:val="5366147A"/>
    <w:rsid w:val="53AA14DC"/>
    <w:rsid w:val="53AD5667"/>
    <w:rsid w:val="53B13B7E"/>
    <w:rsid w:val="53F464BD"/>
    <w:rsid w:val="54AB64BD"/>
    <w:rsid w:val="54DB5F6B"/>
    <w:rsid w:val="55150BCD"/>
    <w:rsid w:val="553E7A7D"/>
    <w:rsid w:val="55563985"/>
    <w:rsid w:val="55A54502"/>
    <w:rsid w:val="55C909CB"/>
    <w:rsid w:val="55F2591C"/>
    <w:rsid w:val="55F34016"/>
    <w:rsid w:val="562F5193"/>
    <w:rsid w:val="563244E2"/>
    <w:rsid w:val="565E12D9"/>
    <w:rsid w:val="56751B7C"/>
    <w:rsid w:val="56FE536D"/>
    <w:rsid w:val="57055F55"/>
    <w:rsid w:val="57260F75"/>
    <w:rsid w:val="57571199"/>
    <w:rsid w:val="578F4C4C"/>
    <w:rsid w:val="57986CC2"/>
    <w:rsid w:val="57A852D8"/>
    <w:rsid w:val="57D83FAF"/>
    <w:rsid w:val="57E64CF0"/>
    <w:rsid w:val="57E7135E"/>
    <w:rsid w:val="57EE7073"/>
    <w:rsid w:val="57FD3876"/>
    <w:rsid w:val="587618AC"/>
    <w:rsid w:val="58AF7D45"/>
    <w:rsid w:val="58BB180B"/>
    <w:rsid w:val="58E45B6A"/>
    <w:rsid w:val="59267F48"/>
    <w:rsid w:val="592A7F03"/>
    <w:rsid w:val="593327A4"/>
    <w:rsid w:val="598D0C2A"/>
    <w:rsid w:val="59933EE6"/>
    <w:rsid w:val="59973179"/>
    <w:rsid w:val="59B14918"/>
    <w:rsid w:val="59D8488B"/>
    <w:rsid w:val="59DA3905"/>
    <w:rsid w:val="59DD4501"/>
    <w:rsid w:val="5A5D2BCB"/>
    <w:rsid w:val="5A641AC6"/>
    <w:rsid w:val="5AA77AC9"/>
    <w:rsid w:val="5AE658B8"/>
    <w:rsid w:val="5AFF2506"/>
    <w:rsid w:val="5B012003"/>
    <w:rsid w:val="5B0D5B7E"/>
    <w:rsid w:val="5B1C4E82"/>
    <w:rsid w:val="5B3539CB"/>
    <w:rsid w:val="5BAC158E"/>
    <w:rsid w:val="5BD743DE"/>
    <w:rsid w:val="5C0F5E89"/>
    <w:rsid w:val="5C194129"/>
    <w:rsid w:val="5C1C3400"/>
    <w:rsid w:val="5C2804AD"/>
    <w:rsid w:val="5C3C6CB8"/>
    <w:rsid w:val="5C6054EA"/>
    <w:rsid w:val="5CA23634"/>
    <w:rsid w:val="5CA478F0"/>
    <w:rsid w:val="5CD76BD9"/>
    <w:rsid w:val="5CE639D8"/>
    <w:rsid w:val="5D327B1E"/>
    <w:rsid w:val="5D942587"/>
    <w:rsid w:val="5DB021F7"/>
    <w:rsid w:val="5DDA619B"/>
    <w:rsid w:val="5E00477C"/>
    <w:rsid w:val="5E113AEE"/>
    <w:rsid w:val="5E32072B"/>
    <w:rsid w:val="5E435D88"/>
    <w:rsid w:val="5E6B6BB8"/>
    <w:rsid w:val="5E8343A9"/>
    <w:rsid w:val="5EDA20E9"/>
    <w:rsid w:val="5F241E95"/>
    <w:rsid w:val="5F585836"/>
    <w:rsid w:val="5F686815"/>
    <w:rsid w:val="5FF65310"/>
    <w:rsid w:val="60177C29"/>
    <w:rsid w:val="60211151"/>
    <w:rsid w:val="60246991"/>
    <w:rsid w:val="609B4D2A"/>
    <w:rsid w:val="60C223EF"/>
    <w:rsid w:val="60DD4BA5"/>
    <w:rsid w:val="612727C6"/>
    <w:rsid w:val="613F0A5C"/>
    <w:rsid w:val="614A0876"/>
    <w:rsid w:val="61587C61"/>
    <w:rsid w:val="61B01958"/>
    <w:rsid w:val="61C05174"/>
    <w:rsid w:val="61C3168D"/>
    <w:rsid w:val="61DB4182"/>
    <w:rsid w:val="61E92CCA"/>
    <w:rsid w:val="62281F4B"/>
    <w:rsid w:val="62342D75"/>
    <w:rsid w:val="625A1317"/>
    <w:rsid w:val="62821504"/>
    <w:rsid w:val="62D3757E"/>
    <w:rsid w:val="62E93FA4"/>
    <w:rsid w:val="631D7E23"/>
    <w:rsid w:val="633A7FA4"/>
    <w:rsid w:val="634520EC"/>
    <w:rsid w:val="636A4689"/>
    <w:rsid w:val="63952BB5"/>
    <w:rsid w:val="639916D3"/>
    <w:rsid w:val="63FD6F73"/>
    <w:rsid w:val="6423627E"/>
    <w:rsid w:val="6424218B"/>
    <w:rsid w:val="64480A16"/>
    <w:rsid w:val="644903C3"/>
    <w:rsid w:val="6463533F"/>
    <w:rsid w:val="64A26BBA"/>
    <w:rsid w:val="64AE6553"/>
    <w:rsid w:val="64B06C0B"/>
    <w:rsid w:val="64E77440"/>
    <w:rsid w:val="64F502BB"/>
    <w:rsid w:val="651F1583"/>
    <w:rsid w:val="656960A7"/>
    <w:rsid w:val="656B40A0"/>
    <w:rsid w:val="656E0E00"/>
    <w:rsid w:val="65CE23AE"/>
    <w:rsid w:val="65FA5DBC"/>
    <w:rsid w:val="65FD4038"/>
    <w:rsid w:val="662207D5"/>
    <w:rsid w:val="6636323C"/>
    <w:rsid w:val="66435C4A"/>
    <w:rsid w:val="66860D55"/>
    <w:rsid w:val="66A6332B"/>
    <w:rsid w:val="66B17B4D"/>
    <w:rsid w:val="66E35E10"/>
    <w:rsid w:val="66FA167E"/>
    <w:rsid w:val="67727D2C"/>
    <w:rsid w:val="67CD6582"/>
    <w:rsid w:val="67D91902"/>
    <w:rsid w:val="67E078DF"/>
    <w:rsid w:val="67FD2842"/>
    <w:rsid w:val="67FF2D16"/>
    <w:rsid w:val="680352E0"/>
    <w:rsid w:val="682069FD"/>
    <w:rsid w:val="683F0AC4"/>
    <w:rsid w:val="68776E8D"/>
    <w:rsid w:val="688A2124"/>
    <w:rsid w:val="68B74EC8"/>
    <w:rsid w:val="69113E5F"/>
    <w:rsid w:val="69282628"/>
    <w:rsid w:val="693E5A9D"/>
    <w:rsid w:val="69530E9A"/>
    <w:rsid w:val="69801C11"/>
    <w:rsid w:val="69CB06BF"/>
    <w:rsid w:val="6A0D5B9B"/>
    <w:rsid w:val="6A13774D"/>
    <w:rsid w:val="6A4C09F4"/>
    <w:rsid w:val="6A5E1C04"/>
    <w:rsid w:val="6A605EE2"/>
    <w:rsid w:val="6A8E7313"/>
    <w:rsid w:val="6A906F95"/>
    <w:rsid w:val="6AA21D1D"/>
    <w:rsid w:val="6ABD6813"/>
    <w:rsid w:val="6ACE5484"/>
    <w:rsid w:val="6AEE0DD2"/>
    <w:rsid w:val="6B064398"/>
    <w:rsid w:val="6B4B624F"/>
    <w:rsid w:val="6B8644F3"/>
    <w:rsid w:val="6B9648E2"/>
    <w:rsid w:val="6B97389C"/>
    <w:rsid w:val="6BA37E39"/>
    <w:rsid w:val="6BB04D51"/>
    <w:rsid w:val="6BCA3EE2"/>
    <w:rsid w:val="6BD83F86"/>
    <w:rsid w:val="6BDD524C"/>
    <w:rsid w:val="6C2F6ED2"/>
    <w:rsid w:val="6C4F42F8"/>
    <w:rsid w:val="6C4F730A"/>
    <w:rsid w:val="6C74101A"/>
    <w:rsid w:val="6C78486E"/>
    <w:rsid w:val="6C804E3A"/>
    <w:rsid w:val="6C88654F"/>
    <w:rsid w:val="6CA9178D"/>
    <w:rsid w:val="6CB73CF7"/>
    <w:rsid w:val="6CBB4B08"/>
    <w:rsid w:val="6CCB5899"/>
    <w:rsid w:val="6CD02EB0"/>
    <w:rsid w:val="6D47008B"/>
    <w:rsid w:val="6DA077C1"/>
    <w:rsid w:val="6DCD0837"/>
    <w:rsid w:val="6E565636"/>
    <w:rsid w:val="6E873A42"/>
    <w:rsid w:val="6EE132C7"/>
    <w:rsid w:val="6EF17222"/>
    <w:rsid w:val="6F0068EF"/>
    <w:rsid w:val="6F050D2E"/>
    <w:rsid w:val="6F145A74"/>
    <w:rsid w:val="6F2E5B23"/>
    <w:rsid w:val="6F5B2E5D"/>
    <w:rsid w:val="6F6C44E9"/>
    <w:rsid w:val="6F7E0BD0"/>
    <w:rsid w:val="6F8E5A21"/>
    <w:rsid w:val="6FD607DD"/>
    <w:rsid w:val="6FEF578F"/>
    <w:rsid w:val="701B08E6"/>
    <w:rsid w:val="7026168C"/>
    <w:rsid w:val="70380997"/>
    <w:rsid w:val="706B361B"/>
    <w:rsid w:val="70786DFB"/>
    <w:rsid w:val="70E15E3F"/>
    <w:rsid w:val="7190518B"/>
    <w:rsid w:val="71B07212"/>
    <w:rsid w:val="71D965E2"/>
    <w:rsid w:val="71DF0BB3"/>
    <w:rsid w:val="724940B0"/>
    <w:rsid w:val="726F778B"/>
    <w:rsid w:val="72DC479F"/>
    <w:rsid w:val="73043725"/>
    <w:rsid w:val="73052279"/>
    <w:rsid w:val="731C71CE"/>
    <w:rsid w:val="73395D1E"/>
    <w:rsid w:val="733E7ADA"/>
    <w:rsid w:val="734839D0"/>
    <w:rsid w:val="73580BCD"/>
    <w:rsid w:val="73780A17"/>
    <w:rsid w:val="739A384D"/>
    <w:rsid w:val="73A66EC1"/>
    <w:rsid w:val="73C7188E"/>
    <w:rsid w:val="73CB43D1"/>
    <w:rsid w:val="7402791D"/>
    <w:rsid w:val="74063D9D"/>
    <w:rsid w:val="743A7C47"/>
    <w:rsid w:val="74C70889"/>
    <w:rsid w:val="74CF33B1"/>
    <w:rsid w:val="74EF22B9"/>
    <w:rsid w:val="74FF23F9"/>
    <w:rsid w:val="7503065E"/>
    <w:rsid w:val="751A73BE"/>
    <w:rsid w:val="754B0D09"/>
    <w:rsid w:val="7581026A"/>
    <w:rsid w:val="75A77531"/>
    <w:rsid w:val="76651C0D"/>
    <w:rsid w:val="767A306F"/>
    <w:rsid w:val="768272AF"/>
    <w:rsid w:val="769E2951"/>
    <w:rsid w:val="76D82401"/>
    <w:rsid w:val="76F53AEF"/>
    <w:rsid w:val="77023642"/>
    <w:rsid w:val="774372B0"/>
    <w:rsid w:val="77495D38"/>
    <w:rsid w:val="77624E21"/>
    <w:rsid w:val="77B85D22"/>
    <w:rsid w:val="77F10179"/>
    <w:rsid w:val="77FC0FFD"/>
    <w:rsid w:val="78212EB3"/>
    <w:rsid w:val="782A4759"/>
    <w:rsid w:val="782B3649"/>
    <w:rsid w:val="784329C7"/>
    <w:rsid w:val="78886D34"/>
    <w:rsid w:val="788F1479"/>
    <w:rsid w:val="78BD1FA7"/>
    <w:rsid w:val="78EA354B"/>
    <w:rsid w:val="78FA2DA2"/>
    <w:rsid w:val="78FD04CC"/>
    <w:rsid w:val="79181E66"/>
    <w:rsid w:val="79215E55"/>
    <w:rsid w:val="79703A50"/>
    <w:rsid w:val="798475D4"/>
    <w:rsid w:val="79D36A58"/>
    <w:rsid w:val="79EF5B06"/>
    <w:rsid w:val="7A11408C"/>
    <w:rsid w:val="7A117F7C"/>
    <w:rsid w:val="7A2807F1"/>
    <w:rsid w:val="7A2939B4"/>
    <w:rsid w:val="7A455D6A"/>
    <w:rsid w:val="7A9D7A99"/>
    <w:rsid w:val="7AD51075"/>
    <w:rsid w:val="7ADA7AB6"/>
    <w:rsid w:val="7B5266EC"/>
    <w:rsid w:val="7B566704"/>
    <w:rsid w:val="7B760503"/>
    <w:rsid w:val="7B8E4B24"/>
    <w:rsid w:val="7B8F3F36"/>
    <w:rsid w:val="7BEE018A"/>
    <w:rsid w:val="7BF22EBA"/>
    <w:rsid w:val="7C0A3D07"/>
    <w:rsid w:val="7C2D409B"/>
    <w:rsid w:val="7C4C454C"/>
    <w:rsid w:val="7C513D15"/>
    <w:rsid w:val="7C5905B6"/>
    <w:rsid w:val="7C9A6AEA"/>
    <w:rsid w:val="7CB36D3E"/>
    <w:rsid w:val="7CE432B0"/>
    <w:rsid w:val="7CF27FB9"/>
    <w:rsid w:val="7D220CC3"/>
    <w:rsid w:val="7D667D5C"/>
    <w:rsid w:val="7DBE7C49"/>
    <w:rsid w:val="7DE33CE3"/>
    <w:rsid w:val="7DF82BBE"/>
    <w:rsid w:val="7E15087E"/>
    <w:rsid w:val="7E163059"/>
    <w:rsid w:val="7E4A543B"/>
    <w:rsid w:val="7E6D2DC5"/>
    <w:rsid w:val="7E9628ED"/>
    <w:rsid w:val="7EA97FD5"/>
    <w:rsid w:val="7EB03964"/>
    <w:rsid w:val="7EB4661A"/>
    <w:rsid w:val="7EBD21E5"/>
    <w:rsid w:val="7EFD16EC"/>
    <w:rsid w:val="7F10538E"/>
    <w:rsid w:val="7F1B1084"/>
    <w:rsid w:val="7F6D64CE"/>
    <w:rsid w:val="7FA3761A"/>
    <w:rsid w:val="7FB94E9E"/>
    <w:rsid w:val="7FFE6BB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unhideWhenUsed="0" w:uiPriority="0" w:semiHidden="0" w:name="heading 5"/>
    <w:lsdException w:unhideWhenUsed="0" w:uiPriority="0" w:semiHidden="0" w:name="heading 6"/>
    <w:lsdException w:qFormat="1"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iPriority="0" w:semiHidden="0" w:name="toc 1"/>
    <w:lsdException w:qFormat="1" w:uiPriority="0" w:semiHidden="0" w:name="toc 2"/>
    <w:lsdException w:qFormat="1"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link w:val="63"/>
    <w:qFormat/>
    <w:uiPriority w:val="0"/>
    <w:pPr>
      <w:keepNext/>
      <w:outlineLvl w:val="0"/>
    </w:pPr>
    <w:rPr>
      <w:rFonts w:ascii="宋体" w:hAnsi="宋体" w:cs="宋体"/>
      <w:b/>
      <w:sz w:val="52"/>
      <w:szCs w:val="24"/>
    </w:rPr>
  </w:style>
  <w:style w:type="paragraph" w:styleId="5">
    <w:name w:val="heading 2"/>
    <w:basedOn w:val="1"/>
    <w:next w:val="1"/>
    <w:link w:val="58"/>
    <w:qFormat/>
    <w:uiPriority w:val="0"/>
    <w:pPr>
      <w:keepNext/>
      <w:keepLines/>
      <w:spacing w:line="416" w:lineRule="auto"/>
      <w:outlineLvl w:val="1"/>
    </w:pPr>
    <w:rPr>
      <w:rFonts w:ascii="Arial" w:hAnsi="Arial" w:eastAsia="黑体"/>
      <w:b/>
      <w:bCs/>
      <w:sz w:val="32"/>
      <w:szCs w:val="32"/>
    </w:rPr>
  </w:style>
  <w:style w:type="paragraph" w:styleId="6">
    <w:name w:val="heading 3"/>
    <w:basedOn w:val="1"/>
    <w:next w:val="1"/>
    <w:qFormat/>
    <w:uiPriority w:val="0"/>
    <w:pPr>
      <w:keepNext/>
      <w:keepLines/>
      <w:spacing w:line="416" w:lineRule="auto"/>
      <w:outlineLvl w:val="2"/>
    </w:pPr>
    <w:rPr>
      <w:b/>
      <w:bCs/>
      <w:sz w:val="32"/>
      <w:szCs w:val="32"/>
    </w:rPr>
  </w:style>
  <w:style w:type="paragraph" w:styleId="7">
    <w:name w:val="heading 4"/>
    <w:basedOn w:val="1"/>
    <w:next w:val="1"/>
    <w:qFormat/>
    <w:uiPriority w:val="0"/>
    <w:pPr>
      <w:keepNext/>
      <w:keepLines/>
      <w:spacing w:line="376" w:lineRule="auto"/>
      <w:outlineLvl w:val="3"/>
    </w:pPr>
    <w:rPr>
      <w:rFonts w:ascii="Arial" w:hAnsi="Arial" w:eastAsia="黑体"/>
      <w:b/>
      <w:bCs/>
      <w:sz w:val="28"/>
      <w:szCs w:val="28"/>
    </w:rPr>
  </w:style>
  <w:style w:type="paragraph" w:styleId="8">
    <w:name w:val="heading 7"/>
    <w:basedOn w:val="1"/>
    <w:next w:val="1"/>
    <w:link w:val="64"/>
    <w:qFormat/>
    <w:uiPriority w:val="0"/>
    <w:pPr>
      <w:keepNext/>
      <w:keepLines/>
      <w:spacing w:line="320" w:lineRule="auto"/>
      <w:outlineLvl w:val="6"/>
    </w:pPr>
    <w:rPr>
      <w:b/>
      <w:bCs/>
      <w:sz w:val="24"/>
      <w:szCs w:val="24"/>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61"/>
    <w:semiHidden/>
    <w:qFormat/>
    <w:uiPriority w:val="0"/>
    <w:pPr>
      <w:autoSpaceDE w:val="0"/>
      <w:autoSpaceDN w:val="0"/>
      <w:adjustRightInd w:val="0"/>
      <w:spacing w:line="320" w:lineRule="atLeast"/>
      <w:ind w:firstLine="357"/>
      <w:textAlignment w:val="baseline"/>
    </w:pPr>
    <w:rPr>
      <w:sz w:val="18"/>
    </w:rPr>
  </w:style>
  <w:style w:type="paragraph" w:customStyle="1" w:styleId="3">
    <w:name w:val="正文0"/>
    <w:qFormat/>
    <w:uiPriority w:val="99"/>
    <w:pPr>
      <w:widowControl w:val="0"/>
      <w:jc w:val="both"/>
    </w:pPr>
    <w:rPr>
      <w:rFonts w:ascii="Times New Roman" w:hAnsi="Times New Roman" w:eastAsia="宋体" w:cs="Times New Roman"/>
      <w:kern w:val="2"/>
      <w:sz w:val="21"/>
      <w:lang w:val="en-US" w:eastAsia="zh-CN" w:bidi="ar-SA"/>
    </w:rPr>
  </w:style>
  <w:style w:type="paragraph" w:styleId="9">
    <w:name w:val="List Number"/>
    <w:basedOn w:val="1"/>
    <w:qFormat/>
    <w:uiPriority w:val="0"/>
    <w:pPr>
      <w:widowControl/>
      <w:numPr>
        <w:ilvl w:val="0"/>
        <w:numId w:val="1"/>
      </w:numPr>
      <w:tabs>
        <w:tab w:val="left" w:pos="454"/>
        <w:tab w:val="left" w:pos="720"/>
        <w:tab w:val="clear" w:pos="360"/>
      </w:tabs>
      <w:spacing w:afterLines="50"/>
      <w:ind w:left="454" w:hanging="284"/>
      <w:jc w:val="left"/>
    </w:pPr>
    <w:rPr>
      <w:kern w:val="0"/>
      <w:sz w:val="24"/>
    </w:rPr>
  </w:style>
  <w:style w:type="paragraph" w:styleId="10">
    <w:name w:val="Normal Indent"/>
    <w:basedOn w:val="1"/>
    <w:next w:val="1"/>
    <w:link w:val="57"/>
    <w:qFormat/>
    <w:uiPriority w:val="0"/>
    <w:pPr>
      <w:ind w:firstLine="420" w:firstLineChars="200"/>
    </w:pPr>
  </w:style>
  <w:style w:type="paragraph" w:styleId="11">
    <w:name w:val="caption"/>
    <w:basedOn w:val="1"/>
    <w:next w:val="1"/>
    <w:qFormat/>
    <w:uiPriority w:val="0"/>
    <w:rPr>
      <w:rFonts w:ascii="Arial" w:hAnsi="Arial" w:eastAsia="黑体" w:cs="Arial"/>
      <w:sz w:val="20"/>
    </w:rPr>
  </w:style>
  <w:style w:type="paragraph" w:styleId="12">
    <w:name w:val="annotation text"/>
    <w:basedOn w:val="1"/>
    <w:semiHidden/>
    <w:qFormat/>
    <w:uiPriority w:val="0"/>
    <w:pPr>
      <w:jc w:val="left"/>
    </w:pPr>
  </w:style>
  <w:style w:type="paragraph" w:styleId="13">
    <w:name w:val="index 6"/>
    <w:basedOn w:val="1"/>
    <w:next w:val="1"/>
    <w:qFormat/>
    <w:uiPriority w:val="99"/>
    <w:pPr>
      <w:ind w:left="2100"/>
    </w:pPr>
  </w:style>
  <w:style w:type="paragraph" w:styleId="14">
    <w:name w:val="Body Text Indent"/>
    <w:basedOn w:val="1"/>
    <w:next w:val="15"/>
    <w:qFormat/>
    <w:uiPriority w:val="0"/>
    <w:pPr>
      <w:ind w:left="420" w:leftChars="200"/>
    </w:pPr>
  </w:style>
  <w:style w:type="paragraph" w:styleId="15">
    <w:name w:val="Normal (Web)"/>
    <w:basedOn w:val="1"/>
    <w:next w:val="1"/>
    <w:qFormat/>
    <w:uiPriority w:val="0"/>
    <w:pPr>
      <w:widowControl/>
      <w:spacing w:beforeAutospacing="1" w:afterAutospacing="1"/>
      <w:jc w:val="left"/>
    </w:pPr>
    <w:rPr>
      <w:rFonts w:ascii="宋体" w:hAnsi="宋体" w:cs="宋体"/>
      <w:kern w:val="0"/>
      <w:sz w:val="24"/>
      <w:szCs w:val="24"/>
    </w:rPr>
  </w:style>
  <w:style w:type="paragraph" w:styleId="16">
    <w:name w:val="toc 3"/>
    <w:basedOn w:val="1"/>
    <w:next w:val="1"/>
    <w:unhideWhenUsed/>
    <w:qFormat/>
    <w:uiPriority w:val="0"/>
    <w:pPr>
      <w:autoSpaceDE w:val="0"/>
      <w:autoSpaceDN w:val="0"/>
      <w:adjustRightInd w:val="0"/>
      <w:spacing w:line="312" w:lineRule="atLeast"/>
      <w:ind w:left="840" w:leftChars="400"/>
      <w:textAlignment w:val="baseline"/>
    </w:pPr>
    <w:rPr>
      <w:kern w:val="0"/>
    </w:rPr>
  </w:style>
  <w:style w:type="paragraph" w:styleId="17">
    <w:name w:val="Plain Text"/>
    <w:basedOn w:val="1"/>
    <w:link w:val="55"/>
    <w:qFormat/>
    <w:uiPriority w:val="0"/>
    <w:rPr>
      <w:rFonts w:ascii="宋体" w:hAnsi="Courier New"/>
    </w:rPr>
  </w:style>
  <w:style w:type="paragraph" w:styleId="18">
    <w:name w:val="Date"/>
    <w:basedOn w:val="1"/>
    <w:next w:val="1"/>
    <w:qFormat/>
    <w:uiPriority w:val="0"/>
    <w:pPr>
      <w:ind w:left="100"/>
    </w:pPr>
    <w:rPr>
      <w:sz w:val="28"/>
    </w:rPr>
  </w:style>
  <w:style w:type="paragraph" w:styleId="19">
    <w:name w:val="Body Text Indent 2"/>
    <w:basedOn w:val="1"/>
    <w:qFormat/>
    <w:uiPriority w:val="0"/>
    <w:pPr>
      <w:ind w:firstLine="480"/>
    </w:pPr>
    <w:rPr>
      <w:rFonts w:ascii="宋体" w:hAnsi="宋体"/>
      <w:sz w:val="30"/>
      <w:szCs w:val="24"/>
    </w:rPr>
  </w:style>
  <w:style w:type="paragraph" w:styleId="20">
    <w:name w:val="Balloon Text"/>
    <w:basedOn w:val="1"/>
    <w:semiHidden/>
    <w:qFormat/>
    <w:uiPriority w:val="0"/>
    <w:rPr>
      <w:sz w:val="18"/>
      <w:szCs w:val="18"/>
    </w:rPr>
  </w:style>
  <w:style w:type="paragraph" w:styleId="21">
    <w:name w:val="footer"/>
    <w:basedOn w:val="1"/>
    <w:link w:val="62"/>
    <w:qFormat/>
    <w:uiPriority w:val="0"/>
    <w:pPr>
      <w:tabs>
        <w:tab w:val="center" w:pos="4153"/>
        <w:tab w:val="right" w:pos="8306"/>
      </w:tabs>
      <w:snapToGrid w:val="0"/>
      <w:jc w:val="left"/>
    </w:pPr>
    <w:rPr>
      <w:sz w:val="18"/>
    </w:rPr>
  </w:style>
  <w:style w:type="paragraph" w:styleId="22">
    <w:name w:val="envelope return"/>
    <w:basedOn w:val="1"/>
    <w:qFormat/>
    <w:uiPriority w:val="0"/>
    <w:pPr>
      <w:snapToGrid w:val="0"/>
    </w:pPr>
    <w:rPr>
      <w:rFonts w:ascii="Arial" w:hAnsi="Arial"/>
    </w:rPr>
  </w:style>
  <w:style w:type="paragraph" w:styleId="23">
    <w:name w:val="header"/>
    <w:basedOn w:val="1"/>
    <w:link w:val="65"/>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unhideWhenUsed/>
    <w:qFormat/>
    <w:uiPriority w:val="0"/>
    <w:pPr>
      <w:autoSpaceDE w:val="0"/>
      <w:autoSpaceDN w:val="0"/>
      <w:adjustRightInd w:val="0"/>
      <w:spacing w:line="312" w:lineRule="atLeast"/>
      <w:textAlignment w:val="baseline"/>
    </w:pPr>
    <w:rPr>
      <w:kern w:val="0"/>
    </w:rPr>
  </w:style>
  <w:style w:type="paragraph" w:styleId="25">
    <w:name w:val="List"/>
    <w:basedOn w:val="1"/>
    <w:semiHidden/>
    <w:qFormat/>
    <w:uiPriority w:val="0"/>
    <w:pPr>
      <w:autoSpaceDE w:val="0"/>
      <w:autoSpaceDN w:val="0"/>
      <w:adjustRightInd w:val="0"/>
      <w:ind w:left="420" w:hanging="420"/>
      <w:textAlignment w:val="baseline"/>
    </w:pPr>
  </w:style>
  <w:style w:type="paragraph" w:styleId="26">
    <w:name w:val="toc 2"/>
    <w:basedOn w:val="1"/>
    <w:next w:val="1"/>
    <w:unhideWhenUsed/>
    <w:qFormat/>
    <w:uiPriority w:val="0"/>
    <w:pPr>
      <w:autoSpaceDE w:val="0"/>
      <w:autoSpaceDN w:val="0"/>
      <w:adjustRightInd w:val="0"/>
      <w:spacing w:line="312" w:lineRule="atLeast"/>
      <w:ind w:left="420" w:leftChars="200"/>
      <w:textAlignment w:val="baseline"/>
    </w:pPr>
    <w:rPr>
      <w:kern w:val="0"/>
    </w:rPr>
  </w:style>
  <w:style w:type="paragraph" w:styleId="27">
    <w:name w:val="HTML Preformatted"/>
    <w:basedOn w:val="1"/>
    <w:qFormat/>
    <w:uiPriority w:val="0"/>
    <w:rPr>
      <w:rFonts w:ascii="Courier New" w:hAnsi="Courier New"/>
      <w:sz w:val="20"/>
    </w:rPr>
  </w:style>
  <w:style w:type="paragraph" w:styleId="28">
    <w:name w:val="annotation subject"/>
    <w:basedOn w:val="12"/>
    <w:next w:val="12"/>
    <w:semiHidden/>
    <w:qFormat/>
    <w:uiPriority w:val="0"/>
    <w:rPr>
      <w:b/>
      <w:bCs/>
    </w:rPr>
  </w:style>
  <w:style w:type="paragraph" w:styleId="29">
    <w:name w:val="Body Text First Indent"/>
    <w:basedOn w:val="2"/>
    <w:next w:val="1"/>
    <w:link w:val="56"/>
    <w:unhideWhenUsed/>
    <w:qFormat/>
    <w:uiPriority w:val="0"/>
    <w:pPr>
      <w:spacing w:line="312" w:lineRule="atLeast"/>
      <w:ind w:firstLine="420" w:firstLineChars="100"/>
    </w:pPr>
    <w:rPr>
      <w:sz w:val="21"/>
    </w:rPr>
  </w:style>
  <w:style w:type="paragraph" w:styleId="30">
    <w:name w:val="Body Text First Indent 2"/>
    <w:basedOn w:val="14"/>
    <w:qFormat/>
    <w:uiPriority w:val="0"/>
    <w:pPr>
      <w:ind w:firstLine="420" w:firstLineChars="200"/>
    </w:pPr>
    <w:rPr>
      <w:rFonts w:eastAsia="宋?"/>
      <w:sz w:val="32"/>
      <w:szCs w:val="32"/>
    </w:rPr>
  </w:style>
  <w:style w:type="table" w:styleId="32">
    <w:name w:val="Table Grid"/>
    <w:basedOn w:val="3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4">
    <w:name w:val="Strong"/>
    <w:basedOn w:val="33"/>
    <w:qFormat/>
    <w:uiPriority w:val="0"/>
    <w:rPr>
      <w:b/>
    </w:rPr>
  </w:style>
  <w:style w:type="character" w:styleId="35">
    <w:name w:val="page number"/>
    <w:basedOn w:val="33"/>
    <w:qFormat/>
    <w:uiPriority w:val="0"/>
  </w:style>
  <w:style w:type="character" w:styleId="36">
    <w:name w:val="Hyperlink"/>
    <w:basedOn w:val="33"/>
    <w:qFormat/>
    <w:uiPriority w:val="0"/>
    <w:rPr>
      <w:color w:val="0000FF"/>
      <w:u w:val="single"/>
    </w:rPr>
  </w:style>
  <w:style w:type="character" w:styleId="37">
    <w:name w:val="annotation reference"/>
    <w:basedOn w:val="33"/>
    <w:semiHidden/>
    <w:qFormat/>
    <w:uiPriority w:val="0"/>
    <w:rPr>
      <w:sz w:val="21"/>
      <w:szCs w:val="21"/>
    </w:rPr>
  </w:style>
  <w:style w:type="character" w:styleId="38">
    <w:name w:val="HTML Sample"/>
    <w:basedOn w:val="33"/>
    <w:qFormat/>
    <w:uiPriority w:val="0"/>
    <w:rPr>
      <w:rFonts w:ascii="Courier New" w:hAnsi="Courier New" w:eastAsia="宋体" w:cs="Times New Roman"/>
    </w:rPr>
  </w:style>
  <w:style w:type="paragraph" w:customStyle="1" w:styleId="39">
    <w:name w:val="目录 53"/>
    <w:basedOn w:val="1"/>
    <w:next w:val="1"/>
    <w:qFormat/>
    <w:uiPriority w:val="0"/>
    <w:pPr>
      <w:ind w:left="840"/>
    </w:pPr>
    <w:rPr>
      <w:rFonts w:ascii="Times New Roman"/>
      <w:sz w:val="18"/>
    </w:rPr>
  </w:style>
  <w:style w:type="paragraph" w:customStyle="1" w:styleId="40">
    <w:name w:val="段"/>
    <w:next w:val="1"/>
    <w:qFormat/>
    <w:uiPriority w:val="0"/>
    <w:pPr>
      <w:autoSpaceDE w:val="0"/>
      <w:autoSpaceDN w:val="0"/>
      <w:adjustRightInd w:val="0"/>
      <w:snapToGrid w:val="0"/>
      <w:spacing w:line="360" w:lineRule="auto"/>
      <w:ind w:firstLine="200" w:firstLineChars="200"/>
      <w:jc w:val="both"/>
    </w:pPr>
    <w:rPr>
      <w:rFonts w:ascii="宋体" w:hAnsi="Calibri" w:eastAsia="宋体" w:cs="Times New Roman"/>
      <w:sz w:val="24"/>
      <w:szCs w:val="22"/>
      <w:lang w:val="en-US" w:eastAsia="zh-CN" w:bidi="ar-SA"/>
    </w:rPr>
  </w:style>
  <w:style w:type="paragraph" w:customStyle="1" w:styleId="41">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4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3">
    <w:name w:val="标准中文版式_正文"/>
    <w:basedOn w:val="1"/>
    <w:qFormat/>
    <w:uiPriority w:val="0"/>
    <w:pPr>
      <w:spacing w:line="360" w:lineRule="auto"/>
      <w:ind w:firstLine="200" w:firstLineChars="200"/>
    </w:pPr>
    <w:rPr>
      <w:rFonts w:ascii="Arial" w:hAnsi="Arial"/>
      <w:sz w:val="24"/>
    </w:rPr>
  </w:style>
  <w:style w:type="paragraph" w:customStyle="1" w:styleId="44">
    <w:name w:val="样式 样式 样式 首行缩进 + 首行缩进:  2 字符 + 首行缩进:  2 字符 + 首行缩进:  2 字符"/>
    <w:basedOn w:val="1"/>
    <w:qFormat/>
    <w:uiPriority w:val="0"/>
    <w:pPr>
      <w:snapToGrid w:val="0"/>
      <w:spacing w:line="360" w:lineRule="auto"/>
      <w:ind w:left="-180" w:leftChars="-75" w:firstLine="536" w:firstLineChars="182"/>
    </w:pPr>
    <w:rPr>
      <w:rFonts w:ascii="宋体" w:hAnsi="宋体" w:cs="宋体"/>
      <w:spacing w:val="-6"/>
      <w:sz w:val="24"/>
      <w:szCs w:val="24"/>
    </w:rPr>
  </w:style>
  <w:style w:type="paragraph" w:customStyle="1" w:styleId="45">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46">
    <w:name w:val="样式 样式 样式 左侧:  2 字符1 + 首行缩进:  2 字符1 + 首行缩进:  2 字符"/>
    <w:basedOn w:val="1"/>
    <w:qFormat/>
    <w:uiPriority w:val="0"/>
    <w:pPr>
      <w:widowControl/>
      <w:spacing w:line="440" w:lineRule="atLeast"/>
      <w:ind w:firstLine="480"/>
    </w:pPr>
    <w:rPr>
      <w:rFonts w:hint="eastAsia"/>
      <w:sz w:val="24"/>
    </w:rPr>
  </w:style>
  <w:style w:type="paragraph" w:customStyle="1" w:styleId="47">
    <w:name w:val="图1"/>
    <w:basedOn w:val="1"/>
    <w:next w:val="1"/>
    <w:qFormat/>
    <w:uiPriority w:val="0"/>
    <w:pPr>
      <w:numPr>
        <w:ilvl w:val="0"/>
        <w:numId w:val="2"/>
      </w:numPr>
      <w:tabs>
        <w:tab w:val="left" w:pos="777"/>
        <w:tab w:val="clear" w:pos="709"/>
      </w:tabs>
      <w:spacing w:beforeLines="50" w:afterLines="100" w:line="360" w:lineRule="auto"/>
      <w:ind w:left="2210" w:hanging="748"/>
      <w:jc w:val="center"/>
    </w:pPr>
    <w:rPr>
      <w:kern w:val="0"/>
      <w:sz w:val="24"/>
      <w:szCs w:val="24"/>
    </w:rPr>
  </w:style>
  <w:style w:type="paragraph" w:customStyle="1" w:styleId="48">
    <w:name w:val="正文（首行缩进2字符）"/>
    <w:basedOn w:val="1"/>
    <w:link w:val="59"/>
    <w:qFormat/>
    <w:uiPriority w:val="0"/>
    <w:pPr>
      <w:spacing w:line="360" w:lineRule="auto"/>
      <w:ind w:firstLine="480" w:firstLineChars="200"/>
    </w:pPr>
    <w:rPr>
      <w:sz w:val="24"/>
    </w:rPr>
  </w:style>
  <w:style w:type="paragraph" w:customStyle="1" w:styleId="49">
    <w:name w:val="xl30"/>
    <w:basedOn w:val="1"/>
    <w:qFormat/>
    <w:uiPriority w:val="0"/>
    <w:pPr>
      <w:widowControl/>
      <w:pBdr>
        <w:left w:val="single" w:color="auto" w:sz="4" w:space="0"/>
        <w:bottom w:val="single" w:color="auto" w:sz="4" w:space="0"/>
        <w:right w:val="single" w:color="auto" w:sz="4" w:space="0"/>
      </w:pBdr>
      <w:spacing w:beforeAutospacing="1" w:afterAutospacing="1"/>
      <w:jc w:val="center"/>
    </w:pPr>
    <w:rPr>
      <w:rFonts w:ascii="Arial Unicode MS" w:hAnsi="Arial Unicode MS"/>
      <w:kern w:val="0"/>
      <w:sz w:val="20"/>
    </w:rPr>
  </w:style>
  <w:style w:type="paragraph" w:customStyle="1" w:styleId="50">
    <w:name w:val="样式1"/>
    <w:basedOn w:val="1"/>
    <w:qFormat/>
    <w:uiPriority w:val="0"/>
    <w:pPr>
      <w:numPr>
        <w:ilvl w:val="0"/>
        <w:numId w:val="3"/>
      </w:numPr>
      <w:adjustRightInd w:val="0"/>
      <w:textAlignment w:val="baseline"/>
    </w:pPr>
    <w:rPr>
      <w:rFonts w:ascii="宋体" w:hAnsi="宋体"/>
      <w:kern w:val="0"/>
      <w:szCs w:val="21"/>
    </w:rPr>
  </w:style>
  <w:style w:type="paragraph" w:customStyle="1" w:styleId="51">
    <w:name w:val="列出段落1"/>
    <w:basedOn w:val="1"/>
    <w:qFormat/>
    <w:uiPriority w:val="0"/>
    <w:pPr>
      <w:ind w:firstLine="420" w:firstLineChars="200"/>
    </w:pPr>
    <w:rPr>
      <w:rFonts w:ascii="Calibri" w:hAnsi="Calibri"/>
      <w:szCs w:val="22"/>
    </w:rPr>
  </w:style>
  <w:style w:type="paragraph" w:customStyle="1" w:styleId="52">
    <w:name w:val="TOC 标题1"/>
    <w:basedOn w:val="4"/>
    <w:next w:val="1"/>
    <w:qFormat/>
    <w:uiPriority w:val="0"/>
    <w:pPr>
      <w:keepLines/>
      <w:widowControl/>
      <w:spacing w:line="276" w:lineRule="auto"/>
      <w:jc w:val="left"/>
      <w:outlineLvl w:val="9"/>
    </w:pPr>
    <w:rPr>
      <w:rFonts w:ascii="Cambria" w:hAnsi="Cambria" w:cs="Times New Roman"/>
      <w:bCs/>
      <w:color w:val="365F91"/>
      <w:kern w:val="0"/>
      <w:sz w:val="28"/>
      <w:szCs w:val="28"/>
    </w:rPr>
  </w:style>
  <w:style w:type="character" w:customStyle="1" w:styleId="53">
    <w:name w:val="Char Char4"/>
    <w:basedOn w:val="33"/>
    <w:qFormat/>
    <w:uiPriority w:val="0"/>
    <w:rPr>
      <w:rFonts w:eastAsia="宋体"/>
      <w:kern w:val="2"/>
      <w:sz w:val="18"/>
      <w:lang w:val="en-US" w:eastAsia="zh-CN" w:bidi="ar-SA"/>
    </w:rPr>
  </w:style>
  <w:style w:type="character" w:customStyle="1" w:styleId="54">
    <w:name w:val="超链接1"/>
    <w:qFormat/>
    <w:uiPriority w:val="0"/>
    <w:rPr>
      <w:color w:val="0000FF"/>
      <w:sz w:val="20"/>
      <w:u w:val="single"/>
    </w:rPr>
  </w:style>
  <w:style w:type="character" w:customStyle="1" w:styleId="55">
    <w:name w:val="纯文本 Char"/>
    <w:basedOn w:val="33"/>
    <w:link w:val="17"/>
    <w:qFormat/>
    <w:uiPriority w:val="0"/>
    <w:rPr>
      <w:rFonts w:ascii="宋体" w:hAnsi="Courier New" w:eastAsia="宋体"/>
      <w:kern w:val="2"/>
      <w:sz w:val="21"/>
      <w:lang w:val="en-US" w:eastAsia="zh-CN" w:bidi="ar-SA"/>
    </w:rPr>
  </w:style>
  <w:style w:type="character" w:customStyle="1" w:styleId="56">
    <w:name w:val="正文首行缩进 Char"/>
    <w:link w:val="29"/>
    <w:semiHidden/>
    <w:qFormat/>
    <w:uiPriority w:val="0"/>
    <w:rPr>
      <w:rFonts w:eastAsia="宋体"/>
      <w:kern w:val="2"/>
      <w:sz w:val="21"/>
      <w:lang w:val="en-US" w:eastAsia="zh-CN" w:bidi="ar-SA"/>
    </w:rPr>
  </w:style>
  <w:style w:type="character" w:customStyle="1" w:styleId="57">
    <w:name w:val="正文缩进 Char"/>
    <w:link w:val="10"/>
    <w:qFormat/>
    <w:uiPriority w:val="0"/>
    <w:rPr>
      <w:rFonts w:eastAsia="宋体"/>
      <w:kern w:val="2"/>
      <w:sz w:val="21"/>
      <w:lang w:val="en-US" w:eastAsia="zh-CN" w:bidi="ar-SA"/>
    </w:rPr>
  </w:style>
  <w:style w:type="character" w:customStyle="1" w:styleId="58">
    <w:name w:val="标题 2 Char"/>
    <w:link w:val="5"/>
    <w:semiHidden/>
    <w:qFormat/>
    <w:uiPriority w:val="0"/>
    <w:rPr>
      <w:rFonts w:ascii="Arial" w:hAnsi="Arial" w:eastAsia="黑体"/>
      <w:b/>
      <w:bCs/>
      <w:kern w:val="2"/>
      <w:sz w:val="32"/>
      <w:szCs w:val="32"/>
      <w:lang w:val="en-US" w:eastAsia="zh-CN" w:bidi="ar-SA"/>
    </w:rPr>
  </w:style>
  <w:style w:type="character" w:customStyle="1" w:styleId="59">
    <w:name w:val="正文（首行缩进2字符） Char"/>
    <w:link w:val="48"/>
    <w:qFormat/>
    <w:uiPriority w:val="0"/>
    <w:rPr>
      <w:rFonts w:eastAsia="宋体"/>
      <w:kern w:val="2"/>
      <w:sz w:val="24"/>
      <w:lang w:bidi="ar-SA"/>
    </w:rPr>
  </w:style>
  <w:style w:type="character" w:customStyle="1" w:styleId="60">
    <w:name w:val="1page sec3 Char"/>
    <w:basedOn w:val="33"/>
    <w:semiHidden/>
    <w:qFormat/>
    <w:uiPriority w:val="0"/>
    <w:rPr>
      <w:rFonts w:eastAsia="宋体"/>
      <w:kern w:val="2"/>
      <w:sz w:val="18"/>
      <w:szCs w:val="18"/>
      <w:lang w:val="en-US" w:eastAsia="zh-CN" w:bidi="ar-SA"/>
    </w:rPr>
  </w:style>
  <w:style w:type="character" w:customStyle="1" w:styleId="61">
    <w:name w:val="正文文本 Char"/>
    <w:basedOn w:val="33"/>
    <w:link w:val="2"/>
    <w:qFormat/>
    <w:uiPriority w:val="0"/>
    <w:rPr>
      <w:rFonts w:eastAsia="宋体"/>
      <w:kern w:val="2"/>
      <w:sz w:val="18"/>
      <w:lang w:val="en-US" w:eastAsia="zh-CN" w:bidi="ar-SA"/>
    </w:rPr>
  </w:style>
  <w:style w:type="character" w:customStyle="1" w:styleId="62">
    <w:name w:val="页脚 Char"/>
    <w:link w:val="21"/>
    <w:qFormat/>
    <w:locked/>
    <w:uiPriority w:val="0"/>
    <w:rPr>
      <w:rFonts w:eastAsia="宋体"/>
      <w:kern w:val="2"/>
      <w:sz w:val="18"/>
      <w:lang w:val="en-US" w:eastAsia="zh-CN" w:bidi="ar-SA"/>
    </w:rPr>
  </w:style>
  <w:style w:type="character" w:customStyle="1" w:styleId="63">
    <w:name w:val="标题 1 Char"/>
    <w:basedOn w:val="33"/>
    <w:link w:val="4"/>
    <w:qFormat/>
    <w:locked/>
    <w:uiPriority w:val="0"/>
    <w:rPr>
      <w:rFonts w:ascii="宋体" w:hAnsi="宋体" w:eastAsia="宋体" w:cs="宋体"/>
      <w:b/>
      <w:kern w:val="2"/>
      <w:sz w:val="52"/>
      <w:szCs w:val="24"/>
      <w:lang w:val="en-US" w:eastAsia="zh-CN" w:bidi="ar-SA"/>
    </w:rPr>
  </w:style>
  <w:style w:type="character" w:customStyle="1" w:styleId="64">
    <w:name w:val="标题 7 Char"/>
    <w:link w:val="8"/>
    <w:qFormat/>
    <w:uiPriority w:val="0"/>
    <w:rPr>
      <w:rFonts w:eastAsia="宋体"/>
      <w:b/>
      <w:bCs/>
      <w:kern w:val="2"/>
      <w:sz w:val="24"/>
      <w:szCs w:val="24"/>
      <w:lang w:val="en-US" w:eastAsia="zh-CN" w:bidi="ar-SA"/>
    </w:rPr>
  </w:style>
  <w:style w:type="character" w:customStyle="1" w:styleId="65">
    <w:name w:val="页眉 Char"/>
    <w:link w:val="23"/>
    <w:qFormat/>
    <w:uiPriority w:val="0"/>
    <w:rPr>
      <w:rFonts w:eastAsia="宋体"/>
      <w:kern w:val="2"/>
      <w:sz w:val="18"/>
      <w:szCs w:val="18"/>
      <w:lang w:val="en-US" w:eastAsia="zh-CN" w:bidi="ar-SA"/>
    </w:rPr>
  </w:style>
  <w:style w:type="paragraph" w:customStyle="1" w:styleId="66">
    <w:name w:val="UserStyle_146"/>
    <w:basedOn w:val="1"/>
    <w:qFormat/>
    <w:uiPriority w:val="0"/>
    <w:pPr>
      <w:jc w:val="left"/>
    </w:pPr>
    <w:rPr>
      <w:rFonts w:ascii="宋体" w:hAnsi="宋体"/>
      <w:kern w:val="0"/>
      <w:sz w:val="22"/>
      <w:lang w:eastAsia="en-US"/>
    </w:rPr>
  </w:style>
  <w:style w:type="character" w:customStyle="1" w:styleId="67">
    <w:name w:val="font41"/>
    <w:basedOn w:val="33"/>
    <w:qFormat/>
    <w:uiPriority w:val="0"/>
    <w:rPr>
      <w:rFonts w:hint="eastAsia" w:ascii="宋体" w:hAnsi="宋体" w:eastAsia="宋体" w:cs="宋体"/>
      <w:color w:val="000000"/>
      <w:sz w:val="32"/>
      <w:szCs w:val="32"/>
      <w:u w:val="single"/>
    </w:rPr>
  </w:style>
  <w:style w:type="character" w:customStyle="1" w:styleId="68">
    <w:name w:val="font11"/>
    <w:basedOn w:val="33"/>
    <w:qFormat/>
    <w:uiPriority w:val="0"/>
    <w:rPr>
      <w:rFonts w:hint="eastAsia" w:ascii="宋体" w:hAnsi="宋体" w:eastAsia="宋体" w:cs="宋体"/>
      <w:color w:val="000000"/>
      <w:sz w:val="32"/>
      <w:szCs w:val="32"/>
      <w:u w:val="none"/>
    </w:rPr>
  </w:style>
  <w:style w:type="character" w:customStyle="1" w:styleId="69">
    <w:name w:val="font31"/>
    <w:basedOn w:val="33"/>
    <w:qFormat/>
    <w:uiPriority w:val="0"/>
    <w:rPr>
      <w:rFonts w:hint="eastAsia" w:ascii="宋体" w:hAnsi="宋体" w:eastAsia="宋体" w:cs="宋体"/>
      <w:color w:val="000000"/>
      <w:sz w:val="32"/>
      <w:szCs w:val="32"/>
      <w:u w:val="single"/>
    </w:rPr>
  </w:style>
  <w:style w:type="paragraph" w:customStyle="1" w:styleId="70">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71">
    <w:name w:val="Table Text"/>
    <w:basedOn w:val="1"/>
    <w:semiHidden/>
    <w:qFormat/>
    <w:uiPriority w:val="0"/>
    <w:rPr>
      <w:rFonts w:ascii="宋体" w:hAnsi="宋体" w:eastAsia="宋体" w:cs="宋体"/>
      <w:sz w:val="20"/>
      <w:szCs w:val="20"/>
      <w:lang w:val="en-US" w:eastAsia="en-US" w:bidi="ar-SA"/>
    </w:rPr>
  </w:style>
  <w:style w:type="table" w:customStyle="1" w:styleId="72">
    <w:name w:val="Table Normal"/>
    <w:semiHidden/>
    <w:unhideWhenUsed/>
    <w:qFormat/>
    <w:uiPriority w:val="0"/>
    <w:tblPr>
      <w:tblCellMar>
        <w:top w:w="0" w:type="dxa"/>
        <w:left w:w="0" w:type="dxa"/>
        <w:bottom w:w="0" w:type="dxa"/>
        <w:right w:w="0" w:type="dxa"/>
      </w:tblCellMar>
    </w:tblPr>
  </w:style>
  <w:style w:type="paragraph" w:customStyle="1" w:styleId="73">
    <w:name w:val="WPSOffice手动目录 1"/>
    <w:qFormat/>
    <w:uiPriority w:val="0"/>
    <w:rPr>
      <w:rFonts w:ascii="Times New Roman" w:hAnsi="Times New Roman" w:eastAsia="宋体" w:cs="Times New Roman"/>
      <w:lang w:val="en-US" w:eastAsia="zh-CN" w:bidi="ar-SA"/>
    </w:rPr>
  </w:style>
  <w:style w:type="paragraph" w:customStyle="1" w:styleId="74">
    <w:name w:val="Normal"/>
    <w:qFormat/>
    <w:uiPriority w:val="0"/>
    <w:rPr>
      <w:rFonts w:ascii="Times New Roman" w:hAnsi="Times New Roman" w:eastAsia="Times New Roman" w:cs="Times New Roman"/>
      <w:sz w:val="24"/>
      <w:szCs w:val="24"/>
      <w:lang w:val="en-US" w:eastAsia="zh-CN" w:bidi="ar-SA"/>
    </w:rPr>
  </w:style>
  <w:style w:type="character" w:customStyle="1" w:styleId="75">
    <w:name w:val="NormalCharacter"/>
    <w:basedOn w:val="33"/>
    <w:semiHidden/>
    <w:qFormat/>
    <w:uiPriority w:val="0"/>
    <w:rPr>
      <w:kern w:val="2"/>
      <w:sz w:val="21"/>
      <w:szCs w:val="22"/>
      <w:lang w:val="en-US" w:eastAsia="zh-CN" w:bidi="ar-SA"/>
    </w:rPr>
  </w:style>
  <w:style w:type="paragraph" w:customStyle="1" w:styleId="76">
    <w:name w:val="正文1"/>
    <w:basedOn w:val="1"/>
    <w:qFormat/>
    <w:uiPriority w:val="0"/>
    <w:pPr>
      <w:spacing w:after="120" w:line="360" w:lineRule="auto"/>
      <w:ind w:firstLine="425"/>
    </w:pPr>
    <w:rPr>
      <w:rFonts w:ascii="Arial" w:hAnsi="Arial"/>
      <w:spacing w:val="8"/>
      <w:sz w:val="24"/>
      <w:szCs w:val="20"/>
    </w:rPr>
  </w:style>
  <w:style w:type="paragraph" w:customStyle="1" w:styleId="77">
    <w:name w:val="正文文字缩进"/>
    <w:basedOn w:val="1"/>
    <w:next w:val="1"/>
    <w:qFormat/>
    <w:uiPriority w:val="0"/>
    <w:pPr>
      <w:spacing w:line="400" w:lineRule="atLeast"/>
      <w:ind w:left="210" w:firstLine="210"/>
      <w:jc w:val="both"/>
    </w:pPr>
    <w:rPr>
      <w:rFonts w:ascii="宋体" w:eastAsia="宋体"/>
      <w:color w:val="000000"/>
      <w:sz w:val="21"/>
    </w:rPr>
  </w:style>
  <w:style w:type="paragraph" w:customStyle="1" w:styleId="78">
    <w:name w:val="BodyText1I2"/>
    <w:basedOn w:val="79"/>
    <w:qFormat/>
    <w:uiPriority w:val="0"/>
    <w:pPr>
      <w:spacing w:after="120"/>
      <w:ind w:left="420" w:leftChars="200" w:firstLine="420" w:firstLineChars="200"/>
      <w:jc w:val="both"/>
      <w:textAlignment w:val="baseline"/>
    </w:pPr>
    <w:rPr>
      <w:rFonts w:ascii="Times New Roman" w:hAnsi="Times New Roman" w:eastAsia="宋?"/>
      <w:sz w:val="32"/>
      <w:szCs w:val="32"/>
    </w:rPr>
  </w:style>
  <w:style w:type="paragraph" w:customStyle="1" w:styleId="79">
    <w:name w:val="BodyTextIndent"/>
    <w:basedOn w:val="1"/>
    <w:qFormat/>
    <w:uiPriority w:val="0"/>
    <w:pPr>
      <w:spacing w:after="120"/>
      <w:ind w:left="420" w:leftChars="200"/>
      <w:jc w:val="both"/>
      <w:textAlignment w:val="baseline"/>
    </w:pPr>
  </w:style>
  <w:style w:type="paragraph" w:customStyle="1" w:styleId="80">
    <w:name w:val="正文_0_0_0"/>
    <w:qFormat/>
    <w:uiPriority w:val="0"/>
    <w:pPr>
      <w:widowControl w:val="0"/>
      <w:jc w:val="both"/>
    </w:pPr>
    <w:rPr>
      <w:rFonts w:ascii="Times New Roman" w:hAnsi="Times New Roman" w:eastAsia="宋体" w:cs="Times New Roman"/>
      <w:kern w:val="2"/>
      <w:sz w:val="28"/>
      <w:szCs w:val="22"/>
      <w:lang w:val="en-US" w:eastAsia="zh-CN" w:bidi="ar-SA"/>
    </w:rPr>
  </w:style>
  <w:style w:type="character" w:customStyle="1" w:styleId="81">
    <w:name w:val="10"/>
    <w:qFormat/>
    <w:uiPriority w:val="0"/>
    <w:rPr>
      <w:rFonts w:ascii="Times New Roman" w:hAnsi="Times New Roman" w:cs="Times New Roman"/>
    </w:rPr>
  </w:style>
  <w:style w:type="paragraph" w:customStyle="1" w:styleId="82">
    <w:name w:val="正文_0"/>
    <w:next w:val="8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3">
    <w:name w:val="正文缩进_0"/>
    <w:basedOn w:val="82"/>
    <w:next w:val="82"/>
    <w:qFormat/>
    <w:uiPriority w:val="0"/>
    <w:pPr>
      <w:adjustRightInd w:val="0"/>
      <w:spacing w:line="360" w:lineRule="atLeast"/>
      <w:ind w:firstLine="482"/>
      <w:textAlignment w:val="baseline"/>
    </w:pPr>
    <w:rPr>
      <w:kern w:val="0"/>
      <w:sz w:val="24"/>
      <w:szCs w:val="20"/>
    </w:rPr>
  </w:style>
  <w:style w:type="paragraph" w:customStyle="1" w:styleId="84">
    <w:name w:val="样式 标题 2 + Times New Roman 四号 非加粗 段前: 5 磅 段后: 0 磅 行距: 固定值 20..."/>
    <w:basedOn w:val="5"/>
    <w:qFormat/>
    <w:uiPriority w:val="0"/>
    <w:pPr>
      <w:keepNext/>
      <w:keepLines/>
      <w:numPr>
        <w:ilvl w:val="1"/>
        <w:numId w:val="0"/>
      </w:numPr>
      <w:spacing w:before="100" w:after="0" w:line="400" w:lineRule="exact"/>
      <w:jc w:val="both"/>
    </w:pPr>
    <w:rPr>
      <w:rFonts w:ascii="Times New Roman" w:hAnsi="Times New Roman" w:eastAsia="黑体" w:cs="宋体"/>
      <w:b w:val="0"/>
      <w:sz w:val="28"/>
    </w:rPr>
  </w:style>
  <w:style w:type="paragraph" w:customStyle="1" w:styleId="85">
    <w:name w:val="标题 3_0"/>
    <w:basedOn w:val="80"/>
    <w:next w:val="80"/>
    <w:qFormat/>
    <w:uiPriority w:val="0"/>
    <w:pPr>
      <w:adjustRightInd w:val="0"/>
      <w:snapToGrid w:val="0"/>
      <w:spacing w:line="500" w:lineRule="exact"/>
      <w:ind w:left="0" w:firstLine="0"/>
      <w:jc w:val="center"/>
      <w:outlineLvl w:val="2"/>
    </w:pPr>
    <w:rPr>
      <w:rFonts w:ascii="宋体" w:hAnsi="宋体" w:eastAsia="宋体"/>
      <w:b/>
      <w:sz w:val="32"/>
      <w:szCs w:val="32"/>
    </w:rPr>
  </w:style>
  <w:style w:type="paragraph" w:customStyle="1" w:styleId="86">
    <w:name w:val="正文文本_0_0"/>
    <w:basedOn w:val="80"/>
    <w:qFormat/>
    <w:uiPriority w:val="0"/>
    <w:rPr>
      <w:rFonts w:eastAsia="黑体"/>
      <w:sz w:val="36"/>
    </w:rPr>
  </w:style>
  <w:style w:type="paragraph" w:customStyle="1" w:styleId="87">
    <w:name w:val="正文_0_0"/>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88">
    <w:name w:val="正文缩进4"/>
    <w:basedOn w:val="1"/>
    <w:next w:val="1"/>
    <w:qFormat/>
    <w:uiPriority w:val="0"/>
    <w:pPr>
      <w:widowControl w:val="0"/>
      <w:autoSpaceDE/>
      <w:autoSpaceDN/>
      <w:spacing w:before="0" w:after="0" w:line="240" w:lineRule="auto"/>
      <w:ind w:left="0" w:firstLine="420"/>
      <w:jc w:val="both"/>
    </w:pPr>
    <w:rPr>
      <w:rFonts w:ascii="Times New Roman" w:eastAsia="宋体"/>
      <w:sz w:val="21"/>
    </w:rPr>
  </w:style>
  <w:style w:type="paragraph" w:customStyle="1" w:styleId="89">
    <w:name w:val="标题 3_0_0"/>
    <w:basedOn w:val="80"/>
    <w:next w:val="80"/>
    <w:qFormat/>
    <w:uiPriority w:val="0"/>
    <w:pPr>
      <w:keepNext/>
      <w:keepLines/>
      <w:spacing w:before="120" w:after="120" w:line="360" w:lineRule="auto"/>
      <w:jc w:val="center"/>
      <w:outlineLvl w:val="2"/>
    </w:pPr>
    <w:rPr>
      <w:rFonts w:ascii="宋体" w:hAnsi="宋体"/>
      <w:b/>
      <w:bCs/>
      <w:kern w:val="0"/>
      <w:sz w:val="36"/>
      <w:szCs w:val="18"/>
    </w:rPr>
  </w:style>
  <w:style w:type="paragraph" w:customStyle="1" w:styleId="90">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1">
    <w:name w:val="Normal_5"/>
    <w:qFormat/>
    <w:uiPriority w:val="0"/>
    <w:rPr>
      <w:rFonts w:ascii="黑体" w:hAnsi="黑体" w:eastAsia="黑体" w:cs="Times New Roman"/>
      <w:b/>
      <w:sz w:val="32"/>
      <w:szCs w:val="24"/>
      <w:lang w:val="en-US" w:eastAsia="zh-CN" w:bidi="ar-SA"/>
    </w:rPr>
  </w:style>
  <w:style w:type="paragraph" w:customStyle="1" w:styleId="92">
    <w:name w:val="正文_6"/>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90</Pages>
  <Words>21891</Words>
  <Characters>23204</Characters>
  <Lines>345</Lines>
  <Paragraphs>97</Paragraphs>
  <TotalTime>13</TotalTime>
  <ScaleCrop>false</ScaleCrop>
  <LinksUpToDate>false</LinksUpToDate>
  <CharactersWithSpaces>23217</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2016-12-21T01:46:00Z</dcterms:created>
  <dc:creator>User</dc:creator>
  <cp:lastModifiedBy>Administrator</cp:lastModifiedBy>
  <cp:lastPrinted>2020-11-10T10:45:00Z</cp:lastPrinted>
  <dcterms:modified xsi:type="dcterms:W3CDTF">2025-04-08T13:34:36Z</dcterms:modified>
  <dc:title>阿克苏市某单位平安城市附属技防设施项目(竞争性谈判)</dc:title>
  <cp:revision>125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0C0C58D12A084758BC847E952D336EC4_13</vt:lpwstr>
  </property>
  <property fmtid="{D5CDD505-2E9C-101B-9397-08002B2CF9AE}" pid="4" name="KSOTemplateDocerSaveRecord">
    <vt:lpwstr>eyJoZGlkIjoiNDVjYmM5YzI2YjhjMmVlYWNkNzAzNmZjOGMxNDVjOWUiLCJ1c2VySWQiOiIyMTkxOTYzNzIifQ==</vt:lpwstr>
  </property>
</Properties>
</file>