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83D38">
      <w:pPr>
        <w:jc w:val="both"/>
        <w:rPr>
          <w:rFonts w:hint="eastAsia" w:ascii="方正楷体_GB2312" w:hAnsi="方正楷体_GB2312" w:eastAsia="方正楷体_GB2312" w:cs="方正楷体_GB2312"/>
          <w:color w:val="auto"/>
          <w:sz w:val="24"/>
          <w:szCs w:val="24"/>
          <w:highlight w:val="none"/>
        </w:rPr>
      </w:pPr>
    </w:p>
    <w:p w14:paraId="439A9C15">
      <w:pPr>
        <w:jc w:val="center"/>
        <w:rPr>
          <w:rFonts w:hint="eastAsia" w:ascii="方正楷体_GB2312" w:hAnsi="方正楷体_GB2312" w:eastAsia="方正楷体_GB2312" w:cs="方正楷体_GB2312"/>
          <w:color w:val="auto"/>
          <w:sz w:val="84"/>
          <w:szCs w:val="84"/>
          <w:highlight w:val="none"/>
        </w:rPr>
      </w:pPr>
      <w:r>
        <w:rPr>
          <w:rFonts w:hint="eastAsia" w:ascii="方正楷体_GB2312" w:hAnsi="方正楷体_GB2312" w:eastAsia="方正楷体_GB2312" w:cs="方正楷体_GB2312"/>
          <w:color w:val="auto"/>
          <w:sz w:val="24"/>
          <w:szCs w:val="24"/>
          <w:highlight w:val="none"/>
        </w:rPr>
        <w:t xml:space="preserve">   </w:t>
      </w:r>
      <w:r>
        <w:rPr>
          <w:rFonts w:hint="eastAsia" w:ascii="方正楷体_GB2312" w:hAnsi="方正楷体_GB2312" w:eastAsia="方正楷体_GB2312" w:cs="方正楷体_GB2312"/>
          <w:color w:val="auto"/>
          <w:sz w:val="84"/>
          <w:szCs w:val="84"/>
          <w:highlight w:val="none"/>
        </w:rPr>
        <w:t>谈  判  文  件</w:t>
      </w:r>
    </w:p>
    <w:p w14:paraId="7975097A">
      <w:pPr>
        <w:rPr>
          <w:rFonts w:hint="eastAsia" w:ascii="方正楷体_GB2312" w:hAnsi="方正楷体_GB2312" w:eastAsia="方正楷体_GB2312" w:cs="方正楷体_GB2312"/>
          <w:color w:val="auto"/>
          <w:sz w:val="24"/>
          <w:szCs w:val="24"/>
          <w:highlight w:val="none"/>
        </w:rPr>
      </w:pPr>
    </w:p>
    <w:p w14:paraId="494AFD5D">
      <w:pPr>
        <w:rPr>
          <w:rFonts w:hint="eastAsia" w:ascii="方正楷体_GB2312" w:hAnsi="方正楷体_GB2312" w:eastAsia="方正楷体_GB2312" w:cs="方正楷体_GB2312"/>
          <w:color w:val="auto"/>
          <w:sz w:val="24"/>
          <w:szCs w:val="24"/>
          <w:highlight w:val="none"/>
        </w:rPr>
      </w:pPr>
    </w:p>
    <w:p w14:paraId="1C28A538">
      <w:pPr>
        <w:rPr>
          <w:rFonts w:hint="eastAsia" w:ascii="方正楷体_GB2312" w:hAnsi="方正楷体_GB2312" w:eastAsia="方正楷体_GB2312" w:cs="方正楷体_GB2312"/>
          <w:color w:val="auto"/>
          <w:sz w:val="24"/>
          <w:szCs w:val="24"/>
          <w:highlight w:val="none"/>
        </w:rPr>
      </w:pPr>
    </w:p>
    <w:p w14:paraId="70AB6FF8">
      <w:pPr>
        <w:rPr>
          <w:rFonts w:hint="eastAsia" w:ascii="方正楷体_GB2312" w:hAnsi="方正楷体_GB2312" w:eastAsia="方正楷体_GB2312" w:cs="方正楷体_GB2312"/>
          <w:color w:val="auto"/>
          <w:sz w:val="24"/>
          <w:szCs w:val="24"/>
          <w:highlight w:val="none"/>
        </w:rPr>
      </w:pPr>
    </w:p>
    <w:p w14:paraId="2595F34C">
      <w:pPr>
        <w:rPr>
          <w:rFonts w:hint="eastAsia" w:ascii="方正楷体_GB2312" w:hAnsi="方正楷体_GB2312" w:eastAsia="方正楷体_GB2312" w:cs="方正楷体_GB2312"/>
          <w:color w:val="auto"/>
          <w:sz w:val="24"/>
          <w:szCs w:val="24"/>
          <w:highlight w:val="none"/>
        </w:rPr>
      </w:pPr>
    </w:p>
    <w:p w14:paraId="4AABCA6C">
      <w:pPr>
        <w:rPr>
          <w:rFonts w:hint="eastAsia" w:ascii="方正楷体_GB2312" w:hAnsi="方正楷体_GB2312" w:eastAsia="方正楷体_GB2312" w:cs="方正楷体_GB2312"/>
          <w:color w:val="auto"/>
          <w:sz w:val="24"/>
          <w:szCs w:val="24"/>
          <w:highlight w:val="none"/>
        </w:rPr>
      </w:pPr>
    </w:p>
    <w:p w14:paraId="3F124A1D">
      <w:pPr>
        <w:rPr>
          <w:rFonts w:hint="eastAsia" w:ascii="方正楷体_GB2312" w:hAnsi="方正楷体_GB2312" w:eastAsia="方正楷体_GB2312" w:cs="方正楷体_GB2312"/>
          <w:color w:val="auto"/>
          <w:sz w:val="24"/>
          <w:szCs w:val="24"/>
          <w:highlight w:val="none"/>
        </w:rPr>
      </w:pPr>
    </w:p>
    <w:p w14:paraId="141BC8F7">
      <w:pPr>
        <w:spacing w:line="720" w:lineRule="auto"/>
        <w:ind w:firstLine="2160" w:firstLineChars="600"/>
        <w:jc w:val="both"/>
        <w:rPr>
          <w:rFonts w:hint="eastAsia" w:ascii="方正楷体_GB2312" w:hAnsi="方正楷体_GB2312" w:eastAsia="方正楷体_GB2312" w:cs="方正楷体_GB2312"/>
          <w:color w:val="auto"/>
          <w:sz w:val="36"/>
          <w:szCs w:val="36"/>
          <w:highlight w:val="none"/>
          <w:lang w:val="en-US" w:eastAsia="zh-CN"/>
        </w:rPr>
      </w:pPr>
      <w:r>
        <w:rPr>
          <w:rFonts w:hint="eastAsia" w:ascii="方正楷体_GB2312" w:hAnsi="方正楷体_GB2312" w:eastAsia="方正楷体_GB2312" w:cs="方正楷体_GB2312"/>
          <w:color w:val="auto"/>
          <w:sz w:val="36"/>
          <w:szCs w:val="36"/>
          <w:highlight w:val="none"/>
        </w:rPr>
        <w:t>项目</w:t>
      </w:r>
      <w:r>
        <w:rPr>
          <w:rFonts w:hint="eastAsia" w:ascii="方正楷体_GB2312" w:hAnsi="方正楷体_GB2312" w:eastAsia="方正楷体_GB2312" w:cs="方正楷体_GB2312"/>
          <w:color w:val="auto"/>
          <w:sz w:val="36"/>
          <w:szCs w:val="36"/>
          <w:highlight w:val="none"/>
          <w:lang w:val="en-US" w:eastAsia="zh-CN"/>
        </w:rPr>
        <w:t>编号：XJLKDYHSZC(TP)2025-012</w:t>
      </w:r>
    </w:p>
    <w:p w14:paraId="3E044DF3">
      <w:pPr>
        <w:pStyle w:val="33"/>
        <w:rPr>
          <w:rFonts w:hint="eastAsia" w:ascii="方正楷体_GB2312" w:hAnsi="方正楷体_GB2312" w:eastAsia="方正楷体_GB2312" w:cs="方正楷体_GB2312"/>
          <w:color w:val="auto"/>
          <w:sz w:val="36"/>
          <w:szCs w:val="36"/>
          <w:highlight w:val="none"/>
          <w:lang w:val="en-US" w:eastAsia="zh-CN"/>
        </w:rPr>
      </w:pPr>
    </w:p>
    <w:p w14:paraId="0904D07C">
      <w:pPr>
        <w:rPr>
          <w:rFonts w:hint="eastAsia" w:ascii="方正楷体_GB2312" w:hAnsi="方正楷体_GB2312" w:eastAsia="方正楷体_GB2312" w:cs="方正楷体_GB2312"/>
          <w:color w:val="auto"/>
          <w:sz w:val="36"/>
          <w:szCs w:val="36"/>
          <w:highlight w:val="none"/>
          <w:lang w:val="en-US" w:eastAsia="zh-CN"/>
        </w:rPr>
      </w:pPr>
    </w:p>
    <w:p w14:paraId="6673A88D">
      <w:pPr>
        <w:pStyle w:val="33"/>
        <w:rPr>
          <w:rFonts w:hint="eastAsia" w:ascii="方正楷体_GB2312" w:hAnsi="方正楷体_GB2312" w:eastAsia="方正楷体_GB2312" w:cs="方正楷体_GB2312"/>
          <w:color w:val="auto"/>
          <w:highlight w:val="none"/>
        </w:rPr>
      </w:pPr>
    </w:p>
    <w:p w14:paraId="06F45911">
      <w:pPr>
        <w:pStyle w:val="33"/>
        <w:rPr>
          <w:rFonts w:hint="eastAsia" w:ascii="方正楷体_GB2312" w:hAnsi="方正楷体_GB2312" w:eastAsia="方正楷体_GB2312" w:cs="方正楷体_GB2312"/>
          <w:color w:val="auto"/>
          <w:highlight w:val="none"/>
          <w:lang w:eastAsia="zh-CN"/>
        </w:rPr>
      </w:pPr>
      <w:r>
        <w:rPr>
          <w:rFonts w:hint="eastAsia" w:ascii="方正楷体_GB2312" w:hAnsi="方正楷体_GB2312" w:eastAsia="方正楷体_GB2312" w:cs="方正楷体_GB2312"/>
          <w:color w:val="auto"/>
          <w:sz w:val="36"/>
          <w:szCs w:val="36"/>
          <w:highlight w:val="none"/>
        </w:rPr>
        <w:t>项目名称：</w:t>
      </w:r>
      <w:r>
        <w:rPr>
          <w:rFonts w:hint="eastAsia" w:ascii="方正楷体_GB2312" w:hAnsi="方正楷体_GB2312" w:eastAsia="方正楷体_GB2312" w:cs="方正楷体_GB2312"/>
          <w:color w:val="auto"/>
          <w:sz w:val="36"/>
          <w:szCs w:val="36"/>
          <w:highlight w:val="none"/>
          <w:lang w:eastAsia="zh-CN"/>
        </w:rPr>
        <w:t>和硕县教育和科学技术局食材采购项目</w:t>
      </w:r>
    </w:p>
    <w:p w14:paraId="70B15072">
      <w:pPr>
        <w:spacing w:line="720" w:lineRule="auto"/>
        <w:jc w:val="both"/>
        <w:rPr>
          <w:rFonts w:hint="eastAsia" w:ascii="方正楷体_GB2312" w:hAnsi="方正楷体_GB2312" w:eastAsia="方正楷体_GB2312" w:cs="方正楷体_GB2312"/>
          <w:color w:val="auto"/>
          <w:sz w:val="36"/>
          <w:szCs w:val="36"/>
          <w:highlight w:val="none"/>
          <w:lang w:eastAsia="zh-CN"/>
        </w:rPr>
      </w:pPr>
      <w:r>
        <w:rPr>
          <w:rFonts w:hint="eastAsia" w:ascii="方正楷体_GB2312" w:hAnsi="方正楷体_GB2312" w:eastAsia="方正楷体_GB2312" w:cs="方正楷体_GB2312"/>
          <w:color w:val="auto"/>
          <w:sz w:val="36"/>
          <w:szCs w:val="36"/>
          <w:highlight w:val="none"/>
          <w:lang w:eastAsia="zh-CN"/>
        </w:rPr>
        <w:t>采购人</w:t>
      </w:r>
      <w:r>
        <w:rPr>
          <w:rFonts w:hint="eastAsia" w:ascii="方正楷体_GB2312" w:hAnsi="方正楷体_GB2312" w:eastAsia="方正楷体_GB2312" w:cs="方正楷体_GB2312"/>
          <w:color w:val="auto"/>
          <w:sz w:val="36"/>
          <w:szCs w:val="36"/>
          <w:highlight w:val="none"/>
        </w:rPr>
        <w:t>：</w:t>
      </w:r>
      <w:r>
        <w:rPr>
          <w:rFonts w:hint="eastAsia" w:ascii="方正楷体_GB2312" w:hAnsi="方正楷体_GB2312" w:eastAsia="方正楷体_GB2312" w:cs="方正楷体_GB2312"/>
          <w:color w:val="auto"/>
          <w:sz w:val="36"/>
          <w:szCs w:val="36"/>
          <w:highlight w:val="none"/>
          <w:lang w:eastAsia="zh-CN"/>
        </w:rPr>
        <w:t>和硕县教育和科学技术局</w:t>
      </w:r>
    </w:p>
    <w:p w14:paraId="70B0CC13">
      <w:pPr>
        <w:spacing w:line="720" w:lineRule="auto"/>
        <w:jc w:val="both"/>
        <w:rPr>
          <w:rFonts w:hint="eastAsia" w:ascii="方正楷体_GB2312" w:hAnsi="方正楷体_GB2312" w:eastAsia="方正楷体_GB2312" w:cs="方正楷体_GB2312"/>
          <w:color w:val="auto"/>
          <w:sz w:val="36"/>
          <w:szCs w:val="36"/>
          <w:highlight w:val="none"/>
          <w:lang w:eastAsia="zh-CN"/>
        </w:rPr>
      </w:pPr>
      <w:r>
        <w:rPr>
          <w:rFonts w:hint="eastAsia" w:ascii="方正楷体_GB2312" w:hAnsi="方正楷体_GB2312" w:eastAsia="方正楷体_GB2312" w:cs="方正楷体_GB2312"/>
          <w:color w:val="auto"/>
          <w:sz w:val="36"/>
          <w:szCs w:val="36"/>
          <w:highlight w:val="none"/>
          <w:lang w:eastAsia="zh-CN"/>
        </w:rPr>
        <w:t>采购代理机构</w:t>
      </w:r>
      <w:r>
        <w:rPr>
          <w:rFonts w:hint="eastAsia" w:ascii="方正楷体_GB2312" w:hAnsi="方正楷体_GB2312" w:eastAsia="方正楷体_GB2312" w:cs="方正楷体_GB2312"/>
          <w:color w:val="auto"/>
          <w:sz w:val="36"/>
          <w:szCs w:val="36"/>
          <w:highlight w:val="none"/>
        </w:rPr>
        <w:t>：</w:t>
      </w:r>
      <w:r>
        <w:rPr>
          <w:rFonts w:hint="eastAsia" w:ascii="方正楷体_GB2312" w:hAnsi="方正楷体_GB2312" w:eastAsia="方正楷体_GB2312" w:cs="方正楷体_GB2312"/>
          <w:color w:val="auto"/>
          <w:sz w:val="36"/>
          <w:szCs w:val="36"/>
          <w:highlight w:val="none"/>
          <w:u w:val="none"/>
          <w:lang w:eastAsia="zh-CN"/>
        </w:rPr>
        <w:t>新疆立科得源工程项目管理咨询有限公司</w:t>
      </w:r>
    </w:p>
    <w:p w14:paraId="3BABCF76">
      <w:pPr>
        <w:jc w:val="center"/>
        <w:rPr>
          <w:rFonts w:hint="eastAsia" w:ascii="方正楷体_GB2312" w:hAnsi="方正楷体_GB2312" w:eastAsia="方正楷体_GB2312" w:cs="方正楷体_GB2312"/>
          <w:color w:val="auto"/>
          <w:sz w:val="24"/>
          <w:szCs w:val="24"/>
          <w:highlight w:val="none"/>
        </w:rPr>
      </w:pPr>
    </w:p>
    <w:p w14:paraId="5E08ECE1">
      <w:pPr>
        <w:jc w:val="both"/>
        <w:rPr>
          <w:rFonts w:hint="eastAsia" w:ascii="方正楷体_GB2312" w:hAnsi="方正楷体_GB2312" w:eastAsia="方正楷体_GB2312" w:cs="方正楷体_GB2312"/>
          <w:color w:val="auto"/>
          <w:sz w:val="24"/>
          <w:szCs w:val="24"/>
          <w:highlight w:val="none"/>
        </w:rPr>
      </w:pPr>
    </w:p>
    <w:p w14:paraId="187712EC">
      <w:pPr>
        <w:pStyle w:val="50"/>
        <w:rPr>
          <w:rFonts w:hint="eastAsia" w:ascii="方正楷体_GB2312" w:hAnsi="方正楷体_GB2312" w:eastAsia="方正楷体_GB2312" w:cs="方正楷体_GB2312"/>
          <w:color w:val="auto"/>
          <w:highlight w:val="none"/>
        </w:rPr>
      </w:pPr>
    </w:p>
    <w:p w14:paraId="1BDCE24D">
      <w:pPr>
        <w:jc w:val="center"/>
        <w:rPr>
          <w:rFonts w:hint="eastAsia" w:ascii="方正楷体_GB2312" w:hAnsi="方正楷体_GB2312" w:eastAsia="方正楷体_GB2312" w:cs="方正楷体_GB2312"/>
          <w:color w:val="auto"/>
          <w:sz w:val="40"/>
          <w:szCs w:val="36"/>
          <w:highlight w:val="none"/>
          <w:lang w:val="en-US" w:eastAsia="zh-CN"/>
        </w:rPr>
      </w:pPr>
      <w:r>
        <w:rPr>
          <w:rFonts w:hint="eastAsia" w:ascii="方正楷体_GB2312" w:hAnsi="方正楷体_GB2312" w:eastAsia="方正楷体_GB2312" w:cs="方正楷体_GB2312"/>
          <w:color w:val="auto"/>
          <w:sz w:val="40"/>
          <w:szCs w:val="36"/>
          <w:highlight w:val="none"/>
          <w:lang w:val="en-US" w:eastAsia="zh-CN"/>
        </w:rPr>
        <w:t>2025年2月</w:t>
      </w:r>
    </w:p>
    <w:p w14:paraId="45104066">
      <w:pPr>
        <w:pStyle w:val="90"/>
        <w:jc w:val="center"/>
        <w:rPr>
          <w:rFonts w:hint="eastAsia" w:ascii="方正楷体_GB2312" w:hAnsi="方正楷体_GB2312" w:eastAsia="方正楷体_GB2312" w:cs="方正楷体_GB2312"/>
          <w:b w:val="0"/>
          <w:bCs w:val="0"/>
          <w:color w:val="auto"/>
          <w:kern w:val="2"/>
          <w:sz w:val="21"/>
          <w:szCs w:val="20"/>
          <w:highlight w:val="none"/>
          <w:lang w:val="zh-CN"/>
        </w:rPr>
        <w:sectPr>
          <w:headerReference r:id="rId3" w:type="default"/>
          <w:pgSz w:w="11907" w:h="16840"/>
          <w:pgMar w:top="1440" w:right="1080" w:bottom="1440" w:left="1080" w:header="851" w:footer="68" w:gutter="0"/>
          <w:pgNumType w:fmt="decimal"/>
          <w:cols w:space="720" w:num="1"/>
          <w:docGrid w:type="lines" w:linePitch="409" w:charSpace="0"/>
        </w:sectPr>
      </w:pPr>
    </w:p>
    <w:sdt>
      <w:sdtPr>
        <w:rPr>
          <w:rFonts w:hint="eastAsia" w:ascii="方正楷体_GB2312" w:hAnsi="方正楷体_GB2312" w:eastAsia="方正楷体_GB2312" w:cs="方正楷体_GB2312"/>
          <w:b w:val="0"/>
          <w:bCs w:val="0"/>
          <w:color w:val="auto"/>
          <w:kern w:val="2"/>
          <w:sz w:val="21"/>
          <w:szCs w:val="20"/>
          <w:highlight w:val="none"/>
          <w:lang w:val="zh-CN"/>
        </w:rPr>
        <w:id w:val="1"/>
      </w:sdtPr>
      <w:sdtEndPr>
        <w:rPr>
          <w:rFonts w:hint="eastAsia" w:ascii="方正楷体_GB2312" w:hAnsi="方正楷体_GB2312" w:eastAsia="方正楷体_GB2312" w:cs="方正楷体_GB2312"/>
          <w:b w:val="0"/>
          <w:bCs w:val="0"/>
          <w:color w:val="auto"/>
          <w:kern w:val="2"/>
          <w:sz w:val="21"/>
          <w:szCs w:val="20"/>
          <w:highlight w:val="none"/>
          <w:lang w:val="zh-CN"/>
        </w:rPr>
      </w:sdtEndPr>
      <w:sdtContent>
        <w:p w14:paraId="2DDA95F6">
          <w:pPr>
            <w:pStyle w:val="90"/>
            <w:jc w:val="center"/>
            <w:rPr>
              <w:rFonts w:hint="eastAsia" w:ascii="方正楷体_GB2312" w:hAnsi="方正楷体_GB2312" w:eastAsia="方正楷体_GB2312" w:cs="方正楷体_GB2312"/>
              <w:b w:val="0"/>
              <w:bCs w:val="0"/>
              <w:color w:val="auto"/>
              <w:kern w:val="2"/>
              <w:sz w:val="21"/>
              <w:szCs w:val="20"/>
              <w:highlight w:val="none"/>
              <w:lang w:val="zh-CN"/>
            </w:rPr>
          </w:pPr>
        </w:p>
        <w:p w14:paraId="50C38774">
          <w:pPr>
            <w:pStyle w:val="90"/>
            <w:jc w:val="center"/>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highlight w:val="none"/>
              <w:lang w:val="zh-CN"/>
            </w:rPr>
            <w:t>目录</w:t>
          </w:r>
        </w:p>
        <w:p w14:paraId="6AF22C57">
          <w:pPr>
            <w:pStyle w:val="40"/>
            <w:tabs>
              <w:tab w:val="right" w:leader="dot" w:pos="9747"/>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TOC \o "1-3" \h \z \u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HYPERLINK \l _Toc5332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lang w:eastAsia="zh-CN"/>
            </w:rPr>
            <w:t>第一部分</w:t>
          </w:r>
          <w:r>
            <w:rPr>
              <w:rFonts w:hint="eastAsia" w:ascii="方正楷体_GB2312" w:hAnsi="方正楷体_GB2312" w:eastAsia="方正楷体_GB2312" w:cs="方正楷体_GB2312"/>
              <w:color w:val="auto"/>
              <w:highlight w:val="none"/>
              <w:lang w:val="en-US" w:eastAsia="zh-CN"/>
            </w:rPr>
            <w:t xml:space="preserve"> </w:t>
          </w:r>
          <w:r>
            <w:rPr>
              <w:rFonts w:hint="eastAsia" w:ascii="方正楷体_GB2312" w:hAnsi="方正楷体_GB2312" w:eastAsia="方正楷体_GB2312" w:cs="方正楷体_GB2312"/>
              <w:color w:val="auto"/>
              <w:highlight w:val="none"/>
              <w:lang w:eastAsia="zh-CN"/>
            </w:rPr>
            <w:t>谈判公告</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_Toc5332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1</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color w:val="auto"/>
              <w:highlight w:val="none"/>
            </w:rPr>
            <w:fldChar w:fldCharType="end"/>
          </w:r>
        </w:p>
        <w:p w14:paraId="7F7AF948">
          <w:pPr>
            <w:pStyle w:val="40"/>
            <w:tabs>
              <w:tab w:val="right" w:leader="dot" w:pos="9747"/>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bCs/>
              <w:color w:val="auto"/>
              <w:highlight w:val="none"/>
              <w:lang w:val="zh-CN"/>
            </w:rPr>
            <w:fldChar w:fldCharType="begin"/>
          </w:r>
          <w:r>
            <w:rPr>
              <w:rFonts w:hint="eastAsia" w:ascii="方正楷体_GB2312" w:hAnsi="方正楷体_GB2312" w:eastAsia="方正楷体_GB2312" w:cs="方正楷体_GB2312"/>
              <w:bCs/>
              <w:color w:val="auto"/>
              <w:highlight w:val="none"/>
              <w:lang w:val="zh-CN"/>
            </w:rPr>
            <w:instrText xml:space="preserve"> HYPERLINK \l _Toc265 </w:instrText>
          </w:r>
          <w:r>
            <w:rPr>
              <w:rFonts w:hint="eastAsia" w:ascii="方正楷体_GB2312" w:hAnsi="方正楷体_GB2312" w:eastAsia="方正楷体_GB2312" w:cs="方正楷体_GB2312"/>
              <w:bCs/>
              <w:color w:val="auto"/>
              <w:highlight w:val="none"/>
              <w:lang w:val="zh-CN"/>
            </w:rPr>
            <w:fldChar w:fldCharType="separate"/>
          </w:r>
          <w:r>
            <w:rPr>
              <w:rFonts w:hint="eastAsia" w:ascii="方正楷体_GB2312" w:hAnsi="方正楷体_GB2312" w:eastAsia="方正楷体_GB2312" w:cs="方正楷体_GB2312"/>
              <w:color w:val="auto"/>
              <w:highlight w:val="none"/>
            </w:rPr>
            <w:t>第二部分</w:t>
          </w:r>
          <w:r>
            <w:rPr>
              <w:rFonts w:hint="eastAsia" w:ascii="方正楷体_GB2312" w:hAnsi="方正楷体_GB2312" w:eastAsia="方正楷体_GB2312" w:cs="方正楷体_GB2312"/>
              <w:color w:val="auto"/>
              <w:highlight w:val="none"/>
              <w:lang w:val="en-US" w:eastAsia="zh-CN"/>
            </w:rPr>
            <w:t xml:space="preserve"> </w:t>
          </w:r>
          <w:r>
            <w:rPr>
              <w:rFonts w:hint="eastAsia" w:ascii="方正楷体_GB2312" w:hAnsi="方正楷体_GB2312" w:eastAsia="方正楷体_GB2312" w:cs="方正楷体_GB2312"/>
              <w:color w:val="auto"/>
              <w:highlight w:val="none"/>
            </w:rPr>
            <w:t>供应商须知</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_Toc265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4</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bCs/>
              <w:color w:val="auto"/>
              <w:highlight w:val="none"/>
              <w:lang w:val="zh-CN"/>
            </w:rPr>
            <w:fldChar w:fldCharType="end"/>
          </w:r>
        </w:p>
        <w:p w14:paraId="284EB444">
          <w:pPr>
            <w:pStyle w:val="25"/>
            <w:tabs>
              <w:tab w:val="right" w:leader="dot" w:pos="9747"/>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bCs/>
              <w:color w:val="auto"/>
              <w:highlight w:val="none"/>
              <w:lang w:val="zh-CN"/>
            </w:rPr>
            <w:fldChar w:fldCharType="begin"/>
          </w:r>
          <w:r>
            <w:rPr>
              <w:rFonts w:hint="eastAsia" w:ascii="方正楷体_GB2312" w:hAnsi="方正楷体_GB2312" w:eastAsia="方正楷体_GB2312" w:cs="方正楷体_GB2312"/>
              <w:bCs/>
              <w:color w:val="auto"/>
              <w:highlight w:val="none"/>
              <w:lang w:val="zh-CN"/>
            </w:rPr>
            <w:instrText xml:space="preserve"> HYPERLINK \l _Toc5169 </w:instrText>
          </w:r>
          <w:r>
            <w:rPr>
              <w:rFonts w:hint="eastAsia" w:ascii="方正楷体_GB2312" w:hAnsi="方正楷体_GB2312" w:eastAsia="方正楷体_GB2312" w:cs="方正楷体_GB2312"/>
              <w:bCs/>
              <w:color w:val="auto"/>
              <w:highlight w:val="none"/>
              <w:lang w:val="zh-CN"/>
            </w:rPr>
            <w:fldChar w:fldCharType="separate"/>
          </w:r>
          <w:r>
            <w:rPr>
              <w:rFonts w:hint="eastAsia" w:ascii="方正楷体_GB2312" w:hAnsi="方正楷体_GB2312" w:eastAsia="方正楷体_GB2312" w:cs="方正楷体_GB2312"/>
              <w:color w:val="auto"/>
              <w:highlight w:val="none"/>
              <w:lang w:val="en-US" w:eastAsia="zh-CN"/>
            </w:rPr>
            <w:t>A  说　明</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_Toc5169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6</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bCs/>
              <w:color w:val="auto"/>
              <w:highlight w:val="none"/>
              <w:lang w:val="zh-CN"/>
            </w:rPr>
            <w:fldChar w:fldCharType="end"/>
          </w:r>
        </w:p>
        <w:p w14:paraId="3F2B4393">
          <w:pPr>
            <w:pStyle w:val="25"/>
            <w:tabs>
              <w:tab w:val="right" w:leader="dot" w:pos="9747"/>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bCs/>
              <w:color w:val="auto"/>
              <w:highlight w:val="none"/>
              <w:lang w:val="zh-CN"/>
            </w:rPr>
            <w:fldChar w:fldCharType="begin"/>
          </w:r>
          <w:r>
            <w:rPr>
              <w:rFonts w:hint="eastAsia" w:ascii="方正楷体_GB2312" w:hAnsi="方正楷体_GB2312" w:eastAsia="方正楷体_GB2312" w:cs="方正楷体_GB2312"/>
              <w:bCs/>
              <w:color w:val="auto"/>
              <w:highlight w:val="none"/>
              <w:lang w:val="zh-CN"/>
            </w:rPr>
            <w:instrText xml:space="preserve"> HYPERLINK \l _Toc8787 </w:instrText>
          </w:r>
          <w:r>
            <w:rPr>
              <w:rFonts w:hint="eastAsia" w:ascii="方正楷体_GB2312" w:hAnsi="方正楷体_GB2312" w:eastAsia="方正楷体_GB2312" w:cs="方正楷体_GB2312"/>
              <w:bCs/>
              <w:color w:val="auto"/>
              <w:highlight w:val="none"/>
              <w:lang w:val="zh-CN"/>
            </w:rPr>
            <w:fldChar w:fldCharType="separate"/>
          </w:r>
          <w:r>
            <w:rPr>
              <w:rFonts w:hint="eastAsia" w:ascii="方正楷体_GB2312" w:hAnsi="方正楷体_GB2312" w:eastAsia="方正楷体_GB2312" w:cs="方正楷体_GB2312"/>
              <w:color w:val="auto"/>
              <w:highlight w:val="none"/>
            </w:rPr>
            <w:t>B　谈判文件</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_Toc8787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7</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bCs/>
              <w:color w:val="auto"/>
              <w:highlight w:val="none"/>
              <w:lang w:val="zh-CN"/>
            </w:rPr>
            <w:fldChar w:fldCharType="end"/>
          </w:r>
        </w:p>
        <w:p w14:paraId="75EF1DA3">
          <w:pPr>
            <w:pStyle w:val="25"/>
            <w:tabs>
              <w:tab w:val="right" w:leader="dot" w:pos="9747"/>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bCs/>
              <w:color w:val="auto"/>
              <w:highlight w:val="none"/>
              <w:lang w:val="zh-CN"/>
            </w:rPr>
            <w:fldChar w:fldCharType="begin"/>
          </w:r>
          <w:r>
            <w:rPr>
              <w:rFonts w:hint="eastAsia" w:ascii="方正楷体_GB2312" w:hAnsi="方正楷体_GB2312" w:eastAsia="方正楷体_GB2312" w:cs="方正楷体_GB2312"/>
              <w:bCs/>
              <w:color w:val="auto"/>
              <w:highlight w:val="none"/>
              <w:lang w:val="zh-CN"/>
            </w:rPr>
            <w:instrText xml:space="preserve"> HYPERLINK \l _Toc29771 </w:instrText>
          </w:r>
          <w:r>
            <w:rPr>
              <w:rFonts w:hint="eastAsia" w:ascii="方正楷体_GB2312" w:hAnsi="方正楷体_GB2312" w:eastAsia="方正楷体_GB2312" w:cs="方正楷体_GB2312"/>
              <w:bCs/>
              <w:color w:val="auto"/>
              <w:highlight w:val="none"/>
              <w:lang w:val="zh-CN"/>
            </w:rPr>
            <w:fldChar w:fldCharType="separate"/>
          </w:r>
          <w:r>
            <w:rPr>
              <w:rFonts w:hint="eastAsia" w:ascii="方正楷体_GB2312" w:hAnsi="方正楷体_GB2312" w:eastAsia="方正楷体_GB2312" w:cs="方正楷体_GB2312"/>
              <w:color w:val="auto"/>
              <w:highlight w:val="none"/>
            </w:rPr>
            <w:t>C 谈判响应文件的编写</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_Toc29771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9</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bCs/>
              <w:color w:val="auto"/>
              <w:highlight w:val="none"/>
              <w:lang w:val="zh-CN"/>
            </w:rPr>
            <w:fldChar w:fldCharType="end"/>
          </w:r>
        </w:p>
        <w:p w14:paraId="573140B9">
          <w:pPr>
            <w:pStyle w:val="25"/>
            <w:tabs>
              <w:tab w:val="right" w:leader="dot" w:pos="9747"/>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bCs/>
              <w:color w:val="auto"/>
              <w:highlight w:val="none"/>
              <w:lang w:val="zh-CN"/>
            </w:rPr>
            <w:fldChar w:fldCharType="begin"/>
          </w:r>
          <w:r>
            <w:rPr>
              <w:rFonts w:hint="eastAsia" w:ascii="方正楷体_GB2312" w:hAnsi="方正楷体_GB2312" w:eastAsia="方正楷体_GB2312" w:cs="方正楷体_GB2312"/>
              <w:bCs/>
              <w:color w:val="auto"/>
              <w:highlight w:val="none"/>
              <w:lang w:val="zh-CN"/>
            </w:rPr>
            <w:instrText xml:space="preserve"> HYPERLINK \l _Toc20408 </w:instrText>
          </w:r>
          <w:r>
            <w:rPr>
              <w:rFonts w:hint="eastAsia" w:ascii="方正楷体_GB2312" w:hAnsi="方正楷体_GB2312" w:eastAsia="方正楷体_GB2312" w:cs="方正楷体_GB2312"/>
              <w:bCs/>
              <w:color w:val="auto"/>
              <w:highlight w:val="none"/>
              <w:lang w:val="zh-CN"/>
            </w:rPr>
            <w:fldChar w:fldCharType="separate"/>
          </w:r>
          <w:r>
            <w:rPr>
              <w:rFonts w:hint="eastAsia" w:ascii="方正楷体_GB2312" w:hAnsi="方正楷体_GB2312" w:eastAsia="方正楷体_GB2312" w:cs="方正楷体_GB2312"/>
              <w:color w:val="auto"/>
              <w:highlight w:val="none"/>
            </w:rPr>
            <w:t>D 谈判响应文件的递交</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_Toc20408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11</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bCs/>
              <w:color w:val="auto"/>
              <w:highlight w:val="none"/>
              <w:lang w:val="zh-CN"/>
            </w:rPr>
            <w:fldChar w:fldCharType="end"/>
          </w:r>
        </w:p>
        <w:p w14:paraId="44F4CD9C">
          <w:pPr>
            <w:pStyle w:val="25"/>
            <w:tabs>
              <w:tab w:val="right" w:leader="dot" w:pos="9747"/>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bCs/>
              <w:color w:val="auto"/>
              <w:highlight w:val="none"/>
              <w:lang w:val="zh-CN"/>
            </w:rPr>
            <w:fldChar w:fldCharType="begin"/>
          </w:r>
          <w:r>
            <w:rPr>
              <w:rFonts w:hint="eastAsia" w:ascii="方正楷体_GB2312" w:hAnsi="方正楷体_GB2312" w:eastAsia="方正楷体_GB2312" w:cs="方正楷体_GB2312"/>
              <w:bCs/>
              <w:color w:val="auto"/>
              <w:highlight w:val="none"/>
              <w:lang w:val="zh-CN"/>
            </w:rPr>
            <w:instrText xml:space="preserve"> HYPERLINK \l _Toc13863 </w:instrText>
          </w:r>
          <w:r>
            <w:rPr>
              <w:rFonts w:hint="eastAsia" w:ascii="方正楷体_GB2312" w:hAnsi="方正楷体_GB2312" w:eastAsia="方正楷体_GB2312" w:cs="方正楷体_GB2312"/>
              <w:bCs/>
              <w:color w:val="auto"/>
              <w:highlight w:val="none"/>
              <w:lang w:val="zh-CN"/>
            </w:rPr>
            <w:fldChar w:fldCharType="separate"/>
          </w:r>
          <w:r>
            <w:rPr>
              <w:rFonts w:hint="eastAsia" w:ascii="方正楷体_GB2312" w:hAnsi="方正楷体_GB2312" w:eastAsia="方正楷体_GB2312" w:cs="方正楷体_GB2312"/>
              <w:color w:val="auto"/>
              <w:highlight w:val="none"/>
            </w:rPr>
            <w:t>E 谈判</w:t>
          </w:r>
          <w:r>
            <w:rPr>
              <w:rFonts w:hint="eastAsia" w:ascii="方正楷体_GB2312" w:hAnsi="方正楷体_GB2312" w:eastAsia="方正楷体_GB2312" w:cs="方正楷体_GB2312"/>
              <w:color w:val="auto"/>
              <w:highlight w:val="none"/>
              <w:lang w:eastAsia="zh-CN"/>
            </w:rPr>
            <w:t>过程</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_Toc13863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12</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bCs/>
              <w:color w:val="auto"/>
              <w:highlight w:val="none"/>
              <w:lang w:val="zh-CN"/>
            </w:rPr>
            <w:fldChar w:fldCharType="end"/>
          </w:r>
        </w:p>
        <w:p w14:paraId="5E61B729">
          <w:pPr>
            <w:pStyle w:val="25"/>
            <w:tabs>
              <w:tab w:val="right" w:leader="dot" w:pos="9747"/>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bCs/>
              <w:color w:val="auto"/>
              <w:highlight w:val="none"/>
              <w:lang w:val="zh-CN"/>
            </w:rPr>
            <w:fldChar w:fldCharType="begin"/>
          </w:r>
          <w:r>
            <w:rPr>
              <w:rFonts w:hint="eastAsia" w:ascii="方正楷体_GB2312" w:hAnsi="方正楷体_GB2312" w:eastAsia="方正楷体_GB2312" w:cs="方正楷体_GB2312"/>
              <w:bCs/>
              <w:color w:val="auto"/>
              <w:highlight w:val="none"/>
              <w:lang w:val="zh-CN"/>
            </w:rPr>
            <w:instrText xml:space="preserve"> HYPERLINK \l _Toc4776 </w:instrText>
          </w:r>
          <w:r>
            <w:rPr>
              <w:rFonts w:hint="eastAsia" w:ascii="方正楷体_GB2312" w:hAnsi="方正楷体_GB2312" w:eastAsia="方正楷体_GB2312" w:cs="方正楷体_GB2312"/>
              <w:bCs/>
              <w:color w:val="auto"/>
              <w:highlight w:val="none"/>
              <w:lang w:val="zh-CN"/>
            </w:rPr>
            <w:fldChar w:fldCharType="separate"/>
          </w:r>
          <w:r>
            <w:rPr>
              <w:rFonts w:hint="eastAsia" w:ascii="方正楷体_GB2312" w:hAnsi="方正楷体_GB2312" w:eastAsia="方正楷体_GB2312" w:cs="方正楷体_GB2312"/>
              <w:color w:val="auto"/>
              <w:highlight w:val="none"/>
              <w:lang w:val="en-US" w:eastAsia="zh-CN"/>
            </w:rPr>
            <w:t xml:space="preserve">F </w:t>
          </w:r>
          <w:r>
            <w:rPr>
              <w:rFonts w:hint="eastAsia" w:ascii="方正楷体_GB2312" w:hAnsi="方正楷体_GB2312" w:eastAsia="方正楷体_GB2312" w:cs="方正楷体_GB2312"/>
              <w:color w:val="auto"/>
              <w:highlight w:val="none"/>
            </w:rPr>
            <w:t>评审方法</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_Toc4776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14</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bCs/>
              <w:color w:val="auto"/>
              <w:highlight w:val="none"/>
              <w:lang w:val="zh-CN"/>
            </w:rPr>
            <w:fldChar w:fldCharType="end"/>
          </w:r>
        </w:p>
        <w:p w14:paraId="3E335986">
          <w:pPr>
            <w:pStyle w:val="25"/>
            <w:tabs>
              <w:tab w:val="right" w:leader="dot" w:pos="9747"/>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bCs/>
              <w:color w:val="auto"/>
              <w:highlight w:val="none"/>
              <w:lang w:val="zh-CN"/>
            </w:rPr>
            <w:fldChar w:fldCharType="begin"/>
          </w:r>
          <w:r>
            <w:rPr>
              <w:rFonts w:hint="eastAsia" w:ascii="方正楷体_GB2312" w:hAnsi="方正楷体_GB2312" w:eastAsia="方正楷体_GB2312" w:cs="方正楷体_GB2312"/>
              <w:bCs/>
              <w:color w:val="auto"/>
              <w:highlight w:val="none"/>
              <w:lang w:val="zh-CN"/>
            </w:rPr>
            <w:instrText xml:space="preserve"> HYPERLINK \l _Toc8168 </w:instrText>
          </w:r>
          <w:r>
            <w:rPr>
              <w:rFonts w:hint="eastAsia" w:ascii="方正楷体_GB2312" w:hAnsi="方正楷体_GB2312" w:eastAsia="方正楷体_GB2312" w:cs="方正楷体_GB2312"/>
              <w:bCs/>
              <w:color w:val="auto"/>
              <w:highlight w:val="none"/>
              <w:lang w:val="zh-CN"/>
            </w:rPr>
            <w:fldChar w:fldCharType="separate"/>
          </w:r>
          <w:r>
            <w:rPr>
              <w:rFonts w:hint="eastAsia" w:ascii="方正楷体_GB2312" w:hAnsi="方正楷体_GB2312" w:eastAsia="方正楷体_GB2312" w:cs="方正楷体_GB2312"/>
              <w:color w:val="auto"/>
              <w:highlight w:val="none"/>
              <w:lang w:val="en-US" w:eastAsia="zh-CN"/>
            </w:rPr>
            <w:t>G</w:t>
          </w:r>
          <w:r>
            <w:rPr>
              <w:rFonts w:hint="eastAsia" w:ascii="方正楷体_GB2312" w:hAnsi="方正楷体_GB2312" w:eastAsia="方正楷体_GB2312" w:cs="方正楷体_GB2312"/>
              <w:color w:val="auto"/>
              <w:highlight w:val="none"/>
            </w:rPr>
            <w:t xml:space="preserve"> 授予合同</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_Toc8168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15</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bCs/>
              <w:color w:val="auto"/>
              <w:highlight w:val="none"/>
              <w:lang w:val="zh-CN"/>
            </w:rPr>
            <w:fldChar w:fldCharType="end"/>
          </w:r>
        </w:p>
        <w:p w14:paraId="00243004">
          <w:pPr>
            <w:pStyle w:val="40"/>
            <w:tabs>
              <w:tab w:val="right" w:leader="dot" w:pos="9747"/>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bCs/>
              <w:color w:val="auto"/>
              <w:highlight w:val="none"/>
              <w:lang w:val="zh-CN"/>
            </w:rPr>
            <w:fldChar w:fldCharType="begin"/>
          </w:r>
          <w:r>
            <w:rPr>
              <w:rFonts w:hint="eastAsia" w:ascii="方正楷体_GB2312" w:hAnsi="方正楷体_GB2312" w:eastAsia="方正楷体_GB2312" w:cs="方正楷体_GB2312"/>
              <w:bCs/>
              <w:color w:val="auto"/>
              <w:highlight w:val="none"/>
              <w:lang w:val="zh-CN"/>
            </w:rPr>
            <w:instrText xml:space="preserve"> HYPERLINK \l _Toc22862 </w:instrText>
          </w:r>
          <w:r>
            <w:rPr>
              <w:rFonts w:hint="eastAsia" w:ascii="方正楷体_GB2312" w:hAnsi="方正楷体_GB2312" w:eastAsia="方正楷体_GB2312" w:cs="方正楷体_GB2312"/>
              <w:bCs/>
              <w:color w:val="auto"/>
              <w:highlight w:val="none"/>
              <w:lang w:val="zh-CN"/>
            </w:rPr>
            <w:fldChar w:fldCharType="separate"/>
          </w:r>
          <w:r>
            <w:rPr>
              <w:rFonts w:hint="eastAsia" w:ascii="方正楷体_GB2312" w:hAnsi="方正楷体_GB2312" w:eastAsia="方正楷体_GB2312" w:cs="方正楷体_GB2312"/>
              <w:color w:val="auto"/>
              <w:highlight w:val="none"/>
            </w:rPr>
            <w:t xml:space="preserve">第三部分 </w:t>
          </w:r>
          <w:r>
            <w:rPr>
              <w:rFonts w:hint="eastAsia" w:ascii="方正楷体_GB2312" w:hAnsi="方正楷体_GB2312" w:eastAsia="方正楷体_GB2312" w:cs="方正楷体_GB2312"/>
              <w:color w:val="auto"/>
              <w:highlight w:val="none"/>
              <w:lang w:eastAsia="zh-CN"/>
            </w:rPr>
            <w:t>采购清单</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_Toc22862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16</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bCs/>
              <w:color w:val="auto"/>
              <w:highlight w:val="none"/>
              <w:lang w:val="zh-CN"/>
            </w:rPr>
            <w:fldChar w:fldCharType="end"/>
          </w:r>
        </w:p>
        <w:p w14:paraId="4DB5B69D">
          <w:pPr>
            <w:pStyle w:val="33"/>
            <w:tabs>
              <w:tab w:val="right" w:leader="dot" w:pos="9747"/>
            </w:tabs>
            <w:ind w:firstLine="420" w:firstLineChars="200"/>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bCs/>
              <w:color w:val="auto"/>
              <w:highlight w:val="none"/>
              <w:lang w:val="zh-CN"/>
            </w:rPr>
            <w:fldChar w:fldCharType="begin"/>
          </w:r>
          <w:r>
            <w:rPr>
              <w:rFonts w:hint="eastAsia" w:ascii="方正楷体_GB2312" w:hAnsi="方正楷体_GB2312" w:eastAsia="方正楷体_GB2312" w:cs="方正楷体_GB2312"/>
              <w:bCs/>
              <w:color w:val="auto"/>
              <w:highlight w:val="none"/>
              <w:lang w:val="zh-CN"/>
            </w:rPr>
            <w:instrText xml:space="preserve"> HYPERLINK \l _Toc27997 </w:instrText>
          </w:r>
          <w:r>
            <w:rPr>
              <w:rFonts w:hint="eastAsia" w:ascii="方正楷体_GB2312" w:hAnsi="方正楷体_GB2312" w:eastAsia="方正楷体_GB2312" w:cs="方正楷体_GB2312"/>
              <w:bCs/>
              <w:color w:val="auto"/>
              <w:highlight w:val="none"/>
              <w:lang w:val="zh-CN"/>
            </w:rPr>
            <w:fldChar w:fldCharType="separate"/>
          </w:r>
          <w:r>
            <w:rPr>
              <w:rFonts w:hint="eastAsia" w:ascii="方正楷体_GB2312" w:hAnsi="方正楷体_GB2312" w:eastAsia="方正楷体_GB2312" w:cs="方正楷体_GB2312"/>
              <w:bCs/>
              <w:color w:val="auto"/>
              <w:szCs w:val="30"/>
              <w:highlight w:val="none"/>
              <w:lang w:val="en-US" w:eastAsia="zh-Hans"/>
            </w:rPr>
            <w:t>第四部分</w:t>
          </w:r>
          <w:r>
            <w:rPr>
              <w:rFonts w:hint="eastAsia" w:ascii="方正楷体_GB2312" w:hAnsi="方正楷体_GB2312" w:eastAsia="方正楷体_GB2312" w:cs="方正楷体_GB2312"/>
              <w:bCs/>
              <w:color w:val="auto"/>
              <w:szCs w:val="30"/>
              <w:highlight w:val="none"/>
              <w:lang w:val="en-US" w:eastAsia="zh-CN"/>
            </w:rPr>
            <w:t xml:space="preserve"> </w:t>
          </w:r>
          <w:r>
            <w:rPr>
              <w:rFonts w:hint="eastAsia" w:ascii="方正楷体_GB2312" w:hAnsi="方正楷体_GB2312" w:eastAsia="方正楷体_GB2312" w:cs="方正楷体_GB2312"/>
              <w:bCs/>
              <w:color w:val="auto"/>
              <w:szCs w:val="30"/>
              <w:highlight w:val="none"/>
              <w:lang w:val="en-US" w:eastAsia="zh-Hans"/>
            </w:rPr>
            <w:t>合同条款</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_Toc27997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28</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bCs/>
              <w:color w:val="auto"/>
              <w:highlight w:val="none"/>
              <w:lang w:val="zh-CN"/>
            </w:rPr>
            <w:fldChar w:fldCharType="end"/>
          </w:r>
        </w:p>
        <w:p w14:paraId="7EA9162F">
          <w:pPr>
            <w:pStyle w:val="40"/>
            <w:tabs>
              <w:tab w:val="right" w:leader="dot" w:pos="9747"/>
            </w:tabs>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bCs/>
              <w:color w:val="auto"/>
              <w:highlight w:val="none"/>
              <w:lang w:val="zh-CN"/>
            </w:rPr>
            <w:fldChar w:fldCharType="begin"/>
          </w:r>
          <w:r>
            <w:rPr>
              <w:rFonts w:hint="eastAsia" w:ascii="方正楷体_GB2312" w:hAnsi="方正楷体_GB2312" w:eastAsia="方正楷体_GB2312" w:cs="方正楷体_GB2312"/>
              <w:bCs/>
              <w:color w:val="auto"/>
              <w:highlight w:val="none"/>
              <w:lang w:val="zh-CN"/>
            </w:rPr>
            <w:instrText xml:space="preserve"> HYPERLINK \l _Toc1374 </w:instrText>
          </w:r>
          <w:r>
            <w:rPr>
              <w:rFonts w:hint="eastAsia" w:ascii="方正楷体_GB2312" w:hAnsi="方正楷体_GB2312" w:eastAsia="方正楷体_GB2312" w:cs="方正楷体_GB2312"/>
              <w:bCs/>
              <w:color w:val="auto"/>
              <w:highlight w:val="none"/>
              <w:lang w:val="zh-CN"/>
            </w:rPr>
            <w:fldChar w:fldCharType="separate"/>
          </w:r>
          <w:r>
            <w:rPr>
              <w:rFonts w:hint="eastAsia" w:ascii="方正楷体_GB2312" w:hAnsi="方正楷体_GB2312" w:eastAsia="方正楷体_GB2312" w:cs="方正楷体_GB2312"/>
              <w:color w:val="auto"/>
              <w:highlight w:val="none"/>
            </w:rPr>
            <w:t>第</w:t>
          </w:r>
          <w:r>
            <w:rPr>
              <w:rFonts w:hint="eastAsia" w:ascii="方正楷体_GB2312" w:hAnsi="方正楷体_GB2312" w:eastAsia="方正楷体_GB2312" w:cs="方正楷体_GB2312"/>
              <w:color w:val="auto"/>
              <w:highlight w:val="none"/>
              <w:lang w:val="en-US" w:eastAsia="zh-Hans"/>
            </w:rPr>
            <w:t>五</w:t>
          </w:r>
          <w:r>
            <w:rPr>
              <w:rFonts w:hint="eastAsia" w:ascii="方正楷体_GB2312" w:hAnsi="方正楷体_GB2312" w:eastAsia="方正楷体_GB2312" w:cs="方正楷体_GB2312"/>
              <w:color w:val="auto"/>
              <w:highlight w:val="none"/>
            </w:rPr>
            <w:t>部分　范本格式</w:t>
          </w:r>
          <w:r>
            <w:rPr>
              <w:rFonts w:hint="eastAsia" w:ascii="方正楷体_GB2312" w:hAnsi="方正楷体_GB2312" w:eastAsia="方正楷体_GB2312" w:cs="方正楷体_GB2312"/>
              <w:color w:val="auto"/>
              <w:highlight w:val="none"/>
            </w:rPr>
            <w:tab/>
          </w:r>
          <w:r>
            <w:rPr>
              <w:rFonts w:hint="eastAsia" w:ascii="方正楷体_GB2312" w:hAnsi="方正楷体_GB2312" w:eastAsia="方正楷体_GB2312" w:cs="方正楷体_GB2312"/>
              <w:color w:val="auto"/>
              <w:highlight w:val="none"/>
            </w:rPr>
            <w:fldChar w:fldCharType="begin"/>
          </w:r>
          <w:r>
            <w:rPr>
              <w:rFonts w:hint="eastAsia" w:ascii="方正楷体_GB2312" w:hAnsi="方正楷体_GB2312" w:eastAsia="方正楷体_GB2312" w:cs="方正楷体_GB2312"/>
              <w:color w:val="auto"/>
              <w:highlight w:val="none"/>
            </w:rPr>
            <w:instrText xml:space="preserve"> PAGEREF _Toc1374 \h </w:instrText>
          </w:r>
          <w:r>
            <w:rPr>
              <w:rFonts w:hint="eastAsia" w:ascii="方正楷体_GB2312" w:hAnsi="方正楷体_GB2312" w:eastAsia="方正楷体_GB2312" w:cs="方正楷体_GB2312"/>
              <w:color w:val="auto"/>
              <w:highlight w:val="none"/>
            </w:rPr>
            <w:fldChar w:fldCharType="separate"/>
          </w:r>
          <w:r>
            <w:rPr>
              <w:rFonts w:hint="eastAsia" w:ascii="方正楷体_GB2312" w:hAnsi="方正楷体_GB2312" w:eastAsia="方正楷体_GB2312" w:cs="方正楷体_GB2312"/>
              <w:color w:val="auto"/>
              <w:highlight w:val="none"/>
            </w:rPr>
            <w:t>32</w:t>
          </w:r>
          <w:r>
            <w:rPr>
              <w:rFonts w:hint="eastAsia" w:ascii="方正楷体_GB2312" w:hAnsi="方正楷体_GB2312" w:eastAsia="方正楷体_GB2312" w:cs="方正楷体_GB2312"/>
              <w:color w:val="auto"/>
              <w:highlight w:val="none"/>
            </w:rPr>
            <w:fldChar w:fldCharType="end"/>
          </w:r>
          <w:r>
            <w:rPr>
              <w:rFonts w:hint="eastAsia" w:ascii="方正楷体_GB2312" w:hAnsi="方正楷体_GB2312" w:eastAsia="方正楷体_GB2312" w:cs="方正楷体_GB2312"/>
              <w:bCs/>
              <w:color w:val="auto"/>
              <w:highlight w:val="none"/>
              <w:lang w:val="zh-CN"/>
            </w:rPr>
            <w:fldChar w:fldCharType="end"/>
          </w:r>
        </w:p>
        <w:p w14:paraId="25C34BED">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bCs/>
              <w:color w:val="auto"/>
              <w:highlight w:val="none"/>
              <w:lang w:val="zh-CN"/>
            </w:rPr>
            <w:fldChar w:fldCharType="end"/>
          </w:r>
        </w:p>
      </w:sdtContent>
    </w:sdt>
    <w:p w14:paraId="718570FE">
      <w:pPr>
        <w:widowControl/>
        <w:spacing w:line="360" w:lineRule="auto"/>
        <w:jc w:val="center"/>
        <w:rPr>
          <w:rFonts w:hint="eastAsia" w:ascii="方正楷体_GB2312" w:hAnsi="方正楷体_GB2312" w:eastAsia="方正楷体_GB2312" w:cs="方正楷体_GB2312"/>
          <w:b/>
          <w:bCs/>
          <w:color w:val="auto"/>
          <w:sz w:val="36"/>
          <w:szCs w:val="36"/>
          <w:highlight w:val="none"/>
          <w:lang w:eastAsia="zh-CN"/>
        </w:rPr>
        <w:sectPr>
          <w:footerReference r:id="rId4" w:type="default"/>
          <w:pgSz w:w="11907" w:h="16840"/>
          <w:pgMar w:top="1440" w:right="1080" w:bottom="1440" w:left="1080" w:header="851" w:footer="68" w:gutter="0"/>
          <w:pgNumType w:fmt="decimal" w:start="1"/>
          <w:cols w:space="720" w:num="1"/>
          <w:docGrid w:type="lines" w:linePitch="409" w:charSpace="0"/>
        </w:sectPr>
      </w:pPr>
    </w:p>
    <w:p w14:paraId="74FEC1D8">
      <w:pPr>
        <w:pStyle w:val="3"/>
        <w:bidi w:val="0"/>
        <w:jc w:val="center"/>
        <w:rPr>
          <w:rFonts w:hint="eastAsia" w:ascii="方正楷体_GB2312" w:hAnsi="方正楷体_GB2312" w:eastAsia="方正楷体_GB2312" w:cs="方正楷体_GB2312"/>
          <w:color w:val="auto"/>
          <w:highlight w:val="none"/>
          <w:lang w:eastAsia="zh-CN"/>
        </w:rPr>
      </w:pPr>
      <w:bookmarkStart w:id="0" w:name="_Toc5332"/>
      <w:r>
        <w:rPr>
          <w:rFonts w:hint="eastAsia" w:ascii="方正楷体_GB2312" w:hAnsi="方正楷体_GB2312" w:eastAsia="方正楷体_GB2312" w:cs="方正楷体_GB2312"/>
          <w:color w:val="auto"/>
          <w:highlight w:val="none"/>
          <w:lang w:eastAsia="zh-CN"/>
        </w:rPr>
        <w:t>第一部分</w:t>
      </w:r>
      <w:r>
        <w:rPr>
          <w:rFonts w:hint="eastAsia" w:ascii="方正楷体_GB2312" w:hAnsi="方正楷体_GB2312" w:eastAsia="方正楷体_GB2312" w:cs="方正楷体_GB2312"/>
          <w:color w:val="auto"/>
          <w:highlight w:val="none"/>
          <w:lang w:val="en-US" w:eastAsia="zh-CN"/>
        </w:rPr>
        <w:t xml:space="preserve"> </w:t>
      </w:r>
      <w:r>
        <w:rPr>
          <w:rFonts w:hint="eastAsia" w:ascii="方正楷体_GB2312" w:hAnsi="方正楷体_GB2312" w:eastAsia="方正楷体_GB2312" w:cs="方正楷体_GB2312"/>
          <w:color w:val="auto"/>
          <w:highlight w:val="none"/>
          <w:lang w:eastAsia="zh-CN"/>
        </w:rPr>
        <w:t>谈判公告</w:t>
      </w:r>
      <w:bookmarkEnd w:id="0"/>
    </w:p>
    <w:p w14:paraId="5121C176">
      <w:pPr>
        <w:shd w:val="solid" w:color="FFFFFF" w:fill="auto"/>
        <w:autoSpaceDN w:val="0"/>
        <w:spacing w:line="480" w:lineRule="auto"/>
        <w:ind w:left="-15" w:leftChars="-7" w:right="-92" w:rightChars="-44" w:firstLine="14" w:firstLineChars="5"/>
        <w:jc w:val="center"/>
        <w:rPr>
          <w:rFonts w:hint="eastAsia" w:ascii="方正楷体_GB2312" w:hAnsi="方正楷体_GB2312" w:eastAsia="方正楷体_GB2312" w:cs="方正楷体_GB2312"/>
          <w:b/>
          <w:color w:val="auto"/>
          <w:sz w:val="28"/>
          <w:highlight w:val="none"/>
          <w:u w:val="none"/>
          <w:shd w:val="clear" w:color="auto" w:fill="FFFFFF"/>
          <w:lang w:eastAsia="zh-CN"/>
        </w:rPr>
      </w:pPr>
      <w:r>
        <w:rPr>
          <w:rFonts w:hint="eastAsia" w:ascii="方正楷体_GB2312" w:hAnsi="方正楷体_GB2312" w:eastAsia="方正楷体_GB2312" w:cs="方正楷体_GB2312"/>
          <w:b/>
          <w:color w:val="auto"/>
          <w:sz w:val="28"/>
          <w:highlight w:val="none"/>
          <w:u w:val="none"/>
          <w:shd w:val="clear" w:color="auto" w:fill="FFFFFF"/>
          <w:lang w:eastAsia="zh-CN"/>
        </w:rPr>
        <w:t>和硕县教育和科学技术局食材采购项目</w:t>
      </w:r>
    </w:p>
    <w:p w14:paraId="057157FC">
      <w:pPr>
        <w:keepNext w:val="0"/>
        <w:keepLines w:val="0"/>
        <w:pageBreakBefore w:val="0"/>
        <w:widowControl w:val="0"/>
        <w:shd w:val="solid" w:color="FFFFFF" w:fill="auto"/>
        <w:kinsoku/>
        <w:wordWrap/>
        <w:overflowPunct/>
        <w:topLinePunct w:val="0"/>
        <w:autoSpaceDE/>
        <w:autoSpaceDN w:val="0"/>
        <w:bidi w:val="0"/>
        <w:adjustRightInd/>
        <w:snapToGrid/>
        <w:spacing w:line="360" w:lineRule="auto"/>
        <w:ind w:left="-15" w:leftChars="-7" w:right="-92" w:rightChars="-44" w:firstLine="480" w:firstLineChars="200"/>
        <w:jc w:val="both"/>
        <w:textAlignment w:val="auto"/>
        <w:rPr>
          <w:rFonts w:hint="eastAsia" w:ascii="方正楷体_GB2312" w:hAnsi="方正楷体_GB2312" w:eastAsia="方正楷体_GB2312" w:cs="方正楷体_GB2312"/>
          <w:color w:val="auto"/>
          <w:sz w:val="24"/>
          <w:highlight w:val="none"/>
          <w:shd w:val="clear" w:color="auto" w:fill="FFFFFF"/>
        </w:rPr>
      </w:pPr>
      <w:r>
        <w:rPr>
          <w:rFonts w:hint="eastAsia" w:ascii="方正楷体_GB2312" w:hAnsi="方正楷体_GB2312" w:eastAsia="方正楷体_GB2312" w:cs="方正楷体_GB2312"/>
          <w:color w:val="auto"/>
          <w:sz w:val="24"/>
          <w:highlight w:val="none"/>
          <w:shd w:val="clear" w:color="auto" w:fill="FFFFFF"/>
          <w:lang w:eastAsia="zh-CN"/>
        </w:rPr>
        <w:t>新疆立科得源工程项目管理咨询有限公司</w:t>
      </w:r>
      <w:r>
        <w:rPr>
          <w:rFonts w:hint="eastAsia" w:ascii="方正楷体_GB2312" w:hAnsi="方正楷体_GB2312" w:eastAsia="方正楷体_GB2312" w:cs="方正楷体_GB2312"/>
          <w:color w:val="auto"/>
          <w:sz w:val="24"/>
          <w:highlight w:val="none"/>
          <w:shd w:val="clear" w:color="auto" w:fill="FFFFFF"/>
        </w:rPr>
        <w:t>受</w:t>
      </w:r>
      <w:r>
        <w:rPr>
          <w:rFonts w:hint="eastAsia" w:ascii="方正楷体_GB2312" w:hAnsi="方正楷体_GB2312" w:eastAsia="方正楷体_GB2312" w:cs="方正楷体_GB2312"/>
          <w:color w:val="auto"/>
          <w:sz w:val="24"/>
          <w:highlight w:val="none"/>
          <w:shd w:val="clear" w:color="auto" w:fill="FFFFFF"/>
          <w:lang w:eastAsia="zh-CN"/>
        </w:rPr>
        <w:t>和硕县教育和科学技术局</w:t>
      </w:r>
      <w:r>
        <w:rPr>
          <w:rFonts w:hint="eastAsia" w:ascii="方正楷体_GB2312" w:hAnsi="方正楷体_GB2312" w:eastAsia="方正楷体_GB2312" w:cs="方正楷体_GB2312"/>
          <w:color w:val="auto"/>
          <w:sz w:val="24"/>
          <w:highlight w:val="none"/>
          <w:shd w:val="clear" w:color="auto" w:fill="FFFFFF"/>
        </w:rPr>
        <w:t>委托，对</w:t>
      </w:r>
      <w:r>
        <w:rPr>
          <w:rFonts w:hint="eastAsia" w:ascii="方正楷体_GB2312" w:hAnsi="方正楷体_GB2312" w:eastAsia="方正楷体_GB2312" w:cs="方正楷体_GB2312"/>
          <w:color w:val="auto"/>
          <w:sz w:val="24"/>
          <w:highlight w:val="none"/>
          <w:shd w:val="clear" w:color="auto" w:fill="FFFFFF"/>
          <w:lang w:eastAsia="zh-CN"/>
        </w:rPr>
        <w:t>和硕县教育和科学技术局食材采购项目</w:t>
      </w:r>
      <w:r>
        <w:rPr>
          <w:rFonts w:hint="eastAsia" w:ascii="方正楷体_GB2312" w:hAnsi="方正楷体_GB2312" w:eastAsia="方正楷体_GB2312" w:cs="方正楷体_GB2312"/>
          <w:color w:val="auto"/>
          <w:sz w:val="24"/>
          <w:highlight w:val="none"/>
          <w:shd w:val="clear" w:color="auto" w:fill="FFFFFF"/>
        </w:rPr>
        <w:t>以竞争性</w:t>
      </w:r>
      <w:r>
        <w:rPr>
          <w:rFonts w:hint="eastAsia" w:ascii="方正楷体_GB2312" w:hAnsi="方正楷体_GB2312" w:eastAsia="方正楷体_GB2312" w:cs="方正楷体_GB2312"/>
          <w:color w:val="auto"/>
          <w:sz w:val="24"/>
          <w:highlight w:val="none"/>
          <w:shd w:val="clear" w:color="auto" w:fill="FFFFFF"/>
          <w:lang w:val="en-US" w:eastAsia="zh-CN"/>
        </w:rPr>
        <w:t>谈判</w:t>
      </w:r>
      <w:r>
        <w:rPr>
          <w:rFonts w:hint="eastAsia" w:ascii="方正楷体_GB2312" w:hAnsi="方正楷体_GB2312" w:eastAsia="方正楷体_GB2312" w:cs="方正楷体_GB2312"/>
          <w:color w:val="auto"/>
          <w:sz w:val="24"/>
          <w:highlight w:val="none"/>
          <w:shd w:val="clear" w:color="auto" w:fill="FFFFFF"/>
        </w:rPr>
        <w:t>的方式进行</w:t>
      </w:r>
      <w:r>
        <w:rPr>
          <w:rFonts w:hint="eastAsia" w:ascii="方正楷体_GB2312" w:hAnsi="方正楷体_GB2312" w:eastAsia="方正楷体_GB2312" w:cs="方正楷体_GB2312"/>
          <w:color w:val="auto"/>
          <w:sz w:val="24"/>
          <w:highlight w:val="none"/>
          <w:shd w:val="clear" w:color="auto" w:fill="FFFFFF"/>
          <w:lang w:eastAsia="zh-CN"/>
        </w:rPr>
        <w:t>采购</w:t>
      </w:r>
      <w:r>
        <w:rPr>
          <w:rFonts w:hint="eastAsia" w:ascii="方正楷体_GB2312" w:hAnsi="方正楷体_GB2312" w:eastAsia="方正楷体_GB2312" w:cs="方正楷体_GB2312"/>
          <w:color w:val="auto"/>
          <w:sz w:val="24"/>
          <w:highlight w:val="none"/>
          <w:shd w:val="clear" w:color="auto" w:fill="FFFFFF"/>
        </w:rPr>
        <w:t>，现欢迎符合要求的</w:t>
      </w:r>
      <w:r>
        <w:rPr>
          <w:rFonts w:hint="eastAsia" w:ascii="方正楷体_GB2312" w:hAnsi="方正楷体_GB2312" w:eastAsia="方正楷体_GB2312" w:cs="方正楷体_GB2312"/>
          <w:color w:val="auto"/>
          <w:sz w:val="24"/>
          <w:highlight w:val="none"/>
          <w:shd w:val="clear" w:color="auto" w:fill="FFFFFF"/>
          <w:lang w:eastAsia="zh-CN"/>
        </w:rPr>
        <w:t>供应商</w:t>
      </w:r>
      <w:r>
        <w:rPr>
          <w:rFonts w:hint="eastAsia" w:ascii="方正楷体_GB2312" w:hAnsi="方正楷体_GB2312" w:eastAsia="方正楷体_GB2312" w:cs="方正楷体_GB2312"/>
          <w:color w:val="auto"/>
          <w:sz w:val="24"/>
          <w:highlight w:val="none"/>
          <w:shd w:val="clear" w:color="auto" w:fill="FFFFFF"/>
        </w:rPr>
        <w:t>参与本次</w:t>
      </w:r>
      <w:r>
        <w:rPr>
          <w:rFonts w:hint="eastAsia" w:ascii="方正楷体_GB2312" w:hAnsi="方正楷体_GB2312" w:eastAsia="方正楷体_GB2312" w:cs="方正楷体_GB2312"/>
          <w:color w:val="auto"/>
          <w:sz w:val="24"/>
          <w:highlight w:val="none"/>
          <w:shd w:val="clear" w:color="auto" w:fill="FFFFFF"/>
          <w:lang w:eastAsia="zh-CN"/>
        </w:rPr>
        <w:t>采购</w:t>
      </w:r>
      <w:r>
        <w:rPr>
          <w:rFonts w:hint="eastAsia" w:ascii="方正楷体_GB2312" w:hAnsi="方正楷体_GB2312" w:eastAsia="方正楷体_GB2312" w:cs="方正楷体_GB2312"/>
          <w:color w:val="auto"/>
          <w:sz w:val="24"/>
          <w:highlight w:val="none"/>
          <w:shd w:val="clear" w:color="auto" w:fill="FFFFFF"/>
        </w:rPr>
        <w:t>活动。</w:t>
      </w:r>
    </w:p>
    <w:p w14:paraId="09037F3E">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一、项目基本情况</w:t>
      </w:r>
    </w:p>
    <w:p w14:paraId="1416EB82">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项目编号：XJLKDYHSZC(TP)2025-012</w:t>
      </w:r>
    </w:p>
    <w:p w14:paraId="44BE676D">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项目名称：和硕县教育和科学技术局食材采购项目</w:t>
      </w:r>
    </w:p>
    <w:p w14:paraId="1206C7F5">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采购方式：竞争性谈判</w:t>
      </w:r>
    </w:p>
    <w:p w14:paraId="071E5DC0">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预算金额（元）：1490000.00元</w:t>
      </w:r>
    </w:p>
    <w:p w14:paraId="03F8E8EB">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最高限价（元）：/</w:t>
      </w:r>
    </w:p>
    <w:p w14:paraId="47067475">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采购需求：  </w:t>
      </w:r>
    </w:p>
    <w:p w14:paraId="3C4727B9">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标项一：和硕县教育和科学技术局食材采购项目（一标段）</w:t>
      </w:r>
    </w:p>
    <w:p w14:paraId="012E85E0">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预算金额：500000.00元</w:t>
      </w:r>
    </w:p>
    <w:p w14:paraId="1101DC0E">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简要规格描述或项目基本概况介绍、用途：牛羊肉、鸡肉禽等采购及配送</w:t>
      </w:r>
    </w:p>
    <w:p w14:paraId="351C3404">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标项二：和硕县教育和科学技术局食材采购项目（二标段）</w:t>
      </w:r>
    </w:p>
    <w:p w14:paraId="0ADDB28B">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预算金额：450000.00元</w:t>
      </w:r>
    </w:p>
    <w:p w14:paraId="7509C04E">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简要规格描述或项目基本概况介绍、用途：蔬菜、水果、干果、蛋类等采购及配送</w:t>
      </w:r>
    </w:p>
    <w:p w14:paraId="0784FDC1">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标项三：和硕县教育和科学技术局食材采购项目（三标段）</w:t>
      </w:r>
    </w:p>
    <w:p w14:paraId="6E644994">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预算金额：540000.00</w:t>
      </w:r>
    </w:p>
    <w:p w14:paraId="0B39D816">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简要规格描述或项目基本概况介绍、用途：牛奶面包、米面油、副食调料等采购及配送</w:t>
      </w:r>
    </w:p>
    <w:p w14:paraId="43F4DD40">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合同履约期限：一年按业主需求进行供货（一学年内）</w:t>
      </w:r>
    </w:p>
    <w:p w14:paraId="246736E5">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本项目（否）接受联合体投标。 </w:t>
      </w:r>
    </w:p>
    <w:p w14:paraId="42E9E8C8">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二、申请人的资格要求：</w:t>
      </w:r>
    </w:p>
    <w:p w14:paraId="2D6FE61E">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1.满足《中华人民共和国政府采购法》第二十二条规定：</w:t>
      </w:r>
    </w:p>
    <w:p w14:paraId="42FE4E57">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（1）具有独立承担民事责任的能力；</w:t>
      </w:r>
    </w:p>
    <w:p w14:paraId="2571C6BD">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（2）具有良好的商业信誉和健全的财务会计制度；</w:t>
      </w:r>
    </w:p>
    <w:p w14:paraId="0486A929">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（3）具有依法缴纳税收和社会保障资金的良好记录；</w:t>
      </w:r>
    </w:p>
    <w:p w14:paraId="3C6FA53A">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（4）具有履行合同所必需的货物和专业技术能力；</w:t>
      </w:r>
    </w:p>
    <w:p w14:paraId="54CD675F">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（5）参加政府采购活动前三年内，在经营活动中没有重大违法记录；</w:t>
      </w:r>
    </w:p>
    <w:p w14:paraId="73088E35">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（6）法律、行政法规规定的其他条件。</w:t>
      </w:r>
    </w:p>
    <w:p w14:paraId="3C2C64AB">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2.落实政府采购政策需满足的资格要求：本项目专门面向小微企业（含小型、微型）。</w:t>
      </w:r>
    </w:p>
    <w:p w14:paraId="26D6B497">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（1）财政部、工业和信息化部《关于印发〈政府采购促进中小企业发展管理办法〉的通知》（财库[2020]46号文）；</w:t>
      </w:r>
    </w:p>
    <w:p w14:paraId="30CDBCAD">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（2）财政部、司法部《关于政府采购支持监狱企业发展有关问题的通知》（财库[2014]68号文）；</w:t>
      </w:r>
    </w:p>
    <w:p w14:paraId="61C07480">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（3）财政部、民政部、中国残疾人联合会《关于促进残疾人就业政府采购政策的通知》（财库[2026]141号）；</w:t>
      </w:r>
    </w:p>
    <w:p w14:paraId="4F5D1115">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3、在中华人民共和国境内依法注册的、具有独立承担民事责任的能力，提供有效的营业执照；</w:t>
      </w:r>
    </w:p>
    <w:p w14:paraId="4E354069">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4、法定代表人身份证原件或法定代表人授权委托书和委托代理人身份证原件（授权委托书应附上法人和代理人身份证复印件）；</w:t>
      </w:r>
    </w:p>
    <w:p w14:paraId="50EB7C9F">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5、符合国家有关法律法规的规定；</w:t>
      </w:r>
    </w:p>
    <w:p w14:paraId="594F14B4">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6、本项目不接受联合体投标；</w:t>
      </w:r>
    </w:p>
    <w:p w14:paraId="0D1E5B1B">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7.本项目的特定资格要求：</w:t>
      </w:r>
    </w:p>
    <w:p w14:paraId="549AA3C4">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1.标项一至标项三供应商具有有效的《食品经营许可证》或《食品生产许可证》。</w:t>
      </w:r>
    </w:p>
    <w:p w14:paraId="152C4F6A">
      <w:pPr>
        <w:keepNext w:val="0"/>
        <w:keepLines w:val="0"/>
        <w:pageBreakBefore w:val="0"/>
        <w:widowControl w:val="0"/>
        <w:numPr>
          <w:ilvl w:val="0"/>
          <w:numId w:val="0"/>
        </w:numPr>
        <w:kinsoku/>
        <w:wordWrap/>
        <w:overflowPunct/>
        <w:topLinePunct w:val="0"/>
        <w:autoSpaceDE/>
        <w:bidi w:val="0"/>
        <w:adjustRightInd/>
        <w:snapToGrid/>
        <w:spacing w:line="360" w:lineRule="auto"/>
        <w:ind w:leftChars="0" w:right="-92" w:rightChars="-44" w:firstLine="482" w:firstLineChars="200"/>
        <w:textAlignment w:val="auto"/>
        <w:rPr>
          <w:rFonts w:hint="eastAsia" w:ascii="方正楷体_GB2312" w:hAnsi="方正楷体_GB2312" w:eastAsia="方正楷体_GB2312" w:cs="方正楷体_GB2312"/>
          <w:b/>
          <w:bCs/>
          <w:color w:val="auto"/>
          <w:sz w:val="24"/>
          <w:szCs w:val="24"/>
          <w:highlight w:val="none"/>
          <w:shd w:val="clear" w:color="auto" w:fill="FFFFFF"/>
          <w:lang w:val="en-US" w:eastAsia="zh-CN"/>
        </w:rPr>
      </w:pPr>
      <w:r>
        <w:rPr>
          <w:rFonts w:hint="eastAsia" w:ascii="方正楷体_GB2312" w:hAnsi="方正楷体_GB2312" w:eastAsia="方正楷体_GB2312" w:cs="方正楷体_GB2312"/>
          <w:b/>
          <w:bCs/>
          <w:color w:val="auto"/>
          <w:sz w:val="24"/>
          <w:szCs w:val="24"/>
          <w:highlight w:val="none"/>
          <w:shd w:val="clear" w:color="auto" w:fill="FFFFFF"/>
          <w:lang w:val="en-US" w:eastAsia="zh-CN"/>
        </w:rPr>
        <w:t>2.标项一供应商若为生产厂家或屠宰企业，还须提供行政主管部门颁发的《屠宰许可证》、《动物防疫条件合格证》，非生产厂家或屠宰企业须提供若中标后能够每批次供货服务开具动物检疫合格证明或提供所投牛羊猪肉类产品的有效期内的动物检疫合格证明的承诺函。</w:t>
      </w:r>
    </w:p>
    <w:p w14:paraId="194F4FBE">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92" w:rightChars="-44" w:firstLine="562" w:firstLineChars="200"/>
        <w:textAlignment w:val="auto"/>
        <w:rPr>
          <w:rFonts w:hint="eastAsia" w:ascii="方正楷体_GB2312" w:hAnsi="方正楷体_GB2312" w:eastAsia="方正楷体_GB2312" w:cs="方正楷体_GB2312"/>
          <w:b/>
          <w:bCs/>
          <w:color w:val="auto"/>
          <w:sz w:val="28"/>
          <w:szCs w:val="28"/>
          <w:highlight w:val="none"/>
          <w:shd w:val="clear" w:color="auto" w:fill="FFFFFF"/>
          <w:lang w:val="en-US" w:eastAsia="zh-CN"/>
        </w:rPr>
      </w:pPr>
      <w:r>
        <w:rPr>
          <w:rFonts w:hint="eastAsia" w:ascii="方正楷体_GB2312" w:hAnsi="方正楷体_GB2312" w:eastAsia="方正楷体_GB2312" w:cs="方正楷体_GB2312"/>
          <w:b/>
          <w:bCs/>
          <w:color w:val="auto"/>
          <w:sz w:val="28"/>
          <w:szCs w:val="28"/>
          <w:highlight w:val="none"/>
          <w:shd w:val="clear" w:color="auto" w:fill="FFFFFF"/>
          <w:lang w:val="en-US" w:eastAsia="zh-CN"/>
        </w:rPr>
        <w:t>三、获取谈判文件：</w:t>
      </w:r>
    </w:p>
    <w:p w14:paraId="7375341D">
      <w:pPr>
        <w:pStyle w:val="17"/>
        <w:keepNext w:val="0"/>
        <w:keepLines w:val="0"/>
        <w:pageBreakBefore w:val="0"/>
        <w:widowControl w:val="0"/>
        <w:kinsoku/>
        <w:wordWrap/>
        <w:overflowPunct/>
        <w:topLinePunct w:val="0"/>
        <w:autoSpaceDE/>
        <w:autoSpaceDN/>
        <w:bidi w:val="0"/>
        <w:adjustRightInd/>
        <w:snapToGrid/>
        <w:spacing w:line="320" w:lineRule="exact"/>
        <w:ind w:left="0" w:leftChars="0" w:firstLine="482" w:firstLineChars="200"/>
        <w:textAlignment w:val="auto"/>
        <w:rPr>
          <w:rFonts w:hint="eastAsia" w:ascii="方正楷体_GB2312" w:hAnsi="方正楷体_GB2312" w:eastAsia="方正楷体_GB2312" w:cs="方正楷体_GB2312"/>
          <w:b/>
          <w:bCs/>
          <w:color w:val="auto"/>
          <w:kern w:val="2"/>
          <w:sz w:val="24"/>
          <w:szCs w:val="24"/>
          <w:highlight w:val="none"/>
          <w:lang w:val="en-US" w:eastAsia="zh-CN" w:bidi="ar-SA"/>
        </w:rPr>
      </w:pPr>
      <w:r>
        <w:rPr>
          <w:rFonts w:hint="eastAsia" w:ascii="方正楷体_GB2312" w:hAnsi="方正楷体_GB2312" w:eastAsia="方正楷体_GB2312" w:cs="方正楷体_GB2312"/>
          <w:b/>
          <w:bCs/>
          <w:color w:val="auto"/>
          <w:kern w:val="2"/>
          <w:sz w:val="24"/>
          <w:szCs w:val="24"/>
          <w:highlight w:val="none"/>
          <w:lang w:val="en-US" w:eastAsia="zh-CN" w:bidi="ar-SA"/>
        </w:rPr>
        <w:t>1.时间：2025年02月19日至2025年02月24 日，每天上午00:00-12:00,下午12:00-23:59（北京时间，法定节假日除外）</w:t>
      </w:r>
    </w:p>
    <w:p w14:paraId="101ED118">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方正楷体_GB2312" w:hAnsi="方正楷体_GB2312" w:eastAsia="方正楷体_GB2312" w:cs="方正楷体_GB2312"/>
          <w:b/>
          <w:bCs/>
          <w:color w:val="auto"/>
          <w:sz w:val="24"/>
          <w:szCs w:val="24"/>
          <w:highlight w:val="none"/>
          <w:lang w:val="en-US" w:eastAsia="zh-CN"/>
        </w:rPr>
      </w:pPr>
      <w:r>
        <w:rPr>
          <w:rFonts w:hint="eastAsia" w:ascii="方正楷体_GB2312" w:hAnsi="方正楷体_GB2312" w:eastAsia="方正楷体_GB2312" w:cs="方正楷体_GB2312"/>
          <w:b/>
          <w:bCs/>
          <w:color w:val="auto"/>
          <w:kern w:val="2"/>
          <w:sz w:val="24"/>
          <w:szCs w:val="24"/>
          <w:highlight w:val="none"/>
          <w:lang w:val="en-US" w:eastAsia="zh-CN" w:bidi="ar-SA"/>
        </w:rPr>
        <w:t>2.地点：新疆政府采购云平台https://www.zcygov.cn/</w:t>
      </w:r>
    </w:p>
    <w:p w14:paraId="009434E9">
      <w:pPr>
        <w:keepNext w:val="0"/>
        <w:keepLines w:val="0"/>
        <w:pageBreakBefore w:val="0"/>
        <w:widowControl w:val="0"/>
        <w:kinsoku/>
        <w:wordWrap/>
        <w:overflowPunct/>
        <w:topLinePunct w:val="0"/>
        <w:autoSpaceDE/>
        <w:autoSpaceDN/>
        <w:bidi w:val="0"/>
        <w:adjustRightInd/>
        <w:snapToGrid/>
        <w:spacing w:line="320" w:lineRule="exact"/>
        <w:ind w:right="-92" w:rightChars="-44" w:firstLine="482" w:firstLineChars="200"/>
        <w:textAlignment w:val="auto"/>
        <w:rPr>
          <w:rFonts w:hint="eastAsia" w:ascii="方正楷体_GB2312" w:hAnsi="方正楷体_GB2312" w:eastAsia="方正楷体_GB2312" w:cs="方正楷体_GB2312"/>
          <w:b/>
          <w:bCs/>
          <w:color w:val="auto"/>
          <w:kern w:val="2"/>
          <w:sz w:val="24"/>
          <w:szCs w:val="24"/>
          <w:highlight w:val="none"/>
          <w:lang w:val="en-US" w:eastAsia="zh-CN" w:bidi="ar-SA"/>
        </w:rPr>
      </w:pPr>
      <w:r>
        <w:rPr>
          <w:rFonts w:hint="eastAsia" w:ascii="方正楷体_GB2312" w:hAnsi="方正楷体_GB2312" w:eastAsia="方正楷体_GB2312" w:cs="方正楷体_GB2312"/>
          <w:b/>
          <w:bCs/>
          <w:color w:val="auto"/>
          <w:kern w:val="2"/>
          <w:sz w:val="24"/>
          <w:szCs w:val="24"/>
          <w:highlight w:val="none"/>
          <w:lang w:val="en-US" w:eastAsia="zh-CN" w:bidi="ar-SA"/>
        </w:rPr>
        <w:t>3.方式：供应商登录新疆政府采购云平台https://www.zcygov.cn/在线申请</w:t>
      </w:r>
    </w:p>
    <w:p w14:paraId="0CBFB351">
      <w:pPr>
        <w:keepNext w:val="0"/>
        <w:keepLines w:val="0"/>
        <w:pageBreakBefore w:val="0"/>
        <w:widowControl w:val="0"/>
        <w:kinsoku/>
        <w:wordWrap/>
        <w:overflowPunct/>
        <w:topLinePunct w:val="0"/>
        <w:autoSpaceDE/>
        <w:autoSpaceDN/>
        <w:bidi w:val="0"/>
        <w:adjustRightInd/>
        <w:snapToGrid/>
        <w:spacing w:line="320" w:lineRule="exact"/>
        <w:ind w:right="-92" w:rightChars="-44" w:firstLine="482" w:firstLineChars="200"/>
        <w:textAlignment w:val="auto"/>
        <w:rPr>
          <w:rFonts w:hint="eastAsia" w:ascii="方正楷体_GB2312" w:hAnsi="方正楷体_GB2312" w:eastAsia="方正楷体_GB2312" w:cs="方正楷体_GB2312"/>
          <w:b/>
          <w:bCs/>
          <w:color w:val="auto"/>
          <w:kern w:val="2"/>
          <w:sz w:val="24"/>
          <w:szCs w:val="24"/>
          <w:highlight w:val="none"/>
          <w:lang w:val="en-US" w:eastAsia="zh-CN" w:bidi="ar-SA"/>
        </w:rPr>
      </w:pPr>
      <w:r>
        <w:rPr>
          <w:rFonts w:hint="eastAsia" w:ascii="方正楷体_GB2312" w:hAnsi="方正楷体_GB2312" w:eastAsia="方正楷体_GB2312" w:cs="方正楷体_GB2312"/>
          <w:b/>
          <w:bCs/>
          <w:color w:val="auto"/>
          <w:kern w:val="2"/>
          <w:sz w:val="24"/>
          <w:szCs w:val="24"/>
          <w:highlight w:val="none"/>
          <w:lang w:val="en-US" w:eastAsia="zh-CN" w:bidi="ar-SA"/>
        </w:rPr>
        <w:t>4.售价（元）：0</w:t>
      </w:r>
    </w:p>
    <w:p w14:paraId="1A2351B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92" w:rightChars="-44" w:firstLine="562" w:firstLineChars="200"/>
        <w:textAlignment w:val="auto"/>
        <w:rPr>
          <w:rFonts w:hint="eastAsia" w:ascii="方正楷体_GB2312" w:hAnsi="方正楷体_GB2312" w:eastAsia="方正楷体_GB2312" w:cs="方正楷体_GB2312"/>
          <w:b/>
          <w:bCs/>
          <w:color w:val="auto"/>
          <w:sz w:val="28"/>
          <w:szCs w:val="28"/>
          <w:highlight w:val="none"/>
          <w:shd w:val="clear" w:color="auto" w:fill="FFFFFF"/>
          <w:lang w:val="en-US" w:eastAsia="zh-CN"/>
        </w:rPr>
      </w:pPr>
      <w:r>
        <w:rPr>
          <w:rFonts w:hint="eastAsia" w:ascii="方正楷体_GB2312" w:hAnsi="方正楷体_GB2312" w:eastAsia="方正楷体_GB2312" w:cs="方正楷体_GB2312"/>
          <w:b/>
          <w:bCs/>
          <w:color w:val="auto"/>
          <w:sz w:val="28"/>
          <w:szCs w:val="28"/>
          <w:highlight w:val="none"/>
          <w:shd w:val="clear" w:color="auto" w:fill="FFFFFF"/>
          <w:lang w:val="en-US" w:eastAsia="zh-CN"/>
        </w:rPr>
        <w:t>四、提交响应文件截止时间、开标时间和地点：</w:t>
      </w:r>
    </w:p>
    <w:p w14:paraId="1DC3CE8E">
      <w:pPr>
        <w:keepNext w:val="0"/>
        <w:keepLines w:val="0"/>
        <w:pageBreakBefore w:val="0"/>
        <w:widowControl w:val="0"/>
        <w:kinsoku/>
        <w:wordWrap/>
        <w:overflowPunct/>
        <w:topLinePunct w:val="0"/>
        <w:autoSpaceDE/>
        <w:autoSpaceDN/>
        <w:bidi w:val="0"/>
        <w:adjustRightInd/>
        <w:snapToGrid/>
        <w:spacing w:line="320" w:lineRule="exact"/>
        <w:ind w:right="-92" w:rightChars="-44" w:firstLine="482" w:firstLineChars="200"/>
        <w:textAlignment w:val="auto"/>
        <w:rPr>
          <w:rFonts w:hint="eastAsia" w:ascii="方正楷体_GB2312" w:hAnsi="方正楷体_GB2312" w:eastAsia="方正楷体_GB2312" w:cs="方正楷体_GB2312"/>
          <w:b/>
          <w:bCs/>
          <w:color w:val="auto"/>
          <w:sz w:val="24"/>
          <w:highlight w:val="none"/>
        </w:rPr>
      </w:pPr>
      <w:r>
        <w:rPr>
          <w:rFonts w:hint="eastAsia" w:ascii="方正楷体_GB2312" w:hAnsi="方正楷体_GB2312" w:eastAsia="方正楷体_GB2312" w:cs="方正楷体_GB2312"/>
          <w:b/>
          <w:bCs/>
          <w:color w:val="auto"/>
          <w:sz w:val="24"/>
          <w:highlight w:val="none"/>
          <w:lang w:val="en-US" w:eastAsia="zh-CN"/>
        </w:rPr>
        <w:t>1.响应文件提交</w:t>
      </w:r>
      <w:r>
        <w:rPr>
          <w:rFonts w:hint="eastAsia" w:ascii="方正楷体_GB2312" w:hAnsi="方正楷体_GB2312" w:eastAsia="方正楷体_GB2312" w:cs="方正楷体_GB2312"/>
          <w:b/>
          <w:bCs/>
          <w:color w:val="auto"/>
          <w:sz w:val="24"/>
          <w:highlight w:val="none"/>
        </w:rPr>
        <w:t>截止时间及开标日期：</w:t>
      </w:r>
      <w:r>
        <w:rPr>
          <w:rFonts w:hint="eastAsia" w:ascii="方正楷体_GB2312" w:hAnsi="方正楷体_GB2312" w:eastAsia="方正楷体_GB2312" w:cs="方正楷体_GB2312"/>
          <w:b/>
          <w:bCs/>
          <w:color w:val="auto"/>
          <w:sz w:val="24"/>
          <w:highlight w:val="none"/>
          <w:lang w:eastAsia="zh-CN"/>
        </w:rPr>
        <w:t>2025年02月25 日11时00分</w:t>
      </w:r>
      <w:r>
        <w:rPr>
          <w:rFonts w:hint="eastAsia" w:ascii="方正楷体_GB2312" w:hAnsi="方正楷体_GB2312" w:eastAsia="方正楷体_GB2312" w:cs="方正楷体_GB2312"/>
          <w:b/>
          <w:bCs/>
          <w:color w:val="auto"/>
          <w:sz w:val="24"/>
          <w:highlight w:val="none"/>
        </w:rPr>
        <w:t>（北京时间）（过期不予受理）。</w:t>
      </w:r>
    </w:p>
    <w:p w14:paraId="07B00166">
      <w:pPr>
        <w:keepNext w:val="0"/>
        <w:keepLines w:val="0"/>
        <w:pageBreakBefore w:val="0"/>
        <w:widowControl w:val="0"/>
        <w:kinsoku/>
        <w:wordWrap/>
        <w:overflowPunct/>
        <w:topLinePunct w:val="0"/>
        <w:autoSpaceDE/>
        <w:autoSpaceDN/>
        <w:bidi w:val="0"/>
        <w:adjustRightInd/>
        <w:snapToGrid/>
        <w:spacing w:line="320" w:lineRule="exact"/>
        <w:ind w:right="-92" w:rightChars="-44" w:firstLine="482" w:firstLineChars="200"/>
        <w:textAlignment w:val="auto"/>
        <w:rPr>
          <w:rFonts w:hint="eastAsia" w:ascii="方正楷体_GB2312" w:hAnsi="方正楷体_GB2312" w:eastAsia="方正楷体_GB2312" w:cs="方正楷体_GB2312"/>
          <w:b/>
          <w:bCs/>
          <w:color w:val="auto"/>
          <w:sz w:val="24"/>
          <w:highlight w:val="none"/>
        </w:rPr>
      </w:pPr>
      <w:r>
        <w:rPr>
          <w:rFonts w:hint="eastAsia" w:ascii="方正楷体_GB2312" w:hAnsi="方正楷体_GB2312" w:eastAsia="方正楷体_GB2312" w:cs="方正楷体_GB2312"/>
          <w:b/>
          <w:bCs/>
          <w:color w:val="auto"/>
          <w:sz w:val="24"/>
          <w:highlight w:val="none"/>
          <w:lang w:val="en-US" w:eastAsia="zh-CN"/>
        </w:rPr>
        <w:t>2.</w:t>
      </w:r>
      <w:r>
        <w:rPr>
          <w:rFonts w:hint="eastAsia" w:ascii="方正楷体_GB2312" w:hAnsi="方正楷体_GB2312" w:eastAsia="方正楷体_GB2312" w:cs="方正楷体_GB2312"/>
          <w:b/>
          <w:bCs/>
          <w:color w:val="auto"/>
          <w:sz w:val="24"/>
          <w:highlight w:val="none"/>
        </w:rPr>
        <w:t>开标地点：将</w:t>
      </w:r>
      <w:r>
        <w:rPr>
          <w:rFonts w:hint="eastAsia" w:ascii="方正楷体_GB2312" w:hAnsi="方正楷体_GB2312" w:eastAsia="方正楷体_GB2312" w:cs="方正楷体_GB2312"/>
          <w:b/>
          <w:bCs/>
          <w:color w:val="auto"/>
          <w:sz w:val="24"/>
          <w:highlight w:val="none"/>
          <w:lang w:eastAsia="zh-CN"/>
        </w:rPr>
        <w:t>响应文件</w:t>
      </w:r>
      <w:r>
        <w:rPr>
          <w:rFonts w:hint="eastAsia" w:ascii="方正楷体_GB2312" w:hAnsi="方正楷体_GB2312" w:eastAsia="方正楷体_GB2312" w:cs="方正楷体_GB2312"/>
          <w:b/>
          <w:bCs/>
          <w:color w:val="auto"/>
          <w:sz w:val="24"/>
          <w:highlight w:val="none"/>
        </w:rPr>
        <w:t>上传至政采云平台https://www.zcygov.cn/</w:t>
      </w:r>
    </w:p>
    <w:p w14:paraId="47BB1234">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92" w:rightChars="-44" w:firstLine="562" w:firstLineChars="200"/>
        <w:textAlignment w:val="auto"/>
        <w:rPr>
          <w:rFonts w:hint="eastAsia" w:ascii="方正楷体_GB2312" w:hAnsi="方正楷体_GB2312" w:eastAsia="方正楷体_GB2312" w:cs="方正楷体_GB2312"/>
          <w:b/>
          <w:bCs/>
          <w:color w:val="auto"/>
          <w:sz w:val="28"/>
          <w:szCs w:val="28"/>
          <w:highlight w:val="none"/>
          <w:shd w:val="clear" w:color="auto" w:fill="FFFFFF"/>
          <w:lang w:val="en-US" w:eastAsia="zh-CN"/>
        </w:rPr>
      </w:pPr>
      <w:r>
        <w:rPr>
          <w:rFonts w:hint="eastAsia" w:ascii="方正楷体_GB2312" w:hAnsi="方正楷体_GB2312" w:eastAsia="方正楷体_GB2312" w:cs="方正楷体_GB2312"/>
          <w:b/>
          <w:bCs/>
          <w:color w:val="auto"/>
          <w:sz w:val="28"/>
          <w:szCs w:val="28"/>
          <w:highlight w:val="none"/>
          <w:shd w:val="clear" w:color="auto" w:fill="FFFFFF"/>
          <w:lang w:val="en-US" w:eastAsia="zh-CN"/>
        </w:rPr>
        <w:t>五、联系事项：</w:t>
      </w:r>
    </w:p>
    <w:p w14:paraId="78EDB6F1">
      <w:pPr>
        <w:pStyle w:val="33"/>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方正楷体_GB2312" w:hAnsi="方正楷体_GB2312" w:eastAsia="方正楷体_GB2312" w:cs="方正楷体_GB2312"/>
          <w:b/>
          <w:bCs/>
          <w:color w:val="auto"/>
          <w:highlight w:val="none"/>
          <w:lang w:val="en-US" w:eastAsia="zh-CN"/>
        </w:rPr>
      </w:pPr>
      <w:r>
        <w:rPr>
          <w:rFonts w:hint="eastAsia" w:ascii="方正楷体_GB2312" w:hAnsi="方正楷体_GB2312" w:eastAsia="方正楷体_GB2312" w:cs="方正楷体_GB2312"/>
          <w:b/>
          <w:bCs/>
          <w:color w:val="auto"/>
          <w:sz w:val="24"/>
          <w:szCs w:val="24"/>
          <w:highlight w:val="none"/>
        </w:rPr>
        <w:t>1.采购人信息</w:t>
      </w:r>
      <w:r>
        <w:rPr>
          <w:rFonts w:hint="eastAsia" w:ascii="方正楷体_GB2312" w:hAnsi="方正楷体_GB2312" w:eastAsia="方正楷体_GB2312" w:cs="方正楷体_GB2312"/>
          <w:b/>
          <w:bCs/>
          <w:color w:val="auto"/>
          <w:sz w:val="24"/>
          <w:szCs w:val="24"/>
          <w:highlight w:val="none"/>
          <w:lang w:eastAsia="zh-CN"/>
        </w:rPr>
        <w:t>：</w:t>
      </w:r>
    </w:p>
    <w:p w14:paraId="24D89890">
      <w:pPr>
        <w:keepNext w:val="0"/>
        <w:keepLines w:val="0"/>
        <w:pageBreakBefore w:val="0"/>
        <w:widowControl w:val="0"/>
        <w:kinsoku/>
        <w:wordWrap/>
        <w:overflowPunct/>
        <w:topLinePunct w:val="0"/>
        <w:autoSpaceDE/>
        <w:autoSpaceDN/>
        <w:bidi w:val="0"/>
        <w:adjustRightInd/>
        <w:snapToGrid/>
        <w:spacing w:line="320" w:lineRule="exact"/>
        <w:ind w:firstLine="482" w:firstLineChars="200"/>
        <w:jc w:val="left"/>
        <w:textAlignment w:val="auto"/>
        <w:rPr>
          <w:rFonts w:hint="eastAsia" w:ascii="方正楷体_GB2312" w:hAnsi="方正楷体_GB2312" w:eastAsia="方正楷体_GB2312" w:cs="方正楷体_GB2312"/>
          <w:b/>
          <w:bCs/>
          <w:color w:val="auto"/>
          <w:sz w:val="24"/>
          <w:szCs w:val="24"/>
          <w:highlight w:val="none"/>
        </w:rPr>
      </w:pPr>
      <w:r>
        <w:rPr>
          <w:rFonts w:hint="eastAsia" w:ascii="方正楷体_GB2312" w:hAnsi="方正楷体_GB2312" w:eastAsia="方正楷体_GB2312" w:cs="方正楷体_GB2312"/>
          <w:b/>
          <w:bCs/>
          <w:color w:val="auto"/>
          <w:sz w:val="24"/>
          <w:szCs w:val="24"/>
          <w:highlight w:val="none"/>
        </w:rPr>
        <w:t>名 称：</w:t>
      </w:r>
      <w:r>
        <w:rPr>
          <w:rFonts w:hint="eastAsia" w:ascii="方正楷体_GB2312" w:hAnsi="方正楷体_GB2312" w:eastAsia="方正楷体_GB2312" w:cs="方正楷体_GB2312"/>
          <w:b/>
          <w:bCs/>
          <w:color w:val="auto"/>
          <w:sz w:val="24"/>
          <w:szCs w:val="24"/>
          <w:highlight w:val="none"/>
          <w:lang w:eastAsia="zh-CN"/>
        </w:rPr>
        <w:t>和硕县教育和科学技术局</w:t>
      </w:r>
      <w:r>
        <w:rPr>
          <w:rFonts w:hint="eastAsia" w:ascii="方正楷体_GB2312" w:hAnsi="方正楷体_GB2312" w:eastAsia="方正楷体_GB2312" w:cs="方正楷体_GB2312"/>
          <w:b/>
          <w:bCs/>
          <w:color w:val="auto"/>
          <w:sz w:val="24"/>
          <w:szCs w:val="24"/>
          <w:highlight w:val="none"/>
        </w:rPr>
        <w:t xml:space="preserve"> </w:t>
      </w:r>
    </w:p>
    <w:p w14:paraId="29B6898A">
      <w:pPr>
        <w:keepNext w:val="0"/>
        <w:keepLines w:val="0"/>
        <w:pageBreakBefore w:val="0"/>
        <w:widowControl w:val="0"/>
        <w:kinsoku/>
        <w:wordWrap/>
        <w:overflowPunct/>
        <w:topLinePunct w:val="0"/>
        <w:autoSpaceDE/>
        <w:autoSpaceDN/>
        <w:bidi w:val="0"/>
        <w:adjustRightInd/>
        <w:snapToGrid/>
        <w:spacing w:line="320" w:lineRule="exact"/>
        <w:ind w:firstLine="482" w:firstLineChars="200"/>
        <w:jc w:val="left"/>
        <w:textAlignment w:val="auto"/>
        <w:rPr>
          <w:rFonts w:hint="eastAsia" w:ascii="方正楷体_GB2312" w:hAnsi="方正楷体_GB2312" w:eastAsia="方正楷体_GB2312" w:cs="方正楷体_GB2312"/>
          <w:b/>
          <w:bCs/>
          <w:color w:val="auto"/>
          <w:sz w:val="24"/>
          <w:szCs w:val="24"/>
          <w:highlight w:val="none"/>
        </w:rPr>
      </w:pPr>
      <w:r>
        <w:rPr>
          <w:rFonts w:hint="eastAsia" w:ascii="方正楷体_GB2312" w:hAnsi="方正楷体_GB2312" w:eastAsia="方正楷体_GB2312" w:cs="方正楷体_GB2312"/>
          <w:b/>
          <w:bCs/>
          <w:color w:val="auto"/>
          <w:sz w:val="24"/>
          <w:szCs w:val="24"/>
          <w:highlight w:val="none"/>
        </w:rPr>
        <w:t>地址：</w:t>
      </w:r>
      <w:r>
        <w:rPr>
          <w:rFonts w:hint="eastAsia" w:ascii="方正楷体_GB2312" w:hAnsi="方正楷体_GB2312" w:eastAsia="方正楷体_GB2312" w:cs="方正楷体_GB2312"/>
          <w:b/>
          <w:bCs/>
          <w:color w:val="auto"/>
          <w:sz w:val="24"/>
          <w:szCs w:val="24"/>
          <w:highlight w:val="none"/>
          <w:lang w:eastAsia="zh-CN"/>
        </w:rPr>
        <w:t>和硕县</w:t>
      </w:r>
      <w:r>
        <w:rPr>
          <w:rFonts w:hint="eastAsia" w:ascii="方正楷体_GB2312" w:hAnsi="方正楷体_GB2312" w:eastAsia="方正楷体_GB2312" w:cs="方正楷体_GB2312"/>
          <w:b/>
          <w:bCs/>
          <w:color w:val="auto"/>
          <w:sz w:val="24"/>
          <w:szCs w:val="24"/>
          <w:highlight w:val="none"/>
        </w:rPr>
        <w:t xml:space="preserve"> </w:t>
      </w:r>
    </w:p>
    <w:p w14:paraId="65E6E36D">
      <w:pPr>
        <w:keepNext w:val="0"/>
        <w:keepLines w:val="0"/>
        <w:pageBreakBefore w:val="0"/>
        <w:widowControl w:val="0"/>
        <w:kinsoku/>
        <w:wordWrap/>
        <w:overflowPunct/>
        <w:topLinePunct w:val="0"/>
        <w:autoSpaceDE/>
        <w:autoSpaceDN/>
        <w:bidi w:val="0"/>
        <w:adjustRightInd/>
        <w:snapToGrid/>
        <w:spacing w:line="320" w:lineRule="exact"/>
        <w:ind w:firstLine="482" w:firstLineChars="200"/>
        <w:jc w:val="left"/>
        <w:textAlignment w:val="auto"/>
        <w:rPr>
          <w:rFonts w:hint="eastAsia" w:ascii="方正楷体_GB2312" w:hAnsi="方正楷体_GB2312" w:eastAsia="方正楷体_GB2312" w:cs="方正楷体_GB2312"/>
          <w:b/>
          <w:bCs/>
          <w:color w:val="auto"/>
          <w:sz w:val="24"/>
          <w:szCs w:val="24"/>
          <w:highlight w:val="none"/>
          <w:lang w:val="en-US" w:eastAsia="zh-CN"/>
        </w:rPr>
      </w:pPr>
      <w:r>
        <w:rPr>
          <w:rFonts w:hint="eastAsia" w:ascii="方正楷体_GB2312" w:hAnsi="方正楷体_GB2312" w:eastAsia="方正楷体_GB2312" w:cs="方正楷体_GB2312"/>
          <w:b/>
          <w:bCs/>
          <w:color w:val="auto"/>
          <w:kern w:val="2"/>
          <w:sz w:val="24"/>
          <w:szCs w:val="24"/>
          <w:highlight w:val="none"/>
          <w:lang w:val="en-US" w:eastAsia="zh-CN" w:bidi="ar-SA"/>
        </w:rPr>
        <w:t>2.</w:t>
      </w:r>
      <w:r>
        <w:rPr>
          <w:rFonts w:hint="eastAsia" w:ascii="方正楷体_GB2312" w:hAnsi="方正楷体_GB2312" w:eastAsia="方正楷体_GB2312" w:cs="方正楷体_GB2312"/>
          <w:b/>
          <w:bCs/>
          <w:color w:val="auto"/>
          <w:sz w:val="24"/>
          <w:szCs w:val="24"/>
          <w:highlight w:val="none"/>
          <w:lang w:val="en-US" w:eastAsia="zh-CN"/>
        </w:rPr>
        <w:t>采购代理机构：</w:t>
      </w:r>
    </w:p>
    <w:p w14:paraId="5F872DEC">
      <w:pPr>
        <w:keepNext w:val="0"/>
        <w:keepLines w:val="0"/>
        <w:pageBreakBefore w:val="0"/>
        <w:widowControl w:val="0"/>
        <w:kinsoku/>
        <w:wordWrap/>
        <w:overflowPunct/>
        <w:topLinePunct w:val="0"/>
        <w:autoSpaceDE/>
        <w:autoSpaceDN/>
        <w:bidi w:val="0"/>
        <w:adjustRightInd/>
        <w:snapToGrid/>
        <w:spacing w:line="320" w:lineRule="exact"/>
        <w:ind w:firstLine="482" w:firstLineChars="200"/>
        <w:jc w:val="left"/>
        <w:textAlignment w:val="auto"/>
        <w:rPr>
          <w:rFonts w:hint="eastAsia" w:ascii="方正楷体_GB2312" w:hAnsi="方正楷体_GB2312" w:eastAsia="方正楷体_GB2312" w:cs="方正楷体_GB2312"/>
          <w:b/>
          <w:bCs/>
          <w:color w:val="auto"/>
          <w:sz w:val="24"/>
          <w:szCs w:val="24"/>
          <w:highlight w:val="none"/>
          <w:lang w:eastAsia="zh-CN"/>
        </w:rPr>
      </w:pPr>
      <w:r>
        <w:rPr>
          <w:rFonts w:hint="eastAsia" w:ascii="方正楷体_GB2312" w:hAnsi="方正楷体_GB2312" w:eastAsia="方正楷体_GB2312" w:cs="方正楷体_GB2312"/>
          <w:b/>
          <w:bCs/>
          <w:color w:val="auto"/>
          <w:sz w:val="24"/>
          <w:szCs w:val="24"/>
          <w:highlight w:val="none"/>
          <w:lang w:eastAsia="zh-CN"/>
        </w:rPr>
        <w:t>采购代理机构</w:t>
      </w:r>
      <w:r>
        <w:rPr>
          <w:rFonts w:hint="eastAsia" w:ascii="方正楷体_GB2312" w:hAnsi="方正楷体_GB2312" w:eastAsia="方正楷体_GB2312" w:cs="方正楷体_GB2312"/>
          <w:b/>
          <w:bCs/>
          <w:color w:val="auto"/>
          <w:sz w:val="24"/>
          <w:szCs w:val="24"/>
          <w:highlight w:val="none"/>
        </w:rPr>
        <w:t>：</w:t>
      </w:r>
      <w:r>
        <w:rPr>
          <w:rFonts w:hint="eastAsia" w:ascii="方正楷体_GB2312" w:hAnsi="方正楷体_GB2312" w:eastAsia="方正楷体_GB2312" w:cs="方正楷体_GB2312"/>
          <w:b/>
          <w:bCs/>
          <w:color w:val="auto"/>
          <w:sz w:val="24"/>
          <w:szCs w:val="24"/>
          <w:highlight w:val="none"/>
          <w:lang w:eastAsia="zh-CN"/>
        </w:rPr>
        <w:t>新疆立科得源工程项目管理咨询有限公司</w:t>
      </w:r>
    </w:p>
    <w:p w14:paraId="5B89386E">
      <w:pPr>
        <w:keepNext w:val="0"/>
        <w:keepLines w:val="0"/>
        <w:pageBreakBefore w:val="0"/>
        <w:widowControl w:val="0"/>
        <w:kinsoku/>
        <w:wordWrap/>
        <w:overflowPunct/>
        <w:topLinePunct w:val="0"/>
        <w:autoSpaceDE/>
        <w:autoSpaceDN/>
        <w:bidi w:val="0"/>
        <w:adjustRightInd/>
        <w:snapToGrid/>
        <w:spacing w:line="320" w:lineRule="exact"/>
        <w:ind w:firstLine="482" w:firstLineChars="200"/>
        <w:jc w:val="left"/>
        <w:textAlignment w:val="auto"/>
        <w:rPr>
          <w:rFonts w:hint="eastAsia" w:ascii="方正楷体_GB2312" w:hAnsi="方正楷体_GB2312" w:eastAsia="方正楷体_GB2312" w:cs="方正楷体_GB2312"/>
          <w:b/>
          <w:bCs/>
          <w:color w:val="auto"/>
          <w:sz w:val="24"/>
          <w:szCs w:val="24"/>
          <w:highlight w:val="none"/>
          <w:lang w:val="en-US" w:eastAsia="zh-CN"/>
        </w:rPr>
      </w:pPr>
      <w:r>
        <w:rPr>
          <w:rFonts w:hint="eastAsia" w:ascii="方正楷体_GB2312" w:hAnsi="方正楷体_GB2312" w:eastAsia="方正楷体_GB2312" w:cs="方正楷体_GB2312"/>
          <w:b/>
          <w:bCs/>
          <w:color w:val="auto"/>
          <w:sz w:val="24"/>
          <w:szCs w:val="24"/>
          <w:highlight w:val="none"/>
          <w:lang w:val="en-US" w:eastAsia="zh-CN"/>
        </w:rPr>
        <w:t>地址：库尔勒市白鹭洲宾馆</w:t>
      </w:r>
    </w:p>
    <w:p w14:paraId="613AF45F">
      <w:pPr>
        <w:keepNext w:val="0"/>
        <w:keepLines w:val="0"/>
        <w:pageBreakBefore w:val="0"/>
        <w:widowControl w:val="0"/>
        <w:kinsoku/>
        <w:wordWrap/>
        <w:overflowPunct/>
        <w:topLinePunct w:val="0"/>
        <w:autoSpaceDE/>
        <w:autoSpaceDN/>
        <w:bidi w:val="0"/>
        <w:adjustRightInd/>
        <w:snapToGrid/>
        <w:spacing w:line="320" w:lineRule="exact"/>
        <w:ind w:firstLine="482" w:firstLineChars="200"/>
        <w:jc w:val="left"/>
        <w:textAlignment w:val="auto"/>
        <w:rPr>
          <w:rFonts w:hint="eastAsia" w:ascii="方正楷体_GB2312" w:hAnsi="方正楷体_GB2312" w:eastAsia="方正楷体_GB2312" w:cs="方正楷体_GB2312"/>
          <w:b/>
          <w:bCs/>
          <w:color w:val="auto"/>
          <w:sz w:val="24"/>
          <w:szCs w:val="24"/>
          <w:highlight w:val="none"/>
        </w:rPr>
      </w:pPr>
      <w:r>
        <w:rPr>
          <w:rFonts w:hint="eastAsia" w:ascii="方正楷体_GB2312" w:hAnsi="方正楷体_GB2312" w:eastAsia="方正楷体_GB2312" w:cs="方正楷体_GB2312"/>
          <w:b/>
          <w:bCs/>
          <w:color w:val="auto"/>
          <w:sz w:val="24"/>
          <w:szCs w:val="24"/>
          <w:highlight w:val="none"/>
        </w:rPr>
        <w:t>联系人：</w:t>
      </w:r>
      <w:r>
        <w:rPr>
          <w:rFonts w:hint="eastAsia" w:ascii="方正楷体_GB2312" w:hAnsi="方正楷体_GB2312" w:eastAsia="方正楷体_GB2312" w:cs="方正楷体_GB2312"/>
          <w:b/>
          <w:bCs/>
          <w:color w:val="auto"/>
          <w:sz w:val="24"/>
          <w:szCs w:val="24"/>
          <w:highlight w:val="none"/>
          <w:lang w:eastAsia="zh-CN"/>
        </w:rPr>
        <w:t>蔡云涛</w:t>
      </w:r>
      <w:r>
        <w:rPr>
          <w:rFonts w:hint="eastAsia" w:ascii="方正楷体_GB2312" w:hAnsi="方正楷体_GB2312" w:eastAsia="方正楷体_GB2312" w:cs="方正楷体_GB2312"/>
          <w:b/>
          <w:bCs/>
          <w:color w:val="auto"/>
          <w:sz w:val="24"/>
          <w:szCs w:val="24"/>
          <w:highlight w:val="none"/>
        </w:rPr>
        <w:t xml:space="preserve">     </w:t>
      </w:r>
    </w:p>
    <w:p w14:paraId="02CB10A3">
      <w:pPr>
        <w:keepNext w:val="0"/>
        <w:keepLines w:val="0"/>
        <w:pageBreakBefore w:val="0"/>
        <w:widowControl w:val="0"/>
        <w:kinsoku/>
        <w:wordWrap/>
        <w:overflowPunct/>
        <w:topLinePunct w:val="0"/>
        <w:autoSpaceDE/>
        <w:autoSpaceDN/>
        <w:bidi w:val="0"/>
        <w:adjustRightInd/>
        <w:snapToGrid/>
        <w:spacing w:line="320" w:lineRule="exact"/>
        <w:ind w:firstLine="482" w:firstLineChars="200"/>
        <w:jc w:val="left"/>
        <w:textAlignment w:val="auto"/>
        <w:rPr>
          <w:rFonts w:hint="eastAsia" w:ascii="方正楷体_GB2312" w:hAnsi="方正楷体_GB2312" w:eastAsia="方正楷体_GB2312" w:cs="方正楷体_GB2312"/>
          <w:b/>
          <w:bCs/>
          <w:color w:val="auto"/>
          <w:sz w:val="24"/>
          <w:szCs w:val="24"/>
          <w:highlight w:val="none"/>
          <w:lang w:val="en-US" w:eastAsia="zh-CN"/>
        </w:rPr>
      </w:pPr>
      <w:r>
        <w:rPr>
          <w:rFonts w:hint="eastAsia" w:ascii="方正楷体_GB2312" w:hAnsi="方正楷体_GB2312" w:eastAsia="方正楷体_GB2312" w:cs="方正楷体_GB2312"/>
          <w:b/>
          <w:bCs/>
          <w:color w:val="auto"/>
          <w:sz w:val="24"/>
          <w:szCs w:val="24"/>
          <w:highlight w:val="none"/>
        </w:rPr>
        <w:t xml:space="preserve">联系电话: </w:t>
      </w:r>
      <w:r>
        <w:rPr>
          <w:rFonts w:hint="eastAsia" w:ascii="方正楷体_GB2312" w:hAnsi="方正楷体_GB2312" w:eastAsia="方正楷体_GB2312" w:cs="方正楷体_GB2312"/>
          <w:b/>
          <w:bCs/>
          <w:color w:val="auto"/>
          <w:sz w:val="24"/>
          <w:szCs w:val="24"/>
          <w:highlight w:val="none"/>
          <w:lang w:val="en-US" w:eastAsia="zh-CN"/>
        </w:rPr>
        <w:t>13565010066</w:t>
      </w:r>
    </w:p>
    <w:p w14:paraId="45C4EF51">
      <w:pPr>
        <w:keepNext w:val="0"/>
        <w:keepLines w:val="0"/>
        <w:pageBreakBefore w:val="0"/>
        <w:widowControl w:val="0"/>
        <w:kinsoku/>
        <w:wordWrap/>
        <w:overflowPunct/>
        <w:topLinePunct w:val="0"/>
        <w:autoSpaceDE/>
        <w:autoSpaceDN/>
        <w:bidi w:val="0"/>
        <w:adjustRightInd/>
        <w:snapToGrid/>
        <w:spacing w:line="320" w:lineRule="exact"/>
        <w:ind w:right="-92" w:rightChars="-44"/>
        <w:textAlignment w:val="auto"/>
        <w:rPr>
          <w:rFonts w:hint="eastAsia" w:ascii="方正楷体_GB2312" w:hAnsi="方正楷体_GB2312" w:eastAsia="方正楷体_GB2312" w:cs="方正楷体_GB2312"/>
          <w:b/>
          <w:bCs/>
          <w:color w:val="auto"/>
          <w:sz w:val="24"/>
          <w:highlight w:val="none"/>
        </w:rPr>
      </w:pPr>
    </w:p>
    <w:p w14:paraId="3D332894">
      <w:pPr>
        <w:spacing w:line="360" w:lineRule="auto"/>
        <w:ind w:left="-15" w:leftChars="-7" w:right="-92" w:rightChars="-44" w:firstLine="489" w:firstLineChars="203"/>
        <w:rPr>
          <w:rFonts w:hint="eastAsia" w:ascii="方正楷体_GB2312" w:hAnsi="方正楷体_GB2312" w:eastAsia="方正楷体_GB2312" w:cs="方正楷体_GB2312"/>
          <w:b/>
          <w:bCs/>
          <w:color w:val="auto"/>
          <w:sz w:val="24"/>
          <w:highlight w:val="none"/>
        </w:rPr>
      </w:pPr>
    </w:p>
    <w:p w14:paraId="1396BC6D">
      <w:pPr>
        <w:numPr>
          <w:ilvl w:val="0"/>
          <w:numId w:val="0"/>
        </w:numPr>
        <w:spacing w:line="360" w:lineRule="auto"/>
        <w:jc w:val="center"/>
        <w:rPr>
          <w:rFonts w:hint="eastAsia" w:ascii="方正楷体_GB2312" w:hAnsi="方正楷体_GB2312" w:eastAsia="方正楷体_GB2312" w:cs="方正楷体_GB2312"/>
          <w:color w:val="auto"/>
          <w:sz w:val="24"/>
          <w:highlight w:val="none"/>
          <w:lang w:eastAsia="zh-CN"/>
        </w:rPr>
      </w:pPr>
      <w:r>
        <w:rPr>
          <w:rFonts w:hint="eastAsia" w:ascii="方正楷体_GB2312" w:hAnsi="方正楷体_GB2312" w:eastAsia="方正楷体_GB2312" w:cs="方正楷体_GB2312"/>
          <w:b/>
          <w:bCs/>
          <w:color w:val="auto"/>
          <w:sz w:val="24"/>
          <w:highlight w:val="none"/>
        </w:rPr>
        <w:t xml:space="preserve">     </w:t>
      </w:r>
      <w:r>
        <w:rPr>
          <w:rFonts w:hint="eastAsia" w:ascii="方正楷体_GB2312" w:hAnsi="方正楷体_GB2312" w:eastAsia="方正楷体_GB2312" w:cs="方正楷体_GB2312"/>
          <w:color w:val="auto"/>
          <w:sz w:val="24"/>
          <w:highlight w:val="none"/>
        </w:rPr>
        <w:t xml:space="preserve">                               </w:t>
      </w:r>
      <w:r>
        <w:rPr>
          <w:rFonts w:hint="eastAsia" w:ascii="方正楷体_GB2312" w:hAnsi="方正楷体_GB2312" w:eastAsia="方正楷体_GB2312" w:cs="方正楷体_GB2312"/>
          <w:color w:val="auto"/>
          <w:sz w:val="24"/>
          <w:highlight w:val="none"/>
          <w:lang w:val="en-US" w:eastAsia="zh-CN"/>
        </w:rPr>
        <w:t xml:space="preserve">        </w:t>
      </w:r>
    </w:p>
    <w:p w14:paraId="4F479ADD">
      <w:pPr>
        <w:pStyle w:val="33"/>
        <w:rPr>
          <w:rFonts w:hint="eastAsia" w:ascii="方正楷体_GB2312" w:hAnsi="方正楷体_GB2312" w:eastAsia="方正楷体_GB2312" w:cs="方正楷体_GB2312"/>
          <w:color w:val="auto"/>
          <w:highlight w:val="none"/>
        </w:rPr>
      </w:pPr>
      <w:bookmarkStart w:id="1" w:name="_Toc182131584"/>
    </w:p>
    <w:p w14:paraId="687405E3">
      <w:pPr>
        <w:rPr>
          <w:rFonts w:hint="eastAsia" w:ascii="方正楷体_GB2312" w:hAnsi="方正楷体_GB2312" w:eastAsia="方正楷体_GB2312" w:cs="方正楷体_GB2312"/>
          <w:color w:val="auto"/>
          <w:highlight w:val="none"/>
        </w:rPr>
      </w:pPr>
    </w:p>
    <w:p w14:paraId="1DF127A3">
      <w:pPr>
        <w:pStyle w:val="33"/>
        <w:rPr>
          <w:rFonts w:hint="eastAsia" w:ascii="方正楷体_GB2312" w:hAnsi="方正楷体_GB2312" w:eastAsia="方正楷体_GB2312" w:cs="方正楷体_GB2312"/>
          <w:color w:val="auto"/>
          <w:highlight w:val="none"/>
        </w:rPr>
      </w:pPr>
    </w:p>
    <w:p w14:paraId="305D636C">
      <w:pPr>
        <w:rPr>
          <w:rFonts w:hint="eastAsia" w:ascii="方正楷体_GB2312" w:hAnsi="方正楷体_GB2312" w:eastAsia="方正楷体_GB2312" w:cs="方正楷体_GB2312"/>
          <w:color w:val="auto"/>
          <w:highlight w:val="none"/>
        </w:rPr>
      </w:pPr>
    </w:p>
    <w:p w14:paraId="2198B608">
      <w:pPr>
        <w:pStyle w:val="33"/>
        <w:rPr>
          <w:rFonts w:hint="eastAsia" w:ascii="方正楷体_GB2312" w:hAnsi="方正楷体_GB2312" w:eastAsia="方正楷体_GB2312" w:cs="方正楷体_GB2312"/>
          <w:color w:val="auto"/>
          <w:highlight w:val="none"/>
        </w:rPr>
      </w:pPr>
    </w:p>
    <w:p w14:paraId="5230910D">
      <w:pPr>
        <w:rPr>
          <w:rFonts w:hint="eastAsia" w:ascii="方正楷体_GB2312" w:hAnsi="方正楷体_GB2312" w:eastAsia="方正楷体_GB2312" w:cs="方正楷体_GB2312"/>
          <w:color w:val="auto"/>
          <w:highlight w:val="none"/>
        </w:rPr>
      </w:pPr>
    </w:p>
    <w:p w14:paraId="1A8E4AEB">
      <w:pPr>
        <w:pStyle w:val="3"/>
        <w:jc w:val="center"/>
        <w:rPr>
          <w:rFonts w:hint="eastAsia" w:ascii="方正楷体_GB2312" w:hAnsi="方正楷体_GB2312" w:eastAsia="方正楷体_GB2312" w:cs="方正楷体_GB2312"/>
          <w:color w:val="auto"/>
          <w:highlight w:val="none"/>
        </w:rPr>
      </w:pPr>
      <w:bookmarkStart w:id="2" w:name="_Toc265"/>
      <w:r>
        <w:rPr>
          <w:rFonts w:hint="eastAsia" w:ascii="方正楷体_GB2312" w:hAnsi="方正楷体_GB2312" w:eastAsia="方正楷体_GB2312" w:cs="方正楷体_GB2312"/>
          <w:color w:val="auto"/>
          <w:highlight w:val="none"/>
        </w:rPr>
        <w:t>第二部分供应商须知</w:t>
      </w:r>
      <w:bookmarkEnd w:id="2"/>
    </w:p>
    <w:p w14:paraId="3C25FA2D">
      <w:pPr>
        <w:jc w:val="center"/>
        <w:rPr>
          <w:rFonts w:hint="eastAsia" w:ascii="方正楷体_GB2312" w:hAnsi="方正楷体_GB2312" w:eastAsia="方正楷体_GB2312" w:cs="方正楷体_GB2312"/>
          <w:b/>
          <w:bCs/>
          <w:color w:val="auto"/>
          <w:highlight w:val="none"/>
        </w:rPr>
      </w:pPr>
      <w:r>
        <w:rPr>
          <w:rFonts w:hint="eastAsia" w:ascii="方正楷体_GB2312" w:hAnsi="方正楷体_GB2312" w:eastAsia="方正楷体_GB2312" w:cs="方正楷体_GB2312"/>
          <w:b/>
          <w:bCs/>
          <w:color w:val="auto"/>
          <w:highlight w:val="none"/>
        </w:rPr>
        <w:t>供应商须知附表</w:t>
      </w:r>
      <w:bookmarkEnd w:id="1"/>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8883"/>
      </w:tblGrid>
      <w:tr w14:paraId="2C8AB8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16F9B5F2">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序号</w:t>
            </w:r>
          </w:p>
        </w:tc>
        <w:tc>
          <w:tcPr>
            <w:tcW w:w="8883" w:type="dxa"/>
            <w:tcBorders>
              <w:top w:val="single" w:color="auto" w:sz="4" w:space="0"/>
              <w:left w:val="single" w:color="auto" w:sz="4" w:space="0"/>
              <w:bottom w:val="single" w:color="auto" w:sz="4" w:space="0"/>
              <w:right w:val="single" w:color="auto" w:sz="4" w:space="0"/>
            </w:tcBorders>
            <w:vAlign w:val="center"/>
          </w:tcPr>
          <w:p w14:paraId="6B27FC25">
            <w:pPr>
              <w:ind w:firstLine="3840" w:firstLineChars="16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内容</w:t>
            </w:r>
          </w:p>
        </w:tc>
      </w:tr>
      <w:tr w14:paraId="5FFD5E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9587" w:type="dxa"/>
            <w:gridSpan w:val="2"/>
            <w:tcBorders>
              <w:top w:val="single" w:color="auto" w:sz="4" w:space="0"/>
              <w:left w:val="single" w:color="auto" w:sz="4" w:space="0"/>
              <w:bottom w:val="single" w:color="auto" w:sz="4" w:space="0"/>
              <w:right w:val="single" w:color="auto" w:sz="4" w:space="0"/>
            </w:tcBorders>
            <w:vAlign w:val="center"/>
          </w:tcPr>
          <w:p w14:paraId="35C15313">
            <w:pPr>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 xml:space="preserve">  说明</w:t>
            </w:r>
          </w:p>
        </w:tc>
      </w:tr>
      <w:tr w14:paraId="6EA293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5EA9F868">
            <w:pPr>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w:t>
            </w:r>
          </w:p>
        </w:tc>
        <w:tc>
          <w:tcPr>
            <w:tcW w:w="8883" w:type="dxa"/>
            <w:tcBorders>
              <w:top w:val="single" w:color="auto" w:sz="4" w:space="0"/>
              <w:left w:val="single" w:color="auto" w:sz="4" w:space="0"/>
              <w:bottom w:val="single" w:color="auto" w:sz="4" w:space="0"/>
              <w:right w:val="single" w:color="auto" w:sz="4" w:space="0"/>
            </w:tcBorders>
            <w:vAlign w:val="center"/>
          </w:tcPr>
          <w:p w14:paraId="402C6D59">
            <w:pPr>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项目名称：</w:t>
            </w:r>
            <w:r>
              <w:rPr>
                <w:rFonts w:hint="eastAsia" w:ascii="方正楷体_GB2312" w:hAnsi="方正楷体_GB2312" w:eastAsia="方正楷体_GB2312" w:cs="方正楷体_GB2312"/>
                <w:color w:val="auto"/>
                <w:sz w:val="24"/>
                <w:highlight w:val="none"/>
                <w:shd w:val="clear" w:color="auto" w:fill="FFFFFF"/>
                <w:lang w:eastAsia="zh-CN"/>
              </w:rPr>
              <w:t>和硕县教育和科学技术局食材采购项目</w:t>
            </w:r>
          </w:p>
          <w:p w14:paraId="600769D8">
            <w:pPr>
              <w:numPr>
                <w:ilvl w:val="0"/>
                <w:numId w:val="0"/>
              </w:numPr>
              <w:spacing w:line="360" w:lineRule="auto"/>
              <w:ind w:right="-92" w:rightChars="-44"/>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项目编号：</w:t>
            </w:r>
            <w:r>
              <w:rPr>
                <w:rFonts w:hint="eastAsia" w:ascii="方正楷体_GB2312" w:hAnsi="方正楷体_GB2312" w:eastAsia="方正楷体_GB2312" w:cs="方正楷体_GB2312"/>
                <w:color w:val="auto"/>
                <w:sz w:val="24"/>
                <w:highlight w:val="none"/>
                <w:shd w:val="clear" w:color="auto" w:fill="FFFFFF"/>
                <w:lang w:eastAsia="zh-CN"/>
              </w:rPr>
              <w:t>XJLKDYHSZC(TP)2025-012</w:t>
            </w:r>
          </w:p>
          <w:p w14:paraId="0082E7AE">
            <w:pPr>
              <w:pStyle w:val="33"/>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sz w:val="24"/>
                <w:szCs w:val="24"/>
                <w:highlight w:val="none"/>
                <w:lang w:val="en-US" w:eastAsia="zh-CN"/>
              </w:rPr>
              <w:t>采购方式：竞争性谈判</w:t>
            </w:r>
          </w:p>
        </w:tc>
      </w:tr>
      <w:tr w14:paraId="0AEAB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3D53A858">
            <w:pPr>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w:t>
            </w:r>
          </w:p>
        </w:tc>
        <w:tc>
          <w:tcPr>
            <w:tcW w:w="8883" w:type="dxa"/>
            <w:tcBorders>
              <w:top w:val="single" w:color="auto" w:sz="4" w:space="0"/>
              <w:left w:val="single" w:color="auto" w:sz="4" w:space="0"/>
              <w:bottom w:val="single" w:color="auto" w:sz="4" w:space="0"/>
              <w:right w:val="single" w:color="auto" w:sz="4" w:space="0"/>
            </w:tcBorders>
            <w:vAlign w:val="center"/>
          </w:tcPr>
          <w:p w14:paraId="3ADC58CD">
            <w:pPr>
              <w:rPr>
                <w:rFonts w:hint="eastAsia" w:ascii="方正楷体_GB2312" w:hAnsi="方正楷体_GB2312" w:eastAsia="方正楷体_GB2312" w:cs="方正楷体_GB2312"/>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rPr>
              <w:t>采购人名称：</w:t>
            </w:r>
            <w:r>
              <w:rPr>
                <w:rFonts w:hint="eastAsia" w:ascii="方正楷体_GB2312" w:hAnsi="方正楷体_GB2312" w:eastAsia="方正楷体_GB2312" w:cs="方正楷体_GB2312"/>
                <w:color w:val="auto"/>
                <w:sz w:val="24"/>
                <w:szCs w:val="24"/>
                <w:highlight w:val="none"/>
                <w:lang w:eastAsia="zh-CN"/>
              </w:rPr>
              <w:t>和硕县教育和科学技术局</w:t>
            </w:r>
          </w:p>
        </w:tc>
      </w:tr>
      <w:tr w14:paraId="514D5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7EB52ACF">
            <w:pPr>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3</w:t>
            </w:r>
          </w:p>
        </w:tc>
        <w:tc>
          <w:tcPr>
            <w:tcW w:w="8883" w:type="dxa"/>
            <w:tcBorders>
              <w:top w:val="single" w:color="auto" w:sz="4" w:space="0"/>
              <w:left w:val="single" w:color="auto" w:sz="4" w:space="0"/>
              <w:bottom w:val="single" w:color="auto" w:sz="4" w:space="0"/>
              <w:right w:val="single" w:color="auto" w:sz="4" w:space="0"/>
            </w:tcBorders>
            <w:vAlign w:val="center"/>
          </w:tcPr>
          <w:p w14:paraId="4AFD9D25">
            <w:pPr>
              <w:rPr>
                <w:rFonts w:hint="eastAsia" w:ascii="方正楷体_GB2312" w:hAnsi="方正楷体_GB2312" w:eastAsia="方正楷体_GB2312" w:cs="方正楷体_GB2312"/>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rPr>
              <w:t>代理机构名称：</w:t>
            </w:r>
            <w:r>
              <w:rPr>
                <w:rFonts w:hint="eastAsia" w:ascii="方正楷体_GB2312" w:hAnsi="方正楷体_GB2312" w:eastAsia="方正楷体_GB2312" w:cs="方正楷体_GB2312"/>
                <w:color w:val="auto"/>
                <w:sz w:val="24"/>
                <w:szCs w:val="24"/>
                <w:highlight w:val="none"/>
                <w:lang w:eastAsia="zh-CN"/>
              </w:rPr>
              <w:t>新疆立科得源工程项目管理咨询有限公司</w:t>
            </w:r>
          </w:p>
          <w:p w14:paraId="10C1390C">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代理机构地址：</w:t>
            </w:r>
            <w:r>
              <w:rPr>
                <w:rFonts w:hint="eastAsia" w:ascii="方正楷体_GB2312" w:hAnsi="方正楷体_GB2312" w:eastAsia="方正楷体_GB2312" w:cs="方正楷体_GB2312"/>
                <w:color w:val="auto"/>
                <w:sz w:val="24"/>
                <w:szCs w:val="24"/>
                <w:highlight w:val="none"/>
                <w:lang w:eastAsia="zh-CN"/>
              </w:rPr>
              <w:t>库尔勒文化路9号</w:t>
            </w:r>
          </w:p>
          <w:p w14:paraId="17F5C7E9">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rPr>
              <w:t>电话：</w:t>
            </w:r>
            <w:r>
              <w:rPr>
                <w:rFonts w:hint="eastAsia" w:ascii="方正楷体_GB2312" w:hAnsi="方正楷体_GB2312" w:eastAsia="方正楷体_GB2312" w:cs="方正楷体_GB2312"/>
                <w:color w:val="auto"/>
                <w:sz w:val="24"/>
                <w:szCs w:val="24"/>
                <w:highlight w:val="none"/>
                <w:lang w:val="en-US" w:eastAsia="zh-CN"/>
              </w:rPr>
              <w:t>13565010066</w:t>
            </w:r>
          </w:p>
        </w:tc>
      </w:tr>
      <w:tr w14:paraId="3CAB97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381809C">
            <w:pPr>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4</w:t>
            </w:r>
          </w:p>
        </w:tc>
        <w:tc>
          <w:tcPr>
            <w:tcW w:w="8883" w:type="dxa"/>
            <w:tcBorders>
              <w:top w:val="single" w:color="auto" w:sz="4" w:space="0"/>
              <w:left w:val="single" w:color="auto" w:sz="4" w:space="0"/>
              <w:bottom w:val="single" w:color="auto" w:sz="4" w:space="0"/>
              <w:right w:val="single" w:color="auto" w:sz="4" w:space="0"/>
            </w:tcBorders>
            <w:vAlign w:val="center"/>
          </w:tcPr>
          <w:p w14:paraId="1C0AA986">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bCs/>
                <w:color w:val="auto"/>
                <w:sz w:val="24"/>
                <w:szCs w:val="24"/>
                <w:highlight w:val="none"/>
                <w:lang w:eastAsia="zh-CN"/>
              </w:rPr>
              <w:t>预算金额</w:t>
            </w:r>
            <w:r>
              <w:rPr>
                <w:rFonts w:hint="eastAsia" w:ascii="方正楷体_GB2312" w:hAnsi="方正楷体_GB2312" w:eastAsia="方正楷体_GB2312" w:cs="方正楷体_GB2312"/>
                <w:bCs/>
                <w:color w:val="auto"/>
                <w:sz w:val="24"/>
                <w:szCs w:val="24"/>
                <w:highlight w:val="none"/>
              </w:rPr>
              <w:t>：</w:t>
            </w:r>
            <w:r>
              <w:rPr>
                <w:rFonts w:hint="eastAsia" w:ascii="方正楷体_GB2312" w:hAnsi="方正楷体_GB2312" w:eastAsia="方正楷体_GB2312" w:cs="方正楷体_GB2312"/>
                <w:color w:val="auto"/>
                <w:sz w:val="24"/>
                <w:highlight w:val="none"/>
                <w:lang w:val="en-US" w:eastAsia="zh-CN"/>
              </w:rPr>
              <w:t>1490000.00元</w:t>
            </w:r>
          </w:p>
        </w:tc>
      </w:tr>
      <w:tr w14:paraId="27D01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E34E750">
            <w:pPr>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5</w:t>
            </w:r>
          </w:p>
        </w:tc>
        <w:tc>
          <w:tcPr>
            <w:tcW w:w="8883" w:type="dxa"/>
            <w:tcBorders>
              <w:top w:val="single" w:color="auto" w:sz="4" w:space="0"/>
              <w:left w:val="single" w:color="auto" w:sz="4" w:space="0"/>
              <w:bottom w:val="single" w:color="auto" w:sz="4" w:space="0"/>
              <w:right w:val="single" w:color="auto" w:sz="4" w:space="0"/>
            </w:tcBorders>
            <w:vAlign w:val="center"/>
          </w:tcPr>
          <w:p w14:paraId="1E25E3FA">
            <w:pPr>
              <w:pStyle w:val="20"/>
              <w:rPr>
                <w:rFonts w:hint="eastAsia" w:ascii="方正楷体_GB2312" w:hAnsi="方正楷体_GB2312" w:eastAsia="方正楷体_GB2312" w:cs="方正楷体_GB2312"/>
                <w:b w:val="0"/>
                <w:color w:val="auto"/>
                <w:kern w:val="2"/>
                <w:sz w:val="24"/>
                <w:szCs w:val="24"/>
                <w:highlight w:val="none"/>
                <w:lang w:val="en-US" w:eastAsia="zh-CN" w:bidi="ar-SA"/>
              </w:rPr>
            </w:pPr>
            <w:r>
              <w:rPr>
                <w:rFonts w:hint="eastAsia" w:ascii="方正楷体_GB2312" w:hAnsi="方正楷体_GB2312" w:eastAsia="方正楷体_GB2312" w:cs="方正楷体_GB2312"/>
                <w:b w:val="0"/>
                <w:color w:val="auto"/>
                <w:kern w:val="2"/>
                <w:sz w:val="24"/>
                <w:szCs w:val="24"/>
                <w:highlight w:val="none"/>
                <w:lang w:val="en-US" w:eastAsia="zh-CN" w:bidi="ar-SA"/>
              </w:rPr>
              <w:t>本项目的谈判保证金为人民币：</w:t>
            </w:r>
          </w:p>
          <w:p w14:paraId="4AA37CA9">
            <w:pPr>
              <w:pStyle w:val="21"/>
              <w:ind w:left="0" w:leftChars="0" w:firstLine="0" w:firstLineChars="0"/>
              <w:rPr>
                <w:rFonts w:hint="eastAsia" w:ascii="方正楷体_GB2312" w:hAnsi="方正楷体_GB2312" w:eastAsia="方正楷体_GB2312" w:cs="方正楷体_GB2312"/>
                <w:b w:val="0"/>
                <w:color w:val="auto"/>
                <w:kern w:val="2"/>
                <w:sz w:val="24"/>
                <w:szCs w:val="24"/>
                <w:highlight w:val="none"/>
                <w:lang w:val="en-US" w:eastAsia="zh-CN" w:bidi="ar-SA"/>
              </w:rPr>
            </w:pPr>
            <w:r>
              <w:rPr>
                <w:rFonts w:hint="eastAsia" w:ascii="方正楷体_GB2312" w:hAnsi="方正楷体_GB2312" w:eastAsia="方正楷体_GB2312" w:cs="方正楷体_GB2312"/>
                <w:b w:val="0"/>
                <w:color w:val="auto"/>
                <w:kern w:val="2"/>
                <w:sz w:val="24"/>
                <w:szCs w:val="24"/>
                <w:highlight w:val="none"/>
                <w:lang w:val="en-US" w:eastAsia="zh-CN" w:bidi="ar-SA"/>
              </w:rPr>
              <w:t>标项一：9000元（玖仟元整）</w:t>
            </w:r>
          </w:p>
          <w:p w14:paraId="2D7D0728">
            <w:pPr>
              <w:rPr>
                <w:rFonts w:hint="eastAsia" w:ascii="方正楷体_GB2312" w:hAnsi="方正楷体_GB2312" w:eastAsia="方正楷体_GB2312" w:cs="方正楷体_GB2312"/>
                <w:b w:val="0"/>
                <w:color w:val="auto"/>
                <w:kern w:val="2"/>
                <w:sz w:val="24"/>
                <w:szCs w:val="24"/>
                <w:highlight w:val="none"/>
                <w:lang w:val="en-US" w:eastAsia="zh-CN" w:bidi="ar-SA"/>
              </w:rPr>
            </w:pPr>
            <w:r>
              <w:rPr>
                <w:rFonts w:hint="eastAsia" w:ascii="方正楷体_GB2312" w:hAnsi="方正楷体_GB2312" w:eastAsia="方正楷体_GB2312" w:cs="方正楷体_GB2312"/>
                <w:b w:val="0"/>
                <w:color w:val="auto"/>
                <w:kern w:val="2"/>
                <w:sz w:val="24"/>
                <w:szCs w:val="24"/>
                <w:highlight w:val="none"/>
                <w:lang w:val="en-US" w:eastAsia="zh-CN" w:bidi="ar-SA"/>
              </w:rPr>
              <w:t>标项二：8000元（捌仟元整）</w:t>
            </w:r>
          </w:p>
          <w:p w14:paraId="4AFD1DDB">
            <w:pPr>
              <w:rPr>
                <w:rFonts w:hint="eastAsia" w:ascii="方正楷体_GB2312" w:hAnsi="方正楷体_GB2312" w:eastAsia="方正楷体_GB2312" w:cs="方正楷体_GB2312"/>
                <w:b w:val="0"/>
                <w:color w:val="auto"/>
                <w:kern w:val="2"/>
                <w:sz w:val="24"/>
                <w:szCs w:val="24"/>
                <w:highlight w:val="none"/>
                <w:lang w:val="en-US" w:eastAsia="zh-CN" w:bidi="ar-SA"/>
              </w:rPr>
            </w:pPr>
            <w:r>
              <w:rPr>
                <w:rFonts w:hint="eastAsia" w:ascii="方正楷体_GB2312" w:hAnsi="方正楷体_GB2312" w:eastAsia="方正楷体_GB2312" w:cs="方正楷体_GB2312"/>
                <w:b w:val="0"/>
                <w:color w:val="auto"/>
                <w:kern w:val="2"/>
                <w:sz w:val="24"/>
                <w:szCs w:val="24"/>
                <w:highlight w:val="none"/>
                <w:lang w:val="en-US" w:eastAsia="zh-CN" w:bidi="ar-SA"/>
              </w:rPr>
              <w:t>标项三：10000元（壹万元整）</w:t>
            </w:r>
          </w:p>
          <w:p w14:paraId="6BDF2CA7">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谈判保证金到账截止时间：同</w:t>
            </w:r>
            <w:r>
              <w:rPr>
                <w:rFonts w:hint="eastAsia" w:ascii="方正楷体_GB2312" w:hAnsi="方正楷体_GB2312" w:eastAsia="方正楷体_GB2312" w:cs="方正楷体_GB2312"/>
                <w:color w:val="auto"/>
                <w:sz w:val="24"/>
                <w:szCs w:val="24"/>
                <w:highlight w:val="none"/>
              </w:rPr>
              <w:t>谈判</w:t>
            </w:r>
            <w:r>
              <w:rPr>
                <w:rFonts w:hint="eastAsia" w:ascii="方正楷体_GB2312" w:hAnsi="方正楷体_GB2312" w:eastAsia="方正楷体_GB2312" w:cs="方正楷体_GB2312"/>
                <w:color w:val="auto"/>
                <w:sz w:val="24"/>
                <w:szCs w:val="24"/>
                <w:highlight w:val="none"/>
                <w:lang w:eastAsia="zh-CN"/>
              </w:rPr>
              <w:t>响应</w:t>
            </w:r>
            <w:r>
              <w:rPr>
                <w:rFonts w:hint="eastAsia" w:ascii="方正楷体_GB2312" w:hAnsi="方正楷体_GB2312" w:eastAsia="方正楷体_GB2312" w:cs="方正楷体_GB2312"/>
                <w:color w:val="auto"/>
                <w:sz w:val="24"/>
                <w:szCs w:val="24"/>
                <w:highlight w:val="none"/>
              </w:rPr>
              <w:t>文件递交截止时间</w:t>
            </w:r>
          </w:p>
          <w:p w14:paraId="33203013">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提交方式为从供应商基本账户以电汇、网银、保函等非现金形式提交。汇款需注明采购项目编号或项目名称。</w:t>
            </w:r>
          </w:p>
          <w:p w14:paraId="43899653">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账户信息：</w:t>
            </w:r>
          </w:p>
          <w:p w14:paraId="52713947">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单位名称：新疆立科得源工程项目管理咨询有限公司</w:t>
            </w:r>
          </w:p>
          <w:p w14:paraId="6E5AAF9E">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开户银行：中国银行股份有限公司库尔勒市广场支行</w:t>
            </w:r>
          </w:p>
          <w:p w14:paraId="08AAB11E">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帐号：108289879720</w:t>
            </w:r>
          </w:p>
          <w:p w14:paraId="48A9AEC7">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行号：104888001070</w:t>
            </w:r>
          </w:p>
          <w:p w14:paraId="516B7141">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lang w:val="en-US" w:eastAsia="zh-CN"/>
              </w:rPr>
              <w:t>谈判保证金以到账信息为准，供应商应充分考虑在途时间，供应商未按照谈判文件要求提交保证金的，响应无效。</w:t>
            </w:r>
          </w:p>
        </w:tc>
      </w:tr>
      <w:tr w14:paraId="7C31B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6C6EFA2">
            <w:pPr>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6</w:t>
            </w:r>
          </w:p>
        </w:tc>
        <w:tc>
          <w:tcPr>
            <w:tcW w:w="8883" w:type="dxa"/>
            <w:tcBorders>
              <w:top w:val="single" w:color="auto" w:sz="4" w:space="0"/>
              <w:left w:val="single" w:color="auto" w:sz="4" w:space="0"/>
              <w:bottom w:val="single" w:color="auto" w:sz="4" w:space="0"/>
              <w:right w:val="single" w:color="auto" w:sz="4" w:space="0"/>
            </w:tcBorders>
            <w:vAlign w:val="center"/>
          </w:tcPr>
          <w:p w14:paraId="6D388F33">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供货期限：一年按业主需求进行供货（一学年内）</w:t>
            </w:r>
          </w:p>
          <w:p w14:paraId="254957D5">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为县域幼儿园供应肉禽蛋、蔬菜、水果、干果、牛奶面包、米面油、副食调料等</w:t>
            </w:r>
          </w:p>
          <w:p w14:paraId="1FDA34B4">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供货地点：采购人指定地点</w:t>
            </w:r>
          </w:p>
          <w:p w14:paraId="0681897E">
            <w:pPr>
              <w:pStyle w:val="50"/>
              <w:ind w:left="0" w:leftChars="0" w:firstLine="0" w:firstLineChars="0"/>
              <w:rPr>
                <w:rFonts w:hint="eastAsia" w:ascii="方正楷体_GB2312" w:hAnsi="方正楷体_GB2312" w:eastAsia="方正楷体_GB2312" w:cs="方正楷体_GB2312"/>
                <w:color w:val="auto"/>
                <w:highlight w:val="none"/>
                <w:lang w:eastAsia="zh-CN"/>
              </w:rPr>
            </w:pPr>
            <w:r>
              <w:rPr>
                <w:rFonts w:hint="eastAsia" w:ascii="方正楷体_GB2312" w:hAnsi="方正楷体_GB2312" w:eastAsia="方正楷体_GB2312" w:cs="方正楷体_GB2312"/>
                <w:color w:val="auto"/>
                <w:sz w:val="24"/>
                <w:szCs w:val="24"/>
                <w:highlight w:val="none"/>
                <w:lang w:val="en-US" w:eastAsia="zh-CN"/>
              </w:rPr>
              <w:t>质量要求：合格</w:t>
            </w:r>
          </w:p>
        </w:tc>
      </w:tr>
      <w:tr w14:paraId="3724C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9587" w:type="dxa"/>
            <w:gridSpan w:val="2"/>
            <w:tcBorders>
              <w:top w:val="single" w:color="auto" w:sz="4" w:space="0"/>
              <w:left w:val="single" w:color="auto" w:sz="4" w:space="0"/>
              <w:bottom w:val="single" w:color="auto" w:sz="4" w:space="0"/>
              <w:right w:val="single" w:color="auto" w:sz="4" w:space="0"/>
            </w:tcBorders>
            <w:vAlign w:val="center"/>
          </w:tcPr>
          <w:p w14:paraId="37DD5843">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谈 判 响 应 文 件 的 编 制 和 递 交</w:t>
            </w:r>
          </w:p>
        </w:tc>
      </w:tr>
      <w:tr w14:paraId="24EC1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1A8BDE5A">
            <w:pPr>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7</w:t>
            </w:r>
          </w:p>
        </w:tc>
        <w:tc>
          <w:tcPr>
            <w:tcW w:w="8883" w:type="dxa"/>
            <w:tcBorders>
              <w:top w:val="single" w:color="auto" w:sz="4" w:space="0"/>
              <w:left w:val="single" w:color="auto" w:sz="4" w:space="0"/>
              <w:bottom w:val="single" w:color="auto" w:sz="4" w:space="0"/>
              <w:right w:val="single" w:color="auto" w:sz="4" w:space="0"/>
            </w:tcBorders>
            <w:vAlign w:val="center"/>
          </w:tcPr>
          <w:p w14:paraId="7F61A34F">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供应商的资格要求：</w:t>
            </w:r>
          </w:p>
          <w:p w14:paraId="4AA3DC7F">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1.满足《中华人民共和国政府采购法》第二十二条规定：</w:t>
            </w:r>
          </w:p>
          <w:p w14:paraId="0487E66F">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（1）具有独立承担民事责任的能力；</w:t>
            </w:r>
          </w:p>
          <w:p w14:paraId="4C1DFC46">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（2）具有良好的商业信誉和健全的财务会计制度；</w:t>
            </w:r>
          </w:p>
          <w:p w14:paraId="41A6F217">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（3）具有依法缴纳税收和社会保障资金的良好记录；</w:t>
            </w:r>
          </w:p>
          <w:p w14:paraId="0463E3DA">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（4）具有履行合同所必需的货物和专业技术能力；</w:t>
            </w:r>
          </w:p>
          <w:p w14:paraId="25E6F8AC">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（5）参加政府采购活动前三年内，在经营活动中没有重大违法记录；</w:t>
            </w:r>
          </w:p>
          <w:p w14:paraId="1993B7CD">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（6）法律、行政法规规定的其他条件。</w:t>
            </w:r>
          </w:p>
          <w:p w14:paraId="00AAF586">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2.落实政府采购政策需满足的资格要求：本项目专门面向小微企业。</w:t>
            </w:r>
            <w:r>
              <w:rPr>
                <w:rFonts w:hint="eastAsia" w:ascii="方正楷体_GB2312" w:hAnsi="方正楷体_GB2312" w:eastAsia="方正楷体_GB2312" w:cs="方正楷体_GB2312"/>
                <w:color w:val="auto"/>
                <w:sz w:val="24"/>
                <w:szCs w:val="24"/>
                <w:highlight w:val="none"/>
                <w:lang w:eastAsia="zh-CN"/>
              </w:rPr>
              <w:t>（</w:t>
            </w:r>
            <w:r>
              <w:rPr>
                <w:rFonts w:hint="eastAsia" w:ascii="方正楷体_GB2312" w:hAnsi="方正楷体_GB2312" w:eastAsia="方正楷体_GB2312" w:cs="方正楷体_GB2312"/>
                <w:color w:val="auto"/>
                <w:sz w:val="24"/>
                <w:szCs w:val="24"/>
                <w:highlight w:val="none"/>
                <w:lang w:val="en-US" w:eastAsia="zh-CN"/>
              </w:rPr>
              <w:t>含小型、微型</w:t>
            </w:r>
            <w:r>
              <w:rPr>
                <w:rFonts w:hint="eastAsia" w:ascii="方正楷体_GB2312" w:hAnsi="方正楷体_GB2312" w:eastAsia="方正楷体_GB2312" w:cs="方正楷体_GB2312"/>
                <w:color w:val="auto"/>
                <w:sz w:val="24"/>
                <w:szCs w:val="24"/>
                <w:highlight w:val="none"/>
                <w:lang w:eastAsia="zh-CN"/>
              </w:rPr>
              <w:t>）</w:t>
            </w:r>
            <w:r>
              <w:rPr>
                <w:rFonts w:hint="eastAsia" w:ascii="方正楷体_GB2312" w:hAnsi="方正楷体_GB2312" w:eastAsia="方正楷体_GB2312" w:cs="方正楷体_GB2312"/>
                <w:color w:val="auto"/>
                <w:sz w:val="24"/>
                <w:szCs w:val="24"/>
                <w:highlight w:val="none"/>
              </w:rPr>
              <w:t>本项目采购标的对应的中小企业划分标准所属行业为</w:t>
            </w:r>
            <w:r>
              <w:rPr>
                <w:rFonts w:hint="eastAsia" w:ascii="方正楷体_GB2312" w:hAnsi="方正楷体_GB2312" w:eastAsia="方正楷体_GB2312" w:cs="方正楷体_GB2312"/>
                <w:color w:val="auto"/>
                <w:sz w:val="24"/>
                <w:szCs w:val="24"/>
                <w:highlight w:val="none"/>
                <w:lang w:eastAsia="zh-CN"/>
              </w:rPr>
              <w:t>“</w:t>
            </w:r>
            <w:r>
              <w:rPr>
                <w:rFonts w:hint="eastAsia" w:ascii="方正楷体_GB2312" w:hAnsi="方正楷体_GB2312" w:eastAsia="方正楷体_GB2312" w:cs="方正楷体_GB2312"/>
                <w:color w:val="auto"/>
                <w:sz w:val="24"/>
                <w:szCs w:val="24"/>
                <w:highlight w:val="none"/>
                <w:lang w:val="en-US" w:eastAsia="zh-CN"/>
              </w:rPr>
              <w:t>其他未列明行业</w:t>
            </w:r>
            <w:r>
              <w:rPr>
                <w:rFonts w:hint="eastAsia" w:ascii="方正楷体_GB2312" w:hAnsi="方正楷体_GB2312" w:eastAsia="方正楷体_GB2312" w:cs="方正楷体_GB2312"/>
                <w:color w:val="auto"/>
                <w:sz w:val="24"/>
                <w:szCs w:val="24"/>
                <w:highlight w:val="none"/>
                <w:lang w:eastAsia="zh-CN"/>
              </w:rPr>
              <w:t>”。</w:t>
            </w:r>
          </w:p>
          <w:p w14:paraId="5D645B44">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（1）财政部、工业和信息化部《关于印发〈政府采购促进中小企业发展管理办法〉的通知》（财库[2020]46号文）；</w:t>
            </w:r>
          </w:p>
          <w:p w14:paraId="3425B85F">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（2）财政部、司法部《关于政府采购支持监狱企业发展有关问题的通知》（财库[2014]68号文）；</w:t>
            </w:r>
          </w:p>
          <w:p w14:paraId="039BEAE5">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（3）财政部、民政部、中国残疾人联合会《关于促进残疾人就业政府采购政策的通知》（财库[2026]141号）；</w:t>
            </w:r>
          </w:p>
          <w:p w14:paraId="40D8BA69">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3、在中华人民共和国境内依法注册的、具有独立承担民事责任的能力，提供有效的营业执照；</w:t>
            </w:r>
          </w:p>
          <w:p w14:paraId="1A8F2985">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4、法定代表人身份证原件或法定代表人授权委托书和委托代理人身份证原件（授权委托书应附上法人和代理人身份证复印件）；</w:t>
            </w:r>
          </w:p>
          <w:p w14:paraId="0D793EE1">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5、符合国家有关法律法规的规定；</w:t>
            </w:r>
          </w:p>
          <w:p w14:paraId="0F77E86B">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6、本项目不接受联合体投标；</w:t>
            </w:r>
          </w:p>
          <w:p w14:paraId="1DCAD240">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7.本项目的特定资格要求：</w:t>
            </w:r>
          </w:p>
          <w:p w14:paraId="3E066E3C">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1）标项一至标项三供应商具有有效的《食品经营许可证》或《食品生产许可证》。</w:t>
            </w:r>
          </w:p>
          <w:p w14:paraId="3ABBEC12">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lang w:val="en-US" w:eastAsia="zh-CN"/>
              </w:rPr>
              <w:t>2）标项一供应商若为生产厂家或屠宰企业，还须提供行政主管部门颁发的《屠宰许可证》、《动物防疫条件合格证》，非生产厂家或屠宰企业须提供若中标后能够每批次供货服务开具动物检疫合格证明或提供所投牛羊猪肉类产品的有效期内的动物检疫合格证明的承诺函。</w:t>
            </w:r>
          </w:p>
        </w:tc>
      </w:tr>
      <w:tr w14:paraId="2FCF3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7D07707E">
            <w:pPr>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8</w:t>
            </w:r>
          </w:p>
        </w:tc>
        <w:tc>
          <w:tcPr>
            <w:tcW w:w="8883" w:type="dxa"/>
            <w:tcBorders>
              <w:top w:val="single" w:color="auto" w:sz="4" w:space="0"/>
              <w:left w:val="single" w:color="auto" w:sz="4" w:space="0"/>
              <w:bottom w:val="single" w:color="auto" w:sz="4" w:space="0"/>
              <w:right w:val="single" w:color="auto" w:sz="4" w:space="0"/>
            </w:tcBorders>
            <w:vAlign w:val="center"/>
          </w:tcPr>
          <w:p w14:paraId="0963D46D">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谈判</w:t>
            </w:r>
            <w:r>
              <w:rPr>
                <w:rFonts w:hint="eastAsia" w:ascii="方正楷体_GB2312" w:hAnsi="方正楷体_GB2312" w:eastAsia="方正楷体_GB2312" w:cs="方正楷体_GB2312"/>
                <w:color w:val="auto"/>
                <w:sz w:val="24"/>
                <w:szCs w:val="24"/>
                <w:highlight w:val="none"/>
                <w:lang w:eastAsia="zh-CN"/>
              </w:rPr>
              <w:t>响应</w:t>
            </w:r>
            <w:r>
              <w:rPr>
                <w:rFonts w:hint="eastAsia" w:ascii="方正楷体_GB2312" w:hAnsi="方正楷体_GB2312" w:eastAsia="方正楷体_GB2312" w:cs="方正楷体_GB2312"/>
                <w:color w:val="auto"/>
                <w:sz w:val="24"/>
                <w:szCs w:val="24"/>
                <w:highlight w:val="none"/>
              </w:rPr>
              <w:t>文件：</w:t>
            </w:r>
            <w:r>
              <w:rPr>
                <w:rFonts w:hint="eastAsia" w:ascii="方正楷体_GB2312" w:hAnsi="方正楷体_GB2312" w:eastAsia="方正楷体_GB2312" w:cs="方正楷体_GB2312"/>
                <w:color w:val="auto"/>
                <w:sz w:val="24"/>
                <w:szCs w:val="24"/>
                <w:highlight w:val="none"/>
                <w:lang w:val="en-US" w:eastAsia="zh-CN"/>
              </w:rPr>
              <w:t>经加密的电子版文件，须在开标前上传至政采云客户端。</w:t>
            </w:r>
          </w:p>
        </w:tc>
      </w:tr>
      <w:tr w14:paraId="18BA3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3414131">
            <w:pPr>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9</w:t>
            </w:r>
          </w:p>
        </w:tc>
        <w:tc>
          <w:tcPr>
            <w:tcW w:w="8883" w:type="dxa"/>
            <w:tcBorders>
              <w:top w:val="single" w:color="auto" w:sz="4" w:space="0"/>
              <w:left w:val="single" w:color="auto" w:sz="4" w:space="0"/>
              <w:bottom w:val="single" w:color="auto" w:sz="4" w:space="0"/>
              <w:right w:val="single" w:color="auto" w:sz="4" w:space="0"/>
            </w:tcBorders>
            <w:vAlign w:val="center"/>
          </w:tcPr>
          <w:p w14:paraId="269164DA">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谈判有效期：90天（如不满足将导致废标）</w:t>
            </w:r>
          </w:p>
        </w:tc>
      </w:tr>
      <w:tr w14:paraId="126362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32A2094">
            <w:pPr>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10</w:t>
            </w:r>
          </w:p>
        </w:tc>
        <w:tc>
          <w:tcPr>
            <w:tcW w:w="8883" w:type="dxa"/>
            <w:tcBorders>
              <w:top w:val="single" w:color="auto" w:sz="4" w:space="0"/>
              <w:left w:val="single" w:color="auto" w:sz="4" w:space="0"/>
              <w:bottom w:val="single" w:color="auto" w:sz="4" w:space="0"/>
              <w:right w:val="single" w:color="auto" w:sz="4" w:space="0"/>
            </w:tcBorders>
            <w:vAlign w:val="center"/>
          </w:tcPr>
          <w:p w14:paraId="05DEDAE5">
            <w:pPr>
              <w:rPr>
                <w:rFonts w:hint="eastAsia" w:ascii="方正楷体_GB2312" w:hAnsi="方正楷体_GB2312" w:eastAsia="方正楷体_GB2312" w:cs="方正楷体_GB2312"/>
                <w:color w:val="auto"/>
                <w:spacing w:val="8"/>
                <w:sz w:val="24"/>
                <w:szCs w:val="24"/>
                <w:highlight w:val="none"/>
              </w:rPr>
            </w:pPr>
            <w:r>
              <w:rPr>
                <w:rFonts w:hint="eastAsia" w:ascii="方正楷体_GB2312" w:hAnsi="方正楷体_GB2312" w:eastAsia="方正楷体_GB2312" w:cs="方正楷体_GB2312"/>
                <w:color w:val="auto"/>
                <w:spacing w:val="8"/>
                <w:sz w:val="24"/>
                <w:szCs w:val="24"/>
                <w:highlight w:val="none"/>
              </w:rPr>
              <w:t>现场踏勘：不组织</w:t>
            </w:r>
          </w:p>
        </w:tc>
      </w:tr>
      <w:tr w14:paraId="7DF44C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46510F02">
            <w:pPr>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11</w:t>
            </w:r>
          </w:p>
        </w:tc>
        <w:tc>
          <w:tcPr>
            <w:tcW w:w="8883" w:type="dxa"/>
            <w:tcBorders>
              <w:top w:val="single" w:color="auto" w:sz="4" w:space="0"/>
              <w:left w:val="single" w:color="auto" w:sz="4" w:space="0"/>
              <w:bottom w:val="single" w:color="auto" w:sz="4" w:space="0"/>
              <w:right w:val="single" w:color="auto" w:sz="4" w:space="0"/>
            </w:tcBorders>
            <w:vAlign w:val="center"/>
          </w:tcPr>
          <w:p w14:paraId="21A1F2A2">
            <w:pPr>
              <w:rPr>
                <w:rFonts w:hint="eastAsia" w:ascii="方正楷体_GB2312" w:hAnsi="方正楷体_GB2312" w:eastAsia="方正楷体_GB2312" w:cs="方正楷体_GB2312"/>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rPr>
              <w:t>谈判</w:t>
            </w:r>
            <w:r>
              <w:rPr>
                <w:rFonts w:hint="eastAsia" w:ascii="方正楷体_GB2312" w:hAnsi="方正楷体_GB2312" w:eastAsia="方正楷体_GB2312" w:cs="方正楷体_GB2312"/>
                <w:color w:val="auto"/>
                <w:sz w:val="24"/>
                <w:szCs w:val="24"/>
                <w:highlight w:val="none"/>
                <w:lang w:eastAsia="zh-CN"/>
              </w:rPr>
              <w:t>响应</w:t>
            </w:r>
            <w:r>
              <w:rPr>
                <w:rFonts w:hint="eastAsia" w:ascii="方正楷体_GB2312" w:hAnsi="方正楷体_GB2312" w:eastAsia="方正楷体_GB2312" w:cs="方正楷体_GB2312"/>
                <w:color w:val="auto"/>
                <w:sz w:val="24"/>
                <w:szCs w:val="24"/>
                <w:highlight w:val="none"/>
              </w:rPr>
              <w:t>文件以</w:t>
            </w:r>
            <w:r>
              <w:rPr>
                <w:rFonts w:hint="eastAsia" w:ascii="方正楷体_GB2312" w:hAnsi="方正楷体_GB2312" w:eastAsia="方正楷体_GB2312" w:cs="方正楷体_GB2312"/>
                <w:color w:val="auto"/>
                <w:sz w:val="24"/>
                <w:szCs w:val="24"/>
                <w:highlight w:val="none"/>
                <w:lang w:eastAsia="zh-CN"/>
              </w:rPr>
              <w:t>加密</w:t>
            </w:r>
            <w:r>
              <w:rPr>
                <w:rFonts w:hint="eastAsia" w:ascii="方正楷体_GB2312" w:hAnsi="方正楷体_GB2312" w:eastAsia="方正楷体_GB2312" w:cs="方正楷体_GB2312"/>
                <w:color w:val="auto"/>
                <w:sz w:val="24"/>
                <w:szCs w:val="24"/>
                <w:highlight w:val="none"/>
              </w:rPr>
              <w:t>形式递交至：政采云系统不见面开标（https://www.zcygov.cn/）（逾期未上传的或不符合规定的</w:t>
            </w:r>
            <w:r>
              <w:rPr>
                <w:rFonts w:hint="eastAsia" w:ascii="方正楷体_GB2312" w:hAnsi="方正楷体_GB2312" w:eastAsia="方正楷体_GB2312" w:cs="方正楷体_GB2312"/>
                <w:color w:val="auto"/>
                <w:sz w:val="24"/>
                <w:szCs w:val="24"/>
                <w:highlight w:val="none"/>
                <w:lang w:eastAsia="zh-CN"/>
              </w:rPr>
              <w:t>响应文件</w:t>
            </w:r>
            <w:r>
              <w:rPr>
                <w:rFonts w:hint="eastAsia" w:ascii="方正楷体_GB2312" w:hAnsi="方正楷体_GB2312" w:eastAsia="方正楷体_GB2312" w:cs="方正楷体_GB2312"/>
                <w:color w:val="auto"/>
                <w:sz w:val="24"/>
                <w:szCs w:val="24"/>
                <w:highlight w:val="none"/>
              </w:rPr>
              <w:t>将被拒绝接收）</w:t>
            </w:r>
          </w:p>
          <w:p w14:paraId="60AA0F2C">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w:t>
            </w:r>
            <w:r>
              <w:rPr>
                <w:rFonts w:hint="eastAsia" w:ascii="方正楷体_GB2312" w:hAnsi="方正楷体_GB2312" w:eastAsia="方正楷体_GB2312" w:cs="方正楷体_GB2312"/>
                <w:color w:val="auto"/>
                <w:sz w:val="24"/>
                <w:szCs w:val="24"/>
                <w:highlight w:val="none"/>
                <w:lang w:eastAsia="zh-CN"/>
              </w:rPr>
              <w:t>2025年02月25 日11时00分</w:t>
            </w:r>
            <w:r>
              <w:rPr>
                <w:rFonts w:hint="eastAsia" w:ascii="方正楷体_GB2312" w:hAnsi="方正楷体_GB2312" w:eastAsia="方正楷体_GB2312" w:cs="方正楷体_GB2312"/>
                <w:color w:val="auto"/>
                <w:sz w:val="24"/>
                <w:szCs w:val="24"/>
                <w:highlight w:val="none"/>
              </w:rPr>
              <w:t>（北京时间）</w:t>
            </w:r>
          </w:p>
        </w:tc>
      </w:tr>
      <w:tr w14:paraId="5D7F4C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5DA1FFE2">
            <w:pPr>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12</w:t>
            </w:r>
          </w:p>
        </w:tc>
        <w:tc>
          <w:tcPr>
            <w:tcW w:w="8883" w:type="dxa"/>
            <w:tcBorders>
              <w:top w:val="single" w:color="auto" w:sz="4" w:space="0"/>
              <w:left w:val="single" w:color="auto" w:sz="4" w:space="0"/>
              <w:bottom w:val="single" w:color="auto" w:sz="4" w:space="0"/>
              <w:right w:val="single" w:color="auto" w:sz="4" w:space="0"/>
            </w:tcBorders>
            <w:vAlign w:val="center"/>
          </w:tcPr>
          <w:p w14:paraId="0DD12FD6">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谈判时间：</w:t>
            </w:r>
            <w:r>
              <w:rPr>
                <w:rFonts w:hint="eastAsia" w:ascii="方正楷体_GB2312" w:hAnsi="方正楷体_GB2312" w:eastAsia="方正楷体_GB2312" w:cs="方正楷体_GB2312"/>
                <w:color w:val="auto"/>
                <w:sz w:val="24"/>
                <w:szCs w:val="24"/>
                <w:highlight w:val="none"/>
                <w:lang w:eastAsia="zh-CN"/>
              </w:rPr>
              <w:t>2025年02月25 日11时00分</w:t>
            </w:r>
            <w:r>
              <w:rPr>
                <w:rFonts w:hint="eastAsia" w:ascii="方正楷体_GB2312" w:hAnsi="方正楷体_GB2312" w:eastAsia="方正楷体_GB2312" w:cs="方正楷体_GB2312"/>
                <w:color w:val="auto"/>
                <w:sz w:val="24"/>
                <w:szCs w:val="24"/>
                <w:highlight w:val="none"/>
              </w:rPr>
              <w:t>（北京时间）</w:t>
            </w:r>
          </w:p>
          <w:p w14:paraId="56A1DDF0">
            <w:pPr>
              <w:rPr>
                <w:rFonts w:hint="eastAsia" w:ascii="方正楷体_GB2312" w:hAnsi="方正楷体_GB2312" w:eastAsia="方正楷体_GB2312" w:cs="方正楷体_GB2312"/>
                <w:color w:val="auto"/>
                <w:sz w:val="24"/>
                <w:szCs w:val="24"/>
                <w:highlight w:val="none"/>
                <w:lang w:val="en-US" w:eastAsia="zh-Hans"/>
              </w:rPr>
            </w:pPr>
            <w:r>
              <w:rPr>
                <w:rFonts w:hint="eastAsia" w:ascii="方正楷体_GB2312" w:hAnsi="方正楷体_GB2312" w:eastAsia="方正楷体_GB2312" w:cs="方正楷体_GB2312"/>
                <w:color w:val="auto"/>
                <w:sz w:val="24"/>
                <w:szCs w:val="24"/>
                <w:highlight w:val="none"/>
              </w:rPr>
              <w:t>谈判地点：</w:t>
            </w:r>
            <w:r>
              <w:rPr>
                <w:rFonts w:hint="eastAsia" w:ascii="方正楷体_GB2312" w:hAnsi="方正楷体_GB2312" w:eastAsia="方正楷体_GB2312" w:cs="方正楷体_GB2312"/>
                <w:color w:val="auto"/>
                <w:sz w:val="24"/>
                <w:highlight w:val="none"/>
              </w:rPr>
              <w:t>将</w:t>
            </w:r>
            <w:r>
              <w:rPr>
                <w:rFonts w:hint="eastAsia" w:ascii="方正楷体_GB2312" w:hAnsi="方正楷体_GB2312" w:eastAsia="方正楷体_GB2312" w:cs="方正楷体_GB2312"/>
                <w:color w:val="auto"/>
                <w:sz w:val="24"/>
                <w:highlight w:val="none"/>
                <w:lang w:eastAsia="zh-CN"/>
              </w:rPr>
              <w:t>响应文件</w:t>
            </w:r>
            <w:r>
              <w:rPr>
                <w:rFonts w:hint="eastAsia" w:ascii="方正楷体_GB2312" w:hAnsi="方正楷体_GB2312" w:eastAsia="方正楷体_GB2312" w:cs="方正楷体_GB2312"/>
                <w:color w:val="auto"/>
                <w:sz w:val="24"/>
                <w:highlight w:val="none"/>
              </w:rPr>
              <w:t>上传至政采云平台https://www.zcygov.cn/对应位置</w:t>
            </w:r>
            <w:r>
              <w:rPr>
                <w:rFonts w:hint="eastAsia" w:ascii="方正楷体_GB2312" w:hAnsi="方正楷体_GB2312" w:eastAsia="方正楷体_GB2312" w:cs="方正楷体_GB2312"/>
                <w:color w:val="auto"/>
                <w:sz w:val="24"/>
                <w:highlight w:val="none"/>
                <w:lang w:val="en-US" w:eastAsia="zh-CN"/>
              </w:rPr>
              <w:t>。</w:t>
            </w:r>
          </w:p>
        </w:tc>
      </w:tr>
      <w:tr w14:paraId="200068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0D2236B0">
            <w:pPr>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13</w:t>
            </w:r>
          </w:p>
        </w:tc>
        <w:tc>
          <w:tcPr>
            <w:tcW w:w="8883" w:type="dxa"/>
            <w:tcBorders>
              <w:top w:val="single" w:color="auto" w:sz="4" w:space="0"/>
              <w:left w:val="single" w:color="auto" w:sz="4" w:space="0"/>
              <w:bottom w:val="single" w:color="auto" w:sz="4" w:space="0"/>
              <w:right w:val="single" w:color="auto" w:sz="4" w:space="0"/>
            </w:tcBorders>
            <w:vAlign w:val="center"/>
          </w:tcPr>
          <w:p w14:paraId="0A8C31A7">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本项目专门面向小微企业（实质性要求）。</w:t>
            </w:r>
          </w:p>
        </w:tc>
      </w:tr>
      <w:tr w14:paraId="1B5E7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79CB694">
            <w:pPr>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14</w:t>
            </w:r>
          </w:p>
        </w:tc>
        <w:tc>
          <w:tcPr>
            <w:tcW w:w="8883" w:type="dxa"/>
            <w:tcBorders>
              <w:top w:val="single" w:color="auto" w:sz="4" w:space="0"/>
              <w:left w:val="single" w:color="auto" w:sz="4" w:space="0"/>
              <w:bottom w:val="single" w:color="auto" w:sz="4" w:space="0"/>
              <w:right w:val="single" w:color="auto" w:sz="4" w:space="0"/>
            </w:tcBorders>
            <w:vAlign w:val="center"/>
          </w:tcPr>
          <w:p w14:paraId="16C37417">
            <w:pPr>
              <w:rPr>
                <w:rFonts w:hint="eastAsia" w:ascii="方正楷体_GB2312" w:hAnsi="方正楷体_GB2312" w:eastAsia="方正楷体_GB2312" w:cs="方正楷体_GB2312"/>
                <w:color w:val="auto"/>
                <w:kern w:val="0"/>
                <w:sz w:val="24"/>
                <w:highlight w:val="none"/>
                <w:lang w:val="en-US" w:eastAsia="zh-CN"/>
              </w:rPr>
            </w:pPr>
            <w:r>
              <w:rPr>
                <w:rFonts w:hint="eastAsia" w:ascii="方正楷体_GB2312" w:hAnsi="方正楷体_GB2312" w:eastAsia="方正楷体_GB2312" w:cs="方正楷体_GB2312"/>
                <w:b/>
                <w:color w:val="auto"/>
                <w:sz w:val="24"/>
                <w:szCs w:val="24"/>
                <w:highlight w:val="none"/>
              </w:rPr>
              <w:t>资格审查</w:t>
            </w:r>
            <w:r>
              <w:rPr>
                <w:rFonts w:hint="eastAsia" w:ascii="方正楷体_GB2312" w:hAnsi="方正楷体_GB2312" w:eastAsia="方正楷体_GB2312" w:cs="方正楷体_GB2312"/>
                <w:b/>
                <w:color w:val="auto"/>
                <w:sz w:val="24"/>
                <w:szCs w:val="24"/>
                <w:highlight w:val="none"/>
                <w:lang w:eastAsia="zh-CN"/>
              </w:rPr>
              <w:t>请按第二部分供应商须知</w:t>
            </w:r>
            <w:r>
              <w:rPr>
                <w:rFonts w:hint="eastAsia" w:ascii="方正楷体_GB2312" w:hAnsi="方正楷体_GB2312" w:eastAsia="方正楷体_GB2312" w:cs="方正楷体_GB2312"/>
                <w:b/>
                <w:color w:val="auto"/>
                <w:sz w:val="24"/>
                <w:szCs w:val="24"/>
                <w:highlight w:val="none"/>
                <w:lang w:val="en-US" w:eastAsia="zh-CN"/>
              </w:rPr>
              <w:t>F评审方法中</w:t>
            </w:r>
            <w:r>
              <w:rPr>
                <w:rFonts w:hint="eastAsia" w:ascii="方正楷体_GB2312" w:hAnsi="方正楷体_GB2312" w:eastAsia="方正楷体_GB2312" w:cs="方正楷体_GB2312"/>
                <w:b/>
                <w:color w:val="auto"/>
                <w:sz w:val="24"/>
                <w:szCs w:val="24"/>
                <w:highlight w:val="none"/>
                <w:lang w:eastAsia="zh-CN"/>
              </w:rPr>
              <w:t>资格性审查项中的要求逐项将</w:t>
            </w:r>
            <w:r>
              <w:rPr>
                <w:rFonts w:hint="eastAsia" w:ascii="方正楷体_GB2312" w:hAnsi="方正楷体_GB2312" w:eastAsia="方正楷体_GB2312" w:cs="方正楷体_GB2312"/>
                <w:b/>
                <w:color w:val="auto"/>
                <w:sz w:val="24"/>
                <w:szCs w:val="24"/>
                <w:highlight w:val="none"/>
                <w:lang w:val="en-US" w:eastAsia="zh-CN"/>
              </w:rPr>
              <w:t>项扫描件加盖公章上传至加密文档中</w:t>
            </w:r>
          </w:p>
        </w:tc>
      </w:tr>
      <w:tr w14:paraId="064FE8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22FB2A6">
            <w:pPr>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15</w:t>
            </w:r>
          </w:p>
        </w:tc>
        <w:tc>
          <w:tcPr>
            <w:tcW w:w="8883" w:type="dxa"/>
            <w:tcBorders>
              <w:top w:val="single" w:color="auto" w:sz="4" w:space="0"/>
              <w:left w:val="single" w:color="auto" w:sz="4" w:space="0"/>
              <w:bottom w:val="single" w:color="auto" w:sz="4" w:space="0"/>
              <w:right w:val="single" w:color="auto" w:sz="4" w:space="0"/>
            </w:tcBorders>
            <w:vAlign w:val="center"/>
          </w:tcPr>
          <w:p w14:paraId="7AA2992E">
            <w:pPr>
              <w:rPr>
                <w:rFonts w:hint="eastAsia" w:ascii="方正楷体_GB2312" w:hAnsi="方正楷体_GB2312" w:eastAsia="方正楷体_GB2312" w:cs="方正楷体_GB2312"/>
                <w:b/>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rPr>
              <w:t>采购</w:t>
            </w:r>
            <w:r>
              <w:rPr>
                <w:rFonts w:hint="eastAsia" w:ascii="方正楷体_GB2312" w:hAnsi="方正楷体_GB2312" w:eastAsia="方正楷体_GB2312" w:cs="方正楷体_GB2312"/>
                <w:color w:val="auto"/>
                <w:sz w:val="24"/>
                <w:szCs w:val="24"/>
                <w:highlight w:val="none"/>
                <w:lang w:eastAsia="zh-CN"/>
              </w:rPr>
              <w:t>项目</w:t>
            </w:r>
            <w:r>
              <w:rPr>
                <w:rFonts w:hint="eastAsia" w:ascii="方正楷体_GB2312" w:hAnsi="方正楷体_GB2312" w:eastAsia="方正楷体_GB2312" w:cs="方正楷体_GB2312"/>
                <w:color w:val="auto"/>
                <w:sz w:val="24"/>
                <w:szCs w:val="24"/>
                <w:highlight w:val="none"/>
              </w:rPr>
              <w:t>预算</w:t>
            </w:r>
            <w:r>
              <w:rPr>
                <w:rFonts w:hint="eastAsia" w:ascii="方正楷体_GB2312" w:hAnsi="方正楷体_GB2312" w:eastAsia="方正楷体_GB2312" w:cs="方正楷体_GB2312"/>
                <w:color w:val="auto"/>
                <w:sz w:val="24"/>
                <w:szCs w:val="24"/>
                <w:highlight w:val="none"/>
                <w:lang w:eastAsia="zh-CN"/>
              </w:rPr>
              <w:t>总</w:t>
            </w:r>
            <w:r>
              <w:rPr>
                <w:rFonts w:hint="eastAsia" w:ascii="方正楷体_GB2312" w:hAnsi="方正楷体_GB2312" w:eastAsia="方正楷体_GB2312" w:cs="方正楷体_GB2312"/>
                <w:color w:val="auto"/>
                <w:sz w:val="24"/>
                <w:szCs w:val="24"/>
                <w:highlight w:val="none"/>
              </w:rPr>
              <w:t>金额</w:t>
            </w:r>
            <w:r>
              <w:rPr>
                <w:rFonts w:hint="eastAsia" w:ascii="方正楷体_GB2312" w:hAnsi="方正楷体_GB2312" w:eastAsia="方正楷体_GB2312" w:cs="方正楷体_GB2312"/>
                <w:color w:val="auto"/>
                <w:sz w:val="24"/>
                <w:szCs w:val="24"/>
                <w:highlight w:val="none"/>
                <w:lang w:eastAsia="zh-CN"/>
              </w:rPr>
              <w:t>：</w:t>
            </w:r>
            <w:r>
              <w:rPr>
                <w:rFonts w:hint="eastAsia" w:ascii="方正楷体_GB2312" w:hAnsi="方正楷体_GB2312" w:eastAsia="方正楷体_GB2312" w:cs="方正楷体_GB2312"/>
                <w:color w:val="auto"/>
                <w:kern w:val="2"/>
                <w:sz w:val="24"/>
                <w:szCs w:val="24"/>
                <w:highlight w:val="none"/>
                <w:lang w:val="en-US" w:eastAsia="zh-CN" w:bidi="ar-SA"/>
              </w:rPr>
              <w:t>1490000.00元</w:t>
            </w:r>
          </w:p>
        </w:tc>
      </w:tr>
      <w:tr w14:paraId="084DD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478637E">
            <w:pPr>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16</w:t>
            </w:r>
          </w:p>
        </w:tc>
        <w:tc>
          <w:tcPr>
            <w:tcW w:w="8883" w:type="dxa"/>
            <w:tcBorders>
              <w:top w:val="single" w:color="auto" w:sz="4" w:space="0"/>
              <w:left w:val="single" w:color="auto" w:sz="4" w:space="0"/>
              <w:bottom w:val="single" w:color="auto" w:sz="4" w:space="0"/>
              <w:right w:val="single" w:color="auto" w:sz="4" w:space="0"/>
            </w:tcBorders>
            <w:vAlign w:val="center"/>
          </w:tcPr>
          <w:p w14:paraId="724C5065">
            <w:pPr>
              <w:pStyle w:val="310"/>
              <w:shd w:val="clear" w:fill="FFFFFF" w:themeFill="background1"/>
              <w:spacing w:before="74" w:line="400" w:lineRule="exact"/>
              <w:ind w:left="42" w:leftChars="20" w:right="42" w:rightChars="20"/>
              <w:rPr>
                <w:rFonts w:hint="default"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sz w:val="24"/>
                <w:szCs w:val="24"/>
                <w:highlight w:val="none"/>
              </w:rPr>
              <w:t>限价</w:t>
            </w:r>
            <w:r>
              <w:rPr>
                <w:rFonts w:hint="eastAsia" w:ascii="方正楷体_GB2312" w:hAnsi="方正楷体_GB2312" w:eastAsia="方正楷体_GB2312" w:cs="方正楷体_GB2312"/>
                <w:color w:val="auto"/>
                <w:sz w:val="24"/>
                <w:szCs w:val="24"/>
                <w:highlight w:val="none"/>
                <w:lang w:eastAsia="zh-CN"/>
              </w:rPr>
              <w:t>（</w:t>
            </w:r>
            <w:r>
              <w:rPr>
                <w:rFonts w:hint="eastAsia" w:ascii="方正楷体_GB2312" w:hAnsi="方正楷体_GB2312" w:eastAsia="方正楷体_GB2312" w:cs="方正楷体_GB2312"/>
                <w:color w:val="auto"/>
                <w:sz w:val="24"/>
                <w:szCs w:val="24"/>
                <w:highlight w:val="none"/>
                <w:lang w:val="en-US" w:eastAsia="zh-CN"/>
              </w:rPr>
              <w:t>下浮率</w:t>
            </w:r>
            <w:r>
              <w:rPr>
                <w:rFonts w:hint="eastAsia" w:ascii="方正楷体_GB2312" w:hAnsi="方正楷体_GB2312" w:eastAsia="方正楷体_GB2312" w:cs="方正楷体_GB2312"/>
                <w:color w:val="auto"/>
                <w:sz w:val="24"/>
                <w:szCs w:val="24"/>
                <w:highlight w:val="none"/>
                <w:lang w:eastAsia="zh-CN"/>
              </w:rPr>
              <w:t>）：</w:t>
            </w:r>
            <w:r>
              <w:rPr>
                <w:rFonts w:hint="eastAsia" w:ascii="方正楷体_GB2312" w:hAnsi="方正楷体_GB2312" w:eastAsia="方正楷体_GB2312" w:cs="方正楷体_GB2312"/>
                <w:color w:val="auto"/>
                <w:kern w:val="2"/>
                <w:sz w:val="24"/>
                <w:szCs w:val="24"/>
                <w:highlight w:val="none"/>
                <w:lang w:val="en-US" w:eastAsia="zh-CN" w:bidi="ar-SA"/>
              </w:rPr>
              <w:t>不得低于:5%（1-投标报价/采购预算）*100%</w:t>
            </w:r>
          </w:p>
          <w:p w14:paraId="36CF1BD0">
            <w:pPr>
              <w:pStyle w:val="310"/>
              <w:shd w:val="clear" w:fill="FFFFFF" w:themeFill="background1"/>
              <w:spacing w:before="74" w:line="400" w:lineRule="exact"/>
              <w:ind w:left="42" w:leftChars="20" w:right="42" w:rightChars="20"/>
              <w:jc w:val="both"/>
              <w:rPr>
                <w:rFonts w:hint="eastAsia" w:ascii="方正楷体_GB2312" w:hAnsi="方正楷体_GB2312" w:eastAsia="方正楷体_GB2312" w:cs="方正楷体_GB2312"/>
                <w:b/>
                <w:color w:val="auto"/>
                <w:sz w:val="24"/>
                <w:szCs w:val="24"/>
                <w:highlight w:val="none"/>
              </w:rPr>
            </w:pPr>
            <w:r>
              <w:rPr>
                <w:rFonts w:hint="eastAsia" w:ascii="方正楷体_GB2312" w:hAnsi="方正楷体_GB2312" w:eastAsia="方正楷体_GB2312" w:cs="方正楷体_GB2312"/>
                <w:b/>
                <w:bCs/>
                <w:color w:val="auto"/>
                <w:kern w:val="2"/>
                <w:sz w:val="24"/>
                <w:szCs w:val="24"/>
                <w:highlight w:val="none"/>
                <w:lang w:val="en-US" w:eastAsia="zh-CN" w:bidi="ar-SA"/>
              </w:rPr>
              <w:t>注:下浮率以和硕县家满福超市、乐万家超市、幸福生活超市等零售价为基准(具体以业主询价为准)。供应商报价不得低于最低下浮率，低于最低下浮率视为无效响应。</w:t>
            </w:r>
          </w:p>
        </w:tc>
      </w:tr>
      <w:tr w14:paraId="6E826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698A41C">
            <w:pPr>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17</w:t>
            </w:r>
          </w:p>
        </w:tc>
        <w:tc>
          <w:tcPr>
            <w:tcW w:w="8883" w:type="dxa"/>
            <w:tcBorders>
              <w:top w:val="single" w:color="auto" w:sz="4" w:space="0"/>
              <w:left w:val="single" w:color="auto" w:sz="4" w:space="0"/>
              <w:bottom w:val="single" w:color="auto" w:sz="4" w:space="0"/>
              <w:right w:val="single" w:color="auto" w:sz="4" w:space="0"/>
            </w:tcBorders>
            <w:vAlign w:val="center"/>
          </w:tcPr>
          <w:p w14:paraId="261844FC">
            <w:pPr>
              <w:shd w:val="clear" w:fill="FFFFFF" w:themeFill="background1"/>
              <w:bidi w:val="0"/>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b/>
                <w:bCs/>
                <w:color w:val="auto"/>
                <w:kern w:val="2"/>
                <w:sz w:val="24"/>
                <w:szCs w:val="24"/>
                <w:highlight w:val="none"/>
                <w:lang w:val="en-US" w:eastAsia="zh-CN" w:bidi="ar-SA"/>
              </w:rPr>
              <w:t>代理服务费：</w:t>
            </w:r>
            <w:r>
              <w:rPr>
                <w:rFonts w:hint="eastAsia" w:ascii="方正楷体_GB2312" w:hAnsi="方正楷体_GB2312" w:eastAsia="方正楷体_GB2312" w:cs="方正楷体_GB2312"/>
                <w:color w:val="auto"/>
                <w:sz w:val="24"/>
                <w:szCs w:val="24"/>
                <w:highlight w:val="none"/>
                <w:lang w:val="zh-CN" w:eastAsia="zh-CN"/>
              </w:rPr>
              <w:t>代理报酬的计算方法：</w:t>
            </w:r>
          </w:p>
          <w:p w14:paraId="75FB9D57">
            <w:pPr>
              <w:shd w:val="clear" w:fill="FFFFFF" w:themeFill="background1"/>
              <w:bidi w:val="0"/>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zh-CN" w:eastAsia="zh-CN"/>
              </w:rPr>
              <w:t>1、按计价格</w:t>
            </w:r>
            <w:r>
              <w:rPr>
                <w:rFonts w:hint="eastAsia" w:ascii="方正楷体_GB2312" w:hAnsi="方正楷体_GB2312" w:eastAsia="方正楷体_GB2312" w:cs="方正楷体_GB2312"/>
                <w:color w:val="auto"/>
                <w:sz w:val="24"/>
                <w:szCs w:val="24"/>
                <w:highlight w:val="none"/>
                <w:lang w:val="en-US" w:eastAsia="zh-CN"/>
              </w:rPr>
              <w:t>（2002）1980号标准计取</w:t>
            </w:r>
          </w:p>
          <w:p w14:paraId="70F81F8B">
            <w:pPr>
              <w:shd w:val="clear" w:fill="FFFFFF" w:themeFill="background1"/>
              <w:bidi w:val="0"/>
              <w:rPr>
                <w:rFonts w:hint="eastAsia" w:ascii="方正楷体_GB2312" w:hAnsi="方正楷体_GB2312" w:eastAsia="方正楷体_GB2312" w:cs="方正楷体_GB2312"/>
                <w:b/>
                <w:bCs/>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zh-CN" w:eastAsia="zh-CN"/>
              </w:rPr>
              <w:t>2、代理报酬支付方式：由</w:t>
            </w:r>
            <w:r>
              <w:rPr>
                <w:rFonts w:hint="eastAsia" w:ascii="方正楷体_GB2312" w:hAnsi="方正楷体_GB2312" w:eastAsia="方正楷体_GB2312" w:cs="方正楷体_GB2312"/>
                <w:color w:val="auto"/>
                <w:sz w:val="24"/>
                <w:szCs w:val="24"/>
                <w:highlight w:val="none"/>
                <w:lang w:val="en-US" w:eastAsia="zh-CN"/>
              </w:rPr>
              <w:t>成交供应商</w:t>
            </w:r>
            <w:r>
              <w:rPr>
                <w:rFonts w:hint="eastAsia" w:ascii="方正楷体_GB2312" w:hAnsi="方正楷体_GB2312" w:eastAsia="方正楷体_GB2312" w:cs="方正楷体_GB2312"/>
                <w:color w:val="auto"/>
                <w:sz w:val="24"/>
                <w:szCs w:val="24"/>
                <w:highlight w:val="none"/>
                <w:lang w:val="zh-CN" w:eastAsia="zh-CN"/>
              </w:rPr>
              <w:t>支付。</w:t>
            </w:r>
          </w:p>
          <w:p w14:paraId="4F2DC2C5">
            <w:pPr>
              <w:keepNext w:val="0"/>
              <w:keepLines w:val="0"/>
              <w:widowControl/>
              <w:suppressLineNumbers w:val="0"/>
              <w:shd w:val="clear" w:fill="FFFFFF" w:themeFill="background1"/>
              <w:jc w:val="left"/>
              <w:rPr>
                <w:rFonts w:hint="eastAsia" w:ascii="方正楷体_GB2312" w:hAnsi="方正楷体_GB2312" w:eastAsia="方正楷体_GB2312" w:cs="方正楷体_GB2312"/>
                <w:color w:val="auto"/>
                <w:sz w:val="24"/>
                <w:szCs w:val="24"/>
                <w:highlight w:val="none"/>
                <w:lang w:val="zh-CN" w:eastAsia="zh-CN"/>
              </w:rPr>
            </w:pPr>
            <w:r>
              <w:rPr>
                <w:rFonts w:hint="eastAsia" w:ascii="方正楷体_GB2312" w:hAnsi="方正楷体_GB2312" w:eastAsia="方正楷体_GB2312" w:cs="方正楷体_GB2312"/>
                <w:color w:val="auto"/>
                <w:sz w:val="24"/>
                <w:szCs w:val="24"/>
                <w:highlight w:val="none"/>
                <w:lang w:val="zh-CN" w:eastAsia="zh-CN"/>
              </w:rPr>
              <w:t>3、代理报酬的支付时间：由成交供应商领取中标（成交）通知书前支付。</w:t>
            </w:r>
          </w:p>
          <w:p w14:paraId="2F574644">
            <w:pPr>
              <w:pStyle w:val="310"/>
              <w:shd w:val="clear" w:fill="FFFFFF" w:themeFill="background1"/>
              <w:spacing w:before="74" w:line="400" w:lineRule="exact"/>
              <w:ind w:left="42" w:leftChars="20" w:right="42" w:rightChars="20"/>
              <w:jc w:val="both"/>
              <w:rPr>
                <w:rFonts w:hint="eastAsia" w:ascii="方正楷体_GB2312" w:hAnsi="方正楷体_GB2312" w:eastAsia="方正楷体_GB2312" w:cs="方正楷体_GB2312"/>
                <w:b/>
                <w:bCs/>
                <w:color w:val="auto"/>
                <w:kern w:val="2"/>
                <w:sz w:val="24"/>
                <w:szCs w:val="24"/>
                <w:highlight w:val="none"/>
                <w:lang w:val="en-US" w:eastAsia="zh-CN" w:bidi="ar-SA"/>
              </w:rPr>
            </w:pPr>
            <w:r>
              <w:rPr>
                <w:rFonts w:hint="eastAsia" w:ascii="方正楷体_GB2312" w:hAnsi="方正楷体_GB2312" w:eastAsia="方正楷体_GB2312" w:cs="方正楷体_GB2312"/>
                <w:b/>
                <w:bCs/>
                <w:color w:val="auto"/>
                <w:sz w:val="24"/>
                <w:szCs w:val="24"/>
                <w:highlight w:val="none"/>
                <w:lang w:val="en-US" w:eastAsia="zh-CN"/>
              </w:rPr>
              <w:t>注：</w:t>
            </w:r>
            <w:r>
              <w:rPr>
                <w:rFonts w:hint="eastAsia" w:ascii="方正楷体_GB2312" w:hAnsi="方正楷体_GB2312" w:eastAsia="方正楷体_GB2312" w:cs="方正楷体_GB2312"/>
                <w:b/>
                <w:bCs/>
                <w:color w:val="auto"/>
                <w:kern w:val="0"/>
                <w:sz w:val="24"/>
                <w:szCs w:val="24"/>
                <w:highlight w:val="none"/>
                <w:lang w:val="en-US" w:eastAsia="zh-CN" w:bidi="ar"/>
              </w:rPr>
              <w:t>不论投标的结果如何，供应商均应自行承担所有与参加投标有关 的全部费用。</w:t>
            </w:r>
          </w:p>
        </w:tc>
      </w:tr>
      <w:tr w14:paraId="76C92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8F186B1">
            <w:pPr>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18</w:t>
            </w:r>
          </w:p>
        </w:tc>
        <w:tc>
          <w:tcPr>
            <w:tcW w:w="8883" w:type="dxa"/>
            <w:tcBorders>
              <w:top w:val="single" w:color="auto" w:sz="4" w:space="0"/>
              <w:left w:val="single" w:color="auto" w:sz="4" w:space="0"/>
              <w:bottom w:val="single" w:color="auto" w:sz="4" w:space="0"/>
              <w:right w:val="single" w:color="auto" w:sz="4" w:space="0"/>
            </w:tcBorders>
            <w:vAlign w:val="center"/>
          </w:tcPr>
          <w:p w14:paraId="775551D0">
            <w:pPr>
              <w:pStyle w:val="310"/>
              <w:shd w:val="clear" w:fill="FFFFFF" w:themeFill="background1"/>
              <w:spacing w:before="74" w:line="400" w:lineRule="exact"/>
              <w:ind w:left="42" w:leftChars="20" w:right="42" w:rightChars="20"/>
              <w:jc w:val="both"/>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备注；</w:t>
            </w:r>
          </w:p>
          <w:p w14:paraId="7E4AB4CC">
            <w:pPr>
              <w:pStyle w:val="310"/>
              <w:shd w:val="clear" w:fill="FFFFFF" w:themeFill="background1"/>
              <w:spacing w:before="74" w:line="400" w:lineRule="exact"/>
              <w:ind w:left="42" w:leftChars="20" w:right="42" w:rightChars="20"/>
              <w:jc w:val="both"/>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①确定供应商后，采购人会实地考察供应商公司人员及运营状况等是否真实符合其投标文件提供的内容，若存在弄虚作假的情形甲方有权取消其中标资格。由排名次之的供应商依次递补。</w:t>
            </w:r>
          </w:p>
          <w:p w14:paraId="235D16D2">
            <w:pPr>
              <w:pStyle w:val="310"/>
              <w:shd w:val="clear" w:fill="FFFFFF" w:themeFill="background1"/>
              <w:spacing w:before="74" w:line="400" w:lineRule="exact"/>
              <w:ind w:left="42" w:leftChars="20" w:right="42" w:rightChars="20"/>
              <w:jc w:val="both"/>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②供应商存在违约行为、提供的货物存在质量问题、违反谈判文件和合同的行为，并且不予纠正的，采购人有权终止合同、取消其中标资格。由排名次之的供应商依次递补。</w:t>
            </w:r>
          </w:p>
          <w:p w14:paraId="425B8FA5">
            <w:pPr>
              <w:pStyle w:val="310"/>
              <w:shd w:val="clear" w:fill="FFFFFF" w:themeFill="background1"/>
              <w:spacing w:before="74" w:line="400" w:lineRule="exact"/>
              <w:ind w:left="42" w:leftChars="20" w:right="42" w:rightChars="20"/>
              <w:jc w:val="both"/>
              <w:rPr>
                <w:rFonts w:hint="eastAsia" w:ascii="方正楷体_GB2312" w:hAnsi="方正楷体_GB2312" w:eastAsia="方正楷体_GB2312" w:cs="方正楷体_GB2312"/>
                <w:b w:val="0"/>
                <w:bCs w:val="0"/>
                <w:color w:val="auto"/>
                <w:sz w:val="24"/>
                <w:szCs w:val="24"/>
                <w:highlight w:val="none"/>
                <w:lang w:val="en-US" w:eastAsia="zh-CN"/>
              </w:rPr>
            </w:pPr>
          </w:p>
        </w:tc>
      </w:tr>
      <w:tr w14:paraId="027FE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0B8BD68">
            <w:pPr>
              <w:jc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19</w:t>
            </w:r>
          </w:p>
        </w:tc>
        <w:tc>
          <w:tcPr>
            <w:tcW w:w="8883" w:type="dxa"/>
            <w:tcBorders>
              <w:top w:val="single" w:color="auto" w:sz="4" w:space="0"/>
              <w:left w:val="single" w:color="auto" w:sz="4" w:space="0"/>
              <w:bottom w:val="single" w:color="auto" w:sz="4" w:space="0"/>
              <w:right w:val="single" w:color="auto" w:sz="4" w:space="0"/>
            </w:tcBorders>
            <w:vAlign w:val="center"/>
          </w:tcPr>
          <w:p w14:paraId="27F318E4">
            <w:pPr>
              <w:pStyle w:val="310"/>
              <w:shd w:val="clear" w:fill="FFFFFF" w:themeFill="background1"/>
              <w:spacing w:before="74" w:line="400" w:lineRule="exact"/>
              <w:ind w:left="42" w:leftChars="20" w:right="42" w:rightChars="20"/>
              <w:jc w:val="both"/>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注：</w:t>
            </w:r>
          </w:p>
          <w:p w14:paraId="7808CAEB">
            <w:pPr>
              <w:pStyle w:val="310"/>
              <w:shd w:val="clear" w:fill="FFFFFF" w:themeFill="background1"/>
              <w:spacing w:before="74" w:line="400" w:lineRule="exact"/>
              <w:ind w:left="42" w:leftChars="20" w:right="42" w:rightChars="20"/>
              <w:jc w:val="both"/>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1.供应商必须认真阅读谈判文件中所有的事项、格式、条款和招标人需求等。供应商没有按照谈判文件要求提交全部资料，或者投标文件没有对谈判文件在各方面都做出实质性响应是供应商的风险，并可能导致其投标无效或被拒绝。</w:t>
            </w:r>
          </w:p>
          <w:p w14:paraId="49D3B6AC">
            <w:pPr>
              <w:pStyle w:val="310"/>
              <w:shd w:val="clear" w:fill="FFFFFF" w:themeFill="background1"/>
              <w:spacing w:before="74" w:line="400" w:lineRule="exact"/>
              <w:ind w:left="42" w:leftChars="20" w:right="42" w:rightChars="20"/>
              <w:jc w:val="both"/>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2.供应商需要知悉中小学校园食品安全及膳食经费等方面相关规定办法”</w:t>
            </w:r>
          </w:p>
        </w:tc>
      </w:tr>
      <w:tr w14:paraId="141D08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9587" w:type="dxa"/>
            <w:gridSpan w:val="2"/>
            <w:tcBorders>
              <w:top w:val="single" w:color="auto" w:sz="4" w:space="0"/>
              <w:left w:val="single" w:color="auto" w:sz="4" w:space="0"/>
              <w:bottom w:val="single" w:color="auto" w:sz="4" w:space="0"/>
              <w:right w:val="single" w:color="auto" w:sz="4" w:space="0"/>
            </w:tcBorders>
            <w:vAlign w:val="center"/>
          </w:tcPr>
          <w:p w14:paraId="6912E3F0">
            <w:pPr>
              <w:rPr>
                <w:rFonts w:hint="eastAsia" w:ascii="方正楷体_GB2312" w:hAnsi="方正楷体_GB2312" w:eastAsia="方正楷体_GB2312" w:cs="方正楷体_GB2312"/>
                <w:bCs/>
                <w:color w:val="auto"/>
                <w:sz w:val="24"/>
                <w:szCs w:val="24"/>
                <w:highlight w:val="none"/>
                <w:lang w:val="en-US"/>
              </w:rPr>
            </w:pPr>
          </w:p>
        </w:tc>
      </w:tr>
    </w:tbl>
    <w:p w14:paraId="5ADF7BBF">
      <w:pPr>
        <w:widowControl/>
        <w:jc w:val="center"/>
        <w:rPr>
          <w:rStyle w:val="65"/>
          <w:rFonts w:hint="eastAsia" w:ascii="方正楷体_GB2312" w:hAnsi="方正楷体_GB2312" w:eastAsia="方正楷体_GB2312" w:cs="方正楷体_GB2312"/>
          <w:lang w:val="en-US" w:eastAsia="zh-CN"/>
        </w:rPr>
      </w:pPr>
      <w:bookmarkStart w:id="3" w:name="_Toc182131585"/>
      <w:r>
        <w:rPr>
          <w:rFonts w:hint="eastAsia" w:ascii="方正楷体_GB2312" w:hAnsi="方正楷体_GB2312" w:eastAsia="方正楷体_GB2312" w:cs="方正楷体_GB2312"/>
          <w:color w:val="auto"/>
          <w:sz w:val="24"/>
          <w:szCs w:val="24"/>
          <w:highlight w:val="none"/>
        </w:rPr>
        <w:br w:type="page"/>
      </w:r>
      <w:bookmarkStart w:id="4" w:name="_Toc5169"/>
      <w:r>
        <w:rPr>
          <w:rStyle w:val="65"/>
          <w:rFonts w:hint="eastAsia" w:ascii="方正楷体_GB2312" w:hAnsi="方正楷体_GB2312" w:eastAsia="方正楷体_GB2312" w:cs="方正楷体_GB2312"/>
          <w:lang w:val="en-US" w:eastAsia="zh-CN"/>
        </w:rPr>
        <w:t>A  说　明</w:t>
      </w:r>
      <w:bookmarkEnd w:id="3"/>
      <w:bookmarkEnd w:id="4"/>
    </w:p>
    <w:p w14:paraId="73362CFA">
      <w:pPr>
        <w:rPr>
          <w:rFonts w:hint="eastAsia" w:ascii="方正楷体_GB2312" w:hAnsi="方正楷体_GB2312" w:eastAsia="方正楷体_GB2312" w:cs="方正楷体_GB2312"/>
          <w:color w:val="auto"/>
          <w:sz w:val="24"/>
          <w:szCs w:val="24"/>
          <w:highlight w:val="none"/>
        </w:rPr>
      </w:pPr>
      <w:bookmarkStart w:id="5" w:name="_Toc182131586"/>
      <w:bookmarkStart w:id="6" w:name="_Toc182131590"/>
      <w:r>
        <w:rPr>
          <w:rFonts w:hint="eastAsia" w:ascii="方正楷体_GB2312" w:hAnsi="方正楷体_GB2312" w:eastAsia="方正楷体_GB2312" w:cs="方正楷体_GB2312"/>
          <w:b/>
          <w:bCs/>
          <w:color w:val="auto"/>
          <w:sz w:val="24"/>
          <w:szCs w:val="24"/>
          <w:highlight w:val="none"/>
        </w:rPr>
        <w:t>1. 适用范围</w:t>
      </w:r>
      <w:bookmarkEnd w:id="5"/>
    </w:p>
    <w:p w14:paraId="4C99916A">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 xml:space="preserve"> 本谈判文件仅适用于本次谈判邀请中所叙述项目的</w:t>
      </w:r>
      <w:r>
        <w:rPr>
          <w:rFonts w:hint="eastAsia" w:ascii="方正楷体_GB2312" w:hAnsi="方正楷体_GB2312" w:eastAsia="方正楷体_GB2312" w:cs="方正楷体_GB2312"/>
          <w:bCs/>
          <w:color w:val="auto"/>
          <w:sz w:val="24"/>
          <w:szCs w:val="24"/>
          <w:highlight w:val="none"/>
          <w:lang w:eastAsia="zh-CN"/>
        </w:rPr>
        <w:t>货物</w:t>
      </w:r>
      <w:r>
        <w:rPr>
          <w:rFonts w:hint="eastAsia" w:ascii="方正楷体_GB2312" w:hAnsi="方正楷体_GB2312" w:eastAsia="方正楷体_GB2312" w:cs="方正楷体_GB2312"/>
          <w:bCs/>
          <w:color w:val="auto"/>
          <w:sz w:val="24"/>
          <w:szCs w:val="24"/>
          <w:highlight w:val="none"/>
        </w:rPr>
        <w:t>和相关服务</w:t>
      </w:r>
      <w:r>
        <w:rPr>
          <w:rFonts w:hint="eastAsia" w:ascii="方正楷体_GB2312" w:hAnsi="方正楷体_GB2312" w:eastAsia="方正楷体_GB2312" w:cs="方正楷体_GB2312"/>
          <w:color w:val="auto"/>
          <w:sz w:val="24"/>
          <w:szCs w:val="24"/>
          <w:highlight w:val="none"/>
        </w:rPr>
        <w:t>采购。</w:t>
      </w:r>
    </w:p>
    <w:p w14:paraId="2E21E5D1">
      <w:pPr>
        <w:rPr>
          <w:rFonts w:hint="eastAsia" w:ascii="方正楷体_GB2312" w:hAnsi="方正楷体_GB2312" w:eastAsia="方正楷体_GB2312" w:cs="方正楷体_GB2312"/>
          <w:b/>
          <w:bCs/>
          <w:color w:val="auto"/>
          <w:sz w:val="24"/>
          <w:szCs w:val="24"/>
          <w:highlight w:val="none"/>
        </w:rPr>
      </w:pPr>
      <w:bookmarkStart w:id="7" w:name="_Toc182131587"/>
      <w:r>
        <w:rPr>
          <w:rFonts w:hint="eastAsia" w:ascii="方正楷体_GB2312" w:hAnsi="方正楷体_GB2312" w:eastAsia="方正楷体_GB2312" w:cs="方正楷体_GB2312"/>
          <w:b/>
          <w:bCs/>
          <w:color w:val="auto"/>
          <w:sz w:val="24"/>
          <w:szCs w:val="24"/>
          <w:highlight w:val="none"/>
        </w:rPr>
        <w:t>2．定义</w:t>
      </w:r>
      <w:bookmarkEnd w:id="7"/>
    </w:p>
    <w:p w14:paraId="7194A6A3">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2.1 “采购代理机构”系指</w:t>
      </w:r>
      <w:r>
        <w:rPr>
          <w:rFonts w:hint="eastAsia" w:ascii="方正楷体_GB2312" w:hAnsi="方正楷体_GB2312" w:eastAsia="方正楷体_GB2312" w:cs="方正楷体_GB2312"/>
          <w:color w:val="auto"/>
          <w:sz w:val="24"/>
          <w:szCs w:val="24"/>
          <w:highlight w:val="none"/>
          <w:lang w:eastAsia="zh-CN"/>
        </w:rPr>
        <w:t>新疆立科得源工程项目管理咨询有限公司</w:t>
      </w:r>
      <w:r>
        <w:rPr>
          <w:rFonts w:hint="eastAsia" w:ascii="方正楷体_GB2312" w:hAnsi="方正楷体_GB2312" w:eastAsia="方正楷体_GB2312" w:cs="方正楷体_GB2312"/>
          <w:color w:val="auto"/>
          <w:sz w:val="24"/>
          <w:szCs w:val="24"/>
          <w:highlight w:val="none"/>
        </w:rPr>
        <w:t>；</w:t>
      </w:r>
    </w:p>
    <w:p w14:paraId="5B465802">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2.2 “</w:t>
      </w:r>
      <w:r>
        <w:rPr>
          <w:rFonts w:hint="eastAsia" w:ascii="方正楷体_GB2312" w:hAnsi="方正楷体_GB2312" w:eastAsia="方正楷体_GB2312" w:cs="方正楷体_GB2312"/>
          <w:color w:val="auto"/>
          <w:sz w:val="24"/>
          <w:szCs w:val="24"/>
          <w:highlight w:val="none"/>
          <w:lang w:eastAsia="zh-CN"/>
        </w:rPr>
        <w:t>采购人</w:t>
      </w:r>
      <w:r>
        <w:rPr>
          <w:rFonts w:hint="eastAsia" w:ascii="方正楷体_GB2312" w:hAnsi="方正楷体_GB2312" w:eastAsia="方正楷体_GB2312" w:cs="方正楷体_GB2312"/>
          <w:color w:val="auto"/>
          <w:sz w:val="24"/>
          <w:szCs w:val="24"/>
          <w:highlight w:val="none"/>
        </w:rPr>
        <w:t>”系指</w:t>
      </w:r>
      <w:r>
        <w:rPr>
          <w:rFonts w:hint="eastAsia" w:ascii="方正楷体_GB2312" w:hAnsi="方正楷体_GB2312" w:eastAsia="方正楷体_GB2312" w:cs="方正楷体_GB2312"/>
          <w:color w:val="auto"/>
          <w:sz w:val="24"/>
          <w:szCs w:val="24"/>
          <w:highlight w:val="none"/>
          <w:lang w:eastAsia="zh-CN"/>
        </w:rPr>
        <w:t>和硕县教育和科学技术局</w:t>
      </w:r>
      <w:r>
        <w:rPr>
          <w:rFonts w:hint="eastAsia" w:ascii="方正楷体_GB2312" w:hAnsi="方正楷体_GB2312" w:eastAsia="方正楷体_GB2312" w:cs="方正楷体_GB2312"/>
          <w:color w:val="auto"/>
          <w:sz w:val="24"/>
          <w:szCs w:val="24"/>
          <w:highlight w:val="none"/>
        </w:rPr>
        <w:t>；</w:t>
      </w:r>
    </w:p>
    <w:p w14:paraId="03C19063">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2.3 “谈判供应商”系指向</w:t>
      </w:r>
      <w:r>
        <w:rPr>
          <w:rFonts w:hint="eastAsia" w:ascii="方正楷体_GB2312" w:hAnsi="方正楷体_GB2312" w:eastAsia="方正楷体_GB2312" w:cs="方正楷体_GB2312"/>
          <w:color w:val="auto"/>
          <w:sz w:val="24"/>
          <w:szCs w:val="24"/>
          <w:highlight w:val="none"/>
          <w:lang w:eastAsia="zh-CN"/>
        </w:rPr>
        <w:t>采购代理机构</w:t>
      </w:r>
      <w:r>
        <w:rPr>
          <w:rFonts w:hint="eastAsia" w:ascii="方正楷体_GB2312" w:hAnsi="方正楷体_GB2312" w:eastAsia="方正楷体_GB2312" w:cs="方正楷体_GB2312"/>
          <w:color w:val="auto"/>
          <w:sz w:val="24"/>
          <w:szCs w:val="24"/>
          <w:highlight w:val="none"/>
        </w:rPr>
        <w:t>提交谈判响应文件的供应商；</w:t>
      </w:r>
    </w:p>
    <w:p w14:paraId="30A911A7">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 xml:space="preserve">2.4 </w:t>
      </w:r>
      <w:bookmarkStart w:id="8" w:name="_Toc182131588"/>
      <w:r>
        <w:rPr>
          <w:rFonts w:hint="eastAsia" w:ascii="方正楷体_GB2312" w:hAnsi="方正楷体_GB2312" w:eastAsia="方正楷体_GB2312" w:cs="方正楷体_GB2312"/>
          <w:color w:val="auto"/>
          <w:sz w:val="24"/>
          <w:szCs w:val="24"/>
          <w:highlight w:val="none"/>
        </w:rPr>
        <w:t xml:space="preserve"> “成交方”系指在本次谈判中成交，将被授予合同的供应商，即成为“成交方”。</w:t>
      </w:r>
    </w:p>
    <w:p w14:paraId="7AE8B7A7">
      <w:pPr>
        <w:rPr>
          <w:rFonts w:hint="eastAsia" w:ascii="方正楷体_GB2312" w:hAnsi="方正楷体_GB2312" w:eastAsia="方正楷体_GB2312" w:cs="方正楷体_GB2312"/>
          <w:b/>
          <w:bCs/>
          <w:color w:val="auto"/>
          <w:sz w:val="24"/>
          <w:szCs w:val="24"/>
          <w:highlight w:val="none"/>
        </w:rPr>
      </w:pPr>
      <w:r>
        <w:rPr>
          <w:rFonts w:hint="eastAsia" w:ascii="方正楷体_GB2312" w:hAnsi="方正楷体_GB2312" w:eastAsia="方正楷体_GB2312" w:cs="方正楷体_GB2312"/>
          <w:b/>
          <w:bCs/>
          <w:color w:val="auto"/>
          <w:sz w:val="24"/>
          <w:szCs w:val="24"/>
          <w:highlight w:val="none"/>
        </w:rPr>
        <w:t>3．合格的</w:t>
      </w:r>
      <w:bookmarkEnd w:id="8"/>
      <w:r>
        <w:rPr>
          <w:rFonts w:hint="eastAsia" w:ascii="方正楷体_GB2312" w:hAnsi="方正楷体_GB2312" w:eastAsia="方正楷体_GB2312" w:cs="方正楷体_GB2312"/>
          <w:b/>
          <w:bCs/>
          <w:color w:val="auto"/>
          <w:sz w:val="24"/>
          <w:szCs w:val="24"/>
          <w:highlight w:val="none"/>
        </w:rPr>
        <w:t>供应商</w:t>
      </w:r>
    </w:p>
    <w:p w14:paraId="4DCBB93A">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3.1 有能力完成并提供谈判文件中所要求的</w:t>
      </w:r>
      <w:r>
        <w:rPr>
          <w:rFonts w:hint="eastAsia" w:ascii="方正楷体_GB2312" w:hAnsi="方正楷体_GB2312" w:eastAsia="方正楷体_GB2312" w:cs="方正楷体_GB2312"/>
          <w:color w:val="auto"/>
          <w:sz w:val="24"/>
          <w:szCs w:val="24"/>
          <w:highlight w:val="none"/>
          <w:lang w:eastAsia="zh-CN"/>
        </w:rPr>
        <w:t>货物</w:t>
      </w:r>
      <w:r>
        <w:rPr>
          <w:rFonts w:hint="eastAsia" w:ascii="方正楷体_GB2312" w:hAnsi="方正楷体_GB2312" w:eastAsia="方正楷体_GB2312" w:cs="方正楷体_GB2312"/>
          <w:color w:val="auto"/>
          <w:sz w:val="24"/>
          <w:szCs w:val="24"/>
          <w:highlight w:val="none"/>
        </w:rPr>
        <w:t>及服务、资格审查合格的供应商为合格的供应商；</w:t>
      </w:r>
    </w:p>
    <w:p w14:paraId="3B472A3A">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3.2供应商必须遵守有关的国内法律和规章条例。</w:t>
      </w:r>
    </w:p>
    <w:p w14:paraId="729C142C">
      <w:pPr>
        <w:rPr>
          <w:rFonts w:hint="eastAsia" w:ascii="方正楷体_GB2312" w:hAnsi="方正楷体_GB2312" w:eastAsia="方正楷体_GB2312" w:cs="方正楷体_GB2312"/>
          <w:color w:val="auto"/>
          <w:sz w:val="24"/>
          <w:szCs w:val="24"/>
          <w:highlight w:val="none"/>
        </w:rPr>
      </w:pPr>
      <w:bookmarkStart w:id="9" w:name="_Toc182131589"/>
      <w:r>
        <w:rPr>
          <w:rFonts w:hint="eastAsia" w:ascii="方正楷体_GB2312" w:hAnsi="方正楷体_GB2312" w:eastAsia="方正楷体_GB2312" w:cs="方正楷体_GB2312"/>
          <w:b/>
          <w:bCs/>
          <w:color w:val="auto"/>
          <w:sz w:val="24"/>
          <w:szCs w:val="24"/>
          <w:highlight w:val="none"/>
        </w:rPr>
        <w:t>4．供应商资格</w:t>
      </w:r>
      <w:bookmarkEnd w:id="9"/>
    </w:p>
    <w:p w14:paraId="7652D0C4">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1.满足《中华人民共和国政府采购法》第二十二条规定：</w:t>
      </w:r>
    </w:p>
    <w:p w14:paraId="08D318FB">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（1）具有独立承担民事责任的能力；</w:t>
      </w:r>
    </w:p>
    <w:p w14:paraId="151888B6">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（2）具有良好的商业信誉和健全的财务会计制度；</w:t>
      </w:r>
    </w:p>
    <w:p w14:paraId="0FCABCD3">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（3）具有依法缴纳税收和社会保障资金的良好记录；</w:t>
      </w:r>
    </w:p>
    <w:p w14:paraId="75074B0F">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（4）具有履行合同所必需的货物和专业技术能力；</w:t>
      </w:r>
    </w:p>
    <w:p w14:paraId="6A96C189">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（5）参加政府采购活动前三年内，在经营活动中没有重大违法记录；</w:t>
      </w:r>
    </w:p>
    <w:p w14:paraId="4D6D807D">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（6）法律、行政法规规定的其他条件。</w:t>
      </w:r>
    </w:p>
    <w:p w14:paraId="0797E2E7">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2.落实政府采购政策需满足的资格要求：本项目专门面向小微企业。</w:t>
      </w:r>
      <w:r>
        <w:rPr>
          <w:rFonts w:hint="eastAsia" w:ascii="方正楷体_GB2312" w:hAnsi="方正楷体_GB2312" w:eastAsia="方正楷体_GB2312" w:cs="方正楷体_GB2312"/>
          <w:b w:val="0"/>
          <w:bCs w:val="0"/>
          <w:color w:val="auto"/>
          <w:sz w:val="24"/>
          <w:szCs w:val="24"/>
          <w:highlight w:val="none"/>
          <w:lang w:eastAsia="zh-CN"/>
        </w:rPr>
        <w:t>（</w:t>
      </w:r>
      <w:r>
        <w:rPr>
          <w:rFonts w:hint="eastAsia" w:ascii="方正楷体_GB2312" w:hAnsi="方正楷体_GB2312" w:eastAsia="方正楷体_GB2312" w:cs="方正楷体_GB2312"/>
          <w:b w:val="0"/>
          <w:bCs w:val="0"/>
          <w:color w:val="auto"/>
          <w:sz w:val="24"/>
          <w:szCs w:val="24"/>
          <w:highlight w:val="none"/>
          <w:lang w:val="en-US" w:eastAsia="zh-CN"/>
        </w:rPr>
        <w:t>含小型、微型</w:t>
      </w:r>
      <w:r>
        <w:rPr>
          <w:rFonts w:hint="eastAsia" w:ascii="方正楷体_GB2312" w:hAnsi="方正楷体_GB2312" w:eastAsia="方正楷体_GB2312" w:cs="方正楷体_GB2312"/>
          <w:b w:val="0"/>
          <w:bCs w:val="0"/>
          <w:color w:val="auto"/>
          <w:sz w:val="24"/>
          <w:szCs w:val="24"/>
          <w:highlight w:val="none"/>
          <w:lang w:eastAsia="zh-CN"/>
        </w:rPr>
        <w:t>）</w:t>
      </w:r>
      <w:r>
        <w:rPr>
          <w:rFonts w:hint="eastAsia" w:ascii="方正楷体_GB2312" w:hAnsi="方正楷体_GB2312" w:eastAsia="方正楷体_GB2312" w:cs="方正楷体_GB2312"/>
          <w:b w:val="0"/>
          <w:bCs w:val="0"/>
          <w:color w:val="auto"/>
          <w:sz w:val="24"/>
          <w:szCs w:val="24"/>
          <w:highlight w:val="none"/>
        </w:rPr>
        <w:t>本项目采购标的对应的中小企业划分标准所属行业为</w:t>
      </w:r>
      <w:r>
        <w:rPr>
          <w:rFonts w:hint="eastAsia" w:ascii="方正楷体_GB2312" w:hAnsi="方正楷体_GB2312" w:eastAsia="方正楷体_GB2312" w:cs="方正楷体_GB2312"/>
          <w:b w:val="0"/>
          <w:bCs w:val="0"/>
          <w:color w:val="auto"/>
          <w:sz w:val="24"/>
          <w:szCs w:val="24"/>
          <w:highlight w:val="none"/>
          <w:lang w:eastAsia="zh-CN"/>
        </w:rPr>
        <w:t>“</w:t>
      </w:r>
      <w:r>
        <w:rPr>
          <w:rFonts w:hint="eastAsia" w:ascii="方正楷体_GB2312" w:hAnsi="方正楷体_GB2312" w:eastAsia="方正楷体_GB2312" w:cs="方正楷体_GB2312"/>
          <w:b w:val="0"/>
          <w:bCs w:val="0"/>
          <w:color w:val="auto"/>
          <w:sz w:val="24"/>
          <w:szCs w:val="24"/>
          <w:highlight w:val="none"/>
          <w:lang w:val="en-US" w:eastAsia="zh-CN"/>
        </w:rPr>
        <w:t>其他未列明行业</w:t>
      </w:r>
      <w:r>
        <w:rPr>
          <w:rFonts w:hint="eastAsia" w:ascii="方正楷体_GB2312" w:hAnsi="方正楷体_GB2312" w:eastAsia="方正楷体_GB2312" w:cs="方正楷体_GB2312"/>
          <w:b w:val="0"/>
          <w:bCs w:val="0"/>
          <w:color w:val="auto"/>
          <w:sz w:val="24"/>
          <w:szCs w:val="24"/>
          <w:highlight w:val="none"/>
          <w:lang w:eastAsia="zh-CN"/>
        </w:rPr>
        <w:t>”。</w:t>
      </w:r>
    </w:p>
    <w:p w14:paraId="059A12B0">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（1）财政部、工业和信息化部《关于印发〈政府采购促进中小企业发展管理办法〉的通知》（财库[2020]46号文）；</w:t>
      </w:r>
    </w:p>
    <w:p w14:paraId="03BF8458">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（2）财政部、司法部《关于政府采购支持监狱企业发展有关问题的通知》（财库[2014]68号文）；</w:t>
      </w:r>
    </w:p>
    <w:p w14:paraId="2B0E54BF">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（3）财政部、民政部、中国残疾人联合会《关于促进残疾人就业政府采购政策的通知》（财库[2026]141号）；</w:t>
      </w:r>
    </w:p>
    <w:p w14:paraId="6BBAFB1A">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3、在中华人民共和国境内依法注册的、具有独立承担民事责任的能力，提供有效的营业执照；</w:t>
      </w:r>
    </w:p>
    <w:p w14:paraId="281EF09F">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4、法定代表人身份证原件或法定代表人授权委托书和委托代理人身份证原件（授权委托书应附上法人和代理人身份证复印件）；</w:t>
      </w:r>
    </w:p>
    <w:p w14:paraId="14DDD258">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5、符合国家有关法律法规的规定；</w:t>
      </w:r>
    </w:p>
    <w:p w14:paraId="484B5E4A">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6、本项目不接受联合体投标；</w:t>
      </w:r>
    </w:p>
    <w:p w14:paraId="57FDA2DC">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7.本项目的特定资格要求：</w:t>
      </w:r>
    </w:p>
    <w:p w14:paraId="0C7C761F">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1）标项一至标项三供应商具有有效的《食品经营许可证》或《食品生产许可证》。</w:t>
      </w:r>
    </w:p>
    <w:p w14:paraId="1EC11A20">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2）标项一供应商若为生产厂家或屠宰企业，还须提供行政主管部门颁发的《屠宰许可证》、《动物防疫条件合格证》，非生产厂家或屠宰企业须提供若中标后能够每批次供货服务开具动物检疫合格证明或提供所投牛羊猪肉类产品的有效期内的动物检疫合格证明的承诺函。</w:t>
      </w:r>
    </w:p>
    <w:p w14:paraId="546443BE">
      <w:pPr>
        <w:rPr>
          <w:rFonts w:hint="eastAsia" w:ascii="方正楷体_GB2312" w:hAnsi="方正楷体_GB2312" w:eastAsia="方正楷体_GB2312" w:cs="方正楷体_GB2312"/>
          <w:b/>
          <w:bCs/>
          <w:color w:val="auto"/>
          <w:sz w:val="24"/>
          <w:szCs w:val="24"/>
          <w:highlight w:val="none"/>
        </w:rPr>
      </w:pPr>
      <w:r>
        <w:rPr>
          <w:rFonts w:hint="eastAsia" w:ascii="方正楷体_GB2312" w:hAnsi="方正楷体_GB2312" w:eastAsia="方正楷体_GB2312" w:cs="方正楷体_GB2312"/>
          <w:b/>
          <w:bCs/>
          <w:color w:val="auto"/>
          <w:sz w:val="24"/>
          <w:szCs w:val="24"/>
          <w:highlight w:val="none"/>
        </w:rPr>
        <w:t>5．谈判费用</w:t>
      </w:r>
      <w:bookmarkEnd w:id="6"/>
    </w:p>
    <w:p w14:paraId="74B231AF">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5.1 无论谈判过程中的作法和结果如何，供应商将自行承担所有与参加谈判有关的全部费用。</w:t>
      </w:r>
    </w:p>
    <w:p w14:paraId="02271424">
      <w:pPr>
        <w:pStyle w:val="4"/>
        <w:jc w:val="center"/>
        <w:rPr>
          <w:rFonts w:hint="eastAsia" w:ascii="方正楷体_GB2312" w:hAnsi="方正楷体_GB2312" w:eastAsia="方正楷体_GB2312" w:cs="方正楷体_GB2312"/>
          <w:color w:val="auto"/>
          <w:highlight w:val="none"/>
        </w:rPr>
      </w:pPr>
      <w:bookmarkStart w:id="10" w:name="_Toc182131591"/>
      <w:bookmarkStart w:id="11" w:name="_Toc8787"/>
      <w:r>
        <w:rPr>
          <w:rFonts w:hint="eastAsia" w:ascii="方正楷体_GB2312" w:hAnsi="方正楷体_GB2312" w:eastAsia="方正楷体_GB2312" w:cs="方正楷体_GB2312"/>
          <w:color w:val="auto"/>
          <w:highlight w:val="none"/>
        </w:rPr>
        <w:t>B　谈判文件</w:t>
      </w:r>
      <w:bookmarkEnd w:id="10"/>
      <w:bookmarkEnd w:id="11"/>
    </w:p>
    <w:p w14:paraId="6E4525A8">
      <w:pPr>
        <w:rPr>
          <w:rFonts w:hint="eastAsia" w:ascii="方正楷体_GB2312" w:hAnsi="方正楷体_GB2312" w:eastAsia="方正楷体_GB2312" w:cs="方正楷体_GB2312"/>
          <w:b/>
          <w:bCs/>
          <w:color w:val="auto"/>
          <w:sz w:val="24"/>
          <w:szCs w:val="24"/>
          <w:highlight w:val="none"/>
        </w:rPr>
      </w:pPr>
      <w:bookmarkStart w:id="12" w:name="_Toc182131592"/>
      <w:r>
        <w:rPr>
          <w:rFonts w:hint="eastAsia" w:ascii="方正楷体_GB2312" w:hAnsi="方正楷体_GB2312" w:eastAsia="方正楷体_GB2312" w:cs="方正楷体_GB2312"/>
          <w:b/>
          <w:bCs/>
          <w:color w:val="auto"/>
          <w:sz w:val="24"/>
          <w:szCs w:val="24"/>
          <w:highlight w:val="none"/>
          <w:lang w:val="en-US" w:eastAsia="zh-CN"/>
        </w:rPr>
        <w:t>6.</w:t>
      </w:r>
      <w:r>
        <w:rPr>
          <w:rFonts w:hint="eastAsia" w:ascii="方正楷体_GB2312" w:hAnsi="方正楷体_GB2312" w:eastAsia="方正楷体_GB2312" w:cs="方正楷体_GB2312"/>
          <w:b/>
          <w:bCs/>
          <w:color w:val="auto"/>
          <w:sz w:val="24"/>
          <w:szCs w:val="24"/>
          <w:highlight w:val="none"/>
        </w:rPr>
        <w:t>谈判文件构成</w:t>
      </w:r>
      <w:bookmarkEnd w:id="12"/>
      <w:r>
        <w:rPr>
          <w:rFonts w:hint="eastAsia" w:ascii="方正楷体_GB2312" w:hAnsi="方正楷体_GB2312" w:eastAsia="方正楷体_GB2312" w:cs="方正楷体_GB2312"/>
          <w:b/>
          <w:bCs/>
          <w:color w:val="auto"/>
          <w:sz w:val="24"/>
          <w:szCs w:val="24"/>
          <w:highlight w:val="none"/>
        </w:rPr>
        <w:t>：</w:t>
      </w:r>
    </w:p>
    <w:p w14:paraId="63BECE18">
      <w:pPr>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bCs/>
          <w:color w:val="auto"/>
          <w:sz w:val="24"/>
          <w:szCs w:val="24"/>
          <w:highlight w:val="none"/>
        </w:rPr>
        <w:t>6.1谈判文件包括：</w:t>
      </w:r>
    </w:p>
    <w:p w14:paraId="2BE615B2">
      <w:pPr>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bCs/>
          <w:color w:val="auto"/>
          <w:sz w:val="24"/>
          <w:szCs w:val="24"/>
          <w:highlight w:val="none"/>
        </w:rPr>
        <w:t>（1） 谈判</w:t>
      </w:r>
      <w:r>
        <w:rPr>
          <w:rFonts w:hint="eastAsia" w:ascii="方正楷体_GB2312" w:hAnsi="方正楷体_GB2312" w:eastAsia="方正楷体_GB2312" w:cs="方正楷体_GB2312"/>
          <w:bCs/>
          <w:color w:val="auto"/>
          <w:sz w:val="24"/>
          <w:szCs w:val="24"/>
          <w:highlight w:val="none"/>
          <w:lang w:eastAsia="zh-CN"/>
        </w:rPr>
        <w:t>公告</w:t>
      </w:r>
      <w:r>
        <w:rPr>
          <w:rFonts w:hint="eastAsia" w:ascii="方正楷体_GB2312" w:hAnsi="方正楷体_GB2312" w:eastAsia="方正楷体_GB2312" w:cs="方正楷体_GB2312"/>
          <w:bCs/>
          <w:color w:val="auto"/>
          <w:sz w:val="24"/>
          <w:szCs w:val="24"/>
          <w:highlight w:val="none"/>
        </w:rPr>
        <w:t>；</w:t>
      </w:r>
    </w:p>
    <w:p w14:paraId="795F44FF">
      <w:pPr>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bCs/>
          <w:color w:val="auto"/>
          <w:sz w:val="24"/>
          <w:szCs w:val="24"/>
          <w:highlight w:val="none"/>
        </w:rPr>
        <w:t>（2）供应商须知；</w:t>
      </w:r>
    </w:p>
    <w:p w14:paraId="0AFCF715">
      <w:pPr>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bCs/>
          <w:color w:val="auto"/>
          <w:sz w:val="24"/>
          <w:szCs w:val="24"/>
          <w:highlight w:val="none"/>
        </w:rPr>
        <w:t>（3）</w:t>
      </w:r>
      <w:r>
        <w:rPr>
          <w:rFonts w:hint="eastAsia" w:ascii="方正楷体_GB2312" w:hAnsi="方正楷体_GB2312" w:eastAsia="方正楷体_GB2312" w:cs="方正楷体_GB2312"/>
          <w:bCs/>
          <w:color w:val="auto"/>
          <w:sz w:val="24"/>
          <w:szCs w:val="24"/>
          <w:highlight w:val="none"/>
          <w:lang w:val="en-US" w:eastAsia="zh-CN"/>
        </w:rPr>
        <w:t>采购需求</w:t>
      </w:r>
      <w:r>
        <w:rPr>
          <w:rFonts w:hint="eastAsia" w:ascii="方正楷体_GB2312" w:hAnsi="方正楷体_GB2312" w:eastAsia="方正楷体_GB2312" w:cs="方正楷体_GB2312"/>
          <w:bCs/>
          <w:color w:val="auto"/>
          <w:sz w:val="24"/>
          <w:szCs w:val="24"/>
          <w:highlight w:val="none"/>
        </w:rPr>
        <w:t>；</w:t>
      </w:r>
    </w:p>
    <w:p w14:paraId="5F7D72F5">
      <w:pPr>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bCs/>
          <w:color w:val="auto"/>
          <w:sz w:val="24"/>
          <w:szCs w:val="24"/>
          <w:highlight w:val="none"/>
        </w:rPr>
        <w:t>（4）合同条款；</w:t>
      </w:r>
    </w:p>
    <w:p w14:paraId="507A4B01">
      <w:pPr>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bCs/>
          <w:color w:val="auto"/>
          <w:sz w:val="24"/>
          <w:szCs w:val="24"/>
          <w:highlight w:val="none"/>
        </w:rPr>
        <w:t>（5）范本格式。</w:t>
      </w:r>
    </w:p>
    <w:p w14:paraId="67AC0CA4">
      <w:pPr>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bCs/>
          <w:color w:val="auto"/>
          <w:sz w:val="24"/>
          <w:szCs w:val="24"/>
          <w:highlight w:val="none"/>
        </w:rPr>
        <w:t>6.2 谈判文件以中文编写。</w:t>
      </w:r>
    </w:p>
    <w:p w14:paraId="130A8C44">
      <w:pPr>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bCs/>
          <w:color w:val="auto"/>
          <w:sz w:val="24"/>
          <w:szCs w:val="24"/>
          <w:highlight w:val="none"/>
        </w:rPr>
        <w:t>6.3 供应商应认真阅读谈判文件中所有的事项、格式、条款和规范等要求，从而对谈判文件作出实质性响应。如果没有按照谈判文件要求提交全部谈判</w:t>
      </w:r>
      <w:r>
        <w:rPr>
          <w:rFonts w:hint="eastAsia" w:ascii="方正楷体_GB2312" w:hAnsi="方正楷体_GB2312" w:eastAsia="方正楷体_GB2312" w:cs="方正楷体_GB2312"/>
          <w:color w:val="auto"/>
          <w:sz w:val="24"/>
          <w:szCs w:val="24"/>
          <w:highlight w:val="none"/>
          <w:lang w:eastAsia="zh-CN"/>
        </w:rPr>
        <w:t>响应</w:t>
      </w:r>
      <w:r>
        <w:rPr>
          <w:rFonts w:hint="eastAsia" w:ascii="方正楷体_GB2312" w:hAnsi="方正楷体_GB2312" w:eastAsia="方正楷体_GB2312" w:cs="方正楷体_GB2312"/>
          <w:bCs/>
          <w:color w:val="auto"/>
          <w:sz w:val="24"/>
          <w:szCs w:val="24"/>
          <w:highlight w:val="none"/>
        </w:rPr>
        <w:t>文件或资料，没有对谈判文件作出实质性响应，其风险应由供应商自行承担。</w:t>
      </w:r>
    </w:p>
    <w:p w14:paraId="69E40739">
      <w:pPr>
        <w:rPr>
          <w:rFonts w:hint="eastAsia" w:ascii="方正楷体_GB2312" w:hAnsi="方正楷体_GB2312" w:eastAsia="方正楷体_GB2312" w:cs="方正楷体_GB2312"/>
          <w:b/>
          <w:bCs/>
          <w:color w:val="auto"/>
          <w:sz w:val="24"/>
          <w:szCs w:val="24"/>
          <w:highlight w:val="none"/>
          <w:lang w:eastAsia="zh-CN"/>
        </w:rPr>
      </w:pPr>
      <w:bookmarkStart w:id="13" w:name="_Toc182131593"/>
      <w:r>
        <w:rPr>
          <w:rFonts w:hint="eastAsia" w:ascii="方正楷体_GB2312" w:hAnsi="方正楷体_GB2312" w:eastAsia="方正楷体_GB2312" w:cs="方正楷体_GB2312"/>
          <w:b/>
          <w:bCs/>
          <w:color w:val="auto"/>
          <w:sz w:val="24"/>
          <w:szCs w:val="24"/>
          <w:highlight w:val="none"/>
          <w:lang w:val="en-US" w:eastAsia="zh-CN"/>
        </w:rPr>
        <w:t>7.</w:t>
      </w:r>
      <w:r>
        <w:rPr>
          <w:rFonts w:hint="eastAsia" w:ascii="方正楷体_GB2312" w:hAnsi="方正楷体_GB2312" w:eastAsia="方正楷体_GB2312" w:cs="方正楷体_GB2312"/>
          <w:b/>
          <w:bCs/>
          <w:color w:val="auto"/>
          <w:sz w:val="24"/>
          <w:szCs w:val="24"/>
          <w:highlight w:val="none"/>
        </w:rPr>
        <w:t>谈判文件</w:t>
      </w:r>
      <w:bookmarkEnd w:id="13"/>
      <w:r>
        <w:rPr>
          <w:rFonts w:hint="eastAsia" w:ascii="方正楷体_GB2312" w:hAnsi="方正楷体_GB2312" w:eastAsia="方正楷体_GB2312" w:cs="方正楷体_GB2312"/>
          <w:b/>
          <w:bCs/>
          <w:color w:val="auto"/>
          <w:sz w:val="24"/>
          <w:szCs w:val="24"/>
          <w:highlight w:val="none"/>
        </w:rPr>
        <w:t>质疑</w:t>
      </w:r>
      <w:r>
        <w:rPr>
          <w:rFonts w:hint="eastAsia" w:ascii="方正楷体_GB2312" w:hAnsi="方正楷体_GB2312" w:eastAsia="方正楷体_GB2312" w:cs="方正楷体_GB2312"/>
          <w:b/>
          <w:bCs/>
          <w:color w:val="auto"/>
          <w:sz w:val="24"/>
          <w:szCs w:val="24"/>
          <w:highlight w:val="none"/>
          <w:lang w:eastAsia="zh-CN"/>
        </w:rPr>
        <w:t>和投诉</w:t>
      </w:r>
    </w:p>
    <w:p w14:paraId="046032D7">
      <w:pPr>
        <w:rPr>
          <w:rFonts w:hint="eastAsia" w:ascii="方正楷体_GB2312" w:hAnsi="方正楷体_GB2312" w:eastAsia="方正楷体_GB2312" w:cs="方正楷体_GB2312"/>
          <w:b w:val="0"/>
          <w:bCs w:val="0"/>
          <w:color w:val="auto"/>
          <w:sz w:val="24"/>
          <w:szCs w:val="24"/>
          <w:highlight w:val="none"/>
          <w:lang w:val="en-US" w:eastAsia="zh-CN"/>
        </w:rPr>
      </w:pPr>
      <w:bookmarkStart w:id="14" w:name="_Toc182131594"/>
      <w:r>
        <w:rPr>
          <w:rFonts w:hint="eastAsia" w:ascii="方正楷体_GB2312" w:hAnsi="方正楷体_GB2312" w:eastAsia="方正楷体_GB2312" w:cs="方正楷体_GB2312"/>
          <w:b w:val="0"/>
          <w:bCs w:val="0"/>
          <w:color w:val="auto"/>
          <w:sz w:val="24"/>
          <w:szCs w:val="24"/>
          <w:highlight w:val="none"/>
          <w:lang w:val="en-US" w:eastAsia="zh-CN"/>
        </w:rPr>
        <w:t>7.1质疑</w:t>
      </w:r>
    </w:p>
    <w:p w14:paraId="5B5F71E0">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7.1.1供应商提出质疑应当符合以下条件：</w:t>
      </w:r>
    </w:p>
    <w:p w14:paraId="0F4EF2FB">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如果供应商对此次采购活动有疑问，可依据《政府采购法》等相关规定，在规定的时间内以书面形式向采购单位或代理机构提出质疑。质疑书应当包括下列主要内容：</w:t>
      </w:r>
    </w:p>
    <w:p w14:paraId="27743D72">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（1）质疑人的名称、地址、电话等；</w:t>
      </w:r>
    </w:p>
    <w:p w14:paraId="231EDE0F">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（2）质疑人法人签章和单位公章；</w:t>
      </w:r>
    </w:p>
    <w:p w14:paraId="2FB67E92">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（3）具体的质疑事项及事实依据；</w:t>
      </w:r>
    </w:p>
    <w:p w14:paraId="0AF29404">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（4）明确的请求和必要（合法来源）的证明材料；</w:t>
      </w:r>
    </w:p>
    <w:p w14:paraId="6E632FB6">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（5）以联合体形式参与资格预审的，则必须联合体各方共同签署、盖章；</w:t>
      </w:r>
    </w:p>
    <w:p w14:paraId="422439D7">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（6）提起质疑的日期。</w:t>
      </w:r>
    </w:p>
    <w:p w14:paraId="35503C6E">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特注：未按上述程序规定的必备内容进行质疑的，采购单位或代理机构将不予以受理。</w:t>
      </w:r>
    </w:p>
    <w:p w14:paraId="4B2E5DEA">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7.1.2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418DC7C6">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7.1.3质疑人可以委托代理人办理质疑事项，代理人办理质疑事项时，除提交质疑书外，还应当提交质疑人的授权委托书及代理人的有效身份证明，授权委托书应当载明委托代理的具体权限和事项。</w:t>
      </w:r>
    </w:p>
    <w:p w14:paraId="00A67564">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7.1.4被质疑人应当在受理质疑后7个工作日内作出答复，并以书面形式通知质疑人和其他有关供应商，答复内容仅限于供应商所质疑的内容，不得涉及国家秘密和商业秘密。</w:t>
      </w:r>
    </w:p>
    <w:p w14:paraId="55C8CB30">
      <w:pPr>
        <w:rPr>
          <w:rFonts w:hint="eastAsia" w:ascii="方正楷体_GB2312" w:hAnsi="方正楷体_GB2312" w:eastAsia="方正楷体_GB2312" w:cs="方正楷体_GB2312"/>
          <w:b w:val="0"/>
          <w:bCs w:val="0"/>
          <w:color w:val="auto"/>
          <w:sz w:val="24"/>
          <w:szCs w:val="24"/>
          <w:highlight w:val="none"/>
          <w:lang w:val="en-US" w:eastAsia="zh-CN"/>
        </w:rPr>
      </w:pPr>
      <w:bookmarkStart w:id="15" w:name="_Toc9365"/>
      <w:bookmarkStart w:id="16" w:name="_Toc483174929"/>
      <w:bookmarkStart w:id="17" w:name="_Toc456336161"/>
      <w:bookmarkStart w:id="18" w:name="_Toc450546725"/>
      <w:r>
        <w:rPr>
          <w:rFonts w:hint="eastAsia" w:ascii="方正楷体_GB2312" w:hAnsi="方正楷体_GB2312" w:eastAsia="方正楷体_GB2312" w:cs="方正楷体_GB2312"/>
          <w:b w:val="0"/>
          <w:bCs w:val="0"/>
          <w:color w:val="auto"/>
          <w:sz w:val="24"/>
          <w:szCs w:val="24"/>
          <w:highlight w:val="none"/>
          <w:lang w:val="en-US" w:eastAsia="zh-CN"/>
        </w:rPr>
        <w:t>7.2投诉</w:t>
      </w:r>
      <w:bookmarkEnd w:id="15"/>
      <w:bookmarkEnd w:id="16"/>
      <w:bookmarkEnd w:id="17"/>
      <w:bookmarkEnd w:id="18"/>
    </w:p>
    <w:p w14:paraId="44C1BB78">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7.2.1质疑人如对被质疑人的质疑回复不满意或在规定时间内未做出回复的，可在答复期满后15个工作日内向本项目管辖内的政府采购监督部门提起投诉。供应商投诉应当有明确的请求和必要的证明材料。</w:t>
      </w:r>
    </w:p>
    <w:p w14:paraId="06F071F7">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7.2.2投诉人提起投诉应符合以下条件：</w:t>
      </w:r>
    </w:p>
    <w:p w14:paraId="5C6D16B5">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(1)投诉人应是参与项目的供应商；</w:t>
      </w:r>
    </w:p>
    <w:p w14:paraId="762A06E4">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(2)投诉前已依法进行质疑；</w:t>
      </w:r>
    </w:p>
    <w:p w14:paraId="32456369">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(3)投诉书内容符合中华人民共和国财政部20号令《政府采购供应商投诉处理办法》的规定；</w:t>
      </w:r>
    </w:p>
    <w:p w14:paraId="3121706A">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(4)在投诉有效期内；</w:t>
      </w:r>
    </w:p>
    <w:p w14:paraId="4CD34C06">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(5)同一投诉事项未经处理的；</w:t>
      </w:r>
    </w:p>
    <w:p w14:paraId="1CAB35E0">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(6)相关法律、法规和省级以上人民政府财政部门规定的其他条件。</w:t>
      </w:r>
    </w:p>
    <w:p w14:paraId="4003DAFC">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7.2.3供应商投诉时，应当当面提交投诉书，投诉书应当包括下列主要内容：</w:t>
      </w:r>
    </w:p>
    <w:p w14:paraId="47C16E5B">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(1)投诉人的姓名或者名称、住所、联系方式及相关证明；</w:t>
      </w:r>
    </w:p>
    <w:p w14:paraId="3AA3C16B">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(2)被投诉人的名称、住所、联系方式；</w:t>
      </w:r>
    </w:p>
    <w:p w14:paraId="4B22E58E">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(3)具体的投诉事项、事实根据和法律依据；</w:t>
      </w:r>
    </w:p>
    <w:p w14:paraId="7E81AC4E">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(4)质疑和质疑答复情况及相关证明材料；</w:t>
      </w:r>
    </w:p>
    <w:p w14:paraId="23FAE399">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(5)提起投诉的日期。</w:t>
      </w:r>
    </w:p>
    <w:p w14:paraId="20E4E0EE">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投诉人为自然人的，应当由本人签字。投诉人为法人的，应当由其法定代表人签字并加盖单位公章。投诉人为其他组织的，应当由其主要负责人签字盖章并加盖单位公章。</w:t>
      </w:r>
    </w:p>
    <w:p w14:paraId="4A69E982">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7.2.4投诉人可以授权代理人办理投诉事务。代理人办理投诉事务时，除提交投诉书外，还应当向监督部门提交投诉人的授权委托书，授权委托书应当载明委托代理的具体权限和事项。</w:t>
      </w:r>
    </w:p>
    <w:p w14:paraId="775C377E">
      <w:pPr>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b w:val="0"/>
          <w:bCs w:val="0"/>
          <w:color w:val="auto"/>
          <w:sz w:val="24"/>
          <w:szCs w:val="24"/>
          <w:highlight w:val="none"/>
          <w:lang w:val="en-US" w:eastAsia="zh-CN"/>
        </w:rPr>
        <w:t>7.2.5投诉人不符合上述规定提起的投诉，政府采购监督部门不予受理。</w:t>
      </w:r>
    </w:p>
    <w:p w14:paraId="0091C0C2">
      <w:pPr>
        <w:rPr>
          <w:rFonts w:hint="eastAsia" w:ascii="方正楷体_GB2312" w:hAnsi="方正楷体_GB2312" w:eastAsia="方正楷体_GB2312" w:cs="方正楷体_GB2312"/>
          <w:b/>
          <w:bCs/>
          <w:color w:val="auto"/>
          <w:sz w:val="24"/>
          <w:szCs w:val="24"/>
          <w:highlight w:val="none"/>
        </w:rPr>
      </w:pPr>
      <w:r>
        <w:rPr>
          <w:rFonts w:hint="eastAsia" w:ascii="方正楷体_GB2312" w:hAnsi="方正楷体_GB2312" w:eastAsia="方正楷体_GB2312" w:cs="方正楷体_GB2312"/>
          <w:b/>
          <w:bCs/>
          <w:color w:val="auto"/>
          <w:sz w:val="24"/>
          <w:szCs w:val="24"/>
          <w:highlight w:val="none"/>
          <w:lang w:val="en-US" w:eastAsia="zh-CN"/>
        </w:rPr>
        <w:t>8.</w:t>
      </w:r>
      <w:r>
        <w:rPr>
          <w:rFonts w:hint="eastAsia" w:ascii="方正楷体_GB2312" w:hAnsi="方正楷体_GB2312" w:eastAsia="方正楷体_GB2312" w:cs="方正楷体_GB2312"/>
          <w:b/>
          <w:bCs/>
          <w:color w:val="auto"/>
          <w:sz w:val="24"/>
          <w:szCs w:val="24"/>
          <w:highlight w:val="none"/>
        </w:rPr>
        <w:t>谈判文件的修改</w:t>
      </w:r>
      <w:bookmarkEnd w:id="14"/>
    </w:p>
    <w:p w14:paraId="61F5E83F">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bCs/>
          <w:color w:val="auto"/>
          <w:sz w:val="24"/>
          <w:szCs w:val="24"/>
          <w:highlight w:val="none"/>
        </w:rPr>
        <w:t xml:space="preserve">8.1 </w:t>
      </w:r>
      <w:r>
        <w:rPr>
          <w:rFonts w:hint="eastAsia" w:ascii="方正楷体_GB2312" w:hAnsi="方正楷体_GB2312" w:eastAsia="方正楷体_GB2312" w:cs="方正楷体_GB2312"/>
          <w:color w:val="auto"/>
          <w:sz w:val="24"/>
          <w:szCs w:val="24"/>
          <w:highlight w:val="none"/>
        </w:rPr>
        <w:t>对谈判文件进行必要的修改，</w:t>
      </w:r>
      <w:r>
        <w:rPr>
          <w:rFonts w:hint="eastAsia" w:ascii="方正楷体_GB2312" w:hAnsi="方正楷体_GB2312" w:eastAsia="方正楷体_GB2312" w:cs="方正楷体_GB2312"/>
          <w:color w:val="auto"/>
          <w:sz w:val="24"/>
          <w:szCs w:val="24"/>
          <w:highlight w:val="none"/>
          <w:lang w:eastAsia="zh-CN"/>
        </w:rPr>
        <w:t>采购代理机构</w:t>
      </w:r>
      <w:r>
        <w:rPr>
          <w:rFonts w:hint="eastAsia" w:ascii="方正楷体_GB2312" w:hAnsi="方正楷体_GB2312" w:eastAsia="方正楷体_GB2312" w:cs="方正楷体_GB2312"/>
          <w:color w:val="auto"/>
          <w:sz w:val="24"/>
          <w:szCs w:val="24"/>
          <w:highlight w:val="none"/>
        </w:rPr>
        <w:t>将在投标截止时间3个工作日之前以书面形式通知所有购买谈判文件的供应商。该修改的内容为谈判文件的组成部分；</w:t>
      </w:r>
    </w:p>
    <w:p w14:paraId="41B4AE89">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8.2 供应商在规定的时间内未对谈判文件提出澄清要求的，</w:t>
      </w:r>
      <w:r>
        <w:rPr>
          <w:rFonts w:hint="eastAsia" w:ascii="方正楷体_GB2312" w:hAnsi="方正楷体_GB2312" w:eastAsia="方正楷体_GB2312" w:cs="方正楷体_GB2312"/>
          <w:color w:val="auto"/>
          <w:sz w:val="24"/>
          <w:szCs w:val="24"/>
          <w:highlight w:val="none"/>
          <w:lang w:eastAsia="zh-CN"/>
        </w:rPr>
        <w:t>采购代理机构</w:t>
      </w:r>
      <w:r>
        <w:rPr>
          <w:rFonts w:hint="eastAsia" w:ascii="方正楷体_GB2312" w:hAnsi="方正楷体_GB2312" w:eastAsia="方正楷体_GB2312" w:cs="方正楷体_GB2312"/>
          <w:color w:val="auto"/>
          <w:sz w:val="24"/>
          <w:szCs w:val="24"/>
          <w:highlight w:val="none"/>
        </w:rPr>
        <w:t>将视其为同意。</w:t>
      </w:r>
    </w:p>
    <w:p w14:paraId="6415A4C6">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bCs/>
          <w:color w:val="auto"/>
          <w:sz w:val="24"/>
          <w:szCs w:val="24"/>
          <w:highlight w:val="none"/>
        </w:rPr>
        <w:t>8.3</w:t>
      </w:r>
      <w:r>
        <w:rPr>
          <w:rFonts w:hint="eastAsia" w:ascii="方正楷体_GB2312" w:hAnsi="方正楷体_GB2312" w:eastAsia="方正楷体_GB2312" w:cs="方正楷体_GB2312"/>
          <w:color w:val="auto"/>
          <w:sz w:val="24"/>
          <w:szCs w:val="24"/>
          <w:highlight w:val="none"/>
        </w:rPr>
        <w:t>在谈判截止时间前，采购代理机构可视具体情况延长谈判截止时间，并将变更时间书面通知所有购买谈判文件的供应商。</w:t>
      </w:r>
    </w:p>
    <w:p w14:paraId="57B1A721">
      <w:pPr>
        <w:pStyle w:val="33"/>
        <w:rPr>
          <w:rFonts w:hint="eastAsia" w:ascii="方正楷体_GB2312" w:hAnsi="方正楷体_GB2312" w:eastAsia="方正楷体_GB2312" w:cs="方正楷体_GB2312"/>
          <w:color w:val="auto"/>
          <w:highlight w:val="none"/>
        </w:rPr>
      </w:pPr>
    </w:p>
    <w:p w14:paraId="40BFEEF9">
      <w:pPr>
        <w:pStyle w:val="4"/>
        <w:jc w:val="center"/>
        <w:rPr>
          <w:rFonts w:hint="eastAsia" w:ascii="方正楷体_GB2312" w:hAnsi="方正楷体_GB2312" w:eastAsia="方正楷体_GB2312" w:cs="方正楷体_GB2312"/>
          <w:color w:val="auto"/>
          <w:highlight w:val="none"/>
        </w:rPr>
      </w:pPr>
      <w:bookmarkStart w:id="19" w:name="_Toc29771"/>
      <w:bookmarkStart w:id="20" w:name="_Toc182131595"/>
      <w:r>
        <w:rPr>
          <w:rFonts w:hint="eastAsia" w:ascii="方正楷体_GB2312" w:hAnsi="方正楷体_GB2312" w:eastAsia="方正楷体_GB2312" w:cs="方正楷体_GB2312"/>
          <w:color w:val="auto"/>
          <w:highlight w:val="none"/>
        </w:rPr>
        <w:t>C 谈判响应文件的编写</w:t>
      </w:r>
      <w:bookmarkEnd w:id="19"/>
      <w:bookmarkEnd w:id="20"/>
    </w:p>
    <w:p w14:paraId="176DA3CA">
      <w:pPr>
        <w:rPr>
          <w:rFonts w:hint="eastAsia" w:ascii="方正楷体_GB2312" w:hAnsi="方正楷体_GB2312" w:eastAsia="方正楷体_GB2312" w:cs="方正楷体_GB2312"/>
          <w:b/>
          <w:bCs/>
          <w:color w:val="auto"/>
          <w:sz w:val="24"/>
          <w:szCs w:val="24"/>
          <w:highlight w:val="none"/>
        </w:rPr>
      </w:pPr>
      <w:bookmarkStart w:id="21" w:name="_Toc182131596"/>
      <w:r>
        <w:rPr>
          <w:rFonts w:hint="eastAsia" w:ascii="方正楷体_GB2312" w:hAnsi="方正楷体_GB2312" w:eastAsia="方正楷体_GB2312" w:cs="方正楷体_GB2312"/>
          <w:b/>
          <w:bCs/>
          <w:color w:val="auto"/>
          <w:sz w:val="24"/>
          <w:szCs w:val="24"/>
          <w:highlight w:val="none"/>
          <w:lang w:val="en-US" w:eastAsia="zh-CN"/>
        </w:rPr>
        <w:t>9.</w:t>
      </w:r>
      <w:r>
        <w:rPr>
          <w:rFonts w:hint="eastAsia" w:ascii="方正楷体_GB2312" w:hAnsi="方正楷体_GB2312" w:eastAsia="方正楷体_GB2312" w:cs="方正楷体_GB2312"/>
          <w:b/>
          <w:bCs/>
          <w:color w:val="auto"/>
          <w:sz w:val="24"/>
          <w:szCs w:val="24"/>
          <w:highlight w:val="none"/>
        </w:rPr>
        <w:t>要求</w:t>
      </w:r>
      <w:bookmarkEnd w:id="21"/>
    </w:p>
    <w:p w14:paraId="3DF05F7E">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9.1 供应商应仔细阅读谈判文件的所有内容，按谈判文件的要求提供谈判</w:t>
      </w:r>
      <w:r>
        <w:rPr>
          <w:rFonts w:hint="eastAsia" w:ascii="方正楷体_GB2312" w:hAnsi="方正楷体_GB2312" w:eastAsia="方正楷体_GB2312" w:cs="方正楷体_GB2312"/>
          <w:color w:val="auto"/>
          <w:sz w:val="24"/>
          <w:szCs w:val="24"/>
          <w:highlight w:val="none"/>
          <w:lang w:eastAsia="zh-CN"/>
        </w:rPr>
        <w:t>响应</w:t>
      </w:r>
      <w:r>
        <w:rPr>
          <w:rFonts w:hint="eastAsia" w:ascii="方正楷体_GB2312" w:hAnsi="方正楷体_GB2312" w:eastAsia="方正楷体_GB2312" w:cs="方正楷体_GB2312"/>
          <w:color w:val="auto"/>
          <w:sz w:val="24"/>
          <w:szCs w:val="24"/>
          <w:highlight w:val="none"/>
        </w:rPr>
        <w:t>文件，并保证所提供的全部资料的真实性，以使其投标对谈判文件作出实质性响应，否则，其谈判可能被拒绝。</w:t>
      </w:r>
    </w:p>
    <w:p w14:paraId="078CD6EC">
      <w:pPr>
        <w:rPr>
          <w:rFonts w:hint="eastAsia" w:ascii="方正楷体_GB2312" w:hAnsi="方正楷体_GB2312" w:eastAsia="方正楷体_GB2312" w:cs="方正楷体_GB2312"/>
          <w:b/>
          <w:bCs/>
          <w:color w:val="auto"/>
          <w:sz w:val="24"/>
          <w:szCs w:val="24"/>
          <w:highlight w:val="none"/>
        </w:rPr>
      </w:pPr>
      <w:bookmarkStart w:id="22" w:name="_Toc182131597"/>
      <w:r>
        <w:rPr>
          <w:rFonts w:hint="eastAsia" w:ascii="方正楷体_GB2312" w:hAnsi="方正楷体_GB2312" w:eastAsia="方正楷体_GB2312" w:cs="方正楷体_GB2312"/>
          <w:b/>
          <w:bCs/>
          <w:color w:val="auto"/>
          <w:sz w:val="24"/>
          <w:szCs w:val="24"/>
          <w:highlight w:val="none"/>
          <w:lang w:val="en-US" w:eastAsia="zh-CN"/>
        </w:rPr>
        <w:t>10.</w:t>
      </w:r>
      <w:r>
        <w:rPr>
          <w:rFonts w:hint="eastAsia" w:ascii="方正楷体_GB2312" w:hAnsi="方正楷体_GB2312" w:eastAsia="方正楷体_GB2312" w:cs="方正楷体_GB2312"/>
          <w:b/>
          <w:bCs/>
          <w:color w:val="auto"/>
          <w:sz w:val="24"/>
          <w:szCs w:val="24"/>
          <w:highlight w:val="none"/>
        </w:rPr>
        <w:t>谈判语言</w:t>
      </w:r>
      <w:bookmarkEnd w:id="22"/>
    </w:p>
    <w:p w14:paraId="7835DB5A">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10.1谈判</w:t>
      </w:r>
      <w:r>
        <w:rPr>
          <w:rFonts w:hint="eastAsia" w:ascii="方正楷体_GB2312" w:hAnsi="方正楷体_GB2312" w:eastAsia="方正楷体_GB2312" w:cs="方正楷体_GB2312"/>
          <w:color w:val="auto"/>
          <w:sz w:val="24"/>
          <w:szCs w:val="24"/>
          <w:highlight w:val="none"/>
          <w:lang w:eastAsia="zh-CN"/>
        </w:rPr>
        <w:t>响应</w:t>
      </w:r>
      <w:r>
        <w:rPr>
          <w:rFonts w:hint="eastAsia" w:ascii="方正楷体_GB2312" w:hAnsi="方正楷体_GB2312" w:eastAsia="方正楷体_GB2312" w:cs="方正楷体_GB2312"/>
          <w:color w:val="auto"/>
          <w:sz w:val="24"/>
          <w:szCs w:val="24"/>
          <w:highlight w:val="none"/>
        </w:rPr>
        <w:t>文件及供应商与采购方就参与谈判交换的文件和来往信件，应以中文书写。</w:t>
      </w:r>
    </w:p>
    <w:p w14:paraId="5A5B731F">
      <w:pPr>
        <w:rPr>
          <w:rFonts w:hint="eastAsia" w:ascii="方正楷体_GB2312" w:hAnsi="方正楷体_GB2312" w:eastAsia="方正楷体_GB2312" w:cs="方正楷体_GB2312"/>
          <w:b/>
          <w:bCs/>
          <w:color w:val="auto"/>
          <w:sz w:val="24"/>
          <w:szCs w:val="24"/>
          <w:highlight w:val="none"/>
        </w:rPr>
      </w:pPr>
      <w:bookmarkStart w:id="23" w:name="_Toc182131598"/>
      <w:r>
        <w:rPr>
          <w:rFonts w:hint="eastAsia" w:ascii="方正楷体_GB2312" w:hAnsi="方正楷体_GB2312" w:eastAsia="方正楷体_GB2312" w:cs="方正楷体_GB2312"/>
          <w:b/>
          <w:bCs/>
          <w:color w:val="auto"/>
          <w:sz w:val="24"/>
          <w:szCs w:val="24"/>
          <w:highlight w:val="none"/>
          <w:lang w:val="en-US" w:eastAsia="zh-CN"/>
        </w:rPr>
        <w:t>11.</w:t>
      </w:r>
      <w:r>
        <w:rPr>
          <w:rFonts w:hint="eastAsia" w:ascii="方正楷体_GB2312" w:hAnsi="方正楷体_GB2312" w:eastAsia="方正楷体_GB2312" w:cs="方正楷体_GB2312"/>
          <w:b/>
          <w:bCs/>
          <w:color w:val="auto"/>
          <w:sz w:val="24"/>
          <w:szCs w:val="24"/>
          <w:highlight w:val="none"/>
        </w:rPr>
        <w:t>谈判</w:t>
      </w:r>
      <w:r>
        <w:rPr>
          <w:rFonts w:hint="eastAsia" w:ascii="方正楷体_GB2312" w:hAnsi="方正楷体_GB2312" w:eastAsia="方正楷体_GB2312" w:cs="方正楷体_GB2312"/>
          <w:b/>
          <w:bCs/>
          <w:color w:val="auto"/>
          <w:sz w:val="24"/>
          <w:szCs w:val="24"/>
          <w:highlight w:val="none"/>
          <w:lang w:eastAsia="zh-CN"/>
        </w:rPr>
        <w:t>响应</w:t>
      </w:r>
      <w:r>
        <w:rPr>
          <w:rFonts w:hint="eastAsia" w:ascii="方正楷体_GB2312" w:hAnsi="方正楷体_GB2312" w:eastAsia="方正楷体_GB2312" w:cs="方正楷体_GB2312"/>
          <w:b/>
          <w:bCs/>
          <w:color w:val="auto"/>
          <w:sz w:val="24"/>
          <w:szCs w:val="24"/>
          <w:highlight w:val="none"/>
        </w:rPr>
        <w:t>文件的构成</w:t>
      </w:r>
      <w:bookmarkEnd w:id="23"/>
    </w:p>
    <w:p w14:paraId="2004BAD3">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11.1 供应商编写的谈判</w:t>
      </w:r>
      <w:r>
        <w:rPr>
          <w:rFonts w:hint="eastAsia" w:ascii="方正楷体_GB2312" w:hAnsi="方正楷体_GB2312" w:eastAsia="方正楷体_GB2312" w:cs="方正楷体_GB2312"/>
          <w:color w:val="auto"/>
          <w:sz w:val="24"/>
          <w:szCs w:val="24"/>
          <w:highlight w:val="none"/>
          <w:lang w:eastAsia="zh-CN"/>
        </w:rPr>
        <w:t>响应</w:t>
      </w:r>
      <w:r>
        <w:rPr>
          <w:rFonts w:hint="eastAsia" w:ascii="方正楷体_GB2312" w:hAnsi="方正楷体_GB2312" w:eastAsia="方正楷体_GB2312" w:cs="方正楷体_GB2312"/>
          <w:color w:val="auto"/>
          <w:sz w:val="24"/>
          <w:szCs w:val="24"/>
          <w:highlight w:val="none"/>
        </w:rPr>
        <w:t>文件应包括下列内容：</w:t>
      </w:r>
    </w:p>
    <w:p w14:paraId="013A3103">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11.1.1.投标书、谈判报价一览表；</w:t>
      </w:r>
    </w:p>
    <w:p w14:paraId="7CF9A0BF">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11.1.</w:t>
      </w:r>
      <w:r>
        <w:rPr>
          <w:rFonts w:hint="eastAsia" w:ascii="方正楷体_GB2312" w:hAnsi="方正楷体_GB2312" w:eastAsia="方正楷体_GB2312" w:cs="方正楷体_GB2312"/>
          <w:color w:val="auto"/>
          <w:sz w:val="24"/>
          <w:szCs w:val="24"/>
          <w:highlight w:val="none"/>
          <w:lang w:val="en-US" w:eastAsia="zh-CN"/>
        </w:rPr>
        <w:t>2</w:t>
      </w:r>
      <w:r>
        <w:rPr>
          <w:rFonts w:hint="eastAsia" w:ascii="方正楷体_GB2312" w:hAnsi="方正楷体_GB2312" w:eastAsia="方正楷体_GB2312" w:cs="方正楷体_GB2312"/>
          <w:color w:val="auto"/>
          <w:sz w:val="24"/>
          <w:szCs w:val="24"/>
          <w:highlight w:val="none"/>
        </w:rPr>
        <w:t>所投</w:t>
      </w:r>
      <w:r>
        <w:rPr>
          <w:rFonts w:hint="eastAsia" w:ascii="方正楷体_GB2312" w:hAnsi="方正楷体_GB2312" w:eastAsia="方正楷体_GB2312" w:cs="方正楷体_GB2312"/>
          <w:color w:val="auto"/>
          <w:sz w:val="24"/>
          <w:szCs w:val="24"/>
          <w:highlight w:val="none"/>
          <w:lang w:val="en-US" w:eastAsia="zh-CN"/>
        </w:rPr>
        <w:t>标项</w:t>
      </w:r>
      <w:r>
        <w:rPr>
          <w:rFonts w:hint="eastAsia" w:ascii="方正楷体_GB2312" w:hAnsi="方正楷体_GB2312" w:eastAsia="方正楷体_GB2312" w:cs="方正楷体_GB2312"/>
          <w:color w:val="auto"/>
          <w:sz w:val="24"/>
          <w:szCs w:val="24"/>
          <w:highlight w:val="none"/>
        </w:rPr>
        <w:t>的相关技术/证明资料</w:t>
      </w:r>
    </w:p>
    <w:p w14:paraId="7DEA34AD">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11.1.</w:t>
      </w:r>
      <w:r>
        <w:rPr>
          <w:rFonts w:hint="eastAsia" w:ascii="方正楷体_GB2312" w:hAnsi="方正楷体_GB2312" w:eastAsia="方正楷体_GB2312" w:cs="方正楷体_GB2312"/>
          <w:color w:val="auto"/>
          <w:sz w:val="24"/>
          <w:szCs w:val="24"/>
          <w:highlight w:val="none"/>
          <w:lang w:val="en-US" w:eastAsia="zh-CN"/>
        </w:rPr>
        <w:t>3</w:t>
      </w:r>
      <w:r>
        <w:rPr>
          <w:rFonts w:hint="eastAsia" w:ascii="方正楷体_GB2312" w:hAnsi="方正楷体_GB2312" w:eastAsia="方正楷体_GB2312" w:cs="方正楷体_GB2312"/>
          <w:color w:val="auto"/>
          <w:sz w:val="24"/>
          <w:szCs w:val="24"/>
          <w:highlight w:val="none"/>
        </w:rPr>
        <w:t>谈判响应保证金；</w:t>
      </w:r>
    </w:p>
    <w:p w14:paraId="14B0D008">
      <w:pPr>
        <w:jc w:val="left"/>
        <w:rPr>
          <w:rFonts w:hint="eastAsia" w:ascii="方正楷体_GB2312" w:hAnsi="方正楷体_GB2312" w:eastAsia="方正楷体_GB2312" w:cs="方正楷体_GB2312"/>
          <w:b/>
          <w:bCs/>
          <w:color w:val="auto"/>
          <w:sz w:val="24"/>
          <w:szCs w:val="24"/>
          <w:highlight w:val="none"/>
        </w:rPr>
      </w:pPr>
      <w:bookmarkStart w:id="24" w:name="_Toc182131599"/>
      <w:r>
        <w:rPr>
          <w:rFonts w:hint="eastAsia" w:ascii="方正楷体_GB2312" w:hAnsi="方正楷体_GB2312" w:eastAsia="方正楷体_GB2312" w:cs="方正楷体_GB2312"/>
          <w:b/>
          <w:bCs/>
          <w:color w:val="auto"/>
          <w:sz w:val="24"/>
          <w:szCs w:val="24"/>
          <w:highlight w:val="none"/>
          <w:lang w:val="en-US" w:eastAsia="zh-CN"/>
        </w:rPr>
        <w:t>12.</w:t>
      </w:r>
      <w:r>
        <w:rPr>
          <w:rFonts w:hint="eastAsia" w:ascii="方正楷体_GB2312" w:hAnsi="方正楷体_GB2312" w:eastAsia="方正楷体_GB2312" w:cs="方正楷体_GB2312"/>
          <w:b/>
          <w:bCs/>
          <w:color w:val="auto"/>
          <w:sz w:val="24"/>
          <w:szCs w:val="24"/>
          <w:highlight w:val="none"/>
        </w:rPr>
        <w:t>谈判</w:t>
      </w:r>
      <w:r>
        <w:rPr>
          <w:rFonts w:hint="eastAsia" w:ascii="方正楷体_GB2312" w:hAnsi="方正楷体_GB2312" w:eastAsia="方正楷体_GB2312" w:cs="方正楷体_GB2312"/>
          <w:b/>
          <w:bCs/>
          <w:color w:val="auto"/>
          <w:sz w:val="24"/>
          <w:szCs w:val="24"/>
          <w:highlight w:val="none"/>
          <w:lang w:eastAsia="zh-CN"/>
        </w:rPr>
        <w:t>响应</w:t>
      </w:r>
      <w:r>
        <w:rPr>
          <w:rFonts w:hint="eastAsia" w:ascii="方正楷体_GB2312" w:hAnsi="方正楷体_GB2312" w:eastAsia="方正楷体_GB2312" w:cs="方正楷体_GB2312"/>
          <w:b/>
          <w:bCs/>
          <w:color w:val="auto"/>
          <w:sz w:val="24"/>
          <w:szCs w:val="24"/>
          <w:highlight w:val="none"/>
        </w:rPr>
        <w:t>文件格式</w:t>
      </w:r>
      <w:bookmarkEnd w:id="24"/>
    </w:p>
    <w:p w14:paraId="1369587C">
      <w:pPr>
        <w:jc w:val="lef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12.1供应商应按谈判文件的范本格式中提供的谈判</w:t>
      </w:r>
      <w:r>
        <w:rPr>
          <w:rFonts w:hint="eastAsia" w:ascii="方正楷体_GB2312" w:hAnsi="方正楷体_GB2312" w:eastAsia="方正楷体_GB2312" w:cs="方正楷体_GB2312"/>
          <w:color w:val="auto"/>
          <w:sz w:val="24"/>
          <w:szCs w:val="24"/>
          <w:highlight w:val="none"/>
          <w:lang w:eastAsia="zh-CN"/>
        </w:rPr>
        <w:t>响应</w:t>
      </w:r>
      <w:r>
        <w:rPr>
          <w:rFonts w:hint="eastAsia" w:ascii="方正楷体_GB2312" w:hAnsi="方正楷体_GB2312" w:eastAsia="方正楷体_GB2312" w:cs="方正楷体_GB2312"/>
          <w:color w:val="auto"/>
          <w:sz w:val="24"/>
          <w:szCs w:val="24"/>
          <w:highlight w:val="none"/>
        </w:rPr>
        <w:t>文件格式</w:t>
      </w:r>
      <w:r>
        <w:rPr>
          <w:rFonts w:hint="eastAsia" w:ascii="方正楷体_GB2312" w:hAnsi="方正楷体_GB2312" w:eastAsia="方正楷体_GB2312" w:cs="方正楷体_GB2312"/>
          <w:color w:val="auto"/>
          <w:sz w:val="24"/>
          <w:szCs w:val="24"/>
          <w:highlight w:val="none"/>
          <w:lang w:val="en-US" w:eastAsia="zh-CN"/>
        </w:rPr>
        <w:t>逐一</w:t>
      </w:r>
      <w:r>
        <w:rPr>
          <w:rFonts w:hint="eastAsia" w:ascii="方正楷体_GB2312" w:hAnsi="方正楷体_GB2312" w:eastAsia="方正楷体_GB2312" w:cs="方正楷体_GB2312"/>
          <w:color w:val="auto"/>
          <w:sz w:val="24"/>
          <w:szCs w:val="24"/>
          <w:highlight w:val="none"/>
        </w:rPr>
        <w:t>填写投标书</w:t>
      </w:r>
      <w:r>
        <w:rPr>
          <w:rFonts w:hint="eastAsia" w:ascii="方正楷体_GB2312" w:hAnsi="方正楷体_GB2312" w:eastAsia="方正楷体_GB2312" w:cs="方正楷体_GB2312"/>
          <w:color w:val="auto"/>
          <w:sz w:val="24"/>
          <w:szCs w:val="24"/>
          <w:highlight w:val="none"/>
          <w:lang w:val="en-US" w:eastAsia="zh-CN"/>
        </w:rPr>
        <w:t>、开标一览表、</w:t>
      </w:r>
      <w:r>
        <w:rPr>
          <w:rFonts w:hint="eastAsia" w:ascii="方正楷体_GB2312" w:hAnsi="方正楷体_GB2312" w:eastAsia="方正楷体_GB2312" w:cs="方正楷体_GB2312"/>
          <w:color w:val="auto"/>
          <w:sz w:val="24"/>
          <w:szCs w:val="24"/>
          <w:highlight w:val="none"/>
          <w:lang w:eastAsia="zh-CN"/>
        </w:rPr>
        <w:t>响应承诺书</w:t>
      </w:r>
      <w:r>
        <w:rPr>
          <w:rFonts w:hint="eastAsia" w:ascii="方正楷体_GB2312" w:hAnsi="方正楷体_GB2312" w:eastAsia="方正楷体_GB2312" w:cs="方正楷体_GB2312"/>
          <w:color w:val="auto"/>
          <w:sz w:val="24"/>
          <w:szCs w:val="24"/>
          <w:highlight w:val="none"/>
          <w:lang w:val="en-US" w:eastAsia="zh-CN"/>
        </w:rPr>
        <w:t>、</w:t>
      </w:r>
      <w:r>
        <w:rPr>
          <w:rFonts w:hint="eastAsia" w:ascii="方正楷体_GB2312" w:hAnsi="方正楷体_GB2312" w:eastAsia="方正楷体_GB2312" w:cs="方正楷体_GB2312"/>
          <w:color w:val="auto"/>
          <w:sz w:val="24"/>
          <w:szCs w:val="24"/>
          <w:highlight w:val="none"/>
        </w:rPr>
        <w:t>法定代表人身份证明书</w:t>
      </w:r>
      <w:r>
        <w:rPr>
          <w:rFonts w:hint="eastAsia" w:ascii="方正楷体_GB2312" w:hAnsi="方正楷体_GB2312" w:eastAsia="方正楷体_GB2312" w:cs="方正楷体_GB2312"/>
          <w:color w:val="auto"/>
          <w:sz w:val="24"/>
          <w:szCs w:val="24"/>
          <w:highlight w:val="none"/>
          <w:lang w:eastAsia="zh-CN"/>
        </w:rPr>
        <w:t>、</w:t>
      </w:r>
      <w:r>
        <w:rPr>
          <w:rFonts w:hint="eastAsia" w:ascii="方正楷体_GB2312" w:hAnsi="方正楷体_GB2312" w:eastAsia="方正楷体_GB2312" w:cs="方正楷体_GB2312"/>
          <w:color w:val="auto"/>
          <w:sz w:val="24"/>
          <w:szCs w:val="24"/>
          <w:highlight w:val="none"/>
        </w:rPr>
        <w:t>授权委托书</w:t>
      </w:r>
      <w:r>
        <w:rPr>
          <w:rFonts w:hint="eastAsia" w:ascii="方正楷体_GB2312" w:hAnsi="方正楷体_GB2312" w:eastAsia="方正楷体_GB2312" w:cs="方正楷体_GB2312"/>
          <w:color w:val="auto"/>
          <w:sz w:val="24"/>
          <w:szCs w:val="24"/>
          <w:highlight w:val="none"/>
          <w:lang w:val="en-US" w:eastAsia="zh-CN"/>
        </w:rPr>
        <w:t xml:space="preserve"> 、报价方（供应商）反商业贿赂承诺书、</w:t>
      </w:r>
      <w:r>
        <w:rPr>
          <w:rFonts w:hint="eastAsia" w:ascii="方正楷体_GB2312" w:hAnsi="方正楷体_GB2312" w:eastAsia="方正楷体_GB2312" w:cs="方正楷体_GB2312"/>
          <w:color w:val="auto"/>
          <w:sz w:val="24"/>
          <w:szCs w:val="24"/>
          <w:highlight w:val="none"/>
          <w:lang w:eastAsia="zh-CN"/>
        </w:rPr>
        <w:t>供应商资格审查</w:t>
      </w:r>
      <w:r>
        <w:rPr>
          <w:rFonts w:hint="eastAsia" w:ascii="方正楷体_GB2312" w:hAnsi="方正楷体_GB2312" w:eastAsia="方正楷体_GB2312" w:cs="方正楷体_GB2312"/>
          <w:color w:val="auto"/>
          <w:sz w:val="24"/>
          <w:szCs w:val="24"/>
          <w:highlight w:val="none"/>
          <w:lang w:val="en-US" w:eastAsia="zh-CN"/>
        </w:rPr>
        <w:t>、</w:t>
      </w:r>
      <w:r>
        <w:rPr>
          <w:rFonts w:hint="eastAsia" w:ascii="方正楷体_GB2312" w:hAnsi="方正楷体_GB2312" w:eastAsia="方正楷体_GB2312" w:cs="方正楷体_GB2312"/>
          <w:color w:val="auto"/>
          <w:sz w:val="24"/>
          <w:szCs w:val="24"/>
          <w:highlight w:val="none"/>
          <w:lang w:eastAsia="zh-CN"/>
        </w:rPr>
        <w:t>商务技术条款偏离表</w:t>
      </w:r>
      <w:r>
        <w:rPr>
          <w:rFonts w:hint="eastAsia" w:ascii="方正楷体_GB2312" w:hAnsi="方正楷体_GB2312" w:eastAsia="方正楷体_GB2312" w:cs="方正楷体_GB2312"/>
          <w:color w:val="auto"/>
          <w:sz w:val="24"/>
          <w:szCs w:val="24"/>
          <w:highlight w:val="none"/>
          <w:lang w:val="en-US" w:eastAsia="zh-CN"/>
        </w:rPr>
        <w:t>、关于《政府采购法》第二十二条规定的承诺书、中小企业声明函、</w:t>
      </w:r>
      <w:r>
        <w:rPr>
          <w:rFonts w:hint="eastAsia" w:ascii="方正楷体_GB2312" w:hAnsi="方正楷体_GB2312" w:eastAsia="方正楷体_GB2312" w:cs="方正楷体_GB2312"/>
          <w:color w:val="auto"/>
          <w:sz w:val="24"/>
          <w:szCs w:val="24"/>
          <w:highlight w:val="none"/>
        </w:rPr>
        <w:t>关于资格的声明函</w:t>
      </w:r>
      <w:r>
        <w:rPr>
          <w:rFonts w:hint="eastAsia" w:ascii="方正楷体_GB2312" w:hAnsi="方正楷体_GB2312" w:eastAsia="方正楷体_GB2312" w:cs="方正楷体_GB2312"/>
          <w:color w:val="auto"/>
          <w:sz w:val="24"/>
          <w:szCs w:val="24"/>
          <w:highlight w:val="none"/>
          <w:lang w:val="en-US" w:eastAsia="zh-CN"/>
        </w:rPr>
        <w:t>、</w:t>
      </w:r>
      <w:r>
        <w:rPr>
          <w:rFonts w:hint="eastAsia" w:ascii="方正楷体_GB2312" w:hAnsi="方正楷体_GB2312" w:eastAsia="方正楷体_GB2312" w:cs="方正楷体_GB2312"/>
          <w:color w:val="auto"/>
          <w:sz w:val="24"/>
          <w:szCs w:val="24"/>
          <w:highlight w:val="none"/>
        </w:rPr>
        <w:t>其他等。</w:t>
      </w:r>
    </w:p>
    <w:p w14:paraId="65B48F0A">
      <w:pPr>
        <w:rPr>
          <w:rFonts w:hint="eastAsia" w:ascii="方正楷体_GB2312" w:hAnsi="方正楷体_GB2312" w:eastAsia="方正楷体_GB2312" w:cs="方正楷体_GB2312"/>
          <w:b/>
          <w:bCs/>
          <w:color w:val="auto"/>
          <w:sz w:val="24"/>
          <w:szCs w:val="24"/>
          <w:highlight w:val="none"/>
        </w:rPr>
      </w:pPr>
      <w:bookmarkStart w:id="25" w:name="_Toc182131600"/>
      <w:r>
        <w:rPr>
          <w:rFonts w:hint="eastAsia" w:ascii="方正楷体_GB2312" w:hAnsi="方正楷体_GB2312" w:eastAsia="方正楷体_GB2312" w:cs="方正楷体_GB2312"/>
          <w:b/>
          <w:bCs/>
          <w:color w:val="auto"/>
          <w:sz w:val="24"/>
          <w:szCs w:val="24"/>
          <w:highlight w:val="none"/>
          <w:lang w:val="en-US" w:eastAsia="zh-CN"/>
        </w:rPr>
        <w:t>13.</w:t>
      </w:r>
      <w:r>
        <w:rPr>
          <w:rFonts w:hint="eastAsia" w:ascii="方正楷体_GB2312" w:hAnsi="方正楷体_GB2312" w:eastAsia="方正楷体_GB2312" w:cs="方正楷体_GB2312"/>
          <w:b/>
          <w:bCs/>
          <w:color w:val="auto"/>
          <w:sz w:val="24"/>
          <w:szCs w:val="24"/>
          <w:highlight w:val="none"/>
        </w:rPr>
        <w:t>谈判报价</w:t>
      </w:r>
      <w:bookmarkEnd w:id="25"/>
    </w:p>
    <w:p w14:paraId="580CC5B2">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13.1供应商应在投标报价表上标明单价和总价。单价和总价要相符。小写和大写要相符。供应商应在投标报价分项报价表成交明其提供的所有货物及其相关工作范围内所有费用的总价，</w:t>
      </w:r>
      <w:r>
        <w:rPr>
          <w:rFonts w:hint="eastAsia" w:ascii="方正楷体_GB2312" w:hAnsi="方正楷体_GB2312" w:eastAsia="方正楷体_GB2312" w:cs="方正楷体_GB2312"/>
          <w:color w:val="auto"/>
          <w:sz w:val="24"/>
          <w:szCs w:val="24"/>
          <w:highlight w:val="none"/>
          <w:lang w:eastAsia="zh-CN"/>
        </w:rPr>
        <w:t>采购人</w:t>
      </w:r>
      <w:r>
        <w:rPr>
          <w:rFonts w:hint="eastAsia" w:ascii="方正楷体_GB2312" w:hAnsi="方正楷体_GB2312" w:eastAsia="方正楷体_GB2312" w:cs="方正楷体_GB2312"/>
          <w:color w:val="auto"/>
          <w:sz w:val="24"/>
          <w:szCs w:val="24"/>
          <w:highlight w:val="none"/>
        </w:rPr>
        <w:t>不接受有任何选择性报价。</w:t>
      </w:r>
    </w:p>
    <w:p w14:paraId="4CFA1CF8">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13.2.1除谈判文件有强制性规定以及不可竞争部分以外，投标报价由供应商自主确定，但不得低于其成本。</w:t>
      </w:r>
    </w:p>
    <w:p w14:paraId="08FF5884">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13.3 算术性修正。算术性修正是指对谈判响应文件的报价明细进行校核，并对其算术上和运算上的差错给予修正。修正的原则如下：</w:t>
      </w:r>
    </w:p>
    <w:p w14:paraId="1035ACDB">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13.3.1 当以数字表示的金额与文字表示的金额有差异时，以文字表示的金额为准；</w:t>
      </w:r>
    </w:p>
    <w:p w14:paraId="12302272">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13.3.2 当单价与数量相乘不等于合价时，以单价计算为准。如果单价有明显的小数点位置差错，应以标出的合价为准，同时对单价予以修正；</w:t>
      </w:r>
    </w:p>
    <w:p w14:paraId="479DE031">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13.3.3 当各明细部分的价格累计不等于合价时，应以各明细的累计计数为准，修正合价。</w:t>
      </w:r>
    </w:p>
    <w:p w14:paraId="18D02F6D">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13.3.4 按以上原则对算术性差错修正，应取得供应商的同意，并确认修正后最终谈判报价。如果供应商拒绝确认，则其谈判响应文件将不予以评审并按废标处理，没收其投标担保。</w:t>
      </w:r>
    </w:p>
    <w:p w14:paraId="584801D1">
      <w:pPr>
        <w:rPr>
          <w:rFonts w:hint="eastAsia" w:ascii="方正楷体_GB2312" w:hAnsi="方正楷体_GB2312" w:eastAsia="方正楷体_GB2312" w:cs="方正楷体_GB2312"/>
          <w:b/>
          <w:bCs/>
          <w:color w:val="auto"/>
          <w:sz w:val="24"/>
          <w:szCs w:val="24"/>
          <w:highlight w:val="none"/>
        </w:rPr>
      </w:pPr>
      <w:bookmarkStart w:id="26" w:name="_Toc182131601"/>
      <w:r>
        <w:rPr>
          <w:rFonts w:hint="eastAsia" w:ascii="方正楷体_GB2312" w:hAnsi="方正楷体_GB2312" w:eastAsia="方正楷体_GB2312" w:cs="方正楷体_GB2312"/>
          <w:b/>
          <w:bCs/>
          <w:color w:val="auto"/>
          <w:sz w:val="24"/>
          <w:szCs w:val="24"/>
          <w:highlight w:val="none"/>
          <w:lang w:val="en-US" w:eastAsia="zh-CN"/>
        </w:rPr>
        <w:t>14.</w:t>
      </w:r>
      <w:r>
        <w:rPr>
          <w:rFonts w:hint="eastAsia" w:ascii="方正楷体_GB2312" w:hAnsi="方正楷体_GB2312" w:eastAsia="方正楷体_GB2312" w:cs="方正楷体_GB2312"/>
          <w:b/>
          <w:bCs/>
          <w:color w:val="auto"/>
          <w:sz w:val="24"/>
          <w:szCs w:val="24"/>
          <w:highlight w:val="none"/>
        </w:rPr>
        <w:t>谈判报价货币</w:t>
      </w:r>
      <w:bookmarkEnd w:id="26"/>
    </w:p>
    <w:p w14:paraId="04BACAB8">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14.1以人民币报价。</w:t>
      </w:r>
    </w:p>
    <w:p w14:paraId="12ABDDBC">
      <w:pPr>
        <w:rPr>
          <w:rFonts w:hint="eastAsia" w:ascii="方正楷体_GB2312" w:hAnsi="方正楷体_GB2312" w:eastAsia="方正楷体_GB2312" w:cs="方正楷体_GB2312"/>
          <w:b/>
          <w:bCs/>
          <w:color w:val="auto"/>
          <w:sz w:val="24"/>
          <w:szCs w:val="24"/>
          <w:highlight w:val="none"/>
        </w:rPr>
      </w:pPr>
      <w:bookmarkStart w:id="27" w:name="_Toc182131602"/>
      <w:r>
        <w:rPr>
          <w:rFonts w:hint="eastAsia" w:ascii="方正楷体_GB2312" w:hAnsi="方正楷体_GB2312" w:eastAsia="方正楷体_GB2312" w:cs="方正楷体_GB2312"/>
          <w:b/>
          <w:bCs/>
          <w:color w:val="auto"/>
          <w:sz w:val="24"/>
          <w:szCs w:val="24"/>
          <w:highlight w:val="none"/>
        </w:rPr>
        <w:t>15.供应商资格的证明文件</w:t>
      </w:r>
      <w:bookmarkEnd w:id="27"/>
    </w:p>
    <w:p w14:paraId="42ACEE37">
      <w:pPr>
        <w:rPr>
          <w:rFonts w:hint="eastAsia" w:ascii="方正楷体_GB2312" w:hAnsi="方正楷体_GB2312" w:eastAsia="方正楷体_GB2312" w:cs="方正楷体_GB2312"/>
          <w:b/>
          <w:color w:val="auto"/>
          <w:sz w:val="24"/>
          <w:szCs w:val="24"/>
          <w:highlight w:val="none"/>
          <w:lang w:val="en-US" w:eastAsia="zh-CN"/>
        </w:rPr>
      </w:pPr>
      <w:bookmarkStart w:id="28" w:name="_Toc182131603"/>
      <w:r>
        <w:rPr>
          <w:rFonts w:hint="eastAsia" w:ascii="方正楷体_GB2312" w:hAnsi="方正楷体_GB2312" w:eastAsia="方正楷体_GB2312" w:cs="方正楷体_GB2312"/>
          <w:b/>
          <w:color w:val="auto"/>
          <w:sz w:val="24"/>
          <w:szCs w:val="24"/>
          <w:highlight w:val="none"/>
          <w:lang w:eastAsia="zh-CN"/>
        </w:rPr>
        <w:t>按第二部分供应商须知</w:t>
      </w:r>
      <w:r>
        <w:rPr>
          <w:rFonts w:hint="eastAsia" w:ascii="方正楷体_GB2312" w:hAnsi="方正楷体_GB2312" w:eastAsia="方正楷体_GB2312" w:cs="方正楷体_GB2312"/>
          <w:b/>
          <w:color w:val="auto"/>
          <w:sz w:val="24"/>
          <w:szCs w:val="24"/>
          <w:highlight w:val="none"/>
          <w:lang w:val="en-US" w:eastAsia="zh-CN"/>
        </w:rPr>
        <w:t>F评审方法中</w:t>
      </w:r>
      <w:r>
        <w:rPr>
          <w:rFonts w:hint="eastAsia" w:ascii="方正楷体_GB2312" w:hAnsi="方正楷体_GB2312" w:eastAsia="方正楷体_GB2312" w:cs="方正楷体_GB2312"/>
          <w:b/>
          <w:color w:val="auto"/>
          <w:sz w:val="24"/>
          <w:szCs w:val="24"/>
          <w:highlight w:val="none"/>
          <w:lang w:eastAsia="zh-CN"/>
        </w:rPr>
        <w:t>资格性审查、符合性审查项中的要求逐项将</w:t>
      </w:r>
      <w:r>
        <w:rPr>
          <w:rFonts w:hint="eastAsia" w:ascii="方正楷体_GB2312" w:hAnsi="方正楷体_GB2312" w:eastAsia="方正楷体_GB2312" w:cs="方正楷体_GB2312"/>
          <w:b/>
          <w:color w:val="auto"/>
          <w:sz w:val="24"/>
          <w:szCs w:val="24"/>
          <w:highlight w:val="none"/>
          <w:lang w:val="en-US" w:eastAsia="zh-CN"/>
        </w:rPr>
        <w:t>项扫描件加盖公章上传至加密文档中</w:t>
      </w:r>
    </w:p>
    <w:p w14:paraId="406C24E3">
      <w:pPr>
        <w:rPr>
          <w:rFonts w:hint="eastAsia" w:ascii="方正楷体_GB2312" w:hAnsi="方正楷体_GB2312" w:eastAsia="方正楷体_GB2312" w:cs="方正楷体_GB2312"/>
          <w:b/>
          <w:bCs/>
          <w:color w:val="auto"/>
          <w:sz w:val="24"/>
          <w:szCs w:val="24"/>
          <w:highlight w:val="none"/>
        </w:rPr>
      </w:pPr>
      <w:r>
        <w:rPr>
          <w:rFonts w:hint="eastAsia" w:ascii="方正楷体_GB2312" w:hAnsi="方正楷体_GB2312" w:eastAsia="方正楷体_GB2312" w:cs="方正楷体_GB2312"/>
          <w:b/>
          <w:bCs/>
          <w:color w:val="auto"/>
          <w:sz w:val="24"/>
          <w:szCs w:val="24"/>
          <w:highlight w:val="none"/>
          <w:lang w:val="en-US" w:eastAsia="zh-CN"/>
        </w:rPr>
        <w:t>1</w:t>
      </w:r>
      <w:r>
        <w:rPr>
          <w:rFonts w:hint="eastAsia" w:ascii="方正楷体_GB2312" w:hAnsi="方正楷体_GB2312" w:eastAsia="方正楷体_GB2312" w:cs="方正楷体_GB2312"/>
          <w:b/>
          <w:bCs/>
          <w:color w:val="auto"/>
          <w:sz w:val="24"/>
          <w:szCs w:val="24"/>
          <w:highlight w:val="none"/>
          <w:lang w:eastAsia="zh-CN"/>
        </w:rPr>
        <w:t>6</w:t>
      </w:r>
      <w:r>
        <w:rPr>
          <w:rFonts w:hint="eastAsia" w:ascii="方正楷体_GB2312" w:hAnsi="方正楷体_GB2312" w:eastAsia="方正楷体_GB2312" w:cs="方正楷体_GB2312"/>
          <w:b/>
          <w:bCs/>
          <w:color w:val="auto"/>
          <w:sz w:val="24"/>
          <w:szCs w:val="24"/>
          <w:highlight w:val="none"/>
          <w:lang w:val="en-US" w:eastAsia="zh-CN"/>
        </w:rPr>
        <w:t>.</w:t>
      </w:r>
      <w:r>
        <w:rPr>
          <w:rFonts w:hint="eastAsia" w:ascii="方正楷体_GB2312" w:hAnsi="方正楷体_GB2312" w:eastAsia="方正楷体_GB2312" w:cs="方正楷体_GB2312"/>
          <w:b/>
          <w:bCs/>
          <w:color w:val="auto"/>
          <w:sz w:val="24"/>
          <w:szCs w:val="24"/>
          <w:highlight w:val="none"/>
        </w:rPr>
        <w:t>投标符合谈判文件规定的技术响应文件</w:t>
      </w:r>
      <w:bookmarkEnd w:id="28"/>
    </w:p>
    <w:p w14:paraId="3A024F72">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16</w:t>
      </w:r>
      <w:r>
        <w:rPr>
          <w:rFonts w:hint="eastAsia" w:ascii="方正楷体_GB2312" w:hAnsi="方正楷体_GB2312" w:eastAsia="方正楷体_GB2312" w:cs="方正楷体_GB2312"/>
          <w:color w:val="auto"/>
          <w:sz w:val="24"/>
          <w:szCs w:val="24"/>
          <w:highlight w:val="none"/>
          <w:lang w:val="en-US" w:eastAsia="zh-Hans"/>
        </w:rPr>
        <w:t>.</w:t>
      </w:r>
      <w:r>
        <w:rPr>
          <w:rFonts w:hint="eastAsia" w:ascii="方正楷体_GB2312" w:hAnsi="方正楷体_GB2312" w:eastAsia="方正楷体_GB2312" w:cs="方正楷体_GB2312"/>
          <w:color w:val="auto"/>
          <w:sz w:val="24"/>
          <w:szCs w:val="24"/>
          <w:highlight w:val="none"/>
          <w:lang w:eastAsia="zh-Hans"/>
        </w:rPr>
        <w:t>1</w:t>
      </w:r>
      <w:r>
        <w:rPr>
          <w:rFonts w:hint="eastAsia" w:ascii="方正楷体_GB2312" w:hAnsi="方正楷体_GB2312" w:eastAsia="方正楷体_GB2312" w:cs="方正楷体_GB2312"/>
          <w:color w:val="auto"/>
          <w:sz w:val="24"/>
          <w:szCs w:val="24"/>
          <w:highlight w:val="none"/>
        </w:rPr>
        <w:t>供应商须提交证明拟供货物和服务符合谈判文件规定的技术响应文件，作为谈判</w:t>
      </w:r>
      <w:r>
        <w:rPr>
          <w:rFonts w:hint="eastAsia" w:ascii="方正楷体_GB2312" w:hAnsi="方正楷体_GB2312" w:eastAsia="方正楷体_GB2312" w:cs="方正楷体_GB2312"/>
          <w:color w:val="auto"/>
          <w:sz w:val="24"/>
          <w:szCs w:val="24"/>
          <w:highlight w:val="none"/>
          <w:lang w:eastAsia="zh-CN"/>
        </w:rPr>
        <w:t>响应</w:t>
      </w:r>
      <w:r>
        <w:rPr>
          <w:rFonts w:hint="eastAsia" w:ascii="方正楷体_GB2312" w:hAnsi="方正楷体_GB2312" w:eastAsia="方正楷体_GB2312" w:cs="方正楷体_GB2312"/>
          <w:color w:val="auto"/>
          <w:sz w:val="24"/>
          <w:szCs w:val="24"/>
          <w:highlight w:val="none"/>
        </w:rPr>
        <w:t>文件的一部分。</w:t>
      </w:r>
    </w:p>
    <w:p w14:paraId="421C3F71">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16</w:t>
      </w:r>
      <w:r>
        <w:rPr>
          <w:rFonts w:hint="eastAsia" w:ascii="方正楷体_GB2312" w:hAnsi="方正楷体_GB2312" w:eastAsia="方正楷体_GB2312" w:cs="方正楷体_GB2312"/>
          <w:color w:val="auto"/>
          <w:sz w:val="24"/>
          <w:szCs w:val="24"/>
          <w:highlight w:val="none"/>
          <w:lang w:val="en-US" w:eastAsia="zh-Hans"/>
        </w:rPr>
        <w:t>.</w:t>
      </w:r>
      <w:r>
        <w:rPr>
          <w:rFonts w:hint="eastAsia" w:ascii="方正楷体_GB2312" w:hAnsi="方正楷体_GB2312" w:eastAsia="方正楷体_GB2312" w:cs="方正楷体_GB2312"/>
          <w:color w:val="auto"/>
          <w:sz w:val="24"/>
          <w:szCs w:val="24"/>
          <w:highlight w:val="none"/>
          <w:lang w:eastAsia="zh-Hans"/>
        </w:rPr>
        <w:t>2</w:t>
      </w:r>
      <w:r>
        <w:rPr>
          <w:rFonts w:hint="eastAsia" w:ascii="方正楷体_GB2312" w:hAnsi="方正楷体_GB2312" w:eastAsia="方正楷体_GB2312" w:cs="方正楷体_GB2312"/>
          <w:color w:val="auto"/>
          <w:sz w:val="24"/>
          <w:szCs w:val="24"/>
          <w:highlight w:val="none"/>
        </w:rPr>
        <w:t>没有按要求提供资料或提供资料不完全，将是对招标没有作出实质性响应，其风险由供应商自行承担。</w:t>
      </w:r>
    </w:p>
    <w:p w14:paraId="5E70EC2E">
      <w:pPr>
        <w:rPr>
          <w:rFonts w:hint="eastAsia" w:ascii="方正楷体_GB2312" w:hAnsi="方正楷体_GB2312" w:eastAsia="方正楷体_GB2312" w:cs="方正楷体_GB2312"/>
          <w:b/>
          <w:bCs/>
          <w:color w:val="auto"/>
          <w:sz w:val="24"/>
          <w:szCs w:val="24"/>
          <w:highlight w:val="none"/>
        </w:rPr>
      </w:pPr>
      <w:bookmarkStart w:id="29" w:name="_Toc182131604"/>
      <w:r>
        <w:rPr>
          <w:rFonts w:hint="eastAsia" w:ascii="方正楷体_GB2312" w:hAnsi="方正楷体_GB2312" w:eastAsia="方正楷体_GB2312" w:cs="方正楷体_GB2312"/>
          <w:b/>
          <w:bCs/>
          <w:color w:val="auto"/>
          <w:sz w:val="24"/>
          <w:szCs w:val="24"/>
          <w:highlight w:val="none"/>
          <w:lang w:val="en-US" w:eastAsia="zh-CN"/>
        </w:rPr>
        <w:t>17.</w:t>
      </w:r>
      <w:r>
        <w:rPr>
          <w:rFonts w:hint="eastAsia" w:ascii="方正楷体_GB2312" w:hAnsi="方正楷体_GB2312" w:eastAsia="方正楷体_GB2312" w:cs="方正楷体_GB2312"/>
          <w:b/>
          <w:bCs/>
          <w:color w:val="auto"/>
          <w:sz w:val="24"/>
          <w:szCs w:val="24"/>
          <w:highlight w:val="none"/>
        </w:rPr>
        <w:t>投标的有效期</w:t>
      </w:r>
      <w:bookmarkEnd w:id="29"/>
    </w:p>
    <w:p w14:paraId="22073524">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17.1谈判响应文件从谈判之日起，</w:t>
      </w:r>
      <w:r>
        <w:rPr>
          <w:rFonts w:hint="eastAsia" w:ascii="方正楷体_GB2312" w:hAnsi="方正楷体_GB2312" w:eastAsia="方正楷体_GB2312" w:cs="方正楷体_GB2312"/>
          <w:b/>
          <w:bCs/>
          <w:color w:val="auto"/>
          <w:sz w:val="24"/>
          <w:szCs w:val="24"/>
          <w:highlight w:val="none"/>
        </w:rPr>
        <w:t>投标有效期为90天。（如不满足将导致废标）</w:t>
      </w:r>
    </w:p>
    <w:p w14:paraId="72C25BBD">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17.2在特殊情况下，</w:t>
      </w:r>
      <w:r>
        <w:rPr>
          <w:rFonts w:hint="eastAsia" w:ascii="方正楷体_GB2312" w:hAnsi="方正楷体_GB2312" w:eastAsia="方正楷体_GB2312" w:cs="方正楷体_GB2312"/>
          <w:color w:val="auto"/>
          <w:sz w:val="24"/>
          <w:szCs w:val="24"/>
          <w:highlight w:val="none"/>
          <w:lang w:eastAsia="zh-CN"/>
        </w:rPr>
        <w:t>采购</w:t>
      </w:r>
      <w:r>
        <w:rPr>
          <w:rFonts w:hint="eastAsia" w:ascii="方正楷体_GB2312" w:hAnsi="方正楷体_GB2312" w:eastAsia="方正楷体_GB2312" w:cs="方正楷体_GB2312"/>
          <w:color w:val="auto"/>
          <w:sz w:val="24"/>
          <w:szCs w:val="24"/>
          <w:highlight w:val="none"/>
        </w:rPr>
        <w:t>机构可与供应商商量延长谈判响应文件的有效期。</w:t>
      </w:r>
    </w:p>
    <w:p w14:paraId="220A6B85">
      <w:pPr>
        <w:rPr>
          <w:rFonts w:hint="eastAsia" w:ascii="方正楷体_GB2312" w:hAnsi="方正楷体_GB2312" w:eastAsia="方正楷体_GB2312" w:cs="方正楷体_GB2312"/>
          <w:b/>
          <w:bCs/>
          <w:color w:val="auto"/>
          <w:sz w:val="24"/>
          <w:szCs w:val="24"/>
          <w:highlight w:val="none"/>
          <w:lang w:val="en-US" w:eastAsia="zh-CN"/>
        </w:rPr>
      </w:pPr>
      <w:bookmarkStart w:id="30" w:name="_Toc182131605"/>
      <w:r>
        <w:rPr>
          <w:rFonts w:hint="eastAsia" w:ascii="方正楷体_GB2312" w:hAnsi="方正楷体_GB2312" w:eastAsia="方正楷体_GB2312" w:cs="方正楷体_GB2312"/>
          <w:b/>
          <w:bCs/>
          <w:color w:val="auto"/>
          <w:sz w:val="24"/>
          <w:szCs w:val="24"/>
          <w:highlight w:val="none"/>
          <w:lang w:val="en-US" w:eastAsia="zh-CN"/>
        </w:rPr>
        <w:t>18.谈判响应文件的书写要求</w:t>
      </w:r>
      <w:bookmarkEnd w:id="30"/>
    </w:p>
    <w:p w14:paraId="341574FB">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18.1 谈判响应文件</w:t>
      </w:r>
      <w:r>
        <w:rPr>
          <w:rFonts w:hint="eastAsia" w:ascii="方正楷体_GB2312" w:hAnsi="方正楷体_GB2312" w:eastAsia="方正楷体_GB2312" w:cs="方正楷体_GB2312"/>
          <w:color w:val="auto"/>
          <w:sz w:val="24"/>
          <w:szCs w:val="24"/>
          <w:highlight w:val="none"/>
          <w:lang w:val="en-US" w:eastAsia="zh-CN"/>
        </w:rPr>
        <w:t>须在开标前上传至政采云客户端</w:t>
      </w:r>
      <w:r>
        <w:rPr>
          <w:rFonts w:hint="eastAsia" w:ascii="方正楷体_GB2312" w:hAnsi="方正楷体_GB2312" w:eastAsia="方正楷体_GB2312" w:cs="方正楷体_GB2312"/>
          <w:color w:val="auto"/>
          <w:sz w:val="24"/>
          <w:szCs w:val="24"/>
          <w:highlight w:val="none"/>
        </w:rPr>
        <w:t>。</w:t>
      </w:r>
    </w:p>
    <w:p w14:paraId="637C97E5">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18.2 谈判响应文件应清楚工整，修改处应由投标全权代表签章。</w:t>
      </w:r>
    </w:p>
    <w:p w14:paraId="387A4CD2">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18.3 谈判响应文件应由法人代表或法人授权代表在凡规定签章处逐一签署及加盖单位公章。</w:t>
      </w:r>
    </w:p>
    <w:p w14:paraId="03C42AFC">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18.4电报、电话、传真形式的投标概不接受。</w:t>
      </w:r>
    </w:p>
    <w:p w14:paraId="409537AA">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18.5谈判</w:t>
      </w:r>
      <w:r>
        <w:rPr>
          <w:rFonts w:hint="eastAsia" w:ascii="方正楷体_GB2312" w:hAnsi="方正楷体_GB2312" w:eastAsia="方正楷体_GB2312" w:cs="方正楷体_GB2312"/>
          <w:color w:val="auto"/>
          <w:sz w:val="24"/>
          <w:szCs w:val="24"/>
          <w:highlight w:val="none"/>
          <w:lang w:eastAsia="zh-CN"/>
        </w:rPr>
        <w:t>响应</w:t>
      </w:r>
      <w:r>
        <w:rPr>
          <w:rFonts w:hint="eastAsia" w:ascii="方正楷体_GB2312" w:hAnsi="方正楷体_GB2312" w:eastAsia="方正楷体_GB2312" w:cs="方正楷体_GB2312"/>
          <w:color w:val="auto"/>
          <w:sz w:val="24"/>
          <w:szCs w:val="24"/>
          <w:highlight w:val="none"/>
        </w:rPr>
        <w:t>文件的份数：</w:t>
      </w:r>
      <w:r>
        <w:rPr>
          <w:rFonts w:hint="eastAsia" w:ascii="方正楷体_GB2312" w:hAnsi="方正楷体_GB2312" w:eastAsia="方正楷体_GB2312" w:cs="方正楷体_GB2312"/>
          <w:color w:val="auto"/>
          <w:sz w:val="24"/>
          <w:szCs w:val="24"/>
          <w:highlight w:val="none"/>
          <w:lang w:val="en-US" w:eastAsia="zh-CN"/>
        </w:rPr>
        <w:t>经加密的电子版文件，须在开标前上传至政采云客户端。</w:t>
      </w:r>
    </w:p>
    <w:p w14:paraId="2558F8B2">
      <w:pPr>
        <w:rPr>
          <w:rFonts w:hint="eastAsia" w:ascii="方正楷体_GB2312" w:hAnsi="方正楷体_GB2312" w:eastAsia="方正楷体_GB2312" w:cs="方正楷体_GB2312"/>
          <w:b/>
          <w:bCs/>
          <w:color w:val="auto"/>
          <w:sz w:val="24"/>
          <w:szCs w:val="24"/>
          <w:highlight w:val="none"/>
        </w:rPr>
      </w:pPr>
      <w:r>
        <w:rPr>
          <w:rFonts w:hint="eastAsia" w:ascii="方正楷体_GB2312" w:hAnsi="方正楷体_GB2312" w:eastAsia="方正楷体_GB2312" w:cs="方正楷体_GB2312"/>
          <w:b/>
          <w:bCs/>
          <w:color w:val="auto"/>
          <w:sz w:val="24"/>
          <w:szCs w:val="24"/>
          <w:highlight w:val="none"/>
          <w:lang w:val="en-US" w:eastAsia="zh-CN"/>
        </w:rPr>
        <w:t>19.</w:t>
      </w:r>
      <w:r>
        <w:rPr>
          <w:rFonts w:hint="eastAsia" w:ascii="方正楷体_GB2312" w:hAnsi="方正楷体_GB2312" w:eastAsia="方正楷体_GB2312" w:cs="方正楷体_GB2312"/>
          <w:b/>
          <w:bCs/>
          <w:color w:val="auto"/>
          <w:sz w:val="24"/>
          <w:szCs w:val="24"/>
          <w:highlight w:val="none"/>
        </w:rPr>
        <w:t>谈判保证金</w:t>
      </w:r>
    </w:p>
    <w:p w14:paraId="2492BE54">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19.1供应商按照供应商须知前附表规定的金额，于投标截止时间前向采购代理机构交纳谈判保证金。</w:t>
      </w:r>
    </w:p>
    <w:p w14:paraId="39819C9D">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19.2本招标可接受电汇作为谈判保证金，谈判保证金有效期应当与谈判响应有效期一致。</w:t>
      </w:r>
    </w:p>
    <w:p w14:paraId="358B78E8">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19.3谈判保证金的退还时间：在成交通知书发出后5个工作日内退还未成交供应商的</w:t>
      </w:r>
      <w:r>
        <w:rPr>
          <w:rFonts w:hint="eastAsia" w:ascii="方正楷体_GB2312" w:hAnsi="方正楷体_GB2312" w:eastAsia="方正楷体_GB2312" w:cs="方正楷体_GB2312"/>
          <w:color w:val="auto"/>
          <w:sz w:val="24"/>
          <w:szCs w:val="24"/>
          <w:highlight w:val="none"/>
          <w:lang w:eastAsia="zh-CN"/>
        </w:rPr>
        <w:t>谈判保证金</w:t>
      </w:r>
      <w:r>
        <w:rPr>
          <w:rFonts w:hint="eastAsia" w:ascii="方正楷体_GB2312" w:hAnsi="方正楷体_GB2312" w:eastAsia="方正楷体_GB2312" w:cs="方正楷体_GB2312"/>
          <w:color w:val="auto"/>
          <w:sz w:val="24"/>
          <w:szCs w:val="24"/>
          <w:highlight w:val="none"/>
        </w:rPr>
        <w:t>，在采购合同签订后5个工作日内退还成交供应商的</w:t>
      </w:r>
      <w:r>
        <w:rPr>
          <w:rFonts w:hint="eastAsia" w:ascii="方正楷体_GB2312" w:hAnsi="方正楷体_GB2312" w:eastAsia="方正楷体_GB2312" w:cs="方正楷体_GB2312"/>
          <w:color w:val="auto"/>
          <w:sz w:val="24"/>
          <w:szCs w:val="24"/>
          <w:highlight w:val="none"/>
          <w:lang w:eastAsia="zh-CN"/>
        </w:rPr>
        <w:t>谈判保证金</w:t>
      </w:r>
      <w:r>
        <w:rPr>
          <w:rFonts w:hint="eastAsia" w:ascii="方正楷体_GB2312" w:hAnsi="方正楷体_GB2312" w:eastAsia="方正楷体_GB2312" w:cs="方正楷体_GB2312"/>
          <w:color w:val="auto"/>
          <w:sz w:val="24"/>
          <w:szCs w:val="24"/>
          <w:highlight w:val="none"/>
        </w:rPr>
        <w:t>。不计利息。</w:t>
      </w:r>
    </w:p>
    <w:p w14:paraId="1A4F8436">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19.4未按规定提交谈判保证金的投标，将被视为投标无效。</w:t>
      </w:r>
    </w:p>
    <w:p w14:paraId="79BDC941">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19.5下列任何情况发生时，谈判保证金将被没收</w:t>
      </w:r>
    </w:p>
    <w:p w14:paraId="70AA8B6D">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19.5.1供应商在谈判文件规定的投标有效期内撤回其投标；</w:t>
      </w:r>
    </w:p>
    <w:p w14:paraId="7A0A537F">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19.5.2成交方在规定期限内未能：</w:t>
      </w:r>
    </w:p>
    <w:p w14:paraId="2894E3D9">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 xml:space="preserve">19.5.2.1按本须知第31条规定签订合同； </w:t>
      </w:r>
    </w:p>
    <w:p w14:paraId="3063BA97">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19.5.2.2按本须知第32条规定向采购代理交纳采购代理服务费。</w:t>
      </w:r>
    </w:p>
    <w:p w14:paraId="1D0BDFB2">
      <w:pPr>
        <w:pStyle w:val="17"/>
        <w:rPr>
          <w:rFonts w:hint="eastAsia" w:ascii="方正楷体_GB2312" w:hAnsi="方正楷体_GB2312" w:eastAsia="方正楷体_GB2312" w:cs="方正楷体_GB2312"/>
          <w:color w:val="auto"/>
          <w:highlight w:val="none"/>
        </w:rPr>
      </w:pPr>
    </w:p>
    <w:p w14:paraId="13DD888E">
      <w:pPr>
        <w:pStyle w:val="4"/>
        <w:jc w:val="center"/>
        <w:rPr>
          <w:rFonts w:hint="eastAsia" w:ascii="方正楷体_GB2312" w:hAnsi="方正楷体_GB2312" w:eastAsia="方正楷体_GB2312" w:cs="方正楷体_GB2312"/>
          <w:color w:val="auto"/>
          <w:highlight w:val="none"/>
        </w:rPr>
      </w:pPr>
      <w:bookmarkStart w:id="31" w:name="_Toc20408"/>
      <w:bookmarkStart w:id="32" w:name="_Toc182131607"/>
      <w:r>
        <w:rPr>
          <w:rFonts w:hint="eastAsia" w:ascii="方正楷体_GB2312" w:hAnsi="方正楷体_GB2312" w:eastAsia="方正楷体_GB2312" w:cs="方正楷体_GB2312"/>
          <w:color w:val="auto"/>
          <w:highlight w:val="none"/>
        </w:rPr>
        <w:t>D 谈判响应文件的递交</w:t>
      </w:r>
      <w:bookmarkEnd w:id="31"/>
      <w:bookmarkEnd w:id="32"/>
    </w:p>
    <w:p w14:paraId="30EDF4C0">
      <w:pPr>
        <w:rPr>
          <w:rFonts w:hint="eastAsia" w:ascii="方正楷体_GB2312" w:hAnsi="方正楷体_GB2312" w:eastAsia="方正楷体_GB2312" w:cs="方正楷体_GB2312"/>
          <w:b/>
          <w:bCs/>
          <w:color w:val="auto"/>
          <w:sz w:val="24"/>
          <w:szCs w:val="24"/>
          <w:highlight w:val="none"/>
        </w:rPr>
      </w:pPr>
      <w:bookmarkStart w:id="33" w:name="_Toc182131608"/>
      <w:r>
        <w:rPr>
          <w:rFonts w:hint="eastAsia" w:ascii="方正楷体_GB2312" w:hAnsi="方正楷体_GB2312" w:eastAsia="方正楷体_GB2312" w:cs="方正楷体_GB2312"/>
          <w:b/>
          <w:bCs/>
          <w:color w:val="auto"/>
          <w:sz w:val="24"/>
          <w:szCs w:val="24"/>
          <w:highlight w:val="none"/>
          <w:lang w:val="en-US" w:eastAsia="zh-CN"/>
        </w:rPr>
        <w:t>20.</w:t>
      </w:r>
      <w:r>
        <w:rPr>
          <w:rFonts w:hint="eastAsia" w:ascii="方正楷体_GB2312" w:hAnsi="方正楷体_GB2312" w:eastAsia="方正楷体_GB2312" w:cs="方正楷体_GB2312"/>
          <w:b/>
          <w:bCs/>
          <w:color w:val="auto"/>
          <w:sz w:val="24"/>
          <w:szCs w:val="24"/>
          <w:highlight w:val="none"/>
        </w:rPr>
        <w:t>谈判</w:t>
      </w:r>
      <w:r>
        <w:rPr>
          <w:rFonts w:hint="eastAsia" w:ascii="方正楷体_GB2312" w:hAnsi="方正楷体_GB2312" w:eastAsia="方正楷体_GB2312" w:cs="方正楷体_GB2312"/>
          <w:b/>
          <w:bCs/>
          <w:color w:val="auto"/>
          <w:sz w:val="24"/>
          <w:szCs w:val="24"/>
          <w:highlight w:val="none"/>
          <w:lang w:eastAsia="zh-CN"/>
        </w:rPr>
        <w:t>响应</w:t>
      </w:r>
      <w:r>
        <w:rPr>
          <w:rFonts w:hint="eastAsia" w:ascii="方正楷体_GB2312" w:hAnsi="方正楷体_GB2312" w:eastAsia="方正楷体_GB2312" w:cs="方正楷体_GB2312"/>
          <w:b/>
          <w:bCs/>
          <w:color w:val="auto"/>
          <w:sz w:val="24"/>
          <w:szCs w:val="24"/>
          <w:highlight w:val="none"/>
        </w:rPr>
        <w:t>文件的</w:t>
      </w:r>
      <w:r>
        <w:rPr>
          <w:rFonts w:hint="eastAsia" w:ascii="方正楷体_GB2312" w:hAnsi="方正楷体_GB2312" w:eastAsia="方正楷体_GB2312" w:cs="方正楷体_GB2312"/>
          <w:b/>
          <w:bCs/>
          <w:color w:val="auto"/>
          <w:sz w:val="24"/>
          <w:szCs w:val="24"/>
          <w:highlight w:val="none"/>
          <w:lang w:eastAsia="zh-CN"/>
        </w:rPr>
        <w:t>递交</w:t>
      </w:r>
      <w:r>
        <w:rPr>
          <w:rFonts w:hint="eastAsia" w:ascii="方正楷体_GB2312" w:hAnsi="方正楷体_GB2312" w:eastAsia="方正楷体_GB2312" w:cs="方正楷体_GB2312"/>
          <w:b/>
          <w:bCs/>
          <w:color w:val="auto"/>
          <w:sz w:val="24"/>
          <w:szCs w:val="24"/>
          <w:highlight w:val="none"/>
        </w:rPr>
        <w:t>与标记</w:t>
      </w:r>
      <w:bookmarkEnd w:id="33"/>
    </w:p>
    <w:p w14:paraId="402138E1">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20.</w:t>
      </w:r>
      <w:r>
        <w:rPr>
          <w:rFonts w:hint="eastAsia" w:ascii="方正楷体_GB2312" w:hAnsi="方正楷体_GB2312" w:eastAsia="方正楷体_GB2312" w:cs="方正楷体_GB2312"/>
          <w:color w:val="auto"/>
          <w:sz w:val="24"/>
          <w:szCs w:val="24"/>
          <w:highlight w:val="none"/>
          <w:lang w:val="en-US" w:eastAsia="zh-CN"/>
        </w:rPr>
        <w:t>1</w:t>
      </w:r>
      <w:r>
        <w:rPr>
          <w:rFonts w:hint="eastAsia" w:ascii="方正楷体_GB2312" w:hAnsi="方正楷体_GB2312" w:eastAsia="方正楷体_GB2312" w:cs="方正楷体_GB2312"/>
          <w:color w:val="auto"/>
          <w:sz w:val="24"/>
          <w:szCs w:val="24"/>
          <w:highlight w:val="none"/>
        </w:rPr>
        <w:t xml:space="preserve"> 谈判</w:t>
      </w:r>
      <w:r>
        <w:rPr>
          <w:rFonts w:hint="eastAsia" w:ascii="方正楷体_GB2312" w:hAnsi="方正楷体_GB2312" w:eastAsia="方正楷体_GB2312" w:cs="方正楷体_GB2312"/>
          <w:color w:val="auto"/>
          <w:sz w:val="24"/>
          <w:szCs w:val="24"/>
          <w:highlight w:val="none"/>
          <w:lang w:eastAsia="zh-CN"/>
        </w:rPr>
        <w:t>响应文件</w:t>
      </w:r>
      <w:r>
        <w:rPr>
          <w:rFonts w:hint="eastAsia" w:ascii="方正楷体_GB2312" w:hAnsi="方正楷体_GB2312" w:eastAsia="方正楷体_GB2312" w:cs="方正楷体_GB2312"/>
          <w:color w:val="auto"/>
          <w:sz w:val="24"/>
          <w:szCs w:val="24"/>
          <w:highlight w:val="none"/>
        </w:rPr>
        <w:t>应写明：</w:t>
      </w:r>
    </w:p>
    <w:p w14:paraId="349CC29C">
      <w:pPr>
        <w:rPr>
          <w:rFonts w:hint="eastAsia" w:ascii="方正楷体_GB2312" w:hAnsi="方正楷体_GB2312" w:eastAsia="方正楷体_GB2312" w:cs="方正楷体_GB2312"/>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rPr>
        <w:t>采购代理：</w:t>
      </w:r>
      <w:r>
        <w:rPr>
          <w:rFonts w:hint="eastAsia" w:ascii="方正楷体_GB2312" w:hAnsi="方正楷体_GB2312" w:eastAsia="方正楷体_GB2312" w:cs="方正楷体_GB2312"/>
          <w:color w:val="auto"/>
          <w:sz w:val="24"/>
          <w:szCs w:val="24"/>
          <w:highlight w:val="none"/>
          <w:lang w:eastAsia="zh-CN"/>
        </w:rPr>
        <w:t>新疆立科得源工程项目管理咨询有限公司</w:t>
      </w:r>
    </w:p>
    <w:p w14:paraId="391F5323">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 xml:space="preserve">项目名称： </w:t>
      </w:r>
    </w:p>
    <w:p w14:paraId="7638E4CE">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 xml:space="preserve">项目编号：      </w:t>
      </w:r>
    </w:p>
    <w:p w14:paraId="4E24F19F">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lang w:eastAsia="zh-CN"/>
        </w:rPr>
        <w:t>采购人</w:t>
      </w:r>
      <w:r>
        <w:rPr>
          <w:rFonts w:hint="eastAsia" w:ascii="方正楷体_GB2312" w:hAnsi="方正楷体_GB2312" w:eastAsia="方正楷体_GB2312" w:cs="方正楷体_GB2312"/>
          <w:color w:val="auto"/>
          <w:sz w:val="24"/>
          <w:szCs w:val="24"/>
          <w:highlight w:val="none"/>
        </w:rPr>
        <w:t>名称：</w:t>
      </w:r>
      <w:r>
        <w:rPr>
          <w:rFonts w:hint="eastAsia" w:ascii="方正楷体_GB2312" w:hAnsi="方正楷体_GB2312" w:eastAsia="方正楷体_GB2312" w:cs="方正楷体_GB2312"/>
          <w:color w:val="auto"/>
          <w:sz w:val="24"/>
          <w:szCs w:val="24"/>
          <w:highlight w:val="none"/>
          <w:u w:val="single"/>
        </w:rPr>
        <w:t xml:space="preserve">            </w:t>
      </w:r>
    </w:p>
    <w:p w14:paraId="74DF6F87">
      <w:pPr>
        <w:pStyle w:val="110"/>
        <w:spacing w:line="360" w:lineRule="auto"/>
        <w:jc w:val="both"/>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20.</w:t>
      </w:r>
      <w:r>
        <w:rPr>
          <w:rFonts w:hint="eastAsia" w:ascii="方正楷体_GB2312" w:hAnsi="方正楷体_GB2312" w:eastAsia="方正楷体_GB2312" w:cs="方正楷体_GB2312"/>
          <w:color w:val="auto"/>
          <w:sz w:val="24"/>
          <w:szCs w:val="24"/>
          <w:highlight w:val="none"/>
          <w:lang w:val="en-US" w:eastAsia="zh-CN"/>
        </w:rPr>
        <w:t>2</w:t>
      </w:r>
      <w:r>
        <w:rPr>
          <w:rFonts w:hint="eastAsia" w:ascii="方正楷体_GB2312" w:hAnsi="方正楷体_GB2312" w:eastAsia="方正楷体_GB2312" w:cs="方正楷体_GB2312"/>
          <w:color w:val="auto"/>
          <w:sz w:val="24"/>
          <w:szCs w:val="24"/>
          <w:highlight w:val="none"/>
        </w:rPr>
        <w:t>响应文件“电子版”应加密，在解密时间内，供应商登录政采云平台https://www.zcygov.cn/在线进行解密。</w:t>
      </w:r>
    </w:p>
    <w:p w14:paraId="63701176">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20.</w:t>
      </w:r>
      <w:r>
        <w:rPr>
          <w:rFonts w:hint="eastAsia" w:ascii="方正楷体_GB2312" w:hAnsi="方正楷体_GB2312" w:eastAsia="方正楷体_GB2312" w:cs="方正楷体_GB2312"/>
          <w:color w:val="auto"/>
          <w:sz w:val="24"/>
          <w:szCs w:val="24"/>
          <w:highlight w:val="none"/>
          <w:lang w:val="en-US" w:eastAsia="zh-CN"/>
        </w:rPr>
        <w:t>3</w:t>
      </w:r>
      <w:r>
        <w:rPr>
          <w:rFonts w:hint="eastAsia" w:ascii="方正楷体_GB2312" w:hAnsi="方正楷体_GB2312" w:eastAsia="方正楷体_GB2312" w:cs="方正楷体_GB2312"/>
          <w:color w:val="auto"/>
          <w:sz w:val="24"/>
          <w:szCs w:val="24"/>
          <w:highlight w:val="none"/>
        </w:rPr>
        <w:t>谈判文件要求：响应文件如果未按上述规定加密和解密，将导致代理机构无法接收响应文件</w:t>
      </w:r>
      <w:r>
        <w:rPr>
          <w:rFonts w:hint="eastAsia" w:ascii="方正楷体_GB2312" w:hAnsi="方正楷体_GB2312" w:eastAsia="方正楷体_GB2312" w:cs="方正楷体_GB2312"/>
          <w:color w:val="auto"/>
          <w:sz w:val="24"/>
          <w:szCs w:val="24"/>
          <w:highlight w:val="none"/>
          <w:lang w:val="en-US" w:eastAsia="zh-CN"/>
        </w:rPr>
        <w:t>，采购代理机构不对其后果负责。</w:t>
      </w:r>
    </w:p>
    <w:p w14:paraId="2005572A">
      <w:pPr>
        <w:rPr>
          <w:rFonts w:hint="eastAsia" w:ascii="方正楷体_GB2312" w:hAnsi="方正楷体_GB2312" w:eastAsia="方正楷体_GB2312" w:cs="方正楷体_GB2312"/>
          <w:b/>
          <w:bCs/>
          <w:color w:val="auto"/>
          <w:sz w:val="24"/>
          <w:szCs w:val="24"/>
          <w:highlight w:val="none"/>
        </w:rPr>
      </w:pPr>
      <w:bookmarkStart w:id="34" w:name="_Toc182131609"/>
      <w:r>
        <w:rPr>
          <w:rFonts w:hint="eastAsia" w:ascii="方正楷体_GB2312" w:hAnsi="方正楷体_GB2312" w:eastAsia="方正楷体_GB2312" w:cs="方正楷体_GB2312"/>
          <w:b/>
          <w:bCs/>
          <w:color w:val="auto"/>
          <w:sz w:val="24"/>
          <w:szCs w:val="24"/>
          <w:highlight w:val="none"/>
          <w:lang w:val="en-US" w:eastAsia="zh-CN"/>
        </w:rPr>
        <w:t>21.</w:t>
      </w:r>
      <w:r>
        <w:rPr>
          <w:rFonts w:hint="eastAsia" w:ascii="方正楷体_GB2312" w:hAnsi="方正楷体_GB2312" w:eastAsia="方正楷体_GB2312" w:cs="方正楷体_GB2312"/>
          <w:b/>
          <w:bCs/>
          <w:color w:val="auto"/>
          <w:sz w:val="24"/>
          <w:szCs w:val="24"/>
          <w:highlight w:val="none"/>
        </w:rPr>
        <w:t>谈判截止时间</w:t>
      </w:r>
      <w:bookmarkEnd w:id="34"/>
    </w:p>
    <w:p w14:paraId="57086822">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21.1 谈判响应文件的递交不得迟于</w:t>
      </w:r>
      <w:r>
        <w:rPr>
          <w:rFonts w:hint="eastAsia" w:ascii="方正楷体_GB2312" w:hAnsi="方正楷体_GB2312" w:eastAsia="方正楷体_GB2312" w:cs="方正楷体_GB2312"/>
          <w:color w:val="auto"/>
          <w:sz w:val="24"/>
          <w:szCs w:val="24"/>
          <w:highlight w:val="none"/>
          <w:lang w:eastAsia="zh-CN"/>
        </w:rPr>
        <w:t>2025年02月25 日11时00分</w:t>
      </w:r>
      <w:r>
        <w:rPr>
          <w:rFonts w:hint="eastAsia" w:ascii="方正楷体_GB2312" w:hAnsi="方正楷体_GB2312" w:eastAsia="方正楷体_GB2312" w:cs="方正楷体_GB2312"/>
          <w:color w:val="auto"/>
          <w:sz w:val="24"/>
          <w:szCs w:val="24"/>
          <w:highlight w:val="none"/>
        </w:rPr>
        <w:t>（北京时间）。</w:t>
      </w:r>
    </w:p>
    <w:p w14:paraId="35F45FA5">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rPr>
        <w:t>谈判响应文件以</w:t>
      </w:r>
      <w:r>
        <w:rPr>
          <w:rFonts w:hint="eastAsia" w:ascii="方正楷体_GB2312" w:hAnsi="方正楷体_GB2312" w:eastAsia="方正楷体_GB2312" w:cs="方正楷体_GB2312"/>
          <w:color w:val="auto"/>
          <w:sz w:val="24"/>
          <w:szCs w:val="24"/>
          <w:highlight w:val="none"/>
          <w:lang w:val="en-US" w:eastAsia="zh-Hans"/>
        </w:rPr>
        <w:t>加密</w:t>
      </w:r>
      <w:r>
        <w:rPr>
          <w:rFonts w:hint="eastAsia" w:ascii="方正楷体_GB2312" w:hAnsi="方正楷体_GB2312" w:eastAsia="方正楷体_GB2312" w:cs="方正楷体_GB2312"/>
          <w:color w:val="auto"/>
          <w:sz w:val="24"/>
          <w:szCs w:val="24"/>
          <w:highlight w:val="none"/>
        </w:rPr>
        <w:t>形式递交至：</w:t>
      </w:r>
      <w:r>
        <w:rPr>
          <w:rFonts w:hint="eastAsia" w:ascii="方正楷体_GB2312" w:hAnsi="方正楷体_GB2312" w:eastAsia="方正楷体_GB2312" w:cs="方正楷体_GB2312"/>
          <w:color w:val="auto"/>
          <w:sz w:val="24"/>
          <w:szCs w:val="24"/>
          <w:highlight w:val="none"/>
          <w:lang w:val="en-US" w:eastAsia="zh-CN"/>
        </w:rPr>
        <w:t>政采云客户端。</w:t>
      </w:r>
    </w:p>
    <w:p w14:paraId="55A2AD6E">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21.2 所有谈判响应文件都必须按</w:t>
      </w:r>
      <w:r>
        <w:rPr>
          <w:rFonts w:hint="eastAsia" w:ascii="方正楷体_GB2312" w:hAnsi="方正楷体_GB2312" w:eastAsia="方正楷体_GB2312" w:cs="方正楷体_GB2312"/>
          <w:color w:val="auto"/>
          <w:sz w:val="24"/>
          <w:szCs w:val="24"/>
          <w:highlight w:val="none"/>
          <w:lang w:eastAsia="zh-CN"/>
        </w:rPr>
        <w:t>采购代理机构</w:t>
      </w:r>
      <w:r>
        <w:rPr>
          <w:rFonts w:hint="eastAsia" w:ascii="方正楷体_GB2312" w:hAnsi="方正楷体_GB2312" w:eastAsia="方正楷体_GB2312" w:cs="方正楷体_GB2312"/>
          <w:color w:val="auto"/>
          <w:sz w:val="24"/>
          <w:szCs w:val="24"/>
          <w:highlight w:val="none"/>
        </w:rPr>
        <w:t>在谈判邀请中规定的投标截止时间之前</w:t>
      </w:r>
      <w:r>
        <w:rPr>
          <w:rFonts w:hint="eastAsia" w:ascii="方正楷体_GB2312" w:hAnsi="方正楷体_GB2312" w:eastAsia="方正楷体_GB2312" w:cs="方正楷体_GB2312"/>
          <w:color w:val="auto"/>
          <w:sz w:val="24"/>
          <w:szCs w:val="24"/>
          <w:highlight w:val="none"/>
          <w:lang w:eastAsia="zh-CN"/>
        </w:rPr>
        <w:t>上传</w:t>
      </w:r>
      <w:r>
        <w:rPr>
          <w:rFonts w:hint="eastAsia" w:ascii="方正楷体_GB2312" w:hAnsi="方正楷体_GB2312" w:eastAsia="方正楷体_GB2312" w:cs="方正楷体_GB2312"/>
          <w:color w:val="auto"/>
          <w:sz w:val="24"/>
          <w:szCs w:val="24"/>
          <w:highlight w:val="none"/>
        </w:rPr>
        <w:t>到谈判文件规定的地点。</w:t>
      </w:r>
    </w:p>
    <w:p w14:paraId="479A4571">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21.3 出现第8.2款因谈判文件的修改推迟投标截止时间时，则按</w:t>
      </w:r>
      <w:r>
        <w:rPr>
          <w:rFonts w:hint="eastAsia" w:ascii="方正楷体_GB2312" w:hAnsi="方正楷体_GB2312" w:eastAsia="方正楷体_GB2312" w:cs="方正楷体_GB2312"/>
          <w:color w:val="auto"/>
          <w:sz w:val="24"/>
          <w:szCs w:val="24"/>
          <w:highlight w:val="none"/>
          <w:lang w:eastAsia="zh-CN"/>
        </w:rPr>
        <w:t>采购代理机构</w:t>
      </w:r>
      <w:r>
        <w:rPr>
          <w:rFonts w:hint="eastAsia" w:ascii="方正楷体_GB2312" w:hAnsi="方正楷体_GB2312" w:eastAsia="方正楷体_GB2312" w:cs="方正楷体_GB2312"/>
          <w:color w:val="auto"/>
          <w:sz w:val="24"/>
          <w:szCs w:val="24"/>
          <w:highlight w:val="none"/>
        </w:rPr>
        <w:t>修改通知规定的时间递交。</w:t>
      </w:r>
    </w:p>
    <w:p w14:paraId="500BC5F4">
      <w:pPr>
        <w:rPr>
          <w:rFonts w:hint="eastAsia" w:ascii="方正楷体_GB2312" w:hAnsi="方正楷体_GB2312" w:eastAsia="方正楷体_GB2312" w:cs="方正楷体_GB2312"/>
          <w:b/>
          <w:bCs/>
          <w:color w:val="auto"/>
          <w:sz w:val="24"/>
          <w:szCs w:val="24"/>
          <w:highlight w:val="none"/>
        </w:rPr>
      </w:pPr>
      <w:r>
        <w:rPr>
          <w:rFonts w:hint="eastAsia" w:ascii="方正楷体_GB2312" w:hAnsi="方正楷体_GB2312" w:eastAsia="方正楷体_GB2312" w:cs="方正楷体_GB2312"/>
          <w:b/>
          <w:bCs/>
          <w:color w:val="auto"/>
          <w:sz w:val="24"/>
          <w:szCs w:val="24"/>
          <w:highlight w:val="none"/>
          <w:lang w:val="en-US" w:eastAsia="zh-CN"/>
        </w:rPr>
        <w:t>22.</w:t>
      </w:r>
      <w:r>
        <w:rPr>
          <w:rFonts w:hint="eastAsia" w:ascii="方正楷体_GB2312" w:hAnsi="方正楷体_GB2312" w:eastAsia="方正楷体_GB2312" w:cs="方正楷体_GB2312"/>
          <w:b/>
          <w:bCs/>
          <w:color w:val="auto"/>
          <w:sz w:val="24"/>
          <w:szCs w:val="24"/>
          <w:highlight w:val="none"/>
        </w:rPr>
        <w:t>谈判响应文件的修改和撤销</w:t>
      </w:r>
    </w:p>
    <w:p w14:paraId="5725F595">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22.1 供应商在提交谈判响应文件后可对其谈判响应文件进行修改或撤销，但</w:t>
      </w:r>
      <w:r>
        <w:rPr>
          <w:rFonts w:hint="eastAsia" w:ascii="方正楷体_GB2312" w:hAnsi="方正楷体_GB2312" w:eastAsia="方正楷体_GB2312" w:cs="方正楷体_GB2312"/>
          <w:color w:val="auto"/>
          <w:sz w:val="24"/>
          <w:szCs w:val="24"/>
          <w:highlight w:val="none"/>
          <w:lang w:eastAsia="zh-CN"/>
        </w:rPr>
        <w:t>采购代理机构</w:t>
      </w:r>
      <w:r>
        <w:rPr>
          <w:rFonts w:hint="eastAsia" w:ascii="方正楷体_GB2312" w:hAnsi="方正楷体_GB2312" w:eastAsia="方正楷体_GB2312" w:cs="方正楷体_GB2312"/>
          <w:color w:val="auto"/>
          <w:sz w:val="24"/>
          <w:szCs w:val="24"/>
          <w:highlight w:val="none"/>
        </w:rPr>
        <w:t>须在投标截止时间之前收到该修改或撤销的书面通知，该通知须有经正式授权的供应商代表签字。</w:t>
      </w:r>
    </w:p>
    <w:p w14:paraId="7A74882B">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22.2 供应商不得在谈判时间起至谈判有效期期满前撤销谈判响应文件。否则</w:t>
      </w:r>
      <w:r>
        <w:rPr>
          <w:rFonts w:hint="eastAsia" w:ascii="方正楷体_GB2312" w:hAnsi="方正楷体_GB2312" w:eastAsia="方正楷体_GB2312" w:cs="方正楷体_GB2312"/>
          <w:color w:val="auto"/>
          <w:sz w:val="24"/>
          <w:szCs w:val="24"/>
          <w:highlight w:val="none"/>
          <w:lang w:eastAsia="zh-CN"/>
        </w:rPr>
        <w:t>采购代理机构</w:t>
      </w:r>
      <w:r>
        <w:rPr>
          <w:rFonts w:hint="eastAsia" w:ascii="方正楷体_GB2312" w:hAnsi="方正楷体_GB2312" w:eastAsia="方正楷体_GB2312" w:cs="方正楷体_GB2312"/>
          <w:color w:val="auto"/>
          <w:sz w:val="24"/>
          <w:szCs w:val="24"/>
          <w:highlight w:val="none"/>
        </w:rPr>
        <w:t>将没收其谈判响应保证金。</w:t>
      </w:r>
    </w:p>
    <w:p w14:paraId="5FC3E08E">
      <w:pPr>
        <w:rPr>
          <w:rFonts w:hint="eastAsia" w:ascii="方正楷体_GB2312" w:hAnsi="方正楷体_GB2312" w:eastAsia="方正楷体_GB2312" w:cs="方正楷体_GB2312"/>
          <w:color w:val="auto"/>
          <w:highlight w:val="none"/>
        </w:rPr>
      </w:pPr>
      <w:bookmarkStart w:id="35" w:name="_Toc182131611"/>
      <w:bookmarkStart w:id="36" w:name="_Toc13863"/>
      <w:r>
        <w:rPr>
          <w:rFonts w:hint="eastAsia" w:ascii="方正楷体_GB2312" w:hAnsi="方正楷体_GB2312" w:eastAsia="方正楷体_GB2312" w:cs="方正楷体_GB2312"/>
          <w:color w:val="auto"/>
          <w:highlight w:val="none"/>
        </w:rPr>
        <w:br w:type="page"/>
      </w:r>
    </w:p>
    <w:p w14:paraId="3E48F149">
      <w:pPr>
        <w:pStyle w:val="4"/>
        <w:jc w:val="center"/>
        <w:rPr>
          <w:rFonts w:hint="eastAsia" w:ascii="方正楷体_GB2312" w:hAnsi="方正楷体_GB2312" w:eastAsia="方正楷体_GB2312" w:cs="方正楷体_GB2312"/>
          <w:color w:val="auto"/>
          <w:highlight w:val="none"/>
          <w:lang w:eastAsia="zh-CN"/>
        </w:rPr>
      </w:pPr>
      <w:r>
        <w:rPr>
          <w:rFonts w:hint="eastAsia" w:ascii="方正楷体_GB2312" w:hAnsi="方正楷体_GB2312" w:eastAsia="方正楷体_GB2312" w:cs="方正楷体_GB2312"/>
          <w:color w:val="auto"/>
          <w:highlight w:val="none"/>
        </w:rPr>
        <w:t>E 谈判</w:t>
      </w:r>
      <w:bookmarkEnd w:id="35"/>
      <w:r>
        <w:rPr>
          <w:rFonts w:hint="eastAsia" w:ascii="方正楷体_GB2312" w:hAnsi="方正楷体_GB2312" w:eastAsia="方正楷体_GB2312" w:cs="方正楷体_GB2312"/>
          <w:color w:val="auto"/>
          <w:highlight w:val="none"/>
          <w:lang w:eastAsia="zh-CN"/>
        </w:rPr>
        <w:t>过程</w:t>
      </w:r>
      <w:bookmarkEnd w:id="36"/>
    </w:p>
    <w:p w14:paraId="1DD74A3B">
      <w:pPr>
        <w:rPr>
          <w:rFonts w:hint="eastAsia" w:ascii="方正楷体_GB2312" w:hAnsi="方正楷体_GB2312" w:eastAsia="方正楷体_GB2312" w:cs="方正楷体_GB2312"/>
          <w:b/>
          <w:bCs/>
          <w:color w:val="auto"/>
          <w:sz w:val="24"/>
          <w:szCs w:val="24"/>
          <w:highlight w:val="none"/>
        </w:rPr>
      </w:pPr>
      <w:r>
        <w:rPr>
          <w:rFonts w:hint="eastAsia" w:ascii="方正楷体_GB2312" w:hAnsi="方正楷体_GB2312" w:eastAsia="方正楷体_GB2312" w:cs="方正楷体_GB2312"/>
          <w:b/>
          <w:bCs/>
          <w:color w:val="auto"/>
          <w:sz w:val="24"/>
          <w:szCs w:val="24"/>
          <w:highlight w:val="none"/>
        </w:rPr>
        <w:t>23．谈判</w:t>
      </w:r>
    </w:p>
    <w:p w14:paraId="4D2AACC4">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23.1本次谈判按谈判文件中谈判邀请规定的时间地点进行谈判，将邀请供应商的法定代表人或其授权委托人准时参加谈判会。</w:t>
      </w:r>
    </w:p>
    <w:p w14:paraId="2DA90398">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23.</w:t>
      </w:r>
      <w:r>
        <w:rPr>
          <w:rFonts w:hint="eastAsia" w:ascii="方正楷体_GB2312" w:hAnsi="方正楷体_GB2312" w:eastAsia="方正楷体_GB2312" w:cs="方正楷体_GB2312"/>
          <w:color w:val="auto"/>
          <w:sz w:val="24"/>
          <w:szCs w:val="24"/>
          <w:highlight w:val="none"/>
          <w:lang w:val="en-US" w:eastAsia="zh-CN"/>
        </w:rPr>
        <w:t xml:space="preserve">2 </w:t>
      </w:r>
      <w:r>
        <w:rPr>
          <w:rFonts w:hint="eastAsia" w:ascii="方正楷体_GB2312" w:hAnsi="方正楷体_GB2312" w:eastAsia="方正楷体_GB2312" w:cs="方正楷体_GB2312"/>
          <w:color w:val="auto"/>
          <w:sz w:val="24"/>
          <w:szCs w:val="24"/>
          <w:highlight w:val="none"/>
        </w:rPr>
        <w:t>谈判原则在谈判会议上宣布。</w:t>
      </w:r>
    </w:p>
    <w:p w14:paraId="7CE0A248">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23</w:t>
      </w:r>
      <w:r>
        <w:rPr>
          <w:rFonts w:hint="eastAsia" w:ascii="方正楷体_GB2312" w:hAnsi="方正楷体_GB2312" w:eastAsia="方正楷体_GB2312" w:cs="方正楷体_GB2312"/>
          <w:color w:val="auto"/>
          <w:sz w:val="24"/>
          <w:szCs w:val="24"/>
          <w:highlight w:val="none"/>
          <w:lang w:val="en-US" w:eastAsia="zh-CN"/>
        </w:rPr>
        <w:t>.3</w:t>
      </w:r>
      <w:r>
        <w:rPr>
          <w:rFonts w:hint="eastAsia" w:ascii="方正楷体_GB2312" w:hAnsi="方正楷体_GB2312" w:eastAsia="方正楷体_GB2312" w:cs="方正楷体_GB2312"/>
          <w:color w:val="auto"/>
          <w:sz w:val="24"/>
          <w:szCs w:val="24"/>
          <w:highlight w:val="none"/>
        </w:rPr>
        <w:t xml:space="preserve"> 对采购方的纪律要求</w:t>
      </w:r>
    </w:p>
    <w:p w14:paraId="75854816">
      <w:pPr>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采购方不得泄露谈判活动中应当保密的情况和资料，不得与供应商串通损害国家利益、社会公共利益或者他人合法权益。</w:t>
      </w:r>
    </w:p>
    <w:p w14:paraId="6A74F1B9">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23.</w:t>
      </w:r>
      <w:r>
        <w:rPr>
          <w:rFonts w:hint="eastAsia" w:ascii="方正楷体_GB2312" w:hAnsi="方正楷体_GB2312" w:eastAsia="方正楷体_GB2312" w:cs="方正楷体_GB2312"/>
          <w:color w:val="auto"/>
          <w:sz w:val="24"/>
          <w:szCs w:val="24"/>
          <w:highlight w:val="none"/>
          <w:lang w:val="en-US" w:eastAsia="zh-CN"/>
        </w:rPr>
        <w:t>4</w:t>
      </w:r>
      <w:r>
        <w:rPr>
          <w:rFonts w:hint="eastAsia" w:ascii="方正楷体_GB2312" w:hAnsi="方正楷体_GB2312" w:eastAsia="方正楷体_GB2312" w:cs="方正楷体_GB2312"/>
          <w:color w:val="auto"/>
          <w:sz w:val="24"/>
          <w:szCs w:val="24"/>
          <w:highlight w:val="none"/>
        </w:rPr>
        <w:t>对供应商的纪律要求</w:t>
      </w:r>
    </w:p>
    <w:p w14:paraId="4CF2764B">
      <w:pPr>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供应商不得互相串通谈判或者与采购人串通谈判，不得向采购人或者谈判小组成员行贿谋取成交，不得以他人名义谈判或者以其他方式弄虚作假骗取成交；供应商不得以任何方式干扰、影响谈判工作。</w:t>
      </w:r>
    </w:p>
    <w:p w14:paraId="2F51AABA">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23</w:t>
      </w:r>
      <w:r>
        <w:rPr>
          <w:rFonts w:hint="eastAsia" w:ascii="方正楷体_GB2312" w:hAnsi="方正楷体_GB2312" w:eastAsia="方正楷体_GB2312" w:cs="方正楷体_GB2312"/>
          <w:color w:val="auto"/>
          <w:sz w:val="24"/>
          <w:szCs w:val="24"/>
          <w:highlight w:val="none"/>
          <w:lang w:val="en-US" w:eastAsia="zh-CN"/>
        </w:rPr>
        <w:t>.5</w:t>
      </w:r>
      <w:r>
        <w:rPr>
          <w:rFonts w:hint="eastAsia" w:ascii="方正楷体_GB2312" w:hAnsi="方正楷体_GB2312" w:eastAsia="方正楷体_GB2312" w:cs="方正楷体_GB2312"/>
          <w:color w:val="auto"/>
          <w:sz w:val="24"/>
          <w:szCs w:val="24"/>
          <w:highlight w:val="none"/>
        </w:rPr>
        <w:t>对与谈判活动有关的工作人员的纪律要求</w:t>
      </w:r>
    </w:p>
    <w:p w14:paraId="236211F8">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 xml:space="preserve">    与谈判活动有关的工作人员不得收受他人的财物或者好处，不得向其他人透露对谈判响应文件的评审和比较、成交候选人的推荐情况及谈判有关其他情况。在谈判活动中，与谈判活动有关的工作人员不得擅离职守，影响谈判程序正常进行。</w:t>
      </w:r>
    </w:p>
    <w:p w14:paraId="6DD2FA02">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23.</w:t>
      </w:r>
      <w:r>
        <w:rPr>
          <w:rFonts w:hint="eastAsia" w:ascii="方正楷体_GB2312" w:hAnsi="方正楷体_GB2312" w:eastAsia="方正楷体_GB2312" w:cs="方正楷体_GB2312"/>
          <w:color w:val="auto"/>
          <w:sz w:val="24"/>
          <w:szCs w:val="24"/>
          <w:highlight w:val="none"/>
          <w:lang w:val="en-US" w:eastAsia="zh-CN"/>
        </w:rPr>
        <w:t>6</w:t>
      </w:r>
      <w:r>
        <w:rPr>
          <w:rFonts w:hint="eastAsia" w:ascii="方正楷体_GB2312" w:hAnsi="方正楷体_GB2312" w:eastAsia="方正楷体_GB2312" w:cs="方正楷体_GB2312"/>
          <w:color w:val="auto"/>
          <w:sz w:val="24"/>
          <w:szCs w:val="24"/>
          <w:highlight w:val="none"/>
        </w:rPr>
        <w:t>对谈判小组成员要求谈判纪律</w:t>
      </w:r>
    </w:p>
    <w:p w14:paraId="566B910C">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23.</w:t>
      </w:r>
      <w:r>
        <w:rPr>
          <w:rFonts w:hint="eastAsia" w:ascii="方正楷体_GB2312" w:hAnsi="方正楷体_GB2312" w:eastAsia="方正楷体_GB2312" w:cs="方正楷体_GB2312"/>
          <w:color w:val="auto"/>
          <w:sz w:val="24"/>
          <w:szCs w:val="24"/>
          <w:highlight w:val="none"/>
          <w:lang w:val="en-US" w:eastAsia="zh-CN"/>
        </w:rPr>
        <w:t>6</w:t>
      </w:r>
      <w:r>
        <w:rPr>
          <w:rFonts w:hint="eastAsia" w:ascii="方正楷体_GB2312" w:hAnsi="方正楷体_GB2312" w:eastAsia="方正楷体_GB2312" w:cs="方正楷体_GB2312"/>
          <w:color w:val="auto"/>
          <w:sz w:val="24"/>
          <w:szCs w:val="24"/>
          <w:highlight w:val="none"/>
        </w:rPr>
        <w:t>.1谈判小组应当依照有关法律法规的规定，按照谈判文件确定的谈判标准和办法客观、公正的对谈判响应文件提出评审意见。谈判文件设有规定的谈判标准和方法不得作为谈判依据。</w:t>
      </w:r>
    </w:p>
    <w:p w14:paraId="10991275">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23.</w:t>
      </w:r>
      <w:r>
        <w:rPr>
          <w:rFonts w:hint="eastAsia" w:ascii="方正楷体_GB2312" w:hAnsi="方正楷体_GB2312" w:eastAsia="方正楷体_GB2312" w:cs="方正楷体_GB2312"/>
          <w:color w:val="auto"/>
          <w:sz w:val="24"/>
          <w:szCs w:val="24"/>
          <w:highlight w:val="none"/>
          <w:lang w:val="en-US" w:eastAsia="zh-CN"/>
        </w:rPr>
        <w:t>6</w:t>
      </w:r>
      <w:r>
        <w:rPr>
          <w:rFonts w:hint="eastAsia" w:ascii="方正楷体_GB2312" w:hAnsi="方正楷体_GB2312" w:eastAsia="方正楷体_GB2312" w:cs="方正楷体_GB2312"/>
          <w:color w:val="auto"/>
          <w:sz w:val="24"/>
          <w:szCs w:val="24"/>
          <w:highlight w:val="none"/>
        </w:rPr>
        <w:t>.2谈判小组成员不得私下接触供应商，不得收受供应商给予的财务或者其他好处，不得向采购方征询确定成交方意向。</w:t>
      </w:r>
    </w:p>
    <w:p w14:paraId="33B5A205">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23.</w:t>
      </w:r>
      <w:r>
        <w:rPr>
          <w:rFonts w:hint="eastAsia" w:ascii="方正楷体_GB2312" w:hAnsi="方正楷体_GB2312" w:eastAsia="方正楷体_GB2312" w:cs="方正楷体_GB2312"/>
          <w:color w:val="auto"/>
          <w:sz w:val="24"/>
          <w:szCs w:val="24"/>
          <w:highlight w:val="none"/>
          <w:lang w:val="en-US" w:eastAsia="zh-CN"/>
        </w:rPr>
        <w:t>6</w:t>
      </w:r>
      <w:r>
        <w:rPr>
          <w:rFonts w:hint="eastAsia" w:ascii="方正楷体_GB2312" w:hAnsi="方正楷体_GB2312" w:eastAsia="方正楷体_GB2312" w:cs="方正楷体_GB2312"/>
          <w:color w:val="auto"/>
          <w:sz w:val="24"/>
          <w:szCs w:val="24"/>
          <w:highlight w:val="none"/>
        </w:rPr>
        <w:t>.3不得接受任何单位或个人明示或暗示提出的倾向或排斥特定供应商的要求。</w:t>
      </w:r>
    </w:p>
    <w:p w14:paraId="0A783ADB">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23.</w:t>
      </w:r>
      <w:r>
        <w:rPr>
          <w:rFonts w:hint="eastAsia" w:ascii="方正楷体_GB2312" w:hAnsi="方正楷体_GB2312" w:eastAsia="方正楷体_GB2312" w:cs="方正楷体_GB2312"/>
          <w:color w:val="auto"/>
          <w:sz w:val="24"/>
          <w:szCs w:val="24"/>
          <w:highlight w:val="none"/>
          <w:lang w:val="en-US" w:eastAsia="zh-CN"/>
        </w:rPr>
        <w:t>6</w:t>
      </w:r>
      <w:r>
        <w:rPr>
          <w:rFonts w:hint="eastAsia" w:ascii="方正楷体_GB2312" w:hAnsi="方正楷体_GB2312" w:eastAsia="方正楷体_GB2312" w:cs="方正楷体_GB2312"/>
          <w:color w:val="auto"/>
          <w:sz w:val="24"/>
          <w:szCs w:val="24"/>
          <w:highlight w:val="none"/>
        </w:rPr>
        <w:t>.4不得有其他不客观，不公正履行职务的行为。</w:t>
      </w:r>
    </w:p>
    <w:p w14:paraId="1209C113">
      <w:pPr>
        <w:rPr>
          <w:rFonts w:hint="eastAsia" w:ascii="方正楷体_GB2312" w:hAnsi="方正楷体_GB2312" w:eastAsia="方正楷体_GB2312" w:cs="方正楷体_GB2312"/>
          <w:b/>
          <w:bCs/>
          <w:color w:val="auto"/>
          <w:sz w:val="24"/>
          <w:szCs w:val="24"/>
          <w:highlight w:val="none"/>
        </w:rPr>
      </w:pPr>
      <w:r>
        <w:rPr>
          <w:rFonts w:hint="eastAsia" w:ascii="方正楷体_GB2312" w:hAnsi="方正楷体_GB2312" w:eastAsia="方正楷体_GB2312" w:cs="方正楷体_GB2312"/>
          <w:b/>
          <w:bCs/>
          <w:color w:val="auto"/>
          <w:sz w:val="24"/>
          <w:szCs w:val="24"/>
          <w:highlight w:val="none"/>
        </w:rPr>
        <w:t>24．谈判过程</w:t>
      </w:r>
    </w:p>
    <w:p w14:paraId="6995A96E">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24.1 谈判的依据为谈判文件和谈判响应文件。</w:t>
      </w:r>
    </w:p>
    <w:p w14:paraId="77C79F0D">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24.2对通过资格审核的供应商，谈判小组将审查谈判响应文件是否完整，是否有计算错误，要求的保证金是否提供，文件是否恰当地签署。</w:t>
      </w:r>
    </w:p>
    <w:p w14:paraId="478B5CF7">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24.3 在对谈判响应文件进行详细评估之前，谈判小组将依据供应商提供的资格证明文件审查供应商的财务、技术和生产能力。如果确定供应商无资格履行合同，其投标将被拒绝。</w:t>
      </w:r>
    </w:p>
    <w:p w14:paraId="0B1348E4">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24.4 谈判小组将确定每一谈判响应文件是否对谈判文件的要求作出了实质性的响应，而没有重大偏离。实质性响应的谈判响应文件是指符合谈判文件的所有条款、条件和规定且没有重大偏离或保留。重大偏离或保留系指影响到谈判文件规定的供货范围、质量和性能，或限制了买方的权利和供应商的义务的规定，而纠正这些偏离将影响到其他提交实质性响应投标的供应商的公平竞争地位。</w:t>
      </w:r>
    </w:p>
    <w:p w14:paraId="4EA4ED1D">
      <w:pPr>
        <w:rPr>
          <w:rFonts w:hint="eastAsia" w:ascii="方正楷体_GB2312" w:hAnsi="方正楷体_GB2312" w:eastAsia="方正楷体_GB2312" w:cs="方正楷体_GB2312"/>
          <w:b/>
          <w:bCs/>
          <w:color w:val="auto"/>
          <w:sz w:val="24"/>
          <w:szCs w:val="24"/>
          <w:highlight w:val="none"/>
        </w:rPr>
      </w:pPr>
      <w:r>
        <w:rPr>
          <w:rFonts w:hint="eastAsia" w:ascii="方正楷体_GB2312" w:hAnsi="方正楷体_GB2312" w:eastAsia="方正楷体_GB2312" w:cs="方正楷体_GB2312"/>
          <w:b/>
          <w:bCs/>
          <w:color w:val="auto"/>
          <w:sz w:val="24"/>
          <w:szCs w:val="24"/>
          <w:highlight w:val="none"/>
        </w:rPr>
        <w:t>25．谈判响应文件的澄清</w:t>
      </w:r>
    </w:p>
    <w:p w14:paraId="42E69F6D">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25.1为有助于对谈判响应文件进行审查、评估和比较，谈判小组将对供应商进行谈判，请供应商澄清其谈判内容，供应商有责任按照</w:t>
      </w:r>
      <w:r>
        <w:rPr>
          <w:rFonts w:hint="eastAsia" w:ascii="方正楷体_GB2312" w:hAnsi="方正楷体_GB2312" w:eastAsia="方正楷体_GB2312" w:cs="方正楷体_GB2312"/>
          <w:color w:val="auto"/>
          <w:sz w:val="24"/>
          <w:szCs w:val="24"/>
          <w:highlight w:val="none"/>
          <w:lang w:eastAsia="zh-CN"/>
        </w:rPr>
        <w:t>采购代理机构</w:t>
      </w:r>
      <w:r>
        <w:rPr>
          <w:rFonts w:hint="eastAsia" w:ascii="方正楷体_GB2312" w:hAnsi="方正楷体_GB2312" w:eastAsia="方正楷体_GB2312" w:cs="方正楷体_GB2312"/>
          <w:color w:val="auto"/>
          <w:sz w:val="24"/>
          <w:szCs w:val="24"/>
          <w:highlight w:val="none"/>
        </w:rPr>
        <w:t>通知的时间、地点指派专人进行答疑和澄清。谈判时供应商代表应作书面记录。并对重要内容作出书面答复。</w:t>
      </w:r>
    </w:p>
    <w:p w14:paraId="58682ED7">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25.2 要澄清的答复应是书面的，但不得对谈判内容进行实质性修改。澄清文件须由供应商法人代表或法人授权代表签字和/或加盖公章并作为谈判响应文件的组成部分。</w:t>
      </w:r>
    </w:p>
    <w:p w14:paraId="76815E53">
      <w:pPr>
        <w:rPr>
          <w:rFonts w:hint="eastAsia" w:ascii="方正楷体_GB2312" w:hAnsi="方正楷体_GB2312" w:eastAsia="方正楷体_GB2312" w:cs="方正楷体_GB2312"/>
          <w:b/>
          <w:bCs/>
          <w:color w:val="auto"/>
          <w:sz w:val="24"/>
          <w:szCs w:val="24"/>
          <w:highlight w:val="none"/>
        </w:rPr>
      </w:pPr>
      <w:r>
        <w:rPr>
          <w:rFonts w:hint="eastAsia" w:ascii="方正楷体_GB2312" w:hAnsi="方正楷体_GB2312" w:eastAsia="方正楷体_GB2312" w:cs="方正楷体_GB2312"/>
          <w:b/>
          <w:bCs/>
          <w:color w:val="auto"/>
          <w:sz w:val="24"/>
          <w:szCs w:val="24"/>
          <w:highlight w:val="none"/>
        </w:rPr>
        <w:t>26</w:t>
      </w:r>
      <w:r>
        <w:rPr>
          <w:rFonts w:hint="eastAsia" w:ascii="方正楷体_GB2312" w:hAnsi="方正楷体_GB2312" w:eastAsia="方正楷体_GB2312" w:cs="方正楷体_GB2312"/>
          <w:b/>
          <w:bCs/>
          <w:color w:val="auto"/>
          <w:sz w:val="24"/>
          <w:szCs w:val="24"/>
          <w:highlight w:val="none"/>
          <w:lang w:val="en-US" w:eastAsia="zh-CN"/>
        </w:rPr>
        <w:t>.</w:t>
      </w:r>
      <w:r>
        <w:rPr>
          <w:rFonts w:hint="eastAsia" w:ascii="方正楷体_GB2312" w:hAnsi="方正楷体_GB2312" w:eastAsia="方正楷体_GB2312" w:cs="方正楷体_GB2312"/>
          <w:b/>
          <w:bCs/>
          <w:color w:val="auto"/>
          <w:sz w:val="24"/>
          <w:szCs w:val="24"/>
          <w:highlight w:val="none"/>
        </w:rPr>
        <w:t xml:space="preserve">  确定成交供应商的办法</w:t>
      </w:r>
    </w:p>
    <w:p w14:paraId="2466CC01">
      <w:pPr>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bCs/>
          <w:color w:val="auto"/>
          <w:sz w:val="24"/>
          <w:szCs w:val="24"/>
          <w:highlight w:val="none"/>
        </w:rPr>
        <w:t>26.1谈判小组和供应商谈判过程中作出的书面承诺是否符合谈判文件中对质量、技术和服务的要求。</w:t>
      </w:r>
    </w:p>
    <w:p w14:paraId="2179E196">
      <w:pPr>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color w:val="auto"/>
          <w:sz w:val="24"/>
          <w:szCs w:val="24"/>
          <w:highlight w:val="none"/>
        </w:rPr>
        <w:t xml:space="preserve">26.2 </w:t>
      </w:r>
      <w:r>
        <w:rPr>
          <w:rFonts w:hint="eastAsia" w:ascii="方正楷体_GB2312" w:hAnsi="方正楷体_GB2312" w:eastAsia="方正楷体_GB2312" w:cs="方正楷体_GB2312"/>
          <w:color w:val="auto"/>
          <w:spacing w:val="-6"/>
          <w:sz w:val="24"/>
          <w:szCs w:val="24"/>
          <w:highlight w:val="none"/>
        </w:rPr>
        <w:t>本次谈判投标报价以最终报价</w:t>
      </w:r>
      <w:r>
        <w:rPr>
          <w:rFonts w:hint="eastAsia" w:ascii="方正楷体_GB2312" w:hAnsi="方正楷体_GB2312" w:eastAsia="方正楷体_GB2312" w:cs="方正楷体_GB2312"/>
          <w:b/>
          <w:bCs/>
          <w:color w:val="auto"/>
          <w:spacing w:val="-6"/>
          <w:sz w:val="24"/>
          <w:szCs w:val="24"/>
          <w:highlight w:val="none"/>
        </w:rPr>
        <w:t>（</w:t>
      </w:r>
      <w:r>
        <w:rPr>
          <w:rFonts w:hint="eastAsia" w:ascii="方正楷体_GB2312" w:hAnsi="方正楷体_GB2312" w:eastAsia="方正楷体_GB2312" w:cs="方正楷体_GB2312"/>
          <w:b/>
          <w:bCs/>
          <w:color w:val="auto"/>
          <w:sz w:val="24"/>
          <w:szCs w:val="24"/>
          <w:highlight w:val="none"/>
        </w:rPr>
        <w:t>二次或多轮报价</w:t>
      </w:r>
      <w:r>
        <w:rPr>
          <w:rFonts w:hint="eastAsia" w:ascii="方正楷体_GB2312" w:hAnsi="方正楷体_GB2312" w:eastAsia="方正楷体_GB2312" w:cs="方正楷体_GB2312"/>
          <w:b/>
          <w:bCs/>
          <w:color w:val="auto"/>
          <w:spacing w:val="-6"/>
          <w:sz w:val="24"/>
          <w:szCs w:val="24"/>
          <w:highlight w:val="none"/>
        </w:rPr>
        <w:t>）</w:t>
      </w:r>
      <w:r>
        <w:rPr>
          <w:rFonts w:hint="eastAsia" w:ascii="方正楷体_GB2312" w:hAnsi="方正楷体_GB2312" w:eastAsia="方正楷体_GB2312" w:cs="方正楷体_GB2312"/>
          <w:color w:val="auto"/>
          <w:spacing w:val="-6"/>
          <w:sz w:val="24"/>
          <w:szCs w:val="24"/>
          <w:highlight w:val="none"/>
        </w:rPr>
        <w:t>作为谈判依据，谈判小组根据供应商报价作为谈判小组评比的最终依据。供应商的最终报价的投标总价应当与各项合计金额一致。</w:t>
      </w:r>
    </w:p>
    <w:p w14:paraId="1DAF8BEC">
      <w:pPr>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bCs/>
          <w:color w:val="auto"/>
          <w:sz w:val="24"/>
          <w:szCs w:val="24"/>
          <w:highlight w:val="none"/>
        </w:rPr>
        <w:t>26.3符合采购需求、从质量和服务均能满足谈判文件实质性响应要求且报价最低的原则确定成交供应商，按最后报价由低到高的顺序提出3名以上成交候选人。</w:t>
      </w:r>
    </w:p>
    <w:p w14:paraId="2CA75F6E">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bCs/>
          <w:color w:val="auto"/>
          <w:sz w:val="24"/>
          <w:szCs w:val="24"/>
          <w:highlight w:val="none"/>
        </w:rPr>
        <w:t>26.4采购人根据谈判小组推荐的成交候选供应商名单，根据相关法律法规的规定确定最终成交人。如果排名第一的成交候选供应商的实际情况与其谈判资料不相符，将取消其成交资格，由排名第二的成交候选供应商递</w:t>
      </w:r>
      <w:r>
        <w:rPr>
          <w:rFonts w:hint="eastAsia" w:ascii="方正楷体_GB2312" w:hAnsi="方正楷体_GB2312" w:eastAsia="方正楷体_GB2312" w:cs="方正楷体_GB2312"/>
          <w:color w:val="auto"/>
          <w:sz w:val="24"/>
          <w:szCs w:val="24"/>
          <w:highlight w:val="none"/>
        </w:rPr>
        <w:t>补，以此类推。</w:t>
      </w:r>
    </w:p>
    <w:p w14:paraId="61092527">
      <w:pPr>
        <w:rPr>
          <w:rFonts w:hint="eastAsia" w:ascii="方正楷体_GB2312" w:hAnsi="方正楷体_GB2312" w:eastAsia="方正楷体_GB2312" w:cs="方正楷体_GB2312"/>
          <w:b/>
          <w:bCs/>
          <w:color w:val="auto"/>
          <w:sz w:val="24"/>
          <w:szCs w:val="24"/>
          <w:highlight w:val="none"/>
        </w:rPr>
      </w:pPr>
      <w:r>
        <w:rPr>
          <w:rFonts w:hint="eastAsia" w:ascii="方正楷体_GB2312" w:hAnsi="方正楷体_GB2312" w:eastAsia="方正楷体_GB2312" w:cs="方正楷体_GB2312"/>
          <w:b/>
          <w:bCs/>
          <w:color w:val="auto"/>
          <w:sz w:val="24"/>
          <w:szCs w:val="24"/>
          <w:highlight w:val="none"/>
        </w:rPr>
        <w:t>27</w:t>
      </w:r>
      <w:r>
        <w:rPr>
          <w:rFonts w:hint="eastAsia" w:ascii="方正楷体_GB2312" w:hAnsi="方正楷体_GB2312" w:eastAsia="方正楷体_GB2312" w:cs="方正楷体_GB2312"/>
          <w:b/>
          <w:bCs/>
          <w:color w:val="auto"/>
          <w:sz w:val="24"/>
          <w:szCs w:val="24"/>
          <w:highlight w:val="none"/>
          <w:lang w:val="en-US" w:eastAsia="zh-CN"/>
        </w:rPr>
        <w:t>.</w:t>
      </w:r>
      <w:r>
        <w:rPr>
          <w:rFonts w:hint="eastAsia" w:ascii="方正楷体_GB2312" w:hAnsi="方正楷体_GB2312" w:eastAsia="方正楷体_GB2312" w:cs="方正楷体_GB2312"/>
          <w:b/>
          <w:bCs/>
          <w:color w:val="auto"/>
          <w:sz w:val="24"/>
          <w:szCs w:val="24"/>
          <w:highlight w:val="none"/>
        </w:rPr>
        <w:t xml:space="preserve"> 谈判过程的保密性</w:t>
      </w:r>
    </w:p>
    <w:p w14:paraId="346CA5F6">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27.1 谈判后，直到授予合同为止，凡是属于审查、澄清、评价和比较的有关资料以及授予成交方的建议等谈判小组成员或参与谈判的有关工作人员均不得向供应商或其他无关的人员透露，违者给予警告、取消担任谈判小组成员的资格，不得再参加任何项目的谈判。</w:t>
      </w:r>
    </w:p>
    <w:p w14:paraId="08E5D3BB">
      <w:pPr>
        <w:rPr>
          <w:rFonts w:hint="eastAsia" w:ascii="方正楷体_GB2312" w:hAnsi="方正楷体_GB2312" w:eastAsia="方正楷体_GB2312" w:cs="方正楷体_GB2312"/>
          <w:b/>
          <w:bCs/>
          <w:color w:val="auto"/>
          <w:kern w:val="2"/>
          <w:sz w:val="32"/>
          <w:szCs w:val="32"/>
          <w:highlight w:val="none"/>
          <w:lang w:val="en-US" w:eastAsia="zh-CN" w:bidi="ar-SA"/>
        </w:rPr>
      </w:pPr>
      <w:r>
        <w:rPr>
          <w:rFonts w:hint="eastAsia" w:ascii="方正楷体_GB2312" w:hAnsi="方正楷体_GB2312" w:eastAsia="方正楷体_GB2312" w:cs="方正楷体_GB2312"/>
          <w:color w:val="auto"/>
          <w:sz w:val="24"/>
          <w:szCs w:val="24"/>
          <w:highlight w:val="none"/>
        </w:rPr>
        <w:t>27.2 供应商在谈判过程中，所进行的力图影响谈判结果的，不符合《政府采购法》及本次谈判中有关规定的活动，将被取消其谈判资格。</w:t>
      </w:r>
    </w:p>
    <w:p w14:paraId="13262879">
      <w:pPr>
        <w:rPr>
          <w:rFonts w:hint="eastAsia" w:ascii="方正楷体_GB2312" w:hAnsi="方正楷体_GB2312" w:eastAsia="方正楷体_GB2312" w:cs="方正楷体_GB2312"/>
          <w:color w:val="auto"/>
          <w:highlight w:val="none"/>
          <w:lang w:val="en-US" w:eastAsia="zh-CN"/>
        </w:rPr>
      </w:pPr>
      <w:bookmarkStart w:id="37" w:name="_Toc4776"/>
      <w:r>
        <w:rPr>
          <w:rFonts w:hint="eastAsia" w:ascii="方正楷体_GB2312" w:hAnsi="方正楷体_GB2312" w:eastAsia="方正楷体_GB2312" w:cs="方正楷体_GB2312"/>
          <w:color w:val="auto"/>
          <w:highlight w:val="none"/>
          <w:lang w:val="en-US" w:eastAsia="zh-CN"/>
        </w:rPr>
        <w:br w:type="page"/>
      </w:r>
    </w:p>
    <w:p w14:paraId="71BD9BAE">
      <w:pPr>
        <w:pStyle w:val="4"/>
        <w:jc w:val="center"/>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highlight w:val="none"/>
          <w:lang w:val="en-US" w:eastAsia="zh-CN"/>
        </w:rPr>
        <w:t xml:space="preserve">F </w:t>
      </w:r>
      <w:r>
        <w:rPr>
          <w:rFonts w:hint="eastAsia" w:ascii="方正楷体_GB2312" w:hAnsi="方正楷体_GB2312" w:eastAsia="方正楷体_GB2312" w:cs="方正楷体_GB2312"/>
          <w:color w:val="auto"/>
          <w:highlight w:val="none"/>
        </w:rPr>
        <w:t>评审方法</w:t>
      </w:r>
      <w:bookmarkEnd w:id="37"/>
    </w:p>
    <w:tbl>
      <w:tblPr>
        <w:tblStyle w:val="51"/>
        <w:tblW w:w="9890" w:type="dxa"/>
        <w:tblInd w:w="0" w:type="dxa"/>
        <w:tblLayout w:type="fixed"/>
        <w:tblCellMar>
          <w:top w:w="0" w:type="dxa"/>
          <w:left w:w="0" w:type="dxa"/>
          <w:bottom w:w="0" w:type="dxa"/>
          <w:right w:w="0" w:type="dxa"/>
        </w:tblCellMar>
      </w:tblPr>
      <w:tblGrid>
        <w:gridCol w:w="772"/>
        <w:gridCol w:w="791"/>
        <w:gridCol w:w="8327"/>
      </w:tblGrid>
      <w:tr w14:paraId="15522329">
        <w:tblPrEx>
          <w:tblCellMar>
            <w:top w:w="0" w:type="dxa"/>
            <w:left w:w="0" w:type="dxa"/>
            <w:bottom w:w="0" w:type="dxa"/>
            <w:right w:w="0" w:type="dxa"/>
          </w:tblCellMar>
        </w:tblPrEx>
        <w:trPr>
          <w:trHeight w:val="519" w:hRule="atLeast"/>
        </w:trPr>
        <w:tc>
          <w:tcPr>
            <w:tcW w:w="772"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2DB42512">
            <w:pPr>
              <w:keepNext w:val="0"/>
              <w:keepLines w:val="0"/>
              <w:widowControl/>
              <w:suppressLineNumbers w:val="0"/>
              <w:jc w:val="center"/>
              <w:textAlignment w:val="center"/>
              <w:rPr>
                <w:rFonts w:hint="eastAsia" w:ascii="方正楷体_GB2312" w:hAnsi="方正楷体_GB2312" w:eastAsia="方正楷体_GB2312" w:cs="方正楷体_GB2312"/>
                <w:i w:val="0"/>
                <w:color w:val="auto"/>
                <w:sz w:val="24"/>
                <w:szCs w:val="24"/>
                <w:highlight w:val="none"/>
                <w:u w:val="none"/>
              </w:rPr>
            </w:pPr>
            <w:r>
              <w:rPr>
                <w:rFonts w:hint="eastAsia" w:ascii="方正楷体_GB2312" w:hAnsi="方正楷体_GB2312" w:eastAsia="方正楷体_GB2312" w:cs="方正楷体_GB2312"/>
                <w:i w:val="0"/>
                <w:color w:val="auto"/>
                <w:kern w:val="0"/>
                <w:sz w:val="24"/>
                <w:szCs w:val="24"/>
                <w:highlight w:val="none"/>
                <w:u w:val="none"/>
                <w:lang w:val="en-US" w:eastAsia="zh-CN" w:bidi="ar"/>
              </w:rPr>
              <w:t>资格性审查</w:t>
            </w:r>
          </w:p>
        </w:tc>
        <w:tc>
          <w:tcPr>
            <w:tcW w:w="9118"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015F0E">
            <w:pPr>
              <w:keepNext w:val="0"/>
              <w:keepLines w:val="0"/>
              <w:widowControl/>
              <w:suppressLineNumbers w:val="0"/>
              <w:jc w:val="center"/>
              <w:textAlignment w:val="center"/>
              <w:rPr>
                <w:rFonts w:hint="eastAsia" w:ascii="方正楷体_GB2312" w:hAnsi="方正楷体_GB2312" w:eastAsia="方正楷体_GB2312" w:cs="方正楷体_GB2312"/>
                <w:i w:val="0"/>
                <w:color w:val="auto"/>
                <w:sz w:val="24"/>
                <w:szCs w:val="24"/>
                <w:highlight w:val="none"/>
                <w:u w:val="none"/>
              </w:rPr>
            </w:pPr>
            <w:r>
              <w:rPr>
                <w:rFonts w:hint="eastAsia" w:ascii="方正楷体_GB2312" w:hAnsi="方正楷体_GB2312" w:eastAsia="方正楷体_GB2312" w:cs="方正楷体_GB2312"/>
                <w:i w:val="0"/>
                <w:color w:val="auto"/>
                <w:kern w:val="0"/>
                <w:sz w:val="24"/>
                <w:szCs w:val="24"/>
                <w:highlight w:val="none"/>
                <w:u w:val="none"/>
                <w:lang w:val="en-US" w:eastAsia="zh-CN" w:bidi="ar"/>
              </w:rPr>
              <w:t>评审内容</w:t>
            </w:r>
          </w:p>
        </w:tc>
      </w:tr>
      <w:tr w14:paraId="50602FD7">
        <w:tblPrEx>
          <w:tblCellMar>
            <w:top w:w="0" w:type="dxa"/>
            <w:left w:w="0" w:type="dxa"/>
            <w:bottom w:w="0" w:type="dxa"/>
            <w:right w:w="0" w:type="dxa"/>
          </w:tblCellMar>
        </w:tblPrEx>
        <w:trPr>
          <w:trHeight w:val="543" w:hRule="atLeast"/>
        </w:trPr>
        <w:tc>
          <w:tcPr>
            <w:tcW w:w="772" w:type="dxa"/>
            <w:vMerge w:val="continue"/>
            <w:tcBorders>
              <w:left w:val="single" w:color="auto" w:sz="4" w:space="0"/>
              <w:right w:val="single" w:color="auto" w:sz="4" w:space="0"/>
            </w:tcBorders>
            <w:noWrap w:val="0"/>
            <w:tcMar>
              <w:top w:w="15" w:type="dxa"/>
              <w:left w:w="15" w:type="dxa"/>
              <w:right w:w="15" w:type="dxa"/>
            </w:tcMar>
            <w:textDirection w:val="tbRlV"/>
            <w:vAlign w:val="center"/>
          </w:tcPr>
          <w:p w14:paraId="03FDB905">
            <w:pPr>
              <w:keepNext w:val="0"/>
              <w:keepLines w:val="0"/>
              <w:widowControl/>
              <w:suppressLineNumbers w:val="0"/>
              <w:jc w:val="center"/>
              <w:textAlignment w:val="center"/>
              <w:rPr>
                <w:rFonts w:hint="eastAsia" w:ascii="方正楷体_GB2312" w:hAnsi="方正楷体_GB2312" w:eastAsia="方正楷体_GB2312" w:cs="方正楷体_GB2312"/>
                <w:i w:val="0"/>
                <w:color w:val="auto"/>
                <w:sz w:val="24"/>
                <w:szCs w:val="24"/>
                <w:highlight w:val="none"/>
                <w:u w:val="none"/>
              </w:rPr>
            </w:pPr>
          </w:p>
        </w:tc>
        <w:tc>
          <w:tcPr>
            <w:tcW w:w="7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55562F">
            <w:pPr>
              <w:keepNext w:val="0"/>
              <w:keepLines w:val="0"/>
              <w:widowControl/>
              <w:suppressLineNumbers w:val="0"/>
              <w:jc w:val="center"/>
              <w:textAlignment w:val="center"/>
              <w:rPr>
                <w:rFonts w:hint="eastAsia" w:ascii="方正楷体_GB2312" w:hAnsi="方正楷体_GB2312" w:eastAsia="方正楷体_GB2312" w:cs="方正楷体_GB2312"/>
                <w:i w:val="0"/>
                <w:color w:val="auto"/>
                <w:sz w:val="24"/>
                <w:szCs w:val="24"/>
                <w:highlight w:val="none"/>
                <w:u w:val="none"/>
              </w:rPr>
            </w:pPr>
            <w:r>
              <w:rPr>
                <w:rFonts w:hint="eastAsia" w:ascii="方正楷体_GB2312" w:hAnsi="方正楷体_GB2312" w:eastAsia="方正楷体_GB2312" w:cs="方正楷体_GB2312"/>
                <w:i w:val="0"/>
                <w:color w:val="auto"/>
                <w:kern w:val="0"/>
                <w:sz w:val="24"/>
                <w:szCs w:val="24"/>
                <w:highlight w:val="none"/>
                <w:u w:val="none"/>
                <w:lang w:val="en-US" w:eastAsia="zh-CN" w:bidi="ar"/>
              </w:rPr>
              <w:t>1</w:t>
            </w:r>
          </w:p>
        </w:tc>
        <w:tc>
          <w:tcPr>
            <w:tcW w:w="83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5F7C4E">
            <w:pPr>
              <w:rPr>
                <w:rFonts w:hint="eastAsia" w:ascii="方正楷体_GB2312" w:hAnsi="方正楷体_GB2312" w:eastAsia="方正楷体_GB2312" w:cs="方正楷体_GB2312"/>
                <w:i w:val="0"/>
                <w:color w:val="auto"/>
                <w:sz w:val="24"/>
                <w:szCs w:val="24"/>
                <w:highlight w:val="none"/>
                <w:u w:val="none"/>
              </w:rPr>
            </w:pPr>
            <w:r>
              <w:rPr>
                <w:rFonts w:hint="eastAsia" w:ascii="方正楷体_GB2312" w:hAnsi="方正楷体_GB2312" w:eastAsia="方正楷体_GB2312" w:cs="方正楷体_GB2312"/>
                <w:i w:val="0"/>
                <w:color w:val="auto"/>
                <w:sz w:val="24"/>
                <w:szCs w:val="24"/>
                <w:highlight w:val="none"/>
                <w:u w:val="none"/>
              </w:rPr>
              <w:t>具有独立承担民事责任的能力；（法人或者其他组织投标需提供营业执照等证明文件，自然人投标需提供自然人的身份证明）</w:t>
            </w:r>
          </w:p>
        </w:tc>
      </w:tr>
      <w:tr w14:paraId="130D1912">
        <w:tblPrEx>
          <w:tblCellMar>
            <w:top w:w="0" w:type="dxa"/>
            <w:left w:w="0" w:type="dxa"/>
            <w:bottom w:w="0" w:type="dxa"/>
            <w:right w:w="0" w:type="dxa"/>
          </w:tblCellMar>
        </w:tblPrEx>
        <w:trPr>
          <w:trHeight w:val="586" w:hRule="atLeast"/>
        </w:trPr>
        <w:tc>
          <w:tcPr>
            <w:tcW w:w="772" w:type="dxa"/>
            <w:vMerge w:val="continue"/>
            <w:tcBorders>
              <w:left w:val="single" w:color="auto" w:sz="4" w:space="0"/>
              <w:right w:val="single" w:color="auto" w:sz="4" w:space="0"/>
            </w:tcBorders>
            <w:noWrap w:val="0"/>
            <w:tcMar>
              <w:top w:w="15" w:type="dxa"/>
              <w:left w:w="15" w:type="dxa"/>
              <w:right w:w="15" w:type="dxa"/>
            </w:tcMar>
            <w:textDirection w:val="tbRlV"/>
            <w:vAlign w:val="center"/>
          </w:tcPr>
          <w:p w14:paraId="11A8EF73">
            <w:pPr>
              <w:jc w:val="center"/>
              <w:rPr>
                <w:rFonts w:hint="eastAsia" w:ascii="方正楷体_GB2312" w:hAnsi="方正楷体_GB2312" w:eastAsia="方正楷体_GB2312" w:cs="方正楷体_GB2312"/>
                <w:i w:val="0"/>
                <w:color w:val="auto"/>
                <w:sz w:val="24"/>
                <w:szCs w:val="24"/>
                <w:highlight w:val="none"/>
                <w:u w:val="none"/>
              </w:rPr>
            </w:pPr>
          </w:p>
        </w:tc>
        <w:tc>
          <w:tcPr>
            <w:tcW w:w="7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8AB071">
            <w:pPr>
              <w:keepNext w:val="0"/>
              <w:keepLines w:val="0"/>
              <w:widowControl/>
              <w:suppressLineNumbers w:val="0"/>
              <w:jc w:val="center"/>
              <w:textAlignment w:val="center"/>
              <w:rPr>
                <w:rFonts w:hint="eastAsia" w:ascii="方正楷体_GB2312" w:hAnsi="方正楷体_GB2312" w:eastAsia="方正楷体_GB2312" w:cs="方正楷体_GB2312"/>
                <w:i w:val="0"/>
                <w:color w:val="auto"/>
                <w:sz w:val="24"/>
                <w:szCs w:val="24"/>
                <w:highlight w:val="none"/>
                <w:u w:val="none"/>
              </w:rPr>
            </w:pPr>
            <w:r>
              <w:rPr>
                <w:rFonts w:hint="eastAsia" w:ascii="方正楷体_GB2312" w:hAnsi="方正楷体_GB2312" w:eastAsia="方正楷体_GB2312" w:cs="方正楷体_GB2312"/>
                <w:i w:val="0"/>
                <w:color w:val="auto"/>
                <w:kern w:val="0"/>
                <w:sz w:val="24"/>
                <w:szCs w:val="24"/>
                <w:highlight w:val="none"/>
                <w:u w:val="none"/>
                <w:lang w:val="en-US" w:eastAsia="zh-CN" w:bidi="ar"/>
              </w:rPr>
              <w:t>2</w:t>
            </w:r>
          </w:p>
        </w:tc>
        <w:tc>
          <w:tcPr>
            <w:tcW w:w="83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7AA69A">
            <w:pPr>
              <w:keepNext w:val="0"/>
              <w:keepLines w:val="0"/>
              <w:widowControl/>
              <w:suppressLineNumbers w:val="0"/>
              <w:jc w:val="left"/>
              <w:textAlignment w:val="center"/>
              <w:rPr>
                <w:rFonts w:hint="eastAsia" w:ascii="方正楷体_GB2312" w:hAnsi="方正楷体_GB2312" w:eastAsia="方正楷体_GB2312" w:cs="方正楷体_GB2312"/>
                <w:i w:val="0"/>
                <w:color w:val="auto"/>
                <w:sz w:val="24"/>
                <w:szCs w:val="24"/>
                <w:highlight w:val="none"/>
                <w:u w:val="none"/>
              </w:rPr>
            </w:pPr>
            <w:r>
              <w:rPr>
                <w:rFonts w:hint="eastAsia" w:ascii="方正楷体_GB2312" w:hAnsi="方正楷体_GB2312" w:eastAsia="方正楷体_GB2312" w:cs="方正楷体_GB2312"/>
                <w:b w:val="0"/>
                <w:bCs w:val="0"/>
                <w:color w:val="auto"/>
                <w:kern w:val="0"/>
                <w:sz w:val="24"/>
                <w:szCs w:val="24"/>
                <w:highlight w:val="none"/>
                <w:lang w:val="en-US" w:eastAsia="zh-CN"/>
              </w:rPr>
              <w:t>法人身份证明及身份证或</w:t>
            </w:r>
            <w:r>
              <w:rPr>
                <w:rFonts w:hint="eastAsia" w:ascii="方正楷体_GB2312" w:hAnsi="方正楷体_GB2312" w:eastAsia="方正楷体_GB2312" w:cs="方正楷体_GB2312"/>
                <w:b w:val="0"/>
                <w:bCs w:val="0"/>
                <w:color w:val="auto"/>
                <w:kern w:val="0"/>
                <w:sz w:val="24"/>
                <w:szCs w:val="24"/>
                <w:highlight w:val="none"/>
              </w:rPr>
              <w:t>法人授权委托书原件被授权人有效身份证原件</w:t>
            </w:r>
          </w:p>
        </w:tc>
      </w:tr>
      <w:tr w14:paraId="55E0FFA4">
        <w:tblPrEx>
          <w:tblCellMar>
            <w:top w:w="0" w:type="dxa"/>
            <w:left w:w="0" w:type="dxa"/>
            <w:bottom w:w="0" w:type="dxa"/>
            <w:right w:w="0" w:type="dxa"/>
          </w:tblCellMar>
        </w:tblPrEx>
        <w:trPr>
          <w:trHeight w:val="666" w:hRule="atLeast"/>
        </w:trPr>
        <w:tc>
          <w:tcPr>
            <w:tcW w:w="772" w:type="dxa"/>
            <w:vMerge w:val="continue"/>
            <w:tcBorders>
              <w:left w:val="single" w:color="auto" w:sz="4" w:space="0"/>
              <w:right w:val="single" w:color="auto" w:sz="4" w:space="0"/>
            </w:tcBorders>
            <w:noWrap w:val="0"/>
            <w:tcMar>
              <w:top w:w="15" w:type="dxa"/>
              <w:left w:w="15" w:type="dxa"/>
              <w:right w:w="15" w:type="dxa"/>
            </w:tcMar>
            <w:textDirection w:val="tbRlV"/>
            <w:vAlign w:val="center"/>
          </w:tcPr>
          <w:p w14:paraId="224C222C">
            <w:pPr>
              <w:jc w:val="center"/>
              <w:rPr>
                <w:rFonts w:hint="eastAsia" w:ascii="方正楷体_GB2312" w:hAnsi="方正楷体_GB2312" w:eastAsia="方正楷体_GB2312" w:cs="方正楷体_GB2312"/>
                <w:i w:val="0"/>
                <w:color w:val="auto"/>
                <w:sz w:val="24"/>
                <w:szCs w:val="24"/>
                <w:highlight w:val="none"/>
                <w:u w:val="none"/>
              </w:rPr>
            </w:pPr>
          </w:p>
        </w:tc>
        <w:tc>
          <w:tcPr>
            <w:tcW w:w="7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CC5662">
            <w:pPr>
              <w:keepNext w:val="0"/>
              <w:keepLines w:val="0"/>
              <w:widowControl/>
              <w:suppressLineNumbers w:val="0"/>
              <w:jc w:val="center"/>
              <w:textAlignment w:val="center"/>
              <w:rPr>
                <w:rFonts w:hint="eastAsia" w:ascii="方正楷体_GB2312" w:hAnsi="方正楷体_GB2312" w:eastAsia="方正楷体_GB2312" w:cs="方正楷体_GB2312"/>
                <w:b w:val="0"/>
                <w:bCs w:val="0"/>
                <w:color w:val="auto"/>
                <w:kern w:val="0"/>
                <w:sz w:val="24"/>
                <w:szCs w:val="24"/>
                <w:highlight w:val="none"/>
                <w:lang w:val="en-US" w:eastAsia="zh-CN"/>
              </w:rPr>
            </w:pPr>
            <w:r>
              <w:rPr>
                <w:rFonts w:hint="eastAsia" w:ascii="方正楷体_GB2312" w:hAnsi="方正楷体_GB2312" w:eastAsia="方正楷体_GB2312" w:cs="方正楷体_GB2312"/>
                <w:b w:val="0"/>
                <w:bCs w:val="0"/>
                <w:color w:val="auto"/>
                <w:kern w:val="0"/>
                <w:sz w:val="24"/>
                <w:szCs w:val="24"/>
                <w:highlight w:val="none"/>
                <w:lang w:val="en-US" w:eastAsia="zh-CN"/>
              </w:rPr>
              <w:t>3</w:t>
            </w:r>
          </w:p>
        </w:tc>
        <w:tc>
          <w:tcPr>
            <w:tcW w:w="832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7086B10E">
            <w:pPr>
              <w:keepNext w:val="0"/>
              <w:keepLines w:val="0"/>
              <w:widowControl/>
              <w:suppressLineNumbers w:val="0"/>
              <w:jc w:val="left"/>
              <w:textAlignment w:val="center"/>
              <w:rPr>
                <w:rFonts w:hint="eastAsia" w:ascii="方正楷体_GB2312" w:hAnsi="方正楷体_GB2312" w:eastAsia="方正楷体_GB2312" w:cs="方正楷体_GB2312"/>
                <w:b w:val="0"/>
                <w:bCs w:val="0"/>
                <w:color w:val="auto"/>
                <w:kern w:val="0"/>
                <w:sz w:val="24"/>
                <w:szCs w:val="24"/>
                <w:highlight w:val="none"/>
                <w:lang w:val="en-US" w:eastAsia="zh-CN"/>
              </w:rPr>
            </w:pPr>
            <w:r>
              <w:rPr>
                <w:rFonts w:hint="eastAsia" w:ascii="方正楷体_GB2312" w:hAnsi="方正楷体_GB2312" w:eastAsia="方正楷体_GB2312" w:cs="方正楷体_GB2312"/>
                <w:b w:val="0"/>
                <w:bCs w:val="0"/>
                <w:color w:val="auto"/>
                <w:kern w:val="0"/>
                <w:sz w:val="24"/>
                <w:szCs w:val="24"/>
                <w:highlight w:val="none"/>
                <w:lang w:val="en-US" w:eastAsia="zh-CN"/>
              </w:rPr>
              <w:t>特定资格要求：</w:t>
            </w:r>
          </w:p>
          <w:p w14:paraId="275255AA">
            <w:pPr>
              <w:keepNext w:val="0"/>
              <w:keepLines w:val="0"/>
              <w:widowControl/>
              <w:suppressLineNumbers w:val="0"/>
              <w:jc w:val="left"/>
              <w:textAlignment w:val="center"/>
              <w:rPr>
                <w:rFonts w:hint="eastAsia" w:ascii="方正楷体_GB2312" w:hAnsi="方正楷体_GB2312" w:eastAsia="方正楷体_GB2312" w:cs="方正楷体_GB2312"/>
                <w:b w:val="0"/>
                <w:bCs w:val="0"/>
                <w:color w:val="auto"/>
                <w:kern w:val="0"/>
                <w:sz w:val="24"/>
                <w:szCs w:val="24"/>
                <w:highlight w:val="none"/>
                <w:lang w:val="en-US" w:eastAsia="zh-CN"/>
              </w:rPr>
            </w:pPr>
            <w:r>
              <w:rPr>
                <w:rFonts w:hint="eastAsia" w:ascii="方正楷体_GB2312" w:hAnsi="方正楷体_GB2312" w:eastAsia="方正楷体_GB2312" w:cs="方正楷体_GB2312"/>
                <w:b w:val="0"/>
                <w:bCs w:val="0"/>
                <w:color w:val="auto"/>
                <w:kern w:val="0"/>
                <w:sz w:val="24"/>
                <w:szCs w:val="24"/>
                <w:highlight w:val="none"/>
                <w:lang w:val="en-US" w:eastAsia="zh-CN"/>
              </w:rPr>
              <w:t>1.标项一至标项三供应商具有有效的《食品经营许可证》或《食品生产许可证》。</w:t>
            </w:r>
          </w:p>
          <w:p w14:paraId="0D03CFBB">
            <w:pPr>
              <w:keepNext w:val="0"/>
              <w:keepLines w:val="0"/>
              <w:widowControl/>
              <w:suppressLineNumbers w:val="0"/>
              <w:jc w:val="left"/>
              <w:textAlignment w:val="center"/>
              <w:rPr>
                <w:rFonts w:hint="eastAsia" w:ascii="方正楷体_GB2312" w:hAnsi="方正楷体_GB2312" w:eastAsia="方正楷体_GB2312" w:cs="方正楷体_GB2312"/>
                <w:b w:val="0"/>
                <w:bCs w:val="0"/>
                <w:color w:val="auto"/>
                <w:kern w:val="0"/>
                <w:sz w:val="24"/>
                <w:szCs w:val="24"/>
                <w:highlight w:val="none"/>
                <w:lang w:val="en-US" w:eastAsia="zh-CN"/>
              </w:rPr>
            </w:pPr>
            <w:r>
              <w:rPr>
                <w:rFonts w:hint="eastAsia" w:ascii="方正楷体_GB2312" w:hAnsi="方正楷体_GB2312" w:eastAsia="方正楷体_GB2312" w:cs="方正楷体_GB2312"/>
                <w:b w:val="0"/>
                <w:bCs w:val="0"/>
                <w:color w:val="auto"/>
                <w:kern w:val="0"/>
                <w:sz w:val="24"/>
                <w:szCs w:val="24"/>
                <w:highlight w:val="none"/>
                <w:lang w:val="en-US" w:eastAsia="zh-CN"/>
              </w:rPr>
              <w:t>2.标项一供应商若为生产厂家或屠宰企业，还须提供行政主管部门颁发的《屠宰许可证》、《动物防疫条件合格证》，非生产厂家或屠宰企业须提供若中标后能够每批次供货服务开具动物检疫合格证明或提供所投牛羊猪肉类产品的有效期内的动物检疫合格证明的承诺函。</w:t>
            </w:r>
          </w:p>
        </w:tc>
      </w:tr>
      <w:tr w14:paraId="31789574">
        <w:tblPrEx>
          <w:tblCellMar>
            <w:top w:w="0" w:type="dxa"/>
            <w:left w:w="0" w:type="dxa"/>
            <w:bottom w:w="0" w:type="dxa"/>
            <w:right w:w="0" w:type="dxa"/>
          </w:tblCellMar>
        </w:tblPrEx>
        <w:trPr>
          <w:trHeight w:val="816" w:hRule="atLeast"/>
        </w:trPr>
        <w:tc>
          <w:tcPr>
            <w:tcW w:w="772" w:type="dxa"/>
            <w:vMerge w:val="continue"/>
            <w:tcBorders>
              <w:left w:val="single" w:color="auto" w:sz="4" w:space="0"/>
              <w:right w:val="single" w:color="auto" w:sz="4" w:space="0"/>
            </w:tcBorders>
            <w:noWrap w:val="0"/>
            <w:tcMar>
              <w:top w:w="15" w:type="dxa"/>
              <w:left w:w="15" w:type="dxa"/>
              <w:right w:w="15" w:type="dxa"/>
            </w:tcMar>
            <w:textDirection w:val="tbRlV"/>
            <w:vAlign w:val="center"/>
          </w:tcPr>
          <w:p w14:paraId="42BE88DC">
            <w:pPr>
              <w:jc w:val="center"/>
              <w:rPr>
                <w:rFonts w:hint="eastAsia" w:ascii="方正楷体_GB2312" w:hAnsi="方正楷体_GB2312" w:eastAsia="方正楷体_GB2312" w:cs="方正楷体_GB2312"/>
                <w:i w:val="0"/>
                <w:color w:val="auto"/>
                <w:sz w:val="24"/>
                <w:szCs w:val="24"/>
                <w:highlight w:val="none"/>
                <w:u w:val="none"/>
              </w:rPr>
            </w:pPr>
          </w:p>
        </w:tc>
        <w:tc>
          <w:tcPr>
            <w:tcW w:w="7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DDCB24">
            <w:pPr>
              <w:keepNext w:val="0"/>
              <w:keepLines w:val="0"/>
              <w:widowControl/>
              <w:suppressLineNumbers w:val="0"/>
              <w:jc w:val="center"/>
              <w:textAlignment w:val="center"/>
              <w:rPr>
                <w:rFonts w:hint="eastAsia" w:ascii="方正楷体_GB2312" w:hAnsi="方正楷体_GB2312" w:eastAsia="方正楷体_GB2312" w:cs="方正楷体_GB2312"/>
                <w:i w:val="0"/>
                <w:color w:val="auto"/>
                <w:kern w:val="0"/>
                <w:sz w:val="24"/>
                <w:szCs w:val="24"/>
                <w:highlight w:val="none"/>
                <w:u w:val="none"/>
                <w:lang w:val="en-US" w:eastAsia="zh-CN" w:bidi="ar"/>
              </w:rPr>
            </w:pPr>
            <w:r>
              <w:rPr>
                <w:rFonts w:hint="eastAsia" w:ascii="方正楷体_GB2312" w:hAnsi="方正楷体_GB2312" w:eastAsia="方正楷体_GB2312" w:cs="方正楷体_GB2312"/>
                <w:i w:val="0"/>
                <w:color w:val="auto"/>
                <w:kern w:val="0"/>
                <w:sz w:val="24"/>
                <w:szCs w:val="24"/>
                <w:highlight w:val="none"/>
                <w:u w:val="none"/>
                <w:lang w:val="en-US" w:eastAsia="zh-CN" w:bidi="ar"/>
              </w:rPr>
              <w:t>4</w:t>
            </w:r>
          </w:p>
        </w:tc>
        <w:tc>
          <w:tcPr>
            <w:tcW w:w="83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3E60D8">
            <w:pPr>
              <w:keepNext w:val="0"/>
              <w:keepLines w:val="0"/>
              <w:widowControl/>
              <w:suppressLineNumbers w:val="0"/>
              <w:jc w:val="left"/>
              <w:textAlignment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b w:val="0"/>
                <w:color w:val="auto"/>
                <w:sz w:val="24"/>
                <w:szCs w:val="24"/>
                <w:highlight w:val="none"/>
                <w:lang w:val="en-US" w:eastAsia="zh-CN"/>
              </w:rPr>
              <w:t>凡拟参加本次采购项目的供应商，如在“信用中国”网站（www.creditchina.gov.cn）和中国政府采购网（www.ccgp.gov.cn）、</w:t>
            </w:r>
            <w:r>
              <w:rPr>
                <w:rFonts w:hint="eastAsia" w:ascii="方正楷体_GB2312" w:hAnsi="方正楷体_GB2312" w:eastAsia="方正楷体_GB2312" w:cs="方正楷体_GB2312"/>
                <w:color w:val="auto"/>
                <w:sz w:val="24"/>
                <w:szCs w:val="24"/>
                <w:highlight w:val="none"/>
                <w:lang w:val="en-US" w:eastAsia="zh-CN"/>
              </w:rPr>
              <w:t>“国家企业信用信息公示系统”</w:t>
            </w:r>
            <w:r>
              <w:rPr>
                <w:rFonts w:hint="eastAsia" w:ascii="方正楷体_GB2312" w:hAnsi="方正楷体_GB2312" w:eastAsia="方正楷体_GB2312" w:cs="方正楷体_GB2312"/>
                <w:b w:val="0"/>
                <w:color w:val="auto"/>
                <w:sz w:val="24"/>
                <w:szCs w:val="24"/>
                <w:highlight w:val="none"/>
                <w:lang w:val="en-US" w:eastAsia="zh-CN"/>
              </w:rPr>
              <w:t>被列入失信被执行人、税收违法黑名单、政府采购严重违法失信行为记录名单的（尚在处罚期内的），将拒绝其参加本次采购活动</w:t>
            </w:r>
          </w:p>
        </w:tc>
      </w:tr>
      <w:tr w14:paraId="68F20D24">
        <w:tblPrEx>
          <w:tblCellMar>
            <w:top w:w="0" w:type="dxa"/>
            <w:left w:w="0" w:type="dxa"/>
            <w:bottom w:w="0" w:type="dxa"/>
            <w:right w:w="0" w:type="dxa"/>
          </w:tblCellMar>
        </w:tblPrEx>
        <w:trPr>
          <w:trHeight w:val="552" w:hRule="atLeast"/>
        </w:trPr>
        <w:tc>
          <w:tcPr>
            <w:tcW w:w="772" w:type="dxa"/>
            <w:vMerge w:val="continue"/>
            <w:tcBorders>
              <w:left w:val="single" w:color="auto" w:sz="4" w:space="0"/>
              <w:right w:val="single" w:color="auto" w:sz="4" w:space="0"/>
            </w:tcBorders>
            <w:noWrap w:val="0"/>
            <w:tcMar>
              <w:top w:w="15" w:type="dxa"/>
              <w:left w:w="15" w:type="dxa"/>
              <w:right w:w="15" w:type="dxa"/>
            </w:tcMar>
            <w:textDirection w:val="tbRlV"/>
            <w:vAlign w:val="center"/>
          </w:tcPr>
          <w:p w14:paraId="040DDAD3">
            <w:pPr>
              <w:jc w:val="center"/>
              <w:rPr>
                <w:rFonts w:hint="eastAsia" w:ascii="方正楷体_GB2312" w:hAnsi="方正楷体_GB2312" w:eastAsia="方正楷体_GB2312" w:cs="方正楷体_GB2312"/>
                <w:i w:val="0"/>
                <w:color w:val="auto"/>
                <w:sz w:val="24"/>
                <w:szCs w:val="24"/>
                <w:highlight w:val="none"/>
                <w:u w:val="none"/>
              </w:rPr>
            </w:pPr>
          </w:p>
        </w:tc>
        <w:tc>
          <w:tcPr>
            <w:tcW w:w="7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18D9B8">
            <w:pPr>
              <w:keepNext w:val="0"/>
              <w:keepLines w:val="0"/>
              <w:widowControl/>
              <w:suppressLineNumbers w:val="0"/>
              <w:jc w:val="center"/>
              <w:textAlignment w:val="center"/>
              <w:rPr>
                <w:rFonts w:hint="eastAsia" w:ascii="方正楷体_GB2312" w:hAnsi="方正楷体_GB2312" w:eastAsia="方正楷体_GB2312" w:cs="方正楷体_GB2312"/>
                <w:i w:val="0"/>
                <w:color w:val="auto"/>
                <w:kern w:val="0"/>
                <w:sz w:val="24"/>
                <w:szCs w:val="24"/>
                <w:highlight w:val="none"/>
                <w:u w:val="none"/>
                <w:lang w:val="en-US" w:eastAsia="zh-CN" w:bidi="ar"/>
              </w:rPr>
            </w:pPr>
            <w:r>
              <w:rPr>
                <w:rFonts w:hint="eastAsia" w:ascii="方正楷体_GB2312" w:hAnsi="方正楷体_GB2312" w:eastAsia="方正楷体_GB2312" w:cs="方正楷体_GB2312"/>
                <w:i w:val="0"/>
                <w:color w:val="auto"/>
                <w:kern w:val="0"/>
                <w:sz w:val="24"/>
                <w:szCs w:val="24"/>
                <w:highlight w:val="none"/>
                <w:u w:val="none"/>
                <w:lang w:val="en-US" w:eastAsia="zh-CN" w:bidi="ar"/>
              </w:rPr>
              <w:t>5</w:t>
            </w:r>
          </w:p>
        </w:tc>
        <w:tc>
          <w:tcPr>
            <w:tcW w:w="83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BFE993">
            <w:pPr>
              <w:keepNext w:val="0"/>
              <w:keepLines w:val="0"/>
              <w:widowControl/>
              <w:suppressLineNumbers w:val="0"/>
              <w:jc w:val="left"/>
              <w:textAlignment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供应商须为小微企业，提供</w:t>
            </w:r>
            <w:r>
              <w:rPr>
                <w:rFonts w:hint="eastAsia" w:ascii="方正楷体_GB2312" w:hAnsi="方正楷体_GB2312" w:eastAsia="方正楷体_GB2312" w:cs="方正楷体_GB2312"/>
                <w:color w:val="auto"/>
                <w:sz w:val="24"/>
                <w:szCs w:val="24"/>
                <w:highlight w:val="none"/>
                <w:lang w:eastAsia="zh-CN"/>
              </w:rPr>
              <w:t>《</w:t>
            </w:r>
            <w:r>
              <w:rPr>
                <w:rFonts w:hint="eastAsia" w:ascii="方正楷体_GB2312" w:hAnsi="方正楷体_GB2312" w:eastAsia="方正楷体_GB2312" w:cs="方正楷体_GB2312"/>
                <w:color w:val="auto"/>
                <w:sz w:val="24"/>
                <w:szCs w:val="24"/>
                <w:highlight w:val="none"/>
                <w:lang w:val="en-US" w:eastAsia="zh-CN"/>
              </w:rPr>
              <w:t>中小企业声明函</w:t>
            </w:r>
            <w:r>
              <w:rPr>
                <w:rFonts w:hint="eastAsia" w:ascii="方正楷体_GB2312" w:hAnsi="方正楷体_GB2312" w:eastAsia="方正楷体_GB2312" w:cs="方正楷体_GB2312"/>
                <w:color w:val="auto"/>
                <w:sz w:val="24"/>
                <w:szCs w:val="24"/>
                <w:highlight w:val="none"/>
                <w:lang w:eastAsia="zh-CN"/>
              </w:rPr>
              <w:t>》</w:t>
            </w:r>
            <w:r>
              <w:rPr>
                <w:rFonts w:hint="eastAsia" w:ascii="方正楷体_GB2312" w:hAnsi="方正楷体_GB2312" w:eastAsia="方正楷体_GB2312" w:cs="方正楷体_GB2312"/>
                <w:color w:val="auto"/>
                <w:sz w:val="24"/>
                <w:szCs w:val="24"/>
                <w:highlight w:val="none"/>
                <w:lang w:val="en-US" w:eastAsia="zh-CN"/>
              </w:rPr>
              <w:t xml:space="preserve"> </w:t>
            </w:r>
          </w:p>
        </w:tc>
      </w:tr>
      <w:tr w14:paraId="0E277F2D">
        <w:tblPrEx>
          <w:tblCellMar>
            <w:top w:w="0" w:type="dxa"/>
            <w:left w:w="0" w:type="dxa"/>
            <w:bottom w:w="0" w:type="dxa"/>
            <w:right w:w="0" w:type="dxa"/>
          </w:tblCellMar>
        </w:tblPrEx>
        <w:trPr>
          <w:trHeight w:val="610" w:hRule="atLeast"/>
        </w:trPr>
        <w:tc>
          <w:tcPr>
            <w:tcW w:w="772" w:type="dxa"/>
            <w:vMerge w:val="continue"/>
            <w:tcBorders>
              <w:left w:val="single" w:color="auto" w:sz="4" w:space="0"/>
              <w:right w:val="single" w:color="auto" w:sz="4" w:space="0"/>
            </w:tcBorders>
            <w:noWrap w:val="0"/>
            <w:tcMar>
              <w:top w:w="15" w:type="dxa"/>
              <w:left w:w="15" w:type="dxa"/>
              <w:right w:w="15" w:type="dxa"/>
            </w:tcMar>
            <w:textDirection w:val="tbRlV"/>
            <w:vAlign w:val="center"/>
          </w:tcPr>
          <w:p w14:paraId="61C0466E">
            <w:pPr>
              <w:jc w:val="center"/>
              <w:rPr>
                <w:rFonts w:hint="eastAsia" w:ascii="方正楷体_GB2312" w:hAnsi="方正楷体_GB2312" w:eastAsia="方正楷体_GB2312" w:cs="方正楷体_GB2312"/>
                <w:i w:val="0"/>
                <w:color w:val="auto"/>
                <w:sz w:val="24"/>
                <w:szCs w:val="24"/>
                <w:highlight w:val="none"/>
                <w:u w:val="none"/>
              </w:rPr>
            </w:pPr>
          </w:p>
        </w:tc>
        <w:tc>
          <w:tcPr>
            <w:tcW w:w="7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4E44DE">
            <w:pPr>
              <w:keepNext w:val="0"/>
              <w:keepLines w:val="0"/>
              <w:widowControl/>
              <w:suppressLineNumbers w:val="0"/>
              <w:jc w:val="center"/>
              <w:textAlignment w:val="center"/>
              <w:rPr>
                <w:rFonts w:hint="eastAsia" w:ascii="方正楷体_GB2312" w:hAnsi="方正楷体_GB2312" w:eastAsia="方正楷体_GB2312" w:cs="方正楷体_GB2312"/>
                <w:i w:val="0"/>
                <w:color w:val="auto"/>
                <w:kern w:val="0"/>
                <w:sz w:val="24"/>
                <w:szCs w:val="24"/>
                <w:highlight w:val="none"/>
                <w:u w:val="none"/>
                <w:lang w:val="en-US" w:eastAsia="zh-CN" w:bidi="ar"/>
              </w:rPr>
            </w:pPr>
            <w:r>
              <w:rPr>
                <w:rFonts w:hint="eastAsia" w:ascii="方正楷体_GB2312" w:hAnsi="方正楷体_GB2312" w:eastAsia="方正楷体_GB2312" w:cs="方正楷体_GB2312"/>
                <w:i w:val="0"/>
                <w:color w:val="auto"/>
                <w:kern w:val="0"/>
                <w:sz w:val="24"/>
                <w:szCs w:val="24"/>
                <w:highlight w:val="none"/>
                <w:u w:val="none"/>
                <w:lang w:val="en-US" w:eastAsia="zh-CN" w:bidi="ar"/>
              </w:rPr>
              <w:t>6</w:t>
            </w:r>
          </w:p>
        </w:tc>
        <w:tc>
          <w:tcPr>
            <w:tcW w:w="83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37D1A0">
            <w:pPr>
              <w:keepNext w:val="0"/>
              <w:keepLines w:val="0"/>
              <w:widowControl/>
              <w:suppressLineNumbers w:val="0"/>
              <w:jc w:val="left"/>
              <w:textAlignment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eastAsia="zh-CN"/>
              </w:rPr>
              <w:t>谈判保证金汇款凭证或保函证明、电子保函</w:t>
            </w:r>
          </w:p>
        </w:tc>
      </w:tr>
    </w:tbl>
    <w:p w14:paraId="0D714879">
      <w:pPr>
        <w:rPr>
          <w:rFonts w:hint="eastAsia" w:ascii="方正楷体_GB2312" w:hAnsi="方正楷体_GB2312" w:eastAsia="方正楷体_GB2312" w:cs="方正楷体_GB2312"/>
          <w:color w:val="auto"/>
          <w:highlight w:val="none"/>
          <w:lang w:val="en-US" w:eastAsia="zh-CN"/>
        </w:rPr>
      </w:pPr>
    </w:p>
    <w:tbl>
      <w:tblPr>
        <w:tblStyle w:val="51"/>
        <w:tblW w:w="9879" w:type="dxa"/>
        <w:tblInd w:w="0" w:type="dxa"/>
        <w:tblLayout w:type="fixed"/>
        <w:tblCellMar>
          <w:top w:w="0" w:type="dxa"/>
          <w:left w:w="0" w:type="dxa"/>
          <w:bottom w:w="0" w:type="dxa"/>
          <w:right w:w="0" w:type="dxa"/>
        </w:tblCellMar>
      </w:tblPr>
      <w:tblGrid>
        <w:gridCol w:w="798"/>
        <w:gridCol w:w="816"/>
        <w:gridCol w:w="8265"/>
      </w:tblGrid>
      <w:tr w14:paraId="456073E0">
        <w:tblPrEx>
          <w:tblCellMar>
            <w:top w:w="0" w:type="dxa"/>
            <w:left w:w="0" w:type="dxa"/>
            <w:bottom w:w="0" w:type="dxa"/>
            <w:right w:w="0" w:type="dxa"/>
          </w:tblCellMar>
        </w:tblPrEx>
        <w:trPr>
          <w:trHeight w:val="424" w:hRule="atLeast"/>
        </w:trPr>
        <w:tc>
          <w:tcPr>
            <w:tcW w:w="798"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4F8E5C51">
            <w:pPr>
              <w:keepNext w:val="0"/>
              <w:keepLines w:val="0"/>
              <w:widowControl/>
              <w:suppressLineNumbers w:val="0"/>
              <w:jc w:val="center"/>
              <w:textAlignment w:val="center"/>
              <w:rPr>
                <w:rFonts w:hint="eastAsia" w:ascii="方正楷体_GB2312" w:hAnsi="方正楷体_GB2312" w:eastAsia="方正楷体_GB2312" w:cs="方正楷体_GB2312"/>
                <w:i w:val="0"/>
                <w:color w:val="auto"/>
                <w:sz w:val="22"/>
                <w:szCs w:val="22"/>
                <w:highlight w:val="none"/>
                <w:u w:val="none"/>
                <w:lang w:eastAsia="zh-CN"/>
              </w:rPr>
            </w:pPr>
            <w:bookmarkStart w:id="38" w:name="_Toc182131617"/>
            <w:r>
              <w:rPr>
                <w:rFonts w:hint="eastAsia" w:ascii="方正楷体_GB2312" w:hAnsi="方正楷体_GB2312" w:eastAsia="方正楷体_GB2312" w:cs="方正楷体_GB2312"/>
                <w:i w:val="0"/>
                <w:color w:val="auto"/>
                <w:sz w:val="22"/>
                <w:szCs w:val="22"/>
                <w:highlight w:val="none"/>
                <w:u w:val="none"/>
                <w:lang w:eastAsia="zh-CN"/>
              </w:rPr>
              <w:t>符合性审查表</w:t>
            </w:r>
          </w:p>
        </w:tc>
        <w:tc>
          <w:tcPr>
            <w:tcW w:w="9081"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7C0B78">
            <w:pPr>
              <w:keepNext w:val="0"/>
              <w:keepLines w:val="0"/>
              <w:widowControl/>
              <w:suppressLineNumbers w:val="0"/>
              <w:jc w:val="center"/>
              <w:textAlignment w:val="center"/>
              <w:rPr>
                <w:rFonts w:hint="eastAsia" w:ascii="方正楷体_GB2312" w:hAnsi="方正楷体_GB2312" w:eastAsia="方正楷体_GB2312" w:cs="方正楷体_GB2312"/>
                <w:i w:val="0"/>
                <w:color w:val="auto"/>
                <w:sz w:val="22"/>
                <w:szCs w:val="22"/>
                <w:highlight w:val="none"/>
                <w:u w:val="none"/>
              </w:rPr>
            </w:pPr>
            <w:r>
              <w:rPr>
                <w:rFonts w:hint="eastAsia" w:ascii="方正楷体_GB2312" w:hAnsi="方正楷体_GB2312" w:eastAsia="方正楷体_GB2312" w:cs="方正楷体_GB2312"/>
                <w:i w:val="0"/>
                <w:color w:val="auto"/>
                <w:kern w:val="0"/>
                <w:sz w:val="22"/>
                <w:szCs w:val="22"/>
                <w:highlight w:val="none"/>
                <w:u w:val="none"/>
                <w:lang w:val="en-US" w:eastAsia="zh-CN" w:bidi="ar"/>
              </w:rPr>
              <w:t>评审内容</w:t>
            </w:r>
          </w:p>
        </w:tc>
      </w:tr>
      <w:tr w14:paraId="0DEBAFCC">
        <w:tblPrEx>
          <w:tblCellMar>
            <w:top w:w="0" w:type="dxa"/>
            <w:left w:w="0" w:type="dxa"/>
            <w:bottom w:w="0" w:type="dxa"/>
            <w:right w:w="0" w:type="dxa"/>
          </w:tblCellMar>
        </w:tblPrEx>
        <w:trPr>
          <w:trHeight w:val="437" w:hRule="atLeast"/>
        </w:trPr>
        <w:tc>
          <w:tcPr>
            <w:tcW w:w="798" w:type="dxa"/>
            <w:vMerge w:val="continue"/>
            <w:tcBorders>
              <w:left w:val="single" w:color="auto" w:sz="4" w:space="0"/>
              <w:right w:val="single" w:color="auto" w:sz="4" w:space="0"/>
            </w:tcBorders>
            <w:noWrap w:val="0"/>
            <w:tcMar>
              <w:top w:w="15" w:type="dxa"/>
              <w:left w:w="15" w:type="dxa"/>
              <w:right w:w="15" w:type="dxa"/>
            </w:tcMar>
            <w:textDirection w:val="tbRlV"/>
            <w:vAlign w:val="center"/>
          </w:tcPr>
          <w:p w14:paraId="58B52D97">
            <w:pPr>
              <w:jc w:val="center"/>
              <w:rPr>
                <w:rFonts w:hint="eastAsia" w:ascii="方正楷体_GB2312" w:hAnsi="方正楷体_GB2312" w:eastAsia="方正楷体_GB2312" w:cs="方正楷体_GB2312"/>
                <w:i w:val="0"/>
                <w:color w:val="auto"/>
                <w:sz w:val="22"/>
                <w:szCs w:val="22"/>
                <w:highlight w:val="none"/>
                <w:u w:val="none"/>
              </w:rPr>
            </w:pPr>
          </w:p>
        </w:tc>
        <w:tc>
          <w:tcPr>
            <w:tcW w:w="8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BB7FAC">
            <w:pPr>
              <w:keepNext w:val="0"/>
              <w:keepLines w:val="0"/>
              <w:widowControl/>
              <w:suppressLineNumbers w:val="0"/>
              <w:jc w:val="center"/>
              <w:textAlignment w:val="center"/>
              <w:rPr>
                <w:rFonts w:hint="eastAsia" w:ascii="方正楷体_GB2312" w:hAnsi="方正楷体_GB2312" w:eastAsia="方正楷体_GB2312" w:cs="方正楷体_GB2312"/>
                <w:i w:val="0"/>
                <w:color w:val="auto"/>
                <w:sz w:val="22"/>
                <w:szCs w:val="22"/>
                <w:highlight w:val="none"/>
                <w:u w:val="none"/>
              </w:rPr>
            </w:pPr>
            <w:r>
              <w:rPr>
                <w:rFonts w:hint="eastAsia" w:ascii="方正楷体_GB2312" w:hAnsi="方正楷体_GB2312" w:eastAsia="方正楷体_GB2312" w:cs="方正楷体_GB2312"/>
                <w:i w:val="0"/>
                <w:color w:val="auto"/>
                <w:kern w:val="0"/>
                <w:sz w:val="22"/>
                <w:szCs w:val="22"/>
                <w:highlight w:val="none"/>
                <w:u w:val="none"/>
                <w:lang w:val="en-US" w:eastAsia="zh-CN" w:bidi="ar"/>
              </w:rPr>
              <w:t>1</w:t>
            </w:r>
          </w:p>
        </w:tc>
        <w:tc>
          <w:tcPr>
            <w:tcW w:w="8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018910">
            <w:pPr>
              <w:keepNext w:val="0"/>
              <w:keepLines w:val="0"/>
              <w:widowControl/>
              <w:suppressLineNumbers w:val="0"/>
              <w:jc w:val="left"/>
              <w:textAlignment w:val="center"/>
              <w:rPr>
                <w:rFonts w:hint="eastAsia" w:ascii="方正楷体_GB2312" w:hAnsi="方正楷体_GB2312" w:eastAsia="方正楷体_GB2312" w:cs="方正楷体_GB2312"/>
                <w:i w:val="0"/>
                <w:color w:val="auto"/>
                <w:sz w:val="22"/>
                <w:szCs w:val="22"/>
                <w:highlight w:val="none"/>
                <w:u w:val="none"/>
              </w:rPr>
            </w:pPr>
            <w:r>
              <w:rPr>
                <w:rFonts w:hint="eastAsia" w:ascii="方正楷体_GB2312" w:hAnsi="方正楷体_GB2312" w:eastAsia="方正楷体_GB2312" w:cs="方正楷体_GB2312"/>
                <w:b w:val="0"/>
                <w:color w:val="auto"/>
                <w:sz w:val="24"/>
                <w:highlight w:val="none"/>
                <w:lang w:eastAsia="zh-CN"/>
              </w:rPr>
              <w:t>供应商</w:t>
            </w:r>
            <w:r>
              <w:rPr>
                <w:rFonts w:hint="eastAsia" w:ascii="方正楷体_GB2312" w:hAnsi="方正楷体_GB2312" w:eastAsia="方正楷体_GB2312" w:cs="方正楷体_GB2312"/>
                <w:b w:val="0"/>
                <w:color w:val="auto"/>
                <w:sz w:val="24"/>
                <w:highlight w:val="none"/>
              </w:rPr>
              <w:t>名称是否与营业执照一致</w:t>
            </w:r>
          </w:p>
        </w:tc>
      </w:tr>
      <w:tr w14:paraId="4E6EF96B">
        <w:tblPrEx>
          <w:tblCellMar>
            <w:top w:w="0" w:type="dxa"/>
            <w:left w:w="0" w:type="dxa"/>
            <w:bottom w:w="0" w:type="dxa"/>
            <w:right w:w="0" w:type="dxa"/>
          </w:tblCellMar>
        </w:tblPrEx>
        <w:trPr>
          <w:trHeight w:val="456" w:hRule="atLeast"/>
        </w:trPr>
        <w:tc>
          <w:tcPr>
            <w:tcW w:w="798" w:type="dxa"/>
            <w:vMerge w:val="continue"/>
            <w:tcBorders>
              <w:left w:val="single" w:color="auto" w:sz="4" w:space="0"/>
              <w:right w:val="single" w:color="auto" w:sz="4" w:space="0"/>
            </w:tcBorders>
            <w:noWrap w:val="0"/>
            <w:tcMar>
              <w:top w:w="15" w:type="dxa"/>
              <w:left w:w="15" w:type="dxa"/>
              <w:right w:w="15" w:type="dxa"/>
            </w:tcMar>
            <w:textDirection w:val="tbRlV"/>
            <w:vAlign w:val="center"/>
          </w:tcPr>
          <w:p w14:paraId="76DEEFE0">
            <w:pPr>
              <w:jc w:val="center"/>
              <w:rPr>
                <w:rFonts w:hint="eastAsia" w:ascii="方正楷体_GB2312" w:hAnsi="方正楷体_GB2312" w:eastAsia="方正楷体_GB2312" w:cs="方正楷体_GB2312"/>
                <w:i w:val="0"/>
                <w:color w:val="auto"/>
                <w:sz w:val="22"/>
                <w:szCs w:val="22"/>
                <w:highlight w:val="none"/>
                <w:u w:val="none"/>
              </w:rPr>
            </w:pPr>
          </w:p>
        </w:tc>
        <w:tc>
          <w:tcPr>
            <w:tcW w:w="8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D47B1D">
            <w:pPr>
              <w:keepNext w:val="0"/>
              <w:keepLines w:val="0"/>
              <w:widowControl/>
              <w:suppressLineNumbers w:val="0"/>
              <w:jc w:val="center"/>
              <w:textAlignment w:val="center"/>
              <w:rPr>
                <w:rFonts w:hint="eastAsia" w:ascii="方正楷体_GB2312" w:hAnsi="方正楷体_GB2312" w:eastAsia="方正楷体_GB2312" w:cs="方正楷体_GB2312"/>
                <w:i w:val="0"/>
                <w:color w:val="auto"/>
                <w:sz w:val="22"/>
                <w:szCs w:val="22"/>
                <w:highlight w:val="none"/>
                <w:u w:val="none"/>
              </w:rPr>
            </w:pPr>
            <w:r>
              <w:rPr>
                <w:rFonts w:hint="eastAsia" w:ascii="方正楷体_GB2312" w:hAnsi="方正楷体_GB2312" w:eastAsia="方正楷体_GB2312" w:cs="方正楷体_GB2312"/>
                <w:i w:val="0"/>
                <w:color w:val="auto"/>
                <w:kern w:val="0"/>
                <w:sz w:val="22"/>
                <w:szCs w:val="22"/>
                <w:highlight w:val="none"/>
                <w:u w:val="none"/>
                <w:lang w:val="en-US" w:eastAsia="zh-CN" w:bidi="ar"/>
              </w:rPr>
              <w:t>2</w:t>
            </w:r>
          </w:p>
        </w:tc>
        <w:tc>
          <w:tcPr>
            <w:tcW w:w="8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0CC5DA">
            <w:pPr>
              <w:keepNext w:val="0"/>
              <w:keepLines w:val="0"/>
              <w:widowControl/>
              <w:suppressLineNumbers w:val="0"/>
              <w:jc w:val="left"/>
              <w:textAlignment w:val="center"/>
              <w:rPr>
                <w:rFonts w:hint="eastAsia" w:ascii="方正楷体_GB2312" w:hAnsi="方正楷体_GB2312" w:eastAsia="方正楷体_GB2312" w:cs="方正楷体_GB2312"/>
                <w:i w:val="0"/>
                <w:color w:val="auto"/>
                <w:sz w:val="22"/>
                <w:szCs w:val="22"/>
                <w:highlight w:val="none"/>
                <w:u w:val="none"/>
                <w:lang w:eastAsia="zh-CN"/>
              </w:rPr>
            </w:pPr>
            <w:r>
              <w:rPr>
                <w:rFonts w:hint="eastAsia" w:ascii="方正楷体_GB2312" w:hAnsi="方正楷体_GB2312" w:eastAsia="方正楷体_GB2312" w:cs="方正楷体_GB2312"/>
                <w:b w:val="0"/>
                <w:color w:val="auto"/>
                <w:sz w:val="24"/>
                <w:highlight w:val="none"/>
                <w:lang w:val="en-US" w:eastAsia="zh-CN"/>
              </w:rPr>
              <w:t>按谈判文件规定要求签署、盖章的</w:t>
            </w:r>
          </w:p>
        </w:tc>
      </w:tr>
      <w:tr w14:paraId="7C4A19A6">
        <w:tblPrEx>
          <w:tblCellMar>
            <w:top w:w="0" w:type="dxa"/>
            <w:left w:w="0" w:type="dxa"/>
            <w:bottom w:w="0" w:type="dxa"/>
            <w:right w:w="0" w:type="dxa"/>
          </w:tblCellMar>
        </w:tblPrEx>
        <w:trPr>
          <w:trHeight w:val="433" w:hRule="atLeast"/>
        </w:trPr>
        <w:tc>
          <w:tcPr>
            <w:tcW w:w="798" w:type="dxa"/>
            <w:vMerge w:val="continue"/>
            <w:tcBorders>
              <w:left w:val="single" w:color="auto" w:sz="4" w:space="0"/>
              <w:right w:val="single" w:color="auto" w:sz="4" w:space="0"/>
            </w:tcBorders>
            <w:noWrap w:val="0"/>
            <w:tcMar>
              <w:top w:w="15" w:type="dxa"/>
              <w:left w:w="15" w:type="dxa"/>
              <w:right w:w="15" w:type="dxa"/>
            </w:tcMar>
            <w:textDirection w:val="tbRlV"/>
            <w:vAlign w:val="center"/>
          </w:tcPr>
          <w:p w14:paraId="5EA6C114">
            <w:pPr>
              <w:jc w:val="center"/>
              <w:rPr>
                <w:rFonts w:hint="eastAsia" w:ascii="方正楷体_GB2312" w:hAnsi="方正楷体_GB2312" w:eastAsia="方正楷体_GB2312" w:cs="方正楷体_GB2312"/>
                <w:i w:val="0"/>
                <w:color w:val="auto"/>
                <w:sz w:val="22"/>
                <w:szCs w:val="22"/>
                <w:highlight w:val="none"/>
                <w:u w:val="none"/>
              </w:rPr>
            </w:pPr>
          </w:p>
        </w:tc>
        <w:tc>
          <w:tcPr>
            <w:tcW w:w="8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D61286">
            <w:pPr>
              <w:keepNext w:val="0"/>
              <w:keepLines w:val="0"/>
              <w:widowControl/>
              <w:suppressLineNumbers w:val="0"/>
              <w:jc w:val="center"/>
              <w:textAlignment w:val="center"/>
              <w:rPr>
                <w:rFonts w:hint="eastAsia" w:ascii="方正楷体_GB2312" w:hAnsi="方正楷体_GB2312" w:eastAsia="方正楷体_GB2312" w:cs="方正楷体_GB2312"/>
                <w:i w:val="0"/>
                <w:color w:val="auto"/>
                <w:kern w:val="0"/>
                <w:sz w:val="22"/>
                <w:szCs w:val="22"/>
                <w:highlight w:val="none"/>
                <w:u w:val="none"/>
                <w:lang w:val="en-US" w:eastAsia="zh-CN" w:bidi="ar"/>
              </w:rPr>
            </w:pPr>
            <w:r>
              <w:rPr>
                <w:rFonts w:hint="eastAsia" w:ascii="方正楷体_GB2312" w:hAnsi="方正楷体_GB2312" w:eastAsia="方正楷体_GB2312" w:cs="方正楷体_GB2312"/>
                <w:i w:val="0"/>
                <w:color w:val="auto"/>
                <w:kern w:val="0"/>
                <w:sz w:val="22"/>
                <w:szCs w:val="22"/>
                <w:highlight w:val="none"/>
                <w:u w:val="none"/>
                <w:lang w:val="en-US" w:eastAsia="zh-CN" w:bidi="ar"/>
              </w:rPr>
              <w:t>3</w:t>
            </w:r>
          </w:p>
        </w:tc>
        <w:tc>
          <w:tcPr>
            <w:tcW w:w="8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283E31">
            <w:pPr>
              <w:keepNext w:val="0"/>
              <w:keepLines w:val="0"/>
              <w:widowControl/>
              <w:suppressLineNumbers w:val="0"/>
              <w:jc w:val="left"/>
              <w:textAlignment w:val="center"/>
              <w:rPr>
                <w:rFonts w:hint="eastAsia" w:ascii="方正楷体_GB2312" w:hAnsi="方正楷体_GB2312" w:eastAsia="方正楷体_GB2312" w:cs="方正楷体_GB2312"/>
                <w:b w:val="0"/>
                <w:color w:val="auto"/>
                <w:sz w:val="24"/>
                <w:highlight w:val="none"/>
                <w:lang w:val="en-US" w:eastAsia="zh-CN"/>
              </w:rPr>
            </w:pPr>
            <w:r>
              <w:rPr>
                <w:rFonts w:hint="eastAsia" w:ascii="方正楷体_GB2312" w:hAnsi="方正楷体_GB2312" w:eastAsia="方正楷体_GB2312" w:cs="方正楷体_GB2312"/>
                <w:b w:val="0"/>
                <w:color w:val="auto"/>
                <w:sz w:val="24"/>
                <w:highlight w:val="none"/>
                <w:lang w:val="en-US" w:eastAsia="zh-CN"/>
              </w:rPr>
              <w:t>响应文件是否附有采购人不能接受的条件</w:t>
            </w:r>
          </w:p>
        </w:tc>
      </w:tr>
      <w:tr w14:paraId="2DBD7C2F">
        <w:tblPrEx>
          <w:tblCellMar>
            <w:top w:w="0" w:type="dxa"/>
            <w:left w:w="0" w:type="dxa"/>
            <w:bottom w:w="0" w:type="dxa"/>
            <w:right w:w="0" w:type="dxa"/>
          </w:tblCellMar>
        </w:tblPrEx>
        <w:trPr>
          <w:trHeight w:val="493" w:hRule="atLeast"/>
        </w:trPr>
        <w:tc>
          <w:tcPr>
            <w:tcW w:w="798" w:type="dxa"/>
            <w:vMerge w:val="continue"/>
            <w:tcBorders>
              <w:left w:val="single" w:color="auto" w:sz="4" w:space="0"/>
              <w:right w:val="single" w:color="auto" w:sz="4" w:space="0"/>
            </w:tcBorders>
            <w:noWrap w:val="0"/>
            <w:tcMar>
              <w:top w:w="15" w:type="dxa"/>
              <w:left w:w="15" w:type="dxa"/>
              <w:right w:w="15" w:type="dxa"/>
            </w:tcMar>
            <w:textDirection w:val="tbRlV"/>
            <w:vAlign w:val="center"/>
          </w:tcPr>
          <w:p w14:paraId="02F2DF13">
            <w:pPr>
              <w:jc w:val="center"/>
              <w:rPr>
                <w:rFonts w:hint="eastAsia" w:ascii="方正楷体_GB2312" w:hAnsi="方正楷体_GB2312" w:eastAsia="方正楷体_GB2312" w:cs="方正楷体_GB2312"/>
                <w:i w:val="0"/>
                <w:color w:val="auto"/>
                <w:sz w:val="22"/>
                <w:szCs w:val="22"/>
                <w:highlight w:val="none"/>
                <w:u w:val="none"/>
              </w:rPr>
            </w:pPr>
          </w:p>
        </w:tc>
        <w:tc>
          <w:tcPr>
            <w:tcW w:w="8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360397">
            <w:pPr>
              <w:keepNext w:val="0"/>
              <w:keepLines w:val="0"/>
              <w:widowControl/>
              <w:suppressLineNumbers w:val="0"/>
              <w:jc w:val="center"/>
              <w:textAlignment w:val="center"/>
              <w:rPr>
                <w:rFonts w:hint="eastAsia" w:ascii="方正楷体_GB2312" w:hAnsi="方正楷体_GB2312" w:eastAsia="方正楷体_GB2312" w:cs="方正楷体_GB2312"/>
                <w:i w:val="0"/>
                <w:color w:val="auto"/>
                <w:kern w:val="0"/>
                <w:sz w:val="22"/>
                <w:szCs w:val="22"/>
                <w:highlight w:val="none"/>
                <w:u w:val="none"/>
                <w:lang w:val="en-US" w:eastAsia="zh-CN" w:bidi="ar"/>
              </w:rPr>
            </w:pPr>
            <w:r>
              <w:rPr>
                <w:rFonts w:hint="eastAsia" w:ascii="方正楷体_GB2312" w:hAnsi="方正楷体_GB2312" w:eastAsia="方正楷体_GB2312" w:cs="方正楷体_GB2312"/>
                <w:i w:val="0"/>
                <w:color w:val="auto"/>
                <w:kern w:val="0"/>
                <w:sz w:val="22"/>
                <w:szCs w:val="22"/>
                <w:highlight w:val="none"/>
                <w:u w:val="none"/>
                <w:lang w:val="en-US" w:eastAsia="zh-CN" w:bidi="ar"/>
              </w:rPr>
              <w:t>4</w:t>
            </w:r>
          </w:p>
        </w:tc>
        <w:tc>
          <w:tcPr>
            <w:tcW w:w="8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6E03E0">
            <w:pPr>
              <w:keepNext w:val="0"/>
              <w:keepLines w:val="0"/>
              <w:widowControl/>
              <w:suppressLineNumbers w:val="0"/>
              <w:jc w:val="left"/>
              <w:textAlignment w:val="center"/>
              <w:rPr>
                <w:rFonts w:hint="eastAsia" w:ascii="方正楷体_GB2312" w:hAnsi="方正楷体_GB2312" w:eastAsia="方正楷体_GB2312" w:cs="方正楷体_GB2312"/>
                <w:color w:val="auto"/>
                <w:kern w:val="0"/>
                <w:sz w:val="24"/>
                <w:highlight w:val="none"/>
              </w:rPr>
            </w:pPr>
            <w:r>
              <w:rPr>
                <w:rFonts w:hint="eastAsia" w:ascii="方正楷体_GB2312" w:hAnsi="方正楷体_GB2312" w:eastAsia="方正楷体_GB2312" w:cs="方正楷体_GB2312"/>
                <w:color w:val="auto"/>
                <w:kern w:val="0"/>
                <w:sz w:val="24"/>
                <w:highlight w:val="none"/>
              </w:rPr>
              <w:t>是否符合</w:t>
            </w:r>
            <w:r>
              <w:rPr>
                <w:rFonts w:hint="eastAsia" w:ascii="方正楷体_GB2312" w:hAnsi="方正楷体_GB2312" w:eastAsia="方正楷体_GB2312" w:cs="方正楷体_GB2312"/>
                <w:color w:val="auto"/>
                <w:kern w:val="0"/>
                <w:sz w:val="24"/>
                <w:highlight w:val="none"/>
                <w:lang w:eastAsia="zh-CN"/>
              </w:rPr>
              <w:t>竞争性谈判文件</w:t>
            </w:r>
            <w:r>
              <w:rPr>
                <w:rFonts w:hint="eastAsia" w:ascii="方正楷体_GB2312" w:hAnsi="方正楷体_GB2312" w:eastAsia="方正楷体_GB2312" w:cs="方正楷体_GB2312"/>
                <w:color w:val="auto"/>
                <w:kern w:val="0"/>
                <w:sz w:val="24"/>
                <w:highlight w:val="none"/>
              </w:rPr>
              <w:t>中规定的其他实质性要求</w:t>
            </w:r>
          </w:p>
        </w:tc>
      </w:tr>
      <w:tr w14:paraId="075D173D">
        <w:tblPrEx>
          <w:tblCellMar>
            <w:top w:w="0" w:type="dxa"/>
            <w:left w:w="0" w:type="dxa"/>
            <w:bottom w:w="0" w:type="dxa"/>
            <w:right w:w="0" w:type="dxa"/>
          </w:tblCellMar>
        </w:tblPrEx>
        <w:trPr>
          <w:trHeight w:val="491" w:hRule="atLeast"/>
        </w:trPr>
        <w:tc>
          <w:tcPr>
            <w:tcW w:w="798" w:type="dxa"/>
            <w:vMerge w:val="continue"/>
            <w:tcBorders>
              <w:left w:val="single" w:color="auto" w:sz="4" w:space="0"/>
              <w:bottom w:val="single" w:color="auto" w:sz="4" w:space="0"/>
              <w:right w:val="single" w:color="auto" w:sz="4" w:space="0"/>
            </w:tcBorders>
            <w:noWrap w:val="0"/>
            <w:tcMar>
              <w:top w:w="15" w:type="dxa"/>
              <w:left w:w="15" w:type="dxa"/>
              <w:right w:w="15" w:type="dxa"/>
            </w:tcMar>
            <w:textDirection w:val="tbRlV"/>
            <w:vAlign w:val="center"/>
          </w:tcPr>
          <w:p w14:paraId="40CDC528">
            <w:pPr>
              <w:jc w:val="center"/>
              <w:rPr>
                <w:rFonts w:hint="eastAsia" w:ascii="方正楷体_GB2312" w:hAnsi="方正楷体_GB2312" w:eastAsia="方正楷体_GB2312" w:cs="方正楷体_GB2312"/>
                <w:i w:val="0"/>
                <w:color w:val="auto"/>
                <w:sz w:val="22"/>
                <w:szCs w:val="22"/>
                <w:highlight w:val="none"/>
                <w:u w:val="none"/>
              </w:rPr>
            </w:pPr>
          </w:p>
        </w:tc>
        <w:tc>
          <w:tcPr>
            <w:tcW w:w="8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5E8EDD">
            <w:pPr>
              <w:keepNext w:val="0"/>
              <w:keepLines w:val="0"/>
              <w:widowControl/>
              <w:suppressLineNumbers w:val="0"/>
              <w:jc w:val="center"/>
              <w:textAlignment w:val="center"/>
              <w:rPr>
                <w:rFonts w:hint="eastAsia" w:ascii="方正楷体_GB2312" w:hAnsi="方正楷体_GB2312" w:eastAsia="方正楷体_GB2312" w:cs="方正楷体_GB2312"/>
                <w:i w:val="0"/>
                <w:color w:val="auto"/>
                <w:kern w:val="0"/>
                <w:sz w:val="22"/>
                <w:szCs w:val="22"/>
                <w:highlight w:val="none"/>
                <w:u w:val="none"/>
                <w:lang w:val="en-US" w:eastAsia="zh-CN" w:bidi="ar"/>
              </w:rPr>
            </w:pPr>
            <w:r>
              <w:rPr>
                <w:rFonts w:hint="eastAsia" w:ascii="方正楷体_GB2312" w:hAnsi="方正楷体_GB2312" w:eastAsia="方正楷体_GB2312" w:cs="方正楷体_GB2312"/>
                <w:i w:val="0"/>
                <w:color w:val="auto"/>
                <w:kern w:val="0"/>
                <w:sz w:val="22"/>
                <w:szCs w:val="22"/>
                <w:highlight w:val="none"/>
                <w:u w:val="none"/>
                <w:lang w:val="en-US" w:eastAsia="zh-CN" w:bidi="ar"/>
              </w:rPr>
              <w:t>5</w:t>
            </w:r>
          </w:p>
        </w:tc>
        <w:tc>
          <w:tcPr>
            <w:tcW w:w="8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0B2966">
            <w:pPr>
              <w:keepNext w:val="0"/>
              <w:keepLines w:val="0"/>
              <w:widowControl/>
              <w:suppressLineNumbers w:val="0"/>
              <w:jc w:val="left"/>
              <w:textAlignment w:val="cente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报价是否固定唯一，且报价没有低过最低限价</w:t>
            </w:r>
          </w:p>
        </w:tc>
      </w:tr>
    </w:tbl>
    <w:p w14:paraId="3CD7A79F">
      <w:pPr>
        <w:rPr>
          <w:rFonts w:hint="eastAsia" w:ascii="方正楷体_GB2312" w:hAnsi="方正楷体_GB2312" w:eastAsia="方正楷体_GB2312" w:cs="方正楷体_GB2312"/>
          <w:color w:val="auto"/>
          <w:highlight w:val="none"/>
          <w:lang w:val="en-US" w:eastAsia="zh-CN"/>
        </w:rPr>
      </w:pPr>
    </w:p>
    <w:p w14:paraId="4845B5A6">
      <w:pPr>
        <w:rPr>
          <w:rFonts w:hint="eastAsia" w:ascii="方正楷体_GB2312" w:hAnsi="方正楷体_GB2312" w:eastAsia="方正楷体_GB2312" w:cs="方正楷体_GB2312"/>
          <w:color w:val="auto"/>
          <w:highlight w:val="none"/>
          <w:lang w:val="en-US" w:eastAsia="zh-CN"/>
        </w:rPr>
      </w:pPr>
      <w:bookmarkStart w:id="39" w:name="_Toc8168"/>
      <w:r>
        <w:rPr>
          <w:rFonts w:hint="eastAsia" w:ascii="方正楷体_GB2312" w:hAnsi="方正楷体_GB2312" w:eastAsia="方正楷体_GB2312" w:cs="方正楷体_GB2312"/>
          <w:color w:val="auto"/>
          <w:highlight w:val="none"/>
          <w:lang w:val="en-US" w:eastAsia="zh-CN"/>
        </w:rPr>
        <w:br w:type="page"/>
      </w:r>
    </w:p>
    <w:p w14:paraId="09E1A6F6">
      <w:pPr>
        <w:pStyle w:val="4"/>
        <w:jc w:val="center"/>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highlight w:val="none"/>
          <w:lang w:val="en-US" w:eastAsia="zh-CN"/>
        </w:rPr>
        <w:t>G</w:t>
      </w:r>
      <w:r>
        <w:rPr>
          <w:rFonts w:hint="eastAsia" w:ascii="方正楷体_GB2312" w:hAnsi="方正楷体_GB2312" w:eastAsia="方正楷体_GB2312" w:cs="方正楷体_GB2312"/>
          <w:color w:val="auto"/>
          <w:highlight w:val="none"/>
        </w:rPr>
        <w:t xml:space="preserve"> 授予合同</w:t>
      </w:r>
      <w:bookmarkEnd w:id="38"/>
      <w:bookmarkEnd w:id="39"/>
    </w:p>
    <w:p w14:paraId="797E7E28">
      <w:pPr>
        <w:rPr>
          <w:rFonts w:hint="eastAsia" w:ascii="方正楷体_GB2312" w:hAnsi="方正楷体_GB2312" w:eastAsia="方正楷体_GB2312" w:cs="方正楷体_GB2312"/>
          <w:b/>
          <w:bCs/>
          <w:color w:val="auto"/>
          <w:sz w:val="24"/>
          <w:szCs w:val="24"/>
          <w:highlight w:val="none"/>
        </w:rPr>
      </w:pPr>
      <w:bookmarkStart w:id="40" w:name="_Toc182131618"/>
      <w:r>
        <w:rPr>
          <w:rFonts w:hint="eastAsia" w:ascii="方正楷体_GB2312" w:hAnsi="方正楷体_GB2312" w:eastAsia="方正楷体_GB2312" w:cs="方正楷体_GB2312"/>
          <w:b/>
          <w:bCs/>
          <w:color w:val="auto"/>
          <w:sz w:val="24"/>
          <w:szCs w:val="24"/>
          <w:highlight w:val="none"/>
        </w:rPr>
        <w:t>28</w:t>
      </w:r>
      <w:r>
        <w:rPr>
          <w:rFonts w:hint="eastAsia" w:ascii="方正楷体_GB2312" w:hAnsi="方正楷体_GB2312" w:eastAsia="方正楷体_GB2312" w:cs="方正楷体_GB2312"/>
          <w:b/>
          <w:bCs/>
          <w:color w:val="auto"/>
          <w:sz w:val="24"/>
          <w:szCs w:val="24"/>
          <w:highlight w:val="none"/>
          <w:lang w:val="en-US" w:eastAsia="zh-CN"/>
        </w:rPr>
        <w:t>.</w:t>
      </w:r>
      <w:r>
        <w:rPr>
          <w:rFonts w:hint="eastAsia" w:ascii="方正楷体_GB2312" w:hAnsi="方正楷体_GB2312" w:eastAsia="方正楷体_GB2312" w:cs="方正楷体_GB2312"/>
          <w:b/>
          <w:bCs/>
          <w:color w:val="auto"/>
          <w:sz w:val="24"/>
          <w:szCs w:val="24"/>
          <w:highlight w:val="none"/>
        </w:rPr>
        <w:t>合同授予标准</w:t>
      </w:r>
      <w:bookmarkEnd w:id="40"/>
    </w:p>
    <w:p w14:paraId="6EDAA5A7">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28.1 最低投标价不一定是被授予合同的保证。</w:t>
      </w:r>
    </w:p>
    <w:p w14:paraId="5950B3E0">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28.2 如果确定该供应商无法圆满履行合同，采购代理将对下一个可能成交的供应商资格作出类似的审查。</w:t>
      </w:r>
    </w:p>
    <w:p w14:paraId="3591CA51">
      <w:pPr>
        <w:rPr>
          <w:rFonts w:hint="eastAsia" w:ascii="方正楷体_GB2312" w:hAnsi="方正楷体_GB2312" w:eastAsia="方正楷体_GB2312" w:cs="方正楷体_GB2312"/>
          <w:b/>
          <w:bCs/>
          <w:color w:val="auto"/>
          <w:sz w:val="24"/>
          <w:szCs w:val="24"/>
          <w:highlight w:val="none"/>
        </w:rPr>
      </w:pPr>
      <w:bookmarkStart w:id="41" w:name="_Toc182131619"/>
      <w:r>
        <w:rPr>
          <w:rFonts w:hint="eastAsia" w:ascii="方正楷体_GB2312" w:hAnsi="方正楷体_GB2312" w:eastAsia="方正楷体_GB2312" w:cs="方正楷体_GB2312"/>
          <w:b/>
          <w:bCs/>
          <w:color w:val="auto"/>
          <w:sz w:val="24"/>
          <w:szCs w:val="24"/>
          <w:highlight w:val="none"/>
        </w:rPr>
        <w:t>29</w:t>
      </w:r>
      <w:r>
        <w:rPr>
          <w:rFonts w:hint="eastAsia" w:ascii="方正楷体_GB2312" w:hAnsi="方正楷体_GB2312" w:eastAsia="方正楷体_GB2312" w:cs="方正楷体_GB2312"/>
          <w:b/>
          <w:bCs/>
          <w:color w:val="auto"/>
          <w:sz w:val="24"/>
          <w:szCs w:val="24"/>
          <w:highlight w:val="none"/>
          <w:lang w:val="en-US" w:eastAsia="zh-CN"/>
        </w:rPr>
        <w:t>.</w:t>
      </w:r>
      <w:r>
        <w:rPr>
          <w:rFonts w:hint="eastAsia" w:ascii="方正楷体_GB2312" w:hAnsi="方正楷体_GB2312" w:eastAsia="方正楷体_GB2312" w:cs="方正楷体_GB2312"/>
          <w:b/>
          <w:bCs/>
          <w:color w:val="auto"/>
          <w:sz w:val="24"/>
          <w:szCs w:val="24"/>
          <w:highlight w:val="none"/>
        </w:rPr>
        <w:t>接受和拒绝任何或所有投标的权力</w:t>
      </w:r>
      <w:bookmarkEnd w:id="41"/>
    </w:p>
    <w:p w14:paraId="6E9F620A">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29.1为维护国家利益，采购方在授予合同之前仍有选择或拒绝任何全部投标的权力，并对所采取的行为不作任何解释。</w:t>
      </w:r>
    </w:p>
    <w:p w14:paraId="5E89703D">
      <w:pPr>
        <w:rPr>
          <w:rFonts w:hint="eastAsia" w:ascii="方正楷体_GB2312" w:hAnsi="方正楷体_GB2312" w:eastAsia="方正楷体_GB2312" w:cs="方正楷体_GB2312"/>
          <w:b/>
          <w:bCs/>
          <w:color w:val="auto"/>
          <w:sz w:val="24"/>
          <w:szCs w:val="24"/>
          <w:highlight w:val="none"/>
        </w:rPr>
      </w:pPr>
      <w:bookmarkStart w:id="42" w:name="_Toc182131620"/>
      <w:r>
        <w:rPr>
          <w:rFonts w:hint="eastAsia" w:ascii="方正楷体_GB2312" w:hAnsi="方正楷体_GB2312" w:eastAsia="方正楷体_GB2312" w:cs="方正楷体_GB2312"/>
          <w:b/>
          <w:bCs/>
          <w:color w:val="auto"/>
          <w:sz w:val="24"/>
          <w:szCs w:val="24"/>
          <w:highlight w:val="none"/>
        </w:rPr>
        <w:t>30</w:t>
      </w:r>
      <w:r>
        <w:rPr>
          <w:rFonts w:hint="eastAsia" w:ascii="方正楷体_GB2312" w:hAnsi="方正楷体_GB2312" w:eastAsia="方正楷体_GB2312" w:cs="方正楷体_GB2312"/>
          <w:b/>
          <w:bCs/>
          <w:color w:val="auto"/>
          <w:sz w:val="24"/>
          <w:szCs w:val="24"/>
          <w:highlight w:val="none"/>
          <w:lang w:val="en-US" w:eastAsia="zh-CN"/>
        </w:rPr>
        <w:t>.</w:t>
      </w:r>
      <w:r>
        <w:rPr>
          <w:rFonts w:hint="eastAsia" w:ascii="方正楷体_GB2312" w:hAnsi="方正楷体_GB2312" w:eastAsia="方正楷体_GB2312" w:cs="方正楷体_GB2312"/>
          <w:b/>
          <w:bCs/>
          <w:color w:val="auto"/>
          <w:sz w:val="24"/>
          <w:szCs w:val="24"/>
          <w:highlight w:val="none"/>
        </w:rPr>
        <w:t>成交通知书</w:t>
      </w:r>
      <w:bookmarkEnd w:id="42"/>
    </w:p>
    <w:p w14:paraId="50D67790">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30.1 评标结束后采购代理将以书面形式发出《成交通知书》，但发出时间不超过谈判有效期，《成交通知书》一经发出即发生法律效力。</w:t>
      </w:r>
    </w:p>
    <w:p w14:paraId="2E29EF7F">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30.2 《成交通知书》将作为签订合同的依据。</w:t>
      </w:r>
    </w:p>
    <w:p w14:paraId="47E1C290">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30.3采购代理将在成交方按规定签订合同并提交履约保证金（如适用）后退还其谈判保证金。</w:t>
      </w:r>
    </w:p>
    <w:p w14:paraId="3EFAE94A">
      <w:pPr>
        <w:rPr>
          <w:rFonts w:hint="eastAsia" w:ascii="方正楷体_GB2312" w:hAnsi="方正楷体_GB2312" w:eastAsia="方正楷体_GB2312" w:cs="方正楷体_GB2312"/>
          <w:b/>
          <w:bCs/>
          <w:color w:val="auto"/>
          <w:sz w:val="24"/>
          <w:szCs w:val="24"/>
          <w:highlight w:val="none"/>
        </w:rPr>
      </w:pPr>
      <w:bookmarkStart w:id="43" w:name="_Toc182131621"/>
      <w:r>
        <w:rPr>
          <w:rFonts w:hint="eastAsia" w:ascii="方正楷体_GB2312" w:hAnsi="方正楷体_GB2312" w:eastAsia="方正楷体_GB2312" w:cs="方正楷体_GB2312"/>
          <w:b/>
          <w:bCs/>
          <w:color w:val="auto"/>
          <w:sz w:val="24"/>
          <w:szCs w:val="24"/>
          <w:highlight w:val="none"/>
        </w:rPr>
        <w:t>31</w:t>
      </w:r>
      <w:r>
        <w:rPr>
          <w:rFonts w:hint="eastAsia" w:ascii="方正楷体_GB2312" w:hAnsi="方正楷体_GB2312" w:eastAsia="方正楷体_GB2312" w:cs="方正楷体_GB2312"/>
          <w:b/>
          <w:bCs/>
          <w:color w:val="auto"/>
          <w:sz w:val="24"/>
          <w:szCs w:val="24"/>
          <w:highlight w:val="none"/>
          <w:lang w:val="en-US" w:eastAsia="zh-CN"/>
        </w:rPr>
        <w:t>.</w:t>
      </w:r>
      <w:r>
        <w:rPr>
          <w:rFonts w:hint="eastAsia" w:ascii="方正楷体_GB2312" w:hAnsi="方正楷体_GB2312" w:eastAsia="方正楷体_GB2312" w:cs="方正楷体_GB2312"/>
          <w:b/>
          <w:bCs/>
          <w:color w:val="auto"/>
          <w:sz w:val="24"/>
          <w:szCs w:val="24"/>
          <w:highlight w:val="none"/>
        </w:rPr>
        <w:t>签订合同</w:t>
      </w:r>
      <w:bookmarkEnd w:id="43"/>
    </w:p>
    <w:p w14:paraId="18B99830">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31.1 供应商收到《成交通知书》后，30日内与</w:t>
      </w:r>
      <w:r>
        <w:rPr>
          <w:rFonts w:hint="eastAsia" w:ascii="方正楷体_GB2312" w:hAnsi="方正楷体_GB2312" w:eastAsia="方正楷体_GB2312" w:cs="方正楷体_GB2312"/>
          <w:color w:val="auto"/>
          <w:sz w:val="24"/>
          <w:szCs w:val="24"/>
          <w:highlight w:val="none"/>
          <w:lang w:eastAsia="zh-CN"/>
        </w:rPr>
        <w:t>采购人</w:t>
      </w:r>
      <w:r>
        <w:rPr>
          <w:rFonts w:hint="eastAsia" w:ascii="方正楷体_GB2312" w:hAnsi="方正楷体_GB2312" w:eastAsia="方正楷体_GB2312" w:cs="方正楷体_GB2312"/>
          <w:color w:val="auto"/>
          <w:sz w:val="24"/>
          <w:szCs w:val="24"/>
          <w:highlight w:val="none"/>
        </w:rPr>
        <w:t>签订合同。</w:t>
      </w:r>
      <w:r>
        <w:rPr>
          <w:rFonts w:hint="eastAsia" w:ascii="方正楷体_GB2312" w:hAnsi="方正楷体_GB2312" w:eastAsia="方正楷体_GB2312" w:cs="方正楷体_GB2312"/>
          <w:color w:val="auto"/>
          <w:sz w:val="24"/>
          <w:szCs w:val="24"/>
          <w:highlight w:val="none"/>
          <w:lang w:eastAsia="zh-CN"/>
        </w:rPr>
        <w:t>采购人</w:t>
      </w:r>
      <w:r>
        <w:rPr>
          <w:rFonts w:hint="eastAsia" w:ascii="方正楷体_GB2312" w:hAnsi="方正楷体_GB2312" w:eastAsia="方正楷体_GB2312" w:cs="方正楷体_GB2312"/>
          <w:color w:val="auto"/>
          <w:sz w:val="24"/>
          <w:szCs w:val="24"/>
          <w:highlight w:val="none"/>
        </w:rPr>
        <w:t>和成交人不得再订立背离合同实质性内容的其他协议。</w:t>
      </w:r>
    </w:p>
    <w:p w14:paraId="305D1730">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31.2 如成交方拒签合同，则按违约处理。采购代理没收其谈判保证金。</w:t>
      </w:r>
    </w:p>
    <w:p w14:paraId="36F3B421">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31.3谈判文件、成交方的谈判</w:t>
      </w:r>
      <w:r>
        <w:rPr>
          <w:rFonts w:hint="eastAsia" w:ascii="方正楷体_GB2312" w:hAnsi="方正楷体_GB2312" w:eastAsia="方正楷体_GB2312" w:cs="方正楷体_GB2312"/>
          <w:color w:val="auto"/>
          <w:sz w:val="24"/>
          <w:szCs w:val="24"/>
          <w:highlight w:val="none"/>
          <w:lang w:eastAsia="zh-CN"/>
        </w:rPr>
        <w:t>响应</w:t>
      </w:r>
      <w:r>
        <w:rPr>
          <w:rFonts w:hint="eastAsia" w:ascii="方正楷体_GB2312" w:hAnsi="方正楷体_GB2312" w:eastAsia="方正楷体_GB2312" w:cs="方正楷体_GB2312"/>
          <w:color w:val="auto"/>
          <w:sz w:val="24"/>
          <w:szCs w:val="24"/>
          <w:highlight w:val="none"/>
        </w:rPr>
        <w:t>文件及其澄清文件等，均为签订经济合同的依据。</w:t>
      </w:r>
    </w:p>
    <w:p w14:paraId="03A2750A">
      <w:pPr>
        <w:rPr>
          <w:rFonts w:hint="eastAsia" w:ascii="方正楷体_GB2312" w:hAnsi="方正楷体_GB2312" w:eastAsia="方正楷体_GB2312" w:cs="方正楷体_GB2312"/>
          <w:b/>
          <w:bCs/>
          <w:color w:val="auto"/>
          <w:sz w:val="24"/>
          <w:szCs w:val="24"/>
          <w:highlight w:val="none"/>
        </w:rPr>
      </w:pPr>
      <w:r>
        <w:rPr>
          <w:rFonts w:hint="eastAsia" w:ascii="方正楷体_GB2312" w:hAnsi="方正楷体_GB2312" w:eastAsia="方正楷体_GB2312" w:cs="方正楷体_GB2312"/>
          <w:b/>
          <w:bCs/>
          <w:color w:val="auto"/>
          <w:sz w:val="24"/>
          <w:szCs w:val="24"/>
          <w:highlight w:val="none"/>
        </w:rPr>
        <w:t>32</w:t>
      </w:r>
      <w:r>
        <w:rPr>
          <w:rFonts w:hint="eastAsia" w:ascii="方正楷体_GB2312" w:hAnsi="方正楷体_GB2312" w:eastAsia="方正楷体_GB2312" w:cs="方正楷体_GB2312"/>
          <w:b/>
          <w:bCs/>
          <w:color w:val="auto"/>
          <w:sz w:val="24"/>
          <w:szCs w:val="24"/>
          <w:highlight w:val="none"/>
          <w:lang w:val="en-US" w:eastAsia="zh-CN"/>
        </w:rPr>
        <w:t>.</w:t>
      </w:r>
      <w:r>
        <w:rPr>
          <w:rFonts w:hint="eastAsia" w:ascii="方正楷体_GB2312" w:hAnsi="方正楷体_GB2312" w:eastAsia="方正楷体_GB2312" w:cs="方正楷体_GB2312"/>
          <w:b/>
          <w:bCs/>
          <w:color w:val="auto"/>
          <w:sz w:val="24"/>
          <w:szCs w:val="24"/>
          <w:highlight w:val="none"/>
        </w:rPr>
        <w:t xml:space="preserve"> 履约保证金（如适用）</w:t>
      </w:r>
    </w:p>
    <w:p w14:paraId="4C99ED54">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32.1成交方应按合同规定的方式、时间和金额向买方提交履约保证金。</w:t>
      </w:r>
    </w:p>
    <w:p w14:paraId="06DC6A67">
      <w:pPr>
        <w:pStyle w:val="50"/>
        <w:rPr>
          <w:rFonts w:hint="eastAsia" w:ascii="方正楷体_GB2312" w:hAnsi="方正楷体_GB2312" w:eastAsia="方正楷体_GB2312" w:cs="方正楷体_GB2312"/>
          <w:color w:val="auto"/>
          <w:sz w:val="24"/>
          <w:szCs w:val="24"/>
          <w:highlight w:val="none"/>
        </w:rPr>
      </w:pPr>
    </w:p>
    <w:p w14:paraId="5F21AEE8">
      <w:pPr>
        <w:rPr>
          <w:rFonts w:hint="eastAsia" w:ascii="方正楷体_GB2312" w:hAnsi="方正楷体_GB2312" w:eastAsia="方正楷体_GB2312" w:cs="方正楷体_GB2312"/>
          <w:color w:val="auto"/>
          <w:highlight w:val="none"/>
          <w:lang w:val="en-US" w:eastAsia="zh-CN"/>
        </w:rPr>
      </w:pPr>
    </w:p>
    <w:p w14:paraId="6AD5191F">
      <w:pPr>
        <w:rPr>
          <w:rFonts w:hint="eastAsia" w:ascii="方正楷体_GB2312" w:hAnsi="方正楷体_GB2312" w:eastAsia="方正楷体_GB2312" w:cs="方正楷体_GB2312"/>
          <w:color w:val="auto"/>
          <w:highlight w:val="none"/>
          <w:lang w:val="en-US" w:eastAsia="zh-CN"/>
        </w:rPr>
      </w:pPr>
    </w:p>
    <w:p w14:paraId="48AF4908">
      <w:pPr>
        <w:bidi w:val="0"/>
        <w:jc w:val="center"/>
        <w:rPr>
          <w:rFonts w:hint="eastAsia" w:ascii="方正楷体_GB2312" w:hAnsi="方正楷体_GB2312" w:eastAsia="方正楷体_GB2312" w:cs="方正楷体_GB2312"/>
          <w:b/>
          <w:bCs/>
          <w:color w:val="auto"/>
          <w:kern w:val="2"/>
          <w:sz w:val="32"/>
          <w:szCs w:val="32"/>
          <w:highlight w:val="none"/>
          <w:lang w:val="en-US" w:eastAsia="zh-CN" w:bidi="ar-SA"/>
        </w:rPr>
      </w:pPr>
      <w:r>
        <w:rPr>
          <w:rFonts w:hint="eastAsia" w:ascii="方正楷体_GB2312" w:hAnsi="方正楷体_GB2312" w:eastAsia="方正楷体_GB2312" w:cs="方正楷体_GB2312"/>
          <w:b/>
          <w:bCs/>
          <w:color w:val="auto"/>
          <w:kern w:val="2"/>
          <w:sz w:val="32"/>
          <w:szCs w:val="32"/>
          <w:highlight w:val="none"/>
          <w:lang w:val="en-US" w:eastAsia="zh-CN" w:bidi="ar-SA"/>
        </w:rPr>
        <w:t>H  谈判失败条件</w:t>
      </w:r>
    </w:p>
    <w:p w14:paraId="66642163">
      <w:pPr>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bCs/>
          <w:color w:val="auto"/>
          <w:sz w:val="24"/>
          <w:szCs w:val="24"/>
          <w:highlight w:val="none"/>
        </w:rPr>
        <w:t>33.出现影响采购公正的违法、违规行为的；</w:t>
      </w:r>
    </w:p>
    <w:p w14:paraId="578079FA">
      <w:pPr>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bCs/>
          <w:color w:val="auto"/>
          <w:sz w:val="24"/>
          <w:szCs w:val="24"/>
          <w:highlight w:val="none"/>
        </w:rPr>
        <w:t>34.因重大变故，采购任务取消的；</w:t>
      </w:r>
    </w:p>
    <w:p w14:paraId="0C0A5578">
      <w:pPr>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bCs/>
          <w:color w:val="auto"/>
          <w:sz w:val="24"/>
          <w:szCs w:val="24"/>
          <w:highlight w:val="none"/>
        </w:rPr>
        <w:t>35.谈判响应文件截止时间后，实际参与的供应商不足法定家数的；</w:t>
      </w:r>
    </w:p>
    <w:p w14:paraId="1B8187E6">
      <w:pPr>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bCs/>
          <w:color w:val="auto"/>
          <w:sz w:val="24"/>
          <w:szCs w:val="24"/>
          <w:highlight w:val="none"/>
        </w:rPr>
        <w:t>36.最终报价均超过采购预算的；</w:t>
      </w:r>
    </w:p>
    <w:p w14:paraId="2332373D">
      <w:pPr>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bCs/>
          <w:color w:val="auto"/>
          <w:sz w:val="24"/>
          <w:szCs w:val="24"/>
          <w:highlight w:val="none"/>
        </w:rPr>
        <w:t>37.对谈判文件作出实质性响应的供应商不足法定家数的。</w:t>
      </w:r>
    </w:p>
    <w:p w14:paraId="58018848">
      <w:pPr>
        <w:rPr>
          <w:rFonts w:hint="eastAsia" w:ascii="方正楷体_GB2312" w:hAnsi="方正楷体_GB2312" w:eastAsia="方正楷体_GB2312" w:cs="方正楷体_GB2312"/>
          <w:color w:val="auto"/>
          <w:highlight w:val="none"/>
        </w:rPr>
        <w:sectPr>
          <w:footerReference r:id="rId5" w:type="default"/>
          <w:pgSz w:w="11907" w:h="16840"/>
          <w:pgMar w:top="1440" w:right="1080" w:bottom="1440" w:left="1080" w:header="851" w:footer="794" w:gutter="0"/>
          <w:pgNumType w:fmt="decimal" w:start="1"/>
          <w:cols w:space="720" w:num="1"/>
          <w:docGrid w:type="lines" w:linePitch="409" w:charSpace="0"/>
        </w:sectPr>
      </w:pPr>
      <w:r>
        <w:rPr>
          <w:rFonts w:hint="eastAsia" w:ascii="方正楷体_GB2312" w:hAnsi="方正楷体_GB2312" w:eastAsia="方正楷体_GB2312" w:cs="方正楷体_GB2312"/>
          <w:color w:val="auto"/>
          <w:sz w:val="24"/>
          <w:szCs w:val="24"/>
          <w:highlight w:val="none"/>
        </w:rPr>
        <w:br w:type="page"/>
      </w:r>
    </w:p>
    <w:p w14:paraId="0FF023EA">
      <w:pPr>
        <w:pStyle w:val="3"/>
        <w:numPr>
          <w:ilvl w:val="0"/>
          <w:numId w:val="0"/>
        </w:numPr>
        <w:tabs>
          <w:tab w:val="left" w:pos="2889"/>
        </w:tabs>
        <w:ind w:firstLine="3534" w:firstLineChars="1100"/>
        <w:jc w:val="both"/>
        <w:rPr>
          <w:rFonts w:hint="eastAsia" w:ascii="方正楷体_GB2312" w:hAnsi="方正楷体_GB2312" w:eastAsia="方正楷体_GB2312" w:cs="方正楷体_GB2312"/>
          <w:color w:val="auto"/>
          <w:highlight w:val="none"/>
        </w:rPr>
      </w:pPr>
      <w:bookmarkStart w:id="44" w:name="_Toc349637926"/>
      <w:bookmarkStart w:id="45" w:name="_Toc298240411"/>
      <w:bookmarkStart w:id="46" w:name="_Toc349573127"/>
      <w:bookmarkStart w:id="47" w:name="_Toc356488108"/>
      <w:r>
        <w:rPr>
          <w:rFonts w:hint="eastAsia" w:ascii="方正楷体_GB2312" w:hAnsi="方正楷体_GB2312" w:eastAsia="方正楷体_GB2312" w:cs="方正楷体_GB2312"/>
          <w:color w:val="auto"/>
          <w:highlight w:val="none"/>
          <w:lang w:eastAsia="zh-CN"/>
        </w:rPr>
        <w:t>第三部分</w:t>
      </w:r>
      <w:r>
        <w:rPr>
          <w:rFonts w:hint="eastAsia" w:ascii="方正楷体_GB2312" w:hAnsi="方正楷体_GB2312" w:eastAsia="方正楷体_GB2312" w:cs="方正楷体_GB2312"/>
          <w:color w:val="auto"/>
          <w:highlight w:val="none"/>
          <w:lang w:val="en-US" w:eastAsia="zh-CN"/>
        </w:rPr>
        <w:t xml:space="preserve"> </w:t>
      </w:r>
      <w:r>
        <w:rPr>
          <w:rFonts w:hint="eastAsia" w:ascii="方正楷体_GB2312" w:hAnsi="方正楷体_GB2312" w:eastAsia="方正楷体_GB2312" w:cs="方正楷体_GB2312"/>
          <w:color w:val="auto"/>
          <w:highlight w:val="none"/>
        </w:rPr>
        <w:t xml:space="preserve"> </w:t>
      </w:r>
      <w:bookmarkEnd w:id="44"/>
      <w:bookmarkEnd w:id="45"/>
      <w:bookmarkEnd w:id="46"/>
      <w:bookmarkEnd w:id="47"/>
      <w:r>
        <w:rPr>
          <w:rFonts w:hint="eastAsia" w:ascii="方正楷体_GB2312" w:hAnsi="方正楷体_GB2312" w:eastAsia="方正楷体_GB2312" w:cs="方正楷体_GB2312"/>
          <w:color w:val="auto"/>
          <w:highlight w:val="none"/>
          <w:lang w:eastAsia="zh-CN"/>
        </w:rPr>
        <w:t>采购需求</w:t>
      </w:r>
    </w:p>
    <w:p w14:paraId="2FE8A00E">
      <w:pPr>
        <w:shd w:val="clear" w:fill="FFFFFF" w:themeFill="background1"/>
        <w:spacing w:line="360" w:lineRule="auto"/>
        <w:jc w:val="left"/>
        <w:outlineLvl w:val="2"/>
        <w:rPr>
          <w:rFonts w:hint="eastAsia" w:ascii="方正楷体_GB2312" w:hAnsi="方正楷体_GB2312" w:eastAsia="方正楷体_GB2312" w:cs="方正楷体_GB2312"/>
          <w:b/>
          <w:color w:val="auto"/>
          <w:sz w:val="24"/>
          <w:szCs w:val="24"/>
          <w:highlight w:val="none"/>
          <w:lang w:val="en-US" w:eastAsia="zh-CN"/>
        </w:rPr>
      </w:pPr>
      <w:r>
        <w:rPr>
          <w:rFonts w:hint="eastAsia" w:ascii="方正楷体_GB2312" w:hAnsi="方正楷体_GB2312" w:eastAsia="方正楷体_GB2312" w:cs="方正楷体_GB2312"/>
          <w:b/>
          <w:color w:val="auto"/>
          <w:sz w:val="24"/>
          <w:szCs w:val="24"/>
          <w:highlight w:val="none"/>
          <w:lang w:val="en-US" w:eastAsia="zh-CN"/>
        </w:rPr>
        <w:t>一</w:t>
      </w:r>
      <w:r>
        <w:rPr>
          <w:rFonts w:hint="eastAsia" w:ascii="方正楷体_GB2312" w:hAnsi="方正楷体_GB2312" w:eastAsia="方正楷体_GB2312" w:cs="方正楷体_GB2312"/>
          <w:b/>
          <w:color w:val="auto"/>
          <w:sz w:val="24"/>
          <w:szCs w:val="24"/>
          <w:highlight w:val="none"/>
        </w:rPr>
        <w:t>、</w:t>
      </w:r>
      <w:r>
        <w:rPr>
          <w:rFonts w:hint="eastAsia" w:ascii="方正楷体_GB2312" w:hAnsi="方正楷体_GB2312" w:eastAsia="方正楷体_GB2312" w:cs="方正楷体_GB2312"/>
          <w:b/>
          <w:color w:val="auto"/>
          <w:sz w:val="24"/>
          <w:szCs w:val="24"/>
          <w:highlight w:val="none"/>
          <w:lang w:eastAsia="zh-CN"/>
        </w:rPr>
        <w:t>采购内容</w:t>
      </w:r>
      <w:r>
        <w:rPr>
          <w:rFonts w:hint="eastAsia" w:ascii="方正楷体_GB2312" w:hAnsi="方正楷体_GB2312" w:eastAsia="方正楷体_GB2312" w:cs="方正楷体_GB2312"/>
          <w:b/>
          <w:color w:val="auto"/>
          <w:sz w:val="24"/>
          <w:szCs w:val="24"/>
          <w:highlight w:val="none"/>
          <w:lang w:val="en-US" w:eastAsia="zh-CN"/>
        </w:rPr>
        <w:t>及技术要求</w:t>
      </w:r>
    </w:p>
    <w:p w14:paraId="1229281C">
      <w:pPr>
        <w:shd w:val="clear" w:fill="FFFFFF" w:themeFill="background1"/>
        <w:adjustRightInd w:val="0"/>
        <w:spacing w:line="360" w:lineRule="auto"/>
        <w:ind w:firstLine="482" w:firstLineChars="200"/>
        <w:textAlignment w:val="baseline"/>
        <w:rPr>
          <w:rFonts w:hint="eastAsia" w:ascii="方正楷体_GB2312" w:hAnsi="方正楷体_GB2312" w:eastAsia="方正楷体_GB2312" w:cs="方正楷体_GB2312"/>
          <w:b/>
          <w:bCs/>
          <w:color w:val="auto"/>
          <w:sz w:val="24"/>
          <w:szCs w:val="24"/>
          <w:highlight w:val="none"/>
          <w:lang w:val="en-US" w:eastAsia="zh-CN"/>
        </w:rPr>
      </w:pPr>
      <w:r>
        <w:rPr>
          <w:rFonts w:hint="eastAsia" w:ascii="方正楷体_GB2312" w:hAnsi="方正楷体_GB2312" w:eastAsia="方正楷体_GB2312" w:cs="方正楷体_GB2312"/>
          <w:b/>
          <w:bCs/>
          <w:color w:val="auto"/>
          <w:sz w:val="24"/>
          <w:szCs w:val="24"/>
          <w:highlight w:val="none"/>
          <w:lang w:val="en-US" w:eastAsia="zh-CN"/>
        </w:rPr>
        <w:t>供应商保证其提供的货物及服务均符合《中华人民共和国食品卫生法》、《餐饮业食品卫生管理办法》、《餐饮业和集体用餐配送单位卫生规范》及新疆维吾尔自治区有关食品安全管理的规定。供应商对提供货物的质量、卫生、食品安全承担全部责任。供应商保证提供的货物均符合国家规定的质量、卫生、食品安全标准。</w:t>
      </w:r>
    </w:p>
    <w:p w14:paraId="4F393A2A">
      <w:pPr>
        <w:shd w:val="clear" w:fill="FFFFFF" w:themeFill="background1"/>
        <w:adjustRightInd w:val="0"/>
        <w:spacing w:line="360" w:lineRule="auto"/>
        <w:ind w:firstLine="482" w:firstLineChars="200"/>
        <w:textAlignment w:val="baseline"/>
        <w:rPr>
          <w:rFonts w:hint="eastAsia" w:ascii="方正楷体_GB2312" w:hAnsi="方正楷体_GB2312" w:eastAsia="方正楷体_GB2312" w:cs="方正楷体_GB2312"/>
          <w:b/>
          <w:bCs/>
          <w:color w:val="auto"/>
          <w:sz w:val="24"/>
          <w:szCs w:val="24"/>
          <w:highlight w:val="none"/>
          <w:lang w:val="en-US" w:eastAsia="zh-CN"/>
        </w:rPr>
      </w:pPr>
      <w:r>
        <w:rPr>
          <w:rFonts w:hint="eastAsia" w:ascii="方正楷体_GB2312" w:hAnsi="方正楷体_GB2312" w:eastAsia="方正楷体_GB2312" w:cs="方正楷体_GB2312"/>
          <w:b/>
          <w:bCs/>
          <w:color w:val="auto"/>
          <w:sz w:val="24"/>
          <w:szCs w:val="24"/>
          <w:highlight w:val="none"/>
          <w:lang w:val="en-US" w:eastAsia="zh-CN"/>
        </w:rPr>
        <w:t>参考但不限于以下标准：</w:t>
      </w:r>
    </w:p>
    <w:p w14:paraId="75EE2039">
      <w:pPr>
        <w:pStyle w:val="12"/>
        <w:shd w:val="clear" w:fill="FFFFFF" w:themeFill="background1"/>
        <w:rPr>
          <w:rFonts w:hint="eastAsia" w:ascii="方正楷体_GB2312" w:hAnsi="方正楷体_GB2312" w:eastAsia="方正楷体_GB2312" w:cs="方正楷体_GB2312"/>
          <w:b/>
          <w:bCs/>
          <w:color w:val="auto"/>
          <w:kern w:val="2"/>
          <w:sz w:val="24"/>
          <w:szCs w:val="24"/>
          <w:highlight w:val="none"/>
          <w:lang w:val="en-US" w:eastAsia="zh-CN" w:bidi="ar-SA"/>
        </w:rPr>
      </w:pPr>
    </w:p>
    <w:p w14:paraId="0B1E9804">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米面油</w:t>
      </w:r>
    </w:p>
    <w:p w14:paraId="6101C4CD">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米面油产品须为非转基因食品、质量安全无害、不得有掺假、变质、变味、过期等现象，禁止使用二次抛光、打蜡、脱粉米。包装为出厂原包装，密封完好。产品有效日期不得超过保质期的三分之二。</w:t>
      </w:r>
    </w:p>
    <w:p w14:paraId="2FA74672">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1.面粉:产品质量必须符合国家相关食品 SC 标准，不得使用转基因类食品。要求面粉呈黄白色，手感细腻，粗细均匀，未受潮，干燥松散，无异味，无肉眼可见杂质，禁止使用任何添加剂。</w:t>
      </w:r>
    </w:p>
    <w:p w14:paraId="1CD95539">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2.大米:产品质量必须符合国家相关食品 SC 标准，不得使用转基因类食品。包装标识清楚(生产日期、保质期、生产厂家、电话等)，禁止使用二次抛光米。</w:t>
      </w:r>
    </w:p>
    <w:p w14:paraId="125338B4">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3.清油:产品质量必须符合国家相关食品 SC 标准，不得使用转基因类食品。要求食用油在日光和灯光下肉眼观察清亮无雾状、无悬浮物无杂质、无沉淀、透明度好，黏度较小，有明显的油料压榨油香味。</w:t>
      </w:r>
    </w:p>
    <w:p w14:paraId="2607A678">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p>
    <w:p w14:paraId="7E22AC13">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蔬菜水果</w:t>
      </w:r>
    </w:p>
    <w:p w14:paraId="13D1A5CB">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供应的蔬菜与水果必须符合国家《食品安全法》规范，并达到无公害蔬果中重金属及有害物质检测项目及指标和农药残留物检测项目及指标限量标准。属无公害蔬果，需按业主要求提供农药残留检验合格证，对于冬季蔬果需按业主要求提供检验合格证。物质检测项目及指标和农药残留物检测项目及指标限量标准。</w:t>
      </w:r>
    </w:p>
    <w:p w14:paraId="2BBFCD0B">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一、蔬菜</w:t>
      </w:r>
    </w:p>
    <w:p w14:paraId="51BB45D8">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1.叶菜类:包括白菜类和绿叶菜类的各种蔬菜。属同一品种规格，肉质鲜嫩，形态好，色泽正常；茎基部削平，无枯黄叶、病叶、泥土、无明显机械伤和病虫害伤；无烧心焦边、腐烂等现象，无抽薹(菜心除外)；菠菜和芹菜可带根。花椰菜、青花菜等属于同一品种的，形状正常，肉质致密、新鲜，不带叶柄，茎基部削平，无腐烂、病虫害、机械伤；花椰菜花球洁白、无毛花；青花菜无托叶，可带主茎，花球青绿色、无紫花、无枯蕾现象。</w:t>
      </w:r>
    </w:p>
    <w:p w14:paraId="3BC2FFDC">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2.茄果类：包括番茄、茄子、圆椒、辣椒等。属于同一品种规格，色鲜，果实圆整、光洁，成熟度适中，整齐，无烂果、异味、病虫和明显机械损伤。</w:t>
      </w:r>
    </w:p>
    <w:p w14:paraId="448E54CC">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3.根茎类:包括萝卜、胡萝卜、大头菜等。属于同一品种规格，皮细光滑，色泽良好，大小均匀，肉质脆嫩致密。新鲜，无畸形、裂痕、糠心、病虫害斑，不带泥沙，茎叶、须根。</w:t>
      </w:r>
    </w:p>
    <w:p w14:paraId="53227017">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4.瓜类:包括青瓜、冬瓜、丝瓜、苦瓜、毛节瓜、南瓜、佛手瓜等。属于同一品种规格，形状、色泽一致，瓜条均匀，无疤点，无断裂，不带泥土，无畸形瓜、病虫害瓜、烂瓜，无明显机械伤。</w:t>
      </w:r>
    </w:p>
    <w:p w14:paraId="574695EC">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5.薯芋类：包括马铃薯、香芋、姜、豆薯等。属同一品种规格，色泽一致，不带泥沙，不带茎叶、须根，无机械和病虫害斑，无腐烂、干瘪。马铃薯不发软、不长芽、不腐烂、皮不能变绿色。</w:t>
      </w:r>
    </w:p>
    <w:p w14:paraId="0643F284">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6.葱蒜类：包括大葱、分葱、四季葱等。属同一品种规格，允许葱和大蒜的青蒜保留干净须根，去老叶，韭菜去根去老叶，蒜头、洋葱去根去枯叶；可食部分质地细嫩，不带泥沙杂质，无病虫害斑。</w:t>
      </w:r>
    </w:p>
    <w:p w14:paraId="60A42B87">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7.豆类：包括荷兰豆、四季豆、豆角、扁豆等。属同一品种规格形态完整，成熟度适中，无病虫害斑。</w:t>
      </w:r>
    </w:p>
    <w:p w14:paraId="6C398813">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8.食豆仁类：籽粒饱满较均匀，无发芽。不带泥土、杂质。</w:t>
      </w:r>
    </w:p>
    <w:p w14:paraId="0E165E97">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9.水生类：包括莲藕等，属同一品种规格，肉质嫩，成熟度适中，无泥土、杂质、机械伤，不干瘪，不腐烂霉变。多年生类包括竹笋，属同一品种规格，幼嫩，无病虫害斑，无明显机械伤。</w:t>
      </w:r>
    </w:p>
    <w:p w14:paraId="18A41BE8">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10.菌类形:状完整、无腐烂、无发霉、无虫蛀、无失水枯萎。</w:t>
      </w:r>
    </w:p>
    <w:p w14:paraId="197E4E2A">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11.芽苗类：包括绿豆芽、黄豆芽等。芽苗幼嫩，不带豆壳杂质，新鲜。</w:t>
      </w:r>
    </w:p>
    <w:p w14:paraId="51F97942">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二、水果</w:t>
      </w:r>
    </w:p>
    <w:p w14:paraId="2F262E1F">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1.苹果类：具有品种特有的外形，大小均匀，果面光滑有光泽，具有本品种应有的自然色泽，无斑点或极少果锈，不起皱，无裂口，无压痕及其他机械损伤和冻伤黑斑，果身重，硬朗；口感汁液饱满，无苦涩味，无木栓化组织。</w:t>
      </w:r>
    </w:p>
    <w:p w14:paraId="7B762136">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2.梨类：果形端正，大小均匀，无畸形果，带果柄，果面新鲜洁净，无刺划伤，无压痕，无病虫害，身重结实，味道爽甜。</w:t>
      </w:r>
    </w:p>
    <w:p w14:paraId="33A2AD99">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3.蕉类：果实丰满，果形端正，梳柄完整，不缺只口，单果均匀，色泽自然、光亮，皮色青黄，果面光滑，无病黑斑，无虫疤，无霉菌，无创伤，果肉稍硬，果皮可剥或易剥。</w:t>
      </w:r>
    </w:p>
    <w:p w14:paraId="66F1FEE7">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4.桔类：果实小而扁，大小均匀，果面清新洁净无裂口，无机械伤，无机械伤、病斑及腐烂现象，果蒂完整平齐，易剥落，桔络少。</w:t>
      </w:r>
    </w:p>
    <w:p w14:paraId="0E1152A5">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5.柑类（蜜柑、广柑、芦柑等）：果实大近似球形，无异状突起瘤，无病虫害所呈现的绿斑、黑斑，无霉烂，无机械伤，果面清新洁净，大小均匀，果实无萎蔫，色泽自然。</w:t>
      </w:r>
    </w:p>
    <w:p w14:paraId="7EACE601">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6.葡萄类（包括青提、红提、黑提等）：具有本品种应具有的外形、色泽；果粒面完好，皮上无斑痕，果珠饱满，大小均匀；轻提果穗枝梗抖动果穗,果实不抖落或抖落极少。</w:t>
      </w:r>
    </w:p>
    <w:p w14:paraId="1C6E3AEE">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7.桃类（毛桃、水蜜桃、黄桃、蟠桃等）：具有本品种应具有的外形、色泽；大小均匀，果形端正，果面无不正常斑点，无裂口及其他机械损伤，无腐烂，无病虫害，无药害，无破皮。</w:t>
      </w:r>
    </w:p>
    <w:p w14:paraId="07FE7858">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8.柚子类：果实大，圆形或梨形，皮薄肉厚，难剥离，酸甜合适，大小均匀。</w:t>
      </w:r>
    </w:p>
    <w:p w14:paraId="45972B7A">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9.西瓜：具有本品种应有的形状，大小均匀，果色清新光亮，条纹清晰，果皮无伤痕，无腐烂，无疤痕，无虫眼，无病斑，果柄茸毛脱落，脐部凹陷，水份大，甜度高，切开鲜艳光泽，无异味及黑瓤。</w:t>
      </w:r>
    </w:p>
    <w:p w14:paraId="6E20F15A">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10.哈密瓜：瓜形端正，呈椭圆形或橄榄形，瓜身坚实微软，果皮无伤及其腐烂，切开色泽鲜艳光润，大小均匀，香气浓郁。</w:t>
      </w:r>
    </w:p>
    <w:p w14:paraId="0D2BE26F">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乳制品</w:t>
      </w:r>
    </w:p>
    <w:p w14:paraId="19FE40D9">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1、正常生鲜牛奶为乳白色或略带微黄色的均匀胶体，无粘稠、浓厚、分层现象；不得有肉眼可见的机械杂质；具备乳的正常滋气味，不得有苦、咸、涩、臭等异味。</w:t>
      </w:r>
    </w:p>
    <w:p w14:paraId="15C3B515">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2、牛奶的生产日期必须是5日以内产品（巴氏消毒奶除外），酸奶生产日期必须是2日内产品。所有产品在质量保证期内，因货物出现变质、过期及其他质量问题等现象的，业主发现不符合配送期要求的货品，有权拒收或要求供应商无偿调换。</w:t>
      </w:r>
    </w:p>
    <w:p w14:paraId="3B9BBF2B">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3、交货验收时，因货物出现变质、过期及其他质量问题等现象的，供应商负责免费无条件更换或者业主进行数量核减，并承担因更换货物所产生的包装、运费等一切相关费用。若供应商当日未按业主要求予以更换或配送货物，业主有权另行采购其他商家同类货物，由此产生的全部费用由供应商承担。</w:t>
      </w:r>
    </w:p>
    <w:p w14:paraId="630EB624">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蛋类</w:t>
      </w:r>
    </w:p>
    <w:p w14:paraId="08B71532">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色泽：具有禽蛋固有的色泽</w:t>
      </w:r>
    </w:p>
    <w:p w14:paraId="592701FD">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气味：具有产品固有的气味，无异味</w:t>
      </w:r>
    </w:p>
    <w:p w14:paraId="1FBA1D13">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组织形态：蛋壳清洁、无破裂、打开后蛋壳凸起、完整、有韧性，蛋白澄清透明，稀稠分明。无杂质，蛋液中不得有血块及其他鸡组织异物</w:t>
      </w:r>
    </w:p>
    <w:p w14:paraId="4053B4A8">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副食品</w:t>
      </w:r>
    </w:p>
    <w:p w14:paraId="1832AE93">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干货类大小必须均匀，货物干燥，色泽正常，无异味，无霉点，无杂质、无任何添加剂。必须具有“SC”食品质量认证标志，包装上必须有生产日期和保质日期。采用定型包装的货物，包装必须符合国家对产品包装的有关规定。包装上必须有明确的品牌、等级、生产日期、保质期、储存要求、净重量等。</w:t>
      </w:r>
    </w:p>
    <w:p w14:paraId="4FF0E128">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供应商向业主保证具有对部分货物进行冷冻储藏或保鲜储藏的设施，所有储藏设施均符合国家、行业标准的规范</w:t>
      </w:r>
    </w:p>
    <w:p w14:paraId="5032DA07">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验收标准：</w:t>
      </w:r>
    </w:p>
    <w:p w14:paraId="238D0D93">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小米、黑米、糯米类采购标准</w:t>
      </w:r>
    </w:p>
    <w:p w14:paraId="10C25F4A">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要求必须为当年产，未经过深加工，无添加剂、无添加色素的绿色农产品。包装袋生产厂家、生产日期、保质期、SC标识等相关信息清晰。质量等级要求达到一等国家标准，色泽、气味正常,无霉烂变质，加工精度≥95％,碎米总量≤3％，其中小碎米≤0.3％，杂质总量≤0.5％,水分≤13％。</w:t>
      </w:r>
    </w:p>
    <w:p w14:paraId="1CD5E6F3">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糯米：无异常色泽和气味，封口严密，防潮材质，外包装描述清楚，且一定有“SC”标识，无破损。</w:t>
      </w:r>
    </w:p>
    <w:p w14:paraId="0F390BAF">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黑米：黑米按业主要求参照NY/T 832-2022规定执行，黑米具有正常的清香味，无其他异味均匀光洁黑色颗粒，无明显黑色粉末，有大米的天然香味。</w:t>
      </w:r>
    </w:p>
    <w:p w14:paraId="265734B1">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小米：按业主要求执行国家标准GB/T 11766-2008 ，无杂质，无异味。</w:t>
      </w:r>
    </w:p>
    <w:p w14:paraId="4B916688">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大豆（黄豆）采购标准</w:t>
      </w:r>
    </w:p>
    <w:p w14:paraId="7D5CDE77">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要求必须为当年产，未经过深加工，无添加剂、无添加色素的绿色农产品。包装袋生产厂家、生产日期、保质期、SC标识等相关信息清晰。质量等级按业主要求达到一等国家标准，色泽、气味正常, 无霉烂变质，适用于豆浆、豆腐制作，出浆率高，蛋白质含量高，完整粒类≥95％,碎豆总量≤3％，其中小碎豆粒≤0.3％，杂质总量≤1％，水分≤13％，铁豆子总量≤3％。按业主要求参照GB 1352-2023国家标准执行。</w:t>
      </w:r>
    </w:p>
    <w:p w14:paraId="0FA54206">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绿豆采购标准</w:t>
      </w:r>
    </w:p>
    <w:p w14:paraId="0CF63284">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要求必须为当年产，未经过深加工，无添加剂、无添加色素的绿色农产品。包装袋生产厂家、生产日期、保质期、SC标识等相关信息清晰。质量等级要求达到一等国家标准，色泽、气味正常, 无霉烂变质，纯粮率≥97％,杂质总量≤1％，矿物质≤0.5％，杂质总量≤1％，水分≤13.5％。按业主要求参照GB 2715-2016规定执行。</w:t>
      </w:r>
    </w:p>
    <w:p w14:paraId="41B16BF8">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花生仁</w:t>
      </w:r>
    </w:p>
    <w:p w14:paraId="6FC1F21E">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要求必须为当年产，未经过深加工，无添加剂、无添加色素的绿色农产品。包装袋生产厂家、生产日期、保质期、SC标识等相关信息清晰。质量等级要求达到一等国家标准，色泽、气味正常, 无霉烂变质，纯质率≥96％,整半粒限度≤10％，杂质总量≤1％，水分≤9％。按业主要求参照GB 2715-2016规定执行。</w:t>
      </w:r>
    </w:p>
    <w:p w14:paraId="45322AC4">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玉米面（全玉米粉）</w:t>
      </w:r>
    </w:p>
    <w:p w14:paraId="5CA7A084">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要求必须为当年产，未经过深加工，无添加剂、无添加色素的绿色农产品。包装袋生产厂家、生产日期、保质期、SC标识等。相关信息清晰。3、质量要求优质，色泽、气味正常, 无霉烂变质，粗脂肪含量（干基）≥5％,精细度要求全部通过CQ10号筛，脂肪酸值（干基）（以KOH计）／（mg／100g）≤80％，灰分含量（干基）≤3％，含沙量≤0.02％，磁性金属物（g／kg）≤0.003％，水分≤14.5％。</w:t>
      </w:r>
    </w:p>
    <w:p w14:paraId="478F5A12">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干香菇采购标准：</w:t>
      </w:r>
    </w:p>
    <w:p w14:paraId="5F2FE417">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干香菇要求厚度达到一级及以上标准(&gt;0.5cm)，杂质达到一级及以上标准（&lt;2％），小菇直径＜4cm,中菇直径＜4cm-6cm，大菇直径＞6cm。香菇外形呈半球形稍平展或伞形，菇形平整，菌褶色带黄略韧、味鲜且香、干爽、个头大小均匀、根蒂较短、身厚而圆、无虫蛀、香味浓郁。</w:t>
      </w:r>
    </w:p>
    <w:p w14:paraId="18B4D00B">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天然木耳采购标准：</w:t>
      </w:r>
    </w:p>
    <w:p w14:paraId="06E54570">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天然木耳由于生产季节不同，有春耳、伏耳、秋耳之分，选购要求采购质量最好的伏耳（即伏天生长且采摘晒制的木耳）。要求天然木耳色黑、肉厚、朵大、质嫩、身干、无碎屑杂质、无霉烂。天然木耳：朵片基本完整，不能通过直径1cm的筛眼天然木耳：含水量：不超过14%；背暗灰色，无虫蛀、霉烂；</w:t>
      </w:r>
    </w:p>
    <w:p w14:paraId="4AF0F5C0">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人工木耳采购标准：</w:t>
      </w:r>
    </w:p>
    <w:p w14:paraId="6FFAAC3D">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人工木耳要求为一次泡发成品，未经过深加工，外观朵大齐整，无霉烂、杂质，泡发后色泽较黑，肉质肥厚，软嫩适宜。</w:t>
      </w:r>
    </w:p>
    <w:p w14:paraId="5F32BC34">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粉条采购标准:</w:t>
      </w:r>
    </w:p>
    <w:p w14:paraId="5781075A">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粉条要求为红薯粉条，不低于80％红薯粉(玉米淀粉含量不超过20％),烹饪时有良好的吸附性，久煮不烂，烹饪后口感柔润嫩滑，清香宜人。</w:t>
      </w:r>
    </w:p>
    <w:p w14:paraId="3A7C1387">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干果类采购标准</w:t>
      </w:r>
    </w:p>
    <w:p w14:paraId="10A1184F">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未经过深加工，无添加剂、无添加色素的绿色农产品。包装袋（箱）生产厂家、生产日期、保质期、SC标识等相关信息清晰。质量等级要求达到特级国家标准不得出现未成熟粒、损伤粒、虫蚀粒、生芽粒；损伤粒：病斑、热伤、冻伤、生霉以及明显变色的颗粒；虫蚀粒：被虫蛀蚀伤及子叶的颗粒；生芽粒：芽或幼根突破种皮的颗粒等无法使用的果仁。</w:t>
      </w:r>
    </w:p>
    <w:p w14:paraId="65C8DF80">
      <w:pPr>
        <w:pStyle w:val="12"/>
        <w:shd w:val="clear" w:fill="FFFFFF" w:themeFill="background1"/>
        <w:spacing w:line="360" w:lineRule="auto"/>
        <w:rPr>
          <w:rFonts w:hint="eastAsia" w:ascii="方正楷体_GB2312" w:hAnsi="方正楷体_GB2312" w:eastAsia="方正楷体_GB2312" w:cs="方正楷体_GB2312"/>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芝麻</w:t>
      </w:r>
    </w:p>
    <w:p w14:paraId="437C48E7">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要求必须为当年产，未经过深加工，无添加剂、无添加色素的绿色农产品。包装袋生产厂家、生产日期、保质期、SC标识等相关信息清晰。质量等级要求达到一级国家标准，粒大饱满，色泽、气味正常, 无霉烂、虫蛀果粒，净籽纯质率≥98％,千粒重≥2.2g，蛋白质≥19％，杂质总量≤2％，水分≤8.0％。</w:t>
      </w:r>
    </w:p>
    <w:p w14:paraId="529BF086">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虾皮</w:t>
      </w:r>
    </w:p>
    <w:p w14:paraId="5C20705D">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要求必须为当年产，未经过深加工，无添加剂、无添加色素的绿色水产品。包装袋(箱)生产厂家、生产日期、保质期、SC标识等相关信息清晰。质量等级按业主要求达到一级国家标准，光泽优质、滋味及气味具有虾皮固有鲜香味且无异味, 无霉烂，组织形态肉质厚实，壳软、片大且均匀、完整，基本无碎末和水产夹杂物。无外来杂质，不碜牙、无污染，不发粘。</w:t>
      </w:r>
    </w:p>
    <w:p w14:paraId="78E89B51">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全形榨菜类</w:t>
      </w:r>
    </w:p>
    <w:p w14:paraId="28CA7993">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要求必须为当年产，未经过深加工，按业主要求按照GB 2760的规定使用添加剂，但不含防腐剂的绿色农产品。包装袋(箱)生产厂家、生产日期、保质期、SC标识等相关信息清晰。质量等级要求达到一级国家标准，色泽：菜块微黄，辅料色泽正常，无异常色变;滋味：具有榨菜鲜香味及其辅料固有的滋味，无异味;外观：表面呈皱纹，里面起丝纹，辅料分布均匀。有黑斑、老筋的菜块总量≤5%;组织形态：菜块呈近圆球形或纺锤形，肉质肥厚、嫩脆。空心菜、棉花包、硬壳菜的总量≤5%；含水量≤76%；含盐量（以Nacl计）≤15%;总酸度（以乳酸计）≤0.9%;氨基酸态氮（以氮计）≥0.1%。按业主要求参照GH/T 1011-2022规定执行。</w:t>
      </w:r>
    </w:p>
    <w:p w14:paraId="5A73C40E">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粉丝</w:t>
      </w:r>
    </w:p>
    <w:p w14:paraId="4780A873">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要求必须为当年产，未经过深加工，按照GB 2760的规定使用添加剂，但不含防腐剂的绿色农产品。包装袋生产厂家、生产日期、保质期、SC标识等相关信息清晰。质量等级要求达到高级国家标准，色泽：粉丝条呈均匀的乳白色、白色或产品应有的色泽;组织形态：粉丝条粗细均匀，外形整齐，基本无并丝、无碎丝;气味与滋味：表具有该产品固有的气味、滋味，无异味;复水性：复水后柔软有韧性，无明显断条、并条，口感爽滑、不夹生、不粘牙、不碜牙；无正常视力可见外来杂质;水分≤15%;淀粉≥75%;灰分≤0.8%;碘呈色度（IOD值）≥2.0%;复水时间≤6min；复水率≥250%。细长，白净，晶莹透明、丝条均匀、整齐、干燥、不易手折断、无斑点、无霉变、有粉丝独有的光泽。</w:t>
      </w:r>
    </w:p>
    <w:p w14:paraId="6E8A1FF5">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海带丝</w:t>
      </w:r>
    </w:p>
    <w:p w14:paraId="2321A47C">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要求必须为当年产，未经过深加工，无添加剂、无添加色素的绿色水产品。</w:t>
      </w:r>
    </w:p>
    <w:p w14:paraId="02F16B4F">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包装袋生产厂家、生产日期、保质期、SC标识等相关信息清晰。按业主要求参照质量等级要求达到一级国家标准（干海带），外观：呈海带固有的深绿色或褐色，无粘贴、无霉变、无花斑、无海带根;水分≤18%;泥沙杂质≤2%。干海带：无肉眼可见的杂质，具有海带干品应有的滋气味，无异味，无霉味，食用时不得有砂齿感</w:t>
      </w:r>
    </w:p>
    <w:p w14:paraId="6FFAD780">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干酵母</w:t>
      </w:r>
    </w:p>
    <w:p w14:paraId="02A68D59">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要求必须为当年产，未经过深加工，无添加剂、无添加色素的微生物制品，属于适用于GB 2760允许使用的食品添加剂。包装袋（箱）生产厂家、生产日期、保质期、SC标识等相关信息清晰。质量等级要求达到国家标准，色泽：淡黄至淡棕黄色;气味：具有酵母特殊气味，无腐败，无异臭;杂质：无异物;外观：颗粒状或条状；酵母活细胞数（亿个/g）≥150;水分≤6.0%;细菌总数/（CFU/g）≤2.0×106;霉菌/（个/g）≤2.0×104;铅（以Pb计）/（mg/kg）≤1.5;总砷（以As计）/（mg/kg）≤2.0；沙门氏菌/（CFU/25mg）不得检出;其他卫生指标符合GB/T 20886.1-2021的规定要求。按业主要求参照GB/T 20886.1-2021规定执行。</w:t>
      </w:r>
    </w:p>
    <w:p w14:paraId="2EE711B8">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奶粉类</w:t>
      </w:r>
    </w:p>
    <w:p w14:paraId="644D3487">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要求必须为当年以牛乳为原料，经过标准的生产加工过程，无添加防腐剂、无添加色素的粉状产品。包装袋生产厂家、生产日期、保质期、SC标识等相关信息清晰。质量等级要求达到国家标准，色泽：呈均匀一致的乳黄色;滋味、气味：具有纯正的乳香味;组织状态：干燥均匀的粉末;蛋白质/（%）≥非脂乳固体a的34%；脂肪b/（%）≥26.0复原乳酸度/（0T）≤18；杂质度/（mg/kg）≤16;水分≤5.0。a非脂乳固体（%）=100%-脂肪（%）-水分（%）b仅适用于全脂乳粉。</w:t>
      </w:r>
    </w:p>
    <w:p w14:paraId="35D4F905">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果酱</w:t>
      </w:r>
    </w:p>
    <w:p w14:paraId="789BE931">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要求必须为当年以水果、果汁和果浆为主原料，经过标准的生产加工过程，无添加防腐剂、无添加色素的酱状产品。包装袋（箱）生产厂家、生产日期、保质期、SC标识等相关信息清晰。质量等级要求达到国家标准，色泽：有该品种固有的色泽;滋味与口感：无异味，酸甜适中，口味纯正，具有该品种应有的风味;杂质：正常视力下无可见杂质，无霉变;组织状态：均匀，无明显分层和析水，无结晶；可溶性固形物（以20℃折光计）≥25；总砷（As）/（mg/kg）≤0.5;重金属（以Pb计）/（mg/kg）≤1.0。按业主要求参照Q/ZHME 0001 S-2019规定执行。</w:t>
      </w:r>
    </w:p>
    <w:p w14:paraId="5772CA52">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腐竹：</w:t>
      </w:r>
    </w:p>
    <w:p w14:paraId="106A2633">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蛋白质呈纤维状，迎着光线能看到一丝一丝的纤维组织。带有一点豆腥味，温水中浸泡，变软且泡出的水清亮，不浑浊，并且泡发后腐竹依旧弹性十足。</w:t>
      </w:r>
    </w:p>
    <w:p w14:paraId="0571DC8D">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红枣：按业主要求参照标准GB/T 26150-2019，无腐烂，无尘土，无杂物</w:t>
      </w:r>
    </w:p>
    <w:p w14:paraId="0FDC1635">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枸杞：按业主要求参照标准GB/T 18672-2014 无腐烂，无尘土，无杂物</w:t>
      </w:r>
    </w:p>
    <w:p w14:paraId="608A5B43">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白脱皮芝麻：按业主要求参照标准Q/YQZY 0001 S-2019无尘土，无杂物</w:t>
      </w:r>
    </w:p>
    <w:p w14:paraId="0518562C">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调料物资验收标准：</w:t>
      </w:r>
    </w:p>
    <w:p w14:paraId="21C850BB">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盐：按业主要求参照国家标准GB/T5461-2016、GB/T 18770-2020，味咸、呈白色细晶体、无杂质、无苦涩味、外包装无漏无污、有防伪标识，限本地产品。</w:t>
      </w:r>
    </w:p>
    <w:p w14:paraId="525D158A">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白糖：按业主要求参照国GB/T 1445-2018，白色晶体、无杂质、无结块，外包装无漏无污，</w:t>
      </w:r>
    </w:p>
    <w:p w14:paraId="5CB8BB40">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味精：按业主要求参照国家标准GB 2720-2015，白色柱状晶体、无勾兑、无杂质。</w:t>
      </w:r>
    </w:p>
    <w:p w14:paraId="0E57D588">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八角：按业主要求参照国家标准GB/T 7652-2016，色泽棕红、朵大均匀呈八角形、干燥饱满、香气浓郁、无杂质。</w:t>
      </w:r>
    </w:p>
    <w:p w14:paraId="51267ADC">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干花椒采购标准：</w:t>
      </w:r>
    </w:p>
    <w:p w14:paraId="020E41EA">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按业主要求参照国家标准GB/T30391-2013，色泽鲜红、麻味足、颗粒干燥饱满、少籽、无霉坏。干花椒品种为大红袍，要求当年新货,花椒未经过深加工。无污渍、污物附着，无杂质掺入，花椒味醇厚浓郁，香气浓且麻辣味足。花椒粒大且均匀，用手抓时，有刺手干爽之感，水分不超过11％，用手拨弄时，会有“沙沙沙”的响声，如用手捏花椒会破碎。</w:t>
      </w:r>
    </w:p>
    <w:p w14:paraId="6D59E192">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青花椒采购标准：</w:t>
      </w:r>
    </w:p>
    <w:p w14:paraId="40D488A4">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按业主要求参照国家标准GB/T30391-2013，色泽鲜红、麻味足、颗粒干燥饱满、少籽、无霉坏。青花椒要求当年新货,色泽为绿色，无污渍、污物附着，无杂质掺入，花椒未经过深加工。青花椒颗粒为圆形，颗粒表面密生突起腺点。青花椒特有挥发性香味和麻辣味气味纯正，青花椒含水量不超过11.5％，手握硬脆，手搓时有“沙沙”的响声。</w:t>
      </w:r>
    </w:p>
    <w:p w14:paraId="41C3E7C4">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b/>
          <w:bCs/>
          <w:color w:val="auto"/>
          <w:kern w:val="2"/>
          <w:sz w:val="24"/>
          <w:szCs w:val="24"/>
          <w:highlight w:val="none"/>
          <w:lang w:val="en-US" w:eastAsia="zh-CN" w:bidi="ar-SA"/>
        </w:rPr>
        <w:t>桂皮：</w:t>
      </w:r>
      <w:r>
        <w:rPr>
          <w:rFonts w:hint="eastAsia" w:ascii="方正楷体_GB2312" w:hAnsi="方正楷体_GB2312" w:eastAsia="方正楷体_GB2312" w:cs="方正楷体_GB2312"/>
          <w:color w:val="auto"/>
          <w:kern w:val="2"/>
          <w:sz w:val="24"/>
          <w:szCs w:val="24"/>
          <w:highlight w:val="none"/>
          <w:lang w:val="en-US" w:eastAsia="zh-CN" w:bidi="ar-SA"/>
        </w:rPr>
        <w:t>按业主要求参照国家标准GB/T30381-2013，皮面淡棕色、有光泽、质坚实、干燥、味清香、带甜。</w:t>
      </w:r>
    </w:p>
    <w:p w14:paraId="5F29F19B">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b/>
          <w:bCs/>
          <w:color w:val="auto"/>
          <w:kern w:val="2"/>
          <w:sz w:val="24"/>
          <w:szCs w:val="24"/>
          <w:highlight w:val="none"/>
          <w:lang w:val="en-US" w:eastAsia="zh-CN" w:bidi="ar-SA"/>
        </w:rPr>
        <w:t>蚝油：</w:t>
      </w:r>
      <w:r>
        <w:rPr>
          <w:rFonts w:hint="eastAsia" w:ascii="方正楷体_GB2312" w:hAnsi="方正楷体_GB2312" w:eastAsia="方正楷体_GB2312" w:cs="方正楷体_GB2312"/>
          <w:color w:val="auto"/>
          <w:kern w:val="2"/>
          <w:sz w:val="24"/>
          <w:szCs w:val="24"/>
          <w:highlight w:val="none"/>
          <w:lang w:val="en-US" w:eastAsia="zh-CN" w:bidi="ar-SA"/>
        </w:rPr>
        <w:t>按业主要求参照国家标准GB/T21999-2008，棕褐色、粘稠液体、无苦涩味、无霉味。</w:t>
      </w:r>
    </w:p>
    <w:p w14:paraId="2F5BE6BD">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番茄酱：按业主要求参照国家标准GB/T14215-2021,酱体呈深红色、粘稠适度、无异味，限本地产品。</w:t>
      </w:r>
    </w:p>
    <w:p w14:paraId="34EB94CB">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b/>
          <w:bCs/>
          <w:color w:val="auto"/>
          <w:kern w:val="2"/>
          <w:sz w:val="24"/>
          <w:szCs w:val="24"/>
          <w:highlight w:val="none"/>
          <w:lang w:val="en-US" w:eastAsia="zh-CN" w:bidi="ar-SA"/>
        </w:rPr>
        <w:t>胡椒：</w:t>
      </w:r>
      <w:r>
        <w:rPr>
          <w:rFonts w:hint="eastAsia" w:ascii="方正楷体_GB2312" w:hAnsi="方正楷体_GB2312" w:eastAsia="方正楷体_GB2312" w:cs="方正楷体_GB2312"/>
          <w:color w:val="auto"/>
          <w:kern w:val="2"/>
          <w:sz w:val="24"/>
          <w:szCs w:val="24"/>
          <w:highlight w:val="none"/>
          <w:lang w:val="en-US" w:eastAsia="zh-CN" w:bidi="ar-SA"/>
        </w:rPr>
        <w:t>按业主要求参照国家标准GB/T 7900-2018，颗粒均匀无杂质、干燥无结块、具有本品固有的气味，无掺假。</w:t>
      </w:r>
    </w:p>
    <w:p w14:paraId="5571780B">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b/>
          <w:bCs/>
          <w:color w:val="auto"/>
          <w:kern w:val="2"/>
          <w:sz w:val="24"/>
          <w:szCs w:val="24"/>
          <w:highlight w:val="none"/>
          <w:lang w:val="en-US" w:eastAsia="zh-CN" w:bidi="ar-SA"/>
        </w:rPr>
        <w:t>孜然：</w:t>
      </w:r>
      <w:r>
        <w:rPr>
          <w:rFonts w:hint="eastAsia" w:ascii="方正楷体_GB2312" w:hAnsi="方正楷体_GB2312" w:eastAsia="方正楷体_GB2312" w:cs="方正楷体_GB2312"/>
          <w:color w:val="auto"/>
          <w:kern w:val="2"/>
          <w:sz w:val="24"/>
          <w:szCs w:val="24"/>
          <w:highlight w:val="none"/>
          <w:lang w:val="en-US" w:eastAsia="zh-CN" w:bidi="ar-SA"/>
        </w:rPr>
        <w:t>按业主要求参照国家标准GB/T22267-2017，颗粒饱满、无虫蛀、具有本品固有的气味，无掺假，限本地产品。</w:t>
      </w:r>
    </w:p>
    <w:p w14:paraId="27517C77">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b/>
          <w:bCs/>
          <w:color w:val="auto"/>
          <w:kern w:val="2"/>
          <w:sz w:val="24"/>
          <w:szCs w:val="24"/>
          <w:highlight w:val="none"/>
          <w:lang w:val="en-US" w:eastAsia="zh-CN" w:bidi="ar-SA"/>
        </w:rPr>
        <w:t>豆瓣酱：</w:t>
      </w:r>
      <w:r>
        <w:rPr>
          <w:rFonts w:hint="eastAsia" w:ascii="方正楷体_GB2312" w:hAnsi="方正楷体_GB2312" w:eastAsia="方正楷体_GB2312" w:cs="方正楷体_GB2312"/>
          <w:color w:val="auto"/>
          <w:kern w:val="2"/>
          <w:sz w:val="24"/>
          <w:szCs w:val="24"/>
          <w:highlight w:val="none"/>
          <w:lang w:val="en-US" w:eastAsia="zh-CN" w:bidi="ar-SA"/>
        </w:rPr>
        <w:t>按业主要求参照国家标准Q/ZJMS 0004 S-2022，色泽呈红褐色、酱香味、咸淡适口、无杂质。</w:t>
      </w:r>
    </w:p>
    <w:p w14:paraId="6DCB201B">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b/>
          <w:bCs/>
          <w:color w:val="auto"/>
          <w:kern w:val="2"/>
          <w:sz w:val="24"/>
          <w:szCs w:val="24"/>
          <w:highlight w:val="none"/>
          <w:lang w:val="en-US" w:eastAsia="zh-CN" w:bidi="ar-SA"/>
        </w:rPr>
        <w:t>淀粉：</w:t>
      </w:r>
      <w:r>
        <w:rPr>
          <w:rFonts w:hint="eastAsia" w:ascii="方正楷体_GB2312" w:hAnsi="方正楷体_GB2312" w:eastAsia="方正楷体_GB2312" w:cs="方正楷体_GB2312"/>
          <w:color w:val="auto"/>
          <w:kern w:val="2"/>
          <w:sz w:val="24"/>
          <w:szCs w:val="24"/>
          <w:highlight w:val="none"/>
          <w:lang w:val="en-US" w:eastAsia="zh-CN" w:bidi="ar-SA"/>
        </w:rPr>
        <w:t>按业主要求参照国家标准GB/T 8887-2021，洁白粉状、无异味、无沙齿、无杂质。</w:t>
      </w:r>
    </w:p>
    <w:p w14:paraId="2DB718C9">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b/>
          <w:bCs/>
          <w:color w:val="auto"/>
          <w:kern w:val="2"/>
          <w:sz w:val="24"/>
          <w:szCs w:val="24"/>
          <w:highlight w:val="none"/>
          <w:lang w:val="en-US" w:eastAsia="zh-CN" w:bidi="ar-SA"/>
        </w:rPr>
        <w:t>酱油类:</w:t>
      </w:r>
      <w:r>
        <w:rPr>
          <w:rFonts w:hint="eastAsia" w:ascii="方正楷体_GB2312" w:hAnsi="方正楷体_GB2312" w:eastAsia="方正楷体_GB2312" w:cs="方正楷体_GB2312"/>
          <w:color w:val="auto"/>
          <w:kern w:val="2"/>
          <w:sz w:val="24"/>
          <w:szCs w:val="24"/>
          <w:highlight w:val="none"/>
          <w:lang w:val="en-US" w:eastAsia="zh-CN" w:bidi="ar-SA"/>
        </w:rPr>
        <w:t>按业主要求参照国家标准GB 2717-2018，酿造酱油，酱油呈红褐色、色泽鲜艳、有浓郁的酱香味，无异味、无沉淀。桶装产品上面必须清楚的标识有酿造字样、生产日期、生产厂家地址、联系电话。</w:t>
      </w:r>
    </w:p>
    <w:p w14:paraId="66A1F151">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b/>
          <w:bCs/>
          <w:color w:val="auto"/>
          <w:kern w:val="2"/>
          <w:sz w:val="24"/>
          <w:szCs w:val="24"/>
          <w:highlight w:val="none"/>
          <w:lang w:val="en-US" w:eastAsia="zh-CN" w:bidi="ar-SA"/>
        </w:rPr>
        <w:t>醋类:</w:t>
      </w:r>
      <w:r>
        <w:rPr>
          <w:rFonts w:hint="eastAsia" w:ascii="方正楷体_GB2312" w:hAnsi="方正楷体_GB2312" w:eastAsia="方正楷体_GB2312" w:cs="方正楷体_GB2312"/>
          <w:color w:val="auto"/>
          <w:kern w:val="2"/>
          <w:sz w:val="24"/>
          <w:szCs w:val="24"/>
          <w:highlight w:val="none"/>
          <w:lang w:val="en-US" w:eastAsia="zh-CN" w:bidi="ar-SA"/>
        </w:rPr>
        <w:t>按业主要求参照国家标准GB 2719-2018，酿造食用醋，醋口感柔和、无涩味，无浮物，无沉淀。桶装产品上面必须清楚的标识有酿造字样、生产日期、生产厂家地址、联系电话。</w:t>
      </w:r>
    </w:p>
    <w:p w14:paraId="1B814975">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其他干货调料产品：无尘土，无其他杂物,有食材本身的特有香味。</w:t>
      </w:r>
    </w:p>
    <w:p w14:paraId="17B8E8FD">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糕点类</w:t>
      </w:r>
    </w:p>
    <w:p w14:paraId="70625150">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糕点、饼干类必须保证食品质量,按业主要求参照GB 7100-86《糕点、面包卫生标准》。</w:t>
      </w:r>
    </w:p>
    <w:p w14:paraId="70DFCBDE">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1.符合或高于最新国家标准质量等级要求，含面包、鸡蛋糕、饼干等种类，主要制作原材料小麦粉、小麦粉、饮用水、食用盐、鸡蛋、植物油（调和油除外）等。,感官指标：糕点、饼干、面包应具有各自正常色泽、气味和滋味，不得有酸败、发霉等杂味，食品内外不得有生虫、霉变及其他外来污染物。不得使用含铝泡打粉，不得夹生，无腐败变质、油脂酸败、临近过期变质、霉变生虫等情况。</w:t>
      </w:r>
    </w:p>
    <w:p w14:paraId="72DAD853">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2.有独立包装，糕点产品标签应符合《中华人民共和国食品安全法》和《食品安全国家标准预包装食品标签通则》GB7718-2011,有相应的包装措施，包装材质必须符合《中华人民共和国食品安全法》，包装要完好无损、包装表面无任何污物和污渍；</w:t>
      </w:r>
    </w:p>
    <w:p w14:paraId="1651B08B">
      <w:pPr>
        <w:shd w:val="clear" w:fill="FFFFFF" w:themeFill="background1"/>
        <w:rPr>
          <w:rFonts w:hint="eastAsia" w:ascii="方正楷体_GB2312" w:hAnsi="方正楷体_GB2312" w:eastAsia="方正楷体_GB2312" w:cs="方正楷体_GB2312"/>
          <w:color w:val="auto"/>
          <w:highlight w:val="none"/>
          <w:lang w:val="en-US" w:eastAsia="zh-CN"/>
        </w:rPr>
      </w:pPr>
    </w:p>
    <w:p w14:paraId="39A5C900">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水产类</w:t>
      </w:r>
    </w:p>
    <w:p w14:paraId="5D9D1971">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鲤鱼、鲫鱼、鲤鱼、螃蟹、虾等）应新鲜有活力，饱满结实、肉紧致有弹性、无离骨脱刺现象、肛门凹陷、腹无胀气、肛门无异物流出，无腐烂异味、无离骨脱刺现象、无伤痕破体现象。鲜鱼类鳞片完整、有光泽无脱落、腮口紧闭、眼球光亮透明、鱼腮腺红、鳍尾完整，来源可靠放心，无毒、无害、无污染，鱼种熟悉，无毒无害，不熟悉、不了解的海鱼不购。冷冻水产类要求眼睛清亮，角膜透明，表皮天然色泽明显。</w:t>
      </w:r>
    </w:p>
    <w:p w14:paraId="64A21F9E">
      <w:pPr>
        <w:pStyle w:val="12"/>
        <w:shd w:val="clear" w:fill="FFFFFF" w:themeFill="background1"/>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牛羊猪肉</w:t>
      </w:r>
    </w:p>
    <w:p w14:paraId="3C3AD65F">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鲜肉类应保证来源于政府指定的定点屠宰机构必须有检疫合格证等手续，并为当日屠宰的新鲜肉食品，不得将人工合成类食材或“冷冻肉”替代鲜肉类。每批次货物开具动物检疫合格证明或提供所投牛羊猪肉类产品的有效期内的动物检疫合格证明。如业主需要采购指定部位肉品的肉馅，由供应商进行无偿加工，不许使用任何其他次级肉品进行加工。</w:t>
      </w:r>
    </w:p>
    <w:p w14:paraId="6DB0C81C">
      <w:pPr>
        <w:pStyle w:val="12"/>
        <w:shd w:val="clear" w:fill="FFFFFF" w:themeFill="background1"/>
        <w:spacing w:line="360" w:lineRule="auto"/>
        <w:rPr>
          <w:rFonts w:hint="eastAsia" w:ascii="方正楷体_GB2312" w:hAnsi="方正楷体_GB2312" w:eastAsia="方正楷体_GB2312" w:cs="方正楷体_GB2312"/>
          <w:color w:val="auto"/>
          <w:kern w:val="2"/>
          <w:sz w:val="28"/>
          <w:szCs w:val="28"/>
          <w:highlight w:val="none"/>
          <w:lang w:val="en-US" w:eastAsia="zh-CN" w:bidi="ar-SA"/>
        </w:rPr>
      </w:pPr>
      <w:r>
        <w:rPr>
          <w:rFonts w:hint="eastAsia" w:ascii="方正楷体_GB2312" w:hAnsi="方正楷体_GB2312" w:eastAsia="方正楷体_GB2312" w:cs="方正楷体_GB2312"/>
          <w:color w:val="auto"/>
          <w:kern w:val="2"/>
          <w:sz w:val="28"/>
          <w:szCs w:val="28"/>
          <w:highlight w:val="none"/>
          <w:lang w:val="en-US" w:eastAsia="zh-CN" w:bidi="ar-SA"/>
        </w:rPr>
        <w:t>牛肉：</w:t>
      </w:r>
    </w:p>
    <w:p w14:paraId="4A9B3C8B">
      <w:pPr>
        <w:pStyle w:val="12"/>
        <w:shd w:val="clear" w:fill="FFFFFF" w:themeFill="background1"/>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24 小时内屠宰鲜牛肉，按部位分割、包装。肌肉细腻均匀鲜红或深红色、表面光泽、纹路紧密，脂肪乳白色或微黄无异味，外表微干或有风干膜，触摸时不粘手、质地坚实弹性好。煮沸后肉汤澄清透明，脂肪团聚于表面。严禁使用注水肉。不得带伤斑、血淤、血污、碎骨、病变组织、淋巴结、脓包、浮毛或其他杂质。要求优质肥油少。按业主要求参照国家标准GB/T17238-2008。</w:t>
      </w:r>
    </w:p>
    <w:p w14:paraId="70D28B07">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1.牛腩、牛肋排块：修去所有外露脂肪、腩皮、碎骨、软骨、粘膜、膈肌、血污部分，脂肪含量小于 10%。</w:t>
      </w:r>
    </w:p>
    <w:p w14:paraId="6E8E6BD4">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2.仔骨、肋排：修去薄边，形状方正，修去外露脂肪、碎骨、软骨，无刀伤。</w:t>
      </w:r>
    </w:p>
    <w:p w14:paraId="31B5DE66">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3.其他牛肉类：修去表面脂肪、碎肉、血管、碎骨、软骨、表面粘膜、血污部分。</w:t>
      </w:r>
    </w:p>
    <w:p w14:paraId="382419C0">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4.牛骨头：要求干净无异味。</w:t>
      </w:r>
    </w:p>
    <w:p w14:paraId="70C92B33">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5.牛脊骨（带肉）要求干净无异味。</w:t>
      </w:r>
    </w:p>
    <w:p w14:paraId="0930AB22">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6.牛头肉：要求无多余牛皮、牛毛，干净，无异味。</w:t>
      </w:r>
    </w:p>
    <w:p w14:paraId="198C36E1">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7.牛心：新鲜的心脏用手挤压，有鲜红血块派出，组织坚韧、富有弹性、外表有光泽，不得提供冻货。</w:t>
      </w:r>
    </w:p>
    <w:p w14:paraId="0B242A42">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8.牛肝：新鲜的肝呈紫红色、有光泽、质地坚实、有弹性、无寄生虫、无包虫，不得提供冻货。</w:t>
      </w:r>
    </w:p>
    <w:p w14:paraId="13CE7D1D">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9.牛肚：新鲜的肚呈浅黄色、有光泽、黏液多、质地坚实、有弹性，不得提供冻货。</w:t>
      </w:r>
    </w:p>
    <w:p w14:paraId="5FCEE987">
      <w:pPr>
        <w:pStyle w:val="12"/>
        <w:shd w:val="clear"/>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羊肉：</w:t>
      </w:r>
    </w:p>
    <w:p w14:paraId="19ABC21D">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24 小时内屠宰，去除羊尾油，按部位分割剔骨包装。肌肉色泽：肌肉色泽浅红、鲜红或深红，有光泽；肌肉呈乳白色、淡黄色或黄色且均匀，表面光泽，肌纤维致密，坚实有弹性。脂肪呈乳白色、淡黄色。外表微干或有风干膜，切面湿润，不粘手。具有新鲜羊肉固有气味，无异味。煮沸后肉汤澄清透明，脂肪团聚于表面。不得带伤斑、血淤、血污、碎骨、病变组织、淋巴结、脓包、浮毛或其他杂质。按业主要求参照国家标准GB/T 9961-2008。</w:t>
      </w:r>
    </w:p>
    <w:p w14:paraId="31445927">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1.羊心：新鲜的心脏用手挤压，有鲜红血块排出，组织坚韧、富有弹性、外表有光泽、无寄生虫包虫，不得提供冻货。</w:t>
      </w:r>
    </w:p>
    <w:p w14:paraId="39723529">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2.羊肝：新鲜的肝呈紫红色、有光泽、质地坚实、有弹性，不得提供冻货。</w:t>
      </w:r>
    </w:p>
    <w:p w14:paraId="7A192E75">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3.羊尾油：颜色微黄，富有弹性，无明显的杂质。</w:t>
      </w:r>
    </w:p>
    <w:p w14:paraId="2B1E23C6">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4.羊骨头：无异味，无杂质。</w:t>
      </w:r>
    </w:p>
    <w:p w14:paraId="55E1EB8F">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5.羊肺子：无异味，无杂质，不得提供冻货。</w:t>
      </w:r>
    </w:p>
    <w:p w14:paraId="39BBC05F">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6.羊肠：无明显的刺鼻的异味。</w:t>
      </w:r>
    </w:p>
    <w:p w14:paraId="3DFF7D50">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7.羊蹄：无脏物，无异味，严禁药水浸泡。</w:t>
      </w:r>
    </w:p>
    <w:p w14:paraId="39F03542">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8.羊蝎骨：无异味，无杂质。</w:t>
      </w:r>
    </w:p>
    <w:p w14:paraId="3D225F89">
      <w:pPr>
        <w:pStyle w:val="12"/>
        <w:shd w:val="clear"/>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猪肉：</w:t>
      </w:r>
    </w:p>
    <w:p w14:paraId="60135E49">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24 小时内屠宰，肌肉有光泽，红色均匀， 脂肪乳白色，纤维清晰，有坚韧性，指压后凹陷立即恢复，外表湿润， 不粘手，具有鲜猪肉固有的气味，无异味，煮沸后肉汤澄清透明，脂肪团聚于表面。按业主要求参照国家标准GB/T 9959.3-2019。</w:t>
      </w:r>
    </w:p>
    <w:p w14:paraId="7EF5CCC1">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1.前夹肉：肉质新鲜有弹性，色泽红润光亮，脂肪不能大于30%，脂肪颜色呈乳白色，切面有红色，无异味、无淤血血斑、无注水、无寄生虫、无针眼脓包，禁用黑毛猪、死猪肉。</w:t>
      </w:r>
    </w:p>
    <w:p w14:paraId="74F346AB">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2.五花肉：有光泽、有弹力、带皮的肥瘦肉、肌肉与脂肪相间多层，不带肚皮肉，禁用黑毛猪、死猪肉，无针眼脓包，禁用黑毛猪、死猪肉。</w:t>
      </w:r>
    </w:p>
    <w:p w14:paraId="18B3171C">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3.排骨：不带肥油，厚实、完整、不得剔为净骨，骨肉不分离，禁用黑毛猪、死猪肉。</w:t>
      </w:r>
    </w:p>
    <w:p w14:paraId="5A5B72B3">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4.精瘦肉：去皮、去骨、去皮下脂肪的肌肉，有光泽、有弹力、无肥肉，肌腱少，无针眼脓包，禁用黑毛猪、死猪肉。</w:t>
      </w:r>
    </w:p>
    <w:p w14:paraId="1056CC57">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5.冻猪肉：肌肉深层温度不高于4℃，不低于0℃。解冻后，肌肉有光泽，色鲜红，脂肪呈乳白色，无霉点，肉质紧密，有坚实感，外表或切面湿润不粘手，具有冻猪肉正常气味，冻猪肉失水率≤10%；禁用黑毛猪、死猪肉。</w:t>
      </w:r>
    </w:p>
    <w:p w14:paraId="755B4477">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6.猪肝：新鲜的肝呈紫红色、有光泽、质地坚实、有弹性，不得提供冻货。</w:t>
      </w:r>
    </w:p>
    <w:p w14:paraId="58DF50EF">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7.猪头肉去全骨：无夹毛，无异味、整体干净。</w:t>
      </w:r>
    </w:p>
    <w:p w14:paraId="218D1041">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8.猪肘：颜色呈深红色，无淤血，无异味。</w:t>
      </w:r>
    </w:p>
    <w:p w14:paraId="377F7EE4">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9.猪耳朵：新鲜的肚呈浅黄色，有光泽、黏液多、质地坚实。</w:t>
      </w:r>
    </w:p>
    <w:p w14:paraId="6E855271">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10.猪蹄：无夹毛、无异味，整体干净。</w:t>
      </w:r>
    </w:p>
    <w:p w14:paraId="3796AB84">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11.猪舌：无明显的粘手液体，无异味。</w:t>
      </w:r>
    </w:p>
    <w:p w14:paraId="369F5D9B">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12.猪骨头（带肉）：无明显的刺鼻气味</w:t>
      </w:r>
    </w:p>
    <w:p w14:paraId="22702C71">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13.猪皮：皮上无猪毛、无异味，整体干净、色白。</w:t>
      </w:r>
    </w:p>
    <w:p w14:paraId="18BF4C84">
      <w:pPr>
        <w:pStyle w:val="12"/>
        <w:shd w:val="clear"/>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新鲜光禽鸡鸭：</w:t>
      </w:r>
    </w:p>
    <w:p w14:paraId="1FDCF6B5">
      <w:pPr>
        <w:pStyle w:val="12"/>
        <w:shd w:val="clear"/>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新鲜光禽：</w:t>
      </w:r>
    </w:p>
    <w:p w14:paraId="45FC92A1">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光禽是指经宰杀去毛以后的鸡、鸭、鹅等禽类，质量好坏，是否新鲜，主要根据以下几方面来判别：</w:t>
      </w:r>
    </w:p>
    <w:p w14:paraId="77B95B8D">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1.喙有光泽、干燥、无粘液；</w:t>
      </w:r>
    </w:p>
    <w:p w14:paraId="0309CF58">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2.口腔：新鲜的光禽口腔粘膜呈淡玫瑰色，有光泽、洁净、无异味；</w:t>
      </w:r>
    </w:p>
    <w:p w14:paraId="709731DF">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3.眼球:无干缩凹陷或晶体状浑浊现象。</w:t>
      </w:r>
    </w:p>
    <w:p w14:paraId="04A55D92">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4.皮肤：新鲜的光禽皮肤上毛孔隆起，表面干燥而紧缩，呈乳白色或淡黄色，</w:t>
      </w:r>
    </w:p>
    <w:p w14:paraId="3A272DC8">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稍带微红，无异味；</w:t>
      </w:r>
    </w:p>
    <w:p w14:paraId="663953BF">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5.脂肪：新鲜的光禽脂肪呈淡黄色或黄色，有光泽，无异味；</w:t>
      </w:r>
    </w:p>
    <w:p w14:paraId="1C56C016">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6.肌肉：新鲜光禽肌肉结实，有弹性，有光泽，颈、腿部肌肉呈玫瑰红色。</w:t>
      </w:r>
    </w:p>
    <w:p w14:paraId="49DF3EC4">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7.气味:具有其固有气味、无异味。</w:t>
      </w:r>
    </w:p>
    <w:p w14:paraId="64005507">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8.弹性:指压后凹陷、能恢复。</w:t>
      </w:r>
    </w:p>
    <w:p w14:paraId="73D22D67">
      <w:pPr>
        <w:pStyle w:val="12"/>
        <w:shd w:val="clear"/>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鸡、鸭类各部件感官检验标准</w:t>
      </w:r>
    </w:p>
    <w:p w14:paraId="7BE5BD85">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爪:品质新鲜、呈白色或灰白色、无黄皮趾壳、无血污、血水无残缺、脚趾根上无黑班、允许有少量红斑。</w:t>
      </w:r>
    </w:p>
    <w:p w14:paraId="7CE36030">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翅:品质新鲜、无残羽、无黄衣、无伤斑及溃烂、无血水血污、允许有少数斑、允许剪修但最大范围不超转弯关节处。</w:t>
      </w:r>
    </w:p>
    <w:p w14:paraId="2CC8D60B">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腿:无残羽、无血水、血污、品质新鲜、无残骨无伤斑及溃烂、炎症、允许有少数红斑、外形美观。</w:t>
      </w:r>
    </w:p>
    <w:p w14:paraId="7F3646B3">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胸肉:品质新鲜、无残羽、无血不、血污、无残骨、无伤斑、溃烂、炎症，允许有少数红斑。</w:t>
      </w:r>
    </w:p>
    <w:p w14:paraId="16FEB78C">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肝:品质新鲜、外形完整、去胆、无寄生虫、炎症、水泡，无胆汁污染无 血渍。</w:t>
      </w:r>
    </w:p>
    <w:p w14:paraId="39F9DF61">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胗:品质新鲜、形外完整、无内膜、无脂肪、去食管。</w:t>
      </w:r>
    </w:p>
    <w:p w14:paraId="44E913F5">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心:品质新鲜、形外完整、无伤斑、无溃烂、去血渍。</w:t>
      </w:r>
    </w:p>
    <w:p w14:paraId="3AB1FFBD">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脖:品质新鲜、去劲部皮、无羽毛、无血污。</w:t>
      </w:r>
    </w:p>
    <w:p w14:paraId="15952533">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头:品质新鲜、外形完整、无伤班、无溃烂、无血污。</w:t>
      </w:r>
    </w:p>
    <w:p w14:paraId="4E56E761">
      <w:pPr>
        <w:pStyle w:val="12"/>
        <w:shd w:val="clear"/>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饮料类</w:t>
      </w:r>
    </w:p>
    <w:p w14:paraId="1B217144">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包装饮用水的标准为《食品安全国家标准包装饮用水》规定了包装饮用水的原料要求、感官要求、理化指标、污染物、真菌毒素、微生物限量等要求。还受到其他相关标准的监管。</w:t>
      </w:r>
    </w:p>
    <w:p w14:paraId="3C00FAA9">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饮用天然矿泉水的标准为《食品安全国家标准饮用天然矿泉水》。还受到其他相关标准的监管。</w:t>
      </w:r>
    </w:p>
    <w:p w14:paraId="1601706C">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b/>
          <w:bCs/>
          <w:color w:val="auto"/>
          <w:kern w:val="2"/>
          <w:sz w:val="24"/>
          <w:szCs w:val="24"/>
          <w:highlight w:val="none"/>
          <w:lang w:val="en-US" w:eastAsia="zh-CN" w:bidi="ar-SA"/>
        </w:rPr>
        <w:t>饮料：</w:t>
      </w:r>
      <w:r>
        <w:rPr>
          <w:rFonts w:hint="eastAsia" w:ascii="方正楷体_GB2312" w:hAnsi="方正楷体_GB2312" w:eastAsia="方正楷体_GB2312" w:cs="方正楷体_GB2312"/>
          <w:color w:val="auto"/>
          <w:kern w:val="2"/>
          <w:sz w:val="24"/>
          <w:szCs w:val="24"/>
          <w:highlight w:val="none"/>
          <w:lang w:val="en-US" w:eastAsia="zh-CN" w:bidi="ar-SA"/>
        </w:rPr>
        <w:t>依据标准是《食品安全国家标准饮料》，饮料是指用一种或几种食用原料，添加或不添加铺料、食品添加剂、食品营养强化剂，经加工制成定量包装的、供直接饮用或冲调饮用、乙醇含量不超过质量分数为 0.5%的制品，也可称为饮品。按照我国的国家标准《饮料通则》，饮料分类主要有果蔬汁类及其饮料、蛋白饮料、碳酸饮料、特殊用途饮料、风味饮料、茶饮料、咖啡饮料、植物饮料、固体饮料等。</w:t>
      </w:r>
    </w:p>
    <w:p w14:paraId="3DFD8C17">
      <w:pPr>
        <w:pStyle w:val="12"/>
        <w:shd w:val="clear"/>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果蔬汁类及其饮料：</w:t>
      </w:r>
    </w:p>
    <w:p w14:paraId="543A8D64">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果蔬汁类及其饮料》规定了果蔬汁类及其饮料的术语和定义、分类、技术要求、试验方法、检验规则和标志、包装、运输、贮存。《果蔬汁类及其饮料》适用于以水果和（或）蔬菜（包括可食的根、茎、叶、花、果实）等为原料，经加工或发酵制成的液体饮料。</w:t>
      </w:r>
    </w:p>
    <w:p w14:paraId="3251D8A5">
      <w:pPr>
        <w:pStyle w:val="12"/>
        <w:shd w:val="clear"/>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植物饮料：</w:t>
      </w:r>
    </w:p>
    <w:p w14:paraId="1E6F9C02">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由国家标准《植物饮料》。</w:t>
      </w:r>
    </w:p>
    <w:p w14:paraId="050E3CEE">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乳饮料是以乳或乳制品为原料，加入水及其适量辅料经配制或发酵而成的饮料制品。乳饮料的主要品种包括配制型含乳饮料、发酵型含乳饮料和乳酸菌饮料。其中，配制型含乳饮料、发酵型含乳饮料的蛋白质含量不得低于 1.0 g/100g；而乳酸菌饮料蛋白质含量不得低于 0.7 g/100g。这些乳饮料的包装上应标有“饮料”、“饮品”、“含乳饮料”等字样，其配料表上除了水、乳或乳制品外，其他还可允许添加增稠剂、乳化剂、香精、色素等食品添加剂。</w:t>
      </w:r>
    </w:p>
    <w:p w14:paraId="59DBA3C8">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饮料生产卫生规范为《食品安全国家标准饮料生产卫生规范》，规定了饮料生产过程中原料采购、加工、包装、贮存和运输等环节的卫生要求。</w:t>
      </w:r>
    </w:p>
    <w:p w14:paraId="5398D913">
      <w:pPr>
        <w:pStyle w:val="12"/>
        <w:shd w:val="clear"/>
        <w:spacing w:line="360" w:lineRule="auto"/>
        <w:rPr>
          <w:rFonts w:hint="eastAsia" w:ascii="方正楷体_GB2312" w:hAnsi="方正楷体_GB2312" w:eastAsia="方正楷体_GB2312" w:cs="方正楷体_GB2312"/>
          <w:b/>
          <w:bCs/>
          <w:color w:val="auto"/>
          <w:kern w:val="2"/>
          <w:sz w:val="28"/>
          <w:szCs w:val="28"/>
          <w:highlight w:val="none"/>
          <w:lang w:val="en-US" w:eastAsia="zh-CN" w:bidi="ar-SA"/>
        </w:rPr>
      </w:pPr>
      <w:r>
        <w:rPr>
          <w:rFonts w:hint="eastAsia" w:ascii="方正楷体_GB2312" w:hAnsi="方正楷体_GB2312" w:eastAsia="方正楷体_GB2312" w:cs="方正楷体_GB2312"/>
          <w:b/>
          <w:bCs/>
          <w:color w:val="auto"/>
          <w:kern w:val="2"/>
          <w:sz w:val="28"/>
          <w:szCs w:val="28"/>
          <w:highlight w:val="none"/>
          <w:lang w:val="en-US" w:eastAsia="zh-CN" w:bidi="ar-SA"/>
        </w:rPr>
        <w:t>豆制品</w:t>
      </w:r>
    </w:p>
    <w:p w14:paraId="182A154C">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所提供豆制品需按业主要求参照国家标准 GB2712-2014。</w:t>
      </w:r>
    </w:p>
    <w:p w14:paraId="5478A531">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b/>
          <w:bCs/>
          <w:color w:val="auto"/>
          <w:kern w:val="2"/>
          <w:sz w:val="24"/>
          <w:szCs w:val="24"/>
          <w:highlight w:val="none"/>
          <w:lang w:val="en-US" w:eastAsia="zh-CN" w:bidi="ar-SA"/>
        </w:rPr>
        <w:t>豆腐：</w:t>
      </w:r>
      <w:r>
        <w:rPr>
          <w:rFonts w:hint="eastAsia" w:ascii="方正楷体_GB2312" w:hAnsi="方正楷体_GB2312" w:eastAsia="方正楷体_GB2312" w:cs="方正楷体_GB2312"/>
          <w:color w:val="auto"/>
          <w:kern w:val="2"/>
          <w:sz w:val="24"/>
          <w:szCs w:val="24"/>
          <w:highlight w:val="none"/>
          <w:lang w:val="en-US" w:eastAsia="zh-CN" w:bidi="ar-SA"/>
        </w:rPr>
        <w:t>呈淡黄色、有豆香、不酸，揭布后不脱皮、不坍、切口光亮、持水性好，爽滑不粗、较密实，冷链配送，并附产品质量监督检验报告。</w:t>
      </w:r>
    </w:p>
    <w:p w14:paraId="5539DE59">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val="en-US" w:eastAsia="zh-CN" w:bidi="ar-SA"/>
        </w:rPr>
        <w:t>盒装内酯豆腐：白色或乳白色，略有豆香，持水性好，刀切后不坍、不裂，滑爽不粗，无涩味。</w:t>
      </w:r>
    </w:p>
    <w:p w14:paraId="6738B600">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b/>
          <w:bCs/>
          <w:color w:val="auto"/>
          <w:kern w:val="2"/>
          <w:sz w:val="24"/>
          <w:szCs w:val="24"/>
          <w:highlight w:val="none"/>
          <w:lang w:val="en-US" w:eastAsia="zh-CN" w:bidi="ar-SA"/>
        </w:rPr>
        <w:t>豆腐皮：</w:t>
      </w:r>
      <w:r>
        <w:rPr>
          <w:rFonts w:hint="eastAsia" w:ascii="方正楷体_GB2312" w:hAnsi="方正楷体_GB2312" w:eastAsia="方正楷体_GB2312" w:cs="方正楷体_GB2312"/>
          <w:color w:val="auto"/>
          <w:kern w:val="2"/>
          <w:sz w:val="24"/>
          <w:szCs w:val="24"/>
          <w:highlight w:val="none"/>
          <w:lang w:val="en-US" w:eastAsia="zh-CN" w:bidi="ar-SA"/>
        </w:rPr>
        <w:t>色泽淡黄，豆香味浓郁纯正、韧性好、无杂质，方形薄张，无白边、白头、花洞厚，薄均匀。</w:t>
      </w:r>
    </w:p>
    <w:p w14:paraId="1F6780C4">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b/>
          <w:bCs/>
          <w:color w:val="auto"/>
          <w:kern w:val="2"/>
          <w:sz w:val="24"/>
          <w:szCs w:val="24"/>
          <w:highlight w:val="none"/>
          <w:lang w:val="en-US" w:eastAsia="zh-CN" w:bidi="ar-SA"/>
        </w:rPr>
        <w:t>素鸡：</w:t>
      </w:r>
      <w:r>
        <w:rPr>
          <w:rFonts w:hint="eastAsia" w:ascii="方正楷体_GB2312" w:hAnsi="方正楷体_GB2312" w:eastAsia="方正楷体_GB2312" w:cs="方正楷体_GB2312"/>
          <w:color w:val="auto"/>
          <w:kern w:val="2"/>
          <w:sz w:val="24"/>
          <w:szCs w:val="24"/>
          <w:highlight w:val="none"/>
          <w:lang w:val="en-US" w:eastAsia="zh-CN" w:bidi="ar-SA"/>
        </w:rPr>
        <w:t>椭圆形，淡黄色，有弹性，无异味。</w:t>
      </w:r>
    </w:p>
    <w:p w14:paraId="04C41735">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b/>
          <w:bCs/>
          <w:color w:val="auto"/>
          <w:kern w:val="2"/>
          <w:sz w:val="24"/>
          <w:szCs w:val="24"/>
          <w:highlight w:val="none"/>
          <w:lang w:val="en-US" w:eastAsia="zh-CN" w:bidi="ar-SA"/>
        </w:rPr>
        <w:t>豆腐干：</w:t>
      </w:r>
      <w:r>
        <w:rPr>
          <w:rFonts w:hint="eastAsia" w:ascii="方正楷体_GB2312" w:hAnsi="方正楷体_GB2312" w:eastAsia="方正楷体_GB2312" w:cs="方正楷体_GB2312"/>
          <w:color w:val="auto"/>
          <w:kern w:val="2"/>
          <w:sz w:val="24"/>
          <w:szCs w:val="24"/>
          <w:highlight w:val="none"/>
          <w:lang w:val="en-US" w:eastAsia="zh-CN" w:bidi="ar-SA"/>
        </w:rPr>
        <w:t>淡黄色或黄色，有豆香，块形整齐，厚薄均匀，密实，有韧性。</w:t>
      </w:r>
    </w:p>
    <w:p w14:paraId="575D9190">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b/>
          <w:bCs/>
          <w:color w:val="auto"/>
          <w:kern w:val="2"/>
          <w:sz w:val="24"/>
          <w:szCs w:val="24"/>
          <w:highlight w:val="none"/>
          <w:lang w:val="en-US" w:eastAsia="zh-CN" w:bidi="ar-SA"/>
        </w:rPr>
        <w:t>其它豆类产品：</w:t>
      </w:r>
      <w:r>
        <w:rPr>
          <w:rFonts w:hint="eastAsia" w:ascii="方正楷体_GB2312" w:hAnsi="方正楷体_GB2312" w:eastAsia="方正楷体_GB2312" w:cs="方正楷体_GB2312"/>
          <w:color w:val="auto"/>
          <w:kern w:val="2"/>
          <w:sz w:val="24"/>
          <w:szCs w:val="24"/>
          <w:highlight w:val="none"/>
          <w:lang w:val="en-US" w:eastAsia="zh-CN" w:bidi="ar-SA"/>
        </w:rPr>
        <w:t>色泽及口感纯正，新鲜无异味，有自然香味，弹性韧性好。</w:t>
      </w:r>
    </w:p>
    <w:p w14:paraId="5FE71B24">
      <w:pPr>
        <w:pStyle w:val="20"/>
        <w:shd w:val="clear"/>
        <w:spacing w:line="320" w:lineRule="exact"/>
        <w:ind w:left="0" w:leftChars="0" w:firstLine="0" w:firstLineChars="0"/>
        <w:rPr>
          <w:rFonts w:hint="eastAsia" w:ascii="方正楷体_GB2312" w:hAnsi="方正楷体_GB2312" w:eastAsia="方正楷体_GB2312" w:cs="方正楷体_GB2312"/>
          <w:b/>
          <w:i w:val="0"/>
          <w:color w:val="auto"/>
          <w:kern w:val="0"/>
          <w:sz w:val="24"/>
          <w:szCs w:val="24"/>
          <w:highlight w:val="none"/>
          <w:u w:val="none"/>
          <w:lang w:val="en-US" w:eastAsia="zh-CN" w:bidi="ar"/>
        </w:rPr>
      </w:pPr>
      <w:r>
        <w:rPr>
          <w:rFonts w:hint="eastAsia" w:ascii="方正楷体_GB2312" w:hAnsi="方正楷体_GB2312" w:eastAsia="方正楷体_GB2312" w:cs="方正楷体_GB2312"/>
          <w:b/>
          <w:i w:val="0"/>
          <w:color w:val="auto"/>
          <w:kern w:val="0"/>
          <w:sz w:val="24"/>
          <w:szCs w:val="24"/>
          <w:highlight w:val="none"/>
          <w:u w:val="none"/>
          <w:lang w:val="en-US" w:eastAsia="zh-CN" w:bidi="ar"/>
        </w:rPr>
        <w:t>注:未列入上述的食材必须符合国家食品安全及卫生的标准，提供相应的检测报告等质量合格的单据材料，符合营养健康的标准要求，避免提供高盐、高油及高糖的食材，确保食材新鲜卫生、品种多样、营养均衡。本项目采购包含但不限于上类产品，采购人可根据内部需要对种类做出调整。请各供应商根据实际情况报出合理的下浮，具体需求根据客户要求配送。</w:t>
      </w:r>
    </w:p>
    <w:p w14:paraId="69776874">
      <w:pPr>
        <w:pStyle w:val="20"/>
        <w:shd w:val="clear"/>
        <w:spacing w:line="320" w:lineRule="exact"/>
        <w:ind w:left="0" w:leftChars="0" w:firstLine="0" w:firstLineChars="0"/>
        <w:rPr>
          <w:rFonts w:hint="eastAsia" w:ascii="方正楷体_GB2312" w:hAnsi="方正楷体_GB2312" w:eastAsia="方正楷体_GB2312" w:cs="方正楷体_GB2312"/>
          <w:b/>
          <w:i w:val="0"/>
          <w:color w:val="auto"/>
          <w:kern w:val="0"/>
          <w:sz w:val="28"/>
          <w:szCs w:val="28"/>
          <w:highlight w:val="none"/>
          <w:u w:val="none"/>
          <w:lang w:val="en-US" w:eastAsia="zh-CN" w:bidi="ar"/>
        </w:rPr>
      </w:pPr>
    </w:p>
    <w:p w14:paraId="6D291E5C">
      <w:pPr>
        <w:pStyle w:val="21"/>
        <w:keepNext w:val="0"/>
        <w:keepLines w:val="0"/>
        <w:pageBreakBefore w:val="0"/>
        <w:widowControl/>
        <w:shd w:val="clear"/>
        <w:tabs>
          <w:tab w:val="center" w:pos="4201"/>
          <w:tab w:val="right" w:leader="dot" w:pos="9298"/>
        </w:tabs>
        <w:kinsoku/>
        <w:wordWrap/>
        <w:overflowPunct/>
        <w:topLinePunct w:val="0"/>
        <w:autoSpaceDE w:val="0"/>
        <w:autoSpaceDN w:val="0"/>
        <w:bidi w:val="0"/>
        <w:adjustRightInd/>
        <w:snapToGrid/>
        <w:spacing w:line="360" w:lineRule="auto"/>
        <w:ind w:left="0" w:leftChars="0" w:firstLine="0" w:firstLineChars="0"/>
        <w:textAlignment w:val="auto"/>
        <w:rPr>
          <w:rFonts w:hint="eastAsia" w:ascii="方正楷体_GB2312" w:hAnsi="方正楷体_GB2312" w:eastAsia="方正楷体_GB2312" w:cs="方正楷体_GB2312"/>
          <w:b/>
          <w:bCs/>
          <w:color w:val="auto"/>
          <w:kern w:val="2"/>
          <w:sz w:val="24"/>
          <w:szCs w:val="24"/>
          <w:highlight w:val="none"/>
          <w:lang w:val="en-US" w:eastAsia="zh-CN"/>
        </w:rPr>
      </w:pPr>
      <w:bookmarkStart w:id="48" w:name="_Toc513577057"/>
      <w:bookmarkStart w:id="49" w:name="_Toc513538422"/>
      <w:bookmarkStart w:id="50" w:name="_Toc518912744"/>
      <w:bookmarkStart w:id="51" w:name="_Toc509233625"/>
      <w:bookmarkStart w:id="52" w:name="_Toc335905912"/>
      <w:bookmarkStart w:id="53" w:name="_Toc226966697"/>
      <w:bookmarkStart w:id="54" w:name="_Toc484008222"/>
      <w:bookmarkStart w:id="55" w:name="_Toc481070341"/>
      <w:bookmarkStart w:id="56" w:name="_Toc330203041"/>
      <w:bookmarkStart w:id="57" w:name="_Toc367116137"/>
      <w:bookmarkStart w:id="58" w:name="_Toc524368772"/>
      <w:bookmarkStart w:id="59" w:name="_Toc484085812"/>
      <w:bookmarkStart w:id="60" w:name="_Toc438195960"/>
      <w:bookmarkStart w:id="61" w:name="_Toc426056644"/>
      <w:bookmarkStart w:id="62" w:name="_Toc524517841"/>
      <w:bookmarkStart w:id="63" w:name="_Toc237059751"/>
      <w:bookmarkStart w:id="64" w:name="_Toc11931244"/>
      <w:bookmarkStart w:id="65" w:name="_Toc401907613"/>
      <w:bookmarkStart w:id="66" w:name="_Toc402279459"/>
      <w:bookmarkStart w:id="67" w:name="_Toc242954265"/>
      <w:bookmarkStart w:id="68" w:name="_Toc508699204"/>
      <w:bookmarkStart w:id="69" w:name="_Toc258398535"/>
      <w:bookmarkStart w:id="70" w:name="_Toc484006250"/>
      <w:bookmarkStart w:id="71" w:name="_Toc481132111"/>
      <w:bookmarkStart w:id="72" w:name="_Toc226521709"/>
      <w:bookmarkStart w:id="73" w:name="_Toc209258288"/>
      <w:bookmarkStart w:id="74" w:name="_Toc318384806"/>
      <w:bookmarkStart w:id="75" w:name="_Toc9612840"/>
      <w:bookmarkStart w:id="76" w:name="_Toc367111571"/>
      <w:bookmarkStart w:id="77" w:name="_Toc330387357"/>
      <w:bookmarkStart w:id="78" w:name="_Toc9864076"/>
      <w:bookmarkStart w:id="79" w:name="_Toc10446408"/>
      <w:bookmarkStart w:id="80" w:name="_Toc484006128"/>
      <w:bookmarkStart w:id="81" w:name="_Toc143871285"/>
      <w:bookmarkStart w:id="82" w:name="_Toc504139376"/>
      <w:bookmarkStart w:id="83" w:name="_Toc401913938"/>
      <w:bookmarkStart w:id="84" w:name="_Toc11944581"/>
      <w:bookmarkStart w:id="85" w:name="_Toc5124208"/>
      <w:r>
        <w:rPr>
          <w:rFonts w:hint="eastAsia" w:ascii="方正楷体_GB2312" w:hAnsi="方正楷体_GB2312" w:eastAsia="方正楷体_GB2312" w:cs="方正楷体_GB2312"/>
          <w:b/>
          <w:bCs/>
          <w:color w:val="auto"/>
          <w:kern w:val="2"/>
          <w:sz w:val="24"/>
          <w:szCs w:val="24"/>
          <w:highlight w:val="none"/>
          <w:lang w:val="en-US" w:eastAsia="zh-CN"/>
        </w:rPr>
        <w:t>二</w:t>
      </w:r>
      <w:r>
        <w:rPr>
          <w:rFonts w:hint="eastAsia" w:ascii="方正楷体_GB2312" w:hAnsi="方正楷体_GB2312" w:eastAsia="方正楷体_GB2312" w:cs="方正楷体_GB2312"/>
          <w:b/>
          <w:bCs/>
          <w:color w:val="auto"/>
          <w:kern w:val="2"/>
          <w:sz w:val="24"/>
          <w:szCs w:val="24"/>
          <w:highlight w:val="none"/>
        </w:rPr>
        <w:t>、</w:t>
      </w:r>
      <w:bookmarkEnd w:id="48"/>
      <w:bookmarkEnd w:id="49"/>
      <w:bookmarkEnd w:id="50"/>
      <w:r>
        <w:rPr>
          <w:rFonts w:hint="eastAsia" w:ascii="方正楷体_GB2312" w:hAnsi="方正楷体_GB2312" w:eastAsia="方正楷体_GB2312" w:cs="方正楷体_GB2312"/>
          <w:b/>
          <w:bCs/>
          <w:color w:val="auto"/>
          <w:kern w:val="2"/>
          <w:sz w:val="24"/>
          <w:szCs w:val="24"/>
          <w:highlight w:val="none"/>
          <w:lang w:val="en-US" w:eastAsia="zh-CN"/>
        </w:rPr>
        <w:t>其他要求</w:t>
      </w:r>
    </w:p>
    <w:p w14:paraId="24F73D07">
      <w:pPr>
        <w:pStyle w:val="21"/>
        <w:keepNext w:val="0"/>
        <w:keepLines w:val="0"/>
        <w:pageBreakBefore w:val="0"/>
        <w:widowControl/>
        <w:shd w:val="clear"/>
        <w:tabs>
          <w:tab w:val="center" w:pos="4201"/>
          <w:tab w:val="right" w:leader="dot" w:pos="9298"/>
        </w:tabs>
        <w:kinsoku/>
        <w:wordWrap/>
        <w:overflowPunct/>
        <w:topLinePunct w:val="0"/>
        <w:autoSpaceDE w:val="0"/>
        <w:autoSpaceDN w:val="0"/>
        <w:bidi w:val="0"/>
        <w:adjustRightInd/>
        <w:snapToGrid/>
        <w:spacing w:line="360" w:lineRule="auto"/>
        <w:ind w:firstLine="480" w:firstLineChars="200"/>
        <w:textAlignment w:val="auto"/>
        <w:rPr>
          <w:rFonts w:hint="eastAsia" w:ascii="方正楷体_GB2312" w:hAnsi="方正楷体_GB2312" w:eastAsia="方正楷体_GB2312" w:cs="方正楷体_GB2312"/>
          <w:color w:val="auto"/>
          <w:kern w:val="2"/>
          <w:sz w:val="24"/>
          <w:szCs w:val="24"/>
          <w:highlight w:val="none"/>
        </w:rPr>
      </w:pPr>
      <w:r>
        <w:rPr>
          <w:rFonts w:hint="eastAsia" w:ascii="方正楷体_GB2312" w:hAnsi="方正楷体_GB2312" w:eastAsia="方正楷体_GB2312" w:cs="方正楷体_GB2312"/>
          <w:color w:val="auto"/>
          <w:kern w:val="2"/>
          <w:sz w:val="24"/>
          <w:szCs w:val="24"/>
          <w:highlight w:val="none"/>
          <w:lang w:eastAsia="zh-CN"/>
        </w:rPr>
        <w:t>（</w:t>
      </w:r>
      <w:r>
        <w:rPr>
          <w:rFonts w:hint="eastAsia" w:ascii="方正楷体_GB2312" w:hAnsi="方正楷体_GB2312" w:eastAsia="方正楷体_GB2312" w:cs="方正楷体_GB2312"/>
          <w:color w:val="auto"/>
          <w:kern w:val="2"/>
          <w:sz w:val="24"/>
          <w:szCs w:val="24"/>
          <w:highlight w:val="none"/>
          <w:lang w:val="en-US" w:eastAsia="zh-CN"/>
        </w:rPr>
        <w:t>1</w:t>
      </w:r>
      <w:r>
        <w:rPr>
          <w:rFonts w:hint="eastAsia" w:ascii="方正楷体_GB2312" w:hAnsi="方正楷体_GB2312" w:eastAsia="方正楷体_GB2312" w:cs="方正楷体_GB2312"/>
          <w:color w:val="auto"/>
          <w:kern w:val="2"/>
          <w:sz w:val="24"/>
          <w:szCs w:val="24"/>
          <w:highlight w:val="none"/>
          <w:lang w:eastAsia="zh-CN"/>
        </w:rPr>
        <w:t>）</w:t>
      </w:r>
      <w:r>
        <w:rPr>
          <w:rFonts w:hint="eastAsia" w:ascii="方正楷体_GB2312" w:hAnsi="方正楷体_GB2312" w:eastAsia="方正楷体_GB2312" w:cs="方正楷体_GB2312"/>
          <w:color w:val="auto"/>
          <w:kern w:val="2"/>
          <w:sz w:val="24"/>
          <w:szCs w:val="24"/>
          <w:highlight w:val="none"/>
        </w:rPr>
        <w:t>所购的食品、食材无论数量多少，供货商应无条件、按时保质保量送货。</w:t>
      </w:r>
    </w:p>
    <w:p w14:paraId="12084723">
      <w:pPr>
        <w:pStyle w:val="21"/>
        <w:keepNext w:val="0"/>
        <w:keepLines w:val="0"/>
        <w:pageBreakBefore w:val="0"/>
        <w:widowControl/>
        <w:shd w:val="clear"/>
        <w:tabs>
          <w:tab w:val="center" w:pos="4201"/>
          <w:tab w:val="right" w:leader="dot" w:pos="9298"/>
        </w:tabs>
        <w:kinsoku/>
        <w:wordWrap/>
        <w:overflowPunct/>
        <w:topLinePunct w:val="0"/>
        <w:autoSpaceDE w:val="0"/>
        <w:autoSpaceDN w:val="0"/>
        <w:bidi w:val="0"/>
        <w:adjustRightInd/>
        <w:snapToGrid/>
        <w:spacing w:line="360" w:lineRule="auto"/>
        <w:ind w:firstLine="480" w:firstLineChars="200"/>
        <w:textAlignment w:val="auto"/>
        <w:rPr>
          <w:rFonts w:hint="eastAsia" w:ascii="方正楷体_GB2312" w:hAnsi="方正楷体_GB2312" w:eastAsia="方正楷体_GB2312" w:cs="方正楷体_GB2312"/>
          <w:color w:val="auto"/>
          <w:kern w:val="2"/>
          <w:sz w:val="24"/>
          <w:szCs w:val="24"/>
          <w:highlight w:val="none"/>
        </w:rPr>
      </w:pPr>
      <w:r>
        <w:rPr>
          <w:rFonts w:hint="eastAsia" w:ascii="方正楷体_GB2312" w:hAnsi="方正楷体_GB2312" w:eastAsia="方正楷体_GB2312" w:cs="方正楷体_GB2312"/>
          <w:color w:val="auto"/>
          <w:kern w:val="2"/>
          <w:sz w:val="24"/>
          <w:szCs w:val="24"/>
          <w:highlight w:val="none"/>
          <w:lang w:eastAsia="zh-CN"/>
        </w:rPr>
        <w:t>（</w:t>
      </w:r>
      <w:r>
        <w:rPr>
          <w:rFonts w:hint="eastAsia" w:ascii="方正楷体_GB2312" w:hAnsi="方正楷体_GB2312" w:eastAsia="方正楷体_GB2312" w:cs="方正楷体_GB2312"/>
          <w:color w:val="auto"/>
          <w:kern w:val="2"/>
          <w:sz w:val="24"/>
          <w:szCs w:val="24"/>
          <w:highlight w:val="none"/>
          <w:lang w:val="en-US" w:eastAsia="zh-CN"/>
        </w:rPr>
        <w:t>2</w:t>
      </w:r>
      <w:r>
        <w:rPr>
          <w:rFonts w:hint="eastAsia" w:ascii="方正楷体_GB2312" w:hAnsi="方正楷体_GB2312" w:eastAsia="方正楷体_GB2312" w:cs="方正楷体_GB2312"/>
          <w:color w:val="auto"/>
          <w:kern w:val="2"/>
          <w:sz w:val="24"/>
          <w:szCs w:val="24"/>
          <w:highlight w:val="none"/>
          <w:lang w:eastAsia="zh-CN"/>
        </w:rPr>
        <w:t>）</w:t>
      </w:r>
      <w:r>
        <w:rPr>
          <w:rFonts w:hint="eastAsia" w:ascii="方正楷体_GB2312" w:hAnsi="方正楷体_GB2312" w:eastAsia="方正楷体_GB2312" w:cs="方正楷体_GB2312"/>
          <w:color w:val="auto"/>
          <w:kern w:val="2"/>
          <w:sz w:val="24"/>
          <w:szCs w:val="24"/>
          <w:highlight w:val="none"/>
        </w:rPr>
        <w:t>食堂所购的食品、食材，供货商需按规定时间送到学校食堂。超出约定时间30分钟，则将扣除当日货款10％作为处罚。</w:t>
      </w:r>
    </w:p>
    <w:p w14:paraId="0EC3B351">
      <w:pPr>
        <w:pStyle w:val="21"/>
        <w:keepNext w:val="0"/>
        <w:keepLines w:val="0"/>
        <w:pageBreakBefore w:val="0"/>
        <w:widowControl/>
        <w:shd w:val="clear"/>
        <w:tabs>
          <w:tab w:val="center" w:pos="4201"/>
          <w:tab w:val="right" w:leader="dot" w:pos="9298"/>
        </w:tabs>
        <w:kinsoku/>
        <w:wordWrap/>
        <w:overflowPunct/>
        <w:topLinePunct w:val="0"/>
        <w:autoSpaceDE w:val="0"/>
        <w:autoSpaceDN w:val="0"/>
        <w:bidi w:val="0"/>
        <w:adjustRightInd/>
        <w:snapToGrid/>
        <w:spacing w:line="360" w:lineRule="auto"/>
        <w:ind w:firstLine="480" w:firstLineChars="200"/>
        <w:textAlignment w:val="auto"/>
        <w:rPr>
          <w:rFonts w:hint="eastAsia" w:ascii="方正楷体_GB2312" w:hAnsi="方正楷体_GB2312" w:eastAsia="方正楷体_GB2312" w:cs="方正楷体_GB2312"/>
          <w:color w:val="auto"/>
          <w:kern w:val="2"/>
          <w:sz w:val="24"/>
          <w:szCs w:val="24"/>
          <w:highlight w:val="none"/>
        </w:rPr>
      </w:pPr>
      <w:r>
        <w:rPr>
          <w:rFonts w:hint="eastAsia" w:ascii="方正楷体_GB2312" w:hAnsi="方正楷体_GB2312" w:eastAsia="方正楷体_GB2312" w:cs="方正楷体_GB2312"/>
          <w:color w:val="auto"/>
          <w:kern w:val="2"/>
          <w:sz w:val="24"/>
          <w:szCs w:val="24"/>
          <w:highlight w:val="none"/>
          <w:lang w:eastAsia="zh-CN"/>
        </w:rPr>
        <w:t>（</w:t>
      </w:r>
      <w:r>
        <w:rPr>
          <w:rFonts w:hint="eastAsia" w:ascii="方正楷体_GB2312" w:hAnsi="方正楷体_GB2312" w:eastAsia="方正楷体_GB2312" w:cs="方正楷体_GB2312"/>
          <w:color w:val="auto"/>
          <w:kern w:val="2"/>
          <w:sz w:val="24"/>
          <w:szCs w:val="24"/>
          <w:highlight w:val="none"/>
          <w:lang w:val="en-US" w:eastAsia="zh-CN"/>
        </w:rPr>
        <w:t>3</w:t>
      </w:r>
      <w:r>
        <w:rPr>
          <w:rFonts w:hint="eastAsia" w:ascii="方正楷体_GB2312" w:hAnsi="方正楷体_GB2312" w:eastAsia="方正楷体_GB2312" w:cs="方正楷体_GB2312"/>
          <w:color w:val="auto"/>
          <w:kern w:val="2"/>
          <w:sz w:val="24"/>
          <w:szCs w:val="24"/>
          <w:highlight w:val="none"/>
          <w:lang w:eastAsia="zh-CN"/>
        </w:rPr>
        <w:t>）</w:t>
      </w:r>
      <w:r>
        <w:rPr>
          <w:rFonts w:hint="eastAsia" w:ascii="方正楷体_GB2312" w:hAnsi="方正楷体_GB2312" w:eastAsia="方正楷体_GB2312" w:cs="方正楷体_GB2312"/>
          <w:color w:val="auto"/>
          <w:kern w:val="2"/>
          <w:sz w:val="24"/>
          <w:szCs w:val="24"/>
          <w:highlight w:val="none"/>
        </w:rPr>
        <w:t>如遇不可抗拒特殊情况，无法按时送达货物，供货商需提前通知学校食堂。并立即想办法解决困难，配送到达时间不得超过约定时间一小时，如供货商在规定时间内没有配送到，给学校带来的一切经济后果将由供货商承担。</w:t>
      </w:r>
    </w:p>
    <w:p w14:paraId="7AE3C5ED">
      <w:pPr>
        <w:pStyle w:val="21"/>
        <w:keepNext w:val="0"/>
        <w:keepLines w:val="0"/>
        <w:pageBreakBefore w:val="0"/>
        <w:widowControl/>
        <w:shd w:val="clear"/>
        <w:tabs>
          <w:tab w:val="center" w:pos="4201"/>
          <w:tab w:val="right" w:leader="dot" w:pos="9298"/>
        </w:tabs>
        <w:kinsoku/>
        <w:wordWrap/>
        <w:overflowPunct/>
        <w:topLinePunct w:val="0"/>
        <w:autoSpaceDE w:val="0"/>
        <w:autoSpaceDN w:val="0"/>
        <w:bidi w:val="0"/>
        <w:adjustRightInd/>
        <w:snapToGrid/>
        <w:spacing w:line="360" w:lineRule="auto"/>
        <w:ind w:firstLine="480" w:firstLineChars="200"/>
        <w:textAlignment w:val="auto"/>
        <w:rPr>
          <w:rFonts w:hint="eastAsia" w:ascii="方正楷体_GB2312" w:hAnsi="方正楷体_GB2312" w:eastAsia="方正楷体_GB2312" w:cs="方正楷体_GB2312"/>
          <w:color w:val="auto"/>
          <w:kern w:val="2"/>
          <w:sz w:val="24"/>
          <w:szCs w:val="24"/>
          <w:highlight w:val="none"/>
        </w:rPr>
      </w:pPr>
      <w:r>
        <w:rPr>
          <w:rFonts w:hint="eastAsia" w:ascii="方正楷体_GB2312" w:hAnsi="方正楷体_GB2312" w:eastAsia="方正楷体_GB2312" w:cs="方正楷体_GB2312"/>
          <w:color w:val="auto"/>
          <w:kern w:val="2"/>
          <w:sz w:val="24"/>
          <w:szCs w:val="24"/>
          <w:highlight w:val="none"/>
          <w:lang w:eastAsia="zh-CN"/>
        </w:rPr>
        <w:t>（</w:t>
      </w:r>
      <w:r>
        <w:rPr>
          <w:rFonts w:hint="eastAsia" w:ascii="方正楷体_GB2312" w:hAnsi="方正楷体_GB2312" w:eastAsia="方正楷体_GB2312" w:cs="方正楷体_GB2312"/>
          <w:color w:val="auto"/>
          <w:kern w:val="2"/>
          <w:sz w:val="24"/>
          <w:szCs w:val="24"/>
          <w:highlight w:val="none"/>
          <w:lang w:val="en-US" w:eastAsia="zh-CN"/>
        </w:rPr>
        <w:t>4</w:t>
      </w:r>
      <w:r>
        <w:rPr>
          <w:rFonts w:hint="eastAsia" w:ascii="方正楷体_GB2312" w:hAnsi="方正楷体_GB2312" w:eastAsia="方正楷体_GB2312" w:cs="方正楷体_GB2312"/>
          <w:color w:val="auto"/>
          <w:kern w:val="2"/>
          <w:sz w:val="24"/>
          <w:szCs w:val="24"/>
          <w:highlight w:val="none"/>
          <w:lang w:eastAsia="zh-CN"/>
        </w:rPr>
        <w:t>）</w:t>
      </w:r>
      <w:r>
        <w:rPr>
          <w:rFonts w:hint="eastAsia" w:ascii="方正楷体_GB2312" w:hAnsi="方正楷体_GB2312" w:eastAsia="方正楷体_GB2312" w:cs="方正楷体_GB2312"/>
          <w:color w:val="auto"/>
          <w:kern w:val="2"/>
          <w:sz w:val="24"/>
          <w:szCs w:val="24"/>
          <w:highlight w:val="none"/>
          <w:lang w:val="en-US" w:eastAsia="zh-CN"/>
        </w:rPr>
        <w:t>货物送达时间</w:t>
      </w:r>
      <w:r>
        <w:rPr>
          <w:rFonts w:hint="eastAsia" w:ascii="方正楷体_GB2312" w:hAnsi="方正楷体_GB2312" w:eastAsia="方正楷体_GB2312" w:cs="方正楷体_GB2312"/>
          <w:color w:val="auto"/>
          <w:kern w:val="2"/>
          <w:sz w:val="24"/>
          <w:szCs w:val="24"/>
          <w:highlight w:val="none"/>
        </w:rPr>
        <w:t>:由双方商定，一经确定双方必须严格执行。</w:t>
      </w:r>
    </w:p>
    <w:p w14:paraId="53EAC04D">
      <w:pPr>
        <w:pStyle w:val="21"/>
        <w:keepNext w:val="0"/>
        <w:keepLines w:val="0"/>
        <w:pageBreakBefore w:val="0"/>
        <w:widowControl/>
        <w:shd w:val="clear"/>
        <w:tabs>
          <w:tab w:val="center" w:pos="4201"/>
          <w:tab w:val="right" w:leader="dot" w:pos="9298"/>
        </w:tabs>
        <w:kinsoku/>
        <w:wordWrap/>
        <w:overflowPunct/>
        <w:topLinePunct w:val="0"/>
        <w:autoSpaceDE w:val="0"/>
        <w:autoSpaceDN w:val="0"/>
        <w:bidi w:val="0"/>
        <w:adjustRightInd/>
        <w:snapToGrid/>
        <w:spacing w:line="360" w:lineRule="auto"/>
        <w:ind w:firstLine="480" w:firstLineChars="200"/>
        <w:textAlignment w:val="auto"/>
        <w:rPr>
          <w:rFonts w:hint="eastAsia" w:ascii="方正楷体_GB2312" w:hAnsi="方正楷体_GB2312" w:eastAsia="方正楷体_GB2312" w:cs="方正楷体_GB2312"/>
          <w:color w:val="auto"/>
          <w:kern w:val="2"/>
          <w:sz w:val="24"/>
          <w:szCs w:val="24"/>
          <w:highlight w:val="none"/>
        </w:rPr>
      </w:pPr>
      <w:r>
        <w:rPr>
          <w:rFonts w:hint="eastAsia" w:ascii="方正楷体_GB2312" w:hAnsi="方正楷体_GB2312" w:eastAsia="方正楷体_GB2312" w:cs="方正楷体_GB2312"/>
          <w:color w:val="auto"/>
          <w:kern w:val="2"/>
          <w:sz w:val="24"/>
          <w:szCs w:val="24"/>
          <w:highlight w:val="none"/>
          <w:lang w:eastAsia="zh-CN"/>
        </w:rPr>
        <w:t>（</w:t>
      </w:r>
      <w:r>
        <w:rPr>
          <w:rFonts w:hint="eastAsia" w:ascii="方正楷体_GB2312" w:hAnsi="方正楷体_GB2312" w:eastAsia="方正楷体_GB2312" w:cs="方正楷体_GB2312"/>
          <w:color w:val="auto"/>
          <w:kern w:val="2"/>
          <w:sz w:val="24"/>
          <w:szCs w:val="24"/>
          <w:highlight w:val="none"/>
          <w:lang w:val="en-US" w:eastAsia="zh-CN"/>
        </w:rPr>
        <w:t>5</w:t>
      </w:r>
      <w:r>
        <w:rPr>
          <w:rFonts w:hint="eastAsia" w:ascii="方正楷体_GB2312" w:hAnsi="方正楷体_GB2312" w:eastAsia="方正楷体_GB2312" w:cs="方正楷体_GB2312"/>
          <w:color w:val="auto"/>
          <w:kern w:val="2"/>
          <w:sz w:val="24"/>
          <w:szCs w:val="24"/>
          <w:highlight w:val="none"/>
          <w:lang w:eastAsia="zh-CN"/>
        </w:rPr>
        <w:t>）</w:t>
      </w:r>
      <w:r>
        <w:rPr>
          <w:rFonts w:hint="eastAsia" w:ascii="方正楷体_GB2312" w:hAnsi="方正楷体_GB2312" w:eastAsia="方正楷体_GB2312" w:cs="方正楷体_GB2312"/>
          <w:color w:val="auto"/>
          <w:kern w:val="2"/>
          <w:sz w:val="24"/>
          <w:szCs w:val="24"/>
          <w:highlight w:val="none"/>
        </w:rPr>
        <w:t>食品、食材送到后，学校负责当面验收数量、质量，发现问题供货商必须立即退换。</w:t>
      </w:r>
    </w:p>
    <w:p w14:paraId="35CBA1BE">
      <w:pPr>
        <w:pStyle w:val="21"/>
        <w:keepNext w:val="0"/>
        <w:keepLines w:val="0"/>
        <w:pageBreakBefore w:val="0"/>
        <w:widowControl/>
        <w:shd w:val="clear"/>
        <w:tabs>
          <w:tab w:val="center" w:pos="4201"/>
          <w:tab w:val="right" w:leader="dot" w:pos="9298"/>
        </w:tabs>
        <w:kinsoku/>
        <w:wordWrap/>
        <w:overflowPunct/>
        <w:topLinePunct w:val="0"/>
        <w:autoSpaceDE w:val="0"/>
        <w:autoSpaceDN w:val="0"/>
        <w:bidi w:val="0"/>
        <w:adjustRightInd/>
        <w:snapToGrid/>
        <w:spacing w:line="360" w:lineRule="auto"/>
        <w:ind w:firstLine="480" w:firstLineChars="200"/>
        <w:textAlignment w:val="auto"/>
        <w:rPr>
          <w:rFonts w:hint="eastAsia" w:ascii="方正楷体_GB2312" w:hAnsi="方正楷体_GB2312" w:eastAsia="方正楷体_GB2312" w:cs="方正楷体_GB2312"/>
          <w:color w:val="auto"/>
          <w:kern w:val="2"/>
          <w:sz w:val="24"/>
          <w:szCs w:val="24"/>
          <w:highlight w:val="none"/>
        </w:rPr>
      </w:pPr>
      <w:r>
        <w:rPr>
          <w:rFonts w:hint="eastAsia" w:ascii="方正楷体_GB2312" w:hAnsi="方正楷体_GB2312" w:eastAsia="方正楷体_GB2312" w:cs="方正楷体_GB2312"/>
          <w:color w:val="auto"/>
          <w:kern w:val="2"/>
          <w:sz w:val="24"/>
          <w:szCs w:val="24"/>
          <w:highlight w:val="none"/>
          <w:lang w:eastAsia="zh-CN"/>
        </w:rPr>
        <w:t>（</w:t>
      </w:r>
      <w:r>
        <w:rPr>
          <w:rFonts w:hint="eastAsia" w:ascii="方正楷体_GB2312" w:hAnsi="方正楷体_GB2312" w:eastAsia="方正楷体_GB2312" w:cs="方正楷体_GB2312"/>
          <w:color w:val="auto"/>
          <w:kern w:val="2"/>
          <w:sz w:val="24"/>
          <w:szCs w:val="24"/>
          <w:highlight w:val="none"/>
          <w:lang w:val="en-US" w:eastAsia="zh-CN"/>
        </w:rPr>
        <w:t>6</w:t>
      </w:r>
      <w:r>
        <w:rPr>
          <w:rFonts w:hint="eastAsia" w:ascii="方正楷体_GB2312" w:hAnsi="方正楷体_GB2312" w:eastAsia="方正楷体_GB2312" w:cs="方正楷体_GB2312"/>
          <w:color w:val="auto"/>
          <w:kern w:val="2"/>
          <w:sz w:val="24"/>
          <w:szCs w:val="24"/>
          <w:highlight w:val="none"/>
          <w:lang w:eastAsia="zh-CN"/>
        </w:rPr>
        <w:t>）</w:t>
      </w:r>
      <w:r>
        <w:rPr>
          <w:rFonts w:hint="eastAsia" w:ascii="方正楷体_GB2312" w:hAnsi="方正楷体_GB2312" w:eastAsia="方正楷体_GB2312" w:cs="方正楷体_GB2312"/>
          <w:color w:val="auto"/>
          <w:kern w:val="2"/>
          <w:sz w:val="24"/>
          <w:szCs w:val="24"/>
          <w:highlight w:val="none"/>
        </w:rPr>
        <w:t>所供食品、食材必须新鲜，无腐败、异味、变质等情况，包装食材供货时剩余保质期不少于</w:t>
      </w:r>
      <w:r>
        <w:rPr>
          <w:rFonts w:hint="eastAsia" w:ascii="方正楷体_GB2312" w:hAnsi="方正楷体_GB2312" w:eastAsia="方正楷体_GB2312" w:cs="方正楷体_GB2312"/>
          <w:color w:val="auto"/>
          <w:kern w:val="2"/>
          <w:sz w:val="24"/>
          <w:szCs w:val="24"/>
          <w:highlight w:val="none"/>
          <w:lang w:val="en-US" w:eastAsia="zh-CN"/>
        </w:rPr>
        <w:t>三分之二</w:t>
      </w:r>
      <w:r>
        <w:rPr>
          <w:rFonts w:hint="eastAsia" w:ascii="方正楷体_GB2312" w:hAnsi="方正楷体_GB2312" w:eastAsia="方正楷体_GB2312" w:cs="方正楷体_GB2312"/>
          <w:color w:val="auto"/>
          <w:kern w:val="2"/>
          <w:sz w:val="24"/>
          <w:szCs w:val="24"/>
          <w:highlight w:val="none"/>
        </w:rPr>
        <w:t>。必须及时提供供应学校食品、食材的相关票证(发票签字收据等)并详细备注品名、规格、生产日期、保质期等信息。</w:t>
      </w:r>
    </w:p>
    <w:p w14:paraId="56A7DC34">
      <w:pPr>
        <w:pStyle w:val="21"/>
        <w:keepNext w:val="0"/>
        <w:keepLines w:val="0"/>
        <w:pageBreakBefore w:val="0"/>
        <w:widowControl/>
        <w:shd w:val="clear"/>
        <w:tabs>
          <w:tab w:val="center" w:pos="4201"/>
          <w:tab w:val="right" w:leader="dot" w:pos="9298"/>
        </w:tabs>
        <w:kinsoku/>
        <w:wordWrap/>
        <w:overflowPunct/>
        <w:topLinePunct w:val="0"/>
        <w:autoSpaceDE w:val="0"/>
        <w:autoSpaceDN w:val="0"/>
        <w:bidi w:val="0"/>
        <w:adjustRightInd/>
        <w:snapToGrid/>
        <w:spacing w:line="360" w:lineRule="auto"/>
        <w:ind w:firstLine="480" w:firstLineChars="200"/>
        <w:textAlignment w:val="auto"/>
        <w:rPr>
          <w:rFonts w:hint="eastAsia" w:ascii="方正楷体_GB2312" w:hAnsi="方正楷体_GB2312" w:eastAsia="方正楷体_GB2312" w:cs="方正楷体_GB2312"/>
          <w:color w:val="auto"/>
          <w:kern w:val="2"/>
          <w:sz w:val="24"/>
          <w:szCs w:val="24"/>
          <w:highlight w:val="none"/>
        </w:rPr>
      </w:pPr>
      <w:r>
        <w:rPr>
          <w:rFonts w:hint="eastAsia" w:ascii="方正楷体_GB2312" w:hAnsi="方正楷体_GB2312" w:eastAsia="方正楷体_GB2312" w:cs="方正楷体_GB2312"/>
          <w:color w:val="auto"/>
          <w:kern w:val="2"/>
          <w:sz w:val="24"/>
          <w:szCs w:val="24"/>
          <w:highlight w:val="none"/>
          <w:lang w:eastAsia="zh-CN"/>
        </w:rPr>
        <w:t>（</w:t>
      </w:r>
      <w:r>
        <w:rPr>
          <w:rFonts w:hint="eastAsia" w:ascii="方正楷体_GB2312" w:hAnsi="方正楷体_GB2312" w:eastAsia="方正楷体_GB2312" w:cs="方正楷体_GB2312"/>
          <w:color w:val="auto"/>
          <w:kern w:val="2"/>
          <w:sz w:val="24"/>
          <w:szCs w:val="24"/>
          <w:highlight w:val="none"/>
          <w:lang w:val="en-US" w:eastAsia="zh-CN"/>
        </w:rPr>
        <w:t>7</w:t>
      </w:r>
      <w:r>
        <w:rPr>
          <w:rFonts w:hint="eastAsia" w:ascii="方正楷体_GB2312" w:hAnsi="方正楷体_GB2312" w:eastAsia="方正楷体_GB2312" w:cs="方正楷体_GB2312"/>
          <w:color w:val="auto"/>
          <w:kern w:val="2"/>
          <w:sz w:val="24"/>
          <w:szCs w:val="24"/>
          <w:highlight w:val="none"/>
          <w:lang w:eastAsia="zh-CN"/>
        </w:rPr>
        <w:t>）</w:t>
      </w:r>
      <w:r>
        <w:rPr>
          <w:rFonts w:hint="eastAsia" w:ascii="方正楷体_GB2312" w:hAnsi="方正楷体_GB2312" w:eastAsia="方正楷体_GB2312" w:cs="方正楷体_GB2312"/>
          <w:color w:val="auto"/>
          <w:kern w:val="2"/>
          <w:sz w:val="24"/>
          <w:szCs w:val="24"/>
          <w:highlight w:val="none"/>
        </w:rPr>
        <w:t>学校师生员工因食用食堂饭菜发生中毒事故，经有关单位鉴定，如确定因供货商提供的食品、食材质量问题引发的，供货商除需负担全额医药费外，并应承担法律上一切责任且放弃先诉抗辩权。同时学校立即解除合作。</w:t>
      </w:r>
    </w:p>
    <w:p w14:paraId="662B2D38">
      <w:pPr>
        <w:pStyle w:val="21"/>
        <w:keepNext w:val="0"/>
        <w:keepLines w:val="0"/>
        <w:pageBreakBefore w:val="0"/>
        <w:widowControl/>
        <w:shd w:val="clear"/>
        <w:tabs>
          <w:tab w:val="center" w:pos="4201"/>
          <w:tab w:val="right" w:leader="dot" w:pos="9298"/>
        </w:tabs>
        <w:kinsoku/>
        <w:wordWrap/>
        <w:overflowPunct/>
        <w:topLinePunct w:val="0"/>
        <w:autoSpaceDE w:val="0"/>
        <w:autoSpaceDN w:val="0"/>
        <w:bidi w:val="0"/>
        <w:adjustRightInd/>
        <w:snapToGrid/>
        <w:spacing w:line="360" w:lineRule="auto"/>
        <w:ind w:firstLine="480" w:firstLineChars="200"/>
        <w:textAlignment w:val="auto"/>
        <w:rPr>
          <w:rFonts w:hint="eastAsia" w:ascii="方正楷体_GB2312" w:hAnsi="方正楷体_GB2312" w:eastAsia="方正楷体_GB2312" w:cs="方正楷体_GB2312"/>
          <w:color w:val="auto"/>
          <w:kern w:val="2"/>
          <w:sz w:val="24"/>
          <w:szCs w:val="24"/>
          <w:highlight w:val="none"/>
        </w:rPr>
      </w:pPr>
      <w:r>
        <w:rPr>
          <w:rFonts w:hint="eastAsia" w:ascii="方正楷体_GB2312" w:hAnsi="方正楷体_GB2312" w:eastAsia="方正楷体_GB2312" w:cs="方正楷体_GB2312"/>
          <w:color w:val="auto"/>
          <w:kern w:val="2"/>
          <w:sz w:val="24"/>
          <w:szCs w:val="24"/>
          <w:highlight w:val="none"/>
          <w:lang w:eastAsia="zh-CN"/>
        </w:rPr>
        <w:t>（</w:t>
      </w:r>
      <w:r>
        <w:rPr>
          <w:rFonts w:hint="eastAsia" w:ascii="方正楷体_GB2312" w:hAnsi="方正楷体_GB2312" w:eastAsia="方正楷体_GB2312" w:cs="方正楷体_GB2312"/>
          <w:color w:val="auto"/>
          <w:kern w:val="2"/>
          <w:sz w:val="24"/>
          <w:szCs w:val="24"/>
          <w:highlight w:val="none"/>
          <w:lang w:val="en-US" w:eastAsia="zh-CN"/>
        </w:rPr>
        <w:t>8</w:t>
      </w:r>
      <w:r>
        <w:rPr>
          <w:rFonts w:hint="eastAsia" w:ascii="方正楷体_GB2312" w:hAnsi="方正楷体_GB2312" w:eastAsia="方正楷体_GB2312" w:cs="方正楷体_GB2312"/>
          <w:color w:val="auto"/>
          <w:kern w:val="2"/>
          <w:sz w:val="24"/>
          <w:szCs w:val="24"/>
          <w:highlight w:val="none"/>
          <w:lang w:eastAsia="zh-CN"/>
        </w:rPr>
        <w:t>）</w:t>
      </w:r>
      <w:r>
        <w:rPr>
          <w:rFonts w:hint="eastAsia" w:ascii="方正楷体_GB2312" w:hAnsi="方正楷体_GB2312" w:eastAsia="方正楷体_GB2312" w:cs="方正楷体_GB2312"/>
          <w:color w:val="auto"/>
          <w:kern w:val="2"/>
          <w:sz w:val="24"/>
          <w:szCs w:val="24"/>
          <w:highlight w:val="none"/>
        </w:rPr>
        <w:t>供货商提供的原材料如出现经政府监管部门确认的食品质量、卫生等影响食品安全的，供货商承担一切责任。</w:t>
      </w:r>
    </w:p>
    <w:p w14:paraId="5F2B120E">
      <w:pPr>
        <w:pStyle w:val="21"/>
        <w:keepNext w:val="0"/>
        <w:keepLines w:val="0"/>
        <w:pageBreakBefore w:val="0"/>
        <w:widowControl/>
        <w:shd w:val="clear"/>
        <w:tabs>
          <w:tab w:val="center" w:pos="4201"/>
          <w:tab w:val="right" w:leader="dot" w:pos="9298"/>
        </w:tabs>
        <w:kinsoku/>
        <w:wordWrap/>
        <w:overflowPunct/>
        <w:topLinePunct w:val="0"/>
        <w:autoSpaceDE w:val="0"/>
        <w:autoSpaceDN w:val="0"/>
        <w:bidi w:val="0"/>
        <w:adjustRightInd/>
        <w:snapToGrid/>
        <w:spacing w:line="360" w:lineRule="auto"/>
        <w:ind w:firstLine="480" w:firstLineChars="200"/>
        <w:textAlignment w:val="auto"/>
        <w:rPr>
          <w:rFonts w:hint="eastAsia" w:ascii="方正楷体_GB2312" w:hAnsi="方正楷体_GB2312" w:eastAsia="方正楷体_GB2312" w:cs="方正楷体_GB2312"/>
          <w:color w:val="auto"/>
          <w:kern w:val="2"/>
          <w:sz w:val="24"/>
          <w:szCs w:val="24"/>
          <w:highlight w:val="none"/>
        </w:rPr>
      </w:pPr>
      <w:r>
        <w:rPr>
          <w:rFonts w:hint="eastAsia" w:ascii="方正楷体_GB2312" w:hAnsi="方正楷体_GB2312" w:eastAsia="方正楷体_GB2312" w:cs="方正楷体_GB2312"/>
          <w:color w:val="auto"/>
          <w:kern w:val="2"/>
          <w:sz w:val="24"/>
          <w:szCs w:val="24"/>
          <w:highlight w:val="none"/>
          <w:lang w:eastAsia="zh-CN"/>
        </w:rPr>
        <w:t>（</w:t>
      </w:r>
      <w:r>
        <w:rPr>
          <w:rFonts w:hint="eastAsia" w:ascii="方正楷体_GB2312" w:hAnsi="方正楷体_GB2312" w:eastAsia="方正楷体_GB2312" w:cs="方正楷体_GB2312"/>
          <w:color w:val="auto"/>
          <w:kern w:val="2"/>
          <w:sz w:val="24"/>
          <w:szCs w:val="24"/>
          <w:highlight w:val="none"/>
          <w:lang w:val="en-US" w:eastAsia="zh-CN"/>
        </w:rPr>
        <w:t>9</w:t>
      </w:r>
      <w:r>
        <w:rPr>
          <w:rFonts w:hint="eastAsia" w:ascii="方正楷体_GB2312" w:hAnsi="方正楷体_GB2312" w:eastAsia="方正楷体_GB2312" w:cs="方正楷体_GB2312"/>
          <w:color w:val="auto"/>
          <w:kern w:val="2"/>
          <w:sz w:val="24"/>
          <w:szCs w:val="24"/>
          <w:highlight w:val="none"/>
          <w:lang w:eastAsia="zh-CN"/>
        </w:rPr>
        <w:t>）</w:t>
      </w:r>
      <w:r>
        <w:rPr>
          <w:rFonts w:hint="eastAsia" w:ascii="方正楷体_GB2312" w:hAnsi="方正楷体_GB2312" w:eastAsia="方正楷体_GB2312" w:cs="方正楷体_GB2312"/>
          <w:color w:val="auto"/>
          <w:kern w:val="2"/>
          <w:sz w:val="24"/>
          <w:szCs w:val="24"/>
          <w:highlight w:val="none"/>
        </w:rPr>
        <w:t>运输车辆及配送人员充足，能保证及时保质保量供货，配送人员和车辆不得随意变换（若更换必须提前给学校报备）。</w:t>
      </w:r>
    </w:p>
    <w:p w14:paraId="276BF1D1">
      <w:pPr>
        <w:pStyle w:val="12"/>
        <w:shd w:val="clear"/>
        <w:spacing w:line="360" w:lineRule="auto"/>
        <w:rPr>
          <w:rFonts w:hint="eastAsia" w:ascii="方正楷体_GB2312" w:hAnsi="方正楷体_GB2312" w:eastAsia="方正楷体_GB2312" w:cs="方正楷体_GB2312"/>
          <w:color w:val="auto"/>
          <w:kern w:val="2"/>
          <w:sz w:val="24"/>
          <w:szCs w:val="24"/>
          <w:highlight w:val="none"/>
          <w:lang w:val="en-US" w:eastAsia="zh-CN" w:bidi="ar-SA"/>
        </w:rPr>
      </w:pPr>
      <w:r>
        <w:rPr>
          <w:rFonts w:hint="eastAsia" w:ascii="方正楷体_GB2312" w:hAnsi="方正楷体_GB2312" w:eastAsia="方正楷体_GB2312" w:cs="方正楷体_GB2312"/>
          <w:color w:val="auto"/>
          <w:kern w:val="2"/>
          <w:sz w:val="24"/>
          <w:szCs w:val="24"/>
          <w:highlight w:val="none"/>
          <w:lang w:eastAsia="zh-CN"/>
        </w:rPr>
        <w:t>（</w:t>
      </w:r>
      <w:r>
        <w:rPr>
          <w:rFonts w:hint="eastAsia" w:ascii="方正楷体_GB2312" w:hAnsi="方正楷体_GB2312" w:eastAsia="方正楷体_GB2312" w:cs="方正楷体_GB2312"/>
          <w:color w:val="auto"/>
          <w:kern w:val="2"/>
          <w:sz w:val="24"/>
          <w:szCs w:val="24"/>
          <w:highlight w:val="none"/>
          <w:lang w:val="en-US" w:eastAsia="zh-CN"/>
        </w:rPr>
        <w:t>10</w:t>
      </w:r>
      <w:r>
        <w:rPr>
          <w:rFonts w:hint="eastAsia" w:ascii="方正楷体_GB2312" w:hAnsi="方正楷体_GB2312" w:eastAsia="方正楷体_GB2312" w:cs="方正楷体_GB2312"/>
          <w:color w:val="auto"/>
          <w:kern w:val="2"/>
          <w:sz w:val="24"/>
          <w:szCs w:val="24"/>
          <w:highlight w:val="none"/>
          <w:lang w:eastAsia="zh-CN"/>
        </w:rPr>
        <w:t>）</w:t>
      </w:r>
      <w:r>
        <w:rPr>
          <w:rFonts w:hint="eastAsia" w:ascii="方正楷体_GB2312" w:hAnsi="方正楷体_GB2312" w:eastAsia="方正楷体_GB2312" w:cs="方正楷体_GB2312"/>
          <w:b w:val="0"/>
          <w:bCs w:val="0"/>
          <w:color w:val="auto"/>
          <w:kern w:val="2"/>
          <w:sz w:val="24"/>
          <w:szCs w:val="24"/>
          <w:highlight w:val="none"/>
          <w:lang w:val="en-US" w:eastAsia="zh-CN" w:bidi="ar-SA"/>
        </w:rPr>
        <w:t>车辆要求：</w:t>
      </w:r>
      <w:r>
        <w:rPr>
          <w:rFonts w:hint="eastAsia" w:ascii="方正楷体_GB2312" w:hAnsi="方正楷体_GB2312" w:eastAsia="方正楷体_GB2312" w:cs="方正楷体_GB2312"/>
          <w:color w:val="auto"/>
          <w:kern w:val="2"/>
          <w:sz w:val="24"/>
          <w:szCs w:val="24"/>
          <w:highlight w:val="none"/>
          <w:lang w:val="en-US" w:eastAsia="zh-CN" w:bidi="ar-SA"/>
        </w:rPr>
        <w:t>乙方食品运输必须采用符合卫生标准的外包装和运载工具，并且要保持清洁和定期消毒。运输车厢的内仓，包括地面、墙面和顶，应使用抗腐蚀、防潮，易清洁消毒的材料。车厢内无不良气味、异味。冷藏、冷冻食品必须用专用冷藏、冷冻载具运输，应当有必要的保温设备并在整个运输过程中保持安全的冷藏、冷冻温度。特别是对于长途运输的食品，保证食品在运输全过程处于合适的温度范围。整个运输过程应科学合理，运输车辆应定期清洁，保持性能稳定，符合规定的温度要求，使运输食品处于恒定的环境中。</w:t>
      </w:r>
    </w:p>
    <w:p w14:paraId="3C06BD0C">
      <w:pPr>
        <w:pStyle w:val="12"/>
        <w:shd w:val="clear"/>
        <w:spacing w:line="360" w:lineRule="auto"/>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kern w:val="2"/>
          <w:sz w:val="24"/>
          <w:szCs w:val="24"/>
          <w:highlight w:val="none"/>
          <w:lang w:eastAsia="zh-CN"/>
        </w:rPr>
        <w:t>（</w:t>
      </w:r>
      <w:r>
        <w:rPr>
          <w:rFonts w:hint="eastAsia" w:ascii="方正楷体_GB2312" w:hAnsi="方正楷体_GB2312" w:eastAsia="方正楷体_GB2312" w:cs="方正楷体_GB2312"/>
          <w:color w:val="auto"/>
          <w:kern w:val="2"/>
          <w:sz w:val="24"/>
          <w:szCs w:val="24"/>
          <w:highlight w:val="none"/>
          <w:lang w:val="en-US" w:eastAsia="zh-CN"/>
        </w:rPr>
        <w:t>11</w:t>
      </w:r>
      <w:r>
        <w:rPr>
          <w:rFonts w:hint="eastAsia" w:ascii="方正楷体_GB2312" w:hAnsi="方正楷体_GB2312" w:eastAsia="方正楷体_GB2312" w:cs="方正楷体_GB2312"/>
          <w:color w:val="auto"/>
          <w:kern w:val="2"/>
          <w:sz w:val="24"/>
          <w:szCs w:val="24"/>
          <w:highlight w:val="none"/>
          <w:lang w:eastAsia="zh-CN"/>
        </w:rPr>
        <w:t>）</w:t>
      </w:r>
      <w:r>
        <w:rPr>
          <w:rFonts w:hint="eastAsia" w:ascii="方正楷体_GB2312" w:hAnsi="方正楷体_GB2312" w:eastAsia="方正楷体_GB2312" w:cs="方正楷体_GB2312"/>
          <w:b w:val="0"/>
          <w:bCs w:val="0"/>
          <w:color w:val="auto"/>
          <w:kern w:val="2"/>
          <w:sz w:val="24"/>
          <w:szCs w:val="24"/>
          <w:highlight w:val="none"/>
          <w:lang w:val="en-US" w:eastAsia="zh-CN" w:bidi="ar-SA"/>
        </w:rPr>
        <w:t>送货车辆应保持清洁；食品</w:t>
      </w:r>
      <w:r>
        <w:rPr>
          <w:rFonts w:hint="eastAsia" w:ascii="方正楷体_GB2312" w:hAnsi="方正楷体_GB2312" w:eastAsia="方正楷体_GB2312" w:cs="方正楷体_GB2312"/>
          <w:color w:val="auto"/>
          <w:kern w:val="2"/>
          <w:sz w:val="24"/>
          <w:szCs w:val="24"/>
          <w:highlight w:val="none"/>
          <w:lang w:val="en-US" w:eastAsia="zh-CN" w:bidi="ar-SA"/>
        </w:rPr>
        <w:t>堆放科学合理，避免造成食品的交叉污染；如对温度有要求的食品应确定食品的温度，记录送货车辆温度，并记录存档。</w:t>
      </w:r>
    </w:p>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14:paraId="57AE256F">
      <w:pPr>
        <w:pageBreakBefore w:val="0"/>
        <w:shd w:val="clear"/>
        <w:kinsoku/>
        <w:wordWrap/>
        <w:topLinePunct w:val="0"/>
        <w:bidi w:val="0"/>
        <w:spacing w:line="360" w:lineRule="auto"/>
        <w:ind w:firstLine="723" w:firstLineChars="300"/>
        <w:textAlignment w:val="auto"/>
        <w:outlineLvl w:val="9"/>
        <w:rPr>
          <w:rFonts w:hint="eastAsia" w:ascii="方正楷体_GB2312" w:hAnsi="方正楷体_GB2312" w:eastAsia="方正楷体_GB2312" w:cs="方正楷体_GB2312"/>
          <w:b/>
          <w:bCs/>
          <w:color w:val="auto"/>
          <w:sz w:val="24"/>
          <w:szCs w:val="24"/>
          <w:highlight w:val="none"/>
          <w:lang w:val="en-US" w:eastAsia="zh-CN"/>
        </w:rPr>
      </w:pPr>
      <w:r>
        <w:rPr>
          <w:rFonts w:hint="eastAsia" w:ascii="方正楷体_GB2312" w:hAnsi="方正楷体_GB2312" w:eastAsia="方正楷体_GB2312" w:cs="方正楷体_GB2312"/>
          <w:b/>
          <w:bCs/>
          <w:color w:val="auto"/>
          <w:sz w:val="24"/>
          <w:szCs w:val="24"/>
          <w:highlight w:val="none"/>
          <w:lang w:val="en-US" w:eastAsia="zh-CN"/>
        </w:rPr>
        <w:t>三、幼儿园食堂食材验收要求</w:t>
      </w:r>
    </w:p>
    <w:p w14:paraId="6A648783">
      <w:pPr>
        <w:pageBreakBefore w:val="0"/>
        <w:shd w:val="clear"/>
        <w:kinsoku/>
        <w:wordWrap/>
        <w:topLinePunct w:val="0"/>
        <w:bidi w:val="0"/>
        <w:spacing w:line="360" w:lineRule="auto"/>
        <w:ind w:firstLine="720" w:firstLineChars="300"/>
        <w:textAlignment w:val="auto"/>
        <w:outlineLvl w:val="9"/>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color w:val="auto"/>
          <w:kern w:val="2"/>
          <w:sz w:val="24"/>
          <w:szCs w:val="24"/>
          <w:highlight w:val="none"/>
          <w:lang w:val="en-US" w:eastAsia="zh-CN"/>
        </w:rPr>
        <w:t>（1）</w:t>
      </w:r>
      <w:r>
        <w:rPr>
          <w:rFonts w:hint="eastAsia" w:ascii="方正楷体_GB2312" w:hAnsi="方正楷体_GB2312" w:eastAsia="方正楷体_GB2312" w:cs="方正楷体_GB2312"/>
          <w:b w:val="0"/>
          <w:bCs w:val="0"/>
          <w:color w:val="auto"/>
          <w:sz w:val="24"/>
          <w:szCs w:val="24"/>
          <w:highlight w:val="none"/>
          <w:lang w:val="en-US" w:eastAsia="zh-CN"/>
        </w:rPr>
        <w:t>幼儿园应设立专门的验收小组，对供应商配送的食材进行验收，确保食材的质量和安全。</w:t>
      </w:r>
    </w:p>
    <w:p w14:paraId="6AD6D8C1">
      <w:pPr>
        <w:pageBreakBefore w:val="0"/>
        <w:shd w:val="clear"/>
        <w:kinsoku/>
        <w:wordWrap/>
        <w:topLinePunct w:val="0"/>
        <w:bidi w:val="0"/>
        <w:spacing w:line="360" w:lineRule="auto"/>
        <w:ind w:firstLine="720" w:firstLineChars="300"/>
        <w:textAlignment w:val="auto"/>
        <w:outlineLvl w:val="9"/>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color w:val="auto"/>
          <w:kern w:val="2"/>
          <w:sz w:val="24"/>
          <w:szCs w:val="24"/>
          <w:highlight w:val="none"/>
          <w:lang w:val="en-US" w:eastAsia="zh-CN"/>
        </w:rPr>
        <w:t>（2）</w:t>
      </w:r>
      <w:r>
        <w:rPr>
          <w:rFonts w:hint="eastAsia" w:ascii="方正楷体_GB2312" w:hAnsi="方正楷体_GB2312" w:eastAsia="方正楷体_GB2312" w:cs="方正楷体_GB2312"/>
          <w:b w:val="0"/>
          <w:bCs w:val="0"/>
          <w:color w:val="auto"/>
          <w:sz w:val="24"/>
          <w:szCs w:val="24"/>
          <w:highlight w:val="none"/>
          <w:lang w:val="en-US" w:eastAsia="zh-CN"/>
        </w:rPr>
        <w:t>验收小组应对食材的外观、气味、生产日期、保质期等进行检查，并对食材进行抽样检测，确保食材符合国家食品安全标准。</w:t>
      </w:r>
    </w:p>
    <w:p w14:paraId="23AEBFC8">
      <w:pPr>
        <w:pageBreakBefore w:val="0"/>
        <w:shd w:val="clear"/>
        <w:kinsoku/>
        <w:wordWrap/>
        <w:topLinePunct w:val="0"/>
        <w:bidi w:val="0"/>
        <w:spacing w:line="360" w:lineRule="auto"/>
        <w:ind w:firstLine="720" w:firstLineChars="300"/>
        <w:textAlignment w:val="auto"/>
        <w:outlineLvl w:val="9"/>
        <w:rPr>
          <w:rFonts w:hint="eastAsia" w:ascii="方正楷体_GB2312" w:hAnsi="方正楷体_GB2312" w:eastAsia="方正楷体_GB2312" w:cs="方正楷体_GB2312"/>
          <w:b w:val="0"/>
          <w:bCs w:val="0"/>
          <w:color w:val="auto"/>
          <w:sz w:val="24"/>
          <w:szCs w:val="24"/>
          <w:highlight w:val="none"/>
          <w:lang w:val="en-US" w:eastAsia="zh-CN"/>
        </w:rPr>
      </w:pPr>
      <w:r>
        <w:rPr>
          <w:rFonts w:hint="eastAsia" w:ascii="方正楷体_GB2312" w:hAnsi="方正楷体_GB2312" w:eastAsia="方正楷体_GB2312" w:cs="方正楷体_GB2312"/>
          <w:color w:val="auto"/>
          <w:kern w:val="2"/>
          <w:sz w:val="24"/>
          <w:szCs w:val="24"/>
          <w:highlight w:val="none"/>
          <w:lang w:val="en-US" w:eastAsia="zh-CN"/>
        </w:rPr>
        <w:t>（3）</w:t>
      </w:r>
      <w:r>
        <w:rPr>
          <w:rFonts w:hint="eastAsia" w:ascii="方正楷体_GB2312" w:hAnsi="方正楷体_GB2312" w:eastAsia="方正楷体_GB2312" w:cs="方正楷体_GB2312"/>
          <w:b w:val="0"/>
          <w:bCs w:val="0"/>
          <w:color w:val="auto"/>
          <w:sz w:val="24"/>
          <w:szCs w:val="24"/>
          <w:highlight w:val="none"/>
          <w:lang w:val="en-US" w:eastAsia="zh-CN"/>
        </w:rPr>
        <w:t>如发现食材存在质量问题或不符合要求，应及时与供应商沟通，并要求供应商进行退换货处理。</w:t>
      </w:r>
    </w:p>
    <w:p w14:paraId="76C9FA66">
      <w:pPr>
        <w:pStyle w:val="15"/>
        <w:shd w:val="clear"/>
        <w:ind w:firstLine="420" w:firstLineChars="0"/>
        <w:rPr>
          <w:rFonts w:hint="eastAsia" w:ascii="方正楷体_GB2312" w:hAnsi="方正楷体_GB2312" w:eastAsia="方正楷体_GB2312" w:cs="方正楷体_GB2312"/>
          <w:color w:val="auto"/>
          <w:highlight w:val="none"/>
          <w:lang w:val="en-US" w:eastAsia="zh-CN"/>
        </w:rPr>
      </w:pPr>
      <w:r>
        <w:rPr>
          <w:rFonts w:hint="eastAsia" w:ascii="方正楷体_GB2312" w:hAnsi="方正楷体_GB2312" w:eastAsia="方正楷体_GB2312" w:cs="方正楷体_GB2312"/>
          <w:b/>
          <w:bCs/>
          <w:color w:val="auto"/>
          <w:kern w:val="2"/>
          <w:sz w:val="24"/>
          <w:szCs w:val="24"/>
          <w:highlight w:val="none"/>
          <w:lang w:val="en-US" w:eastAsia="zh-CN"/>
        </w:rPr>
        <w:t>四、</w:t>
      </w:r>
      <w:r>
        <w:rPr>
          <w:rFonts w:hint="eastAsia" w:ascii="方正楷体_GB2312" w:hAnsi="方正楷体_GB2312" w:eastAsia="方正楷体_GB2312" w:cs="方正楷体_GB2312"/>
          <w:b/>
          <w:bCs/>
          <w:color w:val="auto"/>
          <w:highlight w:val="none"/>
          <w:lang w:val="en-US" w:eastAsia="zh-CN"/>
        </w:rPr>
        <w:t>发生下列情况时，采购人有权立即取消中标资格：</w:t>
      </w:r>
      <w:r>
        <w:rPr>
          <w:rFonts w:hint="eastAsia" w:ascii="方正楷体_GB2312" w:hAnsi="方正楷体_GB2312" w:eastAsia="方正楷体_GB2312" w:cs="方正楷体_GB2312"/>
          <w:color w:val="auto"/>
          <w:highlight w:val="none"/>
          <w:lang w:val="en-US" w:eastAsia="zh-CN"/>
        </w:rPr>
        <w:t xml:space="preserve"> </w:t>
      </w:r>
    </w:p>
    <w:p w14:paraId="37CAF677">
      <w:pPr>
        <w:pStyle w:val="15"/>
        <w:keepNext w:val="0"/>
        <w:keepLines w:val="0"/>
        <w:pageBreakBefore w:val="0"/>
        <w:widowControl w:val="0"/>
        <w:shd w:val="clear"/>
        <w:kinsoku/>
        <w:wordWrap/>
        <w:overflowPunct/>
        <w:topLinePunct w:val="0"/>
        <w:autoSpaceDE/>
        <w:autoSpaceDN/>
        <w:bidi w:val="0"/>
        <w:adjustRightInd/>
        <w:snapToGrid/>
        <w:spacing w:line="360" w:lineRule="auto"/>
        <w:ind w:firstLine="420" w:firstLineChars="0"/>
        <w:textAlignment w:val="auto"/>
        <w:rPr>
          <w:rFonts w:hint="eastAsia" w:ascii="方正楷体_GB2312" w:hAnsi="方正楷体_GB2312" w:eastAsia="方正楷体_GB2312" w:cs="方正楷体_GB2312"/>
          <w:color w:val="auto"/>
          <w:highlight w:val="none"/>
          <w:lang w:val="en-US" w:eastAsia="zh-CN"/>
        </w:rPr>
      </w:pPr>
      <w:r>
        <w:rPr>
          <w:rFonts w:hint="eastAsia" w:ascii="方正楷体_GB2312" w:hAnsi="方正楷体_GB2312" w:eastAsia="方正楷体_GB2312" w:cs="方正楷体_GB2312"/>
          <w:color w:val="auto"/>
          <w:kern w:val="2"/>
          <w:sz w:val="24"/>
          <w:szCs w:val="24"/>
          <w:highlight w:val="none"/>
          <w:lang w:val="en-US" w:eastAsia="zh-CN"/>
        </w:rPr>
        <w:t>（1）</w:t>
      </w:r>
      <w:r>
        <w:rPr>
          <w:rFonts w:hint="eastAsia" w:ascii="方正楷体_GB2312" w:hAnsi="方正楷体_GB2312" w:eastAsia="方正楷体_GB2312" w:cs="方正楷体_GB2312"/>
          <w:color w:val="auto"/>
          <w:highlight w:val="none"/>
          <w:lang w:val="en-US" w:eastAsia="zh-CN"/>
        </w:rPr>
        <w:t xml:space="preserve">中标供应商提交的资料弄虚作假、隐瞒重大食品安全事故、骗取中标； </w:t>
      </w:r>
    </w:p>
    <w:p w14:paraId="77AAC70F">
      <w:pPr>
        <w:pStyle w:val="15"/>
        <w:keepNext w:val="0"/>
        <w:keepLines w:val="0"/>
        <w:pageBreakBefore w:val="0"/>
        <w:widowControl w:val="0"/>
        <w:shd w:val="clear"/>
        <w:kinsoku/>
        <w:wordWrap/>
        <w:overflowPunct/>
        <w:topLinePunct w:val="0"/>
        <w:autoSpaceDE/>
        <w:autoSpaceDN/>
        <w:bidi w:val="0"/>
        <w:adjustRightInd/>
        <w:snapToGrid/>
        <w:spacing w:line="360" w:lineRule="auto"/>
        <w:ind w:firstLine="420" w:firstLineChars="0"/>
        <w:textAlignment w:val="auto"/>
        <w:rPr>
          <w:rFonts w:hint="eastAsia" w:ascii="方正楷体_GB2312" w:hAnsi="方正楷体_GB2312" w:eastAsia="方正楷体_GB2312" w:cs="方正楷体_GB2312"/>
          <w:color w:val="auto"/>
          <w:highlight w:val="none"/>
          <w:lang w:val="en-US" w:eastAsia="zh-CN"/>
        </w:rPr>
      </w:pPr>
      <w:r>
        <w:rPr>
          <w:rFonts w:hint="eastAsia" w:ascii="方正楷体_GB2312" w:hAnsi="方正楷体_GB2312" w:eastAsia="方正楷体_GB2312" w:cs="方正楷体_GB2312"/>
          <w:color w:val="auto"/>
          <w:kern w:val="2"/>
          <w:sz w:val="24"/>
          <w:szCs w:val="24"/>
          <w:highlight w:val="none"/>
          <w:lang w:val="en-US" w:eastAsia="zh-CN"/>
        </w:rPr>
        <w:t>（2）</w:t>
      </w:r>
      <w:r>
        <w:rPr>
          <w:rFonts w:hint="eastAsia" w:ascii="方正楷体_GB2312" w:hAnsi="方正楷体_GB2312" w:eastAsia="方正楷体_GB2312" w:cs="方正楷体_GB2312"/>
          <w:color w:val="auto"/>
          <w:highlight w:val="none"/>
          <w:lang w:val="en-US" w:eastAsia="zh-CN"/>
        </w:rPr>
        <w:t xml:space="preserve">在报价有效期内，撤回投标的，或拒绝按承诺价格供货的； </w:t>
      </w:r>
    </w:p>
    <w:p w14:paraId="44639B8B">
      <w:pPr>
        <w:pStyle w:val="15"/>
        <w:keepNext w:val="0"/>
        <w:keepLines w:val="0"/>
        <w:pageBreakBefore w:val="0"/>
        <w:widowControl w:val="0"/>
        <w:shd w:val="clear"/>
        <w:kinsoku/>
        <w:wordWrap/>
        <w:overflowPunct/>
        <w:topLinePunct w:val="0"/>
        <w:autoSpaceDE/>
        <w:autoSpaceDN/>
        <w:bidi w:val="0"/>
        <w:adjustRightInd/>
        <w:snapToGrid/>
        <w:spacing w:line="360" w:lineRule="auto"/>
        <w:ind w:firstLine="420" w:firstLineChars="0"/>
        <w:textAlignment w:val="auto"/>
        <w:rPr>
          <w:rFonts w:hint="eastAsia" w:ascii="方正楷体_GB2312" w:hAnsi="方正楷体_GB2312" w:eastAsia="方正楷体_GB2312" w:cs="方正楷体_GB2312"/>
          <w:color w:val="auto"/>
          <w:highlight w:val="none"/>
          <w:lang w:val="en-US" w:eastAsia="zh-CN"/>
        </w:rPr>
      </w:pPr>
      <w:r>
        <w:rPr>
          <w:rFonts w:hint="eastAsia" w:ascii="方正楷体_GB2312" w:hAnsi="方正楷体_GB2312" w:eastAsia="方正楷体_GB2312" w:cs="方正楷体_GB2312"/>
          <w:color w:val="auto"/>
          <w:kern w:val="2"/>
          <w:sz w:val="24"/>
          <w:szCs w:val="24"/>
          <w:highlight w:val="none"/>
          <w:lang w:val="en-US" w:eastAsia="zh-CN"/>
        </w:rPr>
        <w:t>（3）</w:t>
      </w:r>
      <w:r>
        <w:rPr>
          <w:rFonts w:hint="eastAsia" w:ascii="方正楷体_GB2312" w:hAnsi="方正楷体_GB2312" w:eastAsia="方正楷体_GB2312" w:cs="方正楷体_GB2312"/>
          <w:color w:val="auto"/>
          <w:highlight w:val="none"/>
          <w:lang w:val="en-US" w:eastAsia="zh-CN"/>
        </w:rPr>
        <w:t xml:space="preserve">中标后私自将项目转包的； </w:t>
      </w:r>
    </w:p>
    <w:p w14:paraId="2775D27C">
      <w:pPr>
        <w:pStyle w:val="15"/>
        <w:keepNext w:val="0"/>
        <w:keepLines w:val="0"/>
        <w:pageBreakBefore w:val="0"/>
        <w:widowControl w:val="0"/>
        <w:shd w:val="clear"/>
        <w:kinsoku/>
        <w:wordWrap/>
        <w:overflowPunct/>
        <w:topLinePunct w:val="0"/>
        <w:autoSpaceDE/>
        <w:autoSpaceDN/>
        <w:bidi w:val="0"/>
        <w:adjustRightInd/>
        <w:snapToGrid/>
        <w:spacing w:line="360" w:lineRule="auto"/>
        <w:ind w:firstLine="420" w:firstLineChars="0"/>
        <w:textAlignment w:val="auto"/>
        <w:rPr>
          <w:rFonts w:hint="eastAsia" w:ascii="方正楷体_GB2312" w:hAnsi="方正楷体_GB2312" w:eastAsia="方正楷体_GB2312" w:cs="方正楷体_GB2312"/>
          <w:color w:val="auto"/>
          <w:highlight w:val="none"/>
          <w:lang w:val="en-US" w:eastAsia="zh-CN"/>
        </w:rPr>
      </w:pPr>
      <w:r>
        <w:rPr>
          <w:rFonts w:hint="eastAsia" w:ascii="方正楷体_GB2312" w:hAnsi="方正楷体_GB2312" w:eastAsia="方正楷体_GB2312" w:cs="方正楷体_GB2312"/>
          <w:color w:val="auto"/>
          <w:kern w:val="2"/>
          <w:sz w:val="24"/>
          <w:szCs w:val="24"/>
          <w:highlight w:val="none"/>
          <w:lang w:val="en-US" w:eastAsia="zh-CN"/>
        </w:rPr>
        <w:t>（4）</w:t>
      </w:r>
      <w:r>
        <w:rPr>
          <w:rFonts w:hint="eastAsia" w:ascii="方正楷体_GB2312" w:hAnsi="方正楷体_GB2312" w:eastAsia="方正楷体_GB2312" w:cs="方正楷体_GB2312"/>
          <w:color w:val="auto"/>
          <w:highlight w:val="none"/>
          <w:lang w:val="en-US" w:eastAsia="zh-CN"/>
        </w:rPr>
        <w:t xml:space="preserve">供应物资达不到标准或验货不合格，退货补货不及时，服务不到位，后果严重影响学校餐厅正常运营，收到三次书面警告通知书的包括但不限于:腐败变质、油脂酸败、霉变、生虫、污秽不洁、混有异物或者其他感官性状异常，对人体健康有害的；含有毒、有害物质或者被有害物质污染，对人体健康有害的；含有致病性寄生虫、微生物或者微生物含量超过国家限定标准的；未经动物检疫部门检疫、检验或者检疫、检验不合格的肉类及其制品；病死、毒死或者死因不明的禽、畜、兽、水产动物等及其制品；掺假、掺杂、伪造，影响营养、卫生的；用非食品原料加工的，加入非食品用化学物质或者将非食品当作食品的；超过整体保质期 2/3或超过保质期限的。 </w:t>
      </w:r>
    </w:p>
    <w:p w14:paraId="1451B620">
      <w:pPr>
        <w:pStyle w:val="15"/>
        <w:keepNext w:val="0"/>
        <w:keepLines w:val="0"/>
        <w:pageBreakBefore w:val="0"/>
        <w:widowControl w:val="0"/>
        <w:shd w:val="clear"/>
        <w:kinsoku/>
        <w:wordWrap/>
        <w:overflowPunct/>
        <w:topLinePunct w:val="0"/>
        <w:autoSpaceDE/>
        <w:autoSpaceDN/>
        <w:bidi w:val="0"/>
        <w:adjustRightInd/>
        <w:snapToGrid/>
        <w:spacing w:line="360" w:lineRule="auto"/>
        <w:ind w:firstLine="420" w:firstLineChars="0"/>
        <w:textAlignment w:val="auto"/>
        <w:rPr>
          <w:rFonts w:hint="eastAsia" w:ascii="方正楷体_GB2312" w:hAnsi="方正楷体_GB2312" w:eastAsia="方正楷体_GB2312" w:cs="方正楷体_GB2312"/>
          <w:color w:val="auto"/>
          <w:highlight w:val="none"/>
          <w:lang w:val="en-US" w:eastAsia="zh-CN"/>
        </w:rPr>
      </w:pPr>
      <w:r>
        <w:rPr>
          <w:rFonts w:hint="eastAsia" w:ascii="方正楷体_GB2312" w:hAnsi="方正楷体_GB2312" w:eastAsia="方正楷体_GB2312" w:cs="方正楷体_GB2312"/>
          <w:color w:val="auto"/>
          <w:kern w:val="2"/>
          <w:sz w:val="24"/>
          <w:szCs w:val="24"/>
          <w:highlight w:val="none"/>
          <w:lang w:val="en-US" w:eastAsia="zh-CN"/>
        </w:rPr>
        <w:t>（5）</w:t>
      </w:r>
      <w:r>
        <w:rPr>
          <w:rFonts w:hint="eastAsia" w:ascii="方正楷体_GB2312" w:hAnsi="方正楷体_GB2312" w:eastAsia="方正楷体_GB2312" w:cs="方正楷体_GB2312"/>
          <w:color w:val="auto"/>
          <w:highlight w:val="none"/>
          <w:lang w:val="en-US" w:eastAsia="zh-CN"/>
        </w:rPr>
        <w:t xml:space="preserve">合同履行期间，采购人将定期及不定期核查中标方履约情况。如发现中标方存在质量、价格、材质等弄虚作假，中标后转包，配送不及时或售后服务不到位等违反合同规定的情况，采购人根据相关管理规定和合同约定条款扣除当月货款或终止合同等措施。书面警告三次及以上无效、拒不整改的，经采购人相关部门确认,将发出取消该供应商供货资格、终止合同通知书。按供应商评标时排名高低顺序依次替补，确定新的供应商。 </w:t>
      </w:r>
    </w:p>
    <w:p w14:paraId="346AB3EC">
      <w:pPr>
        <w:pStyle w:val="15"/>
        <w:keepNext w:val="0"/>
        <w:keepLines w:val="0"/>
        <w:pageBreakBefore w:val="0"/>
        <w:widowControl w:val="0"/>
        <w:shd w:val="clear"/>
        <w:kinsoku/>
        <w:wordWrap/>
        <w:overflowPunct/>
        <w:topLinePunct w:val="0"/>
        <w:autoSpaceDE/>
        <w:autoSpaceDN/>
        <w:bidi w:val="0"/>
        <w:adjustRightInd/>
        <w:snapToGrid/>
        <w:spacing w:line="360" w:lineRule="auto"/>
        <w:ind w:firstLine="420" w:firstLineChars="0"/>
        <w:textAlignment w:val="auto"/>
        <w:rPr>
          <w:rFonts w:hint="eastAsia" w:ascii="方正楷体_GB2312" w:hAnsi="方正楷体_GB2312" w:eastAsia="方正楷体_GB2312" w:cs="方正楷体_GB2312"/>
          <w:color w:val="auto"/>
          <w:highlight w:val="none"/>
          <w:lang w:val="en-US" w:eastAsia="zh-CN"/>
        </w:rPr>
      </w:pPr>
      <w:r>
        <w:rPr>
          <w:rFonts w:hint="eastAsia" w:ascii="方正楷体_GB2312" w:hAnsi="方正楷体_GB2312" w:eastAsia="方正楷体_GB2312" w:cs="方正楷体_GB2312"/>
          <w:color w:val="auto"/>
          <w:kern w:val="2"/>
          <w:sz w:val="24"/>
          <w:szCs w:val="24"/>
          <w:highlight w:val="none"/>
          <w:lang w:val="en-US" w:eastAsia="zh-CN"/>
        </w:rPr>
        <w:t>（6）</w:t>
      </w:r>
      <w:r>
        <w:rPr>
          <w:rFonts w:hint="eastAsia" w:ascii="方正楷体_GB2312" w:hAnsi="方正楷体_GB2312" w:eastAsia="方正楷体_GB2312" w:cs="方正楷体_GB2312"/>
          <w:color w:val="auto"/>
          <w:highlight w:val="none"/>
          <w:lang w:val="en-US" w:eastAsia="zh-CN"/>
        </w:rPr>
        <w:t xml:space="preserve">未按照供货协议规定按时向采购人提供相关证件、报价单、产品年度质检部门抽检报告、自检报告、送货单等资料，未建立进销台账或台帐资料与采购人台帐不符的。 </w:t>
      </w:r>
    </w:p>
    <w:p w14:paraId="5142B8E8">
      <w:pPr>
        <w:pStyle w:val="15"/>
        <w:keepNext w:val="0"/>
        <w:keepLines w:val="0"/>
        <w:pageBreakBefore w:val="0"/>
        <w:widowControl w:val="0"/>
        <w:shd w:val="clear"/>
        <w:kinsoku/>
        <w:wordWrap/>
        <w:overflowPunct/>
        <w:topLinePunct w:val="0"/>
        <w:autoSpaceDE/>
        <w:autoSpaceDN/>
        <w:bidi w:val="0"/>
        <w:adjustRightInd/>
        <w:snapToGrid/>
        <w:spacing w:line="360" w:lineRule="auto"/>
        <w:ind w:firstLine="420" w:firstLineChars="0"/>
        <w:textAlignment w:val="auto"/>
        <w:rPr>
          <w:rFonts w:hint="eastAsia" w:ascii="方正楷体_GB2312" w:hAnsi="方正楷体_GB2312" w:eastAsia="方正楷体_GB2312" w:cs="方正楷体_GB2312"/>
          <w:color w:val="auto"/>
          <w:highlight w:val="none"/>
          <w:lang w:val="en-US" w:eastAsia="zh-CN"/>
        </w:rPr>
      </w:pPr>
      <w:r>
        <w:rPr>
          <w:rFonts w:hint="eastAsia" w:ascii="方正楷体_GB2312" w:hAnsi="方正楷体_GB2312" w:eastAsia="方正楷体_GB2312" w:cs="方正楷体_GB2312"/>
          <w:color w:val="auto"/>
          <w:kern w:val="2"/>
          <w:sz w:val="24"/>
          <w:szCs w:val="24"/>
          <w:highlight w:val="none"/>
          <w:lang w:val="en-US" w:eastAsia="zh-CN"/>
        </w:rPr>
        <w:t>（7）</w:t>
      </w:r>
      <w:r>
        <w:rPr>
          <w:rFonts w:hint="eastAsia" w:ascii="方正楷体_GB2312" w:hAnsi="方正楷体_GB2312" w:eastAsia="方正楷体_GB2312" w:cs="方正楷体_GB2312"/>
          <w:color w:val="auto"/>
          <w:highlight w:val="none"/>
          <w:lang w:val="en-US" w:eastAsia="zh-CN"/>
        </w:rPr>
        <w:t xml:space="preserve">在供货期内除不可抗力因素外不能按时交货,且给采购人造成损失的。 </w:t>
      </w:r>
    </w:p>
    <w:p w14:paraId="00920ACE">
      <w:pPr>
        <w:pStyle w:val="15"/>
        <w:keepNext w:val="0"/>
        <w:keepLines w:val="0"/>
        <w:pageBreakBefore w:val="0"/>
        <w:widowControl w:val="0"/>
        <w:shd w:val="clear"/>
        <w:kinsoku/>
        <w:wordWrap/>
        <w:overflowPunct/>
        <w:topLinePunct w:val="0"/>
        <w:autoSpaceDE/>
        <w:autoSpaceDN/>
        <w:bidi w:val="0"/>
        <w:adjustRightInd/>
        <w:snapToGrid/>
        <w:spacing w:line="360" w:lineRule="auto"/>
        <w:ind w:firstLine="420" w:firstLineChars="0"/>
        <w:textAlignment w:val="auto"/>
        <w:rPr>
          <w:rFonts w:hint="eastAsia" w:ascii="方正楷体_GB2312" w:hAnsi="方正楷体_GB2312" w:eastAsia="方正楷体_GB2312" w:cs="方正楷体_GB2312"/>
          <w:color w:val="auto"/>
          <w:highlight w:val="none"/>
          <w:lang w:val="en-US" w:eastAsia="zh-CN"/>
        </w:rPr>
        <w:sectPr>
          <w:footerReference r:id="rId6" w:type="default"/>
          <w:pgSz w:w="11906" w:h="16838"/>
          <w:pgMar w:top="1528" w:right="1080" w:bottom="1440" w:left="1080" w:header="907" w:footer="623" w:gutter="0"/>
          <w:pgBorders>
            <w:top w:val="none" w:sz="0" w:space="0"/>
            <w:left w:val="none" w:sz="0" w:space="0"/>
            <w:bottom w:val="none" w:sz="0" w:space="0"/>
            <w:right w:val="none" w:sz="0" w:space="0"/>
          </w:pgBorders>
          <w:pgNumType w:fmt="decimal"/>
          <w:cols w:space="720" w:num="1"/>
          <w:docGrid w:linePitch="312" w:charSpace="0"/>
        </w:sectPr>
      </w:pPr>
      <w:r>
        <w:rPr>
          <w:rFonts w:hint="eastAsia" w:ascii="方正楷体_GB2312" w:hAnsi="方正楷体_GB2312" w:eastAsia="方正楷体_GB2312" w:cs="方正楷体_GB2312"/>
          <w:color w:val="auto"/>
          <w:kern w:val="2"/>
          <w:sz w:val="24"/>
          <w:szCs w:val="24"/>
          <w:highlight w:val="none"/>
          <w:lang w:val="en-US" w:eastAsia="zh-CN"/>
        </w:rPr>
        <w:t>（8）</w:t>
      </w:r>
      <w:r>
        <w:rPr>
          <w:rFonts w:hint="eastAsia" w:ascii="方正楷体_GB2312" w:hAnsi="方正楷体_GB2312" w:eastAsia="方正楷体_GB2312" w:cs="方正楷体_GB2312"/>
          <w:color w:val="auto"/>
          <w:highlight w:val="none"/>
          <w:lang w:val="en-US" w:eastAsia="zh-CN"/>
        </w:rPr>
        <w:t>其他违法违规行为</w:t>
      </w:r>
    </w:p>
    <w:p w14:paraId="3EBEBD2E">
      <w:pPr>
        <w:pStyle w:val="3"/>
        <w:numPr>
          <w:ilvl w:val="0"/>
          <w:numId w:val="2"/>
        </w:numPr>
        <w:bidi w:val="0"/>
        <w:jc w:val="center"/>
        <w:rPr>
          <w:rFonts w:hint="eastAsia" w:ascii="方正楷体_GB2312" w:hAnsi="方正楷体_GB2312" w:eastAsia="方正楷体_GB2312" w:cs="方正楷体_GB2312"/>
          <w:color w:val="auto"/>
          <w:highlight w:val="none"/>
          <w:lang w:val="en-US" w:eastAsia="zh-Hans"/>
        </w:rPr>
      </w:pPr>
      <w:bookmarkStart w:id="86" w:name="_Toc27997"/>
      <w:bookmarkStart w:id="87" w:name="_Toc349573144"/>
      <w:bookmarkStart w:id="88" w:name="_Toc349637943"/>
      <w:bookmarkStart w:id="89" w:name="_Toc356488111"/>
      <w:bookmarkStart w:id="90" w:name="_Toc298240429"/>
      <w:r>
        <w:rPr>
          <w:rFonts w:hint="eastAsia" w:ascii="方正楷体_GB2312" w:hAnsi="方正楷体_GB2312" w:eastAsia="方正楷体_GB2312" w:cs="方正楷体_GB2312"/>
          <w:color w:val="auto"/>
          <w:highlight w:val="none"/>
          <w:lang w:val="en-US" w:eastAsia="zh-Hans"/>
        </w:rPr>
        <w:t>合同条款</w:t>
      </w:r>
      <w:bookmarkEnd w:id="86"/>
      <w:bookmarkStart w:id="91" w:name="_Toc492654816"/>
      <w:r>
        <w:rPr>
          <w:rFonts w:hint="eastAsia" w:ascii="方正楷体_GB2312" w:hAnsi="方正楷体_GB2312" w:eastAsia="方正楷体_GB2312" w:cs="方正楷体_GB2312"/>
          <w:color w:val="auto"/>
          <w:highlight w:val="none"/>
          <w:lang w:val="en-US" w:eastAsia="zh-CN"/>
        </w:rPr>
        <w:t>（仅供参考）</w:t>
      </w:r>
    </w:p>
    <w:bookmarkEnd w:id="91"/>
    <w:p w14:paraId="5D1EA4A1">
      <w:pPr>
        <w:pStyle w:val="328"/>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sz w:val="28"/>
          <w:szCs w:val="24"/>
          <w:highlight w:val="none"/>
        </w:rPr>
        <w:t>注：本合同条款仅供参考，最终以甲方提供的样本并经甲乙双方协商一致的合同为准。</w:t>
      </w:r>
    </w:p>
    <w:p w14:paraId="5C2438CA">
      <w:pPr>
        <w:jc w:val="center"/>
        <w:rPr>
          <w:rFonts w:hint="eastAsia" w:ascii="方正楷体_GB2312" w:hAnsi="方正楷体_GB2312" w:eastAsia="方正楷体_GB2312" w:cs="方正楷体_GB2312"/>
          <w:b/>
          <w:sz w:val="44"/>
          <w:szCs w:val="44"/>
          <w:highlight w:val="none"/>
        </w:rPr>
      </w:pPr>
      <w:r>
        <w:rPr>
          <w:rFonts w:hint="eastAsia" w:ascii="方正楷体_GB2312" w:hAnsi="方正楷体_GB2312" w:eastAsia="方正楷体_GB2312" w:cs="方正楷体_GB2312"/>
          <w:b/>
          <w:sz w:val="44"/>
          <w:szCs w:val="44"/>
          <w:highlight w:val="none"/>
        </w:rPr>
        <w:t>学校食堂供货协议书</w:t>
      </w:r>
    </w:p>
    <w:p w14:paraId="37F0019E">
      <w:pPr>
        <w:spacing w:line="480" w:lineRule="auto"/>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b/>
          <w:sz w:val="24"/>
          <w:szCs w:val="24"/>
          <w:highlight w:val="none"/>
        </w:rPr>
        <w:t>甲方:</w:t>
      </w:r>
      <w:r>
        <w:rPr>
          <w:rFonts w:hint="eastAsia" w:ascii="方正楷体_GB2312" w:hAnsi="方正楷体_GB2312" w:eastAsia="方正楷体_GB2312" w:cs="方正楷体_GB2312"/>
          <w:b/>
          <w:sz w:val="24"/>
          <w:szCs w:val="24"/>
          <w:highlight w:val="none"/>
          <w:lang w:val="en-US" w:eastAsia="zh-CN"/>
        </w:rPr>
        <w:t xml:space="preserve"> </w:t>
      </w:r>
      <w:r>
        <w:rPr>
          <w:rFonts w:hint="eastAsia" w:ascii="方正楷体_GB2312" w:hAnsi="方正楷体_GB2312" w:eastAsia="方正楷体_GB2312" w:cs="方正楷体_GB2312"/>
          <w:b/>
          <w:sz w:val="24"/>
          <w:szCs w:val="24"/>
          <w:highlight w:val="none"/>
          <w:u w:val="single"/>
        </w:rPr>
        <w:t xml:space="preserve">                         </w:t>
      </w:r>
    </w:p>
    <w:p w14:paraId="103357B6">
      <w:pPr>
        <w:spacing w:line="480" w:lineRule="auto"/>
        <w:rPr>
          <w:rFonts w:hint="eastAsia" w:ascii="方正楷体_GB2312" w:hAnsi="方正楷体_GB2312" w:eastAsia="方正楷体_GB2312" w:cs="方正楷体_GB2312"/>
          <w:b/>
          <w:sz w:val="24"/>
          <w:szCs w:val="24"/>
          <w:highlight w:val="none"/>
        </w:rPr>
      </w:pPr>
      <w:r>
        <w:rPr>
          <w:rFonts w:hint="eastAsia" w:ascii="方正楷体_GB2312" w:hAnsi="方正楷体_GB2312" w:eastAsia="方正楷体_GB2312" w:cs="方正楷体_GB2312"/>
          <w:b/>
          <w:sz w:val="24"/>
          <w:szCs w:val="24"/>
          <w:highlight w:val="none"/>
        </w:rPr>
        <w:t>乙方：</w:t>
      </w:r>
      <w:r>
        <w:rPr>
          <w:rFonts w:hint="eastAsia" w:ascii="方正楷体_GB2312" w:hAnsi="方正楷体_GB2312" w:eastAsia="方正楷体_GB2312" w:cs="方正楷体_GB2312"/>
          <w:b/>
          <w:sz w:val="24"/>
          <w:szCs w:val="24"/>
          <w:highlight w:val="none"/>
          <w:u w:val="single"/>
        </w:rPr>
        <w:t xml:space="preserve">                         </w:t>
      </w:r>
    </w:p>
    <w:p w14:paraId="5D67791D">
      <w:pPr>
        <w:spacing w:line="480" w:lineRule="auto"/>
        <w:ind w:firstLine="480" w:firstLineChars="200"/>
        <w:rPr>
          <w:rFonts w:hint="eastAsia" w:ascii="方正楷体_GB2312" w:hAnsi="方正楷体_GB2312" w:eastAsia="方正楷体_GB2312" w:cs="方正楷体_GB2312"/>
          <w:sz w:val="24"/>
          <w:szCs w:val="24"/>
          <w:highlight w:val="none"/>
          <w:u w:val="single"/>
        </w:rPr>
      </w:pPr>
      <w:r>
        <w:rPr>
          <w:rFonts w:hint="eastAsia" w:ascii="方正楷体_GB2312" w:hAnsi="方正楷体_GB2312" w:eastAsia="方正楷体_GB2312" w:cs="方正楷体_GB2312"/>
          <w:sz w:val="24"/>
          <w:szCs w:val="24"/>
          <w:highlight w:val="none"/>
        </w:rPr>
        <w:t xml:space="preserve">甲方因学生食堂需要，委托乙方负责为甲方提供  </w:t>
      </w:r>
      <w:r>
        <w:rPr>
          <w:rFonts w:hint="eastAsia" w:ascii="方正楷体_GB2312" w:hAnsi="方正楷体_GB2312" w:eastAsia="方正楷体_GB2312" w:cs="方正楷体_GB2312"/>
          <w:sz w:val="24"/>
          <w:szCs w:val="24"/>
          <w:highlight w:val="none"/>
          <w:u w:val="single"/>
        </w:rPr>
        <w:t xml:space="preserve">                  </w:t>
      </w:r>
      <w:r>
        <w:rPr>
          <w:rFonts w:hint="eastAsia" w:ascii="方正楷体_GB2312" w:hAnsi="方正楷体_GB2312" w:eastAsia="方正楷体_GB2312" w:cs="方正楷体_GB2312"/>
          <w:sz w:val="24"/>
          <w:szCs w:val="24"/>
          <w:highlight w:val="none"/>
        </w:rPr>
        <w:t>(注:蔬菜水果类、肉制品类、粮油类、调料副食类、冻货类、牛奶酸奶、饮料类等)，双方本着诚信、负责的原则，经协商达成如下协议：</w:t>
      </w:r>
    </w:p>
    <w:p w14:paraId="5F36DC81">
      <w:pPr>
        <w:spacing w:line="480" w:lineRule="auto"/>
        <w:rPr>
          <w:rFonts w:hint="eastAsia" w:ascii="方正楷体_GB2312" w:hAnsi="方正楷体_GB2312" w:eastAsia="方正楷体_GB2312" w:cs="方正楷体_GB2312"/>
          <w:b/>
          <w:sz w:val="24"/>
          <w:szCs w:val="24"/>
          <w:highlight w:val="none"/>
        </w:rPr>
      </w:pPr>
      <w:r>
        <w:rPr>
          <w:rFonts w:hint="eastAsia" w:ascii="方正楷体_GB2312" w:hAnsi="方正楷体_GB2312" w:eastAsia="方正楷体_GB2312" w:cs="方正楷体_GB2312"/>
          <w:b/>
          <w:sz w:val="24"/>
          <w:szCs w:val="24"/>
          <w:highlight w:val="none"/>
        </w:rPr>
        <w:t>一、乙方责任、义务</w:t>
      </w:r>
    </w:p>
    <w:p w14:paraId="7DE91B0A">
      <w:pPr>
        <w:spacing w:line="480" w:lineRule="auto"/>
        <w:ind w:firstLine="480" w:firstLineChars="200"/>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rPr>
        <w:t>(一)、供应食品、食材保质保量</w:t>
      </w:r>
    </w:p>
    <w:p w14:paraId="6FC5A628">
      <w:pPr>
        <w:spacing w:line="480" w:lineRule="auto"/>
        <w:ind w:firstLine="480" w:firstLineChars="200"/>
        <w:rPr>
          <w:rFonts w:hint="eastAsia" w:ascii="方正楷体_GB2312" w:hAnsi="方正楷体_GB2312" w:eastAsia="方正楷体_GB2312" w:cs="方正楷体_GB2312"/>
          <w:sz w:val="24"/>
          <w:szCs w:val="24"/>
          <w:highlight w:val="none"/>
        </w:rPr>
      </w:pPr>
      <w:r>
        <w:rPr>
          <w:rFonts w:hint="eastAsia" w:ascii="方正楷体_GB2312" w:hAnsi="方正楷体_GB2312" w:eastAsia="方正楷体_GB2312" w:cs="方正楷体_GB2312"/>
          <w:sz w:val="24"/>
          <w:szCs w:val="24"/>
          <w:highlight w:val="none"/>
        </w:rPr>
        <w:t>1、蔬菜类:蔬菜必须新鲜，不能提供有腐败、变质等情况的蔬菜。</w:t>
      </w:r>
    </w:p>
    <w:p w14:paraId="4335D44E">
      <w:pPr>
        <w:spacing w:line="48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sz w:val="24"/>
          <w:szCs w:val="24"/>
          <w:highlight w:val="none"/>
        </w:rPr>
        <w:t>2、肉制品类:必</w:t>
      </w:r>
      <w:r>
        <w:rPr>
          <w:rFonts w:hint="eastAsia" w:ascii="方正楷体_GB2312" w:hAnsi="方正楷体_GB2312" w:eastAsia="方正楷体_GB2312" w:cs="方正楷体_GB2312"/>
          <w:color w:val="auto"/>
          <w:sz w:val="24"/>
          <w:szCs w:val="24"/>
          <w:highlight w:val="none"/>
        </w:rPr>
        <w:t>须是经过有关部门质检合格且在保质期以内的肉制品，无注水、无异味，无霉烂变质，且所提供的肉制品能提供有效的肉品品质证明和肉品检验合格证明。</w:t>
      </w:r>
    </w:p>
    <w:p w14:paraId="3D515740">
      <w:pPr>
        <w:spacing w:line="48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3、油类、调味、面粉、大米品类:供货时剩余保质期不少于</w:t>
      </w:r>
      <w:r>
        <w:rPr>
          <w:rFonts w:hint="eastAsia" w:ascii="方正楷体_GB2312" w:hAnsi="方正楷体_GB2312" w:eastAsia="方正楷体_GB2312" w:cs="方正楷体_GB2312"/>
          <w:color w:val="auto"/>
          <w:sz w:val="24"/>
          <w:szCs w:val="24"/>
          <w:highlight w:val="none"/>
          <w:lang w:val="en-US" w:eastAsia="zh-CN"/>
        </w:rPr>
        <w:t>三分之二</w:t>
      </w:r>
      <w:r>
        <w:rPr>
          <w:rFonts w:hint="eastAsia" w:ascii="方正楷体_GB2312" w:hAnsi="方正楷体_GB2312" w:eastAsia="方正楷体_GB2312" w:cs="方正楷体_GB2312"/>
          <w:color w:val="auto"/>
          <w:sz w:val="24"/>
          <w:szCs w:val="24"/>
          <w:highlight w:val="none"/>
        </w:rPr>
        <w:t>，且有质量安全认证标志，有检验报告单。</w:t>
      </w:r>
    </w:p>
    <w:p w14:paraId="2ED1F3DA">
      <w:pPr>
        <w:spacing w:line="48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(二)、提供相关证件、票据</w:t>
      </w:r>
    </w:p>
    <w:p w14:paraId="5F84B8E9">
      <w:pPr>
        <w:spacing w:line="48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1、乙方必须提供本人经营的所有证件的复印件给甲方(营业执照、食品经营许可证、税务登记证、法人身份证、健康证、检验报告单等复印件并加盖个人或本店印章)。</w:t>
      </w:r>
    </w:p>
    <w:p w14:paraId="658CFE23">
      <w:pPr>
        <w:spacing w:line="480" w:lineRule="auto"/>
        <w:ind w:firstLine="480" w:firstLineChars="200"/>
        <w:rPr>
          <w:rFonts w:hint="eastAsia" w:ascii="方正楷体_GB2312" w:hAnsi="方正楷体_GB2312" w:eastAsia="方正楷体_GB2312" w:cs="方正楷体_GB2312"/>
          <w:iCs/>
          <w:color w:val="auto"/>
          <w:sz w:val="24"/>
          <w:szCs w:val="24"/>
          <w:highlight w:val="none"/>
        </w:rPr>
      </w:pPr>
      <w:r>
        <w:rPr>
          <w:rFonts w:hint="eastAsia" w:ascii="方正楷体_GB2312" w:hAnsi="方正楷体_GB2312" w:eastAsia="方正楷体_GB2312" w:cs="方正楷体_GB2312"/>
          <w:color w:val="auto"/>
          <w:sz w:val="24"/>
          <w:szCs w:val="24"/>
          <w:highlight w:val="none"/>
        </w:rPr>
        <w:t>2、乙方必须及时提供供应学校食品、食材的相关票证(发票签字收据等)</w:t>
      </w:r>
      <w:r>
        <w:rPr>
          <w:rFonts w:hint="eastAsia" w:ascii="方正楷体_GB2312" w:hAnsi="方正楷体_GB2312" w:eastAsia="方正楷体_GB2312" w:cs="方正楷体_GB2312"/>
          <w:iCs/>
          <w:color w:val="auto"/>
          <w:sz w:val="24"/>
          <w:szCs w:val="24"/>
          <w:highlight w:val="none"/>
        </w:rPr>
        <w:t>并详细备注品名、规格、生产日期、保质期等信息。</w:t>
      </w:r>
    </w:p>
    <w:p w14:paraId="206BDD2A">
      <w:pPr>
        <w:spacing w:line="48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3、乙方每周提供一份采购食品、食材的批发价格。</w:t>
      </w:r>
    </w:p>
    <w:p w14:paraId="4D484CF7">
      <w:pPr>
        <w:spacing w:line="48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(三)、交货时间及相关事宜</w:t>
      </w:r>
    </w:p>
    <w:p w14:paraId="3DA6FC35">
      <w:pPr>
        <w:spacing w:line="48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1、乙方必须是本人或固定一人长期送货，不得指派来路不明的临时人员送货。</w:t>
      </w:r>
    </w:p>
    <w:p w14:paraId="74A3C104">
      <w:pPr>
        <w:spacing w:line="48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2、甲方所购的食品、食材无论数量多少，乙方应无条件、按时</w:t>
      </w:r>
      <w:r>
        <w:rPr>
          <w:rFonts w:hint="eastAsia" w:ascii="方正楷体_GB2312" w:hAnsi="方正楷体_GB2312" w:eastAsia="方正楷体_GB2312" w:cs="方正楷体_GB2312"/>
          <w:color w:val="auto"/>
          <w:sz w:val="24"/>
          <w:highlight w:val="none"/>
        </w:rPr>
        <w:t>保质保量</w:t>
      </w:r>
      <w:r>
        <w:rPr>
          <w:rFonts w:hint="eastAsia" w:ascii="方正楷体_GB2312" w:hAnsi="方正楷体_GB2312" w:eastAsia="方正楷体_GB2312" w:cs="方正楷体_GB2312"/>
          <w:color w:val="auto"/>
          <w:sz w:val="24"/>
          <w:szCs w:val="24"/>
          <w:highlight w:val="none"/>
        </w:rPr>
        <w:t>为甲方送货。</w:t>
      </w:r>
    </w:p>
    <w:p w14:paraId="00B7DCDC">
      <w:pPr>
        <w:spacing w:line="48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3、乙方所提供的食品、食材的品种由甲方决定；乙方供应食品、食材价格以</w:t>
      </w:r>
      <w:r>
        <w:rPr>
          <w:rFonts w:hint="eastAsia" w:ascii="方正楷体_GB2312" w:hAnsi="方正楷体_GB2312" w:eastAsia="方正楷体_GB2312" w:cs="方正楷体_GB2312"/>
          <w:color w:val="auto"/>
          <w:sz w:val="24"/>
          <w:szCs w:val="24"/>
          <w:highlight w:val="none"/>
          <w:lang w:eastAsia="zh-CN"/>
        </w:rPr>
        <w:t>和硕县家满福超市、乐万家超市、幸福生活超市等</w:t>
      </w:r>
      <w:r>
        <w:rPr>
          <w:rFonts w:hint="eastAsia" w:ascii="方正楷体_GB2312" w:hAnsi="方正楷体_GB2312" w:eastAsia="方正楷体_GB2312" w:cs="方正楷体_GB2312"/>
          <w:color w:val="auto"/>
          <w:sz w:val="24"/>
          <w:szCs w:val="24"/>
          <w:highlight w:val="none"/>
        </w:rPr>
        <w:t>市场同类同质食材批发价上浮</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%为标准，同时与</w:t>
      </w:r>
      <w:r>
        <w:rPr>
          <w:rFonts w:hint="eastAsia" w:ascii="方正楷体_GB2312" w:hAnsi="方正楷体_GB2312" w:eastAsia="方正楷体_GB2312" w:cs="方正楷体_GB2312"/>
          <w:color w:val="auto"/>
          <w:sz w:val="24"/>
          <w:szCs w:val="24"/>
          <w:highlight w:val="none"/>
          <w:lang w:eastAsia="zh-CN"/>
        </w:rPr>
        <w:t>和硕县家满福超市、乐万家超市、幸福生活超市</w:t>
      </w:r>
      <w:r>
        <w:rPr>
          <w:rFonts w:hint="eastAsia" w:ascii="方正楷体_GB2312" w:hAnsi="方正楷体_GB2312" w:eastAsia="方正楷体_GB2312" w:cs="方正楷体_GB2312"/>
          <w:color w:val="auto"/>
          <w:sz w:val="24"/>
          <w:szCs w:val="24"/>
          <w:highlight w:val="none"/>
        </w:rPr>
        <w:t>等超市同时期、同类同质食材零售价下浮</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w:t>
      </w:r>
    </w:p>
    <w:p w14:paraId="508A03AF">
      <w:pPr>
        <w:spacing w:line="48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4、甲方食堂所需的食品、食材乙方负责送货上门，于每天约定时间送到甲方食堂。超出约定时间30分钟，则将扣除当日货款10％作为处罚。</w:t>
      </w:r>
    </w:p>
    <w:p w14:paraId="3F0CF245">
      <w:pPr>
        <w:spacing w:line="48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5、如遇不可抗拒特殊情况，无法按时送达货物，乙方需提前通知甲方并立即想办法解决困难，最终配送到达时间不得超过约定时间一小时，如乙方在规定时间内没有配送到，影响师生正常就餐的，或供货商在供货期内无故停止供货的，甲方有权扣留其未支付的全部供货款并取消其供货资格。</w:t>
      </w:r>
    </w:p>
    <w:p w14:paraId="5CD193D7">
      <w:pPr>
        <w:spacing w:line="48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6、甲方若需临时加送食品、食材(提前3小时通知乙方)，乙方必须无条件按时送达。</w:t>
      </w:r>
    </w:p>
    <w:p w14:paraId="5F34C0DA">
      <w:pPr>
        <w:spacing w:line="48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7、 若乙方所提供的食品、食材价格高于约定价格或以次充好不能确保食品、食材质量两次以上(含两次)的，则甲方有权利拒绝付款并随时终止本协议。</w:t>
      </w:r>
    </w:p>
    <w:p w14:paraId="61DDD82D">
      <w:pPr>
        <w:spacing w:line="48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(四)、供货时间:由甲乙双方商定，一经确定双方必须严格执行。</w:t>
      </w:r>
    </w:p>
    <w:p w14:paraId="3D77825E">
      <w:pPr>
        <w:spacing w:line="480" w:lineRule="auto"/>
        <w:rPr>
          <w:rFonts w:hint="eastAsia" w:ascii="方正楷体_GB2312" w:hAnsi="方正楷体_GB2312" w:eastAsia="方正楷体_GB2312" w:cs="方正楷体_GB2312"/>
          <w:b/>
          <w:color w:val="auto"/>
          <w:sz w:val="24"/>
          <w:szCs w:val="24"/>
          <w:highlight w:val="none"/>
        </w:rPr>
      </w:pPr>
      <w:r>
        <w:rPr>
          <w:rFonts w:hint="eastAsia" w:ascii="方正楷体_GB2312" w:hAnsi="方正楷体_GB2312" w:eastAsia="方正楷体_GB2312" w:cs="方正楷体_GB2312"/>
          <w:b/>
          <w:color w:val="auto"/>
          <w:sz w:val="24"/>
          <w:szCs w:val="24"/>
          <w:highlight w:val="none"/>
        </w:rPr>
        <w:t>二、甲方职责</w:t>
      </w:r>
    </w:p>
    <w:p w14:paraId="72285B05">
      <w:pPr>
        <w:spacing w:line="48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1、甲方必须按商定的时间向乙方提前通知采购的食品、食材数量、规格等。</w:t>
      </w:r>
    </w:p>
    <w:p w14:paraId="00622D45">
      <w:pPr>
        <w:spacing w:line="48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2、甲方必须按本合同规定及时支付乙方采购食品、食材的货款。</w:t>
      </w:r>
    </w:p>
    <w:p w14:paraId="17C2D4F5">
      <w:pPr>
        <w:spacing w:line="48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3、食品、食材送到后，甲方负责当场验收数量、质量，发现问题乙方需及时退换；验收后因甲方保管不善造成食品、食材变质、过期等责任由甲方负责。</w:t>
      </w:r>
    </w:p>
    <w:p w14:paraId="37A6C0D1">
      <w:pPr>
        <w:spacing w:line="48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4、甲方每周组织相关人员到</w:t>
      </w:r>
      <w:r>
        <w:rPr>
          <w:rFonts w:hint="eastAsia" w:ascii="方正楷体_GB2312" w:hAnsi="方正楷体_GB2312" w:eastAsia="方正楷体_GB2312" w:cs="方正楷体_GB2312"/>
          <w:color w:val="auto"/>
          <w:sz w:val="24"/>
          <w:szCs w:val="24"/>
          <w:highlight w:val="none"/>
          <w:lang w:eastAsia="zh-CN"/>
        </w:rPr>
        <w:t>和硕县家满福超市、乐万家超市、幸福生活超市等市</w:t>
      </w:r>
      <w:r>
        <w:rPr>
          <w:rFonts w:hint="eastAsia" w:ascii="方正楷体_GB2312" w:hAnsi="方正楷体_GB2312" w:eastAsia="方正楷体_GB2312" w:cs="方正楷体_GB2312"/>
          <w:color w:val="auto"/>
          <w:sz w:val="24"/>
          <w:szCs w:val="24"/>
          <w:highlight w:val="none"/>
        </w:rPr>
        <w:t>市场、新汇佳超市、名家超市等地对所采购食品、食材进行询价，作为付款依据。</w:t>
      </w:r>
    </w:p>
    <w:p w14:paraId="4A99369B">
      <w:pPr>
        <w:spacing w:line="480" w:lineRule="auto"/>
        <w:rPr>
          <w:rFonts w:hint="eastAsia" w:ascii="方正楷体_GB2312" w:hAnsi="方正楷体_GB2312" w:eastAsia="方正楷体_GB2312" w:cs="方正楷体_GB2312"/>
          <w:b/>
          <w:color w:val="auto"/>
          <w:sz w:val="24"/>
          <w:szCs w:val="24"/>
          <w:highlight w:val="none"/>
        </w:rPr>
      </w:pPr>
      <w:r>
        <w:rPr>
          <w:rFonts w:hint="eastAsia" w:ascii="方正楷体_GB2312" w:hAnsi="方正楷体_GB2312" w:eastAsia="方正楷体_GB2312" w:cs="方正楷体_GB2312"/>
          <w:b/>
          <w:color w:val="auto"/>
          <w:sz w:val="24"/>
          <w:szCs w:val="24"/>
          <w:highlight w:val="none"/>
        </w:rPr>
        <w:t>三、资金支付方式：</w:t>
      </w:r>
    </w:p>
    <w:p w14:paraId="641CFD68">
      <w:pPr>
        <w:spacing w:line="48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通过政采云平台及时支付</w:t>
      </w:r>
      <w:r>
        <w:rPr>
          <w:rFonts w:hint="eastAsia" w:ascii="方正楷体_GB2312" w:hAnsi="方正楷体_GB2312" w:eastAsia="方正楷体_GB2312" w:cs="方正楷体_GB2312"/>
          <w:iCs/>
          <w:color w:val="auto"/>
          <w:sz w:val="24"/>
          <w:szCs w:val="24"/>
          <w:highlight w:val="none"/>
        </w:rPr>
        <w:t>(</w:t>
      </w:r>
      <w:r>
        <w:rPr>
          <w:rFonts w:hint="eastAsia" w:ascii="方正楷体_GB2312" w:hAnsi="方正楷体_GB2312" w:eastAsia="方正楷体_GB2312" w:cs="方正楷体_GB2312"/>
          <w:iCs/>
          <w:color w:val="auto"/>
          <w:sz w:val="24"/>
          <w:szCs w:val="24"/>
          <w:highlight w:val="none"/>
          <w:lang w:val="en-US" w:eastAsia="zh-CN"/>
        </w:rPr>
        <w:t>月度结账</w:t>
      </w:r>
      <w:r>
        <w:rPr>
          <w:rFonts w:hint="eastAsia" w:ascii="方正楷体_GB2312" w:hAnsi="方正楷体_GB2312" w:eastAsia="方正楷体_GB2312" w:cs="方正楷体_GB2312"/>
          <w:iCs/>
          <w:color w:val="auto"/>
          <w:sz w:val="24"/>
          <w:szCs w:val="24"/>
          <w:highlight w:val="none"/>
        </w:rPr>
        <w:t>，若因学校工作影响不能及时支付的要提前与甲方沟通)</w:t>
      </w:r>
      <w:r>
        <w:rPr>
          <w:rFonts w:hint="eastAsia" w:ascii="方正楷体_GB2312" w:hAnsi="方正楷体_GB2312" w:eastAsia="方正楷体_GB2312" w:cs="方正楷体_GB2312"/>
          <w:color w:val="auto"/>
          <w:sz w:val="24"/>
          <w:szCs w:val="24"/>
          <w:highlight w:val="none"/>
        </w:rPr>
        <w:t>，因乙方责任造成货款支付不能及时到位的，甲方不承担责任。</w:t>
      </w:r>
    </w:p>
    <w:p w14:paraId="0AA9D6D1">
      <w:pPr>
        <w:spacing w:line="480" w:lineRule="auto"/>
        <w:rPr>
          <w:rFonts w:hint="eastAsia" w:ascii="方正楷体_GB2312" w:hAnsi="方正楷体_GB2312" w:eastAsia="方正楷体_GB2312" w:cs="方正楷体_GB2312"/>
          <w:b/>
          <w:color w:val="auto"/>
          <w:sz w:val="24"/>
          <w:szCs w:val="24"/>
          <w:highlight w:val="none"/>
        </w:rPr>
      </w:pPr>
      <w:r>
        <w:rPr>
          <w:rFonts w:hint="eastAsia" w:ascii="方正楷体_GB2312" w:hAnsi="方正楷体_GB2312" w:eastAsia="方正楷体_GB2312" w:cs="方正楷体_GB2312"/>
          <w:b/>
          <w:color w:val="auto"/>
          <w:sz w:val="24"/>
          <w:szCs w:val="24"/>
          <w:highlight w:val="none"/>
        </w:rPr>
        <w:t>四、安全责任</w:t>
      </w:r>
    </w:p>
    <w:p w14:paraId="77589F39">
      <w:pPr>
        <w:spacing w:line="48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甲方师生员工因食用食堂饭菜发生中毒事故，经有关单位鉴定，如确定因乙方提供的食品、食材质量问题引发的，乙方除需负担全额医药费外，并应承担法律上一切责任且放弃先诉抗辩权。甲方应立即解除此协议。</w:t>
      </w:r>
    </w:p>
    <w:p w14:paraId="359E2346">
      <w:pPr>
        <w:spacing w:line="48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2、甲方师生员工因食用食堂饭菜导致食物中毒，经有关单位鉴定，如确定为甲方加工过程中造成的问题，甲方自行负责全额医药费，与乙方无关。</w:t>
      </w:r>
    </w:p>
    <w:p w14:paraId="53A9570C">
      <w:pPr>
        <w:spacing w:line="480" w:lineRule="auto"/>
        <w:rPr>
          <w:rFonts w:hint="eastAsia" w:ascii="方正楷体_GB2312" w:hAnsi="方正楷体_GB2312" w:eastAsia="方正楷体_GB2312" w:cs="方正楷体_GB2312"/>
          <w:b/>
          <w:color w:val="auto"/>
          <w:sz w:val="24"/>
          <w:szCs w:val="24"/>
          <w:highlight w:val="none"/>
        </w:rPr>
      </w:pPr>
      <w:r>
        <w:rPr>
          <w:rFonts w:hint="eastAsia" w:ascii="方正楷体_GB2312" w:hAnsi="方正楷体_GB2312" w:eastAsia="方正楷体_GB2312" w:cs="方正楷体_GB2312"/>
          <w:b/>
          <w:color w:val="auto"/>
          <w:sz w:val="24"/>
          <w:szCs w:val="24"/>
          <w:highlight w:val="none"/>
        </w:rPr>
        <w:t>五、协议期限</w:t>
      </w:r>
    </w:p>
    <w:p w14:paraId="00AF80CF">
      <w:pPr>
        <w:spacing w:line="48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此协议自</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年</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月</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日至</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年</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月</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日终止(试用期一个月)。</w:t>
      </w:r>
    </w:p>
    <w:p w14:paraId="1782AF52">
      <w:pPr>
        <w:spacing w:line="480" w:lineRule="auto"/>
        <w:rPr>
          <w:rFonts w:hint="eastAsia" w:ascii="方正楷体_GB2312" w:hAnsi="方正楷体_GB2312" w:eastAsia="方正楷体_GB2312" w:cs="方正楷体_GB2312"/>
          <w:b/>
          <w:color w:val="auto"/>
          <w:sz w:val="24"/>
          <w:szCs w:val="24"/>
          <w:highlight w:val="none"/>
        </w:rPr>
      </w:pPr>
      <w:r>
        <w:rPr>
          <w:rFonts w:hint="eastAsia" w:ascii="方正楷体_GB2312" w:hAnsi="方正楷体_GB2312" w:eastAsia="方正楷体_GB2312" w:cs="方正楷体_GB2312"/>
          <w:b/>
          <w:color w:val="auto"/>
          <w:sz w:val="24"/>
          <w:szCs w:val="24"/>
          <w:highlight w:val="none"/>
        </w:rPr>
        <w:t>六、未尽事项，依政府采购法及食品卫生管理法规之相关规定办理。</w:t>
      </w:r>
    </w:p>
    <w:p w14:paraId="4CFA4E33">
      <w:pPr>
        <w:spacing w:line="480" w:lineRule="auto"/>
        <w:rPr>
          <w:rFonts w:hint="eastAsia" w:ascii="方正楷体_GB2312" w:hAnsi="方正楷体_GB2312" w:eastAsia="方正楷体_GB2312" w:cs="方正楷体_GB2312"/>
          <w:b/>
          <w:color w:val="auto"/>
          <w:sz w:val="24"/>
          <w:szCs w:val="24"/>
          <w:highlight w:val="none"/>
        </w:rPr>
      </w:pPr>
      <w:r>
        <w:rPr>
          <w:rFonts w:hint="eastAsia" w:ascii="方正楷体_GB2312" w:hAnsi="方正楷体_GB2312" w:eastAsia="方正楷体_GB2312" w:cs="方正楷体_GB2312"/>
          <w:b/>
          <w:color w:val="auto"/>
          <w:sz w:val="24"/>
          <w:szCs w:val="24"/>
          <w:highlight w:val="none"/>
        </w:rPr>
        <w:t>七、本合同式三份，甲乙双方各执一份，报教育局一份。</w:t>
      </w:r>
    </w:p>
    <w:p w14:paraId="38ADE543">
      <w:pPr>
        <w:spacing w:line="480" w:lineRule="auto"/>
        <w:rPr>
          <w:rFonts w:hint="eastAsia" w:ascii="方正楷体_GB2312" w:hAnsi="方正楷体_GB2312" w:eastAsia="方正楷体_GB2312" w:cs="方正楷体_GB2312"/>
          <w:b/>
          <w:color w:val="auto"/>
          <w:sz w:val="24"/>
          <w:szCs w:val="24"/>
          <w:highlight w:val="none"/>
        </w:rPr>
      </w:pPr>
      <w:r>
        <w:rPr>
          <w:rFonts w:hint="eastAsia" w:ascii="方正楷体_GB2312" w:hAnsi="方正楷体_GB2312" w:eastAsia="方正楷体_GB2312" w:cs="方正楷体_GB2312"/>
          <w:b/>
          <w:color w:val="auto"/>
          <w:sz w:val="24"/>
          <w:szCs w:val="24"/>
          <w:highlight w:val="none"/>
        </w:rPr>
        <w:t>八、本协议经甲乙双方签章后生效</w:t>
      </w:r>
    </w:p>
    <w:p w14:paraId="5F9317BC">
      <w:pPr>
        <w:spacing w:line="48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甲方：（签章）                   乙方：（签章）</w:t>
      </w:r>
    </w:p>
    <w:p w14:paraId="58F8F916">
      <w:pPr>
        <w:spacing w:line="480" w:lineRule="auto"/>
        <w:ind w:firstLine="480" w:firstLineChars="2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甲方代表签字：                  乙方代表签字：</w:t>
      </w:r>
    </w:p>
    <w:p w14:paraId="6F62915B">
      <w:pPr>
        <w:spacing w:line="480" w:lineRule="auto"/>
        <w:ind w:firstLine="480" w:firstLineChars="200"/>
        <w:jc w:val="right"/>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 xml:space="preserve"> 年  月 日</w:t>
      </w:r>
    </w:p>
    <w:p w14:paraId="2F2AD83E">
      <w:pPr>
        <w:snapToGrid w:val="0"/>
        <w:spacing w:line="360" w:lineRule="auto"/>
        <w:jc w:val="center"/>
        <w:rPr>
          <w:rFonts w:hint="eastAsia" w:ascii="方正楷体_GB2312" w:hAnsi="方正楷体_GB2312" w:eastAsia="方正楷体_GB2312" w:cs="方正楷体_GB2312"/>
          <w:color w:val="auto"/>
          <w:sz w:val="24"/>
          <w:szCs w:val="24"/>
          <w:highlight w:val="none"/>
        </w:rPr>
      </w:pPr>
    </w:p>
    <w:p w14:paraId="49815E07">
      <w:pPr>
        <w:pStyle w:val="26"/>
        <w:spacing w:line="360" w:lineRule="auto"/>
        <w:ind w:firstLine="480" w:firstLineChars="200"/>
        <w:rPr>
          <w:rFonts w:hint="eastAsia" w:ascii="方正楷体_GB2312" w:hAnsi="方正楷体_GB2312" w:eastAsia="方正楷体_GB2312" w:cs="方正楷体_GB2312"/>
          <w:color w:val="auto"/>
          <w:sz w:val="24"/>
          <w:szCs w:val="24"/>
          <w:highlight w:val="none"/>
        </w:rPr>
      </w:pPr>
      <w:bookmarkStart w:id="92" w:name="OLE_LINK4"/>
    </w:p>
    <w:p w14:paraId="7B23CDDF">
      <w:pPr>
        <w:pStyle w:val="26"/>
        <w:spacing w:line="360" w:lineRule="auto"/>
        <w:ind w:firstLine="482" w:firstLineChars="200"/>
        <w:rPr>
          <w:rFonts w:hint="eastAsia" w:ascii="方正楷体_GB2312" w:hAnsi="方正楷体_GB2312" w:eastAsia="方正楷体_GB2312" w:cs="方正楷体_GB2312"/>
          <w:b/>
          <w:bCs/>
          <w:color w:val="auto"/>
          <w:sz w:val="24"/>
          <w:szCs w:val="24"/>
          <w:highlight w:val="none"/>
        </w:rPr>
      </w:pPr>
    </w:p>
    <w:p w14:paraId="0C135EDE">
      <w:pPr>
        <w:pStyle w:val="26"/>
        <w:spacing w:line="360" w:lineRule="auto"/>
        <w:ind w:firstLine="482" w:firstLineChars="200"/>
        <w:jc w:val="center"/>
        <w:rPr>
          <w:rFonts w:hint="eastAsia" w:ascii="方正楷体_GB2312" w:hAnsi="方正楷体_GB2312" w:eastAsia="方正楷体_GB2312" w:cs="方正楷体_GB2312"/>
          <w:b/>
          <w:bCs/>
          <w:color w:val="auto"/>
          <w:sz w:val="24"/>
          <w:szCs w:val="24"/>
          <w:highlight w:val="none"/>
        </w:rPr>
      </w:pPr>
      <w:r>
        <w:rPr>
          <w:rFonts w:hint="eastAsia" w:ascii="方正楷体_GB2312" w:hAnsi="方正楷体_GB2312" w:eastAsia="方正楷体_GB2312" w:cs="方正楷体_GB2312"/>
          <w:b/>
          <w:bCs/>
          <w:color w:val="auto"/>
          <w:sz w:val="24"/>
          <w:szCs w:val="24"/>
          <w:highlight w:val="none"/>
        </w:rPr>
        <w:t>（以上合同仅供参考）</w:t>
      </w:r>
      <w:bookmarkEnd w:id="92"/>
    </w:p>
    <w:p w14:paraId="3E479116">
      <w:pPr>
        <w:pStyle w:val="3"/>
        <w:numPr>
          <w:ilvl w:val="0"/>
          <w:numId w:val="0"/>
        </w:numPr>
        <w:tabs>
          <w:tab w:val="left" w:pos="2889"/>
        </w:tabs>
        <w:ind w:firstLine="3534" w:firstLineChars="1100"/>
        <w:jc w:val="both"/>
        <w:rPr>
          <w:rFonts w:hint="eastAsia" w:ascii="方正楷体_GB2312" w:hAnsi="方正楷体_GB2312" w:eastAsia="方正楷体_GB2312" w:cs="方正楷体_GB2312"/>
          <w:color w:val="auto"/>
          <w:highlight w:val="none"/>
          <w:lang w:eastAsia="zh-CN"/>
        </w:rPr>
      </w:pPr>
      <w:bookmarkStart w:id="93" w:name="_Toc1374"/>
      <w:r>
        <w:rPr>
          <w:rFonts w:hint="eastAsia" w:ascii="方正楷体_GB2312" w:hAnsi="方正楷体_GB2312" w:eastAsia="方正楷体_GB2312" w:cs="方正楷体_GB2312"/>
          <w:color w:val="auto"/>
          <w:highlight w:val="none"/>
          <w:lang w:eastAsia="zh-CN"/>
        </w:rPr>
        <w:t>第</w:t>
      </w:r>
      <w:r>
        <w:rPr>
          <w:rFonts w:hint="eastAsia" w:ascii="方正楷体_GB2312" w:hAnsi="方正楷体_GB2312" w:eastAsia="方正楷体_GB2312" w:cs="方正楷体_GB2312"/>
          <w:color w:val="auto"/>
          <w:highlight w:val="none"/>
          <w:lang w:val="en-US" w:eastAsia="zh-Hans"/>
        </w:rPr>
        <w:t>五</w:t>
      </w:r>
      <w:r>
        <w:rPr>
          <w:rFonts w:hint="eastAsia" w:ascii="方正楷体_GB2312" w:hAnsi="方正楷体_GB2312" w:eastAsia="方正楷体_GB2312" w:cs="方正楷体_GB2312"/>
          <w:color w:val="auto"/>
          <w:highlight w:val="none"/>
          <w:lang w:eastAsia="zh-CN"/>
        </w:rPr>
        <w:t>部分　范本格式</w:t>
      </w:r>
      <w:bookmarkEnd w:id="87"/>
      <w:bookmarkEnd w:id="88"/>
      <w:bookmarkEnd w:id="89"/>
      <w:bookmarkEnd w:id="90"/>
      <w:bookmarkEnd w:id="93"/>
    </w:p>
    <w:p w14:paraId="7965BD04">
      <w:pPr>
        <w:jc w:val="center"/>
        <w:rPr>
          <w:rFonts w:hint="eastAsia" w:ascii="方正楷体_GB2312" w:hAnsi="方正楷体_GB2312" w:eastAsia="方正楷体_GB2312" w:cs="方正楷体_GB2312"/>
          <w:color w:val="auto"/>
          <w:sz w:val="32"/>
          <w:szCs w:val="32"/>
          <w:highlight w:val="none"/>
          <w:lang w:eastAsia="zh-CN"/>
        </w:rPr>
      </w:pPr>
      <w:r>
        <w:rPr>
          <w:rFonts w:hint="eastAsia" w:ascii="方正楷体_GB2312" w:hAnsi="方正楷体_GB2312" w:eastAsia="方正楷体_GB2312" w:cs="方正楷体_GB2312"/>
          <w:color w:val="auto"/>
          <w:sz w:val="32"/>
          <w:szCs w:val="32"/>
          <w:highlight w:val="none"/>
          <w:lang w:eastAsia="zh-CN"/>
        </w:rPr>
        <w:t>响应函</w:t>
      </w:r>
    </w:p>
    <w:p w14:paraId="789DDB90">
      <w:pPr>
        <w:rPr>
          <w:rFonts w:hint="eastAsia" w:ascii="方正楷体_GB2312" w:hAnsi="方正楷体_GB2312" w:eastAsia="方正楷体_GB2312" w:cs="方正楷体_GB2312"/>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rPr>
        <w:t>致：</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u w:val="single"/>
          <w:lang w:eastAsia="zh-CN"/>
        </w:rPr>
        <w:t>新疆立科得源工程项目管理咨询有限公司</w:t>
      </w:r>
      <w:r>
        <w:rPr>
          <w:rFonts w:hint="eastAsia" w:ascii="方正楷体_GB2312" w:hAnsi="方正楷体_GB2312" w:eastAsia="方正楷体_GB2312" w:cs="方正楷体_GB2312"/>
          <w:color w:val="auto"/>
          <w:sz w:val="24"/>
          <w:szCs w:val="24"/>
          <w:highlight w:val="none"/>
        </w:rPr>
        <w:t>根据贵方为</w:t>
      </w:r>
      <w:r>
        <w:rPr>
          <w:rFonts w:hint="eastAsia" w:ascii="方正楷体_GB2312" w:hAnsi="方正楷体_GB2312" w:eastAsia="方正楷体_GB2312" w:cs="方正楷体_GB2312"/>
          <w:color w:val="auto"/>
          <w:sz w:val="24"/>
          <w:szCs w:val="24"/>
          <w:highlight w:val="none"/>
          <w:u w:val="single"/>
        </w:rPr>
        <w:t>　　　（项目名称</w:t>
      </w:r>
      <w:r>
        <w:rPr>
          <w:rFonts w:hint="eastAsia" w:ascii="方正楷体_GB2312" w:hAnsi="方正楷体_GB2312" w:eastAsia="方正楷体_GB2312" w:cs="方正楷体_GB2312"/>
          <w:color w:val="auto"/>
          <w:sz w:val="24"/>
          <w:szCs w:val="24"/>
          <w:highlight w:val="none"/>
          <w:u w:val="single"/>
          <w:lang w:eastAsia="zh-CN"/>
        </w:rPr>
        <w:t>、标项名称</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项目</w:t>
      </w:r>
      <w:r>
        <w:rPr>
          <w:rFonts w:hint="eastAsia" w:ascii="方正楷体_GB2312" w:hAnsi="方正楷体_GB2312" w:eastAsia="方正楷体_GB2312" w:cs="方正楷体_GB2312"/>
          <w:color w:val="auto"/>
          <w:sz w:val="24"/>
          <w:szCs w:val="24"/>
          <w:highlight w:val="none"/>
          <w:lang w:eastAsia="zh-CN"/>
        </w:rPr>
        <w:t>谈判</w:t>
      </w:r>
      <w:r>
        <w:rPr>
          <w:rFonts w:hint="eastAsia" w:ascii="方正楷体_GB2312" w:hAnsi="方正楷体_GB2312" w:eastAsia="方正楷体_GB2312" w:cs="方正楷体_GB2312"/>
          <w:color w:val="auto"/>
          <w:sz w:val="24"/>
          <w:szCs w:val="24"/>
          <w:highlight w:val="none"/>
        </w:rPr>
        <w:t>的</w:t>
      </w:r>
      <w:r>
        <w:rPr>
          <w:rFonts w:hint="eastAsia" w:ascii="方正楷体_GB2312" w:hAnsi="方正楷体_GB2312" w:eastAsia="方正楷体_GB2312" w:cs="方正楷体_GB2312"/>
          <w:color w:val="auto"/>
          <w:sz w:val="24"/>
          <w:szCs w:val="24"/>
          <w:highlight w:val="none"/>
          <w:lang w:eastAsia="zh-CN"/>
        </w:rPr>
        <w:t>谈判</w:t>
      </w:r>
      <w:r>
        <w:rPr>
          <w:rFonts w:hint="eastAsia" w:ascii="方正楷体_GB2312" w:hAnsi="方正楷体_GB2312" w:eastAsia="方正楷体_GB2312" w:cs="方正楷体_GB2312"/>
          <w:color w:val="auto"/>
          <w:sz w:val="24"/>
          <w:szCs w:val="24"/>
          <w:highlight w:val="none"/>
        </w:rPr>
        <w:t>邀请</w:t>
      </w:r>
      <w:r>
        <w:rPr>
          <w:rFonts w:hint="eastAsia" w:ascii="方正楷体_GB2312" w:hAnsi="方正楷体_GB2312" w:eastAsia="方正楷体_GB2312" w:cs="方正楷体_GB2312"/>
          <w:color w:val="auto"/>
          <w:sz w:val="24"/>
          <w:szCs w:val="24"/>
          <w:highlight w:val="none"/>
          <w:u w:val="single"/>
        </w:rPr>
        <w:t>（项目编号）</w:t>
      </w:r>
      <w:r>
        <w:rPr>
          <w:rFonts w:hint="eastAsia" w:ascii="方正楷体_GB2312" w:hAnsi="方正楷体_GB2312" w:eastAsia="方正楷体_GB2312" w:cs="方正楷体_GB2312"/>
          <w:color w:val="auto"/>
          <w:sz w:val="24"/>
          <w:szCs w:val="24"/>
          <w:highlight w:val="none"/>
        </w:rPr>
        <w:t>，签字代表</w:t>
      </w:r>
      <w:r>
        <w:rPr>
          <w:rFonts w:hint="eastAsia" w:ascii="方正楷体_GB2312" w:hAnsi="方正楷体_GB2312" w:eastAsia="方正楷体_GB2312" w:cs="方正楷体_GB2312"/>
          <w:color w:val="auto"/>
          <w:sz w:val="24"/>
          <w:szCs w:val="24"/>
          <w:highlight w:val="none"/>
          <w:u w:val="single"/>
        </w:rPr>
        <w:t>（姓名、职务）</w:t>
      </w:r>
      <w:r>
        <w:rPr>
          <w:rFonts w:hint="eastAsia" w:ascii="方正楷体_GB2312" w:hAnsi="方正楷体_GB2312" w:eastAsia="方正楷体_GB2312" w:cs="方正楷体_GB2312"/>
          <w:color w:val="auto"/>
          <w:sz w:val="24"/>
          <w:szCs w:val="24"/>
          <w:highlight w:val="none"/>
        </w:rPr>
        <w:t>经正式授权并代表供应商</w:t>
      </w:r>
      <w:r>
        <w:rPr>
          <w:rFonts w:hint="eastAsia" w:ascii="方正楷体_GB2312" w:hAnsi="方正楷体_GB2312" w:eastAsia="方正楷体_GB2312" w:cs="方正楷体_GB2312"/>
          <w:color w:val="auto"/>
          <w:sz w:val="24"/>
          <w:szCs w:val="24"/>
          <w:highlight w:val="none"/>
          <w:u w:val="single"/>
        </w:rPr>
        <w:t>（供应商名称、地址）</w:t>
      </w:r>
      <w:r>
        <w:rPr>
          <w:rFonts w:hint="eastAsia" w:ascii="方正楷体_GB2312" w:hAnsi="方正楷体_GB2312" w:eastAsia="方正楷体_GB2312" w:cs="方正楷体_GB2312"/>
          <w:color w:val="auto"/>
          <w:sz w:val="24"/>
          <w:szCs w:val="24"/>
          <w:highlight w:val="none"/>
        </w:rPr>
        <w:t>提交下述文件</w:t>
      </w:r>
      <w:r>
        <w:rPr>
          <w:rFonts w:hint="eastAsia" w:ascii="方正楷体_GB2312" w:hAnsi="方正楷体_GB2312" w:eastAsia="方正楷体_GB2312" w:cs="方正楷体_GB2312"/>
          <w:color w:val="auto"/>
          <w:sz w:val="24"/>
          <w:szCs w:val="24"/>
          <w:highlight w:val="none"/>
          <w:lang w:eastAsia="zh-CN"/>
        </w:rPr>
        <w:t>。</w:t>
      </w:r>
    </w:p>
    <w:p w14:paraId="47EC9C15">
      <w:pPr>
        <w:rPr>
          <w:rFonts w:hint="eastAsia" w:ascii="方正楷体_GB2312" w:hAnsi="方正楷体_GB2312" w:eastAsia="方正楷体_GB2312" w:cs="方正楷体_GB2312"/>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lang w:eastAsia="zh-CN"/>
        </w:rPr>
        <w:t>投标报价一览表</w:t>
      </w:r>
    </w:p>
    <w:p w14:paraId="62113934">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按谈判文件供应商须知、技术规格要求及其他要求提供有关文件</w:t>
      </w:r>
    </w:p>
    <w:p w14:paraId="582B5F43">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资格证明文件</w:t>
      </w:r>
    </w:p>
    <w:p w14:paraId="6B229E33">
      <w:pPr>
        <w:rPr>
          <w:rFonts w:hint="eastAsia" w:ascii="方正楷体_GB2312" w:hAnsi="方正楷体_GB2312" w:eastAsia="方正楷体_GB2312" w:cs="方正楷体_GB2312"/>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lang w:eastAsia="zh-CN"/>
        </w:rPr>
        <w:t>谈判保证金</w:t>
      </w:r>
      <w:r>
        <w:rPr>
          <w:rFonts w:hint="eastAsia" w:ascii="方正楷体_GB2312" w:hAnsi="方正楷体_GB2312" w:eastAsia="方正楷体_GB2312" w:cs="方正楷体_GB2312"/>
          <w:color w:val="auto"/>
          <w:sz w:val="24"/>
          <w:szCs w:val="24"/>
          <w:highlight w:val="none"/>
        </w:rPr>
        <w:t>，形式</w:t>
      </w:r>
      <w:r>
        <w:rPr>
          <w:rFonts w:hint="eastAsia" w:ascii="方正楷体_GB2312" w:hAnsi="方正楷体_GB2312" w:eastAsia="方正楷体_GB2312" w:cs="方正楷体_GB2312"/>
          <w:color w:val="auto"/>
          <w:sz w:val="24"/>
          <w:szCs w:val="24"/>
          <w:highlight w:val="none"/>
          <w:u w:val="single"/>
        </w:rPr>
        <w:t>（电汇）</w:t>
      </w:r>
      <w:r>
        <w:rPr>
          <w:rFonts w:hint="eastAsia" w:ascii="方正楷体_GB2312" w:hAnsi="方正楷体_GB2312" w:eastAsia="方正楷体_GB2312" w:cs="方正楷体_GB2312"/>
          <w:color w:val="auto"/>
          <w:sz w:val="24"/>
          <w:szCs w:val="24"/>
          <w:highlight w:val="none"/>
        </w:rPr>
        <w:t>，金额为</w:t>
      </w:r>
      <w:r>
        <w:rPr>
          <w:rFonts w:hint="eastAsia" w:ascii="方正楷体_GB2312" w:hAnsi="方正楷体_GB2312" w:eastAsia="方正楷体_GB2312" w:cs="方正楷体_GB2312"/>
          <w:color w:val="auto"/>
          <w:sz w:val="24"/>
          <w:szCs w:val="24"/>
          <w:highlight w:val="none"/>
          <w:u w:val="single"/>
        </w:rPr>
        <w:t>（注明币种）</w:t>
      </w:r>
      <w:r>
        <w:rPr>
          <w:rFonts w:hint="eastAsia" w:ascii="方正楷体_GB2312" w:hAnsi="方正楷体_GB2312" w:eastAsia="方正楷体_GB2312" w:cs="方正楷体_GB2312"/>
          <w:color w:val="auto"/>
          <w:sz w:val="24"/>
          <w:szCs w:val="24"/>
          <w:highlight w:val="none"/>
        </w:rPr>
        <w:t>。</w:t>
      </w:r>
      <w:r>
        <w:rPr>
          <w:rFonts w:hint="eastAsia" w:ascii="方正楷体_GB2312" w:hAnsi="方正楷体_GB2312" w:eastAsia="方正楷体_GB2312" w:cs="方正楷体_GB2312"/>
          <w:color w:val="auto"/>
          <w:sz w:val="24"/>
          <w:szCs w:val="24"/>
          <w:highlight w:val="none"/>
          <w:lang w:eastAsia="zh-CN"/>
        </w:rPr>
        <w:t>或保函证明、电子保函。</w:t>
      </w:r>
    </w:p>
    <w:p w14:paraId="66CB1AEA">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据此函，签字代表宣布同意如下：</w:t>
      </w:r>
    </w:p>
    <w:p w14:paraId="65C3A7C2">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1．所附投标报价表中规定的应提交和交付的货物和服务投标</w:t>
      </w:r>
      <w:r>
        <w:rPr>
          <w:rFonts w:hint="eastAsia" w:ascii="方正楷体_GB2312" w:hAnsi="方正楷体_GB2312" w:eastAsia="方正楷体_GB2312" w:cs="方正楷体_GB2312"/>
          <w:color w:val="auto"/>
          <w:sz w:val="24"/>
          <w:szCs w:val="24"/>
          <w:highlight w:val="none"/>
          <w:u w:val="none"/>
          <w:lang w:val="en-US" w:eastAsia="zh-Hans"/>
        </w:rPr>
        <w:t>报价为:</w:t>
      </w:r>
      <w:r>
        <w:rPr>
          <w:rFonts w:hint="eastAsia" w:ascii="方正楷体_GB2312" w:hAnsi="方正楷体_GB2312" w:eastAsia="方正楷体_GB2312" w:cs="方正楷体_GB2312"/>
          <w:color w:val="auto"/>
          <w:sz w:val="24"/>
          <w:szCs w:val="24"/>
          <w:highlight w:val="none"/>
          <w:u w:val="none"/>
          <w:lang w:val="en-US" w:eastAsia="zh-CN"/>
        </w:rPr>
        <w:t>小写</w:t>
      </w:r>
      <w:r>
        <w:rPr>
          <w:rFonts w:hint="eastAsia" w:ascii="方正楷体_GB2312" w:hAnsi="方正楷体_GB2312" w:eastAsia="方正楷体_GB2312" w:cs="方正楷体_GB2312"/>
          <w:color w:val="auto"/>
          <w:sz w:val="24"/>
          <w:szCs w:val="24"/>
          <w:highlight w:val="none"/>
          <w:u w:val="single"/>
          <w:lang w:eastAsia="zh-Hans"/>
        </w:rPr>
        <w:t xml:space="preserve">     </w:t>
      </w:r>
      <w:r>
        <w:rPr>
          <w:rFonts w:hint="eastAsia" w:ascii="方正楷体_GB2312" w:hAnsi="方正楷体_GB2312" w:eastAsia="方正楷体_GB2312" w:cs="方正楷体_GB2312"/>
          <w:color w:val="auto"/>
          <w:sz w:val="24"/>
          <w:szCs w:val="24"/>
          <w:highlight w:val="none"/>
          <w:u w:val="single"/>
          <w:lang w:val="en-US" w:eastAsia="zh-CN"/>
        </w:rPr>
        <w:t xml:space="preserve"> </w:t>
      </w:r>
      <w:r>
        <w:rPr>
          <w:rFonts w:hint="eastAsia" w:ascii="方正楷体_GB2312" w:hAnsi="方正楷体_GB2312" w:eastAsia="方正楷体_GB2312" w:cs="方正楷体_GB2312"/>
          <w:color w:val="auto"/>
          <w:sz w:val="24"/>
          <w:szCs w:val="24"/>
          <w:highlight w:val="none"/>
          <w:u w:val="single"/>
          <w:lang w:val="en-US" w:eastAsia="zh-Hans"/>
        </w:rPr>
        <w:t>(大写:</w:t>
      </w:r>
      <w:r>
        <w:rPr>
          <w:rFonts w:hint="eastAsia" w:ascii="方正楷体_GB2312" w:hAnsi="方正楷体_GB2312" w:eastAsia="方正楷体_GB2312" w:cs="方正楷体_GB2312"/>
          <w:color w:val="auto"/>
          <w:sz w:val="24"/>
          <w:szCs w:val="24"/>
          <w:highlight w:val="none"/>
          <w:u w:val="single"/>
          <w:lang w:eastAsia="zh-Hans"/>
        </w:rPr>
        <w:t xml:space="preserve">               </w:t>
      </w:r>
      <w:r>
        <w:rPr>
          <w:rFonts w:hint="eastAsia" w:ascii="方正楷体_GB2312" w:hAnsi="方正楷体_GB2312" w:eastAsia="方正楷体_GB2312" w:cs="方正楷体_GB2312"/>
          <w:color w:val="auto"/>
          <w:sz w:val="24"/>
          <w:szCs w:val="24"/>
          <w:highlight w:val="none"/>
          <w:u w:val="single"/>
          <w:lang w:val="en-US" w:eastAsia="zh-Hans"/>
        </w:rPr>
        <w:t>)</w:t>
      </w:r>
      <w:r>
        <w:rPr>
          <w:rFonts w:hint="eastAsia" w:ascii="方正楷体_GB2312" w:hAnsi="方正楷体_GB2312" w:eastAsia="方正楷体_GB2312" w:cs="方正楷体_GB2312"/>
          <w:color w:val="auto"/>
          <w:sz w:val="24"/>
          <w:szCs w:val="24"/>
          <w:highlight w:val="none"/>
        </w:rPr>
        <w:t xml:space="preserve"> 。</w:t>
      </w:r>
    </w:p>
    <w:p w14:paraId="70030111">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2．供应商将按谈判文件的规定履行合同责任和义务；</w:t>
      </w:r>
    </w:p>
    <w:p w14:paraId="39E6996E">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3．供应商已详细审查全部谈判文件，包括修改文件（如有的话）。我们完全理解并同意放弃对这方面有不明及误解的权利。</w:t>
      </w:r>
    </w:p>
    <w:p w14:paraId="3C44A636">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4．本投标有效期自开标之日起</w:t>
      </w:r>
      <w:r>
        <w:rPr>
          <w:rFonts w:hint="eastAsia" w:ascii="方正楷体_GB2312" w:hAnsi="方正楷体_GB2312" w:eastAsia="方正楷体_GB2312" w:cs="方正楷体_GB2312"/>
          <w:color w:val="auto"/>
          <w:sz w:val="24"/>
          <w:szCs w:val="24"/>
          <w:highlight w:val="none"/>
          <w:u w:val="single"/>
        </w:rPr>
        <w:t>　　　　</w:t>
      </w:r>
      <w:r>
        <w:rPr>
          <w:rFonts w:hint="eastAsia" w:ascii="方正楷体_GB2312" w:hAnsi="方正楷体_GB2312" w:eastAsia="方正楷体_GB2312" w:cs="方正楷体_GB2312"/>
          <w:color w:val="auto"/>
          <w:sz w:val="24"/>
          <w:szCs w:val="24"/>
          <w:highlight w:val="none"/>
        </w:rPr>
        <w:t>个日历日。</w:t>
      </w:r>
    </w:p>
    <w:p w14:paraId="58490896">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5．如果在规定的开标时间后，供应商在投标有效期内撤回投标，其</w:t>
      </w:r>
      <w:r>
        <w:rPr>
          <w:rFonts w:hint="eastAsia" w:ascii="方正楷体_GB2312" w:hAnsi="方正楷体_GB2312" w:eastAsia="方正楷体_GB2312" w:cs="方正楷体_GB2312"/>
          <w:color w:val="auto"/>
          <w:sz w:val="24"/>
          <w:szCs w:val="24"/>
          <w:highlight w:val="none"/>
          <w:lang w:eastAsia="zh-CN"/>
        </w:rPr>
        <w:t>谈判保证金</w:t>
      </w:r>
      <w:r>
        <w:rPr>
          <w:rFonts w:hint="eastAsia" w:ascii="方正楷体_GB2312" w:hAnsi="方正楷体_GB2312" w:eastAsia="方正楷体_GB2312" w:cs="方正楷体_GB2312"/>
          <w:color w:val="auto"/>
          <w:sz w:val="24"/>
          <w:szCs w:val="24"/>
          <w:highlight w:val="none"/>
        </w:rPr>
        <w:t>将被贵方没收。</w:t>
      </w:r>
    </w:p>
    <w:p w14:paraId="1D0FF95A">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6．供应商同意提供按照贵方可能要求的与其投标有关的一切数据或资料，完全理解贵方不一定要接受最低价的投标或收到的任何投标。</w:t>
      </w:r>
    </w:p>
    <w:p w14:paraId="7EAB4BFD">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7．与本投标有关的一切正式往来信函请寄：</w:t>
      </w:r>
    </w:p>
    <w:p w14:paraId="35D9D48B">
      <w:pPr>
        <w:rPr>
          <w:rFonts w:hint="eastAsia" w:ascii="方正楷体_GB2312" w:hAnsi="方正楷体_GB2312" w:eastAsia="方正楷体_GB2312" w:cs="方正楷体_GB2312"/>
          <w:color w:val="auto"/>
          <w:sz w:val="24"/>
          <w:szCs w:val="24"/>
          <w:highlight w:val="none"/>
        </w:rPr>
      </w:pPr>
    </w:p>
    <w:p w14:paraId="3A37E233">
      <w:pPr>
        <w:spacing w:line="360" w:lineRule="auto"/>
        <w:ind w:firstLine="240" w:firstLineChars="10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地址：</w:t>
      </w:r>
      <w:r>
        <w:rPr>
          <w:rFonts w:hint="eastAsia" w:ascii="方正楷体_GB2312" w:hAnsi="方正楷体_GB2312" w:eastAsia="方正楷体_GB2312" w:cs="方正楷体_GB2312"/>
          <w:color w:val="auto"/>
          <w:sz w:val="24"/>
          <w:szCs w:val="24"/>
          <w:highlight w:val="none"/>
          <w:u w:val="single"/>
        </w:rPr>
        <w:t>　　　　　　　　    　　</w:t>
      </w:r>
      <w:r>
        <w:rPr>
          <w:rFonts w:hint="eastAsia" w:ascii="方正楷体_GB2312" w:hAnsi="方正楷体_GB2312" w:eastAsia="方正楷体_GB2312" w:cs="方正楷体_GB2312"/>
          <w:color w:val="auto"/>
          <w:sz w:val="24"/>
          <w:szCs w:val="24"/>
          <w:highlight w:val="none"/>
        </w:rPr>
        <w:t>邮编：</w:t>
      </w:r>
      <w:r>
        <w:rPr>
          <w:rFonts w:hint="eastAsia" w:ascii="方正楷体_GB2312" w:hAnsi="方正楷体_GB2312" w:eastAsia="方正楷体_GB2312" w:cs="方正楷体_GB2312"/>
          <w:color w:val="auto"/>
          <w:sz w:val="24"/>
          <w:szCs w:val="24"/>
          <w:highlight w:val="none"/>
          <w:u w:val="single"/>
        </w:rPr>
        <w:t>　　　　   　　　　　</w:t>
      </w:r>
    </w:p>
    <w:p w14:paraId="265C7D3A">
      <w:pPr>
        <w:spacing w:line="360" w:lineRule="auto"/>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　电话：</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传真：</w:t>
      </w:r>
      <w:r>
        <w:rPr>
          <w:rFonts w:hint="eastAsia" w:ascii="方正楷体_GB2312" w:hAnsi="方正楷体_GB2312" w:eastAsia="方正楷体_GB2312" w:cs="方正楷体_GB2312"/>
          <w:color w:val="auto"/>
          <w:sz w:val="24"/>
          <w:szCs w:val="24"/>
          <w:highlight w:val="none"/>
          <w:u w:val="single"/>
        </w:rPr>
        <w:t>　   　　　　　　　　</w:t>
      </w:r>
    </w:p>
    <w:p w14:paraId="2B6AB199">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　　</w:t>
      </w:r>
    </w:p>
    <w:p w14:paraId="1446F42F">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　</w:t>
      </w:r>
    </w:p>
    <w:p w14:paraId="34702F42">
      <w:pPr>
        <w:rPr>
          <w:rFonts w:hint="eastAsia" w:ascii="方正楷体_GB2312" w:hAnsi="方正楷体_GB2312" w:eastAsia="方正楷体_GB2312" w:cs="方正楷体_GB2312"/>
          <w:color w:val="auto"/>
          <w:sz w:val="24"/>
          <w:szCs w:val="24"/>
          <w:highlight w:val="none"/>
        </w:rPr>
      </w:pPr>
    </w:p>
    <w:p w14:paraId="3E4A784A">
      <w:pPr>
        <w:spacing w:line="360" w:lineRule="auto"/>
        <w:ind w:firstLine="240" w:firstLineChars="100"/>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rPr>
        <w:t>供应商名称：</w:t>
      </w:r>
      <w:r>
        <w:rPr>
          <w:rFonts w:hint="eastAsia" w:ascii="方正楷体_GB2312" w:hAnsi="方正楷体_GB2312" w:eastAsia="方正楷体_GB2312" w:cs="方正楷体_GB2312"/>
          <w:color w:val="auto"/>
          <w:sz w:val="24"/>
          <w:szCs w:val="24"/>
          <w:highlight w:val="none"/>
          <w:lang w:eastAsia="zh-CN"/>
        </w:rPr>
        <w:t>（盖章）</w:t>
      </w:r>
      <w:r>
        <w:rPr>
          <w:rFonts w:hint="eastAsia" w:ascii="方正楷体_GB2312" w:hAnsi="方正楷体_GB2312" w:eastAsia="方正楷体_GB2312" w:cs="方正楷体_GB2312"/>
          <w:color w:val="auto"/>
          <w:sz w:val="24"/>
          <w:szCs w:val="24"/>
          <w:highlight w:val="none"/>
          <w:u w:val="single"/>
        </w:rPr>
        <w:t>　      　　　</w:t>
      </w:r>
      <w:r>
        <w:rPr>
          <w:rFonts w:hint="eastAsia" w:ascii="方正楷体_GB2312" w:hAnsi="方正楷体_GB2312" w:eastAsia="方正楷体_GB2312" w:cs="方正楷体_GB2312"/>
          <w:color w:val="auto"/>
          <w:sz w:val="24"/>
          <w:szCs w:val="24"/>
          <w:highlight w:val="none"/>
          <w:u w:val="single"/>
          <w:lang w:val="en-US" w:eastAsia="zh-CN"/>
        </w:rPr>
        <w:t xml:space="preserve">                        </w:t>
      </w:r>
      <w:r>
        <w:rPr>
          <w:rFonts w:hint="eastAsia" w:ascii="方正楷体_GB2312" w:hAnsi="方正楷体_GB2312" w:eastAsia="方正楷体_GB2312" w:cs="方正楷体_GB2312"/>
          <w:color w:val="auto"/>
          <w:sz w:val="24"/>
          <w:szCs w:val="24"/>
          <w:highlight w:val="none"/>
          <w:lang w:val="en-US" w:eastAsia="zh-CN"/>
        </w:rPr>
        <w:t xml:space="preserve"> </w:t>
      </w:r>
    </w:p>
    <w:p w14:paraId="41351DF8">
      <w:pPr>
        <w:spacing w:line="360" w:lineRule="auto"/>
        <w:ind w:firstLine="240" w:firstLineChars="100"/>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eastAsia="zh-CN"/>
        </w:rPr>
        <w:t>法定代表人或授权委托人（</w:t>
      </w:r>
      <w:r>
        <w:rPr>
          <w:rFonts w:hint="eastAsia" w:ascii="方正楷体_GB2312" w:hAnsi="方正楷体_GB2312" w:eastAsia="方正楷体_GB2312" w:cs="方正楷体_GB2312"/>
          <w:color w:val="auto"/>
          <w:sz w:val="24"/>
          <w:szCs w:val="24"/>
          <w:highlight w:val="none"/>
        </w:rPr>
        <w:t>签字</w:t>
      </w:r>
      <w:r>
        <w:rPr>
          <w:rFonts w:hint="eastAsia" w:ascii="方正楷体_GB2312" w:hAnsi="方正楷体_GB2312" w:eastAsia="方正楷体_GB2312" w:cs="方正楷体_GB2312"/>
          <w:color w:val="auto"/>
          <w:sz w:val="24"/>
          <w:szCs w:val="24"/>
          <w:highlight w:val="none"/>
          <w:lang w:eastAsia="zh-CN"/>
        </w:rPr>
        <w:t>或盖章）</w:t>
      </w:r>
      <w:r>
        <w:rPr>
          <w:rFonts w:hint="eastAsia" w:ascii="方正楷体_GB2312" w:hAnsi="方正楷体_GB2312" w:eastAsia="方正楷体_GB2312" w:cs="方正楷体_GB2312"/>
          <w:color w:val="auto"/>
          <w:sz w:val="24"/>
          <w:szCs w:val="24"/>
          <w:highlight w:val="none"/>
        </w:rPr>
        <w:t>：</w:t>
      </w:r>
      <w:r>
        <w:rPr>
          <w:rFonts w:hint="eastAsia" w:ascii="方正楷体_GB2312" w:hAnsi="方正楷体_GB2312" w:eastAsia="方正楷体_GB2312" w:cs="方正楷体_GB2312"/>
          <w:color w:val="auto"/>
          <w:sz w:val="24"/>
          <w:szCs w:val="24"/>
          <w:highlight w:val="none"/>
          <w:u w:val="single"/>
        </w:rPr>
        <w:t>　　　　　　　　　　</w:t>
      </w:r>
    </w:p>
    <w:p w14:paraId="78BA8E59">
      <w:pPr>
        <w:spacing w:line="360" w:lineRule="auto"/>
        <w:rPr>
          <w:rFonts w:hint="eastAsia" w:ascii="方正楷体_GB2312" w:hAnsi="方正楷体_GB2312" w:eastAsia="方正楷体_GB2312" w:cs="方正楷体_GB2312"/>
          <w:color w:val="auto"/>
          <w:sz w:val="24"/>
          <w:szCs w:val="24"/>
          <w:highlight w:val="none"/>
        </w:rPr>
        <w:sectPr>
          <w:footerReference r:id="rId7" w:type="default"/>
          <w:pgSz w:w="11907" w:h="16840"/>
          <w:pgMar w:top="1440" w:right="1080" w:bottom="1440" w:left="1080" w:header="851" w:footer="794" w:gutter="0"/>
          <w:pgNumType w:fmt="decimal"/>
          <w:cols w:space="720" w:num="1"/>
          <w:docGrid w:type="lines" w:linePitch="409" w:charSpace="0"/>
        </w:sectPr>
      </w:pPr>
      <w:r>
        <w:rPr>
          <w:rFonts w:hint="eastAsia" w:ascii="方正楷体_GB2312" w:hAnsi="方正楷体_GB2312" w:eastAsia="方正楷体_GB2312" w:cs="方正楷体_GB2312"/>
          <w:color w:val="auto"/>
          <w:sz w:val="24"/>
          <w:szCs w:val="24"/>
          <w:highlight w:val="none"/>
        </w:rPr>
        <w:t>　日　　　期：</w:t>
      </w:r>
      <w:r>
        <w:rPr>
          <w:rFonts w:hint="eastAsia" w:ascii="方正楷体_GB2312" w:hAnsi="方正楷体_GB2312" w:eastAsia="方正楷体_GB2312" w:cs="方正楷体_GB2312"/>
          <w:color w:val="auto"/>
          <w:sz w:val="24"/>
          <w:szCs w:val="24"/>
          <w:highlight w:val="none"/>
          <w:u w:val="single"/>
        </w:rPr>
        <w:t>　　 　</w:t>
      </w:r>
      <w:r>
        <w:rPr>
          <w:rFonts w:hint="eastAsia" w:ascii="方正楷体_GB2312" w:hAnsi="方正楷体_GB2312" w:eastAsia="方正楷体_GB2312" w:cs="方正楷体_GB2312"/>
          <w:color w:val="auto"/>
          <w:sz w:val="24"/>
          <w:szCs w:val="24"/>
          <w:highlight w:val="none"/>
        </w:rPr>
        <w:t>年</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月</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日</w:t>
      </w:r>
    </w:p>
    <w:p w14:paraId="2D34961D">
      <w:pPr>
        <w:pStyle w:val="50"/>
        <w:ind w:firstLine="4080" w:firstLineChars="1700"/>
        <w:rPr>
          <w:rFonts w:hint="eastAsia" w:ascii="方正楷体_GB2312" w:hAnsi="方正楷体_GB2312" w:eastAsia="方正楷体_GB2312" w:cs="方正楷体_GB2312"/>
          <w:color w:val="auto"/>
          <w:highlight w:val="none"/>
          <w:lang w:val="en-US" w:eastAsia="zh-CN"/>
        </w:rPr>
      </w:pPr>
      <w:r>
        <w:rPr>
          <w:rFonts w:hint="eastAsia" w:ascii="方正楷体_GB2312" w:hAnsi="方正楷体_GB2312" w:eastAsia="方正楷体_GB2312" w:cs="方正楷体_GB2312"/>
          <w:color w:val="auto"/>
          <w:highlight w:val="none"/>
          <w:lang w:val="en-US" w:eastAsia="zh-CN"/>
        </w:rPr>
        <w:t>报价一览表</w:t>
      </w:r>
    </w:p>
    <w:tbl>
      <w:tblPr>
        <w:tblStyle w:val="51"/>
        <w:tblpPr w:leftFromText="180" w:rightFromText="180" w:vertAnchor="text" w:horzAnchor="margin" w:tblpXSpec="center" w:tblpY="2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3872"/>
        <w:gridCol w:w="1540"/>
        <w:gridCol w:w="2679"/>
      </w:tblGrid>
      <w:tr w14:paraId="76331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848" w:type="dxa"/>
            <w:noWrap w:val="0"/>
            <w:vAlign w:val="center"/>
          </w:tcPr>
          <w:p w14:paraId="5522386E">
            <w:pPr>
              <w:pStyle w:val="50"/>
              <w:ind w:left="0" w:leftChars="0" w:firstLine="0" w:firstLineChars="0"/>
              <w:jc w:val="center"/>
              <w:rPr>
                <w:rFonts w:hint="eastAsia" w:ascii="方正楷体_GB2312" w:hAnsi="方正楷体_GB2312" w:eastAsia="方正楷体_GB2312" w:cs="方正楷体_GB2312"/>
                <w:color w:val="auto"/>
                <w:highlight w:val="none"/>
                <w:lang w:eastAsia="zh-CN"/>
              </w:rPr>
            </w:pPr>
            <w:r>
              <w:rPr>
                <w:rFonts w:hint="eastAsia" w:ascii="方正楷体_GB2312" w:hAnsi="方正楷体_GB2312" w:eastAsia="方正楷体_GB2312" w:cs="方正楷体_GB2312"/>
                <w:color w:val="auto"/>
                <w:highlight w:val="none"/>
                <w:lang w:eastAsia="zh-CN"/>
              </w:rPr>
              <w:t>供应商</w:t>
            </w:r>
          </w:p>
        </w:tc>
        <w:tc>
          <w:tcPr>
            <w:tcW w:w="8091" w:type="dxa"/>
            <w:gridSpan w:val="3"/>
            <w:noWrap w:val="0"/>
            <w:vAlign w:val="center"/>
          </w:tcPr>
          <w:p w14:paraId="51C40E67">
            <w:pPr>
              <w:pStyle w:val="50"/>
              <w:rPr>
                <w:rFonts w:hint="eastAsia" w:ascii="方正楷体_GB2312" w:hAnsi="方正楷体_GB2312" w:eastAsia="方正楷体_GB2312" w:cs="方正楷体_GB2312"/>
                <w:color w:val="auto"/>
                <w:highlight w:val="none"/>
                <w:lang w:eastAsia="zh-CN"/>
              </w:rPr>
            </w:pPr>
          </w:p>
        </w:tc>
      </w:tr>
      <w:tr w14:paraId="50686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848" w:type="dxa"/>
            <w:noWrap w:val="0"/>
            <w:vAlign w:val="center"/>
          </w:tcPr>
          <w:p w14:paraId="4476BF5A">
            <w:pPr>
              <w:pStyle w:val="50"/>
              <w:ind w:left="0" w:leftChars="0" w:firstLine="0" w:firstLineChars="0"/>
              <w:jc w:val="center"/>
              <w:rPr>
                <w:rFonts w:hint="eastAsia" w:ascii="方正楷体_GB2312" w:hAnsi="方正楷体_GB2312" w:eastAsia="方正楷体_GB2312" w:cs="方正楷体_GB2312"/>
                <w:color w:val="auto"/>
                <w:highlight w:val="none"/>
                <w:lang w:eastAsia="zh-CN"/>
              </w:rPr>
            </w:pPr>
            <w:r>
              <w:rPr>
                <w:rFonts w:hint="eastAsia" w:ascii="方正楷体_GB2312" w:hAnsi="方正楷体_GB2312" w:eastAsia="方正楷体_GB2312" w:cs="方正楷体_GB2312"/>
                <w:color w:val="auto"/>
                <w:highlight w:val="none"/>
                <w:lang w:eastAsia="zh-CN"/>
              </w:rPr>
              <w:t>单位地址</w:t>
            </w:r>
          </w:p>
        </w:tc>
        <w:tc>
          <w:tcPr>
            <w:tcW w:w="8091" w:type="dxa"/>
            <w:gridSpan w:val="3"/>
            <w:noWrap w:val="0"/>
            <w:vAlign w:val="center"/>
          </w:tcPr>
          <w:p w14:paraId="6F177BC9">
            <w:pPr>
              <w:pStyle w:val="50"/>
              <w:rPr>
                <w:rFonts w:hint="eastAsia" w:ascii="方正楷体_GB2312" w:hAnsi="方正楷体_GB2312" w:eastAsia="方正楷体_GB2312" w:cs="方正楷体_GB2312"/>
                <w:color w:val="auto"/>
                <w:highlight w:val="none"/>
                <w:lang w:eastAsia="zh-CN"/>
              </w:rPr>
            </w:pPr>
          </w:p>
        </w:tc>
      </w:tr>
      <w:tr w14:paraId="5F3B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848" w:type="dxa"/>
            <w:noWrap w:val="0"/>
            <w:vAlign w:val="center"/>
          </w:tcPr>
          <w:p w14:paraId="33353EBF">
            <w:pPr>
              <w:pStyle w:val="50"/>
              <w:ind w:left="0" w:leftChars="0" w:firstLine="0" w:firstLineChars="0"/>
              <w:jc w:val="center"/>
              <w:rPr>
                <w:rFonts w:hint="eastAsia" w:ascii="方正楷体_GB2312" w:hAnsi="方正楷体_GB2312" w:eastAsia="方正楷体_GB2312" w:cs="方正楷体_GB2312"/>
                <w:color w:val="auto"/>
                <w:highlight w:val="none"/>
                <w:lang w:eastAsia="zh-CN"/>
              </w:rPr>
            </w:pPr>
            <w:r>
              <w:rPr>
                <w:rFonts w:hint="eastAsia" w:ascii="方正楷体_GB2312" w:hAnsi="方正楷体_GB2312" w:eastAsia="方正楷体_GB2312" w:cs="方正楷体_GB2312"/>
                <w:color w:val="auto"/>
                <w:highlight w:val="none"/>
                <w:lang w:eastAsia="zh-CN"/>
              </w:rPr>
              <w:t>法定代表人</w:t>
            </w:r>
          </w:p>
        </w:tc>
        <w:tc>
          <w:tcPr>
            <w:tcW w:w="3872" w:type="dxa"/>
            <w:noWrap w:val="0"/>
            <w:vAlign w:val="center"/>
          </w:tcPr>
          <w:p w14:paraId="1EBC63D6">
            <w:pPr>
              <w:pStyle w:val="50"/>
              <w:rPr>
                <w:rFonts w:hint="eastAsia" w:ascii="方正楷体_GB2312" w:hAnsi="方正楷体_GB2312" w:eastAsia="方正楷体_GB2312" w:cs="方正楷体_GB2312"/>
                <w:color w:val="auto"/>
                <w:highlight w:val="none"/>
                <w:lang w:eastAsia="zh-CN"/>
              </w:rPr>
            </w:pPr>
          </w:p>
        </w:tc>
        <w:tc>
          <w:tcPr>
            <w:tcW w:w="1540" w:type="dxa"/>
            <w:noWrap w:val="0"/>
            <w:vAlign w:val="center"/>
          </w:tcPr>
          <w:p w14:paraId="013489DB">
            <w:pPr>
              <w:pStyle w:val="50"/>
              <w:ind w:left="0" w:leftChars="0" w:firstLine="0" w:firstLineChars="0"/>
              <w:rPr>
                <w:rFonts w:hint="eastAsia" w:ascii="方正楷体_GB2312" w:hAnsi="方正楷体_GB2312" w:eastAsia="方正楷体_GB2312" w:cs="方正楷体_GB2312"/>
                <w:color w:val="auto"/>
                <w:highlight w:val="none"/>
                <w:lang w:eastAsia="zh-CN"/>
              </w:rPr>
            </w:pPr>
            <w:r>
              <w:rPr>
                <w:rFonts w:hint="eastAsia" w:ascii="方正楷体_GB2312" w:hAnsi="方正楷体_GB2312" w:eastAsia="方正楷体_GB2312" w:cs="方正楷体_GB2312"/>
                <w:color w:val="auto"/>
                <w:highlight w:val="none"/>
                <w:lang w:eastAsia="zh-CN"/>
              </w:rPr>
              <w:t>联系电话</w:t>
            </w:r>
          </w:p>
        </w:tc>
        <w:tc>
          <w:tcPr>
            <w:tcW w:w="2679" w:type="dxa"/>
            <w:noWrap w:val="0"/>
            <w:vAlign w:val="center"/>
          </w:tcPr>
          <w:p w14:paraId="473519D3">
            <w:pPr>
              <w:pStyle w:val="50"/>
              <w:rPr>
                <w:rFonts w:hint="eastAsia" w:ascii="方正楷体_GB2312" w:hAnsi="方正楷体_GB2312" w:eastAsia="方正楷体_GB2312" w:cs="方正楷体_GB2312"/>
                <w:color w:val="auto"/>
                <w:highlight w:val="none"/>
                <w:lang w:eastAsia="zh-CN"/>
              </w:rPr>
            </w:pPr>
          </w:p>
        </w:tc>
      </w:tr>
      <w:tr w14:paraId="4AC75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848" w:type="dxa"/>
            <w:noWrap w:val="0"/>
            <w:vAlign w:val="center"/>
          </w:tcPr>
          <w:p w14:paraId="0B10CEC0">
            <w:pPr>
              <w:pStyle w:val="50"/>
              <w:ind w:left="0" w:leftChars="0" w:firstLine="0" w:firstLineChars="0"/>
              <w:jc w:val="center"/>
              <w:rPr>
                <w:rFonts w:hint="eastAsia" w:ascii="方正楷体_GB2312" w:hAnsi="方正楷体_GB2312" w:eastAsia="方正楷体_GB2312" w:cs="方正楷体_GB2312"/>
                <w:color w:val="auto"/>
                <w:highlight w:val="none"/>
                <w:lang w:eastAsia="zh-CN"/>
              </w:rPr>
            </w:pPr>
            <w:r>
              <w:rPr>
                <w:rFonts w:hint="eastAsia" w:ascii="方正楷体_GB2312" w:hAnsi="方正楷体_GB2312" w:eastAsia="方正楷体_GB2312" w:cs="方正楷体_GB2312"/>
                <w:color w:val="auto"/>
                <w:highlight w:val="none"/>
                <w:lang w:eastAsia="zh-CN"/>
              </w:rPr>
              <w:t>授权委托人</w:t>
            </w:r>
          </w:p>
        </w:tc>
        <w:tc>
          <w:tcPr>
            <w:tcW w:w="3872" w:type="dxa"/>
            <w:noWrap w:val="0"/>
            <w:vAlign w:val="center"/>
          </w:tcPr>
          <w:p w14:paraId="0EE16B96">
            <w:pPr>
              <w:pStyle w:val="50"/>
              <w:rPr>
                <w:rFonts w:hint="eastAsia" w:ascii="方正楷体_GB2312" w:hAnsi="方正楷体_GB2312" w:eastAsia="方正楷体_GB2312" w:cs="方正楷体_GB2312"/>
                <w:color w:val="auto"/>
                <w:highlight w:val="none"/>
                <w:lang w:eastAsia="zh-CN"/>
              </w:rPr>
            </w:pPr>
          </w:p>
        </w:tc>
        <w:tc>
          <w:tcPr>
            <w:tcW w:w="1540" w:type="dxa"/>
            <w:noWrap w:val="0"/>
            <w:vAlign w:val="center"/>
          </w:tcPr>
          <w:p w14:paraId="7C626865">
            <w:pPr>
              <w:pStyle w:val="50"/>
              <w:ind w:left="0" w:leftChars="0" w:firstLine="0" w:firstLineChars="0"/>
              <w:rPr>
                <w:rFonts w:hint="eastAsia" w:ascii="方正楷体_GB2312" w:hAnsi="方正楷体_GB2312" w:eastAsia="方正楷体_GB2312" w:cs="方正楷体_GB2312"/>
                <w:color w:val="auto"/>
                <w:highlight w:val="none"/>
                <w:lang w:eastAsia="zh-CN"/>
              </w:rPr>
            </w:pPr>
            <w:r>
              <w:rPr>
                <w:rFonts w:hint="eastAsia" w:ascii="方正楷体_GB2312" w:hAnsi="方正楷体_GB2312" w:eastAsia="方正楷体_GB2312" w:cs="方正楷体_GB2312"/>
                <w:color w:val="auto"/>
                <w:highlight w:val="none"/>
                <w:lang w:eastAsia="zh-CN"/>
              </w:rPr>
              <w:t>联系电话</w:t>
            </w:r>
          </w:p>
        </w:tc>
        <w:tc>
          <w:tcPr>
            <w:tcW w:w="2679" w:type="dxa"/>
            <w:noWrap w:val="0"/>
            <w:vAlign w:val="center"/>
          </w:tcPr>
          <w:p w14:paraId="79E18773">
            <w:pPr>
              <w:pStyle w:val="50"/>
              <w:rPr>
                <w:rFonts w:hint="eastAsia" w:ascii="方正楷体_GB2312" w:hAnsi="方正楷体_GB2312" w:eastAsia="方正楷体_GB2312" w:cs="方正楷体_GB2312"/>
                <w:color w:val="auto"/>
                <w:highlight w:val="none"/>
                <w:lang w:eastAsia="zh-CN"/>
              </w:rPr>
            </w:pPr>
          </w:p>
        </w:tc>
      </w:tr>
      <w:tr w14:paraId="4287B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848" w:type="dxa"/>
            <w:noWrap w:val="0"/>
            <w:vAlign w:val="center"/>
          </w:tcPr>
          <w:p w14:paraId="6E5E4C5B">
            <w:pPr>
              <w:pStyle w:val="50"/>
              <w:ind w:left="0" w:leftChars="0" w:firstLine="0" w:firstLineChars="0"/>
              <w:jc w:val="center"/>
              <w:rPr>
                <w:rFonts w:hint="eastAsia" w:ascii="方正楷体_GB2312" w:hAnsi="方正楷体_GB2312" w:eastAsia="方正楷体_GB2312" w:cs="方正楷体_GB2312"/>
                <w:color w:val="auto"/>
                <w:highlight w:val="none"/>
                <w:lang w:eastAsia="zh-CN"/>
              </w:rPr>
            </w:pPr>
            <w:r>
              <w:rPr>
                <w:rFonts w:hint="eastAsia" w:ascii="方正楷体_GB2312" w:hAnsi="方正楷体_GB2312" w:eastAsia="方正楷体_GB2312" w:cs="方正楷体_GB2312"/>
                <w:color w:val="auto"/>
                <w:highlight w:val="none"/>
                <w:lang w:eastAsia="zh-CN"/>
              </w:rPr>
              <w:t>投标项目名称</w:t>
            </w:r>
          </w:p>
        </w:tc>
        <w:tc>
          <w:tcPr>
            <w:tcW w:w="8091" w:type="dxa"/>
            <w:gridSpan w:val="3"/>
            <w:noWrap w:val="0"/>
            <w:vAlign w:val="center"/>
          </w:tcPr>
          <w:p w14:paraId="2C7DB807">
            <w:pPr>
              <w:pStyle w:val="50"/>
              <w:rPr>
                <w:rFonts w:hint="eastAsia" w:ascii="方正楷体_GB2312" w:hAnsi="方正楷体_GB2312" w:eastAsia="方正楷体_GB2312" w:cs="方正楷体_GB2312"/>
                <w:color w:val="auto"/>
                <w:highlight w:val="none"/>
                <w:lang w:eastAsia="zh-CN"/>
              </w:rPr>
            </w:pPr>
          </w:p>
        </w:tc>
      </w:tr>
      <w:tr w14:paraId="4BED5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848" w:type="dxa"/>
            <w:noWrap w:val="0"/>
            <w:vAlign w:val="center"/>
          </w:tcPr>
          <w:p w14:paraId="478EDB67">
            <w:pPr>
              <w:pStyle w:val="50"/>
              <w:ind w:left="0" w:leftChars="0" w:firstLine="0" w:firstLineChars="0"/>
              <w:jc w:val="center"/>
              <w:rPr>
                <w:rFonts w:hint="eastAsia" w:ascii="方正楷体_GB2312" w:hAnsi="方正楷体_GB2312" w:eastAsia="方正楷体_GB2312" w:cs="方正楷体_GB2312"/>
                <w:color w:val="auto"/>
                <w:highlight w:val="none"/>
                <w:lang w:val="en-US" w:eastAsia="zh-CN"/>
              </w:rPr>
            </w:pPr>
            <w:r>
              <w:rPr>
                <w:rFonts w:hint="eastAsia" w:ascii="方正楷体_GB2312" w:hAnsi="方正楷体_GB2312" w:eastAsia="方正楷体_GB2312" w:cs="方正楷体_GB2312"/>
                <w:color w:val="auto"/>
                <w:highlight w:val="none"/>
                <w:lang w:val="en-US" w:eastAsia="zh-CN"/>
              </w:rPr>
              <w:t>标项名称</w:t>
            </w:r>
          </w:p>
        </w:tc>
        <w:tc>
          <w:tcPr>
            <w:tcW w:w="8091" w:type="dxa"/>
            <w:gridSpan w:val="3"/>
            <w:noWrap w:val="0"/>
            <w:vAlign w:val="center"/>
          </w:tcPr>
          <w:p w14:paraId="3B53EDAD">
            <w:pPr>
              <w:pStyle w:val="50"/>
              <w:rPr>
                <w:rFonts w:hint="eastAsia" w:ascii="方正楷体_GB2312" w:hAnsi="方正楷体_GB2312" w:eastAsia="方正楷体_GB2312" w:cs="方正楷体_GB2312"/>
                <w:color w:val="auto"/>
                <w:highlight w:val="none"/>
                <w:lang w:eastAsia="zh-CN"/>
              </w:rPr>
            </w:pPr>
          </w:p>
        </w:tc>
      </w:tr>
      <w:tr w14:paraId="6AD41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9" w:hRule="atLeast"/>
        </w:trPr>
        <w:tc>
          <w:tcPr>
            <w:tcW w:w="1848" w:type="dxa"/>
            <w:noWrap w:val="0"/>
            <w:vAlign w:val="center"/>
          </w:tcPr>
          <w:p w14:paraId="07907F8E">
            <w:pPr>
              <w:pStyle w:val="50"/>
              <w:ind w:left="0" w:leftChars="0" w:firstLine="0" w:firstLineChars="0"/>
              <w:jc w:val="center"/>
              <w:rPr>
                <w:rFonts w:hint="eastAsia" w:ascii="方正楷体_GB2312" w:hAnsi="方正楷体_GB2312" w:eastAsia="方正楷体_GB2312" w:cs="方正楷体_GB2312"/>
                <w:color w:val="auto"/>
                <w:highlight w:val="none"/>
                <w:lang w:eastAsia="zh-CN"/>
              </w:rPr>
            </w:pPr>
            <w:r>
              <w:rPr>
                <w:rFonts w:hint="eastAsia" w:ascii="方正楷体_GB2312" w:hAnsi="方正楷体_GB2312" w:eastAsia="方正楷体_GB2312" w:cs="方正楷体_GB2312"/>
                <w:color w:val="auto"/>
                <w:highlight w:val="none"/>
                <w:lang w:eastAsia="zh-CN"/>
              </w:rPr>
              <w:t>投标</w:t>
            </w:r>
            <w:r>
              <w:rPr>
                <w:rFonts w:hint="eastAsia" w:ascii="方正楷体_GB2312" w:hAnsi="方正楷体_GB2312" w:eastAsia="方正楷体_GB2312" w:cs="方正楷体_GB2312"/>
                <w:color w:val="auto"/>
                <w:highlight w:val="none"/>
                <w:lang w:val="en-US" w:eastAsia="zh-CN"/>
              </w:rPr>
              <w:t>报价</w:t>
            </w:r>
          </w:p>
        </w:tc>
        <w:tc>
          <w:tcPr>
            <w:tcW w:w="8091" w:type="dxa"/>
            <w:gridSpan w:val="3"/>
            <w:noWrap w:val="0"/>
            <w:vAlign w:val="center"/>
          </w:tcPr>
          <w:p w14:paraId="7CBAF734">
            <w:pPr>
              <w:pStyle w:val="50"/>
              <w:rPr>
                <w:rFonts w:hint="eastAsia" w:ascii="方正楷体_GB2312" w:hAnsi="方正楷体_GB2312" w:eastAsia="方正楷体_GB2312" w:cs="方正楷体_GB2312"/>
                <w:color w:val="auto"/>
                <w:highlight w:val="none"/>
                <w:lang w:eastAsia="zh-CN"/>
              </w:rPr>
            </w:pPr>
            <w:r>
              <w:rPr>
                <w:rFonts w:hint="eastAsia" w:ascii="方正楷体_GB2312" w:hAnsi="方正楷体_GB2312" w:eastAsia="方正楷体_GB2312" w:cs="方正楷体_GB2312"/>
                <w:color w:val="auto"/>
                <w:highlight w:val="none"/>
                <w:lang w:eastAsia="zh-CN"/>
              </w:rPr>
              <w:t xml:space="preserve">（小写）：                             </w:t>
            </w:r>
          </w:p>
          <w:p w14:paraId="249758AA">
            <w:pPr>
              <w:pStyle w:val="50"/>
              <w:rPr>
                <w:rFonts w:hint="eastAsia" w:ascii="方正楷体_GB2312" w:hAnsi="方正楷体_GB2312" w:eastAsia="方正楷体_GB2312" w:cs="方正楷体_GB2312"/>
                <w:color w:val="auto"/>
                <w:highlight w:val="none"/>
                <w:lang w:eastAsia="zh-CN"/>
              </w:rPr>
            </w:pPr>
            <w:r>
              <w:rPr>
                <w:rFonts w:hint="eastAsia" w:ascii="方正楷体_GB2312" w:hAnsi="方正楷体_GB2312" w:eastAsia="方正楷体_GB2312" w:cs="方正楷体_GB2312"/>
                <w:color w:val="auto"/>
                <w:highlight w:val="none"/>
                <w:lang w:eastAsia="zh-CN"/>
              </w:rPr>
              <w:t xml:space="preserve">（大写）：                             </w:t>
            </w:r>
          </w:p>
        </w:tc>
      </w:tr>
      <w:tr w14:paraId="0DA0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trPr>
        <w:tc>
          <w:tcPr>
            <w:tcW w:w="1848" w:type="dxa"/>
            <w:noWrap w:val="0"/>
            <w:vAlign w:val="center"/>
          </w:tcPr>
          <w:p w14:paraId="3FB72C0A">
            <w:pPr>
              <w:pStyle w:val="50"/>
              <w:ind w:left="0" w:leftChars="0" w:firstLine="0" w:firstLineChars="0"/>
              <w:jc w:val="center"/>
              <w:rPr>
                <w:rFonts w:hint="eastAsia" w:ascii="方正楷体_GB2312" w:hAnsi="方正楷体_GB2312" w:eastAsia="方正楷体_GB2312" w:cs="方正楷体_GB2312"/>
                <w:color w:val="auto"/>
                <w:highlight w:val="none"/>
                <w:lang w:val="en-US" w:eastAsia="zh-CN"/>
              </w:rPr>
            </w:pPr>
            <w:r>
              <w:rPr>
                <w:rFonts w:hint="eastAsia" w:ascii="方正楷体_GB2312" w:hAnsi="方正楷体_GB2312" w:eastAsia="方正楷体_GB2312" w:cs="方正楷体_GB2312"/>
                <w:color w:val="auto"/>
                <w:highlight w:val="none"/>
                <w:lang w:val="en-US" w:eastAsia="zh-CN"/>
              </w:rPr>
              <w:t>合同履约期</w:t>
            </w:r>
          </w:p>
        </w:tc>
        <w:tc>
          <w:tcPr>
            <w:tcW w:w="8091" w:type="dxa"/>
            <w:gridSpan w:val="3"/>
            <w:noWrap w:val="0"/>
            <w:vAlign w:val="center"/>
          </w:tcPr>
          <w:p w14:paraId="03245B46">
            <w:pPr>
              <w:pStyle w:val="50"/>
              <w:rPr>
                <w:rFonts w:hint="eastAsia" w:ascii="方正楷体_GB2312" w:hAnsi="方正楷体_GB2312" w:eastAsia="方正楷体_GB2312" w:cs="方正楷体_GB2312"/>
                <w:color w:val="auto"/>
                <w:highlight w:val="none"/>
                <w:lang w:eastAsia="zh-CN"/>
              </w:rPr>
            </w:pPr>
          </w:p>
        </w:tc>
      </w:tr>
      <w:tr w14:paraId="1AC51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4" w:hRule="atLeast"/>
        </w:trPr>
        <w:tc>
          <w:tcPr>
            <w:tcW w:w="1848" w:type="dxa"/>
            <w:noWrap w:val="0"/>
            <w:vAlign w:val="center"/>
          </w:tcPr>
          <w:p w14:paraId="62457A86">
            <w:pPr>
              <w:pStyle w:val="50"/>
              <w:ind w:left="0" w:leftChars="0" w:firstLine="0" w:firstLineChars="0"/>
              <w:jc w:val="center"/>
              <w:rPr>
                <w:rFonts w:hint="eastAsia" w:ascii="方正楷体_GB2312" w:hAnsi="方正楷体_GB2312" w:eastAsia="方正楷体_GB2312" w:cs="方正楷体_GB2312"/>
                <w:color w:val="auto"/>
                <w:highlight w:val="none"/>
                <w:lang w:eastAsia="zh-CN"/>
              </w:rPr>
            </w:pPr>
            <w:r>
              <w:rPr>
                <w:rFonts w:hint="eastAsia" w:ascii="方正楷体_GB2312" w:hAnsi="方正楷体_GB2312" w:eastAsia="方正楷体_GB2312" w:cs="方正楷体_GB2312"/>
                <w:color w:val="auto"/>
                <w:highlight w:val="none"/>
                <w:lang w:eastAsia="zh-CN"/>
              </w:rPr>
              <w:t>备注</w:t>
            </w:r>
          </w:p>
        </w:tc>
        <w:tc>
          <w:tcPr>
            <w:tcW w:w="8091" w:type="dxa"/>
            <w:gridSpan w:val="3"/>
            <w:noWrap w:val="0"/>
            <w:vAlign w:val="center"/>
          </w:tcPr>
          <w:p w14:paraId="333E85E5">
            <w:pPr>
              <w:pStyle w:val="50"/>
              <w:rPr>
                <w:rFonts w:hint="eastAsia" w:ascii="方正楷体_GB2312" w:hAnsi="方正楷体_GB2312" w:eastAsia="方正楷体_GB2312" w:cs="方正楷体_GB2312"/>
                <w:color w:val="auto"/>
                <w:highlight w:val="none"/>
                <w:lang w:val="en-US" w:eastAsia="zh-CN"/>
              </w:rPr>
            </w:pPr>
            <w:r>
              <w:rPr>
                <w:rFonts w:hint="eastAsia" w:ascii="方正楷体_GB2312" w:hAnsi="方正楷体_GB2312" w:eastAsia="方正楷体_GB2312" w:cs="方正楷体_GB2312"/>
                <w:color w:val="auto"/>
                <w:highlight w:val="none"/>
                <w:lang w:val="en-US" w:eastAsia="zh-CN"/>
              </w:rPr>
              <w:t>投标报价下浮应包括：有关本项目所需货物采购、包装费、运输费、保险费、人员工资、验收、售后服务、税金等。运输途中风险由供应商自行承担；</w:t>
            </w:r>
          </w:p>
          <w:p w14:paraId="56EE7639">
            <w:pPr>
              <w:pStyle w:val="50"/>
              <w:rPr>
                <w:rFonts w:hint="default" w:ascii="方正楷体_GB2312" w:hAnsi="方正楷体_GB2312" w:eastAsia="方正楷体_GB2312" w:cs="方正楷体_GB2312"/>
                <w:color w:val="auto"/>
                <w:highlight w:val="none"/>
                <w:lang w:val="en-US" w:eastAsia="zh-CN"/>
              </w:rPr>
            </w:pPr>
            <w:r>
              <w:rPr>
                <w:rFonts w:hint="eastAsia" w:ascii="方正楷体_GB2312" w:hAnsi="方正楷体_GB2312" w:eastAsia="方正楷体_GB2312" w:cs="方正楷体_GB2312"/>
                <w:color w:val="auto"/>
                <w:highlight w:val="none"/>
                <w:lang w:eastAsia="zh-CN"/>
              </w:rPr>
              <w:t>最终结算以供应商报价的下浮率为准！（</w:t>
            </w:r>
            <w:r>
              <w:rPr>
                <w:rFonts w:hint="eastAsia" w:ascii="方正楷体_GB2312" w:hAnsi="方正楷体_GB2312" w:eastAsia="方正楷体_GB2312" w:cs="方正楷体_GB2312"/>
                <w:color w:val="auto"/>
                <w:highlight w:val="none"/>
                <w:lang w:val="en-US" w:eastAsia="zh-CN"/>
              </w:rPr>
              <w:t>1-投标报价/采购预算</w:t>
            </w:r>
            <w:r>
              <w:rPr>
                <w:rFonts w:hint="eastAsia" w:ascii="方正楷体_GB2312" w:hAnsi="方正楷体_GB2312" w:eastAsia="方正楷体_GB2312" w:cs="方正楷体_GB2312"/>
                <w:color w:val="auto"/>
                <w:highlight w:val="none"/>
                <w:lang w:eastAsia="zh-CN"/>
              </w:rPr>
              <w:t>）</w:t>
            </w:r>
            <w:r>
              <w:rPr>
                <w:rFonts w:hint="eastAsia" w:ascii="方正楷体_GB2312" w:hAnsi="方正楷体_GB2312" w:eastAsia="方正楷体_GB2312" w:cs="方正楷体_GB2312"/>
                <w:color w:val="auto"/>
                <w:highlight w:val="none"/>
                <w:lang w:val="en-US" w:eastAsia="zh-CN"/>
              </w:rPr>
              <w:t>*100%</w:t>
            </w:r>
          </w:p>
        </w:tc>
      </w:tr>
    </w:tbl>
    <w:p w14:paraId="75D2E810">
      <w:pPr>
        <w:pStyle w:val="50"/>
        <w:rPr>
          <w:rFonts w:hint="eastAsia" w:ascii="方正楷体_GB2312" w:hAnsi="方正楷体_GB2312" w:eastAsia="方正楷体_GB2312" w:cs="方正楷体_GB2312"/>
          <w:color w:val="auto"/>
          <w:highlight w:val="none"/>
          <w:lang w:val="en-US" w:eastAsia="zh-CN"/>
        </w:rPr>
      </w:pPr>
    </w:p>
    <w:p w14:paraId="7A7BD36A">
      <w:pPr>
        <w:pStyle w:val="50"/>
        <w:rPr>
          <w:rFonts w:hint="eastAsia" w:ascii="方正楷体_GB2312" w:hAnsi="方正楷体_GB2312" w:eastAsia="方正楷体_GB2312" w:cs="方正楷体_GB2312"/>
          <w:color w:val="auto"/>
          <w:highlight w:val="none"/>
          <w:lang w:val="en-US" w:eastAsia="zh-CN"/>
        </w:rPr>
      </w:pPr>
      <w:r>
        <w:rPr>
          <w:rFonts w:hint="eastAsia" w:ascii="方正楷体_GB2312" w:hAnsi="方正楷体_GB2312" w:eastAsia="方正楷体_GB2312" w:cs="方正楷体_GB2312"/>
          <w:color w:val="auto"/>
          <w:highlight w:val="none"/>
          <w:lang w:val="en-US" w:eastAsia="zh-CN"/>
        </w:rPr>
        <w:t>注：本项目为下浮率报价，报价低过最低限价为无效响应</w:t>
      </w:r>
    </w:p>
    <w:p w14:paraId="38272DEC">
      <w:pPr>
        <w:pStyle w:val="50"/>
        <w:rPr>
          <w:rFonts w:hint="eastAsia" w:ascii="方正楷体_GB2312" w:hAnsi="方正楷体_GB2312" w:eastAsia="方正楷体_GB2312" w:cs="方正楷体_GB2312"/>
          <w:color w:val="auto"/>
          <w:highlight w:val="none"/>
          <w:lang w:eastAsia="zh-CN"/>
        </w:rPr>
      </w:pPr>
    </w:p>
    <w:p w14:paraId="467AA691">
      <w:pPr>
        <w:pStyle w:val="50"/>
        <w:rPr>
          <w:rFonts w:hint="eastAsia" w:ascii="方正楷体_GB2312" w:hAnsi="方正楷体_GB2312" w:eastAsia="方正楷体_GB2312" w:cs="方正楷体_GB2312"/>
          <w:color w:val="auto"/>
          <w:highlight w:val="none"/>
          <w:lang w:eastAsia="zh-CN"/>
        </w:rPr>
      </w:pPr>
      <w:r>
        <w:rPr>
          <w:rFonts w:hint="eastAsia" w:ascii="方正楷体_GB2312" w:hAnsi="方正楷体_GB2312" w:eastAsia="方正楷体_GB2312" w:cs="方正楷体_GB2312"/>
          <w:color w:val="auto"/>
          <w:highlight w:val="none"/>
          <w:lang w:val="en-US" w:eastAsia="zh-CN"/>
        </w:rPr>
        <w:t>供应商名称</w:t>
      </w:r>
      <w:r>
        <w:rPr>
          <w:rFonts w:hint="eastAsia" w:ascii="方正楷体_GB2312" w:hAnsi="方正楷体_GB2312" w:eastAsia="方正楷体_GB2312" w:cs="方正楷体_GB2312"/>
          <w:color w:val="auto"/>
          <w:highlight w:val="none"/>
          <w:lang w:eastAsia="zh-CN"/>
        </w:rPr>
        <w:t>：（</w:t>
      </w:r>
      <w:r>
        <w:rPr>
          <w:rFonts w:hint="eastAsia" w:ascii="方正楷体_GB2312" w:hAnsi="方正楷体_GB2312" w:eastAsia="方正楷体_GB2312" w:cs="方正楷体_GB2312"/>
          <w:color w:val="auto"/>
          <w:highlight w:val="none"/>
          <w:lang w:val="en-US" w:eastAsia="zh-CN"/>
        </w:rPr>
        <w:t>公章</w:t>
      </w:r>
      <w:r>
        <w:rPr>
          <w:rFonts w:hint="eastAsia" w:ascii="方正楷体_GB2312" w:hAnsi="方正楷体_GB2312" w:eastAsia="方正楷体_GB2312" w:cs="方正楷体_GB2312"/>
          <w:color w:val="auto"/>
          <w:highlight w:val="none"/>
          <w:lang w:eastAsia="zh-CN"/>
        </w:rPr>
        <w:t xml:space="preserve">）            </w:t>
      </w:r>
    </w:p>
    <w:p w14:paraId="4D81F6BA">
      <w:pPr>
        <w:pStyle w:val="50"/>
        <w:rPr>
          <w:rFonts w:hint="eastAsia" w:ascii="方正楷体_GB2312" w:hAnsi="方正楷体_GB2312" w:eastAsia="方正楷体_GB2312" w:cs="方正楷体_GB2312"/>
          <w:color w:val="auto"/>
          <w:highlight w:val="none"/>
          <w:lang w:eastAsia="zh-CN"/>
        </w:rPr>
      </w:pPr>
      <w:r>
        <w:rPr>
          <w:rFonts w:hint="eastAsia" w:ascii="方正楷体_GB2312" w:hAnsi="方正楷体_GB2312" w:eastAsia="方正楷体_GB2312" w:cs="方正楷体_GB2312"/>
          <w:color w:val="auto"/>
          <w:highlight w:val="none"/>
          <w:lang w:eastAsia="zh-CN"/>
        </w:rPr>
        <w:t>法定代表人或被授权人：（</w:t>
      </w:r>
      <w:r>
        <w:rPr>
          <w:rFonts w:hint="eastAsia" w:ascii="方正楷体_GB2312" w:hAnsi="方正楷体_GB2312" w:eastAsia="方正楷体_GB2312" w:cs="方正楷体_GB2312"/>
          <w:color w:val="auto"/>
          <w:highlight w:val="none"/>
          <w:lang w:val="en-US" w:eastAsia="zh-CN"/>
        </w:rPr>
        <w:t>签字或盖章</w:t>
      </w:r>
      <w:r>
        <w:rPr>
          <w:rFonts w:hint="eastAsia" w:ascii="方正楷体_GB2312" w:hAnsi="方正楷体_GB2312" w:eastAsia="方正楷体_GB2312" w:cs="方正楷体_GB2312"/>
          <w:color w:val="auto"/>
          <w:highlight w:val="none"/>
          <w:lang w:eastAsia="zh-CN"/>
        </w:rPr>
        <w:t xml:space="preserve">）         </w:t>
      </w:r>
    </w:p>
    <w:p w14:paraId="68A14296">
      <w:pPr>
        <w:jc w:val="center"/>
        <w:rPr>
          <w:rFonts w:hint="eastAsia" w:ascii="方正楷体_GB2312" w:hAnsi="方正楷体_GB2312" w:eastAsia="方正楷体_GB2312" w:cs="方正楷体_GB2312"/>
          <w:bCs/>
          <w:color w:val="auto"/>
          <w:sz w:val="28"/>
          <w:szCs w:val="28"/>
          <w:highlight w:val="none"/>
          <w:lang w:eastAsia="zh-CN"/>
        </w:rPr>
      </w:pPr>
      <w:bookmarkStart w:id="97" w:name="_GoBack"/>
      <w:bookmarkEnd w:id="97"/>
      <w:r>
        <w:rPr>
          <w:rFonts w:hint="eastAsia" w:ascii="方正楷体_GB2312" w:hAnsi="方正楷体_GB2312" w:eastAsia="方正楷体_GB2312" w:cs="方正楷体_GB2312"/>
          <w:bCs/>
          <w:color w:val="auto"/>
          <w:sz w:val="28"/>
          <w:szCs w:val="28"/>
          <w:highlight w:val="none"/>
          <w:lang w:eastAsia="zh-CN"/>
        </w:rPr>
        <w:t>响应承诺书</w:t>
      </w:r>
    </w:p>
    <w:p w14:paraId="5846729D">
      <w:pPr>
        <w:rPr>
          <w:rFonts w:hint="eastAsia" w:ascii="方正楷体_GB2312" w:hAnsi="方正楷体_GB2312" w:eastAsia="方正楷体_GB2312" w:cs="方正楷体_GB2312"/>
          <w:color w:val="auto"/>
          <w:sz w:val="24"/>
          <w:szCs w:val="24"/>
          <w:highlight w:val="none"/>
        </w:rPr>
      </w:pPr>
    </w:p>
    <w:p w14:paraId="6A64543E">
      <w:pPr>
        <w:rPr>
          <w:rFonts w:hint="eastAsia" w:ascii="方正楷体_GB2312" w:hAnsi="方正楷体_GB2312" w:eastAsia="方正楷体_GB2312" w:cs="方正楷体_GB2312"/>
          <w:color w:val="auto"/>
          <w:sz w:val="24"/>
          <w:szCs w:val="24"/>
          <w:highlight w:val="none"/>
          <w:u w:val="single"/>
        </w:rPr>
      </w:pPr>
      <w:r>
        <w:rPr>
          <w:rFonts w:hint="eastAsia" w:ascii="方正楷体_GB2312" w:hAnsi="方正楷体_GB2312" w:eastAsia="方正楷体_GB2312" w:cs="方正楷体_GB2312"/>
          <w:color w:val="auto"/>
          <w:sz w:val="24"/>
          <w:szCs w:val="24"/>
          <w:highlight w:val="none"/>
          <w:lang w:eastAsia="zh-CN"/>
        </w:rPr>
        <w:t>采购</w:t>
      </w:r>
      <w:r>
        <w:rPr>
          <w:rFonts w:hint="eastAsia" w:ascii="方正楷体_GB2312" w:hAnsi="方正楷体_GB2312" w:eastAsia="方正楷体_GB2312" w:cs="方正楷体_GB2312"/>
          <w:color w:val="auto"/>
          <w:sz w:val="24"/>
          <w:szCs w:val="24"/>
          <w:highlight w:val="none"/>
        </w:rPr>
        <w:t>人：</w:t>
      </w:r>
      <w:r>
        <w:rPr>
          <w:rFonts w:hint="eastAsia" w:ascii="方正楷体_GB2312" w:hAnsi="方正楷体_GB2312" w:eastAsia="方正楷体_GB2312" w:cs="方正楷体_GB2312"/>
          <w:color w:val="auto"/>
          <w:sz w:val="24"/>
          <w:szCs w:val="24"/>
          <w:highlight w:val="none"/>
          <w:u w:val="single"/>
        </w:rPr>
        <w:t xml:space="preserve">                 </w:t>
      </w:r>
    </w:p>
    <w:p w14:paraId="6A5ED4D0">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1、根据已收到的</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u w:val="single"/>
          <w:lang w:eastAsia="zh-CN"/>
        </w:rPr>
        <w:t>（项目名称、标项名称）</w:t>
      </w:r>
      <w:r>
        <w:rPr>
          <w:rFonts w:hint="eastAsia" w:ascii="方正楷体_GB2312" w:hAnsi="方正楷体_GB2312" w:eastAsia="方正楷体_GB2312" w:cs="方正楷体_GB2312"/>
          <w:color w:val="auto"/>
          <w:sz w:val="24"/>
          <w:szCs w:val="24"/>
          <w:highlight w:val="none"/>
        </w:rPr>
        <w:t>的谈判文件，遵照国家、地方招标投标法律法规的规定，我单位经考察现场和研究贵方的谈判文件后愿以</w:t>
      </w:r>
      <w:r>
        <w:rPr>
          <w:rFonts w:hint="eastAsia" w:ascii="方正楷体_GB2312" w:hAnsi="方正楷体_GB2312" w:eastAsia="方正楷体_GB2312" w:cs="方正楷体_GB2312"/>
          <w:color w:val="auto"/>
          <w:sz w:val="24"/>
          <w:szCs w:val="24"/>
          <w:highlight w:val="none"/>
          <w:lang w:eastAsia="zh-CN"/>
        </w:rPr>
        <w:t>响应文件</w:t>
      </w:r>
      <w:r>
        <w:rPr>
          <w:rFonts w:hint="eastAsia" w:ascii="方正楷体_GB2312" w:hAnsi="方正楷体_GB2312" w:eastAsia="方正楷体_GB2312" w:cs="方正楷体_GB2312"/>
          <w:color w:val="auto"/>
          <w:sz w:val="24"/>
          <w:szCs w:val="24"/>
          <w:highlight w:val="none"/>
        </w:rPr>
        <w:t>中所报投标价格承包本</w:t>
      </w:r>
      <w:r>
        <w:rPr>
          <w:rFonts w:hint="eastAsia" w:ascii="方正楷体_GB2312" w:hAnsi="方正楷体_GB2312" w:eastAsia="方正楷体_GB2312" w:cs="方正楷体_GB2312"/>
          <w:color w:val="auto"/>
          <w:sz w:val="24"/>
          <w:szCs w:val="24"/>
          <w:highlight w:val="none"/>
          <w:lang w:eastAsia="zh-CN"/>
        </w:rPr>
        <w:t>次采购</w:t>
      </w:r>
      <w:r>
        <w:rPr>
          <w:rFonts w:hint="eastAsia" w:ascii="方正楷体_GB2312" w:hAnsi="方正楷体_GB2312" w:eastAsia="方正楷体_GB2312" w:cs="方正楷体_GB2312"/>
          <w:color w:val="auto"/>
          <w:sz w:val="24"/>
          <w:szCs w:val="24"/>
          <w:highlight w:val="none"/>
        </w:rPr>
        <w:t>范围内的</w:t>
      </w:r>
      <w:r>
        <w:rPr>
          <w:rFonts w:hint="eastAsia" w:ascii="方正楷体_GB2312" w:hAnsi="方正楷体_GB2312" w:eastAsia="方正楷体_GB2312" w:cs="方正楷体_GB2312"/>
          <w:color w:val="auto"/>
          <w:sz w:val="24"/>
          <w:szCs w:val="24"/>
          <w:highlight w:val="none"/>
          <w:lang w:eastAsia="zh-CN"/>
        </w:rPr>
        <w:t>全部内容</w:t>
      </w:r>
      <w:r>
        <w:rPr>
          <w:rFonts w:hint="eastAsia" w:ascii="方正楷体_GB2312" w:hAnsi="方正楷体_GB2312" w:eastAsia="方正楷体_GB2312" w:cs="方正楷体_GB2312"/>
          <w:color w:val="auto"/>
          <w:sz w:val="24"/>
          <w:szCs w:val="24"/>
          <w:highlight w:val="none"/>
        </w:rPr>
        <w:t>。</w:t>
      </w:r>
    </w:p>
    <w:p w14:paraId="7A9250EC">
      <w:pPr>
        <w:rPr>
          <w:rFonts w:hint="eastAsia" w:ascii="方正楷体_GB2312" w:hAnsi="方正楷体_GB2312" w:eastAsia="方正楷体_GB2312" w:cs="方正楷体_GB2312"/>
          <w:color w:val="auto"/>
          <w:sz w:val="24"/>
          <w:szCs w:val="24"/>
          <w:highlight w:val="none"/>
          <w:u w:val="single"/>
        </w:rPr>
      </w:pPr>
      <w:r>
        <w:rPr>
          <w:rFonts w:hint="eastAsia" w:ascii="方正楷体_GB2312" w:hAnsi="方正楷体_GB2312" w:eastAsia="方正楷体_GB2312" w:cs="方正楷体_GB2312"/>
          <w:color w:val="auto"/>
          <w:sz w:val="24"/>
          <w:szCs w:val="24"/>
          <w:highlight w:val="none"/>
        </w:rPr>
        <w:t>2、一旦我方中标，我方保证在收到贵方发出</w:t>
      </w:r>
      <w:r>
        <w:rPr>
          <w:rFonts w:hint="eastAsia" w:ascii="方正楷体_GB2312" w:hAnsi="方正楷体_GB2312" w:eastAsia="方正楷体_GB2312" w:cs="方正楷体_GB2312"/>
          <w:color w:val="auto"/>
          <w:sz w:val="24"/>
          <w:szCs w:val="24"/>
          <w:highlight w:val="none"/>
          <w:lang w:eastAsia="zh-CN"/>
        </w:rPr>
        <w:t>成交通知书</w:t>
      </w:r>
      <w:r>
        <w:rPr>
          <w:rFonts w:hint="eastAsia" w:ascii="方正楷体_GB2312" w:hAnsi="方正楷体_GB2312" w:eastAsia="方正楷体_GB2312" w:cs="方正楷体_GB2312"/>
          <w:color w:val="auto"/>
          <w:sz w:val="24"/>
          <w:szCs w:val="24"/>
          <w:highlight w:val="none"/>
        </w:rPr>
        <w:t>后立即</w:t>
      </w:r>
      <w:r>
        <w:rPr>
          <w:rFonts w:hint="eastAsia" w:ascii="方正楷体_GB2312" w:hAnsi="方正楷体_GB2312" w:eastAsia="方正楷体_GB2312" w:cs="方正楷体_GB2312"/>
          <w:color w:val="auto"/>
          <w:sz w:val="24"/>
          <w:szCs w:val="24"/>
          <w:highlight w:val="none"/>
          <w:lang w:eastAsia="zh-CN"/>
        </w:rPr>
        <w:t>供货</w:t>
      </w:r>
      <w:r>
        <w:rPr>
          <w:rFonts w:hint="eastAsia" w:ascii="方正楷体_GB2312" w:hAnsi="方正楷体_GB2312" w:eastAsia="方正楷体_GB2312" w:cs="方正楷体_GB2312"/>
          <w:color w:val="auto"/>
          <w:sz w:val="24"/>
          <w:szCs w:val="24"/>
          <w:highlight w:val="none"/>
        </w:rPr>
        <w:t>，并在如下</w:t>
      </w:r>
      <w:r>
        <w:rPr>
          <w:rFonts w:hint="eastAsia" w:ascii="方正楷体_GB2312" w:hAnsi="方正楷体_GB2312" w:eastAsia="方正楷体_GB2312" w:cs="方正楷体_GB2312"/>
          <w:color w:val="auto"/>
          <w:sz w:val="24"/>
          <w:szCs w:val="24"/>
          <w:highlight w:val="none"/>
          <w:u w:val="single"/>
          <w:lang w:eastAsia="zh-CN"/>
        </w:rPr>
        <w:t>供货期：</w:t>
      </w:r>
      <w:r>
        <w:rPr>
          <w:rFonts w:hint="eastAsia" w:ascii="方正楷体_GB2312" w:hAnsi="方正楷体_GB2312" w:eastAsia="方正楷体_GB2312" w:cs="方正楷体_GB2312"/>
          <w:color w:val="auto"/>
          <w:sz w:val="24"/>
          <w:szCs w:val="24"/>
          <w:highlight w:val="none"/>
          <w:u w:val="single"/>
          <w:lang w:val="en-US" w:eastAsia="zh-CN"/>
        </w:rPr>
        <w:t xml:space="preserve">          ，供货地点：        质量要求：</w:t>
      </w:r>
    </w:p>
    <w:p w14:paraId="73454EC7">
      <w:pPr>
        <w:rPr>
          <w:rFonts w:hint="eastAsia" w:ascii="方正楷体_GB2312" w:hAnsi="方正楷体_GB2312" w:eastAsia="方正楷体_GB2312" w:cs="方正楷体_GB2312"/>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lang w:eastAsia="zh-CN"/>
        </w:rPr>
        <w:t>3、供应商将按谈判文件的规定履行合同责任和义务。</w:t>
      </w:r>
    </w:p>
    <w:p w14:paraId="734DAFCE">
      <w:pPr>
        <w:rPr>
          <w:rFonts w:hint="eastAsia" w:ascii="方正楷体_GB2312" w:hAnsi="方正楷体_GB2312" w:eastAsia="方正楷体_GB2312" w:cs="方正楷体_GB2312"/>
          <w:color w:val="auto"/>
          <w:sz w:val="24"/>
          <w:szCs w:val="24"/>
          <w:highlight w:val="none"/>
          <w:lang w:val="en-US" w:eastAsia="zh-CN"/>
        </w:rPr>
      </w:pPr>
      <w:r>
        <w:rPr>
          <w:rFonts w:hint="eastAsia" w:ascii="方正楷体_GB2312" w:hAnsi="方正楷体_GB2312" w:eastAsia="方正楷体_GB2312" w:cs="方正楷体_GB2312"/>
          <w:color w:val="auto"/>
          <w:sz w:val="24"/>
          <w:szCs w:val="24"/>
          <w:highlight w:val="none"/>
          <w:lang w:val="en-US" w:eastAsia="zh-CN"/>
        </w:rPr>
        <w:t>4、承诺中标后所供设备品牌与报价明细表中设备品牌或厂家一致，并同时具备产品质量合格证明材料。</w:t>
      </w:r>
    </w:p>
    <w:p w14:paraId="3106AAA2">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lang w:val="en-US" w:eastAsia="zh-CN"/>
        </w:rPr>
        <w:t>5</w:t>
      </w:r>
      <w:r>
        <w:rPr>
          <w:rFonts w:hint="eastAsia" w:ascii="方正楷体_GB2312" w:hAnsi="方正楷体_GB2312" w:eastAsia="方正楷体_GB2312" w:cs="方正楷体_GB2312"/>
          <w:color w:val="auto"/>
          <w:sz w:val="24"/>
          <w:szCs w:val="24"/>
          <w:highlight w:val="none"/>
          <w:lang w:eastAsia="zh-CN"/>
        </w:rPr>
        <w:t>、如果我方中标，我方将在谈判文件规定的时间内签订承包合同。如果我方违约，除谈判保证金外，另外，我方愿以合同价      %作为赔偿金，同时贵方有权终止我方</w:t>
      </w:r>
      <w:r>
        <w:rPr>
          <w:rFonts w:hint="eastAsia" w:ascii="方正楷体_GB2312" w:hAnsi="方正楷体_GB2312" w:eastAsia="方正楷体_GB2312" w:cs="方正楷体_GB2312"/>
          <w:color w:val="auto"/>
          <w:sz w:val="24"/>
          <w:szCs w:val="24"/>
          <w:highlight w:val="none"/>
        </w:rPr>
        <w:t>中标并选择其它中标人。</w:t>
      </w:r>
    </w:p>
    <w:p w14:paraId="2173E38A">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lang w:val="en-US" w:eastAsia="zh-CN"/>
        </w:rPr>
        <w:t>6</w:t>
      </w:r>
      <w:r>
        <w:rPr>
          <w:rFonts w:hint="eastAsia" w:ascii="方正楷体_GB2312" w:hAnsi="方正楷体_GB2312" w:eastAsia="方正楷体_GB2312" w:cs="方正楷体_GB2312"/>
          <w:color w:val="auto"/>
          <w:sz w:val="24"/>
          <w:szCs w:val="24"/>
          <w:highlight w:val="none"/>
        </w:rPr>
        <w:t>、贵方的成交通知书和本</w:t>
      </w:r>
      <w:r>
        <w:rPr>
          <w:rFonts w:hint="eastAsia" w:ascii="方正楷体_GB2312" w:hAnsi="方正楷体_GB2312" w:eastAsia="方正楷体_GB2312" w:cs="方正楷体_GB2312"/>
          <w:color w:val="auto"/>
          <w:sz w:val="24"/>
          <w:szCs w:val="24"/>
          <w:highlight w:val="none"/>
          <w:lang w:eastAsia="zh-CN"/>
        </w:rPr>
        <w:t>响应文件</w:t>
      </w:r>
      <w:r>
        <w:rPr>
          <w:rFonts w:hint="eastAsia" w:ascii="方正楷体_GB2312" w:hAnsi="方正楷体_GB2312" w:eastAsia="方正楷体_GB2312" w:cs="方正楷体_GB2312"/>
          <w:color w:val="auto"/>
          <w:sz w:val="24"/>
          <w:szCs w:val="24"/>
          <w:highlight w:val="none"/>
        </w:rPr>
        <w:t>将构成约束双方的合同一部分。</w:t>
      </w:r>
    </w:p>
    <w:p w14:paraId="7B5A5BF5">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lang w:val="en-US" w:eastAsia="zh-CN"/>
        </w:rPr>
        <w:t>7</w:t>
      </w:r>
      <w:r>
        <w:rPr>
          <w:rFonts w:hint="eastAsia" w:ascii="方正楷体_GB2312" w:hAnsi="方正楷体_GB2312" w:eastAsia="方正楷体_GB2312" w:cs="方正楷体_GB2312"/>
          <w:color w:val="auto"/>
          <w:sz w:val="24"/>
          <w:szCs w:val="24"/>
          <w:highlight w:val="none"/>
        </w:rPr>
        <w:t>、如果我方未中标，贵方没有必要对我方做出任何解释和说明，我方将充分尊重和理解贵方的选择。</w:t>
      </w:r>
    </w:p>
    <w:p w14:paraId="2537D668">
      <w:pPr>
        <w:rPr>
          <w:rFonts w:hint="eastAsia" w:ascii="方正楷体_GB2312" w:hAnsi="方正楷体_GB2312" w:eastAsia="方正楷体_GB2312" w:cs="方正楷体_GB2312"/>
          <w:color w:val="auto"/>
          <w:sz w:val="24"/>
          <w:szCs w:val="24"/>
          <w:highlight w:val="none"/>
        </w:rPr>
      </w:pPr>
    </w:p>
    <w:p w14:paraId="4C6E2546">
      <w:pPr>
        <w:rPr>
          <w:rFonts w:hint="eastAsia" w:ascii="方正楷体_GB2312" w:hAnsi="方正楷体_GB2312" w:eastAsia="方正楷体_GB2312" w:cs="方正楷体_GB2312"/>
          <w:color w:val="auto"/>
          <w:sz w:val="24"/>
          <w:szCs w:val="24"/>
          <w:highlight w:val="none"/>
        </w:rPr>
      </w:pPr>
    </w:p>
    <w:p w14:paraId="45A61ACF">
      <w:pPr>
        <w:spacing w:line="360" w:lineRule="auto"/>
        <w:jc w:val="left"/>
        <w:rPr>
          <w:rFonts w:hint="eastAsia" w:ascii="方正楷体_GB2312" w:hAnsi="方正楷体_GB2312" w:eastAsia="方正楷体_GB2312" w:cs="方正楷体_GB2312"/>
          <w:color w:val="auto"/>
          <w:sz w:val="24"/>
          <w:szCs w:val="24"/>
          <w:highlight w:val="none"/>
          <w:u w:val="single"/>
          <w:lang w:val="en-US" w:eastAsia="zh-CN"/>
        </w:rPr>
      </w:pPr>
      <w:r>
        <w:rPr>
          <w:rFonts w:hint="eastAsia" w:ascii="方正楷体_GB2312" w:hAnsi="方正楷体_GB2312" w:eastAsia="方正楷体_GB2312" w:cs="方正楷体_GB2312"/>
          <w:color w:val="auto"/>
          <w:sz w:val="24"/>
          <w:szCs w:val="24"/>
          <w:highlight w:val="none"/>
        </w:rPr>
        <w:t>供应商</w:t>
      </w:r>
      <w:r>
        <w:rPr>
          <w:rFonts w:hint="eastAsia" w:ascii="方正楷体_GB2312" w:hAnsi="方正楷体_GB2312" w:eastAsia="方正楷体_GB2312" w:cs="方正楷体_GB2312"/>
          <w:color w:val="auto"/>
          <w:sz w:val="24"/>
          <w:szCs w:val="24"/>
          <w:highlight w:val="none"/>
          <w:lang w:eastAsia="zh-CN"/>
        </w:rPr>
        <w:t>名称（盖章）</w:t>
      </w:r>
      <w:r>
        <w:rPr>
          <w:rFonts w:hint="eastAsia" w:ascii="方正楷体_GB2312" w:hAnsi="方正楷体_GB2312" w:eastAsia="方正楷体_GB2312" w:cs="方正楷体_GB2312"/>
          <w:color w:val="auto"/>
          <w:sz w:val="24"/>
          <w:szCs w:val="24"/>
          <w:highlight w:val="none"/>
        </w:rPr>
        <w:t>：</w:t>
      </w:r>
      <w:r>
        <w:rPr>
          <w:rFonts w:hint="eastAsia" w:ascii="方正楷体_GB2312" w:hAnsi="方正楷体_GB2312" w:eastAsia="方正楷体_GB2312" w:cs="方正楷体_GB2312"/>
          <w:color w:val="auto"/>
          <w:sz w:val="24"/>
          <w:szCs w:val="24"/>
          <w:highlight w:val="none"/>
          <w:u w:val="single"/>
          <w:lang w:val="en-US" w:eastAsia="zh-CN"/>
        </w:rPr>
        <w:t xml:space="preserve">                                    </w:t>
      </w:r>
    </w:p>
    <w:p w14:paraId="6A0E0171">
      <w:pPr>
        <w:spacing w:line="360" w:lineRule="auto"/>
        <w:jc w:val="left"/>
        <w:rPr>
          <w:rFonts w:hint="eastAsia" w:ascii="方正楷体_GB2312" w:hAnsi="方正楷体_GB2312" w:eastAsia="方正楷体_GB2312" w:cs="方正楷体_GB2312"/>
          <w:color w:val="auto"/>
          <w:sz w:val="24"/>
          <w:szCs w:val="24"/>
          <w:highlight w:val="none"/>
          <w:u w:val="single"/>
          <w:lang w:val="en-US" w:eastAsia="zh-CN"/>
        </w:rPr>
      </w:pPr>
      <w:r>
        <w:rPr>
          <w:rFonts w:hint="eastAsia" w:ascii="方正楷体_GB2312" w:hAnsi="方正楷体_GB2312" w:eastAsia="方正楷体_GB2312" w:cs="方正楷体_GB2312"/>
          <w:color w:val="auto"/>
          <w:sz w:val="24"/>
          <w:szCs w:val="24"/>
          <w:highlight w:val="none"/>
          <w:lang w:eastAsia="zh-CN"/>
        </w:rPr>
        <w:t>法定代表人或授权委托人（签字或盖章）：</w:t>
      </w:r>
      <w:r>
        <w:rPr>
          <w:rFonts w:hint="eastAsia" w:ascii="方正楷体_GB2312" w:hAnsi="方正楷体_GB2312" w:eastAsia="方正楷体_GB2312" w:cs="方正楷体_GB2312"/>
          <w:color w:val="auto"/>
          <w:sz w:val="24"/>
          <w:szCs w:val="24"/>
          <w:highlight w:val="none"/>
          <w:u w:val="single"/>
          <w:lang w:val="en-US" w:eastAsia="zh-CN"/>
        </w:rPr>
        <w:t xml:space="preserve">                  </w:t>
      </w:r>
    </w:p>
    <w:p w14:paraId="4B6475D6">
      <w:pPr>
        <w:pStyle w:val="308"/>
        <w:numPr>
          <w:ilvl w:val="0"/>
          <w:numId w:val="0"/>
        </w:numPr>
        <w:spacing w:line="360" w:lineRule="auto"/>
        <w:rPr>
          <w:rFonts w:hint="eastAsia" w:ascii="方正楷体_GB2312" w:hAnsi="方正楷体_GB2312" w:eastAsia="方正楷体_GB2312" w:cs="方正楷体_GB2312"/>
          <w:b/>
          <w:bCs w:val="0"/>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rPr>
        <w:t>日期：</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年</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月</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 xml:space="preserve">日 </w:t>
      </w:r>
    </w:p>
    <w:p w14:paraId="1F3ECB16">
      <w:pPr>
        <w:jc w:val="center"/>
        <w:rPr>
          <w:rFonts w:hint="eastAsia" w:ascii="方正楷体_GB2312" w:hAnsi="方正楷体_GB2312" w:eastAsia="方正楷体_GB2312" w:cs="方正楷体_GB2312"/>
          <w:bCs/>
          <w:color w:val="auto"/>
          <w:sz w:val="28"/>
          <w:szCs w:val="28"/>
          <w:highlight w:val="none"/>
        </w:rPr>
      </w:pPr>
      <w:r>
        <w:rPr>
          <w:rFonts w:hint="eastAsia" w:ascii="方正楷体_GB2312" w:hAnsi="方正楷体_GB2312" w:eastAsia="方正楷体_GB2312" w:cs="方正楷体_GB2312"/>
          <w:bCs/>
          <w:color w:val="auto"/>
          <w:sz w:val="28"/>
          <w:szCs w:val="28"/>
          <w:highlight w:val="none"/>
        </w:rPr>
        <w:t>法定代表人身份证明书</w:t>
      </w:r>
    </w:p>
    <w:p w14:paraId="5DDFE7D1">
      <w:pPr>
        <w:rPr>
          <w:rFonts w:hint="eastAsia" w:ascii="方正楷体_GB2312" w:hAnsi="方正楷体_GB2312" w:eastAsia="方正楷体_GB2312" w:cs="方正楷体_GB2312"/>
          <w:bCs/>
          <w:color w:val="auto"/>
          <w:sz w:val="24"/>
          <w:szCs w:val="24"/>
          <w:highlight w:val="none"/>
          <w:u w:val="single"/>
        </w:rPr>
      </w:pPr>
      <w:r>
        <w:rPr>
          <w:rFonts w:hint="eastAsia" w:ascii="方正楷体_GB2312" w:hAnsi="方正楷体_GB2312" w:eastAsia="方正楷体_GB2312" w:cs="方正楷体_GB2312"/>
          <w:bCs/>
          <w:color w:val="auto"/>
          <w:sz w:val="24"/>
          <w:szCs w:val="24"/>
          <w:highlight w:val="none"/>
        </w:rPr>
        <w:t>单位名称：</w:t>
      </w:r>
      <w:r>
        <w:rPr>
          <w:rFonts w:hint="eastAsia" w:ascii="方正楷体_GB2312" w:hAnsi="方正楷体_GB2312" w:eastAsia="方正楷体_GB2312" w:cs="方正楷体_GB2312"/>
          <w:bCs/>
          <w:color w:val="auto"/>
          <w:sz w:val="24"/>
          <w:szCs w:val="24"/>
          <w:highlight w:val="none"/>
          <w:u w:val="single"/>
        </w:rPr>
        <w:t xml:space="preserve">                                                   </w:t>
      </w:r>
    </w:p>
    <w:p w14:paraId="1412AA1B">
      <w:pPr>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bCs/>
          <w:color w:val="auto"/>
          <w:sz w:val="24"/>
          <w:szCs w:val="24"/>
          <w:highlight w:val="none"/>
        </w:rPr>
        <w:t>企业类型：</w:t>
      </w:r>
      <w:r>
        <w:rPr>
          <w:rFonts w:hint="eastAsia" w:ascii="方正楷体_GB2312" w:hAnsi="方正楷体_GB2312" w:eastAsia="方正楷体_GB2312" w:cs="方正楷体_GB2312"/>
          <w:bCs/>
          <w:color w:val="auto"/>
          <w:sz w:val="24"/>
          <w:szCs w:val="24"/>
          <w:highlight w:val="none"/>
          <w:u w:val="single"/>
        </w:rPr>
        <w:t xml:space="preserve">                                                   </w:t>
      </w:r>
    </w:p>
    <w:p w14:paraId="4274623F">
      <w:pPr>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bCs/>
          <w:color w:val="auto"/>
          <w:sz w:val="24"/>
          <w:szCs w:val="24"/>
          <w:highlight w:val="none"/>
        </w:rPr>
        <w:t>地    址：</w:t>
      </w:r>
      <w:r>
        <w:rPr>
          <w:rFonts w:hint="eastAsia" w:ascii="方正楷体_GB2312" w:hAnsi="方正楷体_GB2312" w:eastAsia="方正楷体_GB2312" w:cs="方正楷体_GB2312"/>
          <w:bCs/>
          <w:color w:val="auto"/>
          <w:sz w:val="24"/>
          <w:szCs w:val="24"/>
          <w:highlight w:val="none"/>
          <w:u w:val="single"/>
        </w:rPr>
        <w:t xml:space="preserve">                                                   </w:t>
      </w:r>
    </w:p>
    <w:p w14:paraId="58FC52AF">
      <w:pPr>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bCs/>
          <w:color w:val="auto"/>
          <w:sz w:val="24"/>
          <w:szCs w:val="24"/>
          <w:highlight w:val="none"/>
        </w:rPr>
        <w:t>营业期限：</w:t>
      </w:r>
      <w:r>
        <w:rPr>
          <w:rFonts w:hint="eastAsia" w:ascii="方正楷体_GB2312" w:hAnsi="方正楷体_GB2312" w:eastAsia="方正楷体_GB2312" w:cs="方正楷体_GB2312"/>
          <w:bCs/>
          <w:color w:val="auto"/>
          <w:sz w:val="24"/>
          <w:szCs w:val="24"/>
          <w:highlight w:val="none"/>
          <w:u w:val="single"/>
        </w:rPr>
        <w:t xml:space="preserve">                                                   </w:t>
      </w:r>
    </w:p>
    <w:p w14:paraId="09D288B0">
      <w:pPr>
        <w:rPr>
          <w:rFonts w:hint="eastAsia" w:ascii="方正楷体_GB2312" w:hAnsi="方正楷体_GB2312" w:eastAsia="方正楷体_GB2312" w:cs="方正楷体_GB2312"/>
          <w:bCs/>
          <w:color w:val="auto"/>
          <w:sz w:val="24"/>
          <w:szCs w:val="24"/>
          <w:highlight w:val="none"/>
          <w:u w:val="single"/>
        </w:rPr>
      </w:pPr>
      <w:r>
        <w:rPr>
          <w:rFonts w:hint="eastAsia" w:ascii="方正楷体_GB2312" w:hAnsi="方正楷体_GB2312" w:eastAsia="方正楷体_GB2312" w:cs="方正楷体_GB2312"/>
          <w:bCs/>
          <w:color w:val="auto"/>
          <w:sz w:val="24"/>
          <w:szCs w:val="24"/>
          <w:highlight w:val="none"/>
        </w:rPr>
        <w:t>成立时间：</w:t>
      </w:r>
      <w:r>
        <w:rPr>
          <w:rFonts w:hint="eastAsia" w:ascii="方正楷体_GB2312" w:hAnsi="方正楷体_GB2312" w:eastAsia="方正楷体_GB2312" w:cs="方正楷体_GB2312"/>
          <w:bCs/>
          <w:color w:val="auto"/>
          <w:sz w:val="24"/>
          <w:szCs w:val="24"/>
          <w:highlight w:val="none"/>
          <w:u w:val="single"/>
        </w:rPr>
        <w:t xml:space="preserve">                                                   </w:t>
      </w:r>
    </w:p>
    <w:p w14:paraId="137B428E">
      <w:pPr>
        <w:rPr>
          <w:rFonts w:hint="eastAsia" w:ascii="方正楷体_GB2312" w:hAnsi="方正楷体_GB2312" w:eastAsia="方正楷体_GB2312" w:cs="方正楷体_GB2312"/>
          <w:bCs/>
          <w:color w:val="auto"/>
          <w:sz w:val="24"/>
          <w:szCs w:val="24"/>
          <w:highlight w:val="none"/>
          <w:u w:val="single"/>
        </w:rPr>
      </w:pPr>
    </w:p>
    <w:p w14:paraId="262F8C6C">
      <w:pPr>
        <w:rPr>
          <w:rFonts w:hint="eastAsia" w:ascii="方正楷体_GB2312" w:hAnsi="方正楷体_GB2312" w:eastAsia="方正楷体_GB2312" w:cs="方正楷体_GB2312"/>
          <w:bCs/>
          <w:color w:val="auto"/>
          <w:sz w:val="24"/>
          <w:szCs w:val="24"/>
          <w:highlight w:val="none"/>
          <w:u w:val="single"/>
        </w:rPr>
      </w:pPr>
    </w:p>
    <w:p w14:paraId="06116881">
      <w:pPr>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bCs/>
          <w:color w:val="auto"/>
          <w:sz w:val="24"/>
          <w:szCs w:val="24"/>
          <w:highlight w:val="none"/>
        </w:rPr>
        <w:t>姓名：</w:t>
      </w:r>
      <w:r>
        <w:rPr>
          <w:rFonts w:hint="eastAsia" w:ascii="方正楷体_GB2312" w:hAnsi="方正楷体_GB2312" w:eastAsia="方正楷体_GB2312" w:cs="方正楷体_GB2312"/>
          <w:bCs/>
          <w:color w:val="auto"/>
          <w:sz w:val="24"/>
          <w:szCs w:val="24"/>
          <w:highlight w:val="none"/>
          <w:u w:val="single"/>
        </w:rPr>
        <w:t xml:space="preserve">              </w:t>
      </w:r>
      <w:r>
        <w:rPr>
          <w:rFonts w:hint="eastAsia" w:ascii="方正楷体_GB2312" w:hAnsi="方正楷体_GB2312" w:eastAsia="方正楷体_GB2312" w:cs="方正楷体_GB2312"/>
          <w:bCs/>
          <w:color w:val="auto"/>
          <w:sz w:val="24"/>
          <w:szCs w:val="24"/>
          <w:highlight w:val="none"/>
        </w:rPr>
        <w:t xml:space="preserve">    性别：</w:t>
      </w:r>
      <w:r>
        <w:rPr>
          <w:rFonts w:hint="eastAsia" w:ascii="方正楷体_GB2312" w:hAnsi="方正楷体_GB2312" w:eastAsia="方正楷体_GB2312" w:cs="方正楷体_GB2312"/>
          <w:bCs/>
          <w:color w:val="auto"/>
          <w:sz w:val="24"/>
          <w:szCs w:val="24"/>
          <w:highlight w:val="none"/>
          <w:u w:val="single"/>
        </w:rPr>
        <w:t xml:space="preserve">              </w:t>
      </w:r>
      <w:r>
        <w:rPr>
          <w:rFonts w:hint="eastAsia" w:ascii="方正楷体_GB2312" w:hAnsi="方正楷体_GB2312" w:eastAsia="方正楷体_GB2312" w:cs="方正楷体_GB2312"/>
          <w:bCs/>
          <w:color w:val="auto"/>
          <w:sz w:val="24"/>
          <w:szCs w:val="24"/>
          <w:highlight w:val="none"/>
        </w:rPr>
        <w:t xml:space="preserve">   年龄：</w:t>
      </w:r>
      <w:r>
        <w:rPr>
          <w:rFonts w:hint="eastAsia" w:ascii="方正楷体_GB2312" w:hAnsi="方正楷体_GB2312" w:eastAsia="方正楷体_GB2312" w:cs="方正楷体_GB2312"/>
          <w:bCs/>
          <w:color w:val="auto"/>
          <w:sz w:val="24"/>
          <w:szCs w:val="24"/>
          <w:highlight w:val="none"/>
          <w:u w:val="single"/>
        </w:rPr>
        <w:t xml:space="preserve">              </w:t>
      </w:r>
      <w:r>
        <w:rPr>
          <w:rFonts w:hint="eastAsia" w:ascii="方正楷体_GB2312" w:hAnsi="方正楷体_GB2312" w:eastAsia="方正楷体_GB2312" w:cs="方正楷体_GB2312"/>
          <w:bCs/>
          <w:color w:val="auto"/>
          <w:sz w:val="24"/>
          <w:szCs w:val="24"/>
          <w:highlight w:val="none"/>
        </w:rPr>
        <w:t xml:space="preserve">  </w:t>
      </w:r>
    </w:p>
    <w:p w14:paraId="0019E148">
      <w:pPr>
        <w:rPr>
          <w:rFonts w:hint="eastAsia" w:ascii="方正楷体_GB2312" w:hAnsi="方正楷体_GB2312" w:eastAsia="方正楷体_GB2312" w:cs="方正楷体_GB2312"/>
          <w:bCs/>
          <w:color w:val="auto"/>
          <w:sz w:val="24"/>
          <w:szCs w:val="24"/>
          <w:highlight w:val="none"/>
          <w:u w:val="single"/>
        </w:rPr>
      </w:pPr>
      <w:r>
        <w:rPr>
          <w:rFonts w:hint="eastAsia" w:ascii="方正楷体_GB2312" w:hAnsi="方正楷体_GB2312" w:eastAsia="方正楷体_GB2312" w:cs="方正楷体_GB2312"/>
          <w:bCs/>
          <w:color w:val="auto"/>
          <w:sz w:val="24"/>
          <w:szCs w:val="24"/>
          <w:highlight w:val="none"/>
        </w:rPr>
        <w:t xml:space="preserve">职务： </w:t>
      </w:r>
      <w:r>
        <w:rPr>
          <w:rFonts w:hint="eastAsia" w:ascii="方正楷体_GB2312" w:hAnsi="方正楷体_GB2312" w:eastAsia="方正楷体_GB2312" w:cs="方正楷体_GB2312"/>
          <w:bCs/>
          <w:color w:val="auto"/>
          <w:sz w:val="24"/>
          <w:szCs w:val="24"/>
          <w:highlight w:val="none"/>
          <w:u w:val="single"/>
        </w:rPr>
        <w:t xml:space="preserve">               </w:t>
      </w:r>
    </w:p>
    <w:p w14:paraId="29163C75">
      <w:pPr>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bCs/>
          <w:color w:val="auto"/>
          <w:sz w:val="24"/>
          <w:szCs w:val="24"/>
          <w:highlight w:val="none"/>
        </w:rPr>
        <w:t xml:space="preserve">系 </w:t>
      </w:r>
      <w:r>
        <w:rPr>
          <w:rFonts w:hint="eastAsia" w:ascii="方正楷体_GB2312" w:hAnsi="方正楷体_GB2312" w:eastAsia="方正楷体_GB2312" w:cs="方正楷体_GB2312"/>
          <w:bCs/>
          <w:color w:val="auto"/>
          <w:sz w:val="24"/>
          <w:szCs w:val="24"/>
          <w:highlight w:val="none"/>
          <w:u w:val="single"/>
        </w:rPr>
        <w:t xml:space="preserve">          （供应商单位名称）              </w:t>
      </w:r>
      <w:r>
        <w:rPr>
          <w:rFonts w:hint="eastAsia" w:ascii="方正楷体_GB2312" w:hAnsi="方正楷体_GB2312" w:eastAsia="方正楷体_GB2312" w:cs="方正楷体_GB2312"/>
          <w:bCs/>
          <w:color w:val="auto"/>
          <w:sz w:val="24"/>
          <w:szCs w:val="24"/>
          <w:highlight w:val="none"/>
        </w:rPr>
        <w:t>的法定代表人。</w:t>
      </w:r>
    </w:p>
    <w:p w14:paraId="64BE7B7F">
      <w:pPr>
        <w:rPr>
          <w:rFonts w:hint="eastAsia" w:ascii="方正楷体_GB2312" w:hAnsi="方正楷体_GB2312" w:eastAsia="方正楷体_GB2312" w:cs="方正楷体_GB2312"/>
          <w:bCs/>
          <w:color w:val="auto"/>
          <w:sz w:val="24"/>
          <w:szCs w:val="24"/>
          <w:highlight w:val="none"/>
        </w:rPr>
      </w:pPr>
    </w:p>
    <w:p w14:paraId="1A062F6E">
      <w:pPr>
        <w:rPr>
          <w:rFonts w:hint="eastAsia" w:ascii="方正楷体_GB2312" w:hAnsi="方正楷体_GB2312" w:eastAsia="方正楷体_GB2312" w:cs="方正楷体_GB2312"/>
          <w:bCs/>
          <w:color w:val="auto"/>
          <w:sz w:val="24"/>
          <w:szCs w:val="24"/>
          <w:highlight w:val="none"/>
          <w:lang w:eastAsia="zh-CN"/>
        </w:rPr>
      </w:pPr>
      <w:r>
        <w:rPr>
          <w:rFonts w:hint="eastAsia" w:ascii="方正楷体_GB2312" w:hAnsi="方正楷体_GB2312" w:eastAsia="方正楷体_GB2312" w:cs="方正楷体_GB2312"/>
          <w:bCs/>
          <w:color w:val="auto"/>
          <w:sz w:val="24"/>
          <w:szCs w:val="24"/>
          <w:highlight w:val="none"/>
          <w:lang w:eastAsia="zh-CN"/>
        </w:rPr>
        <w:t>后附法定代表人身份证正反面：</w:t>
      </w:r>
    </w:p>
    <w:p w14:paraId="1CC4687F">
      <w:pPr>
        <w:rPr>
          <w:rFonts w:hint="eastAsia" w:ascii="方正楷体_GB2312" w:hAnsi="方正楷体_GB2312" w:eastAsia="方正楷体_GB2312" w:cs="方正楷体_GB2312"/>
          <w:bCs/>
          <w:color w:val="auto"/>
          <w:sz w:val="24"/>
          <w:szCs w:val="24"/>
          <w:highlight w:val="none"/>
        </w:rPr>
      </w:pPr>
    </w:p>
    <w:p w14:paraId="3CCC1744">
      <w:pPr>
        <w:rPr>
          <w:rFonts w:hint="eastAsia" w:ascii="方正楷体_GB2312" w:hAnsi="方正楷体_GB2312" w:eastAsia="方正楷体_GB2312" w:cs="方正楷体_GB2312"/>
          <w:bCs/>
          <w:color w:val="auto"/>
          <w:sz w:val="24"/>
          <w:szCs w:val="24"/>
          <w:highlight w:val="none"/>
        </w:rPr>
      </w:pPr>
    </w:p>
    <w:p w14:paraId="39BC94BC">
      <w:pPr>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bCs/>
          <w:color w:val="auto"/>
          <w:sz w:val="24"/>
          <w:szCs w:val="24"/>
          <w:highlight w:val="none"/>
        </w:rPr>
        <w:t>特此证明。</w:t>
      </w:r>
    </w:p>
    <w:p w14:paraId="39E225FE">
      <w:pPr>
        <w:rPr>
          <w:rFonts w:hint="eastAsia" w:ascii="方正楷体_GB2312" w:hAnsi="方正楷体_GB2312" w:eastAsia="方正楷体_GB2312" w:cs="方正楷体_GB2312"/>
          <w:bCs/>
          <w:color w:val="auto"/>
          <w:sz w:val="24"/>
          <w:szCs w:val="24"/>
          <w:highlight w:val="none"/>
        </w:rPr>
      </w:pPr>
    </w:p>
    <w:p w14:paraId="60BA8355">
      <w:pPr>
        <w:rPr>
          <w:rFonts w:hint="eastAsia" w:ascii="方正楷体_GB2312" w:hAnsi="方正楷体_GB2312" w:eastAsia="方正楷体_GB2312" w:cs="方正楷体_GB2312"/>
          <w:bCs/>
          <w:color w:val="auto"/>
          <w:sz w:val="24"/>
          <w:szCs w:val="24"/>
          <w:highlight w:val="none"/>
        </w:rPr>
      </w:pPr>
    </w:p>
    <w:p w14:paraId="3745F131">
      <w:pPr>
        <w:spacing w:line="360" w:lineRule="auto"/>
        <w:rPr>
          <w:rFonts w:hint="eastAsia" w:ascii="方正楷体_GB2312" w:hAnsi="方正楷体_GB2312" w:eastAsia="方正楷体_GB2312" w:cs="方正楷体_GB2312"/>
          <w:bCs/>
          <w:color w:val="auto"/>
          <w:sz w:val="24"/>
          <w:szCs w:val="24"/>
          <w:highlight w:val="none"/>
          <w:u w:val="single"/>
        </w:rPr>
      </w:pPr>
      <w:r>
        <w:rPr>
          <w:rFonts w:hint="eastAsia" w:ascii="方正楷体_GB2312" w:hAnsi="方正楷体_GB2312" w:eastAsia="方正楷体_GB2312" w:cs="方正楷体_GB2312"/>
          <w:bCs/>
          <w:color w:val="auto"/>
          <w:sz w:val="24"/>
          <w:szCs w:val="24"/>
          <w:highlight w:val="none"/>
        </w:rPr>
        <w:t>供应商：</w:t>
      </w:r>
      <w:r>
        <w:rPr>
          <w:rFonts w:hint="eastAsia" w:ascii="方正楷体_GB2312" w:hAnsi="方正楷体_GB2312" w:eastAsia="方正楷体_GB2312" w:cs="方正楷体_GB2312"/>
          <w:bCs/>
          <w:color w:val="auto"/>
          <w:sz w:val="24"/>
          <w:szCs w:val="24"/>
          <w:highlight w:val="none"/>
          <w:u w:val="single"/>
        </w:rPr>
        <w:t xml:space="preserve">                      （盖章）</w:t>
      </w:r>
    </w:p>
    <w:p w14:paraId="10B510FD">
      <w:pPr>
        <w:spacing w:line="360" w:lineRule="auto"/>
        <w:rPr>
          <w:rFonts w:hint="eastAsia" w:ascii="方正楷体_GB2312" w:hAnsi="方正楷体_GB2312" w:eastAsia="方正楷体_GB2312" w:cs="方正楷体_GB2312"/>
          <w:bCs/>
          <w:color w:val="auto"/>
          <w:sz w:val="24"/>
          <w:szCs w:val="24"/>
          <w:highlight w:val="none"/>
        </w:rPr>
      </w:pPr>
      <w:r>
        <w:rPr>
          <w:rFonts w:hint="eastAsia" w:ascii="方正楷体_GB2312" w:hAnsi="方正楷体_GB2312" w:eastAsia="方正楷体_GB2312" w:cs="方正楷体_GB2312"/>
          <w:bCs/>
          <w:color w:val="auto"/>
          <w:sz w:val="24"/>
          <w:szCs w:val="24"/>
          <w:highlight w:val="none"/>
        </w:rPr>
        <w:t>日  期：</w:t>
      </w:r>
      <w:r>
        <w:rPr>
          <w:rFonts w:hint="eastAsia" w:ascii="方正楷体_GB2312" w:hAnsi="方正楷体_GB2312" w:eastAsia="方正楷体_GB2312" w:cs="方正楷体_GB2312"/>
          <w:bCs/>
          <w:color w:val="auto"/>
          <w:sz w:val="24"/>
          <w:szCs w:val="24"/>
          <w:highlight w:val="none"/>
          <w:u w:val="single"/>
        </w:rPr>
        <w:t xml:space="preserve">        </w:t>
      </w:r>
      <w:r>
        <w:rPr>
          <w:rFonts w:hint="eastAsia" w:ascii="方正楷体_GB2312" w:hAnsi="方正楷体_GB2312" w:eastAsia="方正楷体_GB2312" w:cs="方正楷体_GB2312"/>
          <w:bCs/>
          <w:color w:val="auto"/>
          <w:sz w:val="24"/>
          <w:szCs w:val="24"/>
          <w:highlight w:val="none"/>
        </w:rPr>
        <w:t>年</w:t>
      </w:r>
      <w:r>
        <w:rPr>
          <w:rFonts w:hint="eastAsia" w:ascii="方正楷体_GB2312" w:hAnsi="方正楷体_GB2312" w:eastAsia="方正楷体_GB2312" w:cs="方正楷体_GB2312"/>
          <w:bCs/>
          <w:color w:val="auto"/>
          <w:sz w:val="24"/>
          <w:szCs w:val="24"/>
          <w:highlight w:val="none"/>
          <w:u w:val="single"/>
        </w:rPr>
        <w:t xml:space="preserve">        </w:t>
      </w:r>
      <w:r>
        <w:rPr>
          <w:rFonts w:hint="eastAsia" w:ascii="方正楷体_GB2312" w:hAnsi="方正楷体_GB2312" w:eastAsia="方正楷体_GB2312" w:cs="方正楷体_GB2312"/>
          <w:bCs/>
          <w:color w:val="auto"/>
          <w:sz w:val="24"/>
          <w:szCs w:val="24"/>
          <w:highlight w:val="none"/>
        </w:rPr>
        <w:t>月</w:t>
      </w:r>
      <w:r>
        <w:rPr>
          <w:rFonts w:hint="eastAsia" w:ascii="方正楷体_GB2312" w:hAnsi="方正楷体_GB2312" w:eastAsia="方正楷体_GB2312" w:cs="方正楷体_GB2312"/>
          <w:bCs/>
          <w:color w:val="auto"/>
          <w:sz w:val="24"/>
          <w:szCs w:val="24"/>
          <w:highlight w:val="none"/>
          <w:u w:val="single"/>
        </w:rPr>
        <w:t xml:space="preserve">        </w:t>
      </w:r>
      <w:r>
        <w:rPr>
          <w:rFonts w:hint="eastAsia" w:ascii="方正楷体_GB2312" w:hAnsi="方正楷体_GB2312" w:eastAsia="方正楷体_GB2312" w:cs="方正楷体_GB2312"/>
          <w:bCs/>
          <w:color w:val="auto"/>
          <w:sz w:val="24"/>
          <w:szCs w:val="24"/>
          <w:highlight w:val="none"/>
        </w:rPr>
        <w:t>日</w:t>
      </w:r>
    </w:p>
    <w:p w14:paraId="286E29CA">
      <w:pPr>
        <w:rPr>
          <w:rFonts w:hint="eastAsia" w:ascii="方正楷体_GB2312" w:hAnsi="方正楷体_GB2312" w:eastAsia="方正楷体_GB2312" w:cs="方正楷体_GB2312"/>
          <w:bCs/>
          <w:color w:val="auto"/>
          <w:sz w:val="24"/>
          <w:szCs w:val="24"/>
          <w:highlight w:val="none"/>
        </w:rPr>
      </w:pPr>
    </w:p>
    <w:p w14:paraId="5E5C4E21">
      <w:pPr>
        <w:rPr>
          <w:rFonts w:hint="eastAsia" w:ascii="方正楷体_GB2312" w:hAnsi="方正楷体_GB2312" w:eastAsia="方正楷体_GB2312" w:cs="方正楷体_GB2312"/>
          <w:bCs/>
          <w:color w:val="auto"/>
          <w:sz w:val="24"/>
          <w:szCs w:val="24"/>
          <w:highlight w:val="none"/>
        </w:rPr>
      </w:pPr>
    </w:p>
    <w:p w14:paraId="59F84AA8">
      <w:pPr>
        <w:jc w:val="center"/>
        <w:rPr>
          <w:rFonts w:hint="eastAsia" w:ascii="方正楷体_GB2312" w:hAnsi="方正楷体_GB2312" w:eastAsia="方正楷体_GB2312" w:cs="方正楷体_GB2312"/>
          <w:bCs/>
          <w:color w:val="auto"/>
          <w:sz w:val="28"/>
          <w:szCs w:val="28"/>
          <w:highlight w:val="none"/>
        </w:rPr>
      </w:pPr>
      <w:r>
        <w:rPr>
          <w:rFonts w:hint="eastAsia" w:ascii="方正楷体_GB2312" w:hAnsi="方正楷体_GB2312" w:eastAsia="方正楷体_GB2312" w:cs="方正楷体_GB2312"/>
          <w:bCs/>
          <w:color w:val="auto"/>
          <w:sz w:val="28"/>
          <w:szCs w:val="28"/>
          <w:highlight w:val="none"/>
        </w:rPr>
        <w:t>授权委托书</w:t>
      </w:r>
    </w:p>
    <w:p w14:paraId="70CEE64A">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本授权委托书声明：我</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（姓名）系</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（供应商名称）的法人代表人，现授权委托</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（供应商名称）的</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（姓名）为我公司代理人，以本公司的名义参加</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w:t>
      </w:r>
      <w:r>
        <w:rPr>
          <w:rFonts w:hint="eastAsia" w:ascii="方正楷体_GB2312" w:hAnsi="方正楷体_GB2312" w:eastAsia="方正楷体_GB2312" w:cs="方正楷体_GB2312"/>
          <w:color w:val="auto"/>
          <w:sz w:val="24"/>
          <w:szCs w:val="24"/>
          <w:highlight w:val="none"/>
          <w:lang w:eastAsia="zh-CN"/>
        </w:rPr>
        <w:t>采购</w:t>
      </w:r>
      <w:r>
        <w:rPr>
          <w:rFonts w:hint="eastAsia" w:ascii="方正楷体_GB2312" w:hAnsi="方正楷体_GB2312" w:eastAsia="方正楷体_GB2312" w:cs="方正楷体_GB2312"/>
          <w:color w:val="auto"/>
          <w:sz w:val="24"/>
          <w:szCs w:val="24"/>
          <w:highlight w:val="none"/>
        </w:rPr>
        <w:t>人）的</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u w:val="single"/>
          <w:lang w:eastAsia="zh-CN"/>
        </w:rPr>
        <w:t>（项目名称）</w:t>
      </w:r>
      <w:r>
        <w:rPr>
          <w:rFonts w:hint="eastAsia" w:ascii="方正楷体_GB2312" w:hAnsi="方正楷体_GB2312" w:eastAsia="方正楷体_GB2312" w:cs="方正楷体_GB2312"/>
          <w:color w:val="auto"/>
          <w:sz w:val="24"/>
          <w:szCs w:val="24"/>
          <w:highlight w:val="none"/>
        </w:rPr>
        <w:t>的投标活动。代理人在参加整个</w:t>
      </w:r>
      <w:r>
        <w:rPr>
          <w:rFonts w:hint="eastAsia" w:ascii="方正楷体_GB2312" w:hAnsi="方正楷体_GB2312" w:eastAsia="方正楷体_GB2312" w:cs="方正楷体_GB2312"/>
          <w:color w:val="auto"/>
          <w:sz w:val="24"/>
          <w:szCs w:val="24"/>
          <w:highlight w:val="none"/>
          <w:lang w:eastAsia="zh-CN"/>
        </w:rPr>
        <w:t>项目采购</w:t>
      </w:r>
      <w:r>
        <w:rPr>
          <w:rFonts w:hint="eastAsia" w:ascii="方正楷体_GB2312" w:hAnsi="方正楷体_GB2312" w:eastAsia="方正楷体_GB2312" w:cs="方正楷体_GB2312"/>
          <w:color w:val="auto"/>
          <w:sz w:val="24"/>
          <w:szCs w:val="24"/>
          <w:highlight w:val="none"/>
        </w:rPr>
        <w:t>活动、合同谈判过程中所签署的一切文件和处理与之有关的一切事物，我均予以承认。</w:t>
      </w:r>
    </w:p>
    <w:p w14:paraId="24B17377">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代理人：</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性别：</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年龄：</w:t>
      </w:r>
      <w:r>
        <w:rPr>
          <w:rFonts w:hint="eastAsia" w:ascii="方正楷体_GB2312" w:hAnsi="方正楷体_GB2312" w:eastAsia="方正楷体_GB2312" w:cs="方正楷体_GB2312"/>
          <w:color w:val="auto"/>
          <w:sz w:val="24"/>
          <w:szCs w:val="24"/>
          <w:highlight w:val="none"/>
          <w:u w:val="single"/>
        </w:rPr>
        <w:t xml:space="preserve">             </w:t>
      </w:r>
    </w:p>
    <w:p w14:paraId="71AA70C2">
      <w:pPr>
        <w:rPr>
          <w:rFonts w:hint="eastAsia" w:ascii="方正楷体_GB2312" w:hAnsi="方正楷体_GB2312" w:eastAsia="方正楷体_GB2312" w:cs="方正楷体_GB2312"/>
          <w:color w:val="auto"/>
          <w:sz w:val="24"/>
          <w:szCs w:val="24"/>
          <w:highlight w:val="none"/>
        </w:rPr>
      </w:pPr>
    </w:p>
    <w:p w14:paraId="5471BAED">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单  位：</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部门：</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职务：</w:t>
      </w:r>
      <w:r>
        <w:rPr>
          <w:rFonts w:hint="eastAsia" w:ascii="方正楷体_GB2312" w:hAnsi="方正楷体_GB2312" w:eastAsia="方正楷体_GB2312" w:cs="方正楷体_GB2312"/>
          <w:color w:val="auto"/>
          <w:sz w:val="24"/>
          <w:szCs w:val="24"/>
          <w:highlight w:val="none"/>
          <w:u w:val="single"/>
        </w:rPr>
        <w:t xml:space="preserve">             </w:t>
      </w:r>
    </w:p>
    <w:p w14:paraId="389FB2A8">
      <w:pPr>
        <w:rPr>
          <w:rFonts w:hint="eastAsia" w:ascii="方正楷体_GB2312" w:hAnsi="方正楷体_GB2312" w:eastAsia="方正楷体_GB2312" w:cs="方正楷体_GB2312"/>
          <w:color w:val="auto"/>
          <w:sz w:val="24"/>
          <w:szCs w:val="24"/>
          <w:highlight w:val="none"/>
        </w:rPr>
      </w:pPr>
    </w:p>
    <w:p w14:paraId="050E8641">
      <w:pPr>
        <w:rPr>
          <w:rFonts w:hint="eastAsia" w:ascii="方正楷体_GB2312" w:hAnsi="方正楷体_GB2312" w:eastAsia="方正楷体_GB2312" w:cs="方正楷体_GB2312"/>
          <w:color w:val="auto"/>
          <w:sz w:val="24"/>
          <w:szCs w:val="24"/>
          <w:highlight w:val="none"/>
        </w:rPr>
      </w:pPr>
    </w:p>
    <w:p w14:paraId="715186B9">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代理人无转委权。特此委托。</w:t>
      </w:r>
    </w:p>
    <w:p w14:paraId="65F8AC31">
      <w:pPr>
        <w:pStyle w:val="33"/>
        <w:rPr>
          <w:rFonts w:hint="eastAsia" w:ascii="方正楷体_GB2312" w:hAnsi="方正楷体_GB2312" w:eastAsia="方正楷体_GB2312" w:cs="方正楷体_GB2312"/>
          <w:color w:val="auto"/>
          <w:sz w:val="24"/>
          <w:szCs w:val="24"/>
          <w:highlight w:val="none"/>
        </w:rPr>
      </w:pPr>
    </w:p>
    <w:p w14:paraId="1B0B24F6">
      <w:pPr>
        <w:rPr>
          <w:rFonts w:hint="eastAsia" w:ascii="方正楷体_GB2312" w:hAnsi="方正楷体_GB2312" w:eastAsia="方正楷体_GB2312" w:cs="方正楷体_GB2312"/>
          <w:color w:val="auto"/>
          <w:highlight w:val="none"/>
          <w:lang w:eastAsia="zh-CN"/>
        </w:rPr>
      </w:pPr>
      <w:r>
        <w:rPr>
          <w:rFonts w:hint="eastAsia" w:ascii="方正楷体_GB2312" w:hAnsi="方正楷体_GB2312" w:eastAsia="方正楷体_GB2312" w:cs="方正楷体_GB2312"/>
          <w:color w:val="auto"/>
          <w:sz w:val="24"/>
          <w:szCs w:val="24"/>
          <w:highlight w:val="none"/>
          <w:lang w:eastAsia="zh-CN"/>
        </w:rPr>
        <w:t>后附法定代表人及委托代理人身份正反面：</w:t>
      </w:r>
    </w:p>
    <w:p w14:paraId="2A73FF62">
      <w:pPr>
        <w:rPr>
          <w:rFonts w:hint="eastAsia" w:ascii="方正楷体_GB2312" w:hAnsi="方正楷体_GB2312" w:eastAsia="方正楷体_GB2312" w:cs="方正楷体_GB2312"/>
          <w:color w:val="auto"/>
          <w:sz w:val="24"/>
          <w:szCs w:val="24"/>
          <w:highlight w:val="none"/>
        </w:rPr>
      </w:pPr>
    </w:p>
    <w:p w14:paraId="7558978C">
      <w:pPr>
        <w:rPr>
          <w:rFonts w:hint="eastAsia" w:ascii="方正楷体_GB2312" w:hAnsi="方正楷体_GB2312" w:eastAsia="方正楷体_GB2312" w:cs="方正楷体_GB2312"/>
          <w:color w:val="auto"/>
          <w:sz w:val="24"/>
          <w:szCs w:val="24"/>
          <w:highlight w:val="none"/>
        </w:rPr>
      </w:pPr>
    </w:p>
    <w:p w14:paraId="6F08070D">
      <w:pPr>
        <w:rPr>
          <w:rFonts w:hint="eastAsia" w:ascii="方正楷体_GB2312" w:hAnsi="方正楷体_GB2312" w:eastAsia="方正楷体_GB2312" w:cs="方正楷体_GB2312"/>
          <w:color w:val="auto"/>
          <w:sz w:val="24"/>
          <w:szCs w:val="24"/>
          <w:highlight w:val="none"/>
        </w:rPr>
      </w:pPr>
    </w:p>
    <w:p w14:paraId="4DC3FFD5">
      <w:pPr>
        <w:spacing w:line="480" w:lineRule="auto"/>
        <w:jc w:val="left"/>
        <w:rPr>
          <w:rFonts w:hint="eastAsia" w:ascii="方正楷体_GB2312" w:hAnsi="方正楷体_GB2312" w:eastAsia="方正楷体_GB2312" w:cs="方正楷体_GB2312"/>
          <w:color w:val="auto"/>
          <w:sz w:val="24"/>
          <w:szCs w:val="24"/>
          <w:highlight w:val="none"/>
          <w:u w:val="single"/>
          <w:lang w:val="en-US" w:eastAsia="zh-CN"/>
        </w:rPr>
      </w:pPr>
      <w:r>
        <w:rPr>
          <w:rFonts w:hint="eastAsia" w:ascii="方正楷体_GB2312" w:hAnsi="方正楷体_GB2312" w:eastAsia="方正楷体_GB2312" w:cs="方正楷体_GB2312"/>
          <w:color w:val="auto"/>
          <w:sz w:val="24"/>
          <w:szCs w:val="24"/>
          <w:highlight w:val="none"/>
        </w:rPr>
        <w:t>供应商</w:t>
      </w:r>
      <w:r>
        <w:rPr>
          <w:rFonts w:hint="eastAsia" w:ascii="方正楷体_GB2312" w:hAnsi="方正楷体_GB2312" w:eastAsia="方正楷体_GB2312" w:cs="方正楷体_GB2312"/>
          <w:color w:val="auto"/>
          <w:sz w:val="24"/>
          <w:szCs w:val="24"/>
          <w:highlight w:val="none"/>
          <w:lang w:eastAsia="zh-CN"/>
        </w:rPr>
        <w:t>名称（盖章）</w:t>
      </w:r>
      <w:r>
        <w:rPr>
          <w:rFonts w:hint="eastAsia" w:ascii="方正楷体_GB2312" w:hAnsi="方正楷体_GB2312" w:eastAsia="方正楷体_GB2312" w:cs="方正楷体_GB2312"/>
          <w:color w:val="auto"/>
          <w:sz w:val="24"/>
          <w:szCs w:val="24"/>
          <w:highlight w:val="none"/>
        </w:rPr>
        <w:t>：</w:t>
      </w:r>
      <w:r>
        <w:rPr>
          <w:rFonts w:hint="eastAsia" w:ascii="方正楷体_GB2312" w:hAnsi="方正楷体_GB2312" w:eastAsia="方正楷体_GB2312" w:cs="方正楷体_GB2312"/>
          <w:color w:val="auto"/>
          <w:sz w:val="24"/>
          <w:szCs w:val="24"/>
          <w:highlight w:val="none"/>
          <w:u w:val="single"/>
          <w:lang w:val="en-US" w:eastAsia="zh-CN"/>
        </w:rPr>
        <w:t xml:space="preserve">                                    </w:t>
      </w:r>
    </w:p>
    <w:p w14:paraId="2B01D558">
      <w:pPr>
        <w:spacing w:line="480" w:lineRule="auto"/>
        <w:jc w:val="left"/>
        <w:rPr>
          <w:rFonts w:hint="eastAsia" w:ascii="方正楷体_GB2312" w:hAnsi="方正楷体_GB2312" w:eastAsia="方正楷体_GB2312" w:cs="方正楷体_GB2312"/>
          <w:color w:val="auto"/>
          <w:sz w:val="24"/>
          <w:szCs w:val="24"/>
          <w:highlight w:val="none"/>
          <w:u w:val="single"/>
          <w:lang w:val="en-US" w:eastAsia="zh-CN"/>
        </w:rPr>
      </w:pPr>
      <w:r>
        <w:rPr>
          <w:rFonts w:hint="eastAsia" w:ascii="方正楷体_GB2312" w:hAnsi="方正楷体_GB2312" w:eastAsia="方正楷体_GB2312" w:cs="方正楷体_GB2312"/>
          <w:color w:val="auto"/>
          <w:sz w:val="24"/>
          <w:szCs w:val="24"/>
          <w:highlight w:val="none"/>
          <w:lang w:eastAsia="zh-CN"/>
        </w:rPr>
        <w:t>法定代表人（签字或盖章）：</w:t>
      </w:r>
      <w:r>
        <w:rPr>
          <w:rFonts w:hint="eastAsia" w:ascii="方正楷体_GB2312" w:hAnsi="方正楷体_GB2312" w:eastAsia="方正楷体_GB2312" w:cs="方正楷体_GB2312"/>
          <w:color w:val="auto"/>
          <w:sz w:val="24"/>
          <w:szCs w:val="24"/>
          <w:highlight w:val="none"/>
          <w:u w:val="single"/>
          <w:lang w:val="en-US" w:eastAsia="zh-CN"/>
        </w:rPr>
        <w:t xml:space="preserve">                  </w:t>
      </w:r>
    </w:p>
    <w:p w14:paraId="5F4182D1">
      <w:pPr>
        <w:spacing w:line="480" w:lineRule="auto"/>
        <w:jc w:val="left"/>
        <w:rPr>
          <w:rFonts w:hint="eastAsia" w:ascii="方正楷体_GB2312" w:hAnsi="方正楷体_GB2312" w:eastAsia="方正楷体_GB2312" w:cs="方正楷体_GB2312"/>
          <w:color w:val="auto"/>
          <w:sz w:val="24"/>
          <w:szCs w:val="24"/>
          <w:highlight w:val="none"/>
          <w:u w:val="single"/>
          <w:lang w:val="en-US" w:eastAsia="zh-CN"/>
        </w:rPr>
      </w:pPr>
      <w:r>
        <w:rPr>
          <w:rFonts w:hint="eastAsia" w:ascii="方正楷体_GB2312" w:hAnsi="方正楷体_GB2312" w:eastAsia="方正楷体_GB2312" w:cs="方正楷体_GB2312"/>
          <w:color w:val="auto"/>
          <w:sz w:val="24"/>
          <w:szCs w:val="24"/>
          <w:highlight w:val="none"/>
          <w:lang w:eastAsia="zh-CN"/>
        </w:rPr>
        <w:t>授权委托人（签字或盖章）：</w:t>
      </w:r>
      <w:r>
        <w:rPr>
          <w:rFonts w:hint="eastAsia" w:ascii="方正楷体_GB2312" w:hAnsi="方正楷体_GB2312" w:eastAsia="方正楷体_GB2312" w:cs="方正楷体_GB2312"/>
          <w:color w:val="auto"/>
          <w:sz w:val="24"/>
          <w:szCs w:val="24"/>
          <w:highlight w:val="none"/>
          <w:u w:val="single"/>
          <w:lang w:val="en-US" w:eastAsia="zh-CN"/>
        </w:rPr>
        <w:t xml:space="preserve">                  </w:t>
      </w:r>
    </w:p>
    <w:p w14:paraId="4F79419A">
      <w:pPr>
        <w:pStyle w:val="308"/>
        <w:numPr>
          <w:ilvl w:val="0"/>
          <w:numId w:val="0"/>
        </w:numPr>
        <w:spacing w:line="480" w:lineRule="auto"/>
        <w:rPr>
          <w:rFonts w:hint="eastAsia" w:ascii="方正楷体_GB2312" w:hAnsi="方正楷体_GB2312" w:eastAsia="方正楷体_GB2312" w:cs="方正楷体_GB2312"/>
          <w:b/>
          <w:bCs w:val="0"/>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rPr>
        <w:t>日期：</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年</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月</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 xml:space="preserve">日 </w:t>
      </w:r>
    </w:p>
    <w:p w14:paraId="54BDF89D">
      <w:pP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br w:type="page"/>
      </w:r>
    </w:p>
    <w:p w14:paraId="1CEEAFA9">
      <w:pPr>
        <w:widowControl/>
        <w:spacing w:before="100" w:beforeAutospacing="1" w:after="100" w:afterAutospacing="1" w:line="360" w:lineRule="auto"/>
        <w:jc w:val="center"/>
        <w:rPr>
          <w:rFonts w:hint="eastAsia" w:ascii="方正楷体_GB2312" w:hAnsi="方正楷体_GB2312" w:eastAsia="方正楷体_GB2312" w:cs="方正楷体_GB2312"/>
          <w:b/>
          <w:bCs/>
          <w:color w:val="auto"/>
          <w:kern w:val="2"/>
          <w:sz w:val="30"/>
          <w:szCs w:val="30"/>
          <w:highlight w:val="none"/>
          <w:lang w:val="en-US" w:eastAsia="zh-CN" w:bidi="ar-SA"/>
        </w:rPr>
      </w:pPr>
      <w:r>
        <w:rPr>
          <w:rFonts w:hint="eastAsia" w:ascii="方正楷体_GB2312" w:hAnsi="方正楷体_GB2312" w:eastAsia="方正楷体_GB2312" w:cs="方正楷体_GB2312"/>
          <w:b/>
          <w:bCs/>
          <w:color w:val="auto"/>
          <w:kern w:val="2"/>
          <w:sz w:val="30"/>
          <w:szCs w:val="30"/>
          <w:highlight w:val="none"/>
          <w:lang w:val="en-US" w:eastAsia="zh-CN" w:bidi="ar-SA"/>
        </w:rPr>
        <w:t>报价方（供应商）反商业贿赂承诺书 </w:t>
      </w:r>
    </w:p>
    <w:p w14:paraId="5DDFAAF9">
      <w:pPr>
        <w:widowControl/>
        <w:spacing w:before="100" w:beforeAutospacing="1" w:after="100" w:afterAutospacing="1" w:line="360" w:lineRule="auto"/>
        <w:jc w:val="left"/>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rPr>
        <w:t>我公司承诺在（项目编号、项目名称）采购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中华人民共和国反</w:t>
      </w:r>
      <w:r>
        <w:rPr>
          <w:rFonts w:hint="eastAsia" w:ascii="方正楷体_GB2312" w:hAnsi="方正楷体_GB2312" w:eastAsia="方正楷体_GB2312" w:cs="方正楷体_GB2312"/>
          <w:color w:val="auto"/>
          <w:sz w:val="24"/>
          <w:highlight w:val="none"/>
        </w:rPr>
        <w:fldChar w:fldCharType="begin"/>
      </w:r>
      <w:r>
        <w:rPr>
          <w:rFonts w:hint="eastAsia" w:ascii="方正楷体_GB2312" w:hAnsi="方正楷体_GB2312" w:eastAsia="方正楷体_GB2312" w:cs="方正楷体_GB2312"/>
          <w:color w:val="auto"/>
          <w:sz w:val="24"/>
          <w:highlight w:val="none"/>
        </w:rPr>
        <w:instrText xml:space="preserve"> HYPERLINK "https://www.maxlaw.cn/cs/zscq/bzdjz" \t "https://www.maxlaw.cn/changshi/fbzdjzf/_blank" </w:instrText>
      </w:r>
      <w:r>
        <w:rPr>
          <w:rFonts w:hint="eastAsia" w:ascii="方正楷体_GB2312" w:hAnsi="方正楷体_GB2312" w:eastAsia="方正楷体_GB2312" w:cs="方正楷体_GB2312"/>
          <w:color w:val="auto"/>
          <w:sz w:val="24"/>
          <w:highlight w:val="none"/>
        </w:rPr>
        <w:fldChar w:fldCharType="separate"/>
      </w:r>
      <w:r>
        <w:rPr>
          <w:rFonts w:hint="eastAsia" w:ascii="方正楷体_GB2312" w:hAnsi="方正楷体_GB2312" w:eastAsia="方正楷体_GB2312" w:cs="方正楷体_GB2312"/>
          <w:color w:val="auto"/>
          <w:sz w:val="24"/>
          <w:highlight w:val="none"/>
        </w:rPr>
        <w:t>不正当竞争</w:t>
      </w:r>
      <w:r>
        <w:rPr>
          <w:rFonts w:hint="eastAsia" w:ascii="方正楷体_GB2312" w:hAnsi="方正楷体_GB2312" w:eastAsia="方正楷体_GB2312" w:cs="方正楷体_GB2312"/>
          <w:color w:val="auto"/>
          <w:sz w:val="24"/>
          <w:highlight w:val="none"/>
        </w:rPr>
        <w:fldChar w:fldCharType="end"/>
      </w:r>
      <w:r>
        <w:rPr>
          <w:rFonts w:hint="eastAsia" w:ascii="方正楷体_GB2312" w:hAnsi="方正楷体_GB2312" w:eastAsia="方正楷体_GB2312" w:cs="方正楷体_GB2312"/>
          <w:color w:val="auto"/>
          <w:sz w:val="24"/>
          <w:highlight w:val="none"/>
        </w:rPr>
        <w:t>法》的有关规定接受处罚。 </w:t>
      </w:r>
    </w:p>
    <w:p w14:paraId="4266C63A">
      <w:pPr>
        <w:widowControl/>
        <w:jc w:val="left"/>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rPr>
        <w:t xml:space="preserve">报价方（供应商）承诺书 </w:t>
      </w:r>
    </w:p>
    <w:p w14:paraId="336C07EC">
      <w:pPr>
        <w:widowControl/>
        <w:jc w:val="left"/>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rPr>
        <w:t>我公司承诺在参加本次报价前三年内，无以下行为：</w:t>
      </w:r>
    </w:p>
    <w:p w14:paraId="3DAB5521">
      <w:pPr>
        <w:widowControl/>
        <w:jc w:val="left"/>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rPr>
        <w:t>1、重大违法行为；</w:t>
      </w:r>
    </w:p>
    <w:p w14:paraId="4C0A15C3">
      <w:pPr>
        <w:widowControl/>
        <w:jc w:val="left"/>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rPr>
        <w:t>2、商业贿赂行为；</w:t>
      </w:r>
    </w:p>
    <w:p w14:paraId="5326A081">
      <w:pPr>
        <w:widowControl/>
        <w:jc w:val="left"/>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rPr>
        <w:t>3、政府采购法《第七十七条》，列入不良行为记录名单的各种行为；</w:t>
      </w:r>
    </w:p>
    <w:p w14:paraId="73B81B4B">
      <w:pPr>
        <w:widowControl/>
        <w:jc w:val="left"/>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rPr>
        <w:t xml:space="preserve">如有上述行为，我公司及项目参与人员自愿放弃本次项目的报价资格，若为成交人，也自愿放弃成交资格。 </w:t>
      </w:r>
    </w:p>
    <w:p w14:paraId="79457672">
      <w:pPr>
        <w:pStyle w:val="49"/>
        <w:ind w:left="0" w:leftChars="0" w:firstLine="0" w:firstLineChars="0"/>
        <w:rPr>
          <w:rFonts w:hint="eastAsia" w:ascii="方正楷体_GB2312" w:hAnsi="方正楷体_GB2312" w:eastAsia="方正楷体_GB2312" w:cs="方正楷体_GB2312"/>
          <w:color w:val="auto"/>
          <w:sz w:val="24"/>
          <w:highlight w:val="none"/>
        </w:rPr>
      </w:pPr>
    </w:p>
    <w:p w14:paraId="6EFE839A">
      <w:pPr>
        <w:pStyle w:val="49"/>
        <w:ind w:left="0" w:leftChars="0" w:firstLine="0" w:firstLineChars="0"/>
        <w:rPr>
          <w:rFonts w:hint="eastAsia" w:ascii="方正楷体_GB2312" w:hAnsi="方正楷体_GB2312" w:eastAsia="方正楷体_GB2312" w:cs="方正楷体_GB2312"/>
          <w:color w:val="auto"/>
          <w:sz w:val="24"/>
          <w:highlight w:val="none"/>
        </w:rPr>
      </w:pPr>
    </w:p>
    <w:p w14:paraId="2B1086F4">
      <w:pPr>
        <w:pStyle w:val="49"/>
        <w:ind w:left="0" w:leftChars="0" w:firstLine="0" w:firstLineChars="0"/>
        <w:rPr>
          <w:rFonts w:hint="eastAsia" w:ascii="方正楷体_GB2312" w:hAnsi="方正楷体_GB2312" w:eastAsia="方正楷体_GB2312" w:cs="方正楷体_GB2312"/>
          <w:color w:val="auto"/>
          <w:sz w:val="24"/>
          <w:highlight w:val="none"/>
        </w:rPr>
      </w:pPr>
    </w:p>
    <w:p w14:paraId="4929952E">
      <w:pPr>
        <w:spacing w:line="480" w:lineRule="auto"/>
        <w:jc w:val="left"/>
        <w:rPr>
          <w:rFonts w:hint="eastAsia" w:ascii="方正楷体_GB2312" w:hAnsi="方正楷体_GB2312" w:eastAsia="方正楷体_GB2312" w:cs="方正楷体_GB2312"/>
          <w:color w:val="auto"/>
          <w:sz w:val="24"/>
          <w:szCs w:val="24"/>
          <w:highlight w:val="none"/>
          <w:u w:val="single"/>
          <w:lang w:val="en-US" w:eastAsia="zh-CN"/>
        </w:rPr>
      </w:pPr>
      <w:r>
        <w:rPr>
          <w:rFonts w:hint="eastAsia" w:ascii="方正楷体_GB2312" w:hAnsi="方正楷体_GB2312" w:eastAsia="方正楷体_GB2312" w:cs="方正楷体_GB2312"/>
          <w:color w:val="auto"/>
          <w:sz w:val="24"/>
          <w:szCs w:val="24"/>
          <w:highlight w:val="none"/>
        </w:rPr>
        <w:t>供应商</w:t>
      </w:r>
      <w:r>
        <w:rPr>
          <w:rFonts w:hint="eastAsia" w:ascii="方正楷体_GB2312" w:hAnsi="方正楷体_GB2312" w:eastAsia="方正楷体_GB2312" w:cs="方正楷体_GB2312"/>
          <w:color w:val="auto"/>
          <w:sz w:val="24"/>
          <w:szCs w:val="24"/>
          <w:highlight w:val="none"/>
          <w:lang w:eastAsia="zh-CN"/>
        </w:rPr>
        <w:t>名称（盖章）</w:t>
      </w:r>
      <w:r>
        <w:rPr>
          <w:rFonts w:hint="eastAsia" w:ascii="方正楷体_GB2312" w:hAnsi="方正楷体_GB2312" w:eastAsia="方正楷体_GB2312" w:cs="方正楷体_GB2312"/>
          <w:color w:val="auto"/>
          <w:sz w:val="24"/>
          <w:szCs w:val="24"/>
          <w:highlight w:val="none"/>
        </w:rPr>
        <w:t>：</w:t>
      </w:r>
      <w:r>
        <w:rPr>
          <w:rFonts w:hint="eastAsia" w:ascii="方正楷体_GB2312" w:hAnsi="方正楷体_GB2312" w:eastAsia="方正楷体_GB2312" w:cs="方正楷体_GB2312"/>
          <w:color w:val="auto"/>
          <w:sz w:val="24"/>
          <w:szCs w:val="24"/>
          <w:highlight w:val="none"/>
          <w:u w:val="single"/>
          <w:lang w:val="en-US" w:eastAsia="zh-CN"/>
        </w:rPr>
        <w:t xml:space="preserve">                                    </w:t>
      </w:r>
    </w:p>
    <w:p w14:paraId="41C872ED">
      <w:pPr>
        <w:spacing w:line="480" w:lineRule="auto"/>
        <w:jc w:val="left"/>
        <w:rPr>
          <w:rFonts w:hint="eastAsia" w:ascii="方正楷体_GB2312" w:hAnsi="方正楷体_GB2312" w:eastAsia="方正楷体_GB2312" w:cs="方正楷体_GB2312"/>
          <w:color w:val="auto"/>
          <w:sz w:val="24"/>
          <w:szCs w:val="24"/>
          <w:highlight w:val="none"/>
          <w:u w:val="single"/>
          <w:lang w:val="en-US" w:eastAsia="zh-CN"/>
        </w:rPr>
      </w:pPr>
      <w:r>
        <w:rPr>
          <w:rFonts w:hint="eastAsia" w:ascii="方正楷体_GB2312" w:hAnsi="方正楷体_GB2312" w:eastAsia="方正楷体_GB2312" w:cs="方正楷体_GB2312"/>
          <w:color w:val="auto"/>
          <w:sz w:val="24"/>
          <w:szCs w:val="24"/>
          <w:highlight w:val="none"/>
          <w:lang w:eastAsia="zh-CN"/>
        </w:rPr>
        <w:t>法定代表人或授权委托人（签字或盖章）：</w:t>
      </w:r>
      <w:r>
        <w:rPr>
          <w:rFonts w:hint="eastAsia" w:ascii="方正楷体_GB2312" w:hAnsi="方正楷体_GB2312" w:eastAsia="方正楷体_GB2312" w:cs="方正楷体_GB2312"/>
          <w:color w:val="auto"/>
          <w:sz w:val="24"/>
          <w:szCs w:val="24"/>
          <w:highlight w:val="none"/>
          <w:u w:val="single"/>
          <w:lang w:val="en-US" w:eastAsia="zh-CN"/>
        </w:rPr>
        <w:t xml:space="preserve">                  </w:t>
      </w:r>
    </w:p>
    <w:p w14:paraId="4640D00B">
      <w:pPr>
        <w:pStyle w:val="308"/>
        <w:numPr>
          <w:ilvl w:val="0"/>
          <w:numId w:val="0"/>
        </w:numPr>
        <w:spacing w:line="480" w:lineRule="auto"/>
        <w:rPr>
          <w:rFonts w:hint="eastAsia" w:ascii="方正楷体_GB2312" w:hAnsi="方正楷体_GB2312" w:eastAsia="方正楷体_GB2312" w:cs="方正楷体_GB2312"/>
          <w:b/>
          <w:bCs w:val="0"/>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rPr>
        <w:t>日期：</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年</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月</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 xml:space="preserve">日 </w:t>
      </w:r>
    </w:p>
    <w:p w14:paraId="55730664">
      <w:pPr>
        <w:rPr>
          <w:rFonts w:hint="eastAsia" w:ascii="方正楷体_GB2312" w:hAnsi="方正楷体_GB2312" w:eastAsia="方正楷体_GB2312" w:cs="方正楷体_GB2312"/>
          <w:bCs/>
          <w:color w:val="auto"/>
          <w:sz w:val="24"/>
          <w:szCs w:val="24"/>
          <w:highlight w:val="none"/>
        </w:rPr>
      </w:pPr>
    </w:p>
    <w:p w14:paraId="03D9AB40">
      <w:pPr>
        <w:rPr>
          <w:rFonts w:hint="eastAsia" w:ascii="方正楷体_GB2312" w:hAnsi="方正楷体_GB2312" w:eastAsia="方正楷体_GB2312" w:cs="方正楷体_GB2312"/>
          <w:b/>
          <w:bCs/>
          <w:color w:val="auto"/>
          <w:sz w:val="28"/>
          <w:szCs w:val="28"/>
          <w:highlight w:val="none"/>
          <w:lang w:eastAsia="zh-CN"/>
        </w:rPr>
      </w:pPr>
      <w:r>
        <w:rPr>
          <w:rFonts w:hint="eastAsia" w:ascii="方正楷体_GB2312" w:hAnsi="方正楷体_GB2312" w:eastAsia="方正楷体_GB2312" w:cs="方正楷体_GB2312"/>
          <w:b/>
          <w:bCs/>
          <w:color w:val="auto"/>
          <w:sz w:val="28"/>
          <w:szCs w:val="28"/>
          <w:highlight w:val="none"/>
          <w:lang w:eastAsia="zh-CN"/>
        </w:rPr>
        <w:br w:type="page"/>
      </w:r>
    </w:p>
    <w:p w14:paraId="395CA358">
      <w:pPr>
        <w:ind w:firstLine="3373" w:firstLineChars="1200"/>
        <w:jc w:val="both"/>
        <w:rPr>
          <w:rFonts w:hint="eastAsia" w:ascii="方正楷体_GB2312" w:hAnsi="方正楷体_GB2312" w:eastAsia="方正楷体_GB2312" w:cs="方正楷体_GB2312"/>
          <w:b/>
          <w:bCs/>
          <w:color w:val="auto"/>
          <w:sz w:val="28"/>
          <w:szCs w:val="28"/>
          <w:highlight w:val="none"/>
          <w:lang w:eastAsia="zh-CN"/>
        </w:rPr>
      </w:pPr>
      <w:r>
        <w:rPr>
          <w:rFonts w:hint="eastAsia" w:ascii="方正楷体_GB2312" w:hAnsi="方正楷体_GB2312" w:eastAsia="方正楷体_GB2312" w:cs="方正楷体_GB2312"/>
          <w:b/>
          <w:bCs/>
          <w:color w:val="auto"/>
          <w:sz w:val="28"/>
          <w:szCs w:val="28"/>
          <w:highlight w:val="none"/>
          <w:lang w:eastAsia="zh-CN"/>
        </w:rPr>
        <w:t>供应商资格审查</w:t>
      </w:r>
    </w:p>
    <w:p w14:paraId="78F7DAA5">
      <w:pPr>
        <w:pStyle w:val="308"/>
        <w:jc w:val="center"/>
        <w:outlineLvl w:val="1"/>
        <w:rPr>
          <w:rFonts w:hint="eastAsia" w:ascii="方正楷体_GB2312" w:hAnsi="方正楷体_GB2312" w:eastAsia="方正楷体_GB2312" w:cs="方正楷体_GB2312"/>
          <w:b/>
          <w:bCs/>
          <w:color w:val="auto"/>
          <w:sz w:val="24"/>
          <w:szCs w:val="24"/>
          <w:highlight w:val="none"/>
        </w:rPr>
      </w:pPr>
      <w:bookmarkStart w:id="94" w:name="_Toc16896"/>
      <w:r>
        <w:rPr>
          <w:rFonts w:hint="eastAsia" w:ascii="方正楷体_GB2312" w:hAnsi="方正楷体_GB2312" w:eastAsia="方正楷体_GB2312" w:cs="方正楷体_GB2312"/>
          <w:b/>
          <w:bCs/>
          <w:color w:val="auto"/>
          <w:sz w:val="24"/>
          <w:szCs w:val="24"/>
          <w:highlight w:val="none"/>
        </w:rPr>
        <w:t>资格、资质证明文件</w:t>
      </w:r>
      <w:bookmarkEnd w:id="94"/>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39"/>
        <w:gridCol w:w="1040"/>
        <w:gridCol w:w="1327"/>
        <w:gridCol w:w="1347"/>
        <w:gridCol w:w="8"/>
        <w:gridCol w:w="1425"/>
        <w:gridCol w:w="172"/>
        <w:gridCol w:w="1089"/>
        <w:gridCol w:w="1169"/>
      </w:tblGrid>
      <w:tr w14:paraId="2DAA22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39" w:type="dxa"/>
            <w:noWrap w:val="0"/>
            <w:vAlign w:val="center"/>
          </w:tcPr>
          <w:p w14:paraId="1E35420F">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供应商名称</w:t>
            </w:r>
          </w:p>
        </w:tc>
        <w:tc>
          <w:tcPr>
            <w:tcW w:w="7577" w:type="dxa"/>
            <w:gridSpan w:val="8"/>
            <w:noWrap w:val="0"/>
            <w:vAlign w:val="center"/>
          </w:tcPr>
          <w:p w14:paraId="7F32834E">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p>
        </w:tc>
      </w:tr>
      <w:tr w14:paraId="4E4DD7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39" w:type="dxa"/>
            <w:noWrap w:val="0"/>
            <w:vAlign w:val="center"/>
          </w:tcPr>
          <w:p w14:paraId="5D9EAD35">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注册地址</w:t>
            </w:r>
          </w:p>
        </w:tc>
        <w:tc>
          <w:tcPr>
            <w:tcW w:w="3722" w:type="dxa"/>
            <w:gridSpan w:val="4"/>
            <w:noWrap w:val="0"/>
            <w:vAlign w:val="center"/>
          </w:tcPr>
          <w:p w14:paraId="225B1FE1">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p>
        </w:tc>
        <w:tc>
          <w:tcPr>
            <w:tcW w:w="1425" w:type="dxa"/>
            <w:noWrap w:val="0"/>
            <w:vAlign w:val="center"/>
          </w:tcPr>
          <w:p w14:paraId="47AC3EFF">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邮政编码</w:t>
            </w:r>
          </w:p>
        </w:tc>
        <w:tc>
          <w:tcPr>
            <w:tcW w:w="2430" w:type="dxa"/>
            <w:gridSpan w:val="3"/>
            <w:noWrap w:val="0"/>
            <w:vAlign w:val="center"/>
          </w:tcPr>
          <w:p w14:paraId="2CFE44EC">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p>
        </w:tc>
      </w:tr>
      <w:tr w14:paraId="41AEFD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vMerge w:val="restart"/>
            <w:noWrap w:val="0"/>
            <w:vAlign w:val="center"/>
          </w:tcPr>
          <w:p w14:paraId="3D2A84F0">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联系方式</w:t>
            </w:r>
          </w:p>
        </w:tc>
        <w:tc>
          <w:tcPr>
            <w:tcW w:w="1040" w:type="dxa"/>
            <w:noWrap w:val="0"/>
            <w:vAlign w:val="center"/>
          </w:tcPr>
          <w:p w14:paraId="7CEB9E7B">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联系人</w:t>
            </w:r>
          </w:p>
        </w:tc>
        <w:tc>
          <w:tcPr>
            <w:tcW w:w="2674" w:type="dxa"/>
            <w:gridSpan w:val="2"/>
            <w:noWrap w:val="0"/>
            <w:vAlign w:val="center"/>
          </w:tcPr>
          <w:p w14:paraId="25C23667">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p>
        </w:tc>
        <w:tc>
          <w:tcPr>
            <w:tcW w:w="1433" w:type="dxa"/>
            <w:gridSpan w:val="2"/>
            <w:noWrap w:val="0"/>
            <w:vAlign w:val="center"/>
          </w:tcPr>
          <w:p w14:paraId="1783B5A0">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电话</w:t>
            </w:r>
          </w:p>
        </w:tc>
        <w:tc>
          <w:tcPr>
            <w:tcW w:w="2430" w:type="dxa"/>
            <w:gridSpan w:val="3"/>
            <w:noWrap w:val="0"/>
            <w:vAlign w:val="center"/>
          </w:tcPr>
          <w:p w14:paraId="69D3CB87">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p>
        </w:tc>
      </w:tr>
      <w:tr w14:paraId="6F147A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639" w:type="dxa"/>
            <w:vMerge w:val="continue"/>
            <w:noWrap w:val="0"/>
            <w:vAlign w:val="center"/>
          </w:tcPr>
          <w:p w14:paraId="525A3EE4">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p>
        </w:tc>
        <w:tc>
          <w:tcPr>
            <w:tcW w:w="1040" w:type="dxa"/>
            <w:noWrap w:val="0"/>
            <w:vAlign w:val="center"/>
          </w:tcPr>
          <w:p w14:paraId="20DF2A59">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传真</w:t>
            </w:r>
          </w:p>
        </w:tc>
        <w:tc>
          <w:tcPr>
            <w:tcW w:w="2674" w:type="dxa"/>
            <w:gridSpan w:val="2"/>
            <w:noWrap w:val="0"/>
            <w:vAlign w:val="center"/>
          </w:tcPr>
          <w:p w14:paraId="3F35870A">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p>
        </w:tc>
        <w:tc>
          <w:tcPr>
            <w:tcW w:w="1433" w:type="dxa"/>
            <w:gridSpan w:val="2"/>
            <w:noWrap w:val="0"/>
            <w:vAlign w:val="center"/>
          </w:tcPr>
          <w:p w14:paraId="7BD35C48">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网址</w:t>
            </w:r>
          </w:p>
        </w:tc>
        <w:tc>
          <w:tcPr>
            <w:tcW w:w="2430" w:type="dxa"/>
            <w:gridSpan w:val="3"/>
            <w:noWrap w:val="0"/>
            <w:vAlign w:val="center"/>
          </w:tcPr>
          <w:p w14:paraId="56A3C0FD">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p>
        </w:tc>
      </w:tr>
      <w:tr w14:paraId="68B110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noWrap w:val="0"/>
            <w:vAlign w:val="center"/>
          </w:tcPr>
          <w:p w14:paraId="5FD42B49">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组织结构</w:t>
            </w:r>
          </w:p>
        </w:tc>
        <w:tc>
          <w:tcPr>
            <w:tcW w:w="7577" w:type="dxa"/>
            <w:gridSpan w:val="8"/>
            <w:noWrap w:val="0"/>
            <w:vAlign w:val="center"/>
          </w:tcPr>
          <w:p w14:paraId="61C81DF7">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p>
        </w:tc>
      </w:tr>
      <w:tr w14:paraId="225C51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639" w:type="dxa"/>
            <w:noWrap w:val="0"/>
            <w:vAlign w:val="center"/>
          </w:tcPr>
          <w:p w14:paraId="3ABEA3F0">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法定代表人</w:t>
            </w:r>
          </w:p>
        </w:tc>
        <w:tc>
          <w:tcPr>
            <w:tcW w:w="1040" w:type="dxa"/>
            <w:noWrap w:val="0"/>
            <w:vAlign w:val="center"/>
          </w:tcPr>
          <w:p w14:paraId="7239DCDA">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姓名</w:t>
            </w:r>
          </w:p>
        </w:tc>
        <w:tc>
          <w:tcPr>
            <w:tcW w:w="1327" w:type="dxa"/>
            <w:noWrap w:val="0"/>
            <w:vAlign w:val="center"/>
          </w:tcPr>
          <w:p w14:paraId="37668D18">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p>
        </w:tc>
        <w:tc>
          <w:tcPr>
            <w:tcW w:w="1347" w:type="dxa"/>
            <w:noWrap w:val="0"/>
            <w:vAlign w:val="center"/>
          </w:tcPr>
          <w:p w14:paraId="40925393">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技术职称</w:t>
            </w:r>
          </w:p>
        </w:tc>
        <w:tc>
          <w:tcPr>
            <w:tcW w:w="1433" w:type="dxa"/>
            <w:gridSpan w:val="2"/>
            <w:noWrap w:val="0"/>
            <w:vAlign w:val="center"/>
          </w:tcPr>
          <w:p w14:paraId="72DDBFA6">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p>
        </w:tc>
        <w:tc>
          <w:tcPr>
            <w:tcW w:w="1261" w:type="dxa"/>
            <w:gridSpan w:val="2"/>
            <w:noWrap w:val="0"/>
            <w:vAlign w:val="center"/>
          </w:tcPr>
          <w:p w14:paraId="63562245">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电话</w:t>
            </w:r>
          </w:p>
        </w:tc>
        <w:tc>
          <w:tcPr>
            <w:tcW w:w="1169" w:type="dxa"/>
            <w:noWrap w:val="0"/>
            <w:vAlign w:val="center"/>
          </w:tcPr>
          <w:p w14:paraId="60B2EB5B">
            <w:pPr>
              <w:autoSpaceDE w:val="0"/>
              <w:autoSpaceDN w:val="0"/>
              <w:adjustRightInd w:val="0"/>
              <w:spacing w:line="400" w:lineRule="exact"/>
              <w:jc w:val="center"/>
              <w:rPr>
                <w:rFonts w:hint="eastAsia" w:ascii="方正楷体_GB2312" w:hAnsi="方正楷体_GB2312" w:eastAsia="方正楷体_GB2312" w:cs="方正楷体_GB2312"/>
                <w:b/>
                <w:bCs/>
                <w:color w:val="auto"/>
                <w:sz w:val="21"/>
                <w:szCs w:val="21"/>
                <w:highlight w:val="none"/>
              </w:rPr>
            </w:pPr>
          </w:p>
        </w:tc>
      </w:tr>
      <w:tr w14:paraId="5E29CB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639" w:type="dxa"/>
            <w:noWrap w:val="0"/>
            <w:vAlign w:val="center"/>
          </w:tcPr>
          <w:p w14:paraId="71202550">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技术负责人</w:t>
            </w:r>
          </w:p>
        </w:tc>
        <w:tc>
          <w:tcPr>
            <w:tcW w:w="1040" w:type="dxa"/>
            <w:noWrap w:val="0"/>
            <w:vAlign w:val="center"/>
          </w:tcPr>
          <w:p w14:paraId="5C174495">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姓名</w:t>
            </w:r>
          </w:p>
        </w:tc>
        <w:tc>
          <w:tcPr>
            <w:tcW w:w="1327" w:type="dxa"/>
            <w:noWrap w:val="0"/>
            <w:vAlign w:val="center"/>
          </w:tcPr>
          <w:p w14:paraId="0BEBC37E">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p>
        </w:tc>
        <w:tc>
          <w:tcPr>
            <w:tcW w:w="1347" w:type="dxa"/>
            <w:noWrap w:val="0"/>
            <w:vAlign w:val="center"/>
          </w:tcPr>
          <w:p w14:paraId="57AF1983">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技术职称</w:t>
            </w:r>
          </w:p>
        </w:tc>
        <w:tc>
          <w:tcPr>
            <w:tcW w:w="1433" w:type="dxa"/>
            <w:gridSpan w:val="2"/>
            <w:noWrap w:val="0"/>
            <w:vAlign w:val="center"/>
          </w:tcPr>
          <w:p w14:paraId="46B79A6C">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p>
        </w:tc>
        <w:tc>
          <w:tcPr>
            <w:tcW w:w="1261" w:type="dxa"/>
            <w:gridSpan w:val="2"/>
            <w:noWrap w:val="0"/>
            <w:vAlign w:val="center"/>
          </w:tcPr>
          <w:p w14:paraId="3E0069D3">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电话</w:t>
            </w:r>
          </w:p>
        </w:tc>
        <w:tc>
          <w:tcPr>
            <w:tcW w:w="1169" w:type="dxa"/>
            <w:noWrap w:val="0"/>
            <w:vAlign w:val="center"/>
          </w:tcPr>
          <w:p w14:paraId="6CB9048C">
            <w:pPr>
              <w:autoSpaceDE w:val="0"/>
              <w:autoSpaceDN w:val="0"/>
              <w:adjustRightInd w:val="0"/>
              <w:spacing w:line="400" w:lineRule="exact"/>
              <w:jc w:val="center"/>
              <w:rPr>
                <w:rFonts w:hint="eastAsia" w:ascii="方正楷体_GB2312" w:hAnsi="方正楷体_GB2312" w:eastAsia="方正楷体_GB2312" w:cs="方正楷体_GB2312"/>
                <w:b/>
                <w:bCs/>
                <w:color w:val="auto"/>
                <w:sz w:val="21"/>
                <w:szCs w:val="21"/>
                <w:highlight w:val="none"/>
              </w:rPr>
            </w:pPr>
          </w:p>
        </w:tc>
      </w:tr>
      <w:tr w14:paraId="66A883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noWrap w:val="0"/>
            <w:vAlign w:val="center"/>
          </w:tcPr>
          <w:p w14:paraId="1F99FDDE">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成立时间</w:t>
            </w:r>
          </w:p>
        </w:tc>
        <w:tc>
          <w:tcPr>
            <w:tcW w:w="2367" w:type="dxa"/>
            <w:gridSpan w:val="2"/>
            <w:noWrap w:val="0"/>
            <w:vAlign w:val="center"/>
          </w:tcPr>
          <w:p w14:paraId="6902AA0E">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p>
        </w:tc>
        <w:tc>
          <w:tcPr>
            <w:tcW w:w="5210" w:type="dxa"/>
            <w:gridSpan w:val="6"/>
            <w:noWrap w:val="0"/>
            <w:vAlign w:val="center"/>
          </w:tcPr>
          <w:p w14:paraId="3B65CF08">
            <w:pPr>
              <w:autoSpaceDE w:val="0"/>
              <w:autoSpaceDN w:val="0"/>
              <w:adjustRightInd w:val="0"/>
              <w:spacing w:line="400" w:lineRule="exact"/>
              <w:ind w:firstLine="1470" w:firstLineChars="700"/>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员工总人数：</w:t>
            </w:r>
          </w:p>
        </w:tc>
      </w:tr>
      <w:tr w14:paraId="3F8335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39" w:type="dxa"/>
            <w:noWrap w:val="0"/>
            <w:vAlign w:val="center"/>
          </w:tcPr>
          <w:p w14:paraId="2E88CDEA">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企业资质等级</w:t>
            </w:r>
          </w:p>
        </w:tc>
        <w:tc>
          <w:tcPr>
            <w:tcW w:w="2367" w:type="dxa"/>
            <w:gridSpan w:val="2"/>
            <w:noWrap w:val="0"/>
            <w:vAlign w:val="center"/>
          </w:tcPr>
          <w:p w14:paraId="4721F39B">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p>
        </w:tc>
        <w:tc>
          <w:tcPr>
            <w:tcW w:w="1347" w:type="dxa"/>
            <w:vMerge w:val="restart"/>
            <w:noWrap w:val="0"/>
            <w:vAlign w:val="center"/>
          </w:tcPr>
          <w:p w14:paraId="2BA38677">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其中</w:t>
            </w:r>
          </w:p>
        </w:tc>
        <w:tc>
          <w:tcPr>
            <w:tcW w:w="1605" w:type="dxa"/>
            <w:gridSpan w:val="3"/>
            <w:noWrap w:val="0"/>
            <w:vAlign w:val="center"/>
          </w:tcPr>
          <w:p w14:paraId="22BB77E5">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项目经理</w:t>
            </w:r>
          </w:p>
        </w:tc>
        <w:tc>
          <w:tcPr>
            <w:tcW w:w="2258" w:type="dxa"/>
            <w:gridSpan w:val="2"/>
            <w:noWrap w:val="0"/>
            <w:vAlign w:val="center"/>
          </w:tcPr>
          <w:p w14:paraId="40A2359E">
            <w:pPr>
              <w:autoSpaceDE w:val="0"/>
              <w:autoSpaceDN w:val="0"/>
              <w:adjustRightInd w:val="0"/>
              <w:spacing w:line="400" w:lineRule="exact"/>
              <w:jc w:val="center"/>
              <w:rPr>
                <w:rFonts w:hint="eastAsia" w:ascii="方正楷体_GB2312" w:hAnsi="方正楷体_GB2312" w:eastAsia="方正楷体_GB2312" w:cs="方正楷体_GB2312"/>
                <w:b/>
                <w:bCs/>
                <w:color w:val="auto"/>
                <w:sz w:val="21"/>
                <w:szCs w:val="21"/>
                <w:highlight w:val="none"/>
              </w:rPr>
            </w:pPr>
          </w:p>
        </w:tc>
      </w:tr>
      <w:tr w14:paraId="1F5931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noWrap w:val="0"/>
            <w:vAlign w:val="center"/>
          </w:tcPr>
          <w:p w14:paraId="3AD5BE05">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营业执照号</w:t>
            </w:r>
          </w:p>
        </w:tc>
        <w:tc>
          <w:tcPr>
            <w:tcW w:w="2367" w:type="dxa"/>
            <w:gridSpan w:val="2"/>
            <w:noWrap w:val="0"/>
            <w:vAlign w:val="center"/>
          </w:tcPr>
          <w:p w14:paraId="51D2DB30">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p>
        </w:tc>
        <w:tc>
          <w:tcPr>
            <w:tcW w:w="1347" w:type="dxa"/>
            <w:vMerge w:val="continue"/>
            <w:noWrap w:val="0"/>
            <w:vAlign w:val="center"/>
          </w:tcPr>
          <w:p w14:paraId="681B4298">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p>
        </w:tc>
        <w:tc>
          <w:tcPr>
            <w:tcW w:w="1605" w:type="dxa"/>
            <w:gridSpan w:val="3"/>
            <w:noWrap w:val="0"/>
            <w:vAlign w:val="center"/>
          </w:tcPr>
          <w:p w14:paraId="4EF8B7C8">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高级职称人员</w:t>
            </w:r>
          </w:p>
        </w:tc>
        <w:tc>
          <w:tcPr>
            <w:tcW w:w="2258" w:type="dxa"/>
            <w:gridSpan w:val="2"/>
            <w:noWrap w:val="0"/>
            <w:vAlign w:val="center"/>
          </w:tcPr>
          <w:p w14:paraId="5AAEB107">
            <w:pPr>
              <w:autoSpaceDE w:val="0"/>
              <w:autoSpaceDN w:val="0"/>
              <w:adjustRightInd w:val="0"/>
              <w:spacing w:line="400" w:lineRule="exact"/>
              <w:jc w:val="center"/>
              <w:rPr>
                <w:rFonts w:hint="eastAsia" w:ascii="方正楷体_GB2312" w:hAnsi="方正楷体_GB2312" w:eastAsia="方正楷体_GB2312" w:cs="方正楷体_GB2312"/>
                <w:b/>
                <w:bCs/>
                <w:color w:val="auto"/>
                <w:sz w:val="21"/>
                <w:szCs w:val="21"/>
                <w:highlight w:val="none"/>
              </w:rPr>
            </w:pPr>
          </w:p>
        </w:tc>
      </w:tr>
      <w:tr w14:paraId="57B295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noWrap w:val="0"/>
            <w:vAlign w:val="center"/>
          </w:tcPr>
          <w:p w14:paraId="223998D3">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注册资金</w:t>
            </w:r>
          </w:p>
        </w:tc>
        <w:tc>
          <w:tcPr>
            <w:tcW w:w="2367" w:type="dxa"/>
            <w:gridSpan w:val="2"/>
            <w:noWrap w:val="0"/>
            <w:vAlign w:val="center"/>
          </w:tcPr>
          <w:p w14:paraId="46921F6E">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p>
        </w:tc>
        <w:tc>
          <w:tcPr>
            <w:tcW w:w="1347" w:type="dxa"/>
            <w:vMerge w:val="continue"/>
            <w:noWrap w:val="0"/>
            <w:vAlign w:val="center"/>
          </w:tcPr>
          <w:p w14:paraId="687D9CA2">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p>
        </w:tc>
        <w:tc>
          <w:tcPr>
            <w:tcW w:w="1605" w:type="dxa"/>
            <w:gridSpan w:val="3"/>
            <w:noWrap w:val="0"/>
            <w:vAlign w:val="center"/>
          </w:tcPr>
          <w:p w14:paraId="09AB658D">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中级职称人员</w:t>
            </w:r>
          </w:p>
        </w:tc>
        <w:tc>
          <w:tcPr>
            <w:tcW w:w="2258" w:type="dxa"/>
            <w:gridSpan w:val="2"/>
            <w:noWrap w:val="0"/>
            <w:vAlign w:val="center"/>
          </w:tcPr>
          <w:p w14:paraId="3A8EEE72">
            <w:pPr>
              <w:autoSpaceDE w:val="0"/>
              <w:autoSpaceDN w:val="0"/>
              <w:adjustRightInd w:val="0"/>
              <w:spacing w:line="400" w:lineRule="exact"/>
              <w:jc w:val="center"/>
              <w:rPr>
                <w:rFonts w:hint="eastAsia" w:ascii="方正楷体_GB2312" w:hAnsi="方正楷体_GB2312" w:eastAsia="方正楷体_GB2312" w:cs="方正楷体_GB2312"/>
                <w:b/>
                <w:bCs/>
                <w:color w:val="auto"/>
                <w:sz w:val="21"/>
                <w:szCs w:val="21"/>
                <w:highlight w:val="none"/>
              </w:rPr>
            </w:pPr>
          </w:p>
        </w:tc>
      </w:tr>
      <w:tr w14:paraId="7B9AF9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39" w:type="dxa"/>
            <w:noWrap w:val="0"/>
            <w:vAlign w:val="center"/>
          </w:tcPr>
          <w:p w14:paraId="2799ADC7">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开户银行</w:t>
            </w:r>
          </w:p>
        </w:tc>
        <w:tc>
          <w:tcPr>
            <w:tcW w:w="2367" w:type="dxa"/>
            <w:gridSpan w:val="2"/>
            <w:noWrap w:val="0"/>
            <w:vAlign w:val="center"/>
          </w:tcPr>
          <w:p w14:paraId="6D12A3E2">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p>
        </w:tc>
        <w:tc>
          <w:tcPr>
            <w:tcW w:w="1347" w:type="dxa"/>
            <w:vMerge w:val="continue"/>
            <w:noWrap w:val="0"/>
            <w:vAlign w:val="center"/>
          </w:tcPr>
          <w:p w14:paraId="7B689603">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p>
        </w:tc>
        <w:tc>
          <w:tcPr>
            <w:tcW w:w="1605" w:type="dxa"/>
            <w:gridSpan w:val="3"/>
            <w:noWrap w:val="0"/>
            <w:vAlign w:val="center"/>
          </w:tcPr>
          <w:p w14:paraId="6F265956">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初级职称人员</w:t>
            </w:r>
          </w:p>
        </w:tc>
        <w:tc>
          <w:tcPr>
            <w:tcW w:w="2258" w:type="dxa"/>
            <w:gridSpan w:val="2"/>
            <w:noWrap w:val="0"/>
            <w:vAlign w:val="center"/>
          </w:tcPr>
          <w:p w14:paraId="1DDDD830">
            <w:pPr>
              <w:autoSpaceDE w:val="0"/>
              <w:autoSpaceDN w:val="0"/>
              <w:adjustRightInd w:val="0"/>
              <w:spacing w:line="400" w:lineRule="exact"/>
              <w:jc w:val="center"/>
              <w:rPr>
                <w:rFonts w:hint="eastAsia" w:ascii="方正楷体_GB2312" w:hAnsi="方正楷体_GB2312" w:eastAsia="方正楷体_GB2312" w:cs="方正楷体_GB2312"/>
                <w:b/>
                <w:bCs/>
                <w:color w:val="auto"/>
                <w:sz w:val="21"/>
                <w:szCs w:val="21"/>
                <w:highlight w:val="none"/>
              </w:rPr>
            </w:pPr>
          </w:p>
        </w:tc>
      </w:tr>
      <w:tr w14:paraId="28EAE9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noWrap w:val="0"/>
            <w:vAlign w:val="center"/>
          </w:tcPr>
          <w:p w14:paraId="6F448AA5">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账号</w:t>
            </w:r>
          </w:p>
        </w:tc>
        <w:tc>
          <w:tcPr>
            <w:tcW w:w="2367" w:type="dxa"/>
            <w:gridSpan w:val="2"/>
            <w:noWrap w:val="0"/>
            <w:vAlign w:val="center"/>
          </w:tcPr>
          <w:p w14:paraId="5D19969C">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p>
        </w:tc>
        <w:tc>
          <w:tcPr>
            <w:tcW w:w="1347" w:type="dxa"/>
            <w:vMerge w:val="continue"/>
            <w:noWrap w:val="0"/>
            <w:vAlign w:val="center"/>
          </w:tcPr>
          <w:p w14:paraId="221A5AFB">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p>
        </w:tc>
        <w:tc>
          <w:tcPr>
            <w:tcW w:w="1605" w:type="dxa"/>
            <w:gridSpan w:val="3"/>
            <w:noWrap w:val="0"/>
            <w:vAlign w:val="center"/>
          </w:tcPr>
          <w:p w14:paraId="1760C21D">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技工</w:t>
            </w:r>
          </w:p>
        </w:tc>
        <w:tc>
          <w:tcPr>
            <w:tcW w:w="2258" w:type="dxa"/>
            <w:gridSpan w:val="2"/>
            <w:noWrap w:val="0"/>
            <w:vAlign w:val="center"/>
          </w:tcPr>
          <w:p w14:paraId="7975A1E9">
            <w:pPr>
              <w:autoSpaceDE w:val="0"/>
              <w:autoSpaceDN w:val="0"/>
              <w:adjustRightInd w:val="0"/>
              <w:spacing w:line="400" w:lineRule="exact"/>
              <w:jc w:val="center"/>
              <w:rPr>
                <w:rFonts w:hint="eastAsia" w:ascii="方正楷体_GB2312" w:hAnsi="方正楷体_GB2312" w:eastAsia="方正楷体_GB2312" w:cs="方正楷体_GB2312"/>
                <w:b/>
                <w:bCs/>
                <w:color w:val="auto"/>
                <w:sz w:val="21"/>
                <w:szCs w:val="21"/>
                <w:highlight w:val="none"/>
              </w:rPr>
            </w:pPr>
          </w:p>
        </w:tc>
      </w:tr>
      <w:tr w14:paraId="1A5C53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442" w:hRule="atLeast"/>
          <w:jc w:val="center"/>
        </w:trPr>
        <w:tc>
          <w:tcPr>
            <w:tcW w:w="1639" w:type="dxa"/>
            <w:noWrap w:val="0"/>
            <w:vAlign w:val="center"/>
          </w:tcPr>
          <w:p w14:paraId="634F3998">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经营范围</w:t>
            </w:r>
          </w:p>
        </w:tc>
        <w:tc>
          <w:tcPr>
            <w:tcW w:w="7577" w:type="dxa"/>
            <w:gridSpan w:val="8"/>
            <w:noWrap w:val="0"/>
            <w:vAlign w:val="center"/>
          </w:tcPr>
          <w:p w14:paraId="49BC2DD2">
            <w:pPr>
              <w:autoSpaceDE w:val="0"/>
              <w:autoSpaceDN w:val="0"/>
              <w:adjustRightInd w:val="0"/>
              <w:spacing w:line="400" w:lineRule="exact"/>
              <w:rPr>
                <w:rFonts w:hint="eastAsia" w:ascii="方正楷体_GB2312" w:hAnsi="方正楷体_GB2312" w:eastAsia="方正楷体_GB2312" w:cs="方正楷体_GB2312"/>
                <w:b/>
                <w:bCs/>
                <w:color w:val="auto"/>
                <w:sz w:val="21"/>
                <w:szCs w:val="21"/>
                <w:highlight w:val="none"/>
              </w:rPr>
            </w:pPr>
          </w:p>
        </w:tc>
      </w:tr>
      <w:tr w14:paraId="4F58DA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639" w:type="dxa"/>
            <w:noWrap w:val="0"/>
            <w:vAlign w:val="center"/>
          </w:tcPr>
          <w:p w14:paraId="5569C687">
            <w:pPr>
              <w:autoSpaceDE w:val="0"/>
              <w:autoSpaceDN w:val="0"/>
              <w:adjustRightInd w:val="0"/>
              <w:spacing w:line="400" w:lineRule="exact"/>
              <w:jc w:val="center"/>
              <w:rPr>
                <w:rFonts w:hint="eastAsia" w:ascii="方正楷体_GB2312" w:hAnsi="方正楷体_GB2312" w:eastAsia="方正楷体_GB2312" w:cs="方正楷体_GB2312"/>
                <w:color w:val="auto"/>
                <w:sz w:val="21"/>
                <w:szCs w:val="21"/>
                <w:highlight w:val="none"/>
              </w:rPr>
            </w:pPr>
            <w:r>
              <w:rPr>
                <w:rFonts w:hint="eastAsia" w:ascii="方正楷体_GB2312" w:hAnsi="方正楷体_GB2312" w:eastAsia="方正楷体_GB2312" w:cs="方正楷体_GB2312"/>
                <w:color w:val="auto"/>
                <w:sz w:val="21"/>
                <w:szCs w:val="21"/>
                <w:highlight w:val="none"/>
              </w:rPr>
              <w:t>备  注</w:t>
            </w:r>
          </w:p>
        </w:tc>
        <w:tc>
          <w:tcPr>
            <w:tcW w:w="7577" w:type="dxa"/>
            <w:gridSpan w:val="8"/>
            <w:noWrap w:val="0"/>
            <w:vAlign w:val="top"/>
          </w:tcPr>
          <w:p w14:paraId="00C88013">
            <w:pPr>
              <w:autoSpaceDE w:val="0"/>
              <w:autoSpaceDN w:val="0"/>
              <w:adjustRightInd w:val="0"/>
              <w:spacing w:line="400" w:lineRule="exact"/>
              <w:jc w:val="left"/>
              <w:rPr>
                <w:rFonts w:hint="eastAsia" w:ascii="方正楷体_GB2312" w:hAnsi="方正楷体_GB2312" w:eastAsia="方正楷体_GB2312" w:cs="方正楷体_GB2312"/>
                <w:color w:val="auto"/>
                <w:sz w:val="21"/>
                <w:szCs w:val="21"/>
                <w:highlight w:val="none"/>
              </w:rPr>
            </w:pPr>
          </w:p>
        </w:tc>
      </w:tr>
    </w:tbl>
    <w:p w14:paraId="43D748C0">
      <w:pPr>
        <w:rPr>
          <w:rFonts w:hint="eastAsia" w:ascii="方正楷体_GB2312" w:hAnsi="方正楷体_GB2312" w:eastAsia="方正楷体_GB2312" w:cs="方正楷体_GB2312"/>
          <w:b/>
          <w:bCs/>
          <w:color w:val="auto"/>
          <w:kern w:val="2"/>
          <w:sz w:val="24"/>
          <w:szCs w:val="24"/>
          <w:highlight w:val="none"/>
          <w:lang w:val="en-US" w:eastAsia="zh-CN" w:bidi="ar-SA"/>
        </w:rPr>
      </w:pPr>
      <w:r>
        <w:rPr>
          <w:rFonts w:hint="eastAsia" w:ascii="方正楷体_GB2312" w:hAnsi="方正楷体_GB2312" w:eastAsia="方正楷体_GB2312" w:cs="方正楷体_GB2312"/>
          <w:b/>
          <w:bCs/>
          <w:caps/>
          <w:color w:val="auto"/>
          <w:kern w:val="2"/>
          <w:sz w:val="22"/>
          <w:szCs w:val="22"/>
          <w:highlight w:val="none"/>
          <w:lang w:val="en-US" w:eastAsia="zh-CN" w:bidi="ar-SA"/>
        </w:rPr>
        <w:t>后附资格证明材料：</w:t>
      </w:r>
      <w:r>
        <w:rPr>
          <w:rFonts w:hint="eastAsia" w:ascii="方正楷体_GB2312" w:hAnsi="方正楷体_GB2312" w:eastAsia="方正楷体_GB2312" w:cs="方正楷体_GB2312"/>
          <w:b/>
          <w:color w:val="auto"/>
          <w:sz w:val="24"/>
          <w:szCs w:val="24"/>
          <w:highlight w:val="none"/>
          <w:lang w:eastAsia="zh-CN"/>
        </w:rPr>
        <w:t>按第二部分供应商须知</w:t>
      </w:r>
      <w:r>
        <w:rPr>
          <w:rFonts w:hint="eastAsia" w:ascii="方正楷体_GB2312" w:hAnsi="方正楷体_GB2312" w:eastAsia="方正楷体_GB2312" w:cs="方正楷体_GB2312"/>
          <w:b/>
          <w:color w:val="auto"/>
          <w:sz w:val="24"/>
          <w:szCs w:val="24"/>
          <w:highlight w:val="none"/>
          <w:lang w:val="en-US" w:eastAsia="zh-CN"/>
        </w:rPr>
        <w:t>F评审方法中</w:t>
      </w:r>
      <w:r>
        <w:rPr>
          <w:rFonts w:hint="eastAsia" w:ascii="方正楷体_GB2312" w:hAnsi="方正楷体_GB2312" w:eastAsia="方正楷体_GB2312" w:cs="方正楷体_GB2312"/>
          <w:b/>
          <w:color w:val="auto"/>
          <w:sz w:val="24"/>
          <w:szCs w:val="24"/>
          <w:highlight w:val="none"/>
          <w:lang w:eastAsia="zh-CN"/>
        </w:rPr>
        <w:t>资格性审查项中的要求逐项将</w:t>
      </w:r>
      <w:r>
        <w:rPr>
          <w:rFonts w:hint="eastAsia" w:ascii="方正楷体_GB2312" w:hAnsi="方正楷体_GB2312" w:eastAsia="方正楷体_GB2312" w:cs="方正楷体_GB2312"/>
          <w:b/>
          <w:color w:val="auto"/>
          <w:sz w:val="24"/>
          <w:szCs w:val="24"/>
          <w:highlight w:val="none"/>
          <w:lang w:val="en-US" w:eastAsia="zh-CN"/>
        </w:rPr>
        <w:t>项扫描件附后</w:t>
      </w:r>
    </w:p>
    <w:p w14:paraId="7DD021B2">
      <w:pPr>
        <w:spacing w:line="480" w:lineRule="auto"/>
        <w:jc w:val="left"/>
        <w:rPr>
          <w:rFonts w:hint="eastAsia" w:ascii="方正楷体_GB2312" w:hAnsi="方正楷体_GB2312" w:eastAsia="方正楷体_GB2312" w:cs="方正楷体_GB2312"/>
          <w:color w:val="auto"/>
          <w:sz w:val="24"/>
          <w:szCs w:val="24"/>
          <w:highlight w:val="none"/>
          <w:u w:val="single"/>
          <w:lang w:val="en-US" w:eastAsia="zh-CN"/>
        </w:rPr>
      </w:pPr>
      <w:r>
        <w:rPr>
          <w:rFonts w:hint="eastAsia" w:ascii="方正楷体_GB2312" w:hAnsi="方正楷体_GB2312" w:eastAsia="方正楷体_GB2312" w:cs="方正楷体_GB2312"/>
          <w:color w:val="auto"/>
          <w:sz w:val="24"/>
          <w:szCs w:val="24"/>
          <w:highlight w:val="none"/>
        </w:rPr>
        <w:t>供应商</w:t>
      </w:r>
      <w:r>
        <w:rPr>
          <w:rFonts w:hint="eastAsia" w:ascii="方正楷体_GB2312" w:hAnsi="方正楷体_GB2312" w:eastAsia="方正楷体_GB2312" w:cs="方正楷体_GB2312"/>
          <w:color w:val="auto"/>
          <w:sz w:val="24"/>
          <w:szCs w:val="24"/>
          <w:highlight w:val="none"/>
          <w:lang w:eastAsia="zh-CN"/>
        </w:rPr>
        <w:t>名称（盖章）</w:t>
      </w:r>
      <w:r>
        <w:rPr>
          <w:rFonts w:hint="eastAsia" w:ascii="方正楷体_GB2312" w:hAnsi="方正楷体_GB2312" w:eastAsia="方正楷体_GB2312" w:cs="方正楷体_GB2312"/>
          <w:color w:val="auto"/>
          <w:sz w:val="24"/>
          <w:szCs w:val="24"/>
          <w:highlight w:val="none"/>
        </w:rPr>
        <w:t>：</w:t>
      </w:r>
      <w:r>
        <w:rPr>
          <w:rFonts w:hint="eastAsia" w:ascii="方正楷体_GB2312" w:hAnsi="方正楷体_GB2312" w:eastAsia="方正楷体_GB2312" w:cs="方正楷体_GB2312"/>
          <w:color w:val="auto"/>
          <w:sz w:val="24"/>
          <w:szCs w:val="24"/>
          <w:highlight w:val="none"/>
          <w:u w:val="single"/>
          <w:lang w:val="en-US" w:eastAsia="zh-CN"/>
        </w:rPr>
        <w:t xml:space="preserve">                                    </w:t>
      </w:r>
    </w:p>
    <w:p w14:paraId="75B5DC38">
      <w:pPr>
        <w:spacing w:line="480" w:lineRule="auto"/>
        <w:jc w:val="left"/>
        <w:rPr>
          <w:rFonts w:hint="eastAsia" w:ascii="方正楷体_GB2312" w:hAnsi="方正楷体_GB2312" w:eastAsia="方正楷体_GB2312" w:cs="方正楷体_GB2312"/>
          <w:color w:val="auto"/>
          <w:sz w:val="24"/>
          <w:szCs w:val="24"/>
          <w:highlight w:val="none"/>
          <w:u w:val="single"/>
          <w:lang w:val="en-US" w:eastAsia="zh-CN"/>
        </w:rPr>
      </w:pPr>
      <w:r>
        <w:rPr>
          <w:rFonts w:hint="eastAsia" w:ascii="方正楷体_GB2312" w:hAnsi="方正楷体_GB2312" w:eastAsia="方正楷体_GB2312" w:cs="方正楷体_GB2312"/>
          <w:color w:val="auto"/>
          <w:sz w:val="24"/>
          <w:szCs w:val="24"/>
          <w:highlight w:val="none"/>
          <w:lang w:eastAsia="zh-CN"/>
        </w:rPr>
        <w:t>法定代表人或授权委托人（签字或盖章）：</w:t>
      </w:r>
      <w:r>
        <w:rPr>
          <w:rFonts w:hint="eastAsia" w:ascii="方正楷体_GB2312" w:hAnsi="方正楷体_GB2312" w:eastAsia="方正楷体_GB2312" w:cs="方正楷体_GB2312"/>
          <w:color w:val="auto"/>
          <w:sz w:val="24"/>
          <w:szCs w:val="24"/>
          <w:highlight w:val="none"/>
          <w:u w:val="single"/>
          <w:lang w:val="en-US" w:eastAsia="zh-CN"/>
        </w:rPr>
        <w:t xml:space="preserve">                  </w:t>
      </w:r>
    </w:p>
    <w:p w14:paraId="40933683">
      <w:pPr>
        <w:pStyle w:val="308"/>
        <w:numPr>
          <w:ilvl w:val="0"/>
          <w:numId w:val="0"/>
        </w:numPr>
        <w:spacing w:line="480" w:lineRule="auto"/>
        <w:rPr>
          <w:rFonts w:hint="eastAsia" w:ascii="方正楷体_GB2312" w:hAnsi="方正楷体_GB2312" w:eastAsia="方正楷体_GB2312" w:cs="方正楷体_GB2312"/>
          <w:b/>
          <w:bCs w:val="0"/>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rPr>
        <w:t>日期：</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年</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月</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 xml:space="preserve">日 </w:t>
      </w:r>
    </w:p>
    <w:p w14:paraId="23DD52E1">
      <w:pPr>
        <w:jc w:val="center"/>
        <w:rPr>
          <w:rFonts w:hint="eastAsia" w:ascii="方正楷体_GB2312" w:hAnsi="方正楷体_GB2312" w:eastAsia="方正楷体_GB2312" w:cs="方正楷体_GB2312"/>
          <w:color w:val="auto"/>
          <w:sz w:val="28"/>
          <w:szCs w:val="28"/>
          <w:highlight w:val="none"/>
          <w:lang w:eastAsia="zh-CN"/>
        </w:rPr>
      </w:pPr>
      <w:r>
        <w:rPr>
          <w:rFonts w:hint="eastAsia" w:ascii="方正楷体_GB2312" w:hAnsi="方正楷体_GB2312" w:eastAsia="方正楷体_GB2312" w:cs="方正楷体_GB2312"/>
          <w:color w:val="auto"/>
          <w:sz w:val="28"/>
          <w:szCs w:val="28"/>
          <w:highlight w:val="none"/>
          <w:lang w:eastAsia="zh-CN"/>
        </w:rPr>
        <w:t>商务技术条款偏离表</w:t>
      </w:r>
    </w:p>
    <w:p w14:paraId="59736D5E">
      <w:pPr>
        <w:pStyle w:val="103"/>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lang w:eastAsia="zh-CN"/>
        </w:rPr>
        <w:t>供应商</w:t>
      </w:r>
      <w:r>
        <w:rPr>
          <w:rFonts w:hint="eastAsia" w:ascii="方正楷体_GB2312" w:hAnsi="方正楷体_GB2312" w:eastAsia="方正楷体_GB2312" w:cs="方正楷体_GB2312"/>
          <w:color w:val="auto"/>
          <w:sz w:val="24"/>
          <w:highlight w:val="none"/>
        </w:rPr>
        <w:t xml:space="preserve">名称（公章）：                              </w:t>
      </w:r>
    </w:p>
    <w:tbl>
      <w:tblPr>
        <w:tblStyle w:val="51"/>
        <w:tblW w:w="0" w:type="auto"/>
        <w:jc w:val="center"/>
        <w:tblLayout w:type="fixed"/>
        <w:tblCellMar>
          <w:top w:w="0" w:type="dxa"/>
          <w:left w:w="108" w:type="dxa"/>
          <w:bottom w:w="0" w:type="dxa"/>
          <w:right w:w="108" w:type="dxa"/>
        </w:tblCellMar>
      </w:tblPr>
      <w:tblGrid>
        <w:gridCol w:w="717"/>
        <w:gridCol w:w="2360"/>
        <w:gridCol w:w="2278"/>
        <w:gridCol w:w="2029"/>
        <w:gridCol w:w="1190"/>
      </w:tblGrid>
      <w:tr w14:paraId="3EF5A4CC">
        <w:tblPrEx>
          <w:tblCellMar>
            <w:top w:w="0" w:type="dxa"/>
            <w:left w:w="108" w:type="dxa"/>
            <w:bottom w:w="0" w:type="dxa"/>
            <w:right w:w="108" w:type="dxa"/>
          </w:tblCellMar>
        </w:tblPrEx>
        <w:trPr>
          <w:trHeight w:val="1015" w:hRule="atLeast"/>
          <w:jc w:val="center"/>
        </w:trPr>
        <w:tc>
          <w:tcPr>
            <w:tcW w:w="717" w:type="dxa"/>
            <w:tcBorders>
              <w:top w:val="single" w:color="000000" w:sz="4" w:space="0"/>
              <w:left w:val="single" w:color="000000" w:sz="4" w:space="0"/>
              <w:bottom w:val="single" w:color="000000" w:sz="4" w:space="0"/>
              <w:right w:val="single" w:color="000000" w:sz="4" w:space="0"/>
            </w:tcBorders>
            <w:noWrap w:val="0"/>
            <w:vAlign w:val="center"/>
          </w:tcPr>
          <w:p w14:paraId="7F427AC1">
            <w:pPr>
              <w:pStyle w:val="103"/>
              <w:jc w:val="center"/>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rPr>
              <w:t>序号</w:t>
            </w:r>
          </w:p>
        </w:tc>
        <w:tc>
          <w:tcPr>
            <w:tcW w:w="2360" w:type="dxa"/>
            <w:tcBorders>
              <w:top w:val="single" w:color="000000" w:sz="4" w:space="0"/>
              <w:left w:val="single" w:color="000000" w:sz="4" w:space="0"/>
              <w:bottom w:val="single" w:color="000000" w:sz="4" w:space="0"/>
              <w:right w:val="single" w:color="000000" w:sz="4" w:space="0"/>
            </w:tcBorders>
            <w:noWrap w:val="0"/>
            <w:vAlign w:val="center"/>
          </w:tcPr>
          <w:p w14:paraId="6736D504">
            <w:pPr>
              <w:pStyle w:val="103"/>
              <w:jc w:val="center"/>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lang w:eastAsia="zh-CN"/>
              </w:rPr>
              <w:t>谈判文件</w:t>
            </w:r>
          </w:p>
          <w:p w14:paraId="2EA36713">
            <w:pPr>
              <w:pStyle w:val="103"/>
              <w:jc w:val="center"/>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rPr>
              <w:t>编号</w:t>
            </w:r>
          </w:p>
        </w:tc>
        <w:tc>
          <w:tcPr>
            <w:tcW w:w="2278" w:type="dxa"/>
            <w:tcBorders>
              <w:top w:val="single" w:color="000000" w:sz="4" w:space="0"/>
              <w:left w:val="single" w:color="000000" w:sz="4" w:space="0"/>
              <w:bottom w:val="single" w:color="000000" w:sz="4" w:space="0"/>
              <w:right w:val="single" w:color="000000" w:sz="4" w:space="0"/>
            </w:tcBorders>
            <w:noWrap w:val="0"/>
            <w:vAlign w:val="center"/>
          </w:tcPr>
          <w:p w14:paraId="39EC4808">
            <w:pPr>
              <w:pStyle w:val="103"/>
              <w:jc w:val="center"/>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lang w:eastAsia="zh-CN"/>
              </w:rPr>
              <w:t>谈判文件</w:t>
            </w:r>
            <w:r>
              <w:rPr>
                <w:rFonts w:hint="eastAsia" w:ascii="方正楷体_GB2312" w:hAnsi="方正楷体_GB2312" w:eastAsia="方正楷体_GB2312" w:cs="方正楷体_GB2312"/>
                <w:color w:val="auto"/>
                <w:sz w:val="24"/>
                <w:highlight w:val="none"/>
              </w:rPr>
              <w:t>的商务条款</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4DD81804">
            <w:pPr>
              <w:pStyle w:val="103"/>
              <w:jc w:val="center"/>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lang w:eastAsia="zh-CN"/>
              </w:rPr>
              <w:t>响应文件</w:t>
            </w:r>
            <w:r>
              <w:rPr>
                <w:rFonts w:hint="eastAsia" w:ascii="方正楷体_GB2312" w:hAnsi="方正楷体_GB2312" w:eastAsia="方正楷体_GB2312" w:cs="方正楷体_GB2312"/>
                <w:color w:val="auto"/>
                <w:sz w:val="24"/>
                <w:highlight w:val="none"/>
              </w:rPr>
              <w:t>的商务条款</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1CF8BD49">
            <w:pPr>
              <w:pStyle w:val="103"/>
              <w:jc w:val="center"/>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color w:val="auto"/>
                <w:sz w:val="24"/>
                <w:highlight w:val="none"/>
              </w:rPr>
              <w:t>说明</w:t>
            </w:r>
          </w:p>
        </w:tc>
      </w:tr>
      <w:tr w14:paraId="09DE329A">
        <w:tblPrEx>
          <w:tblCellMar>
            <w:top w:w="0" w:type="dxa"/>
            <w:left w:w="108" w:type="dxa"/>
            <w:bottom w:w="0" w:type="dxa"/>
            <w:right w:w="108" w:type="dxa"/>
          </w:tblCellMar>
        </w:tblPrEx>
        <w:trPr>
          <w:trHeight w:val="492" w:hRule="atLeast"/>
          <w:jc w:val="center"/>
        </w:trPr>
        <w:tc>
          <w:tcPr>
            <w:tcW w:w="717" w:type="dxa"/>
            <w:tcBorders>
              <w:top w:val="single" w:color="000000" w:sz="4" w:space="0"/>
              <w:left w:val="single" w:color="000000" w:sz="4" w:space="0"/>
              <w:bottom w:val="single" w:color="000000" w:sz="4" w:space="0"/>
              <w:right w:val="single" w:color="000000" w:sz="4" w:space="0"/>
            </w:tcBorders>
            <w:noWrap w:val="0"/>
            <w:vAlign w:val="top"/>
          </w:tcPr>
          <w:p w14:paraId="6D58AE0C">
            <w:pPr>
              <w:pStyle w:val="103"/>
              <w:rPr>
                <w:rFonts w:hint="eastAsia" w:ascii="方正楷体_GB2312" w:hAnsi="方正楷体_GB2312" w:eastAsia="方正楷体_GB2312" w:cs="方正楷体_GB2312"/>
                <w:color w:val="auto"/>
                <w:sz w:val="24"/>
                <w:highlight w:val="none"/>
              </w:rPr>
            </w:pPr>
          </w:p>
        </w:tc>
        <w:tc>
          <w:tcPr>
            <w:tcW w:w="2360" w:type="dxa"/>
            <w:tcBorders>
              <w:top w:val="single" w:color="000000" w:sz="4" w:space="0"/>
              <w:left w:val="single" w:color="000000" w:sz="4" w:space="0"/>
              <w:bottom w:val="single" w:color="000000" w:sz="4" w:space="0"/>
              <w:right w:val="single" w:color="000000" w:sz="4" w:space="0"/>
            </w:tcBorders>
            <w:noWrap w:val="0"/>
            <w:vAlign w:val="top"/>
          </w:tcPr>
          <w:p w14:paraId="7A5488B8">
            <w:pPr>
              <w:pStyle w:val="103"/>
              <w:rPr>
                <w:rFonts w:hint="eastAsia" w:ascii="方正楷体_GB2312" w:hAnsi="方正楷体_GB2312" w:eastAsia="方正楷体_GB2312" w:cs="方正楷体_GB2312"/>
                <w:color w:val="auto"/>
                <w:sz w:val="24"/>
                <w:highlight w:val="none"/>
              </w:rPr>
            </w:pPr>
          </w:p>
        </w:tc>
        <w:tc>
          <w:tcPr>
            <w:tcW w:w="2278" w:type="dxa"/>
            <w:tcBorders>
              <w:top w:val="single" w:color="000000" w:sz="4" w:space="0"/>
              <w:left w:val="single" w:color="000000" w:sz="4" w:space="0"/>
              <w:bottom w:val="single" w:color="000000" w:sz="4" w:space="0"/>
              <w:right w:val="single" w:color="000000" w:sz="4" w:space="0"/>
            </w:tcBorders>
            <w:noWrap w:val="0"/>
            <w:vAlign w:val="top"/>
          </w:tcPr>
          <w:p w14:paraId="036AAC63">
            <w:pPr>
              <w:pStyle w:val="103"/>
              <w:rPr>
                <w:rFonts w:hint="eastAsia" w:ascii="方正楷体_GB2312" w:hAnsi="方正楷体_GB2312" w:eastAsia="方正楷体_GB2312" w:cs="方正楷体_GB2312"/>
                <w:color w:val="auto"/>
                <w:sz w:val="24"/>
                <w:highlight w:val="none"/>
              </w:rPr>
            </w:pPr>
          </w:p>
        </w:tc>
        <w:tc>
          <w:tcPr>
            <w:tcW w:w="2029" w:type="dxa"/>
            <w:tcBorders>
              <w:top w:val="single" w:color="000000" w:sz="4" w:space="0"/>
              <w:left w:val="single" w:color="000000" w:sz="4" w:space="0"/>
              <w:bottom w:val="single" w:color="000000" w:sz="4" w:space="0"/>
              <w:right w:val="single" w:color="000000" w:sz="4" w:space="0"/>
            </w:tcBorders>
            <w:noWrap w:val="0"/>
            <w:vAlign w:val="top"/>
          </w:tcPr>
          <w:p w14:paraId="71D9F805">
            <w:pPr>
              <w:pStyle w:val="103"/>
              <w:rPr>
                <w:rFonts w:hint="eastAsia" w:ascii="方正楷体_GB2312" w:hAnsi="方正楷体_GB2312" w:eastAsia="方正楷体_GB2312" w:cs="方正楷体_GB2312"/>
                <w:color w:val="auto"/>
                <w:sz w:val="24"/>
                <w:highlight w:val="none"/>
              </w:rPr>
            </w:pPr>
          </w:p>
        </w:tc>
        <w:tc>
          <w:tcPr>
            <w:tcW w:w="1190" w:type="dxa"/>
            <w:tcBorders>
              <w:top w:val="single" w:color="000000" w:sz="4" w:space="0"/>
              <w:left w:val="single" w:color="000000" w:sz="4" w:space="0"/>
              <w:bottom w:val="single" w:color="000000" w:sz="4" w:space="0"/>
              <w:right w:val="single" w:color="000000" w:sz="4" w:space="0"/>
            </w:tcBorders>
            <w:noWrap w:val="0"/>
            <w:vAlign w:val="top"/>
          </w:tcPr>
          <w:p w14:paraId="44E65846">
            <w:pPr>
              <w:pStyle w:val="103"/>
              <w:rPr>
                <w:rFonts w:hint="eastAsia" w:ascii="方正楷体_GB2312" w:hAnsi="方正楷体_GB2312" w:eastAsia="方正楷体_GB2312" w:cs="方正楷体_GB2312"/>
                <w:color w:val="auto"/>
                <w:sz w:val="24"/>
                <w:highlight w:val="none"/>
              </w:rPr>
            </w:pPr>
          </w:p>
        </w:tc>
      </w:tr>
      <w:tr w14:paraId="1FC49118">
        <w:tblPrEx>
          <w:tblCellMar>
            <w:top w:w="0" w:type="dxa"/>
            <w:left w:w="108" w:type="dxa"/>
            <w:bottom w:w="0" w:type="dxa"/>
            <w:right w:w="108" w:type="dxa"/>
          </w:tblCellMar>
        </w:tblPrEx>
        <w:trPr>
          <w:trHeight w:val="604" w:hRule="atLeast"/>
          <w:jc w:val="center"/>
        </w:trPr>
        <w:tc>
          <w:tcPr>
            <w:tcW w:w="717" w:type="dxa"/>
            <w:tcBorders>
              <w:top w:val="single" w:color="000000" w:sz="4" w:space="0"/>
              <w:left w:val="single" w:color="000000" w:sz="4" w:space="0"/>
              <w:bottom w:val="single" w:color="000000" w:sz="4" w:space="0"/>
              <w:right w:val="single" w:color="000000" w:sz="4" w:space="0"/>
            </w:tcBorders>
            <w:noWrap w:val="0"/>
            <w:vAlign w:val="top"/>
          </w:tcPr>
          <w:p w14:paraId="2E001AAD">
            <w:pPr>
              <w:pStyle w:val="103"/>
              <w:rPr>
                <w:rFonts w:hint="eastAsia" w:ascii="方正楷体_GB2312" w:hAnsi="方正楷体_GB2312" w:eastAsia="方正楷体_GB2312" w:cs="方正楷体_GB2312"/>
                <w:color w:val="auto"/>
                <w:sz w:val="24"/>
                <w:highlight w:val="none"/>
              </w:rPr>
            </w:pPr>
          </w:p>
        </w:tc>
        <w:tc>
          <w:tcPr>
            <w:tcW w:w="2360" w:type="dxa"/>
            <w:tcBorders>
              <w:top w:val="single" w:color="000000" w:sz="4" w:space="0"/>
              <w:left w:val="single" w:color="000000" w:sz="4" w:space="0"/>
              <w:bottom w:val="single" w:color="000000" w:sz="4" w:space="0"/>
              <w:right w:val="single" w:color="000000" w:sz="4" w:space="0"/>
            </w:tcBorders>
            <w:noWrap w:val="0"/>
            <w:vAlign w:val="top"/>
          </w:tcPr>
          <w:p w14:paraId="65E033AE">
            <w:pPr>
              <w:pStyle w:val="103"/>
              <w:rPr>
                <w:rFonts w:hint="eastAsia" w:ascii="方正楷体_GB2312" w:hAnsi="方正楷体_GB2312" w:eastAsia="方正楷体_GB2312" w:cs="方正楷体_GB2312"/>
                <w:color w:val="auto"/>
                <w:sz w:val="24"/>
                <w:highlight w:val="none"/>
              </w:rPr>
            </w:pPr>
          </w:p>
        </w:tc>
        <w:tc>
          <w:tcPr>
            <w:tcW w:w="2278" w:type="dxa"/>
            <w:tcBorders>
              <w:top w:val="single" w:color="000000" w:sz="4" w:space="0"/>
              <w:left w:val="single" w:color="000000" w:sz="4" w:space="0"/>
              <w:bottom w:val="single" w:color="000000" w:sz="4" w:space="0"/>
              <w:right w:val="single" w:color="000000" w:sz="4" w:space="0"/>
            </w:tcBorders>
            <w:noWrap w:val="0"/>
            <w:vAlign w:val="top"/>
          </w:tcPr>
          <w:p w14:paraId="1E1F5AFB">
            <w:pPr>
              <w:pStyle w:val="103"/>
              <w:rPr>
                <w:rFonts w:hint="eastAsia" w:ascii="方正楷体_GB2312" w:hAnsi="方正楷体_GB2312" w:eastAsia="方正楷体_GB2312" w:cs="方正楷体_GB2312"/>
                <w:color w:val="auto"/>
                <w:sz w:val="24"/>
                <w:highlight w:val="none"/>
              </w:rPr>
            </w:pPr>
          </w:p>
        </w:tc>
        <w:tc>
          <w:tcPr>
            <w:tcW w:w="2029" w:type="dxa"/>
            <w:tcBorders>
              <w:top w:val="single" w:color="000000" w:sz="4" w:space="0"/>
              <w:left w:val="single" w:color="000000" w:sz="4" w:space="0"/>
              <w:bottom w:val="single" w:color="000000" w:sz="4" w:space="0"/>
              <w:right w:val="single" w:color="000000" w:sz="4" w:space="0"/>
            </w:tcBorders>
            <w:noWrap w:val="0"/>
            <w:vAlign w:val="top"/>
          </w:tcPr>
          <w:p w14:paraId="7E032216">
            <w:pPr>
              <w:pStyle w:val="103"/>
              <w:rPr>
                <w:rFonts w:hint="eastAsia" w:ascii="方正楷体_GB2312" w:hAnsi="方正楷体_GB2312" w:eastAsia="方正楷体_GB2312" w:cs="方正楷体_GB2312"/>
                <w:color w:val="auto"/>
                <w:sz w:val="24"/>
                <w:highlight w:val="none"/>
              </w:rPr>
            </w:pPr>
          </w:p>
        </w:tc>
        <w:tc>
          <w:tcPr>
            <w:tcW w:w="1190" w:type="dxa"/>
            <w:tcBorders>
              <w:top w:val="single" w:color="000000" w:sz="4" w:space="0"/>
              <w:left w:val="single" w:color="000000" w:sz="4" w:space="0"/>
              <w:bottom w:val="single" w:color="000000" w:sz="4" w:space="0"/>
              <w:right w:val="single" w:color="000000" w:sz="4" w:space="0"/>
            </w:tcBorders>
            <w:noWrap w:val="0"/>
            <w:vAlign w:val="top"/>
          </w:tcPr>
          <w:p w14:paraId="13D89260">
            <w:pPr>
              <w:pStyle w:val="103"/>
              <w:rPr>
                <w:rFonts w:hint="eastAsia" w:ascii="方正楷体_GB2312" w:hAnsi="方正楷体_GB2312" w:eastAsia="方正楷体_GB2312" w:cs="方正楷体_GB2312"/>
                <w:color w:val="auto"/>
                <w:sz w:val="24"/>
                <w:highlight w:val="none"/>
              </w:rPr>
            </w:pPr>
          </w:p>
        </w:tc>
      </w:tr>
      <w:tr w14:paraId="5F82862C">
        <w:tblPrEx>
          <w:tblCellMar>
            <w:top w:w="0" w:type="dxa"/>
            <w:left w:w="108" w:type="dxa"/>
            <w:bottom w:w="0" w:type="dxa"/>
            <w:right w:w="108" w:type="dxa"/>
          </w:tblCellMar>
        </w:tblPrEx>
        <w:trPr>
          <w:trHeight w:val="735" w:hRule="atLeast"/>
          <w:jc w:val="center"/>
        </w:trPr>
        <w:tc>
          <w:tcPr>
            <w:tcW w:w="717" w:type="dxa"/>
            <w:tcBorders>
              <w:top w:val="single" w:color="000000" w:sz="4" w:space="0"/>
              <w:left w:val="single" w:color="000000" w:sz="4" w:space="0"/>
              <w:bottom w:val="single" w:color="000000" w:sz="4" w:space="0"/>
              <w:right w:val="single" w:color="000000" w:sz="4" w:space="0"/>
            </w:tcBorders>
            <w:noWrap w:val="0"/>
            <w:vAlign w:val="top"/>
          </w:tcPr>
          <w:p w14:paraId="26132A8F">
            <w:pPr>
              <w:pStyle w:val="103"/>
              <w:rPr>
                <w:rFonts w:hint="eastAsia" w:ascii="方正楷体_GB2312" w:hAnsi="方正楷体_GB2312" w:eastAsia="方正楷体_GB2312" w:cs="方正楷体_GB2312"/>
                <w:color w:val="auto"/>
                <w:sz w:val="24"/>
                <w:highlight w:val="none"/>
              </w:rPr>
            </w:pPr>
          </w:p>
        </w:tc>
        <w:tc>
          <w:tcPr>
            <w:tcW w:w="2360" w:type="dxa"/>
            <w:tcBorders>
              <w:top w:val="single" w:color="000000" w:sz="4" w:space="0"/>
              <w:left w:val="single" w:color="000000" w:sz="4" w:space="0"/>
              <w:bottom w:val="single" w:color="000000" w:sz="4" w:space="0"/>
              <w:right w:val="single" w:color="000000" w:sz="4" w:space="0"/>
            </w:tcBorders>
            <w:noWrap w:val="0"/>
            <w:vAlign w:val="top"/>
          </w:tcPr>
          <w:p w14:paraId="51F3FFBC">
            <w:pPr>
              <w:pStyle w:val="103"/>
              <w:rPr>
                <w:rFonts w:hint="eastAsia" w:ascii="方正楷体_GB2312" w:hAnsi="方正楷体_GB2312" w:eastAsia="方正楷体_GB2312" w:cs="方正楷体_GB2312"/>
                <w:color w:val="auto"/>
                <w:sz w:val="24"/>
                <w:highlight w:val="none"/>
              </w:rPr>
            </w:pPr>
          </w:p>
        </w:tc>
        <w:tc>
          <w:tcPr>
            <w:tcW w:w="2278" w:type="dxa"/>
            <w:tcBorders>
              <w:top w:val="single" w:color="000000" w:sz="4" w:space="0"/>
              <w:left w:val="single" w:color="000000" w:sz="4" w:space="0"/>
              <w:bottom w:val="single" w:color="000000" w:sz="4" w:space="0"/>
              <w:right w:val="single" w:color="000000" w:sz="4" w:space="0"/>
            </w:tcBorders>
            <w:noWrap w:val="0"/>
            <w:vAlign w:val="top"/>
          </w:tcPr>
          <w:p w14:paraId="35DCE4F9">
            <w:pPr>
              <w:pStyle w:val="103"/>
              <w:rPr>
                <w:rFonts w:hint="eastAsia" w:ascii="方正楷体_GB2312" w:hAnsi="方正楷体_GB2312" w:eastAsia="方正楷体_GB2312" w:cs="方正楷体_GB2312"/>
                <w:color w:val="auto"/>
                <w:sz w:val="24"/>
                <w:highlight w:val="none"/>
              </w:rPr>
            </w:pPr>
          </w:p>
        </w:tc>
        <w:tc>
          <w:tcPr>
            <w:tcW w:w="2029" w:type="dxa"/>
            <w:tcBorders>
              <w:top w:val="single" w:color="000000" w:sz="4" w:space="0"/>
              <w:left w:val="single" w:color="000000" w:sz="4" w:space="0"/>
              <w:bottom w:val="single" w:color="000000" w:sz="4" w:space="0"/>
              <w:right w:val="single" w:color="000000" w:sz="4" w:space="0"/>
            </w:tcBorders>
            <w:noWrap w:val="0"/>
            <w:vAlign w:val="top"/>
          </w:tcPr>
          <w:p w14:paraId="164E230D">
            <w:pPr>
              <w:pStyle w:val="103"/>
              <w:rPr>
                <w:rFonts w:hint="eastAsia" w:ascii="方正楷体_GB2312" w:hAnsi="方正楷体_GB2312" w:eastAsia="方正楷体_GB2312" w:cs="方正楷体_GB2312"/>
                <w:color w:val="auto"/>
                <w:sz w:val="24"/>
                <w:highlight w:val="none"/>
              </w:rPr>
            </w:pPr>
          </w:p>
        </w:tc>
        <w:tc>
          <w:tcPr>
            <w:tcW w:w="1190" w:type="dxa"/>
            <w:tcBorders>
              <w:top w:val="single" w:color="000000" w:sz="4" w:space="0"/>
              <w:left w:val="single" w:color="000000" w:sz="4" w:space="0"/>
              <w:bottom w:val="single" w:color="000000" w:sz="4" w:space="0"/>
              <w:right w:val="single" w:color="000000" w:sz="4" w:space="0"/>
            </w:tcBorders>
            <w:noWrap w:val="0"/>
            <w:vAlign w:val="top"/>
          </w:tcPr>
          <w:p w14:paraId="14240E36">
            <w:pPr>
              <w:pStyle w:val="103"/>
              <w:rPr>
                <w:rFonts w:hint="eastAsia" w:ascii="方正楷体_GB2312" w:hAnsi="方正楷体_GB2312" w:eastAsia="方正楷体_GB2312" w:cs="方正楷体_GB2312"/>
                <w:color w:val="auto"/>
                <w:sz w:val="24"/>
                <w:highlight w:val="none"/>
              </w:rPr>
            </w:pPr>
          </w:p>
        </w:tc>
      </w:tr>
      <w:tr w14:paraId="2D6449D2">
        <w:tblPrEx>
          <w:tblCellMar>
            <w:top w:w="0" w:type="dxa"/>
            <w:left w:w="108" w:type="dxa"/>
            <w:bottom w:w="0" w:type="dxa"/>
            <w:right w:w="108" w:type="dxa"/>
          </w:tblCellMar>
        </w:tblPrEx>
        <w:trPr>
          <w:trHeight w:val="735" w:hRule="atLeast"/>
          <w:jc w:val="center"/>
        </w:trPr>
        <w:tc>
          <w:tcPr>
            <w:tcW w:w="717" w:type="dxa"/>
            <w:tcBorders>
              <w:top w:val="single" w:color="000000" w:sz="4" w:space="0"/>
              <w:left w:val="single" w:color="000000" w:sz="4" w:space="0"/>
              <w:bottom w:val="single" w:color="000000" w:sz="4" w:space="0"/>
              <w:right w:val="single" w:color="000000" w:sz="4" w:space="0"/>
            </w:tcBorders>
            <w:noWrap w:val="0"/>
            <w:vAlign w:val="top"/>
          </w:tcPr>
          <w:p w14:paraId="2CB0F68A">
            <w:pPr>
              <w:pStyle w:val="103"/>
              <w:rPr>
                <w:rFonts w:hint="eastAsia" w:ascii="方正楷体_GB2312" w:hAnsi="方正楷体_GB2312" w:eastAsia="方正楷体_GB2312" w:cs="方正楷体_GB2312"/>
                <w:color w:val="auto"/>
                <w:sz w:val="24"/>
                <w:highlight w:val="none"/>
              </w:rPr>
            </w:pPr>
          </w:p>
        </w:tc>
        <w:tc>
          <w:tcPr>
            <w:tcW w:w="2360" w:type="dxa"/>
            <w:tcBorders>
              <w:top w:val="single" w:color="000000" w:sz="4" w:space="0"/>
              <w:left w:val="single" w:color="000000" w:sz="4" w:space="0"/>
              <w:bottom w:val="single" w:color="000000" w:sz="4" w:space="0"/>
              <w:right w:val="single" w:color="000000" w:sz="4" w:space="0"/>
            </w:tcBorders>
            <w:noWrap w:val="0"/>
            <w:vAlign w:val="top"/>
          </w:tcPr>
          <w:p w14:paraId="15347239">
            <w:pPr>
              <w:pStyle w:val="103"/>
              <w:rPr>
                <w:rFonts w:hint="eastAsia" w:ascii="方正楷体_GB2312" w:hAnsi="方正楷体_GB2312" w:eastAsia="方正楷体_GB2312" w:cs="方正楷体_GB2312"/>
                <w:color w:val="auto"/>
                <w:sz w:val="24"/>
                <w:highlight w:val="none"/>
              </w:rPr>
            </w:pPr>
          </w:p>
        </w:tc>
        <w:tc>
          <w:tcPr>
            <w:tcW w:w="2278" w:type="dxa"/>
            <w:tcBorders>
              <w:top w:val="single" w:color="000000" w:sz="4" w:space="0"/>
              <w:left w:val="single" w:color="000000" w:sz="4" w:space="0"/>
              <w:bottom w:val="single" w:color="000000" w:sz="4" w:space="0"/>
              <w:right w:val="single" w:color="000000" w:sz="4" w:space="0"/>
            </w:tcBorders>
            <w:noWrap w:val="0"/>
            <w:vAlign w:val="top"/>
          </w:tcPr>
          <w:p w14:paraId="7C9B12C9">
            <w:pPr>
              <w:pStyle w:val="103"/>
              <w:rPr>
                <w:rFonts w:hint="eastAsia" w:ascii="方正楷体_GB2312" w:hAnsi="方正楷体_GB2312" w:eastAsia="方正楷体_GB2312" w:cs="方正楷体_GB2312"/>
                <w:color w:val="auto"/>
                <w:sz w:val="24"/>
                <w:highlight w:val="none"/>
              </w:rPr>
            </w:pPr>
          </w:p>
        </w:tc>
        <w:tc>
          <w:tcPr>
            <w:tcW w:w="2029" w:type="dxa"/>
            <w:tcBorders>
              <w:top w:val="single" w:color="000000" w:sz="4" w:space="0"/>
              <w:left w:val="single" w:color="000000" w:sz="4" w:space="0"/>
              <w:bottom w:val="single" w:color="000000" w:sz="4" w:space="0"/>
              <w:right w:val="single" w:color="000000" w:sz="4" w:space="0"/>
            </w:tcBorders>
            <w:noWrap w:val="0"/>
            <w:vAlign w:val="top"/>
          </w:tcPr>
          <w:p w14:paraId="73536655">
            <w:pPr>
              <w:pStyle w:val="103"/>
              <w:rPr>
                <w:rFonts w:hint="eastAsia" w:ascii="方正楷体_GB2312" w:hAnsi="方正楷体_GB2312" w:eastAsia="方正楷体_GB2312" w:cs="方正楷体_GB2312"/>
                <w:color w:val="auto"/>
                <w:sz w:val="24"/>
                <w:highlight w:val="none"/>
              </w:rPr>
            </w:pPr>
          </w:p>
        </w:tc>
        <w:tc>
          <w:tcPr>
            <w:tcW w:w="1190" w:type="dxa"/>
            <w:tcBorders>
              <w:top w:val="single" w:color="000000" w:sz="4" w:space="0"/>
              <w:left w:val="single" w:color="000000" w:sz="4" w:space="0"/>
              <w:bottom w:val="single" w:color="000000" w:sz="4" w:space="0"/>
              <w:right w:val="single" w:color="000000" w:sz="4" w:space="0"/>
            </w:tcBorders>
            <w:noWrap w:val="0"/>
            <w:vAlign w:val="top"/>
          </w:tcPr>
          <w:p w14:paraId="4103DA58">
            <w:pPr>
              <w:pStyle w:val="103"/>
              <w:rPr>
                <w:rFonts w:hint="eastAsia" w:ascii="方正楷体_GB2312" w:hAnsi="方正楷体_GB2312" w:eastAsia="方正楷体_GB2312" w:cs="方正楷体_GB2312"/>
                <w:color w:val="auto"/>
                <w:sz w:val="24"/>
                <w:highlight w:val="none"/>
              </w:rPr>
            </w:pPr>
          </w:p>
        </w:tc>
      </w:tr>
      <w:tr w14:paraId="080FDA1C">
        <w:tblPrEx>
          <w:tblCellMar>
            <w:top w:w="0" w:type="dxa"/>
            <w:left w:w="108" w:type="dxa"/>
            <w:bottom w:w="0" w:type="dxa"/>
            <w:right w:w="108" w:type="dxa"/>
          </w:tblCellMar>
        </w:tblPrEx>
        <w:trPr>
          <w:trHeight w:val="735" w:hRule="atLeast"/>
          <w:jc w:val="center"/>
        </w:trPr>
        <w:tc>
          <w:tcPr>
            <w:tcW w:w="717" w:type="dxa"/>
            <w:tcBorders>
              <w:top w:val="single" w:color="000000" w:sz="4" w:space="0"/>
              <w:left w:val="single" w:color="000000" w:sz="4" w:space="0"/>
              <w:bottom w:val="single" w:color="000000" w:sz="4" w:space="0"/>
              <w:right w:val="single" w:color="000000" w:sz="4" w:space="0"/>
            </w:tcBorders>
            <w:noWrap w:val="0"/>
            <w:vAlign w:val="top"/>
          </w:tcPr>
          <w:p w14:paraId="5DB21A59">
            <w:pPr>
              <w:pStyle w:val="103"/>
              <w:rPr>
                <w:rFonts w:hint="eastAsia" w:ascii="方正楷体_GB2312" w:hAnsi="方正楷体_GB2312" w:eastAsia="方正楷体_GB2312" w:cs="方正楷体_GB2312"/>
                <w:color w:val="auto"/>
                <w:sz w:val="24"/>
                <w:highlight w:val="none"/>
              </w:rPr>
            </w:pPr>
          </w:p>
        </w:tc>
        <w:tc>
          <w:tcPr>
            <w:tcW w:w="2360" w:type="dxa"/>
            <w:tcBorders>
              <w:top w:val="single" w:color="000000" w:sz="4" w:space="0"/>
              <w:left w:val="single" w:color="000000" w:sz="4" w:space="0"/>
              <w:bottom w:val="single" w:color="000000" w:sz="4" w:space="0"/>
              <w:right w:val="single" w:color="000000" w:sz="4" w:space="0"/>
            </w:tcBorders>
            <w:noWrap w:val="0"/>
            <w:vAlign w:val="top"/>
          </w:tcPr>
          <w:p w14:paraId="2E7DC450">
            <w:pPr>
              <w:pStyle w:val="103"/>
              <w:rPr>
                <w:rFonts w:hint="eastAsia" w:ascii="方正楷体_GB2312" w:hAnsi="方正楷体_GB2312" w:eastAsia="方正楷体_GB2312" w:cs="方正楷体_GB2312"/>
                <w:color w:val="auto"/>
                <w:sz w:val="24"/>
                <w:highlight w:val="none"/>
              </w:rPr>
            </w:pPr>
          </w:p>
        </w:tc>
        <w:tc>
          <w:tcPr>
            <w:tcW w:w="2278" w:type="dxa"/>
            <w:tcBorders>
              <w:top w:val="single" w:color="000000" w:sz="4" w:space="0"/>
              <w:left w:val="single" w:color="000000" w:sz="4" w:space="0"/>
              <w:bottom w:val="single" w:color="000000" w:sz="4" w:space="0"/>
              <w:right w:val="single" w:color="000000" w:sz="4" w:space="0"/>
            </w:tcBorders>
            <w:noWrap w:val="0"/>
            <w:vAlign w:val="top"/>
          </w:tcPr>
          <w:p w14:paraId="53954098">
            <w:pPr>
              <w:pStyle w:val="103"/>
              <w:rPr>
                <w:rFonts w:hint="eastAsia" w:ascii="方正楷体_GB2312" w:hAnsi="方正楷体_GB2312" w:eastAsia="方正楷体_GB2312" w:cs="方正楷体_GB2312"/>
                <w:color w:val="auto"/>
                <w:sz w:val="24"/>
                <w:highlight w:val="none"/>
              </w:rPr>
            </w:pPr>
          </w:p>
        </w:tc>
        <w:tc>
          <w:tcPr>
            <w:tcW w:w="2029" w:type="dxa"/>
            <w:tcBorders>
              <w:top w:val="single" w:color="000000" w:sz="4" w:space="0"/>
              <w:left w:val="single" w:color="000000" w:sz="4" w:space="0"/>
              <w:bottom w:val="single" w:color="000000" w:sz="4" w:space="0"/>
              <w:right w:val="single" w:color="000000" w:sz="4" w:space="0"/>
            </w:tcBorders>
            <w:noWrap w:val="0"/>
            <w:vAlign w:val="top"/>
          </w:tcPr>
          <w:p w14:paraId="0E42D9EF">
            <w:pPr>
              <w:pStyle w:val="103"/>
              <w:rPr>
                <w:rFonts w:hint="eastAsia" w:ascii="方正楷体_GB2312" w:hAnsi="方正楷体_GB2312" w:eastAsia="方正楷体_GB2312" w:cs="方正楷体_GB2312"/>
                <w:color w:val="auto"/>
                <w:sz w:val="24"/>
                <w:highlight w:val="none"/>
              </w:rPr>
            </w:pPr>
          </w:p>
        </w:tc>
        <w:tc>
          <w:tcPr>
            <w:tcW w:w="1190" w:type="dxa"/>
            <w:tcBorders>
              <w:top w:val="single" w:color="000000" w:sz="4" w:space="0"/>
              <w:left w:val="single" w:color="000000" w:sz="4" w:space="0"/>
              <w:bottom w:val="single" w:color="000000" w:sz="4" w:space="0"/>
              <w:right w:val="single" w:color="000000" w:sz="4" w:space="0"/>
            </w:tcBorders>
            <w:noWrap w:val="0"/>
            <w:vAlign w:val="top"/>
          </w:tcPr>
          <w:p w14:paraId="356E8223">
            <w:pPr>
              <w:pStyle w:val="103"/>
              <w:rPr>
                <w:rFonts w:hint="eastAsia" w:ascii="方正楷体_GB2312" w:hAnsi="方正楷体_GB2312" w:eastAsia="方正楷体_GB2312" w:cs="方正楷体_GB2312"/>
                <w:color w:val="auto"/>
                <w:sz w:val="24"/>
                <w:highlight w:val="none"/>
              </w:rPr>
            </w:pPr>
          </w:p>
        </w:tc>
      </w:tr>
      <w:tr w14:paraId="0DD100EA">
        <w:tblPrEx>
          <w:tblCellMar>
            <w:top w:w="0" w:type="dxa"/>
            <w:left w:w="108" w:type="dxa"/>
            <w:bottom w:w="0" w:type="dxa"/>
            <w:right w:w="108" w:type="dxa"/>
          </w:tblCellMar>
        </w:tblPrEx>
        <w:trPr>
          <w:trHeight w:val="735" w:hRule="atLeast"/>
          <w:jc w:val="center"/>
        </w:trPr>
        <w:tc>
          <w:tcPr>
            <w:tcW w:w="717" w:type="dxa"/>
            <w:tcBorders>
              <w:top w:val="single" w:color="000000" w:sz="4" w:space="0"/>
              <w:left w:val="single" w:color="000000" w:sz="4" w:space="0"/>
              <w:bottom w:val="single" w:color="000000" w:sz="4" w:space="0"/>
              <w:right w:val="single" w:color="000000" w:sz="4" w:space="0"/>
            </w:tcBorders>
            <w:noWrap w:val="0"/>
            <w:vAlign w:val="top"/>
          </w:tcPr>
          <w:p w14:paraId="149DAA8C">
            <w:pPr>
              <w:pStyle w:val="103"/>
              <w:rPr>
                <w:rFonts w:hint="eastAsia" w:ascii="方正楷体_GB2312" w:hAnsi="方正楷体_GB2312" w:eastAsia="方正楷体_GB2312" w:cs="方正楷体_GB2312"/>
                <w:color w:val="auto"/>
                <w:sz w:val="24"/>
                <w:highlight w:val="none"/>
              </w:rPr>
            </w:pPr>
          </w:p>
        </w:tc>
        <w:tc>
          <w:tcPr>
            <w:tcW w:w="2360" w:type="dxa"/>
            <w:tcBorders>
              <w:top w:val="single" w:color="000000" w:sz="4" w:space="0"/>
              <w:left w:val="single" w:color="000000" w:sz="4" w:space="0"/>
              <w:bottom w:val="single" w:color="000000" w:sz="4" w:space="0"/>
              <w:right w:val="single" w:color="000000" w:sz="4" w:space="0"/>
            </w:tcBorders>
            <w:noWrap w:val="0"/>
            <w:vAlign w:val="top"/>
          </w:tcPr>
          <w:p w14:paraId="35C22883">
            <w:pPr>
              <w:pStyle w:val="103"/>
              <w:rPr>
                <w:rFonts w:hint="eastAsia" w:ascii="方正楷体_GB2312" w:hAnsi="方正楷体_GB2312" w:eastAsia="方正楷体_GB2312" w:cs="方正楷体_GB2312"/>
                <w:color w:val="auto"/>
                <w:sz w:val="24"/>
                <w:highlight w:val="none"/>
              </w:rPr>
            </w:pPr>
          </w:p>
        </w:tc>
        <w:tc>
          <w:tcPr>
            <w:tcW w:w="2278" w:type="dxa"/>
            <w:tcBorders>
              <w:top w:val="single" w:color="000000" w:sz="4" w:space="0"/>
              <w:left w:val="single" w:color="000000" w:sz="4" w:space="0"/>
              <w:bottom w:val="single" w:color="000000" w:sz="4" w:space="0"/>
              <w:right w:val="single" w:color="000000" w:sz="4" w:space="0"/>
            </w:tcBorders>
            <w:noWrap w:val="0"/>
            <w:vAlign w:val="top"/>
          </w:tcPr>
          <w:p w14:paraId="786072E6">
            <w:pPr>
              <w:pStyle w:val="103"/>
              <w:rPr>
                <w:rFonts w:hint="eastAsia" w:ascii="方正楷体_GB2312" w:hAnsi="方正楷体_GB2312" w:eastAsia="方正楷体_GB2312" w:cs="方正楷体_GB2312"/>
                <w:color w:val="auto"/>
                <w:sz w:val="24"/>
                <w:highlight w:val="none"/>
              </w:rPr>
            </w:pPr>
          </w:p>
        </w:tc>
        <w:tc>
          <w:tcPr>
            <w:tcW w:w="2029" w:type="dxa"/>
            <w:tcBorders>
              <w:top w:val="single" w:color="000000" w:sz="4" w:space="0"/>
              <w:left w:val="single" w:color="000000" w:sz="4" w:space="0"/>
              <w:bottom w:val="single" w:color="000000" w:sz="4" w:space="0"/>
              <w:right w:val="single" w:color="000000" w:sz="4" w:space="0"/>
            </w:tcBorders>
            <w:noWrap w:val="0"/>
            <w:vAlign w:val="top"/>
          </w:tcPr>
          <w:p w14:paraId="4F8E566C">
            <w:pPr>
              <w:pStyle w:val="103"/>
              <w:rPr>
                <w:rFonts w:hint="eastAsia" w:ascii="方正楷体_GB2312" w:hAnsi="方正楷体_GB2312" w:eastAsia="方正楷体_GB2312" w:cs="方正楷体_GB2312"/>
                <w:color w:val="auto"/>
                <w:sz w:val="24"/>
                <w:highlight w:val="none"/>
              </w:rPr>
            </w:pPr>
          </w:p>
        </w:tc>
        <w:tc>
          <w:tcPr>
            <w:tcW w:w="1190" w:type="dxa"/>
            <w:tcBorders>
              <w:top w:val="single" w:color="000000" w:sz="4" w:space="0"/>
              <w:left w:val="single" w:color="000000" w:sz="4" w:space="0"/>
              <w:bottom w:val="single" w:color="000000" w:sz="4" w:space="0"/>
              <w:right w:val="single" w:color="000000" w:sz="4" w:space="0"/>
            </w:tcBorders>
            <w:noWrap w:val="0"/>
            <w:vAlign w:val="top"/>
          </w:tcPr>
          <w:p w14:paraId="07A3E499">
            <w:pPr>
              <w:pStyle w:val="103"/>
              <w:rPr>
                <w:rFonts w:hint="eastAsia" w:ascii="方正楷体_GB2312" w:hAnsi="方正楷体_GB2312" w:eastAsia="方正楷体_GB2312" w:cs="方正楷体_GB2312"/>
                <w:color w:val="auto"/>
                <w:sz w:val="24"/>
                <w:highlight w:val="none"/>
              </w:rPr>
            </w:pPr>
          </w:p>
        </w:tc>
      </w:tr>
      <w:tr w14:paraId="081712F8">
        <w:tblPrEx>
          <w:tblCellMar>
            <w:top w:w="0" w:type="dxa"/>
            <w:left w:w="108" w:type="dxa"/>
            <w:bottom w:w="0" w:type="dxa"/>
            <w:right w:w="108" w:type="dxa"/>
          </w:tblCellMar>
        </w:tblPrEx>
        <w:trPr>
          <w:trHeight w:val="735" w:hRule="atLeast"/>
          <w:jc w:val="center"/>
        </w:trPr>
        <w:tc>
          <w:tcPr>
            <w:tcW w:w="717" w:type="dxa"/>
            <w:tcBorders>
              <w:top w:val="single" w:color="000000" w:sz="4" w:space="0"/>
              <w:left w:val="single" w:color="000000" w:sz="4" w:space="0"/>
              <w:bottom w:val="single" w:color="000000" w:sz="4" w:space="0"/>
              <w:right w:val="single" w:color="000000" w:sz="4" w:space="0"/>
            </w:tcBorders>
            <w:noWrap w:val="0"/>
            <w:vAlign w:val="top"/>
          </w:tcPr>
          <w:p w14:paraId="68C878F1">
            <w:pPr>
              <w:pStyle w:val="103"/>
              <w:rPr>
                <w:rFonts w:hint="eastAsia" w:ascii="方正楷体_GB2312" w:hAnsi="方正楷体_GB2312" w:eastAsia="方正楷体_GB2312" w:cs="方正楷体_GB2312"/>
                <w:color w:val="auto"/>
                <w:sz w:val="24"/>
                <w:highlight w:val="none"/>
              </w:rPr>
            </w:pPr>
          </w:p>
        </w:tc>
        <w:tc>
          <w:tcPr>
            <w:tcW w:w="2360" w:type="dxa"/>
            <w:tcBorders>
              <w:top w:val="single" w:color="000000" w:sz="4" w:space="0"/>
              <w:left w:val="single" w:color="000000" w:sz="4" w:space="0"/>
              <w:bottom w:val="single" w:color="000000" w:sz="4" w:space="0"/>
              <w:right w:val="single" w:color="000000" w:sz="4" w:space="0"/>
            </w:tcBorders>
            <w:noWrap w:val="0"/>
            <w:vAlign w:val="top"/>
          </w:tcPr>
          <w:p w14:paraId="5C30610F">
            <w:pPr>
              <w:pStyle w:val="103"/>
              <w:rPr>
                <w:rFonts w:hint="eastAsia" w:ascii="方正楷体_GB2312" w:hAnsi="方正楷体_GB2312" w:eastAsia="方正楷体_GB2312" w:cs="方正楷体_GB2312"/>
                <w:color w:val="auto"/>
                <w:sz w:val="24"/>
                <w:highlight w:val="none"/>
              </w:rPr>
            </w:pPr>
          </w:p>
        </w:tc>
        <w:tc>
          <w:tcPr>
            <w:tcW w:w="2278" w:type="dxa"/>
            <w:tcBorders>
              <w:top w:val="single" w:color="000000" w:sz="4" w:space="0"/>
              <w:left w:val="single" w:color="000000" w:sz="4" w:space="0"/>
              <w:bottom w:val="single" w:color="000000" w:sz="4" w:space="0"/>
              <w:right w:val="single" w:color="000000" w:sz="4" w:space="0"/>
            </w:tcBorders>
            <w:noWrap w:val="0"/>
            <w:vAlign w:val="top"/>
          </w:tcPr>
          <w:p w14:paraId="670DDE82">
            <w:pPr>
              <w:pStyle w:val="103"/>
              <w:rPr>
                <w:rFonts w:hint="eastAsia" w:ascii="方正楷体_GB2312" w:hAnsi="方正楷体_GB2312" w:eastAsia="方正楷体_GB2312" w:cs="方正楷体_GB2312"/>
                <w:color w:val="auto"/>
                <w:sz w:val="24"/>
                <w:highlight w:val="none"/>
              </w:rPr>
            </w:pPr>
          </w:p>
        </w:tc>
        <w:tc>
          <w:tcPr>
            <w:tcW w:w="2029" w:type="dxa"/>
            <w:tcBorders>
              <w:top w:val="single" w:color="000000" w:sz="4" w:space="0"/>
              <w:left w:val="single" w:color="000000" w:sz="4" w:space="0"/>
              <w:bottom w:val="single" w:color="000000" w:sz="4" w:space="0"/>
              <w:right w:val="single" w:color="000000" w:sz="4" w:space="0"/>
            </w:tcBorders>
            <w:noWrap w:val="0"/>
            <w:vAlign w:val="top"/>
          </w:tcPr>
          <w:p w14:paraId="0059778F">
            <w:pPr>
              <w:pStyle w:val="103"/>
              <w:rPr>
                <w:rFonts w:hint="eastAsia" w:ascii="方正楷体_GB2312" w:hAnsi="方正楷体_GB2312" w:eastAsia="方正楷体_GB2312" w:cs="方正楷体_GB2312"/>
                <w:color w:val="auto"/>
                <w:sz w:val="24"/>
                <w:highlight w:val="none"/>
              </w:rPr>
            </w:pPr>
          </w:p>
        </w:tc>
        <w:tc>
          <w:tcPr>
            <w:tcW w:w="1190" w:type="dxa"/>
            <w:tcBorders>
              <w:top w:val="single" w:color="000000" w:sz="4" w:space="0"/>
              <w:left w:val="single" w:color="000000" w:sz="4" w:space="0"/>
              <w:bottom w:val="single" w:color="000000" w:sz="4" w:space="0"/>
              <w:right w:val="single" w:color="000000" w:sz="4" w:space="0"/>
            </w:tcBorders>
            <w:noWrap w:val="0"/>
            <w:vAlign w:val="top"/>
          </w:tcPr>
          <w:p w14:paraId="50182020">
            <w:pPr>
              <w:pStyle w:val="103"/>
              <w:rPr>
                <w:rFonts w:hint="eastAsia" w:ascii="方正楷体_GB2312" w:hAnsi="方正楷体_GB2312" w:eastAsia="方正楷体_GB2312" w:cs="方正楷体_GB2312"/>
                <w:color w:val="auto"/>
                <w:sz w:val="24"/>
                <w:highlight w:val="none"/>
              </w:rPr>
            </w:pPr>
          </w:p>
        </w:tc>
      </w:tr>
    </w:tbl>
    <w:p w14:paraId="44C56C78">
      <w:pPr>
        <w:pStyle w:val="103"/>
        <w:rPr>
          <w:rFonts w:hint="eastAsia" w:ascii="方正楷体_GB2312" w:hAnsi="方正楷体_GB2312" w:eastAsia="方正楷体_GB2312" w:cs="方正楷体_GB2312"/>
          <w:color w:val="auto"/>
          <w:sz w:val="24"/>
          <w:highlight w:val="none"/>
        </w:rPr>
      </w:pPr>
    </w:p>
    <w:p w14:paraId="4F412942">
      <w:pPr>
        <w:spacing w:line="480" w:lineRule="auto"/>
        <w:jc w:val="left"/>
        <w:rPr>
          <w:rFonts w:hint="eastAsia" w:ascii="方正楷体_GB2312" w:hAnsi="方正楷体_GB2312" w:eastAsia="方正楷体_GB2312" w:cs="方正楷体_GB2312"/>
          <w:color w:val="auto"/>
          <w:sz w:val="24"/>
          <w:szCs w:val="24"/>
          <w:highlight w:val="none"/>
          <w:u w:val="single"/>
          <w:lang w:val="en-US" w:eastAsia="zh-CN"/>
        </w:rPr>
      </w:pPr>
      <w:r>
        <w:rPr>
          <w:rFonts w:hint="eastAsia" w:ascii="方正楷体_GB2312" w:hAnsi="方正楷体_GB2312" w:eastAsia="方正楷体_GB2312" w:cs="方正楷体_GB2312"/>
          <w:color w:val="auto"/>
          <w:sz w:val="24"/>
          <w:szCs w:val="24"/>
          <w:highlight w:val="none"/>
        </w:rPr>
        <w:t>供应商</w:t>
      </w:r>
      <w:r>
        <w:rPr>
          <w:rFonts w:hint="eastAsia" w:ascii="方正楷体_GB2312" w:hAnsi="方正楷体_GB2312" w:eastAsia="方正楷体_GB2312" w:cs="方正楷体_GB2312"/>
          <w:color w:val="auto"/>
          <w:sz w:val="24"/>
          <w:szCs w:val="24"/>
          <w:highlight w:val="none"/>
          <w:lang w:eastAsia="zh-CN"/>
        </w:rPr>
        <w:t>名称（盖章）</w:t>
      </w:r>
      <w:r>
        <w:rPr>
          <w:rFonts w:hint="eastAsia" w:ascii="方正楷体_GB2312" w:hAnsi="方正楷体_GB2312" w:eastAsia="方正楷体_GB2312" w:cs="方正楷体_GB2312"/>
          <w:color w:val="auto"/>
          <w:sz w:val="24"/>
          <w:szCs w:val="24"/>
          <w:highlight w:val="none"/>
        </w:rPr>
        <w:t>：</w:t>
      </w:r>
      <w:r>
        <w:rPr>
          <w:rFonts w:hint="eastAsia" w:ascii="方正楷体_GB2312" w:hAnsi="方正楷体_GB2312" w:eastAsia="方正楷体_GB2312" w:cs="方正楷体_GB2312"/>
          <w:color w:val="auto"/>
          <w:sz w:val="24"/>
          <w:szCs w:val="24"/>
          <w:highlight w:val="none"/>
          <w:u w:val="single"/>
          <w:lang w:val="en-US" w:eastAsia="zh-CN"/>
        </w:rPr>
        <w:t xml:space="preserve">                                    </w:t>
      </w:r>
    </w:p>
    <w:p w14:paraId="6BC71229">
      <w:pPr>
        <w:pStyle w:val="308"/>
        <w:numPr>
          <w:ilvl w:val="0"/>
          <w:numId w:val="0"/>
        </w:numPr>
        <w:spacing w:line="480" w:lineRule="auto"/>
        <w:rPr>
          <w:rFonts w:hint="eastAsia" w:ascii="方正楷体_GB2312" w:hAnsi="方正楷体_GB2312" w:eastAsia="方正楷体_GB2312" w:cs="方正楷体_GB2312"/>
          <w:b/>
          <w:bCs w:val="0"/>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rPr>
        <w:t>日期：</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年</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月</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 xml:space="preserve">日 </w:t>
      </w:r>
    </w:p>
    <w:p w14:paraId="2C0CC357">
      <w:pPr>
        <w:pStyle w:val="103"/>
        <w:rPr>
          <w:rFonts w:hint="eastAsia" w:ascii="方正楷体_GB2312" w:hAnsi="方正楷体_GB2312" w:eastAsia="方正楷体_GB2312" w:cs="方正楷体_GB2312"/>
          <w:color w:val="auto"/>
          <w:sz w:val="24"/>
          <w:highlight w:val="none"/>
        </w:rPr>
      </w:pPr>
    </w:p>
    <w:p w14:paraId="427F6211">
      <w:pPr>
        <w:pStyle w:val="103"/>
        <w:rPr>
          <w:rFonts w:hint="eastAsia" w:ascii="方正楷体_GB2312" w:hAnsi="方正楷体_GB2312" w:eastAsia="方正楷体_GB2312" w:cs="方正楷体_GB2312"/>
          <w:color w:val="auto"/>
          <w:sz w:val="24"/>
          <w:highlight w:val="none"/>
        </w:rPr>
      </w:pPr>
    </w:p>
    <w:p w14:paraId="6B898223">
      <w:pPr>
        <w:pStyle w:val="103"/>
        <w:rPr>
          <w:rFonts w:hint="eastAsia" w:ascii="方正楷体_GB2312" w:hAnsi="方正楷体_GB2312" w:eastAsia="方正楷体_GB2312" w:cs="方正楷体_GB2312"/>
          <w:color w:val="auto"/>
          <w:sz w:val="24"/>
          <w:highlight w:val="none"/>
        </w:rPr>
      </w:pPr>
    </w:p>
    <w:p w14:paraId="1C7945EB">
      <w:pPr>
        <w:pStyle w:val="103"/>
        <w:rPr>
          <w:rFonts w:hint="eastAsia" w:ascii="方正楷体_GB2312" w:hAnsi="方正楷体_GB2312" w:eastAsia="方正楷体_GB2312" w:cs="方正楷体_GB2312"/>
          <w:color w:val="auto"/>
          <w:sz w:val="24"/>
          <w:highlight w:val="none"/>
        </w:rPr>
      </w:pPr>
      <w:r>
        <w:rPr>
          <w:rFonts w:hint="eastAsia" w:ascii="方正楷体_GB2312" w:hAnsi="方正楷体_GB2312" w:eastAsia="方正楷体_GB2312" w:cs="方正楷体_GB2312"/>
          <w:b/>
          <w:bCs/>
          <w:color w:val="auto"/>
          <w:kern w:val="2"/>
          <w:sz w:val="24"/>
          <w:szCs w:val="24"/>
          <w:highlight w:val="none"/>
          <w:lang w:val="en-US" w:eastAsia="zh-CN" w:bidi="ar-SA"/>
        </w:rPr>
        <w:t>注：本表需写清谈判文件章节及条款号和响应文件章节及条款号，如本表空白则视为商务技术条款响应谈判文件要求无偏差。</w:t>
      </w:r>
    </w:p>
    <w:p w14:paraId="2853DF76">
      <w:pPr>
        <w:pStyle w:val="33"/>
        <w:rPr>
          <w:rFonts w:hint="eastAsia" w:ascii="方正楷体_GB2312" w:hAnsi="方正楷体_GB2312" w:eastAsia="方正楷体_GB2312" w:cs="方正楷体_GB2312"/>
          <w:color w:val="auto"/>
          <w:sz w:val="24"/>
          <w:szCs w:val="24"/>
          <w:highlight w:val="none"/>
          <w:lang w:eastAsia="zh-CN"/>
        </w:rPr>
      </w:pPr>
    </w:p>
    <w:p w14:paraId="20CA4CF4">
      <w:pPr>
        <w:rPr>
          <w:rFonts w:hint="eastAsia" w:ascii="方正楷体_GB2312" w:hAnsi="方正楷体_GB2312" w:eastAsia="方正楷体_GB2312" w:cs="方正楷体_GB2312"/>
          <w:color w:val="auto"/>
          <w:sz w:val="24"/>
          <w:szCs w:val="24"/>
          <w:highlight w:val="none"/>
          <w:lang w:eastAsia="zh-CN"/>
        </w:rPr>
      </w:pPr>
    </w:p>
    <w:p w14:paraId="52CC4407">
      <w:pPr>
        <w:pStyle w:val="37"/>
        <w:spacing w:line="480" w:lineRule="exact"/>
        <w:jc w:val="center"/>
        <w:rPr>
          <w:rFonts w:hint="eastAsia" w:ascii="方正楷体_GB2312" w:hAnsi="方正楷体_GB2312" w:eastAsia="方正楷体_GB2312" w:cs="方正楷体_GB2312"/>
          <w:b w:val="0"/>
          <w:bCs/>
          <w:color w:val="auto"/>
          <w:sz w:val="24"/>
          <w:szCs w:val="24"/>
          <w:highlight w:val="none"/>
          <w:lang w:val="en-US" w:eastAsia="zh-CN"/>
        </w:rPr>
      </w:pPr>
      <w:r>
        <w:rPr>
          <w:rFonts w:hint="eastAsia" w:ascii="方正楷体_GB2312" w:hAnsi="方正楷体_GB2312" w:eastAsia="方正楷体_GB2312" w:cs="方正楷体_GB2312"/>
          <w:b w:val="0"/>
          <w:bCs/>
          <w:color w:val="auto"/>
          <w:sz w:val="24"/>
          <w:szCs w:val="24"/>
          <w:highlight w:val="none"/>
          <w:lang w:val="en-US" w:eastAsia="zh-CN"/>
        </w:rPr>
        <w:t>关于《政府采购法》第二十二条规定的承诺书</w:t>
      </w:r>
    </w:p>
    <w:p w14:paraId="5938153A">
      <w:pPr>
        <w:pStyle w:val="37"/>
        <w:spacing w:line="480" w:lineRule="exact"/>
        <w:rPr>
          <w:rFonts w:hint="eastAsia" w:ascii="方正楷体_GB2312" w:hAnsi="方正楷体_GB2312" w:eastAsia="方正楷体_GB2312" w:cs="方正楷体_GB2312"/>
          <w:b w:val="0"/>
          <w:bCs/>
          <w:color w:val="auto"/>
          <w:sz w:val="24"/>
          <w:szCs w:val="24"/>
          <w:highlight w:val="none"/>
          <w:lang w:val="en-US" w:eastAsia="zh-CN"/>
        </w:rPr>
      </w:pPr>
    </w:p>
    <w:p w14:paraId="528A4812">
      <w:pPr>
        <w:pStyle w:val="37"/>
        <w:spacing w:line="480" w:lineRule="exact"/>
        <w:rPr>
          <w:rFonts w:hint="eastAsia" w:ascii="方正楷体_GB2312" w:hAnsi="方正楷体_GB2312" w:eastAsia="方正楷体_GB2312" w:cs="方正楷体_GB2312"/>
          <w:b w:val="0"/>
          <w:bCs/>
          <w:color w:val="auto"/>
          <w:sz w:val="24"/>
          <w:szCs w:val="24"/>
          <w:highlight w:val="none"/>
          <w:lang w:val="en-US" w:eastAsia="zh-CN"/>
        </w:rPr>
      </w:pPr>
      <w:r>
        <w:rPr>
          <w:rFonts w:hint="eastAsia" w:ascii="方正楷体_GB2312" w:hAnsi="方正楷体_GB2312" w:eastAsia="方正楷体_GB2312" w:cs="方正楷体_GB2312"/>
          <w:b w:val="0"/>
          <w:bCs/>
          <w:color w:val="auto"/>
          <w:sz w:val="24"/>
          <w:szCs w:val="24"/>
          <w:highlight w:val="none"/>
          <w:lang w:val="en-US" w:eastAsia="zh-CN"/>
        </w:rPr>
        <w:t>我单位参加</w:t>
      </w:r>
      <w:r>
        <w:rPr>
          <w:rFonts w:hint="eastAsia" w:ascii="方正楷体_GB2312" w:hAnsi="方正楷体_GB2312" w:eastAsia="方正楷体_GB2312" w:cs="方正楷体_GB2312"/>
          <w:b w:val="0"/>
          <w:bCs/>
          <w:color w:val="auto"/>
          <w:sz w:val="24"/>
          <w:szCs w:val="24"/>
          <w:highlight w:val="none"/>
          <w:u w:val="single"/>
          <w:lang w:val="en-US" w:eastAsia="zh-CN"/>
        </w:rPr>
        <w:t xml:space="preserve">                    </w:t>
      </w:r>
      <w:r>
        <w:rPr>
          <w:rFonts w:hint="eastAsia" w:ascii="方正楷体_GB2312" w:hAnsi="方正楷体_GB2312" w:eastAsia="方正楷体_GB2312" w:cs="方正楷体_GB2312"/>
          <w:b w:val="0"/>
          <w:bCs/>
          <w:color w:val="auto"/>
          <w:sz w:val="24"/>
          <w:szCs w:val="24"/>
          <w:highlight w:val="none"/>
          <w:lang w:val="en-US" w:eastAsia="zh-CN"/>
        </w:rPr>
        <w:t>采购活动，郑重承诺具备以下条件;</w:t>
      </w:r>
    </w:p>
    <w:p w14:paraId="208A494F">
      <w:pPr>
        <w:pStyle w:val="37"/>
        <w:spacing w:line="480" w:lineRule="exact"/>
        <w:rPr>
          <w:rFonts w:hint="eastAsia" w:ascii="方正楷体_GB2312" w:hAnsi="方正楷体_GB2312" w:eastAsia="方正楷体_GB2312" w:cs="方正楷体_GB2312"/>
          <w:b w:val="0"/>
          <w:bCs/>
          <w:color w:val="auto"/>
          <w:sz w:val="24"/>
          <w:szCs w:val="24"/>
          <w:highlight w:val="none"/>
          <w:lang w:val="en-US" w:eastAsia="zh-CN"/>
        </w:rPr>
      </w:pPr>
      <w:r>
        <w:rPr>
          <w:rFonts w:hint="eastAsia" w:ascii="方正楷体_GB2312" w:hAnsi="方正楷体_GB2312" w:eastAsia="方正楷体_GB2312" w:cs="方正楷体_GB2312"/>
          <w:b w:val="0"/>
          <w:bCs/>
          <w:color w:val="auto"/>
          <w:sz w:val="24"/>
          <w:szCs w:val="24"/>
          <w:highlight w:val="none"/>
          <w:lang w:val="en-US" w:eastAsia="zh-CN"/>
        </w:rPr>
        <w:t>1、具有独立承担民事责任的能力;</w:t>
      </w:r>
    </w:p>
    <w:p w14:paraId="2511C313">
      <w:pPr>
        <w:pStyle w:val="37"/>
        <w:spacing w:line="480" w:lineRule="exact"/>
        <w:rPr>
          <w:rFonts w:hint="eastAsia" w:ascii="方正楷体_GB2312" w:hAnsi="方正楷体_GB2312" w:eastAsia="方正楷体_GB2312" w:cs="方正楷体_GB2312"/>
          <w:b w:val="0"/>
          <w:bCs/>
          <w:color w:val="auto"/>
          <w:sz w:val="24"/>
          <w:szCs w:val="24"/>
          <w:highlight w:val="none"/>
          <w:lang w:val="en-US" w:eastAsia="zh-CN"/>
        </w:rPr>
      </w:pPr>
      <w:r>
        <w:rPr>
          <w:rFonts w:hint="eastAsia" w:ascii="方正楷体_GB2312" w:hAnsi="方正楷体_GB2312" w:eastAsia="方正楷体_GB2312" w:cs="方正楷体_GB2312"/>
          <w:b w:val="0"/>
          <w:bCs/>
          <w:color w:val="auto"/>
          <w:sz w:val="24"/>
          <w:szCs w:val="24"/>
          <w:highlight w:val="none"/>
          <w:lang w:val="en-US" w:eastAsia="zh-CN"/>
        </w:rPr>
        <w:t>2、具有良好的商业信誉和健全的财务会计制度;</w:t>
      </w:r>
    </w:p>
    <w:p w14:paraId="682E2C14">
      <w:pPr>
        <w:pStyle w:val="37"/>
        <w:spacing w:line="480" w:lineRule="exact"/>
        <w:rPr>
          <w:rFonts w:hint="eastAsia" w:ascii="方正楷体_GB2312" w:hAnsi="方正楷体_GB2312" w:eastAsia="方正楷体_GB2312" w:cs="方正楷体_GB2312"/>
          <w:b w:val="0"/>
          <w:bCs/>
          <w:color w:val="auto"/>
          <w:sz w:val="24"/>
          <w:szCs w:val="24"/>
          <w:highlight w:val="none"/>
          <w:lang w:val="en-US" w:eastAsia="zh-CN"/>
        </w:rPr>
      </w:pPr>
      <w:r>
        <w:rPr>
          <w:rFonts w:hint="eastAsia" w:ascii="方正楷体_GB2312" w:hAnsi="方正楷体_GB2312" w:eastAsia="方正楷体_GB2312" w:cs="方正楷体_GB2312"/>
          <w:b w:val="0"/>
          <w:bCs/>
          <w:color w:val="auto"/>
          <w:sz w:val="24"/>
          <w:szCs w:val="24"/>
          <w:highlight w:val="none"/>
          <w:lang w:val="en-US" w:eastAsia="zh-CN"/>
        </w:rPr>
        <w:t>3、具有履行合同所必需的设备和专业技术能力;</w:t>
      </w:r>
    </w:p>
    <w:p w14:paraId="5F38A115">
      <w:pPr>
        <w:pStyle w:val="37"/>
        <w:spacing w:line="480" w:lineRule="exact"/>
        <w:rPr>
          <w:rFonts w:hint="eastAsia" w:ascii="方正楷体_GB2312" w:hAnsi="方正楷体_GB2312" w:eastAsia="方正楷体_GB2312" w:cs="方正楷体_GB2312"/>
          <w:b w:val="0"/>
          <w:bCs/>
          <w:color w:val="auto"/>
          <w:sz w:val="24"/>
          <w:szCs w:val="24"/>
          <w:highlight w:val="none"/>
          <w:lang w:val="en-US" w:eastAsia="zh-CN"/>
        </w:rPr>
      </w:pPr>
      <w:r>
        <w:rPr>
          <w:rFonts w:hint="eastAsia" w:ascii="方正楷体_GB2312" w:hAnsi="方正楷体_GB2312" w:eastAsia="方正楷体_GB2312" w:cs="方正楷体_GB2312"/>
          <w:b w:val="0"/>
          <w:bCs/>
          <w:color w:val="auto"/>
          <w:sz w:val="24"/>
          <w:szCs w:val="24"/>
          <w:highlight w:val="none"/>
          <w:lang w:val="en-US" w:eastAsia="zh-CN"/>
        </w:rPr>
        <w:t>4、有依法缴纳税收和社会保障资金的良好记录;</w:t>
      </w:r>
    </w:p>
    <w:p w14:paraId="48A63875">
      <w:pPr>
        <w:pStyle w:val="37"/>
        <w:spacing w:line="480" w:lineRule="exact"/>
        <w:rPr>
          <w:rFonts w:hint="eastAsia" w:ascii="方正楷体_GB2312" w:hAnsi="方正楷体_GB2312" w:eastAsia="方正楷体_GB2312" w:cs="方正楷体_GB2312"/>
          <w:b w:val="0"/>
          <w:bCs/>
          <w:color w:val="auto"/>
          <w:sz w:val="24"/>
          <w:szCs w:val="24"/>
          <w:highlight w:val="none"/>
          <w:lang w:val="en-US" w:eastAsia="zh-CN"/>
        </w:rPr>
      </w:pPr>
      <w:r>
        <w:rPr>
          <w:rFonts w:hint="eastAsia" w:ascii="方正楷体_GB2312" w:hAnsi="方正楷体_GB2312" w:eastAsia="方正楷体_GB2312" w:cs="方正楷体_GB2312"/>
          <w:b w:val="0"/>
          <w:bCs/>
          <w:color w:val="auto"/>
          <w:sz w:val="24"/>
          <w:szCs w:val="24"/>
          <w:highlight w:val="none"/>
          <w:lang w:val="en-US" w:eastAsia="zh-CN"/>
        </w:rPr>
        <w:t>5、参加政府采购活动前三年内，在经营活动中没有重大违法记录;</w:t>
      </w:r>
    </w:p>
    <w:p w14:paraId="2160F0D5">
      <w:pPr>
        <w:pStyle w:val="37"/>
        <w:spacing w:line="480" w:lineRule="exact"/>
        <w:rPr>
          <w:rFonts w:hint="eastAsia" w:ascii="方正楷体_GB2312" w:hAnsi="方正楷体_GB2312" w:eastAsia="方正楷体_GB2312" w:cs="方正楷体_GB2312"/>
          <w:b w:val="0"/>
          <w:bCs/>
          <w:color w:val="auto"/>
          <w:sz w:val="24"/>
          <w:szCs w:val="24"/>
          <w:highlight w:val="none"/>
          <w:lang w:val="en-US" w:eastAsia="zh-CN"/>
        </w:rPr>
      </w:pPr>
      <w:r>
        <w:rPr>
          <w:rFonts w:hint="eastAsia" w:ascii="方正楷体_GB2312" w:hAnsi="方正楷体_GB2312" w:eastAsia="方正楷体_GB2312" w:cs="方正楷体_GB2312"/>
          <w:b w:val="0"/>
          <w:bCs/>
          <w:color w:val="auto"/>
          <w:sz w:val="24"/>
          <w:szCs w:val="24"/>
          <w:highlight w:val="none"/>
          <w:lang w:val="en-US" w:eastAsia="zh-CN"/>
        </w:rPr>
        <w:t>6、法律、行政法规规定的其他条件。</w:t>
      </w:r>
    </w:p>
    <w:p w14:paraId="60245809">
      <w:pPr>
        <w:pStyle w:val="37"/>
        <w:spacing w:line="480" w:lineRule="exact"/>
        <w:rPr>
          <w:rFonts w:hint="eastAsia" w:ascii="方正楷体_GB2312" w:hAnsi="方正楷体_GB2312" w:eastAsia="方正楷体_GB2312" w:cs="方正楷体_GB2312"/>
          <w:b w:val="0"/>
          <w:bCs/>
          <w:color w:val="auto"/>
          <w:sz w:val="24"/>
          <w:szCs w:val="24"/>
          <w:highlight w:val="none"/>
          <w:lang w:val="en-US" w:eastAsia="zh-CN"/>
        </w:rPr>
      </w:pPr>
    </w:p>
    <w:p w14:paraId="7B7D0DF3">
      <w:pPr>
        <w:pStyle w:val="37"/>
        <w:spacing w:line="480" w:lineRule="exact"/>
        <w:rPr>
          <w:rFonts w:hint="eastAsia" w:ascii="方正楷体_GB2312" w:hAnsi="方正楷体_GB2312" w:eastAsia="方正楷体_GB2312" w:cs="方正楷体_GB2312"/>
          <w:b w:val="0"/>
          <w:bCs/>
          <w:color w:val="auto"/>
          <w:sz w:val="24"/>
          <w:szCs w:val="24"/>
          <w:highlight w:val="none"/>
          <w:lang w:val="en-US" w:eastAsia="zh-CN"/>
        </w:rPr>
      </w:pPr>
    </w:p>
    <w:p w14:paraId="1AFDF417">
      <w:pPr>
        <w:pStyle w:val="37"/>
        <w:spacing w:line="480" w:lineRule="exact"/>
        <w:rPr>
          <w:rFonts w:hint="eastAsia" w:ascii="方正楷体_GB2312" w:hAnsi="方正楷体_GB2312" w:eastAsia="方正楷体_GB2312" w:cs="方正楷体_GB2312"/>
          <w:b/>
          <w:color w:val="auto"/>
          <w:sz w:val="28"/>
          <w:szCs w:val="28"/>
          <w:highlight w:val="none"/>
        </w:rPr>
      </w:pPr>
    </w:p>
    <w:p w14:paraId="09B1C25E">
      <w:pPr>
        <w:spacing w:line="276" w:lineRule="auto"/>
        <w:ind w:firstLine="480" w:firstLineChars="200"/>
        <w:rPr>
          <w:rFonts w:hint="eastAsia" w:ascii="方正楷体_GB2312" w:hAnsi="方正楷体_GB2312" w:eastAsia="方正楷体_GB2312" w:cs="方正楷体_GB2312"/>
          <w:color w:val="auto"/>
          <w:sz w:val="24"/>
          <w:highlight w:val="none"/>
        </w:rPr>
      </w:pPr>
    </w:p>
    <w:p w14:paraId="6C6C8526">
      <w:pPr>
        <w:spacing w:line="480" w:lineRule="auto"/>
        <w:jc w:val="left"/>
        <w:rPr>
          <w:rFonts w:hint="eastAsia" w:ascii="方正楷体_GB2312" w:hAnsi="方正楷体_GB2312" w:eastAsia="方正楷体_GB2312" w:cs="方正楷体_GB2312"/>
          <w:color w:val="auto"/>
          <w:sz w:val="24"/>
          <w:szCs w:val="24"/>
          <w:highlight w:val="none"/>
          <w:u w:val="single"/>
          <w:lang w:val="en-US" w:eastAsia="zh-CN"/>
        </w:rPr>
      </w:pPr>
      <w:r>
        <w:rPr>
          <w:rFonts w:hint="eastAsia" w:ascii="方正楷体_GB2312" w:hAnsi="方正楷体_GB2312" w:eastAsia="方正楷体_GB2312" w:cs="方正楷体_GB2312"/>
          <w:color w:val="auto"/>
          <w:sz w:val="24"/>
          <w:szCs w:val="24"/>
          <w:highlight w:val="none"/>
        </w:rPr>
        <w:t>供应商</w:t>
      </w:r>
      <w:r>
        <w:rPr>
          <w:rFonts w:hint="eastAsia" w:ascii="方正楷体_GB2312" w:hAnsi="方正楷体_GB2312" w:eastAsia="方正楷体_GB2312" w:cs="方正楷体_GB2312"/>
          <w:color w:val="auto"/>
          <w:sz w:val="24"/>
          <w:szCs w:val="24"/>
          <w:highlight w:val="none"/>
          <w:lang w:eastAsia="zh-CN"/>
        </w:rPr>
        <w:t>名称（盖章）</w:t>
      </w:r>
      <w:r>
        <w:rPr>
          <w:rFonts w:hint="eastAsia" w:ascii="方正楷体_GB2312" w:hAnsi="方正楷体_GB2312" w:eastAsia="方正楷体_GB2312" w:cs="方正楷体_GB2312"/>
          <w:color w:val="auto"/>
          <w:sz w:val="24"/>
          <w:szCs w:val="24"/>
          <w:highlight w:val="none"/>
        </w:rPr>
        <w:t>：</w:t>
      </w:r>
      <w:r>
        <w:rPr>
          <w:rFonts w:hint="eastAsia" w:ascii="方正楷体_GB2312" w:hAnsi="方正楷体_GB2312" w:eastAsia="方正楷体_GB2312" w:cs="方正楷体_GB2312"/>
          <w:color w:val="auto"/>
          <w:sz w:val="24"/>
          <w:szCs w:val="24"/>
          <w:highlight w:val="none"/>
          <w:u w:val="single"/>
          <w:lang w:val="en-US" w:eastAsia="zh-CN"/>
        </w:rPr>
        <w:t xml:space="preserve">                                    </w:t>
      </w:r>
    </w:p>
    <w:p w14:paraId="3235FB98">
      <w:pPr>
        <w:spacing w:line="480" w:lineRule="auto"/>
        <w:jc w:val="left"/>
        <w:rPr>
          <w:rFonts w:hint="eastAsia" w:ascii="方正楷体_GB2312" w:hAnsi="方正楷体_GB2312" w:eastAsia="方正楷体_GB2312" w:cs="方正楷体_GB2312"/>
          <w:color w:val="auto"/>
          <w:sz w:val="24"/>
          <w:szCs w:val="24"/>
          <w:highlight w:val="none"/>
          <w:u w:val="single"/>
          <w:lang w:val="en-US" w:eastAsia="zh-CN"/>
        </w:rPr>
      </w:pPr>
      <w:r>
        <w:rPr>
          <w:rFonts w:hint="eastAsia" w:ascii="方正楷体_GB2312" w:hAnsi="方正楷体_GB2312" w:eastAsia="方正楷体_GB2312" w:cs="方正楷体_GB2312"/>
          <w:color w:val="auto"/>
          <w:sz w:val="24"/>
          <w:szCs w:val="24"/>
          <w:highlight w:val="none"/>
          <w:lang w:eastAsia="zh-CN"/>
        </w:rPr>
        <w:t>法定代表人或授权委托人（签字或盖章）：</w:t>
      </w:r>
      <w:r>
        <w:rPr>
          <w:rFonts w:hint="eastAsia" w:ascii="方正楷体_GB2312" w:hAnsi="方正楷体_GB2312" w:eastAsia="方正楷体_GB2312" w:cs="方正楷体_GB2312"/>
          <w:color w:val="auto"/>
          <w:sz w:val="24"/>
          <w:szCs w:val="24"/>
          <w:highlight w:val="none"/>
          <w:u w:val="single"/>
          <w:lang w:val="en-US" w:eastAsia="zh-CN"/>
        </w:rPr>
        <w:t xml:space="preserve">                  </w:t>
      </w:r>
    </w:p>
    <w:p w14:paraId="44C1CE50">
      <w:pPr>
        <w:pStyle w:val="308"/>
        <w:numPr>
          <w:ilvl w:val="0"/>
          <w:numId w:val="0"/>
        </w:numPr>
        <w:spacing w:line="480" w:lineRule="auto"/>
        <w:rPr>
          <w:rFonts w:hint="eastAsia" w:ascii="方正楷体_GB2312" w:hAnsi="方正楷体_GB2312" w:eastAsia="方正楷体_GB2312" w:cs="方正楷体_GB2312"/>
          <w:b/>
          <w:bCs w:val="0"/>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rPr>
        <w:t>日期：</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年</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月</w:t>
      </w:r>
      <w:r>
        <w:rPr>
          <w:rFonts w:hint="eastAsia" w:ascii="方正楷体_GB2312" w:hAnsi="方正楷体_GB2312" w:eastAsia="方正楷体_GB2312" w:cs="方正楷体_GB2312"/>
          <w:color w:val="auto"/>
          <w:sz w:val="24"/>
          <w:szCs w:val="24"/>
          <w:highlight w:val="none"/>
          <w:u w:val="single"/>
        </w:rPr>
        <w:t xml:space="preserve">    </w:t>
      </w:r>
      <w:r>
        <w:rPr>
          <w:rFonts w:hint="eastAsia" w:ascii="方正楷体_GB2312" w:hAnsi="方正楷体_GB2312" w:eastAsia="方正楷体_GB2312" w:cs="方正楷体_GB2312"/>
          <w:color w:val="auto"/>
          <w:sz w:val="24"/>
          <w:szCs w:val="24"/>
          <w:highlight w:val="none"/>
        </w:rPr>
        <w:t xml:space="preserve">日 </w:t>
      </w:r>
    </w:p>
    <w:p w14:paraId="78CB8B4F">
      <w:pPr>
        <w:spacing w:line="360" w:lineRule="auto"/>
        <w:jc w:val="right"/>
        <w:rPr>
          <w:rFonts w:hint="eastAsia" w:ascii="方正楷体_GB2312" w:hAnsi="方正楷体_GB2312" w:eastAsia="方正楷体_GB2312" w:cs="方正楷体_GB2312"/>
          <w:color w:val="auto"/>
          <w:sz w:val="28"/>
          <w:highlight w:val="none"/>
        </w:rPr>
      </w:pPr>
    </w:p>
    <w:p w14:paraId="48656A6A">
      <w:pPr>
        <w:bidi w:val="0"/>
        <w:rPr>
          <w:rFonts w:hint="eastAsia" w:ascii="方正楷体_GB2312" w:hAnsi="方正楷体_GB2312" w:eastAsia="方正楷体_GB2312" w:cs="方正楷体_GB2312"/>
          <w:color w:val="auto"/>
          <w:highlight w:val="none"/>
          <w:lang w:eastAsia="zh-CN"/>
        </w:rPr>
      </w:pPr>
    </w:p>
    <w:p w14:paraId="10152F5F">
      <w:pPr>
        <w:rPr>
          <w:rFonts w:hint="eastAsia" w:ascii="方正楷体_GB2312" w:hAnsi="方正楷体_GB2312" w:eastAsia="方正楷体_GB2312" w:cs="方正楷体_GB2312"/>
          <w:color w:val="auto"/>
          <w:sz w:val="24"/>
          <w:szCs w:val="24"/>
          <w:highlight w:val="none"/>
          <w:lang w:eastAsia="zh-CN"/>
        </w:rPr>
      </w:pPr>
    </w:p>
    <w:p w14:paraId="22DE994A">
      <w:pPr>
        <w:pStyle w:val="33"/>
        <w:rPr>
          <w:rFonts w:hint="eastAsia" w:ascii="方正楷体_GB2312" w:hAnsi="方正楷体_GB2312" w:eastAsia="方正楷体_GB2312" w:cs="方正楷体_GB2312"/>
          <w:color w:val="auto"/>
          <w:sz w:val="24"/>
          <w:szCs w:val="24"/>
          <w:highlight w:val="none"/>
          <w:lang w:eastAsia="zh-CN"/>
        </w:rPr>
      </w:pPr>
    </w:p>
    <w:p w14:paraId="064F4561">
      <w:pPr>
        <w:rPr>
          <w:rFonts w:hint="eastAsia" w:ascii="方正楷体_GB2312" w:hAnsi="方正楷体_GB2312" w:eastAsia="方正楷体_GB2312" w:cs="方正楷体_GB2312"/>
          <w:color w:val="auto"/>
          <w:sz w:val="24"/>
          <w:szCs w:val="24"/>
          <w:highlight w:val="none"/>
          <w:lang w:eastAsia="zh-CN"/>
        </w:rPr>
      </w:pPr>
    </w:p>
    <w:p w14:paraId="147C0294">
      <w:pPr>
        <w:bidi w:val="0"/>
        <w:rPr>
          <w:rFonts w:hint="eastAsia" w:ascii="方正楷体_GB2312" w:hAnsi="方正楷体_GB2312" w:eastAsia="方正楷体_GB2312" w:cs="方正楷体_GB2312"/>
          <w:color w:val="auto"/>
          <w:highlight w:val="none"/>
          <w:lang w:eastAsia="zh-CN"/>
        </w:rPr>
      </w:pPr>
    </w:p>
    <w:p w14:paraId="0C10DE10">
      <w:pPr>
        <w:rPr>
          <w:rFonts w:hint="eastAsia" w:ascii="方正楷体_GB2312" w:hAnsi="方正楷体_GB2312" w:eastAsia="方正楷体_GB2312" w:cs="方正楷体_GB2312"/>
          <w:color w:val="auto"/>
          <w:sz w:val="24"/>
          <w:szCs w:val="24"/>
          <w:highlight w:val="none"/>
          <w:lang w:eastAsia="zh-CN"/>
        </w:rPr>
      </w:pPr>
    </w:p>
    <w:p w14:paraId="67418F7D">
      <w:pPr>
        <w:bidi w:val="0"/>
        <w:rPr>
          <w:rFonts w:hint="eastAsia" w:ascii="方正楷体_GB2312" w:hAnsi="方正楷体_GB2312" w:eastAsia="方正楷体_GB2312" w:cs="方正楷体_GB2312"/>
          <w:color w:val="auto"/>
          <w:highlight w:val="none"/>
          <w:lang w:eastAsia="zh-CN"/>
        </w:rPr>
      </w:pPr>
    </w:p>
    <w:p w14:paraId="4BA3BB42">
      <w:pPr>
        <w:rPr>
          <w:rFonts w:hint="eastAsia" w:ascii="方正楷体_GB2312" w:hAnsi="方正楷体_GB2312" w:eastAsia="方正楷体_GB2312" w:cs="方正楷体_GB2312"/>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lang w:eastAsia="zh-CN"/>
        </w:rPr>
        <w:br w:type="page"/>
      </w:r>
    </w:p>
    <w:p w14:paraId="1D9E5B5E">
      <w:pPr>
        <w:ind w:firstLine="2249" w:firstLineChars="800"/>
        <w:rPr>
          <w:rFonts w:hint="eastAsia" w:ascii="方正楷体_GB2312" w:hAnsi="方正楷体_GB2312" w:eastAsia="方正楷体_GB2312" w:cs="方正楷体_GB2312"/>
          <w:b/>
          <w:bCs/>
          <w:color w:val="auto"/>
          <w:sz w:val="28"/>
          <w:szCs w:val="28"/>
          <w:highlight w:val="none"/>
          <w:lang w:eastAsia="zh-CN"/>
        </w:rPr>
      </w:pPr>
      <w:r>
        <w:rPr>
          <w:rFonts w:hint="eastAsia" w:ascii="方正楷体_GB2312" w:hAnsi="方正楷体_GB2312" w:eastAsia="方正楷体_GB2312" w:cs="方正楷体_GB2312"/>
          <w:b/>
          <w:bCs/>
          <w:color w:val="auto"/>
          <w:sz w:val="28"/>
          <w:szCs w:val="28"/>
          <w:highlight w:val="none"/>
          <w:lang w:eastAsia="zh-CN"/>
        </w:rPr>
        <w:t>中小企业声明函（工程、服务）</w:t>
      </w:r>
    </w:p>
    <w:p w14:paraId="750868C9">
      <w:pPr>
        <w:ind w:firstLine="720" w:firstLineChars="300"/>
        <w:rPr>
          <w:rFonts w:hint="eastAsia" w:ascii="方正楷体_GB2312" w:hAnsi="方正楷体_GB2312" w:eastAsia="方正楷体_GB2312" w:cs="方正楷体_GB2312"/>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lang w:eastAsia="zh-CN"/>
        </w:rPr>
        <w:t>本公司（联合体）郑重声明，根据《政府采购促进中小企业发展管理办法》（财库〔2020〕46号）的规定，本公司（联合体）参加</w:t>
      </w:r>
      <w:r>
        <w:rPr>
          <w:rFonts w:hint="eastAsia" w:ascii="方正楷体_GB2312" w:hAnsi="方正楷体_GB2312" w:eastAsia="方正楷体_GB2312" w:cs="方正楷体_GB2312"/>
          <w:color w:val="auto"/>
          <w:sz w:val="24"/>
          <w:szCs w:val="24"/>
          <w:highlight w:val="none"/>
          <w:lang w:val="en-US" w:eastAsia="zh-CN"/>
        </w:rPr>
        <w:t xml:space="preserve">          </w:t>
      </w:r>
      <w:r>
        <w:rPr>
          <w:rFonts w:hint="eastAsia" w:ascii="方正楷体_GB2312" w:hAnsi="方正楷体_GB2312" w:eastAsia="方正楷体_GB2312" w:cs="方正楷体_GB2312"/>
          <w:color w:val="auto"/>
          <w:sz w:val="24"/>
          <w:szCs w:val="24"/>
          <w:highlight w:val="none"/>
          <w:lang w:eastAsia="zh-CN"/>
        </w:rPr>
        <w:t>（单位名称）的</w:t>
      </w:r>
      <w:r>
        <w:rPr>
          <w:rFonts w:hint="eastAsia" w:ascii="方正楷体_GB2312" w:hAnsi="方正楷体_GB2312" w:eastAsia="方正楷体_GB2312" w:cs="方正楷体_GB2312"/>
          <w:color w:val="auto"/>
          <w:sz w:val="24"/>
          <w:szCs w:val="24"/>
          <w:highlight w:val="none"/>
          <w:lang w:val="en-US" w:eastAsia="zh-CN"/>
        </w:rPr>
        <w:t xml:space="preserve"> </w:t>
      </w:r>
      <w:r>
        <w:rPr>
          <w:rFonts w:hint="eastAsia" w:ascii="方正楷体_GB2312" w:hAnsi="方正楷体_GB2312" w:eastAsia="方正楷体_GB2312" w:cs="方正楷体_GB2312"/>
          <w:color w:val="auto"/>
          <w:sz w:val="24"/>
          <w:szCs w:val="24"/>
          <w:highlight w:val="none"/>
          <w:lang w:eastAsia="zh-CN"/>
        </w:rPr>
        <w:t>（</w:t>
      </w:r>
      <w:r>
        <w:rPr>
          <w:rFonts w:hint="eastAsia" w:ascii="方正楷体_GB2312" w:hAnsi="方正楷体_GB2312" w:eastAsia="方正楷体_GB2312" w:cs="方正楷体_GB2312"/>
          <w:color w:val="auto"/>
          <w:sz w:val="24"/>
          <w:szCs w:val="24"/>
          <w:highlight w:val="none"/>
          <w:lang w:val="en-US" w:eastAsia="zh-CN"/>
        </w:rPr>
        <w:t>项目名称、标项名称</w:t>
      </w:r>
      <w:r>
        <w:rPr>
          <w:rFonts w:hint="eastAsia" w:ascii="方正楷体_GB2312" w:hAnsi="方正楷体_GB2312" w:eastAsia="方正楷体_GB2312" w:cs="方正楷体_GB2312"/>
          <w:color w:val="auto"/>
          <w:sz w:val="24"/>
          <w:szCs w:val="24"/>
          <w:highlight w:val="none"/>
          <w:lang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48F42AD0">
      <w:pPr>
        <w:rPr>
          <w:rFonts w:hint="eastAsia" w:ascii="方正楷体_GB2312" w:hAnsi="方正楷体_GB2312" w:eastAsia="方正楷体_GB2312" w:cs="方正楷体_GB2312"/>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lang w:val="en-US" w:eastAsia="zh-CN"/>
        </w:rPr>
        <w:t xml:space="preserve">1.     </w:t>
      </w:r>
      <w:r>
        <w:rPr>
          <w:rFonts w:hint="eastAsia" w:ascii="方正楷体_GB2312" w:hAnsi="方正楷体_GB2312" w:eastAsia="方正楷体_GB2312" w:cs="方正楷体_GB2312"/>
          <w:color w:val="auto"/>
          <w:sz w:val="24"/>
          <w:szCs w:val="24"/>
          <w:highlight w:val="none"/>
          <w:lang w:eastAsia="zh-CN"/>
        </w:rPr>
        <w:t>（标的名称），属于</w:t>
      </w:r>
      <w:r>
        <w:rPr>
          <w:rFonts w:hint="eastAsia" w:ascii="方正楷体_GB2312" w:hAnsi="方正楷体_GB2312" w:eastAsia="方正楷体_GB2312" w:cs="方正楷体_GB2312"/>
          <w:color w:val="auto"/>
          <w:sz w:val="24"/>
          <w:szCs w:val="24"/>
          <w:highlight w:val="none"/>
          <w:lang w:val="en-US" w:eastAsia="zh-CN"/>
        </w:rPr>
        <w:t xml:space="preserve">   其他未列明行业  </w:t>
      </w:r>
      <w:r>
        <w:rPr>
          <w:rFonts w:hint="eastAsia" w:ascii="方正楷体_GB2312" w:hAnsi="方正楷体_GB2312" w:eastAsia="方正楷体_GB2312" w:cs="方正楷体_GB2312"/>
          <w:color w:val="auto"/>
          <w:sz w:val="24"/>
          <w:szCs w:val="24"/>
          <w:highlight w:val="none"/>
          <w:lang w:eastAsia="zh-CN"/>
        </w:rPr>
        <w:t>；承建（承接）企业为</w:t>
      </w:r>
      <w:r>
        <w:rPr>
          <w:rFonts w:hint="eastAsia" w:ascii="方正楷体_GB2312" w:hAnsi="方正楷体_GB2312" w:eastAsia="方正楷体_GB2312" w:cs="方正楷体_GB2312"/>
          <w:color w:val="auto"/>
          <w:sz w:val="24"/>
          <w:szCs w:val="24"/>
          <w:highlight w:val="none"/>
          <w:lang w:val="en-US" w:eastAsia="zh-CN"/>
        </w:rPr>
        <w:t xml:space="preserve">     </w:t>
      </w:r>
      <w:r>
        <w:rPr>
          <w:rFonts w:hint="eastAsia" w:ascii="方正楷体_GB2312" w:hAnsi="方正楷体_GB2312" w:eastAsia="方正楷体_GB2312" w:cs="方正楷体_GB2312"/>
          <w:color w:val="auto"/>
          <w:sz w:val="24"/>
          <w:szCs w:val="24"/>
          <w:highlight w:val="none"/>
          <w:lang w:eastAsia="zh-CN"/>
        </w:rPr>
        <w:t>（企业名称），从业人员</w:t>
      </w:r>
      <w:r>
        <w:rPr>
          <w:rFonts w:hint="eastAsia" w:ascii="方正楷体_GB2312" w:hAnsi="方正楷体_GB2312" w:eastAsia="方正楷体_GB2312" w:cs="方正楷体_GB2312"/>
          <w:color w:val="auto"/>
          <w:sz w:val="24"/>
          <w:szCs w:val="24"/>
          <w:highlight w:val="none"/>
          <w:lang w:val="en-US" w:eastAsia="zh-CN"/>
        </w:rPr>
        <w:t xml:space="preserve">     </w:t>
      </w:r>
      <w:r>
        <w:rPr>
          <w:rFonts w:hint="eastAsia" w:ascii="方正楷体_GB2312" w:hAnsi="方正楷体_GB2312" w:eastAsia="方正楷体_GB2312" w:cs="方正楷体_GB2312"/>
          <w:color w:val="auto"/>
          <w:sz w:val="24"/>
          <w:szCs w:val="24"/>
          <w:highlight w:val="none"/>
          <w:lang w:eastAsia="zh-CN"/>
        </w:rPr>
        <w:t>人，营业收入为</w:t>
      </w:r>
      <w:r>
        <w:rPr>
          <w:rFonts w:hint="eastAsia" w:ascii="方正楷体_GB2312" w:hAnsi="方正楷体_GB2312" w:eastAsia="方正楷体_GB2312" w:cs="方正楷体_GB2312"/>
          <w:color w:val="auto"/>
          <w:sz w:val="24"/>
          <w:szCs w:val="24"/>
          <w:highlight w:val="none"/>
          <w:lang w:val="en-US" w:eastAsia="zh-CN"/>
        </w:rPr>
        <w:t xml:space="preserve">     </w:t>
      </w:r>
      <w:r>
        <w:rPr>
          <w:rFonts w:hint="eastAsia" w:ascii="方正楷体_GB2312" w:hAnsi="方正楷体_GB2312" w:eastAsia="方正楷体_GB2312" w:cs="方正楷体_GB2312"/>
          <w:color w:val="auto"/>
          <w:sz w:val="24"/>
          <w:szCs w:val="24"/>
          <w:highlight w:val="none"/>
          <w:lang w:eastAsia="zh-CN"/>
        </w:rPr>
        <w:t>万元，资产总额为</w:t>
      </w:r>
      <w:r>
        <w:rPr>
          <w:rFonts w:hint="eastAsia" w:ascii="方正楷体_GB2312" w:hAnsi="方正楷体_GB2312" w:eastAsia="方正楷体_GB2312" w:cs="方正楷体_GB2312"/>
          <w:color w:val="auto"/>
          <w:sz w:val="24"/>
          <w:szCs w:val="24"/>
          <w:highlight w:val="none"/>
          <w:lang w:val="en-US" w:eastAsia="zh-CN"/>
        </w:rPr>
        <w:t xml:space="preserve">     </w:t>
      </w:r>
      <w:r>
        <w:rPr>
          <w:rFonts w:hint="eastAsia" w:ascii="方正楷体_GB2312" w:hAnsi="方正楷体_GB2312" w:eastAsia="方正楷体_GB2312" w:cs="方正楷体_GB2312"/>
          <w:color w:val="auto"/>
          <w:sz w:val="24"/>
          <w:szCs w:val="24"/>
          <w:highlight w:val="none"/>
          <w:lang w:eastAsia="zh-CN"/>
        </w:rPr>
        <w:t>万元，属于</w:t>
      </w:r>
      <w:r>
        <w:rPr>
          <w:rFonts w:hint="eastAsia" w:ascii="方正楷体_GB2312" w:hAnsi="方正楷体_GB2312" w:eastAsia="方正楷体_GB2312" w:cs="方正楷体_GB2312"/>
          <w:color w:val="auto"/>
          <w:sz w:val="24"/>
          <w:szCs w:val="24"/>
          <w:highlight w:val="none"/>
          <w:lang w:val="en-US" w:eastAsia="zh-CN"/>
        </w:rPr>
        <w:t xml:space="preserve">     </w:t>
      </w:r>
      <w:r>
        <w:rPr>
          <w:rFonts w:hint="eastAsia" w:ascii="方正楷体_GB2312" w:hAnsi="方正楷体_GB2312" w:eastAsia="方正楷体_GB2312" w:cs="方正楷体_GB2312"/>
          <w:color w:val="auto"/>
          <w:sz w:val="24"/>
          <w:szCs w:val="24"/>
          <w:highlight w:val="none"/>
          <w:lang w:eastAsia="zh-CN"/>
        </w:rPr>
        <w:t>（中型企业、小型企业、微型企业）；</w:t>
      </w:r>
    </w:p>
    <w:p w14:paraId="331914F4">
      <w:pPr>
        <w:rPr>
          <w:rFonts w:hint="eastAsia" w:ascii="方正楷体_GB2312" w:hAnsi="方正楷体_GB2312" w:eastAsia="方正楷体_GB2312" w:cs="方正楷体_GB2312"/>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lang w:val="en-US" w:eastAsia="zh-CN"/>
        </w:rPr>
        <w:t xml:space="preserve">2.     </w:t>
      </w:r>
      <w:r>
        <w:rPr>
          <w:rFonts w:hint="eastAsia" w:ascii="方正楷体_GB2312" w:hAnsi="方正楷体_GB2312" w:eastAsia="方正楷体_GB2312" w:cs="方正楷体_GB2312"/>
          <w:color w:val="auto"/>
          <w:sz w:val="24"/>
          <w:szCs w:val="24"/>
          <w:highlight w:val="none"/>
          <w:lang w:eastAsia="zh-CN"/>
        </w:rPr>
        <w:t>（标的名称），属于</w:t>
      </w:r>
      <w:r>
        <w:rPr>
          <w:rFonts w:hint="eastAsia" w:ascii="方正楷体_GB2312" w:hAnsi="方正楷体_GB2312" w:eastAsia="方正楷体_GB2312" w:cs="方正楷体_GB2312"/>
          <w:color w:val="auto"/>
          <w:sz w:val="24"/>
          <w:szCs w:val="24"/>
          <w:highlight w:val="none"/>
          <w:lang w:val="en-US" w:eastAsia="zh-CN"/>
        </w:rPr>
        <w:t xml:space="preserve">     其他未列明行业  </w:t>
      </w:r>
      <w:r>
        <w:rPr>
          <w:rFonts w:hint="eastAsia" w:ascii="方正楷体_GB2312" w:hAnsi="方正楷体_GB2312" w:eastAsia="方正楷体_GB2312" w:cs="方正楷体_GB2312"/>
          <w:color w:val="auto"/>
          <w:sz w:val="24"/>
          <w:szCs w:val="24"/>
          <w:highlight w:val="none"/>
          <w:lang w:eastAsia="zh-CN"/>
        </w:rPr>
        <w:t>；承建（承接）企业为</w:t>
      </w:r>
      <w:r>
        <w:rPr>
          <w:rFonts w:hint="eastAsia" w:ascii="方正楷体_GB2312" w:hAnsi="方正楷体_GB2312" w:eastAsia="方正楷体_GB2312" w:cs="方正楷体_GB2312"/>
          <w:color w:val="auto"/>
          <w:sz w:val="24"/>
          <w:szCs w:val="24"/>
          <w:highlight w:val="none"/>
          <w:lang w:val="en-US" w:eastAsia="zh-CN"/>
        </w:rPr>
        <w:t xml:space="preserve">     </w:t>
      </w:r>
      <w:r>
        <w:rPr>
          <w:rFonts w:hint="eastAsia" w:ascii="方正楷体_GB2312" w:hAnsi="方正楷体_GB2312" w:eastAsia="方正楷体_GB2312" w:cs="方正楷体_GB2312"/>
          <w:color w:val="auto"/>
          <w:sz w:val="24"/>
          <w:szCs w:val="24"/>
          <w:highlight w:val="none"/>
          <w:lang w:eastAsia="zh-CN"/>
        </w:rPr>
        <w:t>（企业名称），从业人员</w:t>
      </w:r>
      <w:r>
        <w:rPr>
          <w:rFonts w:hint="eastAsia" w:ascii="方正楷体_GB2312" w:hAnsi="方正楷体_GB2312" w:eastAsia="方正楷体_GB2312" w:cs="方正楷体_GB2312"/>
          <w:color w:val="auto"/>
          <w:sz w:val="24"/>
          <w:szCs w:val="24"/>
          <w:highlight w:val="none"/>
          <w:lang w:val="en-US" w:eastAsia="zh-CN"/>
        </w:rPr>
        <w:t xml:space="preserve">     </w:t>
      </w:r>
      <w:r>
        <w:rPr>
          <w:rFonts w:hint="eastAsia" w:ascii="方正楷体_GB2312" w:hAnsi="方正楷体_GB2312" w:eastAsia="方正楷体_GB2312" w:cs="方正楷体_GB2312"/>
          <w:color w:val="auto"/>
          <w:sz w:val="24"/>
          <w:szCs w:val="24"/>
          <w:highlight w:val="none"/>
          <w:lang w:eastAsia="zh-CN"/>
        </w:rPr>
        <w:t>人，营业收入为</w:t>
      </w:r>
      <w:r>
        <w:rPr>
          <w:rFonts w:hint="eastAsia" w:ascii="方正楷体_GB2312" w:hAnsi="方正楷体_GB2312" w:eastAsia="方正楷体_GB2312" w:cs="方正楷体_GB2312"/>
          <w:color w:val="auto"/>
          <w:sz w:val="24"/>
          <w:szCs w:val="24"/>
          <w:highlight w:val="none"/>
          <w:lang w:val="en-US" w:eastAsia="zh-CN"/>
        </w:rPr>
        <w:t xml:space="preserve">     </w:t>
      </w:r>
      <w:r>
        <w:rPr>
          <w:rFonts w:hint="eastAsia" w:ascii="方正楷体_GB2312" w:hAnsi="方正楷体_GB2312" w:eastAsia="方正楷体_GB2312" w:cs="方正楷体_GB2312"/>
          <w:color w:val="auto"/>
          <w:sz w:val="24"/>
          <w:szCs w:val="24"/>
          <w:highlight w:val="none"/>
          <w:lang w:eastAsia="zh-CN"/>
        </w:rPr>
        <w:t>万元，资产总额为</w:t>
      </w:r>
      <w:r>
        <w:rPr>
          <w:rFonts w:hint="eastAsia" w:ascii="方正楷体_GB2312" w:hAnsi="方正楷体_GB2312" w:eastAsia="方正楷体_GB2312" w:cs="方正楷体_GB2312"/>
          <w:color w:val="auto"/>
          <w:sz w:val="24"/>
          <w:szCs w:val="24"/>
          <w:highlight w:val="none"/>
          <w:lang w:val="en-US" w:eastAsia="zh-CN"/>
        </w:rPr>
        <w:t xml:space="preserve">     </w:t>
      </w:r>
      <w:r>
        <w:rPr>
          <w:rFonts w:hint="eastAsia" w:ascii="方正楷体_GB2312" w:hAnsi="方正楷体_GB2312" w:eastAsia="方正楷体_GB2312" w:cs="方正楷体_GB2312"/>
          <w:color w:val="auto"/>
          <w:sz w:val="24"/>
          <w:szCs w:val="24"/>
          <w:highlight w:val="none"/>
          <w:lang w:eastAsia="zh-CN"/>
        </w:rPr>
        <w:t>万元，属于</w:t>
      </w:r>
      <w:r>
        <w:rPr>
          <w:rFonts w:hint="eastAsia" w:ascii="方正楷体_GB2312" w:hAnsi="方正楷体_GB2312" w:eastAsia="方正楷体_GB2312" w:cs="方正楷体_GB2312"/>
          <w:color w:val="auto"/>
          <w:sz w:val="24"/>
          <w:szCs w:val="24"/>
          <w:highlight w:val="none"/>
          <w:lang w:val="en-US" w:eastAsia="zh-CN"/>
        </w:rPr>
        <w:t xml:space="preserve">     </w:t>
      </w:r>
      <w:r>
        <w:rPr>
          <w:rFonts w:hint="eastAsia" w:ascii="方正楷体_GB2312" w:hAnsi="方正楷体_GB2312" w:eastAsia="方正楷体_GB2312" w:cs="方正楷体_GB2312"/>
          <w:color w:val="auto"/>
          <w:sz w:val="24"/>
          <w:szCs w:val="24"/>
          <w:highlight w:val="none"/>
          <w:lang w:eastAsia="zh-CN"/>
        </w:rPr>
        <w:t>（中型企业、小型企业、微型企业）；</w:t>
      </w:r>
    </w:p>
    <w:p w14:paraId="1EB75378">
      <w:pPr>
        <w:rPr>
          <w:rFonts w:hint="eastAsia" w:ascii="方正楷体_GB2312" w:hAnsi="方正楷体_GB2312" w:eastAsia="方正楷体_GB2312" w:cs="方正楷体_GB2312"/>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lang w:eastAsia="zh-CN"/>
        </w:rPr>
        <w:t>以上企业，不属于大企业的分支机构，不存在控股股东为大企业的情形，也不存在与大企业的负责人为同一人的情形。</w:t>
      </w:r>
    </w:p>
    <w:p w14:paraId="4785BCC6">
      <w:pPr>
        <w:rPr>
          <w:rFonts w:hint="eastAsia" w:ascii="方正楷体_GB2312" w:hAnsi="方正楷体_GB2312" w:eastAsia="方正楷体_GB2312" w:cs="方正楷体_GB2312"/>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lang w:eastAsia="zh-CN"/>
        </w:rPr>
        <w:t>本企业对上述声明内容的真实性负责。如有虚假，将依法承担相应责任。</w:t>
      </w:r>
    </w:p>
    <w:p w14:paraId="30EAC627">
      <w:pPr>
        <w:rPr>
          <w:rFonts w:hint="eastAsia" w:ascii="方正楷体_GB2312" w:hAnsi="方正楷体_GB2312" w:eastAsia="方正楷体_GB2312" w:cs="方正楷体_GB2312"/>
          <w:color w:val="auto"/>
          <w:sz w:val="24"/>
          <w:szCs w:val="24"/>
          <w:highlight w:val="none"/>
          <w:lang w:eastAsia="zh-CN"/>
        </w:rPr>
      </w:pPr>
    </w:p>
    <w:p w14:paraId="6E17F55D">
      <w:pPr>
        <w:rPr>
          <w:rFonts w:hint="eastAsia" w:ascii="方正楷体_GB2312" w:hAnsi="方正楷体_GB2312" w:eastAsia="方正楷体_GB2312" w:cs="方正楷体_GB2312"/>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lang w:val="en-US" w:eastAsia="zh-CN"/>
        </w:rPr>
        <w:t>企业</w:t>
      </w:r>
      <w:r>
        <w:rPr>
          <w:rFonts w:hint="eastAsia" w:ascii="方正楷体_GB2312" w:hAnsi="方正楷体_GB2312" w:eastAsia="方正楷体_GB2312" w:cs="方正楷体_GB2312"/>
          <w:color w:val="auto"/>
          <w:sz w:val="24"/>
          <w:szCs w:val="24"/>
          <w:highlight w:val="none"/>
          <w:lang w:eastAsia="zh-CN"/>
        </w:rPr>
        <w:t>名称（盖</w:t>
      </w:r>
      <w:r>
        <w:rPr>
          <w:rFonts w:hint="eastAsia" w:ascii="方正楷体_GB2312" w:hAnsi="方正楷体_GB2312" w:eastAsia="方正楷体_GB2312" w:cs="方正楷体_GB2312"/>
          <w:color w:val="auto"/>
          <w:sz w:val="24"/>
          <w:szCs w:val="24"/>
          <w:highlight w:val="none"/>
          <w:lang w:val="en-US" w:eastAsia="zh-CN"/>
        </w:rPr>
        <w:t>单位</w:t>
      </w:r>
      <w:r>
        <w:rPr>
          <w:rFonts w:hint="eastAsia" w:ascii="方正楷体_GB2312" w:hAnsi="方正楷体_GB2312" w:eastAsia="方正楷体_GB2312" w:cs="方正楷体_GB2312"/>
          <w:color w:val="auto"/>
          <w:sz w:val="24"/>
          <w:szCs w:val="24"/>
          <w:highlight w:val="none"/>
          <w:lang w:eastAsia="zh-CN"/>
        </w:rPr>
        <w:t xml:space="preserve">章）：                </w:t>
      </w:r>
      <w:r>
        <w:rPr>
          <w:rFonts w:hint="eastAsia" w:ascii="方正楷体_GB2312" w:hAnsi="方正楷体_GB2312" w:eastAsia="方正楷体_GB2312" w:cs="方正楷体_GB2312"/>
          <w:color w:val="auto"/>
          <w:sz w:val="24"/>
          <w:szCs w:val="24"/>
          <w:highlight w:val="none"/>
          <w:lang w:val="en-US" w:eastAsia="zh-CN"/>
        </w:rPr>
        <w:t xml:space="preserve">  </w:t>
      </w:r>
      <w:r>
        <w:rPr>
          <w:rFonts w:hint="eastAsia" w:ascii="方正楷体_GB2312" w:hAnsi="方正楷体_GB2312" w:eastAsia="方正楷体_GB2312" w:cs="方正楷体_GB2312"/>
          <w:color w:val="auto"/>
          <w:sz w:val="24"/>
          <w:szCs w:val="24"/>
          <w:highlight w:val="none"/>
          <w:lang w:eastAsia="zh-CN"/>
        </w:rPr>
        <w:t xml:space="preserve"> </w:t>
      </w:r>
      <w:r>
        <w:rPr>
          <w:rFonts w:hint="eastAsia" w:ascii="方正楷体_GB2312" w:hAnsi="方正楷体_GB2312" w:eastAsia="方正楷体_GB2312" w:cs="方正楷体_GB2312"/>
          <w:color w:val="auto"/>
          <w:sz w:val="24"/>
          <w:szCs w:val="24"/>
          <w:highlight w:val="none"/>
          <w:lang w:val="en-US" w:eastAsia="zh-CN"/>
        </w:rPr>
        <w:t xml:space="preserve"> </w:t>
      </w:r>
    </w:p>
    <w:p w14:paraId="655FA5A4">
      <w:pPr>
        <w:rPr>
          <w:rFonts w:hint="eastAsia" w:ascii="方正楷体_GB2312" w:hAnsi="方正楷体_GB2312" w:eastAsia="方正楷体_GB2312" w:cs="方正楷体_GB2312"/>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lang w:val="en-US" w:eastAsia="zh-CN"/>
        </w:rPr>
        <w:t>日　 期：     年   月   日</w:t>
      </w:r>
      <w:r>
        <w:rPr>
          <w:rFonts w:hint="eastAsia" w:ascii="方正楷体_GB2312" w:hAnsi="方正楷体_GB2312" w:eastAsia="方正楷体_GB2312" w:cs="方正楷体_GB2312"/>
          <w:color w:val="auto"/>
          <w:sz w:val="24"/>
          <w:szCs w:val="24"/>
          <w:highlight w:val="none"/>
          <w:lang w:eastAsia="zh-CN"/>
        </w:rPr>
        <w:t xml:space="preserve">        </w:t>
      </w:r>
    </w:p>
    <w:p w14:paraId="0F872BEE">
      <w:pPr>
        <w:rPr>
          <w:rFonts w:hint="eastAsia" w:ascii="方正楷体_GB2312" w:hAnsi="方正楷体_GB2312" w:eastAsia="方正楷体_GB2312" w:cs="方正楷体_GB2312"/>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lang w:eastAsia="zh-CN"/>
        </w:rPr>
        <w:t>注：从业人员、营业收入、资产总额填报上一年度数据，无上一年度数据的新成立企业可不填报。</w:t>
      </w:r>
    </w:p>
    <w:p w14:paraId="65B08642">
      <w:pPr>
        <w:rPr>
          <w:rFonts w:hint="eastAsia" w:ascii="方正楷体_GB2312" w:hAnsi="方正楷体_GB2312" w:eastAsia="方正楷体_GB2312" w:cs="方正楷体_GB2312"/>
          <w:color w:val="auto"/>
          <w:highlight w:val="none"/>
          <w:lang w:eastAsia="zh-CN"/>
        </w:rPr>
      </w:pPr>
    </w:p>
    <w:p w14:paraId="180AC20A">
      <w:pPr>
        <w:rPr>
          <w:rFonts w:hint="eastAsia" w:ascii="方正楷体_GB2312" w:hAnsi="方正楷体_GB2312" w:eastAsia="方正楷体_GB2312" w:cs="方正楷体_GB2312"/>
          <w:color w:val="auto"/>
          <w:highlight w:val="none"/>
          <w:lang w:eastAsia="zh-CN"/>
        </w:rPr>
      </w:pPr>
    </w:p>
    <w:p w14:paraId="2B178FFE">
      <w:pPr>
        <w:rPr>
          <w:rFonts w:hint="eastAsia" w:ascii="方正楷体_GB2312" w:hAnsi="方正楷体_GB2312" w:eastAsia="方正楷体_GB2312" w:cs="方正楷体_GB2312"/>
          <w:color w:val="auto"/>
          <w:highlight w:val="none"/>
          <w:lang w:eastAsia="zh-CN"/>
        </w:rPr>
      </w:pPr>
    </w:p>
    <w:p w14:paraId="0017B31E">
      <w:pPr>
        <w:rPr>
          <w:rFonts w:hint="eastAsia" w:ascii="方正楷体_GB2312" w:hAnsi="方正楷体_GB2312" w:eastAsia="方正楷体_GB2312" w:cs="方正楷体_GB2312"/>
          <w:color w:val="auto"/>
          <w:highlight w:val="none"/>
          <w:lang w:eastAsia="zh-CN"/>
        </w:rPr>
      </w:pPr>
      <w:r>
        <w:rPr>
          <w:rFonts w:hint="eastAsia" w:ascii="方正楷体_GB2312" w:hAnsi="方正楷体_GB2312" w:eastAsia="方正楷体_GB2312" w:cs="方正楷体_GB2312"/>
          <w:color w:val="auto"/>
          <w:highlight w:val="none"/>
          <w:lang w:eastAsia="zh-CN"/>
        </w:rPr>
        <w:br w:type="page"/>
      </w:r>
    </w:p>
    <w:p w14:paraId="3B70D431">
      <w:pPr>
        <w:jc w:val="center"/>
        <w:rPr>
          <w:rFonts w:hint="eastAsia" w:ascii="方正楷体_GB2312" w:hAnsi="方正楷体_GB2312" w:eastAsia="方正楷体_GB2312" w:cs="方正楷体_GB2312"/>
          <w:b/>
          <w:bCs/>
          <w:color w:val="auto"/>
          <w:sz w:val="24"/>
          <w:szCs w:val="24"/>
          <w:highlight w:val="none"/>
        </w:rPr>
      </w:pPr>
      <w:r>
        <w:rPr>
          <w:rFonts w:hint="eastAsia" w:ascii="方正楷体_GB2312" w:hAnsi="方正楷体_GB2312" w:eastAsia="方正楷体_GB2312" w:cs="方正楷体_GB2312"/>
          <w:b/>
          <w:bCs/>
          <w:color w:val="auto"/>
          <w:sz w:val="24"/>
          <w:szCs w:val="24"/>
          <w:highlight w:val="none"/>
        </w:rPr>
        <w:t>关于资格的声明函</w:t>
      </w:r>
    </w:p>
    <w:p w14:paraId="74427527">
      <w:pPr>
        <w:spacing w:line="440" w:lineRule="exact"/>
        <w:jc w:val="center"/>
        <w:rPr>
          <w:rFonts w:hint="eastAsia" w:ascii="方正楷体_GB2312" w:hAnsi="方正楷体_GB2312" w:eastAsia="方正楷体_GB2312" w:cs="方正楷体_GB2312"/>
          <w:b/>
          <w:color w:val="auto"/>
          <w:sz w:val="24"/>
          <w:szCs w:val="24"/>
          <w:highlight w:val="none"/>
        </w:rPr>
      </w:pPr>
    </w:p>
    <w:p w14:paraId="3EE2511A">
      <w:pPr>
        <w:spacing w:line="360" w:lineRule="auto"/>
        <w:ind w:firstLine="480" w:firstLineChars="200"/>
        <w:rPr>
          <w:rFonts w:hint="eastAsia" w:ascii="方正楷体_GB2312" w:hAnsi="方正楷体_GB2312" w:eastAsia="方正楷体_GB2312" w:cs="方正楷体_GB2312"/>
          <w:color w:val="auto"/>
          <w:kern w:val="0"/>
          <w:sz w:val="24"/>
          <w:szCs w:val="24"/>
          <w:highlight w:val="none"/>
          <w:lang w:eastAsia="zh-CN"/>
        </w:rPr>
      </w:pPr>
      <w:r>
        <w:rPr>
          <w:rFonts w:hint="eastAsia" w:ascii="方正楷体_GB2312" w:hAnsi="方正楷体_GB2312" w:eastAsia="方正楷体_GB2312" w:cs="方正楷体_GB2312"/>
          <w:color w:val="auto"/>
          <w:kern w:val="0"/>
          <w:sz w:val="24"/>
          <w:szCs w:val="24"/>
          <w:highlight w:val="none"/>
        </w:rPr>
        <w:t xml:space="preserve">   </w:t>
      </w:r>
      <w:r>
        <w:rPr>
          <w:rFonts w:hint="eastAsia" w:ascii="方正楷体_GB2312" w:hAnsi="方正楷体_GB2312" w:eastAsia="方正楷体_GB2312" w:cs="方正楷体_GB2312"/>
          <w:color w:val="auto"/>
          <w:kern w:val="0"/>
          <w:sz w:val="24"/>
          <w:szCs w:val="24"/>
          <w:highlight w:val="none"/>
          <w:lang w:val="en-US" w:eastAsia="zh-CN"/>
        </w:rPr>
        <w:t xml:space="preserve"> </w:t>
      </w:r>
      <w:r>
        <w:rPr>
          <w:rFonts w:hint="eastAsia" w:ascii="方正楷体_GB2312" w:hAnsi="方正楷体_GB2312" w:eastAsia="方正楷体_GB2312" w:cs="方正楷体_GB2312"/>
          <w:color w:val="auto"/>
          <w:kern w:val="0"/>
          <w:sz w:val="24"/>
          <w:szCs w:val="24"/>
          <w:highlight w:val="none"/>
        </w:rPr>
        <w:t>致：</w:t>
      </w:r>
      <w:r>
        <w:rPr>
          <w:rFonts w:hint="eastAsia" w:ascii="方正楷体_GB2312" w:hAnsi="方正楷体_GB2312" w:eastAsia="方正楷体_GB2312" w:cs="方正楷体_GB2312"/>
          <w:color w:val="auto"/>
          <w:kern w:val="0"/>
          <w:sz w:val="24"/>
          <w:szCs w:val="24"/>
          <w:highlight w:val="none"/>
          <w:lang w:eastAsia="zh-CN"/>
        </w:rPr>
        <w:t>（采购人名称）</w:t>
      </w:r>
    </w:p>
    <w:p w14:paraId="3239602F">
      <w:pPr>
        <w:spacing w:line="360" w:lineRule="auto"/>
        <w:ind w:firstLine="960" w:firstLineChars="400"/>
        <w:rPr>
          <w:rFonts w:hint="eastAsia" w:ascii="方正楷体_GB2312" w:hAnsi="方正楷体_GB2312" w:eastAsia="方正楷体_GB2312" w:cs="方正楷体_GB2312"/>
          <w:color w:val="auto"/>
          <w:kern w:val="0"/>
          <w:sz w:val="24"/>
          <w:szCs w:val="24"/>
          <w:highlight w:val="none"/>
        </w:rPr>
      </w:pPr>
      <w:r>
        <w:rPr>
          <w:rFonts w:hint="eastAsia" w:ascii="方正楷体_GB2312" w:hAnsi="方正楷体_GB2312" w:eastAsia="方正楷体_GB2312" w:cs="方正楷体_GB2312"/>
          <w:color w:val="auto"/>
          <w:kern w:val="0"/>
          <w:sz w:val="24"/>
          <w:szCs w:val="24"/>
          <w:highlight w:val="none"/>
        </w:rPr>
        <w:t>贵方</w:t>
      </w:r>
      <w:r>
        <w:rPr>
          <w:rFonts w:hint="eastAsia" w:ascii="方正楷体_GB2312" w:hAnsi="方正楷体_GB2312" w:eastAsia="方正楷体_GB2312" w:cs="方正楷体_GB2312"/>
          <w:color w:val="auto"/>
          <w:kern w:val="0"/>
          <w:sz w:val="24"/>
          <w:szCs w:val="24"/>
          <w:highlight w:val="none"/>
          <w:u w:val="single"/>
        </w:rPr>
        <w:t>（项目编号）</w:t>
      </w:r>
      <w:r>
        <w:rPr>
          <w:rFonts w:hint="eastAsia" w:ascii="方正楷体_GB2312" w:hAnsi="方正楷体_GB2312" w:eastAsia="方正楷体_GB2312" w:cs="方正楷体_GB2312"/>
          <w:color w:val="auto"/>
          <w:kern w:val="0"/>
          <w:sz w:val="24"/>
          <w:szCs w:val="24"/>
          <w:highlight w:val="none"/>
        </w:rPr>
        <w:t>采购公告关于</w:t>
      </w:r>
      <w:r>
        <w:rPr>
          <w:rFonts w:hint="eastAsia" w:ascii="方正楷体_GB2312" w:hAnsi="方正楷体_GB2312" w:eastAsia="方正楷体_GB2312" w:cs="方正楷体_GB2312"/>
          <w:color w:val="auto"/>
          <w:kern w:val="0"/>
          <w:sz w:val="24"/>
          <w:szCs w:val="24"/>
          <w:highlight w:val="none"/>
          <w:u w:val="single"/>
        </w:rPr>
        <w:t>　　（项目名称）　</w:t>
      </w:r>
      <w:r>
        <w:rPr>
          <w:rFonts w:hint="eastAsia" w:ascii="方正楷体_GB2312" w:hAnsi="方正楷体_GB2312" w:eastAsia="方正楷体_GB2312" w:cs="方正楷体_GB2312"/>
          <w:color w:val="auto"/>
          <w:kern w:val="0"/>
          <w:sz w:val="24"/>
          <w:szCs w:val="24"/>
          <w:highlight w:val="none"/>
        </w:rPr>
        <w:t>的采购项目，本签字人愿意参加</w:t>
      </w:r>
      <w:r>
        <w:rPr>
          <w:rFonts w:hint="eastAsia" w:ascii="方正楷体_GB2312" w:hAnsi="方正楷体_GB2312" w:eastAsia="方正楷体_GB2312" w:cs="方正楷体_GB2312"/>
          <w:color w:val="auto"/>
          <w:kern w:val="0"/>
          <w:sz w:val="24"/>
          <w:szCs w:val="24"/>
          <w:highlight w:val="none"/>
          <w:lang w:eastAsia="zh-CN"/>
        </w:rPr>
        <w:t>投标</w:t>
      </w:r>
      <w:r>
        <w:rPr>
          <w:rFonts w:hint="eastAsia" w:ascii="方正楷体_GB2312" w:hAnsi="方正楷体_GB2312" w:eastAsia="方正楷体_GB2312" w:cs="方正楷体_GB2312"/>
          <w:color w:val="auto"/>
          <w:kern w:val="0"/>
          <w:sz w:val="24"/>
          <w:szCs w:val="24"/>
          <w:highlight w:val="none"/>
        </w:rPr>
        <w:t>，并有能力提供</w:t>
      </w:r>
      <w:r>
        <w:rPr>
          <w:rFonts w:hint="eastAsia" w:ascii="方正楷体_GB2312" w:hAnsi="方正楷体_GB2312" w:eastAsia="方正楷体_GB2312" w:cs="方正楷体_GB2312"/>
          <w:color w:val="auto"/>
          <w:kern w:val="0"/>
          <w:sz w:val="24"/>
          <w:szCs w:val="24"/>
          <w:highlight w:val="none"/>
          <w:u w:val="single"/>
        </w:rPr>
        <w:t xml:space="preserve">  （项目名称）    </w:t>
      </w:r>
      <w:r>
        <w:rPr>
          <w:rFonts w:hint="eastAsia" w:ascii="方正楷体_GB2312" w:hAnsi="方正楷体_GB2312" w:eastAsia="方正楷体_GB2312" w:cs="方正楷体_GB2312"/>
          <w:color w:val="auto"/>
          <w:kern w:val="0"/>
          <w:sz w:val="24"/>
          <w:szCs w:val="24"/>
          <w:highlight w:val="none"/>
        </w:rPr>
        <w:t>项目中的采购服务，并保证所提交的所有文件和说明是真实和准确的。</w:t>
      </w:r>
    </w:p>
    <w:p w14:paraId="70F37A0E">
      <w:pPr>
        <w:pStyle w:val="323"/>
        <w:widowControl w:val="0"/>
        <w:autoSpaceDE w:val="0"/>
        <w:autoSpaceDN w:val="0"/>
        <w:spacing w:before="0" w:after="0" w:line="440" w:lineRule="exact"/>
        <w:ind w:firstLine="720" w:firstLineChars="300"/>
        <w:jc w:val="left"/>
        <w:rPr>
          <w:rFonts w:hint="eastAsia" w:ascii="方正楷体_GB2312" w:hAnsi="方正楷体_GB2312" w:eastAsia="方正楷体_GB2312" w:cs="方正楷体_GB2312"/>
          <w:color w:val="auto"/>
          <w:sz w:val="24"/>
          <w:szCs w:val="24"/>
          <w:highlight w:val="none"/>
          <w:u w:val="single"/>
          <w:lang w:eastAsia="zh-CN"/>
        </w:rPr>
      </w:pPr>
      <w:r>
        <w:rPr>
          <w:rFonts w:hint="eastAsia" w:ascii="方正楷体_GB2312" w:hAnsi="方正楷体_GB2312" w:eastAsia="方正楷体_GB2312" w:cs="方正楷体_GB2312"/>
          <w:color w:val="auto"/>
          <w:sz w:val="24"/>
          <w:szCs w:val="24"/>
          <w:highlight w:val="none"/>
          <w:lang w:eastAsia="zh-CN"/>
        </w:rPr>
        <w:t>供应商（盖章）：供应商</w:t>
      </w:r>
      <w:r>
        <w:rPr>
          <w:rFonts w:hint="eastAsia" w:ascii="方正楷体_GB2312" w:hAnsi="方正楷体_GB2312" w:eastAsia="方正楷体_GB2312" w:cs="方正楷体_GB2312"/>
          <w:color w:val="auto"/>
          <w:spacing w:val="-1"/>
          <w:sz w:val="24"/>
          <w:szCs w:val="24"/>
          <w:highlight w:val="none"/>
          <w:lang w:eastAsia="zh-CN"/>
        </w:rPr>
        <w:t>名称</w:t>
      </w:r>
      <w:r>
        <w:rPr>
          <w:rFonts w:hint="eastAsia" w:ascii="方正楷体_GB2312" w:hAnsi="方正楷体_GB2312" w:eastAsia="方正楷体_GB2312" w:cs="方正楷体_GB2312"/>
          <w:color w:val="auto"/>
          <w:spacing w:val="-1"/>
          <w:sz w:val="24"/>
          <w:szCs w:val="24"/>
          <w:highlight w:val="none"/>
          <w:u w:val="single"/>
          <w:lang w:eastAsia="zh-CN"/>
        </w:rPr>
        <w:t xml:space="preserve">         </w:t>
      </w:r>
    </w:p>
    <w:p w14:paraId="5BB932C6">
      <w:pPr>
        <w:pStyle w:val="22"/>
        <w:tabs>
          <w:tab w:val="left" w:pos="615"/>
        </w:tabs>
        <w:spacing w:line="360" w:lineRule="auto"/>
        <w:ind w:firstLine="72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法定代表人或授权代理人：（签字或盖章）</w:t>
      </w:r>
    </w:p>
    <w:p w14:paraId="0966BD39">
      <w:pPr>
        <w:pStyle w:val="22"/>
        <w:tabs>
          <w:tab w:val="left" w:pos="615"/>
        </w:tabs>
        <w:spacing w:line="360" w:lineRule="auto"/>
        <w:ind w:firstLine="72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地址：</w:t>
      </w:r>
    </w:p>
    <w:p w14:paraId="111DF896">
      <w:pPr>
        <w:pStyle w:val="22"/>
        <w:tabs>
          <w:tab w:val="left" w:pos="615"/>
        </w:tabs>
        <w:spacing w:line="360" w:lineRule="auto"/>
        <w:ind w:firstLine="72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邮编：</w:t>
      </w:r>
    </w:p>
    <w:p w14:paraId="318C2B79">
      <w:pPr>
        <w:pStyle w:val="22"/>
        <w:tabs>
          <w:tab w:val="left" w:pos="615"/>
        </w:tabs>
        <w:spacing w:line="360" w:lineRule="auto"/>
        <w:ind w:firstLine="720"/>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电话：</w:t>
      </w:r>
    </w:p>
    <w:p w14:paraId="540DB5BB">
      <w:pPr>
        <w:rPr>
          <w:rFonts w:hint="eastAsia" w:ascii="方正楷体_GB2312" w:hAnsi="方正楷体_GB2312" w:eastAsia="方正楷体_GB2312" w:cs="方正楷体_GB2312"/>
          <w:color w:val="auto"/>
          <w:sz w:val="24"/>
          <w:szCs w:val="24"/>
          <w:highlight w:val="none"/>
          <w:lang w:eastAsia="zh-CN"/>
        </w:rPr>
      </w:pPr>
      <w:r>
        <w:rPr>
          <w:rFonts w:hint="eastAsia" w:ascii="方正楷体_GB2312" w:hAnsi="方正楷体_GB2312" w:eastAsia="方正楷体_GB2312" w:cs="方正楷体_GB2312"/>
          <w:color w:val="auto"/>
          <w:sz w:val="24"/>
          <w:szCs w:val="24"/>
          <w:highlight w:val="none"/>
          <w:lang w:eastAsia="zh-CN"/>
        </w:rPr>
        <w:br w:type="page"/>
      </w:r>
    </w:p>
    <w:p w14:paraId="468CA382">
      <w:pPr>
        <w:pStyle w:val="322"/>
        <w:rPr>
          <w:rFonts w:hint="eastAsia" w:ascii="方正楷体_GB2312" w:hAnsi="方正楷体_GB2312" w:eastAsia="方正楷体_GB2312" w:cs="方正楷体_GB2312"/>
          <w:color w:val="auto"/>
          <w:highlight w:val="none"/>
          <w:lang w:eastAsia="zh-CN"/>
        </w:rPr>
      </w:pPr>
    </w:p>
    <w:p w14:paraId="59AC3FB8">
      <w:pPr>
        <w:pStyle w:val="50"/>
        <w:rPr>
          <w:rFonts w:hint="eastAsia" w:ascii="方正楷体_GB2312" w:hAnsi="方正楷体_GB2312" w:eastAsia="方正楷体_GB2312" w:cs="方正楷体_GB2312"/>
          <w:color w:val="auto"/>
          <w:highlight w:val="none"/>
          <w:lang w:eastAsia="zh-CN"/>
        </w:rPr>
      </w:pPr>
    </w:p>
    <w:p w14:paraId="4D6DE899">
      <w:pPr>
        <w:jc w:val="center"/>
        <w:rPr>
          <w:rFonts w:hint="eastAsia" w:ascii="方正楷体_GB2312" w:hAnsi="方正楷体_GB2312" w:eastAsia="方正楷体_GB2312" w:cs="方正楷体_GB2312"/>
          <w:color w:val="auto"/>
          <w:sz w:val="24"/>
          <w:szCs w:val="24"/>
          <w:highlight w:val="none"/>
          <w:lang w:eastAsia="zh-CN"/>
        </w:rPr>
      </w:pPr>
      <w:r>
        <w:rPr>
          <w:rFonts w:hint="eastAsia" w:ascii="方正楷体_GB2312" w:hAnsi="方正楷体_GB2312" w:eastAsia="方正楷体_GB2312" w:cs="方正楷体_GB2312"/>
          <w:b/>
          <w:bCs/>
          <w:color w:val="auto"/>
          <w:sz w:val="36"/>
          <w:highlight w:val="none"/>
        </w:rPr>
        <w:t>其 他</w:t>
      </w:r>
    </w:p>
    <w:p w14:paraId="165C42E5">
      <w:pPr>
        <w:spacing w:line="360" w:lineRule="auto"/>
        <w:ind w:right="-92" w:rightChars="-44"/>
        <w:rPr>
          <w:rFonts w:hint="eastAsia" w:ascii="方正楷体_GB2312" w:hAnsi="方正楷体_GB2312" w:eastAsia="方正楷体_GB2312" w:cs="方正楷体_GB2312"/>
          <w:color w:val="auto"/>
          <w:sz w:val="24"/>
          <w:highlight w:val="none"/>
          <w:lang w:val="en-US" w:eastAsia="zh-CN"/>
        </w:rPr>
      </w:pPr>
      <w:r>
        <w:rPr>
          <w:rFonts w:hint="eastAsia" w:ascii="方正楷体_GB2312" w:hAnsi="方正楷体_GB2312" w:eastAsia="方正楷体_GB2312" w:cs="方正楷体_GB2312"/>
          <w:color w:val="auto"/>
          <w:sz w:val="24"/>
          <w:highlight w:val="none"/>
          <w:lang w:val="en-US" w:eastAsia="zh-CN"/>
        </w:rPr>
        <w:t>1、</w:t>
      </w:r>
      <w:r>
        <w:rPr>
          <w:rFonts w:hint="eastAsia" w:ascii="方正楷体_GB2312" w:hAnsi="方正楷体_GB2312" w:eastAsia="方正楷体_GB2312" w:cs="方正楷体_GB2312"/>
          <w:color w:val="auto"/>
          <w:sz w:val="24"/>
          <w:szCs w:val="24"/>
          <w:highlight w:val="none"/>
          <w:lang w:val="en-US" w:eastAsia="zh-CN"/>
        </w:rPr>
        <w:t>凡拟参加本次采购项目的供应商，如在“信用中国”网站（www.creditchina.gov.cn）、“中国政府采购网”（www.ccgp.gov.cn）、“国家企业信用信息公示系统”被列入失信被执行人、重大税收违法案件当事人名单、政府采购严重违法失信行为记录名单的（尚在处罚期内的）、经营异常名录的企业将被拒绝参加本次投标（信用信息查询结果须自谈判公告发布之日起至响应文件递交截止时间止）；自然人：需提供近期无犯罪记录证明；</w:t>
      </w:r>
    </w:p>
    <w:p w14:paraId="54A69E35">
      <w:pPr>
        <w:spacing w:line="360" w:lineRule="auto"/>
        <w:ind w:right="-92" w:rightChars="-44"/>
        <w:rPr>
          <w:rFonts w:hint="eastAsia" w:ascii="方正楷体_GB2312" w:hAnsi="方正楷体_GB2312" w:eastAsia="方正楷体_GB2312" w:cs="方正楷体_GB2312"/>
          <w:color w:val="auto"/>
          <w:sz w:val="24"/>
          <w:highlight w:val="none"/>
          <w:lang w:val="en-US" w:eastAsia="zh-CN"/>
        </w:rPr>
      </w:pPr>
      <w:r>
        <w:rPr>
          <w:rFonts w:hint="eastAsia" w:ascii="方正楷体_GB2312" w:hAnsi="方正楷体_GB2312" w:eastAsia="方正楷体_GB2312" w:cs="方正楷体_GB2312"/>
          <w:color w:val="auto"/>
          <w:sz w:val="24"/>
          <w:highlight w:val="none"/>
          <w:lang w:val="en-US" w:eastAsia="zh-CN"/>
        </w:rPr>
        <w:t>2、谈判保证金汇款凭证或保函证明、电子保函</w:t>
      </w:r>
    </w:p>
    <w:p w14:paraId="4169DE5D">
      <w:pPr>
        <w:spacing w:line="360" w:lineRule="auto"/>
        <w:ind w:right="-92" w:rightChars="-44"/>
        <w:rPr>
          <w:rFonts w:hint="eastAsia" w:ascii="方正楷体_GB2312" w:hAnsi="方正楷体_GB2312" w:eastAsia="方正楷体_GB2312" w:cs="方正楷体_GB2312"/>
          <w:color w:val="auto"/>
          <w:sz w:val="24"/>
          <w:highlight w:val="none"/>
          <w:lang w:val="en-US" w:eastAsia="zh-CN"/>
        </w:rPr>
      </w:pPr>
      <w:r>
        <w:rPr>
          <w:rFonts w:hint="eastAsia" w:ascii="方正楷体_GB2312" w:hAnsi="方正楷体_GB2312" w:eastAsia="方正楷体_GB2312" w:cs="方正楷体_GB2312"/>
          <w:color w:val="auto"/>
          <w:sz w:val="24"/>
          <w:highlight w:val="none"/>
          <w:lang w:val="en-US" w:eastAsia="zh-CN"/>
        </w:rPr>
        <w:t>3、供应商认为有必要提交的其他资料。</w:t>
      </w:r>
    </w:p>
    <w:p w14:paraId="7CCB47F2">
      <w:pPr>
        <w:spacing w:line="360" w:lineRule="auto"/>
        <w:ind w:right="-92" w:rightChars="-44"/>
        <w:rPr>
          <w:rFonts w:hint="eastAsia" w:ascii="方正楷体_GB2312" w:hAnsi="方正楷体_GB2312" w:eastAsia="方正楷体_GB2312" w:cs="方正楷体_GB2312"/>
          <w:color w:val="auto"/>
          <w:sz w:val="24"/>
          <w:highlight w:val="none"/>
          <w:lang w:eastAsia="zh-CN"/>
        </w:rPr>
      </w:pPr>
    </w:p>
    <w:p w14:paraId="497DC2EE">
      <w:pPr>
        <w:pStyle w:val="33"/>
        <w:rPr>
          <w:rFonts w:hint="eastAsia" w:ascii="方正楷体_GB2312" w:hAnsi="方正楷体_GB2312" w:eastAsia="方正楷体_GB2312" w:cs="方正楷体_GB2312"/>
          <w:color w:val="auto"/>
          <w:sz w:val="24"/>
          <w:szCs w:val="24"/>
          <w:highlight w:val="none"/>
          <w:lang w:eastAsia="zh-CN"/>
        </w:rPr>
      </w:pPr>
    </w:p>
    <w:p w14:paraId="4650F8D4">
      <w:pPr>
        <w:rPr>
          <w:rFonts w:hint="eastAsia" w:ascii="方正楷体_GB2312" w:hAnsi="方正楷体_GB2312" w:eastAsia="方正楷体_GB2312" w:cs="方正楷体_GB2312"/>
          <w:color w:val="auto"/>
          <w:sz w:val="24"/>
          <w:szCs w:val="24"/>
          <w:highlight w:val="none"/>
          <w:lang w:eastAsia="zh-CN"/>
        </w:rPr>
      </w:pPr>
    </w:p>
    <w:p w14:paraId="5292E2DE">
      <w:pPr>
        <w:pStyle w:val="33"/>
        <w:rPr>
          <w:rFonts w:hint="eastAsia" w:ascii="方正楷体_GB2312" w:hAnsi="方正楷体_GB2312" w:eastAsia="方正楷体_GB2312" w:cs="方正楷体_GB2312"/>
          <w:color w:val="auto"/>
          <w:sz w:val="24"/>
          <w:szCs w:val="24"/>
          <w:highlight w:val="none"/>
          <w:lang w:eastAsia="zh-CN"/>
        </w:rPr>
      </w:pPr>
    </w:p>
    <w:p w14:paraId="425215DD">
      <w:pPr>
        <w:rPr>
          <w:rFonts w:hint="eastAsia" w:ascii="方正楷体_GB2312" w:hAnsi="方正楷体_GB2312" w:eastAsia="方正楷体_GB2312" w:cs="方正楷体_GB2312"/>
          <w:color w:val="auto"/>
          <w:sz w:val="24"/>
          <w:szCs w:val="24"/>
          <w:highlight w:val="none"/>
          <w:lang w:eastAsia="zh-CN"/>
        </w:rPr>
      </w:pPr>
    </w:p>
    <w:p w14:paraId="719A36E3">
      <w:pPr>
        <w:pStyle w:val="33"/>
        <w:rPr>
          <w:rFonts w:hint="eastAsia" w:ascii="方正楷体_GB2312" w:hAnsi="方正楷体_GB2312" w:eastAsia="方正楷体_GB2312" w:cs="方正楷体_GB2312"/>
          <w:color w:val="auto"/>
          <w:sz w:val="24"/>
          <w:szCs w:val="24"/>
          <w:highlight w:val="none"/>
          <w:lang w:eastAsia="zh-CN"/>
        </w:rPr>
      </w:pPr>
    </w:p>
    <w:p w14:paraId="15D45CB7">
      <w:pPr>
        <w:rPr>
          <w:rFonts w:hint="eastAsia" w:ascii="方正楷体_GB2312" w:hAnsi="方正楷体_GB2312" w:eastAsia="方正楷体_GB2312" w:cs="方正楷体_GB2312"/>
          <w:color w:val="auto"/>
          <w:sz w:val="24"/>
          <w:szCs w:val="24"/>
          <w:highlight w:val="none"/>
          <w:lang w:eastAsia="zh-CN"/>
        </w:rPr>
      </w:pPr>
    </w:p>
    <w:p w14:paraId="332770AB">
      <w:pPr>
        <w:pStyle w:val="33"/>
        <w:rPr>
          <w:rFonts w:hint="eastAsia" w:ascii="方正楷体_GB2312" w:hAnsi="方正楷体_GB2312" w:eastAsia="方正楷体_GB2312" w:cs="方正楷体_GB2312"/>
          <w:color w:val="auto"/>
          <w:sz w:val="24"/>
          <w:szCs w:val="24"/>
          <w:highlight w:val="none"/>
          <w:lang w:eastAsia="zh-CN"/>
        </w:rPr>
      </w:pPr>
    </w:p>
    <w:p w14:paraId="5711FF90">
      <w:pPr>
        <w:rPr>
          <w:rFonts w:hint="eastAsia" w:ascii="方正楷体_GB2312" w:hAnsi="方正楷体_GB2312" w:eastAsia="方正楷体_GB2312" w:cs="方正楷体_GB2312"/>
          <w:color w:val="auto"/>
          <w:sz w:val="24"/>
          <w:szCs w:val="24"/>
          <w:highlight w:val="none"/>
          <w:lang w:eastAsia="zh-CN"/>
        </w:rPr>
      </w:pPr>
    </w:p>
    <w:p w14:paraId="49A9D537">
      <w:pPr>
        <w:pStyle w:val="33"/>
        <w:rPr>
          <w:rFonts w:hint="eastAsia" w:ascii="方正楷体_GB2312" w:hAnsi="方正楷体_GB2312" w:eastAsia="方正楷体_GB2312" w:cs="方正楷体_GB2312"/>
          <w:color w:val="auto"/>
          <w:sz w:val="24"/>
          <w:szCs w:val="24"/>
          <w:highlight w:val="none"/>
          <w:lang w:eastAsia="zh-CN"/>
        </w:rPr>
      </w:pPr>
    </w:p>
    <w:p w14:paraId="2FC0E3DE">
      <w:pPr>
        <w:rPr>
          <w:rFonts w:hint="eastAsia" w:ascii="方正楷体_GB2312" w:hAnsi="方正楷体_GB2312" w:eastAsia="方正楷体_GB2312" w:cs="方正楷体_GB2312"/>
          <w:color w:val="auto"/>
          <w:sz w:val="24"/>
          <w:szCs w:val="24"/>
          <w:highlight w:val="none"/>
          <w:lang w:eastAsia="zh-CN"/>
        </w:rPr>
      </w:pPr>
    </w:p>
    <w:p w14:paraId="6D535BE6">
      <w:pPr>
        <w:pStyle w:val="4"/>
        <w:numPr>
          <w:ilvl w:val="0"/>
          <w:numId w:val="0"/>
        </w:numPr>
        <w:shd w:val="clear" w:color="auto" w:fill="auto"/>
        <w:ind w:left="0" w:leftChars="0" w:firstLine="0" w:firstLineChars="0"/>
        <w:jc w:val="center"/>
        <w:rPr>
          <w:rFonts w:hint="eastAsia" w:ascii="宋体" w:hAnsi="宋体" w:eastAsia="宋体" w:cs="宋体"/>
          <w:color w:val="auto"/>
          <w:highlight w:val="none"/>
        </w:rPr>
      </w:pPr>
      <w:r>
        <w:rPr>
          <w:rFonts w:hint="eastAsia" w:ascii="宋体" w:hAnsi="宋体" w:eastAsia="宋体" w:cs="宋体"/>
          <w:color w:val="auto"/>
          <w:sz w:val="28"/>
          <w:szCs w:val="28"/>
          <w:highlight w:val="none"/>
        </w:rPr>
        <w:t>中小企业划分标准</w:t>
      </w:r>
    </w:p>
    <w:p w14:paraId="23CDE87E">
      <w:pPr>
        <w:shd w:val="clear" w:color="auto" w:fill="auto"/>
        <w:ind w:firstLine="480" w:firstLineChars="200"/>
        <w:rPr>
          <w:rFonts w:hint="eastAsia" w:ascii="宋体" w:hAnsi="宋体" w:eastAsia="宋体" w:cs="宋体"/>
          <w:color w:val="auto"/>
          <w:sz w:val="24"/>
          <w:highlight w:val="none"/>
        </w:rPr>
      </w:pPr>
      <w:bookmarkStart w:id="95" w:name="bookmark4"/>
      <w:bookmarkStart w:id="96" w:name="bookmark5"/>
      <w:r>
        <w:rPr>
          <w:rFonts w:hint="eastAsia" w:ascii="宋体" w:hAnsi="宋体" w:eastAsia="宋体" w:cs="宋体"/>
          <w:color w:val="auto"/>
          <w:sz w:val="24"/>
          <w:highlight w:val="none"/>
        </w:rPr>
        <w:t>工业和信息化部、国家统计局、发展改革委、财政部等四部门《关于印发中小企业划型标准规定的通知》（工信部联企业〔2011〕300号）规定中小企业划型标准如表所示：</w:t>
      </w:r>
      <w:bookmarkEnd w:id="95"/>
      <w:bookmarkEnd w:id="96"/>
    </w:p>
    <w:p w14:paraId="50080F86">
      <w:pPr>
        <w:shd w:val="clear" w:color="auto" w:fill="auto"/>
        <w:spacing w:line="1" w:lineRule="exact"/>
        <w:jc w:val="center"/>
        <w:rPr>
          <w:rFonts w:hint="eastAsia" w:ascii="宋体" w:hAnsi="宋体" w:eastAsia="宋体" w:cs="宋体"/>
          <w:color w:val="auto"/>
          <w:sz w:val="18"/>
          <w:szCs w:val="18"/>
          <w:highlight w:val="none"/>
        </w:rPr>
      </w:pPr>
    </w:p>
    <w:tbl>
      <w:tblPr>
        <w:tblStyle w:val="51"/>
        <w:tblW w:w="9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693"/>
        <w:gridCol w:w="36"/>
        <w:gridCol w:w="733"/>
        <w:gridCol w:w="316"/>
        <w:gridCol w:w="6990"/>
        <w:gridCol w:w="2"/>
      </w:tblGrid>
      <w:tr w14:paraId="7384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vAlign w:val="center"/>
          </w:tcPr>
          <w:p w14:paraId="6C91C35B">
            <w:pPr>
              <w:pStyle w:val="329"/>
              <w:shd w:val="clear" w:color="auto" w:fill="auto"/>
              <w:spacing w:line="240" w:lineRule="auto"/>
              <w:ind w:firstLine="2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农、林、牧、渔业</w:t>
            </w:r>
          </w:p>
        </w:tc>
        <w:tc>
          <w:tcPr>
            <w:tcW w:w="8039" w:type="dxa"/>
            <w:gridSpan w:val="3"/>
            <w:shd w:val="clear" w:color="auto" w:fill="FFFFFF"/>
            <w:vAlign w:val="center"/>
          </w:tcPr>
          <w:p w14:paraId="0345F407">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营业收入20000万元以下的为中小微型企业。</w:t>
            </w:r>
          </w:p>
        </w:tc>
      </w:tr>
      <w:tr w14:paraId="1DFB1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vAlign w:val="center"/>
          </w:tcPr>
          <w:p w14:paraId="41920AB1">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vAlign w:val="center"/>
          </w:tcPr>
          <w:p w14:paraId="50A84C62">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990" w:type="dxa"/>
            <w:shd w:val="clear" w:color="auto" w:fill="FFFFFF"/>
            <w:vAlign w:val="center"/>
          </w:tcPr>
          <w:p w14:paraId="4AEF3835">
            <w:pPr>
              <w:pStyle w:val="329"/>
              <w:shd w:val="clear" w:color="auto" w:fill="auto"/>
              <w:tabs>
                <w:tab w:val="left" w:pos="1930"/>
              </w:tabs>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营业收入500万元及以上</w:t>
            </w:r>
          </w:p>
        </w:tc>
      </w:tr>
      <w:tr w14:paraId="32B4B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vAlign w:val="center"/>
          </w:tcPr>
          <w:p w14:paraId="112B7686">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vAlign w:val="center"/>
          </w:tcPr>
          <w:p w14:paraId="3D390131">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990" w:type="dxa"/>
            <w:shd w:val="clear" w:color="auto" w:fill="FFFFFF"/>
            <w:vAlign w:val="center"/>
          </w:tcPr>
          <w:p w14:paraId="436E56CB">
            <w:pPr>
              <w:pStyle w:val="329"/>
              <w:shd w:val="clear" w:color="auto" w:fill="auto"/>
              <w:tabs>
                <w:tab w:val="left" w:pos="1752"/>
              </w:tabs>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营业收入50万元及以上</w:t>
            </w:r>
          </w:p>
        </w:tc>
      </w:tr>
      <w:tr w14:paraId="115D0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vAlign w:val="center"/>
          </w:tcPr>
          <w:p w14:paraId="0A50288A">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vAlign w:val="center"/>
          </w:tcPr>
          <w:p w14:paraId="5E44B5CD">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990" w:type="dxa"/>
            <w:shd w:val="clear" w:color="auto" w:fill="FFFFFF"/>
            <w:vAlign w:val="center"/>
          </w:tcPr>
          <w:p w14:paraId="6C5C717D">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营业收入50万元以下</w:t>
            </w:r>
          </w:p>
        </w:tc>
      </w:tr>
      <w:tr w14:paraId="4A24E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vAlign w:val="center"/>
          </w:tcPr>
          <w:p w14:paraId="142E9085">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w:t>
            </w:r>
          </w:p>
          <w:p w14:paraId="0E7C1D8E">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（包括采矿业，制造业，电力、热力、燃气及水生产和供应</w:t>
            </w:r>
          </w:p>
          <w:p w14:paraId="12617CA8">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w:t>
            </w:r>
          </w:p>
        </w:tc>
        <w:tc>
          <w:tcPr>
            <w:tcW w:w="8039" w:type="dxa"/>
            <w:gridSpan w:val="3"/>
            <w:shd w:val="clear" w:color="auto" w:fill="FFFFFF"/>
            <w:vAlign w:val="center"/>
          </w:tcPr>
          <w:p w14:paraId="12E33F08">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从业人员1 000人以下或营业收入 40000万元以下的为中小微型企业。</w:t>
            </w:r>
          </w:p>
        </w:tc>
      </w:tr>
      <w:tr w14:paraId="3391D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vAlign w:val="center"/>
          </w:tcPr>
          <w:p w14:paraId="25865EAE">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vAlign w:val="center"/>
          </w:tcPr>
          <w:p w14:paraId="4AC2B316">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990" w:type="dxa"/>
            <w:shd w:val="clear" w:color="auto" w:fill="FFFFFF"/>
            <w:vAlign w:val="center"/>
          </w:tcPr>
          <w:p w14:paraId="2FE851CF">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从业人员300人及以上，且营业收入2000万元及以上</w:t>
            </w:r>
          </w:p>
        </w:tc>
      </w:tr>
      <w:tr w14:paraId="56EF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vAlign w:val="center"/>
          </w:tcPr>
          <w:p w14:paraId="7DC5BBE0">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vAlign w:val="center"/>
          </w:tcPr>
          <w:p w14:paraId="6051DC4F">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990" w:type="dxa"/>
            <w:shd w:val="clear" w:color="auto" w:fill="FFFFFF"/>
            <w:vAlign w:val="center"/>
          </w:tcPr>
          <w:p w14:paraId="6A532549">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从业人员20人及以上，且营业收入300万元及以上</w:t>
            </w:r>
          </w:p>
        </w:tc>
      </w:tr>
      <w:tr w14:paraId="46A5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vAlign w:val="center"/>
          </w:tcPr>
          <w:p w14:paraId="10C24471">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vAlign w:val="center"/>
          </w:tcPr>
          <w:p w14:paraId="5197B75B">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990" w:type="dxa"/>
            <w:shd w:val="clear" w:color="auto" w:fill="FFFFFF"/>
            <w:vAlign w:val="center"/>
          </w:tcPr>
          <w:p w14:paraId="505DA299">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从业人员20人以下或营业收入300万元以下</w:t>
            </w:r>
          </w:p>
        </w:tc>
      </w:tr>
      <w:tr w14:paraId="28F69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vAlign w:val="center"/>
          </w:tcPr>
          <w:p w14:paraId="2584B25F">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建筑业</w:t>
            </w:r>
          </w:p>
        </w:tc>
        <w:tc>
          <w:tcPr>
            <w:tcW w:w="8039" w:type="dxa"/>
            <w:gridSpan w:val="3"/>
            <w:shd w:val="clear" w:color="auto" w:fill="FFFFFF"/>
            <w:vAlign w:val="center"/>
          </w:tcPr>
          <w:p w14:paraId="1314EBA6">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营业收入80000万元以下或资产总额 80000万元以下的为中小微型企业。</w:t>
            </w:r>
          </w:p>
        </w:tc>
      </w:tr>
      <w:tr w14:paraId="1A78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vAlign w:val="center"/>
          </w:tcPr>
          <w:p w14:paraId="4381C44B">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vAlign w:val="center"/>
          </w:tcPr>
          <w:p w14:paraId="36AAC9DE">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990" w:type="dxa"/>
            <w:shd w:val="clear" w:color="auto" w:fill="FFFFFF"/>
            <w:vAlign w:val="center"/>
          </w:tcPr>
          <w:p w14:paraId="5FDD6B3B">
            <w:pPr>
              <w:pStyle w:val="329"/>
              <w:shd w:val="clear" w:color="auto" w:fill="auto"/>
              <w:spacing w:line="240" w:lineRule="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营业收入6000万元及以上，且资产总额5000万元及以上</w:t>
            </w:r>
          </w:p>
        </w:tc>
      </w:tr>
      <w:tr w14:paraId="04C5C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vAlign w:val="center"/>
          </w:tcPr>
          <w:p w14:paraId="4E9E869F">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vAlign w:val="center"/>
          </w:tcPr>
          <w:p w14:paraId="5AB291FE">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990" w:type="dxa"/>
            <w:shd w:val="clear" w:color="auto" w:fill="FFFFFF"/>
            <w:vAlign w:val="center"/>
          </w:tcPr>
          <w:p w14:paraId="2E7E60D1">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营业收入300万元及以上，且资产总额300万元及以上</w:t>
            </w:r>
          </w:p>
        </w:tc>
      </w:tr>
      <w:tr w14:paraId="22FD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vAlign w:val="center"/>
          </w:tcPr>
          <w:p w14:paraId="6F9B7B18">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vAlign w:val="center"/>
          </w:tcPr>
          <w:p w14:paraId="2110AD3B">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990" w:type="dxa"/>
            <w:shd w:val="clear" w:color="auto" w:fill="FFFFFF"/>
            <w:vAlign w:val="center"/>
          </w:tcPr>
          <w:p w14:paraId="7B66B234">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营业收入300万元以下或资产总额300万元以下</w:t>
            </w:r>
          </w:p>
        </w:tc>
      </w:tr>
      <w:tr w14:paraId="35C1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vAlign w:val="center"/>
          </w:tcPr>
          <w:p w14:paraId="230B6E75">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批发业</w:t>
            </w:r>
          </w:p>
        </w:tc>
        <w:tc>
          <w:tcPr>
            <w:tcW w:w="8039" w:type="dxa"/>
            <w:gridSpan w:val="3"/>
            <w:shd w:val="clear" w:color="auto" w:fill="FFFFFF"/>
            <w:vAlign w:val="center"/>
          </w:tcPr>
          <w:p w14:paraId="22DD0705">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从业人员200人以下或营业收入 40000万元以下的为中小微型企业。</w:t>
            </w:r>
          </w:p>
        </w:tc>
      </w:tr>
      <w:tr w14:paraId="13992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vAlign w:val="center"/>
          </w:tcPr>
          <w:p w14:paraId="317A4C79">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vAlign w:val="center"/>
          </w:tcPr>
          <w:p w14:paraId="065BE0FC">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990" w:type="dxa"/>
            <w:shd w:val="clear" w:color="auto" w:fill="FFFFFF"/>
            <w:vAlign w:val="center"/>
          </w:tcPr>
          <w:p w14:paraId="2A468932">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从业人员20人及以上，且营业收入5000万元及以上</w:t>
            </w:r>
          </w:p>
        </w:tc>
      </w:tr>
      <w:tr w14:paraId="4A80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vAlign w:val="center"/>
          </w:tcPr>
          <w:p w14:paraId="37AA53E5">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vAlign w:val="center"/>
          </w:tcPr>
          <w:p w14:paraId="7453805F">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990" w:type="dxa"/>
            <w:shd w:val="clear" w:color="auto" w:fill="FFFFFF"/>
            <w:vAlign w:val="center"/>
          </w:tcPr>
          <w:p w14:paraId="00EB51E9">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从业人员5人及以上，且营业收入1000万元及以上</w:t>
            </w:r>
          </w:p>
        </w:tc>
      </w:tr>
      <w:tr w14:paraId="6389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vAlign w:val="center"/>
          </w:tcPr>
          <w:p w14:paraId="361CB898">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vAlign w:val="center"/>
          </w:tcPr>
          <w:p w14:paraId="17F45305">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990" w:type="dxa"/>
            <w:shd w:val="clear" w:color="auto" w:fill="FFFFFF"/>
            <w:vAlign w:val="center"/>
          </w:tcPr>
          <w:p w14:paraId="6AE1FEA1">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从业人员5人以下或营业收入1000万元以下</w:t>
            </w:r>
          </w:p>
        </w:tc>
      </w:tr>
      <w:tr w14:paraId="75F2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vAlign w:val="center"/>
          </w:tcPr>
          <w:p w14:paraId="43A771DB">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零售业</w:t>
            </w:r>
          </w:p>
        </w:tc>
        <w:tc>
          <w:tcPr>
            <w:tcW w:w="8039" w:type="dxa"/>
            <w:gridSpan w:val="3"/>
            <w:shd w:val="clear" w:color="auto" w:fill="FFFFFF"/>
            <w:vAlign w:val="center"/>
          </w:tcPr>
          <w:p w14:paraId="164A9F08">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从业人员300人以下或营业收入 20 000万元以下的为中小微型企业。</w:t>
            </w:r>
          </w:p>
        </w:tc>
      </w:tr>
      <w:tr w14:paraId="4BA8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vAlign w:val="center"/>
          </w:tcPr>
          <w:p w14:paraId="71FA636C">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vAlign w:val="center"/>
          </w:tcPr>
          <w:p w14:paraId="3E573991">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990" w:type="dxa"/>
            <w:shd w:val="clear" w:color="auto" w:fill="FFFFFF"/>
            <w:vAlign w:val="center"/>
          </w:tcPr>
          <w:p w14:paraId="69112E50">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从业人员50人及以上，且营业收入500万元及以上</w:t>
            </w:r>
          </w:p>
        </w:tc>
      </w:tr>
      <w:tr w14:paraId="1406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vAlign w:val="center"/>
          </w:tcPr>
          <w:p w14:paraId="52ABC800">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vAlign w:val="center"/>
          </w:tcPr>
          <w:p w14:paraId="1147C0C7">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990" w:type="dxa"/>
            <w:shd w:val="clear" w:color="auto" w:fill="FFFFFF"/>
            <w:vAlign w:val="center"/>
          </w:tcPr>
          <w:p w14:paraId="66E44608">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从业人员10人及以上，且营业收入100万元及以上</w:t>
            </w:r>
          </w:p>
        </w:tc>
      </w:tr>
      <w:tr w14:paraId="491B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vAlign w:val="center"/>
          </w:tcPr>
          <w:p w14:paraId="6AAA5CC6">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vAlign w:val="center"/>
          </w:tcPr>
          <w:p w14:paraId="1F9511F4">
            <w:pPr>
              <w:pStyle w:val="329"/>
              <w:shd w:val="clear" w:color="auto" w:fill="auto"/>
              <w:spacing w:before="8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990" w:type="dxa"/>
            <w:shd w:val="clear" w:color="auto" w:fill="FFFFFF"/>
            <w:vAlign w:val="center"/>
          </w:tcPr>
          <w:p w14:paraId="23FBFA77">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从业人员10人以下或营业收入100万元以下</w:t>
            </w:r>
          </w:p>
        </w:tc>
      </w:tr>
      <w:tr w14:paraId="3A0C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vAlign w:val="center"/>
          </w:tcPr>
          <w:p w14:paraId="7925B360">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交通运输业 （不含铁路运输业）</w:t>
            </w:r>
          </w:p>
        </w:tc>
        <w:tc>
          <w:tcPr>
            <w:tcW w:w="8039" w:type="dxa"/>
            <w:gridSpan w:val="3"/>
            <w:shd w:val="clear" w:color="auto" w:fill="FFFFFF"/>
            <w:vAlign w:val="center"/>
          </w:tcPr>
          <w:p w14:paraId="77722A63">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从业人员1 000人以下或营业收入 30 000万元以下的为中小微型企业。</w:t>
            </w:r>
          </w:p>
        </w:tc>
      </w:tr>
      <w:tr w14:paraId="139D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vAlign w:val="center"/>
          </w:tcPr>
          <w:p w14:paraId="390BD308">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vAlign w:val="center"/>
          </w:tcPr>
          <w:p w14:paraId="3DB55312">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990" w:type="dxa"/>
            <w:shd w:val="clear" w:color="auto" w:fill="FFFFFF"/>
            <w:vAlign w:val="center"/>
          </w:tcPr>
          <w:p w14:paraId="630ADFDE">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从业人员300人及以上，且营业收入3000万元及以上</w:t>
            </w:r>
          </w:p>
        </w:tc>
      </w:tr>
      <w:tr w14:paraId="6C335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vAlign w:val="center"/>
          </w:tcPr>
          <w:p w14:paraId="11241504">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vAlign w:val="center"/>
          </w:tcPr>
          <w:p w14:paraId="64409588">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990" w:type="dxa"/>
            <w:shd w:val="clear" w:color="auto" w:fill="FFFFFF"/>
            <w:vAlign w:val="center"/>
          </w:tcPr>
          <w:p w14:paraId="2E0F66CE">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从业人员20人及以上，且营业收入200万元及以上</w:t>
            </w:r>
          </w:p>
        </w:tc>
      </w:tr>
      <w:tr w14:paraId="4C31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vAlign w:val="center"/>
          </w:tcPr>
          <w:p w14:paraId="23CF78CA">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vAlign w:val="center"/>
          </w:tcPr>
          <w:p w14:paraId="067EB15A">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990" w:type="dxa"/>
            <w:shd w:val="clear" w:color="auto" w:fill="FFFFFF"/>
            <w:vAlign w:val="center"/>
          </w:tcPr>
          <w:p w14:paraId="548DC09A">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从业人员20人以下或营业收入200万元以下</w:t>
            </w:r>
          </w:p>
        </w:tc>
      </w:tr>
      <w:tr w14:paraId="7B1E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vAlign w:val="center"/>
          </w:tcPr>
          <w:p w14:paraId="54556489">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仓储业</w:t>
            </w:r>
          </w:p>
        </w:tc>
        <w:tc>
          <w:tcPr>
            <w:tcW w:w="8039" w:type="dxa"/>
            <w:gridSpan w:val="3"/>
            <w:shd w:val="clear" w:color="auto" w:fill="FFFFFF"/>
            <w:vAlign w:val="center"/>
          </w:tcPr>
          <w:p w14:paraId="7303F3E6">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从业人员200人以下或营业收入 30 000万元以下的为中小微型企业。</w:t>
            </w:r>
          </w:p>
        </w:tc>
      </w:tr>
      <w:tr w14:paraId="5776C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vAlign w:val="center"/>
          </w:tcPr>
          <w:p w14:paraId="00B46927">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vAlign w:val="center"/>
          </w:tcPr>
          <w:p w14:paraId="5D89F64E">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990" w:type="dxa"/>
            <w:shd w:val="clear" w:color="auto" w:fill="FFFFFF"/>
            <w:vAlign w:val="center"/>
          </w:tcPr>
          <w:p w14:paraId="161DD4F7">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从业人员100人及以上，且营业收入1000万元及以上</w:t>
            </w:r>
          </w:p>
        </w:tc>
      </w:tr>
      <w:tr w14:paraId="108F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vAlign w:val="center"/>
          </w:tcPr>
          <w:p w14:paraId="343246FD">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vAlign w:val="center"/>
          </w:tcPr>
          <w:p w14:paraId="1E0B0AE9">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990" w:type="dxa"/>
            <w:shd w:val="clear" w:color="auto" w:fill="FFFFFF"/>
            <w:vAlign w:val="center"/>
          </w:tcPr>
          <w:p w14:paraId="48487D40">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从业人员20人及以上，且营业收入100万元及以上</w:t>
            </w:r>
          </w:p>
        </w:tc>
      </w:tr>
      <w:tr w14:paraId="6386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vAlign w:val="center"/>
          </w:tcPr>
          <w:p w14:paraId="31AAA1C8">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vAlign w:val="center"/>
          </w:tcPr>
          <w:p w14:paraId="12AE53E5">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990" w:type="dxa"/>
            <w:shd w:val="clear" w:color="auto" w:fill="FFFFFF"/>
            <w:vAlign w:val="center"/>
          </w:tcPr>
          <w:p w14:paraId="6738BD1E">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从业人员20人以下或营业收入100万元以下</w:t>
            </w:r>
          </w:p>
        </w:tc>
      </w:tr>
      <w:tr w14:paraId="1929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vAlign w:val="center"/>
          </w:tcPr>
          <w:p w14:paraId="536E892A">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邮政业</w:t>
            </w:r>
          </w:p>
        </w:tc>
        <w:tc>
          <w:tcPr>
            <w:tcW w:w="8039" w:type="dxa"/>
            <w:gridSpan w:val="3"/>
            <w:shd w:val="clear" w:color="auto" w:fill="FFFFFF"/>
            <w:vAlign w:val="center"/>
          </w:tcPr>
          <w:p w14:paraId="37F6A671">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从业人员1 000人以下或营业收入 30 000万元以下的为中小微型企业。</w:t>
            </w:r>
          </w:p>
        </w:tc>
      </w:tr>
      <w:tr w14:paraId="6449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vAlign w:val="center"/>
          </w:tcPr>
          <w:p w14:paraId="5278421B">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vAlign w:val="center"/>
          </w:tcPr>
          <w:p w14:paraId="11454BAA">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990" w:type="dxa"/>
            <w:shd w:val="clear" w:color="auto" w:fill="FFFFFF"/>
            <w:vAlign w:val="center"/>
          </w:tcPr>
          <w:p w14:paraId="3AFE7435">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从业人员300人及以上，且营业收入2000万元及以上</w:t>
            </w:r>
          </w:p>
        </w:tc>
      </w:tr>
      <w:tr w14:paraId="7AF29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vAlign w:val="center"/>
          </w:tcPr>
          <w:p w14:paraId="6F10B621">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vAlign w:val="center"/>
          </w:tcPr>
          <w:p w14:paraId="3A19ABAC">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990" w:type="dxa"/>
            <w:shd w:val="clear" w:color="auto" w:fill="FFFFFF"/>
            <w:vAlign w:val="center"/>
          </w:tcPr>
          <w:p w14:paraId="24D827BB">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从业人员20人及以上，且营业收入100万元及以上</w:t>
            </w:r>
          </w:p>
        </w:tc>
      </w:tr>
      <w:tr w14:paraId="4D77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vAlign w:val="center"/>
          </w:tcPr>
          <w:p w14:paraId="30513C8C">
            <w:pPr>
              <w:shd w:val="clear" w:color="auto" w:fill="auto"/>
              <w:spacing w:line="240" w:lineRule="auto"/>
              <w:jc w:val="center"/>
              <w:rPr>
                <w:rFonts w:hint="eastAsia" w:ascii="宋体" w:hAnsi="宋体" w:eastAsia="宋体" w:cs="宋体"/>
                <w:color w:val="auto"/>
                <w:sz w:val="21"/>
                <w:szCs w:val="21"/>
                <w:highlight w:val="none"/>
              </w:rPr>
            </w:pPr>
          </w:p>
        </w:tc>
        <w:tc>
          <w:tcPr>
            <w:tcW w:w="1049" w:type="dxa"/>
            <w:gridSpan w:val="2"/>
            <w:shd w:val="clear" w:color="auto" w:fill="FFFFFF"/>
            <w:vAlign w:val="center"/>
          </w:tcPr>
          <w:p w14:paraId="4AA10191">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990" w:type="dxa"/>
            <w:shd w:val="clear" w:color="auto" w:fill="FFFFFF"/>
            <w:vAlign w:val="center"/>
          </w:tcPr>
          <w:p w14:paraId="1D18197D">
            <w:pPr>
              <w:pStyle w:val="329"/>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从业人员20人以下或营业收入100万元以下</w:t>
            </w:r>
          </w:p>
        </w:tc>
      </w:tr>
      <w:tr w14:paraId="4D15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vAlign w:val="center"/>
          </w:tcPr>
          <w:p w14:paraId="3E3761F3">
            <w:pPr>
              <w:pStyle w:val="329"/>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住宿业</w:t>
            </w:r>
          </w:p>
        </w:tc>
        <w:tc>
          <w:tcPr>
            <w:tcW w:w="8077" w:type="dxa"/>
            <w:gridSpan w:val="5"/>
            <w:shd w:val="clear" w:color="auto" w:fill="FFFFFF"/>
            <w:vAlign w:val="center"/>
          </w:tcPr>
          <w:p w14:paraId="4D39E4D5">
            <w:pPr>
              <w:pStyle w:val="329"/>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从业人员300人以下或营业收入 10000万元以下的为中小微型企业。</w:t>
            </w:r>
          </w:p>
        </w:tc>
      </w:tr>
      <w:tr w14:paraId="21E4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vAlign w:val="center"/>
          </w:tcPr>
          <w:p w14:paraId="666BF7C6">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vAlign w:val="center"/>
          </w:tcPr>
          <w:p w14:paraId="1083900D">
            <w:pPr>
              <w:pStyle w:val="329"/>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7308" w:type="dxa"/>
            <w:gridSpan w:val="3"/>
            <w:shd w:val="clear" w:color="auto" w:fill="FFFFFF"/>
            <w:vAlign w:val="center"/>
          </w:tcPr>
          <w:p w14:paraId="7C60174C">
            <w:pPr>
              <w:pStyle w:val="329"/>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从业人员100人及以上，且营业收入2000万元及以上</w:t>
            </w:r>
          </w:p>
        </w:tc>
      </w:tr>
      <w:tr w14:paraId="5776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vAlign w:val="center"/>
          </w:tcPr>
          <w:p w14:paraId="44A58E04">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vAlign w:val="center"/>
          </w:tcPr>
          <w:p w14:paraId="1B5DA2F3">
            <w:pPr>
              <w:pStyle w:val="329"/>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7308" w:type="dxa"/>
            <w:gridSpan w:val="3"/>
            <w:shd w:val="clear" w:color="auto" w:fill="FFFFFF"/>
            <w:vAlign w:val="center"/>
          </w:tcPr>
          <w:p w14:paraId="57DDF418">
            <w:pPr>
              <w:pStyle w:val="329"/>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从业人员10人及以上，且营业收入100万元及以上</w:t>
            </w:r>
          </w:p>
        </w:tc>
      </w:tr>
      <w:tr w14:paraId="0AC54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vAlign w:val="center"/>
          </w:tcPr>
          <w:p w14:paraId="325A8DD2">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vAlign w:val="center"/>
          </w:tcPr>
          <w:p w14:paraId="683C0E8B">
            <w:pPr>
              <w:pStyle w:val="329"/>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7308" w:type="dxa"/>
            <w:gridSpan w:val="3"/>
            <w:shd w:val="clear" w:color="auto" w:fill="FFFFFF"/>
            <w:vAlign w:val="center"/>
          </w:tcPr>
          <w:p w14:paraId="40E95888">
            <w:pPr>
              <w:pStyle w:val="329"/>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从业人员10人以下或营业收入100万元以下</w:t>
            </w:r>
          </w:p>
        </w:tc>
      </w:tr>
      <w:tr w14:paraId="51F18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vAlign w:val="center"/>
          </w:tcPr>
          <w:p w14:paraId="27B80584">
            <w:pPr>
              <w:pStyle w:val="329"/>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餐饮业</w:t>
            </w:r>
          </w:p>
        </w:tc>
        <w:tc>
          <w:tcPr>
            <w:tcW w:w="8077" w:type="dxa"/>
            <w:gridSpan w:val="5"/>
            <w:shd w:val="clear" w:color="auto" w:fill="FFFFFF"/>
            <w:vAlign w:val="center"/>
          </w:tcPr>
          <w:p w14:paraId="266D357B">
            <w:pPr>
              <w:pStyle w:val="329"/>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从业人员300人以下或营业收入 10 000万元以下的为中小微型企业。</w:t>
            </w:r>
          </w:p>
        </w:tc>
      </w:tr>
      <w:tr w14:paraId="3528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vAlign w:val="center"/>
          </w:tcPr>
          <w:p w14:paraId="5DEB3C5E">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vAlign w:val="center"/>
          </w:tcPr>
          <w:p w14:paraId="220EEBE2">
            <w:pPr>
              <w:pStyle w:val="329"/>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7308" w:type="dxa"/>
            <w:gridSpan w:val="3"/>
            <w:shd w:val="clear" w:color="auto" w:fill="FFFFFF"/>
            <w:vAlign w:val="center"/>
          </w:tcPr>
          <w:p w14:paraId="4130A483">
            <w:pPr>
              <w:pStyle w:val="329"/>
              <w:shd w:val="clear" w:color="auto" w:fill="auto"/>
              <w:ind w:firstLine="140" w:firstLineChars="0"/>
              <w:jc w:val="center"/>
              <w:rPr>
                <w:rFonts w:hint="eastAsia" w:ascii="宋体" w:hAnsi="宋体" w:eastAsia="宋体" w:cs="宋体"/>
                <w:color w:val="auto"/>
                <w:kern w:val="2"/>
                <w:sz w:val="21"/>
                <w:szCs w:val="21"/>
                <w:highlight w:val="none"/>
                <w:u w:val="none"/>
                <w:lang w:val="zh-CN" w:eastAsia="zh-CN" w:bidi="zh-CN"/>
              </w:rPr>
            </w:pPr>
            <w:r>
              <w:rPr>
                <w:rFonts w:hint="eastAsia" w:ascii="宋体" w:hAnsi="宋体" w:eastAsia="宋体" w:cs="宋体"/>
                <w:color w:val="auto"/>
                <w:sz w:val="21"/>
                <w:szCs w:val="21"/>
                <w:highlight w:val="none"/>
              </w:rPr>
              <w:t>从业人员100人及以上，且营业收入2000万元及以上</w:t>
            </w:r>
          </w:p>
        </w:tc>
      </w:tr>
      <w:tr w14:paraId="7F60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vAlign w:val="center"/>
          </w:tcPr>
          <w:p w14:paraId="047CEA59">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vAlign w:val="center"/>
          </w:tcPr>
          <w:p w14:paraId="6593EF30">
            <w:pPr>
              <w:pStyle w:val="329"/>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7308" w:type="dxa"/>
            <w:gridSpan w:val="3"/>
            <w:shd w:val="clear" w:color="auto" w:fill="FFFFFF"/>
            <w:vAlign w:val="center"/>
          </w:tcPr>
          <w:p w14:paraId="07FDB12C">
            <w:pPr>
              <w:pStyle w:val="329"/>
              <w:shd w:val="clear" w:color="auto" w:fill="auto"/>
              <w:ind w:firstLine="140" w:firstLineChars="0"/>
              <w:jc w:val="center"/>
              <w:rPr>
                <w:rFonts w:hint="eastAsia" w:ascii="宋体" w:hAnsi="宋体" w:eastAsia="宋体" w:cs="宋体"/>
                <w:color w:val="auto"/>
                <w:kern w:val="2"/>
                <w:sz w:val="21"/>
                <w:szCs w:val="21"/>
                <w:highlight w:val="none"/>
                <w:u w:val="none"/>
                <w:lang w:val="zh-CN" w:eastAsia="zh-CN" w:bidi="zh-CN"/>
              </w:rPr>
            </w:pPr>
            <w:r>
              <w:rPr>
                <w:rFonts w:hint="eastAsia" w:ascii="宋体" w:hAnsi="宋体" w:eastAsia="宋体" w:cs="宋体"/>
                <w:color w:val="auto"/>
                <w:sz w:val="21"/>
                <w:szCs w:val="21"/>
                <w:highlight w:val="none"/>
              </w:rPr>
              <w:t>从业人员10人及以上，且营业收入100万元及以上</w:t>
            </w:r>
          </w:p>
        </w:tc>
      </w:tr>
      <w:tr w14:paraId="0485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vAlign w:val="center"/>
          </w:tcPr>
          <w:p w14:paraId="549325EC">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vAlign w:val="center"/>
          </w:tcPr>
          <w:p w14:paraId="3B1FDD33">
            <w:pPr>
              <w:pStyle w:val="329"/>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7308" w:type="dxa"/>
            <w:gridSpan w:val="3"/>
            <w:shd w:val="clear" w:color="auto" w:fill="FFFFFF"/>
            <w:vAlign w:val="center"/>
          </w:tcPr>
          <w:p w14:paraId="2F330E33">
            <w:pPr>
              <w:pStyle w:val="329"/>
              <w:shd w:val="clear" w:color="auto" w:fill="auto"/>
              <w:ind w:firstLine="140" w:firstLineChars="0"/>
              <w:jc w:val="center"/>
              <w:rPr>
                <w:rFonts w:hint="eastAsia" w:ascii="宋体" w:hAnsi="宋体" w:eastAsia="宋体" w:cs="宋体"/>
                <w:color w:val="auto"/>
                <w:kern w:val="2"/>
                <w:sz w:val="21"/>
                <w:szCs w:val="21"/>
                <w:highlight w:val="none"/>
                <w:u w:val="none"/>
                <w:lang w:val="zh-CN" w:eastAsia="zh-CN" w:bidi="zh-CN"/>
              </w:rPr>
            </w:pPr>
            <w:r>
              <w:rPr>
                <w:rFonts w:hint="eastAsia" w:ascii="宋体" w:hAnsi="宋体" w:eastAsia="宋体" w:cs="宋体"/>
                <w:color w:val="auto"/>
                <w:sz w:val="21"/>
                <w:szCs w:val="21"/>
                <w:highlight w:val="none"/>
              </w:rPr>
              <w:t>从业人员10人以下或营业收入100万元以下</w:t>
            </w:r>
          </w:p>
        </w:tc>
      </w:tr>
      <w:tr w14:paraId="15447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vAlign w:val="center"/>
          </w:tcPr>
          <w:p w14:paraId="4E8EA484">
            <w:pPr>
              <w:pStyle w:val="329"/>
              <w:shd w:val="clear" w:color="auto" w:fill="auto"/>
              <w:spacing w:line="492"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信息传输业 （包括电信、互联网 和相关服务）</w:t>
            </w:r>
          </w:p>
        </w:tc>
        <w:tc>
          <w:tcPr>
            <w:tcW w:w="8077" w:type="dxa"/>
            <w:gridSpan w:val="5"/>
            <w:shd w:val="clear" w:color="auto" w:fill="FFFFFF"/>
            <w:vAlign w:val="center"/>
          </w:tcPr>
          <w:p w14:paraId="0AE6E9FB">
            <w:pPr>
              <w:pStyle w:val="329"/>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从业人员2 000人以下或营业收入 100 000万元以下的为中小微型企业。</w:t>
            </w:r>
          </w:p>
        </w:tc>
      </w:tr>
      <w:tr w14:paraId="1CD3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vAlign w:val="center"/>
          </w:tcPr>
          <w:p w14:paraId="583C7F45">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vAlign w:val="center"/>
          </w:tcPr>
          <w:p w14:paraId="74F4596D">
            <w:pPr>
              <w:pStyle w:val="329"/>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7308" w:type="dxa"/>
            <w:gridSpan w:val="3"/>
            <w:shd w:val="clear" w:color="auto" w:fill="FFFFFF"/>
            <w:vAlign w:val="center"/>
          </w:tcPr>
          <w:p w14:paraId="2586C0BF">
            <w:pPr>
              <w:pStyle w:val="329"/>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从业人员100人及以上，且营业收入1000万元及以上</w:t>
            </w:r>
          </w:p>
        </w:tc>
      </w:tr>
      <w:tr w14:paraId="26EE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vAlign w:val="center"/>
          </w:tcPr>
          <w:p w14:paraId="651E7EE1">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vAlign w:val="center"/>
          </w:tcPr>
          <w:p w14:paraId="3E322E8E">
            <w:pPr>
              <w:pStyle w:val="329"/>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7308" w:type="dxa"/>
            <w:gridSpan w:val="3"/>
            <w:shd w:val="clear" w:color="auto" w:fill="FFFFFF"/>
            <w:vAlign w:val="center"/>
          </w:tcPr>
          <w:p w14:paraId="02DBF0B1">
            <w:pPr>
              <w:pStyle w:val="329"/>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从业人员10人及以上，且营业收入100万元及以上</w:t>
            </w:r>
          </w:p>
        </w:tc>
      </w:tr>
      <w:tr w14:paraId="2563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vAlign w:val="center"/>
          </w:tcPr>
          <w:p w14:paraId="7F0BEDD5">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vAlign w:val="center"/>
          </w:tcPr>
          <w:p w14:paraId="77BCAEBF">
            <w:pPr>
              <w:pStyle w:val="329"/>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7308" w:type="dxa"/>
            <w:gridSpan w:val="3"/>
            <w:shd w:val="clear" w:color="auto" w:fill="FFFFFF"/>
            <w:vAlign w:val="center"/>
          </w:tcPr>
          <w:p w14:paraId="0DB7FDB2">
            <w:pPr>
              <w:pStyle w:val="329"/>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从业人员10人以下或营业收入100万元以下</w:t>
            </w:r>
          </w:p>
        </w:tc>
      </w:tr>
      <w:tr w14:paraId="06D39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vAlign w:val="center"/>
          </w:tcPr>
          <w:p w14:paraId="11D25BC8">
            <w:pPr>
              <w:pStyle w:val="329"/>
              <w:shd w:val="clear" w:color="auto" w:fill="auto"/>
              <w:spacing w:line="509"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软件和信息技术服务业</w:t>
            </w:r>
          </w:p>
        </w:tc>
        <w:tc>
          <w:tcPr>
            <w:tcW w:w="8077" w:type="dxa"/>
            <w:gridSpan w:val="5"/>
            <w:shd w:val="clear" w:color="auto" w:fill="FFFFFF"/>
            <w:vAlign w:val="center"/>
          </w:tcPr>
          <w:p w14:paraId="703BDB65">
            <w:pPr>
              <w:pStyle w:val="329"/>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从业人员300人以下或营业收入 10000万元以下的为中小微型企业。</w:t>
            </w:r>
          </w:p>
        </w:tc>
      </w:tr>
      <w:tr w14:paraId="5A53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vAlign w:val="center"/>
          </w:tcPr>
          <w:p w14:paraId="56D1CFDA">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vAlign w:val="center"/>
          </w:tcPr>
          <w:p w14:paraId="73906C63">
            <w:pPr>
              <w:pStyle w:val="329"/>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7308" w:type="dxa"/>
            <w:gridSpan w:val="3"/>
            <w:shd w:val="clear" w:color="auto" w:fill="FFFFFF"/>
            <w:vAlign w:val="center"/>
          </w:tcPr>
          <w:p w14:paraId="6F886514">
            <w:pPr>
              <w:pStyle w:val="329"/>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从业人员100人及以上，且营业收入1000万元及以上</w:t>
            </w:r>
          </w:p>
        </w:tc>
      </w:tr>
      <w:tr w14:paraId="15C9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vAlign w:val="center"/>
          </w:tcPr>
          <w:p w14:paraId="3F243A24">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vAlign w:val="center"/>
          </w:tcPr>
          <w:p w14:paraId="220A0DB7">
            <w:pPr>
              <w:pStyle w:val="329"/>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7308" w:type="dxa"/>
            <w:gridSpan w:val="3"/>
            <w:shd w:val="clear" w:color="auto" w:fill="FFFFFF"/>
            <w:vAlign w:val="center"/>
          </w:tcPr>
          <w:p w14:paraId="37ECCE87">
            <w:pPr>
              <w:pStyle w:val="329"/>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从业人员10人及以上，且营业收入50万元及以上</w:t>
            </w:r>
          </w:p>
        </w:tc>
      </w:tr>
      <w:tr w14:paraId="223D8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vAlign w:val="center"/>
          </w:tcPr>
          <w:p w14:paraId="74F1168E">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vAlign w:val="center"/>
          </w:tcPr>
          <w:p w14:paraId="032E9CB3">
            <w:pPr>
              <w:pStyle w:val="329"/>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7308" w:type="dxa"/>
            <w:gridSpan w:val="3"/>
            <w:shd w:val="clear" w:color="auto" w:fill="FFFFFF"/>
            <w:vAlign w:val="center"/>
          </w:tcPr>
          <w:p w14:paraId="16F192D5">
            <w:pPr>
              <w:pStyle w:val="329"/>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从业人员10人以下或营业收入50万元以下</w:t>
            </w:r>
          </w:p>
        </w:tc>
      </w:tr>
      <w:tr w14:paraId="7B2A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vAlign w:val="center"/>
          </w:tcPr>
          <w:p w14:paraId="05263A35">
            <w:pPr>
              <w:pStyle w:val="329"/>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房地产开发经营</w:t>
            </w:r>
          </w:p>
        </w:tc>
        <w:tc>
          <w:tcPr>
            <w:tcW w:w="8077" w:type="dxa"/>
            <w:gridSpan w:val="5"/>
            <w:shd w:val="clear" w:color="auto" w:fill="FFFFFF"/>
            <w:vAlign w:val="center"/>
          </w:tcPr>
          <w:p w14:paraId="2596F051">
            <w:pPr>
              <w:pStyle w:val="329"/>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营业收入200 000万元以下或资产总额 10 000万元以下的为中小微型企业。</w:t>
            </w:r>
          </w:p>
        </w:tc>
      </w:tr>
      <w:tr w14:paraId="240C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vAlign w:val="center"/>
          </w:tcPr>
          <w:p w14:paraId="7470F253">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vAlign w:val="center"/>
          </w:tcPr>
          <w:p w14:paraId="53C1C5D1">
            <w:pPr>
              <w:pStyle w:val="329"/>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7308" w:type="dxa"/>
            <w:gridSpan w:val="3"/>
            <w:shd w:val="clear" w:color="auto" w:fill="FFFFFF"/>
            <w:vAlign w:val="center"/>
          </w:tcPr>
          <w:p w14:paraId="74555843">
            <w:pPr>
              <w:pStyle w:val="329"/>
              <w:shd w:val="clear" w:color="auto" w:fill="auto"/>
              <w:spacing w:after="120"/>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营业收入1000万元及以上，且资产总额5000万元及以上</w:t>
            </w:r>
          </w:p>
        </w:tc>
      </w:tr>
      <w:tr w14:paraId="5C65E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vAlign w:val="center"/>
          </w:tcPr>
          <w:p w14:paraId="065A03B2">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vAlign w:val="center"/>
          </w:tcPr>
          <w:p w14:paraId="5DCE7F93">
            <w:pPr>
              <w:pStyle w:val="329"/>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7308" w:type="dxa"/>
            <w:gridSpan w:val="3"/>
            <w:shd w:val="clear" w:color="auto" w:fill="FFFFFF"/>
            <w:vAlign w:val="center"/>
          </w:tcPr>
          <w:p w14:paraId="347EEA6B">
            <w:pPr>
              <w:pStyle w:val="329"/>
              <w:shd w:val="clear" w:color="auto" w:fill="auto"/>
              <w:spacing w:line="240" w:lineRule="auto"/>
              <w:ind w:left="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营业收入100万元及以上，且资产总额2000万元及以上</w:t>
            </w:r>
          </w:p>
        </w:tc>
      </w:tr>
      <w:tr w14:paraId="0AF4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vAlign w:val="center"/>
          </w:tcPr>
          <w:p w14:paraId="7E895E92">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vAlign w:val="center"/>
          </w:tcPr>
          <w:p w14:paraId="35A92547">
            <w:pPr>
              <w:pStyle w:val="329"/>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7308" w:type="dxa"/>
            <w:gridSpan w:val="3"/>
            <w:shd w:val="clear" w:color="auto" w:fill="FFFFFF"/>
            <w:vAlign w:val="center"/>
          </w:tcPr>
          <w:p w14:paraId="0DE6D9B2">
            <w:pPr>
              <w:pStyle w:val="329"/>
              <w:shd w:val="clear" w:color="auto" w:fill="auto"/>
              <w:tabs>
                <w:tab w:val="left" w:pos="5256"/>
              </w:tab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营业收入100万元以下或资产总额2000万元以下</w:t>
            </w:r>
          </w:p>
        </w:tc>
      </w:tr>
      <w:tr w14:paraId="5161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vAlign w:val="center"/>
          </w:tcPr>
          <w:p w14:paraId="7A724577">
            <w:pPr>
              <w:pStyle w:val="329"/>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物业管理</w:t>
            </w:r>
          </w:p>
        </w:tc>
        <w:tc>
          <w:tcPr>
            <w:tcW w:w="8077" w:type="dxa"/>
            <w:gridSpan w:val="5"/>
            <w:shd w:val="clear" w:color="auto" w:fill="FFFFFF"/>
            <w:vAlign w:val="center"/>
          </w:tcPr>
          <w:p w14:paraId="6D23D267">
            <w:pPr>
              <w:pStyle w:val="329"/>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从业人员1 000人以下或营业收入 5 000万元以下的为中小微型企业。</w:t>
            </w:r>
          </w:p>
        </w:tc>
      </w:tr>
      <w:tr w14:paraId="1910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vAlign w:val="center"/>
          </w:tcPr>
          <w:p w14:paraId="52532F51">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vAlign w:val="center"/>
          </w:tcPr>
          <w:p w14:paraId="3FD384AD">
            <w:pPr>
              <w:pStyle w:val="329"/>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7308" w:type="dxa"/>
            <w:gridSpan w:val="3"/>
            <w:shd w:val="clear" w:color="auto" w:fill="FFFFFF"/>
            <w:vAlign w:val="center"/>
          </w:tcPr>
          <w:p w14:paraId="543DA3B8">
            <w:pPr>
              <w:pStyle w:val="329"/>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从业人员300人及以上，且营业收入1000万元及以上</w:t>
            </w:r>
          </w:p>
        </w:tc>
      </w:tr>
      <w:tr w14:paraId="422A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vAlign w:val="center"/>
          </w:tcPr>
          <w:p w14:paraId="0B19D848">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vAlign w:val="center"/>
          </w:tcPr>
          <w:p w14:paraId="3EA9EB7B">
            <w:pPr>
              <w:pStyle w:val="329"/>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7308" w:type="dxa"/>
            <w:gridSpan w:val="3"/>
            <w:shd w:val="clear" w:color="auto" w:fill="FFFFFF"/>
            <w:vAlign w:val="center"/>
          </w:tcPr>
          <w:p w14:paraId="6232EFDB">
            <w:pPr>
              <w:pStyle w:val="329"/>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从业人员100人及以上，且营业收入500万元及以上</w:t>
            </w:r>
          </w:p>
        </w:tc>
      </w:tr>
      <w:tr w14:paraId="34DE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vAlign w:val="center"/>
          </w:tcPr>
          <w:p w14:paraId="0EAAD7C1">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vAlign w:val="center"/>
          </w:tcPr>
          <w:p w14:paraId="18AF9A31">
            <w:pPr>
              <w:pStyle w:val="329"/>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7308" w:type="dxa"/>
            <w:gridSpan w:val="3"/>
            <w:shd w:val="clear" w:color="auto" w:fill="FFFFFF"/>
            <w:vAlign w:val="center"/>
          </w:tcPr>
          <w:p w14:paraId="2386C943">
            <w:pPr>
              <w:pStyle w:val="329"/>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从业人员100人以下或营业收入500万元以下</w:t>
            </w:r>
          </w:p>
        </w:tc>
      </w:tr>
      <w:tr w14:paraId="5549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vAlign w:val="center"/>
          </w:tcPr>
          <w:p w14:paraId="33BBB72D">
            <w:pPr>
              <w:pStyle w:val="329"/>
              <w:shd w:val="clear" w:color="auto" w:fill="auto"/>
              <w:ind w:firstLine="2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租赁和商务服务业</w:t>
            </w:r>
          </w:p>
        </w:tc>
        <w:tc>
          <w:tcPr>
            <w:tcW w:w="8077" w:type="dxa"/>
            <w:gridSpan w:val="5"/>
            <w:shd w:val="clear" w:color="auto" w:fill="FFFFFF"/>
            <w:vAlign w:val="center"/>
          </w:tcPr>
          <w:p w14:paraId="7841D8BA">
            <w:pPr>
              <w:pStyle w:val="329"/>
              <w:shd w:val="clear" w:color="auto" w:fill="auto"/>
              <w:tabs>
                <w:tab w:val="left" w:pos="10666"/>
              </w:tabs>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从业人员300人以下或资产总额 120 000万元以下的为中小微型企业。 其中， 从业人员100人及以上，且资产总额 8 000万元及以上的为中型企业；从业 人员10人及以上，且资产总额 100万元及以上的为小型企业；从业人员</w:t>
            </w:r>
            <w:r>
              <w:rPr>
                <w:rFonts w:hint="eastAsia" w:ascii="宋体" w:hAnsi="宋体" w:eastAsia="宋体" w:cs="宋体"/>
                <w:color w:val="auto"/>
                <w:sz w:val="21"/>
                <w:szCs w:val="21"/>
                <w:highlight w:val="none"/>
                <w:lang w:val="en-US"/>
              </w:rPr>
              <w:t>10</w:t>
            </w:r>
            <w:r>
              <w:rPr>
                <w:rFonts w:hint="eastAsia" w:ascii="宋体" w:hAnsi="宋体" w:eastAsia="宋体" w:cs="宋体"/>
                <w:color w:val="auto"/>
                <w:sz w:val="21"/>
                <w:szCs w:val="21"/>
                <w:highlight w:val="none"/>
              </w:rPr>
              <w:t>人以下或资产总额 100万元以下的为微型企业。</w:t>
            </w:r>
          </w:p>
        </w:tc>
      </w:tr>
      <w:tr w14:paraId="4417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vAlign w:val="center"/>
          </w:tcPr>
          <w:p w14:paraId="6D209423">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vAlign w:val="center"/>
          </w:tcPr>
          <w:p w14:paraId="28437F69">
            <w:pPr>
              <w:pStyle w:val="329"/>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7308" w:type="dxa"/>
            <w:gridSpan w:val="3"/>
            <w:shd w:val="clear" w:color="auto" w:fill="FFFFFF"/>
            <w:vAlign w:val="center"/>
          </w:tcPr>
          <w:p w14:paraId="41C30D4D">
            <w:pPr>
              <w:pStyle w:val="329"/>
              <w:shd w:val="clear" w:color="auto" w:fill="auto"/>
              <w:ind w:firstLine="14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从业人员100人及以上，且资产总额8000万元及以上</w:t>
            </w:r>
          </w:p>
        </w:tc>
      </w:tr>
      <w:tr w14:paraId="2E75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vAlign w:val="center"/>
          </w:tcPr>
          <w:p w14:paraId="65E26738">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vAlign w:val="center"/>
          </w:tcPr>
          <w:p w14:paraId="57466E34">
            <w:pPr>
              <w:pStyle w:val="329"/>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7308" w:type="dxa"/>
            <w:gridSpan w:val="3"/>
            <w:shd w:val="clear" w:color="auto" w:fill="FFFFFF"/>
            <w:vAlign w:val="center"/>
          </w:tcPr>
          <w:p w14:paraId="5CB4AAEC">
            <w:pPr>
              <w:pStyle w:val="329"/>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从业人员10人及以上，且资产总额100万元及以上</w:t>
            </w:r>
          </w:p>
        </w:tc>
      </w:tr>
      <w:tr w14:paraId="510D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vAlign w:val="center"/>
          </w:tcPr>
          <w:p w14:paraId="20621179">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vAlign w:val="center"/>
          </w:tcPr>
          <w:p w14:paraId="056955C7">
            <w:pPr>
              <w:pStyle w:val="329"/>
              <w:shd w:val="clear" w:color="auto" w:fill="auto"/>
              <w:spacing w:before="1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7308" w:type="dxa"/>
            <w:gridSpan w:val="3"/>
            <w:shd w:val="clear" w:color="auto" w:fill="FFFFFF"/>
            <w:vAlign w:val="center"/>
          </w:tcPr>
          <w:p w14:paraId="705623F7">
            <w:pPr>
              <w:pStyle w:val="329"/>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从业人员10人以下或资产总额100万元以下</w:t>
            </w:r>
          </w:p>
        </w:tc>
      </w:tr>
      <w:tr w14:paraId="4144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vAlign w:val="center"/>
          </w:tcPr>
          <w:p w14:paraId="70F41D8C">
            <w:pPr>
              <w:pStyle w:val="329"/>
              <w:shd w:val="clear" w:color="auto" w:fill="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其他未列明行业</w:t>
            </w:r>
          </w:p>
        </w:tc>
        <w:tc>
          <w:tcPr>
            <w:tcW w:w="8077" w:type="dxa"/>
            <w:gridSpan w:val="5"/>
            <w:shd w:val="clear" w:color="auto" w:fill="FFFFFF"/>
            <w:vAlign w:val="center"/>
          </w:tcPr>
          <w:p w14:paraId="41E2CDD6">
            <w:pPr>
              <w:pStyle w:val="329"/>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从业人员300人以下的为中小微型企业。</w:t>
            </w:r>
          </w:p>
        </w:tc>
      </w:tr>
      <w:tr w14:paraId="13974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vAlign w:val="center"/>
          </w:tcPr>
          <w:p w14:paraId="302C994C">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vAlign w:val="center"/>
          </w:tcPr>
          <w:p w14:paraId="5AB18C62">
            <w:pPr>
              <w:pStyle w:val="329"/>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7308" w:type="dxa"/>
            <w:gridSpan w:val="3"/>
            <w:shd w:val="clear" w:color="auto" w:fill="FFFFFF"/>
            <w:vAlign w:val="center"/>
          </w:tcPr>
          <w:p w14:paraId="0D129358">
            <w:pPr>
              <w:pStyle w:val="329"/>
              <w:shd w:val="clear" w:color="auto" w:fill="auto"/>
              <w:ind w:firstLine="14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从业人员100人及以上</w:t>
            </w:r>
          </w:p>
        </w:tc>
      </w:tr>
      <w:tr w14:paraId="5434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vAlign w:val="center"/>
          </w:tcPr>
          <w:p w14:paraId="5B397BBC">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vAlign w:val="center"/>
          </w:tcPr>
          <w:p w14:paraId="59CE2E0B">
            <w:pPr>
              <w:pStyle w:val="329"/>
              <w:shd w:val="clear" w:color="auto" w:fill="auto"/>
              <w:spacing w:before="8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7308" w:type="dxa"/>
            <w:gridSpan w:val="3"/>
            <w:shd w:val="clear" w:color="auto" w:fill="FFFFFF"/>
            <w:vAlign w:val="center"/>
          </w:tcPr>
          <w:p w14:paraId="50622C5E">
            <w:pPr>
              <w:pStyle w:val="329"/>
              <w:shd w:val="clear" w:color="auto" w:fill="auto"/>
              <w:ind w:firstLine="14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从业人员10人及以上</w:t>
            </w:r>
          </w:p>
        </w:tc>
      </w:tr>
      <w:tr w14:paraId="51729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vAlign w:val="center"/>
          </w:tcPr>
          <w:p w14:paraId="38199DE8">
            <w:pPr>
              <w:shd w:val="clear" w:color="auto" w:fill="auto"/>
              <w:jc w:val="center"/>
              <w:rPr>
                <w:rFonts w:hint="eastAsia" w:ascii="宋体" w:hAnsi="宋体" w:eastAsia="宋体" w:cs="宋体"/>
                <w:color w:val="auto"/>
                <w:sz w:val="21"/>
                <w:szCs w:val="21"/>
                <w:highlight w:val="none"/>
              </w:rPr>
            </w:pPr>
          </w:p>
        </w:tc>
        <w:tc>
          <w:tcPr>
            <w:tcW w:w="769" w:type="dxa"/>
            <w:gridSpan w:val="2"/>
            <w:shd w:val="clear" w:color="auto" w:fill="FFFFFF"/>
            <w:vAlign w:val="center"/>
          </w:tcPr>
          <w:p w14:paraId="1405D723">
            <w:pPr>
              <w:pStyle w:val="329"/>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7308" w:type="dxa"/>
            <w:gridSpan w:val="3"/>
            <w:shd w:val="clear" w:color="auto" w:fill="FFFFFF"/>
            <w:vAlign w:val="center"/>
          </w:tcPr>
          <w:p w14:paraId="1460351C">
            <w:pPr>
              <w:pStyle w:val="329"/>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w:t>
            </w:r>
          </w:p>
        </w:tc>
      </w:tr>
    </w:tbl>
    <w:p w14:paraId="47493B1A">
      <w:pPr>
        <w:pStyle w:val="33"/>
        <w:rPr>
          <w:rFonts w:hint="eastAsia" w:ascii="方正楷体_GB2312" w:hAnsi="方正楷体_GB2312" w:eastAsia="方正楷体_GB2312" w:cs="方正楷体_GB2312"/>
          <w:color w:val="auto"/>
          <w:sz w:val="24"/>
          <w:szCs w:val="24"/>
          <w:highlight w:val="none"/>
          <w:lang w:eastAsia="zh-CN"/>
        </w:rPr>
      </w:pPr>
    </w:p>
    <w:p w14:paraId="648DB1F7">
      <w:pPr>
        <w:rPr>
          <w:rFonts w:hint="eastAsia" w:ascii="方正楷体_GB2312" w:hAnsi="方正楷体_GB2312" w:eastAsia="方正楷体_GB2312" w:cs="方正楷体_GB2312"/>
          <w:color w:val="auto"/>
          <w:sz w:val="24"/>
          <w:szCs w:val="24"/>
          <w:highlight w:val="none"/>
          <w:lang w:eastAsia="zh-CN"/>
        </w:rPr>
      </w:pPr>
    </w:p>
    <w:p w14:paraId="3020A722">
      <w:pPr>
        <w:pStyle w:val="33"/>
        <w:rPr>
          <w:rFonts w:hint="eastAsia" w:ascii="方正楷体_GB2312" w:hAnsi="方正楷体_GB2312" w:eastAsia="方正楷体_GB2312" w:cs="方正楷体_GB2312"/>
          <w:color w:val="auto"/>
          <w:sz w:val="24"/>
          <w:szCs w:val="24"/>
          <w:highlight w:val="none"/>
          <w:lang w:eastAsia="zh-CN"/>
        </w:rPr>
      </w:pPr>
    </w:p>
    <w:p w14:paraId="4CC4E4E0">
      <w:pPr>
        <w:rPr>
          <w:rFonts w:hint="eastAsia" w:ascii="方正楷体_GB2312" w:hAnsi="方正楷体_GB2312" w:eastAsia="方正楷体_GB2312" w:cs="方正楷体_GB2312"/>
          <w:color w:val="auto"/>
          <w:sz w:val="24"/>
          <w:szCs w:val="24"/>
          <w:highlight w:val="none"/>
          <w:lang w:eastAsia="zh-CN"/>
        </w:rPr>
      </w:pPr>
    </w:p>
    <w:p w14:paraId="53BC7CE3">
      <w:pPr>
        <w:pStyle w:val="33"/>
        <w:rPr>
          <w:rFonts w:hint="eastAsia" w:ascii="方正楷体_GB2312" w:hAnsi="方正楷体_GB2312" w:eastAsia="方正楷体_GB2312" w:cs="方正楷体_GB2312"/>
          <w:color w:val="auto"/>
          <w:sz w:val="24"/>
          <w:szCs w:val="24"/>
          <w:highlight w:val="none"/>
          <w:lang w:eastAsia="zh-CN"/>
        </w:rPr>
      </w:pPr>
    </w:p>
    <w:p w14:paraId="2357DCA5">
      <w:pPr>
        <w:rPr>
          <w:rFonts w:hint="eastAsia" w:ascii="方正楷体_GB2312" w:hAnsi="方正楷体_GB2312" w:eastAsia="方正楷体_GB2312" w:cs="方正楷体_GB2312"/>
          <w:color w:val="auto"/>
          <w:sz w:val="24"/>
          <w:szCs w:val="24"/>
          <w:highlight w:val="none"/>
          <w:lang w:eastAsia="zh-CN"/>
        </w:rPr>
      </w:pPr>
    </w:p>
    <w:p w14:paraId="67CC8558">
      <w:pPr>
        <w:pStyle w:val="33"/>
        <w:rPr>
          <w:rFonts w:hint="eastAsia" w:ascii="方正楷体_GB2312" w:hAnsi="方正楷体_GB2312" w:eastAsia="方正楷体_GB2312" w:cs="方正楷体_GB2312"/>
          <w:color w:val="auto"/>
          <w:sz w:val="24"/>
          <w:szCs w:val="24"/>
          <w:highlight w:val="none"/>
          <w:lang w:eastAsia="zh-CN"/>
        </w:rPr>
      </w:pPr>
    </w:p>
    <w:p w14:paraId="190BE171">
      <w:pPr>
        <w:rPr>
          <w:rFonts w:hint="eastAsia" w:ascii="方正楷体_GB2312" w:hAnsi="方正楷体_GB2312" w:eastAsia="方正楷体_GB2312" w:cs="方正楷体_GB2312"/>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KaiTi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FangSong_GB2312">
    <w:altName w:val="仿宋_GB2312"/>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altName w:val="Arial Unicode MS"/>
    <w:panose1 w:val="03000509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楷体_GB2312">
    <w:panose1 w:val="02000000000000000000"/>
    <w:charset w:val="86"/>
    <w:family w:val="auto"/>
    <w:pitch w:val="default"/>
    <w:sig w:usb0="A00002BF" w:usb1="184F6CFA" w:usb2="00000012" w:usb3="00000000" w:csb0="00040001" w:csb1="00000000"/>
    <w:embedRegular r:id="rId1" w:fontKey="{4DA82CA7-BC91-4C39-B6C3-CEAFE20DF8EA}"/>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EEA39">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67EE5">
    <w:pPr>
      <w:pStyle w:val="31"/>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BB9812">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5BB9812">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D23C0">
    <w:pPr>
      <w:pStyle w:val="324"/>
      <w:pBdr>
        <w:top w:val="none" w:color="auto" w:sz="0" w:space="0"/>
      </w:pBd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4F13E0">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14F13E0">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1AABB">
    <w:pPr>
      <w:pStyle w:val="3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2AB70F">
                          <w:pPr>
                            <w:pStyle w:val="3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32AB70F">
                    <w:pPr>
                      <w:pStyle w:val="3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01553">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812A10"/>
    <w:multiLevelType w:val="multilevel"/>
    <w:tmpl w:val="15812A10"/>
    <w:lvl w:ilvl="0" w:tentative="0">
      <w:start w:val="1"/>
      <w:numFmt w:val="upperLetter"/>
      <w:pStyle w:val="2"/>
      <w:lvlText w:val="%1、"/>
      <w:lvlJc w:val="left"/>
      <w:pPr>
        <w:tabs>
          <w:tab w:val="left" w:pos="360"/>
        </w:tabs>
        <w:ind w:left="570" w:hanging="360"/>
      </w:pPr>
    </w:lvl>
    <w:lvl w:ilvl="1" w:tentative="0">
      <w:start w:val="1"/>
      <w:numFmt w:val="decimal"/>
      <w:lvlText w:val="%2."/>
      <w:lvlJc w:val="left"/>
      <w:pPr>
        <w:tabs>
          <w:tab w:val="left" w:pos="780"/>
        </w:tabs>
        <w:ind w:left="990" w:hanging="360"/>
      </w:pPr>
    </w:lvl>
    <w:lvl w:ilvl="2" w:tentative="0">
      <w:start w:val="1"/>
      <w:numFmt w:val="lowerRoman"/>
      <w:lvlText w:val="%3."/>
      <w:lvlJc w:val="right"/>
      <w:pPr>
        <w:tabs>
          <w:tab w:val="left" w:pos="1260"/>
        </w:tabs>
        <w:ind w:left="1470" w:hanging="420"/>
      </w:pPr>
    </w:lvl>
    <w:lvl w:ilvl="3" w:tentative="0">
      <w:start w:val="1"/>
      <w:numFmt w:val="decimal"/>
      <w:lvlText w:val="%4."/>
      <w:lvlJc w:val="left"/>
      <w:pPr>
        <w:tabs>
          <w:tab w:val="left" w:pos="1680"/>
        </w:tabs>
        <w:ind w:left="1890" w:hanging="420"/>
      </w:pPr>
    </w:lvl>
    <w:lvl w:ilvl="4" w:tentative="0">
      <w:start w:val="1"/>
      <w:numFmt w:val="lowerLetter"/>
      <w:pStyle w:val="6"/>
      <w:lvlText w:val="%5)"/>
      <w:lvlJc w:val="left"/>
      <w:pPr>
        <w:tabs>
          <w:tab w:val="left" w:pos="2100"/>
        </w:tabs>
        <w:ind w:left="2310" w:hanging="420"/>
      </w:pPr>
    </w:lvl>
    <w:lvl w:ilvl="5" w:tentative="0">
      <w:start w:val="1"/>
      <w:numFmt w:val="lowerRoman"/>
      <w:pStyle w:val="7"/>
      <w:lvlText w:val="%6."/>
      <w:lvlJc w:val="right"/>
      <w:pPr>
        <w:tabs>
          <w:tab w:val="left" w:pos="2520"/>
        </w:tabs>
        <w:ind w:left="2730" w:hanging="420"/>
      </w:pPr>
    </w:lvl>
    <w:lvl w:ilvl="6" w:tentative="0">
      <w:start w:val="1"/>
      <w:numFmt w:val="decimal"/>
      <w:pStyle w:val="8"/>
      <w:lvlText w:val="%7."/>
      <w:lvlJc w:val="left"/>
      <w:pPr>
        <w:tabs>
          <w:tab w:val="left" w:pos="2940"/>
        </w:tabs>
        <w:ind w:left="3150" w:hanging="420"/>
      </w:pPr>
    </w:lvl>
    <w:lvl w:ilvl="7" w:tentative="0">
      <w:start w:val="1"/>
      <w:numFmt w:val="lowerLetter"/>
      <w:pStyle w:val="9"/>
      <w:lvlText w:val="%8)"/>
      <w:lvlJc w:val="left"/>
      <w:pPr>
        <w:tabs>
          <w:tab w:val="left" w:pos="3360"/>
        </w:tabs>
        <w:ind w:left="3570" w:hanging="420"/>
      </w:pPr>
    </w:lvl>
    <w:lvl w:ilvl="8" w:tentative="0">
      <w:start w:val="1"/>
      <w:numFmt w:val="lowerRoman"/>
      <w:pStyle w:val="10"/>
      <w:lvlText w:val="%9."/>
      <w:lvlJc w:val="right"/>
      <w:pPr>
        <w:tabs>
          <w:tab w:val="left" w:pos="3780"/>
        </w:tabs>
        <w:ind w:left="3990" w:hanging="420"/>
      </w:pPr>
    </w:lvl>
  </w:abstractNum>
  <w:abstractNum w:abstractNumId="1">
    <w:nsid w:val="3A819B55"/>
    <w:multiLevelType w:val="singleLevel"/>
    <w:tmpl w:val="3A819B55"/>
    <w:lvl w:ilvl="0" w:tentative="0">
      <w:start w:val="4"/>
      <w:numFmt w:val="chineseCounting"/>
      <w:suff w:val="space"/>
      <w:lvlText w:val="第%1部分"/>
      <w:lvlJc w:val="left"/>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40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DA3ZTE5Y2U3MjNmNWNlOGQwNmY4NmEzZjc1YjEifQ=="/>
  </w:docVars>
  <w:rsids>
    <w:rsidRoot w:val="0008252C"/>
    <w:rsid w:val="00027219"/>
    <w:rsid w:val="000679DE"/>
    <w:rsid w:val="00071E6E"/>
    <w:rsid w:val="0008252C"/>
    <w:rsid w:val="000A22AB"/>
    <w:rsid w:val="000A2B37"/>
    <w:rsid w:val="000B38FF"/>
    <w:rsid w:val="000C1685"/>
    <w:rsid w:val="000C736D"/>
    <w:rsid w:val="000E46F4"/>
    <w:rsid w:val="000F5EAD"/>
    <w:rsid w:val="00104565"/>
    <w:rsid w:val="00105699"/>
    <w:rsid w:val="00110D03"/>
    <w:rsid w:val="00121055"/>
    <w:rsid w:val="001233F6"/>
    <w:rsid w:val="001309FE"/>
    <w:rsid w:val="00154571"/>
    <w:rsid w:val="00173BC3"/>
    <w:rsid w:val="00175054"/>
    <w:rsid w:val="00190BBF"/>
    <w:rsid w:val="001B553E"/>
    <w:rsid w:val="001B64F0"/>
    <w:rsid w:val="001D027B"/>
    <w:rsid w:val="00217F6C"/>
    <w:rsid w:val="00247A1D"/>
    <w:rsid w:val="002529B7"/>
    <w:rsid w:val="0026275A"/>
    <w:rsid w:val="00264E14"/>
    <w:rsid w:val="0027180C"/>
    <w:rsid w:val="00292929"/>
    <w:rsid w:val="002A0A7B"/>
    <w:rsid w:val="002E1D99"/>
    <w:rsid w:val="002E7699"/>
    <w:rsid w:val="00314EDD"/>
    <w:rsid w:val="00320FE8"/>
    <w:rsid w:val="00325EF5"/>
    <w:rsid w:val="00335ABA"/>
    <w:rsid w:val="003364F5"/>
    <w:rsid w:val="00350298"/>
    <w:rsid w:val="003541BD"/>
    <w:rsid w:val="00364259"/>
    <w:rsid w:val="00374C2F"/>
    <w:rsid w:val="00375B70"/>
    <w:rsid w:val="00383F4A"/>
    <w:rsid w:val="003A07F4"/>
    <w:rsid w:val="003B4593"/>
    <w:rsid w:val="003C2A2C"/>
    <w:rsid w:val="003C79A8"/>
    <w:rsid w:val="003D2995"/>
    <w:rsid w:val="003D5A04"/>
    <w:rsid w:val="003E1A11"/>
    <w:rsid w:val="003E3C36"/>
    <w:rsid w:val="0041143E"/>
    <w:rsid w:val="00453AA7"/>
    <w:rsid w:val="00461D7D"/>
    <w:rsid w:val="00486495"/>
    <w:rsid w:val="0049332E"/>
    <w:rsid w:val="0049578C"/>
    <w:rsid w:val="004A467F"/>
    <w:rsid w:val="004B4E02"/>
    <w:rsid w:val="004B5AF2"/>
    <w:rsid w:val="004B637C"/>
    <w:rsid w:val="004B7E06"/>
    <w:rsid w:val="004C1C52"/>
    <w:rsid w:val="004D3DF0"/>
    <w:rsid w:val="004F5D65"/>
    <w:rsid w:val="005503D7"/>
    <w:rsid w:val="005537E9"/>
    <w:rsid w:val="00561F8C"/>
    <w:rsid w:val="005942A6"/>
    <w:rsid w:val="005B5EEC"/>
    <w:rsid w:val="0060004F"/>
    <w:rsid w:val="00623EB8"/>
    <w:rsid w:val="0063527A"/>
    <w:rsid w:val="00643549"/>
    <w:rsid w:val="00677362"/>
    <w:rsid w:val="006A55A4"/>
    <w:rsid w:val="006C4B80"/>
    <w:rsid w:val="006D681F"/>
    <w:rsid w:val="006E4350"/>
    <w:rsid w:val="00710774"/>
    <w:rsid w:val="0071422D"/>
    <w:rsid w:val="00720369"/>
    <w:rsid w:val="007205C2"/>
    <w:rsid w:val="00722A0C"/>
    <w:rsid w:val="00722A3A"/>
    <w:rsid w:val="0073396F"/>
    <w:rsid w:val="0073596C"/>
    <w:rsid w:val="00735FF7"/>
    <w:rsid w:val="007718E0"/>
    <w:rsid w:val="00776F38"/>
    <w:rsid w:val="007878B5"/>
    <w:rsid w:val="007D6ABB"/>
    <w:rsid w:val="007F0C5C"/>
    <w:rsid w:val="008023B5"/>
    <w:rsid w:val="00803F54"/>
    <w:rsid w:val="00804C9F"/>
    <w:rsid w:val="00810572"/>
    <w:rsid w:val="00816E0B"/>
    <w:rsid w:val="00821107"/>
    <w:rsid w:val="0085360C"/>
    <w:rsid w:val="0085540B"/>
    <w:rsid w:val="008771CA"/>
    <w:rsid w:val="00877C80"/>
    <w:rsid w:val="008960A6"/>
    <w:rsid w:val="008B64F4"/>
    <w:rsid w:val="008B7746"/>
    <w:rsid w:val="008E7CB2"/>
    <w:rsid w:val="008F33CE"/>
    <w:rsid w:val="00907CDB"/>
    <w:rsid w:val="0095302C"/>
    <w:rsid w:val="0096245C"/>
    <w:rsid w:val="00977CA5"/>
    <w:rsid w:val="00982599"/>
    <w:rsid w:val="009840AE"/>
    <w:rsid w:val="00993309"/>
    <w:rsid w:val="009A005D"/>
    <w:rsid w:val="009A674E"/>
    <w:rsid w:val="009D3121"/>
    <w:rsid w:val="009D3206"/>
    <w:rsid w:val="009D5C8B"/>
    <w:rsid w:val="009D694C"/>
    <w:rsid w:val="009E6810"/>
    <w:rsid w:val="009F3C33"/>
    <w:rsid w:val="00A05D86"/>
    <w:rsid w:val="00A17FE9"/>
    <w:rsid w:val="00A314F5"/>
    <w:rsid w:val="00A3202F"/>
    <w:rsid w:val="00A36883"/>
    <w:rsid w:val="00A4082E"/>
    <w:rsid w:val="00A57072"/>
    <w:rsid w:val="00A646A9"/>
    <w:rsid w:val="00A83BA7"/>
    <w:rsid w:val="00AB6472"/>
    <w:rsid w:val="00AB7767"/>
    <w:rsid w:val="00AD5029"/>
    <w:rsid w:val="00AD5A4E"/>
    <w:rsid w:val="00AE69E9"/>
    <w:rsid w:val="00AF4D85"/>
    <w:rsid w:val="00B11CC3"/>
    <w:rsid w:val="00B12B77"/>
    <w:rsid w:val="00B21003"/>
    <w:rsid w:val="00B40B79"/>
    <w:rsid w:val="00B42C2B"/>
    <w:rsid w:val="00B5196F"/>
    <w:rsid w:val="00B6043E"/>
    <w:rsid w:val="00B63F2B"/>
    <w:rsid w:val="00B902A9"/>
    <w:rsid w:val="00B91930"/>
    <w:rsid w:val="00B94CC6"/>
    <w:rsid w:val="00BA2507"/>
    <w:rsid w:val="00BA3FB1"/>
    <w:rsid w:val="00BA4EA9"/>
    <w:rsid w:val="00BA609B"/>
    <w:rsid w:val="00BC0A56"/>
    <w:rsid w:val="00BD6A67"/>
    <w:rsid w:val="00C00B2A"/>
    <w:rsid w:val="00C05B0A"/>
    <w:rsid w:val="00C144CC"/>
    <w:rsid w:val="00C24E60"/>
    <w:rsid w:val="00C36CE6"/>
    <w:rsid w:val="00C477FB"/>
    <w:rsid w:val="00C703E8"/>
    <w:rsid w:val="00C94EDE"/>
    <w:rsid w:val="00CC400D"/>
    <w:rsid w:val="00CD30AA"/>
    <w:rsid w:val="00CE4D7C"/>
    <w:rsid w:val="00D123AF"/>
    <w:rsid w:val="00D4051B"/>
    <w:rsid w:val="00D4540B"/>
    <w:rsid w:val="00D475DE"/>
    <w:rsid w:val="00D5335B"/>
    <w:rsid w:val="00DA1609"/>
    <w:rsid w:val="00DD0EF8"/>
    <w:rsid w:val="00DF6BF1"/>
    <w:rsid w:val="00DF6FA1"/>
    <w:rsid w:val="00E02B3F"/>
    <w:rsid w:val="00E05FEC"/>
    <w:rsid w:val="00E1531C"/>
    <w:rsid w:val="00E24051"/>
    <w:rsid w:val="00E36395"/>
    <w:rsid w:val="00E43DC8"/>
    <w:rsid w:val="00E444ED"/>
    <w:rsid w:val="00E44755"/>
    <w:rsid w:val="00E521BB"/>
    <w:rsid w:val="00EB356A"/>
    <w:rsid w:val="00EE29B1"/>
    <w:rsid w:val="00EF00A7"/>
    <w:rsid w:val="00EF66E7"/>
    <w:rsid w:val="00F2309E"/>
    <w:rsid w:val="00F30F66"/>
    <w:rsid w:val="00FA42B3"/>
    <w:rsid w:val="00FB2C99"/>
    <w:rsid w:val="00FD1066"/>
    <w:rsid w:val="00FF3934"/>
    <w:rsid w:val="01124459"/>
    <w:rsid w:val="018114D9"/>
    <w:rsid w:val="0240096D"/>
    <w:rsid w:val="036C1992"/>
    <w:rsid w:val="042E4FE3"/>
    <w:rsid w:val="060804B5"/>
    <w:rsid w:val="065D3AB0"/>
    <w:rsid w:val="06C25826"/>
    <w:rsid w:val="07190D36"/>
    <w:rsid w:val="082E68EF"/>
    <w:rsid w:val="08417776"/>
    <w:rsid w:val="08B550AD"/>
    <w:rsid w:val="095219A0"/>
    <w:rsid w:val="0A851ADF"/>
    <w:rsid w:val="0A8628A4"/>
    <w:rsid w:val="0AEB73DB"/>
    <w:rsid w:val="0BD121FE"/>
    <w:rsid w:val="0C160487"/>
    <w:rsid w:val="0F1A47F6"/>
    <w:rsid w:val="0F9C3A9D"/>
    <w:rsid w:val="1094777D"/>
    <w:rsid w:val="10B10F0F"/>
    <w:rsid w:val="11867B5F"/>
    <w:rsid w:val="12F970BE"/>
    <w:rsid w:val="138E21AF"/>
    <w:rsid w:val="139B2AFC"/>
    <w:rsid w:val="14DA2F92"/>
    <w:rsid w:val="155B3A6E"/>
    <w:rsid w:val="156D2D22"/>
    <w:rsid w:val="168A3CAB"/>
    <w:rsid w:val="172B0DE8"/>
    <w:rsid w:val="174D31CB"/>
    <w:rsid w:val="182F4CA9"/>
    <w:rsid w:val="19B7620F"/>
    <w:rsid w:val="1A2B430A"/>
    <w:rsid w:val="1A8E1C0B"/>
    <w:rsid w:val="1B7E65C4"/>
    <w:rsid w:val="1C576553"/>
    <w:rsid w:val="1FB02549"/>
    <w:rsid w:val="20037EAE"/>
    <w:rsid w:val="20301CDB"/>
    <w:rsid w:val="20C12EBD"/>
    <w:rsid w:val="2177331E"/>
    <w:rsid w:val="234C24B4"/>
    <w:rsid w:val="23587503"/>
    <w:rsid w:val="23846E58"/>
    <w:rsid w:val="23EE7C40"/>
    <w:rsid w:val="269C5EA3"/>
    <w:rsid w:val="27FF01C4"/>
    <w:rsid w:val="29B17AB5"/>
    <w:rsid w:val="2A16744D"/>
    <w:rsid w:val="2C2C4595"/>
    <w:rsid w:val="2C8903AA"/>
    <w:rsid w:val="2CF3692C"/>
    <w:rsid w:val="2D9552F1"/>
    <w:rsid w:val="2F85017E"/>
    <w:rsid w:val="30216F4F"/>
    <w:rsid w:val="306D4644"/>
    <w:rsid w:val="30C5644A"/>
    <w:rsid w:val="30C72A82"/>
    <w:rsid w:val="31E57E30"/>
    <w:rsid w:val="32247AB5"/>
    <w:rsid w:val="32CD1250"/>
    <w:rsid w:val="33C543BD"/>
    <w:rsid w:val="342E49EE"/>
    <w:rsid w:val="353F2B92"/>
    <w:rsid w:val="36962F7E"/>
    <w:rsid w:val="373C4996"/>
    <w:rsid w:val="37484445"/>
    <w:rsid w:val="38E459BF"/>
    <w:rsid w:val="395B5A4B"/>
    <w:rsid w:val="39F7544C"/>
    <w:rsid w:val="3A6657DC"/>
    <w:rsid w:val="3A8E6BD8"/>
    <w:rsid w:val="3B497682"/>
    <w:rsid w:val="3B8A3E95"/>
    <w:rsid w:val="3C222B7C"/>
    <w:rsid w:val="3ECE4B13"/>
    <w:rsid w:val="3F0E3630"/>
    <w:rsid w:val="3F5E7474"/>
    <w:rsid w:val="3FC67882"/>
    <w:rsid w:val="3FFB00A7"/>
    <w:rsid w:val="4113350C"/>
    <w:rsid w:val="42F500EF"/>
    <w:rsid w:val="43406A82"/>
    <w:rsid w:val="43792ACE"/>
    <w:rsid w:val="43A95D38"/>
    <w:rsid w:val="443B5FD6"/>
    <w:rsid w:val="45201703"/>
    <w:rsid w:val="47406D70"/>
    <w:rsid w:val="49390177"/>
    <w:rsid w:val="49CA4014"/>
    <w:rsid w:val="49CB792D"/>
    <w:rsid w:val="4B750BE3"/>
    <w:rsid w:val="4C7B081E"/>
    <w:rsid w:val="4D137405"/>
    <w:rsid w:val="4D6E50DD"/>
    <w:rsid w:val="4E4D7031"/>
    <w:rsid w:val="4EEC09F2"/>
    <w:rsid w:val="4FE1209A"/>
    <w:rsid w:val="50604931"/>
    <w:rsid w:val="517F553A"/>
    <w:rsid w:val="53E04205"/>
    <w:rsid w:val="5459799F"/>
    <w:rsid w:val="54612FF9"/>
    <w:rsid w:val="5569F697"/>
    <w:rsid w:val="558B3A0A"/>
    <w:rsid w:val="55FA4531"/>
    <w:rsid w:val="562E71C6"/>
    <w:rsid w:val="56AC4EDA"/>
    <w:rsid w:val="5847430A"/>
    <w:rsid w:val="58B403A7"/>
    <w:rsid w:val="59296DD4"/>
    <w:rsid w:val="5AB80947"/>
    <w:rsid w:val="5CF80F4F"/>
    <w:rsid w:val="5D376AF7"/>
    <w:rsid w:val="5EAA74B3"/>
    <w:rsid w:val="602108B0"/>
    <w:rsid w:val="61F027B7"/>
    <w:rsid w:val="63672390"/>
    <w:rsid w:val="645D5C46"/>
    <w:rsid w:val="64C64FF0"/>
    <w:rsid w:val="66081216"/>
    <w:rsid w:val="685A617B"/>
    <w:rsid w:val="68CF58DD"/>
    <w:rsid w:val="698C36FA"/>
    <w:rsid w:val="69EB1FDC"/>
    <w:rsid w:val="6B894E55"/>
    <w:rsid w:val="6D126E8D"/>
    <w:rsid w:val="6E533167"/>
    <w:rsid w:val="6EAB26C9"/>
    <w:rsid w:val="6EB444EA"/>
    <w:rsid w:val="6EF004DA"/>
    <w:rsid w:val="6F1637E6"/>
    <w:rsid w:val="6FF90AE1"/>
    <w:rsid w:val="710C022E"/>
    <w:rsid w:val="716A3DB9"/>
    <w:rsid w:val="72661AB8"/>
    <w:rsid w:val="7395391C"/>
    <w:rsid w:val="74753A58"/>
    <w:rsid w:val="74BC6555"/>
    <w:rsid w:val="74CA1EF1"/>
    <w:rsid w:val="74EF49E7"/>
    <w:rsid w:val="752B0064"/>
    <w:rsid w:val="755A46E9"/>
    <w:rsid w:val="75BC0475"/>
    <w:rsid w:val="76A5545B"/>
    <w:rsid w:val="76EF74A9"/>
    <w:rsid w:val="788A42C2"/>
    <w:rsid w:val="78BC04EA"/>
    <w:rsid w:val="7A2B5BC9"/>
    <w:rsid w:val="7A3A13B2"/>
    <w:rsid w:val="7B220C94"/>
    <w:rsid w:val="7BFBA55C"/>
    <w:rsid w:val="7C09018C"/>
    <w:rsid w:val="7C7970C0"/>
    <w:rsid w:val="7CA75C58"/>
    <w:rsid w:val="7D815796"/>
    <w:rsid w:val="7E411C96"/>
    <w:rsid w:val="7EFF3DA2"/>
    <w:rsid w:val="7F2A5F1A"/>
    <w:rsid w:val="7FDD6E93"/>
    <w:rsid w:val="7FEFB957"/>
    <w:rsid w:val="9CFA487F"/>
    <w:rsid w:val="9D595019"/>
    <w:rsid w:val="A5DCB558"/>
    <w:rsid w:val="A7DF96F4"/>
    <w:rsid w:val="E4FF76DA"/>
    <w:rsid w:val="EB7ECE3F"/>
    <w:rsid w:val="EF7F9A3C"/>
    <w:rsid w:val="F95F90BB"/>
    <w:rsid w:val="FDAD7C84"/>
    <w:rsid w:val="FED4449C"/>
    <w:rsid w:val="FEFF2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9" w:semiHidden="0" w:name="heading 7"/>
    <w:lsdException w:qFormat="1" w:uiPriority="99" w:semiHidden="0" w:name="heading 8"/>
    <w:lsdException w:qFormat="1" w:uiPriority="99" w:semiHidden="0" w:name="heading 9"/>
    <w:lsdException w:qFormat="1" w:uiPriority="99" w:semiHidden="0" w:name="index 1"/>
    <w:lsdException w:uiPriority="99" w:name="index 2"/>
    <w:lsdException w:uiPriority="99" w:name="index 3"/>
    <w:lsdException w:qFormat="1" w:uiPriority="99" w:semiHidden="0" w:name="index 4"/>
    <w:lsdException w:uiPriority="99" w:name="index 5"/>
    <w:lsdException w:qFormat="1" w:unhideWhenUsed="0" w:uiPriority="99" w:semiHidden="0"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iPriority="0"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qFormat="1"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qFormat="1" w:uiPriority="99" w:semiHidden="0"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0" w:semiHidden="0" w:name="FollowedHyperlink"/>
    <w:lsdException w:qFormat="1" w:unhideWhenUsed="0" w:uiPriority="99" w:semiHidden="0" w:name="Strong"/>
    <w:lsdException w:qFormat="1" w:unhideWhenUsed="0" w:uiPriority="99" w:semiHidden="0" w:name="Emphasis"/>
    <w:lsdException w:qFormat="1" w:uiPriority="99" w:semiHidden="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46"/>
    <w:qFormat/>
    <w:uiPriority w:val="9"/>
    <w:pPr>
      <w:keepNext/>
      <w:numPr>
        <w:ilvl w:val="0"/>
        <w:numId w:val="1"/>
      </w:numPr>
      <w:outlineLvl w:val="0"/>
    </w:pPr>
  </w:style>
  <w:style w:type="paragraph" w:styleId="3">
    <w:name w:val="heading 2"/>
    <w:basedOn w:val="1"/>
    <w:next w:val="1"/>
    <w:link w:val="267"/>
    <w:unhideWhenUsed/>
    <w:qFormat/>
    <w:uiPriority w:val="9"/>
    <w:pPr>
      <w:keepNext/>
      <w:keepLines/>
      <w:spacing w:before="260" w:after="260" w:line="415" w:lineRule="auto"/>
      <w:outlineLvl w:val="1"/>
    </w:pPr>
    <w:rPr>
      <w:rFonts w:ascii="Arial" w:hAnsi="Arial" w:eastAsia="黑体"/>
      <w:b/>
      <w:sz w:val="32"/>
    </w:rPr>
  </w:style>
  <w:style w:type="paragraph" w:styleId="4">
    <w:name w:val="heading 3"/>
    <w:basedOn w:val="1"/>
    <w:next w:val="1"/>
    <w:link w:val="65"/>
    <w:unhideWhenUsed/>
    <w:qFormat/>
    <w:uiPriority w:val="0"/>
    <w:pPr>
      <w:keepNext/>
      <w:keepLines/>
      <w:spacing w:before="260" w:after="260" w:line="415" w:lineRule="auto"/>
      <w:outlineLvl w:val="2"/>
    </w:pPr>
    <w:rPr>
      <w:b/>
      <w:bCs/>
      <w:sz w:val="32"/>
      <w:szCs w:val="32"/>
    </w:rPr>
  </w:style>
  <w:style w:type="paragraph" w:styleId="5">
    <w:name w:val="heading 4"/>
    <w:basedOn w:val="1"/>
    <w:next w:val="1"/>
    <w:link w:val="66"/>
    <w:unhideWhenUsed/>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67"/>
    <w:unhideWhenUsed/>
    <w:qFormat/>
    <w:uiPriority w:val="0"/>
    <w:pPr>
      <w:keepNext/>
      <w:keepLines/>
      <w:widowControl/>
      <w:numPr>
        <w:ilvl w:val="4"/>
        <w:numId w:val="1"/>
      </w:numPr>
      <w:tabs>
        <w:tab w:val="left" w:pos="1008"/>
      </w:tabs>
      <w:spacing w:before="280" w:after="290" w:line="372" w:lineRule="auto"/>
      <w:jc w:val="left"/>
      <w:outlineLvl w:val="4"/>
    </w:pPr>
    <w:rPr>
      <w:rFonts w:eastAsia="Arial Unicode MS"/>
      <w:b/>
      <w:kern w:val="0"/>
      <w:sz w:val="28"/>
    </w:rPr>
  </w:style>
  <w:style w:type="paragraph" w:styleId="7">
    <w:name w:val="heading 6"/>
    <w:basedOn w:val="1"/>
    <w:next w:val="1"/>
    <w:link w:val="68"/>
    <w:unhideWhenUsed/>
    <w:qFormat/>
    <w:uiPriority w:val="9"/>
    <w:pPr>
      <w:keepNext/>
      <w:keepLines/>
      <w:widowControl/>
      <w:numPr>
        <w:ilvl w:val="5"/>
        <w:numId w:val="1"/>
      </w:numPr>
      <w:tabs>
        <w:tab w:val="left" w:pos="1152"/>
      </w:tabs>
      <w:spacing w:before="240" w:after="64" w:line="316" w:lineRule="auto"/>
      <w:jc w:val="left"/>
      <w:outlineLvl w:val="5"/>
    </w:pPr>
    <w:rPr>
      <w:rFonts w:ascii="Arial" w:hAnsi="Arial" w:eastAsia="黑体"/>
      <w:b/>
      <w:kern w:val="0"/>
      <w:sz w:val="24"/>
    </w:rPr>
  </w:style>
  <w:style w:type="paragraph" w:styleId="8">
    <w:name w:val="heading 7"/>
    <w:basedOn w:val="1"/>
    <w:next w:val="1"/>
    <w:link w:val="69"/>
    <w:unhideWhenUsed/>
    <w:qFormat/>
    <w:uiPriority w:val="99"/>
    <w:pPr>
      <w:keepNext/>
      <w:keepLines/>
      <w:widowControl/>
      <w:numPr>
        <w:ilvl w:val="6"/>
        <w:numId w:val="1"/>
      </w:numPr>
      <w:tabs>
        <w:tab w:val="left" w:pos="1296"/>
      </w:tabs>
      <w:spacing w:before="240" w:after="64" w:line="316" w:lineRule="auto"/>
      <w:jc w:val="left"/>
      <w:outlineLvl w:val="6"/>
    </w:pPr>
    <w:rPr>
      <w:b/>
      <w:kern w:val="0"/>
      <w:sz w:val="24"/>
    </w:rPr>
  </w:style>
  <w:style w:type="paragraph" w:styleId="9">
    <w:name w:val="heading 8"/>
    <w:basedOn w:val="1"/>
    <w:next w:val="1"/>
    <w:link w:val="70"/>
    <w:unhideWhenUsed/>
    <w:qFormat/>
    <w:uiPriority w:val="99"/>
    <w:pPr>
      <w:keepNext/>
      <w:keepLines/>
      <w:widowControl/>
      <w:numPr>
        <w:ilvl w:val="7"/>
        <w:numId w:val="1"/>
      </w:numPr>
      <w:tabs>
        <w:tab w:val="left" w:pos="1440"/>
      </w:tabs>
      <w:spacing w:before="240" w:after="64" w:line="316" w:lineRule="auto"/>
      <w:jc w:val="left"/>
      <w:outlineLvl w:val="7"/>
    </w:pPr>
    <w:rPr>
      <w:rFonts w:ascii="Arial" w:hAnsi="Arial" w:eastAsia="黑体"/>
      <w:kern w:val="0"/>
      <w:sz w:val="24"/>
    </w:rPr>
  </w:style>
  <w:style w:type="paragraph" w:styleId="10">
    <w:name w:val="heading 9"/>
    <w:basedOn w:val="1"/>
    <w:next w:val="1"/>
    <w:link w:val="71"/>
    <w:unhideWhenUsed/>
    <w:qFormat/>
    <w:uiPriority w:val="99"/>
    <w:pPr>
      <w:keepNext/>
      <w:keepLines/>
      <w:widowControl/>
      <w:numPr>
        <w:ilvl w:val="8"/>
        <w:numId w:val="1"/>
      </w:numPr>
      <w:tabs>
        <w:tab w:val="left" w:pos="1584"/>
      </w:tabs>
      <w:spacing w:before="240" w:after="64" w:line="316" w:lineRule="auto"/>
      <w:jc w:val="left"/>
      <w:outlineLvl w:val="8"/>
    </w:pPr>
    <w:rPr>
      <w:rFonts w:ascii="Arial" w:hAnsi="Arial" w:eastAsia="黑体"/>
      <w:kern w:val="0"/>
    </w:rPr>
  </w:style>
  <w:style w:type="character" w:default="1" w:styleId="53">
    <w:name w:val="Default Paragraph Font"/>
    <w:unhideWhenUsed/>
    <w:qFormat/>
    <w:uiPriority w:val="1"/>
  </w:style>
  <w:style w:type="table" w:default="1" w:styleId="51">
    <w:name w:val="Normal Tabl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99"/>
    <w:pPr>
      <w:ind w:left="2520" w:leftChars="1200"/>
    </w:pPr>
    <w:rPr>
      <w:rFonts w:ascii="Calibri" w:hAnsi="Calibri"/>
      <w:szCs w:val="22"/>
    </w:rPr>
  </w:style>
  <w:style w:type="paragraph" w:styleId="12">
    <w:name w:val="Normal Indent"/>
    <w:basedOn w:val="1"/>
    <w:next w:val="1"/>
    <w:unhideWhenUsed/>
    <w:qFormat/>
    <w:uiPriority w:val="0"/>
    <w:pPr>
      <w:ind w:firstLine="420" w:firstLineChars="200"/>
    </w:pPr>
    <w:rPr>
      <w:szCs w:val="24"/>
    </w:rPr>
  </w:style>
  <w:style w:type="paragraph" w:styleId="13">
    <w:name w:val="caption"/>
    <w:basedOn w:val="1"/>
    <w:next w:val="1"/>
    <w:unhideWhenUsed/>
    <w:qFormat/>
    <w:uiPriority w:val="99"/>
    <w:rPr>
      <w:rFonts w:ascii="Arial" w:hAnsi="Arial" w:eastAsia="黑体" w:cs="Arial"/>
      <w:kern w:val="0"/>
      <w:sz w:val="20"/>
    </w:rPr>
  </w:style>
  <w:style w:type="paragraph" w:styleId="14">
    <w:name w:val="Document Map"/>
    <w:basedOn w:val="1"/>
    <w:link w:val="85"/>
    <w:unhideWhenUsed/>
    <w:qFormat/>
    <w:uiPriority w:val="99"/>
    <w:pPr>
      <w:shd w:val="clear" w:color="auto" w:fill="000080"/>
    </w:pPr>
  </w:style>
  <w:style w:type="paragraph" w:styleId="15">
    <w:name w:val="toa heading"/>
    <w:basedOn w:val="1"/>
    <w:next w:val="1"/>
    <w:qFormat/>
    <w:uiPriority w:val="0"/>
    <w:pPr>
      <w:spacing w:before="120"/>
    </w:pPr>
    <w:rPr>
      <w:rFonts w:ascii="Cambria" w:hAnsi="Cambria"/>
      <w:sz w:val="24"/>
    </w:rPr>
  </w:style>
  <w:style w:type="paragraph" w:styleId="16">
    <w:name w:val="annotation text"/>
    <w:basedOn w:val="1"/>
    <w:link w:val="283"/>
    <w:unhideWhenUsed/>
    <w:qFormat/>
    <w:uiPriority w:val="99"/>
    <w:pPr>
      <w:jc w:val="left"/>
    </w:pPr>
  </w:style>
  <w:style w:type="paragraph" w:styleId="17">
    <w:name w:val="index 6"/>
    <w:basedOn w:val="1"/>
    <w:next w:val="1"/>
    <w:qFormat/>
    <w:uiPriority w:val="99"/>
    <w:pPr>
      <w:ind w:left="2100"/>
    </w:pPr>
  </w:style>
  <w:style w:type="paragraph" w:styleId="18">
    <w:name w:val="Salutation"/>
    <w:basedOn w:val="1"/>
    <w:next w:val="1"/>
    <w:link w:val="79"/>
    <w:unhideWhenUsed/>
    <w:qFormat/>
    <w:uiPriority w:val="99"/>
    <w:rPr>
      <w:rFonts w:ascii="宋体"/>
      <w:b/>
      <w:sz w:val="28"/>
    </w:rPr>
  </w:style>
  <w:style w:type="paragraph" w:styleId="19">
    <w:name w:val="Body Text 3"/>
    <w:basedOn w:val="1"/>
    <w:link w:val="82"/>
    <w:unhideWhenUsed/>
    <w:qFormat/>
    <w:uiPriority w:val="99"/>
    <w:pPr>
      <w:spacing w:line="440" w:lineRule="exact"/>
    </w:pPr>
    <w:rPr>
      <w:color w:val="000000"/>
    </w:rPr>
  </w:style>
  <w:style w:type="paragraph" w:styleId="20">
    <w:name w:val="Body Text"/>
    <w:basedOn w:val="1"/>
    <w:next w:val="21"/>
    <w:link w:val="76"/>
    <w:unhideWhenUsed/>
    <w:qFormat/>
    <w:uiPriority w:val="99"/>
    <w:rPr>
      <w:rFonts w:ascii="Arial" w:hAnsi="Arial" w:cs="Arial"/>
      <w:sz w:val="24"/>
    </w:rPr>
  </w:style>
  <w:style w:type="paragraph" w:customStyle="1" w:styleId="2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22">
    <w:name w:val="Body Text Indent"/>
    <w:basedOn w:val="1"/>
    <w:next w:val="12"/>
    <w:link w:val="77"/>
    <w:unhideWhenUsed/>
    <w:qFormat/>
    <w:uiPriority w:val="99"/>
    <w:pPr>
      <w:ind w:firstLine="480"/>
    </w:pPr>
    <w:rPr>
      <w:rFonts w:ascii="宋体" w:hAnsi="宋体"/>
      <w:sz w:val="24"/>
    </w:rPr>
  </w:style>
  <w:style w:type="paragraph" w:styleId="23">
    <w:name w:val="index 4"/>
    <w:basedOn w:val="1"/>
    <w:next w:val="1"/>
    <w:unhideWhenUsed/>
    <w:qFormat/>
    <w:uiPriority w:val="99"/>
    <w:pPr>
      <w:ind w:left="600" w:leftChars="600"/>
    </w:pPr>
    <w:rPr>
      <w:szCs w:val="24"/>
    </w:rPr>
  </w:style>
  <w:style w:type="paragraph" w:styleId="24">
    <w:name w:val="toc 5"/>
    <w:basedOn w:val="1"/>
    <w:next w:val="1"/>
    <w:unhideWhenUsed/>
    <w:qFormat/>
    <w:uiPriority w:val="99"/>
    <w:pPr>
      <w:ind w:left="1680" w:leftChars="800"/>
    </w:pPr>
    <w:rPr>
      <w:rFonts w:ascii="Calibri" w:hAnsi="Calibri"/>
      <w:szCs w:val="22"/>
    </w:rPr>
  </w:style>
  <w:style w:type="paragraph" w:styleId="25">
    <w:name w:val="toc 3"/>
    <w:basedOn w:val="1"/>
    <w:next w:val="1"/>
    <w:unhideWhenUsed/>
    <w:qFormat/>
    <w:uiPriority w:val="39"/>
    <w:pPr>
      <w:ind w:left="840" w:leftChars="400"/>
    </w:pPr>
  </w:style>
  <w:style w:type="paragraph" w:styleId="26">
    <w:name w:val="Plain Text"/>
    <w:basedOn w:val="1"/>
    <w:link w:val="86"/>
    <w:unhideWhenUsed/>
    <w:qFormat/>
    <w:uiPriority w:val="99"/>
    <w:rPr>
      <w:rFonts w:ascii="宋体" w:hAnsi="Courier New"/>
    </w:rPr>
  </w:style>
  <w:style w:type="paragraph" w:styleId="27">
    <w:name w:val="toc 8"/>
    <w:basedOn w:val="1"/>
    <w:next w:val="1"/>
    <w:unhideWhenUsed/>
    <w:qFormat/>
    <w:uiPriority w:val="99"/>
    <w:pPr>
      <w:ind w:left="2940" w:leftChars="1400"/>
    </w:pPr>
    <w:rPr>
      <w:rFonts w:ascii="Calibri" w:hAnsi="Calibri"/>
      <w:szCs w:val="22"/>
    </w:rPr>
  </w:style>
  <w:style w:type="paragraph" w:styleId="28">
    <w:name w:val="Date"/>
    <w:basedOn w:val="1"/>
    <w:next w:val="1"/>
    <w:link w:val="80"/>
    <w:unhideWhenUsed/>
    <w:qFormat/>
    <w:uiPriority w:val="99"/>
    <w:pPr>
      <w:ind w:left="100"/>
    </w:pPr>
    <w:rPr>
      <w:sz w:val="24"/>
    </w:rPr>
  </w:style>
  <w:style w:type="paragraph" w:styleId="29">
    <w:name w:val="Body Text Indent 2"/>
    <w:basedOn w:val="1"/>
    <w:link w:val="83"/>
    <w:unhideWhenUsed/>
    <w:qFormat/>
    <w:uiPriority w:val="99"/>
    <w:pPr>
      <w:ind w:firstLine="435"/>
    </w:pPr>
    <w:rPr>
      <w:rFonts w:ascii="宋体" w:hAnsi="宋体"/>
      <w:sz w:val="24"/>
    </w:rPr>
  </w:style>
  <w:style w:type="paragraph" w:styleId="30">
    <w:name w:val="Balloon Text"/>
    <w:basedOn w:val="1"/>
    <w:link w:val="228"/>
    <w:unhideWhenUsed/>
    <w:qFormat/>
    <w:uiPriority w:val="99"/>
    <w:rPr>
      <w:sz w:val="18"/>
      <w:szCs w:val="18"/>
    </w:rPr>
  </w:style>
  <w:style w:type="paragraph" w:styleId="31">
    <w:name w:val="footer"/>
    <w:basedOn w:val="1"/>
    <w:link w:val="62"/>
    <w:unhideWhenUsed/>
    <w:qFormat/>
    <w:uiPriority w:val="99"/>
    <w:pPr>
      <w:tabs>
        <w:tab w:val="center" w:pos="4153"/>
        <w:tab w:val="right" w:pos="8306"/>
      </w:tabs>
      <w:snapToGrid w:val="0"/>
      <w:jc w:val="left"/>
    </w:pPr>
    <w:rPr>
      <w:sz w:val="18"/>
      <w:szCs w:val="18"/>
    </w:rPr>
  </w:style>
  <w:style w:type="paragraph" w:styleId="32">
    <w:name w:val="header"/>
    <w:basedOn w:val="1"/>
    <w:link w:val="61"/>
    <w:unhideWhenUsed/>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unhideWhenUsed/>
    <w:qFormat/>
    <w:uiPriority w:val="39"/>
  </w:style>
  <w:style w:type="paragraph" w:styleId="34">
    <w:name w:val="toc 4"/>
    <w:basedOn w:val="1"/>
    <w:next w:val="1"/>
    <w:unhideWhenUsed/>
    <w:qFormat/>
    <w:uiPriority w:val="99"/>
    <w:pPr>
      <w:tabs>
        <w:tab w:val="left" w:pos="1890"/>
        <w:tab w:val="right" w:leader="dot" w:pos="8296"/>
      </w:tabs>
      <w:ind w:left="630" w:leftChars="300"/>
    </w:pPr>
  </w:style>
  <w:style w:type="paragraph" w:styleId="35">
    <w:name w:val="Subtitle"/>
    <w:basedOn w:val="1"/>
    <w:next w:val="1"/>
    <w:link w:val="78"/>
    <w:qFormat/>
    <w:uiPriority w:val="99"/>
    <w:pPr>
      <w:widowControl/>
      <w:spacing w:after="200" w:line="276" w:lineRule="auto"/>
      <w:jc w:val="left"/>
    </w:pPr>
    <w:rPr>
      <w:rFonts w:ascii="Cambria" w:hAnsi="Cambria"/>
      <w:i/>
      <w:iCs/>
      <w:color w:val="4F81BD"/>
      <w:spacing w:val="15"/>
      <w:kern w:val="0"/>
      <w:sz w:val="24"/>
      <w:szCs w:val="24"/>
      <w:lang w:eastAsia="en-US"/>
    </w:rPr>
  </w:style>
  <w:style w:type="paragraph" w:styleId="36">
    <w:name w:val="List"/>
    <w:basedOn w:val="1"/>
    <w:qFormat/>
    <w:uiPriority w:val="0"/>
    <w:pPr>
      <w:adjustRightInd w:val="0"/>
      <w:spacing w:line="360" w:lineRule="atLeast"/>
      <w:ind w:left="420" w:hanging="420"/>
      <w:jc w:val="left"/>
    </w:pPr>
    <w:rPr>
      <w:rFonts w:hint="eastAsia" w:ascii="宋体"/>
      <w:kern w:val="0"/>
      <w:sz w:val="24"/>
      <w:szCs w:val="20"/>
    </w:rPr>
  </w:style>
  <w:style w:type="paragraph" w:styleId="37">
    <w:name w:val="footnote text"/>
    <w:basedOn w:val="1"/>
    <w:qFormat/>
    <w:uiPriority w:val="0"/>
    <w:pPr>
      <w:snapToGrid w:val="0"/>
      <w:jc w:val="left"/>
    </w:pPr>
    <w:rPr>
      <w:rFonts w:eastAsia="KaiTi_GB2312"/>
      <w:sz w:val="18"/>
      <w:szCs w:val="18"/>
    </w:rPr>
  </w:style>
  <w:style w:type="paragraph" w:styleId="38">
    <w:name w:val="toc 6"/>
    <w:basedOn w:val="1"/>
    <w:next w:val="1"/>
    <w:unhideWhenUsed/>
    <w:qFormat/>
    <w:uiPriority w:val="99"/>
    <w:pPr>
      <w:ind w:left="2100" w:leftChars="1000"/>
    </w:pPr>
    <w:rPr>
      <w:rFonts w:ascii="Calibri" w:hAnsi="Calibri"/>
      <w:szCs w:val="22"/>
    </w:rPr>
  </w:style>
  <w:style w:type="paragraph" w:styleId="39">
    <w:name w:val="Body Text Indent 3"/>
    <w:basedOn w:val="1"/>
    <w:link w:val="84"/>
    <w:unhideWhenUsed/>
    <w:qFormat/>
    <w:uiPriority w:val="99"/>
    <w:pPr>
      <w:ind w:left="471" w:hanging="471" w:hangingChars="200"/>
    </w:pPr>
    <w:rPr>
      <w:rFonts w:ascii="Arial" w:hAnsi="Arial" w:cs="Arial"/>
      <w:b/>
      <w:bCs/>
      <w:sz w:val="24"/>
    </w:rPr>
  </w:style>
  <w:style w:type="paragraph" w:styleId="40">
    <w:name w:val="toc 2"/>
    <w:basedOn w:val="1"/>
    <w:next w:val="1"/>
    <w:unhideWhenUsed/>
    <w:qFormat/>
    <w:uiPriority w:val="39"/>
    <w:pPr>
      <w:ind w:left="420" w:leftChars="200"/>
    </w:pPr>
  </w:style>
  <w:style w:type="paragraph" w:styleId="41">
    <w:name w:val="toc 9"/>
    <w:basedOn w:val="1"/>
    <w:next w:val="1"/>
    <w:unhideWhenUsed/>
    <w:qFormat/>
    <w:uiPriority w:val="99"/>
    <w:pPr>
      <w:ind w:left="3360" w:leftChars="1600"/>
    </w:pPr>
    <w:rPr>
      <w:rFonts w:ascii="Calibri" w:hAnsi="Calibri"/>
      <w:szCs w:val="22"/>
    </w:rPr>
  </w:style>
  <w:style w:type="paragraph" w:styleId="42">
    <w:name w:val="Body Text 2"/>
    <w:basedOn w:val="1"/>
    <w:link w:val="81"/>
    <w:unhideWhenUsed/>
    <w:qFormat/>
    <w:uiPriority w:val="99"/>
    <w:pPr>
      <w:spacing w:line="360" w:lineRule="auto"/>
    </w:pPr>
    <w:rPr>
      <w:b/>
      <w:sz w:val="28"/>
      <w:szCs w:val="21"/>
    </w:rPr>
  </w:style>
  <w:style w:type="paragraph" w:styleId="43">
    <w:name w:val="List Continue 2"/>
    <w:basedOn w:val="1"/>
    <w:unhideWhenUsed/>
    <w:qFormat/>
    <w:uiPriority w:val="99"/>
    <w:pPr>
      <w:spacing w:after="120"/>
      <w:ind w:left="840" w:leftChars="400"/>
    </w:pPr>
  </w:style>
  <w:style w:type="paragraph" w:styleId="44">
    <w:name w:val="HTML Preformatted"/>
    <w:basedOn w:val="1"/>
    <w:link w:val="7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45">
    <w:name w:val="Normal (Web)"/>
    <w:basedOn w:val="1"/>
    <w:link w:val="73"/>
    <w:unhideWhenUsed/>
    <w:qFormat/>
    <w:uiPriority w:val="0"/>
    <w:pPr>
      <w:widowControl/>
      <w:spacing w:before="100" w:beforeAutospacing="1" w:after="100" w:afterAutospacing="1"/>
      <w:jc w:val="left"/>
    </w:pPr>
    <w:rPr>
      <w:rFonts w:ascii="Arial Unicode MS" w:hAnsi="Arial Unicode MS" w:eastAsia="Arial Unicode MS" w:cs="Arial Unicode MS"/>
      <w:sz w:val="24"/>
      <w:szCs w:val="24"/>
    </w:rPr>
  </w:style>
  <w:style w:type="paragraph" w:styleId="46">
    <w:name w:val="index 1"/>
    <w:basedOn w:val="1"/>
    <w:next w:val="1"/>
    <w:unhideWhenUsed/>
    <w:qFormat/>
    <w:uiPriority w:val="99"/>
  </w:style>
  <w:style w:type="paragraph" w:styleId="47">
    <w:name w:val="Title"/>
    <w:basedOn w:val="1"/>
    <w:next w:val="1"/>
    <w:link w:val="75"/>
    <w:qFormat/>
    <w:uiPriority w:val="99"/>
    <w:pPr>
      <w:spacing w:before="240" w:after="60"/>
      <w:jc w:val="center"/>
      <w:outlineLvl w:val="0"/>
    </w:pPr>
    <w:rPr>
      <w:rFonts w:ascii="新宋体" w:hAnsi="Cambria" w:eastAsia="新宋体"/>
      <w:b/>
      <w:bCs/>
      <w:sz w:val="40"/>
      <w:szCs w:val="32"/>
    </w:rPr>
  </w:style>
  <w:style w:type="paragraph" w:styleId="48">
    <w:name w:val="annotation subject"/>
    <w:basedOn w:val="16"/>
    <w:next w:val="16"/>
    <w:link w:val="87"/>
    <w:unhideWhenUsed/>
    <w:qFormat/>
    <w:uiPriority w:val="99"/>
    <w:pPr>
      <w:widowControl/>
      <w:spacing w:after="200" w:line="276" w:lineRule="auto"/>
    </w:pPr>
    <w:rPr>
      <w:rFonts w:ascii="Calibri" w:hAnsi="Calibri"/>
      <w:b/>
      <w:bCs/>
      <w:sz w:val="22"/>
      <w:szCs w:val="22"/>
      <w:lang w:eastAsia="en-US"/>
    </w:rPr>
  </w:style>
  <w:style w:type="paragraph" w:styleId="49">
    <w:name w:val="Body Text First Indent"/>
    <w:basedOn w:val="20"/>
    <w:unhideWhenUsed/>
    <w:qFormat/>
    <w:uiPriority w:val="99"/>
    <w:pPr>
      <w:spacing w:line="360" w:lineRule="auto"/>
      <w:ind w:firstLine="200" w:firstLineChars="200"/>
    </w:pPr>
    <w:rPr>
      <w:rFonts w:ascii="FangSong_GB2312" w:eastAsia="FangSong_GB2312"/>
      <w:sz w:val="30"/>
      <w:szCs w:val="30"/>
    </w:rPr>
  </w:style>
  <w:style w:type="paragraph" w:styleId="50">
    <w:name w:val="Body Text First Indent 2"/>
    <w:basedOn w:val="22"/>
    <w:next w:val="1"/>
    <w:qFormat/>
    <w:uiPriority w:val="0"/>
    <w:pPr>
      <w:ind w:firstLine="420" w:firstLineChars="200"/>
    </w:pPr>
  </w:style>
  <w:style w:type="table" w:styleId="52">
    <w:name w:val="Table Grid"/>
    <w:basedOn w:val="51"/>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99"/>
    <w:rPr>
      <w:b/>
      <w:bCs/>
      <w:kern w:val="0"/>
      <w:sz w:val="24"/>
      <w:szCs w:val="20"/>
    </w:rPr>
  </w:style>
  <w:style w:type="character" w:styleId="55">
    <w:name w:val="page number"/>
    <w:basedOn w:val="53"/>
    <w:unhideWhenUsed/>
    <w:qFormat/>
    <w:uiPriority w:val="99"/>
    <w:rPr>
      <w:kern w:val="0"/>
      <w:sz w:val="24"/>
      <w:szCs w:val="20"/>
    </w:rPr>
  </w:style>
  <w:style w:type="character" w:styleId="56">
    <w:name w:val="FollowedHyperlink"/>
    <w:unhideWhenUsed/>
    <w:qFormat/>
    <w:uiPriority w:val="0"/>
    <w:rPr>
      <w:color w:val="800080"/>
      <w:kern w:val="0"/>
      <w:sz w:val="24"/>
      <w:szCs w:val="20"/>
      <w:u w:val="single"/>
    </w:rPr>
  </w:style>
  <w:style w:type="character" w:styleId="57">
    <w:name w:val="Emphasis"/>
    <w:qFormat/>
    <w:uiPriority w:val="99"/>
    <w:rPr>
      <w:i/>
    </w:rPr>
  </w:style>
  <w:style w:type="character" w:styleId="58">
    <w:name w:val="Hyperlink"/>
    <w:unhideWhenUsed/>
    <w:qFormat/>
    <w:uiPriority w:val="99"/>
    <w:rPr>
      <w:color w:val="0000FF"/>
      <w:kern w:val="0"/>
      <w:sz w:val="24"/>
      <w:szCs w:val="20"/>
      <w:u w:val="single"/>
    </w:rPr>
  </w:style>
  <w:style w:type="character" w:styleId="59">
    <w:name w:val="annotation reference"/>
    <w:unhideWhenUsed/>
    <w:qFormat/>
    <w:uiPriority w:val="99"/>
    <w:rPr>
      <w:sz w:val="21"/>
      <w:szCs w:val="21"/>
    </w:rPr>
  </w:style>
  <w:style w:type="paragraph" w:customStyle="1" w:styleId="60">
    <w:name w:val="Default"/>
    <w:basedOn w:val="47"/>
    <w:next w:val="2"/>
    <w:qFormat/>
    <w:uiPriority w:val="99"/>
    <w:pPr>
      <w:widowControl w:val="0"/>
      <w:autoSpaceDE w:val="0"/>
      <w:autoSpaceDN w:val="0"/>
      <w:adjustRightInd w:val="0"/>
    </w:pPr>
    <w:rPr>
      <w:rFonts w:ascii="宋体" w:hAnsi="Times New Roman" w:eastAsia="宋体" w:cs="Times New Roman"/>
      <w:color w:val="000000"/>
      <w:kern w:val="2"/>
      <w:sz w:val="24"/>
      <w:szCs w:val="22"/>
      <w:lang w:val="en-US" w:eastAsia="zh-CN" w:bidi="ar-SA"/>
    </w:rPr>
  </w:style>
  <w:style w:type="character" w:customStyle="1" w:styleId="61">
    <w:name w:val="页眉 Char"/>
    <w:basedOn w:val="53"/>
    <w:link w:val="32"/>
    <w:qFormat/>
    <w:uiPriority w:val="99"/>
    <w:rPr>
      <w:sz w:val="18"/>
      <w:szCs w:val="18"/>
    </w:rPr>
  </w:style>
  <w:style w:type="character" w:customStyle="1" w:styleId="62">
    <w:name w:val="页脚 Char"/>
    <w:basedOn w:val="53"/>
    <w:link w:val="31"/>
    <w:qFormat/>
    <w:uiPriority w:val="99"/>
    <w:rPr>
      <w:sz w:val="18"/>
      <w:szCs w:val="18"/>
    </w:rPr>
  </w:style>
  <w:style w:type="character" w:customStyle="1" w:styleId="63">
    <w:name w:val="标题 1 Char"/>
    <w:basedOn w:val="53"/>
    <w:qFormat/>
    <w:uiPriority w:val="9"/>
    <w:rPr>
      <w:rFonts w:ascii="Times New Roman" w:hAnsi="Times New Roman" w:eastAsia="宋体" w:cs="Times New Roman"/>
      <w:b/>
      <w:bCs/>
      <w:kern w:val="44"/>
      <w:sz w:val="44"/>
      <w:szCs w:val="44"/>
    </w:rPr>
  </w:style>
  <w:style w:type="character" w:customStyle="1" w:styleId="64">
    <w:name w:val="标题 2 Char"/>
    <w:basedOn w:val="53"/>
    <w:semiHidden/>
    <w:qFormat/>
    <w:uiPriority w:val="9"/>
    <w:rPr>
      <w:rFonts w:asciiTheme="majorHAnsi" w:hAnsiTheme="majorHAnsi" w:eastAsiaTheme="majorEastAsia" w:cstheme="majorBidi"/>
      <w:b/>
      <w:bCs/>
      <w:sz w:val="32"/>
      <w:szCs w:val="32"/>
    </w:rPr>
  </w:style>
  <w:style w:type="character" w:customStyle="1" w:styleId="65">
    <w:name w:val="标题 3 Char"/>
    <w:basedOn w:val="53"/>
    <w:link w:val="4"/>
    <w:qFormat/>
    <w:uiPriority w:val="0"/>
    <w:rPr>
      <w:rFonts w:ascii="Times New Roman" w:hAnsi="Times New Roman" w:eastAsia="宋体" w:cs="Times New Roman"/>
      <w:b/>
      <w:bCs/>
      <w:sz w:val="32"/>
      <w:szCs w:val="32"/>
    </w:rPr>
  </w:style>
  <w:style w:type="character" w:customStyle="1" w:styleId="66">
    <w:name w:val="标题 4 Char"/>
    <w:basedOn w:val="53"/>
    <w:link w:val="5"/>
    <w:qFormat/>
    <w:uiPriority w:val="0"/>
    <w:rPr>
      <w:rFonts w:ascii="Arial" w:hAnsi="Arial" w:eastAsia="黑体" w:cs="Times New Roman"/>
      <w:b/>
      <w:bCs/>
      <w:sz w:val="28"/>
      <w:szCs w:val="28"/>
    </w:rPr>
  </w:style>
  <w:style w:type="character" w:customStyle="1" w:styleId="67">
    <w:name w:val="标题 5 Char"/>
    <w:basedOn w:val="53"/>
    <w:link w:val="6"/>
    <w:qFormat/>
    <w:uiPriority w:val="0"/>
    <w:rPr>
      <w:rFonts w:ascii="Times New Roman" w:hAnsi="Times New Roman" w:eastAsia="Arial Unicode MS" w:cs="Times New Roman"/>
      <w:b/>
      <w:kern w:val="0"/>
      <w:sz w:val="28"/>
      <w:szCs w:val="20"/>
    </w:rPr>
  </w:style>
  <w:style w:type="character" w:customStyle="1" w:styleId="68">
    <w:name w:val="标题 6 Char"/>
    <w:basedOn w:val="53"/>
    <w:link w:val="7"/>
    <w:semiHidden/>
    <w:qFormat/>
    <w:uiPriority w:val="9"/>
    <w:rPr>
      <w:rFonts w:ascii="Arial" w:hAnsi="Arial" w:eastAsia="黑体" w:cs="Times New Roman"/>
      <w:b/>
      <w:kern w:val="0"/>
      <w:sz w:val="24"/>
      <w:szCs w:val="20"/>
    </w:rPr>
  </w:style>
  <w:style w:type="character" w:customStyle="1" w:styleId="69">
    <w:name w:val="标题 7 Char"/>
    <w:basedOn w:val="53"/>
    <w:link w:val="8"/>
    <w:semiHidden/>
    <w:qFormat/>
    <w:uiPriority w:val="99"/>
    <w:rPr>
      <w:rFonts w:ascii="Times New Roman" w:hAnsi="Times New Roman" w:eastAsia="宋体" w:cs="Times New Roman"/>
      <w:b/>
      <w:kern w:val="0"/>
      <w:sz w:val="24"/>
      <w:szCs w:val="20"/>
    </w:rPr>
  </w:style>
  <w:style w:type="character" w:customStyle="1" w:styleId="70">
    <w:name w:val="标题 8 Char"/>
    <w:basedOn w:val="53"/>
    <w:link w:val="9"/>
    <w:semiHidden/>
    <w:qFormat/>
    <w:uiPriority w:val="99"/>
    <w:rPr>
      <w:rFonts w:ascii="Arial" w:hAnsi="Arial" w:eastAsia="黑体" w:cs="Times New Roman"/>
      <w:kern w:val="0"/>
      <w:sz w:val="24"/>
      <w:szCs w:val="20"/>
    </w:rPr>
  </w:style>
  <w:style w:type="character" w:customStyle="1" w:styleId="71">
    <w:name w:val="标题 9 Char"/>
    <w:basedOn w:val="53"/>
    <w:link w:val="10"/>
    <w:semiHidden/>
    <w:qFormat/>
    <w:uiPriority w:val="99"/>
    <w:rPr>
      <w:rFonts w:ascii="Arial" w:hAnsi="Arial" w:eastAsia="黑体" w:cs="Times New Roman"/>
      <w:kern w:val="0"/>
      <w:szCs w:val="20"/>
    </w:rPr>
  </w:style>
  <w:style w:type="character" w:customStyle="1" w:styleId="72">
    <w:name w:val="HTML 预设格式 Char"/>
    <w:basedOn w:val="53"/>
    <w:link w:val="44"/>
    <w:semiHidden/>
    <w:qFormat/>
    <w:uiPriority w:val="99"/>
    <w:rPr>
      <w:rFonts w:ascii="Arial" w:hAnsi="Arial" w:eastAsia="宋体" w:cs="Times New Roman"/>
      <w:kern w:val="0"/>
      <w:sz w:val="24"/>
      <w:szCs w:val="24"/>
    </w:rPr>
  </w:style>
  <w:style w:type="character" w:customStyle="1" w:styleId="73">
    <w:name w:val="普通(网站) Char"/>
    <w:link w:val="45"/>
    <w:semiHidden/>
    <w:qFormat/>
    <w:locked/>
    <w:uiPriority w:val="99"/>
    <w:rPr>
      <w:rFonts w:ascii="Arial Unicode MS" w:hAnsi="Arial Unicode MS" w:eastAsia="Arial Unicode MS" w:cs="Arial Unicode MS"/>
      <w:sz w:val="24"/>
      <w:szCs w:val="24"/>
    </w:rPr>
  </w:style>
  <w:style w:type="character" w:customStyle="1" w:styleId="74">
    <w:name w:val="批注文字 Char"/>
    <w:basedOn w:val="53"/>
    <w:semiHidden/>
    <w:qFormat/>
    <w:uiPriority w:val="0"/>
    <w:rPr>
      <w:rFonts w:ascii="Times New Roman" w:hAnsi="Times New Roman" w:eastAsia="宋体" w:cs="Times New Roman"/>
      <w:szCs w:val="20"/>
    </w:rPr>
  </w:style>
  <w:style w:type="character" w:customStyle="1" w:styleId="75">
    <w:name w:val="标题 Char"/>
    <w:basedOn w:val="53"/>
    <w:link w:val="47"/>
    <w:qFormat/>
    <w:uiPriority w:val="99"/>
    <w:rPr>
      <w:rFonts w:ascii="新宋体" w:hAnsi="Cambria" w:eastAsia="新宋体" w:cs="Times New Roman"/>
      <w:b/>
      <w:bCs/>
      <w:sz w:val="40"/>
      <w:szCs w:val="32"/>
    </w:rPr>
  </w:style>
  <w:style w:type="character" w:customStyle="1" w:styleId="76">
    <w:name w:val="正文文本 Char"/>
    <w:basedOn w:val="53"/>
    <w:link w:val="20"/>
    <w:semiHidden/>
    <w:qFormat/>
    <w:uiPriority w:val="99"/>
    <w:rPr>
      <w:rFonts w:ascii="Arial" w:hAnsi="Arial" w:eastAsia="宋体" w:cs="Arial"/>
      <w:sz w:val="24"/>
      <w:szCs w:val="20"/>
    </w:rPr>
  </w:style>
  <w:style w:type="character" w:customStyle="1" w:styleId="77">
    <w:name w:val="正文文本缩进 Char"/>
    <w:basedOn w:val="53"/>
    <w:link w:val="22"/>
    <w:semiHidden/>
    <w:qFormat/>
    <w:uiPriority w:val="99"/>
    <w:rPr>
      <w:rFonts w:ascii="宋体" w:hAnsi="宋体" w:eastAsia="宋体" w:cs="Times New Roman"/>
      <w:sz w:val="24"/>
      <w:szCs w:val="20"/>
    </w:rPr>
  </w:style>
  <w:style w:type="character" w:customStyle="1" w:styleId="78">
    <w:name w:val="副标题 Char"/>
    <w:basedOn w:val="53"/>
    <w:link w:val="35"/>
    <w:qFormat/>
    <w:uiPriority w:val="99"/>
    <w:rPr>
      <w:rFonts w:ascii="Cambria" w:hAnsi="Cambria" w:eastAsia="宋体" w:cs="Times New Roman"/>
      <w:i/>
      <w:iCs/>
      <w:color w:val="4F81BD"/>
      <w:spacing w:val="15"/>
      <w:kern w:val="0"/>
      <w:sz w:val="24"/>
      <w:szCs w:val="24"/>
      <w:lang w:eastAsia="en-US"/>
    </w:rPr>
  </w:style>
  <w:style w:type="character" w:customStyle="1" w:styleId="79">
    <w:name w:val="称呼 Char"/>
    <w:basedOn w:val="53"/>
    <w:link w:val="18"/>
    <w:semiHidden/>
    <w:qFormat/>
    <w:uiPriority w:val="99"/>
    <w:rPr>
      <w:rFonts w:ascii="宋体" w:hAnsi="Times New Roman" w:eastAsia="宋体" w:cs="Times New Roman"/>
      <w:b/>
      <w:sz w:val="28"/>
      <w:szCs w:val="20"/>
    </w:rPr>
  </w:style>
  <w:style w:type="character" w:customStyle="1" w:styleId="80">
    <w:name w:val="日期 Char"/>
    <w:basedOn w:val="53"/>
    <w:link w:val="28"/>
    <w:semiHidden/>
    <w:qFormat/>
    <w:uiPriority w:val="99"/>
    <w:rPr>
      <w:rFonts w:ascii="Times New Roman" w:hAnsi="Times New Roman" w:eastAsia="宋体" w:cs="Times New Roman"/>
      <w:sz w:val="24"/>
      <w:szCs w:val="20"/>
    </w:rPr>
  </w:style>
  <w:style w:type="character" w:customStyle="1" w:styleId="81">
    <w:name w:val="正文文本 2 Char"/>
    <w:basedOn w:val="53"/>
    <w:link w:val="42"/>
    <w:semiHidden/>
    <w:qFormat/>
    <w:uiPriority w:val="99"/>
    <w:rPr>
      <w:rFonts w:ascii="Times New Roman" w:hAnsi="Times New Roman" w:eastAsia="宋体" w:cs="Times New Roman"/>
      <w:b/>
      <w:sz w:val="28"/>
      <w:szCs w:val="21"/>
    </w:rPr>
  </w:style>
  <w:style w:type="character" w:customStyle="1" w:styleId="82">
    <w:name w:val="正文文本 3 Char"/>
    <w:basedOn w:val="53"/>
    <w:link w:val="19"/>
    <w:semiHidden/>
    <w:qFormat/>
    <w:uiPriority w:val="99"/>
    <w:rPr>
      <w:rFonts w:ascii="Times New Roman" w:hAnsi="Times New Roman" w:eastAsia="宋体" w:cs="Times New Roman"/>
      <w:color w:val="000000"/>
      <w:szCs w:val="20"/>
    </w:rPr>
  </w:style>
  <w:style w:type="character" w:customStyle="1" w:styleId="83">
    <w:name w:val="正文文本缩进 2 Char"/>
    <w:basedOn w:val="53"/>
    <w:link w:val="29"/>
    <w:semiHidden/>
    <w:qFormat/>
    <w:uiPriority w:val="99"/>
    <w:rPr>
      <w:rFonts w:ascii="宋体" w:hAnsi="宋体" w:eastAsia="宋体" w:cs="Times New Roman"/>
      <w:sz w:val="24"/>
      <w:szCs w:val="20"/>
    </w:rPr>
  </w:style>
  <w:style w:type="character" w:customStyle="1" w:styleId="84">
    <w:name w:val="正文文本缩进 3 Char"/>
    <w:basedOn w:val="53"/>
    <w:link w:val="39"/>
    <w:semiHidden/>
    <w:qFormat/>
    <w:uiPriority w:val="99"/>
    <w:rPr>
      <w:rFonts w:ascii="Arial" w:hAnsi="Arial" w:eastAsia="宋体" w:cs="Arial"/>
      <w:b/>
      <w:bCs/>
      <w:sz w:val="24"/>
      <w:szCs w:val="20"/>
    </w:rPr>
  </w:style>
  <w:style w:type="character" w:customStyle="1" w:styleId="85">
    <w:name w:val="文档结构图 Char"/>
    <w:basedOn w:val="53"/>
    <w:link w:val="14"/>
    <w:semiHidden/>
    <w:qFormat/>
    <w:uiPriority w:val="99"/>
    <w:rPr>
      <w:rFonts w:ascii="Times New Roman" w:hAnsi="Times New Roman" w:eastAsia="宋体" w:cs="Times New Roman"/>
      <w:szCs w:val="20"/>
      <w:shd w:val="clear" w:color="auto" w:fill="000080"/>
    </w:rPr>
  </w:style>
  <w:style w:type="character" w:customStyle="1" w:styleId="86">
    <w:name w:val="纯文本 Char"/>
    <w:basedOn w:val="53"/>
    <w:link w:val="26"/>
    <w:semiHidden/>
    <w:qFormat/>
    <w:uiPriority w:val="99"/>
    <w:rPr>
      <w:rFonts w:ascii="宋体" w:hAnsi="Courier New" w:eastAsia="宋体" w:cs="Times New Roman"/>
      <w:szCs w:val="20"/>
    </w:rPr>
  </w:style>
  <w:style w:type="character" w:customStyle="1" w:styleId="87">
    <w:name w:val="批注主题 Char"/>
    <w:basedOn w:val="74"/>
    <w:link w:val="48"/>
    <w:semiHidden/>
    <w:qFormat/>
    <w:uiPriority w:val="99"/>
    <w:rPr>
      <w:rFonts w:ascii="Calibri" w:hAnsi="Calibri" w:eastAsia="宋体" w:cs="Times New Roman"/>
      <w:b/>
      <w:bCs/>
      <w:sz w:val="22"/>
      <w:szCs w:val="20"/>
      <w:lang w:eastAsia="en-US"/>
    </w:rPr>
  </w:style>
  <w:style w:type="character" w:customStyle="1" w:styleId="88">
    <w:name w:val="批注框文本 Char"/>
    <w:basedOn w:val="53"/>
    <w:semiHidden/>
    <w:qFormat/>
    <w:uiPriority w:val="99"/>
    <w:rPr>
      <w:rFonts w:ascii="Times New Roman" w:hAnsi="Times New Roman" w:eastAsia="宋体" w:cs="Times New Roman"/>
      <w:sz w:val="18"/>
      <w:szCs w:val="18"/>
    </w:rPr>
  </w:style>
  <w:style w:type="paragraph" w:customStyle="1" w:styleId="89">
    <w:name w:val="List Paragraph"/>
    <w:basedOn w:val="1"/>
    <w:qFormat/>
    <w:uiPriority w:val="34"/>
    <w:pPr>
      <w:ind w:firstLine="420" w:firstLineChars="200"/>
    </w:pPr>
  </w:style>
  <w:style w:type="paragraph" w:customStyle="1" w:styleId="90">
    <w:name w:val="TOC 标题1"/>
    <w:basedOn w:val="2"/>
    <w:next w:val="1"/>
    <w:unhideWhenUsed/>
    <w:qFormat/>
    <w:uiPriority w:val="39"/>
    <w:pPr>
      <w:keepLines/>
      <w:widowControl/>
      <w:numPr>
        <w:numId w:val="0"/>
      </w:numPr>
      <w:tabs>
        <w:tab w:val="left" w:pos="432"/>
      </w:tabs>
      <w:spacing w:before="480" w:line="276" w:lineRule="auto"/>
      <w:jc w:val="left"/>
      <w:outlineLvl w:val="9"/>
    </w:pPr>
    <w:rPr>
      <w:rFonts w:ascii="Cambria" w:hAnsi="Cambria"/>
      <w:color w:val="365F91"/>
      <w:kern w:val="0"/>
      <w:sz w:val="28"/>
      <w:szCs w:val="28"/>
    </w:rPr>
  </w:style>
  <w:style w:type="character" w:customStyle="1" w:styleId="91">
    <w:name w:val="标题5 Char Char"/>
    <w:link w:val="92"/>
    <w:qFormat/>
    <w:locked/>
    <w:uiPriority w:val="99"/>
    <w:rPr>
      <w:rFonts w:ascii="Arial" w:hAnsi="Arial" w:cs="Arial"/>
      <w:b/>
      <w:sz w:val="32"/>
    </w:rPr>
  </w:style>
  <w:style w:type="paragraph" w:customStyle="1" w:styleId="92">
    <w:name w:val="标题5"/>
    <w:basedOn w:val="4"/>
    <w:link w:val="91"/>
    <w:qFormat/>
    <w:uiPriority w:val="99"/>
    <w:pPr>
      <w:tabs>
        <w:tab w:val="left" w:pos="720"/>
      </w:tabs>
      <w:spacing w:line="412" w:lineRule="auto"/>
    </w:pPr>
    <w:rPr>
      <w:rFonts w:ascii="Arial" w:hAnsi="Arial" w:cs="Arial" w:eastAsiaTheme="minorEastAsia"/>
      <w:bCs w:val="0"/>
      <w:szCs w:val="22"/>
    </w:rPr>
  </w:style>
  <w:style w:type="paragraph" w:customStyle="1" w:styleId="93">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FangSong_GB2312" w:hAnsi="宋体" w:eastAsia="FangSong_GB2312" w:cs="宋体"/>
      <w:kern w:val="0"/>
      <w:sz w:val="24"/>
      <w:szCs w:val="24"/>
    </w:rPr>
  </w:style>
  <w:style w:type="paragraph" w:customStyle="1" w:styleId="94">
    <w:name w:val="xl41"/>
    <w:basedOn w:val="1"/>
    <w:qFormat/>
    <w:uiPriority w:val="99"/>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FangSong_GB2312" w:hAnsi="宋体" w:eastAsia="FangSong_GB2312" w:cs="宋体"/>
      <w:color w:val="000000"/>
      <w:kern w:val="0"/>
      <w:sz w:val="24"/>
      <w:szCs w:val="24"/>
    </w:rPr>
  </w:style>
  <w:style w:type="paragraph" w:customStyle="1" w:styleId="95">
    <w:name w:val="样式 标题 3 + (中文) 黑体 小四 非加粗 段前: 7.8 磅 段后: 0 磅 行距: 固定值 20 磅"/>
    <w:basedOn w:val="4"/>
    <w:qFormat/>
    <w:uiPriority w:val="99"/>
    <w:pPr>
      <w:tabs>
        <w:tab w:val="left" w:pos="720"/>
      </w:tabs>
      <w:spacing w:before="0" w:after="0" w:line="400" w:lineRule="exact"/>
    </w:pPr>
    <w:rPr>
      <w:rFonts w:eastAsia="黑体" w:cs="宋体"/>
      <w:b w:val="0"/>
      <w:bCs w:val="0"/>
      <w:sz w:val="24"/>
      <w:szCs w:val="20"/>
    </w:rPr>
  </w:style>
  <w:style w:type="paragraph" w:customStyle="1" w:styleId="96">
    <w:name w:val="xl53"/>
    <w:basedOn w:val="1"/>
    <w:qFormat/>
    <w:uiPriority w:val="99"/>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FangSong_GB2312" w:hAnsi="宋体" w:eastAsia="FangSong_GB2312" w:cs="宋体"/>
      <w:kern w:val="0"/>
      <w:sz w:val="24"/>
      <w:szCs w:val="24"/>
    </w:rPr>
  </w:style>
  <w:style w:type="character" w:customStyle="1" w:styleId="97">
    <w:name w:val="正文文字 Char1"/>
    <w:link w:val="98"/>
    <w:qFormat/>
    <w:locked/>
    <w:uiPriority w:val="0"/>
    <w:rPr>
      <w:rFonts w:ascii="宋体" w:hAnsi="宋体" w:eastAsia="宋体"/>
      <w:color w:val="000000"/>
      <w:sz w:val="28"/>
      <w:u w:color="000000"/>
    </w:rPr>
  </w:style>
  <w:style w:type="paragraph" w:customStyle="1" w:styleId="98">
    <w:name w:val="正文文字"/>
    <w:basedOn w:val="1"/>
    <w:link w:val="97"/>
    <w:qFormat/>
    <w:uiPriority w:val="0"/>
    <w:pPr>
      <w:widowControl/>
      <w:spacing w:line="2375" w:lineRule="atLeast"/>
      <w:ind w:firstLine="419"/>
    </w:pPr>
    <w:rPr>
      <w:rFonts w:ascii="宋体" w:hAnsi="宋体" w:cstheme="minorBidi"/>
      <w:color w:val="000000"/>
      <w:sz w:val="28"/>
      <w:szCs w:val="22"/>
      <w:u w:color="000000"/>
    </w:rPr>
  </w:style>
  <w:style w:type="paragraph" w:customStyle="1" w:styleId="99">
    <w:name w:val="xl43"/>
    <w:basedOn w:val="1"/>
    <w:qFormat/>
    <w:uiPriority w:val="99"/>
    <w:pPr>
      <w:widowControl/>
      <w:pBdr>
        <w:top w:val="single" w:color="auto" w:sz="4" w:space="0"/>
        <w:left w:val="single" w:color="auto" w:sz="4" w:space="0"/>
        <w:bottom w:val="single" w:color="auto" w:sz="4" w:space="0"/>
        <w:right w:val="single" w:color="auto" w:sz="4" w:space="0"/>
      </w:pBdr>
      <w:shd w:val="clear" w:color="auto" w:fill="33CCCC"/>
      <w:spacing w:before="100" w:beforeAutospacing="1" w:after="100" w:afterAutospacing="1"/>
      <w:jc w:val="left"/>
    </w:pPr>
    <w:rPr>
      <w:rFonts w:ascii="FangSong_GB2312" w:hAnsi="宋体" w:eastAsia="FangSong_GB2312" w:cs="宋体"/>
      <w:color w:val="000000"/>
      <w:kern w:val="0"/>
      <w:sz w:val="24"/>
      <w:szCs w:val="24"/>
    </w:rPr>
  </w:style>
  <w:style w:type="paragraph" w:customStyle="1" w:styleId="100">
    <w:name w:val="列出段落2"/>
    <w:basedOn w:val="1"/>
    <w:qFormat/>
    <w:uiPriority w:val="99"/>
    <w:pPr>
      <w:ind w:firstLine="420" w:firstLineChars="200"/>
    </w:pPr>
    <w:rPr>
      <w:rFonts w:ascii="Calibri" w:hAnsi="Calibri"/>
      <w:szCs w:val="22"/>
    </w:rPr>
  </w:style>
  <w:style w:type="character" w:customStyle="1" w:styleId="101">
    <w:name w:val="Intense Quote Char"/>
    <w:link w:val="102"/>
    <w:qFormat/>
    <w:locked/>
    <w:uiPriority w:val="99"/>
    <w:rPr>
      <w:rFonts w:ascii="Calibri" w:hAnsi="Calibri" w:cs="Calibri"/>
      <w:b/>
      <w:bCs/>
      <w:i/>
      <w:iCs/>
      <w:color w:val="4F81BD"/>
      <w:sz w:val="22"/>
      <w:lang w:eastAsia="en-US"/>
    </w:rPr>
  </w:style>
  <w:style w:type="paragraph" w:customStyle="1" w:styleId="102">
    <w:name w:val="明显引用1"/>
    <w:basedOn w:val="1"/>
    <w:next w:val="1"/>
    <w:link w:val="101"/>
    <w:qFormat/>
    <w:uiPriority w:val="99"/>
    <w:pPr>
      <w:widowControl/>
      <w:pBdr>
        <w:bottom w:val="single" w:color="4F81BD" w:sz="4" w:space="4"/>
      </w:pBdr>
      <w:spacing w:before="200" w:after="280" w:line="276" w:lineRule="auto"/>
      <w:ind w:left="936" w:right="936"/>
      <w:jc w:val="left"/>
    </w:pPr>
    <w:rPr>
      <w:rFonts w:ascii="Calibri" w:hAnsi="Calibri" w:cs="Calibri" w:eastAsiaTheme="minorEastAsia"/>
      <w:b/>
      <w:bCs/>
      <w:i/>
      <w:iCs/>
      <w:color w:val="4F81BD"/>
      <w:sz w:val="22"/>
      <w:szCs w:val="22"/>
      <w:lang w:eastAsia="en-US"/>
    </w:rPr>
  </w:style>
  <w:style w:type="paragraph" w:customStyle="1" w:styleId="103">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4">
    <w:name w:val="1 Char Char Char Char"/>
    <w:basedOn w:val="1"/>
    <w:qFormat/>
    <w:uiPriority w:val="99"/>
    <w:rPr>
      <w:rFonts w:ascii="Tahoma" w:hAnsi="Tahoma"/>
      <w:sz w:val="24"/>
    </w:rPr>
  </w:style>
  <w:style w:type="paragraph" w:customStyle="1" w:styleId="105">
    <w:name w:val="正文文字缩进 2"/>
    <w:basedOn w:val="1"/>
    <w:qFormat/>
    <w:uiPriority w:val="99"/>
    <w:pPr>
      <w:widowControl/>
      <w:spacing w:line="2375" w:lineRule="atLeast"/>
      <w:ind w:firstLine="561"/>
    </w:pPr>
    <w:rPr>
      <w:rFonts w:ascii="宋体"/>
      <w:color w:val="000000"/>
      <w:kern w:val="0"/>
      <w:sz w:val="28"/>
      <w:u w:color="000000"/>
    </w:rPr>
  </w:style>
  <w:style w:type="paragraph" w:customStyle="1" w:styleId="106">
    <w:name w:val="_Style 35"/>
    <w:basedOn w:val="1"/>
    <w:next w:val="1"/>
    <w:qFormat/>
    <w:uiPriority w:val="99"/>
    <w:pPr>
      <w:ind w:left="3360" w:leftChars="1600"/>
    </w:pPr>
    <w:rPr>
      <w:rFonts w:ascii="Calibri" w:hAnsi="Calibri"/>
      <w:szCs w:val="22"/>
    </w:rPr>
  </w:style>
  <w:style w:type="paragraph" w:customStyle="1" w:styleId="107">
    <w:name w:val="xl32"/>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FangSong_GB2312" w:hAnsi="宋体" w:eastAsia="FangSong_GB2312" w:cs="宋体"/>
      <w:color w:val="000000"/>
      <w:kern w:val="0"/>
      <w:sz w:val="24"/>
      <w:szCs w:val="24"/>
    </w:rPr>
  </w:style>
  <w:style w:type="paragraph" w:customStyle="1" w:styleId="108">
    <w:name w:val="xl29"/>
    <w:basedOn w:val="1"/>
    <w:qFormat/>
    <w:uiPriority w:val="99"/>
    <w:pPr>
      <w:widowControl/>
      <w:pBdr>
        <w:top w:val="single" w:color="auto" w:sz="4" w:space="0"/>
        <w:left w:val="single" w:color="auto" w:sz="4" w:space="0"/>
        <w:bottom w:val="single" w:color="auto" w:sz="4" w:space="0"/>
        <w:right w:val="single" w:color="auto" w:sz="4" w:space="0"/>
      </w:pBdr>
      <w:shd w:val="clear" w:color="auto" w:fill="00FFFF"/>
      <w:spacing w:before="100" w:beforeAutospacing="1" w:after="100" w:afterAutospacing="1"/>
      <w:jc w:val="left"/>
    </w:pPr>
    <w:rPr>
      <w:rFonts w:ascii="FangSong_GB2312" w:hAnsi="宋体" w:eastAsia="FangSong_GB2312" w:cs="宋体"/>
      <w:color w:val="000000"/>
      <w:kern w:val="0"/>
      <w:sz w:val="24"/>
      <w:szCs w:val="24"/>
    </w:rPr>
  </w:style>
  <w:style w:type="paragraph" w:customStyle="1" w:styleId="109">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FangSong_GB2312" w:hAnsi="宋体" w:eastAsia="FangSong_GB2312" w:cs="宋体"/>
      <w:color w:val="000000"/>
      <w:kern w:val="0"/>
      <w:sz w:val="24"/>
      <w:szCs w:val="24"/>
    </w:rPr>
  </w:style>
  <w:style w:type="paragraph" w:customStyle="1" w:styleId="110">
    <w:name w:val="Default Tex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11">
    <w:name w:val="Quote Char"/>
    <w:link w:val="112"/>
    <w:qFormat/>
    <w:locked/>
    <w:uiPriority w:val="99"/>
    <w:rPr>
      <w:rFonts w:ascii="Calibri" w:hAnsi="Calibri" w:cs="Calibri"/>
      <w:i/>
      <w:iCs/>
      <w:color w:val="000000"/>
      <w:sz w:val="22"/>
      <w:lang w:eastAsia="en-US"/>
    </w:rPr>
  </w:style>
  <w:style w:type="paragraph" w:customStyle="1" w:styleId="112">
    <w:name w:val="引用1"/>
    <w:basedOn w:val="1"/>
    <w:next w:val="1"/>
    <w:link w:val="111"/>
    <w:qFormat/>
    <w:uiPriority w:val="99"/>
    <w:pPr>
      <w:widowControl/>
      <w:spacing w:after="200" w:line="276" w:lineRule="auto"/>
      <w:jc w:val="left"/>
    </w:pPr>
    <w:rPr>
      <w:rFonts w:ascii="Calibri" w:hAnsi="Calibri" w:cs="Calibri" w:eastAsiaTheme="minorEastAsia"/>
      <w:i/>
      <w:iCs/>
      <w:color w:val="000000"/>
      <w:sz w:val="22"/>
      <w:szCs w:val="22"/>
      <w:lang w:eastAsia="en-US"/>
    </w:rPr>
  </w:style>
  <w:style w:type="paragraph" w:customStyle="1" w:styleId="113">
    <w:name w:val="xl4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FangSong_GB2312" w:hAnsi="宋体" w:eastAsia="FangSong_GB2312" w:cs="宋体"/>
      <w:kern w:val="0"/>
      <w:sz w:val="24"/>
      <w:szCs w:val="24"/>
    </w:rPr>
  </w:style>
  <w:style w:type="paragraph" w:customStyle="1" w:styleId="114">
    <w:name w:val="xl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FangSong_GB2312" w:hAnsi="宋体" w:eastAsia="FangSong_GB2312" w:cs="宋体"/>
      <w:kern w:val="0"/>
      <w:sz w:val="24"/>
      <w:szCs w:val="24"/>
    </w:rPr>
  </w:style>
  <w:style w:type="paragraph" w:customStyle="1" w:styleId="115">
    <w:name w:val="xl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FangSong_GB2312" w:hAnsi="宋体" w:eastAsia="FangSong_GB2312" w:cs="宋体"/>
      <w:kern w:val="0"/>
      <w:sz w:val="24"/>
      <w:szCs w:val="24"/>
    </w:rPr>
  </w:style>
  <w:style w:type="paragraph" w:customStyle="1" w:styleId="116">
    <w:name w:val="无间隔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17">
    <w:name w:val="_Style 24"/>
    <w:qFormat/>
    <w:uiPriority w:val="99"/>
    <w:pPr>
      <w:widowControl w:val="0"/>
      <w:jc w:val="both"/>
    </w:pPr>
    <w:rPr>
      <w:rFonts w:ascii="Times New Roman" w:hAnsi="Times New Roman" w:eastAsia="宋体" w:cs="Times New Roman"/>
      <w:szCs w:val="24"/>
      <w:lang w:val="en-US" w:eastAsia="zh-CN" w:bidi="ar-SA"/>
    </w:rPr>
  </w:style>
  <w:style w:type="paragraph" w:customStyle="1" w:styleId="118">
    <w:name w:val="xl5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FangSong_GB2312" w:hAnsi="宋体" w:eastAsia="FangSong_GB2312" w:cs="宋体"/>
      <w:kern w:val="0"/>
      <w:sz w:val="24"/>
      <w:szCs w:val="24"/>
    </w:rPr>
  </w:style>
  <w:style w:type="paragraph" w:customStyle="1" w:styleId="119">
    <w:name w:val="xl42"/>
    <w:basedOn w:val="1"/>
    <w:qFormat/>
    <w:uiPriority w:val="99"/>
    <w:pPr>
      <w:widowControl/>
      <w:pBdr>
        <w:top w:val="single" w:color="auto" w:sz="4" w:space="0"/>
        <w:left w:val="single" w:color="auto" w:sz="4" w:space="0"/>
        <w:bottom w:val="single" w:color="auto" w:sz="4" w:space="0"/>
        <w:right w:val="single" w:color="auto" w:sz="4" w:space="0"/>
      </w:pBdr>
      <w:shd w:val="clear" w:color="auto" w:fill="00FFFF"/>
      <w:spacing w:before="100" w:beforeAutospacing="1" w:after="100" w:afterAutospacing="1"/>
      <w:jc w:val="left"/>
    </w:pPr>
    <w:rPr>
      <w:rFonts w:ascii="FangSong_GB2312" w:hAnsi="宋体" w:eastAsia="FangSong_GB2312" w:cs="宋体"/>
      <w:color w:val="000000"/>
      <w:kern w:val="0"/>
      <w:sz w:val="24"/>
      <w:szCs w:val="24"/>
    </w:rPr>
  </w:style>
  <w:style w:type="paragraph" w:customStyle="1" w:styleId="120">
    <w:name w:val="普通 (Web)"/>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121">
    <w:name w:val="TOC 标题2"/>
    <w:basedOn w:val="2"/>
    <w:next w:val="1"/>
    <w:qFormat/>
    <w:uiPriority w:val="99"/>
    <w:pPr>
      <w:keepLines/>
      <w:numPr>
        <w:numId w:val="0"/>
      </w:numPr>
      <w:tabs>
        <w:tab w:val="left" w:pos="432"/>
      </w:tabs>
      <w:spacing w:before="340" w:after="330" w:line="576" w:lineRule="auto"/>
      <w:outlineLvl w:val="9"/>
    </w:pPr>
    <w:rPr>
      <w:rFonts w:ascii="Calibri" w:hAnsi="Calibri"/>
      <w:kern w:val="44"/>
      <w:sz w:val="44"/>
      <w:szCs w:val="44"/>
    </w:rPr>
  </w:style>
  <w:style w:type="paragraph" w:customStyle="1" w:styleId="122">
    <w:name w:val="_Style 32"/>
    <w:basedOn w:val="1"/>
    <w:qFormat/>
    <w:uiPriority w:val="99"/>
    <w:pPr>
      <w:adjustRightInd w:val="0"/>
      <w:spacing w:line="360" w:lineRule="auto"/>
    </w:pPr>
    <w:rPr>
      <w:kern w:val="0"/>
      <w:sz w:val="24"/>
    </w:rPr>
  </w:style>
  <w:style w:type="paragraph" w:customStyle="1" w:styleId="123">
    <w:name w:val="xl6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FangSong_GB2312" w:hAnsi="宋体" w:eastAsia="FangSong_GB2312" w:cs="宋体"/>
      <w:color w:val="000000"/>
      <w:kern w:val="0"/>
      <w:sz w:val="24"/>
      <w:szCs w:val="24"/>
    </w:rPr>
  </w:style>
  <w:style w:type="paragraph" w:customStyle="1" w:styleId="124">
    <w:name w:val="xl36"/>
    <w:basedOn w:val="1"/>
    <w:qFormat/>
    <w:uiPriority w:val="99"/>
    <w:pPr>
      <w:widowControl/>
      <w:pBdr>
        <w:top w:val="single" w:color="auto" w:sz="4" w:space="0"/>
        <w:left w:val="single" w:color="auto" w:sz="4" w:space="0"/>
        <w:bottom w:val="single" w:color="auto" w:sz="4" w:space="0"/>
        <w:right w:val="single" w:color="auto" w:sz="4" w:space="0"/>
      </w:pBdr>
      <w:shd w:val="clear" w:color="auto" w:fill="33CCCC"/>
      <w:spacing w:before="100" w:beforeAutospacing="1" w:after="100" w:afterAutospacing="1"/>
      <w:jc w:val="center"/>
    </w:pPr>
    <w:rPr>
      <w:rFonts w:ascii="FangSong_GB2312" w:hAnsi="宋体" w:eastAsia="FangSong_GB2312" w:cs="宋体"/>
      <w:color w:val="000000"/>
      <w:kern w:val="0"/>
      <w:sz w:val="24"/>
      <w:szCs w:val="24"/>
    </w:rPr>
  </w:style>
  <w:style w:type="paragraph" w:customStyle="1" w:styleId="125">
    <w:name w:val="xl57"/>
    <w:basedOn w:val="1"/>
    <w:qFormat/>
    <w:uiPriority w:val="99"/>
    <w:pPr>
      <w:widowControl/>
      <w:pBdr>
        <w:top w:val="single" w:color="auto" w:sz="4" w:space="0"/>
        <w:left w:val="single" w:color="auto" w:sz="4" w:space="0"/>
        <w:bottom w:val="single" w:color="auto" w:sz="4" w:space="0"/>
        <w:right w:val="single" w:color="auto" w:sz="4" w:space="0"/>
      </w:pBdr>
      <w:shd w:val="clear" w:color="auto" w:fill="33CCCC"/>
      <w:spacing w:before="100" w:beforeAutospacing="1" w:after="100" w:afterAutospacing="1"/>
      <w:jc w:val="left"/>
    </w:pPr>
    <w:rPr>
      <w:rFonts w:ascii="FangSong_GB2312" w:hAnsi="宋体" w:eastAsia="FangSong_GB2312" w:cs="宋体"/>
      <w:kern w:val="0"/>
      <w:sz w:val="24"/>
      <w:szCs w:val="24"/>
    </w:rPr>
  </w:style>
  <w:style w:type="paragraph" w:customStyle="1" w:styleId="126">
    <w:name w:val="_Style 11"/>
    <w:basedOn w:val="1"/>
    <w:qFormat/>
    <w:uiPriority w:val="99"/>
    <w:rPr>
      <w:szCs w:val="24"/>
    </w:rPr>
  </w:style>
  <w:style w:type="paragraph" w:customStyle="1" w:styleId="127">
    <w:name w:val="flNote"/>
    <w:basedOn w:val="1"/>
    <w:qFormat/>
    <w:uiPriority w:val="99"/>
    <w:pPr>
      <w:adjustRightInd w:val="0"/>
      <w:spacing w:before="320" w:after="160" w:line="360" w:lineRule="atLeast"/>
      <w:jc w:val="center"/>
    </w:pPr>
    <w:rPr>
      <w:rFonts w:ascii="Arial" w:eastAsia="黑体"/>
      <w:kern w:val="0"/>
      <w:sz w:val="30"/>
    </w:rPr>
  </w:style>
  <w:style w:type="paragraph" w:customStyle="1" w:styleId="128">
    <w:name w:val="修订2"/>
    <w:qFormat/>
    <w:uiPriority w:val="99"/>
    <w:rPr>
      <w:rFonts w:ascii="Times New Roman" w:hAnsi="Times New Roman" w:eastAsia="宋体" w:cs="Times New Roman"/>
      <w:kern w:val="2"/>
      <w:sz w:val="21"/>
      <w:szCs w:val="24"/>
      <w:lang w:val="en-US" w:eastAsia="zh-CN" w:bidi="ar-SA"/>
    </w:rPr>
  </w:style>
  <w:style w:type="paragraph" w:customStyle="1" w:styleId="129">
    <w:name w:val="reader-word-layer reader-word-s1-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0">
    <w:name w:val="空半行"/>
    <w:basedOn w:val="1"/>
    <w:qFormat/>
    <w:uiPriority w:val="99"/>
    <w:pPr>
      <w:adjustRightInd w:val="0"/>
      <w:spacing w:line="120" w:lineRule="exact"/>
    </w:pPr>
    <w:rPr>
      <w:rFonts w:eastAsia="FangSong_GB2312"/>
      <w:color w:val="FFFFFF"/>
      <w:kern w:val="0"/>
      <w:sz w:val="30"/>
    </w:rPr>
  </w:style>
  <w:style w:type="paragraph" w:customStyle="1" w:styleId="131">
    <w:name w:val="p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2">
    <w:name w:val="Char2"/>
    <w:basedOn w:val="1"/>
    <w:qFormat/>
    <w:uiPriority w:val="99"/>
    <w:rPr>
      <w:szCs w:val="21"/>
    </w:rPr>
  </w:style>
  <w:style w:type="paragraph" w:customStyle="1" w:styleId="133">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FangSong_GB2312" w:hAnsi="宋体" w:eastAsia="FangSong_GB2312" w:cs="宋体"/>
      <w:color w:val="000000"/>
      <w:kern w:val="0"/>
      <w:sz w:val="24"/>
      <w:szCs w:val="24"/>
    </w:rPr>
  </w:style>
  <w:style w:type="paragraph" w:customStyle="1" w:styleId="134">
    <w:name w:val="xl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FangSong_GB2312" w:hAnsi="宋体" w:eastAsia="FangSong_GB2312" w:cs="宋体"/>
      <w:kern w:val="0"/>
      <w:sz w:val="24"/>
      <w:szCs w:val="24"/>
    </w:rPr>
  </w:style>
  <w:style w:type="paragraph" w:customStyle="1" w:styleId="135">
    <w:name w:val="GZTB表格样式"/>
    <w:basedOn w:val="1"/>
    <w:qFormat/>
    <w:uiPriority w:val="99"/>
    <w:pPr>
      <w:spacing w:after="200" w:line="440" w:lineRule="exact"/>
    </w:pPr>
    <w:rPr>
      <w:rFonts w:ascii="新宋体" w:hAnsi="新宋体" w:eastAsia="新宋体"/>
      <w:szCs w:val="22"/>
    </w:rPr>
  </w:style>
  <w:style w:type="paragraph" w:customStyle="1" w:styleId="136">
    <w:name w:val="Char"/>
    <w:basedOn w:val="1"/>
    <w:qFormat/>
    <w:uiPriority w:val="99"/>
    <w:rPr>
      <w:szCs w:val="21"/>
    </w:rPr>
  </w:style>
  <w:style w:type="paragraph" w:customStyle="1" w:styleId="137">
    <w:name w:val="xl31"/>
    <w:basedOn w:val="1"/>
    <w:qFormat/>
    <w:uiPriority w:val="99"/>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FangSong_GB2312" w:hAnsi="宋体" w:eastAsia="FangSong_GB2312" w:cs="宋体"/>
      <w:color w:val="000000"/>
      <w:kern w:val="0"/>
      <w:sz w:val="24"/>
      <w:szCs w:val="24"/>
    </w:rPr>
  </w:style>
  <w:style w:type="paragraph" w:customStyle="1" w:styleId="138">
    <w:name w:val="xl4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FangSong_GB2312" w:hAnsi="宋体" w:eastAsia="FangSong_GB2312" w:cs="宋体"/>
      <w:kern w:val="0"/>
      <w:sz w:val="24"/>
      <w:szCs w:val="24"/>
    </w:rPr>
  </w:style>
  <w:style w:type="paragraph" w:customStyle="1" w:styleId="139">
    <w:name w:val="xl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FangSong_GB2312" w:hAnsi="宋体" w:eastAsia="FangSong_GB2312" w:cs="宋体"/>
      <w:b/>
      <w:bCs/>
      <w:kern w:val="0"/>
      <w:sz w:val="28"/>
      <w:szCs w:val="28"/>
    </w:rPr>
  </w:style>
  <w:style w:type="paragraph" w:customStyle="1" w:styleId="140">
    <w:name w:val="列出段落1"/>
    <w:basedOn w:val="1"/>
    <w:qFormat/>
    <w:uiPriority w:val="99"/>
    <w:pPr>
      <w:ind w:firstLine="420" w:firstLineChars="200"/>
    </w:pPr>
    <w:rPr>
      <w:rFonts w:ascii="Calibri" w:hAnsi="Calibri"/>
      <w:szCs w:val="22"/>
    </w:rPr>
  </w:style>
  <w:style w:type="paragraph" w:customStyle="1" w:styleId="141">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42">
    <w:name w:val="WPS Plain"/>
    <w:qFormat/>
    <w:uiPriority w:val="99"/>
    <w:rPr>
      <w:rFonts w:ascii="Times New Roman" w:hAnsi="Times New Roman" w:eastAsia="宋体" w:cs="Times New Roman"/>
      <w:lang w:val="en-US" w:eastAsia="zh-CN" w:bidi="ar-SA"/>
    </w:rPr>
  </w:style>
  <w:style w:type="paragraph" w:customStyle="1" w:styleId="143">
    <w:name w:val="xl28"/>
    <w:basedOn w:val="1"/>
    <w:qFormat/>
    <w:uiPriority w:val="99"/>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FangSong_GB2312" w:hAnsi="宋体" w:eastAsia="FangSong_GB2312" w:cs="宋体"/>
      <w:color w:val="000000"/>
      <w:kern w:val="0"/>
      <w:sz w:val="24"/>
      <w:szCs w:val="24"/>
    </w:rPr>
  </w:style>
  <w:style w:type="character" w:customStyle="1" w:styleId="144">
    <w:name w:val="A4 Char"/>
    <w:link w:val="145"/>
    <w:qFormat/>
    <w:locked/>
    <w:uiPriority w:val="99"/>
    <w:rPr>
      <w:rFonts w:ascii="宋体" w:hAnsi="宋体" w:eastAsia="宋体"/>
      <w:color w:val="FF0000"/>
      <w:sz w:val="24"/>
      <w:szCs w:val="24"/>
    </w:rPr>
  </w:style>
  <w:style w:type="paragraph" w:customStyle="1" w:styleId="145">
    <w:name w:val="A4"/>
    <w:basedOn w:val="100"/>
    <w:link w:val="144"/>
    <w:qFormat/>
    <w:uiPriority w:val="99"/>
    <w:pPr>
      <w:spacing w:line="360" w:lineRule="auto"/>
      <w:ind w:left="719" w:leftChars="171" w:right="210" w:hanging="360" w:hangingChars="150"/>
    </w:pPr>
    <w:rPr>
      <w:rFonts w:ascii="宋体" w:hAnsi="宋体" w:cstheme="minorBidi"/>
      <w:color w:val="FF0000"/>
      <w:sz w:val="24"/>
      <w:szCs w:val="24"/>
    </w:rPr>
  </w:style>
  <w:style w:type="paragraph" w:customStyle="1" w:styleId="146">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FangSong_GB2312" w:hAnsi="宋体" w:eastAsia="FangSong_GB2312" w:cs="宋体"/>
      <w:kern w:val="0"/>
      <w:sz w:val="24"/>
      <w:szCs w:val="24"/>
    </w:rPr>
  </w:style>
  <w:style w:type="paragraph" w:customStyle="1" w:styleId="147">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FangSong_GB2312" w:hAnsi="宋体" w:eastAsia="FangSong_GB2312" w:cs="宋体"/>
      <w:kern w:val="0"/>
      <w:sz w:val="24"/>
      <w:szCs w:val="24"/>
    </w:rPr>
  </w:style>
  <w:style w:type="paragraph" w:customStyle="1" w:styleId="148">
    <w:name w:val="样式 标题 2 + Times New Roman 四号 非加粗 段前: 5 磅 段后: 0 磅 行距: 固定值 20..."/>
    <w:basedOn w:val="3"/>
    <w:qFormat/>
    <w:uiPriority w:val="99"/>
    <w:pPr>
      <w:tabs>
        <w:tab w:val="left" w:pos="576"/>
      </w:tabs>
      <w:spacing w:before="100" w:after="0" w:line="400" w:lineRule="exact"/>
    </w:pPr>
    <w:rPr>
      <w:rFonts w:ascii="Times New Roman" w:hAnsi="Times New Roman" w:cs="宋体"/>
      <w:b w:val="0"/>
      <w:sz w:val="28"/>
    </w:rPr>
  </w:style>
  <w:style w:type="paragraph" w:customStyle="1" w:styleId="149">
    <w:name w:val="样式"/>
    <w:qFormat/>
    <w:uiPriority w:val="99"/>
    <w:pPr>
      <w:widowControl w:val="0"/>
      <w:jc w:val="both"/>
    </w:pPr>
    <w:rPr>
      <w:rFonts w:ascii="宋体" w:hAnsi="宋体" w:eastAsia="宋体" w:cs="Times New Roman"/>
      <w:kern w:val="2"/>
      <w:sz w:val="21"/>
      <w:szCs w:val="22"/>
      <w:lang w:val="en-US" w:eastAsia="zh-CN" w:bidi="ar-SA"/>
    </w:rPr>
  </w:style>
  <w:style w:type="paragraph" w:customStyle="1" w:styleId="150">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FangSong_GB2312" w:hAnsi="宋体" w:eastAsia="FangSong_GB2312" w:cs="宋体"/>
      <w:color w:val="000000"/>
      <w:kern w:val="0"/>
      <w:sz w:val="24"/>
      <w:szCs w:val="24"/>
    </w:rPr>
  </w:style>
  <w:style w:type="paragraph" w:customStyle="1" w:styleId="151">
    <w:name w:val="xl25"/>
    <w:basedOn w:val="1"/>
    <w:qFormat/>
    <w:uiPriority w:val="99"/>
    <w:pPr>
      <w:widowControl/>
      <w:spacing w:before="100" w:beforeAutospacing="1" w:after="100" w:afterAutospacing="1"/>
    </w:pPr>
    <w:rPr>
      <w:rFonts w:ascii="宋体" w:hAnsi="宋体"/>
      <w:kern w:val="0"/>
      <w:sz w:val="18"/>
    </w:rPr>
  </w:style>
  <w:style w:type="paragraph" w:customStyle="1" w:styleId="152">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szCs w:val="24"/>
    </w:rPr>
  </w:style>
  <w:style w:type="paragraph" w:customStyle="1" w:styleId="153">
    <w:name w:val="xl5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FangSong_GB2312" w:hAnsi="宋体" w:eastAsia="FangSong_GB2312" w:cs="宋体"/>
      <w:b/>
      <w:bCs/>
      <w:kern w:val="0"/>
      <w:sz w:val="24"/>
      <w:szCs w:val="24"/>
    </w:rPr>
  </w:style>
  <w:style w:type="paragraph" w:customStyle="1" w:styleId="154">
    <w:name w:val="修订1"/>
    <w:qFormat/>
    <w:uiPriority w:val="99"/>
    <w:rPr>
      <w:rFonts w:ascii="Times New Roman" w:hAnsi="Times New Roman" w:eastAsia="宋体" w:cs="Times New Roman"/>
      <w:szCs w:val="24"/>
      <w:lang w:val="en-US" w:eastAsia="zh-CN" w:bidi="ar-SA"/>
    </w:rPr>
  </w:style>
  <w:style w:type="paragraph" w:customStyle="1" w:styleId="155">
    <w:name w:val="xl37"/>
    <w:basedOn w:val="1"/>
    <w:qFormat/>
    <w:uiPriority w:val="99"/>
    <w:pPr>
      <w:widowControl/>
      <w:pBdr>
        <w:left w:val="single" w:color="auto" w:sz="8" w:space="0"/>
        <w:right w:val="single" w:color="auto" w:sz="4" w:space="0"/>
      </w:pBdr>
      <w:spacing w:before="100" w:beforeAutospacing="1" w:after="100" w:afterAutospacing="1"/>
      <w:jc w:val="center"/>
    </w:pPr>
    <w:rPr>
      <w:rFonts w:ascii="宋体" w:hAnsi="宋体"/>
      <w:kern w:val="0"/>
      <w:sz w:val="18"/>
    </w:rPr>
  </w:style>
  <w:style w:type="paragraph" w:customStyle="1" w:styleId="156">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FangSong_GB2312" w:hAnsi="宋体" w:eastAsia="FangSong_GB2312" w:cs="宋体"/>
      <w:color w:val="000000"/>
      <w:kern w:val="0"/>
      <w:sz w:val="24"/>
      <w:szCs w:val="24"/>
    </w:rPr>
  </w:style>
  <w:style w:type="paragraph" w:customStyle="1" w:styleId="157">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58">
    <w:name w:val="表格文字"/>
    <w:basedOn w:val="1"/>
    <w:qFormat/>
    <w:uiPriority w:val="99"/>
    <w:pPr>
      <w:adjustRightInd w:val="0"/>
      <w:spacing w:line="420" w:lineRule="atLeast"/>
      <w:jc w:val="left"/>
    </w:pPr>
    <w:rPr>
      <w:kern w:val="0"/>
    </w:rPr>
  </w:style>
  <w:style w:type="paragraph" w:customStyle="1" w:styleId="159">
    <w:name w:val="xl6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FangSong_GB2312" w:hAnsi="宋体" w:eastAsia="FangSong_GB2312" w:cs="宋体"/>
      <w:b/>
      <w:bCs/>
      <w:kern w:val="0"/>
      <w:sz w:val="28"/>
      <w:szCs w:val="28"/>
    </w:rPr>
  </w:style>
  <w:style w:type="paragraph" w:customStyle="1" w:styleId="160">
    <w:name w:val="Char1"/>
    <w:basedOn w:val="1"/>
    <w:qFormat/>
    <w:uiPriority w:val="99"/>
    <w:rPr>
      <w:szCs w:val="21"/>
    </w:rPr>
  </w:style>
  <w:style w:type="paragraph" w:customStyle="1" w:styleId="161">
    <w:name w:val="xl35"/>
    <w:basedOn w:val="1"/>
    <w:qFormat/>
    <w:uiPriority w:val="99"/>
    <w:pPr>
      <w:widowControl/>
      <w:pBdr>
        <w:top w:val="single" w:color="auto" w:sz="4" w:space="0"/>
        <w:left w:val="single" w:color="auto" w:sz="4" w:space="0"/>
        <w:bottom w:val="single" w:color="auto" w:sz="4" w:space="0"/>
        <w:right w:val="single" w:color="auto" w:sz="4" w:space="0"/>
      </w:pBdr>
      <w:shd w:val="clear" w:color="auto" w:fill="00FFFF"/>
      <w:spacing w:before="100" w:beforeAutospacing="1" w:after="100" w:afterAutospacing="1"/>
      <w:jc w:val="center"/>
    </w:pPr>
    <w:rPr>
      <w:rFonts w:ascii="FangSong_GB2312" w:hAnsi="宋体" w:eastAsia="FangSong_GB2312" w:cs="宋体"/>
      <w:color w:val="000000"/>
      <w:kern w:val="0"/>
      <w:sz w:val="24"/>
      <w:szCs w:val="24"/>
    </w:rPr>
  </w:style>
  <w:style w:type="paragraph" w:customStyle="1" w:styleId="162">
    <w:name w:val="TOC 标题11"/>
    <w:basedOn w:val="2"/>
    <w:next w:val="1"/>
    <w:qFormat/>
    <w:uiPriority w:val="99"/>
    <w:pPr>
      <w:keepLines/>
      <w:numPr>
        <w:numId w:val="0"/>
      </w:numPr>
      <w:tabs>
        <w:tab w:val="left" w:pos="432"/>
      </w:tabs>
      <w:spacing w:before="340" w:after="330" w:line="576" w:lineRule="auto"/>
      <w:outlineLvl w:val="9"/>
    </w:pPr>
    <w:rPr>
      <w:rFonts w:ascii="Calibri" w:hAnsi="Calibri"/>
      <w:kern w:val="44"/>
      <w:sz w:val="44"/>
      <w:szCs w:val="44"/>
    </w:rPr>
  </w:style>
  <w:style w:type="paragraph" w:customStyle="1" w:styleId="163">
    <w:name w:val="GZTB段落样式"/>
    <w:basedOn w:val="1"/>
    <w:qFormat/>
    <w:uiPriority w:val="99"/>
    <w:pPr>
      <w:spacing w:after="200" w:line="440" w:lineRule="exact"/>
      <w:ind w:firstLine="420" w:firstLineChars="200"/>
    </w:pPr>
    <w:rPr>
      <w:rFonts w:ascii="新宋体" w:hAnsi="新宋体" w:eastAsia="新宋体"/>
      <w:szCs w:val="22"/>
    </w:rPr>
  </w:style>
  <w:style w:type="paragraph" w:customStyle="1" w:styleId="164">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FangSong_GB2312" w:hAnsi="宋体" w:eastAsia="FangSong_GB2312" w:cs="宋体"/>
      <w:kern w:val="0"/>
      <w:sz w:val="24"/>
      <w:szCs w:val="24"/>
    </w:rPr>
  </w:style>
  <w:style w:type="paragraph" w:customStyle="1" w:styleId="165">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6">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FangSong_GB2312" w:hAnsi="宋体" w:eastAsia="FangSong_GB2312" w:cs="宋体"/>
      <w:kern w:val="0"/>
      <w:sz w:val="24"/>
      <w:szCs w:val="24"/>
    </w:rPr>
  </w:style>
  <w:style w:type="paragraph" w:customStyle="1" w:styleId="167">
    <w:name w:val="xl6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FangSong_GB2312" w:hAnsi="宋体" w:eastAsia="FangSong_GB2312" w:cs="宋体"/>
      <w:b/>
      <w:bCs/>
      <w:kern w:val="0"/>
      <w:sz w:val="28"/>
      <w:szCs w:val="28"/>
    </w:rPr>
  </w:style>
  <w:style w:type="paragraph" w:customStyle="1" w:styleId="168">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FangSong_GB2312" w:hAnsi="宋体" w:eastAsia="FangSong_GB2312" w:cs="宋体"/>
      <w:kern w:val="0"/>
      <w:sz w:val="24"/>
      <w:szCs w:val="24"/>
    </w:rPr>
  </w:style>
  <w:style w:type="paragraph" w:customStyle="1" w:styleId="169">
    <w:name w:val="xl2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FangSong_GB2312" w:hAnsi="宋体" w:eastAsia="FangSong_GB2312" w:cs="宋体"/>
      <w:color w:val="000000"/>
      <w:kern w:val="0"/>
      <w:sz w:val="24"/>
      <w:szCs w:val="24"/>
    </w:rPr>
  </w:style>
  <w:style w:type="paragraph" w:customStyle="1" w:styleId="170">
    <w:name w:val="xl4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FangSong_GB2312" w:hAnsi="宋体" w:eastAsia="FangSong_GB2312" w:cs="宋体"/>
      <w:color w:val="000000"/>
      <w:kern w:val="0"/>
      <w:sz w:val="24"/>
      <w:szCs w:val="24"/>
    </w:rPr>
  </w:style>
  <w:style w:type="paragraph" w:customStyle="1" w:styleId="171">
    <w:name w:val="xl6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FangSong_GB2312" w:hAnsi="宋体" w:eastAsia="FangSong_GB2312" w:cs="宋体"/>
      <w:color w:val="000000"/>
      <w:kern w:val="0"/>
      <w:sz w:val="24"/>
      <w:szCs w:val="24"/>
    </w:rPr>
  </w:style>
  <w:style w:type="paragraph" w:customStyle="1" w:styleId="172">
    <w:name w:val="?y??"/>
    <w:qFormat/>
    <w:uiPriority w:val="99"/>
    <w:pPr>
      <w:widowControl w:val="0"/>
      <w:overflowPunct w:val="0"/>
      <w:autoSpaceDE w:val="0"/>
      <w:autoSpaceDN w:val="0"/>
      <w:adjustRightInd w:val="0"/>
      <w:spacing w:line="357" w:lineRule="atLeast"/>
      <w:jc w:val="both"/>
    </w:pPr>
    <w:rPr>
      <w:rFonts w:ascii="Times New Roman" w:hAnsi="Times New Roman" w:eastAsia="宋体" w:cs="Times New Roman"/>
      <w:color w:val="000000"/>
      <w:lang w:val="en-US" w:eastAsia="zh-CN" w:bidi="ar-SA"/>
    </w:rPr>
  </w:style>
  <w:style w:type="paragraph" w:customStyle="1" w:styleId="173">
    <w:name w:val="xl2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FangSong_GB2312" w:hAnsi="宋体" w:eastAsia="FangSong_GB2312" w:cs="宋体"/>
      <w:color w:val="000000"/>
      <w:kern w:val="0"/>
      <w:sz w:val="24"/>
      <w:szCs w:val="24"/>
    </w:rPr>
  </w:style>
  <w:style w:type="paragraph" w:customStyle="1" w:styleId="174">
    <w:name w:val="xl5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FangSong_GB2312" w:hAnsi="宋体" w:eastAsia="FangSong_GB2312" w:cs="宋体"/>
      <w:b/>
      <w:bCs/>
      <w:kern w:val="0"/>
      <w:sz w:val="28"/>
      <w:szCs w:val="28"/>
    </w:rPr>
  </w:style>
  <w:style w:type="paragraph" w:customStyle="1" w:styleId="175">
    <w:name w:val="xl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FangSong_GB2312" w:hAnsi="宋体" w:eastAsia="FangSong_GB2312" w:cs="宋体"/>
      <w:kern w:val="0"/>
      <w:sz w:val="24"/>
      <w:szCs w:val="24"/>
    </w:rPr>
  </w:style>
  <w:style w:type="paragraph" w:customStyle="1" w:styleId="176">
    <w:name w:val="xl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FangSong_GB2312" w:hAnsi="宋体" w:eastAsia="FangSong_GB2312" w:cs="宋体"/>
      <w:kern w:val="0"/>
      <w:sz w:val="24"/>
      <w:szCs w:val="24"/>
    </w:rPr>
  </w:style>
  <w:style w:type="character" w:customStyle="1" w:styleId="177">
    <w:name w:val="标题4 Char Char"/>
    <w:link w:val="178"/>
    <w:qFormat/>
    <w:locked/>
    <w:uiPriority w:val="99"/>
    <w:rPr>
      <w:rFonts w:ascii="Arial" w:hAnsi="Arial" w:cs="Arial"/>
      <w:b/>
      <w:sz w:val="32"/>
    </w:rPr>
  </w:style>
  <w:style w:type="paragraph" w:customStyle="1" w:styleId="178">
    <w:name w:val="标题4"/>
    <w:basedOn w:val="3"/>
    <w:next w:val="23"/>
    <w:link w:val="177"/>
    <w:qFormat/>
    <w:uiPriority w:val="99"/>
    <w:pPr>
      <w:tabs>
        <w:tab w:val="left" w:pos="576"/>
      </w:tabs>
      <w:spacing w:line="412" w:lineRule="auto"/>
    </w:pPr>
    <w:rPr>
      <w:rFonts w:cs="Arial" w:eastAsiaTheme="minorEastAsia"/>
      <w:szCs w:val="22"/>
    </w:rPr>
  </w:style>
  <w:style w:type="paragraph" w:customStyle="1" w:styleId="179">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FangSong_GB2312" w:hAnsi="宋体" w:eastAsia="FangSong_GB2312" w:cs="宋体"/>
      <w:color w:val="000000"/>
      <w:kern w:val="0"/>
      <w:sz w:val="24"/>
      <w:szCs w:val="24"/>
    </w:rPr>
  </w:style>
  <w:style w:type="paragraph" w:customStyle="1" w:styleId="180">
    <w:name w:val="xl6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18"/>
      <w:szCs w:val="18"/>
    </w:rPr>
  </w:style>
  <w:style w:type="character" w:customStyle="1" w:styleId="181">
    <w:name w:val="正文文本缩进 3 Char2"/>
    <w:qFormat/>
    <w:uiPriority w:val="99"/>
    <w:rPr>
      <w:kern w:val="2"/>
      <w:sz w:val="16"/>
    </w:rPr>
  </w:style>
  <w:style w:type="character" w:customStyle="1" w:styleId="182">
    <w:name w:val="charchar1"/>
    <w:qFormat/>
    <w:uiPriority w:val="0"/>
    <w:rPr>
      <w:rFonts w:hint="default" w:ascii="Cambria" w:hAnsi="Cambria" w:eastAsia="Cambria" w:cs="Cambria"/>
      <w:color w:val="17365D"/>
      <w:spacing w:val="5"/>
    </w:rPr>
  </w:style>
  <w:style w:type="character" w:customStyle="1" w:styleId="183">
    <w:name w:val="引用 Char2"/>
    <w:qFormat/>
    <w:uiPriority w:val="99"/>
    <w:rPr>
      <w:i/>
      <w:color w:val="000000"/>
      <w:kern w:val="2"/>
      <w:sz w:val="24"/>
    </w:rPr>
  </w:style>
  <w:style w:type="character" w:customStyle="1" w:styleId="184">
    <w:name w:val="char"/>
    <w:qFormat/>
    <w:uiPriority w:val="0"/>
    <w:rPr>
      <w:rFonts w:hint="default" w:ascii="Calibri" w:hAnsi="Calibri" w:cs="Calibri"/>
      <w:i/>
      <w:color w:val="000000"/>
    </w:rPr>
  </w:style>
  <w:style w:type="character" w:customStyle="1" w:styleId="185">
    <w:name w:val="Plain Text Char"/>
    <w:qFormat/>
    <w:locked/>
    <w:uiPriority w:val="99"/>
    <w:rPr>
      <w:rFonts w:hint="eastAsia" w:ascii="宋体" w:hAnsi="Courier New" w:eastAsia="宋体"/>
    </w:rPr>
  </w:style>
  <w:style w:type="character" w:customStyle="1" w:styleId="186">
    <w:name w:val="charchar16"/>
    <w:qFormat/>
    <w:uiPriority w:val="0"/>
    <w:rPr>
      <w:rFonts w:hint="default" w:ascii="Cambria" w:hAnsi="Cambria" w:eastAsia="Cambria" w:cs="Cambria"/>
      <w:i/>
      <w:color w:val="404040"/>
    </w:rPr>
  </w:style>
  <w:style w:type="character" w:customStyle="1" w:styleId="187">
    <w:name w:val="文档结构图 Char2"/>
    <w:qFormat/>
    <w:uiPriority w:val="99"/>
    <w:rPr>
      <w:rFonts w:hint="eastAsia" w:ascii="宋体" w:hAnsi="Times New Roman" w:eastAsia="宋体" w:cs="Times New Roman"/>
      <w:sz w:val="18"/>
      <w:szCs w:val="18"/>
    </w:rPr>
  </w:style>
  <w:style w:type="character" w:customStyle="1" w:styleId="188">
    <w:name w:val="标题 7 字符"/>
    <w:semiHidden/>
    <w:qFormat/>
    <w:uiPriority w:val="0"/>
    <w:rPr>
      <w:b/>
      <w:bCs/>
      <w:kern w:val="2"/>
      <w:sz w:val="24"/>
      <w:szCs w:val="24"/>
    </w:rPr>
  </w:style>
  <w:style w:type="character" w:customStyle="1" w:styleId="189">
    <w:name w:val="p21"/>
    <w:qFormat/>
    <w:uiPriority w:val="0"/>
    <w:rPr>
      <w:rFonts w:hint="default" w:ascii="Arial" w:hAnsi="Arial" w:cs="Arial"/>
      <w:color w:val="333333"/>
      <w:kern w:val="0"/>
      <w:sz w:val="18"/>
      <w:szCs w:val="18"/>
      <w:u w:val="none"/>
    </w:rPr>
  </w:style>
  <w:style w:type="character" w:customStyle="1" w:styleId="190">
    <w:name w:val="正文文本 3 字符"/>
    <w:qFormat/>
    <w:uiPriority w:val="0"/>
    <w:rPr>
      <w:kern w:val="2"/>
      <w:sz w:val="16"/>
      <w:szCs w:val="16"/>
    </w:rPr>
  </w:style>
  <w:style w:type="character" w:customStyle="1" w:styleId="191">
    <w:name w:val="charchar9"/>
    <w:qFormat/>
    <w:uiPriority w:val="0"/>
    <w:rPr>
      <w:rFonts w:hint="default" w:ascii="Calibri" w:hAnsi="Calibri" w:cs="Calibri"/>
    </w:rPr>
  </w:style>
  <w:style w:type="character" w:customStyle="1" w:styleId="192">
    <w:name w:val="标题 字符"/>
    <w:qFormat/>
    <w:uiPriority w:val="0"/>
    <w:rPr>
      <w:rFonts w:hint="eastAsia" w:ascii="等线 Light" w:hAnsi="等线 Light" w:eastAsia="等线 Light" w:cs="Times New Roman"/>
      <w:b/>
      <w:bCs/>
      <w:kern w:val="2"/>
      <w:sz w:val="32"/>
      <w:szCs w:val="32"/>
    </w:rPr>
  </w:style>
  <w:style w:type="character" w:customStyle="1" w:styleId="193">
    <w:name w:val="明显强调1"/>
    <w:qFormat/>
    <w:uiPriority w:val="99"/>
    <w:rPr>
      <w:b/>
      <w:i/>
      <w:color w:val="4F81BD"/>
    </w:rPr>
  </w:style>
  <w:style w:type="character" w:customStyle="1" w:styleId="194">
    <w:name w:val="10"/>
    <w:qFormat/>
    <w:uiPriority w:val="0"/>
    <w:rPr>
      <w:rFonts w:hint="default" w:ascii="Times New Roman" w:hAnsi="Times New Roman" w:cs="Times New Roman"/>
    </w:rPr>
  </w:style>
  <w:style w:type="character" w:customStyle="1" w:styleId="195">
    <w:name w:val="批注文字 字符"/>
    <w:qFormat/>
    <w:uiPriority w:val="0"/>
    <w:rPr>
      <w:kern w:val="2"/>
      <w:sz w:val="21"/>
      <w:szCs w:val="20"/>
    </w:rPr>
  </w:style>
  <w:style w:type="character" w:customStyle="1" w:styleId="196">
    <w:name w:val="批注主题 Char2"/>
    <w:qFormat/>
    <w:uiPriority w:val="99"/>
    <w:rPr>
      <w:rFonts w:hint="eastAsia" w:ascii="宋体" w:hAnsi="宋体" w:eastAsia="宋体"/>
      <w:b/>
      <w:kern w:val="2"/>
      <w:sz w:val="22"/>
    </w:rPr>
  </w:style>
  <w:style w:type="character" w:customStyle="1" w:styleId="197">
    <w:name w:val="charchar11"/>
    <w:qFormat/>
    <w:uiPriority w:val="0"/>
    <w:rPr>
      <w:rFonts w:hint="default" w:ascii="Calibri" w:hAnsi="Calibri" w:cs="Calibri"/>
    </w:rPr>
  </w:style>
  <w:style w:type="character" w:customStyle="1" w:styleId="198">
    <w:name w:val="明显参考2"/>
    <w:qFormat/>
    <w:uiPriority w:val="99"/>
    <w:rPr>
      <w:b/>
      <w:smallCaps/>
      <w:color w:val="C0504D"/>
      <w:spacing w:val="5"/>
      <w:u w:val="single"/>
    </w:rPr>
  </w:style>
  <w:style w:type="character" w:customStyle="1" w:styleId="199">
    <w:name w:val="正文文本缩进 2 Char1"/>
    <w:qFormat/>
    <w:uiPriority w:val="99"/>
    <w:rPr>
      <w:rFonts w:hint="default" w:ascii="Times New Roman" w:hAnsi="Times New Roman" w:cs="Times New Roman"/>
      <w:kern w:val="2"/>
      <w:sz w:val="24"/>
      <w:szCs w:val="24"/>
    </w:rPr>
  </w:style>
  <w:style w:type="character" w:customStyle="1" w:styleId="200">
    <w:name w:val="批注主题 字符"/>
    <w:qFormat/>
    <w:uiPriority w:val="0"/>
    <w:rPr>
      <w:b/>
      <w:bCs/>
      <w:kern w:val="2"/>
      <w:sz w:val="21"/>
      <w:szCs w:val="20"/>
    </w:rPr>
  </w:style>
  <w:style w:type="character" w:customStyle="1" w:styleId="201">
    <w:name w:val="HTML Preformatted Char1"/>
    <w:qFormat/>
    <w:locked/>
    <w:uiPriority w:val="99"/>
    <w:rPr>
      <w:rFonts w:hint="default" w:ascii="Arial" w:hAnsi="Arial" w:cs="Arial"/>
      <w:sz w:val="24"/>
      <w:szCs w:val="24"/>
    </w:rPr>
  </w:style>
  <w:style w:type="character" w:customStyle="1" w:styleId="202">
    <w:name w:val="页眉 Char1"/>
    <w:qFormat/>
    <w:uiPriority w:val="99"/>
    <w:rPr>
      <w:rFonts w:hint="default" w:ascii="Times New Roman" w:hAnsi="Times New Roman" w:cs="Times New Roman"/>
      <w:kern w:val="2"/>
      <w:sz w:val="18"/>
      <w:szCs w:val="18"/>
    </w:rPr>
  </w:style>
  <w:style w:type="character" w:customStyle="1" w:styleId="203">
    <w:name w:val="页脚 Char2"/>
    <w:qFormat/>
    <w:locked/>
    <w:uiPriority w:val="0"/>
    <w:rPr>
      <w:kern w:val="2"/>
      <w:sz w:val="18"/>
    </w:rPr>
  </w:style>
  <w:style w:type="character" w:customStyle="1" w:styleId="204">
    <w:name w:val="charchar17"/>
    <w:qFormat/>
    <w:uiPriority w:val="0"/>
    <w:rPr>
      <w:rFonts w:hint="default" w:ascii="Cambria" w:hAnsi="Cambria" w:eastAsia="Cambria" w:cs="Cambria"/>
      <w:i/>
      <w:color w:val="243F60"/>
    </w:rPr>
  </w:style>
  <w:style w:type="character" w:customStyle="1" w:styleId="205">
    <w:name w:val="书籍标题1"/>
    <w:qFormat/>
    <w:uiPriority w:val="99"/>
    <w:rPr>
      <w:b/>
      <w:smallCaps/>
      <w:spacing w:val="5"/>
    </w:rPr>
  </w:style>
  <w:style w:type="character" w:customStyle="1" w:styleId="206">
    <w:name w:val="charchar3"/>
    <w:qFormat/>
    <w:uiPriority w:val="0"/>
    <w:rPr>
      <w:rFonts w:hint="default" w:ascii="Calibri" w:hAnsi="Calibri" w:cs="Calibri"/>
      <w:color w:val="000000"/>
    </w:rPr>
  </w:style>
  <w:style w:type="character" w:customStyle="1" w:styleId="207">
    <w:name w:val="charchar13"/>
    <w:qFormat/>
    <w:uiPriority w:val="0"/>
    <w:rPr>
      <w:rFonts w:hint="eastAsia" w:ascii="宋体" w:hAnsi="宋体" w:eastAsia="宋体" w:cs="宋体"/>
    </w:rPr>
  </w:style>
  <w:style w:type="character" w:customStyle="1" w:styleId="208">
    <w:name w:val="不明显参考1"/>
    <w:qFormat/>
    <w:uiPriority w:val="99"/>
    <w:rPr>
      <w:smallCaps/>
      <w:color w:val="C0504D"/>
      <w:u w:val="single"/>
    </w:rPr>
  </w:style>
  <w:style w:type="character" w:customStyle="1" w:styleId="209">
    <w:name w:val="正文文本缩进 2 Char2"/>
    <w:qFormat/>
    <w:uiPriority w:val="99"/>
    <w:rPr>
      <w:kern w:val="2"/>
      <w:sz w:val="24"/>
    </w:rPr>
  </w:style>
  <w:style w:type="character" w:customStyle="1" w:styleId="210">
    <w:name w:val="标题 8 字符"/>
    <w:semiHidden/>
    <w:qFormat/>
    <w:uiPriority w:val="0"/>
    <w:rPr>
      <w:rFonts w:hint="eastAsia" w:ascii="等线 Light" w:hAnsi="等线 Light" w:eastAsia="等线 Light" w:cs="Times New Roman"/>
      <w:kern w:val="2"/>
      <w:sz w:val="24"/>
      <w:szCs w:val="24"/>
    </w:rPr>
  </w:style>
  <w:style w:type="character" w:customStyle="1" w:styleId="211">
    <w:name w:val="标题 5 字符"/>
    <w:qFormat/>
    <w:uiPriority w:val="0"/>
    <w:rPr>
      <w:b/>
      <w:bCs/>
      <w:kern w:val="2"/>
      <w:sz w:val="28"/>
      <w:szCs w:val="28"/>
    </w:rPr>
  </w:style>
  <w:style w:type="character" w:customStyle="1" w:styleId="212">
    <w:name w:val="标题 9 字符"/>
    <w:semiHidden/>
    <w:qFormat/>
    <w:uiPriority w:val="0"/>
    <w:rPr>
      <w:rFonts w:hint="eastAsia" w:ascii="等线 Light" w:hAnsi="等线 Light" w:eastAsia="等线 Light" w:cs="Times New Roman"/>
      <w:kern w:val="2"/>
      <w:sz w:val="21"/>
      <w:szCs w:val="21"/>
    </w:rPr>
  </w:style>
  <w:style w:type="character" w:customStyle="1" w:styleId="213">
    <w:name w:val="批注主题 Char1"/>
    <w:qFormat/>
    <w:uiPriority w:val="99"/>
    <w:rPr>
      <w:rFonts w:hint="default" w:ascii="Times New Roman" w:hAnsi="Times New Roman" w:cs="Times New Roman"/>
      <w:b/>
      <w:bCs/>
      <w:kern w:val="2"/>
      <w:sz w:val="24"/>
      <w:szCs w:val="24"/>
    </w:rPr>
  </w:style>
  <w:style w:type="character" w:customStyle="1" w:styleId="214">
    <w:name w:val="批注文字 Char1"/>
    <w:qFormat/>
    <w:uiPriority w:val="99"/>
    <w:rPr>
      <w:rFonts w:hint="default" w:ascii="Times New Roman" w:hAnsi="Times New Roman" w:eastAsia="宋体" w:cs="Times New Roman"/>
      <w:szCs w:val="20"/>
    </w:rPr>
  </w:style>
  <w:style w:type="character" w:customStyle="1" w:styleId="215">
    <w:name w:val="charchar12"/>
    <w:qFormat/>
    <w:uiPriority w:val="0"/>
    <w:rPr>
      <w:rFonts w:hint="default" w:ascii="Calibri" w:hAnsi="Calibri" w:cs="Calibri"/>
    </w:rPr>
  </w:style>
  <w:style w:type="character" w:customStyle="1" w:styleId="216">
    <w:name w:val="正文文本 3 Char2"/>
    <w:qFormat/>
    <w:uiPriority w:val="99"/>
    <w:rPr>
      <w:kern w:val="2"/>
      <w:sz w:val="16"/>
    </w:rPr>
  </w:style>
  <w:style w:type="character" w:customStyle="1" w:styleId="217">
    <w:name w:val="批注框文本 Char2"/>
    <w:qFormat/>
    <w:uiPriority w:val="99"/>
    <w:rPr>
      <w:kern w:val="2"/>
      <w:sz w:val="18"/>
    </w:rPr>
  </w:style>
  <w:style w:type="character" w:customStyle="1" w:styleId="218">
    <w:name w:val="页眉 Char2"/>
    <w:qFormat/>
    <w:locked/>
    <w:uiPriority w:val="0"/>
    <w:rPr>
      <w:kern w:val="2"/>
      <w:sz w:val="18"/>
    </w:rPr>
  </w:style>
  <w:style w:type="character" w:customStyle="1" w:styleId="219">
    <w:name w:val="char0"/>
    <w:qFormat/>
    <w:uiPriority w:val="0"/>
    <w:rPr>
      <w:rFonts w:hint="default" w:ascii="Calibri" w:hAnsi="Calibri" w:cs="Calibri"/>
      <w:b/>
      <w:i/>
      <w:color w:val="4F81BD"/>
    </w:rPr>
  </w:style>
  <w:style w:type="character" w:customStyle="1" w:styleId="220">
    <w:name w:val="不明显强调1"/>
    <w:qFormat/>
    <w:uiPriority w:val="99"/>
    <w:rPr>
      <w:i/>
      <w:color w:val="808080"/>
    </w:rPr>
  </w:style>
  <w:style w:type="character" w:customStyle="1" w:styleId="221">
    <w:name w:val="正文文本 Char1"/>
    <w:qFormat/>
    <w:uiPriority w:val="99"/>
    <w:rPr>
      <w:kern w:val="2"/>
      <w:sz w:val="22"/>
    </w:rPr>
  </w:style>
  <w:style w:type="character" w:customStyle="1" w:styleId="222">
    <w:name w:val="不明显强调2"/>
    <w:qFormat/>
    <w:uiPriority w:val="99"/>
    <w:rPr>
      <w:i/>
      <w:color w:val="808080"/>
    </w:rPr>
  </w:style>
  <w:style w:type="character" w:customStyle="1" w:styleId="223">
    <w:name w:val="charchar15"/>
    <w:qFormat/>
    <w:uiPriority w:val="0"/>
    <w:rPr>
      <w:rFonts w:hint="default" w:ascii="Cambria" w:hAnsi="Cambria" w:eastAsia="Cambria" w:cs="Cambria"/>
      <w:color w:val="4F81BD"/>
    </w:rPr>
  </w:style>
  <w:style w:type="character" w:customStyle="1" w:styleId="224">
    <w:name w:val="Date Char1"/>
    <w:qFormat/>
    <w:locked/>
    <w:uiPriority w:val="99"/>
    <w:rPr>
      <w:rFonts w:hint="default" w:ascii="Times New Roman" w:hAnsi="Times New Roman" w:cs="Times New Roman"/>
      <w:sz w:val="24"/>
      <w:szCs w:val="24"/>
    </w:rPr>
  </w:style>
  <w:style w:type="character" w:customStyle="1" w:styleId="225">
    <w:name w:val="标题 6 字符"/>
    <w:semiHidden/>
    <w:qFormat/>
    <w:uiPriority w:val="0"/>
    <w:rPr>
      <w:rFonts w:hint="eastAsia" w:ascii="等线 Light" w:hAnsi="等线 Light" w:eastAsia="等线 Light" w:cs="Times New Roman"/>
      <w:b/>
      <w:bCs/>
      <w:kern w:val="2"/>
      <w:sz w:val="24"/>
      <w:szCs w:val="24"/>
    </w:rPr>
  </w:style>
  <w:style w:type="character" w:customStyle="1" w:styleId="226">
    <w:name w:val="charchar2"/>
    <w:qFormat/>
    <w:uiPriority w:val="0"/>
    <w:rPr>
      <w:rFonts w:hint="default" w:ascii="Calibri" w:hAnsi="Calibri" w:cs="Calibri"/>
      <w:b/>
    </w:rPr>
  </w:style>
  <w:style w:type="character" w:customStyle="1" w:styleId="227">
    <w:name w:val="批注文字 Char2"/>
    <w:qFormat/>
    <w:uiPriority w:val="0"/>
    <w:rPr>
      <w:rFonts w:hint="eastAsia" w:ascii="宋体" w:hAnsi="宋体" w:eastAsia="宋体"/>
      <w:kern w:val="2"/>
      <w:sz w:val="22"/>
    </w:rPr>
  </w:style>
  <w:style w:type="character" w:customStyle="1" w:styleId="228">
    <w:name w:val="批注框文本 Char3"/>
    <w:link w:val="30"/>
    <w:semiHidden/>
    <w:qFormat/>
    <w:locked/>
    <w:uiPriority w:val="99"/>
    <w:rPr>
      <w:rFonts w:ascii="Times New Roman" w:hAnsi="Times New Roman" w:eastAsia="宋体" w:cs="Times New Roman"/>
      <w:sz w:val="18"/>
      <w:szCs w:val="18"/>
    </w:rPr>
  </w:style>
  <w:style w:type="character" w:customStyle="1" w:styleId="229">
    <w:name w:val="不明显参考2"/>
    <w:qFormat/>
    <w:uiPriority w:val="99"/>
    <w:rPr>
      <w:smallCaps/>
      <w:color w:val="C0504D"/>
      <w:u w:val="single"/>
    </w:rPr>
  </w:style>
  <w:style w:type="character" w:customStyle="1" w:styleId="230">
    <w:name w:val="批注文字 Char Char"/>
    <w:qFormat/>
    <w:uiPriority w:val="99"/>
    <w:rPr>
      <w:rFonts w:hint="eastAsia" w:ascii="宋体" w:hAnsi="Times New Roman" w:eastAsia="宋体"/>
      <w:sz w:val="20"/>
    </w:rPr>
  </w:style>
  <w:style w:type="character" w:customStyle="1" w:styleId="231">
    <w:name w:val="charchar7"/>
    <w:qFormat/>
    <w:uiPriority w:val="0"/>
    <w:rPr>
      <w:rFonts w:hint="default" w:ascii="Calibri" w:hAnsi="Calibri" w:cs="Calibri"/>
    </w:rPr>
  </w:style>
  <w:style w:type="character" w:customStyle="1" w:styleId="232">
    <w:name w:val="grame"/>
    <w:basedOn w:val="53"/>
    <w:qFormat/>
    <w:uiPriority w:val="0"/>
    <w:rPr>
      <w:kern w:val="0"/>
      <w:sz w:val="24"/>
      <w:szCs w:val="20"/>
    </w:rPr>
  </w:style>
  <w:style w:type="character" w:customStyle="1" w:styleId="233">
    <w:name w:val="15"/>
    <w:qFormat/>
    <w:uiPriority w:val="0"/>
    <w:rPr>
      <w:rFonts w:hint="default" w:ascii="Times New Roman" w:hAnsi="Times New Roman" w:cs="Times New Roman"/>
      <w:color w:val="0000FF"/>
      <w:u w:val="single"/>
    </w:rPr>
  </w:style>
  <w:style w:type="character" w:customStyle="1" w:styleId="234">
    <w:name w:val="charchar14"/>
    <w:qFormat/>
    <w:uiPriority w:val="0"/>
    <w:rPr>
      <w:rFonts w:hint="default" w:ascii="Cambria" w:hAnsi="Cambria" w:eastAsia="Cambria" w:cs="Cambria"/>
      <w:i/>
      <w:color w:val="404040"/>
    </w:rPr>
  </w:style>
  <w:style w:type="character" w:customStyle="1" w:styleId="235">
    <w:name w:val="charchar5"/>
    <w:qFormat/>
    <w:uiPriority w:val="0"/>
    <w:rPr>
      <w:rFonts w:hint="eastAsia" w:ascii="宋体" w:hAnsi="宋体" w:eastAsia="宋体" w:cs="宋体"/>
    </w:rPr>
  </w:style>
  <w:style w:type="character" w:customStyle="1" w:styleId="236">
    <w:name w:val="charchar10"/>
    <w:qFormat/>
    <w:uiPriority w:val="0"/>
    <w:rPr>
      <w:rFonts w:hint="default" w:ascii="Calibri" w:hAnsi="Calibri" w:cs="Calibri"/>
    </w:rPr>
  </w:style>
  <w:style w:type="character" w:customStyle="1" w:styleId="237">
    <w:name w:val="css21"/>
    <w:qFormat/>
    <w:uiPriority w:val="0"/>
    <w:rPr>
      <w:kern w:val="0"/>
      <w:sz w:val="18"/>
      <w:szCs w:val="18"/>
    </w:rPr>
  </w:style>
  <w:style w:type="character" w:customStyle="1" w:styleId="238">
    <w:name w:val="日期 Char2"/>
    <w:qFormat/>
    <w:uiPriority w:val="99"/>
    <w:rPr>
      <w:rFonts w:hint="eastAsia" w:ascii="宋体" w:hAnsi="宋体" w:eastAsia="宋体"/>
    </w:rPr>
  </w:style>
  <w:style w:type="character" w:customStyle="1" w:styleId="239">
    <w:name w:val="副标题 字符"/>
    <w:qFormat/>
    <w:uiPriority w:val="0"/>
    <w:rPr>
      <w:rFonts w:hint="eastAsia" w:ascii="等线 Light" w:hAnsi="等线 Light" w:eastAsia="等线 Light" w:cs="Times New Roman"/>
      <w:b/>
      <w:bCs/>
      <w:kern w:val="28"/>
      <w:sz w:val="32"/>
      <w:szCs w:val="32"/>
    </w:rPr>
  </w:style>
  <w:style w:type="character" w:customStyle="1" w:styleId="240">
    <w:name w:val="明显引用 Char2"/>
    <w:qFormat/>
    <w:uiPriority w:val="99"/>
    <w:rPr>
      <w:b/>
      <w:i/>
      <w:color w:val="4F81BD"/>
      <w:kern w:val="2"/>
      <w:sz w:val="24"/>
    </w:rPr>
  </w:style>
  <w:style w:type="character" w:customStyle="1" w:styleId="241">
    <w:name w:val="unnamed1"/>
    <w:basedOn w:val="53"/>
    <w:qFormat/>
    <w:uiPriority w:val="0"/>
    <w:rPr>
      <w:kern w:val="0"/>
      <w:sz w:val="24"/>
      <w:szCs w:val="20"/>
    </w:rPr>
  </w:style>
  <w:style w:type="character" w:customStyle="1" w:styleId="242">
    <w:name w:val="正文文本 Char2"/>
    <w:qFormat/>
    <w:uiPriority w:val="99"/>
    <w:rPr>
      <w:kern w:val="2"/>
      <w:sz w:val="24"/>
    </w:rPr>
  </w:style>
  <w:style w:type="character" w:customStyle="1" w:styleId="243">
    <w:name w:val="charchar20"/>
    <w:qFormat/>
    <w:uiPriority w:val="0"/>
    <w:rPr>
      <w:rFonts w:hint="eastAsia" w:ascii="新宋体" w:hAnsi="新宋体" w:eastAsia="新宋体" w:cs="新宋体"/>
      <w:b/>
      <w:snapToGrid/>
    </w:rPr>
  </w:style>
  <w:style w:type="character" w:customStyle="1" w:styleId="244">
    <w:name w:val="引用 Char1"/>
    <w:qFormat/>
    <w:locked/>
    <w:uiPriority w:val="99"/>
    <w:rPr>
      <w:rFonts w:hint="default" w:ascii="Calibri" w:hAnsi="Calibri" w:eastAsia="宋体" w:cs="黑体"/>
      <w:i/>
      <w:iCs/>
      <w:color w:val="000000"/>
    </w:rPr>
  </w:style>
  <w:style w:type="character" w:customStyle="1" w:styleId="245">
    <w:name w:val="纯文本 Char1"/>
    <w:qFormat/>
    <w:locked/>
    <w:uiPriority w:val="0"/>
    <w:rPr>
      <w:rFonts w:hint="eastAsia" w:ascii="宋体" w:hAnsi="Courier New" w:eastAsia="宋体"/>
      <w:kern w:val="2"/>
      <w:sz w:val="21"/>
    </w:rPr>
  </w:style>
  <w:style w:type="character" w:customStyle="1" w:styleId="246">
    <w:name w:val="标题 1 Char1"/>
    <w:link w:val="2"/>
    <w:qFormat/>
    <w:locked/>
    <w:uiPriority w:val="9"/>
    <w:rPr>
      <w:rFonts w:ascii="Times New Roman" w:hAnsi="Times New Roman" w:eastAsia="宋体" w:cs="Times New Roman"/>
      <w:b/>
      <w:szCs w:val="20"/>
    </w:rPr>
  </w:style>
  <w:style w:type="character" w:customStyle="1" w:styleId="247">
    <w:name w:val="apple-converted-space"/>
    <w:qFormat/>
    <w:uiPriority w:val="99"/>
  </w:style>
  <w:style w:type="character" w:customStyle="1" w:styleId="248">
    <w:name w:val="Plain Text Char1"/>
    <w:qFormat/>
    <w:locked/>
    <w:uiPriority w:val="99"/>
    <w:rPr>
      <w:rFonts w:hint="eastAsia" w:ascii="宋体" w:hAnsi="Courier New" w:eastAsia="宋体" w:cs="黑体"/>
    </w:rPr>
  </w:style>
  <w:style w:type="character" w:customStyle="1" w:styleId="249">
    <w:name w:val="正文文本 2 Char1"/>
    <w:qFormat/>
    <w:uiPriority w:val="99"/>
    <w:rPr>
      <w:rFonts w:hint="default" w:ascii="Times New Roman" w:hAnsi="Times New Roman" w:cs="Times New Roman"/>
      <w:kern w:val="2"/>
      <w:sz w:val="24"/>
      <w:szCs w:val="24"/>
    </w:rPr>
  </w:style>
  <w:style w:type="character" w:customStyle="1" w:styleId="250">
    <w:name w:val="charchar6"/>
    <w:qFormat/>
    <w:uiPriority w:val="0"/>
    <w:rPr>
      <w:rFonts w:hint="eastAsia" w:ascii="宋体" w:hAnsi="宋体" w:eastAsia="宋体" w:cs="宋体"/>
      <w:b/>
    </w:rPr>
  </w:style>
  <w:style w:type="character" w:customStyle="1" w:styleId="251">
    <w:name w:val="charchar18"/>
    <w:qFormat/>
    <w:uiPriority w:val="0"/>
    <w:rPr>
      <w:rFonts w:hint="default" w:ascii="Cambria" w:hAnsi="Cambria" w:eastAsia="Cambria" w:cs="Cambria"/>
      <w:color w:val="243F60"/>
    </w:rPr>
  </w:style>
  <w:style w:type="character" w:customStyle="1" w:styleId="252">
    <w:name w:val="明显参考1"/>
    <w:qFormat/>
    <w:uiPriority w:val="99"/>
    <w:rPr>
      <w:b/>
      <w:smallCaps/>
      <w:color w:val="C0504D"/>
      <w:spacing w:val="5"/>
      <w:u w:val="single"/>
    </w:rPr>
  </w:style>
  <w:style w:type="character" w:customStyle="1" w:styleId="253">
    <w:name w:val="Comment Text Char1"/>
    <w:semiHidden/>
    <w:qFormat/>
    <w:uiPriority w:val="99"/>
    <w:rPr>
      <w:kern w:val="2"/>
      <w:sz w:val="21"/>
    </w:rPr>
  </w:style>
  <w:style w:type="character" w:customStyle="1" w:styleId="254">
    <w:name w:val="Date Char"/>
    <w:qFormat/>
    <w:locked/>
    <w:uiPriority w:val="99"/>
    <w:rPr>
      <w:rFonts w:hint="eastAsia" w:ascii="宋体" w:hAnsi="宋体" w:eastAsia="宋体"/>
      <w:sz w:val="28"/>
    </w:rPr>
  </w:style>
  <w:style w:type="character" w:customStyle="1" w:styleId="255">
    <w:name w:val="charchar22"/>
    <w:qFormat/>
    <w:uiPriority w:val="0"/>
    <w:rPr>
      <w:rFonts w:hint="eastAsia" w:ascii="新宋体" w:hAnsi="新宋体" w:eastAsia="新宋体" w:cs="新宋体"/>
      <w:b/>
    </w:rPr>
  </w:style>
  <w:style w:type="character" w:customStyle="1" w:styleId="256">
    <w:name w:val="书籍标题2"/>
    <w:qFormat/>
    <w:uiPriority w:val="99"/>
    <w:rPr>
      <w:b/>
      <w:smallCaps/>
      <w:spacing w:val="5"/>
    </w:rPr>
  </w:style>
  <w:style w:type="character" w:customStyle="1" w:styleId="257">
    <w:name w:val="副标题 Char1"/>
    <w:qFormat/>
    <w:uiPriority w:val="99"/>
    <w:rPr>
      <w:rFonts w:hint="default" w:ascii="Cambria" w:hAnsi="Cambria" w:eastAsia="宋体" w:cs="黑体"/>
      <w:b/>
      <w:bCs/>
      <w:kern w:val="28"/>
      <w:sz w:val="32"/>
      <w:szCs w:val="32"/>
    </w:rPr>
  </w:style>
  <w:style w:type="character" w:customStyle="1" w:styleId="258">
    <w:name w:val="正文文本缩进 Char2"/>
    <w:qFormat/>
    <w:uiPriority w:val="99"/>
    <w:rPr>
      <w:kern w:val="2"/>
      <w:sz w:val="24"/>
    </w:rPr>
  </w:style>
  <w:style w:type="character" w:customStyle="1" w:styleId="259">
    <w:name w:val="明显强调2"/>
    <w:qFormat/>
    <w:uiPriority w:val="99"/>
    <w:rPr>
      <w:b/>
      <w:i/>
      <w:color w:val="4F81BD"/>
    </w:rPr>
  </w:style>
  <w:style w:type="character" w:customStyle="1" w:styleId="260">
    <w:name w:val="纯文本 Char2"/>
    <w:qFormat/>
    <w:uiPriority w:val="99"/>
    <w:rPr>
      <w:rFonts w:hint="eastAsia" w:ascii="宋体" w:hAnsi="Courier New" w:eastAsia="宋体"/>
      <w:sz w:val="21"/>
    </w:rPr>
  </w:style>
  <w:style w:type="character" w:customStyle="1" w:styleId="261">
    <w:name w:val="HTML 预设格式 Char2"/>
    <w:qFormat/>
    <w:uiPriority w:val="99"/>
    <w:rPr>
      <w:rFonts w:hint="default" w:ascii="Courier New" w:hAnsi="Courier New" w:eastAsia="宋体" w:cs="Courier New"/>
      <w:sz w:val="20"/>
    </w:rPr>
  </w:style>
  <w:style w:type="character" w:customStyle="1" w:styleId="262">
    <w:name w:val="charchar19"/>
    <w:qFormat/>
    <w:uiPriority w:val="0"/>
    <w:rPr>
      <w:rFonts w:hint="default" w:ascii="Cambria" w:hAnsi="Cambria" w:eastAsia="Cambria" w:cs="Cambria"/>
      <w:b/>
      <w:i/>
      <w:color w:val="4F81BD"/>
    </w:rPr>
  </w:style>
  <w:style w:type="character" w:customStyle="1" w:styleId="263">
    <w:name w:val="正文文本 2 Char2"/>
    <w:qFormat/>
    <w:uiPriority w:val="99"/>
    <w:rPr>
      <w:kern w:val="2"/>
      <w:sz w:val="24"/>
    </w:rPr>
  </w:style>
  <w:style w:type="character" w:customStyle="1" w:styleId="264">
    <w:name w:val="正文文字 Char"/>
    <w:qFormat/>
    <w:uiPriority w:val="0"/>
    <w:rPr>
      <w:rFonts w:hint="default" w:ascii="Arial" w:hAnsi="Arial" w:eastAsia="宋体" w:cs="Arial"/>
      <w:kern w:val="2"/>
      <w:sz w:val="24"/>
      <w:szCs w:val="20"/>
      <w:lang w:val="en-US" w:eastAsia="zh-CN" w:bidi="ar-SA"/>
    </w:rPr>
  </w:style>
  <w:style w:type="character" w:customStyle="1" w:styleId="265">
    <w:name w:val="charchar4"/>
    <w:qFormat/>
    <w:uiPriority w:val="0"/>
    <w:rPr>
      <w:rFonts w:hint="eastAsia" w:ascii="宋体" w:hAnsi="宋体" w:eastAsia="宋体" w:cs="宋体"/>
    </w:rPr>
  </w:style>
  <w:style w:type="character" w:customStyle="1" w:styleId="266">
    <w:name w:val="HTML Preformatted Char"/>
    <w:qFormat/>
    <w:locked/>
    <w:uiPriority w:val="99"/>
    <w:rPr>
      <w:rFonts w:hint="default" w:ascii="Arial" w:hAnsi="Arial" w:cs="Arial"/>
      <w:sz w:val="24"/>
    </w:rPr>
  </w:style>
  <w:style w:type="character" w:customStyle="1" w:styleId="267">
    <w:name w:val="标题 2 Char1"/>
    <w:link w:val="3"/>
    <w:qFormat/>
    <w:locked/>
    <w:uiPriority w:val="9"/>
    <w:rPr>
      <w:rFonts w:ascii="Arial" w:hAnsi="Arial" w:eastAsia="黑体" w:cs="Times New Roman"/>
      <w:b/>
      <w:sz w:val="32"/>
      <w:szCs w:val="20"/>
    </w:rPr>
  </w:style>
  <w:style w:type="character" w:customStyle="1" w:styleId="268">
    <w:name w:val="s"/>
    <w:basedOn w:val="53"/>
    <w:qFormat/>
    <w:uiPriority w:val="0"/>
    <w:rPr>
      <w:kern w:val="0"/>
      <w:sz w:val="24"/>
      <w:szCs w:val="20"/>
    </w:rPr>
  </w:style>
  <w:style w:type="character" w:customStyle="1" w:styleId="269">
    <w:name w:val="charchar8"/>
    <w:qFormat/>
    <w:uiPriority w:val="0"/>
    <w:rPr>
      <w:rFonts w:hint="default" w:ascii="Calibri" w:hAnsi="Calibri" w:cs="Calibri"/>
    </w:rPr>
  </w:style>
  <w:style w:type="character" w:customStyle="1" w:styleId="270">
    <w:name w:val="正文文本 3 Char1"/>
    <w:qFormat/>
    <w:uiPriority w:val="99"/>
    <w:rPr>
      <w:rFonts w:hint="default" w:ascii="Times New Roman" w:hAnsi="Times New Roman" w:cs="Times New Roman"/>
      <w:kern w:val="2"/>
      <w:sz w:val="16"/>
      <w:szCs w:val="16"/>
    </w:rPr>
  </w:style>
  <w:style w:type="character" w:customStyle="1" w:styleId="271">
    <w:name w:val="标题 Char1"/>
    <w:qFormat/>
    <w:uiPriority w:val="99"/>
    <w:rPr>
      <w:rFonts w:hint="default" w:ascii="Cambria" w:hAnsi="Cambria" w:eastAsia="宋体" w:cs="黑体"/>
      <w:b/>
      <w:bCs/>
      <w:sz w:val="32"/>
      <w:szCs w:val="32"/>
    </w:rPr>
  </w:style>
  <w:style w:type="character" w:customStyle="1" w:styleId="272">
    <w:name w:val="文档结构图 Char1"/>
    <w:qFormat/>
    <w:uiPriority w:val="99"/>
    <w:rPr>
      <w:rFonts w:hint="eastAsia" w:ascii="宋体" w:hAnsi="宋体" w:eastAsia="宋体"/>
      <w:kern w:val="2"/>
      <w:sz w:val="18"/>
    </w:rPr>
  </w:style>
  <w:style w:type="character" w:customStyle="1" w:styleId="273">
    <w:name w:val="正文文本缩进 3 Char1"/>
    <w:qFormat/>
    <w:uiPriority w:val="99"/>
    <w:rPr>
      <w:rFonts w:hint="default" w:ascii="Times New Roman" w:hAnsi="Times New Roman" w:cs="Times New Roman"/>
      <w:kern w:val="2"/>
      <w:sz w:val="16"/>
      <w:szCs w:val="16"/>
    </w:rPr>
  </w:style>
  <w:style w:type="character" w:customStyle="1" w:styleId="274">
    <w:name w:val="tcnt2"/>
    <w:qFormat/>
    <w:uiPriority w:val="99"/>
    <w:rPr>
      <w:rFonts w:hint="default" w:ascii="Times New Roman" w:hAnsi="Times New Roman" w:cs="Times New Roman"/>
    </w:rPr>
  </w:style>
  <w:style w:type="character" w:customStyle="1" w:styleId="275">
    <w:name w:val="正文文本缩进 Char1"/>
    <w:qFormat/>
    <w:uiPriority w:val="99"/>
    <w:rPr>
      <w:rFonts w:hint="default" w:ascii="Times New Roman" w:hAnsi="Times New Roman" w:cs="Times New Roman"/>
      <w:kern w:val="2"/>
      <w:sz w:val="24"/>
      <w:szCs w:val="24"/>
    </w:rPr>
  </w:style>
  <w:style w:type="character" w:customStyle="1" w:styleId="276">
    <w:name w:val="charchar"/>
    <w:qFormat/>
    <w:uiPriority w:val="0"/>
    <w:rPr>
      <w:rFonts w:hint="default" w:ascii="Cambria" w:hAnsi="Cambria" w:eastAsia="Cambria" w:cs="Cambria"/>
      <w:i/>
      <w:color w:val="4F81BD"/>
      <w:spacing w:val="15"/>
    </w:rPr>
  </w:style>
  <w:style w:type="character" w:customStyle="1" w:styleId="277">
    <w:name w:val="明显引用 Char1"/>
    <w:qFormat/>
    <w:locked/>
    <w:uiPriority w:val="99"/>
    <w:rPr>
      <w:rFonts w:hint="default" w:ascii="Calibri" w:hAnsi="Calibri" w:eastAsia="宋体" w:cs="黑体"/>
      <w:b/>
      <w:bCs/>
      <w:i/>
      <w:iCs/>
      <w:color w:val="4F81BD"/>
    </w:rPr>
  </w:style>
  <w:style w:type="character" w:customStyle="1" w:styleId="278">
    <w:name w:val="textcontents"/>
    <w:qFormat/>
    <w:uiPriority w:val="99"/>
  </w:style>
  <w:style w:type="character" w:customStyle="1" w:styleId="279">
    <w:name w:val="批注框文本 Char1"/>
    <w:qFormat/>
    <w:uiPriority w:val="99"/>
    <w:rPr>
      <w:rFonts w:hint="default" w:ascii="Times New Roman" w:hAnsi="Times New Roman" w:cs="Times New Roman"/>
      <w:kern w:val="2"/>
      <w:sz w:val="18"/>
      <w:szCs w:val="18"/>
    </w:rPr>
  </w:style>
  <w:style w:type="character" w:customStyle="1" w:styleId="280">
    <w:name w:val="charchar21"/>
    <w:qFormat/>
    <w:uiPriority w:val="0"/>
    <w:rPr>
      <w:rFonts w:hint="eastAsia" w:ascii="新宋体" w:hAnsi="新宋体" w:eastAsia="新宋体" w:cs="新宋体"/>
      <w:b/>
    </w:rPr>
  </w:style>
  <w:style w:type="character" w:customStyle="1" w:styleId="281">
    <w:name w:val="页脚 Char1"/>
    <w:qFormat/>
    <w:uiPriority w:val="0"/>
    <w:rPr>
      <w:kern w:val="2"/>
      <w:sz w:val="18"/>
    </w:rPr>
  </w:style>
  <w:style w:type="character" w:customStyle="1" w:styleId="282">
    <w:name w:val="HTML 预设格式 字符"/>
    <w:qFormat/>
    <w:uiPriority w:val="99"/>
    <w:rPr>
      <w:rFonts w:hint="default" w:ascii="Courier New" w:hAnsi="Courier New" w:cs="Courier New"/>
      <w:kern w:val="2"/>
      <w:sz w:val="24"/>
      <w:szCs w:val="20"/>
    </w:rPr>
  </w:style>
  <w:style w:type="character" w:customStyle="1" w:styleId="283">
    <w:name w:val="批注文字 Char3"/>
    <w:basedOn w:val="53"/>
    <w:link w:val="16"/>
    <w:semiHidden/>
    <w:qFormat/>
    <w:locked/>
    <w:uiPriority w:val="99"/>
    <w:rPr>
      <w:rFonts w:ascii="Times New Roman" w:hAnsi="Times New Roman" w:eastAsia="宋体" w:cs="Times New Roman"/>
      <w:szCs w:val="20"/>
    </w:rPr>
  </w:style>
  <w:style w:type="character" w:customStyle="1" w:styleId="284">
    <w:name w:val="批注主题 Char3"/>
    <w:basedOn w:val="283"/>
    <w:semiHidden/>
    <w:qFormat/>
    <w:uiPriority w:val="99"/>
    <w:rPr>
      <w:rFonts w:ascii="Times New Roman" w:hAnsi="Times New Roman" w:eastAsia="宋体" w:cs="Times New Roman"/>
      <w:b/>
      <w:bCs/>
      <w:szCs w:val="20"/>
    </w:rPr>
  </w:style>
  <w:style w:type="character" w:customStyle="1" w:styleId="285">
    <w:name w:val="文档结构图 Char3"/>
    <w:basedOn w:val="53"/>
    <w:semiHidden/>
    <w:qFormat/>
    <w:uiPriority w:val="99"/>
    <w:rPr>
      <w:rFonts w:hint="eastAsia" w:ascii="宋体" w:hAnsi="宋体" w:eastAsia="宋体"/>
      <w:kern w:val="2"/>
      <w:sz w:val="18"/>
      <w:szCs w:val="18"/>
    </w:rPr>
  </w:style>
  <w:style w:type="character" w:customStyle="1" w:styleId="286">
    <w:name w:val="正文文本 3 Char3"/>
    <w:basedOn w:val="53"/>
    <w:semiHidden/>
    <w:qFormat/>
    <w:uiPriority w:val="99"/>
    <w:rPr>
      <w:kern w:val="2"/>
      <w:sz w:val="16"/>
      <w:szCs w:val="16"/>
    </w:rPr>
  </w:style>
  <w:style w:type="character" w:customStyle="1" w:styleId="287">
    <w:name w:val="正文文本 Char3"/>
    <w:basedOn w:val="53"/>
    <w:semiHidden/>
    <w:qFormat/>
    <w:uiPriority w:val="99"/>
    <w:rPr>
      <w:kern w:val="2"/>
      <w:sz w:val="21"/>
      <w:szCs w:val="20"/>
    </w:rPr>
  </w:style>
  <w:style w:type="character" w:customStyle="1" w:styleId="288">
    <w:name w:val="正文文本缩进 Char3"/>
    <w:basedOn w:val="53"/>
    <w:semiHidden/>
    <w:qFormat/>
    <w:uiPriority w:val="99"/>
    <w:rPr>
      <w:kern w:val="2"/>
      <w:sz w:val="21"/>
      <w:szCs w:val="20"/>
    </w:rPr>
  </w:style>
  <w:style w:type="character" w:customStyle="1" w:styleId="289">
    <w:name w:val="HTML 预设格式 Char1"/>
    <w:basedOn w:val="53"/>
    <w:semiHidden/>
    <w:qFormat/>
    <w:uiPriority w:val="99"/>
    <w:rPr>
      <w:rFonts w:hint="default" w:ascii="Courier New" w:hAnsi="Courier New" w:cs="Courier New"/>
      <w:kern w:val="2"/>
      <w:sz w:val="24"/>
      <w:szCs w:val="20"/>
    </w:rPr>
  </w:style>
  <w:style w:type="character" w:customStyle="1" w:styleId="290">
    <w:name w:val="正文文本 2 Char3"/>
    <w:basedOn w:val="53"/>
    <w:semiHidden/>
    <w:qFormat/>
    <w:uiPriority w:val="99"/>
    <w:rPr>
      <w:kern w:val="2"/>
      <w:sz w:val="21"/>
      <w:szCs w:val="20"/>
    </w:rPr>
  </w:style>
  <w:style w:type="character" w:customStyle="1" w:styleId="291">
    <w:name w:val="副标题 Char2"/>
    <w:basedOn w:val="53"/>
    <w:qFormat/>
    <w:uiPriority w:val="11"/>
    <w:rPr>
      <w:rFonts w:hint="default" w:asciiTheme="majorHAnsi" w:hAnsiTheme="majorHAnsi" w:cstheme="majorBidi"/>
      <w:b/>
      <w:bCs/>
      <w:kern w:val="28"/>
      <w:sz w:val="32"/>
      <w:szCs w:val="32"/>
    </w:rPr>
  </w:style>
  <w:style w:type="character" w:customStyle="1" w:styleId="292">
    <w:name w:val="标题 Char2"/>
    <w:basedOn w:val="53"/>
    <w:qFormat/>
    <w:uiPriority w:val="10"/>
    <w:rPr>
      <w:rFonts w:hint="default" w:asciiTheme="majorHAnsi" w:hAnsiTheme="majorHAnsi" w:cstheme="majorBidi"/>
      <w:b/>
      <w:bCs/>
      <w:kern w:val="2"/>
      <w:sz w:val="32"/>
      <w:szCs w:val="32"/>
    </w:rPr>
  </w:style>
  <w:style w:type="character" w:customStyle="1" w:styleId="293">
    <w:name w:val="纯文本 Char3"/>
    <w:basedOn w:val="53"/>
    <w:semiHidden/>
    <w:qFormat/>
    <w:uiPriority w:val="99"/>
    <w:rPr>
      <w:rFonts w:hint="eastAsia" w:ascii="宋体" w:hAnsi="Courier New" w:eastAsia="宋体" w:cs="Courier New"/>
      <w:kern w:val="2"/>
      <w:sz w:val="21"/>
      <w:szCs w:val="21"/>
    </w:rPr>
  </w:style>
  <w:style w:type="character" w:customStyle="1" w:styleId="294">
    <w:name w:val="批注框文本 Char4"/>
    <w:basedOn w:val="53"/>
    <w:semiHidden/>
    <w:qFormat/>
    <w:uiPriority w:val="99"/>
    <w:rPr>
      <w:kern w:val="2"/>
      <w:sz w:val="18"/>
      <w:szCs w:val="18"/>
    </w:rPr>
  </w:style>
  <w:style w:type="character" w:customStyle="1" w:styleId="295">
    <w:name w:val="正文文本缩进 3 Char3"/>
    <w:basedOn w:val="53"/>
    <w:semiHidden/>
    <w:qFormat/>
    <w:uiPriority w:val="99"/>
    <w:rPr>
      <w:kern w:val="2"/>
      <w:sz w:val="16"/>
      <w:szCs w:val="16"/>
    </w:rPr>
  </w:style>
  <w:style w:type="character" w:customStyle="1" w:styleId="296">
    <w:name w:val="页眉 Char3"/>
    <w:basedOn w:val="53"/>
    <w:semiHidden/>
    <w:qFormat/>
    <w:uiPriority w:val="99"/>
    <w:rPr>
      <w:kern w:val="2"/>
      <w:sz w:val="18"/>
      <w:szCs w:val="18"/>
    </w:rPr>
  </w:style>
  <w:style w:type="character" w:customStyle="1" w:styleId="297">
    <w:name w:val="日期 Char1"/>
    <w:basedOn w:val="53"/>
    <w:semiHidden/>
    <w:qFormat/>
    <w:uiPriority w:val="99"/>
    <w:rPr>
      <w:kern w:val="2"/>
      <w:sz w:val="21"/>
      <w:szCs w:val="20"/>
    </w:rPr>
  </w:style>
  <w:style w:type="character" w:customStyle="1" w:styleId="298">
    <w:name w:val="页脚 Char3"/>
    <w:basedOn w:val="53"/>
    <w:semiHidden/>
    <w:qFormat/>
    <w:uiPriority w:val="99"/>
    <w:rPr>
      <w:kern w:val="2"/>
      <w:sz w:val="18"/>
      <w:szCs w:val="18"/>
    </w:rPr>
  </w:style>
  <w:style w:type="character" w:customStyle="1" w:styleId="299">
    <w:name w:val="正文文本缩进 2 Char3"/>
    <w:basedOn w:val="53"/>
    <w:semiHidden/>
    <w:qFormat/>
    <w:uiPriority w:val="99"/>
    <w:rPr>
      <w:kern w:val="2"/>
      <w:sz w:val="21"/>
      <w:szCs w:val="20"/>
    </w:rPr>
  </w:style>
  <w:style w:type="character" w:customStyle="1" w:styleId="300">
    <w:name w:val="NormalCharacter"/>
    <w:basedOn w:val="53"/>
    <w:qFormat/>
    <w:uiPriority w:val="0"/>
  </w:style>
  <w:style w:type="paragraph" w:customStyle="1" w:styleId="301">
    <w:name w:val="UserStyle_51"/>
    <w:basedOn w:val="1"/>
    <w:next w:val="1"/>
    <w:qFormat/>
    <w:uiPriority w:val="0"/>
    <w:pPr>
      <w:spacing w:line="500" w:lineRule="exact"/>
    </w:pPr>
    <w:rPr>
      <w:rFonts w:ascii="黑体" w:hAnsi="Cambria" w:eastAsia="黑体"/>
      <w:b/>
      <w:bCs/>
      <w:szCs w:val="32"/>
    </w:rPr>
  </w:style>
  <w:style w:type="paragraph" w:customStyle="1" w:styleId="302">
    <w:name w:val="_Style 2"/>
    <w:basedOn w:val="2"/>
    <w:next w:val="1"/>
    <w:qFormat/>
    <w:uiPriority w:val="39"/>
    <w:pPr>
      <w:keepLines/>
      <w:numPr>
        <w:numId w:val="0"/>
      </w:numPr>
      <w:spacing w:before="480" w:line="276" w:lineRule="auto"/>
      <w:jc w:val="center"/>
      <w:outlineLvl w:val="9"/>
    </w:pPr>
    <w:rPr>
      <w:rFonts w:ascii="仿宋" w:hAnsi="仿宋" w:eastAsia="仿宋"/>
      <w:color w:val="000000"/>
      <w:kern w:val="0"/>
      <w:sz w:val="32"/>
      <w:szCs w:val="32"/>
    </w:rPr>
  </w:style>
  <w:style w:type="paragraph" w:customStyle="1" w:styleId="303">
    <w:name w:val="Heading1"/>
    <w:basedOn w:val="1"/>
    <w:next w:val="1"/>
    <w:qFormat/>
    <w:uiPriority w:val="0"/>
    <w:pPr>
      <w:keepNext/>
      <w:keepLines/>
      <w:spacing w:line="500" w:lineRule="exact"/>
      <w:jc w:val="center"/>
    </w:pPr>
    <w:rPr>
      <w:rFonts w:ascii="华文中宋" w:eastAsia="华文中宋"/>
      <w:b/>
      <w:bCs/>
      <w:kern w:val="44"/>
      <w:sz w:val="28"/>
      <w:szCs w:val="44"/>
    </w:rPr>
  </w:style>
  <w:style w:type="paragraph" w:customStyle="1" w:styleId="304">
    <w:name w:val="UserStyle_49"/>
    <w:basedOn w:val="1"/>
    <w:next w:val="1"/>
    <w:qFormat/>
    <w:uiPriority w:val="0"/>
    <w:pPr>
      <w:jc w:val="center"/>
    </w:pPr>
    <w:rPr>
      <w:rFonts w:ascii="黑体" w:eastAsia="黑体"/>
      <w:b/>
      <w:iCs/>
      <w:color w:val="000000"/>
      <w:szCs w:val="22"/>
    </w:rPr>
  </w:style>
  <w:style w:type="paragraph" w:customStyle="1" w:styleId="305">
    <w:name w:val="列表段落1"/>
    <w:basedOn w:val="1"/>
    <w:qFormat/>
    <w:uiPriority w:val="34"/>
    <w:pPr>
      <w:ind w:firstLine="420" w:firstLineChars="200"/>
    </w:pPr>
    <w:rPr>
      <w:rFonts w:ascii="Calibri" w:hAnsi="Calibri"/>
      <w:szCs w:val="22"/>
    </w:rPr>
  </w:style>
  <w:style w:type="character" w:customStyle="1" w:styleId="306">
    <w:name w:val="font41"/>
    <w:basedOn w:val="53"/>
    <w:qFormat/>
    <w:uiPriority w:val="0"/>
    <w:rPr>
      <w:rFonts w:hint="eastAsia" w:ascii="宋体" w:hAnsi="宋体" w:eastAsia="宋体" w:cs="宋体"/>
      <w:color w:val="000000"/>
      <w:sz w:val="24"/>
      <w:szCs w:val="24"/>
      <w:u w:val="none"/>
    </w:rPr>
  </w:style>
  <w:style w:type="character" w:customStyle="1" w:styleId="307">
    <w:name w:val="font81"/>
    <w:basedOn w:val="53"/>
    <w:qFormat/>
    <w:uiPriority w:val="0"/>
    <w:rPr>
      <w:rFonts w:hint="default" w:ascii="Times New Roman" w:hAnsi="Times New Roman" w:cs="Times New Roman"/>
      <w:color w:val="000000"/>
      <w:sz w:val="24"/>
      <w:szCs w:val="24"/>
      <w:u w:val="none"/>
    </w:rPr>
  </w:style>
  <w:style w:type="paragraph" w:customStyle="1" w:styleId="308">
    <w:name w:val="È±Ê¡ÎÄ±¾"/>
    <w:basedOn w:val="1"/>
    <w:qFormat/>
    <w:uiPriority w:val="0"/>
    <w:pPr>
      <w:widowControl/>
      <w:overflowPunct w:val="0"/>
      <w:autoSpaceDE w:val="0"/>
      <w:autoSpaceDN w:val="0"/>
      <w:adjustRightInd w:val="0"/>
      <w:jc w:val="left"/>
    </w:pPr>
    <w:rPr>
      <w:kern w:val="0"/>
      <w:sz w:val="24"/>
    </w:rPr>
  </w:style>
  <w:style w:type="paragraph" w:customStyle="1" w:styleId="309">
    <w:name w:val="普通正文"/>
    <w:basedOn w:val="1"/>
    <w:qFormat/>
    <w:uiPriority w:val="0"/>
    <w:pPr>
      <w:adjustRightInd w:val="0"/>
      <w:spacing w:before="120" w:after="120" w:line="360" w:lineRule="auto"/>
      <w:ind w:firstLine="480" w:firstLineChars="200"/>
      <w:jc w:val="left"/>
      <w:textAlignment w:val="baseline"/>
    </w:pPr>
    <w:rPr>
      <w:rFonts w:ascii="Arial" w:hAnsi="Arial"/>
      <w:kern w:val="0"/>
      <w:sz w:val="24"/>
    </w:rPr>
  </w:style>
  <w:style w:type="paragraph" w:customStyle="1" w:styleId="310">
    <w:name w:val="Table Paragraph"/>
    <w:basedOn w:val="1"/>
    <w:qFormat/>
    <w:uiPriority w:val="1"/>
    <w:pPr>
      <w:spacing w:before="32"/>
      <w:ind w:left="316"/>
    </w:pPr>
    <w:rPr>
      <w:rFonts w:ascii="宋体" w:hAnsi="宋体" w:eastAsia="宋体" w:cs="宋体"/>
      <w:lang w:val="zh-CN" w:eastAsia="zh-CN" w:bidi="zh-CN"/>
    </w:rPr>
  </w:style>
  <w:style w:type="character" w:customStyle="1" w:styleId="311">
    <w:name w:val="font11"/>
    <w:basedOn w:val="53"/>
    <w:qFormat/>
    <w:uiPriority w:val="0"/>
    <w:rPr>
      <w:rFonts w:hint="eastAsia" w:ascii="宋体" w:hAnsi="宋体" w:eastAsia="宋体" w:cs="宋体"/>
      <w:color w:val="000000"/>
      <w:sz w:val="24"/>
      <w:szCs w:val="24"/>
      <w:u w:val="none"/>
    </w:rPr>
  </w:style>
  <w:style w:type="paragraph" w:customStyle="1" w:styleId="312">
    <w:name w:val="Normal Indent1"/>
    <w:basedOn w:val="1"/>
    <w:qFormat/>
    <w:uiPriority w:val="99"/>
    <w:pPr>
      <w:ind w:firstLine="420" w:firstLineChars="200"/>
    </w:pPr>
  </w:style>
  <w:style w:type="table" w:customStyle="1" w:styleId="313">
    <w:name w:val="Table Normal"/>
    <w:qFormat/>
    <w:uiPriority w:val="59"/>
    <w:tblPr>
      <w:tblCellMar>
        <w:top w:w="0" w:type="dxa"/>
        <w:left w:w="0" w:type="dxa"/>
        <w:bottom w:w="0" w:type="dxa"/>
        <w:right w:w="0" w:type="dxa"/>
      </w:tblCellMar>
    </w:tblPr>
  </w:style>
  <w:style w:type="paragraph" w:customStyle="1" w:styleId="314">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15">
    <w:name w:val="正文 A"/>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 w:type="character" w:customStyle="1" w:styleId="316">
    <w:name w:val="font71"/>
    <w:basedOn w:val="53"/>
    <w:qFormat/>
    <w:uiPriority w:val="0"/>
    <w:rPr>
      <w:rFonts w:ascii="方正黑体_GBK" w:hAnsi="方正黑体_GBK" w:eastAsia="方正黑体_GBK" w:cs="方正黑体_GBK"/>
      <w:color w:val="000000"/>
      <w:sz w:val="22"/>
      <w:szCs w:val="22"/>
      <w:u w:val="none"/>
    </w:rPr>
  </w:style>
  <w:style w:type="character" w:customStyle="1" w:styleId="317">
    <w:name w:val="font51"/>
    <w:basedOn w:val="53"/>
    <w:qFormat/>
    <w:uiPriority w:val="0"/>
    <w:rPr>
      <w:rFonts w:ascii="方正仿宋_GBK" w:hAnsi="方正仿宋_GBK" w:eastAsia="方正仿宋_GBK" w:cs="方正仿宋_GBK"/>
      <w:color w:val="000000"/>
      <w:sz w:val="22"/>
      <w:szCs w:val="22"/>
      <w:u w:val="none"/>
    </w:rPr>
  </w:style>
  <w:style w:type="paragraph" w:customStyle="1" w:styleId="318">
    <w:name w:val="p15"/>
    <w:basedOn w:val="1"/>
    <w:qFormat/>
    <w:uiPriority w:val="0"/>
    <w:pPr>
      <w:widowControl/>
      <w:spacing w:before="100" w:beforeAutospacing="1" w:after="100" w:afterAutospacing="1"/>
      <w:jc w:val="left"/>
    </w:pPr>
    <w:rPr>
      <w:rFonts w:ascii="宋体" w:hAnsi="宋体" w:cs="宋体"/>
      <w:kern w:val="0"/>
      <w:sz w:val="24"/>
    </w:rPr>
  </w:style>
  <w:style w:type="character" w:customStyle="1" w:styleId="319">
    <w:name w:val="font61"/>
    <w:basedOn w:val="53"/>
    <w:qFormat/>
    <w:uiPriority w:val="0"/>
    <w:rPr>
      <w:rFonts w:ascii="方正仿宋_GBK" w:hAnsi="方正仿宋_GBK" w:eastAsia="方正仿宋_GBK" w:cs="方正仿宋_GBK"/>
      <w:color w:val="000000"/>
      <w:sz w:val="22"/>
      <w:szCs w:val="22"/>
      <w:u w:val="none"/>
    </w:rPr>
  </w:style>
  <w:style w:type="character" w:customStyle="1" w:styleId="320">
    <w:name w:val="font31"/>
    <w:basedOn w:val="53"/>
    <w:qFormat/>
    <w:uiPriority w:val="0"/>
    <w:rPr>
      <w:rFonts w:ascii="方正仿宋_GBK" w:hAnsi="方正仿宋_GBK" w:eastAsia="方正仿宋_GBK" w:cs="方正仿宋_GBK"/>
      <w:color w:val="000000"/>
      <w:sz w:val="22"/>
      <w:szCs w:val="22"/>
      <w:u w:val="none"/>
    </w:rPr>
  </w:style>
  <w:style w:type="paragraph" w:customStyle="1" w:styleId="321">
    <w:name w:val="BodyText"/>
    <w:basedOn w:val="1"/>
    <w:next w:val="322"/>
    <w:qFormat/>
    <w:uiPriority w:val="0"/>
    <w:pPr>
      <w:jc w:val="center"/>
      <w:textAlignment w:val="baseline"/>
    </w:pPr>
    <w:rPr>
      <w:rFonts w:ascii="宋体"/>
      <w:b/>
      <w:szCs w:val="20"/>
    </w:rPr>
  </w:style>
  <w:style w:type="paragraph" w:customStyle="1" w:styleId="322">
    <w:name w:val="UserStyle_0"/>
    <w:next w:val="1"/>
    <w:qFormat/>
    <w:uiPriority w:val="0"/>
    <w:pPr>
      <w:textAlignment w:val="baseline"/>
    </w:pPr>
    <w:rPr>
      <w:rFonts w:ascii="Times New Roman" w:hAnsi="Times New Roman" w:eastAsia="宋体" w:cs="Times New Roman"/>
      <w:sz w:val="32"/>
      <w:szCs w:val="22"/>
      <w:lang w:val="en-US" w:eastAsia="zh-CN" w:bidi="ar-SA"/>
    </w:rPr>
  </w:style>
  <w:style w:type="paragraph" w:customStyle="1" w:styleId="323">
    <w:name w:val="Normal_3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324">
    <w:name w:val="页脚2"/>
    <w:basedOn w:val="1"/>
    <w:qFormat/>
    <w:uiPriority w:val="0"/>
    <w:pPr>
      <w:widowControl/>
      <w:pBdr>
        <w:top w:val="single" w:color="auto" w:sz="6" w:space="0"/>
      </w:pBdr>
      <w:jc w:val="right"/>
      <w:textAlignment w:val="center"/>
    </w:pPr>
    <w:rPr>
      <w:rFonts w:ascii="宋体" w:hAnsi="宋体"/>
      <w:kern w:val="0"/>
      <w:sz w:val="18"/>
      <w:szCs w:val="18"/>
    </w:rPr>
  </w:style>
  <w:style w:type="paragraph" w:customStyle="1" w:styleId="325">
    <w:name w:val="日期_0"/>
    <w:basedOn w:val="326"/>
    <w:next w:val="327"/>
    <w:qFormat/>
    <w:uiPriority w:val="0"/>
    <w:pPr>
      <w:ind w:left="100" w:leftChars="2500"/>
    </w:pPr>
    <w:rPr>
      <w:rFonts w:ascii="Times New Roman" w:hAnsi="Times New Roman"/>
      <w:szCs w:val="24"/>
    </w:rPr>
  </w:style>
  <w:style w:type="paragraph" w:customStyle="1" w:styleId="326">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7">
    <w:name w:val="正文_12"/>
    <w:semiHidden/>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8">
    <w:name w:val="表"/>
    <w:basedOn w:val="1"/>
    <w:qFormat/>
    <w:uiPriority w:val="0"/>
    <w:pPr>
      <w:spacing w:line="360" w:lineRule="auto"/>
    </w:pPr>
    <w:rPr>
      <w:rFonts w:ascii="宋体" w:hAnsi="宋体"/>
      <w:b/>
      <w:bCs/>
    </w:rPr>
  </w:style>
  <w:style w:type="paragraph" w:customStyle="1" w:styleId="329">
    <w:name w:val="其他"/>
    <w:basedOn w:val="1"/>
    <w:qFormat/>
    <w:uiPriority w:val="0"/>
    <w:pPr>
      <w:widowControl w:val="0"/>
      <w:shd w:val="clear" w:color="auto" w:fill="FFFFFF"/>
    </w:pPr>
    <w:rPr>
      <w:rFonts w:ascii="新宋体" w:hAnsi="新宋体" w:eastAsia="新宋体" w:cs="新宋体"/>
      <w:sz w:val="30"/>
      <w:szCs w:val="30"/>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10290</Words>
  <Characters>11202</Characters>
  <Lines>347</Lines>
  <Paragraphs>97</Paragraphs>
  <TotalTime>24</TotalTime>
  <ScaleCrop>false</ScaleCrop>
  <LinksUpToDate>false</LinksUpToDate>
  <CharactersWithSpaces>11423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2020-05-21T14:06:00Z</dcterms:created>
  <dc:creator>许瑞</dc:creator>
  <cp:lastModifiedBy>Administrators</cp:lastModifiedBy>
  <cp:lastPrinted>2023-03-27T05:01:00Z</cp:lastPrinted>
  <dcterms:modified xsi:type="dcterms:W3CDTF">2025-02-19T04:35:41Z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4D6A2A4DA30C4EEAB94C09F31F57BECD_13</vt:lpwstr>
  </property>
  <property fmtid="{D5CDD505-2E9C-101B-9397-08002B2CF9AE}" pid="4" name="KSOTemplateDocerSaveRecord">
    <vt:lpwstr>eyJoZGlkIjoiYjQ3ZDA3ZTE5Y2U3MjNmNWNlOGQwNmY4NmEzZjc1YjEiLCJ1c2VySWQiOiI2NzEzMDgzOTUifQ==</vt:lpwstr>
  </property>
</Properties>
</file>