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73210A">
      <w:pPr>
        <w:spacing w:line="360" w:lineRule="auto"/>
        <w:jc w:val="center"/>
        <w:rPr>
          <w:rFonts w:ascii="宋体" w:hAnsi="宋体" w:cs="宋体"/>
          <w:b/>
          <w:bCs/>
          <w:sz w:val="44"/>
          <w:szCs w:val="44"/>
        </w:rPr>
      </w:pPr>
      <w:r>
        <w:rPr>
          <w:rFonts w:hint="eastAsia" w:ascii="宋体" w:hAnsi="宋体" w:cs="宋体"/>
          <w:b/>
          <w:bCs/>
          <w:sz w:val="40"/>
          <w:szCs w:val="40"/>
          <w:lang w:eastAsia="zh-CN"/>
        </w:rPr>
        <w:t>新疆塔里木胡杨国家级自然保护区管理局2025年中央林业</w:t>
      </w:r>
      <w:bookmarkStart w:id="235" w:name="_GoBack"/>
      <w:bookmarkEnd w:id="235"/>
      <w:r>
        <w:rPr>
          <w:rFonts w:hint="eastAsia" w:ascii="宋体" w:hAnsi="宋体" w:cs="宋体"/>
          <w:b/>
          <w:bCs/>
          <w:sz w:val="40"/>
          <w:szCs w:val="40"/>
          <w:lang w:eastAsia="zh-CN"/>
        </w:rPr>
        <w:t>草原生态保护恢复资金(国家级自然保护区能力提升)—塔里木胡杨保护区森林及野生动物资源调查项目</w:t>
      </w:r>
    </w:p>
    <w:p w14:paraId="1C4464FA">
      <w:pPr>
        <w:jc w:val="center"/>
        <w:rPr>
          <w:rFonts w:ascii="宋体" w:hAnsi="宋体" w:cs="宋体"/>
          <w:b/>
          <w:bCs/>
          <w:sz w:val="32"/>
          <w:szCs w:val="32"/>
        </w:rPr>
      </w:pPr>
    </w:p>
    <w:p w14:paraId="4BAC239B">
      <w:pPr>
        <w:jc w:val="center"/>
        <w:rPr>
          <w:rFonts w:ascii="宋体" w:hAnsi="宋体" w:cs="宋体"/>
          <w:b/>
          <w:bCs/>
          <w:sz w:val="32"/>
          <w:szCs w:val="32"/>
        </w:rPr>
      </w:pPr>
    </w:p>
    <w:p w14:paraId="3006B3CE">
      <w:pPr>
        <w:pStyle w:val="6"/>
      </w:pPr>
    </w:p>
    <w:p w14:paraId="0EF107A8">
      <w:pPr>
        <w:pStyle w:val="6"/>
      </w:pPr>
    </w:p>
    <w:p w14:paraId="03E6E6EF">
      <w:pPr>
        <w:jc w:val="center"/>
        <w:rPr>
          <w:rFonts w:hint="eastAsia" w:ascii="宋体" w:hAnsi="宋体" w:eastAsia="宋体" w:cs="宋体"/>
          <w:b/>
          <w:bCs/>
          <w:sz w:val="32"/>
          <w:szCs w:val="32"/>
          <w:lang w:eastAsia="zh-CN"/>
        </w:rPr>
      </w:pPr>
      <w:r>
        <w:rPr>
          <w:rFonts w:hint="eastAsia" w:ascii="宋体" w:hAnsi="宋体" w:cs="宋体"/>
          <w:b/>
          <w:bCs/>
          <w:sz w:val="32"/>
          <w:szCs w:val="32"/>
        </w:rPr>
        <w:t>项目编号：XJJRX-GKZB</w:t>
      </w:r>
      <w:r>
        <w:rPr>
          <w:rFonts w:hint="eastAsia" w:ascii="宋体" w:hAnsi="宋体" w:cs="宋体"/>
          <w:b/>
          <w:bCs/>
          <w:sz w:val="32"/>
          <w:szCs w:val="32"/>
          <w:lang w:eastAsia="zh-CN"/>
        </w:rPr>
        <w:t>(2025)-0227</w:t>
      </w:r>
    </w:p>
    <w:p w14:paraId="3760FB06">
      <w:pPr>
        <w:snapToGrid w:val="0"/>
        <w:spacing w:line="360" w:lineRule="auto"/>
        <w:jc w:val="center"/>
        <w:rPr>
          <w:rFonts w:ascii="宋体" w:hAnsi="宋体"/>
          <w:b/>
          <w:sz w:val="48"/>
          <w:szCs w:val="48"/>
        </w:rPr>
      </w:pPr>
    </w:p>
    <w:p w14:paraId="05C78182">
      <w:pPr>
        <w:snapToGrid w:val="0"/>
        <w:spacing w:line="360" w:lineRule="auto"/>
        <w:jc w:val="center"/>
        <w:rPr>
          <w:rFonts w:ascii="宋体" w:hAnsi="宋体"/>
          <w:b/>
          <w:sz w:val="48"/>
          <w:szCs w:val="48"/>
        </w:rPr>
      </w:pPr>
    </w:p>
    <w:p w14:paraId="6E065709">
      <w:pPr>
        <w:pStyle w:val="6"/>
      </w:pPr>
    </w:p>
    <w:p w14:paraId="6CDA6328">
      <w:pPr>
        <w:snapToGrid w:val="0"/>
        <w:spacing w:line="360" w:lineRule="auto"/>
        <w:jc w:val="center"/>
        <w:rPr>
          <w:rFonts w:ascii="宋体" w:hAnsi="宋体"/>
          <w:b/>
          <w:sz w:val="72"/>
          <w:szCs w:val="72"/>
        </w:rPr>
      </w:pPr>
      <w:r>
        <w:rPr>
          <w:rFonts w:hint="eastAsia" w:ascii="宋体" w:hAnsi="宋体"/>
          <w:b/>
          <w:sz w:val="72"/>
          <w:szCs w:val="72"/>
        </w:rPr>
        <w:t>公开招标文件</w:t>
      </w:r>
    </w:p>
    <w:p w14:paraId="66D1C0D8">
      <w:pPr>
        <w:snapToGrid w:val="0"/>
        <w:spacing w:line="360" w:lineRule="auto"/>
        <w:rPr>
          <w:rFonts w:ascii="宋体" w:hAnsi="宋体"/>
          <w:b/>
          <w:sz w:val="28"/>
          <w:szCs w:val="28"/>
        </w:rPr>
      </w:pPr>
    </w:p>
    <w:p w14:paraId="74554C9C">
      <w:pPr>
        <w:pStyle w:val="7"/>
      </w:pPr>
    </w:p>
    <w:p w14:paraId="7126A872">
      <w:pPr>
        <w:pStyle w:val="7"/>
      </w:pPr>
    </w:p>
    <w:p w14:paraId="3F3D7083">
      <w:pPr>
        <w:pStyle w:val="29"/>
      </w:pPr>
    </w:p>
    <w:p w14:paraId="22EBB140"/>
    <w:p w14:paraId="263A4069">
      <w:pPr>
        <w:pStyle w:val="7"/>
      </w:pPr>
    </w:p>
    <w:p w14:paraId="212A034E">
      <w:pPr>
        <w:pStyle w:val="12"/>
      </w:pPr>
    </w:p>
    <w:p w14:paraId="114B480F"/>
    <w:p w14:paraId="52EB7115"/>
    <w:p w14:paraId="69D107E7"/>
    <w:p w14:paraId="5983DF5D"/>
    <w:p w14:paraId="29501011">
      <w:pPr>
        <w:spacing w:line="360" w:lineRule="auto"/>
        <w:ind w:firstLine="640" w:firstLineChars="200"/>
        <w:rPr>
          <w:rFonts w:hint="eastAsia" w:ascii="宋体" w:hAnsi="宋体" w:eastAsia="宋体"/>
          <w:sz w:val="32"/>
          <w:szCs w:val="32"/>
          <w:lang w:eastAsia="zh-CN"/>
        </w:rPr>
      </w:pPr>
      <w:r>
        <w:rPr>
          <w:rFonts w:hint="eastAsia" w:ascii="宋体" w:hAnsi="宋体"/>
          <w:sz w:val="32"/>
          <w:szCs w:val="32"/>
        </w:rPr>
        <w:t>采购单位：</w:t>
      </w:r>
      <w:r>
        <w:rPr>
          <w:rFonts w:hint="eastAsia" w:ascii="宋体" w:hAnsi="宋体"/>
          <w:sz w:val="32"/>
          <w:szCs w:val="32"/>
          <w:lang w:eastAsia="zh-CN"/>
        </w:rPr>
        <w:t>新疆塔里木胡杨国家级自然保护区管理局</w:t>
      </w:r>
    </w:p>
    <w:p w14:paraId="0BC73F4A">
      <w:pPr>
        <w:spacing w:before="156" w:beforeLines="50" w:after="156" w:afterLines="50" w:line="360" w:lineRule="auto"/>
        <w:ind w:firstLine="640" w:firstLineChars="200"/>
        <w:textAlignment w:val="baseline"/>
        <w:rPr>
          <w:rFonts w:ascii="宋体" w:hAnsi="宋体"/>
          <w:sz w:val="32"/>
          <w:szCs w:val="32"/>
        </w:rPr>
      </w:pPr>
      <w:r>
        <w:rPr>
          <w:rFonts w:hint="eastAsia" w:ascii="宋体" w:hAnsi="宋体"/>
          <w:sz w:val="32"/>
          <w:szCs w:val="32"/>
        </w:rPr>
        <w:t>采购代理机构：新疆锦瑞祥工程项目咨询管理有限公司</w:t>
      </w:r>
    </w:p>
    <w:p w14:paraId="59117EEC">
      <w:pPr>
        <w:jc w:val="center"/>
        <w:rPr>
          <w:rFonts w:hint="eastAsia" w:ascii="宋体" w:hAnsi="宋体" w:cs="仿宋"/>
          <w:b/>
          <w:bCs/>
          <w:sz w:val="30"/>
          <w:szCs w:val="32"/>
          <w:lang w:eastAsia="zh-CN"/>
        </w:rPr>
      </w:pPr>
    </w:p>
    <w:p w14:paraId="5151D800">
      <w:pPr>
        <w:jc w:val="center"/>
        <w:rPr>
          <w:rFonts w:hint="eastAsia" w:ascii="宋体" w:hAnsi="宋体" w:eastAsia="宋体" w:cs="仿宋"/>
          <w:b/>
          <w:bCs/>
          <w:sz w:val="30"/>
          <w:szCs w:val="32"/>
          <w:lang w:eastAsia="zh-CN"/>
        </w:rPr>
      </w:pPr>
      <w:r>
        <w:rPr>
          <w:rFonts w:hint="eastAsia" w:ascii="宋体" w:hAnsi="宋体" w:cs="仿宋"/>
          <w:b/>
          <w:bCs/>
          <w:sz w:val="30"/>
          <w:szCs w:val="32"/>
          <w:lang w:eastAsia="zh-CN"/>
        </w:rPr>
        <w:t>二〇二</w:t>
      </w:r>
      <w:r>
        <w:rPr>
          <w:rFonts w:hint="eastAsia" w:ascii="宋体" w:hAnsi="宋体" w:cs="仿宋"/>
          <w:b/>
          <w:bCs/>
          <w:sz w:val="30"/>
          <w:szCs w:val="32"/>
          <w:lang w:val="en-US" w:eastAsia="zh-CN"/>
        </w:rPr>
        <w:t>五</w:t>
      </w:r>
      <w:r>
        <w:rPr>
          <w:rFonts w:hint="eastAsia" w:ascii="宋体" w:hAnsi="宋体" w:cs="仿宋"/>
          <w:b/>
          <w:bCs/>
          <w:sz w:val="30"/>
          <w:szCs w:val="32"/>
          <w:lang w:eastAsia="zh-CN"/>
        </w:rPr>
        <w:t>年</w:t>
      </w:r>
      <w:r>
        <w:rPr>
          <w:rFonts w:hint="eastAsia" w:ascii="宋体" w:hAnsi="宋体" w:cs="仿宋"/>
          <w:b/>
          <w:bCs/>
          <w:sz w:val="30"/>
          <w:szCs w:val="32"/>
          <w:lang w:val="en-US" w:eastAsia="zh-CN"/>
        </w:rPr>
        <w:t>三</w:t>
      </w:r>
      <w:r>
        <w:rPr>
          <w:rFonts w:hint="eastAsia" w:ascii="宋体" w:hAnsi="宋体" w:cs="仿宋"/>
          <w:b/>
          <w:bCs/>
          <w:sz w:val="30"/>
          <w:szCs w:val="32"/>
          <w:lang w:eastAsia="zh-CN"/>
        </w:rPr>
        <w:t>月</w:t>
      </w:r>
    </w:p>
    <w:p w14:paraId="359811B5">
      <w:pPr>
        <w:rPr>
          <w:rFonts w:hint="eastAsia" w:ascii="宋体" w:hAnsi="宋体"/>
          <w:b/>
          <w:sz w:val="32"/>
          <w:szCs w:val="32"/>
        </w:rPr>
      </w:pPr>
      <w:r>
        <w:rPr>
          <w:rFonts w:hint="eastAsia" w:ascii="宋体" w:hAnsi="宋体"/>
          <w:b/>
          <w:sz w:val="32"/>
          <w:szCs w:val="32"/>
        </w:rPr>
        <w:br w:type="page"/>
      </w:r>
    </w:p>
    <w:p w14:paraId="7AE53FB8">
      <w:pPr>
        <w:spacing w:line="360" w:lineRule="auto"/>
        <w:jc w:val="center"/>
        <w:outlineLvl w:val="0"/>
        <w:rPr>
          <w:rFonts w:ascii="宋体" w:hAnsi="宋体"/>
          <w:b/>
          <w:sz w:val="32"/>
          <w:szCs w:val="32"/>
        </w:rPr>
      </w:pPr>
      <w:r>
        <w:rPr>
          <w:rFonts w:hint="eastAsia" w:ascii="宋体" w:hAnsi="宋体"/>
          <w:b/>
          <w:sz w:val="32"/>
          <w:szCs w:val="32"/>
        </w:rPr>
        <w:t>目    录</w:t>
      </w:r>
    </w:p>
    <w:p w14:paraId="1B9A2C38">
      <w:pPr>
        <w:pStyle w:val="31"/>
        <w:spacing w:line="360" w:lineRule="auto"/>
        <w:ind w:firstLine="270" w:firstLineChars="112"/>
        <w:outlineLvl w:val="0"/>
        <w:rPr>
          <w:rFonts w:ascii="宋体" w:hAnsi="宋体"/>
          <w:b/>
          <w:bCs/>
          <w:color w:val="auto"/>
        </w:rPr>
      </w:pPr>
      <w:r>
        <w:rPr>
          <w:rFonts w:hint="eastAsia" w:ascii="宋体" w:hAnsi="宋体"/>
          <w:b/>
          <w:bCs/>
          <w:color w:val="auto"/>
        </w:rPr>
        <w:t>第一部分 招标公告</w:t>
      </w:r>
    </w:p>
    <w:p w14:paraId="2A142C31">
      <w:pPr>
        <w:pStyle w:val="31"/>
        <w:spacing w:line="360" w:lineRule="auto"/>
        <w:ind w:firstLine="748" w:firstLineChars="312"/>
        <w:rPr>
          <w:rFonts w:ascii="宋体" w:hAnsi="宋体"/>
          <w:b/>
          <w:bCs/>
          <w:color w:val="auto"/>
        </w:rPr>
      </w:pPr>
      <w:r>
        <w:rPr>
          <w:rFonts w:hint="eastAsia" w:ascii="宋体" w:hAnsi="宋体"/>
          <w:color w:val="auto"/>
        </w:rPr>
        <w:t>招标公告</w:t>
      </w:r>
    </w:p>
    <w:p w14:paraId="444AD21A">
      <w:pPr>
        <w:pStyle w:val="31"/>
        <w:spacing w:line="360" w:lineRule="auto"/>
        <w:ind w:firstLine="270" w:firstLineChars="112"/>
        <w:outlineLvl w:val="0"/>
        <w:rPr>
          <w:rFonts w:ascii="宋体" w:hAnsi="宋体"/>
          <w:b/>
          <w:bCs/>
          <w:color w:val="auto"/>
        </w:rPr>
      </w:pPr>
      <w:r>
        <w:rPr>
          <w:rFonts w:hint="eastAsia" w:ascii="宋体" w:hAnsi="宋体"/>
          <w:b/>
          <w:bCs/>
          <w:color w:val="auto"/>
        </w:rPr>
        <w:t>第二部分 投标须知</w:t>
      </w:r>
    </w:p>
    <w:p w14:paraId="1C5F01CB">
      <w:pPr>
        <w:pStyle w:val="31"/>
        <w:spacing w:line="360" w:lineRule="auto"/>
        <w:ind w:firstLine="720" w:firstLineChars="300"/>
        <w:rPr>
          <w:rFonts w:ascii="宋体" w:hAnsi="宋体"/>
          <w:color w:val="auto"/>
        </w:rPr>
      </w:pPr>
      <w:r>
        <w:rPr>
          <w:rFonts w:hint="eastAsia" w:ascii="宋体" w:hAnsi="宋体"/>
          <w:color w:val="auto"/>
        </w:rPr>
        <w:t>投标须知</w:t>
      </w:r>
    </w:p>
    <w:p w14:paraId="4254A409">
      <w:pPr>
        <w:pStyle w:val="31"/>
        <w:spacing w:line="360" w:lineRule="auto"/>
        <w:ind w:firstLine="241" w:firstLineChars="100"/>
        <w:outlineLvl w:val="0"/>
        <w:rPr>
          <w:rFonts w:ascii="仿宋_GB2312" w:hAnsi="宋体" w:eastAsia="仿宋_GB2312"/>
          <w:b/>
          <w:bCs/>
          <w:color w:val="auto"/>
        </w:rPr>
      </w:pPr>
      <w:r>
        <w:rPr>
          <w:rFonts w:hint="eastAsia" w:ascii="宋体" w:hAnsi="宋体"/>
          <w:b/>
          <w:bCs/>
          <w:color w:val="auto"/>
        </w:rPr>
        <w:t xml:space="preserve">第三部分 </w:t>
      </w:r>
      <w:r>
        <w:rPr>
          <w:rFonts w:hint="eastAsia"/>
          <w:b/>
          <w:color w:val="auto"/>
          <w:kern w:val="2"/>
          <w:sz w:val="28"/>
          <w:szCs w:val="36"/>
          <w:lang w:bidi="ar"/>
        </w:rPr>
        <w:t>货物需求、技术规格说明</w:t>
      </w:r>
    </w:p>
    <w:p w14:paraId="19DF2CE1">
      <w:pPr>
        <w:spacing w:line="360" w:lineRule="auto"/>
        <w:ind w:firstLine="720" w:firstLineChars="300"/>
        <w:outlineLvl w:val="1"/>
        <w:rPr>
          <w:rFonts w:ascii="宋体" w:hAnsi="宋体"/>
          <w:bCs/>
          <w:sz w:val="24"/>
          <w:szCs w:val="24"/>
        </w:rPr>
      </w:pPr>
      <w:r>
        <w:rPr>
          <w:rFonts w:hint="eastAsia" w:ascii="宋体" w:hAnsi="宋体"/>
          <w:bCs/>
          <w:sz w:val="24"/>
          <w:szCs w:val="24"/>
        </w:rPr>
        <w:t>第一章</w:t>
      </w:r>
      <w:r>
        <w:rPr>
          <w:rFonts w:ascii="宋体" w:hAnsi="宋体"/>
          <w:bCs/>
          <w:sz w:val="24"/>
          <w:szCs w:val="24"/>
        </w:rPr>
        <w:t xml:space="preserve"> </w:t>
      </w:r>
      <w:r>
        <w:rPr>
          <w:rFonts w:hint="eastAsia" w:ascii="宋体" w:hAnsi="宋体"/>
          <w:bCs/>
          <w:sz w:val="24"/>
          <w:szCs w:val="24"/>
        </w:rPr>
        <w:t>技术规格及报价明细表</w:t>
      </w:r>
    </w:p>
    <w:p w14:paraId="0A3573A2">
      <w:pPr>
        <w:pStyle w:val="31"/>
        <w:spacing w:line="360" w:lineRule="auto"/>
        <w:ind w:firstLine="241" w:firstLineChars="100"/>
        <w:outlineLvl w:val="0"/>
        <w:rPr>
          <w:rFonts w:ascii="宋体" w:hAnsi="宋体"/>
          <w:b/>
          <w:bCs/>
          <w:color w:val="auto"/>
        </w:rPr>
      </w:pPr>
      <w:r>
        <w:rPr>
          <w:rFonts w:hint="eastAsia" w:ascii="宋体" w:hAnsi="宋体"/>
          <w:b/>
          <w:bCs/>
          <w:color w:val="auto"/>
        </w:rPr>
        <w:t>第四部分 招标说明</w:t>
      </w:r>
      <w:r>
        <w:rPr>
          <w:rFonts w:hint="eastAsia" w:ascii="宋体" w:hAnsi="宋体"/>
          <w:color w:val="auto"/>
        </w:rPr>
        <w:t xml:space="preserve"> </w:t>
      </w:r>
    </w:p>
    <w:p w14:paraId="2C8F404D">
      <w:pPr>
        <w:pStyle w:val="31"/>
        <w:spacing w:line="360" w:lineRule="auto"/>
        <w:ind w:firstLine="241" w:firstLineChars="100"/>
        <w:outlineLvl w:val="0"/>
        <w:rPr>
          <w:rFonts w:ascii="宋体" w:hAnsi="宋体"/>
          <w:color w:val="auto"/>
        </w:rPr>
      </w:pPr>
      <w:r>
        <w:rPr>
          <w:rFonts w:hint="eastAsia" w:ascii="宋体" w:hAnsi="宋体"/>
          <w:b/>
          <w:bCs/>
          <w:color w:val="auto"/>
        </w:rPr>
        <w:t>第五部分 投标说明</w:t>
      </w:r>
    </w:p>
    <w:p w14:paraId="5496ED24">
      <w:pPr>
        <w:spacing w:line="360" w:lineRule="auto"/>
        <w:ind w:firstLine="720" w:firstLineChars="300"/>
        <w:outlineLvl w:val="1"/>
        <w:rPr>
          <w:rFonts w:ascii="宋体" w:hAnsi="宋体"/>
          <w:bCs/>
          <w:sz w:val="24"/>
          <w:szCs w:val="24"/>
        </w:rPr>
      </w:pPr>
      <w:r>
        <w:rPr>
          <w:rFonts w:hint="eastAsia" w:ascii="宋体" w:hAnsi="宋体"/>
          <w:bCs/>
          <w:sz w:val="24"/>
          <w:szCs w:val="24"/>
        </w:rPr>
        <w:t>第一章 对投标方的资质要求</w:t>
      </w:r>
      <w:r>
        <w:rPr>
          <w:rFonts w:hint="eastAsia" w:ascii="宋体" w:hAnsi="宋体"/>
          <w:sz w:val="24"/>
          <w:szCs w:val="24"/>
        </w:rPr>
        <w:t xml:space="preserve"> </w:t>
      </w:r>
    </w:p>
    <w:p w14:paraId="5D8F96B3">
      <w:pPr>
        <w:spacing w:line="360" w:lineRule="auto"/>
        <w:ind w:firstLine="720" w:firstLineChars="300"/>
        <w:outlineLvl w:val="1"/>
        <w:rPr>
          <w:rFonts w:ascii="宋体" w:hAnsi="宋体"/>
          <w:bCs/>
          <w:sz w:val="24"/>
          <w:szCs w:val="24"/>
        </w:rPr>
      </w:pPr>
      <w:r>
        <w:rPr>
          <w:rFonts w:hint="eastAsia" w:ascii="宋体" w:hAnsi="宋体"/>
          <w:bCs/>
          <w:sz w:val="24"/>
          <w:szCs w:val="24"/>
        </w:rPr>
        <w:t>第二章 投标文件的编写</w:t>
      </w:r>
      <w:r>
        <w:rPr>
          <w:rFonts w:hint="eastAsia" w:ascii="宋体" w:hAnsi="宋体"/>
          <w:sz w:val="24"/>
          <w:szCs w:val="24"/>
        </w:rPr>
        <w:t xml:space="preserve"> </w:t>
      </w:r>
    </w:p>
    <w:p w14:paraId="12820EFC">
      <w:pPr>
        <w:spacing w:line="360" w:lineRule="auto"/>
        <w:ind w:firstLine="720" w:firstLineChars="300"/>
        <w:outlineLvl w:val="1"/>
        <w:rPr>
          <w:rFonts w:ascii="宋体" w:hAnsi="宋体"/>
          <w:bCs/>
          <w:sz w:val="24"/>
          <w:szCs w:val="24"/>
        </w:rPr>
      </w:pPr>
      <w:r>
        <w:rPr>
          <w:rFonts w:hint="eastAsia" w:ascii="宋体" w:hAnsi="宋体"/>
          <w:bCs/>
          <w:sz w:val="24"/>
          <w:szCs w:val="24"/>
        </w:rPr>
        <w:t>第三章 投标文件的递交</w:t>
      </w:r>
      <w:r>
        <w:rPr>
          <w:rFonts w:hint="eastAsia" w:ascii="宋体" w:hAnsi="宋体"/>
          <w:sz w:val="24"/>
          <w:szCs w:val="24"/>
        </w:rPr>
        <w:t xml:space="preserve"> </w:t>
      </w:r>
    </w:p>
    <w:p w14:paraId="3FA52ABA">
      <w:pPr>
        <w:spacing w:line="360" w:lineRule="auto"/>
        <w:ind w:firstLine="720" w:firstLineChars="300"/>
        <w:outlineLvl w:val="1"/>
        <w:rPr>
          <w:rFonts w:ascii="宋体" w:hAnsi="宋体"/>
          <w:bCs/>
          <w:sz w:val="24"/>
          <w:szCs w:val="24"/>
        </w:rPr>
      </w:pPr>
      <w:r>
        <w:rPr>
          <w:rFonts w:hint="eastAsia" w:ascii="宋体" w:hAnsi="宋体"/>
          <w:bCs/>
          <w:sz w:val="24"/>
          <w:szCs w:val="24"/>
        </w:rPr>
        <w:t>第四章 评标委员会</w:t>
      </w:r>
      <w:r>
        <w:rPr>
          <w:rFonts w:hint="eastAsia" w:ascii="宋体" w:hAnsi="宋体"/>
          <w:sz w:val="24"/>
          <w:szCs w:val="24"/>
        </w:rPr>
        <w:t xml:space="preserve"> </w:t>
      </w:r>
    </w:p>
    <w:p w14:paraId="0D183F24">
      <w:pPr>
        <w:pStyle w:val="31"/>
        <w:spacing w:line="360" w:lineRule="auto"/>
        <w:ind w:firstLine="241" w:firstLineChars="100"/>
        <w:outlineLvl w:val="0"/>
        <w:rPr>
          <w:rFonts w:ascii="宋体" w:hAnsi="宋体"/>
          <w:color w:val="auto"/>
        </w:rPr>
      </w:pPr>
      <w:r>
        <w:rPr>
          <w:rFonts w:hint="eastAsia" w:ascii="宋体" w:hAnsi="宋体"/>
          <w:b/>
          <w:bCs/>
          <w:color w:val="auto"/>
        </w:rPr>
        <w:t>第六部分 开标 评标 定标说明</w:t>
      </w:r>
    </w:p>
    <w:p w14:paraId="13C7FC13">
      <w:pPr>
        <w:spacing w:line="360" w:lineRule="auto"/>
        <w:ind w:firstLine="720" w:firstLineChars="300"/>
        <w:outlineLvl w:val="1"/>
        <w:rPr>
          <w:rFonts w:ascii="宋体" w:hAnsi="宋体"/>
          <w:bCs/>
          <w:sz w:val="24"/>
          <w:szCs w:val="24"/>
        </w:rPr>
      </w:pPr>
      <w:r>
        <w:rPr>
          <w:rFonts w:hint="eastAsia" w:ascii="宋体" w:hAnsi="宋体"/>
          <w:bCs/>
          <w:sz w:val="24"/>
          <w:szCs w:val="24"/>
        </w:rPr>
        <w:t>第一章 开　标</w:t>
      </w:r>
      <w:r>
        <w:rPr>
          <w:rFonts w:hint="eastAsia" w:ascii="宋体" w:hAnsi="宋体"/>
          <w:sz w:val="24"/>
          <w:szCs w:val="24"/>
        </w:rPr>
        <w:t xml:space="preserve"> </w:t>
      </w:r>
    </w:p>
    <w:p w14:paraId="10B5736D">
      <w:pPr>
        <w:spacing w:line="360" w:lineRule="auto"/>
        <w:ind w:firstLine="720" w:firstLineChars="300"/>
        <w:outlineLvl w:val="1"/>
        <w:rPr>
          <w:rFonts w:ascii="宋体" w:hAnsi="宋体"/>
          <w:bCs/>
          <w:sz w:val="24"/>
          <w:szCs w:val="24"/>
        </w:rPr>
      </w:pPr>
      <w:r>
        <w:rPr>
          <w:rFonts w:hint="eastAsia" w:ascii="宋体" w:hAnsi="宋体"/>
          <w:bCs/>
          <w:sz w:val="24"/>
          <w:szCs w:val="24"/>
        </w:rPr>
        <w:t>第二章 评　标</w:t>
      </w:r>
      <w:r>
        <w:rPr>
          <w:rFonts w:hint="eastAsia" w:ascii="宋体" w:hAnsi="宋体"/>
          <w:sz w:val="24"/>
          <w:szCs w:val="24"/>
        </w:rPr>
        <w:t xml:space="preserve"> </w:t>
      </w:r>
    </w:p>
    <w:p w14:paraId="58A4AC06">
      <w:pPr>
        <w:spacing w:line="360" w:lineRule="auto"/>
        <w:ind w:firstLine="720" w:firstLineChars="300"/>
        <w:outlineLvl w:val="1"/>
        <w:rPr>
          <w:rFonts w:ascii="宋体" w:hAnsi="宋体"/>
          <w:bCs/>
          <w:sz w:val="24"/>
          <w:szCs w:val="24"/>
        </w:rPr>
      </w:pPr>
      <w:r>
        <w:rPr>
          <w:rFonts w:hint="eastAsia" w:ascii="宋体" w:hAnsi="宋体"/>
          <w:bCs/>
          <w:sz w:val="24"/>
          <w:szCs w:val="24"/>
        </w:rPr>
        <w:t>第三章 定　标</w:t>
      </w:r>
      <w:r>
        <w:rPr>
          <w:rFonts w:hint="eastAsia" w:ascii="宋体" w:hAnsi="宋体"/>
          <w:sz w:val="24"/>
          <w:szCs w:val="24"/>
        </w:rPr>
        <w:t xml:space="preserve"> </w:t>
      </w:r>
    </w:p>
    <w:p w14:paraId="5A406679">
      <w:pPr>
        <w:spacing w:line="360" w:lineRule="auto"/>
        <w:ind w:firstLine="720" w:firstLineChars="300"/>
        <w:outlineLvl w:val="1"/>
        <w:rPr>
          <w:rFonts w:ascii="宋体" w:hAnsi="宋体"/>
          <w:bCs/>
          <w:sz w:val="24"/>
          <w:szCs w:val="24"/>
        </w:rPr>
      </w:pPr>
      <w:r>
        <w:rPr>
          <w:rFonts w:hint="eastAsia" w:ascii="宋体" w:hAnsi="宋体"/>
          <w:bCs/>
          <w:sz w:val="24"/>
          <w:szCs w:val="24"/>
        </w:rPr>
        <w:t>第四章 授予合同</w:t>
      </w:r>
      <w:r>
        <w:rPr>
          <w:rFonts w:hint="eastAsia" w:ascii="宋体" w:hAnsi="宋体"/>
          <w:sz w:val="24"/>
          <w:szCs w:val="24"/>
        </w:rPr>
        <w:t xml:space="preserve"> </w:t>
      </w:r>
    </w:p>
    <w:p w14:paraId="64D0D6A5">
      <w:pPr>
        <w:pStyle w:val="31"/>
        <w:spacing w:line="360" w:lineRule="auto"/>
        <w:ind w:firstLine="241" w:firstLineChars="100"/>
        <w:outlineLvl w:val="0"/>
        <w:rPr>
          <w:rFonts w:ascii="宋体" w:hAnsi="宋体"/>
          <w:b/>
          <w:bCs/>
          <w:color w:val="auto"/>
        </w:rPr>
      </w:pPr>
      <w:r>
        <w:rPr>
          <w:rFonts w:hint="eastAsia" w:ascii="宋体" w:hAnsi="宋体"/>
          <w:b/>
          <w:bCs/>
          <w:color w:val="auto"/>
        </w:rPr>
        <w:t>第七部分 商务部分</w:t>
      </w:r>
    </w:p>
    <w:p w14:paraId="21F4F2C1">
      <w:pPr>
        <w:pStyle w:val="31"/>
        <w:spacing w:line="360" w:lineRule="auto"/>
        <w:ind w:firstLine="720" w:firstLineChars="300"/>
        <w:outlineLvl w:val="1"/>
        <w:rPr>
          <w:rFonts w:ascii="宋体" w:hAnsi="宋体"/>
          <w:bCs/>
          <w:color w:val="auto"/>
          <w:kern w:val="2"/>
        </w:rPr>
      </w:pPr>
      <w:r>
        <w:rPr>
          <w:rFonts w:hint="eastAsia" w:ascii="宋体" w:hAnsi="宋体"/>
          <w:bCs/>
          <w:color w:val="auto"/>
          <w:kern w:val="2"/>
        </w:rPr>
        <w:t xml:space="preserve">第一章 合同一般条款 </w:t>
      </w:r>
    </w:p>
    <w:p w14:paraId="6930E6DF">
      <w:pPr>
        <w:pStyle w:val="31"/>
        <w:spacing w:line="360" w:lineRule="auto"/>
        <w:ind w:firstLine="720" w:firstLineChars="300"/>
        <w:outlineLvl w:val="1"/>
        <w:rPr>
          <w:rFonts w:ascii="宋体" w:hAnsi="宋体"/>
          <w:bCs/>
          <w:color w:val="auto"/>
          <w:kern w:val="2"/>
        </w:rPr>
      </w:pPr>
      <w:r>
        <w:rPr>
          <w:rFonts w:hint="eastAsia" w:ascii="宋体" w:hAnsi="宋体"/>
          <w:bCs/>
          <w:color w:val="auto"/>
          <w:kern w:val="2"/>
        </w:rPr>
        <w:t xml:space="preserve">第二章 付款币种及方式 </w:t>
      </w:r>
    </w:p>
    <w:p w14:paraId="2FE845B5">
      <w:pPr>
        <w:pStyle w:val="31"/>
        <w:spacing w:line="360" w:lineRule="auto"/>
        <w:ind w:firstLine="720" w:firstLineChars="300"/>
        <w:outlineLvl w:val="1"/>
        <w:rPr>
          <w:rFonts w:ascii="宋体" w:hAnsi="宋体"/>
          <w:bCs/>
          <w:color w:val="auto"/>
          <w:kern w:val="2"/>
        </w:rPr>
      </w:pPr>
      <w:r>
        <w:rPr>
          <w:rFonts w:hint="eastAsia" w:ascii="宋体" w:hAnsi="宋体"/>
          <w:bCs/>
          <w:color w:val="auto"/>
          <w:kern w:val="2"/>
        </w:rPr>
        <w:t xml:space="preserve">第三章 服务承诺 </w:t>
      </w:r>
    </w:p>
    <w:p w14:paraId="4DA3AF86">
      <w:pPr>
        <w:pStyle w:val="31"/>
        <w:spacing w:line="360" w:lineRule="auto"/>
        <w:ind w:firstLine="241" w:firstLineChars="100"/>
        <w:outlineLvl w:val="0"/>
        <w:rPr>
          <w:rFonts w:ascii="宋体" w:hAnsi="宋体"/>
          <w:b/>
          <w:bCs/>
          <w:color w:val="auto"/>
        </w:rPr>
      </w:pPr>
      <w:r>
        <w:rPr>
          <w:rFonts w:hint="eastAsia" w:ascii="宋体" w:hAnsi="宋体"/>
          <w:b/>
          <w:bCs/>
          <w:color w:val="auto"/>
        </w:rPr>
        <w:t>第八部分  投标文件的编制装订</w:t>
      </w:r>
    </w:p>
    <w:p w14:paraId="49257094">
      <w:pPr>
        <w:pStyle w:val="31"/>
        <w:spacing w:line="360" w:lineRule="auto"/>
        <w:ind w:firstLine="720" w:firstLineChars="300"/>
        <w:outlineLvl w:val="1"/>
        <w:rPr>
          <w:rFonts w:ascii="宋体" w:hAnsi="宋体"/>
          <w:color w:val="auto"/>
        </w:rPr>
      </w:pPr>
      <w:r>
        <w:rPr>
          <w:rFonts w:hint="eastAsia" w:ascii="宋体" w:hAnsi="宋体"/>
          <w:color w:val="auto"/>
        </w:rPr>
        <w:t>一、投标文件编制和装订顺序</w:t>
      </w:r>
    </w:p>
    <w:p w14:paraId="18A1EFC1">
      <w:pPr>
        <w:pStyle w:val="31"/>
        <w:spacing w:line="360" w:lineRule="auto"/>
        <w:ind w:firstLine="720" w:firstLineChars="300"/>
        <w:outlineLvl w:val="1"/>
        <w:rPr>
          <w:rFonts w:ascii="宋体" w:hAnsi="宋体"/>
          <w:color w:val="auto"/>
        </w:rPr>
      </w:pPr>
      <w:r>
        <w:rPr>
          <w:rFonts w:hint="eastAsia" w:ascii="宋体" w:hAnsi="宋体"/>
          <w:color w:val="auto"/>
        </w:rPr>
        <w:t xml:space="preserve">二、投标报价文件顺序及格式范本 </w:t>
      </w:r>
    </w:p>
    <w:p w14:paraId="7C576595">
      <w:pPr>
        <w:pStyle w:val="31"/>
        <w:spacing w:line="360" w:lineRule="auto"/>
        <w:ind w:firstLine="720" w:firstLineChars="300"/>
        <w:rPr>
          <w:color w:val="auto"/>
        </w:rPr>
      </w:pPr>
    </w:p>
    <w:p w14:paraId="70DE1366">
      <w:pPr>
        <w:pStyle w:val="31"/>
        <w:spacing w:line="360" w:lineRule="auto"/>
        <w:rPr>
          <w:color w:val="auto"/>
        </w:rPr>
      </w:pPr>
    </w:p>
    <w:p w14:paraId="588F9509">
      <w:pPr>
        <w:pStyle w:val="31"/>
        <w:spacing w:line="360" w:lineRule="auto"/>
        <w:jc w:val="center"/>
        <w:outlineLvl w:val="0"/>
        <w:rPr>
          <w:rFonts w:hint="eastAsia" w:ascii="宋体" w:hAnsi="宋体"/>
          <w:b/>
          <w:color w:val="auto"/>
          <w:sz w:val="36"/>
          <w:szCs w:val="36"/>
        </w:rPr>
        <w:sectPr>
          <w:headerReference r:id="rId3" w:type="default"/>
          <w:pgSz w:w="11907" w:h="16839"/>
          <w:pgMar w:top="1431" w:right="1785" w:bottom="1152" w:left="1785" w:header="567" w:footer="988" w:gutter="0"/>
          <w:pgNumType w:fmt="decimal"/>
          <w:cols w:space="720" w:num="1"/>
        </w:sectPr>
      </w:pPr>
    </w:p>
    <w:p w14:paraId="796D8B41">
      <w:pPr>
        <w:pStyle w:val="31"/>
        <w:spacing w:line="360" w:lineRule="auto"/>
        <w:jc w:val="center"/>
        <w:outlineLvl w:val="0"/>
        <w:rPr>
          <w:rFonts w:ascii="宋体" w:hAnsi="宋体"/>
          <w:b/>
          <w:color w:val="auto"/>
          <w:sz w:val="36"/>
          <w:szCs w:val="36"/>
        </w:rPr>
      </w:pPr>
      <w:r>
        <w:rPr>
          <w:rFonts w:hint="eastAsia" w:ascii="宋体" w:hAnsi="宋体"/>
          <w:b/>
          <w:color w:val="auto"/>
          <w:sz w:val="36"/>
          <w:szCs w:val="36"/>
        </w:rPr>
        <w:t>第一部分 招标公告</w:t>
      </w:r>
    </w:p>
    <w:p w14:paraId="199A0547">
      <w:pPr>
        <w:spacing w:line="360" w:lineRule="auto"/>
        <w:rPr>
          <w:rFonts w:ascii="宋体" w:hAnsi="宋体" w:cs="宋体"/>
          <w:sz w:val="24"/>
        </w:rPr>
      </w:pPr>
      <w:r>
        <w:rPr>
          <w:rFonts w:hint="eastAsia" w:ascii="宋体" w:hAnsi="宋体" w:cs="宋体"/>
          <w:sz w:val="24"/>
        </w:rPr>
        <w:t>项目概况</w:t>
      </w:r>
    </w:p>
    <w:p w14:paraId="26BBB0AA">
      <w:pPr>
        <w:pBdr>
          <w:top w:val="single" w:color="auto" w:sz="4" w:space="0"/>
          <w:left w:val="single" w:color="auto" w:sz="4" w:space="0"/>
          <w:bottom w:val="single" w:color="auto" w:sz="4" w:space="0"/>
          <w:right w:val="single" w:color="auto" w:sz="4" w:space="0"/>
          <w:between w:val="single" w:color="auto" w:sz="4" w:space="0"/>
        </w:pBdr>
        <w:spacing w:line="360" w:lineRule="auto"/>
        <w:ind w:firstLine="540" w:firstLineChars="225"/>
        <w:rPr>
          <w:rFonts w:ascii="宋体" w:hAnsi="宋体" w:cs="宋体"/>
          <w:sz w:val="24"/>
          <w:szCs w:val="24"/>
        </w:rPr>
      </w:pPr>
      <w:r>
        <w:rPr>
          <w:rFonts w:hint="eastAsia" w:ascii="宋体" w:hAnsi="宋体" w:cs="宋体"/>
          <w:sz w:val="24"/>
          <w:szCs w:val="24"/>
          <w:lang w:eastAsia="zh-CN"/>
        </w:rPr>
        <w:t>新疆塔里木胡杨国家级自然保护区管理局2025年中央林业草原生态保护恢复资金(国家级自然保护区能力提升)—塔里木胡杨保护区森林及野生动物资源调查项目</w:t>
      </w:r>
      <w:r>
        <w:rPr>
          <w:rFonts w:hint="eastAsia" w:ascii="宋体" w:hAnsi="宋体" w:cs="宋体"/>
          <w:sz w:val="24"/>
          <w:szCs w:val="24"/>
        </w:rPr>
        <w:t>的潜在投标人应在</w:t>
      </w:r>
      <w:r>
        <w:rPr>
          <w:rFonts w:hint="eastAsia" w:ascii="宋体" w:hAnsi="宋体" w:cs="宋体"/>
          <w:sz w:val="24"/>
          <w:szCs w:val="24"/>
          <w:lang w:val="en-US" w:eastAsia="zh-CN"/>
        </w:rPr>
        <w:t>线</w:t>
      </w:r>
      <w:r>
        <w:rPr>
          <w:rFonts w:hint="eastAsia" w:ascii="宋体" w:hAnsi="宋体" w:cs="宋体"/>
          <w:sz w:val="24"/>
          <w:szCs w:val="24"/>
        </w:rPr>
        <w:t>登陆政采云平台http://www.zcygov.cn/，在线申请获取采购文件（登录政府采购云平台 → 项目采购 → 获取采购文件 → 申请）获取招标文件，并于</w:t>
      </w:r>
      <w:r>
        <w:rPr>
          <w:rFonts w:hint="eastAsia" w:ascii="宋体" w:hAnsi="宋体" w:cs="宋体"/>
          <w:sz w:val="24"/>
          <w:szCs w:val="24"/>
          <w:highlight w:val="none"/>
          <w:lang w:eastAsia="zh-CN"/>
        </w:rPr>
        <w:t>2025年</w:t>
      </w:r>
      <w:r>
        <w:rPr>
          <w:rFonts w:hint="eastAsia" w:ascii="宋体" w:hAnsi="宋体" w:cs="宋体"/>
          <w:sz w:val="24"/>
          <w:szCs w:val="24"/>
          <w:highlight w:val="none"/>
          <w:lang w:val="en-US" w:eastAsia="zh-CN"/>
        </w:rPr>
        <w:t>4</w:t>
      </w:r>
      <w:r>
        <w:rPr>
          <w:rFonts w:hint="eastAsia" w:ascii="宋体" w:hAnsi="宋体" w:cs="宋体"/>
          <w:sz w:val="24"/>
          <w:szCs w:val="24"/>
          <w:highlight w:val="none"/>
          <w:lang w:eastAsia="zh-CN"/>
        </w:rPr>
        <w:t>月</w:t>
      </w:r>
      <w:r>
        <w:rPr>
          <w:rFonts w:hint="eastAsia" w:ascii="宋体" w:hAnsi="宋体" w:cs="宋体"/>
          <w:sz w:val="24"/>
          <w:szCs w:val="24"/>
          <w:highlight w:val="none"/>
          <w:lang w:val="en-US" w:eastAsia="zh-CN"/>
        </w:rPr>
        <w:t>1</w:t>
      </w:r>
      <w:r>
        <w:rPr>
          <w:rFonts w:hint="eastAsia" w:ascii="宋体" w:hAnsi="宋体" w:cs="宋体"/>
          <w:sz w:val="24"/>
          <w:szCs w:val="24"/>
          <w:highlight w:val="none"/>
          <w:lang w:eastAsia="zh-CN"/>
        </w:rPr>
        <w:t xml:space="preserve">日 </w:t>
      </w:r>
      <w:r>
        <w:rPr>
          <w:rFonts w:hint="eastAsia" w:ascii="宋体" w:hAnsi="宋体" w:cs="宋体"/>
          <w:sz w:val="24"/>
          <w:szCs w:val="24"/>
          <w:highlight w:val="none"/>
          <w:lang w:val="en-US" w:eastAsia="zh-CN"/>
        </w:rPr>
        <w:t>11</w:t>
      </w:r>
      <w:r>
        <w:rPr>
          <w:rFonts w:hint="eastAsia" w:ascii="宋体" w:hAnsi="宋体" w:cs="宋体"/>
          <w:sz w:val="24"/>
          <w:szCs w:val="24"/>
          <w:highlight w:val="none"/>
          <w:lang w:eastAsia="zh-CN"/>
        </w:rPr>
        <w:t>:00</w:t>
      </w:r>
      <w:r>
        <w:rPr>
          <w:rFonts w:hint="eastAsia" w:ascii="宋体" w:hAnsi="宋体" w:cs="宋体"/>
          <w:sz w:val="24"/>
          <w:szCs w:val="24"/>
        </w:rPr>
        <w:t>（北京时间）前提交（上传）投标文件。</w:t>
      </w:r>
    </w:p>
    <w:p w14:paraId="572A06B0">
      <w:pPr>
        <w:spacing w:line="360" w:lineRule="auto"/>
        <w:ind w:firstLine="300" w:firstLineChars="125"/>
        <w:rPr>
          <w:rFonts w:ascii="宋体" w:hAnsi="宋体" w:cs="宋体"/>
          <w:sz w:val="24"/>
        </w:rPr>
      </w:pPr>
      <w:r>
        <w:rPr>
          <w:rFonts w:ascii="宋体" w:hAnsi="宋体" w:cs="宋体"/>
          <w:sz w:val="24"/>
        </w:rPr>
        <w:t>一、项目基本情况</w:t>
      </w:r>
    </w:p>
    <w:p w14:paraId="463BD32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lang w:eastAsia="zh-CN"/>
        </w:rPr>
      </w:pPr>
      <w:r>
        <w:rPr>
          <w:rFonts w:ascii="宋体" w:hAnsi="宋体" w:cs="宋体"/>
          <w:sz w:val="24"/>
        </w:rPr>
        <w:t>项目编号：</w:t>
      </w:r>
      <w:r>
        <w:rPr>
          <w:rFonts w:hint="eastAsia" w:ascii="宋体" w:hAnsi="宋体" w:cs="宋体"/>
          <w:sz w:val="24"/>
        </w:rPr>
        <w:t>XJJRX-GKZB</w:t>
      </w:r>
      <w:r>
        <w:rPr>
          <w:rFonts w:hint="eastAsia" w:ascii="宋体" w:hAnsi="宋体" w:cs="宋体"/>
          <w:sz w:val="24"/>
          <w:lang w:eastAsia="zh-CN"/>
        </w:rPr>
        <w:t>(2025)-0227</w:t>
      </w:r>
    </w:p>
    <w:p w14:paraId="4812B4F0">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ascii="宋体" w:hAnsi="宋体" w:cs="宋体"/>
          <w:sz w:val="24"/>
        </w:rPr>
        <w:t>项目名称</w:t>
      </w:r>
      <w:r>
        <w:rPr>
          <w:rFonts w:hint="eastAsia" w:ascii="宋体" w:hAnsi="宋体" w:cs="宋体"/>
          <w:sz w:val="24"/>
        </w:rPr>
        <w:t>：</w:t>
      </w:r>
      <w:r>
        <w:rPr>
          <w:rFonts w:hint="eastAsia" w:ascii="宋体" w:hAnsi="宋体" w:cs="宋体"/>
          <w:sz w:val="24"/>
          <w:lang w:eastAsia="zh-CN"/>
        </w:rPr>
        <w:t>新疆塔里木胡杨国家级自然保护区管理局2025年中央林业草原生态保护恢复资金(国家级自然保护区能力提升)—塔里木胡杨保护区森林及野生动物资源调查项目</w:t>
      </w:r>
      <w:r>
        <w:rPr>
          <w:rFonts w:ascii="宋体" w:hAnsi="宋体" w:cs="宋体"/>
          <w:sz w:val="24"/>
        </w:rPr>
        <w:t> </w:t>
      </w:r>
    </w:p>
    <w:p w14:paraId="3E51C3A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szCs w:val="22"/>
        </w:rPr>
      </w:pPr>
      <w:r>
        <w:rPr>
          <w:rFonts w:ascii="宋体" w:hAnsi="宋体" w:cs="宋体"/>
          <w:sz w:val="24"/>
        </w:rPr>
        <w:t>预算金额</w:t>
      </w:r>
      <w:r>
        <w:rPr>
          <w:rFonts w:hint="eastAsia" w:ascii="宋体" w:hAnsi="宋体" w:cs="宋体"/>
          <w:sz w:val="24"/>
        </w:rPr>
        <w:t>：</w:t>
      </w:r>
      <w:r>
        <w:rPr>
          <w:rFonts w:hint="eastAsia" w:ascii="宋体" w:hAnsi="宋体" w:cs="宋体"/>
          <w:sz w:val="24"/>
          <w:lang w:eastAsia="zh-CN"/>
        </w:rPr>
        <w:t>72万元</w:t>
      </w:r>
    </w:p>
    <w:p w14:paraId="6C09EF3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ascii="宋体" w:hAnsi="宋体" w:cs="宋体"/>
          <w:sz w:val="24"/>
        </w:rPr>
        <w:t>最高限价：</w:t>
      </w:r>
      <w:r>
        <w:rPr>
          <w:rFonts w:hint="eastAsia" w:ascii="宋体" w:hAnsi="宋体" w:cs="宋体"/>
          <w:sz w:val="24"/>
          <w:lang w:eastAsia="zh-CN"/>
        </w:rPr>
        <w:t>72万元</w:t>
      </w:r>
      <w:r>
        <w:rPr>
          <w:rFonts w:ascii="宋体" w:hAnsi="宋体" w:cs="宋体"/>
          <w:sz w:val="24"/>
        </w:rPr>
        <w:t>  </w:t>
      </w:r>
    </w:p>
    <w:p w14:paraId="7BDF3A9B">
      <w:pPr>
        <w:pStyle w:val="7"/>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kern w:val="2"/>
          <w:sz w:val="24"/>
          <w:szCs w:val="22"/>
          <w:lang w:val="en-US"/>
        </w:rPr>
      </w:pPr>
      <w:r>
        <w:rPr>
          <w:rFonts w:ascii="宋体" w:hAnsi="宋体" w:cs="宋体"/>
          <w:sz w:val="24"/>
          <w:lang w:val="en-US"/>
        </w:rPr>
        <w:t>采购需求：在新疆塔里木胡杨国家级自然保护区进行野外调查，梳理保护区野生动植物种群分布情况，分析其受威胁因素，对保护区内野生动植物做出整体评价，为保护区野生动植物的保护提供科学支撑，编制总体规划。</w:t>
      </w:r>
    </w:p>
    <w:p w14:paraId="6DB9500C">
      <w:pPr>
        <w:pStyle w:val="7"/>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highlight w:val="none"/>
          <w:lang w:val="en-US" w:eastAsia="zh-CN"/>
        </w:rPr>
      </w:pPr>
      <w:r>
        <w:rPr>
          <w:rFonts w:ascii="宋体" w:hAnsi="宋体" w:cs="宋体"/>
          <w:sz w:val="24"/>
          <w:lang w:val="en-US"/>
        </w:rPr>
        <w:t>合同履行期限</w:t>
      </w:r>
      <w:r>
        <w:rPr>
          <w:rFonts w:ascii="宋体" w:hAnsi="宋体" w:cs="宋体"/>
          <w:sz w:val="24"/>
          <w:highlight w:val="none"/>
          <w:lang w:val="en-US"/>
        </w:rPr>
        <w:t>：</w:t>
      </w:r>
      <w:r>
        <w:rPr>
          <w:rFonts w:hint="eastAsia" w:ascii="宋体" w:hAnsi="宋体" w:cs="宋体"/>
          <w:sz w:val="24"/>
          <w:highlight w:val="none"/>
          <w:lang w:val="en-US" w:eastAsia="zh-CN"/>
        </w:rPr>
        <w:t>2025年11月30日前完成。</w:t>
      </w:r>
    </w:p>
    <w:p w14:paraId="20183BBC">
      <w:pPr>
        <w:pStyle w:val="7"/>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lang w:val="en-US"/>
        </w:rPr>
      </w:pPr>
      <w:r>
        <w:rPr>
          <w:rFonts w:ascii="宋体" w:hAnsi="宋体" w:cs="宋体"/>
          <w:sz w:val="24"/>
          <w:lang w:val="en-US"/>
        </w:rPr>
        <w:t>本项目</w:t>
      </w:r>
      <w:r>
        <w:rPr>
          <w:rFonts w:hint="eastAsia" w:ascii="宋体" w:hAnsi="宋体" w:cs="宋体"/>
          <w:sz w:val="24"/>
          <w:lang w:val="en-US" w:eastAsia="zh-CN"/>
        </w:rPr>
        <w:t>不</w:t>
      </w:r>
      <w:r>
        <w:rPr>
          <w:rFonts w:ascii="宋体" w:hAnsi="宋体" w:cs="宋体"/>
          <w:sz w:val="24"/>
          <w:lang w:val="en-US"/>
        </w:rPr>
        <w:t>接受联合体投标。</w:t>
      </w:r>
    </w:p>
    <w:p w14:paraId="22D9567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ascii="宋体" w:hAnsi="宋体" w:cs="宋体"/>
          <w:sz w:val="24"/>
        </w:rPr>
        <w:t>二、申请人的资格要求：</w:t>
      </w:r>
    </w:p>
    <w:p w14:paraId="5E92DCB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ascii="宋体" w:hAnsi="宋体" w:cs="宋体"/>
          <w:sz w:val="24"/>
        </w:rPr>
        <w:t>1.满足《中华人民共和国政府采购法》第二十二条规定；</w:t>
      </w:r>
    </w:p>
    <w:p w14:paraId="5BB1FE6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ascii="宋体" w:hAnsi="宋体" w:cs="宋体"/>
          <w:sz w:val="24"/>
        </w:rPr>
        <w:t>2.落实政府采购政策需满足的资格要求： </w:t>
      </w:r>
    </w:p>
    <w:p w14:paraId="5EA7FE9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lang w:eastAsia="zh-CN"/>
        </w:rPr>
      </w:pPr>
      <w:r>
        <w:rPr>
          <w:rFonts w:ascii="宋体" w:hAnsi="宋体" w:cs="宋体"/>
          <w:sz w:val="24"/>
        </w:rPr>
        <w:t>（1）财政部、国家发展改革委、生态环境部、市场监管总局《关于调整优化节能产品、环境标志产品政府采购执行机制的通知》（财库[2019]9号文）</w:t>
      </w:r>
      <w:r>
        <w:rPr>
          <w:rFonts w:hint="eastAsia" w:ascii="宋体" w:hAnsi="宋体" w:cs="宋体"/>
          <w:sz w:val="24"/>
          <w:lang w:eastAsia="zh-CN"/>
        </w:rPr>
        <w:t>。</w:t>
      </w:r>
    </w:p>
    <w:p w14:paraId="28328F23">
      <w:pPr>
        <w:spacing w:line="360" w:lineRule="auto"/>
        <w:ind w:firstLine="540" w:firstLineChars="225"/>
        <w:rPr>
          <w:rFonts w:hint="eastAsia" w:ascii="宋体" w:hAnsi="宋体" w:eastAsia="宋体" w:cs="宋体"/>
          <w:sz w:val="24"/>
          <w:lang w:eastAsia="zh-CN"/>
        </w:rPr>
      </w:pPr>
      <w:r>
        <w:rPr>
          <w:rFonts w:ascii="宋体" w:hAnsi="宋体" w:cs="宋体"/>
          <w:sz w:val="24"/>
        </w:rPr>
        <w:t>（2）财政部、生态环境部《关于印发环境标志产品政府采购品目清单的通知》（财库[2019]18号文）</w:t>
      </w:r>
      <w:r>
        <w:rPr>
          <w:rFonts w:hint="eastAsia" w:ascii="宋体" w:hAnsi="宋体" w:cs="宋体"/>
          <w:sz w:val="24"/>
          <w:lang w:eastAsia="zh-CN"/>
        </w:rPr>
        <w:t>。</w:t>
      </w:r>
    </w:p>
    <w:p w14:paraId="2CD74A78">
      <w:pPr>
        <w:spacing w:line="360" w:lineRule="auto"/>
        <w:ind w:firstLine="540" w:firstLineChars="225"/>
        <w:rPr>
          <w:rFonts w:hint="eastAsia" w:ascii="宋体" w:hAnsi="宋体" w:eastAsia="宋体" w:cs="宋体"/>
          <w:sz w:val="24"/>
          <w:lang w:eastAsia="zh-CN"/>
        </w:rPr>
      </w:pPr>
      <w:r>
        <w:rPr>
          <w:rFonts w:ascii="宋体" w:hAnsi="宋体" w:cs="宋体"/>
          <w:sz w:val="24"/>
        </w:rPr>
        <w:t>（3）财政部、发展改革委《关于印发节能产品政府采购品目清单的通知》（财库[2019]19号文）</w:t>
      </w:r>
      <w:r>
        <w:rPr>
          <w:rFonts w:hint="eastAsia" w:ascii="宋体" w:hAnsi="宋体" w:cs="宋体"/>
          <w:sz w:val="24"/>
          <w:lang w:eastAsia="zh-CN"/>
        </w:rPr>
        <w:t>。</w:t>
      </w:r>
    </w:p>
    <w:p w14:paraId="7BAAD3F7">
      <w:pPr>
        <w:spacing w:line="360" w:lineRule="auto"/>
        <w:ind w:firstLine="540" w:firstLineChars="225"/>
        <w:rPr>
          <w:rFonts w:hint="eastAsia" w:ascii="宋体" w:hAnsi="宋体" w:eastAsia="宋体" w:cs="宋体"/>
          <w:sz w:val="24"/>
          <w:lang w:eastAsia="zh-CN"/>
        </w:rPr>
      </w:pPr>
      <w:r>
        <w:rPr>
          <w:rFonts w:ascii="宋体" w:hAnsi="宋体" w:cs="宋体"/>
          <w:sz w:val="24"/>
        </w:rPr>
        <w:t>（4）市场监管总局《市场监管总局关于发布参与实施政府采购节能产品、环境标志产品认证机构名录的公告》（2019年第16号）</w:t>
      </w:r>
      <w:r>
        <w:rPr>
          <w:rFonts w:hint="eastAsia" w:ascii="宋体" w:hAnsi="宋体" w:cs="宋体"/>
          <w:sz w:val="24"/>
          <w:lang w:eastAsia="zh-CN"/>
        </w:rPr>
        <w:t>。</w:t>
      </w:r>
    </w:p>
    <w:p w14:paraId="0F7AD61D">
      <w:pPr>
        <w:spacing w:line="360" w:lineRule="auto"/>
        <w:ind w:firstLine="540" w:firstLineChars="225"/>
        <w:rPr>
          <w:rFonts w:hint="eastAsia" w:ascii="宋体" w:hAnsi="宋体" w:eastAsia="宋体" w:cs="宋体"/>
          <w:sz w:val="24"/>
          <w:lang w:eastAsia="zh-CN"/>
        </w:rPr>
      </w:pPr>
      <w:r>
        <w:rPr>
          <w:rFonts w:ascii="宋体" w:hAnsi="宋体" w:cs="宋体"/>
          <w:sz w:val="24"/>
        </w:rPr>
        <w:t>（5）财政部、工业和信息化部《关于印发《政府采购促进中小企业展暂行办法》的通知》（财库[2011]181号文）</w:t>
      </w:r>
      <w:r>
        <w:rPr>
          <w:rFonts w:hint="eastAsia" w:ascii="宋体" w:hAnsi="宋体" w:cs="宋体"/>
          <w:sz w:val="24"/>
          <w:lang w:eastAsia="zh-CN"/>
        </w:rPr>
        <w:t>。</w:t>
      </w:r>
    </w:p>
    <w:p w14:paraId="17FC82EC">
      <w:pPr>
        <w:spacing w:line="360" w:lineRule="auto"/>
        <w:ind w:firstLine="540" w:firstLineChars="225"/>
        <w:rPr>
          <w:rFonts w:hint="eastAsia" w:ascii="宋体" w:hAnsi="宋体" w:eastAsia="宋体" w:cs="宋体"/>
          <w:sz w:val="24"/>
          <w:lang w:eastAsia="zh-CN"/>
        </w:rPr>
      </w:pPr>
      <w:r>
        <w:rPr>
          <w:rFonts w:ascii="宋体" w:hAnsi="宋体" w:cs="宋体"/>
          <w:sz w:val="24"/>
        </w:rPr>
        <w:t>（6）财政部、民政部、中国残疾人联合会《关于促进残疾人就业政府采购政策的通知》（财库[2017]141号）</w:t>
      </w:r>
      <w:r>
        <w:rPr>
          <w:rFonts w:hint="eastAsia" w:ascii="宋体" w:hAnsi="宋体" w:cs="宋体"/>
          <w:sz w:val="24"/>
          <w:lang w:eastAsia="zh-CN"/>
        </w:rPr>
        <w:t>。</w:t>
      </w:r>
    </w:p>
    <w:p w14:paraId="6E5E739F">
      <w:pPr>
        <w:spacing w:line="360" w:lineRule="auto"/>
        <w:ind w:firstLine="540" w:firstLineChars="225"/>
        <w:rPr>
          <w:rFonts w:ascii="宋体" w:hAnsi="宋体" w:cs="宋体"/>
          <w:sz w:val="24"/>
        </w:rPr>
      </w:pPr>
      <w:r>
        <w:rPr>
          <w:rFonts w:ascii="宋体" w:hAnsi="宋体" w:cs="宋体"/>
          <w:sz w:val="24"/>
        </w:rPr>
        <w:t>（7）财政部、司法部《关于政府采购支持监狱企业发展有关问题的通知》（财库[2014]68号文）。（中小企业优惠、监狱企业、节能产品、环境标志产品等）。 </w:t>
      </w:r>
    </w:p>
    <w:p w14:paraId="4FCFBAA1">
      <w:pPr>
        <w:widowControl/>
        <w:spacing w:before="50" w:after="50" w:line="360" w:lineRule="auto"/>
        <w:ind w:firstLine="480" w:firstLineChars="200"/>
        <w:jc w:val="left"/>
        <w:rPr>
          <w:rFonts w:ascii="Arial" w:hAnsi="Arial" w:cs="Arial"/>
          <w:kern w:val="0"/>
          <w:sz w:val="24"/>
          <w:szCs w:val="24"/>
        </w:rPr>
      </w:pPr>
      <w:r>
        <w:rPr>
          <w:rFonts w:hint="eastAsia" w:ascii="宋体" w:hAnsi="宋体" w:cs="宋体"/>
          <w:sz w:val="24"/>
        </w:rPr>
        <w:t>（8）</w:t>
      </w:r>
      <w:r>
        <w:rPr>
          <w:rFonts w:ascii="Arial" w:hAnsi="Arial" w:cs="Arial"/>
          <w:kern w:val="0"/>
          <w:sz w:val="24"/>
          <w:szCs w:val="24"/>
        </w:rPr>
        <w:t>扶持中小企业政策：评审时小型和微型企业产品享受</w:t>
      </w:r>
      <w:r>
        <w:rPr>
          <w:rFonts w:hint="eastAsia" w:ascii="Arial" w:hAnsi="Arial" w:cs="Arial"/>
          <w:kern w:val="0"/>
          <w:sz w:val="24"/>
          <w:szCs w:val="24"/>
          <w:lang w:val="en-US" w:eastAsia="zh-CN"/>
        </w:rPr>
        <w:t>10</w:t>
      </w:r>
      <w:r>
        <w:rPr>
          <w:rFonts w:ascii="Arial" w:hAnsi="Arial" w:cs="Arial"/>
          <w:kern w:val="0"/>
          <w:sz w:val="24"/>
          <w:szCs w:val="24"/>
        </w:rPr>
        <w:t>%的价格折扣。监狱企业、残疾人福利组织视同小型、微型企业。 </w:t>
      </w:r>
    </w:p>
    <w:p w14:paraId="55EB3CE7">
      <w:pPr>
        <w:widowControl/>
        <w:spacing w:before="50" w:after="50" w:line="360" w:lineRule="auto"/>
        <w:ind w:firstLine="480" w:firstLineChars="200"/>
        <w:jc w:val="left"/>
        <w:rPr>
          <w:rFonts w:ascii="Arial" w:hAnsi="Arial" w:cs="Arial"/>
          <w:kern w:val="0"/>
          <w:sz w:val="24"/>
          <w:szCs w:val="24"/>
          <w:highlight w:val="none"/>
        </w:rPr>
      </w:pPr>
      <w:r>
        <w:rPr>
          <w:rFonts w:hint="eastAsia" w:asciiTheme="minorEastAsia" w:hAnsiTheme="minorEastAsia" w:eastAsiaTheme="minorEastAsia" w:cstheme="minorEastAsia"/>
          <w:kern w:val="0"/>
          <w:sz w:val="24"/>
          <w:szCs w:val="24"/>
        </w:rPr>
        <w:t>（9</w:t>
      </w:r>
      <w:r>
        <w:rPr>
          <w:rFonts w:hint="eastAsia" w:ascii="Arial" w:hAnsi="Arial" w:cs="Arial"/>
          <w:kern w:val="0"/>
          <w:sz w:val="24"/>
          <w:szCs w:val="24"/>
        </w:rPr>
        <w:t>）</w:t>
      </w:r>
      <w:r>
        <w:rPr>
          <w:rFonts w:ascii="Arial" w:hAnsi="Arial" w:cs="Arial"/>
          <w:kern w:val="0"/>
          <w:sz w:val="24"/>
          <w:szCs w:val="24"/>
        </w:rPr>
        <w:t>《关于运用政府采购政策支持脱贫攻坚的通知》（财库【2019】27号文</w:t>
      </w:r>
      <w:r>
        <w:rPr>
          <w:rFonts w:ascii="Arial" w:hAnsi="Arial" w:cs="Arial"/>
          <w:kern w:val="0"/>
          <w:sz w:val="24"/>
          <w:szCs w:val="24"/>
          <w:highlight w:val="none"/>
        </w:rPr>
        <w:t>）。</w:t>
      </w:r>
    </w:p>
    <w:p w14:paraId="2E800447">
      <w:pPr>
        <w:spacing w:line="360" w:lineRule="auto"/>
        <w:ind w:firstLine="780" w:firstLineChars="325"/>
        <w:rPr>
          <w:rFonts w:hint="eastAsia" w:ascii="宋体" w:hAnsi="宋体" w:eastAsia="宋体" w:cs="宋体"/>
          <w:sz w:val="24"/>
          <w:lang w:eastAsia="zh-CN"/>
        </w:rPr>
      </w:pPr>
      <w:r>
        <w:rPr>
          <w:rFonts w:ascii="宋体" w:hAnsi="宋体" w:cs="宋体"/>
          <w:sz w:val="24"/>
        </w:rPr>
        <w:t>3.本项目的特定资格要求： </w:t>
      </w:r>
    </w:p>
    <w:p w14:paraId="7F3D2EAE">
      <w:pPr>
        <w:spacing w:line="360" w:lineRule="auto"/>
        <w:ind w:firstLine="480" w:firstLineChars="20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（1）</w:t>
      </w:r>
      <w:r>
        <w:rPr>
          <w:rFonts w:hint="eastAsia" w:ascii="宋体" w:hAnsi="宋体" w:cs="宋体"/>
          <w:bCs/>
          <w:sz w:val="24"/>
          <w:szCs w:val="24"/>
          <w:lang w:val="en-US" w:eastAsia="zh-CN"/>
        </w:rPr>
        <w:t>须具有中华人民共和国境内注册的独立法人资格的</w:t>
      </w:r>
      <w:r>
        <w:rPr>
          <w:rFonts w:hint="eastAsia" w:cs="Times New Roman"/>
          <w:color w:val="auto"/>
          <w:sz w:val="24"/>
          <w:szCs w:val="24"/>
          <w:highlight w:val="none"/>
          <w:shd w:val="clear" w:color="auto" w:fill="auto"/>
          <w:lang w:val="en-US" w:eastAsia="zh-CN"/>
        </w:rPr>
        <w:t>企业或事业单位</w:t>
      </w:r>
      <w:r>
        <w:rPr>
          <w:rFonts w:hint="eastAsia" w:ascii="宋体" w:hAnsi="宋体" w:cs="宋体"/>
          <w:bCs/>
          <w:sz w:val="24"/>
          <w:szCs w:val="24"/>
          <w:lang w:val="en-US" w:eastAsia="zh-CN"/>
        </w:rPr>
        <w:t>，提供企事业单位证书或营业执照</w:t>
      </w:r>
      <w:r>
        <w:rPr>
          <w:rFonts w:hint="eastAsia" w:ascii="宋体" w:hAnsi="宋体" w:eastAsia="宋体" w:cs="宋体"/>
          <w:bCs/>
          <w:sz w:val="24"/>
          <w:szCs w:val="24"/>
          <w:lang w:val="en-US" w:eastAsia="zh-CN"/>
        </w:rPr>
        <w:t>。</w:t>
      </w:r>
    </w:p>
    <w:p w14:paraId="525258A9">
      <w:pPr>
        <w:spacing w:line="360" w:lineRule="auto"/>
        <w:ind w:firstLine="480" w:firstLineChars="20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（2）法人须提供法定代表人资格证明书及身份证或法人授权委托书及被授权人身份证。</w:t>
      </w:r>
    </w:p>
    <w:p w14:paraId="7ED2E6EF">
      <w:pPr>
        <w:spacing w:line="360" w:lineRule="auto"/>
        <w:ind w:firstLine="480" w:firstLineChars="20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（3）单位负责人为同一人或者存在直接控股、管理关系的不同投标人，不得参加同一合同项下的政府采购活动。</w:t>
      </w:r>
    </w:p>
    <w:p w14:paraId="3DD27A5A">
      <w:pPr>
        <w:spacing w:line="360" w:lineRule="auto"/>
        <w:ind w:firstLine="480" w:firstLineChars="20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（4）</w:t>
      </w:r>
      <w:r>
        <w:rPr>
          <w:rFonts w:hint="eastAsia" w:ascii="宋体" w:hAnsi="宋体"/>
          <w:sz w:val="24"/>
          <w:highlight w:val="none"/>
          <w:lang w:val="zh-CN"/>
        </w:rPr>
        <w:t>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p>
    <w:p w14:paraId="4CB4B348">
      <w:pPr>
        <w:spacing w:line="360" w:lineRule="auto"/>
        <w:ind w:firstLine="480" w:firstLineChars="200"/>
        <w:rPr>
          <w:rFonts w:hint="eastAsia" w:ascii="宋体" w:hAnsi="宋体" w:cs="宋体"/>
          <w:bCs/>
          <w:sz w:val="24"/>
          <w:szCs w:val="24"/>
          <w:lang w:val="en-US" w:eastAsia="zh-CN"/>
        </w:rPr>
      </w:pPr>
      <w:r>
        <w:rPr>
          <w:rFonts w:hint="eastAsia" w:ascii="宋体" w:hAnsi="宋体" w:eastAsia="宋体" w:cs="宋体"/>
          <w:bCs/>
          <w:sz w:val="24"/>
          <w:szCs w:val="24"/>
          <w:lang w:val="en-US" w:eastAsia="zh-CN"/>
        </w:rPr>
        <w:t>（5）投标保证金：</w:t>
      </w:r>
      <w:r>
        <w:rPr>
          <w:rFonts w:hint="eastAsia" w:ascii="宋体" w:hAnsi="宋体" w:cs="宋体"/>
          <w:bCs/>
          <w:sz w:val="24"/>
          <w:szCs w:val="24"/>
          <w:lang w:val="en-US" w:eastAsia="zh-CN"/>
        </w:rPr>
        <w:t>14000元</w:t>
      </w:r>
      <w:r>
        <w:rPr>
          <w:rFonts w:hint="eastAsia" w:ascii="宋体" w:hAnsi="宋体" w:eastAsia="宋体" w:cs="宋体"/>
          <w:bCs/>
          <w:sz w:val="24"/>
          <w:szCs w:val="24"/>
          <w:lang w:val="en-US" w:eastAsia="zh-CN"/>
        </w:rPr>
        <w:t>，大写：</w:t>
      </w:r>
      <w:r>
        <w:rPr>
          <w:rFonts w:hint="eastAsia" w:ascii="宋体" w:hAnsi="宋体" w:cs="宋体"/>
          <w:bCs/>
          <w:sz w:val="24"/>
          <w:szCs w:val="24"/>
          <w:lang w:val="en-US" w:eastAsia="zh-CN"/>
        </w:rPr>
        <w:t>壹万肆仟</w:t>
      </w:r>
      <w:r>
        <w:rPr>
          <w:rFonts w:hint="eastAsia" w:ascii="宋体" w:hAnsi="宋体" w:eastAsia="宋体" w:cs="宋体"/>
          <w:bCs/>
          <w:sz w:val="24"/>
          <w:szCs w:val="24"/>
          <w:lang w:val="en-US" w:eastAsia="zh-CN"/>
        </w:rPr>
        <w:t>元整</w:t>
      </w:r>
      <w:r>
        <w:rPr>
          <w:rFonts w:hint="eastAsia" w:ascii="宋体" w:hAnsi="宋体" w:cs="宋体"/>
          <w:bCs/>
          <w:sz w:val="24"/>
          <w:szCs w:val="24"/>
          <w:lang w:val="en-US" w:eastAsia="zh-CN"/>
        </w:rPr>
        <w:t>。</w:t>
      </w:r>
    </w:p>
    <w:p w14:paraId="70525C81">
      <w:pPr>
        <w:spacing w:line="360" w:lineRule="auto"/>
        <w:ind w:firstLine="480" w:firstLineChars="200"/>
        <w:rPr>
          <w:rFonts w:hint="eastAsia" w:ascii="宋体" w:hAnsi="宋体" w:cs="宋体"/>
          <w:bCs/>
          <w:sz w:val="24"/>
          <w:szCs w:val="24"/>
          <w:lang w:val="en-US" w:eastAsia="zh-CN"/>
        </w:rPr>
      </w:pPr>
      <w:r>
        <w:rPr>
          <w:rFonts w:hint="eastAsia" w:ascii="宋体" w:hAnsi="宋体" w:cs="宋体"/>
          <w:bCs/>
          <w:sz w:val="24"/>
          <w:szCs w:val="24"/>
          <w:lang w:val="en-US" w:eastAsia="zh-CN"/>
        </w:rPr>
        <w:t>（6）本项目专门面向中小企业采购，提供中小企业声明函。</w:t>
      </w:r>
    </w:p>
    <w:p w14:paraId="1F3FC28F">
      <w:pPr>
        <w:spacing w:line="360" w:lineRule="auto"/>
        <w:ind w:firstLine="300" w:firstLineChars="125"/>
        <w:rPr>
          <w:rFonts w:ascii="宋体" w:hAnsi="宋体" w:cs="宋体"/>
          <w:sz w:val="24"/>
        </w:rPr>
      </w:pPr>
      <w:r>
        <w:rPr>
          <w:rFonts w:ascii="宋体" w:hAnsi="宋体" w:cs="宋体"/>
          <w:sz w:val="24"/>
        </w:rPr>
        <w:t>三、获取</w:t>
      </w:r>
      <w:r>
        <w:rPr>
          <w:rFonts w:hint="eastAsia" w:ascii="宋体" w:hAnsi="宋体" w:cs="宋体"/>
          <w:sz w:val="24"/>
        </w:rPr>
        <w:t>（下载）采购</w:t>
      </w:r>
      <w:r>
        <w:rPr>
          <w:rFonts w:ascii="宋体" w:hAnsi="宋体" w:cs="宋体"/>
          <w:sz w:val="24"/>
        </w:rPr>
        <w:t>文件</w:t>
      </w:r>
    </w:p>
    <w:p w14:paraId="50C5217B">
      <w:pPr>
        <w:spacing w:line="360" w:lineRule="auto"/>
        <w:ind w:firstLine="300" w:firstLineChars="125"/>
        <w:rPr>
          <w:rFonts w:ascii="宋体" w:hAnsi="宋体" w:cs="宋体"/>
          <w:sz w:val="24"/>
        </w:rPr>
      </w:pPr>
      <w:r>
        <w:rPr>
          <w:rFonts w:ascii="宋体" w:hAnsi="宋体" w:cs="宋体"/>
          <w:sz w:val="24"/>
        </w:rPr>
        <w:t>1、时间</w:t>
      </w:r>
      <w:r>
        <w:rPr>
          <w:rFonts w:ascii="宋体" w:hAnsi="宋体" w:cs="宋体"/>
          <w:sz w:val="24"/>
          <w:highlight w:val="none"/>
        </w:rPr>
        <w:t>：</w:t>
      </w:r>
      <w:r>
        <w:rPr>
          <w:rFonts w:hint="eastAsia" w:ascii="宋体" w:hAnsi="宋体" w:cs="宋体"/>
          <w:sz w:val="24"/>
          <w:highlight w:val="none"/>
          <w:lang w:eastAsia="zh-CN"/>
        </w:rPr>
        <w:t>2025年</w:t>
      </w:r>
      <w:r>
        <w:rPr>
          <w:rFonts w:hint="eastAsia" w:ascii="宋体" w:hAnsi="宋体" w:cs="宋体"/>
          <w:sz w:val="24"/>
          <w:highlight w:val="none"/>
          <w:lang w:val="en-US" w:eastAsia="zh-CN"/>
        </w:rPr>
        <w:t>3</w:t>
      </w:r>
      <w:r>
        <w:rPr>
          <w:rFonts w:hint="eastAsia" w:ascii="宋体" w:hAnsi="宋体" w:cs="宋体"/>
          <w:sz w:val="24"/>
          <w:highlight w:val="none"/>
          <w:lang w:eastAsia="zh-CN"/>
        </w:rPr>
        <w:t>月</w:t>
      </w:r>
      <w:r>
        <w:rPr>
          <w:rFonts w:hint="eastAsia" w:ascii="宋体" w:hAnsi="宋体" w:cs="宋体"/>
          <w:sz w:val="24"/>
          <w:highlight w:val="none"/>
          <w:lang w:val="en-US" w:eastAsia="zh-CN"/>
        </w:rPr>
        <w:t>12</w:t>
      </w:r>
      <w:r>
        <w:rPr>
          <w:rFonts w:hint="eastAsia" w:ascii="宋体" w:hAnsi="宋体" w:cs="宋体"/>
          <w:sz w:val="24"/>
          <w:highlight w:val="none"/>
          <w:lang w:eastAsia="zh-CN"/>
        </w:rPr>
        <w:t>日</w:t>
      </w:r>
      <w:r>
        <w:rPr>
          <w:rFonts w:ascii="宋体" w:hAnsi="宋体" w:cs="宋体"/>
          <w:sz w:val="24"/>
          <w:highlight w:val="none"/>
        </w:rPr>
        <w:t>至</w:t>
      </w:r>
      <w:r>
        <w:rPr>
          <w:rFonts w:hint="eastAsia" w:ascii="宋体" w:hAnsi="宋体" w:cs="宋体"/>
          <w:sz w:val="24"/>
          <w:highlight w:val="none"/>
          <w:lang w:eastAsia="zh-CN"/>
        </w:rPr>
        <w:t>2025年</w:t>
      </w:r>
      <w:r>
        <w:rPr>
          <w:rFonts w:hint="eastAsia" w:ascii="宋体" w:hAnsi="宋体" w:cs="宋体"/>
          <w:sz w:val="24"/>
          <w:highlight w:val="none"/>
          <w:lang w:val="en-US" w:eastAsia="zh-CN"/>
        </w:rPr>
        <w:t>3</w:t>
      </w:r>
      <w:r>
        <w:rPr>
          <w:rFonts w:hint="eastAsia" w:ascii="宋体" w:hAnsi="宋体" w:cs="宋体"/>
          <w:sz w:val="24"/>
          <w:highlight w:val="none"/>
          <w:lang w:eastAsia="zh-CN"/>
        </w:rPr>
        <w:t>月</w:t>
      </w:r>
      <w:r>
        <w:rPr>
          <w:rFonts w:hint="eastAsia" w:ascii="宋体" w:hAnsi="宋体" w:cs="宋体"/>
          <w:sz w:val="24"/>
          <w:highlight w:val="none"/>
          <w:lang w:val="en-US" w:eastAsia="zh-CN"/>
        </w:rPr>
        <w:t>19</w:t>
      </w:r>
      <w:r>
        <w:rPr>
          <w:rFonts w:hint="eastAsia" w:ascii="宋体" w:hAnsi="宋体" w:cs="宋体"/>
          <w:sz w:val="24"/>
          <w:highlight w:val="none"/>
          <w:lang w:eastAsia="zh-CN"/>
        </w:rPr>
        <w:t>日</w:t>
      </w:r>
      <w:r>
        <w:rPr>
          <w:rFonts w:ascii="宋体" w:hAnsi="宋体" w:cs="宋体"/>
          <w:sz w:val="24"/>
          <w:highlight w:val="none"/>
        </w:rPr>
        <w:t>，每天</w:t>
      </w:r>
      <w:r>
        <w:rPr>
          <w:rFonts w:ascii="宋体" w:hAnsi="宋体" w:cs="宋体"/>
          <w:sz w:val="24"/>
        </w:rPr>
        <w:t>上午</w:t>
      </w:r>
      <w:r>
        <w:rPr>
          <w:rFonts w:hint="eastAsia" w:ascii="宋体" w:hAnsi="宋体" w:cs="宋体"/>
          <w:sz w:val="24"/>
        </w:rPr>
        <w:t>10</w:t>
      </w:r>
      <w:r>
        <w:rPr>
          <w:rFonts w:ascii="宋体" w:hAnsi="宋体" w:cs="宋体"/>
          <w:sz w:val="24"/>
        </w:rPr>
        <w:t>:</w:t>
      </w:r>
      <w:r>
        <w:rPr>
          <w:rFonts w:hint="eastAsia" w:ascii="宋体" w:hAnsi="宋体" w:cs="宋体"/>
          <w:sz w:val="24"/>
        </w:rPr>
        <w:t>0</w:t>
      </w:r>
      <w:r>
        <w:rPr>
          <w:rFonts w:ascii="宋体" w:hAnsi="宋体" w:cs="宋体"/>
          <w:sz w:val="24"/>
        </w:rPr>
        <w:t>0至1</w:t>
      </w:r>
      <w:r>
        <w:rPr>
          <w:rFonts w:hint="eastAsia" w:ascii="宋体" w:hAnsi="宋体" w:cs="宋体"/>
          <w:sz w:val="24"/>
        </w:rPr>
        <w:t>4</w:t>
      </w:r>
      <w:r>
        <w:rPr>
          <w:rFonts w:ascii="宋体" w:hAnsi="宋体" w:cs="宋体"/>
          <w:sz w:val="24"/>
        </w:rPr>
        <w:t>:</w:t>
      </w:r>
      <w:r>
        <w:rPr>
          <w:rFonts w:hint="eastAsia" w:ascii="宋体" w:hAnsi="宋体" w:cs="宋体"/>
          <w:sz w:val="24"/>
        </w:rPr>
        <w:t>00</w:t>
      </w:r>
      <w:r>
        <w:rPr>
          <w:rFonts w:ascii="宋体" w:hAnsi="宋体" w:cs="宋体"/>
          <w:sz w:val="24"/>
        </w:rPr>
        <w:t>，下午</w:t>
      </w:r>
      <w:r>
        <w:rPr>
          <w:rFonts w:hint="eastAsia" w:ascii="宋体" w:hAnsi="宋体" w:cs="宋体"/>
          <w:sz w:val="24"/>
        </w:rPr>
        <w:t>1</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0</w:t>
      </w:r>
      <w:r>
        <w:rPr>
          <w:rFonts w:ascii="宋体" w:hAnsi="宋体" w:cs="宋体"/>
          <w:sz w:val="24"/>
        </w:rPr>
        <w:t>至</w:t>
      </w:r>
      <w:r>
        <w:rPr>
          <w:rFonts w:hint="eastAsia" w:ascii="宋体" w:hAnsi="宋体" w:cs="宋体"/>
          <w:sz w:val="24"/>
          <w:lang w:val="en-US" w:eastAsia="zh-CN"/>
        </w:rPr>
        <w:t>19</w:t>
      </w:r>
      <w:r>
        <w:rPr>
          <w:rFonts w:ascii="宋体" w:hAnsi="宋体" w:cs="宋体"/>
          <w:sz w:val="24"/>
        </w:rPr>
        <w:t>:</w:t>
      </w:r>
      <w:r>
        <w:rPr>
          <w:rFonts w:hint="eastAsia" w:ascii="宋体" w:hAnsi="宋体" w:cs="宋体"/>
          <w:sz w:val="24"/>
          <w:lang w:val="en-US" w:eastAsia="zh-CN"/>
        </w:rPr>
        <w:t>3</w:t>
      </w:r>
      <w:r>
        <w:rPr>
          <w:rFonts w:ascii="宋体" w:hAnsi="宋体" w:cs="宋体"/>
          <w:sz w:val="24"/>
        </w:rPr>
        <w:t>0（北京时间）</w:t>
      </w:r>
    </w:p>
    <w:p w14:paraId="142D11D7">
      <w:pPr>
        <w:spacing w:line="360" w:lineRule="auto"/>
        <w:ind w:firstLine="300" w:firstLineChars="125"/>
        <w:rPr>
          <w:rFonts w:ascii="宋体" w:hAnsi="宋体" w:cs="宋体"/>
          <w:sz w:val="24"/>
        </w:rPr>
      </w:pPr>
      <w:r>
        <w:rPr>
          <w:rFonts w:ascii="宋体" w:hAnsi="宋体" w:cs="宋体"/>
          <w:sz w:val="24"/>
        </w:rPr>
        <w:t>2、地点（网址）</w:t>
      </w:r>
      <w:r>
        <w:rPr>
          <w:rFonts w:hint="eastAsia" w:ascii="宋体" w:hAnsi="宋体" w:cs="宋体"/>
          <w:sz w:val="24"/>
        </w:rPr>
        <w:t>：</w:t>
      </w:r>
      <w:r>
        <w:rPr>
          <w:rFonts w:ascii="宋体" w:hAnsi="宋体" w:cs="宋体"/>
          <w:sz w:val="24"/>
          <w:szCs w:val="22"/>
        </w:rPr>
        <w:t>供应商登陆政采云平台http://www.zcygov.cn/，在线申请获取采购文件（登录政府采购云平台 → 项目采购 → 获取采购文件 → 申请，审核通过后可下载招标文件，如有操作性问题，可与政采云在线客服进行咨询，咨询电话：400-881-7190）</w:t>
      </w:r>
    </w:p>
    <w:p w14:paraId="23B0C054">
      <w:pPr>
        <w:spacing w:line="360" w:lineRule="auto"/>
        <w:ind w:firstLine="300" w:firstLineChars="125"/>
        <w:rPr>
          <w:rFonts w:ascii="宋体" w:hAnsi="宋体" w:cs="宋体"/>
          <w:sz w:val="24"/>
        </w:rPr>
      </w:pPr>
      <w:r>
        <w:rPr>
          <w:rFonts w:ascii="宋体" w:hAnsi="宋体" w:cs="宋体"/>
          <w:sz w:val="24"/>
        </w:rPr>
        <w:t>3、获取方式：线上获取 </w:t>
      </w:r>
    </w:p>
    <w:p w14:paraId="3FFA2837">
      <w:pPr>
        <w:spacing w:line="360" w:lineRule="auto"/>
        <w:ind w:firstLine="300" w:firstLineChars="125"/>
        <w:rPr>
          <w:rFonts w:ascii="宋体" w:hAnsi="宋体" w:cs="宋体"/>
          <w:sz w:val="24"/>
        </w:rPr>
      </w:pPr>
      <w:r>
        <w:rPr>
          <w:rFonts w:ascii="宋体" w:hAnsi="宋体" w:cs="宋体"/>
          <w:sz w:val="24"/>
        </w:rPr>
        <w:t>4、售价（元）：</w:t>
      </w:r>
      <w:r>
        <w:rPr>
          <w:rFonts w:hint="eastAsia" w:ascii="宋体" w:hAnsi="宋体" w:cs="宋体"/>
          <w:sz w:val="24"/>
        </w:rPr>
        <w:t>0元</w:t>
      </w:r>
    </w:p>
    <w:p w14:paraId="39AF7F74">
      <w:pPr>
        <w:spacing w:line="360" w:lineRule="auto"/>
        <w:ind w:firstLine="300" w:firstLineChars="125"/>
        <w:rPr>
          <w:rFonts w:ascii="宋体" w:hAnsi="宋体" w:cs="宋体"/>
          <w:sz w:val="24"/>
          <w:lang w:val="en-GB"/>
        </w:rPr>
      </w:pPr>
      <w:r>
        <w:rPr>
          <w:rFonts w:hint="eastAsia" w:ascii="宋体" w:hAnsi="宋体" w:cs="宋体"/>
          <w:sz w:val="24"/>
          <w:lang w:val="en-GB"/>
        </w:rPr>
        <w:t>四、提交投标文件截止时间、开标时间和地点</w:t>
      </w:r>
    </w:p>
    <w:p w14:paraId="12F3C8E9">
      <w:pPr>
        <w:pStyle w:val="18"/>
        <w:spacing w:before="0" w:beforeAutospacing="0" w:after="0" w:afterAutospacing="0" w:line="360" w:lineRule="auto"/>
        <w:ind w:firstLine="240" w:firstLineChars="100"/>
        <w:rPr>
          <w:kern w:val="2"/>
          <w:highlight w:val="none"/>
          <w:lang w:val="en-GB"/>
        </w:rPr>
      </w:pPr>
      <w:r>
        <w:rPr>
          <w:rFonts w:hint="eastAsia"/>
          <w:kern w:val="2"/>
          <w:lang w:val="en-GB"/>
        </w:rPr>
        <w:t>提交投标文件截止时间：</w:t>
      </w:r>
      <w:r>
        <w:rPr>
          <w:rFonts w:hint="eastAsia"/>
          <w:kern w:val="2"/>
          <w:highlight w:val="none"/>
          <w:lang w:val="en-GB" w:eastAsia="zh-CN"/>
        </w:rPr>
        <w:t>2025年</w:t>
      </w:r>
      <w:r>
        <w:rPr>
          <w:rFonts w:hint="eastAsia"/>
          <w:kern w:val="2"/>
          <w:highlight w:val="none"/>
          <w:lang w:val="en-US" w:eastAsia="zh-CN"/>
        </w:rPr>
        <w:t>4</w:t>
      </w:r>
      <w:r>
        <w:rPr>
          <w:rFonts w:hint="eastAsia"/>
          <w:kern w:val="2"/>
          <w:highlight w:val="none"/>
          <w:lang w:val="en-GB" w:eastAsia="zh-CN"/>
        </w:rPr>
        <w:t>月</w:t>
      </w:r>
      <w:r>
        <w:rPr>
          <w:rFonts w:hint="eastAsia"/>
          <w:kern w:val="2"/>
          <w:highlight w:val="none"/>
          <w:lang w:val="en-US" w:eastAsia="zh-CN"/>
        </w:rPr>
        <w:t>1</w:t>
      </w:r>
      <w:r>
        <w:rPr>
          <w:rFonts w:hint="eastAsia"/>
          <w:kern w:val="2"/>
          <w:highlight w:val="none"/>
          <w:lang w:val="en-GB" w:eastAsia="zh-CN"/>
        </w:rPr>
        <w:t>日1</w:t>
      </w:r>
      <w:r>
        <w:rPr>
          <w:rFonts w:hint="eastAsia"/>
          <w:kern w:val="2"/>
          <w:highlight w:val="none"/>
          <w:lang w:val="en-US" w:eastAsia="zh-CN"/>
        </w:rPr>
        <w:t>1</w:t>
      </w:r>
      <w:r>
        <w:rPr>
          <w:rFonts w:hint="eastAsia"/>
          <w:kern w:val="2"/>
          <w:highlight w:val="none"/>
          <w:lang w:val="en-GB" w:eastAsia="zh-CN"/>
        </w:rPr>
        <w:t>:00</w:t>
      </w:r>
      <w:r>
        <w:rPr>
          <w:rFonts w:hint="eastAsia"/>
          <w:kern w:val="2"/>
          <w:highlight w:val="none"/>
          <w:lang w:val="en-GB"/>
        </w:rPr>
        <w:t>（北京时间）</w:t>
      </w:r>
    </w:p>
    <w:p w14:paraId="74EDAEB0">
      <w:pPr>
        <w:pStyle w:val="18"/>
        <w:spacing w:before="0" w:beforeAutospacing="0" w:after="0" w:afterAutospacing="0" w:line="360" w:lineRule="auto"/>
        <w:ind w:firstLine="240" w:firstLineChars="100"/>
        <w:rPr>
          <w:kern w:val="2"/>
          <w:highlight w:val="none"/>
          <w:lang w:val="en-GB"/>
        </w:rPr>
      </w:pPr>
      <w:r>
        <w:rPr>
          <w:rFonts w:hint="eastAsia"/>
          <w:kern w:val="2"/>
          <w:highlight w:val="none"/>
          <w:lang w:val="en-GB"/>
        </w:rPr>
        <w:t>投标地点：政采云开标大厅（https://www.zcygov.cn在线投标）</w:t>
      </w:r>
    </w:p>
    <w:p w14:paraId="5FC178C6">
      <w:pPr>
        <w:pStyle w:val="18"/>
        <w:spacing w:before="0" w:beforeAutospacing="0" w:after="0" w:afterAutospacing="0" w:line="360" w:lineRule="auto"/>
        <w:ind w:firstLine="240" w:firstLineChars="100"/>
        <w:rPr>
          <w:kern w:val="2"/>
          <w:lang w:val="en-GB"/>
        </w:rPr>
      </w:pPr>
      <w:r>
        <w:rPr>
          <w:rFonts w:hint="eastAsia"/>
          <w:kern w:val="2"/>
          <w:highlight w:val="none"/>
          <w:lang w:val="en-GB"/>
        </w:rPr>
        <w:t>开标时间：</w:t>
      </w:r>
      <w:r>
        <w:rPr>
          <w:rFonts w:hint="eastAsia"/>
          <w:kern w:val="2"/>
          <w:highlight w:val="none"/>
          <w:lang w:val="en-GB" w:eastAsia="zh-CN"/>
        </w:rPr>
        <w:t>2025年</w:t>
      </w:r>
      <w:r>
        <w:rPr>
          <w:rFonts w:hint="eastAsia"/>
          <w:kern w:val="2"/>
          <w:highlight w:val="none"/>
          <w:lang w:val="en-US" w:eastAsia="zh-CN"/>
        </w:rPr>
        <w:t>4</w:t>
      </w:r>
      <w:r>
        <w:rPr>
          <w:rFonts w:hint="eastAsia"/>
          <w:kern w:val="2"/>
          <w:highlight w:val="none"/>
          <w:lang w:val="en-GB" w:eastAsia="zh-CN"/>
        </w:rPr>
        <w:t>月</w:t>
      </w:r>
      <w:r>
        <w:rPr>
          <w:rFonts w:hint="eastAsia"/>
          <w:kern w:val="2"/>
          <w:highlight w:val="none"/>
          <w:lang w:val="en-US" w:eastAsia="zh-CN"/>
        </w:rPr>
        <w:t>1</w:t>
      </w:r>
      <w:r>
        <w:rPr>
          <w:rFonts w:hint="eastAsia"/>
          <w:kern w:val="2"/>
          <w:highlight w:val="none"/>
          <w:lang w:val="en-GB" w:eastAsia="zh-CN"/>
        </w:rPr>
        <w:t>日1</w:t>
      </w:r>
      <w:r>
        <w:rPr>
          <w:rFonts w:hint="eastAsia"/>
          <w:kern w:val="2"/>
          <w:highlight w:val="none"/>
          <w:lang w:val="en-US" w:eastAsia="zh-CN"/>
        </w:rPr>
        <w:t>1</w:t>
      </w:r>
      <w:r>
        <w:rPr>
          <w:rFonts w:hint="eastAsia"/>
          <w:kern w:val="2"/>
          <w:highlight w:val="none"/>
          <w:lang w:val="en-GB" w:eastAsia="zh-CN"/>
        </w:rPr>
        <w:t>:00</w:t>
      </w:r>
      <w:r>
        <w:rPr>
          <w:rFonts w:hint="eastAsia"/>
          <w:kern w:val="2"/>
          <w:highlight w:val="none"/>
          <w:lang w:val="en-GB"/>
        </w:rPr>
        <w:t>（北京时</w:t>
      </w:r>
      <w:r>
        <w:rPr>
          <w:rFonts w:hint="eastAsia"/>
          <w:kern w:val="2"/>
          <w:lang w:val="en-GB"/>
        </w:rPr>
        <w:t>间）</w:t>
      </w:r>
    </w:p>
    <w:p w14:paraId="37DB4347">
      <w:pPr>
        <w:spacing w:line="360" w:lineRule="auto"/>
        <w:ind w:firstLine="240" w:firstLineChars="100"/>
        <w:rPr>
          <w:rFonts w:ascii="宋体" w:hAnsi="宋体" w:cs="宋体"/>
          <w:sz w:val="24"/>
          <w:lang w:val="en-GB"/>
        </w:rPr>
      </w:pPr>
      <w:r>
        <w:rPr>
          <w:rFonts w:hint="eastAsia"/>
          <w:sz w:val="24"/>
          <w:szCs w:val="24"/>
          <w:lang w:val="en-GB"/>
        </w:rPr>
        <w:t>开标地点：政采云开标大厅（https://www.zcygov.cn在线投标）</w:t>
      </w:r>
      <w:r>
        <w:rPr>
          <w:rFonts w:hint="eastAsia" w:ascii="宋体" w:hAnsi="宋体" w:cs="宋体"/>
          <w:sz w:val="24"/>
          <w:szCs w:val="22"/>
        </w:rPr>
        <w:t> </w:t>
      </w:r>
      <w:r>
        <w:rPr>
          <w:rFonts w:ascii="宋体" w:hAnsi="宋体" w:cs="宋体"/>
          <w:sz w:val="24"/>
          <w:lang w:val="en-GB"/>
        </w:rPr>
        <w:t> </w:t>
      </w:r>
    </w:p>
    <w:p w14:paraId="5DEBA5C6">
      <w:pPr>
        <w:spacing w:line="360" w:lineRule="auto"/>
        <w:ind w:firstLine="540" w:firstLineChars="225"/>
        <w:rPr>
          <w:rFonts w:ascii="宋体" w:hAnsi="宋体" w:cs="宋体"/>
          <w:sz w:val="24"/>
          <w:lang w:val="en-GB"/>
        </w:rPr>
      </w:pPr>
      <w:r>
        <w:rPr>
          <w:rFonts w:hint="eastAsia" w:ascii="宋体" w:hAnsi="宋体" w:cs="宋体"/>
          <w:sz w:val="24"/>
          <w:lang w:val="en-GB"/>
        </w:rPr>
        <w:t>五、公告期限</w:t>
      </w:r>
    </w:p>
    <w:p w14:paraId="19A4DC74">
      <w:pPr>
        <w:spacing w:line="360" w:lineRule="auto"/>
        <w:ind w:firstLine="540" w:firstLineChars="225"/>
        <w:rPr>
          <w:rFonts w:ascii="宋体" w:hAnsi="宋体" w:cs="宋体"/>
          <w:sz w:val="24"/>
          <w:lang w:val="en-GB"/>
        </w:rPr>
      </w:pPr>
      <w:r>
        <w:rPr>
          <w:rFonts w:hint="eastAsia" w:ascii="宋体" w:hAnsi="宋体" w:cs="宋体"/>
          <w:sz w:val="24"/>
          <w:lang w:val="en-GB"/>
        </w:rPr>
        <w:t>自本公告发布之日起</w:t>
      </w:r>
      <w:r>
        <w:rPr>
          <w:rFonts w:hint="eastAsia" w:ascii="宋体" w:hAnsi="宋体" w:cs="宋体"/>
          <w:sz w:val="24"/>
        </w:rPr>
        <w:t>5</w:t>
      </w:r>
      <w:r>
        <w:rPr>
          <w:rFonts w:hint="eastAsia" w:ascii="宋体" w:hAnsi="宋体" w:cs="宋体"/>
          <w:sz w:val="24"/>
          <w:lang w:val="en-GB"/>
        </w:rPr>
        <w:t>个工作日。</w:t>
      </w:r>
    </w:p>
    <w:p w14:paraId="0DB9B41B">
      <w:pPr>
        <w:spacing w:line="360" w:lineRule="auto"/>
        <w:ind w:firstLine="480" w:firstLineChars="200"/>
        <w:rPr>
          <w:rFonts w:ascii="宋体" w:hAnsi="宋体" w:cs="宋体"/>
          <w:sz w:val="24"/>
        </w:rPr>
      </w:pPr>
      <w:r>
        <w:rPr>
          <w:rFonts w:hint="eastAsia" w:ascii="宋体" w:hAnsi="宋体" w:cs="宋体"/>
          <w:sz w:val="24"/>
        </w:rPr>
        <w:t>六、</w:t>
      </w:r>
      <w:r>
        <w:rPr>
          <w:rFonts w:ascii="宋体" w:hAnsi="宋体" w:cs="宋体"/>
          <w:sz w:val="24"/>
        </w:rPr>
        <w:t>其他补充事宜</w:t>
      </w:r>
    </w:p>
    <w:p w14:paraId="47CA6ECC">
      <w:pPr>
        <w:spacing w:line="360" w:lineRule="auto"/>
        <w:ind w:firstLine="480" w:firstLineChars="200"/>
        <w:rPr>
          <w:rFonts w:ascii="宋体" w:hAnsi="宋体" w:cs="宋体"/>
          <w:bCs/>
          <w:sz w:val="24"/>
          <w:szCs w:val="24"/>
        </w:rPr>
      </w:pPr>
      <w:r>
        <w:rPr>
          <w:rFonts w:ascii="宋体" w:hAnsi="宋体" w:cs="宋体"/>
          <w:bCs/>
          <w:sz w:val="24"/>
          <w:szCs w:val="24"/>
        </w:rPr>
        <w:t>1</w:t>
      </w:r>
      <w:r>
        <w:rPr>
          <w:rFonts w:hint="eastAsia" w:ascii="宋体" w:hAnsi="宋体" w:cs="宋体"/>
          <w:bCs/>
          <w:sz w:val="24"/>
          <w:szCs w:val="24"/>
        </w:rPr>
        <w:t>.</w:t>
      </w:r>
      <w:r>
        <w:rPr>
          <w:rFonts w:ascii="宋体" w:hAnsi="宋体" w:cs="宋体"/>
          <w:bCs/>
          <w:sz w:val="24"/>
          <w:szCs w:val="24"/>
        </w:rPr>
        <w:t>本项目实行网上投标，采用电子投标文件。若</w:t>
      </w:r>
      <w:r>
        <w:rPr>
          <w:rFonts w:hint="eastAsia" w:ascii="宋体" w:hAnsi="宋体" w:cs="宋体"/>
          <w:bCs/>
          <w:sz w:val="24"/>
          <w:szCs w:val="24"/>
        </w:rPr>
        <w:t>投标人</w:t>
      </w:r>
      <w:r>
        <w:rPr>
          <w:rFonts w:ascii="宋体" w:hAnsi="宋体" w:cs="宋体"/>
          <w:bCs/>
          <w:sz w:val="24"/>
          <w:szCs w:val="24"/>
        </w:rPr>
        <w:t>参与投标，自行承担投标一切费用。</w:t>
      </w:r>
    </w:p>
    <w:p w14:paraId="1D087AE3">
      <w:pPr>
        <w:spacing w:line="360" w:lineRule="auto"/>
        <w:ind w:firstLine="337" w:firstLineChars="125"/>
        <w:rPr>
          <w:rFonts w:ascii="宋体" w:hAnsi="宋体" w:cs="宋体"/>
          <w:sz w:val="24"/>
          <w:szCs w:val="22"/>
        </w:rPr>
      </w:pPr>
      <w:r>
        <w:rPr>
          <w:rFonts w:hint="eastAsia" w:ascii="宋体" w:hAnsi="宋体" w:cs="宋体"/>
          <w:sz w:val="27"/>
          <w:szCs w:val="27"/>
        </w:rPr>
        <w:t> </w:t>
      </w:r>
      <w:r>
        <w:rPr>
          <w:rFonts w:hint="eastAsia" w:cs="宋体"/>
          <w:bCs/>
          <w:sz w:val="24"/>
          <w:szCs w:val="24"/>
        </w:rPr>
        <w:t>2</w:t>
      </w:r>
      <w:r>
        <w:rPr>
          <w:rFonts w:hint="eastAsia" w:ascii="宋体" w:hAnsi="宋体" w:cs="宋体"/>
          <w:bCs/>
          <w:sz w:val="24"/>
          <w:szCs w:val="24"/>
        </w:rPr>
        <w:t>.本次采购采用电子交易方式，电子交易平台为“政府采购云平台（www.zcygov.cn）”。供应商参与本项目电子交易活动前，应注册成为政府采</w:t>
      </w:r>
      <w:r>
        <w:rPr>
          <w:rFonts w:hint="eastAsia" w:ascii="宋体" w:hAnsi="宋体" w:cs="宋体"/>
          <w:sz w:val="24"/>
          <w:szCs w:val="22"/>
        </w:rPr>
        <w:t>购云平台供应商。编制电子投标文件前还需申领CA证书并绑定帐号。供应商应充分考虑完成平台注册、申领CA证书等所需的时间。因未注册入库、未办理CA数字证书等原因造成无法投标或投标失败等后果由供应商自行承担。</w:t>
      </w:r>
    </w:p>
    <w:p w14:paraId="26008FB0">
      <w:pPr>
        <w:spacing w:line="360" w:lineRule="auto"/>
        <w:ind w:firstLine="300" w:firstLineChars="125"/>
        <w:jc w:val="left"/>
        <w:rPr>
          <w:rFonts w:ascii="宋体" w:hAnsi="宋体" w:cs="宋体"/>
          <w:sz w:val="24"/>
          <w:szCs w:val="22"/>
        </w:rPr>
      </w:pPr>
      <w:r>
        <w:rPr>
          <w:rFonts w:hint="eastAsia" w:ascii="宋体" w:hAnsi="宋体" w:cs="宋体"/>
          <w:sz w:val="24"/>
          <w:szCs w:val="22"/>
        </w:rPr>
        <w:t> 3.供应商对不见面开评标系统的技术操作咨询，可通过https://edu.zcygov.cn/luban/xinjiang-e-biding自助查询，也可在政采云帮助中心常见问题解答和操作流程讲解视频中自助查询，网址为</w:t>
      </w:r>
      <w:r>
        <w:rPr>
          <w:rFonts w:hint="eastAsia" w:ascii="宋体" w:hAnsi="宋体" w:cs="宋体"/>
          <w:sz w:val="24"/>
          <w:szCs w:val="22"/>
          <w:lang w:eastAsia="zh-CN"/>
        </w:rPr>
        <w:t>：</w:t>
      </w:r>
      <w:r>
        <w:rPr>
          <w:rFonts w:hint="eastAsia" w:ascii="宋体" w:hAnsi="宋体" w:cs="宋体"/>
          <w:sz w:val="24"/>
          <w:szCs w:val="22"/>
        </w:rPr>
        <w:t>https://service.zcygov.cn/#/help，“项目采购”—“操作流程-电子招投标”—“政府采购项目电子交易管理操作指南-供应商”版面获取操作指南，同时对自助查询无法解决的问题可通过钉钉群及政采云在线客服获取服务支持。</w:t>
      </w:r>
    </w:p>
    <w:p w14:paraId="391BBD2D">
      <w:pPr>
        <w:spacing w:line="360" w:lineRule="auto"/>
        <w:ind w:firstLine="300" w:firstLineChars="125"/>
      </w:pPr>
      <w:r>
        <w:rPr>
          <w:rFonts w:hint="eastAsia" w:ascii="宋体" w:hAnsi="宋体" w:cs="宋体"/>
          <w:sz w:val="24"/>
          <w:szCs w:val="22"/>
        </w:rPr>
        <w:t> 供应商钉钉群号：政采云新疆供应商服务十群：33132402、十一群：30213207（如已加入1-9群，无需重复加入，十一个群联动直播），钉钉工具软件具有回放功能，直播培训结束后可在钉钉群中回放观看学习。</w:t>
      </w:r>
    </w:p>
    <w:p w14:paraId="6EC45D25">
      <w:pPr>
        <w:spacing w:line="360" w:lineRule="auto"/>
        <w:ind w:firstLine="300" w:firstLineChars="125"/>
        <w:rPr>
          <w:rFonts w:ascii="宋体" w:hAnsi="宋体" w:cs="宋体"/>
          <w:sz w:val="24"/>
        </w:rPr>
      </w:pPr>
      <w:r>
        <w:rPr>
          <w:rFonts w:hint="eastAsia" w:ascii="宋体" w:hAnsi="宋体" w:cs="宋体"/>
          <w:sz w:val="24"/>
        </w:rPr>
        <w:t>七</w:t>
      </w:r>
      <w:r>
        <w:rPr>
          <w:rFonts w:ascii="宋体" w:hAnsi="宋体" w:cs="宋体"/>
          <w:sz w:val="24"/>
        </w:rPr>
        <w:t>、对本次招标提出询问，请按以下方式联系。　　　　　　　　　　　　</w:t>
      </w:r>
    </w:p>
    <w:p w14:paraId="23173B6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rPr>
      </w:pPr>
      <w:r>
        <w:rPr>
          <w:rFonts w:ascii="宋体" w:hAnsi="宋体" w:cs="宋体"/>
          <w:bCs/>
          <w:sz w:val="24"/>
          <w:szCs w:val="24"/>
        </w:rPr>
        <w:t>1.采购人信息</w:t>
      </w:r>
    </w:p>
    <w:p w14:paraId="6FCEE17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sz w:val="24"/>
        </w:rPr>
      </w:pPr>
      <w:r>
        <w:rPr>
          <w:rFonts w:ascii="宋体" w:hAnsi="宋体" w:cs="宋体"/>
          <w:bCs/>
          <w:sz w:val="24"/>
          <w:szCs w:val="24"/>
        </w:rPr>
        <w:t>名 </w:t>
      </w:r>
      <w:r>
        <w:rPr>
          <w:rFonts w:hint="eastAsia" w:ascii="宋体" w:hAnsi="宋体" w:cs="宋体"/>
          <w:bCs/>
          <w:sz w:val="24"/>
          <w:szCs w:val="24"/>
          <w:lang w:val="en-US" w:eastAsia="zh-CN"/>
        </w:rPr>
        <w:t xml:space="preserve"> </w:t>
      </w:r>
      <w:r>
        <w:rPr>
          <w:rFonts w:ascii="宋体" w:hAnsi="宋体" w:cs="宋体"/>
          <w:bCs/>
          <w:sz w:val="24"/>
          <w:szCs w:val="24"/>
        </w:rPr>
        <w:t>称</w:t>
      </w:r>
      <w:r>
        <w:rPr>
          <w:rFonts w:ascii="宋体" w:hAnsi="宋体" w:cs="宋体"/>
          <w:sz w:val="24"/>
          <w:szCs w:val="22"/>
        </w:rPr>
        <w:t>：</w:t>
      </w:r>
      <w:r>
        <w:rPr>
          <w:rFonts w:hint="eastAsia" w:ascii="宋体" w:hAnsi="宋体" w:cs="宋体"/>
          <w:sz w:val="24"/>
          <w:szCs w:val="22"/>
          <w:lang w:eastAsia="zh-CN"/>
        </w:rPr>
        <w:t>新疆塔里木胡杨国家级自然保护区管理局</w:t>
      </w:r>
    </w:p>
    <w:p w14:paraId="714AD21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1"/>
        <w:rPr>
          <w:rFonts w:hint="eastAsia" w:ascii="宋体" w:hAnsi="宋体" w:eastAsia="宋体" w:cs="宋体"/>
          <w:bCs/>
          <w:sz w:val="24"/>
          <w:szCs w:val="24"/>
          <w:lang w:eastAsia="zh-CN"/>
        </w:rPr>
      </w:pPr>
      <w:r>
        <w:rPr>
          <w:rFonts w:hint="eastAsia" w:ascii="宋体" w:hAnsi="宋体" w:cs="宋体"/>
          <w:sz w:val="24"/>
        </w:rPr>
        <w:t>地  址：</w:t>
      </w:r>
      <w:r>
        <w:rPr>
          <w:rFonts w:hint="eastAsia" w:ascii="宋体" w:hAnsi="宋体" w:cs="宋体"/>
          <w:sz w:val="24"/>
          <w:lang w:eastAsia="zh-CN"/>
        </w:rPr>
        <w:t>库尔勒市南环路南苑大厦C座5楼</w:t>
      </w:r>
    </w:p>
    <w:p w14:paraId="2D07403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highlight w:val="none"/>
        </w:rPr>
      </w:pPr>
      <w:r>
        <w:rPr>
          <w:rFonts w:ascii="宋体" w:hAnsi="宋体" w:cs="宋体"/>
          <w:bCs/>
          <w:sz w:val="24"/>
          <w:szCs w:val="24"/>
        </w:rPr>
        <w:t>项目联系人（询问）</w:t>
      </w:r>
      <w:r>
        <w:rPr>
          <w:rFonts w:hint="eastAsia" w:ascii="宋体" w:hAnsi="宋体" w:cs="宋体"/>
          <w:bCs/>
          <w:sz w:val="24"/>
          <w:szCs w:val="24"/>
        </w:rPr>
        <w:t>：</w:t>
      </w:r>
      <w:r>
        <w:rPr>
          <w:rFonts w:hint="eastAsia" w:ascii="宋体" w:hAnsi="宋体" w:cs="宋体"/>
          <w:sz w:val="24"/>
          <w:highlight w:val="none"/>
          <w:lang w:eastAsia="zh-CN"/>
        </w:rPr>
        <w:t>魏女士</w:t>
      </w:r>
      <w:r>
        <w:rPr>
          <w:rFonts w:hint="eastAsia" w:ascii="宋体" w:hAnsi="宋体" w:cs="宋体"/>
          <w:sz w:val="24"/>
          <w:highlight w:val="none"/>
        </w:rPr>
        <w:t>　</w:t>
      </w:r>
      <w:r>
        <w:rPr>
          <w:rFonts w:ascii="宋体" w:hAnsi="宋体" w:cs="宋体"/>
          <w:bCs/>
          <w:sz w:val="24"/>
          <w:szCs w:val="24"/>
          <w:highlight w:val="none"/>
        </w:rPr>
        <w:t>  　　　　　　　　　　</w:t>
      </w:r>
    </w:p>
    <w:p w14:paraId="501BEAB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rPr>
      </w:pPr>
      <w:r>
        <w:rPr>
          <w:rFonts w:ascii="宋体" w:hAnsi="宋体" w:cs="宋体"/>
          <w:bCs/>
          <w:sz w:val="24"/>
          <w:szCs w:val="24"/>
          <w:highlight w:val="none"/>
        </w:rPr>
        <w:t>项目联系方式（询问）：</w:t>
      </w:r>
      <w:r>
        <w:rPr>
          <w:rFonts w:hint="eastAsia" w:ascii="宋体" w:hAnsi="宋体" w:cs="宋体"/>
          <w:sz w:val="24"/>
          <w:highlight w:val="none"/>
          <w:lang w:eastAsia="zh-CN"/>
        </w:rPr>
        <w:t>13999611177</w:t>
      </w:r>
      <w:r>
        <w:rPr>
          <w:rFonts w:hint="eastAsia" w:ascii="宋体" w:hAnsi="宋体" w:cs="宋体"/>
          <w:sz w:val="24"/>
          <w:highlight w:val="none"/>
        </w:rPr>
        <w:t> </w:t>
      </w:r>
      <w:r>
        <w:rPr>
          <w:rFonts w:ascii="宋体" w:hAnsi="宋体" w:cs="宋体"/>
          <w:bCs/>
          <w:sz w:val="24"/>
          <w:szCs w:val="24"/>
        </w:rPr>
        <w:t>　　　　　　　　　</w:t>
      </w:r>
    </w:p>
    <w:p w14:paraId="69C949F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rPr>
      </w:pPr>
      <w:r>
        <w:rPr>
          <w:rFonts w:hint="eastAsia" w:ascii="宋体" w:hAnsi="宋体" w:cs="宋体"/>
          <w:bCs/>
          <w:sz w:val="24"/>
          <w:szCs w:val="24"/>
        </w:rPr>
        <w:t xml:space="preserve"> </w:t>
      </w:r>
      <w:r>
        <w:rPr>
          <w:rFonts w:ascii="宋体" w:hAnsi="宋体" w:cs="宋体"/>
          <w:bCs/>
          <w:sz w:val="24"/>
          <w:szCs w:val="24"/>
        </w:rPr>
        <w:t>2.采购代理机构信息</w:t>
      </w:r>
    </w:p>
    <w:p w14:paraId="6835876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rPr>
      </w:pPr>
      <w:r>
        <w:rPr>
          <w:rFonts w:ascii="宋体" w:hAnsi="宋体" w:cs="宋体"/>
          <w:bCs/>
          <w:sz w:val="24"/>
          <w:szCs w:val="24"/>
        </w:rPr>
        <w:t>名    称：</w:t>
      </w:r>
      <w:r>
        <w:rPr>
          <w:rFonts w:hint="eastAsia" w:ascii="宋体" w:hAnsi="宋体" w:cs="宋体"/>
          <w:bCs/>
          <w:sz w:val="24"/>
          <w:szCs w:val="24"/>
        </w:rPr>
        <w:t>新疆锦瑞祥工程项目咨询管理有限公司</w:t>
      </w:r>
      <w:r>
        <w:rPr>
          <w:rFonts w:ascii="宋体" w:hAnsi="宋体" w:cs="宋体"/>
          <w:bCs/>
          <w:sz w:val="24"/>
          <w:szCs w:val="24"/>
        </w:rPr>
        <w:t> 　　　　　　　　　　　</w:t>
      </w:r>
    </w:p>
    <w:p w14:paraId="6E7EDA0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rPr>
      </w:pPr>
      <w:r>
        <w:rPr>
          <w:rFonts w:ascii="宋体" w:hAnsi="宋体" w:cs="宋体"/>
          <w:bCs/>
          <w:sz w:val="24"/>
          <w:szCs w:val="24"/>
        </w:rPr>
        <w:t>地    址：</w:t>
      </w:r>
      <w:r>
        <w:rPr>
          <w:rFonts w:hint="eastAsia" w:ascii="宋体" w:hAnsi="宋体" w:cs="宋体"/>
          <w:bCs/>
          <w:sz w:val="24"/>
          <w:szCs w:val="24"/>
        </w:rPr>
        <w:t>新疆库尔勒市石化大道天缘商务酒店4楼616室</w:t>
      </w:r>
    </w:p>
    <w:p w14:paraId="0E322E39">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bCs/>
          <w:sz w:val="24"/>
          <w:szCs w:val="24"/>
        </w:rPr>
      </w:pPr>
      <w:r>
        <w:rPr>
          <w:rFonts w:ascii="宋体" w:hAnsi="宋体" w:cs="宋体"/>
          <w:bCs/>
          <w:sz w:val="24"/>
          <w:szCs w:val="24"/>
        </w:rPr>
        <w:t>项目联系人（询问）：</w:t>
      </w:r>
      <w:r>
        <w:rPr>
          <w:rFonts w:hint="eastAsia" w:ascii="宋体" w:hAnsi="宋体" w:cs="宋体"/>
          <w:bCs/>
          <w:sz w:val="24"/>
          <w:szCs w:val="24"/>
        </w:rPr>
        <w:t>雷女士</w:t>
      </w:r>
      <w:r>
        <w:rPr>
          <w:rFonts w:ascii="宋体" w:hAnsi="宋体" w:cs="宋体"/>
          <w:bCs/>
          <w:sz w:val="24"/>
          <w:szCs w:val="24"/>
        </w:rPr>
        <w:t> 　　　　　　　　　　　</w:t>
      </w:r>
    </w:p>
    <w:p w14:paraId="3FD89872">
      <w:pPr>
        <w:pStyle w:val="7"/>
        <w:keepNext w:val="0"/>
        <w:keepLines w:val="0"/>
        <w:pageBreakBefore w:val="0"/>
        <w:kinsoku/>
        <w:wordWrap/>
        <w:overflowPunct/>
        <w:topLinePunct w:val="0"/>
        <w:autoSpaceDE/>
        <w:autoSpaceDN/>
        <w:bidi w:val="0"/>
        <w:adjustRightInd/>
        <w:snapToGrid/>
        <w:ind w:firstLine="480" w:firstLineChars="200"/>
        <w:textAlignment w:val="auto"/>
        <w:rPr>
          <w:rFonts w:hint="eastAsia" w:ascii="宋体" w:hAnsi="宋体" w:eastAsia="宋体" w:cs="宋体"/>
          <w:sz w:val="24"/>
          <w:lang w:val="en-US" w:eastAsia="zh-CN"/>
        </w:rPr>
      </w:pPr>
      <w:r>
        <w:rPr>
          <w:rFonts w:ascii="宋体" w:hAnsi="宋体" w:cs="宋体"/>
          <w:bCs/>
          <w:sz w:val="24"/>
          <w:szCs w:val="24"/>
          <w:lang w:val="en-US"/>
        </w:rPr>
        <w:t>项目联系方式（询问）：</w:t>
      </w:r>
      <w:r>
        <w:rPr>
          <w:rFonts w:hint="eastAsia" w:ascii="宋体" w:hAnsi="宋体" w:cs="宋体"/>
          <w:bCs/>
          <w:sz w:val="24"/>
          <w:szCs w:val="24"/>
          <w:lang w:val="en-US"/>
        </w:rPr>
        <w:t xml:space="preserve">0996-2222123   </w:t>
      </w:r>
      <w:r>
        <w:rPr>
          <w:rFonts w:hint="eastAsia" w:ascii="宋体" w:hAnsi="宋体" w:cs="宋体"/>
          <w:bCs/>
          <w:sz w:val="24"/>
          <w:szCs w:val="24"/>
          <w:lang w:val="en-US" w:eastAsia="zh-CN"/>
        </w:rPr>
        <w:t>17797975425</w:t>
      </w:r>
    </w:p>
    <w:p w14:paraId="5505D316">
      <w:pPr>
        <w:keepNext w:val="0"/>
        <w:keepLines w:val="0"/>
        <w:pageBreakBefore w:val="0"/>
        <w:kinsoku/>
        <w:wordWrap/>
        <w:overflowPunct/>
        <w:topLinePunct w:val="0"/>
        <w:autoSpaceDE/>
        <w:autoSpaceDN/>
        <w:bidi w:val="0"/>
        <w:adjustRightInd/>
        <w:snapToGrid/>
        <w:textAlignment w:val="auto"/>
      </w:pPr>
      <w:r>
        <w:br w:type="page"/>
      </w:r>
    </w:p>
    <w:p w14:paraId="733A8E15">
      <w:pPr>
        <w:widowControl/>
        <w:spacing w:line="360" w:lineRule="auto"/>
        <w:jc w:val="center"/>
        <w:outlineLvl w:val="0"/>
        <w:rPr>
          <w:rFonts w:ascii="宋体" w:hAnsi="宋体"/>
          <w:b/>
          <w:sz w:val="36"/>
        </w:rPr>
      </w:pPr>
      <w:r>
        <w:rPr>
          <w:rFonts w:hint="eastAsia" w:ascii="宋体" w:hAnsi="宋体"/>
          <w:b/>
          <w:sz w:val="36"/>
        </w:rPr>
        <w:t>第二部份 投标须知</w:t>
      </w:r>
    </w:p>
    <w:tbl>
      <w:tblPr>
        <w:tblStyle w:val="22"/>
        <w:tblW w:w="89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374"/>
        <w:gridCol w:w="6839"/>
      </w:tblGrid>
      <w:tr w14:paraId="4910C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27" w:type="dxa"/>
            <w:vAlign w:val="center"/>
          </w:tcPr>
          <w:p w14:paraId="4F55E469">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项号</w:t>
            </w:r>
          </w:p>
        </w:tc>
        <w:tc>
          <w:tcPr>
            <w:tcW w:w="1374" w:type="dxa"/>
            <w:vAlign w:val="center"/>
          </w:tcPr>
          <w:p w14:paraId="3B014C8F">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w:t>
            </w:r>
          </w:p>
        </w:tc>
        <w:tc>
          <w:tcPr>
            <w:tcW w:w="6839" w:type="dxa"/>
            <w:vAlign w:val="center"/>
          </w:tcPr>
          <w:p w14:paraId="7C85E45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内</w:t>
            </w:r>
            <w:r>
              <w:rPr>
                <w:rFonts w:hint="eastAsia" w:asciiTheme="minorEastAsia" w:hAnsiTheme="minorEastAsia" w:eastAsiaTheme="minorEastAsia" w:cstheme="minorEastAsia"/>
                <w:sz w:val="24"/>
                <w:szCs w:val="24"/>
              </w:rPr>
              <w:tab/>
            </w:r>
            <w:r>
              <w:rPr>
                <w:rFonts w:hint="eastAsia" w:asciiTheme="minorEastAsia" w:hAnsiTheme="minorEastAsia" w:eastAsiaTheme="minorEastAsia" w:cstheme="minorEastAsia"/>
                <w:sz w:val="24"/>
                <w:szCs w:val="24"/>
              </w:rPr>
              <w:t>容</w:t>
            </w:r>
          </w:p>
        </w:tc>
      </w:tr>
      <w:tr w14:paraId="63939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727" w:type="dxa"/>
            <w:vAlign w:val="center"/>
          </w:tcPr>
          <w:p w14:paraId="4C1F7DB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374" w:type="dxa"/>
            <w:vAlign w:val="center"/>
          </w:tcPr>
          <w:p w14:paraId="19FC8153">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6839" w:type="dxa"/>
            <w:vAlign w:val="center"/>
          </w:tcPr>
          <w:p w14:paraId="6BE8541B">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新疆塔里木胡杨国家级自然保护区管理局2025年中央林业草原生态保护恢复资金(国家级自然保护区能力提升)—塔里木胡杨保护区森林及野生动物资源调查项目</w:t>
            </w:r>
          </w:p>
        </w:tc>
      </w:tr>
      <w:tr w14:paraId="7A07B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27" w:type="dxa"/>
            <w:vAlign w:val="center"/>
          </w:tcPr>
          <w:p w14:paraId="4E3DAF6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374" w:type="dxa"/>
            <w:vAlign w:val="center"/>
          </w:tcPr>
          <w:p w14:paraId="442C9B0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项目编号</w:t>
            </w:r>
          </w:p>
        </w:tc>
        <w:tc>
          <w:tcPr>
            <w:tcW w:w="6839" w:type="dxa"/>
            <w:vAlign w:val="center"/>
          </w:tcPr>
          <w:p w14:paraId="01E21527">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XJJRX-GKZB</w:t>
            </w:r>
            <w:r>
              <w:rPr>
                <w:rFonts w:hint="eastAsia" w:asciiTheme="minorEastAsia" w:hAnsiTheme="minorEastAsia" w:eastAsiaTheme="minorEastAsia" w:cstheme="minorEastAsia"/>
                <w:sz w:val="24"/>
                <w:szCs w:val="24"/>
                <w:lang w:eastAsia="zh-CN"/>
              </w:rPr>
              <w:t>(2025)-0227</w:t>
            </w:r>
          </w:p>
        </w:tc>
      </w:tr>
      <w:tr w14:paraId="57765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7" w:type="dxa"/>
            <w:vAlign w:val="center"/>
          </w:tcPr>
          <w:p w14:paraId="13DE139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374" w:type="dxa"/>
            <w:vAlign w:val="center"/>
          </w:tcPr>
          <w:p w14:paraId="1A0F035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合同履行期限</w:t>
            </w:r>
          </w:p>
        </w:tc>
        <w:tc>
          <w:tcPr>
            <w:tcW w:w="6839" w:type="dxa"/>
            <w:vAlign w:val="center"/>
          </w:tcPr>
          <w:p w14:paraId="287C8FD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highlight w:val="none"/>
                <w:lang w:eastAsia="zh-CN"/>
              </w:rPr>
              <w:t>2025年11月30日前完成</w:t>
            </w:r>
          </w:p>
        </w:tc>
      </w:tr>
      <w:tr w14:paraId="1B255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727" w:type="dxa"/>
            <w:vAlign w:val="center"/>
          </w:tcPr>
          <w:p w14:paraId="4556A20A">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374" w:type="dxa"/>
            <w:vAlign w:val="center"/>
          </w:tcPr>
          <w:p w14:paraId="7DBF198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服务</w:t>
            </w:r>
            <w:r>
              <w:rPr>
                <w:rFonts w:hint="eastAsia" w:asciiTheme="minorEastAsia" w:hAnsiTheme="minorEastAsia" w:eastAsiaTheme="minorEastAsia" w:cstheme="minorEastAsia"/>
                <w:sz w:val="24"/>
                <w:szCs w:val="24"/>
              </w:rPr>
              <w:t>地点</w:t>
            </w:r>
          </w:p>
        </w:tc>
        <w:tc>
          <w:tcPr>
            <w:tcW w:w="6839" w:type="dxa"/>
            <w:vAlign w:val="center"/>
          </w:tcPr>
          <w:p w14:paraId="4662071B">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新疆塔里木胡杨国家级自然保护区</w:t>
            </w:r>
          </w:p>
        </w:tc>
      </w:tr>
      <w:tr w14:paraId="26C34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jc w:val="center"/>
        </w:trPr>
        <w:tc>
          <w:tcPr>
            <w:tcW w:w="727" w:type="dxa"/>
            <w:vAlign w:val="center"/>
          </w:tcPr>
          <w:p w14:paraId="0C1AD33F">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374" w:type="dxa"/>
            <w:vAlign w:val="center"/>
          </w:tcPr>
          <w:p w14:paraId="425BE62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资金来源</w:t>
            </w:r>
          </w:p>
        </w:tc>
        <w:tc>
          <w:tcPr>
            <w:tcW w:w="6839" w:type="dxa"/>
            <w:vAlign w:val="center"/>
          </w:tcPr>
          <w:p w14:paraId="6BCF6C2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本项目资金</w:t>
            </w:r>
            <w:r>
              <w:rPr>
                <w:rFonts w:hint="eastAsia" w:asciiTheme="minorEastAsia" w:hAnsiTheme="minorEastAsia" w:eastAsiaTheme="minorEastAsia" w:cstheme="minorEastAsia"/>
                <w:sz w:val="24"/>
                <w:szCs w:val="24"/>
                <w:lang w:val="en-US" w:eastAsia="zh-CN"/>
              </w:rPr>
              <w:t>72</w:t>
            </w:r>
            <w:r>
              <w:rPr>
                <w:rFonts w:hint="eastAsia" w:asciiTheme="minorEastAsia" w:hAnsiTheme="minorEastAsia" w:eastAsiaTheme="minorEastAsia" w:cstheme="minorEastAsia"/>
                <w:sz w:val="24"/>
                <w:szCs w:val="24"/>
              </w:rPr>
              <w:t>万元，</w:t>
            </w:r>
            <w:r>
              <w:rPr>
                <w:rFonts w:hint="eastAsia" w:asciiTheme="minorEastAsia" w:hAnsiTheme="minorEastAsia" w:eastAsiaTheme="minorEastAsia" w:cstheme="minorEastAsia"/>
                <w:sz w:val="24"/>
                <w:szCs w:val="24"/>
                <w:lang w:val="en-US" w:eastAsia="zh-CN"/>
              </w:rPr>
              <w:t>70</w:t>
            </w:r>
            <w:r>
              <w:rPr>
                <w:rFonts w:hint="eastAsia" w:asciiTheme="minorEastAsia" w:hAnsiTheme="minorEastAsia" w:eastAsiaTheme="minorEastAsia" w:cstheme="minorEastAsia"/>
                <w:sz w:val="24"/>
                <w:szCs w:val="24"/>
              </w:rPr>
              <w:t xml:space="preserve"> 万元来源于 2025 年中央林业草原生态保护恢复资金(国家级自然保护区能力提升)项目资金</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2万元为 2024年中央林业草原生态保护恢复资金(国家级自然保护区补助)项目的结余资金</w:t>
            </w:r>
            <w:r>
              <w:rPr>
                <w:rFonts w:hint="eastAsia" w:asciiTheme="minorEastAsia" w:hAnsiTheme="minorEastAsia" w:eastAsiaTheme="minorEastAsia" w:cstheme="minorEastAsia"/>
                <w:sz w:val="24"/>
                <w:szCs w:val="24"/>
                <w:lang w:eastAsia="zh-CN"/>
              </w:rPr>
              <w:t>。</w:t>
            </w:r>
          </w:p>
        </w:tc>
      </w:tr>
      <w:tr w14:paraId="713C5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727" w:type="dxa"/>
            <w:vAlign w:val="center"/>
          </w:tcPr>
          <w:p w14:paraId="6CAA4B5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374" w:type="dxa"/>
            <w:vAlign w:val="center"/>
          </w:tcPr>
          <w:p w14:paraId="33D88F3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采购方式</w:t>
            </w:r>
          </w:p>
        </w:tc>
        <w:tc>
          <w:tcPr>
            <w:tcW w:w="6839" w:type="dxa"/>
            <w:vAlign w:val="center"/>
          </w:tcPr>
          <w:p w14:paraId="0BF3D387">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公开招标</w:t>
            </w:r>
          </w:p>
        </w:tc>
      </w:tr>
      <w:tr w14:paraId="6617F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jc w:val="center"/>
        </w:trPr>
        <w:tc>
          <w:tcPr>
            <w:tcW w:w="727" w:type="dxa"/>
            <w:vAlign w:val="center"/>
          </w:tcPr>
          <w:p w14:paraId="7BCB397A">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374" w:type="dxa"/>
            <w:vAlign w:val="center"/>
          </w:tcPr>
          <w:p w14:paraId="755EAD58">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采购人</w:t>
            </w:r>
          </w:p>
        </w:tc>
        <w:tc>
          <w:tcPr>
            <w:tcW w:w="6839" w:type="dxa"/>
            <w:vAlign w:val="center"/>
          </w:tcPr>
          <w:p w14:paraId="52D2BBA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名    称：</w:t>
            </w:r>
            <w:r>
              <w:rPr>
                <w:rFonts w:hint="eastAsia" w:asciiTheme="minorEastAsia" w:hAnsiTheme="minorEastAsia" w:eastAsiaTheme="minorEastAsia" w:cstheme="minorEastAsia"/>
                <w:sz w:val="24"/>
                <w:szCs w:val="24"/>
                <w:highlight w:val="none"/>
                <w:lang w:eastAsia="zh-CN"/>
              </w:rPr>
              <w:t>新疆塔里木胡杨国家级自然保护区管理局</w:t>
            </w:r>
          </w:p>
          <w:p w14:paraId="1D1CF11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       址：</w:t>
            </w:r>
            <w:r>
              <w:rPr>
                <w:rFonts w:hint="eastAsia" w:asciiTheme="minorEastAsia" w:hAnsiTheme="minorEastAsia" w:eastAsiaTheme="minorEastAsia" w:cstheme="minorEastAsia"/>
                <w:sz w:val="24"/>
                <w:szCs w:val="24"/>
                <w:highlight w:val="none"/>
                <w:lang w:val="en-US" w:eastAsia="zh-CN"/>
              </w:rPr>
              <w:t>库尔勒市南环路南苑大厦C座5楼</w:t>
            </w:r>
          </w:p>
          <w:p w14:paraId="0EC6C8E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项目联系人（询问）：</w:t>
            </w:r>
            <w:r>
              <w:rPr>
                <w:rFonts w:hint="eastAsia" w:asciiTheme="minorEastAsia" w:hAnsiTheme="minorEastAsia" w:eastAsiaTheme="minorEastAsia" w:cstheme="minorEastAsia"/>
                <w:sz w:val="24"/>
                <w:szCs w:val="24"/>
                <w:highlight w:val="none"/>
                <w:lang w:eastAsia="zh-CN"/>
              </w:rPr>
              <w:t>魏女士</w:t>
            </w:r>
          </w:p>
          <w:p w14:paraId="26A1315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项目联系方式（询问）：</w:t>
            </w:r>
            <w:r>
              <w:rPr>
                <w:rFonts w:hint="eastAsia" w:asciiTheme="minorEastAsia" w:hAnsiTheme="minorEastAsia" w:eastAsiaTheme="minorEastAsia" w:cstheme="minorEastAsia"/>
                <w:sz w:val="24"/>
                <w:szCs w:val="24"/>
                <w:highlight w:val="none"/>
                <w:lang w:eastAsia="zh-CN"/>
              </w:rPr>
              <w:t>13999611177</w:t>
            </w:r>
            <w:r>
              <w:rPr>
                <w:rFonts w:hint="eastAsia" w:asciiTheme="minorEastAsia" w:hAnsiTheme="minorEastAsia" w:eastAsiaTheme="minorEastAsia" w:cstheme="minorEastAsia"/>
                <w:sz w:val="24"/>
                <w:szCs w:val="24"/>
                <w:highlight w:val="none"/>
              </w:rPr>
              <w:t>  </w:t>
            </w:r>
          </w:p>
        </w:tc>
      </w:tr>
      <w:tr w14:paraId="3F577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9" w:hRule="atLeast"/>
          <w:jc w:val="center"/>
        </w:trPr>
        <w:tc>
          <w:tcPr>
            <w:tcW w:w="727" w:type="dxa"/>
            <w:vAlign w:val="center"/>
          </w:tcPr>
          <w:p w14:paraId="5354771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374" w:type="dxa"/>
            <w:vAlign w:val="center"/>
          </w:tcPr>
          <w:p w14:paraId="7C89081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采购代理机构</w:t>
            </w:r>
          </w:p>
        </w:tc>
        <w:tc>
          <w:tcPr>
            <w:tcW w:w="6839" w:type="dxa"/>
            <w:vAlign w:val="center"/>
          </w:tcPr>
          <w:p w14:paraId="1E2281C8">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名    称：新疆锦瑞祥工程项目咨询管理有限公司</w:t>
            </w:r>
          </w:p>
          <w:p w14:paraId="45C7FE0F">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    址：新疆库尔勒市石化大道天缘商务酒店4楼616室</w:t>
            </w:r>
          </w:p>
          <w:p w14:paraId="71824C5B">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项目联系人（询问）：雷女士</w:t>
            </w:r>
          </w:p>
          <w:p w14:paraId="1376818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sz w:val="24"/>
                <w:szCs w:val="24"/>
              </w:rPr>
              <w:t>项目联系方式（询问）：0996-2222123</w:t>
            </w:r>
          </w:p>
          <w:p w14:paraId="3D5A3605">
            <w:pPr>
              <w:keepNext w:val="0"/>
              <w:keepLines w:val="0"/>
              <w:pageBreakBefore w:val="0"/>
              <w:suppressLineNumbers w:val="0"/>
              <w:kinsoku/>
              <w:wordWrap/>
              <w:overflowPunct/>
              <w:topLinePunct w:val="0"/>
              <w:bidi w:val="0"/>
              <w:snapToGrid/>
              <w:spacing w:before="0" w:beforeAutospacing="0" w:after="0" w:afterAutospacing="0" w:line="360" w:lineRule="auto"/>
              <w:ind w:left="0" w:right="0" w:firstLine="2640" w:firstLineChars="110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17797975425</w:t>
            </w:r>
          </w:p>
        </w:tc>
      </w:tr>
      <w:tr w14:paraId="1A7A4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6" w:hRule="atLeast"/>
          <w:jc w:val="center"/>
        </w:trPr>
        <w:tc>
          <w:tcPr>
            <w:tcW w:w="727" w:type="dxa"/>
            <w:vAlign w:val="center"/>
          </w:tcPr>
          <w:p w14:paraId="4668376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374" w:type="dxa"/>
            <w:vAlign w:val="center"/>
          </w:tcPr>
          <w:p w14:paraId="4A7AE2C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投标人必备资质</w:t>
            </w:r>
          </w:p>
        </w:tc>
        <w:tc>
          <w:tcPr>
            <w:tcW w:w="6839" w:type="dxa"/>
            <w:vAlign w:val="center"/>
          </w:tcPr>
          <w:p w14:paraId="1CB007DF">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满足《中华人民共和国政府采购法》第二十二条规定</w:t>
            </w:r>
            <w:r>
              <w:rPr>
                <w:rFonts w:hint="eastAsia" w:asciiTheme="minorEastAsia" w:hAnsiTheme="minorEastAsia" w:eastAsiaTheme="minorEastAsia" w:cstheme="minorEastAsia"/>
                <w:sz w:val="24"/>
                <w:szCs w:val="24"/>
                <w:lang w:eastAsia="zh-CN"/>
              </w:rPr>
              <w:t>。</w:t>
            </w:r>
          </w:p>
          <w:p w14:paraId="42EDC8E8">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（2）须具有中华人民共和国境内注册的独立法人资格的企事业单位，提供事业单位证书或营业执照。</w:t>
            </w:r>
          </w:p>
          <w:p w14:paraId="31A4D3FD">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（3）法人须提供法定代表人资格证明书及身份证或法人授权委托书及被授权人身份证。</w:t>
            </w:r>
          </w:p>
          <w:p w14:paraId="43F41886">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（4）单位负责人为同一人或者存在直接控股、管理关系的不同投标人，不得参加同一合同项下的政府采购活动。</w:t>
            </w:r>
          </w:p>
          <w:p w14:paraId="45646F2F">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p>
          <w:p w14:paraId="15D4FF3D">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（6）投标保证金缴纳凭证。</w:t>
            </w:r>
          </w:p>
          <w:p w14:paraId="305103A9">
            <w:pPr>
              <w:keepNext w:val="0"/>
              <w:keepLines w:val="0"/>
              <w:numPr>
                <w:ilvl w:val="0"/>
                <w:numId w:val="0"/>
              </w:numPr>
              <w:suppressLineNumbers w:val="0"/>
              <w:spacing w:before="0" w:beforeAutospacing="0" w:after="0" w:afterAutospacing="0" w:line="360" w:lineRule="auto"/>
              <w:ind w:left="0" w:right="0" w:right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（7）</w:t>
            </w:r>
            <w:r>
              <w:rPr>
                <w:rFonts w:hint="eastAsia" w:ascii="宋体" w:hAnsi="宋体" w:cs="宋体"/>
                <w:bCs/>
                <w:sz w:val="24"/>
                <w:szCs w:val="24"/>
                <w:lang w:val="en-US" w:eastAsia="zh-CN"/>
              </w:rPr>
              <w:t>本项目面向中小企业采购，提供中小企业声明函。</w:t>
            </w:r>
          </w:p>
        </w:tc>
      </w:tr>
      <w:tr w14:paraId="0E5FF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7" w:type="dxa"/>
            <w:vAlign w:val="center"/>
          </w:tcPr>
          <w:p w14:paraId="18D45E6B">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1374" w:type="dxa"/>
            <w:vAlign w:val="center"/>
          </w:tcPr>
          <w:p w14:paraId="04B6C4A9">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开标时必须携带的证件</w:t>
            </w:r>
          </w:p>
        </w:tc>
        <w:tc>
          <w:tcPr>
            <w:tcW w:w="6839" w:type="dxa"/>
            <w:shd w:val="clear" w:color="auto" w:fill="auto"/>
            <w:vAlign w:val="center"/>
          </w:tcPr>
          <w:p w14:paraId="4775C857">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zh-CN"/>
              </w:rPr>
              <w:t>不见面开标方式的取消本条款</w:t>
            </w:r>
          </w:p>
        </w:tc>
      </w:tr>
      <w:tr w14:paraId="0359E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27" w:type="dxa"/>
            <w:vAlign w:val="center"/>
          </w:tcPr>
          <w:p w14:paraId="764179F2">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w:t>
            </w:r>
          </w:p>
        </w:tc>
        <w:tc>
          <w:tcPr>
            <w:tcW w:w="1374" w:type="dxa"/>
            <w:vAlign w:val="center"/>
          </w:tcPr>
          <w:p w14:paraId="71AB0DE8">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开标时间</w:t>
            </w:r>
          </w:p>
        </w:tc>
        <w:tc>
          <w:tcPr>
            <w:tcW w:w="6839" w:type="dxa"/>
            <w:shd w:val="clear" w:color="auto" w:fill="auto"/>
            <w:vAlign w:val="center"/>
          </w:tcPr>
          <w:p w14:paraId="31BDCCB3">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GB" w:eastAsia="zh-CN"/>
              </w:rPr>
              <w:t>2025年</w:t>
            </w:r>
            <w:r>
              <w:rPr>
                <w:rFonts w:hint="eastAsia" w:asciiTheme="minorEastAsia" w:hAnsiTheme="minorEastAsia" w:eastAsiaTheme="minorEastAsia" w:cstheme="minorEastAsia"/>
                <w:sz w:val="24"/>
                <w:szCs w:val="24"/>
                <w:highlight w:val="none"/>
                <w:lang w:val="en-US" w:eastAsia="zh-CN"/>
              </w:rPr>
              <w:t>4</w:t>
            </w:r>
            <w:r>
              <w:rPr>
                <w:rFonts w:hint="eastAsia" w:asciiTheme="minorEastAsia" w:hAnsiTheme="minorEastAsia" w:eastAsiaTheme="minorEastAsia" w:cstheme="minorEastAsia"/>
                <w:sz w:val="24"/>
                <w:szCs w:val="24"/>
                <w:highlight w:val="none"/>
                <w:lang w:val="en-GB" w:eastAsia="zh-CN"/>
              </w:rPr>
              <w:t>月</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lang w:val="en-GB" w:eastAsia="zh-CN"/>
              </w:rPr>
              <w:t>日 1</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：00</w:t>
            </w:r>
            <w:r>
              <w:rPr>
                <w:rFonts w:hint="eastAsia" w:asciiTheme="minorEastAsia" w:hAnsiTheme="minorEastAsia" w:eastAsiaTheme="minorEastAsia" w:cstheme="minorEastAsia"/>
                <w:sz w:val="24"/>
                <w:szCs w:val="24"/>
                <w:highlight w:val="none"/>
                <w:lang w:val="en-GB"/>
              </w:rPr>
              <w:t>（北京时间）</w:t>
            </w:r>
          </w:p>
        </w:tc>
      </w:tr>
      <w:tr w14:paraId="69680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727" w:type="dxa"/>
            <w:vAlign w:val="center"/>
          </w:tcPr>
          <w:p w14:paraId="6FD1DF9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w:t>
            </w:r>
          </w:p>
        </w:tc>
        <w:tc>
          <w:tcPr>
            <w:tcW w:w="1374" w:type="dxa"/>
            <w:vAlign w:val="center"/>
          </w:tcPr>
          <w:p w14:paraId="16168C9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开标地点</w:t>
            </w:r>
          </w:p>
        </w:tc>
        <w:tc>
          <w:tcPr>
            <w:tcW w:w="6839" w:type="dxa"/>
            <w:shd w:val="clear" w:color="auto" w:fill="auto"/>
            <w:vAlign w:val="center"/>
          </w:tcPr>
          <w:p w14:paraId="16DCEAB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政采云开标大厅</w:t>
            </w:r>
            <w:r>
              <w:rPr>
                <w:rFonts w:hint="eastAsia" w:asciiTheme="minorEastAsia" w:hAnsiTheme="minorEastAsia" w:eastAsiaTheme="minorEastAsia" w:cstheme="minorEastAsia"/>
                <w:sz w:val="24"/>
                <w:szCs w:val="24"/>
                <w:lang w:val="en-GB"/>
              </w:rPr>
              <w:t>（</w:t>
            </w:r>
            <w:r>
              <w:rPr>
                <w:rFonts w:hint="eastAsia" w:asciiTheme="minorEastAsia" w:hAnsiTheme="minorEastAsia" w:eastAsiaTheme="minorEastAsia" w:cstheme="minorEastAsia"/>
                <w:sz w:val="24"/>
                <w:szCs w:val="24"/>
              </w:rPr>
              <w:t>https://www.zcygov.cn在线投标</w:t>
            </w:r>
            <w:r>
              <w:rPr>
                <w:rFonts w:hint="eastAsia" w:asciiTheme="minorEastAsia" w:hAnsiTheme="minorEastAsia" w:eastAsiaTheme="minorEastAsia" w:cstheme="minorEastAsia"/>
                <w:sz w:val="24"/>
                <w:szCs w:val="24"/>
                <w:lang w:val="en-GB"/>
              </w:rPr>
              <w:t>）</w:t>
            </w:r>
          </w:p>
        </w:tc>
      </w:tr>
      <w:tr w14:paraId="655B3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27" w:type="dxa"/>
            <w:vAlign w:val="center"/>
          </w:tcPr>
          <w:p w14:paraId="5A02AEBA">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w:t>
            </w:r>
          </w:p>
        </w:tc>
        <w:tc>
          <w:tcPr>
            <w:tcW w:w="1374" w:type="dxa"/>
            <w:vAlign w:val="center"/>
          </w:tcPr>
          <w:p w14:paraId="2A5A560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联合体</w:t>
            </w:r>
          </w:p>
        </w:tc>
        <w:tc>
          <w:tcPr>
            <w:tcW w:w="6839" w:type="dxa"/>
            <w:shd w:val="clear" w:color="auto" w:fill="auto"/>
            <w:vAlign w:val="center"/>
          </w:tcPr>
          <w:p w14:paraId="7A1E6219">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不接受联合体</w:t>
            </w:r>
          </w:p>
        </w:tc>
      </w:tr>
      <w:tr w14:paraId="6490A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727" w:type="dxa"/>
            <w:vAlign w:val="center"/>
          </w:tcPr>
          <w:p w14:paraId="3FC6B87B">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w:t>
            </w:r>
          </w:p>
        </w:tc>
        <w:tc>
          <w:tcPr>
            <w:tcW w:w="1374" w:type="dxa"/>
            <w:shd w:val="clear" w:color="auto" w:fill="auto"/>
            <w:vAlign w:val="center"/>
          </w:tcPr>
          <w:p w14:paraId="12A415A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投标文件解密时长</w:t>
            </w:r>
          </w:p>
        </w:tc>
        <w:tc>
          <w:tcPr>
            <w:tcW w:w="6839" w:type="dxa"/>
            <w:shd w:val="clear" w:color="auto" w:fill="auto"/>
            <w:vAlign w:val="center"/>
          </w:tcPr>
          <w:p w14:paraId="797EA0F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30分钟（投标人若未在规定时间内完成，所造成的一切后果由投标人自行承担）</w:t>
            </w:r>
          </w:p>
        </w:tc>
      </w:tr>
      <w:tr w14:paraId="65D23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727" w:type="dxa"/>
            <w:vAlign w:val="center"/>
          </w:tcPr>
          <w:p w14:paraId="2FCDB7B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w:t>
            </w:r>
          </w:p>
        </w:tc>
        <w:tc>
          <w:tcPr>
            <w:tcW w:w="1374" w:type="dxa"/>
            <w:shd w:val="clear" w:color="auto" w:fill="auto"/>
            <w:vAlign w:val="center"/>
          </w:tcPr>
          <w:p w14:paraId="6B5DE032">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投标人报价确认报价签字时长</w:t>
            </w:r>
          </w:p>
        </w:tc>
        <w:tc>
          <w:tcPr>
            <w:tcW w:w="6839" w:type="dxa"/>
            <w:shd w:val="clear" w:color="auto" w:fill="auto"/>
            <w:vAlign w:val="center"/>
          </w:tcPr>
          <w:p w14:paraId="01AB813F">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20分钟（投标人若未在规定时间内完成，所造成的一切后果由投标人自行承担）</w:t>
            </w:r>
          </w:p>
        </w:tc>
      </w:tr>
      <w:tr w14:paraId="5CA2A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727" w:type="dxa"/>
            <w:vAlign w:val="center"/>
          </w:tcPr>
          <w:p w14:paraId="0C9CAE3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w:t>
            </w:r>
          </w:p>
        </w:tc>
        <w:tc>
          <w:tcPr>
            <w:tcW w:w="1374" w:type="dxa"/>
            <w:vAlign w:val="center"/>
          </w:tcPr>
          <w:p w14:paraId="4095F41D">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投标有效期</w:t>
            </w:r>
          </w:p>
        </w:tc>
        <w:tc>
          <w:tcPr>
            <w:tcW w:w="6839" w:type="dxa"/>
            <w:vAlign w:val="center"/>
          </w:tcPr>
          <w:p w14:paraId="0DB1AECD">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90日（从递交投标文件截止日起计算）</w:t>
            </w:r>
          </w:p>
        </w:tc>
      </w:tr>
      <w:tr w14:paraId="67515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727" w:type="dxa"/>
            <w:vAlign w:val="center"/>
          </w:tcPr>
          <w:p w14:paraId="50CA3CF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w:t>
            </w:r>
          </w:p>
        </w:tc>
        <w:tc>
          <w:tcPr>
            <w:tcW w:w="1374" w:type="dxa"/>
            <w:vAlign w:val="center"/>
          </w:tcPr>
          <w:p w14:paraId="75DEC8A2">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投标保证金</w:t>
            </w:r>
          </w:p>
        </w:tc>
        <w:tc>
          <w:tcPr>
            <w:tcW w:w="6839" w:type="dxa"/>
            <w:shd w:val="clear" w:color="auto" w:fill="auto"/>
            <w:vAlign w:val="center"/>
          </w:tcPr>
          <w:p w14:paraId="776BE4C8">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投标保证金缴纳形式：支票、汇票、本票或者金融机构、保险公司、担保机构出具的电子保函等非现金形式缴纳或提交保证金。优先以政采云电子保函方式缴纳，具体办理流程详见新疆政府采购网《新疆维吾尔自治区政府采购电子保函工作方案》。投标人以电子保函形式缴纳投标保证金的，应通过“新疆政府采购网”的“电子保函”模块申请购买：</w:t>
            </w:r>
          </w:p>
          <w:p w14:paraId="1B5BC22E">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直达链接（电子保函）：</w:t>
            </w:r>
          </w:p>
          <w:p w14:paraId="10EE9A94">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https://jinrong.zcygov.cn/luban/finance/letter/xinjia</w:t>
            </w:r>
          </w:p>
          <w:p w14:paraId="7E62FFC2">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ng?pageModelFlag=650000</w:t>
            </w:r>
          </w:p>
          <w:p w14:paraId="1AE2C4E0">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金融服务支撑热线：0991-2661159</w:t>
            </w:r>
          </w:p>
          <w:p w14:paraId="2763808D">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投标保证金金额：</w:t>
            </w:r>
            <w:r>
              <w:rPr>
                <w:rFonts w:hint="eastAsia" w:asciiTheme="minorEastAsia" w:hAnsiTheme="minorEastAsia" w:eastAsiaTheme="minorEastAsia" w:cstheme="minorEastAsia"/>
                <w:sz w:val="24"/>
                <w:szCs w:val="24"/>
                <w:highlight w:val="none"/>
                <w:lang w:val="en-US" w:bidi="zh-CN"/>
              </w:rPr>
              <w:t>1</w:t>
            </w:r>
            <w:r>
              <w:rPr>
                <w:rFonts w:hint="eastAsia" w:asciiTheme="minorEastAsia" w:hAnsiTheme="minorEastAsia" w:eastAsiaTheme="minorEastAsia" w:cstheme="minorEastAsia"/>
                <w:sz w:val="24"/>
                <w:szCs w:val="24"/>
                <w:highlight w:val="none"/>
                <w:lang w:val="zh-CN" w:bidi="zh-CN"/>
              </w:rPr>
              <w:t>4000元，大写：</w:t>
            </w:r>
            <w:r>
              <w:rPr>
                <w:rFonts w:hint="eastAsia" w:asciiTheme="minorEastAsia" w:hAnsiTheme="minorEastAsia" w:eastAsiaTheme="minorEastAsia" w:cstheme="minorEastAsia"/>
                <w:sz w:val="24"/>
                <w:szCs w:val="24"/>
                <w:highlight w:val="none"/>
                <w:lang w:val="en-US" w:bidi="zh-CN"/>
              </w:rPr>
              <w:t>壹万肆仟</w:t>
            </w:r>
            <w:r>
              <w:rPr>
                <w:rFonts w:hint="eastAsia" w:asciiTheme="minorEastAsia" w:hAnsiTheme="minorEastAsia" w:eastAsiaTheme="minorEastAsia" w:cstheme="minorEastAsia"/>
                <w:sz w:val="24"/>
                <w:szCs w:val="24"/>
                <w:highlight w:val="none"/>
                <w:lang w:val="zh-CN" w:bidi="zh-CN"/>
              </w:rPr>
              <w:t>元整</w:t>
            </w:r>
          </w:p>
          <w:p w14:paraId="4D787C5D">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收款单位：新疆锦瑞祥工程项目咨询管理有限公司</w:t>
            </w:r>
          </w:p>
          <w:p w14:paraId="34D0DBDF">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账号：736070100100149944</w:t>
            </w:r>
          </w:p>
          <w:p w14:paraId="1853A3A8">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开户行：新疆银行巴音郭楞分行</w:t>
            </w:r>
          </w:p>
          <w:p w14:paraId="17BFFA7C">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行号：313888000021</w:t>
            </w:r>
          </w:p>
          <w:p w14:paraId="418B3343">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highlight w:val="none"/>
                <w:lang w:val="zh-CN" w:bidi="zh-CN"/>
              </w:rPr>
            </w:pPr>
            <w:r>
              <w:rPr>
                <w:rFonts w:hint="eastAsia" w:asciiTheme="minorEastAsia" w:hAnsiTheme="minorEastAsia" w:eastAsiaTheme="minorEastAsia" w:cstheme="minorEastAsia"/>
                <w:sz w:val="24"/>
                <w:szCs w:val="24"/>
                <w:highlight w:val="none"/>
                <w:lang w:val="zh-CN" w:bidi="zh-CN"/>
              </w:rPr>
              <w:t>投标保证金缴纳截止时间：投标保证金在2025年</w:t>
            </w:r>
            <w:r>
              <w:rPr>
                <w:rFonts w:hint="eastAsia" w:asciiTheme="minorEastAsia" w:hAnsiTheme="minorEastAsia" w:eastAsiaTheme="minorEastAsia" w:cstheme="minorEastAsia"/>
                <w:sz w:val="24"/>
                <w:szCs w:val="24"/>
                <w:highlight w:val="none"/>
                <w:lang w:val="en-US" w:bidi="zh-CN"/>
              </w:rPr>
              <w:t>4</w:t>
            </w:r>
            <w:r>
              <w:rPr>
                <w:rFonts w:hint="eastAsia" w:asciiTheme="minorEastAsia" w:hAnsiTheme="minorEastAsia" w:eastAsiaTheme="minorEastAsia" w:cstheme="minorEastAsia"/>
                <w:sz w:val="24"/>
                <w:szCs w:val="24"/>
                <w:highlight w:val="none"/>
                <w:lang w:val="zh-CN" w:bidi="zh-CN"/>
              </w:rPr>
              <w:t>月</w:t>
            </w:r>
            <w:r>
              <w:rPr>
                <w:rFonts w:hint="eastAsia" w:asciiTheme="minorEastAsia" w:hAnsiTheme="minorEastAsia" w:eastAsiaTheme="minorEastAsia" w:cstheme="minorEastAsia"/>
                <w:sz w:val="24"/>
                <w:szCs w:val="24"/>
                <w:highlight w:val="none"/>
                <w:lang w:val="en-US" w:bidi="zh-CN"/>
              </w:rPr>
              <w:t>1</w:t>
            </w:r>
            <w:r>
              <w:rPr>
                <w:rFonts w:hint="eastAsia" w:asciiTheme="minorEastAsia" w:hAnsiTheme="minorEastAsia" w:eastAsiaTheme="minorEastAsia" w:cstheme="minorEastAsia"/>
                <w:sz w:val="24"/>
                <w:szCs w:val="24"/>
                <w:highlight w:val="none"/>
                <w:lang w:val="zh-CN" w:bidi="zh-CN"/>
              </w:rPr>
              <w:t>日11:00（北京时间）</w:t>
            </w:r>
          </w:p>
          <w:p w14:paraId="267250E0">
            <w:pPr>
              <w:pStyle w:val="32"/>
              <w:keepNext w:val="0"/>
              <w:keepLines w:val="0"/>
              <w:pageBreakBefore w:val="0"/>
              <w:suppressLineNumbers w:val="0"/>
              <w:tabs>
                <w:tab w:val="left" w:pos="709"/>
                <w:tab w:val="left" w:pos="840"/>
              </w:tabs>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highlight w:val="none"/>
                <w:lang w:val="zh-CN" w:bidi="zh-CN"/>
              </w:rPr>
              <w:t>投标保证金汇款凭证上（用途或备注或附言）应注明本项目编号</w:t>
            </w:r>
            <w:r>
              <w:rPr>
                <w:rFonts w:hint="eastAsia" w:asciiTheme="minorEastAsia" w:hAnsiTheme="minorEastAsia" w:eastAsiaTheme="minorEastAsia" w:cstheme="minorEastAsia"/>
                <w:color w:val="auto"/>
                <w:sz w:val="24"/>
                <w:szCs w:val="24"/>
                <w:highlight w:val="none"/>
                <w:shd w:val="clear" w:color="auto" w:fill="auto"/>
                <w:lang w:val="zh-CN" w:bidi="zh-CN"/>
              </w:rPr>
              <w:t>[标准格式：XJJRX-GKZB(2025)-0227]。</w:t>
            </w:r>
          </w:p>
        </w:tc>
      </w:tr>
      <w:tr w14:paraId="1C036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727" w:type="dxa"/>
            <w:vAlign w:val="center"/>
          </w:tcPr>
          <w:p w14:paraId="01588162">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18</w:t>
            </w:r>
          </w:p>
        </w:tc>
        <w:tc>
          <w:tcPr>
            <w:tcW w:w="1374" w:type="dxa"/>
            <w:vAlign w:val="center"/>
          </w:tcPr>
          <w:p w14:paraId="1F5CD327">
            <w:pPr>
              <w:pStyle w:val="33"/>
              <w:keepNext w:val="0"/>
              <w:keepLines w:val="0"/>
              <w:pageBreakBefore w:val="0"/>
              <w:suppressLineNumbers w:val="0"/>
              <w:kinsoku/>
              <w:wordWrap/>
              <w:overflowPunct/>
              <w:topLinePunct w:val="0"/>
              <w:bidi w:val="0"/>
              <w:snapToGrid/>
              <w:spacing w:before="21"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en-US" w:bidi="ar-SA"/>
              </w:rPr>
            </w:pPr>
            <w:r>
              <w:rPr>
                <w:rFonts w:hint="eastAsia" w:asciiTheme="minorEastAsia" w:hAnsiTheme="minorEastAsia" w:eastAsiaTheme="minorEastAsia" w:cstheme="minorEastAsia"/>
                <w:sz w:val="24"/>
                <w:szCs w:val="24"/>
                <w:lang w:val="en-US" w:bidi="ar-SA"/>
              </w:rPr>
              <w:t>招标文件</w:t>
            </w:r>
          </w:p>
          <w:p w14:paraId="1BD8B6C9">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发售时间</w:t>
            </w:r>
          </w:p>
        </w:tc>
        <w:tc>
          <w:tcPr>
            <w:tcW w:w="6839" w:type="dxa"/>
            <w:vAlign w:val="center"/>
          </w:tcPr>
          <w:p w14:paraId="672E03D7">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val="zh-CN" w:bidi="zh-CN"/>
              </w:rPr>
              <w:t>发售时间：</w:t>
            </w:r>
            <w:r>
              <w:rPr>
                <w:rFonts w:hint="eastAsia" w:asciiTheme="minorEastAsia" w:hAnsiTheme="minorEastAsia" w:eastAsiaTheme="minorEastAsia" w:cstheme="minorEastAsia"/>
                <w:sz w:val="24"/>
                <w:szCs w:val="24"/>
                <w:highlight w:val="none"/>
                <w:lang w:bidi="zh-CN"/>
              </w:rPr>
              <w:t>2025年</w:t>
            </w:r>
            <w:r>
              <w:rPr>
                <w:rFonts w:hint="eastAsia" w:asciiTheme="minorEastAsia" w:hAnsiTheme="minorEastAsia" w:eastAsiaTheme="minorEastAsia" w:cstheme="minorEastAsia"/>
                <w:sz w:val="24"/>
                <w:szCs w:val="24"/>
                <w:highlight w:val="none"/>
                <w:lang w:val="en-US" w:bidi="zh-CN"/>
              </w:rPr>
              <w:t>3</w:t>
            </w:r>
            <w:r>
              <w:rPr>
                <w:rFonts w:hint="eastAsia" w:asciiTheme="minorEastAsia" w:hAnsiTheme="minorEastAsia" w:eastAsiaTheme="minorEastAsia" w:cstheme="minorEastAsia"/>
                <w:sz w:val="24"/>
                <w:szCs w:val="24"/>
                <w:highlight w:val="none"/>
                <w:lang w:bidi="zh-CN"/>
              </w:rPr>
              <w:t>月</w:t>
            </w:r>
            <w:r>
              <w:rPr>
                <w:rFonts w:hint="eastAsia" w:asciiTheme="minorEastAsia" w:hAnsiTheme="minorEastAsia" w:eastAsiaTheme="minorEastAsia" w:cstheme="minorEastAsia"/>
                <w:sz w:val="24"/>
                <w:szCs w:val="24"/>
                <w:highlight w:val="none"/>
                <w:lang w:val="en-US" w:bidi="zh-CN"/>
              </w:rPr>
              <w:t>12</w:t>
            </w:r>
            <w:r>
              <w:rPr>
                <w:rFonts w:hint="eastAsia" w:asciiTheme="minorEastAsia" w:hAnsiTheme="minorEastAsia" w:eastAsiaTheme="minorEastAsia" w:cstheme="minorEastAsia"/>
                <w:sz w:val="24"/>
                <w:szCs w:val="24"/>
                <w:highlight w:val="none"/>
                <w:lang w:bidi="zh-CN"/>
              </w:rPr>
              <w:t>日</w:t>
            </w:r>
            <w:r>
              <w:rPr>
                <w:rFonts w:hint="eastAsia" w:asciiTheme="minorEastAsia" w:hAnsiTheme="minorEastAsia" w:eastAsiaTheme="minorEastAsia" w:cstheme="minorEastAsia"/>
                <w:sz w:val="24"/>
                <w:szCs w:val="24"/>
                <w:highlight w:val="none"/>
                <w:lang w:val="zh-CN" w:bidi="zh-CN"/>
              </w:rPr>
              <w:t>至</w:t>
            </w:r>
            <w:r>
              <w:rPr>
                <w:rFonts w:hint="eastAsia" w:asciiTheme="minorEastAsia" w:hAnsiTheme="minorEastAsia" w:eastAsiaTheme="minorEastAsia" w:cstheme="minorEastAsia"/>
                <w:sz w:val="24"/>
                <w:szCs w:val="24"/>
                <w:highlight w:val="none"/>
                <w:lang w:bidi="zh-CN"/>
              </w:rPr>
              <w:t>2025年</w:t>
            </w:r>
            <w:r>
              <w:rPr>
                <w:rFonts w:hint="eastAsia" w:asciiTheme="minorEastAsia" w:hAnsiTheme="minorEastAsia" w:eastAsiaTheme="minorEastAsia" w:cstheme="minorEastAsia"/>
                <w:sz w:val="24"/>
                <w:szCs w:val="24"/>
                <w:highlight w:val="none"/>
                <w:lang w:val="en-US" w:bidi="zh-CN"/>
              </w:rPr>
              <w:t>3月19日</w:t>
            </w:r>
          </w:p>
          <w:p w14:paraId="020CA421">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val="zh-CN" w:bidi="zh-CN"/>
              </w:rPr>
              <w:t>上午：</w:t>
            </w:r>
            <w:r>
              <w:rPr>
                <w:rFonts w:hint="eastAsia" w:asciiTheme="minorEastAsia" w:hAnsiTheme="minorEastAsia" w:eastAsiaTheme="minorEastAsia" w:cstheme="minorEastAsia"/>
                <w:sz w:val="24"/>
                <w:szCs w:val="24"/>
                <w:lang w:bidi="zh-CN"/>
              </w:rPr>
              <w:t>10</w:t>
            </w:r>
            <w:r>
              <w:rPr>
                <w:rFonts w:hint="eastAsia" w:asciiTheme="minorEastAsia" w:hAnsiTheme="minorEastAsia" w:eastAsiaTheme="minorEastAsia" w:cstheme="minorEastAsia"/>
                <w:sz w:val="24"/>
                <w:szCs w:val="24"/>
                <w:lang w:val="zh-CN" w:bidi="zh-CN"/>
              </w:rPr>
              <w:t>:</w:t>
            </w:r>
            <w:r>
              <w:rPr>
                <w:rFonts w:hint="eastAsia" w:asciiTheme="minorEastAsia" w:hAnsiTheme="minorEastAsia" w:eastAsiaTheme="minorEastAsia" w:cstheme="minorEastAsia"/>
                <w:sz w:val="24"/>
                <w:szCs w:val="24"/>
                <w:lang w:bidi="zh-CN"/>
              </w:rPr>
              <w:t>0</w:t>
            </w:r>
            <w:r>
              <w:rPr>
                <w:rFonts w:hint="eastAsia" w:asciiTheme="minorEastAsia" w:hAnsiTheme="minorEastAsia" w:eastAsiaTheme="minorEastAsia" w:cstheme="minorEastAsia"/>
                <w:sz w:val="24"/>
                <w:szCs w:val="24"/>
                <w:lang w:val="zh-CN" w:bidi="zh-CN"/>
              </w:rPr>
              <w:t>0至1</w:t>
            </w:r>
            <w:r>
              <w:rPr>
                <w:rFonts w:hint="eastAsia" w:asciiTheme="minorEastAsia" w:hAnsiTheme="minorEastAsia" w:eastAsiaTheme="minorEastAsia" w:cstheme="minorEastAsia"/>
                <w:sz w:val="24"/>
                <w:szCs w:val="24"/>
                <w:lang w:bidi="zh-CN"/>
              </w:rPr>
              <w:t>4</w:t>
            </w:r>
            <w:r>
              <w:rPr>
                <w:rFonts w:hint="eastAsia" w:asciiTheme="minorEastAsia" w:hAnsiTheme="minorEastAsia" w:eastAsiaTheme="minorEastAsia" w:cstheme="minorEastAsia"/>
                <w:sz w:val="24"/>
                <w:szCs w:val="24"/>
                <w:lang w:val="zh-CN" w:bidi="zh-CN"/>
              </w:rPr>
              <w:t>:</w:t>
            </w:r>
            <w:r>
              <w:rPr>
                <w:rFonts w:hint="eastAsia" w:asciiTheme="minorEastAsia" w:hAnsiTheme="minorEastAsia" w:eastAsiaTheme="minorEastAsia" w:cstheme="minorEastAsia"/>
                <w:sz w:val="24"/>
                <w:szCs w:val="24"/>
                <w:lang w:bidi="zh-CN"/>
              </w:rPr>
              <w:t>0</w:t>
            </w:r>
            <w:r>
              <w:rPr>
                <w:rFonts w:hint="eastAsia" w:asciiTheme="minorEastAsia" w:hAnsiTheme="minorEastAsia" w:eastAsiaTheme="minorEastAsia" w:cstheme="minorEastAsia"/>
                <w:sz w:val="24"/>
                <w:szCs w:val="24"/>
                <w:lang w:val="zh-CN" w:bidi="zh-CN"/>
              </w:rPr>
              <w:t>0</w:t>
            </w:r>
          </w:p>
          <w:p w14:paraId="0625CF3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val="zh-CN" w:bidi="zh-CN"/>
              </w:rPr>
              <w:t>下午：</w:t>
            </w:r>
            <w:r>
              <w:rPr>
                <w:rFonts w:hint="eastAsia" w:asciiTheme="minorEastAsia" w:hAnsiTheme="minorEastAsia" w:eastAsiaTheme="minorEastAsia" w:cstheme="minorEastAsia"/>
                <w:sz w:val="24"/>
                <w:szCs w:val="24"/>
                <w:lang w:val="en-US" w:bidi="zh-CN"/>
              </w:rPr>
              <w:t>15</w:t>
            </w:r>
            <w:r>
              <w:rPr>
                <w:rFonts w:hint="eastAsia" w:asciiTheme="minorEastAsia" w:hAnsiTheme="minorEastAsia" w:eastAsiaTheme="minorEastAsia" w:cstheme="minorEastAsia"/>
                <w:sz w:val="24"/>
                <w:szCs w:val="24"/>
                <w:lang w:val="zh-CN" w:bidi="zh-CN"/>
              </w:rPr>
              <w:t>:</w:t>
            </w:r>
            <w:r>
              <w:rPr>
                <w:rFonts w:hint="eastAsia" w:asciiTheme="minorEastAsia" w:hAnsiTheme="minorEastAsia" w:eastAsiaTheme="minorEastAsia" w:cstheme="minorEastAsia"/>
                <w:sz w:val="24"/>
                <w:szCs w:val="24"/>
                <w:lang w:val="en-US" w:bidi="zh-CN"/>
              </w:rPr>
              <w:t>3</w:t>
            </w:r>
            <w:r>
              <w:rPr>
                <w:rFonts w:hint="eastAsia" w:asciiTheme="minorEastAsia" w:hAnsiTheme="minorEastAsia" w:eastAsiaTheme="minorEastAsia" w:cstheme="minorEastAsia"/>
                <w:sz w:val="24"/>
                <w:szCs w:val="24"/>
                <w:lang w:val="zh-CN" w:bidi="zh-CN"/>
              </w:rPr>
              <w:t>0至</w:t>
            </w:r>
            <w:r>
              <w:rPr>
                <w:rFonts w:hint="eastAsia" w:asciiTheme="minorEastAsia" w:hAnsiTheme="minorEastAsia" w:eastAsiaTheme="minorEastAsia" w:cstheme="minorEastAsia"/>
                <w:sz w:val="24"/>
                <w:szCs w:val="24"/>
                <w:lang w:val="en-US" w:bidi="zh-CN"/>
              </w:rPr>
              <w:t>19</w:t>
            </w:r>
            <w:r>
              <w:rPr>
                <w:rFonts w:hint="eastAsia" w:asciiTheme="minorEastAsia" w:hAnsiTheme="minorEastAsia" w:eastAsiaTheme="minorEastAsia" w:cstheme="minorEastAsia"/>
                <w:sz w:val="24"/>
                <w:szCs w:val="24"/>
                <w:lang w:val="zh-CN" w:bidi="zh-CN"/>
              </w:rPr>
              <w:t>:</w:t>
            </w:r>
            <w:r>
              <w:rPr>
                <w:rFonts w:hint="eastAsia" w:asciiTheme="minorEastAsia" w:hAnsiTheme="minorEastAsia" w:eastAsiaTheme="minorEastAsia" w:cstheme="minorEastAsia"/>
                <w:sz w:val="24"/>
                <w:szCs w:val="24"/>
                <w:lang w:val="en-US" w:bidi="zh-CN"/>
              </w:rPr>
              <w:t>3</w:t>
            </w:r>
            <w:r>
              <w:rPr>
                <w:rFonts w:hint="eastAsia" w:asciiTheme="minorEastAsia" w:hAnsiTheme="minorEastAsia" w:eastAsiaTheme="minorEastAsia" w:cstheme="minorEastAsia"/>
                <w:sz w:val="24"/>
                <w:szCs w:val="24"/>
                <w:lang w:val="zh-CN" w:bidi="zh-CN"/>
              </w:rPr>
              <w:t>0（北京时间，法定节假日除外）</w:t>
            </w:r>
          </w:p>
        </w:tc>
      </w:tr>
      <w:tr w14:paraId="023A7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6" w:hRule="atLeast"/>
          <w:jc w:val="center"/>
        </w:trPr>
        <w:tc>
          <w:tcPr>
            <w:tcW w:w="727" w:type="dxa"/>
            <w:vAlign w:val="center"/>
          </w:tcPr>
          <w:p w14:paraId="7BB72173">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19</w:t>
            </w:r>
          </w:p>
        </w:tc>
        <w:tc>
          <w:tcPr>
            <w:tcW w:w="1374" w:type="dxa"/>
            <w:vAlign w:val="center"/>
          </w:tcPr>
          <w:p w14:paraId="5632E9C3">
            <w:pPr>
              <w:pStyle w:val="33"/>
              <w:keepNext w:val="0"/>
              <w:keepLines w:val="0"/>
              <w:pageBreakBefore w:val="0"/>
              <w:suppressLineNumbers w:val="0"/>
              <w:kinsoku/>
              <w:wordWrap/>
              <w:overflowPunct/>
              <w:topLinePunct w:val="0"/>
              <w:bidi w:val="0"/>
              <w:snapToGrid/>
              <w:spacing w:before="21"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投标文件</w:t>
            </w:r>
          </w:p>
          <w:p w14:paraId="0C7CF63B">
            <w:pPr>
              <w:pStyle w:val="33"/>
              <w:keepNext w:val="0"/>
              <w:keepLines w:val="0"/>
              <w:pageBreakBefore w:val="0"/>
              <w:suppressLineNumbers w:val="0"/>
              <w:kinsoku/>
              <w:wordWrap/>
              <w:overflowPunct/>
              <w:topLinePunct w:val="0"/>
              <w:bidi w:val="0"/>
              <w:snapToGrid/>
              <w:spacing w:before="21"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rPr>
              <w:t>递交上传地址</w:t>
            </w:r>
          </w:p>
        </w:tc>
        <w:tc>
          <w:tcPr>
            <w:tcW w:w="6839" w:type="dxa"/>
            <w:shd w:val="clear" w:color="auto" w:fill="auto"/>
            <w:vAlign w:val="center"/>
          </w:tcPr>
          <w:p w14:paraId="0FE26803">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rPr>
              <w:t>政采云线上开标大厅（https://www.zcygov.cn在线投标）（注：采用不见面方式开标的，所有投标人须将资格审查文件及投标文件（须与上传政采云投标文件一致）电子版刻录光盘或U盘一份及纸质版一正二副于</w:t>
            </w:r>
            <w:r>
              <w:rPr>
                <w:rFonts w:hint="eastAsia" w:asciiTheme="minorEastAsia" w:hAnsiTheme="minorEastAsia" w:eastAsiaTheme="minorEastAsia" w:cstheme="minorEastAsia"/>
                <w:sz w:val="24"/>
                <w:szCs w:val="24"/>
                <w:lang w:eastAsia="zh-CN"/>
              </w:rPr>
              <w:t>2025年</w:t>
            </w: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lang w:eastAsia="zh-CN"/>
              </w:rPr>
              <w:t>月</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lang w:eastAsia="zh-CN"/>
              </w:rPr>
              <w:t>日</w:t>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:00分（北京时间）前且盖章处按要求盖章或签字，递交至招标代理公司或以快递方式送达，地址：新疆库尔勒市石化大道天缘商务酒店雷女士，</w:t>
            </w:r>
            <w:r>
              <w:rPr>
                <w:rFonts w:hint="eastAsia" w:asciiTheme="minorEastAsia" w:hAnsiTheme="minorEastAsia" w:eastAsiaTheme="minorEastAsia" w:cstheme="minorEastAsia"/>
                <w:sz w:val="24"/>
                <w:szCs w:val="24"/>
                <w:lang w:eastAsia="zh-CN"/>
              </w:rPr>
              <w:t>17797975425</w:t>
            </w:r>
            <w:r>
              <w:rPr>
                <w:rFonts w:hint="eastAsia" w:asciiTheme="minorEastAsia" w:hAnsiTheme="minorEastAsia" w:eastAsiaTheme="minorEastAsia" w:cstheme="minorEastAsia"/>
                <w:sz w:val="24"/>
                <w:szCs w:val="24"/>
              </w:rPr>
              <w:t>）</w:t>
            </w:r>
          </w:p>
        </w:tc>
      </w:tr>
      <w:tr w14:paraId="45BA2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27" w:type="dxa"/>
            <w:vAlign w:val="center"/>
          </w:tcPr>
          <w:p w14:paraId="0F3791A7">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20</w:t>
            </w:r>
          </w:p>
        </w:tc>
        <w:tc>
          <w:tcPr>
            <w:tcW w:w="1374" w:type="dxa"/>
            <w:vAlign w:val="center"/>
          </w:tcPr>
          <w:p w14:paraId="499BC3E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付款方式</w:t>
            </w:r>
          </w:p>
        </w:tc>
        <w:tc>
          <w:tcPr>
            <w:tcW w:w="6839" w:type="dxa"/>
            <w:shd w:val="clear" w:color="auto" w:fill="auto"/>
            <w:vAlign w:val="center"/>
          </w:tcPr>
          <w:p w14:paraId="1EC54F40">
            <w:pPr>
              <w:keepNext w:val="0"/>
              <w:keepLines w:val="0"/>
              <w:widowControl/>
              <w:suppressLineNumbers w:val="0"/>
              <w:spacing w:before="0" w:beforeAutospacing="0" w:after="0" w:afterAutospacing="0" w:line="360" w:lineRule="auto"/>
              <w:ind w:left="0" w:right="0"/>
              <w:jc w:val="left"/>
              <w:rPr>
                <w:rFonts w:hint="eastAsia" w:asciiTheme="minorEastAsia" w:hAnsiTheme="minorEastAsia" w:eastAsiaTheme="minorEastAsia" w:cstheme="minorEastAsia"/>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签订合同</w:t>
            </w:r>
            <w:r>
              <w:rPr>
                <w:rFonts w:hint="eastAsia" w:ascii="宋体" w:hAnsi="宋体" w:cs="宋体"/>
                <w:color w:val="000000"/>
                <w:kern w:val="0"/>
                <w:sz w:val="24"/>
                <w:szCs w:val="24"/>
                <w:highlight w:val="none"/>
                <w:lang w:val="en-US" w:eastAsia="zh-CN" w:bidi="ar"/>
              </w:rPr>
              <w:t>人员进场</w:t>
            </w:r>
            <w:r>
              <w:rPr>
                <w:rFonts w:hint="eastAsia" w:ascii="宋体" w:hAnsi="宋体" w:eastAsia="宋体" w:cs="宋体"/>
                <w:color w:val="000000"/>
                <w:kern w:val="0"/>
                <w:sz w:val="24"/>
                <w:szCs w:val="24"/>
                <w:highlight w:val="none"/>
                <w:lang w:val="en-US" w:eastAsia="zh-CN" w:bidi="ar"/>
              </w:rPr>
              <w:t>后支付合同价款的</w:t>
            </w:r>
            <w:r>
              <w:rPr>
                <w:rFonts w:hint="eastAsia" w:ascii="宋体" w:hAnsi="宋体" w:cs="宋体"/>
                <w:color w:val="000000"/>
                <w:kern w:val="0"/>
                <w:sz w:val="24"/>
                <w:szCs w:val="24"/>
                <w:highlight w:val="none"/>
                <w:lang w:val="en-US" w:eastAsia="zh-CN" w:bidi="ar"/>
              </w:rPr>
              <w:t>4</w:t>
            </w:r>
            <w:r>
              <w:rPr>
                <w:rFonts w:hint="eastAsia" w:ascii="宋体" w:hAnsi="宋体" w:eastAsia="宋体" w:cs="宋体"/>
                <w:color w:val="000000"/>
                <w:kern w:val="0"/>
                <w:sz w:val="24"/>
                <w:szCs w:val="24"/>
                <w:highlight w:val="none"/>
                <w:lang w:val="en-US" w:eastAsia="zh-CN" w:bidi="ar"/>
              </w:rPr>
              <w:t>0%，</w:t>
            </w:r>
            <w:r>
              <w:rPr>
                <w:rFonts w:hint="eastAsia" w:ascii="宋体" w:hAnsi="宋体" w:cs="宋体"/>
                <w:color w:val="000000"/>
                <w:kern w:val="0"/>
                <w:sz w:val="24"/>
                <w:szCs w:val="24"/>
                <w:highlight w:val="none"/>
                <w:lang w:val="en-US" w:eastAsia="zh-CN" w:bidi="ar"/>
              </w:rPr>
              <w:t>完成外业任务达到60%后</w:t>
            </w:r>
            <w:r>
              <w:rPr>
                <w:rFonts w:hint="eastAsia" w:ascii="宋体" w:hAnsi="宋体" w:eastAsia="宋体" w:cs="宋体"/>
                <w:color w:val="000000"/>
                <w:kern w:val="0"/>
                <w:sz w:val="24"/>
                <w:szCs w:val="24"/>
                <w:highlight w:val="none"/>
                <w:lang w:val="en-US" w:eastAsia="zh-CN" w:bidi="ar"/>
              </w:rPr>
              <w:t>支付合同价款的40%，</w:t>
            </w:r>
            <w:r>
              <w:rPr>
                <w:rFonts w:hint="eastAsia" w:ascii="宋体" w:hAnsi="宋体" w:cs="宋体"/>
                <w:color w:val="000000"/>
                <w:kern w:val="0"/>
                <w:sz w:val="24"/>
                <w:szCs w:val="24"/>
                <w:highlight w:val="none"/>
                <w:lang w:val="en-US" w:eastAsia="zh-CN" w:bidi="ar"/>
              </w:rPr>
              <w:t>完成</w:t>
            </w:r>
            <w:r>
              <w:rPr>
                <w:rFonts w:hint="eastAsia" w:ascii="宋体" w:hAnsi="宋体" w:eastAsia="宋体" w:cs="宋体"/>
                <w:color w:val="000000"/>
                <w:kern w:val="0"/>
                <w:sz w:val="24"/>
                <w:szCs w:val="24"/>
                <w:highlight w:val="none"/>
                <w:lang w:val="en-US" w:eastAsia="zh-CN" w:bidi="ar"/>
              </w:rPr>
              <w:t>本次招标的全部内容并通过验收</w:t>
            </w:r>
            <w:r>
              <w:rPr>
                <w:rFonts w:hint="eastAsia" w:ascii="宋体" w:hAnsi="宋体" w:cs="宋体"/>
                <w:color w:val="000000"/>
                <w:kern w:val="0"/>
                <w:sz w:val="24"/>
                <w:szCs w:val="24"/>
                <w:highlight w:val="none"/>
                <w:lang w:val="en-US" w:eastAsia="zh-CN" w:bidi="ar"/>
              </w:rPr>
              <w:t>后</w:t>
            </w:r>
            <w:r>
              <w:rPr>
                <w:rFonts w:hint="eastAsia" w:ascii="宋体" w:hAnsi="宋体" w:eastAsia="宋体" w:cs="宋体"/>
                <w:color w:val="000000"/>
                <w:kern w:val="0"/>
                <w:sz w:val="24"/>
                <w:szCs w:val="24"/>
                <w:highlight w:val="none"/>
                <w:lang w:val="en-US" w:eastAsia="zh-CN" w:bidi="ar"/>
              </w:rPr>
              <w:t>支付合同价款的</w:t>
            </w:r>
            <w:r>
              <w:rPr>
                <w:rFonts w:hint="eastAsia" w:ascii="宋体" w:hAnsi="宋体" w:cs="宋体"/>
                <w:color w:val="000000"/>
                <w:kern w:val="0"/>
                <w:sz w:val="24"/>
                <w:szCs w:val="24"/>
                <w:highlight w:val="none"/>
                <w:lang w:val="en-US" w:eastAsia="zh-CN" w:bidi="ar"/>
              </w:rPr>
              <w:t>2</w:t>
            </w:r>
            <w:r>
              <w:rPr>
                <w:rFonts w:hint="default" w:ascii="宋体" w:hAnsi="宋体" w:eastAsia="宋体" w:cs="宋体"/>
                <w:color w:val="000000"/>
                <w:kern w:val="0"/>
                <w:sz w:val="24"/>
                <w:szCs w:val="24"/>
                <w:highlight w:val="none"/>
                <w:lang w:val="en-US" w:eastAsia="zh-CN" w:bidi="ar"/>
              </w:rPr>
              <w:t>0%</w:t>
            </w:r>
            <w:r>
              <w:rPr>
                <w:rFonts w:hint="eastAsia" w:ascii="宋体" w:hAnsi="宋体" w:eastAsia="宋体" w:cs="宋体"/>
                <w:color w:val="000000"/>
                <w:kern w:val="0"/>
                <w:sz w:val="24"/>
                <w:szCs w:val="24"/>
                <w:highlight w:val="none"/>
                <w:lang w:val="en-US" w:eastAsia="zh-CN" w:bidi="ar"/>
              </w:rPr>
              <w:t>。</w:t>
            </w:r>
          </w:p>
        </w:tc>
      </w:tr>
      <w:tr w14:paraId="7EB57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27" w:type="dxa"/>
            <w:vAlign w:val="center"/>
          </w:tcPr>
          <w:p w14:paraId="688F34F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w:t>
            </w:r>
          </w:p>
        </w:tc>
        <w:tc>
          <w:tcPr>
            <w:tcW w:w="1374" w:type="dxa"/>
            <w:vAlign w:val="center"/>
          </w:tcPr>
          <w:p w14:paraId="41F444FE">
            <w:pPr>
              <w:keepNext w:val="0"/>
              <w:keepLines w:val="0"/>
              <w:suppressLineNumbers w:val="0"/>
              <w:spacing w:before="0" w:beforeAutospacing="0" w:after="0" w:afterAutospacing="0" w:line="360" w:lineRule="auto"/>
              <w:ind w:left="0" w:right="0"/>
              <w:jc w:val="center"/>
              <w:textAlignment w:val="baseline"/>
              <w:rPr>
                <w:rFonts w:hint="eastAsia" w:asciiTheme="minorEastAsia" w:hAnsiTheme="minorEastAsia" w:eastAsiaTheme="minorEastAsia" w:cstheme="minorEastAsia"/>
                <w:kern w:val="2"/>
                <w:sz w:val="24"/>
                <w:szCs w:val="24"/>
                <w:highlight w:val="none"/>
                <w:lang w:val="en-US" w:eastAsia="zh-CN" w:bidi="ar-SA"/>
              </w:rPr>
            </w:pPr>
            <w:r>
              <w:rPr>
                <w:rFonts w:hint="eastAsia" w:asciiTheme="minorEastAsia" w:hAnsiTheme="minorEastAsia" w:eastAsiaTheme="minorEastAsia" w:cstheme="minorEastAsia"/>
                <w:sz w:val="24"/>
                <w:szCs w:val="24"/>
                <w:highlight w:val="none"/>
                <w:lang w:val="en-US" w:eastAsia="zh-CN"/>
              </w:rPr>
              <w:t>履约保证金</w:t>
            </w:r>
          </w:p>
        </w:tc>
        <w:tc>
          <w:tcPr>
            <w:tcW w:w="6839" w:type="dxa"/>
            <w:vAlign w:val="center"/>
          </w:tcPr>
          <w:p w14:paraId="6459697A">
            <w:pPr>
              <w:keepNext w:val="0"/>
              <w:keepLines w:val="0"/>
              <w:suppressLineNumbers w:val="0"/>
              <w:spacing w:before="0" w:beforeAutospacing="0" w:after="0" w:afterAutospacing="0" w:line="360" w:lineRule="auto"/>
              <w:ind w:left="0" w:right="0"/>
              <w:jc w:val="left"/>
              <w:textAlignment w:val="baseline"/>
              <w:rPr>
                <w:rFonts w:hint="eastAsia" w:asciiTheme="minorEastAsia" w:hAnsiTheme="minorEastAsia" w:eastAsiaTheme="minorEastAsia" w:cstheme="minorEastAsia"/>
                <w:kern w:val="2"/>
                <w:sz w:val="24"/>
                <w:szCs w:val="24"/>
                <w:highlight w:val="none"/>
                <w:lang w:val="en-US" w:eastAsia="zh-CN" w:bidi="zh-CN"/>
              </w:rPr>
            </w:pPr>
            <w:r>
              <w:rPr>
                <w:rFonts w:hint="eastAsia" w:asciiTheme="minorEastAsia" w:hAnsiTheme="minorEastAsia" w:eastAsiaTheme="minorEastAsia" w:cstheme="minorEastAsia"/>
                <w:kern w:val="2"/>
                <w:sz w:val="24"/>
                <w:szCs w:val="24"/>
                <w:highlight w:val="none"/>
                <w:lang w:val="en-US" w:eastAsia="zh-CN" w:bidi="zh-CN"/>
              </w:rPr>
              <w:t>签订合同后7日内，供应商提供开户银行基本户银行履约保函（或采购人所在地银行履约保函、保险公司保函），担保公司保函无效。金额为中标价的 5%，项目验收完成后 15 个工作日内给予解除相关手续。</w:t>
            </w:r>
          </w:p>
        </w:tc>
      </w:tr>
      <w:tr w14:paraId="6FE98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27" w:type="dxa"/>
            <w:vAlign w:val="center"/>
          </w:tcPr>
          <w:p w14:paraId="5F1EC39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22</w:t>
            </w:r>
          </w:p>
        </w:tc>
        <w:tc>
          <w:tcPr>
            <w:tcW w:w="1374" w:type="dxa"/>
            <w:vAlign w:val="center"/>
          </w:tcPr>
          <w:p w14:paraId="61A775E8">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最高限价</w:t>
            </w:r>
          </w:p>
        </w:tc>
        <w:tc>
          <w:tcPr>
            <w:tcW w:w="6839" w:type="dxa"/>
            <w:vAlign w:val="center"/>
          </w:tcPr>
          <w:p w14:paraId="4E8E843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bidi="zh-CN"/>
              </w:rPr>
              <w:t>72万元</w:t>
            </w:r>
            <w:r>
              <w:rPr>
                <w:rFonts w:hint="eastAsia" w:asciiTheme="minorEastAsia" w:hAnsiTheme="minorEastAsia" w:eastAsiaTheme="minorEastAsia" w:cstheme="minorEastAsia"/>
                <w:sz w:val="24"/>
                <w:szCs w:val="24"/>
                <w:lang w:val="zh-CN" w:bidi="zh-CN"/>
              </w:rPr>
              <w:t>（投标报价高于最高限价的，作为废标处理）</w:t>
            </w:r>
          </w:p>
        </w:tc>
      </w:tr>
      <w:tr w14:paraId="4AF79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727" w:type="dxa"/>
            <w:vAlign w:val="center"/>
          </w:tcPr>
          <w:p w14:paraId="772454AD">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23</w:t>
            </w:r>
          </w:p>
        </w:tc>
        <w:tc>
          <w:tcPr>
            <w:tcW w:w="1374" w:type="dxa"/>
            <w:vAlign w:val="center"/>
          </w:tcPr>
          <w:p w14:paraId="2C3EB9E2">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招标代理服务费</w:t>
            </w:r>
          </w:p>
        </w:tc>
        <w:tc>
          <w:tcPr>
            <w:tcW w:w="6839" w:type="dxa"/>
            <w:vAlign w:val="center"/>
          </w:tcPr>
          <w:p w14:paraId="6D365119">
            <w:pPr>
              <w:pStyle w:val="33"/>
              <w:keepNext w:val="0"/>
              <w:keepLines w:val="0"/>
              <w:pageBreakBefore w:val="0"/>
              <w:suppressLineNumbers w:val="0"/>
              <w:kinsoku/>
              <w:wordWrap/>
              <w:overflowPunct/>
              <w:topLinePunct w:val="0"/>
              <w:bidi w:val="0"/>
              <w:snapToGrid/>
              <w:spacing w:before="2" w:beforeAutospacing="0" w:after="0" w:afterAutospacing="0" w:line="360" w:lineRule="auto"/>
              <w:ind w:left="0" w:right="95"/>
              <w:jc w:val="both"/>
              <w:textAlignment w:val="auto"/>
              <w:outlineLvl w:val="1"/>
              <w:rPr>
                <w:rFonts w:hint="default" w:asciiTheme="minorEastAsia" w:hAnsiTheme="minorEastAsia" w:eastAsiaTheme="minorEastAsia" w:cstheme="minorEastAsia"/>
                <w:bCs/>
                <w:sz w:val="24"/>
                <w:szCs w:val="24"/>
                <w:lang w:val="en-US" w:eastAsia="zh-CN"/>
              </w:rPr>
            </w:pPr>
            <w:r>
              <w:rPr>
                <w:rFonts w:hint="eastAsia" w:asciiTheme="minorEastAsia" w:hAnsiTheme="minorEastAsia" w:eastAsiaTheme="minorEastAsia" w:cstheme="minorEastAsia"/>
                <w:sz w:val="24"/>
                <w:szCs w:val="24"/>
              </w:rPr>
              <w:t>1、代理报酬：</w:t>
            </w:r>
            <w:r>
              <w:rPr>
                <w:rFonts w:hint="eastAsia" w:asciiTheme="minorEastAsia" w:hAnsiTheme="minorEastAsia" w:eastAsiaTheme="minorEastAsia" w:cstheme="minorEastAsia"/>
                <w:sz w:val="24"/>
                <w:szCs w:val="24"/>
                <w:lang w:val="en-US" w:eastAsia="zh-CN"/>
              </w:rPr>
              <w:t>6510元</w:t>
            </w:r>
          </w:p>
          <w:p w14:paraId="04F7639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val="zh-CN" w:bidi="zh-CN"/>
              </w:rPr>
              <w:t>2、代理报酬支付方式：由中标人支付</w:t>
            </w:r>
          </w:p>
          <w:p w14:paraId="08DE4D9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val="zh-CN" w:bidi="zh-CN"/>
              </w:rPr>
              <w:t>3、代理报酬的支付时间：由中标人领取中标通知书前支付</w:t>
            </w:r>
          </w:p>
        </w:tc>
      </w:tr>
      <w:tr w14:paraId="3B1ED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7" w:type="dxa"/>
            <w:vAlign w:val="center"/>
          </w:tcPr>
          <w:p w14:paraId="0DE39AC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24</w:t>
            </w:r>
          </w:p>
        </w:tc>
        <w:tc>
          <w:tcPr>
            <w:tcW w:w="1374" w:type="dxa"/>
            <w:vAlign w:val="center"/>
          </w:tcPr>
          <w:p w14:paraId="0813279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质疑须知</w:t>
            </w:r>
          </w:p>
        </w:tc>
        <w:tc>
          <w:tcPr>
            <w:tcW w:w="6839" w:type="dxa"/>
            <w:vAlign w:val="center"/>
          </w:tcPr>
          <w:p w14:paraId="3F7307F1">
            <w:pPr>
              <w:pStyle w:val="44"/>
              <w:keepNext w:val="0"/>
              <w:keepLines w:val="0"/>
              <w:pageBreakBefore w:val="0"/>
              <w:suppressLineNumbers w:val="0"/>
              <w:kinsoku/>
              <w:wordWrap/>
              <w:overflowPunct/>
              <w:topLinePunct w:val="0"/>
              <w:bidi w:val="0"/>
              <w:snapToGrid/>
              <w:spacing w:before="0" w:beforeAutospacing="0" w:after="0" w:afterAutospacing="0" w:line="360" w:lineRule="auto"/>
              <w:ind w:left="433" w:right="0" w:hanging="494" w:hangingChars="206"/>
              <w:jc w:val="both"/>
              <w:textAlignment w:val="auto"/>
              <w:rPr>
                <w:rFonts w:hint="eastAsia" w:asciiTheme="minorEastAsia" w:hAnsiTheme="minorEastAsia" w:eastAsiaTheme="minorEastAsia" w:cstheme="minorEastAsia"/>
                <w:kern w:val="2"/>
                <w:sz w:val="24"/>
                <w:szCs w:val="24"/>
                <w:lang w:val="zh-CN" w:bidi="zh-CN"/>
              </w:rPr>
            </w:pPr>
            <w:r>
              <w:rPr>
                <w:rFonts w:hint="eastAsia" w:asciiTheme="minorEastAsia" w:hAnsiTheme="minorEastAsia" w:eastAsiaTheme="minorEastAsia" w:cstheme="minorEastAsia"/>
                <w:kern w:val="2"/>
                <w:sz w:val="24"/>
                <w:szCs w:val="24"/>
                <w:lang w:bidi="zh-CN"/>
              </w:rPr>
              <w:t>1、</w:t>
            </w:r>
            <w:r>
              <w:rPr>
                <w:rFonts w:hint="eastAsia" w:asciiTheme="minorEastAsia" w:hAnsiTheme="minorEastAsia" w:eastAsiaTheme="minorEastAsia" w:cstheme="minorEastAsia"/>
                <w:kern w:val="2"/>
                <w:sz w:val="24"/>
                <w:szCs w:val="24"/>
                <w:lang w:val="zh-CN" w:bidi="zh-CN"/>
              </w:rPr>
              <w:t>接收质疑函的方式：现场递交纸质版及Word格式电子版质疑文件至接收</w:t>
            </w:r>
          </w:p>
          <w:p w14:paraId="2FD73564">
            <w:pPr>
              <w:pStyle w:val="15"/>
              <w:keepNext w:val="0"/>
              <w:keepLines w:val="0"/>
              <w:pageBreakBefore w:val="0"/>
              <w:suppressLineNumbers w:val="0"/>
              <w:kinsoku/>
              <w:wordWrap/>
              <w:overflowPunct/>
              <w:topLinePunct w:val="0"/>
              <w:bidi w:val="0"/>
              <w:snapToGrid/>
              <w:spacing w:before="0" w:beforeAutospacing="0" w:after="0" w:afterAutospacing="0" w:line="360" w:lineRule="auto"/>
              <w:ind w:left="0" w:right="0" w:firstLine="0" w:firstLineChars="0"/>
              <w:jc w:val="both"/>
              <w:textAlignment w:val="auto"/>
              <w:rPr>
                <w:rFonts w:hint="eastAsia" w:asciiTheme="minorEastAsia" w:hAnsiTheme="minorEastAsia" w:eastAsiaTheme="minorEastAsia" w:cstheme="minorEastAsia"/>
                <w:sz w:val="24"/>
                <w:szCs w:val="24"/>
                <w:lang w:bidi="zh-CN"/>
              </w:rPr>
            </w:pPr>
            <w:r>
              <w:rPr>
                <w:rFonts w:hint="eastAsia" w:asciiTheme="minorEastAsia" w:hAnsiTheme="minorEastAsia" w:eastAsiaTheme="minorEastAsia" w:cstheme="minorEastAsia"/>
                <w:sz w:val="24"/>
                <w:szCs w:val="24"/>
                <w:lang w:bidi="zh-CN"/>
              </w:rPr>
              <w:t>2、接受质疑函的单位：新疆锦瑞祥工程项目咨询管理有限公司</w:t>
            </w:r>
          </w:p>
          <w:p w14:paraId="4F1BDD4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bidi="zh-CN"/>
              </w:rPr>
            </w:pPr>
            <w:r>
              <w:rPr>
                <w:rFonts w:hint="eastAsia" w:asciiTheme="minorEastAsia" w:hAnsiTheme="minorEastAsia" w:eastAsiaTheme="minorEastAsia" w:cstheme="minorEastAsia"/>
                <w:sz w:val="24"/>
                <w:szCs w:val="24"/>
                <w:lang w:bidi="zh-CN"/>
              </w:rPr>
              <w:t>地址：新疆库尔勒市石化大道天缘商务酒店4楼616室</w:t>
            </w:r>
          </w:p>
        </w:tc>
      </w:tr>
      <w:tr w14:paraId="6AB70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7" w:type="dxa"/>
            <w:vAlign w:val="center"/>
          </w:tcPr>
          <w:p w14:paraId="675D4EB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25</w:t>
            </w:r>
          </w:p>
        </w:tc>
        <w:tc>
          <w:tcPr>
            <w:tcW w:w="1374" w:type="dxa"/>
            <w:vAlign w:val="center"/>
          </w:tcPr>
          <w:p w14:paraId="3E07D35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政府采购政策支持</w:t>
            </w:r>
          </w:p>
        </w:tc>
        <w:tc>
          <w:tcPr>
            <w:tcW w:w="6839" w:type="dxa"/>
            <w:vAlign w:val="center"/>
          </w:tcPr>
          <w:p w14:paraId="26FB9B96">
            <w:pPr>
              <w:pStyle w:val="33"/>
              <w:keepNext w:val="0"/>
              <w:keepLines w:val="0"/>
              <w:pageBreakBefore w:val="0"/>
              <w:suppressLineNumbers w:val="0"/>
              <w:tabs>
                <w:tab w:val="left" w:pos="636"/>
              </w:tabs>
              <w:kinsoku/>
              <w:wordWrap/>
              <w:overflowPunct/>
              <w:topLinePunct w:val="0"/>
              <w:bidi w:val="0"/>
              <w:snapToGrid/>
              <w:spacing w:before="21" w:beforeAutospacing="0" w:after="0" w:afterAutospacing="0" w:line="360" w:lineRule="auto"/>
              <w:ind w:left="107" w:right="98"/>
              <w:jc w:val="both"/>
              <w:textAlignment w:val="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rPr>
              <w:t>1、</w:t>
            </w:r>
            <w:r>
              <w:rPr>
                <w:rFonts w:hint="eastAsia" w:asciiTheme="minorEastAsia" w:hAnsiTheme="minorEastAsia" w:eastAsiaTheme="minorEastAsia" w:cstheme="minorEastAsia"/>
                <w:spacing w:val="-1"/>
                <w:sz w:val="24"/>
                <w:szCs w:val="24"/>
              </w:rPr>
              <w:t>财政部、国家发展改革委、生态环境部、市场监管总局《关于调整</w:t>
            </w:r>
            <w:r>
              <w:rPr>
                <w:rFonts w:hint="eastAsia" w:asciiTheme="minorEastAsia" w:hAnsiTheme="minorEastAsia" w:eastAsiaTheme="minorEastAsia" w:cstheme="minorEastAsia"/>
                <w:sz w:val="24"/>
                <w:szCs w:val="24"/>
              </w:rPr>
              <w:t>优化节能产品、环境标志产品政府采购执行机制的通知》（财库[2019]9 号文）；</w:t>
            </w:r>
          </w:p>
          <w:p w14:paraId="6A69A1ED">
            <w:pPr>
              <w:pStyle w:val="33"/>
              <w:keepNext w:val="0"/>
              <w:keepLines w:val="0"/>
              <w:pageBreakBefore w:val="0"/>
              <w:suppressLineNumbers w:val="0"/>
              <w:tabs>
                <w:tab w:val="left" w:pos="636"/>
              </w:tabs>
              <w:kinsoku/>
              <w:wordWrap/>
              <w:overflowPunct/>
              <w:topLinePunct w:val="0"/>
              <w:bidi w:val="0"/>
              <w:snapToGrid/>
              <w:spacing w:before="0" w:beforeAutospacing="0" w:after="0" w:afterAutospacing="0" w:line="360" w:lineRule="auto"/>
              <w:ind w:left="107" w:right="98"/>
              <w:jc w:val="both"/>
              <w:textAlignment w:val="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rPr>
              <w:t>2、</w:t>
            </w:r>
            <w:r>
              <w:rPr>
                <w:rFonts w:hint="eastAsia" w:asciiTheme="minorEastAsia" w:hAnsiTheme="minorEastAsia" w:eastAsiaTheme="minorEastAsia" w:cstheme="minorEastAsia"/>
                <w:spacing w:val="-1"/>
                <w:sz w:val="24"/>
                <w:szCs w:val="24"/>
              </w:rPr>
              <w:t>财政部、生态环境部《关于印发环境标志产品政府采购品目清单的</w:t>
            </w:r>
            <w:r>
              <w:rPr>
                <w:rFonts w:hint="eastAsia" w:asciiTheme="minorEastAsia" w:hAnsiTheme="minorEastAsia" w:eastAsiaTheme="minorEastAsia" w:cstheme="minorEastAsia"/>
                <w:sz w:val="24"/>
                <w:szCs w:val="24"/>
              </w:rPr>
              <w:t>通知》（财库[2019]18</w:t>
            </w:r>
            <w:r>
              <w:rPr>
                <w:rFonts w:hint="eastAsia" w:asciiTheme="minorEastAsia" w:hAnsiTheme="minorEastAsia" w:eastAsiaTheme="minorEastAsia" w:cstheme="minorEastAsia"/>
                <w:spacing w:val="-19"/>
                <w:sz w:val="24"/>
                <w:szCs w:val="24"/>
              </w:rPr>
              <w:t xml:space="preserve"> 号文</w:t>
            </w:r>
            <w:r>
              <w:rPr>
                <w:rFonts w:hint="eastAsia" w:asciiTheme="minorEastAsia" w:hAnsiTheme="minorEastAsia" w:eastAsiaTheme="minorEastAsia" w:cstheme="minorEastAsia"/>
                <w:sz w:val="24"/>
                <w:szCs w:val="24"/>
              </w:rPr>
              <w:t>）；</w:t>
            </w:r>
          </w:p>
          <w:p w14:paraId="184B655B">
            <w:pPr>
              <w:pStyle w:val="33"/>
              <w:keepNext w:val="0"/>
              <w:keepLines w:val="0"/>
              <w:pageBreakBefore w:val="0"/>
              <w:suppressLineNumbers w:val="0"/>
              <w:tabs>
                <w:tab w:val="left" w:pos="632"/>
              </w:tabs>
              <w:kinsoku/>
              <w:wordWrap/>
              <w:overflowPunct/>
              <w:topLinePunct w:val="0"/>
              <w:bidi w:val="0"/>
              <w:snapToGrid/>
              <w:spacing w:before="43" w:beforeAutospacing="0" w:after="0" w:afterAutospacing="0" w:line="360" w:lineRule="auto"/>
              <w:ind w:left="107" w:right="-15"/>
              <w:jc w:val="both"/>
              <w:textAlignment w:val="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lang w:val="en-US"/>
              </w:rPr>
              <w:t>3、</w:t>
            </w:r>
            <w:r>
              <w:rPr>
                <w:rFonts w:hint="eastAsia" w:asciiTheme="minorEastAsia" w:hAnsiTheme="minorEastAsia" w:eastAsiaTheme="minorEastAsia" w:cstheme="minorEastAsia"/>
                <w:spacing w:val="-6"/>
                <w:sz w:val="24"/>
                <w:szCs w:val="24"/>
              </w:rPr>
              <w:t>财政部、发展改革委《关于印发节能产品政府采购品目清单的通知》</w:t>
            </w:r>
            <w:r>
              <w:rPr>
                <w:rFonts w:hint="eastAsia" w:asciiTheme="minorEastAsia" w:hAnsiTheme="minorEastAsia" w:eastAsiaTheme="minorEastAsia" w:cstheme="minorEastAsia"/>
                <w:sz w:val="24"/>
                <w:szCs w:val="24"/>
              </w:rPr>
              <w:t>（财库[2019]19 号文）；</w:t>
            </w:r>
          </w:p>
          <w:p w14:paraId="3A4976CA">
            <w:pPr>
              <w:pStyle w:val="33"/>
              <w:keepNext w:val="0"/>
              <w:keepLines w:val="0"/>
              <w:pageBreakBefore w:val="0"/>
              <w:suppressLineNumbers w:val="0"/>
              <w:tabs>
                <w:tab w:val="left" w:pos="632"/>
              </w:tabs>
              <w:kinsoku/>
              <w:wordWrap/>
              <w:overflowPunct/>
              <w:topLinePunct w:val="0"/>
              <w:bidi w:val="0"/>
              <w:snapToGrid/>
              <w:spacing w:before="43" w:beforeAutospacing="0" w:after="0" w:afterAutospacing="0" w:line="360" w:lineRule="auto"/>
              <w:ind w:left="107" w:right="-15"/>
              <w:jc w:val="both"/>
              <w:textAlignment w:val="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lang w:val="en-US"/>
              </w:rPr>
              <w:t>4、</w:t>
            </w:r>
            <w:r>
              <w:rPr>
                <w:rFonts w:hint="eastAsia" w:asciiTheme="minorEastAsia" w:hAnsiTheme="minorEastAsia" w:eastAsiaTheme="minorEastAsia" w:cstheme="minorEastAsia"/>
                <w:spacing w:val="-6"/>
                <w:sz w:val="24"/>
                <w:szCs w:val="24"/>
              </w:rPr>
              <w:t>市场监管总局《市场监管总局关于发布参与实施政府采购节能产品、环境标志产品认证机构名录的公告》（2019</w:t>
            </w:r>
            <w:r>
              <w:rPr>
                <w:rFonts w:hint="eastAsia" w:asciiTheme="minorEastAsia" w:hAnsiTheme="minorEastAsia" w:eastAsiaTheme="minorEastAsia" w:cstheme="minorEastAsia"/>
                <w:spacing w:val="-27"/>
                <w:sz w:val="24"/>
                <w:szCs w:val="24"/>
              </w:rPr>
              <w:t xml:space="preserve"> 年第 </w:t>
            </w:r>
            <w:r>
              <w:rPr>
                <w:rFonts w:hint="eastAsia" w:asciiTheme="minorEastAsia" w:hAnsiTheme="minorEastAsia" w:eastAsiaTheme="minorEastAsia" w:cstheme="minorEastAsia"/>
                <w:sz w:val="24"/>
                <w:szCs w:val="24"/>
              </w:rPr>
              <w:t>16</w:t>
            </w:r>
            <w:r>
              <w:rPr>
                <w:rFonts w:hint="eastAsia" w:asciiTheme="minorEastAsia" w:hAnsiTheme="minorEastAsia" w:eastAsiaTheme="minorEastAsia" w:cstheme="minorEastAsia"/>
                <w:spacing w:val="-26"/>
                <w:sz w:val="24"/>
                <w:szCs w:val="24"/>
              </w:rPr>
              <w:t xml:space="preserve"> 号</w:t>
            </w:r>
            <w:r>
              <w:rPr>
                <w:rFonts w:hint="eastAsia" w:asciiTheme="minorEastAsia" w:hAnsiTheme="minorEastAsia" w:eastAsiaTheme="minorEastAsia" w:cstheme="minorEastAsia"/>
                <w:sz w:val="24"/>
                <w:szCs w:val="24"/>
              </w:rPr>
              <w:t>）；</w:t>
            </w:r>
          </w:p>
          <w:p w14:paraId="5773DC2A">
            <w:pPr>
              <w:pStyle w:val="33"/>
              <w:keepNext w:val="0"/>
              <w:keepLines w:val="0"/>
              <w:pageBreakBefore w:val="0"/>
              <w:suppressLineNumbers w:val="0"/>
              <w:tabs>
                <w:tab w:val="left" w:pos="636"/>
              </w:tabs>
              <w:kinsoku/>
              <w:wordWrap/>
              <w:overflowPunct/>
              <w:topLinePunct w:val="0"/>
              <w:bidi w:val="0"/>
              <w:snapToGrid/>
              <w:spacing w:before="0" w:beforeAutospacing="0" w:after="0" w:afterAutospacing="0" w:line="360" w:lineRule="auto"/>
              <w:ind w:left="107" w:right="98"/>
              <w:jc w:val="both"/>
              <w:textAlignment w:val="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rPr>
              <w:t>5、</w:t>
            </w:r>
            <w:r>
              <w:rPr>
                <w:rFonts w:hint="eastAsia" w:asciiTheme="minorEastAsia" w:hAnsiTheme="minorEastAsia" w:eastAsiaTheme="minorEastAsia" w:cstheme="minorEastAsia"/>
                <w:spacing w:val="-1"/>
                <w:sz w:val="24"/>
                <w:szCs w:val="24"/>
              </w:rPr>
              <w:t>财政部、工业和信息化部《关于印发《政府采购促进中小企业展暂</w:t>
            </w:r>
            <w:r>
              <w:rPr>
                <w:rFonts w:hint="eastAsia" w:asciiTheme="minorEastAsia" w:hAnsiTheme="minorEastAsia" w:eastAsiaTheme="minorEastAsia" w:cstheme="minorEastAsia"/>
                <w:sz w:val="24"/>
                <w:szCs w:val="24"/>
              </w:rPr>
              <w:t>行办法》的通知》（财库[2011]181</w:t>
            </w:r>
            <w:r>
              <w:rPr>
                <w:rFonts w:hint="eastAsia" w:asciiTheme="minorEastAsia" w:hAnsiTheme="minorEastAsia" w:eastAsiaTheme="minorEastAsia" w:cstheme="minorEastAsia"/>
                <w:spacing w:val="-19"/>
                <w:sz w:val="24"/>
                <w:szCs w:val="24"/>
              </w:rPr>
              <w:t xml:space="preserve"> 号文</w:t>
            </w:r>
            <w:r>
              <w:rPr>
                <w:rFonts w:hint="eastAsia" w:asciiTheme="minorEastAsia" w:hAnsiTheme="minorEastAsia" w:eastAsiaTheme="minorEastAsia" w:cstheme="minorEastAsia"/>
                <w:sz w:val="24"/>
                <w:szCs w:val="24"/>
              </w:rPr>
              <w:t>）；</w:t>
            </w:r>
          </w:p>
          <w:p w14:paraId="139C906F">
            <w:pPr>
              <w:pStyle w:val="33"/>
              <w:keepNext w:val="0"/>
              <w:keepLines w:val="0"/>
              <w:pageBreakBefore w:val="0"/>
              <w:suppressLineNumbers w:val="0"/>
              <w:tabs>
                <w:tab w:val="left" w:pos="636"/>
              </w:tabs>
              <w:kinsoku/>
              <w:wordWrap/>
              <w:overflowPunct/>
              <w:topLinePunct w:val="0"/>
              <w:bidi w:val="0"/>
              <w:snapToGrid/>
              <w:spacing w:before="0" w:beforeAutospacing="0" w:after="0" w:afterAutospacing="0" w:line="360" w:lineRule="auto"/>
              <w:ind w:left="107" w:right="98"/>
              <w:jc w:val="both"/>
              <w:textAlignment w:val="auto"/>
              <w:outlineLvl w:val="1"/>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1"/>
                <w:sz w:val="24"/>
                <w:szCs w:val="24"/>
                <w:lang w:val="en-US"/>
              </w:rPr>
              <w:t>6、</w:t>
            </w:r>
            <w:r>
              <w:rPr>
                <w:rFonts w:hint="eastAsia" w:asciiTheme="minorEastAsia" w:hAnsiTheme="minorEastAsia" w:eastAsiaTheme="minorEastAsia" w:cstheme="minorEastAsia"/>
                <w:spacing w:val="-1"/>
                <w:sz w:val="24"/>
                <w:szCs w:val="24"/>
              </w:rPr>
              <w:t>财政部、民政部、中国残疾人联合会《关于促进残疾人就业政府采</w:t>
            </w:r>
            <w:r>
              <w:rPr>
                <w:rFonts w:hint="eastAsia" w:asciiTheme="minorEastAsia" w:hAnsiTheme="minorEastAsia" w:eastAsiaTheme="minorEastAsia" w:cstheme="minorEastAsia"/>
                <w:sz w:val="24"/>
                <w:szCs w:val="24"/>
              </w:rPr>
              <w:t>购政策的通知》（财库[2017]141</w:t>
            </w:r>
            <w:r>
              <w:rPr>
                <w:rFonts w:hint="eastAsia" w:asciiTheme="minorEastAsia" w:hAnsiTheme="minorEastAsia" w:eastAsiaTheme="minorEastAsia" w:cstheme="minorEastAsia"/>
                <w:spacing w:val="-27"/>
                <w:sz w:val="24"/>
                <w:szCs w:val="24"/>
              </w:rPr>
              <w:t xml:space="preserve"> 号</w:t>
            </w:r>
            <w:r>
              <w:rPr>
                <w:rFonts w:hint="eastAsia" w:asciiTheme="minorEastAsia" w:hAnsiTheme="minorEastAsia" w:eastAsiaTheme="minorEastAsia" w:cstheme="minorEastAsia"/>
                <w:sz w:val="24"/>
                <w:szCs w:val="24"/>
              </w:rPr>
              <w:t>）；</w:t>
            </w:r>
          </w:p>
          <w:p w14:paraId="3409D13B">
            <w:pPr>
              <w:pStyle w:val="33"/>
              <w:keepNext w:val="0"/>
              <w:keepLines w:val="0"/>
              <w:pageBreakBefore w:val="0"/>
              <w:suppressLineNumbers w:val="0"/>
              <w:kinsoku/>
              <w:wordWrap/>
              <w:overflowPunct/>
              <w:topLinePunct w:val="0"/>
              <w:bidi w:val="0"/>
              <w:snapToGrid/>
              <w:spacing w:before="0" w:beforeAutospacing="0" w:after="0" w:afterAutospacing="0" w:line="360" w:lineRule="auto"/>
              <w:ind w:left="107" w:right="-15"/>
              <w:jc w:val="both"/>
              <w:textAlignment w:val="auto"/>
              <w:outlineLvl w:val="1"/>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pacing w:val="-3"/>
                <w:sz w:val="24"/>
                <w:szCs w:val="24"/>
                <w:lang w:val="en-US"/>
              </w:rPr>
              <w:t>7、</w:t>
            </w:r>
            <w:r>
              <w:rPr>
                <w:rFonts w:hint="eastAsia" w:asciiTheme="minorEastAsia" w:hAnsiTheme="minorEastAsia" w:eastAsiaTheme="minorEastAsia" w:cstheme="minorEastAsia"/>
                <w:spacing w:val="-2"/>
                <w:sz w:val="24"/>
                <w:szCs w:val="24"/>
              </w:rPr>
              <w:t>财政部、司法部《关于政府采购支持监狱企业发展有关问题的通知》</w:t>
            </w:r>
            <w:r>
              <w:rPr>
                <w:rFonts w:hint="eastAsia" w:asciiTheme="minorEastAsia" w:hAnsiTheme="minorEastAsia" w:eastAsiaTheme="minorEastAsia" w:cstheme="minorEastAsia"/>
                <w:spacing w:val="-2"/>
                <w:sz w:val="24"/>
                <w:szCs w:val="24"/>
                <w:lang w:eastAsia="zh-CN"/>
              </w:rPr>
              <w:t>；</w:t>
            </w:r>
          </w:p>
          <w:p w14:paraId="1D511944">
            <w:pPr>
              <w:keepNext w:val="0"/>
              <w:keepLines w:val="0"/>
              <w:pageBreakBefore w:val="0"/>
              <w:widowControl/>
              <w:suppressLineNumbers w:val="0"/>
              <w:kinsoku/>
              <w:wordWrap/>
              <w:overflowPunct/>
              <w:topLinePunct w:val="0"/>
              <w:bidi w:val="0"/>
              <w:snapToGrid/>
              <w:spacing w:before="50" w:beforeAutospacing="0" w:after="5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（财库[2014]68 号文）。（中小企业优惠、监狱企业、节能产品、环境标志产品等）。</w:t>
            </w:r>
          </w:p>
          <w:p w14:paraId="16E20D2C">
            <w:pPr>
              <w:pStyle w:val="33"/>
              <w:keepNext w:val="0"/>
              <w:keepLines w:val="0"/>
              <w:pageBreakBefore w:val="0"/>
              <w:suppressLineNumbers w:val="0"/>
              <w:kinsoku/>
              <w:wordWrap/>
              <w:overflowPunct/>
              <w:topLinePunct w:val="0"/>
              <w:bidi w:val="0"/>
              <w:snapToGrid/>
              <w:spacing w:before="0" w:beforeAutospacing="0" w:after="0" w:afterAutospacing="0" w:line="360" w:lineRule="auto"/>
              <w:ind w:left="107" w:right="-15"/>
              <w:jc w:val="both"/>
              <w:textAlignment w:val="auto"/>
              <w:outlineLvl w:val="1"/>
              <w:rPr>
                <w:rFonts w:hint="eastAsia" w:asciiTheme="minorEastAsia" w:hAnsiTheme="minorEastAsia" w:eastAsiaTheme="minorEastAsia" w:cstheme="minorEastAsia"/>
                <w:spacing w:val="-2"/>
                <w:sz w:val="24"/>
                <w:szCs w:val="24"/>
              </w:rPr>
            </w:pPr>
            <w:r>
              <w:rPr>
                <w:rFonts w:hint="eastAsia" w:asciiTheme="minorEastAsia" w:hAnsiTheme="minorEastAsia" w:eastAsiaTheme="minorEastAsia" w:cstheme="minorEastAsia"/>
                <w:spacing w:val="-2"/>
                <w:sz w:val="24"/>
                <w:szCs w:val="24"/>
                <w:lang w:val="en-US"/>
              </w:rPr>
              <w:t>8.</w:t>
            </w:r>
            <w:r>
              <w:rPr>
                <w:rFonts w:hint="eastAsia" w:asciiTheme="minorEastAsia" w:hAnsiTheme="minorEastAsia" w:eastAsiaTheme="minorEastAsia" w:cstheme="minorEastAsia"/>
                <w:spacing w:val="-2"/>
                <w:sz w:val="24"/>
                <w:szCs w:val="24"/>
              </w:rPr>
              <w:t>扶持中小企业政策：评审时小型和微型企业产品享受</w:t>
            </w:r>
            <w:r>
              <w:rPr>
                <w:rFonts w:hint="eastAsia" w:asciiTheme="minorEastAsia" w:hAnsiTheme="minorEastAsia" w:eastAsiaTheme="minorEastAsia" w:cstheme="minorEastAsia"/>
                <w:spacing w:val="-2"/>
                <w:sz w:val="24"/>
                <w:szCs w:val="24"/>
                <w:lang w:val="en-US" w:eastAsia="zh-CN"/>
              </w:rPr>
              <w:t>10</w:t>
            </w:r>
            <w:r>
              <w:rPr>
                <w:rFonts w:hint="eastAsia" w:asciiTheme="minorEastAsia" w:hAnsiTheme="minorEastAsia" w:eastAsiaTheme="minorEastAsia" w:cstheme="minorEastAsia"/>
                <w:spacing w:val="-2"/>
                <w:sz w:val="24"/>
                <w:szCs w:val="24"/>
              </w:rPr>
              <w:t>%的价格折扣。监狱企业、残疾人福利组织视同小型、微型企业。</w:t>
            </w:r>
          </w:p>
          <w:p w14:paraId="1297D902">
            <w:pPr>
              <w:pStyle w:val="33"/>
              <w:keepNext w:val="0"/>
              <w:keepLines w:val="0"/>
              <w:pageBreakBefore w:val="0"/>
              <w:suppressLineNumbers w:val="0"/>
              <w:kinsoku/>
              <w:wordWrap/>
              <w:overflowPunct/>
              <w:topLinePunct w:val="0"/>
              <w:bidi w:val="0"/>
              <w:snapToGrid/>
              <w:spacing w:before="0" w:beforeAutospacing="0" w:after="0" w:afterAutospacing="0" w:line="360" w:lineRule="auto"/>
              <w:ind w:left="107" w:right="-15"/>
              <w:jc w:val="both"/>
              <w:textAlignment w:val="auto"/>
              <w:outlineLvl w:val="1"/>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pacing w:val="-2"/>
                <w:sz w:val="24"/>
                <w:szCs w:val="24"/>
                <w:lang w:val="en-US"/>
              </w:rPr>
              <w:t>9、</w:t>
            </w:r>
            <w:r>
              <w:rPr>
                <w:rFonts w:hint="eastAsia" w:asciiTheme="minorEastAsia" w:hAnsiTheme="minorEastAsia" w:eastAsiaTheme="minorEastAsia" w:cstheme="minorEastAsia"/>
                <w:spacing w:val="-2"/>
                <w:sz w:val="24"/>
                <w:szCs w:val="24"/>
              </w:rPr>
              <w:t>《关于运用政府采购政策支持脱贫攻坚的通知》（财库【2019】27号文）。</w:t>
            </w:r>
          </w:p>
        </w:tc>
      </w:tr>
      <w:tr w14:paraId="480DE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727" w:type="dxa"/>
            <w:vAlign w:val="center"/>
          </w:tcPr>
          <w:p w14:paraId="4DAB789F">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26</w:t>
            </w:r>
          </w:p>
        </w:tc>
        <w:tc>
          <w:tcPr>
            <w:tcW w:w="1374" w:type="dxa"/>
            <w:vAlign w:val="center"/>
          </w:tcPr>
          <w:p w14:paraId="19FD8804">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CA服务</w:t>
            </w:r>
          </w:p>
        </w:tc>
        <w:tc>
          <w:tcPr>
            <w:tcW w:w="6839" w:type="dxa"/>
            <w:shd w:val="clear" w:color="auto" w:fill="auto"/>
            <w:vAlign w:val="center"/>
          </w:tcPr>
          <w:p w14:paraId="25C1F827">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rPr>
              <w:t>1.请投标单位提前自学线上开标流程，投标人应提前调试好在线参标电脑的各项配置，并在投标截止时间前准备好CA锁进行相关操作。CA申领访问新疆数字证书认证中心官方网站（https://www.xjca.com.cn/）或下载“新疆政务通”APP自行进行申领。如需咨询，请联系新疆CA服务热线0991-2819290。</w:t>
            </w:r>
          </w:p>
        </w:tc>
      </w:tr>
      <w:tr w14:paraId="760DD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727" w:type="dxa"/>
            <w:vAlign w:val="center"/>
          </w:tcPr>
          <w:p w14:paraId="3CCCBE4A">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27</w:t>
            </w:r>
          </w:p>
        </w:tc>
        <w:tc>
          <w:tcPr>
            <w:tcW w:w="1374" w:type="dxa"/>
            <w:vAlign w:val="center"/>
          </w:tcPr>
          <w:p w14:paraId="527E7D5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评标方法</w:t>
            </w:r>
          </w:p>
        </w:tc>
        <w:tc>
          <w:tcPr>
            <w:tcW w:w="6839" w:type="dxa"/>
            <w:shd w:val="clear" w:color="auto" w:fill="auto"/>
            <w:vAlign w:val="center"/>
          </w:tcPr>
          <w:p w14:paraId="25C76899">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综合评分法</w:t>
            </w:r>
          </w:p>
        </w:tc>
      </w:tr>
      <w:tr w14:paraId="4E594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727" w:type="dxa"/>
            <w:vAlign w:val="center"/>
          </w:tcPr>
          <w:p w14:paraId="41358F4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28</w:t>
            </w:r>
          </w:p>
        </w:tc>
        <w:tc>
          <w:tcPr>
            <w:tcW w:w="1374" w:type="dxa"/>
            <w:shd w:val="clear" w:color="auto" w:fill="auto"/>
            <w:vAlign w:val="center"/>
          </w:tcPr>
          <w:p w14:paraId="596F8057">
            <w:pPr>
              <w:keepNext w:val="0"/>
              <w:keepLines w:val="0"/>
              <w:suppressLineNumbers w:val="0"/>
              <w:shd w:val="clear"/>
              <w:spacing w:before="0" w:beforeAutospacing="0" w:after="0" w:afterAutospacing="0" w:line="360" w:lineRule="auto"/>
              <w:ind w:left="0" w:leftChars="0" w:right="0" w:rightChars="0"/>
              <w:jc w:val="center"/>
              <w:rPr>
                <w:rFonts w:hint="eastAsia" w:ascii="Times New Roman" w:hAnsi="Times New Roman" w:eastAsia="宋体" w:cs="Times New Roman"/>
                <w:color w:val="auto"/>
                <w:kern w:val="2"/>
                <w:sz w:val="24"/>
                <w:szCs w:val="24"/>
                <w:highlight w:val="none"/>
                <w:shd w:val="clear" w:color="auto" w:fill="auto"/>
                <w:lang w:val="en-US" w:eastAsia="zh-CN" w:bidi="ar-SA"/>
              </w:rPr>
            </w:pPr>
            <w:r>
              <w:rPr>
                <w:rFonts w:hint="eastAsia" w:ascii="Times New Roman" w:hAnsi="Times New Roman" w:eastAsia="宋体" w:cs="Times New Roman"/>
                <w:color w:val="auto"/>
                <w:sz w:val="24"/>
                <w:szCs w:val="24"/>
                <w:highlight w:val="none"/>
                <w:shd w:val="clear" w:color="auto" w:fill="auto"/>
                <w:lang w:eastAsia="zh-CN"/>
              </w:rPr>
              <w:t>低于成本价不正当竞争预防措施</w:t>
            </w:r>
          </w:p>
        </w:tc>
        <w:tc>
          <w:tcPr>
            <w:tcW w:w="6839" w:type="dxa"/>
            <w:shd w:val="clear" w:color="auto" w:fill="auto"/>
            <w:vAlign w:val="center"/>
          </w:tcPr>
          <w:p w14:paraId="529AEBDB">
            <w:pPr>
              <w:keepNext w:val="0"/>
              <w:keepLines w:val="0"/>
              <w:suppressLineNumbers w:val="0"/>
              <w:shd w:val="clear"/>
              <w:spacing w:before="0" w:beforeAutospacing="0" w:after="0" w:afterAutospacing="0" w:line="360" w:lineRule="auto"/>
              <w:ind w:left="0" w:right="0"/>
              <w:jc w:val="left"/>
              <w:rPr>
                <w:rFonts w:hint="eastAsia" w:ascii="Times New Roman" w:hAnsi="Times New Roman" w:eastAsia="宋体" w:cs="Times New Roman"/>
                <w:color w:val="auto"/>
                <w:sz w:val="24"/>
                <w:szCs w:val="24"/>
                <w:highlight w:val="none"/>
                <w:shd w:val="clear" w:color="auto" w:fill="auto"/>
                <w:lang w:eastAsia="zh-CN"/>
              </w:rPr>
            </w:pPr>
            <w:r>
              <w:rPr>
                <w:rFonts w:hint="eastAsia" w:ascii="Times New Roman" w:hAnsi="Times New Roman" w:eastAsia="宋体" w:cs="Times New Roman"/>
                <w:color w:val="auto"/>
                <w:sz w:val="24"/>
                <w:szCs w:val="24"/>
                <w:highlight w:val="none"/>
                <w:shd w:val="clear" w:color="auto" w:fill="auto"/>
                <w:lang w:eastAsia="zh-CN"/>
              </w:rPr>
              <w:t>在评标过程中，投标人报价低于其他有效投标人报价有可能影响产品质量或者不能诚信履约的，评标委员会应当要求其在评标现场</w:t>
            </w:r>
            <w:r>
              <w:rPr>
                <w:rFonts w:hint="eastAsia" w:ascii="Times New Roman" w:hAnsi="Times New Roman" w:eastAsia="宋体" w:cs="Times New Roman"/>
                <w:color w:val="auto"/>
                <w:sz w:val="24"/>
                <w:szCs w:val="24"/>
                <w:highlight w:val="none"/>
                <w:shd w:val="clear" w:color="auto" w:fill="auto"/>
                <w:lang w:val="en-US" w:eastAsia="zh-CN"/>
              </w:rPr>
              <w:t>30分钟</w:t>
            </w:r>
            <w:r>
              <w:rPr>
                <w:rFonts w:hint="eastAsia" w:ascii="Times New Roman" w:hAnsi="Times New Roman" w:eastAsia="宋体" w:cs="Times New Roman"/>
                <w:color w:val="auto"/>
                <w:sz w:val="24"/>
                <w:szCs w:val="24"/>
                <w:highlight w:val="none"/>
                <w:shd w:val="clear" w:color="auto" w:fill="auto"/>
                <w:lang w:eastAsia="zh-CN"/>
              </w:rPr>
              <w:t>内提供成本构成书面说明，并提交相关证明材料。供应商书面说明应当按照国家财务会计制度的规定要求，逐项就供应商提供的货物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33FB1309">
            <w:pPr>
              <w:keepNext w:val="0"/>
              <w:keepLines w:val="0"/>
              <w:suppressLineNumbers w:val="0"/>
              <w:shd w:val="clear"/>
              <w:spacing w:before="0" w:beforeAutospacing="0" w:after="0" w:afterAutospacing="0" w:line="360" w:lineRule="auto"/>
              <w:ind w:left="0" w:leftChars="0" w:right="0" w:rightChars="0"/>
              <w:jc w:val="left"/>
              <w:rPr>
                <w:rFonts w:hint="eastAsia" w:ascii="Times New Roman" w:hAnsi="Times New Roman" w:eastAsia="宋体" w:cs="Times New Roman"/>
                <w:color w:val="auto"/>
                <w:kern w:val="2"/>
                <w:sz w:val="24"/>
                <w:szCs w:val="24"/>
                <w:highlight w:val="none"/>
                <w:shd w:val="clear" w:color="auto" w:fill="auto"/>
                <w:lang w:val="en-US" w:eastAsia="zh-CN" w:bidi="ar-SA"/>
              </w:rPr>
            </w:pPr>
            <w:r>
              <w:rPr>
                <w:rFonts w:hint="eastAsia" w:ascii="Times New Roman" w:hAnsi="Times New Roman" w:eastAsia="宋体" w:cs="Times New Roman"/>
                <w:color w:val="auto"/>
                <w:sz w:val="24"/>
                <w:szCs w:val="24"/>
                <w:highlight w:val="none"/>
                <w:shd w:val="clear" w:color="auto" w:fill="auto"/>
                <w:lang w:eastAsia="zh-CN"/>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1D3C0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9" w:hRule="atLeast"/>
          <w:jc w:val="center"/>
        </w:trPr>
        <w:tc>
          <w:tcPr>
            <w:tcW w:w="727" w:type="dxa"/>
            <w:vAlign w:val="center"/>
          </w:tcPr>
          <w:p w14:paraId="3B64D18F">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lang w:val="en-US" w:eastAsia="zh-CN"/>
              </w:rPr>
              <w:t>9</w:t>
            </w:r>
          </w:p>
        </w:tc>
        <w:tc>
          <w:tcPr>
            <w:tcW w:w="1374" w:type="dxa"/>
            <w:vAlign w:val="center"/>
          </w:tcPr>
          <w:p w14:paraId="25F724C2">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其它</w:t>
            </w:r>
          </w:p>
        </w:tc>
        <w:tc>
          <w:tcPr>
            <w:tcW w:w="6839" w:type="dxa"/>
            <w:shd w:val="clear" w:color="auto" w:fill="auto"/>
            <w:vAlign w:val="center"/>
          </w:tcPr>
          <w:p w14:paraId="02C8B520">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1.请投标单位提前自学线上开标流程，投标人应提前调试好在线参标电脑的各项配置，并在投标截止时间前准备好CA锁进行相关操作。</w:t>
            </w:r>
          </w:p>
          <w:p w14:paraId="5B0D7255">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2.投标人对招标文件中采购清单、技术需求、商务条件等如有疑义，应当在投标截止时间前15日内提出，否则视为充分理解招标文件各项要求。</w:t>
            </w:r>
          </w:p>
          <w:p w14:paraId="75A3808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本次采用政府采购云平台线上招标、投标，请各潜在投标人及时办理CA锁和学习政府采购云平台线上投标相关知识。在政府采购云平台登录，按招标公告要求下载招标文件。请各投标人获取招标文件后及时关注云平台答疑文件获取栏目。具体相关事宜见政府采购云平台。</w:t>
            </w:r>
          </w:p>
          <w:p w14:paraId="4A0CC243">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4.本项目采用资格后审，请投标人仔细阅读招标文件和各项要求，制作文件及相关资料过程中，若因投标人资格条件不符、提供资料不全等原因导致投标文件予以退还，责任自负。</w:t>
            </w:r>
          </w:p>
          <w:p w14:paraId="73342D2E">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5.招标文件中如有内容冲突的地方，以投标须知要求为准。</w:t>
            </w:r>
          </w:p>
        </w:tc>
      </w:tr>
      <w:tr w14:paraId="6C54C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727" w:type="dxa"/>
            <w:vAlign w:val="center"/>
          </w:tcPr>
          <w:p w14:paraId="0AE9909C">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C00000"/>
                <w:sz w:val="24"/>
                <w:szCs w:val="24"/>
              </w:rPr>
            </w:pPr>
            <w:r>
              <w:rPr>
                <w:rFonts w:hint="eastAsia" w:asciiTheme="minorEastAsia" w:hAnsiTheme="minorEastAsia" w:eastAsiaTheme="minorEastAsia" w:cstheme="minorEastAsia"/>
                <w:sz w:val="24"/>
                <w:szCs w:val="24"/>
              </w:rPr>
              <w:t>备注</w:t>
            </w:r>
          </w:p>
        </w:tc>
        <w:tc>
          <w:tcPr>
            <w:tcW w:w="8213" w:type="dxa"/>
            <w:gridSpan w:val="2"/>
            <w:vAlign w:val="center"/>
          </w:tcPr>
          <w:p w14:paraId="5EF28266">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公开招标文件中关于废标、无效标、投标被拒绝等字样的条款，为招标的实质性要求和条件，着重提醒各投标人注意，并认真查看公开招标文件中的每一个条款及要求，因误读公开招标文件而造成的后果，采购人概不负责。</w:t>
            </w:r>
          </w:p>
          <w:p w14:paraId="63F43EC3">
            <w:pPr>
              <w:keepNext w:val="0"/>
              <w:keepLines w:val="0"/>
              <w:pageBreakBefore w:val="0"/>
              <w:suppressLineNumbers w:val="0"/>
              <w:kinsoku/>
              <w:wordWrap/>
              <w:overflowPunct/>
              <w:topLinePunct w:val="0"/>
              <w:bidi w:val="0"/>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C00000"/>
                <w:sz w:val="24"/>
                <w:szCs w:val="24"/>
              </w:rPr>
            </w:pPr>
            <w:r>
              <w:rPr>
                <w:rFonts w:hint="eastAsia" w:asciiTheme="minorEastAsia" w:hAnsiTheme="minorEastAsia" w:eastAsiaTheme="minorEastAsia" w:cstheme="minorEastAsia"/>
                <w:sz w:val="24"/>
                <w:szCs w:val="24"/>
              </w:rPr>
              <w:t>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tc>
      </w:tr>
      <w:tr w14:paraId="04834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8940" w:type="dxa"/>
            <w:gridSpan w:val="3"/>
            <w:vAlign w:val="center"/>
          </w:tcPr>
          <w:p w14:paraId="27E926BF">
            <w:pPr>
              <w:pStyle w:val="7"/>
              <w:keepNext w:val="0"/>
              <w:keepLines w:val="0"/>
              <w:pageBreakBefore w:val="0"/>
              <w:suppressLineNumbers w:val="0"/>
              <w:kinsoku/>
              <w:wordWrap/>
              <w:overflowPunct/>
              <w:topLinePunct w:val="0"/>
              <w:bidi w:val="0"/>
              <w:snapToGrid/>
              <w:spacing w:before="0" w:beforeAutospacing="0" w:after="0" w:afterAutospacing="0" w:line="360" w:lineRule="auto"/>
              <w:ind w:left="0" w:right="0" w:firstLine="480" w:firstLineChars="200"/>
              <w:jc w:val="both"/>
              <w:textAlignment w:val="auto"/>
              <w:rPr>
                <w:rFonts w:hint="eastAsia" w:asciiTheme="minorEastAsia" w:hAnsiTheme="minorEastAsia" w:eastAsiaTheme="minorEastAsia" w:cstheme="minorEastAsia"/>
                <w:color w:val="C00000"/>
                <w:sz w:val="24"/>
                <w:szCs w:val="24"/>
              </w:rPr>
            </w:pPr>
            <w:r>
              <w:rPr>
                <w:rFonts w:hint="eastAsia" w:asciiTheme="minorEastAsia" w:hAnsiTheme="minorEastAsia" w:eastAsiaTheme="minorEastAsia" w:cstheme="minorEastAsia"/>
                <w:kern w:val="2"/>
                <w:sz w:val="24"/>
                <w:szCs w:val="24"/>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0EC8E6DC">
      <w:pPr>
        <w:rPr>
          <w:rFonts w:hint="eastAsia" w:ascii="宋体" w:hAnsi="宋体" w:cs="宋体"/>
          <w:sz w:val="36"/>
        </w:rPr>
      </w:pPr>
      <w:r>
        <w:rPr>
          <w:rFonts w:hint="eastAsia" w:ascii="宋体" w:hAnsi="宋体" w:cs="宋体"/>
          <w:sz w:val="36"/>
        </w:rPr>
        <w:br w:type="page"/>
      </w:r>
    </w:p>
    <w:p w14:paraId="1C52FE56">
      <w:pPr>
        <w:pStyle w:val="2"/>
        <w:numPr>
          <w:ilvl w:val="0"/>
          <w:numId w:val="4"/>
        </w:numPr>
        <w:spacing w:line="360" w:lineRule="auto"/>
        <w:jc w:val="center"/>
        <w:rPr>
          <w:rFonts w:hint="eastAsia" w:ascii="宋体" w:hAnsi="宋体" w:cs="宋体"/>
          <w:sz w:val="36"/>
          <w:highlight w:val="none"/>
        </w:rPr>
      </w:pPr>
      <w:r>
        <w:rPr>
          <w:rFonts w:hint="eastAsia" w:ascii="宋体" w:hAnsi="宋体" w:cs="宋体"/>
          <w:sz w:val="36"/>
          <w:highlight w:val="none"/>
        </w:rPr>
        <w:t>采购人</w:t>
      </w:r>
      <w:r>
        <w:rPr>
          <w:rFonts w:hint="eastAsia" w:ascii="宋体" w:hAnsi="宋体" w:cs="宋体"/>
          <w:sz w:val="36"/>
          <w:highlight w:val="none"/>
          <w:lang w:eastAsia="zh-CN"/>
        </w:rPr>
        <w:t>服务</w:t>
      </w:r>
      <w:r>
        <w:rPr>
          <w:rFonts w:hint="eastAsia" w:ascii="宋体" w:hAnsi="宋体" w:cs="宋体"/>
          <w:sz w:val="36"/>
          <w:highlight w:val="none"/>
        </w:rPr>
        <w:t>需求</w:t>
      </w:r>
    </w:p>
    <w:p w14:paraId="623F0B52">
      <w:pPr>
        <w:numPr>
          <w:ilvl w:val="0"/>
          <w:numId w:val="0"/>
        </w:numPr>
      </w:pPr>
    </w:p>
    <w:p w14:paraId="48CDEFA7">
      <w:pPr>
        <w:widowControl/>
        <w:kinsoku w:val="0"/>
        <w:autoSpaceDE w:val="0"/>
        <w:autoSpaceDN w:val="0"/>
        <w:adjustRightInd w:val="0"/>
        <w:snapToGrid w:val="0"/>
        <w:spacing w:line="480" w:lineRule="auto"/>
        <w:ind w:firstLine="538" w:firstLineChars="200"/>
        <w:textAlignment w:val="baseline"/>
        <w:rPr>
          <w:rFonts w:hint="eastAsia" w:ascii="宋体" w:hAnsi="宋体" w:eastAsia="宋体" w:cs="宋体"/>
          <w:b/>
          <w:bCs/>
          <w:spacing w:val="-6"/>
          <w:sz w:val="28"/>
          <w:szCs w:val="28"/>
          <w:lang w:eastAsia="zh-CN"/>
        </w:rPr>
      </w:pPr>
      <w:r>
        <w:rPr>
          <w:rFonts w:hint="eastAsia" w:ascii="宋体" w:hAnsi="宋体" w:cs="宋体"/>
          <w:b/>
          <w:bCs/>
          <w:spacing w:val="-6"/>
          <w:sz w:val="28"/>
          <w:szCs w:val="28"/>
          <w:lang w:val="en-US" w:eastAsia="zh-CN"/>
        </w:rPr>
        <w:t>1.</w:t>
      </w:r>
      <w:r>
        <w:rPr>
          <w:rFonts w:hint="eastAsia" w:ascii="宋体" w:hAnsi="宋体" w:eastAsia="宋体" w:cs="宋体"/>
          <w:b/>
          <w:bCs/>
          <w:spacing w:val="-6"/>
          <w:sz w:val="28"/>
          <w:szCs w:val="28"/>
          <w:lang w:eastAsia="zh-CN"/>
        </w:rPr>
        <w:t>项目区概况</w:t>
      </w:r>
    </w:p>
    <w:p w14:paraId="55ECE38B">
      <w:pPr>
        <w:widowControl/>
        <w:kinsoku w:val="0"/>
        <w:autoSpaceDE w:val="0"/>
        <w:autoSpaceDN w:val="0"/>
        <w:adjustRightInd w:val="0"/>
        <w:snapToGrid w:val="0"/>
        <w:spacing w:line="360" w:lineRule="auto"/>
        <w:ind w:firstLine="458" w:firstLineChars="200"/>
        <w:textAlignment w:val="baseline"/>
        <w:rPr>
          <w:rFonts w:hint="eastAsia" w:ascii="宋体" w:hAnsi="宋体" w:eastAsia="宋体" w:cs="宋体"/>
          <w:b/>
          <w:bCs/>
          <w:spacing w:val="-6"/>
          <w:sz w:val="24"/>
          <w:szCs w:val="24"/>
          <w:lang w:eastAsia="zh-CN"/>
        </w:rPr>
      </w:pPr>
      <w:r>
        <w:rPr>
          <w:rFonts w:hint="eastAsia" w:ascii="宋体" w:hAnsi="宋体" w:cs="宋体"/>
          <w:b/>
          <w:bCs/>
          <w:spacing w:val="-6"/>
          <w:sz w:val="24"/>
          <w:szCs w:val="24"/>
          <w:lang w:eastAsia="zh-CN"/>
        </w:rPr>
        <w:t>1.1.</w:t>
      </w:r>
      <w:r>
        <w:rPr>
          <w:rFonts w:hint="eastAsia" w:ascii="宋体" w:hAnsi="宋体" w:eastAsia="宋体" w:cs="宋体"/>
          <w:b/>
          <w:bCs/>
          <w:spacing w:val="-6"/>
          <w:sz w:val="24"/>
          <w:szCs w:val="24"/>
          <w:lang w:eastAsia="zh-CN"/>
        </w:rPr>
        <w:t>1 地理位置</w:t>
      </w:r>
    </w:p>
    <w:p w14:paraId="61764838">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新疆塔里木胡杨国家级自然保护区位于新疆巴音郭楞蒙古自治州横跨尉犁、轮台两县，地处塔克拉玛干大沙漠北缘，位于我国最长的内陆河—塔里木河中游，英巴扎—</w:t>
      </w:r>
      <w:r>
        <w:rPr>
          <w:rFonts w:hint="eastAsia" w:ascii="宋体" w:hAnsi="宋体" w:cs="宋体"/>
          <w:spacing w:val="-6"/>
          <w:sz w:val="24"/>
          <w:szCs w:val="24"/>
          <w:lang w:eastAsia="zh-CN"/>
        </w:rPr>
        <w:t>乌斯满</w:t>
      </w:r>
      <w:r>
        <w:rPr>
          <w:rFonts w:hint="eastAsia" w:ascii="宋体" w:hAnsi="宋体" w:eastAsia="宋体" w:cs="宋体"/>
          <w:spacing w:val="-6"/>
          <w:sz w:val="24"/>
          <w:szCs w:val="24"/>
          <w:lang w:eastAsia="zh-CN"/>
        </w:rPr>
        <w:t>段，保护区</w:t>
      </w:r>
      <w:r>
        <w:rPr>
          <w:rFonts w:hint="eastAsia" w:ascii="宋体" w:hAnsi="宋体" w:cs="宋体"/>
          <w:spacing w:val="-6"/>
          <w:sz w:val="24"/>
          <w:szCs w:val="24"/>
          <w:lang w:eastAsia="zh-CN"/>
        </w:rPr>
        <w:t>东部</w:t>
      </w:r>
      <w:r>
        <w:rPr>
          <w:rFonts w:hint="eastAsia" w:ascii="宋体" w:hAnsi="宋体" w:eastAsia="宋体" w:cs="宋体"/>
          <w:spacing w:val="-6"/>
          <w:sz w:val="24"/>
          <w:szCs w:val="24"/>
          <w:lang w:eastAsia="zh-CN"/>
        </w:rPr>
        <w:t>最近距库尔勒市</w:t>
      </w:r>
      <w:r>
        <w:rPr>
          <w:rFonts w:hint="eastAsia" w:ascii="宋体" w:hAnsi="宋体" w:cs="宋体"/>
          <w:spacing w:val="-6"/>
          <w:sz w:val="24"/>
          <w:szCs w:val="24"/>
          <w:lang w:val="en-US" w:eastAsia="zh-CN"/>
        </w:rPr>
        <w:t>90</w:t>
      </w:r>
      <w:r>
        <w:rPr>
          <w:rFonts w:hint="eastAsia" w:ascii="宋体" w:hAnsi="宋体" w:eastAsia="宋体" w:cs="宋体"/>
          <w:spacing w:val="-6"/>
          <w:sz w:val="24"/>
          <w:szCs w:val="24"/>
          <w:lang w:eastAsia="zh-CN"/>
        </w:rPr>
        <w:t> km</w:t>
      </w:r>
      <w:r>
        <w:rPr>
          <w:rFonts w:hint="eastAsia" w:ascii="宋体" w:hAnsi="宋体" w:cs="宋体"/>
          <w:spacing w:val="-6"/>
          <w:sz w:val="24"/>
          <w:szCs w:val="24"/>
          <w:lang w:eastAsia="zh-CN"/>
        </w:rPr>
        <w:t>，保护区西部距库尔勒市最远距离</w:t>
      </w:r>
      <w:r>
        <w:rPr>
          <w:rFonts w:hint="eastAsia" w:ascii="宋体" w:hAnsi="宋体" w:cs="宋体"/>
          <w:spacing w:val="-6"/>
          <w:sz w:val="24"/>
          <w:szCs w:val="24"/>
          <w:lang w:val="en-US" w:eastAsia="zh-CN"/>
        </w:rPr>
        <w:t>270km</w:t>
      </w:r>
      <w:r>
        <w:rPr>
          <w:rFonts w:hint="eastAsia" w:ascii="宋体" w:hAnsi="宋体" w:eastAsia="宋体" w:cs="宋体"/>
          <w:spacing w:val="-6"/>
          <w:sz w:val="24"/>
          <w:szCs w:val="24"/>
          <w:lang w:eastAsia="zh-CN"/>
        </w:rPr>
        <w:t>。</w:t>
      </w:r>
    </w:p>
    <w:p w14:paraId="7CE60BDE">
      <w:pPr>
        <w:widowControl/>
        <w:kinsoku w:val="0"/>
        <w:autoSpaceDE w:val="0"/>
        <w:autoSpaceDN w:val="0"/>
        <w:adjustRightInd w:val="0"/>
        <w:snapToGrid w:val="0"/>
        <w:spacing w:line="360" w:lineRule="auto"/>
        <w:ind w:firstLine="458" w:firstLineChars="200"/>
        <w:textAlignment w:val="baseline"/>
        <w:rPr>
          <w:rFonts w:hint="eastAsia" w:ascii="宋体" w:hAnsi="宋体" w:eastAsia="宋体" w:cs="宋体"/>
          <w:b/>
          <w:bCs/>
          <w:spacing w:val="-6"/>
          <w:sz w:val="24"/>
          <w:szCs w:val="24"/>
          <w:lang w:eastAsia="zh-CN"/>
        </w:rPr>
      </w:pPr>
      <w:r>
        <w:rPr>
          <w:rFonts w:hint="eastAsia" w:ascii="宋体" w:hAnsi="宋体" w:cs="宋体"/>
          <w:b/>
          <w:bCs/>
          <w:spacing w:val="-6"/>
          <w:sz w:val="24"/>
          <w:szCs w:val="24"/>
          <w:lang w:eastAsia="zh-CN"/>
        </w:rPr>
        <w:t>1.1.</w:t>
      </w:r>
      <w:r>
        <w:rPr>
          <w:rFonts w:hint="eastAsia" w:ascii="宋体" w:hAnsi="宋体" w:eastAsia="宋体" w:cs="宋体"/>
          <w:b/>
          <w:bCs/>
          <w:spacing w:val="-6"/>
          <w:sz w:val="24"/>
          <w:szCs w:val="24"/>
          <w:lang w:eastAsia="zh-CN"/>
        </w:rPr>
        <w:t>2 气候</w:t>
      </w:r>
    </w:p>
    <w:p w14:paraId="1C4C097B">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新疆塔里木胡杨国家级自然保护区地处塔克拉玛干水藻向天山南麓干旱荒漠区的过渡带，属典型的温带大陆性荒漠气候。</w:t>
      </w:r>
    </w:p>
    <w:p w14:paraId="26F2DEEE">
      <w:pPr>
        <w:widowControl/>
        <w:kinsoku w:val="0"/>
        <w:autoSpaceDE w:val="0"/>
        <w:autoSpaceDN w:val="0"/>
        <w:adjustRightInd w:val="0"/>
        <w:snapToGrid w:val="0"/>
        <w:spacing w:line="360" w:lineRule="auto"/>
        <w:ind w:firstLine="458" w:firstLineChars="200"/>
        <w:textAlignment w:val="baseline"/>
        <w:rPr>
          <w:rFonts w:hint="eastAsia" w:ascii="宋体" w:hAnsi="宋体" w:eastAsia="宋体" w:cs="宋体"/>
          <w:b/>
          <w:bCs/>
          <w:spacing w:val="-6"/>
          <w:sz w:val="24"/>
          <w:szCs w:val="24"/>
          <w:lang w:eastAsia="zh-CN"/>
        </w:rPr>
      </w:pPr>
      <w:r>
        <w:rPr>
          <w:rFonts w:hint="eastAsia" w:ascii="宋体" w:hAnsi="宋体" w:cs="宋体"/>
          <w:b/>
          <w:bCs/>
          <w:spacing w:val="-6"/>
          <w:sz w:val="24"/>
          <w:szCs w:val="24"/>
          <w:lang w:eastAsia="zh-CN"/>
        </w:rPr>
        <w:t>1.1.</w:t>
      </w:r>
      <w:r>
        <w:rPr>
          <w:rFonts w:hint="eastAsia" w:ascii="宋体" w:hAnsi="宋体" w:eastAsia="宋体" w:cs="宋体"/>
          <w:b/>
          <w:bCs/>
          <w:spacing w:val="-6"/>
          <w:sz w:val="24"/>
          <w:szCs w:val="24"/>
          <w:lang w:eastAsia="zh-CN"/>
        </w:rPr>
        <w:t>3 土壤</w:t>
      </w:r>
    </w:p>
    <w:p w14:paraId="74813FAB">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保护区土壤有草甸胡杨林土、淡色草甸土、胡杨林土、灌木林土、盐化胡杨林土、盐化草甸土、沙化胡杨林土、风沙土8个土类。</w:t>
      </w:r>
    </w:p>
    <w:p w14:paraId="5549404D">
      <w:pPr>
        <w:widowControl/>
        <w:kinsoku w:val="0"/>
        <w:autoSpaceDE w:val="0"/>
        <w:autoSpaceDN w:val="0"/>
        <w:adjustRightInd w:val="0"/>
        <w:snapToGrid w:val="0"/>
        <w:spacing w:line="360" w:lineRule="auto"/>
        <w:ind w:firstLine="458" w:firstLineChars="200"/>
        <w:textAlignment w:val="baseline"/>
        <w:rPr>
          <w:rFonts w:hint="eastAsia" w:ascii="宋体" w:hAnsi="宋体" w:eastAsia="宋体" w:cs="宋体"/>
          <w:b/>
          <w:bCs/>
          <w:spacing w:val="-6"/>
          <w:sz w:val="24"/>
          <w:szCs w:val="24"/>
          <w:lang w:eastAsia="zh-CN"/>
        </w:rPr>
      </w:pPr>
      <w:bookmarkStart w:id="0" w:name="_Toc6652"/>
      <w:r>
        <w:rPr>
          <w:rFonts w:hint="eastAsia" w:ascii="宋体" w:hAnsi="宋体" w:cs="宋体"/>
          <w:b/>
          <w:bCs/>
          <w:spacing w:val="-6"/>
          <w:sz w:val="24"/>
          <w:szCs w:val="24"/>
          <w:lang w:val="en-US" w:eastAsia="zh-CN"/>
        </w:rPr>
        <w:t>2.</w:t>
      </w:r>
      <w:r>
        <w:rPr>
          <w:rFonts w:hint="eastAsia" w:ascii="宋体" w:hAnsi="宋体" w:eastAsia="宋体" w:cs="宋体"/>
          <w:b/>
          <w:bCs/>
          <w:spacing w:val="-6"/>
          <w:sz w:val="24"/>
          <w:szCs w:val="24"/>
          <w:lang w:eastAsia="zh-CN"/>
        </w:rPr>
        <w:t xml:space="preserve"> 野生维管束植物调查方案</w:t>
      </w:r>
      <w:bookmarkEnd w:id="0"/>
    </w:p>
    <w:p w14:paraId="5B9AC133">
      <w:pPr>
        <w:widowControl/>
        <w:kinsoku w:val="0"/>
        <w:autoSpaceDE w:val="0"/>
        <w:autoSpaceDN w:val="0"/>
        <w:adjustRightInd w:val="0"/>
        <w:snapToGrid w:val="0"/>
        <w:spacing w:line="360" w:lineRule="auto"/>
        <w:ind w:firstLine="458" w:firstLineChars="200"/>
        <w:textAlignment w:val="baseline"/>
        <w:rPr>
          <w:rFonts w:hint="eastAsia" w:ascii="宋体" w:hAnsi="宋体" w:eastAsia="宋体" w:cs="宋体"/>
          <w:b/>
          <w:bCs/>
          <w:spacing w:val="-6"/>
          <w:sz w:val="24"/>
          <w:szCs w:val="24"/>
          <w:lang w:eastAsia="zh-CN"/>
        </w:rPr>
      </w:pPr>
      <w:r>
        <w:rPr>
          <w:rFonts w:hint="eastAsia" w:ascii="宋体" w:hAnsi="宋体" w:cs="宋体"/>
          <w:b/>
          <w:bCs/>
          <w:spacing w:val="-6"/>
          <w:sz w:val="24"/>
          <w:szCs w:val="24"/>
          <w:lang w:val="en-US" w:eastAsia="zh-CN"/>
        </w:rPr>
        <w:t>2</w:t>
      </w:r>
      <w:r>
        <w:rPr>
          <w:rFonts w:hint="eastAsia" w:ascii="宋体" w:hAnsi="宋体" w:eastAsia="宋体" w:cs="宋体"/>
          <w:b/>
          <w:bCs/>
          <w:spacing w:val="-6"/>
          <w:sz w:val="24"/>
          <w:szCs w:val="24"/>
          <w:lang w:eastAsia="zh-CN"/>
        </w:rPr>
        <w:t>.</w:t>
      </w:r>
      <w:r>
        <w:rPr>
          <w:rFonts w:hint="eastAsia" w:ascii="宋体" w:hAnsi="宋体" w:cs="宋体"/>
          <w:b/>
          <w:bCs/>
          <w:spacing w:val="-6"/>
          <w:sz w:val="24"/>
          <w:szCs w:val="24"/>
          <w:lang w:val="en-US" w:eastAsia="zh-CN"/>
        </w:rPr>
        <w:t>1</w:t>
      </w:r>
      <w:bookmarkStart w:id="1" w:name="_Hlk185611425"/>
      <w:r>
        <w:rPr>
          <w:rFonts w:hint="eastAsia" w:ascii="宋体" w:hAnsi="宋体" w:eastAsia="宋体" w:cs="宋体"/>
          <w:b/>
          <w:bCs/>
          <w:spacing w:val="-6"/>
          <w:sz w:val="24"/>
          <w:szCs w:val="24"/>
          <w:lang w:eastAsia="zh-CN"/>
        </w:rPr>
        <w:t xml:space="preserve"> 调查</w:t>
      </w:r>
      <w:bookmarkEnd w:id="1"/>
      <w:r>
        <w:rPr>
          <w:rFonts w:hint="eastAsia" w:ascii="宋体" w:hAnsi="宋体" w:eastAsia="宋体" w:cs="宋体"/>
          <w:b/>
          <w:bCs/>
          <w:spacing w:val="-6"/>
          <w:sz w:val="24"/>
          <w:szCs w:val="24"/>
          <w:lang w:eastAsia="zh-CN"/>
        </w:rPr>
        <w:t>内容</w:t>
      </w:r>
    </w:p>
    <w:p w14:paraId="0440AA05">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采用标本收集法、样线和群落样方调查法相结合，对保护区内重点保护植物资源的种类、数量、地理分布、生境特点、资源现状和生物生态学特性等进行专项调查，编制《新疆塔里木胡杨国家级自然保护区重点保护野生植物名录》，为保护区野生动植物的资源保护、科学研究和可持续开发利用提供依据。</w:t>
      </w:r>
    </w:p>
    <w:p w14:paraId="03C01054">
      <w:pPr>
        <w:widowControl/>
        <w:kinsoku w:val="0"/>
        <w:autoSpaceDE w:val="0"/>
        <w:autoSpaceDN w:val="0"/>
        <w:adjustRightInd w:val="0"/>
        <w:snapToGrid w:val="0"/>
        <w:spacing w:line="360" w:lineRule="auto"/>
        <w:ind w:firstLine="458" w:firstLineChars="200"/>
        <w:textAlignment w:val="baseline"/>
        <w:rPr>
          <w:rFonts w:hint="eastAsia" w:ascii="宋体" w:hAnsi="宋体" w:eastAsia="宋体" w:cs="宋体"/>
          <w:b/>
          <w:bCs/>
          <w:spacing w:val="-6"/>
          <w:sz w:val="24"/>
          <w:szCs w:val="24"/>
          <w:lang w:eastAsia="zh-CN"/>
        </w:rPr>
      </w:pPr>
      <w:r>
        <w:rPr>
          <w:rFonts w:hint="eastAsia" w:ascii="宋体" w:hAnsi="宋体" w:cs="宋体"/>
          <w:b/>
          <w:bCs/>
          <w:spacing w:val="-6"/>
          <w:sz w:val="24"/>
          <w:szCs w:val="24"/>
          <w:lang w:val="en-US" w:eastAsia="zh-CN"/>
        </w:rPr>
        <w:t>2</w:t>
      </w:r>
      <w:r>
        <w:rPr>
          <w:rFonts w:hint="eastAsia" w:ascii="宋体" w:hAnsi="宋体" w:eastAsia="宋体" w:cs="宋体"/>
          <w:b/>
          <w:bCs/>
          <w:spacing w:val="-6"/>
          <w:sz w:val="24"/>
          <w:szCs w:val="24"/>
          <w:lang w:eastAsia="zh-CN"/>
        </w:rPr>
        <w:t>.2 调查对象</w:t>
      </w:r>
    </w:p>
    <w:p w14:paraId="568012BC">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 xml:space="preserve">重点保护野生植物资源调查对象包括：列入国家重点保护野生植物名录（第一批）的物种；列入国家重点保护野生植物名录（2021年）的物种；《濒危野生动植物种国际贸易公约》中所列的野生植物；分布范围狭窄、野外种群数量少的极小种群野生植物；敏感物种、生态指示物种和社会关注度高的野生植物；开发利用过度、资源匮乏的野生植物物种。 </w:t>
      </w:r>
    </w:p>
    <w:p w14:paraId="151561B7">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调查物种首先以《国家重点保护野生植物第一批》《国家重点保护野生植物》（2021年）为依据，结合《濒危野生动植物种国际贸易公约》中所列的野生植物、《中国珍稀濒危植物图鉴》《中国高等植物受威胁物种名录》《中国生物多样性红色名录-高等植物卷》等，筛选新疆国家珍稀濒危植物，为重点调查物种。其次参考《新疆维吾尔自治区重点保护野生植物名录》(第一批)、《新疆珍稀濒危特有高等植物》等，结合文献资料和前期野生植物资源调查结果，再选出符合当地情况的受威胁植物，为一般调查物种。最终形成《新疆塔里木胡杨国家级自然保护区植物调查名单》，作为开展调查的基本参考依据。</w:t>
      </w:r>
    </w:p>
    <w:p w14:paraId="20F8DC40">
      <w:pPr>
        <w:widowControl/>
        <w:kinsoku w:val="0"/>
        <w:autoSpaceDE w:val="0"/>
        <w:autoSpaceDN w:val="0"/>
        <w:adjustRightInd w:val="0"/>
        <w:snapToGrid w:val="0"/>
        <w:spacing w:line="360" w:lineRule="auto"/>
        <w:ind w:firstLine="538" w:firstLineChars="200"/>
        <w:textAlignment w:val="baseline"/>
        <w:rPr>
          <w:rFonts w:hint="default" w:ascii="宋体" w:hAnsi="宋体" w:eastAsia="宋体" w:cs="宋体"/>
          <w:b/>
          <w:bCs/>
          <w:spacing w:val="-6"/>
          <w:kern w:val="2"/>
          <w:sz w:val="28"/>
          <w:szCs w:val="28"/>
          <w:lang w:val="en-US" w:eastAsia="zh-CN" w:bidi="ar-SA"/>
        </w:rPr>
      </w:pPr>
      <w:r>
        <w:rPr>
          <w:rFonts w:hint="eastAsia" w:ascii="宋体" w:hAnsi="宋体" w:eastAsia="宋体" w:cs="宋体"/>
          <w:b/>
          <w:bCs/>
          <w:spacing w:val="-6"/>
          <w:kern w:val="2"/>
          <w:sz w:val="28"/>
          <w:szCs w:val="28"/>
          <w:lang w:val="en-US" w:eastAsia="zh-CN" w:bidi="ar-SA"/>
        </w:rPr>
        <w:t>3. 野生脊椎动物调查内容</w:t>
      </w:r>
    </w:p>
    <w:p w14:paraId="33412EEA">
      <w:pPr>
        <w:widowControl/>
        <w:kinsoku w:val="0"/>
        <w:autoSpaceDE w:val="0"/>
        <w:autoSpaceDN w:val="0"/>
        <w:adjustRightInd w:val="0"/>
        <w:snapToGrid w:val="0"/>
        <w:spacing w:line="360" w:lineRule="auto"/>
        <w:ind w:firstLine="456" w:firstLineChars="200"/>
        <w:textAlignment w:val="baseline"/>
        <w:rPr>
          <w:rFonts w:hint="eastAsia" w:ascii="宋体" w:hAnsi="宋体" w:eastAsia="宋体" w:cs="宋体"/>
          <w:spacing w:val="-6"/>
          <w:sz w:val="24"/>
          <w:szCs w:val="24"/>
          <w:lang w:eastAsia="zh-CN"/>
        </w:rPr>
      </w:pPr>
      <w:r>
        <w:rPr>
          <w:rFonts w:hint="eastAsia" w:ascii="宋体" w:hAnsi="宋体" w:eastAsia="宋体" w:cs="宋体"/>
          <w:spacing w:val="-6"/>
          <w:sz w:val="24"/>
          <w:szCs w:val="24"/>
          <w:lang w:eastAsia="zh-CN"/>
        </w:rPr>
        <w:t>全面系统掌握保护区野生动物资源现状，为制定保护区生物多样性保护建设提供决策依据；摸清珍稀濒危野生动物种群数量、分布、保护管理现状，为评价近年来野生动物资源保护管理工作及其成效，调整和完善野生动物保护管理政策措施提供依据；全面评估保护区珍稀濒危野生动物适栖生境、栖息地质量和潜在栖息地，提出保护区资源保护管理措施建议；对保护区野生动物资源建立影像数据库，为野生动物资源保护与利用提供基础资料。</w:t>
      </w:r>
    </w:p>
    <w:p w14:paraId="3A4AAAFC">
      <w:pPr>
        <w:pStyle w:val="3"/>
        <w:pageBreakBefore w:val="0"/>
        <w:widowControl w:val="0"/>
        <w:kinsoku/>
        <w:wordWrap/>
        <w:overflowPunct/>
        <w:topLinePunct w:val="0"/>
        <w:autoSpaceDE/>
        <w:autoSpaceDN/>
        <w:bidi w:val="0"/>
        <w:adjustRightInd/>
        <w:snapToGrid/>
        <w:spacing w:before="0" w:after="0" w:line="360" w:lineRule="auto"/>
        <w:ind w:firstLine="538" w:firstLineChars="200"/>
        <w:jc w:val="left"/>
        <w:textAlignment w:val="auto"/>
        <w:rPr>
          <w:rFonts w:hint="eastAsia" w:ascii="宋体" w:hAnsi="宋体" w:eastAsia="宋体" w:cs="宋体"/>
          <w:b/>
          <w:bCs/>
          <w:spacing w:val="-6"/>
          <w:kern w:val="2"/>
          <w:sz w:val="28"/>
          <w:szCs w:val="28"/>
          <w:lang w:val="en-US" w:eastAsia="zh-CN" w:bidi="ar-SA"/>
        </w:rPr>
      </w:pPr>
      <w:r>
        <w:rPr>
          <w:rFonts w:hint="eastAsia" w:ascii="宋体" w:hAnsi="宋体" w:eastAsia="宋体" w:cs="宋体"/>
          <w:b/>
          <w:bCs/>
          <w:spacing w:val="-6"/>
          <w:kern w:val="2"/>
          <w:sz w:val="28"/>
          <w:szCs w:val="28"/>
          <w:lang w:val="en-US" w:eastAsia="zh-CN" w:bidi="ar-SA"/>
        </w:rPr>
        <w:t>4.总体目标</w:t>
      </w:r>
    </w:p>
    <w:p w14:paraId="5747DB67">
      <w:pPr>
        <w:pStyle w:val="28"/>
        <w:keepNext w:val="0"/>
        <w:keepLines w:val="0"/>
        <w:pageBreakBefore w:val="0"/>
        <w:widowControl w:val="0"/>
        <w:kinsoku/>
        <w:wordWrap/>
        <w:overflowPunct/>
        <w:topLinePunct w:val="0"/>
        <w:autoSpaceDE w:val="0"/>
        <w:autoSpaceDN w:val="0"/>
        <w:bidi w:val="0"/>
        <w:adjustRightInd w:val="0"/>
        <w:snapToGrid/>
        <w:spacing w:line="360" w:lineRule="auto"/>
        <w:ind w:left="0" w:right="0" w:firstLine="480" w:firstLineChars="200"/>
        <w:jc w:val="both"/>
        <w:textAlignment w:val="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通过对保护区进行夏季野外调查,参考文献和保护区历史资料,梳理保护区野生动植物物种名录，掌握保护区内野生动植物种群分布情况，编制塔里木胡杨保护区</w:t>
      </w:r>
      <w:bookmarkStart w:id="2" w:name="OLE_LINK16"/>
      <w:r>
        <w:rPr>
          <w:rFonts w:hint="eastAsia" w:asciiTheme="majorEastAsia" w:hAnsiTheme="majorEastAsia" w:eastAsiaTheme="majorEastAsia" w:cstheme="majorEastAsia"/>
          <w:sz w:val="24"/>
          <w:szCs w:val="24"/>
        </w:rPr>
        <w:t>森林及野生动物资源调查</w:t>
      </w:r>
      <w:bookmarkEnd w:id="2"/>
      <w:r>
        <w:rPr>
          <w:rFonts w:hint="eastAsia" w:asciiTheme="majorEastAsia" w:hAnsiTheme="majorEastAsia" w:eastAsiaTheme="majorEastAsia" w:cstheme="majorEastAsia"/>
          <w:sz w:val="24"/>
          <w:szCs w:val="24"/>
        </w:rPr>
        <w:t>报告和总体规划。</w:t>
      </w:r>
    </w:p>
    <w:p w14:paraId="14B6831D">
      <w:pPr>
        <w:pStyle w:val="3"/>
        <w:pageBreakBefore w:val="0"/>
        <w:widowControl w:val="0"/>
        <w:kinsoku/>
        <w:wordWrap/>
        <w:overflowPunct/>
        <w:topLinePunct w:val="0"/>
        <w:autoSpaceDE/>
        <w:autoSpaceDN/>
        <w:bidi w:val="0"/>
        <w:adjustRightInd/>
        <w:snapToGrid/>
        <w:spacing w:before="0" w:after="0" w:line="360" w:lineRule="auto"/>
        <w:ind w:firstLine="538" w:firstLineChars="200"/>
        <w:jc w:val="left"/>
        <w:textAlignment w:val="auto"/>
        <w:rPr>
          <w:rFonts w:hint="eastAsia" w:ascii="宋体" w:hAnsi="宋体" w:eastAsia="宋体" w:cs="宋体"/>
          <w:b/>
          <w:bCs/>
          <w:spacing w:val="-6"/>
          <w:kern w:val="2"/>
          <w:sz w:val="28"/>
          <w:szCs w:val="28"/>
          <w:lang w:val="en-US" w:eastAsia="zh-CN" w:bidi="ar-SA"/>
        </w:rPr>
      </w:pPr>
      <w:r>
        <w:rPr>
          <w:rFonts w:hint="eastAsia" w:ascii="宋体" w:hAnsi="宋体" w:eastAsia="宋体" w:cs="宋体"/>
          <w:b/>
          <w:bCs/>
          <w:spacing w:val="-6"/>
          <w:kern w:val="2"/>
          <w:sz w:val="28"/>
          <w:szCs w:val="28"/>
          <w:lang w:val="en-US" w:eastAsia="zh-CN" w:bidi="ar-SA"/>
        </w:rPr>
        <w:t>5.预期成果</w:t>
      </w:r>
    </w:p>
    <w:p w14:paraId="1EED262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开展森林及野生动物资源调查旨在为资源保护、可持续管理和政策制定提供科学依据。项目主要预期成果有：</w:t>
      </w:r>
    </w:p>
    <w:p w14:paraId="6ADC742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eastAsia="zh-CN"/>
        </w:rPr>
      </w:pPr>
      <w:r>
        <w:rPr>
          <w:rFonts w:hint="eastAsia" w:ascii="宋体" w:hAnsi="宋体" w:cs="宋体"/>
          <w:sz w:val="24"/>
          <w:szCs w:val="24"/>
          <w:lang w:val="en-US" w:eastAsia="zh-CN"/>
        </w:rPr>
        <w:t>5.1</w:t>
      </w:r>
      <w:r>
        <w:rPr>
          <w:rFonts w:hint="eastAsia" w:ascii="宋体" w:hAnsi="宋体" w:eastAsia="宋体" w:cs="宋体"/>
          <w:sz w:val="24"/>
          <w:szCs w:val="24"/>
          <w:lang w:eastAsia="zh-CN"/>
        </w:rPr>
        <w:t>明确森林覆盖率、植被类型、面积等基础信息，完善森林资源分布图。</w:t>
      </w:r>
    </w:p>
    <w:p w14:paraId="1C9560B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eastAsia="zh-CN"/>
        </w:rPr>
      </w:pPr>
      <w:r>
        <w:rPr>
          <w:rFonts w:hint="eastAsia" w:ascii="宋体" w:hAnsi="宋体" w:cs="宋体"/>
          <w:sz w:val="24"/>
          <w:szCs w:val="24"/>
          <w:lang w:val="en-US" w:eastAsia="zh-CN"/>
        </w:rPr>
        <w:t>5.2</w:t>
      </w:r>
      <w:r>
        <w:rPr>
          <w:rFonts w:hint="eastAsia" w:ascii="宋体" w:hAnsi="宋体" w:eastAsia="宋体" w:cs="宋体"/>
          <w:sz w:val="24"/>
          <w:szCs w:val="24"/>
          <w:lang w:eastAsia="zh-CN"/>
        </w:rPr>
        <w:t>建立区域内野生动物种群名录，记录物种分布、数量、栖息地范围及濒危等级。</w:t>
      </w:r>
    </w:p>
    <w:p w14:paraId="52130FB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lang w:eastAsia="zh-CN"/>
        </w:rPr>
      </w:pPr>
      <w:r>
        <w:rPr>
          <w:rFonts w:hint="eastAsia" w:ascii="宋体" w:hAnsi="宋体" w:cs="宋体"/>
          <w:sz w:val="24"/>
          <w:szCs w:val="24"/>
          <w:lang w:val="en-US" w:eastAsia="zh-CN"/>
        </w:rPr>
        <w:t>5.3</w:t>
      </w:r>
      <w:r>
        <w:rPr>
          <w:rFonts w:hint="eastAsia" w:ascii="宋体" w:hAnsi="宋体" w:eastAsia="宋体" w:cs="宋体"/>
          <w:sz w:val="24"/>
          <w:szCs w:val="24"/>
          <w:lang w:eastAsia="zh-CN"/>
        </w:rPr>
        <w:t>利用地理信息系统（GIS）技术，绘制详细的森林及野生动物资源分布图，直观展示资源的空间分布特征。</w:t>
      </w:r>
    </w:p>
    <w:p w14:paraId="0028CF8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仿宋_GB2312" w:cs="仿宋_GB2312"/>
          <w:sz w:val="30"/>
          <w:szCs w:val="30"/>
          <w:lang w:eastAsia="zh-CN"/>
        </w:rPr>
      </w:pPr>
      <w:r>
        <w:rPr>
          <w:rFonts w:hint="eastAsia" w:ascii="宋体" w:hAnsi="宋体" w:cs="宋体"/>
          <w:sz w:val="24"/>
          <w:szCs w:val="24"/>
          <w:lang w:val="en-US" w:eastAsia="zh-CN"/>
        </w:rPr>
        <w:t>5.4</w:t>
      </w:r>
      <w:r>
        <w:rPr>
          <w:rFonts w:hint="eastAsia" w:ascii="宋体" w:hAnsi="宋体" w:eastAsia="宋体" w:cs="宋体"/>
          <w:sz w:val="24"/>
          <w:szCs w:val="24"/>
          <w:lang w:eastAsia="zh-CN"/>
        </w:rPr>
        <w:t>根据调查结果，完善保护区的各个功能分区划定，明确区域的边界和范围，优化保护措施和管理策略，制定近10年的保护区总体规划。</w:t>
      </w:r>
    </w:p>
    <w:p w14:paraId="7D1A08C7">
      <w:pPr>
        <w:pageBreakBefore w:val="0"/>
        <w:widowControl w:val="0"/>
        <w:kinsoku/>
        <w:wordWrap/>
        <w:overflowPunct/>
        <w:topLinePunct w:val="0"/>
        <w:bidi w:val="0"/>
        <w:snapToGrid/>
        <w:spacing w:line="360" w:lineRule="auto"/>
        <w:ind w:firstLine="480" w:firstLineChars="200"/>
        <w:textAlignment w:val="auto"/>
        <w:rPr>
          <w:rFonts w:hint="eastAsia" w:asciiTheme="majorEastAsia" w:hAnsiTheme="majorEastAsia" w:eastAsiaTheme="majorEastAsia" w:cstheme="majorEastAsia"/>
          <w:sz w:val="24"/>
          <w:szCs w:val="24"/>
          <w:lang w:eastAsia="zh-CN"/>
        </w:rPr>
        <w:sectPr>
          <w:footerReference r:id="rId4" w:type="default"/>
          <w:pgSz w:w="11907" w:h="16839"/>
          <w:pgMar w:top="1431" w:right="1785" w:bottom="1152" w:left="1785" w:header="567" w:footer="988" w:gutter="0"/>
          <w:pgNumType w:fmt="decimal" w:start="1"/>
          <w:cols w:space="720" w:num="1"/>
        </w:sectPr>
      </w:pPr>
    </w:p>
    <w:p w14:paraId="45E1C329">
      <w:pPr>
        <w:pStyle w:val="31"/>
        <w:spacing w:line="360" w:lineRule="auto"/>
        <w:jc w:val="center"/>
        <w:rPr>
          <w:rFonts w:ascii="宋体" w:hAnsi="宋体" w:cs="宋体"/>
          <w:b/>
          <w:color w:val="auto"/>
          <w:kern w:val="2"/>
          <w:sz w:val="36"/>
          <w:szCs w:val="20"/>
        </w:rPr>
      </w:pPr>
      <w:r>
        <w:rPr>
          <w:rFonts w:hint="eastAsia" w:ascii="宋体" w:hAnsi="宋体" w:cs="宋体"/>
          <w:b/>
          <w:color w:val="auto"/>
          <w:kern w:val="2"/>
          <w:sz w:val="36"/>
          <w:szCs w:val="20"/>
        </w:rPr>
        <w:t>第四部分 招标说明</w:t>
      </w:r>
    </w:p>
    <w:p w14:paraId="0F10FB89">
      <w:pPr>
        <w:spacing w:line="360" w:lineRule="auto"/>
        <w:rPr>
          <w:rFonts w:ascii="宋体" w:hAnsi="宋体" w:cs="宋体"/>
          <w:b/>
          <w:sz w:val="24"/>
        </w:rPr>
      </w:pPr>
      <w:r>
        <w:rPr>
          <w:rFonts w:hint="eastAsia" w:ascii="宋体" w:hAnsi="宋体" w:cs="宋体"/>
        </w:rPr>
        <w:t xml:space="preserve">    </w:t>
      </w:r>
      <w:r>
        <w:rPr>
          <w:rFonts w:hint="eastAsia" w:ascii="宋体" w:hAnsi="宋体" w:cs="宋体"/>
          <w:b/>
          <w:sz w:val="24"/>
        </w:rPr>
        <w:t>1. 适用范围</w:t>
      </w:r>
    </w:p>
    <w:p w14:paraId="09BE0ECD">
      <w:pPr>
        <w:spacing w:line="360" w:lineRule="auto"/>
        <w:ind w:firstLine="480" w:firstLineChars="200"/>
        <w:rPr>
          <w:rFonts w:ascii="宋体" w:hAnsi="宋体" w:cs="宋体"/>
          <w:kern w:val="0"/>
          <w:sz w:val="24"/>
          <w:szCs w:val="24"/>
        </w:rPr>
      </w:pPr>
      <w:r>
        <w:rPr>
          <w:rFonts w:hint="eastAsia" w:ascii="宋体" w:hAnsi="宋体" w:cs="宋体"/>
          <w:bCs/>
          <w:sz w:val="24"/>
        </w:rPr>
        <w:t>1.1 本招标文件仅适用于在招标文件中所叙述的本采购项目的合格投标人。</w:t>
      </w:r>
    </w:p>
    <w:p w14:paraId="0DD0FD31">
      <w:pPr>
        <w:spacing w:line="360" w:lineRule="auto"/>
        <w:ind w:firstLine="482" w:firstLineChars="200"/>
        <w:rPr>
          <w:rFonts w:ascii="宋体" w:hAnsi="宋体" w:cs="宋体"/>
          <w:b/>
          <w:bCs/>
          <w:sz w:val="24"/>
        </w:rPr>
      </w:pPr>
      <w:r>
        <w:rPr>
          <w:rFonts w:hint="eastAsia" w:ascii="宋体" w:hAnsi="宋体" w:cs="宋体"/>
          <w:b/>
          <w:bCs/>
          <w:sz w:val="24"/>
        </w:rPr>
        <w:t>2. 投标资格</w:t>
      </w:r>
    </w:p>
    <w:p w14:paraId="10548040">
      <w:pPr>
        <w:spacing w:line="360" w:lineRule="auto"/>
        <w:ind w:firstLine="480" w:firstLineChars="200"/>
        <w:rPr>
          <w:rFonts w:ascii="宋体" w:hAnsi="宋体" w:cs="宋体"/>
          <w:bCs/>
          <w:sz w:val="24"/>
        </w:rPr>
      </w:pPr>
      <w:r>
        <w:rPr>
          <w:rFonts w:hint="eastAsia" w:ascii="宋体" w:hAnsi="宋体" w:cs="宋体"/>
          <w:bCs/>
          <w:sz w:val="24"/>
        </w:rPr>
        <w:t>2.1 凡在中华人民共和国境内注册的合法的法人且有承担本项目的能力以及能够提供资格必备条件和审查项目条件且均应合格的投标人。</w:t>
      </w:r>
    </w:p>
    <w:p w14:paraId="685C761D">
      <w:pPr>
        <w:spacing w:line="360" w:lineRule="auto"/>
        <w:ind w:firstLine="480" w:firstLineChars="200"/>
        <w:rPr>
          <w:rFonts w:ascii="宋体" w:hAnsi="宋体" w:cs="宋体"/>
          <w:bCs/>
          <w:sz w:val="24"/>
        </w:rPr>
      </w:pPr>
      <w:r>
        <w:rPr>
          <w:rFonts w:hint="eastAsia" w:ascii="宋体" w:hAnsi="宋体" w:cs="宋体"/>
          <w:bCs/>
          <w:sz w:val="24"/>
        </w:rPr>
        <w:t>2.2　投标人应遵守中华人民共和国法律、法规和行政规章。</w:t>
      </w:r>
    </w:p>
    <w:p w14:paraId="677C8031">
      <w:pPr>
        <w:spacing w:line="360" w:lineRule="auto"/>
        <w:ind w:firstLine="480" w:firstLineChars="200"/>
        <w:rPr>
          <w:rFonts w:ascii="宋体" w:hAnsi="宋体" w:cs="宋体"/>
          <w:bCs/>
          <w:sz w:val="24"/>
        </w:rPr>
      </w:pPr>
      <w:r>
        <w:rPr>
          <w:rFonts w:hint="eastAsia" w:ascii="宋体" w:hAnsi="宋体" w:cs="宋体"/>
          <w:bCs/>
          <w:sz w:val="24"/>
        </w:rPr>
        <w:t>2.3  本项目不接受联合体投标。</w:t>
      </w:r>
    </w:p>
    <w:p w14:paraId="25A7CBAE">
      <w:pPr>
        <w:tabs>
          <w:tab w:val="left" w:pos="1185"/>
        </w:tabs>
        <w:spacing w:line="360" w:lineRule="auto"/>
        <w:ind w:firstLine="482" w:firstLineChars="200"/>
        <w:rPr>
          <w:rFonts w:ascii="宋体" w:hAnsi="宋体" w:cs="宋体"/>
          <w:b/>
          <w:sz w:val="24"/>
        </w:rPr>
      </w:pPr>
      <w:r>
        <w:rPr>
          <w:rFonts w:hint="eastAsia" w:ascii="宋体" w:hAnsi="宋体" w:cs="宋体"/>
          <w:b/>
          <w:sz w:val="24"/>
        </w:rPr>
        <w:t>3. 定义</w:t>
      </w:r>
    </w:p>
    <w:p w14:paraId="728535CF">
      <w:pPr>
        <w:spacing w:line="360" w:lineRule="auto"/>
        <w:ind w:firstLine="480" w:firstLineChars="200"/>
        <w:rPr>
          <w:rFonts w:ascii="宋体" w:hAnsi="宋体" w:cs="宋体"/>
          <w:bCs/>
          <w:sz w:val="24"/>
        </w:rPr>
      </w:pPr>
      <w:r>
        <w:rPr>
          <w:rFonts w:hint="eastAsia" w:ascii="宋体" w:hAnsi="宋体" w:cs="宋体"/>
          <w:bCs/>
          <w:sz w:val="24"/>
        </w:rPr>
        <w:t>下列术语和缩写的定义为：</w:t>
      </w:r>
    </w:p>
    <w:p w14:paraId="3316E46A">
      <w:pPr>
        <w:spacing w:line="360" w:lineRule="auto"/>
        <w:ind w:firstLine="480" w:firstLineChars="200"/>
        <w:rPr>
          <w:rFonts w:hint="eastAsia" w:ascii="宋体" w:hAnsi="宋体" w:cs="宋体"/>
          <w:bCs/>
          <w:sz w:val="24"/>
          <w:szCs w:val="22"/>
          <w:lang w:eastAsia="zh-CN"/>
        </w:rPr>
      </w:pPr>
      <w:r>
        <w:rPr>
          <w:rFonts w:hint="eastAsia" w:ascii="宋体" w:hAnsi="宋体" w:cs="宋体"/>
          <w:bCs/>
          <w:sz w:val="24"/>
          <w:szCs w:val="22"/>
          <w:lang w:eastAsia="zh-CN"/>
        </w:rPr>
        <w:t>3.1 “采购人”系指新疆塔里木胡杨国家级自然保护区管理局。</w:t>
      </w:r>
    </w:p>
    <w:p w14:paraId="7C3388A7">
      <w:pPr>
        <w:spacing w:line="360" w:lineRule="auto"/>
        <w:ind w:firstLine="480" w:firstLineChars="200"/>
        <w:rPr>
          <w:rFonts w:hint="eastAsia" w:ascii="宋体" w:hAnsi="宋体" w:cs="宋体"/>
          <w:bCs/>
          <w:sz w:val="24"/>
          <w:szCs w:val="22"/>
          <w:lang w:eastAsia="zh-CN"/>
        </w:rPr>
      </w:pPr>
      <w:r>
        <w:rPr>
          <w:rFonts w:hint="eastAsia" w:ascii="宋体" w:hAnsi="宋体" w:cs="宋体"/>
          <w:bCs/>
          <w:sz w:val="24"/>
          <w:szCs w:val="22"/>
          <w:lang w:eastAsia="zh-CN"/>
        </w:rPr>
        <w:t>3.2“采购代理机构”系新疆锦瑞祥工程项目咨询管理有限公司</w:t>
      </w:r>
    </w:p>
    <w:p w14:paraId="4772489A">
      <w:pPr>
        <w:spacing w:line="360" w:lineRule="auto"/>
        <w:ind w:firstLine="480" w:firstLineChars="200"/>
        <w:rPr>
          <w:rFonts w:ascii="宋体" w:hAnsi="宋体" w:cs="宋体"/>
          <w:bCs/>
          <w:sz w:val="24"/>
        </w:rPr>
      </w:pPr>
      <w:r>
        <w:rPr>
          <w:rFonts w:hint="eastAsia" w:ascii="宋体" w:hAnsi="宋体" w:cs="宋体"/>
          <w:bCs/>
          <w:sz w:val="24"/>
          <w:szCs w:val="22"/>
          <w:lang w:eastAsia="zh-CN"/>
        </w:rPr>
        <w:t>3.3 “投标方”、“投标人”系指有资格的投标人及投标表现人</w:t>
      </w:r>
      <w:r>
        <w:rPr>
          <w:rFonts w:hint="eastAsia" w:ascii="宋体" w:hAnsi="宋体" w:cs="宋体"/>
          <w:bCs/>
          <w:sz w:val="24"/>
        </w:rPr>
        <w:t>。</w:t>
      </w:r>
    </w:p>
    <w:p w14:paraId="2933E028">
      <w:pPr>
        <w:spacing w:line="360" w:lineRule="auto"/>
        <w:ind w:firstLine="480" w:firstLineChars="200"/>
        <w:rPr>
          <w:rFonts w:ascii="宋体" w:hAnsi="宋体" w:cs="宋体"/>
          <w:bCs/>
          <w:sz w:val="24"/>
        </w:rPr>
      </w:pPr>
      <w:r>
        <w:rPr>
          <w:rFonts w:hint="eastAsia" w:ascii="宋体" w:hAnsi="宋体" w:cs="宋体"/>
          <w:bCs/>
          <w:sz w:val="24"/>
        </w:rPr>
        <w:t>3.4 “货物”系指招标文件规定的，投标方须向采购人提供的一切设备、附件、备品备件、工具、手册及其它有关资料和材料。</w:t>
      </w:r>
    </w:p>
    <w:p w14:paraId="30FEA072">
      <w:pPr>
        <w:spacing w:line="360" w:lineRule="auto"/>
        <w:ind w:firstLine="480" w:firstLineChars="200"/>
        <w:rPr>
          <w:rFonts w:ascii="宋体" w:hAnsi="宋体" w:cs="宋体"/>
          <w:bCs/>
          <w:sz w:val="24"/>
        </w:rPr>
      </w:pPr>
      <w:r>
        <w:rPr>
          <w:rFonts w:hint="eastAsia" w:ascii="宋体" w:hAnsi="宋体" w:cs="宋体"/>
          <w:bCs/>
          <w:sz w:val="24"/>
        </w:rPr>
        <w:t>3.5 “服务”系指招标文件规定投标方须承担的保修、技术协助、培训及其他类似的责任。</w:t>
      </w:r>
    </w:p>
    <w:p w14:paraId="1636FEFE">
      <w:pPr>
        <w:spacing w:line="360" w:lineRule="auto"/>
        <w:ind w:firstLine="482" w:firstLineChars="200"/>
        <w:rPr>
          <w:rFonts w:ascii="宋体" w:hAnsi="宋体" w:cs="宋体"/>
          <w:b/>
          <w:sz w:val="24"/>
        </w:rPr>
      </w:pPr>
      <w:r>
        <w:rPr>
          <w:rFonts w:hint="eastAsia" w:ascii="宋体" w:hAnsi="宋体" w:cs="宋体"/>
          <w:b/>
          <w:sz w:val="24"/>
        </w:rPr>
        <w:t>4. 投标费用</w:t>
      </w:r>
    </w:p>
    <w:p w14:paraId="222A9869">
      <w:pPr>
        <w:spacing w:line="360" w:lineRule="auto"/>
        <w:ind w:firstLine="480" w:firstLineChars="200"/>
        <w:rPr>
          <w:rFonts w:ascii="宋体" w:hAnsi="宋体" w:cs="宋体"/>
          <w:bCs/>
          <w:sz w:val="24"/>
        </w:rPr>
      </w:pPr>
      <w:r>
        <w:rPr>
          <w:rFonts w:hint="eastAsia" w:ascii="宋体" w:hAnsi="宋体" w:cs="宋体"/>
          <w:bCs/>
          <w:sz w:val="24"/>
        </w:rPr>
        <w:t>4.1无论投标结果如何，凡参与招标、投标活动有关的所有费用将由投标方自行承担。</w:t>
      </w:r>
    </w:p>
    <w:p w14:paraId="2731B40C">
      <w:pPr>
        <w:spacing w:line="360" w:lineRule="auto"/>
        <w:ind w:firstLine="480" w:firstLineChars="200"/>
        <w:rPr>
          <w:rFonts w:ascii="宋体" w:hAnsi="宋体" w:cs="宋体"/>
          <w:bCs/>
          <w:sz w:val="24"/>
        </w:rPr>
      </w:pPr>
      <w:r>
        <w:rPr>
          <w:rFonts w:hint="eastAsia" w:ascii="宋体" w:hAnsi="宋体" w:cs="宋体"/>
          <w:bCs/>
          <w:sz w:val="24"/>
        </w:rPr>
        <w:t>4.2 投标人被视为熟悉本招标项目的各种情况以及与履行合同有关的一切情况。</w:t>
      </w:r>
    </w:p>
    <w:p w14:paraId="0ACCAEDF">
      <w:pPr>
        <w:tabs>
          <w:tab w:val="left" w:pos="1185"/>
        </w:tabs>
        <w:spacing w:line="360" w:lineRule="auto"/>
        <w:ind w:firstLine="482" w:firstLineChars="200"/>
        <w:rPr>
          <w:rFonts w:ascii="宋体" w:hAnsi="宋体" w:cs="宋体"/>
          <w:b/>
          <w:sz w:val="24"/>
        </w:rPr>
      </w:pPr>
      <w:r>
        <w:rPr>
          <w:rFonts w:hint="eastAsia" w:ascii="宋体" w:hAnsi="宋体" w:cs="宋体"/>
          <w:b/>
          <w:sz w:val="24"/>
        </w:rPr>
        <w:t>5. 招标文件的构成</w:t>
      </w:r>
    </w:p>
    <w:p w14:paraId="64634926">
      <w:pPr>
        <w:pStyle w:val="31"/>
        <w:spacing w:line="360" w:lineRule="auto"/>
        <w:ind w:firstLine="268" w:firstLineChars="112"/>
        <w:outlineLvl w:val="0"/>
        <w:rPr>
          <w:rFonts w:ascii="宋体" w:hAnsi="宋体" w:cs="宋体"/>
          <w:bCs/>
          <w:color w:val="auto"/>
        </w:rPr>
      </w:pPr>
      <w:r>
        <w:rPr>
          <w:rFonts w:hint="eastAsia" w:ascii="宋体" w:hAnsi="宋体" w:cs="宋体"/>
          <w:bCs/>
          <w:color w:val="auto"/>
        </w:rPr>
        <w:t>5.1 招标文件由</w:t>
      </w:r>
      <w:r>
        <w:rPr>
          <w:rFonts w:hint="eastAsia" w:ascii="宋体" w:hAnsi="宋体"/>
          <w:color w:val="auto"/>
        </w:rPr>
        <w:t>招标公告、投标须知、货物需求、技术规格说明、招标说明 、投标说明、开标</w:t>
      </w:r>
      <w:r>
        <w:rPr>
          <w:rFonts w:hint="eastAsia" w:ascii="宋体" w:hAnsi="宋体"/>
          <w:color w:val="auto"/>
          <w:lang w:eastAsia="zh-CN"/>
        </w:rPr>
        <w:t>、</w:t>
      </w:r>
      <w:r>
        <w:rPr>
          <w:rFonts w:hint="eastAsia" w:ascii="宋体" w:hAnsi="宋体"/>
          <w:color w:val="auto"/>
        </w:rPr>
        <w:t>评标</w:t>
      </w:r>
      <w:r>
        <w:rPr>
          <w:rFonts w:hint="eastAsia" w:ascii="宋体" w:hAnsi="宋体"/>
          <w:color w:val="auto"/>
          <w:lang w:eastAsia="zh-CN"/>
        </w:rPr>
        <w:t>、</w:t>
      </w:r>
      <w:r>
        <w:rPr>
          <w:rFonts w:hint="eastAsia" w:ascii="宋体" w:hAnsi="宋体"/>
          <w:color w:val="auto"/>
        </w:rPr>
        <w:t>定标说明、商务部分、投标文件的编制装订</w:t>
      </w:r>
      <w:r>
        <w:rPr>
          <w:rFonts w:hint="eastAsia" w:ascii="宋体" w:hAnsi="宋体" w:cs="宋体"/>
          <w:bCs/>
          <w:color w:val="auto"/>
        </w:rPr>
        <w:t>。</w:t>
      </w:r>
    </w:p>
    <w:p w14:paraId="67E34ACE">
      <w:pPr>
        <w:spacing w:line="360" w:lineRule="auto"/>
        <w:ind w:firstLine="482" w:firstLineChars="200"/>
        <w:rPr>
          <w:rFonts w:ascii="宋体" w:hAnsi="宋体" w:cs="宋体"/>
          <w:b/>
          <w:sz w:val="24"/>
        </w:rPr>
      </w:pPr>
      <w:r>
        <w:rPr>
          <w:rFonts w:hint="eastAsia" w:ascii="宋体" w:hAnsi="宋体" w:cs="宋体"/>
          <w:b/>
          <w:sz w:val="24"/>
        </w:rPr>
        <w:t>6. 招标文件的澄清</w:t>
      </w:r>
    </w:p>
    <w:p w14:paraId="6BD6E3EF">
      <w:pPr>
        <w:spacing w:line="360" w:lineRule="auto"/>
        <w:ind w:firstLine="480" w:firstLineChars="200"/>
        <w:rPr>
          <w:rFonts w:ascii="宋体" w:hAnsi="宋体" w:cs="宋体"/>
          <w:bCs/>
          <w:sz w:val="24"/>
        </w:rPr>
      </w:pPr>
      <w:r>
        <w:rPr>
          <w:rFonts w:hint="eastAsia" w:ascii="宋体" w:hAnsi="宋体" w:cs="宋体"/>
          <w:bCs/>
          <w:sz w:val="24"/>
        </w:rPr>
        <w:t>6.1投标人对招标文件如有疑点，可在投标截止日的15日前按招标书中载明的地址以书面形式通知采购代理机构要求澄清。采购代理机构将视情况确定采用适当方式予以澄清或以书面形式予以答复。采购代理机构认为有必要时，可将答复内容（包括原提出问题，但不包括问题的来源）分发给所有拟投标人。</w:t>
      </w:r>
    </w:p>
    <w:p w14:paraId="39220D74">
      <w:pPr>
        <w:spacing w:line="360" w:lineRule="auto"/>
        <w:ind w:left="178" w:leftChars="85" w:firstLine="241" w:firstLineChars="100"/>
        <w:jc w:val="left"/>
        <w:rPr>
          <w:rFonts w:ascii="宋体" w:hAnsi="宋体" w:cs="宋体"/>
          <w:b/>
          <w:sz w:val="24"/>
        </w:rPr>
      </w:pPr>
      <w:r>
        <w:rPr>
          <w:rFonts w:hint="eastAsia" w:ascii="宋体" w:hAnsi="宋体" w:cs="宋体"/>
          <w:b/>
          <w:sz w:val="24"/>
        </w:rPr>
        <w:t>7. 招标文件的修改或补充、修改</w:t>
      </w:r>
    </w:p>
    <w:p w14:paraId="76D328B3">
      <w:pPr>
        <w:spacing w:line="360" w:lineRule="auto"/>
        <w:ind w:firstLine="480" w:firstLineChars="200"/>
        <w:rPr>
          <w:rFonts w:ascii="宋体" w:hAnsi="宋体" w:cs="宋体"/>
          <w:bCs/>
          <w:sz w:val="24"/>
        </w:rPr>
      </w:pPr>
      <w:r>
        <w:rPr>
          <w:rFonts w:hint="eastAsia" w:ascii="宋体" w:hAnsi="宋体" w:cs="宋体"/>
          <w:bCs/>
          <w:sz w:val="24"/>
        </w:rPr>
        <w:t>7.1</w:t>
      </w:r>
      <w:r>
        <w:rPr>
          <w:rFonts w:hint="eastAsia" w:ascii="宋体" w:hAnsi="宋体" w:cs="宋体"/>
          <w:bCs/>
          <w:sz w:val="24"/>
          <w:szCs w:val="22"/>
        </w:rPr>
        <w:t xml:space="preserve"> 采购人或者采购代理机构可以对已发出的招标文件进行必要的澄清或者修改。澄清或者修改的内容可能影响投标文件编制的，采购人或者采购代理机构应当在投标截止时间至少15日前，以书面形式通知所有获取招标文件的潜在投标人</w:t>
      </w:r>
      <w:r>
        <w:rPr>
          <w:rFonts w:hint="eastAsia" w:ascii="宋体" w:hAnsi="宋体" w:cs="宋体"/>
          <w:bCs/>
          <w:sz w:val="24"/>
          <w:szCs w:val="22"/>
          <w:lang w:eastAsia="zh-CN"/>
        </w:rPr>
        <w:t>；</w:t>
      </w:r>
      <w:r>
        <w:rPr>
          <w:rFonts w:hint="eastAsia" w:ascii="宋体" w:hAnsi="宋体" w:cs="宋体"/>
          <w:bCs/>
          <w:sz w:val="24"/>
          <w:szCs w:val="22"/>
        </w:rPr>
        <w:t>不足15日的，采购人或者采购代理机构应当顺延提交投标文件的截止时间。</w:t>
      </w:r>
    </w:p>
    <w:p w14:paraId="473BB323">
      <w:pPr>
        <w:spacing w:line="360" w:lineRule="auto"/>
        <w:ind w:firstLine="480" w:firstLineChars="200"/>
        <w:rPr>
          <w:rFonts w:ascii="宋体" w:hAnsi="宋体" w:cs="宋体"/>
          <w:bCs/>
          <w:sz w:val="24"/>
        </w:rPr>
      </w:pPr>
      <w:r>
        <w:rPr>
          <w:rFonts w:hint="eastAsia" w:ascii="宋体" w:hAnsi="宋体" w:cs="宋体"/>
          <w:bCs/>
          <w:sz w:val="24"/>
        </w:rPr>
        <w:t>7.2 为使投标人在准备投标时有适当的时间考虑投标文件的修改，采购代理机构有权决定推迟投标截止日期和开标日期，并将此变更以书面或公告等形式通知所有投标人。</w:t>
      </w:r>
    </w:p>
    <w:p w14:paraId="4CD7F665">
      <w:pPr>
        <w:spacing w:line="360" w:lineRule="auto"/>
        <w:ind w:firstLine="480" w:firstLineChars="200"/>
        <w:rPr>
          <w:rFonts w:ascii="宋体" w:hAnsi="宋体" w:cs="宋体"/>
          <w:bCs/>
          <w:sz w:val="24"/>
        </w:rPr>
      </w:pPr>
      <w:r>
        <w:rPr>
          <w:rFonts w:hint="eastAsia" w:ascii="宋体" w:hAnsi="宋体" w:cs="宋体"/>
          <w:bCs/>
          <w:sz w:val="24"/>
        </w:rPr>
        <w:t>7.3 招标文件的修改和补充文件将构成招标文件的一部分，并且对投标人具有优先约束力。</w:t>
      </w:r>
    </w:p>
    <w:p w14:paraId="2C03BB21">
      <w:pPr>
        <w:spacing w:line="360" w:lineRule="auto"/>
        <w:ind w:firstLine="482" w:firstLineChars="200"/>
        <w:jc w:val="left"/>
        <w:rPr>
          <w:rFonts w:ascii="宋体" w:hAnsi="宋体" w:cs="宋体"/>
          <w:b/>
          <w:sz w:val="24"/>
        </w:rPr>
      </w:pPr>
      <w:r>
        <w:rPr>
          <w:rFonts w:hint="eastAsia" w:ascii="宋体" w:hAnsi="宋体" w:cs="宋体"/>
          <w:b/>
          <w:sz w:val="24"/>
        </w:rPr>
        <w:t>8. 廉洁自律承诺要求</w:t>
      </w:r>
    </w:p>
    <w:p w14:paraId="506E66B6">
      <w:pPr>
        <w:spacing w:line="360" w:lineRule="auto"/>
        <w:ind w:firstLine="480" w:firstLineChars="200"/>
        <w:jc w:val="left"/>
        <w:rPr>
          <w:rFonts w:ascii="宋体" w:hAnsi="宋体" w:cs="宋体"/>
          <w:sz w:val="24"/>
        </w:rPr>
      </w:pPr>
      <w:r>
        <w:rPr>
          <w:rFonts w:hint="eastAsia" w:ascii="宋体" w:hAnsi="宋体" w:cs="宋体"/>
          <w:sz w:val="24"/>
        </w:rPr>
        <w:t>8.1 在本次招标活动中，新疆锦瑞祥工程项目咨询管理有限公司保证不接受任何投标单位送的礼金礼品、有价证券、购物券、回扣、佣金；不与投标单位及其工作人员私下接触、参与宴请和娱乐活动；不向投标单位及其工作人员索要好处费、赞助费和宣传费；不在投标单位支付旅游费用、报销各种消费凭证；同时，采购人要求参加本次项目的采购单位、评标专家要填写和提交《廉洁自律承诺书》。</w:t>
      </w:r>
    </w:p>
    <w:p w14:paraId="64325627">
      <w:pPr>
        <w:spacing w:line="360" w:lineRule="auto"/>
        <w:ind w:firstLine="482" w:firstLineChars="200"/>
        <w:jc w:val="left"/>
        <w:rPr>
          <w:rFonts w:ascii="宋体" w:hAnsi="宋体" w:cs="宋体"/>
          <w:b/>
          <w:sz w:val="24"/>
        </w:rPr>
      </w:pPr>
      <w:r>
        <w:rPr>
          <w:rFonts w:hint="eastAsia" w:ascii="宋体" w:hAnsi="宋体" w:cs="宋体"/>
          <w:b/>
          <w:sz w:val="24"/>
        </w:rPr>
        <w:t>9．设备、材料性能要求</w:t>
      </w:r>
    </w:p>
    <w:p w14:paraId="41A9AE45">
      <w:pPr>
        <w:pStyle w:val="18"/>
        <w:spacing w:before="0" w:beforeAutospacing="0" w:after="0" w:afterAutospacing="0" w:line="360" w:lineRule="auto"/>
        <w:ind w:firstLine="480" w:firstLineChars="200"/>
        <w:rPr>
          <w:kern w:val="2"/>
        </w:rPr>
      </w:pPr>
      <w:r>
        <w:rPr>
          <w:rFonts w:hint="eastAsia"/>
          <w:kern w:val="2"/>
        </w:rPr>
        <w:t>9.1 为贯彻落实《国务院办公厅关于建立政府强制采购节能产品制度的通知》，扩大节能产品范围，发挥政府机构节能的表率作用，降低政府机构能源费用开支，促进节能技术进步，扩大节能产品市场，根据《中华人民共和国节约能源法》、《中华人民共和国法》等相关政策法规规定，属于环境标志产品、节能产品和计算机、打印机、空调、照明产品（包括双端荧光灯、自镇流荧光灯、单端荧光灯、管型荧光灯镇流器）、电视机、电电热水器、显示器、便器、水嘴等九大类强制采购产品的采购，必须优先选择国家财政部、国家环保部、国家发展和改革委员会等有关部门最新发布的《节能产品清单》和《环境标志产品清单》中的产品。</w:t>
      </w:r>
    </w:p>
    <w:p w14:paraId="203B7CF2">
      <w:pPr>
        <w:pStyle w:val="18"/>
        <w:spacing w:before="0" w:beforeAutospacing="0" w:after="0" w:afterAutospacing="0" w:line="360" w:lineRule="auto"/>
        <w:ind w:firstLine="480" w:firstLineChars="200"/>
        <w:rPr>
          <w:b/>
          <w:kern w:val="2"/>
        </w:rPr>
      </w:pPr>
      <w:r>
        <w:rPr>
          <w:rFonts w:hint="eastAsia"/>
          <w:kern w:val="2"/>
        </w:rPr>
        <w:t>9.2 按照上述国家政策规定，凡本次招标产品涉及国家强制采购节能、环保产品，生产制造商必须使用节能环保材料，并要将纳入节能产品清单的产品作为投标产品，要以 “</w:t>
      </w:r>
      <w:r>
        <w:rPr>
          <w:rFonts w:hint="eastAsia"/>
          <w:kern w:val="2"/>
        </w:rPr>
        <w:fldChar w:fldCharType="begin"/>
      </w:r>
      <w:r>
        <w:rPr>
          <w:rFonts w:hint="eastAsia"/>
          <w:kern w:val="2"/>
        </w:rPr>
        <w:instrText xml:space="preserve"> INCLUDEPICTURE "http://zzjg.ccgp.gov.cn/cpgp/file/file.files/image002.jpg" \* MERGEFORMATINET </w:instrText>
      </w:r>
      <w:r>
        <w:rPr>
          <w:rFonts w:hint="eastAsia"/>
          <w:kern w:val="2"/>
        </w:rPr>
        <w:fldChar w:fldCharType="separate"/>
      </w:r>
      <w:r>
        <w:rPr>
          <w:rFonts w:hint="eastAsia"/>
          <w:kern w:val="2"/>
        </w:rPr>
        <w:drawing>
          <wp:inline distT="0" distB="0" distL="114300" distR="114300">
            <wp:extent cx="159385" cy="159385"/>
            <wp:effectExtent l="0" t="0" r="12065" b="12065"/>
            <wp:docPr id="7" name="图片 2" descr="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image002"/>
                    <pic:cNvPicPr>
                      <a:picLocks noChangeAspect="1"/>
                    </pic:cNvPicPr>
                  </pic:nvPicPr>
                  <pic:blipFill>
                    <a:blip r:embed="rId12"/>
                    <a:stretch>
                      <a:fillRect/>
                    </a:stretch>
                  </pic:blipFill>
                  <pic:spPr>
                    <a:xfrm>
                      <a:off x="0" y="0"/>
                      <a:ext cx="159385" cy="159385"/>
                    </a:xfrm>
                    <a:prstGeom prst="rect">
                      <a:avLst/>
                    </a:prstGeom>
                    <a:noFill/>
                    <a:ln>
                      <a:noFill/>
                    </a:ln>
                  </pic:spPr>
                </pic:pic>
              </a:graphicData>
            </a:graphic>
          </wp:inline>
        </w:drawing>
      </w:r>
      <w:r>
        <w:rPr>
          <w:rFonts w:hint="eastAsia"/>
          <w:kern w:val="2"/>
        </w:rPr>
        <w:fldChar w:fldCharType="end"/>
      </w:r>
      <w:r>
        <w:rPr>
          <w:rFonts w:hint="eastAsia"/>
          <w:kern w:val="2"/>
        </w:rPr>
        <w:t>”作标注，对于获得中国环境标志认证证书的产品要以 “</w:t>
      </w:r>
      <w:r>
        <w:rPr>
          <w:rFonts w:hint="eastAsia"/>
          <w:kern w:val="2"/>
        </w:rPr>
        <w:fldChar w:fldCharType="begin"/>
      </w:r>
      <w:r>
        <w:rPr>
          <w:rFonts w:hint="eastAsia"/>
          <w:kern w:val="2"/>
        </w:rPr>
        <w:instrText xml:space="preserve"> INCLUDEPICTURE "http://zzjg.ccgp.gov.cn/cpgp/file/file.files/image003.gif" \* MERGEFORMATINET </w:instrText>
      </w:r>
      <w:r>
        <w:rPr>
          <w:rFonts w:hint="eastAsia"/>
          <w:kern w:val="2"/>
        </w:rPr>
        <w:fldChar w:fldCharType="separate"/>
      </w:r>
      <w:r>
        <w:rPr>
          <w:rFonts w:hint="eastAsia"/>
          <w:kern w:val="2"/>
        </w:rPr>
        <w:drawing>
          <wp:inline distT="0" distB="0" distL="114300" distR="114300">
            <wp:extent cx="131445" cy="118110"/>
            <wp:effectExtent l="0" t="0" r="1905" b="15240"/>
            <wp:docPr id="8" name="图片 3" descr="image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descr="image003"/>
                    <pic:cNvPicPr>
                      <a:picLocks noChangeAspect="1"/>
                    </pic:cNvPicPr>
                  </pic:nvPicPr>
                  <pic:blipFill>
                    <a:blip r:embed="rId13"/>
                    <a:stretch>
                      <a:fillRect/>
                    </a:stretch>
                  </pic:blipFill>
                  <pic:spPr>
                    <a:xfrm>
                      <a:off x="0" y="0"/>
                      <a:ext cx="131445" cy="118110"/>
                    </a:xfrm>
                    <a:prstGeom prst="rect">
                      <a:avLst/>
                    </a:prstGeom>
                    <a:noFill/>
                    <a:ln>
                      <a:noFill/>
                    </a:ln>
                  </pic:spPr>
                </pic:pic>
              </a:graphicData>
            </a:graphic>
          </wp:inline>
        </w:drawing>
      </w:r>
      <w:r>
        <w:rPr>
          <w:rFonts w:hint="eastAsia"/>
          <w:kern w:val="2"/>
        </w:rPr>
        <w:fldChar w:fldCharType="end"/>
      </w:r>
      <w:r>
        <w:rPr>
          <w:rFonts w:hint="eastAsia"/>
          <w:kern w:val="2"/>
        </w:rPr>
        <w:t>”作标注。否则，届时经核实情况后，其投标将可能被拒绝。</w:t>
      </w:r>
    </w:p>
    <w:p w14:paraId="5E8FC026">
      <w:pPr>
        <w:pStyle w:val="18"/>
        <w:spacing w:before="0" w:beforeAutospacing="0" w:after="0" w:afterAutospacing="0" w:line="360" w:lineRule="auto"/>
        <w:ind w:firstLine="482" w:firstLineChars="200"/>
        <w:rPr>
          <w:kern w:val="2"/>
          <w:szCs w:val="20"/>
        </w:rPr>
      </w:pPr>
      <w:r>
        <w:rPr>
          <w:rFonts w:hint="eastAsia"/>
          <w:b/>
        </w:rPr>
        <w:t>10. 招标会场纪律及要求</w:t>
      </w:r>
    </w:p>
    <w:p w14:paraId="33A5B890">
      <w:pPr>
        <w:spacing w:line="360" w:lineRule="auto"/>
        <w:ind w:firstLine="480" w:firstLineChars="200"/>
        <w:rPr>
          <w:rFonts w:ascii="宋体" w:hAnsi="宋体" w:cs="宋体"/>
          <w:bCs/>
          <w:sz w:val="24"/>
          <w:szCs w:val="24"/>
        </w:rPr>
      </w:pPr>
      <w:r>
        <w:rPr>
          <w:rFonts w:hint="eastAsia" w:ascii="宋体" w:hAnsi="宋体" w:cs="宋体"/>
          <w:bCs/>
          <w:sz w:val="24"/>
          <w:szCs w:val="24"/>
        </w:rPr>
        <w:t>10.1 会议按照“公开、公平、公正、诚信”的原则，招标采取全封闭方式主持进行。</w:t>
      </w:r>
    </w:p>
    <w:p w14:paraId="21411103">
      <w:pPr>
        <w:spacing w:line="360" w:lineRule="auto"/>
        <w:ind w:firstLine="480" w:firstLineChars="200"/>
        <w:rPr>
          <w:rFonts w:ascii="宋体" w:hAnsi="宋体" w:cs="宋体"/>
          <w:b/>
          <w:sz w:val="24"/>
          <w:szCs w:val="24"/>
        </w:rPr>
      </w:pPr>
      <w:r>
        <w:rPr>
          <w:rFonts w:hint="eastAsia" w:ascii="宋体" w:hAnsi="宋体" w:cs="宋体"/>
          <w:sz w:val="24"/>
          <w:szCs w:val="24"/>
        </w:rPr>
        <w:t>10.2与会人员要关闭手机等一切通讯工具，严禁在会场大声喧哗。否则，将请你离开会场。</w:t>
      </w:r>
    </w:p>
    <w:p w14:paraId="0794ACBC">
      <w:pPr>
        <w:widowControl/>
        <w:spacing w:line="360" w:lineRule="auto"/>
        <w:ind w:firstLine="482" w:firstLineChars="200"/>
        <w:jc w:val="left"/>
        <w:rPr>
          <w:rFonts w:ascii="宋体" w:hAnsi="宋体" w:cs="宋体"/>
          <w:sz w:val="24"/>
          <w:szCs w:val="24"/>
        </w:rPr>
      </w:pPr>
      <w:r>
        <w:rPr>
          <w:rFonts w:hint="eastAsia" w:ascii="宋体" w:hAnsi="宋体" w:cs="宋体"/>
          <w:b/>
          <w:sz w:val="24"/>
          <w:szCs w:val="24"/>
        </w:rPr>
        <w:t>10.3 投标</w:t>
      </w:r>
      <w:r>
        <w:rPr>
          <w:rFonts w:hint="eastAsia" w:ascii="宋体" w:hAnsi="宋体" w:cs="宋体"/>
          <w:b/>
          <w:kern w:val="0"/>
          <w:sz w:val="24"/>
          <w:szCs w:val="24"/>
        </w:rPr>
        <w:t>截止时间到后</w:t>
      </w:r>
      <w:r>
        <w:rPr>
          <w:rFonts w:hint="eastAsia" w:ascii="宋体" w:hAnsi="宋体" w:cs="宋体"/>
          <w:b/>
          <w:bCs/>
          <w:sz w:val="24"/>
          <w:szCs w:val="24"/>
        </w:rPr>
        <w:t>，招标现场对投标方的所有投标资质及评标所需的资料证明等不允许二次提交。</w:t>
      </w:r>
    </w:p>
    <w:p w14:paraId="4DE940C3">
      <w:pPr>
        <w:spacing w:line="360" w:lineRule="auto"/>
        <w:ind w:firstLine="480" w:firstLineChars="200"/>
        <w:rPr>
          <w:rFonts w:ascii="宋体" w:hAnsi="宋体" w:cs="宋体"/>
          <w:bCs/>
          <w:sz w:val="24"/>
          <w:szCs w:val="24"/>
        </w:rPr>
      </w:pPr>
      <w:r>
        <w:rPr>
          <w:rFonts w:hint="eastAsia" w:ascii="宋体" w:hAnsi="宋体" w:cs="宋体"/>
          <w:sz w:val="24"/>
          <w:szCs w:val="24"/>
        </w:rPr>
        <w:t>10.4 严禁投标方会议期间与评委单</w:t>
      </w:r>
      <w:r>
        <w:rPr>
          <w:rFonts w:hint="eastAsia" w:ascii="宋体" w:hAnsi="宋体" w:cs="宋体"/>
          <w:bCs/>
          <w:sz w:val="24"/>
          <w:szCs w:val="24"/>
        </w:rPr>
        <w:t>独接触和交往。</w:t>
      </w:r>
    </w:p>
    <w:p w14:paraId="42D40EB1">
      <w:pPr>
        <w:spacing w:line="360" w:lineRule="auto"/>
        <w:ind w:firstLine="480" w:firstLineChars="200"/>
        <w:rPr>
          <w:rFonts w:ascii="宋体" w:hAnsi="宋体" w:cs="宋体"/>
          <w:bCs/>
          <w:sz w:val="24"/>
          <w:szCs w:val="24"/>
        </w:rPr>
      </w:pPr>
      <w:r>
        <w:rPr>
          <w:rFonts w:hint="eastAsia" w:ascii="宋体" w:hAnsi="宋体" w:cs="宋体"/>
          <w:bCs/>
          <w:sz w:val="24"/>
          <w:szCs w:val="24"/>
        </w:rPr>
        <w:t>10.5 评标活动结束前，评标委员会各成员务必自觉做到不与外界及投标人有任何形式的联系，确有特殊原因需要外出或其他方面的，必须由监标人提交</w:t>
      </w:r>
      <w:r>
        <w:rPr>
          <w:rFonts w:hint="eastAsia" w:ascii="宋体" w:hAnsi="宋体" w:cs="宋体"/>
          <w:sz w:val="24"/>
          <w:szCs w:val="24"/>
        </w:rPr>
        <w:t>采购代理机构</w:t>
      </w:r>
      <w:r>
        <w:rPr>
          <w:rFonts w:hint="eastAsia" w:ascii="宋体" w:hAnsi="宋体" w:cs="宋体"/>
          <w:bCs/>
          <w:sz w:val="24"/>
          <w:szCs w:val="24"/>
        </w:rPr>
        <w:t>后，方可外出，外出时须有监标人员陪同。</w:t>
      </w:r>
    </w:p>
    <w:p w14:paraId="4C4015A9">
      <w:pPr>
        <w:spacing w:line="360" w:lineRule="auto"/>
        <w:ind w:firstLine="472" w:firstLineChars="196"/>
        <w:rPr>
          <w:rFonts w:ascii="宋体" w:hAnsi="宋体" w:cs="宋体"/>
          <w:sz w:val="24"/>
          <w:szCs w:val="24"/>
          <w:u w:val="single"/>
        </w:rPr>
      </w:pPr>
      <w:r>
        <w:rPr>
          <w:rFonts w:hint="eastAsia" w:ascii="宋体" w:hAnsi="宋体" w:cs="宋体"/>
          <w:b/>
          <w:sz w:val="24"/>
          <w:szCs w:val="24"/>
        </w:rPr>
        <w:t>10.6</w:t>
      </w:r>
      <w:r>
        <w:rPr>
          <w:rFonts w:hint="eastAsia" w:ascii="宋体" w:hAnsi="宋体" w:cs="宋体"/>
          <w:sz w:val="24"/>
          <w:szCs w:val="24"/>
        </w:rPr>
        <w:t xml:space="preserve"> 对各投标人的资质审查、开标、报价、评标、询标（答疑）、澄清、定标等工作，采取逐一方式进行，评标此期间</w:t>
      </w:r>
      <w:r>
        <w:rPr>
          <w:rFonts w:hint="eastAsia" w:ascii="宋体" w:hAnsi="宋体" w:cs="宋体"/>
          <w:sz w:val="24"/>
          <w:szCs w:val="24"/>
          <w:lang w:eastAsia="zh-CN"/>
        </w:rPr>
        <w:t>投标人</w:t>
      </w:r>
      <w:r>
        <w:rPr>
          <w:rFonts w:hint="eastAsia" w:ascii="宋体" w:hAnsi="宋体" w:cs="宋体"/>
          <w:sz w:val="24"/>
          <w:szCs w:val="24"/>
        </w:rPr>
        <w:t>务必保持通讯工具的畅通，以便及时联络和不延误工作。若发生通讯工具不通或备案通讯工具号码有误，无法实现联络的，或无理拒绝或不执行采购人工作安排的，将视同自愿放弃本次投标权利。</w:t>
      </w:r>
    </w:p>
    <w:p w14:paraId="61160624">
      <w:pPr>
        <w:spacing w:line="360" w:lineRule="auto"/>
        <w:ind w:firstLine="472" w:firstLineChars="196"/>
        <w:rPr>
          <w:rFonts w:ascii="宋体" w:hAnsi="宋体" w:cs="宋体"/>
          <w:b/>
          <w:sz w:val="24"/>
          <w:szCs w:val="24"/>
          <w:u w:val="single"/>
        </w:rPr>
      </w:pPr>
      <w:r>
        <w:rPr>
          <w:rFonts w:hint="eastAsia" w:ascii="宋体" w:hAnsi="宋体" w:cs="宋体"/>
          <w:b/>
          <w:sz w:val="24"/>
          <w:szCs w:val="24"/>
        </w:rPr>
        <w:t>10.7 凡是须要经过会议通过的事宜事项，采购人对投标人在招标事后发生的已通过事宜事项的质疑或投诉，将不予采信。</w:t>
      </w:r>
    </w:p>
    <w:p w14:paraId="629EE714">
      <w:pPr>
        <w:spacing w:line="360" w:lineRule="auto"/>
        <w:ind w:firstLine="480" w:firstLineChars="200"/>
        <w:rPr>
          <w:rFonts w:ascii="宋体" w:hAnsi="宋体" w:cs="宋体"/>
          <w:bCs/>
          <w:sz w:val="24"/>
          <w:szCs w:val="24"/>
        </w:rPr>
      </w:pPr>
      <w:r>
        <w:rPr>
          <w:rFonts w:hint="eastAsia" w:ascii="宋体" w:hAnsi="宋体" w:cs="宋体"/>
          <w:bCs/>
          <w:sz w:val="24"/>
          <w:szCs w:val="24"/>
        </w:rPr>
        <w:t>11. 招标评标须在监标人的监督下由</w:t>
      </w:r>
      <w:r>
        <w:rPr>
          <w:rFonts w:hint="eastAsia" w:ascii="宋体" w:hAnsi="宋体" w:cs="宋体"/>
          <w:bCs/>
          <w:sz w:val="24"/>
        </w:rPr>
        <w:t>采购代理机构</w:t>
      </w:r>
      <w:r>
        <w:rPr>
          <w:rFonts w:hint="eastAsia" w:ascii="宋体" w:hAnsi="宋体" w:cs="宋体"/>
          <w:bCs/>
          <w:sz w:val="24"/>
          <w:szCs w:val="24"/>
        </w:rPr>
        <w:t>组织进行。评标委员会各成员、采购人代表、投标人、特邀代表、工作人员等与会人员如有违纪、违规行为，监标人有权予以纠正或制止。</w:t>
      </w:r>
    </w:p>
    <w:p w14:paraId="445D193F">
      <w:pPr>
        <w:pStyle w:val="6"/>
        <w:spacing w:line="360" w:lineRule="auto"/>
        <w:rPr>
          <w:rFonts w:hint="eastAsia" w:ascii="宋体" w:hAnsi="宋体" w:eastAsia="宋体" w:cs="宋体"/>
          <w:bCs/>
          <w:kern w:val="2"/>
          <w:sz w:val="24"/>
          <w:szCs w:val="24"/>
          <w:lang w:val="en-US" w:eastAsia="zh-CN" w:bidi="ar-SA"/>
        </w:rPr>
      </w:pPr>
      <w:r>
        <w:rPr>
          <w:rFonts w:hint="eastAsia" w:ascii="宋体" w:hAnsi="宋体" w:eastAsia="宋体" w:cs="宋体"/>
          <w:bCs/>
          <w:kern w:val="2"/>
          <w:sz w:val="24"/>
          <w:szCs w:val="24"/>
          <w:lang w:val="en-US" w:eastAsia="zh-CN" w:bidi="ar-SA"/>
        </w:rPr>
        <w:t>12．与评标活动有关的工作人员。是指评标委员会成员以外的、因参与评标监督工作或者事务性工作而知悉有关评标情况的所有人员。</w:t>
      </w:r>
    </w:p>
    <w:p w14:paraId="2D2283E6">
      <w:pPr>
        <w:rPr>
          <w:rFonts w:hint="eastAsia" w:ascii="宋体" w:hAnsi="宋体" w:cs="宋体"/>
          <w:b/>
          <w:color w:val="auto"/>
          <w:kern w:val="2"/>
          <w:sz w:val="36"/>
          <w:szCs w:val="36"/>
        </w:rPr>
      </w:pPr>
      <w:r>
        <w:rPr>
          <w:rFonts w:hint="eastAsia" w:ascii="宋体" w:hAnsi="宋体" w:cs="宋体"/>
          <w:b/>
          <w:color w:val="auto"/>
          <w:kern w:val="2"/>
          <w:sz w:val="36"/>
          <w:szCs w:val="36"/>
        </w:rPr>
        <w:br w:type="page"/>
      </w:r>
    </w:p>
    <w:p w14:paraId="2750693C">
      <w:pPr>
        <w:pStyle w:val="31"/>
        <w:spacing w:line="360" w:lineRule="auto"/>
        <w:jc w:val="center"/>
        <w:rPr>
          <w:rFonts w:ascii="宋体" w:hAnsi="宋体" w:cs="宋体"/>
          <w:b/>
          <w:color w:val="auto"/>
          <w:kern w:val="2"/>
          <w:sz w:val="36"/>
          <w:szCs w:val="36"/>
        </w:rPr>
      </w:pPr>
      <w:r>
        <w:rPr>
          <w:rFonts w:hint="eastAsia" w:ascii="宋体" w:hAnsi="宋体" w:cs="宋体"/>
          <w:b/>
          <w:color w:val="auto"/>
          <w:kern w:val="2"/>
          <w:sz w:val="36"/>
          <w:szCs w:val="36"/>
        </w:rPr>
        <w:t>第五部分 投标说明</w:t>
      </w:r>
    </w:p>
    <w:p w14:paraId="7E25FBB9">
      <w:pPr>
        <w:spacing w:line="360" w:lineRule="auto"/>
        <w:jc w:val="center"/>
        <w:rPr>
          <w:rFonts w:ascii="宋体" w:hAnsi="宋体" w:cs="宋体"/>
          <w:b/>
          <w:sz w:val="32"/>
          <w:szCs w:val="32"/>
        </w:rPr>
      </w:pPr>
      <w:r>
        <w:rPr>
          <w:rFonts w:hint="eastAsia" w:ascii="宋体" w:hAnsi="宋体" w:cs="宋体"/>
          <w:b/>
          <w:sz w:val="32"/>
          <w:szCs w:val="32"/>
        </w:rPr>
        <w:t>第一章 对投标方的资质要求</w:t>
      </w:r>
    </w:p>
    <w:p w14:paraId="5D5C60EF">
      <w:pPr>
        <w:spacing w:line="360" w:lineRule="auto"/>
        <w:ind w:firstLine="480" w:firstLineChars="200"/>
        <w:rPr>
          <w:rFonts w:ascii="宋体" w:hAnsi="宋体" w:cs="宋体"/>
          <w:bCs/>
          <w:sz w:val="24"/>
          <w:szCs w:val="24"/>
        </w:rPr>
      </w:pPr>
      <w:r>
        <w:rPr>
          <w:rFonts w:hint="eastAsia" w:ascii="宋体" w:hAnsi="宋体" w:cs="宋体"/>
          <w:sz w:val="24"/>
          <w:szCs w:val="24"/>
        </w:rPr>
        <w:t>1.1 投标人必须提交能够证明其具有履行本招标项目合同能力的资质证明文件，作为投标文件的一部分。</w:t>
      </w:r>
    </w:p>
    <w:p w14:paraId="57BA67AB">
      <w:pPr>
        <w:pStyle w:val="7"/>
        <w:spacing w:line="360" w:lineRule="auto"/>
        <w:rPr>
          <w:lang w:val="zh-CN"/>
        </w:rPr>
      </w:pPr>
      <w:r>
        <w:rPr>
          <w:rFonts w:hint="eastAsia" w:ascii="宋体" w:hAnsi="宋体" w:cs="宋体"/>
          <w:bCs/>
          <w:sz w:val="24"/>
          <w:lang w:val="en-US"/>
        </w:rPr>
        <w:t xml:space="preserve">   </w:t>
      </w:r>
      <w:r>
        <w:rPr>
          <w:rFonts w:hint="eastAsia" w:ascii="宋体" w:hAnsi="宋体" w:cs="宋体"/>
          <w:bCs/>
          <w:sz w:val="24"/>
        </w:rPr>
        <w:t xml:space="preserve">1.2 </w:t>
      </w:r>
      <w:r>
        <w:rPr>
          <w:rFonts w:hint="eastAsia" w:ascii="宋体" w:hAnsi="宋体" w:cs="宋体"/>
          <w:b/>
          <w:sz w:val="24"/>
        </w:rPr>
        <w:t>投标时资质审查的必要条件《详见第六章</w:t>
      </w:r>
      <w:r>
        <w:rPr>
          <w:rFonts w:hint="eastAsia" w:ascii="宋体" w:hAnsi="宋体" w:cs="宋体"/>
          <w:b/>
          <w:sz w:val="24"/>
          <w:szCs w:val="22"/>
        </w:rPr>
        <w:t>资格审查一览表》</w:t>
      </w:r>
      <w:r>
        <w:rPr>
          <w:rFonts w:hint="eastAsia" w:ascii="宋体" w:hAnsi="宋体" w:cs="宋体"/>
          <w:b/>
          <w:sz w:val="24"/>
        </w:rPr>
        <w:t>如果不能提</w:t>
      </w:r>
      <w:r>
        <w:rPr>
          <w:rFonts w:hint="eastAsia"/>
          <w:b/>
          <w:bCs/>
          <w:sz w:val="24"/>
          <w:szCs w:val="24"/>
        </w:rPr>
        <w:t>供或有缺项则视为对招标文件资格审查内容的不响应，其投标将被拒绝。</w:t>
      </w:r>
    </w:p>
    <w:p w14:paraId="13915804">
      <w:pPr>
        <w:spacing w:line="360" w:lineRule="auto"/>
        <w:ind w:firstLine="480" w:firstLineChars="200"/>
        <w:rPr>
          <w:rFonts w:ascii="宋体" w:hAnsi="宋体" w:cs="宋体"/>
          <w:b/>
          <w:sz w:val="24"/>
          <w:szCs w:val="24"/>
        </w:rPr>
      </w:pPr>
      <w:r>
        <w:rPr>
          <w:rFonts w:hint="eastAsia" w:ascii="宋体" w:hAnsi="宋体" w:cs="宋体"/>
          <w:bCs/>
          <w:sz w:val="24"/>
        </w:rPr>
        <w:t>1.3</w:t>
      </w:r>
      <w:r>
        <w:rPr>
          <w:rFonts w:hint="eastAsia" w:ascii="宋体" w:hAnsi="宋体" w:cs="宋体"/>
          <w:b/>
          <w:bCs/>
          <w:sz w:val="24"/>
        </w:rPr>
        <w:t>开标现场对投标方投标资质中的所有投标资质及评标所需的资料证明等，严格遵循“第四部分”中</w:t>
      </w:r>
      <w:r>
        <w:rPr>
          <w:rFonts w:hint="eastAsia" w:ascii="宋体" w:hAnsi="宋体" w:cs="宋体"/>
          <w:b/>
          <w:sz w:val="24"/>
          <w:szCs w:val="24"/>
        </w:rPr>
        <w:t>10.8条款之规定。</w:t>
      </w:r>
    </w:p>
    <w:p w14:paraId="7B991C2B">
      <w:pPr>
        <w:spacing w:line="360" w:lineRule="auto"/>
        <w:ind w:firstLine="480" w:firstLineChars="200"/>
        <w:rPr>
          <w:rFonts w:ascii="宋体" w:hAnsi="宋体" w:cs="宋体"/>
          <w:bCs/>
          <w:sz w:val="24"/>
          <w:szCs w:val="24"/>
        </w:rPr>
      </w:pPr>
      <w:r>
        <w:rPr>
          <w:rFonts w:hint="eastAsia" w:ascii="宋体" w:hAnsi="宋体" w:cs="宋体"/>
          <w:bCs/>
          <w:sz w:val="24"/>
          <w:szCs w:val="24"/>
        </w:rPr>
        <w:t xml:space="preserve">1.4投标方保证和承诺所投产品报价不存在恶意或有意压价、恶意或有意虚报报价，也不存在恶意或有意抬高报价等行为。 </w:t>
      </w:r>
    </w:p>
    <w:p w14:paraId="43946163">
      <w:pPr>
        <w:spacing w:line="360" w:lineRule="auto"/>
        <w:ind w:firstLine="480" w:firstLineChars="200"/>
        <w:rPr>
          <w:rFonts w:ascii="宋体" w:hAnsi="宋体" w:cs="宋体"/>
          <w:bCs/>
          <w:sz w:val="24"/>
        </w:rPr>
      </w:pPr>
      <w:r>
        <w:rPr>
          <w:rFonts w:hint="eastAsia" w:ascii="宋体" w:hAnsi="宋体" w:cs="宋体"/>
          <w:bCs/>
          <w:sz w:val="24"/>
          <w:szCs w:val="24"/>
        </w:rPr>
        <w:t xml:space="preserve">1.5 投标方保证和承诺不存在与其它投标人有串标、陪标等行为。 </w:t>
      </w:r>
    </w:p>
    <w:p w14:paraId="7811D9B7">
      <w:pPr>
        <w:spacing w:line="360" w:lineRule="auto"/>
        <w:jc w:val="center"/>
        <w:rPr>
          <w:rFonts w:ascii="宋体" w:hAnsi="宋体" w:cs="宋体"/>
          <w:b/>
          <w:sz w:val="32"/>
          <w:szCs w:val="32"/>
        </w:rPr>
      </w:pPr>
    </w:p>
    <w:p w14:paraId="39D5DCD7">
      <w:pPr>
        <w:spacing w:line="360" w:lineRule="auto"/>
        <w:jc w:val="center"/>
        <w:rPr>
          <w:rFonts w:ascii="宋体" w:hAnsi="宋体" w:cs="宋体"/>
          <w:b/>
          <w:sz w:val="32"/>
          <w:szCs w:val="32"/>
        </w:rPr>
      </w:pPr>
      <w:r>
        <w:rPr>
          <w:rFonts w:hint="eastAsia" w:ascii="宋体" w:hAnsi="宋体" w:cs="宋体"/>
          <w:b/>
          <w:sz w:val="32"/>
          <w:szCs w:val="32"/>
        </w:rPr>
        <w:t>第二章 投标文件的编写</w:t>
      </w:r>
    </w:p>
    <w:p w14:paraId="75ADA0C4">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2</w:t>
      </w:r>
      <w:r>
        <w:rPr>
          <w:rFonts w:hint="eastAsia" w:ascii="宋体" w:hAnsi="宋体" w:cs="宋体"/>
          <w:b/>
          <w:bCs/>
          <w:sz w:val="24"/>
          <w:lang w:val="zh-CN"/>
        </w:rPr>
        <w:t>．要求</w:t>
      </w:r>
    </w:p>
    <w:p w14:paraId="5B3E7707">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2.1 投标人应详细阅读</w:t>
      </w:r>
      <w:r>
        <w:rPr>
          <w:rFonts w:hint="eastAsia" w:ascii="宋体" w:hAnsi="宋体" w:cs="宋体"/>
          <w:bCs/>
          <w:sz w:val="24"/>
        </w:rPr>
        <w:t>采购代理机构</w:t>
      </w:r>
      <w:r>
        <w:rPr>
          <w:rFonts w:hint="eastAsia" w:ascii="宋体" w:hAnsi="宋体" w:cs="宋体"/>
          <w:sz w:val="24"/>
          <w:lang w:val="zh-CN"/>
        </w:rPr>
        <w:t>的招标文件中的条款、规范、表示、条件和格式等所有内容，按招标文件的要求编制投标文件和提供要求份数的投标文件，并保证所提供全部材料的真实性；投标文件必须对招标文件提出的要求和条件做出实质性响应。否则，其投标可能将被拒绝。</w:t>
      </w:r>
    </w:p>
    <w:p w14:paraId="363386E6">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2.2 允许投标人对招标文件中的所有包投标，也可根据本企业生产或代理产品的情况对部分包进行投标，但不允许投标人对某一包中的一项或部分项进行投标。采购人可选择一家投标人为所有包的成交人，也可选择若干个分别中标。</w:t>
      </w:r>
    </w:p>
    <w:p w14:paraId="073D3E99">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3</w:t>
      </w:r>
      <w:r>
        <w:rPr>
          <w:rFonts w:hint="eastAsia" w:ascii="宋体" w:hAnsi="宋体" w:cs="宋体"/>
          <w:b/>
          <w:bCs/>
          <w:sz w:val="24"/>
          <w:lang w:val="zh-CN"/>
        </w:rPr>
        <w:t>．投标文件语言和度量单位</w:t>
      </w:r>
    </w:p>
    <w:p w14:paraId="515E1963">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3.1 招标文件及投标人和</w:t>
      </w:r>
      <w:r>
        <w:rPr>
          <w:rFonts w:hint="eastAsia" w:ascii="宋体" w:hAnsi="宋体" w:cs="宋体"/>
          <w:bCs/>
          <w:sz w:val="24"/>
        </w:rPr>
        <w:t>采购代理机构</w:t>
      </w:r>
      <w:r>
        <w:rPr>
          <w:rFonts w:hint="eastAsia" w:ascii="宋体" w:hAnsi="宋体" w:cs="宋体"/>
          <w:sz w:val="24"/>
          <w:lang w:val="zh-CN"/>
        </w:rPr>
        <w:t>就招标、投标交换的文件和往来信件，须以中文书写。</w:t>
      </w:r>
    </w:p>
    <w:p w14:paraId="7DA79885">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3.2 除在招标文件的技术规格中另有规定外，计量单位应使用中华人民共和国法定计量单位。</w:t>
      </w:r>
    </w:p>
    <w:p w14:paraId="63B062EF">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4</w:t>
      </w:r>
      <w:r>
        <w:rPr>
          <w:rFonts w:hint="eastAsia" w:ascii="宋体" w:hAnsi="宋体" w:cs="宋体"/>
          <w:b/>
          <w:bCs/>
          <w:sz w:val="24"/>
          <w:lang w:val="zh-CN"/>
        </w:rPr>
        <w:t>．投标文件的组成</w:t>
      </w:r>
    </w:p>
    <w:p w14:paraId="227A08C8">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4.1 投标人编写的投标文件应包括下列内容：</w:t>
      </w:r>
    </w:p>
    <w:p w14:paraId="0E3C04EB">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1、投标函</w:t>
      </w:r>
    </w:p>
    <w:p w14:paraId="7B4CBFFE">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2、法定代表人资格证明书、法定代表人的授权委托书</w:t>
      </w:r>
    </w:p>
    <w:p w14:paraId="617D037D">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3、报价一览表</w:t>
      </w:r>
    </w:p>
    <w:p w14:paraId="09BDED9F">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4、供应商资质证明文件，包括：</w:t>
      </w:r>
    </w:p>
    <w:p w14:paraId="3DC6AD34">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4.1、</w:t>
      </w:r>
      <w:r>
        <w:rPr>
          <w:rFonts w:hint="eastAsia" w:ascii="宋体" w:hAnsi="宋体" w:cs="宋体"/>
          <w:bCs/>
          <w:sz w:val="24"/>
          <w:szCs w:val="24"/>
          <w:lang w:val="en-US" w:eastAsia="zh-CN"/>
        </w:rPr>
        <w:t>须具有中华人民共和国境内注册的独立法人资格的企事业单位，提供事业单位证书或营业执照</w:t>
      </w:r>
      <w:r>
        <w:rPr>
          <w:rFonts w:hint="eastAsia" w:ascii="宋体" w:hAnsi="宋体"/>
          <w:sz w:val="24"/>
          <w:highlight w:val="none"/>
        </w:rPr>
        <w:t>；</w:t>
      </w:r>
    </w:p>
    <w:p w14:paraId="6FE1C400">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4.2、</w:t>
      </w:r>
      <w:r>
        <w:rPr>
          <w:rFonts w:hint="eastAsia" w:ascii="宋体" w:hAnsi="宋体"/>
          <w:sz w:val="24"/>
          <w:highlight w:val="none"/>
          <w:lang w:val="zh-CN"/>
        </w:rPr>
        <w:t>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r>
        <w:rPr>
          <w:rFonts w:hint="eastAsia" w:ascii="宋体" w:hAnsi="宋体"/>
          <w:sz w:val="24"/>
          <w:highlight w:val="none"/>
        </w:rPr>
        <w:t xml:space="preserve">  </w:t>
      </w:r>
    </w:p>
    <w:p w14:paraId="65B6F83A">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4.3、投标保证金缴纳凭证；</w:t>
      </w:r>
    </w:p>
    <w:p w14:paraId="04D9FE0C">
      <w:pPr>
        <w:autoSpaceDE w:val="0"/>
        <w:autoSpaceDN w:val="0"/>
        <w:adjustRightInd w:val="0"/>
        <w:spacing w:line="360" w:lineRule="auto"/>
        <w:ind w:firstLine="787" w:firstLineChars="328"/>
        <w:rPr>
          <w:rFonts w:hint="eastAsia" w:cs="Times New Roman"/>
          <w:color w:val="auto"/>
          <w:sz w:val="24"/>
          <w:szCs w:val="24"/>
          <w:highlight w:val="none"/>
          <w:shd w:val="clear" w:color="auto" w:fill="auto"/>
          <w:lang w:val="en-US" w:eastAsia="zh-CN"/>
        </w:rPr>
      </w:pPr>
      <w:r>
        <w:rPr>
          <w:rFonts w:hint="eastAsia" w:ascii="宋体" w:hAnsi="宋体"/>
          <w:sz w:val="24"/>
          <w:highlight w:val="none"/>
          <w:lang w:val="en-US" w:eastAsia="zh-CN"/>
        </w:rPr>
        <w:t>4.4、</w:t>
      </w:r>
      <w:r>
        <w:rPr>
          <w:rFonts w:hint="eastAsia" w:cs="Times New Roman"/>
          <w:color w:val="auto"/>
          <w:sz w:val="24"/>
          <w:szCs w:val="24"/>
          <w:highlight w:val="none"/>
          <w:shd w:val="clear" w:color="auto" w:fill="auto"/>
          <w:lang w:val="en-US" w:eastAsia="zh-CN"/>
        </w:rPr>
        <w:t>满足《中华人民共和国政府采购法》第二十二条规定，并提供承诺书；</w:t>
      </w:r>
    </w:p>
    <w:p w14:paraId="512EE4F5">
      <w:pP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zh-CN"/>
        </w:rPr>
        <w:t>5、关于资格的声明函</w:t>
      </w:r>
    </w:p>
    <w:p w14:paraId="2F3B6F5D">
      <w:pPr>
        <w:autoSpaceDE w:val="0"/>
        <w:autoSpaceDN w:val="0"/>
        <w:adjustRightInd w:val="0"/>
        <w:spacing w:line="360" w:lineRule="auto"/>
        <w:ind w:firstLine="480" w:firstLineChars="200"/>
        <w:rPr>
          <w:rFonts w:hint="default" w:ascii="宋体" w:hAnsi="宋体"/>
          <w:sz w:val="24"/>
          <w:highlight w:val="none"/>
          <w:lang w:val="en-US" w:eastAsia="zh-CN"/>
        </w:rPr>
      </w:pPr>
      <w:r>
        <w:rPr>
          <w:rFonts w:hint="eastAsia" w:ascii="宋体" w:hAnsi="宋体"/>
          <w:sz w:val="24"/>
          <w:highlight w:val="none"/>
          <w:lang w:val="en-US" w:eastAsia="zh-CN"/>
        </w:rPr>
        <w:t>6、服务报价明细表</w:t>
      </w:r>
    </w:p>
    <w:p w14:paraId="610C9A62">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en-US" w:eastAsia="zh-CN"/>
        </w:rPr>
        <w:t>7</w:t>
      </w:r>
      <w:r>
        <w:rPr>
          <w:rFonts w:hint="eastAsia" w:ascii="宋体" w:hAnsi="宋体" w:cs="仿宋_GB2312"/>
          <w:sz w:val="24"/>
          <w:highlight w:val="none"/>
          <w:lang w:val="zh-CN"/>
        </w:rPr>
        <w:t>、商务条款偏离表</w:t>
      </w:r>
    </w:p>
    <w:p w14:paraId="6213C36F">
      <w:pP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en-US" w:eastAsia="zh-CN"/>
        </w:rPr>
        <w:t>8</w:t>
      </w:r>
      <w:r>
        <w:rPr>
          <w:rFonts w:hint="eastAsia" w:ascii="宋体" w:hAnsi="宋体" w:cs="仿宋_GB2312"/>
          <w:sz w:val="24"/>
          <w:highlight w:val="none"/>
          <w:lang w:val="zh-CN"/>
        </w:rPr>
        <w:t>、业绩表</w:t>
      </w:r>
    </w:p>
    <w:p w14:paraId="714A3633">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lang w:val="en-US" w:eastAsia="zh-CN"/>
        </w:rPr>
        <w:t>9</w:t>
      </w:r>
      <w:r>
        <w:rPr>
          <w:rFonts w:hint="eastAsia" w:ascii="宋体" w:hAnsi="宋体" w:cs="仿宋_GB2312"/>
          <w:sz w:val="24"/>
          <w:highlight w:val="none"/>
          <w:lang w:val="zh-CN"/>
        </w:rPr>
        <w:t>、投标单位（供应商）反商业贿赂承诺书</w:t>
      </w:r>
    </w:p>
    <w:p w14:paraId="098067AD">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lang w:val="en-US" w:eastAsia="zh-CN"/>
        </w:rPr>
        <w:t>10</w:t>
      </w:r>
      <w:r>
        <w:rPr>
          <w:rFonts w:hint="eastAsia" w:ascii="宋体" w:hAnsi="宋体" w:cs="仿宋_GB2312"/>
          <w:sz w:val="24"/>
          <w:highlight w:val="none"/>
          <w:lang w:val="zh-CN"/>
        </w:rPr>
        <w:t>、投标承诺书</w:t>
      </w:r>
    </w:p>
    <w:p w14:paraId="66952C51">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1</w:t>
      </w:r>
      <w:r>
        <w:rPr>
          <w:rFonts w:hint="eastAsia" w:ascii="宋体" w:hAnsi="宋体" w:cs="仿宋_GB2312"/>
          <w:sz w:val="24"/>
          <w:highlight w:val="none"/>
          <w:lang w:val="zh-CN"/>
        </w:rPr>
        <w:t>、投标保证金退还说明</w:t>
      </w:r>
    </w:p>
    <w:p w14:paraId="0E44E1D0">
      <w:pPr>
        <w:autoSpaceDE w:val="0"/>
        <w:autoSpaceDN w:val="0"/>
        <w:adjustRightInd w:val="0"/>
        <w:spacing w:line="360" w:lineRule="auto"/>
        <w:ind w:firstLine="480"/>
        <w:rPr>
          <w:rFonts w:hint="eastAsia"/>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2</w:t>
      </w:r>
      <w:r>
        <w:rPr>
          <w:rFonts w:hint="eastAsia" w:ascii="宋体" w:hAnsi="宋体" w:cs="仿宋_GB2312"/>
          <w:sz w:val="24"/>
          <w:highlight w:val="none"/>
        </w:rPr>
        <w:t>、</w:t>
      </w:r>
      <w:r>
        <w:rPr>
          <w:rFonts w:hint="eastAsia" w:ascii="宋体" w:hAnsi="宋体" w:cs="仿宋_GB2312"/>
          <w:sz w:val="24"/>
          <w:highlight w:val="none"/>
          <w:lang w:val="zh-CN"/>
        </w:rPr>
        <w:t>投标单位（供应商）《遵守政府采购相关法律法规承诺书》</w:t>
      </w:r>
    </w:p>
    <w:p w14:paraId="2679E8CB">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3</w:t>
      </w:r>
      <w:r>
        <w:rPr>
          <w:rFonts w:hint="eastAsia" w:ascii="宋体" w:hAnsi="宋体" w:cs="仿宋_GB2312"/>
          <w:sz w:val="24"/>
          <w:highlight w:val="none"/>
          <w:lang w:val="zh-CN"/>
        </w:rPr>
        <w:t>、中小企业声明函</w:t>
      </w:r>
    </w:p>
    <w:p w14:paraId="3D67A7F3">
      <w:pPr>
        <w:autoSpaceDE w:val="0"/>
        <w:autoSpaceDN w:val="0"/>
        <w:adjustRightInd w:val="0"/>
        <w:spacing w:line="360" w:lineRule="auto"/>
        <w:ind w:firstLine="480"/>
        <w:rPr>
          <w:rFonts w:hint="eastAsia" w:ascii="宋体" w:hAnsi="宋体" w:cs="仿宋_GB2312"/>
          <w:sz w:val="24"/>
          <w:highlight w:val="none"/>
        </w:rPr>
      </w:pPr>
      <w:r>
        <w:rPr>
          <w:rFonts w:hint="eastAsia" w:ascii="宋体" w:hAnsi="宋体" w:cs="仿宋_GB2312"/>
          <w:sz w:val="24"/>
          <w:highlight w:val="none"/>
        </w:rPr>
        <w:t>1</w:t>
      </w:r>
      <w:r>
        <w:rPr>
          <w:rFonts w:hint="eastAsia" w:ascii="宋体" w:hAnsi="宋体" w:cs="仿宋_GB2312"/>
          <w:sz w:val="24"/>
          <w:highlight w:val="none"/>
          <w:lang w:val="en-US" w:eastAsia="zh-CN"/>
        </w:rPr>
        <w:t>4</w:t>
      </w:r>
      <w:r>
        <w:rPr>
          <w:rFonts w:hint="eastAsia" w:ascii="宋体" w:hAnsi="宋体" w:cs="仿宋_GB2312"/>
          <w:sz w:val="24"/>
          <w:highlight w:val="none"/>
        </w:rPr>
        <w:t>、主要股东或出资人信息</w:t>
      </w:r>
    </w:p>
    <w:p w14:paraId="30B0C18D">
      <w:pPr>
        <w:autoSpaceDE w:val="0"/>
        <w:autoSpaceDN w:val="0"/>
        <w:adjustRightInd w:val="0"/>
        <w:spacing w:line="360" w:lineRule="auto"/>
        <w:ind w:firstLine="480"/>
        <w:rPr>
          <w:rFonts w:hint="eastAsia" w:ascii="宋体" w:hAnsi="宋体" w:cs="仿宋_GB2312"/>
          <w:sz w:val="24"/>
          <w:highlight w:val="none"/>
        </w:rPr>
      </w:pPr>
      <w:r>
        <w:rPr>
          <w:rFonts w:hint="eastAsia" w:ascii="宋体" w:hAnsi="宋体" w:cs="仿宋_GB2312"/>
          <w:sz w:val="24"/>
          <w:highlight w:val="none"/>
        </w:rPr>
        <w:t>1</w:t>
      </w:r>
      <w:r>
        <w:rPr>
          <w:rFonts w:hint="eastAsia" w:ascii="宋体" w:hAnsi="宋体" w:cs="仿宋_GB2312"/>
          <w:sz w:val="24"/>
          <w:highlight w:val="none"/>
          <w:lang w:val="en-US" w:eastAsia="zh-CN"/>
        </w:rPr>
        <w:t>5</w:t>
      </w:r>
      <w:r>
        <w:rPr>
          <w:rFonts w:hint="eastAsia" w:ascii="宋体" w:hAnsi="宋体" w:cs="仿宋_GB2312"/>
          <w:sz w:val="24"/>
          <w:highlight w:val="none"/>
        </w:rPr>
        <w:t>、非联合体投标声明</w:t>
      </w:r>
    </w:p>
    <w:p w14:paraId="41464614">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6</w:t>
      </w:r>
      <w:r>
        <w:rPr>
          <w:rFonts w:hint="eastAsia" w:ascii="宋体" w:hAnsi="宋体" w:cs="仿宋_GB2312"/>
          <w:sz w:val="24"/>
          <w:highlight w:val="none"/>
        </w:rPr>
        <w:t>、</w:t>
      </w:r>
      <w:r>
        <w:rPr>
          <w:rFonts w:hint="eastAsia" w:ascii="宋体" w:hAnsi="宋体" w:cs="仿宋_GB2312"/>
          <w:sz w:val="24"/>
          <w:highlight w:val="none"/>
          <w:lang w:val="zh-CN"/>
        </w:rPr>
        <w:t>无重大违法记录声明函</w:t>
      </w:r>
    </w:p>
    <w:p w14:paraId="1845316D">
      <w:pPr>
        <w:autoSpaceDE w:val="0"/>
        <w:autoSpaceDN w:val="0"/>
        <w:adjustRightInd w:val="0"/>
        <w:spacing w:line="360" w:lineRule="auto"/>
        <w:ind w:firstLine="480"/>
      </w:pPr>
      <w:r>
        <w:rPr>
          <w:rFonts w:hint="eastAsia" w:ascii="宋体" w:hAnsi="宋体" w:cs="仿宋_GB2312"/>
          <w:sz w:val="24"/>
          <w:highlight w:val="none"/>
          <w:lang w:val="en-US" w:eastAsia="zh-CN"/>
        </w:rPr>
        <w:t>17、</w:t>
      </w:r>
      <w:r>
        <w:rPr>
          <w:rFonts w:hint="eastAsia" w:ascii="宋体" w:hAnsi="宋体" w:cs="宋体"/>
          <w:bCs/>
          <w:color w:val="auto"/>
          <w:sz w:val="24"/>
          <w:szCs w:val="24"/>
          <w:lang w:val="en-US" w:eastAsia="zh-CN"/>
        </w:rPr>
        <w:t>是否提供政采云上传投标文件的IP地址截图</w:t>
      </w:r>
    </w:p>
    <w:p w14:paraId="69AA460D">
      <w:pPr>
        <w:autoSpaceDE w:val="0"/>
        <w:autoSpaceDN w:val="0"/>
        <w:adjustRightInd w:val="0"/>
        <w:spacing w:line="360" w:lineRule="auto"/>
        <w:ind w:firstLine="480"/>
        <w:rPr>
          <w:rFonts w:hint="default" w:ascii="宋体" w:hAnsi="宋体" w:cs="仿宋_GB2312"/>
          <w:sz w:val="24"/>
          <w:lang w:val="en-US" w:eastAsia="zh-CN"/>
        </w:rPr>
      </w:pPr>
      <w:r>
        <w:rPr>
          <w:rFonts w:hint="eastAsia" w:ascii="宋体" w:hAnsi="宋体" w:cs="仿宋_GB2312"/>
          <w:sz w:val="24"/>
          <w:highlight w:val="none"/>
        </w:rPr>
        <w:t>1</w:t>
      </w:r>
      <w:r>
        <w:rPr>
          <w:rFonts w:hint="eastAsia" w:ascii="宋体" w:hAnsi="宋体" w:cs="仿宋_GB2312"/>
          <w:sz w:val="24"/>
          <w:highlight w:val="none"/>
          <w:lang w:val="en-US" w:eastAsia="zh-CN"/>
        </w:rPr>
        <w:t>8</w:t>
      </w:r>
      <w:r>
        <w:rPr>
          <w:rFonts w:hint="eastAsia" w:ascii="宋体" w:hAnsi="宋体" w:cs="仿宋_GB2312"/>
          <w:sz w:val="24"/>
          <w:highlight w:val="none"/>
          <w:lang w:val="zh-CN"/>
        </w:rPr>
        <w:t>、提供其它有利于投标的资料</w:t>
      </w:r>
    </w:p>
    <w:p w14:paraId="3E99A93B">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5</w:t>
      </w:r>
      <w:r>
        <w:rPr>
          <w:rFonts w:hint="eastAsia" w:ascii="宋体" w:hAnsi="宋体" w:cs="宋体"/>
          <w:b/>
          <w:bCs/>
          <w:sz w:val="24"/>
          <w:lang w:val="zh-CN"/>
        </w:rPr>
        <w:t>．投标文件格式</w:t>
      </w:r>
    </w:p>
    <w:p w14:paraId="3679B5EC">
      <w:pPr>
        <w:autoSpaceDE w:val="0"/>
        <w:autoSpaceDN w:val="0"/>
        <w:adjustRightInd w:val="0"/>
        <w:spacing w:line="360" w:lineRule="auto"/>
        <w:ind w:firstLine="482"/>
        <w:rPr>
          <w:rFonts w:ascii="宋体" w:hAnsi="宋体" w:cs="宋体"/>
          <w:bCs/>
          <w:sz w:val="24"/>
        </w:rPr>
      </w:pPr>
      <w:r>
        <w:rPr>
          <w:rFonts w:hint="eastAsia" w:ascii="宋体" w:hAnsi="宋体" w:cs="宋体"/>
          <w:sz w:val="24"/>
          <w:lang w:val="zh-CN"/>
        </w:rPr>
        <w:t>5.1 投标方应按招标文件范本格式中提供的投标文件格式认真填写投标书、开标一览表、投标表等，并注明投标货物的名称、货物简介、</w:t>
      </w:r>
      <w:r>
        <w:rPr>
          <w:rFonts w:hint="eastAsia" w:ascii="宋体" w:hAnsi="宋体" w:cs="宋体"/>
          <w:bCs/>
          <w:sz w:val="24"/>
        </w:rPr>
        <w:t>原产地、数量和价格等。</w:t>
      </w:r>
    </w:p>
    <w:p w14:paraId="76D9C74F">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6．投标报价</w:t>
      </w:r>
    </w:p>
    <w:p w14:paraId="67262337">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6.1 投标方须在投标报价表上标明单价</w:t>
      </w:r>
      <w:r>
        <w:rPr>
          <w:rFonts w:hint="eastAsia" w:ascii="宋体" w:hAnsi="宋体" w:cs="Arial"/>
          <w:bCs/>
          <w:sz w:val="24"/>
          <w:szCs w:val="24"/>
        </w:rPr>
        <w:t>（</w:t>
      </w:r>
      <w:r>
        <w:rPr>
          <w:rFonts w:hint="eastAsia" w:ascii="黑体" w:hAnsi="黑体" w:eastAsia="黑体" w:cs="黑体"/>
          <w:b/>
          <w:sz w:val="24"/>
          <w:szCs w:val="24"/>
        </w:rPr>
        <w:t>单价为综合单价，包括人工费、材料和设备费等，以及一定范围内的风险的费用）</w:t>
      </w:r>
      <w:r>
        <w:rPr>
          <w:rFonts w:hint="eastAsia" w:ascii="宋体" w:hAnsi="宋体" w:cs="宋体"/>
          <w:bCs/>
          <w:sz w:val="24"/>
        </w:rPr>
        <w:t>和总价。如单价和总价不符，以单价累计为准。小写和大写不符，以大写为准。投标方如果不同意上述修改原则，其投标将被拒绝。投标方应标明其提供的所有货物及其相关工作范围内所有费用的总价，采购人不接受有任何选择性的报价。</w:t>
      </w:r>
    </w:p>
    <w:p w14:paraId="5EAFC2D9">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6.2. 投标时应注意下列几点：</w:t>
      </w:r>
    </w:p>
    <w:p w14:paraId="5B53E5C1">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6.2.1 招标文件中特别要求的备品备件、易损件和专用工具的费用；</w:t>
      </w:r>
    </w:p>
    <w:p w14:paraId="1ACD44FB">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6.2.2 招标文件中特别要求的安装、调试、培训、运输、保险及其它附带服务的全部费用；</w:t>
      </w:r>
    </w:p>
    <w:p w14:paraId="59C42C8E">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6.2.3 投标人提供的在中华人民共和国制造的货物，或已在境内的、国外生产的、已经进口货物，其货物的投标价即交货价中，包括制造、组装该货物所使用的零部件及原材料已付的全部关税、销售税和其他税。</w:t>
      </w:r>
    </w:p>
    <w:p w14:paraId="0001E429">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7．投标报价的货币单位</w:t>
      </w:r>
    </w:p>
    <w:p w14:paraId="54EF39FD">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7.1 投标报价单位为人民币。对进口设备的报价也应以人民币进行报价。</w:t>
      </w:r>
    </w:p>
    <w:p w14:paraId="231835C0">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8．投标文件规定的技术投标文件</w:t>
      </w:r>
    </w:p>
    <w:p w14:paraId="6E3A098F">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8.1 投标方须提交证明拟供货物和服务符合招标文件规定的技术投标文件，作为投标文件的一部分。</w:t>
      </w:r>
    </w:p>
    <w:p w14:paraId="2A91E94A">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9．投标有效期</w:t>
      </w:r>
    </w:p>
    <w:p w14:paraId="4E971CDE">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9.1 投标文件从开标之日起，投标有效期为90天（如不满足将导致废标）。</w:t>
      </w:r>
    </w:p>
    <w:p w14:paraId="2F08B084">
      <w:pPr>
        <w:autoSpaceDE w:val="0"/>
        <w:autoSpaceDN w:val="0"/>
        <w:adjustRightInd w:val="0"/>
        <w:spacing w:line="360" w:lineRule="auto"/>
        <w:ind w:firstLine="482"/>
        <w:rPr>
          <w:rFonts w:ascii="宋体" w:hAnsi="宋体" w:cs="宋体"/>
          <w:bCs/>
          <w:sz w:val="24"/>
        </w:rPr>
      </w:pPr>
      <w:r>
        <w:rPr>
          <w:rFonts w:hint="eastAsia" w:ascii="宋体" w:hAnsi="宋体" w:cs="宋体"/>
          <w:bCs/>
          <w:sz w:val="24"/>
        </w:rPr>
        <w:t>9.2 在特殊情况下，采购代理机构可与投标人协商延长投标文件的有效期。</w:t>
      </w:r>
    </w:p>
    <w:p w14:paraId="57E4BE17">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10．投标保证金</w:t>
      </w:r>
    </w:p>
    <w:p w14:paraId="1C7E9CB8">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0</w:t>
      </w:r>
      <w:r>
        <w:rPr>
          <w:rFonts w:hint="eastAsia" w:ascii="宋体" w:hAnsi="宋体" w:cs="宋体"/>
          <w:sz w:val="24"/>
          <w:lang w:val="zh-CN"/>
        </w:rPr>
        <w:t>.1 投标保证金是为了弥补采购人因投标人的违规行为而蒙受的损失。采购人在因投标人的违规行为而受到损害时将没收其投标保证金，作为所受损害的补偿。</w:t>
      </w:r>
    </w:p>
    <w:p w14:paraId="2F30A5C1">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0</w:t>
      </w:r>
      <w:r>
        <w:rPr>
          <w:rFonts w:hint="eastAsia" w:ascii="宋体" w:hAnsi="宋体" w:cs="宋体"/>
          <w:sz w:val="24"/>
          <w:lang w:val="zh-CN"/>
        </w:rPr>
        <w:t>.2 投标人在提交投标文件时应交纳投标保证金，其有效期应不低于投标有效期。</w:t>
      </w:r>
    </w:p>
    <w:p w14:paraId="7FCB91D7">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0</w:t>
      </w:r>
      <w:r>
        <w:rPr>
          <w:rFonts w:hint="eastAsia" w:ascii="宋体" w:hAnsi="宋体" w:cs="宋体"/>
          <w:sz w:val="24"/>
          <w:lang w:val="zh-CN"/>
        </w:rPr>
        <w:t>.3 投标保证金不接受现金。按招标文件要求，在投标截止时间前将本项目投标保证金从投标公司的基本帐户汇到</w:t>
      </w:r>
      <w:r>
        <w:rPr>
          <w:rFonts w:hint="eastAsia" w:ascii="宋体" w:hAnsi="宋体" w:cs="宋体"/>
          <w:bCs/>
          <w:sz w:val="24"/>
        </w:rPr>
        <w:t>采购代理机构</w:t>
      </w:r>
      <w:r>
        <w:rPr>
          <w:rFonts w:hint="eastAsia" w:ascii="宋体" w:hAnsi="宋体" w:cs="宋体"/>
          <w:sz w:val="24"/>
          <w:lang w:val="zh-CN"/>
        </w:rPr>
        <w:t>指定帐户。</w:t>
      </w:r>
    </w:p>
    <w:p w14:paraId="36586D71">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rPr>
        <w:t>10.</w:t>
      </w:r>
      <w:r>
        <w:rPr>
          <w:rFonts w:hint="eastAsia" w:ascii="宋体" w:hAnsi="宋体" w:cs="宋体"/>
          <w:sz w:val="24"/>
          <w:lang w:val="zh-CN"/>
        </w:rPr>
        <w:t xml:space="preserve">4 </w:t>
      </w:r>
      <w:r>
        <w:rPr>
          <w:rFonts w:hint="eastAsia" w:ascii="宋体" w:hAnsi="宋体" w:cs="宋体"/>
          <w:bCs/>
          <w:sz w:val="24"/>
        </w:rPr>
        <w:t>采购代理机构</w:t>
      </w:r>
      <w:r>
        <w:rPr>
          <w:rFonts w:hint="eastAsia" w:ascii="宋体" w:hAnsi="宋体" w:cs="宋体"/>
          <w:sz w:val="24"/>
          <w:lang w:val="zh-CN"/>
        </w:rPr>
        <w:t>应当在《中标通知书》发出后5个工作日内无息退还未成交投标人的投标保证金，在采购合同签订5个工作日内无息退还中标投标人的投标保证金。</w:t>
      </w:r>
    </w:p>
    <w:p w14:paraId="6D66BAB5">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0</w:t>
      </w:r>
      <w:r>
        <w:rPr>
          <w:rFonts w:hint="eastAsia" w:ascii="宋体" w:hAnsi="宋体" w:cs="宋体"/>
          <w:sz w:val="24"/>
          <w:lang w:val="zh-CN"/>
        </w:rPr>
        <w:t>.5 未按招标文件规定提交投标保证金的，</w:t>
      </w:r>
      <w:r>
        <w:rPr>
          <w:rFonts w:hint="eastAsia" w:ascii="宋体" w:hAnsi="宋体" w:cs="宋体"/>
          <w:bCs/>
          <w:sz w:val="24"/>
        </w:rPr>
        <w:t>采购代理机构</w:t>
      </w:r>
      <w:r>
        <w:rPr>
          <w:rFonts w:hint="eastAsia" w:ascii="宋体" w:hAnsi="宋体" w:cs="宋体"/>
          <w:sz w:val="24"/>
          <w:lang w:val="zh-CN"/>
        </w:rPr>
        <w:t>应当拒绝接受投标方的投标文件，视为无效投标。</w:t>
      </w:r>
    </w:p>
    <w:p w14:paraId="45370E28">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0</w:t>
      </w:r>
      <w:r>
        <w:rPr>
          <w:rFonts w:hint="eastAsia" w:ascii="宋体" w:hAnsi="宋体" w:cs="宋体"/>
          <w:sz w:val="24"/>
          <w:lang w:val="zh-CN"/>
        </w:rPr>
        <w:t>.6 下列任何情况发生时，投标报价保证金将被没收。</w:t>
      </w:r>
    </w:p>
    <w:p w14:paraId="5324C8E3">
      <w:pPr>
        <w:autoSpaceDE w:val="0"/>
        <w:autoSpaceDN w:val="0"/>
        <w:adjustRightInd w:val="0"/>
        <w:spacing w:line="360" w:lineRule="auto"/>
        <w:ind w:firstLine="480"/>
        <w:rPr>
          <w:rFonts w:hint="eastAsia" w:ascii="宋体" w:hAnsi="宋体" w:cs="宋体"/>
          <w:sz w:val="24"/>
          <w:lang w:val="zh-CN"/>
        </w:rPr>
      </w:pPr>
      <w:r>
        <w:rPr>
          <w:rFonts w:hint="eastAsia" w:ascii="宋体" w:hAnsi="宋体" w:cs="宋体"/>
          <w:sz w:val="24"/>
          <w:lang w:val="zh-CN"/>
        </w:rPr>
        <w:t>有下列情形之一的，投标保证金不予退还：</w:t>
      </w:r>
    </w:p>
    <w:p w14:paraId="3FF78223">
      <w:pPr>
        <w:autoSpaceDE w:val="0"/>
        <w:autoSpaceDN w:val="0"/>
        <w:adjustRightInd w:val="0"/>
        <w:spacing w:line="360" w:lineRule="auto"/>
        <w:ind w:firstLine="480"/>
        <w:rPr>
          <w:rFonts w:hint="eastAsia" w:ascii="宋体" w:hAnsi="宋体" w:cs="宋体"/>
          <w:sz w:val="24"/>
          <w:lang w:val="zh-CN"/>
        </w:rPr>
      </w:pPr>
      <w:r>
        <w:rPr>
          <w:rFonts w:hint="eastAsia" w:ascii="宋体" w:hAnsi="宋体" w:cs="宋体"/>
          <w:sz w:val="24"/>
          <w:lang w:val="zh-CN"/>
        </w:rPr>
        <w:t>10.6.1投标人在提交投标文件截止时间后撤回投标文件的；</w:t>
      </w:r>
    </w:p>
    <w:p w14:paraId="3975A521">
      <w:pPr>
        <w:autoSpaceDE w:val="0"/>
        <w:autoSpaceDN w:val="0"/>
        <w:adjustRightInd w:val="0"/>
        <w:spacing w:line="360" w:lineRule="auto"/>
        <w:ind w:firstLine="480"/>
        <w:rPr>
          <w:rFonts w:hint="eastAsia" w:ascii="宋体" w:hAnsi="宋体" w:cs="宋体"/>
          <w:sz w:val="24"/>
          <w:lang w:val="zh-CN"/>
        </w:rPr>
      </w:pPr>
      <w:r>
        <w:rPr>
          <w:rFonts w:hint="eastAsia" w:ascii="宋体" w:hAnsi="宋体" w:cs="宋体"/>
          <w:sz w:val="24"/>
          <w:lang w:val="zh-CN"/>
        </w:rPr>
        <w:t>10.6.2投标人在投标文件中提供虚假材料的；</w:t>
      </w:r>
    </w:p>
    <w:p w14:paraId="3FA56AA5">
      <w:pPr>
        <w:autoSpaceDE w:val="0"/>
        <w:autoSpaceDN w:val="0"/>
        <w:adjustRightInd w:val="0"/>
        <w:spacing w:line="360" w:lineRule="auto"/>
        <w:ind w:firstLine="480"/>
        <w:rPr>
          <w:rFonts w:hint="eastAsia" w:ascii="宋体" w:hAnsi="宋体" w:cs="宋体"/>
          <w:sz w:val="24"/>
          <w:lang w:val="zh-CN"/>
        </w:rPr>
      </w:pPr>
      <w:r>
        <w:rPr>
          <w:rFonts w:hint="eastAsia" w:ascii="宋体" w:hAnsi="宋体" w:cs="宋体"/>
          <w:sz w:val="24"/>
          <w:lang w:val="zh-CN"/>
        </w:rPr>
        <w:t>10.6.3除因不可抗力或招标文件认可的情形以外，成交投标人不与采购人签订合同的；</w:t>
      </w:r>
    </w:p>
    <w:p w14:paraId="00D9AB58">
      <w:pPr>
        <w:autoSpaceDE w:val="0"/>
        <w:autoSpaceDN w:val="0"/>
        <w:adjustRightInd w:val="0"/>
        <w:spacing w:line="360" w:lineRule="auto"/>
        <w:ind w:firstLine="480"/>
        <w:rPr>
          <w:rFonts w:hint="eastAsia" w:ascii="宋体" w:hAnsi="宋体" w:cs="宋体"/>
          <w:sz w:val="24"/>
          <w:lang w:val="zh-CN"/>
        </w:rPr>
      </w:pPr>
      <w:r>
        <w:rPr>
          <w:rFonts w:hint="eastAsia" w:ascii="宋体" w:hAnsi="宋体" w:cs="宋体"/>
          <w:sz w:val="24"/>
          <w:lang w:val="zh-CN"/>
        </w:rPr>
        <w:t>10.6.4投标人与采购人、其他投标人或者采购代理机构恶意串通的；</w:t>
      </w:r>
    </w:p>
    <w:p w14:paraId="596C211B">
      <w:pPr>
        <w:autoSpaceDE w:val="0"/>
        <w:autoSpaceDN w:val="0"/>
        <w:adjustRightInd w:val="0"/>
        <w:spacing w:line="360" w:lineRule="auto"/>
        <w:ind w:firstLine="480"/>
        <w:rPr>
          <w:rFonts w:hint="eastAsia" w:ascii="宋体" w:hAnsi="宋体" w:cs="宋体"/>
          <w:sz w:val="24"/>
          <w:lang w:val="zh-CN"/>
        </w:rPr>
      </w:pPr>
      <w:r>
        <w:rPr>
          <w:rFonts w:hint="eastAsia" w:ascii="宋体" w:hAnsi="宋体" w:cs="宋体"/>
          <w:sz w:val="24"/>
          <w:lang w:val="zh-CN"/>
        </w:rPr>
        <w:t>10.6.5招标文件规定的其他情形。</w:t>
      </w:r>
    </w:p>
    <w:p w14:paraId="041EE4B7">
      <w:pPr>
        <w:pStyle w:val="12"/>
        <w:ind w:left="0"/>
      </w:pPr>
    </w:p>
    <w:p w14:paraId="2CD49058">
      <w:pPr>
        <w:autoSpaceDE w:val="0"/>
        <w:autoSpaceDN w:val="0"/>
        <w:adjustRightInd w:val="0"/>
        <w:spacing w:line="360" w:lineRule="auto"/>
        <w:jc w:val="center"/>
        <w:rPr>
          <w:rFonts w:ascii="宋体" w:hAnsi="宋体" w:cs="宋体"/>
          <w:b/>
          <w:bCs/>
          <w:sz w:val="32"/>
          <w:szCs w:val="32"/>
        </w:rPr>
      </w:pPr>
      <w:r>
        <w:rPr>
          <w:rFonts w:hint="eastAsia" w:ascii="宋体" w:hAnsi="宋体" w:cs="宋体"/>
          <w:b/>
          <w:bCs/>
          <w:sz w:val="32"/>
          <w:szCs w:val="32"/>
        </w:rPr>
        <w:t>第三章 投标文件的递交</w:t>
      </w:r>
    </w:p>
    <w:p w14:paraId="3627F816">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11</w:t>
      </w:r>
      <w:r>
        <w:rPr>
          <w:rFonts w:hint="eastAsia" w:ascii="宋体" w:hAnsi="宋体" w:cs="宋体"/>
          <w:b/>
          <w:bCs/>
          <w:sz w:val="24"/>
          <w:lang w:val="zh-CN"/>
        </w:rPr>
        <w:t>、投标报价截止时间</w:t>
      </w:r>
    </w:p>
    <w:p w14:paraId="47CBE928">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1</w:t>
      </w:r>
      <w:r>
        <w:rPr>
          <w:rFonts w:hint="eastAsia" w:ascii="宋体" w:hAnsi="宋体" w:cs="宋体"/>
          <w:sz w:val="24"/>
          <w:lang w:val="zh-CN"/>
        </w:rPr>
        <w:t>.1 投标文件的递交不得迟于规定时间。</w:t>
      </w:r>
    </w:p>
    <w:p w14:paraId="754339BC">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1</w:t>
      </w:r>
      <w:r>
        <w:rPr>
          <w:rFonts w:hint="eastAsia" w:ascii="宋体" w:hAnsi="宋体" w:cs="宋体"/>
          <w:sz w:val="24"/>
          <w:lang w:val="zh-CN"/>
        </w:rPr>
        <w:t>.2 参加招标的投标人的所有投标文件都必须在招标文件规定的地点投标截止时间之前，将投标文件纸质版送达规定的指定地点。</w:t>
      </w:r>
    </w:p>
    <w:p w14:paraId="4D92F1EA">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1</w:t>
      </w:r>
      <w:r>
        <w:rPr>
          <w:rFonts w:hint="eastAsia" w:ascii="宋体" w:hAnsi="宋体" w:cs="宋体"/>
          <w:sz w:val="24"/>
          <w:lang w:val="zh-CN"/>
        </w:rPr>
        <w:t>.3  出现因招标文件的修改而推迟投标截止时间的情况时，投标方则须按采购代理机构的修改通知重新规定的投标时间递交。</w:t>
      </w:r>
    </w:p>
    <w:p w14:paraId="07400C1A">
      <w:pPr>
        <w:autoSpaceDE w:val="0"/>
        <w:autoSpaceDN w:val="0"/>
        <w:adjustRightInd w:val="0"/>
        <w:spacing w:line="360" w:lineRule="auto"/>
        <w:ind w:firstLine="480"/>
        <w:rPr>
          <w:rFonts w:ascii="宋体" w:hAnsi="宋体" w:cs="宋体"/>
          <w:sz w:val="24"/>
          <w:szCs w:val="22"/>
        </w:rPr>
      </w:pPr>
      <w:r>
        <w:rPr>
          <w:rFonts w:hint="eastAsia" w:ascii="宋体" w:hAnsi="宋体" w:cs="宋体"/>
          <w:sz w:val="24"/>
          <w:szCs w:val="22"/>
        </w:rPr>
        <w:t>11.4投标文件的签署规定（开标前送达，比照前款“第二部分”</w:t>
      </w:r>
      <w:r>
        <w:rPr>
          <w:rFonts w:hint="eastAsia" w:ascii="宋体" w:hAnsi="宋体" w:eastAsia="宋体" w:cs="宋体"/>
          <w:sz w:val="24"/>
          <w:szCs w:val="22"/>
        </w:rPr>
        <w:t>中</w:t>
      </w:r>
      <w:r>
        <w:rPr>
          <w:rFonts w:hint="eastAsia" w:ascii="宋体" w:hAnsi="宋体" w:cs="宋体"/>
          <w:sz w:val="24"/>
          <w:szCs w:val="22"/>
          <w:lang w:val="en-US" w:eastAsia="zh-CN"/>
        </w:rPr>
        <w:t>相应</w:t>
      </w:r>
      <w:r>
        <w:rPr>
          <w:rFonts w:hint="eastAsia" w:ascii="宋体" w:hAnsi="宋体" w:eastAsia="宋体" w:cs="宋体"/>
          <w:sz w:val="24"/>
          <w:szCs w:val="22"/>
        </w:rPr>
        <w:t>条款</w:t>
      </w:r>
      <w:r>
        <w:rPr>
          <w:rFonts w:hint="eastAsia" w:ascii="宋体" w:hAnsi="宋体" w:cs="宋体"/>
          <w:sz w:val="24"/>
          <w:szCs w:val="22"/>
        </w:rPr>
        <w:t>）</w:t>
      </w:r>
    </w:p>
    <w:p w14:paraId="5377544A">
      <w:pPr>
        <w:autoSpaceDE w:val="0"/>
        <w:autoSpaceDN w:val="0"/>
        <w:adjustRightInd w:val="0"/>
        <w:spacing w:line="360" w:lineRule="auto"/>
        <w:ind w:firstLine="480"/>
        <w:rPr>
          <w:rFonts w:ascii="宋体" w:hAnsi="宋体" w:cs="宋体"/>
          <w:sz w:val="24"/>
          <w:szCs w:val="22"/>
        </w:rPr>
      </w:pPr>
      <w:r>
        <w:rPr>
          <w:rFonts w:hint="eastAsia" w:ascii="宋体" w:hAnsi="宋体" w:cs="宋体"/>
          <w:sz w:val="24"/>
          <w:szCs w:val="22"/>
        </w:rPr>
        <w:t>11.4.1投标文件的页面必须用印刷体打印。</w:t>
      </w:r>
    </w:p>
    <w:p w14:paraId="2F626A41">
      <w:pPr>
        <w:autoSpaceDE w:val="0"/>
        <w:autoSpaceDN w:val="0"/>
        <w:adjustRightInd w:val="0"/>
        <w:spacing w:line="360" w:lineRule="auto"/>
        <w:ind w:firstLine="480"/>
        <w:rPr>
          <w:rFonts w:ascii="宋体" w:hAnsi="宋体" w:cs="宋体"/>
          <w:sz w:val="24"/>
          <w:szCs w:val="22"/>
        </w:rPr>
      </w:pPr>
      <w:r>
        <w:rPr>
          <w:rFonts w:hint="eastAsia" w:ascii="宋体" w:hAnsi="宋体" w:cs="宋体"/>
          <w:sz w:val="24"/>
          <w:szCs w:val="22"/>
        </w:rPr>
        <w:t>11.4.2投标文件应清楚工整，一般不准修改。个别非实质性修改之处应由供应商的被授权人或法人代表签章。</w:t>
      </w:r>
    </w:p>
    <w:p w14:paraId="6D4BCAC2">
      <w:pPr>
        <w:autoSpaceDE w:val="0"/>
        <w:autoSpaceDN w:val="0"/>
        <w:adjustRightInd w:val="0"/>
        <w:spacing w:line="360" w:lineRule="auto"/>
        <w:ind w:firstLine="480"/>
        <w:rPr>
          <w:rFonts w:ascii="宋体" w:hAnsi="宋体" w:cs="宋体"/>
          <w:sz w:val="24"/>
          <w:szCs w:val="22"/>
        </w:rPr>
      </w:pPr>
      <w:r>
        <w:rPr>
          <w:rFonts w:hint="eastAsia" w:ascii="宋体" w:hAnsi="宋体" w:cs="宋体"/>
          <w:sz w:val="24"/>
          <w:szCs w:val="22"/>
        </w:rPr>
        <w:t>11.4.3 所有投标文件必须提交正本一份和副本二份，并在封面上标记“正本”和“副本”。</w:t>
      </w:r>
    </w:p>
    <w:p w14:paraId="08D187E0">
      <w:pPr>
        <w:autoSpaceDE w:val="0"/>
        <w:autoSpaceDN w:val="0"/>
        <w:adjustRightInd w:val="0"/>
        <w:spacing w:line="360" w:lineRule="auto"/>
        <w:ind w:firstLine="480"/>
        <w:rPr>
          <w:rFonts w:ascii="宋体" w:hAnsi="宋体" w:cs="宋体"/>
          <w:sz w:val="24"/>
          <w:szCs w:val="22"/>
        </w:rPr>
      </w:pPr>
      <w:r>
        <w:rPr>
          <w:rFonts w:hint="eastAsia" w:ascii="宋体" w:hAnsi="宋体" w:cs="宋体"/>
          <w:sz w:val="24"/>
          <w:szCs w:val="22"/>
        </w:rPr>
        <w:t>11.4.4 投标文件的正本与副本应当完全一致。当正本和副本之间出现差异时，以正本为准。</w:t>
      </w:r>
    </w:p>
    <w:p w14:paraId="584F046E">
      <w:pPr>
        <w:autoSpaceDE w:val="0"/>
        <w:autoSpaceDN w:val="0"/>
        <w:adjustRightInd w:val="0"/>
        <w:spacing w:line="360" w:lineRule="auto"/>
        <w:ind w:firstLine="480"/>
        <w:rPr>
          <w:rFonts w:ascii="宋体" w:hAnsi="宋体" w:cs="宋体"/>
          <w:sz w:val="24"/>
          <w:szCs w:val="22"/>
          <w:lang w:val="zh-CN"/>
        </w:rPr>
      </w:pPr>
      <w:r>
        <w:rPr>
          <w:rFonts w:hint="eastAsia" w:ascii="宋体" w:hAnsi="宋体" w:cs="宋体"/>
          <w:sz w:val="24"/>
          <w:szCs w:val="22"/>
        </w:rPr>
        <w:t>11.4.5装订要求：投标文件正本与副本应分别装订成册（A4纸幅），并编制目录（图纸、图片等非文本形式的内容，可以不标注页码），目录和正文逐页标注连续页码（页码从目录编起，标注于页面底部居中位置）。采用左侧胶装方式装订， 装订应牢固、不易拆散和换页，不得采用活页夹装订，否则，采购人对由于投标文件装订松散而造成的丢失或其他后果不承担任何责任。</w:t>
      </w:r>
    </w:p>
    <w:p w14:paraId="7B64A9A6">
      <w:pPr>
        <w:rPr>
          <w:rFonts w:hint="eastAsia" w:ascii="宋体" w:hAnsi="宋体" w:cs="宋体"/>
          <w:b/>
          <w:sz w:val="32"/>
          <w:szCs w:val="32"/>
        </w:rPr>
      </w:pPr>
      <w:r>
        <w:rPr>
          <w:rFonts w:hint="eastAsia" w:ascii="宋体" w:hAnsi="宋体" w:cs="宋体"/>
          <w:b/>
          <w:sz w:val="32"/>
          <w:szCs w:val="32"/>
        </w:rPr>
        <w:br w:type="page"/>
      </w:r>
    </w:p>
    <w:p w14:paraId="124538DA">
      <w:pPr>
        <w:spacing w:line="360" w:lineRule="auto"/>
        <w:ind w:left="480" w:hanging="480"/>
        <w:jc w:val="center"/>
        <w:rPr>
          <w:rFonts w:ascii="宋体" w:hAnsi="宋体" w:cs="宋体"/>
          <w:b/>
          <w:sz w:val="32"/>
          <w:szCs w:val="32"/>
        </w:rPr>
      </w:pPr>
      <w:r>
        <w:rPr>
          <w:rFonts w:hint="eastAsia" w:ascii="宋体" w:hAnsi="宋体" w:cs="宋体"/>
          <w:b/>
          <w:sz w:val="32"/>
          <w:szCs w:val="32"/>
        </w:rPr>
        <w:t>第四章 评标委员会</w:t>
      </w:r>
    </w:p>
    <w:p w14:paraId="6BF74EAB">
      <w:pPr>
        <w:tabs>
          <w:tab w:val="left" w:pos="1620"/>
        </w:tabs>
        <w:spacing w:line="360" w:lineRule="auto"/>
        <w:ind w:left="481" w:leftChars="229"/>
        <w:rPr>
          <w:rFonts w:ascii="宋体" w:hAnsi="宋体" w:cs="宋体"/>
          <w:b/>
          <w:sz w:val="24"/>
        </w:rPr>
      </w:pPr>
      <w:r>
        <w:rPr>
          <w:rFonts w:hint="eastAsia" w:ascii="宋体" w:hAnsi="宋体" w:cs="宋体"/>
          <w:b/>
          <w:sz w:val="24"/>
        </w:rPr>
        <w:t>12、评标委员会组成</w:t>
      </w:r>
    </w:p>
    <w:p w14:paraId="425A582A">
      <w:pPr>
        <w:spacing w:line="360" w:lineRule="auto"/>
        <w:ind w:firstLine="480" w:firstLineChars="200"/>
        <w:rPr>
          <w:rFonts w:ascii="宋体" w:hAnsi="宋体" w:cs="宋体"/>
          <w:bCs/>
          <w:sz w:val="24"/>
        </w:rPr>
      </w:pPr>
      <w:r>
        <w:rPr>
          <w:rFonts w:hint="eastAsia" w:ascii="宋体" w:hAnsi="宋体" w:cs="宋体"/>
          <w:bCs/>
          <w:sz w:val="24"/>
        </w:rPr>
        <w:t>12.1 由采购代理机构将根据《中华人民共和国政府采购法》规定，依法组建本次招标的评标委员会，负责组织本次招标的评标活动。评标委员会负责向采购人推荐拟中标人或者根据采购人的授权直接确定中标人。</w:t>
      </w:r>
    </w:p>
    <w:p w14:paraId="053B139F">
      <w:pPr>
        <w:spacing w:line="360" w:lineRule="auto"/>
        <w:ind w:firstLine="480" w:firstLineChars="200"/>
        <w:rPr>
          <w:rFonts w:ascii="宋体" w:hAnsi="宋体" w:cs="宋体"/>
          <w:bCs/>
          <w:sz w:val="24"/>
        </w:rPr>
      </w:pPr>
      <w:r>
        <w:rPr>
          <w:rFonts w:hint="eastAsia" w:ascii="宋体" w:hAnsi="宋体" w:cs="宋体"/>
          <w:bCs/>
          <w:sz w:val="24"/>
        </w:rPr>
        <w:t>本招标文件中所指的评标委员会及其成员，适用于公开招标和邀请招标的采购方式。本招标文件中对评标委员会及其成员的要求，同时适用于采取邀请招标、竞争性谈判、询价或单一来源采购方式时依法组成的评审小组及其成员。</w:t>
      </w:r>
    </w:p>
    <w:p w14:paraId="1AF59015">
      <w:pPr>
        <w:spacing w:line="360" w:lineRule="auto"/>
        <w:ind w:firstLine="480" w:firstLineChars="200"/>
        <w:rPr>
          <w:rFonts w:ascii="宋体" w:hAnsi="宋体" w:cs="宋体"/>
          <w:bCs/>
          <w:sz w:val="24"/>
        </w:rPr>
      </w:pPr>
      <w:r>
        <w:rPr>
          <w:rFonts w:hint="eastAsia" w:ascii="宋体" w:hAnsi="宋体" w:cs="宋体"/>
          <w:bCs/>
          <w:sz w:val="24"/>
        </w:rPr>
        <w:t>12.2 评标委员会人选于开标前确定。评标委员会成员名单在中标结果确定前保密。</w:t>
      </w:r>
    </w:p>
    <w:p w14:paraId="2C00B835">
      <w:pPr>
        <w:spacing w:line="360" w:lineRule="auto"/>
        <w:ind w:firstLine="480" w:firstLineChars="200"/>
        <w:rPr>
          <w:rFonts w:ascii="宋体" w:hAnsi="宋体" w:cs="宋体"/>
          <w:bCs/>
          <w:sz w:val="24"/>
        </w:rPr>
      </w:pPr>
      <w:r>
        <w:rPr>
          <w:rFonts w:hint="eastAsia" w:ascii="宋体" w:hAnsi="宋体" w:cs="宋体"/>
          <w:bCs/>
          <w:sz w:val="24"/>
        </w:rPr>
        <w:t>12.3评标委员会由有关技术、经济等方面的专家和采购人熟悉相关业务的代表人员组成，成员为五人及以上的单数，其中技术、经济等方面的成员人数不少于成员总数的三分之二。</w:t>
      </w:r>
    </w:p>
    <w:p w14:paraId="4DBD3072">
      <w:pPr>
        <w:spacing w:line="360" w:lineRule="auto"/>
        <w:ind w:firstLine="480" w:firstLineChars="200"/>
        <w:rPr>
          <w:rFonts w:ascii="宋体" w:hAnsi="宋体" w:cs="宋体"/>
          <w:bCs/>
          <w:sz w:val="24"/>
        </w:rPr>
      </w:pPr>
      <w:r>
        <w:rPr>
          <w:rFonts w:hint="eastAsia" w:ascii="宋体" w:hAnsi="宋体" w:cs="宋体"/>
          <w:bCs/>
          <w:sz w:val="24"/>
        </w:rPr>
        <w:t>12.4 按前款规定，评标委员会的成员，从专家库中采取随机抽取的方式确定。对于技术复杂、专业性要求较高或者国家有特殊要求的招标项目，抽取的专家不能满足评标工作需要时，将采取直接确定的方式选定评标委员会的人选。</w:t>
      </w:r>
    </w:p>
    <w:p w14:paraId="41C9492A">
      <w:pPr>
        <w:spacing w:line="360" w:lineRule="auto"/>
        <w:ind w:firstLine="482" w:firstLineChars="200"/>
        <w:rPr>
          <w:rFonts w:ascii="宋体" w:hAnsi="宋体" w:cs="宋体"/>
          <w:b/>
          <w:bCs/>
          <w:sz w:val="24"/>
        </w:rPr>
      </w:pPr>
      <w:r>
        <w:rPr>
          <w:rFonts w:hint="eastAsia" w:ascii="宋体" w:hAnsi="宋体" w:cs="宋体"/>
          <w:b/>
          <w:bCs/>
          <w:sz w:val="24"/>
        </w:rPr>
        <w:t>13.</w:t>
      </w:r>
      <w:r>
        <w:rPr>
          <w:rFonts w:hint="eastAsia" w:ascii="宋体" w:hAnsi="宋体" w:cs="宋体"/>
          <w:bCs/>
          <w:sz w:val="24"/>
        </w:rPr>
        <w:t xml:space="preserve"> </w:t>
      </w:r>
      <w:r>
        <w:rPr>
          <w:rFonts w:hint="eastAsia" w:ascii="宋体" w:hAnsi="宋体" w:cs="宋体"/>
          <w:b/>
          <w:bCs/>
          <w:sz w:val="24"/>
        </w:rPr>
        <w:t>评标委员会专家的条件和回避规定</w:t>
      </w:r>
    </w:p>
    <w:p w14:paraId="193D6DB4">
      <w:pPr>
        <w:spacing w:line="360" w:lineRule="auto"/>
        <w:ind w:firstLine="480" w:firstLineChars="200"/>
        <w:rPr>
          <w:rFonts w:ascii="宋体" w:hAnsi="宋体" w:cs="宋体"/>
          <w:bCs/>
          <w:sz w:val="24"/>
        </w:rPr>
      </w:pPr>
      <w:r>
        <w:rPr>
          <w:rFonts w:hint="eastAsia" w:ascii="宋体" w:hAnsi="宋体" w:cs="宋体"/>
          <w:bCs/>
          <w:sz w:val="24"/>
        </w:rPr>
        <w:t>13.1 评标委员会专家应符合下列条件：</w:t>
      </w:r>
    </w:p>
    <w:p w14:paraId="62C1A722">
      <w:pPr>
        <w:spacing w:line="360" w:lineRule="auto"/>
        <w:ind w:firstLine="480" w:firstLineChars="200"/>
        <w:rPr>
          <w:rFonts w:ascii="宋体" w:hAnsi="宋体" w:cs="宋体"/>
          <w:bCs/>
          <w:sz w:val="24"/>
        </w:rPr>
      </w:pPr>
      <w:r>
        <w:rPr>
          <w:rFonts w:hint="eastAsia" w:ascii="宋体" w:hAnsi="宋体" w:cs="宋体"/>
          <w:bCs/>
          <w:sz w:val="24"/>
        </w:rPr>
        <w:t>13.1.1 熟悉有关和招标投标的法律法规；</w:t>
      </w:r>
    </w:p>
    <w:p w14:paraId="6ADA51FB">
      <w:pPr>
        <w:spacing w:line="360" w:lineRule="auto"/>
        <w:ind w:firstLine="480" w:firstLineChars="200"/>
        <w:rPr>
          <w:rFonts w:ascii="宋体" w:hAnsi="宋体" w:cs="宋体"/>
          <w:bCs/>
          <w:sz w:val="24"/>
        </w:rPr>
      </w:pPr>
      <w:r>
        <w:rPr>
          <w:rFonts w:hint="eastAsia" w:ascii="宋体" w:hAnsi="宋体" w:cs="宋体"/>
          <w:bCs/>
          <w:sz w:val="24"/>
        </w:rPr>
        <w:t xml:space="preserve">13.1.2 </w:t>
      </w:r>
      <w:r>
        <w:rPr>
          <w:rFonts w:hint="eastAsia" w:ascii="宋体" w:hAnsi="宋体" w:cs="宋体"/>
          <w:bCs/>
          <w:sz w:val="24"/>
          <w:szCs w:val="22"/>
        </w:rPr>
        <w:t>具有中级专业技术职称或同等专业水平且从事相关领域工作满8年,或者具有高级专业技术职称或同等专业水平；</w:t>
      </w:r>
    </w:p>
    <w:p w14:paraId="0D9E1464">
      <w:pPr>
        <w:spacing w:line="360" w:lineRule="auto"/>
        <w:ind w:firstLine="480" w:firstLineChars="200"/>
        <w:rPr>
          <w:rFonts w:ascii="宋体" w:hAnsi="宋体" w:cs="宋体"/>
          <w:bCs/>
          <w:sz w:val="24"/>
        </w:rPr>
      </w:pPr>
      <w:r>
        <w:rPr>
          <w:rFonts w:hint="eastAsia" w:ascii="宋体" w:hAnsi="宋体" w:cs="宋体"/>
          <w:bCs/>
          <w:sz w:val="24"/>
        </w:rPr>
        <w:t>13.1.3熟悉有关招标投标的法律法规，并具有与招标项目相关的实践经验；</w:t>
      </w:r>
    </w:p>
    <w:p w14:paraId="60A9C271">
      <w:pPr>
        <w:spacing w:line="360" w:lineRule="auto"/>
        <w:ind w:firstLine="480" w:firstLineChars="200"/>
        <w:rPr>
          <w:rFonts w:ascii="宋体" w:hAnsi="宋体" w:cs="宋体"/>
          <w:bCs/>
          <w:sz w:val="24"/>
        </w:rPr>
      </w:pPr>
      <w:r>
        <w:rPr>
          <w:rFonts w:hint="eastAsia" w:ascii="宋体" w:hAnsi="宋体" w:cs="宋体"/>
          <w:bCs/>
          <w:sz w:val="24"/>
        </w:rPr>
        <w:t>13.1.4 能够认真、公正、诚实、廉洁的履行职责。</w:t>
      </w:r>
    </w:p>
    <w:p w14:paraId="1BD2B79F">
      <w:pPr>
        <w:spacing w:line="360" w:lineRule="auto"/>
        <w:ind w:firstLine="480" w:firstLineChars="200"/>
        <w:rPr>
          <w:rFonts w:ascii="宋体" w:hAnsi="宋体" w:cs="宋体"/>
          <w:bCs/>
          <w:sz w:val="24"/>
        </w:rPr>
      </w:pPr>
      <w:r>
        <w:rPr>
          <w:rFonts w:hint="eastAsia" w:ascii="宋体" w:hAnsi="宋体" w:cs="宋体"/>
          <w:bCs/>
          <w:sz w:val="24"/>
        </w:rPr>
        <w:t>13.2  有下列情形之一的，不得担任评标委员会成员：</w:t>
      </w:r>
    </w:p>
    <w:p w14:paraId="1DADA88F">
      <w:pPr>
        <w:spacing w:line="360" w:lineRule="auto"/>
        <w:ind w:firstLine="480" w:firstLineChars="200"/>
        <w:rPr>
          <w:rFonts w:ascii="宋体" w:hAnsi="宋体" w:cs="宋体"/>
          <w:bCs/>
          <w:sz w:val="24"/>
        </w:rPr>
      </w:pPr>
      <w:r>
        <w:rPr>
          <w:rFonts w:hint="eastAsia" w:ascii="宋体" w:hAnsi="宋体" w:cs="宋体"/>
          <w:bCs/>
          <w:sz w:val="24"/>
        </w:rPr>
        <w:t>13.2.1 与投标方或者投标方主要负责人有近亲关系的或有利害关系的；</w:t>
      </w:r>
    </w:p>
    <w:p w14:paraId="281C0D43">
      <w:pPr>
        <w:spacing w:line="360" w:lineRule="auto"/>
        <w:ind w:firstLine="480" w:firstLineChars="200"/>
        <w:rPr>
          <w:rFonts w:ascii="宋体" w:hAnsi="宋体" w:cs="宋体"/>
          <w:bCs/>
          <w:sz w:val="24"/>
        </w:rPr>
      </w:pPr>
      <w:r>
        <w:rPr>
          <w:rFonts w:hint="eastAsia" w:ascii="宋体" w:hAnsi="宋体" w:cs="宋体"/>
          <w:bCs/>
          <w:sz w:val="24"/>
        </w:rPr>
        <w:t>13.2.2 与项目主管部门或者行政监督部门的人员有近亲关系的或有利害关系的；</w:t>
      </w:r>
    </w:p>
    <w:p w14:paraId="24036904">
      <w:pPr>
        <w:spacing w:line="360" w:lineRule="auto"/>
        <w:ind w:firstLine="480" w:firstLineChars="200"/>
        <w:rPr>
          <w:rFonts w:ascii="宋体" w:hAnsi="宋体" w:cs="宋体"/>
          <w:bCs/>
          <w:sz w:val="24"/>
        </w:rPr>
      </w:pPr>
      <w:r>
        <w:rPr>
          <w:rFonts w:hint="eastAsia" w:ascii="宋体" w:hAnsi="宋体" w:cs="宋体"/>
          <w:bCs/>
          <w:sz w:val="24"/>
        </w:rPr>
        <w:t>13.2.3 与投标方有经济利益关系，可能影响对投标公正评标的；</w:t>
      </w:r>
    </w:p>
    <w:p w14:paraId="77CAB91B">
      <w:pPr>
        <w:spacing w:line="360" w:lineRule="auto"/>
        <w:ind w:firstLine="480" w:firstLineChars="200"/>
        <w:rPr>
          <w:rFonts w:ascii="宋体" w:hAnsi="宋体" w:cs="宋体"/>
          <w:bCs/>
          <w:sz w:val="24"/>
        </w:rPr>
      </w:pPr>
      <w:r>
        <w:rPr>
          <w:rFonts w:hint="eastAsia" w:ascii="宋体" w:hAnsi="宋体" w:cs="宋体"/>
          <w:bCs/>
          <w:sz w:val="24"/>
        </w:rPr>
        <w:t>13.2.4 曾因在招标、评标以及其他与招标、投标有关活动中从事违法行为而受过行政处罚或刑事处罚的。</w:t>
      </w:r>
    </w:p>
    <w:p w14:paraId="6D52757C">
      <w:pPr>
        <w:spacing w:line="360" w:lineRule="auto"/>
        <w:ind w:firstLine="482" w:firstLineChars="200"/>
        <w:rPr>
          <w:rFonts w:ascii="宋体" w:hAnsi="宋体" w:cs="宋体"/>
          <w:b/>
          <w:bCs/>
          <w:sz w:val="24"/>
        </w:rPr>
      </w:pPr>
      <w:r>
        <w:rPr>
          <w:rFonts w:hint="eastAsia" w:ascii="宋体" w:hAnsi="宋体" w:cs="宋体"/>
          <w:b/>
          <w:bCs/>
          <w:sz w:val="24"/>
        </w:rPr>
        <w:t>14. 评标委员会成员应当熟悉并认真研究招标文件，至少应了解和熟悉以下内容：</w:t>
      </w:r>
    </w:p>
    <w:p w14:paraId="3722409D">
      <w:pPr>
        <w:spacing w:line="360" w:lineRule="auto"/>
        <w:ind w:firstLine="480" w:firstLineChars="200"/>
        <w:rPr>
          <w:rFonts w:ascii="宋体" w:hAnsi="宋体" w:cs="宋体"/>
          <w:bCs/>
          <w:sz w:val="24"/>
        </w:rPr>
      </w:pPr>
      <w:r>
        <w:rPr>
          <w:rFonts w:hint="eastAsia" w:ascii="宋体" w:hAnsi="宋体" w:cs="宋体"/>
          <w:bCs/>
          <w:sz w:val="24"/>
        </w:rPr>
        <w:t>14.1 招标目的。</w:t>
      </w:r>
    </w:p>
    <w:p w14:paraId="68484D7D">
      <w:pPr>
        <w:spacing w:line="360" w:lineRule="auto"/>
        <w:ind w:firstLine="480" w:firstLineChars="200"/>
        <w:rPr>
          <w:rFonts w:ascii="宋体" w:hAnsi="宋体" w:cs="宋体"/>
          <w:bCs/>
          <w:sz w:val="24"/>
        </w:rPr>
      </w:pPr>
      <w:r>
        <w:rPr>
          <w:rFonts w:hint="eastAsia" w:ascii="宋体" w:hAnsi="宋体" w:cs="宋体"/>
          <w:bCs/>
          <w:sz w:val="24"/>
        </w:rPr>
        <w:t>14.2 招标项目的范围、性质。</w:t>
      </w:r>
    </w:p>
    <w:p w14:paraId="1BF17937">
      <w:pPr>
        <w:spacing w:line="360" w:lineRule="auto"/>
        <w:ind w:firstLine="480" w:firstLineChars="200"/>
        <w:rPr>
          <w:rFonts w:ascii="宋体" w:hAnsi="宋体" w:cs="宋体"/>
          <w:bCs/>
          <w:sz w:val="24"/>
        </w:rPr>
      </w:pPr>
      <w:r>
        <w:rPr>
          <w:rFonts w:hint="eastAsia" w:ascii="宋体" w:hAnsi="宋体" w:cs="宋体"/>
          <w:bCs/>
          <w:sz w:val="24"/>
        </w:rPr>
        <w:t>14.3 招标文件中规定的主要技术要求、标准和商务条款。</w:t>
      </w:r>
    </w:p>
    <w:p w14:paraId="26DD6440">
      <w:pPr>
        <w:spacing w:line="360" w:lineRule="auto"/>
        <w:ind w:firstLine="480" w:firstLineChars="200"/>
        <w:rPr>
          <w:rFonts w:ascii="宋体" w:hAnsi="宋体" w:cs="宋体"/>
          <w:bCs/>
          <w:sz w:val="24"/>
        </w:rPr>
      </w:pPr>
      <w:r>
        <w:rPr>
          <w:rFonts w:hint="eastAsia" w:ascii="宋体" w:hAnsi="宋体" w:cs="宋体"/>
          <w:bCs/>
          <w:sz w:val="24"/>
        </w:rPr>
        <w:t>14.4 招标文件规定的评标原则、评标标准、评标方法和在评标过程中应考虑的相关因素。</w:t>
      </w:r>
    </w:p>
    <w:p w14:paraId="6681F94F">
      <w:pPr>
        <w:spacing w:line="360" w:lineRule="auto"/>
        <w:ind w:firstLine="482" w:firstLineChars="200"/>
        <w:rPr>
          <w:rFonts w:ascii="宋体" w:hAnsi="宋体" w:cs="宋体"/>
          <w:bCs/>
          <w:sz w:val="24"/>
        </w:rPr>
      </w:pPr>
      <w:r>
        <w:rPr>
          <w:rFonts w:hint="eastAsia" w:ascii="宋体" w:hAnsi="宋体" w:cs="宋体"/>
          <w:b/>
          <w:bCs/>
          <w:sz w:val="24"/>
          <w:szCs w:val="22"/>
        </w:rPr>
        <w:t>15</w:t>
      </w:r>
      <w:r>
        <w:rPr>
          <w:rFonts w:hint="eastAsia" w:ascii="宋体" w:hAnsi="宋体" w:cs="宋体"/>
          <w:bCs/>
          <w:sz w:val="24"/>
        </w:rPr>
        <w:t>. 采购人应当向评标委员会提供评标所需的重要信息和数据。</w:t>
      </w:r>
    </w:p>
    <w:p w14:paraId="2E9E9B40">
      <w:pPr>
        <w:spacing w:line="360" w:lineRule="auto"/>
        <w:ind w:firstLine="482" w:firstLineChars="200"/>
        <w:rPr>
          <w:rFonts w:ascii="宋体" w:hAnsi="宋体" w:cs="宋体"/>
          <w:b/>
          <w:bCs/>
          <w:sz w:val="24"/>
        </w:rPr>
      </w:pPr>
      <w:r>
        <w:rPr>
          <w:rFonts w:hint="eastAsia" w:ascii="宋体" w:hAnsi="宋体" w:cs="宋体"/>
          <w:b/>
          <w:bCs/>
          <w:sz w:val="24"/>
        </w:rPr>
        <w:t>16. 评标委员会成员有前款规定情形之一的，应当主动提出回避。</w:t>
      </w:r>
    </w:p>
    <w:p w14:paraId="442215DB">
      <w:pPr>
        <w:spacing w:line="360" w:lineRule="auto"/>
        <w:ind w:firstLine="472" w:firstLineChars="196"/>
        <w:rPr>
          <w:rFonts w:ascii="宋体" w:hAnsi="宋体" w:cs="宋体"/>
          <w:b/>
          <w:sz w:val="24"/>
          <w:szCs w:val="24"/>
        </w:rPr>
      </w:pPr>
      <w:r>
        <w:rPr>
          <w:rFonts w:hint="eastAsia" w:ascii="宋体" w:hAnsi="宋体" w:cs="宋体"/>
          <w:b/>
          <w:bCs/>
          <w:sz w:val="24"/>
          <w:szCs w:val="24"/>
        </w:rPr>
        <w:t xml:space="preserve">17. </w:t>
      </w:r>
      <w:r>
        <w:rPr>
          <w:rFonts w:hint="eastAsia" w:ascii="宋体" w:hAnsi="宋体" w:cs="宋体"/>
          <w:b/>
          <w:bCs/>
          <w:sz w:val="24"/>
        </w:rPr>
        <w:t>评标委员会</w:t>
      </w:r>
      <w:r>
        <w:rPr>
          <w:rFonts w:hint="eastAsia" w:ascii="宋体" w:hAnsi="宋体" w:cs="宋体"/>
          <w:b/>
          <w:sz w:val="24"/>
          <w:szCs w:val="24"/>
        </w:rPr>
        <w:t xml:space="preserve">及其成员应当履行的义务： </w:t>
      </w:r>
    </w:p>
    <w:p w14:paraId="3743F03F">
      <w:pPr>
        <w:spacing w:line="360" w:lineRule="auto"/>
        <w:ind w:firstLine="480" w:firstLineChars="200"/>
        <w:rPr>
          <w:rFonts w:ascii="宋体" w:hAnsi="宋体" w:cs="宋体"/>
          <w:bCs/>
          <w:sz w:val="24"/>
        </w:rPr>
      </w:pPr>
      <w:r>
        <w:rPr>
          <w:rFonts w:hint="eastAsia" w:ascii="宋体" w:hAnsi="宋体" w:cs="宋体"/>
          <w:bCs/>
          <w:sz w:val="24"/>
        </w:rPr>
        <w:t>17.1 遵纪守法，客观、公正、廉洁地履行职责；</w:t>
      </w:r>
    </w:p>
    <w:p w14:paraId="6F21D2FB">
      <w:pPr>
        <w:spacing w:line="360" w:lineRule="auto"/>
        <w:ind w:firstLine="470" w:firstLineChars="196"/>
        <w:rPr>
          <w:rFonts w:ascii="宋体" w:hAnsi="宋体" w:cs="宋体"/>
          <w:bCs/>
          <w:sz w:val="24"/>
        </w:rPr>
      </w:pPr>
      <w:r>
        <w:rPr>
          <w:rFonts w:hint="eastAsia" w:ascii="宋体" w:hAnsi="宋体" w:cs="宋体"/>
          <w:bCs/>
          <w:sz w:val="24"/>
        </w:rPr>
        <w:t>17.2 按照招标文件规定的评标方法和标准进行评标，严格履行签字确认手续，对评标意见承担个人责任；</w:t>
      </w:r>
    </w:p>
    <w:p w14:paraId="2460F536">
      <w:pPr>
        <w:spacing w:line="360" w:lineRule="auto"/>
        <w:ind w:firstLine="470" w:firstLineChars="196"/>
        <w:rPr>
          <w:rFonts w:ascii="宋体" w:hAnsi="宋体" w:cs="宋体"/>
          <w:bCs/>
          <w:sz w:val="24"/>
        </w:rPr>
      </w:pPr>
      <w:r>
        <w:rPr>
          <w:rFonts w:hint="eastAsia" w:ascii="宋体" w:hAnsi="宋体" w:cs="宋体"/>
          <w:bCs/>
          <w:sz w:val="24"/>
        </w:rPr>
        <w:t>17.3 对评标过程和结果，以及投标人的商业秘密保密；</w:t>
      </w:r>
    </w:p>
    <w:p w14:paraId="2AFFCF09">
      <w:pPr>
        <w:spacing w:line="360" w:lineRule="auto"/>
        <w:ind w:firstLine="470" w:firstLineChars="196"/>
        <w:rPr>
          <w:rFonts w:ascii="宋体" w:hAnsi="宋体" w:cs="宋体"/>
          <w:bCs/>
          <w:sz w:val="24"/>
        </w:rPr>
      </w:pPr>
      <w:r>
        <w:rPr>
          <w:rFonts w:hint="eastAsia" w:ascii="宋体" w:hAnsi="宋体" w:cs="宋体"/>
          <w:bCs/>
          <w:sz w:val="24"/>
        </w:rPr>
        <w:t>17.4 参与评标报告的起草；</w:t>
      </w:r>
    </w:p>
    <w:p w14:paraId="5BC86F9F">
      <w:pPr>
        <w:spacing w:line="360" w:lineRule="auto"/>
        <w:ind w:firstLine="470" w:firstLineChars="196"/>
        <w:rPr>
          <w:rFonts w:ascii="宋体" w:hAnsi="宋体" w:cs="宋体"/>
          <w:bCs/>
          <w:sz w:val="24"/>
        </w:rPr>
      </w:pPr>
      <w:r>
        <w:rPr>
          <w:rFonts w:hint="eastAsia" w:ascii="宋体" w:hAnsi="宋体" w:cs="宋体"/>
          <w:bCs/>
          <w:sz w:val="24"/>
        </w:rPr>
        <w:t>17.5 配合财政部门的投诉处理工作；</w:t>
      </w:r>
    </w:p>
    <w:p w14:paraId="7F11AD6E">
      <w:pPr>
        <w:spacing w:line="360" w:lineRule="auto"/>
        <w:ind w:firstLine="470" w:firstLineChars="196"/>
        <w:rPr>
          <w:rFonts w:ascii="宋体" w:hAnsi="宋体" w:cs="宋体"/>
          <w:bCs/>
          <w:sz w:val="24"/>
        </w:rPr>
      </w:pPr>
      <w:r>
        <w:rPr>
          <w:rFonts w:hint="eastAsia" w:ascii="宋体" w:hAnsi="宋体" w:cs="宋体"/>
          <w:bCs/>
          <w:sz w:val="24"/>
        </w:rPr>
        <w:t>17.6 配合采购人答复</w:t>
      </w:r>
      <w:r>
        <w:rPr>
          <w:rFonts w:hint="eastAsia" w:ascii="宋体" w:hAnsi="宋体" w:cs="宋体"/>
          <w:bCs/>
          <w:sz w:val="24"/>
          <w:lang w:eastAsia="zh-CN"/>
        </w:rPr>
        <w:t>投标人</w:t>
      </w:r>
      <w:r>
        <w:rPr>
          <w:rFonts w:hint="eastAsia" w:ascii="宋体" w:hAnsi="宋体" w:cs="宋体"/>
          <w:bCs/>
          <w:sz w:val="24"/>
        </w:rPr>
        <w:t>提出的质疑。</w:t>
      </w:r>
    </w:p>
    <w:p w14:paraId="3DF318B4">
      <w:pPr>
        <w:spacing w:line="360" w:lineRule="auto"/>
        <w:ind w:firstLine="482" w:firstLineChars="200"/>
        <w:rPr>
          <w:rFonts w:ascii="宋体" w:hAnsi="宋体" w:cs="宋体"/>
          <w:b/>
          <w:bCs/>
          <w:sz w:val="24"/>
        </w:rPr>
      </w:pPr>
      <w:r>
        <w:rPr>
          <w:rFonts w:hint="eastAsia" w:ascii="宋体" w:hAnsi="宋体" w:cs="宋体"/>
          <w:b/>
          <w:bCs/>
          <w:sz w:val="24"/>
        </w:rPr>
        <w:t>18. 评标委员会及其成员应注意事项：</w:t>
      </w:r>
    </w:p>
    <w:p w14:paraId="2E1FD89D">
      <w:pPr>
        <w:spacing w:line="360" w:lineRule="auto"/>
        <w:ind w:firstLine="480" w:firstLineChars="200"/>
        <w:rPr>
          <w:rFonts w:ascii="宋体" w:hAnsi="宋体" w:cs="宋体"/>
          <w:sz w:val="24"/>
        </w:rPr>
      </w:pPr>
      <w:r>
        <w:rPr>
          <w:rFonts w:hint="eastAsia" w:ascii="宋体" w:hAnsi="宋体" w:cs="宋体"/>
          <w:bCs/>
          <w:sz w:val="24"/>
        </w:rPr>
        <w:t xml:space="preserve">18.1 </w:t>
      </w:r>
      <w:r>
        <w:rPr>
          <w:rFonts w:hint="eastAsia" w:ascii="宋体" w:hAnsi="宋体" w:eastAsia="宋体" w:cs="宋体"/>
          <w:bCs/>
          <w:sz w:val="24"/>
        </w:rPr>
        <w:t>评标委员会应当客观、公正地履行职责，遵守职业道德，不得与任何投标人或者与招标结果有利害关系的人员进行私下接触</w:t>
      </w:r>
      <w:r>
        <w:rPr>
          <w:rFonts w:hint="eastAsia" w:ascii="宋体" w:hAnsi="宋体" w:eastAsia="宋体" w:cs="宋体"/>
          <w:sz w:val="24"/>
        </w:rPr>
        <w:t>。</w:t>
      </w:r>
    </w:p>
    <w:p w14:paraId="64F3CE57">
      <w:pPr>
        <w:tabs>
          <w:tab w:val="left" w:pos="8280"/>
        </w:tabs>
        <w:spacing w:line="360" w:lineRule="auto"/>
        <w:ind w:right="-1" w:firstLine="540" w:firstLineChars="225"/>
        <w:rPr>
          <w:rFonts w:ascii="宋体" w:hAnsi="宋体" w:cs="宋体"/>
          <w:bCs/>
          <w:sz w:val="24"/>
        </w:rPr>
      </w:pPr>
      <w:r>
        <w:rPr>
          <w:rFonts w:hint="eastAsia" w:ascii="宋体" w:hAnsi="宋体" w:cs="宋体"/>
          <w:bCs/>
          <w:sz w:val="24"/>
        </w:rPr>
        <w:t>18.2 评标委员会应当</w:t>
      </w:r>
      <w:r>
        <w:rPr>
          <w:rFonts w:hint="eastAsia" w:ascii="宋体" w:hAnsi="宋体" w:cs="宋体"/>
          <w:sz w:val="24"/>
        </w:rPr>
        <w:t>遵循独立评标的原则</w:t>
      </w:r>
      <w:r>
        <w:rPr>
          <w:rFonts w:hint="eastAsia" w:ascii="宋体" w:hAnsi="宋体" w:cs="宋体"/>
          <w:bCs/>
          <w:sz w:val="24"/>
        </w:rPr>
        <w:t>，按照《中华人民共和国政府采购法》，要以招标文件为评标的唯一依据，不做标书以外无关问题讨论和将招标文件中没有规定的标准和方法不得作为评标的依据。应本着“实事求是、公正诚信”的原则，根据招标文件规定的评标标准和方法，对投标方的投标文件进行系统地评标和比较。并按要求</w:t>
      </w:r>
      <w:r>
        <w:rPr>
          <w:rFonts w:hint="eastAsia" w:ascii="宋体" w:hAnsi="宋体" w:cs="宋体"/>
          <w:sz w:val="24"/>
          <w:lang w:val="zh-CN"/>
        </w:rPr>
        <w:t>做好相关书面原始署名记录。</w:t>
      </w:r>
    </w:p>
    <w:p w14:paraId="5A9D11CF">
      <w:pPr>
        <w:tabs>
          <w:tab w:val="left" w:pos="8280"/>
        </w:tabs>
        <w:spacing w:line="360" w:lineRule="auto"/>
        <w:ind w:right="-1" w:firstLine="540" w:firstLineChars="225"/>
        <w:rPr>
          <w:rFonts w:ascii="宋体" w:hAnsi="宋体" w:cs="宋体"/>
          <w:sz w:val="24"/>
          <w:lang w:val="zh-CN"/>
        </w:rPr>
      </w:pPr>
      <w:r>
        <w:rPr>
          <w:rFonts w:hint="eastAsia" w:ascii="宋体" w:hAnsi="宋体" w:cs="宋体"/>
          <w:bCs/>
          <w:sz w:val="24"/>
        </w:rPr>
        <w:t>18.3 评标委员会应当客观、公正地履行职责。评标时，严禁存在</w:t>
      </w:r>
      <w:r>
        <w:rPr>
          <w:rFonts w:hint="eastAsia" w:ascii="宋体" w:hAnsi="宋体" w:cs="宋体"/>
          <w:sz w:val="24"/>
          <w:lang w:val="zh-CN"/>
        </w:rPr>
        <w:t>个人印象、个人关系或带有明显倾向性的行为发生。</w:t>
      </w:r>
      <w:r>
        <w:rPr>
          <w:rFonts w:hint="eastAsia" w:ascii="宋体" w:hAnsi="宋体" w:cs="宋体"/>
          <w:bCs/>
          <w:sz w:val="24"/>
        </w:rPr>
        <w:t>否则，经核实后，采购人将有权予以制止此类行为的发生，</w:t>
      </w:r>
      <w:r>
        <w:rPr>
          <w:rFonts w:hint="eastAsia" w:ascii="宋体" w:hAnsi="宋体" w:cs="宋体"/>
          <w:sz w:val="24"/>
          <w:lang w:val="zh-CN"/>
        </w:rPr>
        <w:t>责成其修正不果的，将做为不良记录记录在案，并按相关政策法规的规定和程序，向财政监管部门提出处罚建议意见。</w:t>
      </w:r>
    </w:p>
    <w:p w14:paraId="382612CF">
      <w:pPr>
        <w:spacing w:line="360" w:lineRule="auto"/>
        <w:ind w:firstLine="480" w:firstLineChars="200"/>
        <w:rPr>
          <w:rFonts w:ascii="宋体" w:hAnsi="宋体" w:cs="宋体"/>
          <w:bCs/>
          <w:sz w:val="24"/>
        </w:rPr>
      </w:pPr>
      <w:r>
        <w:rPr>
          <w:rFonts w:hint="eastAsia" w:ascii="宋体" w:hAnsi="宋体" w:cs="宋体"/>
          <w:bCs/>
          <w:sz w:val="24"/>
        </w:rPr>
        <w:t>18.4评标委员会成员和与本次评标活动有关的工作人员，不得透露对投标文件的评标和比较、中标候选人的推荐情况以及与评标有关的其他情况。</w:t>
      </w:r>
    </w:p>
    <w:p w14:paraId="08EBEC10">
      <w:pPr>
        <w:spacing w:line="360" w:lineRule="auto"/>
        <w:ind w:firstLine="480" w:firstLineChars="200"/>
        <w:rPr>
          <w:rFonts w:ascii="宋体" w:hAnsi="宋体" w:cs="宋体"/>
          <w:bCs/>
          <w:sz w:val="24"/>
        </w:rPr>
      </w:pPr>
      <w:r>
        <w:rPr>
          <w:rFonts w:hint="eastAsia" w:ascii="宋体" w:hAnsi="宋体" w:cs="宋体"/>
          <w:bCs/>
          <w:sz w:val="24"/>
        </w:rPr>
        <w:t>18.5 除法律需要外，自开标直至宣布中标及签订合同为止，有关投标文件的审查、澄清、评定及关于评标的建议等情况，评标委员会及其成员任何人均不得以任何形式泄露，评标过程中如有不明事宜，需要投标方进行解释的，只能由评标委员会各成员进行询标（答疑）。</w:t>
      </w:r>
    </w:p>
    <w:p w14:paraId="0F5A92C7">
      <w:pPr>
        <w:spacing w:line="360" w:lineRule="auto"/>
        <w:ind w:firstLine="480" w:firstLineChars="200"/>
        <w:rPr>
          <w:rFonts w:ascii="宋体" w:hAnsi="宋体" w:cs="宋体"/>
          <w:bCs/>
          <w:sz w:val="24"/>
        </w:rPr>
      </w:pPr>
      <w:r>
        <w:rPr>
          <w:rFonts w:hint="eastAsia" w:ascii="宋体" w:hAnsi="宋体" w:cs="宋体"/>
          <w:bCs/>
          <w:sz w:val="24"/>
        </w:rPr>
        <w:t>19.与评标活动有关的工作人员，自开标之日期起至定标日止，在此期间任何监标人、采购人代表、特邀代表、工作人员及投标人不得干扰评标委员会正常及其它评标工作，否则，采购人将有权取消其权利资格。</w:t>
      </w:r>
      <w:r>
        <w:rPr>
          <w:rFonts w:hint="eastAsia" w:ascii="宋体" w:hAnsi="宋体" w:cs="宋体"/>
          <w:bCs/>
          <w:sz w:val="24"/>
        </w:rPr>
        <w:tab/>
      </w:r>
    </w:p>
    <w:p w14:paraId="3A1ADBD2">
      <w:pPr>
        <w:spacing w:line="360" w:lineRule="auto"/>
        <w:jc w:val="center"/>
        <w:rPr>
          <w:rFonts w:ascii="宋体" w:hAnsi="宋体" w:cs="宋体"/>
          <w:b/>
          <w:bCs/>
          <w:sz w:val="36"/>
          <w:szCs w:val="36"/>
        </w:rPr>
      </w:pPr>
    </w:p>
    <w:p w14:paraId="5E990D89">
      <w:pPr>
        <w:spacing w:line="360" w:lineRule="auto"/>
        <w:jc w:val="center"/>
        <w:rPr>
          <w:rFonts w:ascii="宋体" w:hAnsi="宋体" w:cs="宋体"/>
          <w:b/>
          <w:bCs/>
          <w:sz w:val="36"/>
          <w:szCs w:val="36"/>
        </w:rPr>
      </w:pPr>
    </w:p>
    <w:p w14:paraId="18A63B32"/>
    <w:p w14:paraId="4C19C552">
      <w:pPr>
        <w:rPr>
          <w:rFonts w:hint="eastAsia" w:ascii="宋体" w:hAnsi="宋体" w:cs="宋体"/>
          <w:b/>
          <w:bCs/>
          <w:sz w:val="36"/>
          <w:szCs w:val="36"/>
        </w:rPr>
      </w:pPr>
      <w:r>
        <w:rPr>
          <w:rFonts w:hint="eastAsia" w:ascii="宋体" w:hAnsi="宋体" w:cs="宋体"/>
          <w:b/>
          <w:bCs/>
          <w:sz w:val="36"/>
          <w:szCs w:val="36"/>
        </w:rPr>
        <w:br w:type="page"/>
      </w:r>
    </w:p>
    <w:p w14:paraId="28F569D5">
      <w:pPr>
        <w:spacing w:line="360" w:lineRule="auto"/>
        <w:jc w:val="center"/>
        <w:rPr>
          <w:rFonts w:ascii="宋体" w:hAnsi="宋体" w:cs="宋体"/>
          <w:b/>
          <w:bCs/>
          <w:sz w:val="36"/>
          <w:szCs w:val="36"/>
        </w:rPr>
      </w:pPr>
      <w:r>
        <w:rPr>
          <w:rFonts w:hint="eastAsia" w:ascii="宋体" w:hAnsi="宋体" w:cs="宋体"/>
          <w:b/>
          <w:bCs/>
          <w:sz w:val="36"/>
          <w:szCs w:val="36"/>
        </w:rPr>
        <w:t>第六部分 开标 评标 定标说明</w:t>
      </w:r>
    </w:p>
    <w:p w14:paraId="2BA8CCDE">
      <w:pPr>
        <w:spacing w:line="360" w:lineRule="auto"/>
        <w:jc w:val="center"/>
        <w:rPr>
          <w:rFonts w:ascii="宋体" w:hAnsi="宋体" w:cs="宋体"/>
          <w:b/>
          <w:bCs/>
          <w:sz w:val="32"/>
          <w:szCs w:val="32"/>
        </w:rPr>
      </w:pPr>
      <w:r>
        <w:rPr>
          <w:rFonts w:hint="eastAsia" w:ascii="宋体" w:hAnsi="宋体" w:cs="宋体"/>
          <w:b/>
          <w:bCs/>
          <w:sz w:val="32"/>
          <w:szCs w:val="32"/>
        </w:rPr>
        <w:t>第一章 开　标</w:t>
      </w:r>
    </w:p>
    <w:p w14:paraId="781DCF01">
      <w:pPr>
        <w:spacing w:line="360" w:lineRule="auto"/>
        <w:ind w:firstLine="482" w:firstLineChars="200"/>
        <w:rPr>
          <w:rFonts w:ascii="宋体" w:hAnsi="宋体" w:cs="宋体"/>
          <w:b/>
          <w:bCs/>
          <w:sz w:val="24"/>
        </w:rPr>
      </w:pPr>
      <w:r>
        <w:rPr>
          <w:rFonts w:hint="eastAsia" w:ascii="宋体" w:hAnsi="宋体" w:cs="宋体"/>
          <w:b/>
          <w:bCs/>
          <w:sz w:val="24"/>
        </w:rPr>
        <w:t>20．开标</w:t>
      </w:r>
    </w:p>
    <w:p w14:paraId="710F1A29">
      <w:pPr>
        <w:spacing w:line="360" w:lineRule="auto"/>
        <w:ind w:firstLine="480" w:firstLineChars="200"/>
        <w:rPr>
          <w:rFonts w:ascii="宋体" w:hAnsi="宋体" w:cs="宋体"/>
          <w:bCs/>
          <w:sz w:val="24"/>
        </w:rPr>
      </w:pPr>
      <w:r>
        <w:rPr>
          <w:rFonts w:hint="eastAsia" w:ascii="宋体" w:hAnsi="宋体" w:cs="宋体"/>
          <w:bCs/>
          <w:sz w:val="24"/>
        </w:rPr>
        <w:t>20.1 本次招标按招标文件的规定的时间和地点进行公开开标，允许投标人的法定代表人或其授权人参加政采云在线开标会。</w:t>
      </w:r>
    </w:p>
    <w:p w14:paraId="222F10C6">
      <w:pPr>
        <w:autoSpaceDE w:val="0"/>
        <w:autoSpaceDN w:val="0"/>
        <w:adjustRightInd w:val="0"/>
        <w:spacing w:line="360" w:lineRule="auto"/>
        <w:ind w:firstLine="480"/>
        <w:rPr>
          <w:rFonts w:ascii="宋体" w:hAnsi="宋体" w:cs="宋体"/>
          <w:sz w:val="24"/>
          <w:lang w:val="zh-CN"/>
        </w:rPr>
      </w:pPr>
      <w:r>
        <w:rPr>
          <w:rFonts w:hint="eastAsia" w:ascii="宋体" w:hAnsi="宋体" w:cs="宋体"/>
          <w:bCs/>
          <w:sz w:val="24"/>
        </w:rPr>
        <w:t>20</w:t>
      </w:r>
      <w:r>
        <w:rPr>
          <w:rFonts w:hint="eastAsia" w:ascii="宋体" w:hAnsi="宋体" w:cs="宋体"/>
          <w:sz w:val="24"/>
          <w:lang w:val="zh-CN"/>
        </w:rPr>
        <w:t>.2 为了体现投标人的合法权益，和确保评标工作的公平、公正，投标人如果认为参加评标的评标委员会成员及其他与会人员与其他投标人有利害关系的，有权以电子形式在录音录像下向采购人申请其回避。如不提请采购人申请其回避的，则视同无利害关系。</w:t>
      </w:r>
    </w:p>
    <w:p w14:paraId="4AC33F34">
      <w:pPr>
        <w:autoSpaceDE w:val="0"/>
        <w:autoSpaceDN w:val="0"/>
        <w:adjustRightInd w:val="0"/>
        <w:spacing w:line="360" w:lineRule="auto"/>
        <w:ind w:firstLine="480"/>
        <w:rPr>
          <w:rFonts w:ascii="宋体" w:hAnsi="宋体" w:cs="宋体"/>
          <w:sz w:val="24"/>
          <w:lang w:val="zh-CN"/>
        </w:rPr>
      </w:pPr>
      <w:r>
        <w:rPr>
          <w:rFonts w:hint="eastAsia" w:ascii="宋体" w:hAnsi="宋体" w:cs="宋体"/>
          <w:bCs/>
          <w:sz w:val="24"/>
        </w:rPr>
        <w:t>20</w:t>
      </w:r>
      <w:r>
        <w:rPr>
          <w:rFonts w:hint="eastAsia" w:ascii="宋体" w:hAnsi="宋体" w:cs="宋体"/>
          <w:sz w:val="24"/>
          <w:lang w:val="zh-CN"/>
        </w:rPr>
        <w:t>.3 按照上述会议通过事项，所有参加投标的投标人如事后发生上述原因的质疑或投诉事项，新疆锦瑞祥工程项目咨询管理有限公司将不予采信。</w:t>
      </w:r>
    </w:p>
    <w:p w14:paraId="54CE7C81">
      <w:pPr>
        <w:spacing w:line="360" w:lineRule="auto"/>
        <w:ind w:firstLine="480" w:firstLineChars="200"/>
        <w:rPr>
          <w:rFonts w:ascii="宋体" w:hAnsi="宋体" w:cs="宋体"/>
          <w:b/>
          <w:bCs/>
          <w:sz w:val="24"/>
          <w:szCs w:val="24"/>
        </w:rPr>
      </w:pPr>
      <w:r>
        <w:rPr>
          <w:rFonts w:hint="eastAsia" w:ascii="宋体" w:hAnsi="宋体" w:cs="宋体"/>
          <w:bCs/>
          <w:sz w:val="24"/>
        </w:rPr>
        <w:t>2</w:t>
      </w:r>
      <w:r>
        <w:rPr>
          <w:rFonts w:hint="eastAsia" w:ascii="宋体" w:hAnsi="宋体" w:cs="宋体"/>
          <w:sz w:val="24"/>
          <w:szCs w:val="22"/>
        </w:rPr>
        <w:t>0</w:t>
      </w:r>
      <w:r>
        <w:rPr>
          <w:rFonts w:hint="eastAsia" w:ascii="宋体" w:hAnsi="宋体" w:cs="宋体"/>
          <w:sz w:val="24"/>
          <w:szCs w:val="22"/>
          <w:lang w:val="zh-CN"/>
        </w:rPr>
        <w:t>.4 投标文件响应性审查</w:t>
      </w:r>
    </w:p>
    <w:p w14:paraId="4D4944FA">
      <w:pPr>
        <w:spacing w:line="360" w:lineRule="auto"/>
        <w:ind w:firstLine="480" w:firstLineChars="200"/>
        <w:rPr>
          <w:rFonts w:ascii="宋体" w:hAnsi="宋体" w:cs="宋体"/>
          <w:bCs/>
          <w:sz w:val="24"/>
          <w:szCs w:val="24"/>
        </w:rPr>
      </w:pPr>
      <w:r>
        <w:rPr>
          <w:rFonts w:hint="eastAsia" w:ascii="宋体" w:hAnsi="宋体" w:cs="宋体"/>
          <w:bCs/>
          <w:sz w:val="24"/>
        </w:rPr>
        <w:t>20</w:t>
      </w:r>
      <w:r>
        <w:rPr>
          <w:rFonts w:hint="eastAsia" w:ascii="宋体" w:hAnsi="宋体" w:cs="宋体"/>
          <w:sz w:val="24"/>
          <w:lang w:val="zh-CN"/>
        </w:rPr>
        <w:t>.4.1</w:t>
      </w:r>
      <w:r>
        <w:rPr>
          <w:rFonts w:hint="eastAsia" w:ascii="宋体" w:hAnsi="宋体" w:cs="宋体"/>
          <w:bCs/>
          <w:sz w:val="24"/>
          <w:szCs w:val="24"/>
        </w:rPr>
        <w:t>开标后，采购代理机构与监督人将组织在政采云在线平台上进行资格审查，应检查其是否满足招标文件的格式要求，是否提供投标保证金等。</w:t>
      </w:r>
    </w:p>
    <w:p w14:paraId="17C716C2">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0</w:t>
      </w:r>
      <w:r>
        <w:rPr>
          <w:rFonts w:hint="eastAsia" w:ascii="宋体" w:hAnsi="宋体" w:cs="宋体"/>
          <w:sz w:val="24"/>
          <w:lang w:val="zh-CN"/>
        </w:rPr>
        <w:t>.4.</w:t>
      </w:r>
      <w:r>
        <w:rPr>
          <w:rFonts w:hint="eastAsia" w:ascii="宋体" w:hAnsi="宋体" w:cs="宋体"/>
          <w:sz w:val="24"/>
        </w:rPr>
        <w:t>2</w:t>
      </w:r>
      <w:r>
        <w:rPr>
          <w:rFonts w:hint="eastAsia" w:ascii="宋体" w:hAnsi="宋体" w:cs="宋体"/>
          <w:bCs/>
          <w:sz w:val="24"/>
        </w:rPr>
        <w:t>评标委员会</w:t>
      </w:r>
      <w:r>
        <w:rPr>
          <w:rFonts w:hint="eastAsia" w:ascii="宋体" w:hAnsi="宋体" w:cs="宋体"/>
          <w:bCs/>
          <w:sz w:val="24"/>
          <w:szCs w:val="24"/>
        </w:rPr>
        <w:t>将确定每一投标人是否对投标文件的要求做出了实质性响应，而没有重大偏离。实质性响应的投标是指符合招标文件的所有条款、条件和规定且没有重大偏离和保留的投标。</w:t>
      </w:r>
    </w:p>
    <w:p w14:paraId="14D9FC4F">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0</w:t>
      </w:r>
      <w:r>
        <w:rPr>
          <w:rFonts w:hint="eastAsia" w:ascii="宋体" w:hAnsi="宋体" w:cs="宋体"/>
          <w:sz w:val="24"/>
          <w:lang w:val="zh-CN"/>
        </w:rPr>
        <w:t>.4.</w:t>
      </w:r>
      <w:r>
        <w:rPr>
          <w:rFonts w:hint="eastAsia" w:ascii="宋体" w:hAnsi="宋体" w:cs="宋体"/>
          <w:sz w:val="24"/>
        </w:rPr>
        <w:t>3</w:t>
      </w:r>
      <w:r>
        <w:rPr>
          <w:rFonts w:hint="eastAsia" w:ascii="宋体" w:hAnsi="宋体" w:cs="宋体"/>
          <w:bCs/>
          <w:sz w:val="24"/>
        </w:rPr>
        <w:t>评标委员会</w:t>
      </w:r>
      <w:r>
        <w:rPr>
          <w:rFonts w:hint="eastAsia" w:ascii="宋体" w:hAnsi="宋体" w:cs="宋体"/>
          <w:bCs/>
          <w:sz w:val="24"/>
          <w:szCs w:val="24"/>
        </w:rPr>
        <w:t>判断投标文件的响应性仅基于投标文件本身而不靠外部证据。</w:t>
      </w:r>
    </w:p>
    <w:p w14:paraId="5CC14315">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0</w:t>
      </w:r>
      <w:r>
        <w:rPr>
          <w:rFonts w:hint="eastAsia" w:ascii="宋体" w:hAnsi="宋体" w:cs="宋体"/>
          <w:sz w:val="24"/>
          <w:lang w:val="zh-CN"/>
        </w:rPr>
        <w:t>.4.</w:t>
      </w:r>
      <w:r>
        <w:rPr>
          <w:rFonts w:hint="eastAsia" w:ascii="宋体" w:hAnsi="宋体" w:cs="宋体"/>
          <w:sz w:val="24"/>
        </w:rPr>
        <w:t>4</w:t>
      </w:r>
      <w:r>
        <w:rPr>
          <w:rFonts w:hint="eastAsia" w:ascii="宋体" w:hAnsi="宋体" w:cs="宋体"/>
          <w:bCs/>
          <w:sz w:val="24"/>
        </w:rPr>
        <w:t>评标委员会</w:t>
      </w:r>
      <w:r>
        <w:rPr>
          <w:rFonts w:hint="eastAsia" w:ascii="宋体" w:hAnsi="宋体" w:cs="宋体"/>
          <w:bCs/>
          <w:sz w:val="24"/>
          <w:szCs w:val="24"/>
        </w:rPr>
        <w:t>将拒绝被确定为非实质性响应的投标。投标方不能通过修正或撤回不符合之处而使其投标成为实质性响应的投标。</w:t>
      </w:r>
    </w:p>
    <w:p w14:paraId="03A4E5F8">
      <w:pPr>
        <w:spacing w:line="360" w:lineRule="auto"/>
        <w:ind w:firstLine="472" w:firstLineChars="196"/>
        <w:rPr>
          <w:rFonts w:ascii="宋体" w:hAnsi="宋体" w:cs="宋体"/>
          <w:b/>
          <w:bCs/>
          <w:sz w:val="24"/>
        </w:rPr>
      </w:pPr>
      <w:r>
        <w:rPr>
          <w:rFonts w:hint="eastAsia" w:ascii="宋体" w:hAnsi="宋体" w:cs="宋体"/>
          <w:b/>
          <w:bCs/>
          <w:sz w:val="24"/>
        </w:rPr>
        <w:t>20.5 投标登记确认的审查</w:t>
      </w:r>
    </w:p>
    <w:p w14:paraId="64D35F02">
      <w:pPr>
        <w:spacing w:line="360" w:lineRule="auto"/>
        <w:ind w:firstLine="470" w:firstLineChars="196"/>
        <w:rPr>
          <w:rFonts w:ascii="宋体" w:hAnsi="宋体" w:cs="宋体"/>
          <w:sz w:val="24"/>
          <w:szCs w:val="24"/>
        </w:rPr>
      </w:pPr>
      <w:r>
        <w:rPr>
          <w:rFonts w:hint="eastAsia" w:ascii="宋体" w:hAnsi="宋体" w:cs="宋体"/>
          <w:bCs/>
          <w:sz w:val="24"/>
          <w:szCs w:val="24"/>
        </w:rPr>
        <w:t>20.5.1</w:t>
      </w:r>
      <w:r>
        <w:rPr>
          <w:rFonts w:hint="eastAsia" w:ascii="宋体" w:hAnsi="宋体" w:cs="宋体"/>
          <w:sz w:val="24"/>
          <w:szCs w:val="24"/>
        </w:rPr>
        <w:t>投标人在规定时间内将投标文件上传至政采云平台。凡按规定时间前进行了投标登记确认的，其投标被接受。否则，其投标将直接被拒绝。</w:t>
      </w:r>
    </w:p>
    <w:p w14:paraId="18EA5428">
      <w:pPr>
        <w:spacing w:line="360" w:lineRule="auto"/>
        <w:ind w:firstLine="470" w:firstLineChars="196"/>
        <w:rPr>
          <w:rFonts w:ascii="宋体" w:hAnsi="宋体" w:cs="宋体"/>
          <w:sz w:val="24"/>
          <w:szCs w:val="24"/>
        </w:rPr>
      </w:pPr>
      <w:r>
        <w:rPr>
          <w:rFonts w:hint="eastAsia" w:ascii="宋体" w:hAnsi="宋体" w:cs="宋体"/>
          <w:bCs/>
          <w:sz w:val="24"/>
          <w:szCs w:val="24"/>
        </w:rPr>
        <w:t>20</w:t>
      </w:r>
      <w:r>
        <w:rPr>
          <w:rFonts w:hint="eastAsia" w:ascii="宋体" w:hAnsi="宋体" w:cs="宋体"/>
          <w:sz w:val="24"/>
          <w:szCs w:val="24"/>
        </w:rPr>
        <w:t>.5.2 通报后，在招标文件及程序符合法律规定的前提下，对招标文件做出实质性响应的投标人只有两家时，且是第一次开标，采购人应中止谈判，重新组织采购；如果是第二次开标，按照公开、公平和竞争的原则，采购人可以书面提出转竞争性谈判方式进行且提交批准后，按批准后的采购方式继续开标。反之，则应直接作废标处理，并依法重新组织采购。</w:t>
      </w:r>
    </w:p>
    <w:p w14:paraId="5505CFB0">
      <w:pPr>
        <w:spacing w:line="360" w:lineRule="auto"/>
        <w:ind w:firstLine="470" w:firstLineChars="196"/>
        <w:rPr>
          <w:rFonts w:ascii="宋体" w:hAnsi="宋体" w:cs="宋体"/>
          <w:sz w:val="24"/>
          <w:szCs w:val="24"/>
        </w:rPr>
      </w:pPr>
      <w:r>
        <w:rPr>
          <w:rFonts w:hint="eastAsia" w:ascii="宋体" w:hAnsi="宋体" w:cs="宋体"/>
          <w:bCs/>
          <w:sz w:val="24"/>
          <w:szCs w:val="24"/>
        </w:rPr>
        <w:t>20</w:t>
      </w:r>
      <w:r>
        <w:rPr>
          <w:rFonts w:hint="eastAsia" w:ascii="宋体" w:hAnsi="宋体" w:cs="宋体"/>
          <w:sz w:val="24"/>
          <w:szCs w:val="24"/>
        </w:rPr>
        <w:t>.5.3 通报后，如果合格投标人只有一家时，且是第一次开标，采购人应中止谈判，重新组织采购；如果是第二次开标，采购人和投标商既没有过不良行为记录，也不存在明显或恶意的投标倾向性行为，采购人可以书面申请</w:t>
      </w:r>
      <w:r>
        <w:rPr>
          <w:rFonts w:hint="eastAsia" w:ascii="宋体" w:hAnsi="宋体" w:cs="宋体"/>
          <w:bCs/>
          <w:sz w:val="24"/>
          <w:szCs w:val="24"/>
        </w:rPr>
        <w:t>单一来源方式</w:t>
      </w:r>
      <w:r>
        <w:rPr>
          <w:rFonts w:hint="eastAsia" w:ascii="宋体" w:hAnsi="宋体" w:cs="宋体"/>
          <w:sz w:val="24"/>
          <w:szCs w:val="24"/>
        </w:rPr>
        <w:t>采购，经批准后，按批准后的采购方式依法按程序组织采购。反之，则应直接作废标处理，并依法重新组织采购。</w:t>
      </w:r>
    </w:p>
    <w:p w14:paraId="2F855D0F">
      <w:pPr>
        <w:spacing w:line="360" w:lineRule="auto"/>
        <w:ind w:firstLine="472" w:firstLineChars="196"/>
        <w:rPr>
          <w:rFonts w:ascii="宋体" w:hAnsi="宋体" w:cs="宋体"/>
          <w:b/>
          <w:bCs/>
          <w:sz w:val="24"/>
        </w:rPr>
      </w:pPr>
      <w:r>
        <w:rPr>
          <w:rFonts w:hint="eastAsia" w:ascii="宋体" w:hAnsi="宋体" w:cs="宋体"/>
          <w:b/>
          <w:bCs/>
          <w:sz w:val="24"/>
        </w:rPr>
        <w:t>20.6 评标前的意见征求</w:t>
      </w:r>
    </w:p>
    <w:p w14:paraId="68A454E6">
      <w:pPr>
        <w:spacing w:line="360" w:lineRule="auto"/>
        <w:ind w:firstLine="470" w:firstLineChars="196"/>
        <w:rPr>
          <w:rFonts w:ascii="宋体" w:hAnsi="宋体" w:cs="宋体"/>
          <w:sz w:val="24"/>
          <w:szCs w:val="24"/>
        </w:rPr>
      </w:pPr>
      <w:r>
        <w:rPr>
          <w:rFonts w:hint="eastAsia" w:ascii="宋体" w:hAnsi="宋体" w:cs="宋体"/>
          <w:bCs/>
          <w:sz w:val="24"/>
          <w:szCs w:val="24"/>
        </w:rPr>
        <w:t>20.6.1</w:t>
      </w:r>
      <w:r>
        <w:rPr>
          <w:rFonts w:hint="eastAsia" w:ascii="宋体" w:hAnsi="宋体" w:cs="宋体"/>
          <w:sz w:val="24"/>
          <w:szCs w:val="24"/>
        </w:rPr>
        <w:t>严格在招标文件的规定范围内，由采购代理机构现场以书面的方式，征求采购单位代表对本次评标委员会评标时应注意的事项及意见建议，并签字确认。</w:t>
      </w:r>
    </w:p>
    <w:p w14:paraId="5421B234">
      <w:pPr>
        <w:spacing w:line="360" w:lineRule="auto"/>
        <w:ind w:firstLine="470" w:firstLineChars="196"/>
        <w:rPr>
          <w:rFonts w:ascii="宋体" w:hAnsi="宋体" w:cs="宋体"/>
          <w:sz w:val="24"/>
          <w:szCs w:val="24"/>
        </w:rPr>
      </w:pPr>
      <w:r>
        <w:rPr>
          <w:rFonts w:hint="eastAsia" w:ascii="宋体" w:hAnsi="宋体" w:cs="宋体"/>
          <w:bCs/>
          <w:sz w:val="24"/>
          <w:szCs w:val="24"/>
        </w:rPr>
        <w:t>20.6.2</w:t>
      </w:r>
      <w:r>
        <w:rPr>
          <w:rFonts w:hint="eastAsia" w:ascii="宋体" w:hAnsi="宋体" w:cs="宋体"/>
          <w:sz w:val="24"/>
          <w:szCs w:val="24"/>
        </w:rPr>
        <w:t xml:space="preserve"> 本次项目由采购人严格按照招标文件的规定范围，核实并提出是否采信的意见并签字确认。</w:t>
      </w:r>
    </w:p>
    <w:p w14:paraId="262CCDDD">
      <w:pPr>
        <w:spacing w:line="360" w:lineRule="auto"/>
        <w:ind w:firstLine="470" w:firstLineChars="196"/>
        <w:rPr>
          <w:rFonts w:ascii="宋体" w:hAnsi="宋体" w:cs="宋体"/>
          <w:bCs/>
          <w:sz w:val="24"/>
        </w:rPr>
      </w:pPr>
      <w:r>
        <w:rPr>
          <w:rFonts w:hint="eastAsia" w:ascii="宋体" w:hAnsi="宋体" w:cs="宋体"/>
          <w:bCs/>
          <w:sz w:val="24"/>
          <w:szCs w:val="24"/>
        </w:rPr>
        <w:t>20.6.3</w:t>
      </w:r>
      <w:r>
        <w:rPr>
          <w:rFonts w:hint="eastAsia" w:ascii="宋体" w:hAnsi="宋体" w:cs="宋体"/>
          <w:sz w:val="24"/>
          <w:szCs w:val="24"/>
        </w:rPr>
        <w:t>由采购人将可采信的上述意见建议，现场向评标委员会及成员提出可以予以采纳的决定。反之，则不予采纳。</w:t>
      </w:r>
    </w:p>
    <w:p w14:paraId="3C7FBC9F">
      <w:pPr>
        <w:rPr>
          <w:rFonts w:hint="eastAsia" w:ascii="宋体" w:hAnsi="宋体" w:cs="宋体"/>
          <w:b/>
          <w:bCs/>
          <w:sz w:val="32"/>
          <w:szCs w:val="32"/>
        </w:rPr>
      </w:pPr>
      <w:r>
        <w:rPr>
          <w:rFonts w:hint="eastAsia" w:ascii="宋体" w:hAnsi="宋体" w:cs="宋体"/>
          <w:b/>
          <w:bCs/>
          <w:sz w:val="32"/>
          <w:szCs w:val="32"/>
        </w:rPr>
        <w:br w:type="page"/>
      </w:r>
    </w:p>
    <w:p w14:paraId="4CC50B22">
      <w:pPr>
        <w:spacing w:line="360" w:lineRule="auto"/>
        <w:jc w:val="center"/>
        <w:rPr>
          <w:rFonts w:ascii="宋体" w:hAnsi="宋体" w:cs="宋体"/>
          <w:b/>
          <w:bCs/>
          <w:sz w:val="32"/>
          <w:szCs w:val="32"/>
        </w:rPr>
      </w:pPr>
      <w:r>
        <w:rPr>
          <w:rFonts w:hint="eastAsia" w:ascii="宋体" w:hAnsi="宋体" w:cs="宋体"/>
          <w:b/>
          <w:bCs/>
          <w:sz w:val="32"/>
          <w:szCs w:val="32"/>
        </w:rPr>
        <w:t>第二章 评  标</w:t>
      </w:r>
    </w:p>
    <w:p w14:paraId="1365C274">
      <w:pPr>
        <w:spacing w:line="360" w:lineRule="auto"/>
        <w:ind w:firstLine="482" w:firstLineChars="200"/>
        <w:rPr>
          <w:rFonts w:ascii="宋体" w:hAnsi="宋体" w:cs="宋体"/>
          <w:b/>
          <w:sz w:val="24"/>
          <w:szCs w:val="24"/>
        </w:rPr>
      </w:pPr>
      <w:r>
        <w:rPr>
          <w:rFonts w:hint="eastAsia" w:ascii="宋体" w:hAnsi="宋体" w:cs="宋体"/>
          <w:b/>
          <w:sz w:val="24"/>
          <w:szCs w:val="24"/>
        </w:rPr>
        <w:t>21．开标报价</w:t>
      </w:r>
    </w:p>
    <w:p w14:paraId="0C955365">
      <w:pPr>
        <w:autoSpaceDE w:val="0"/>
        <w:autoSpaceDN w:val="0"/>
        <w:adjustRightInd w:val="0"/>
        <w:spacing w:line="360" w:lineRule="auto"/>
        <w:ind w:firstLine="480"/>
        <w:rPr>
          <w:rFonts w:ascii="宋体" w:hAnsi="宋体" w:cs="宋体"/>
          <w:sz w:val="24"/>
          <w:lang w:val="zh-CN"/>
        </w:rPr>
      </w:pPr>
      <w:r>
        <w:rPr>
          <w:rFonts w:hint="eastAsia" w:ascii="宋体" w:hAnsi="宋体" w:cs="宋体"/>
          <w:b/>
          <w:bCs/>
          <w:sz w:val="24"/>
          <w:lang w:val="zh-CN"/>
        </w:rPr>
        <w:t>2</w:t>
      </w:r>
      <w:r>
        <w:rPr>
          <w:rFonts w:hint="eastAsia" w:ascii="宋体" w:hAnsi="宋体" w:cs="宋体"/>
          <w:b/>
          <w:bCs/>
          <w:sz w:val="24"/>
        </w:rPr>
        <w:t>1</w:t>
      </w:r>
      <w:r>
        <w:rPr>
          <w:rFonts w:hint="eastAsia" w:ascii="宋体" w:hAnsi="宋体" w:cs="宋体"/>
          <w:b/>
          <w:bCs/>
          <w:sz w:val="24"/>
          <w:lang w:val="zh-CN"/>
        </w:rPr>
        <w:t xml:space="preserve">.1 评标依据 </w:t>
      </w:r>
      <w:r>
        <w:rPr>
          <w:rFonts w:hint="eastAsia" w:ascii="宋体" w:hAnsi="宋体" w:cs="宋体"/>
          <w:sz w:val="24"/>
          <w:lang w:val="zh-CN"/>
        </w:rPr>
        <w:t xml:space="preserve"> </w:t>
      </w:r>
    </w:p>
    <w:p w14:paraId="5F2FCB79">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.1.1 </w:t>
      </w:r>
      <w:r>
        <w:rPr>
          <w:rFonts w:hint="eastAsia" w:ascii="宋体" w:hAnsi="宋体" w:cs="宋体"/>
          <w:bCs/>
          <w:sz w:val="24"/>
          <w:szCs w:val="24"/>
        </w:rPr>
        <w:t>招标文件是评标的唯一依据。</w:t>
      </w:r>
      <w:r>
        <w:rPr>
          <w:rFonts w:hint="eastAsia" w:ascii="宋体" w:hAnsi="宋体" w:cs="宋体"/>
          <w:sz w:val="24"/>
          <w:szCs w:val="24"/>
        </w:rPr>
        <w:t>评标委员会</w:t>
      </w:r>
      <w:r>
        <w:rPr>
          <w:rFonts w:hint="eastAsia" w:ascii="宋体" w:hAnsi="宋体" w:cs="宋体"/>
          <w:sz w:val="24"/>
          <w:lang w:val="zh-CN"/>
        </w:rPr>
        <w:t>评标要依据采购代理机构的公开招标文件和投标方的投标文件进行比较与评标。</w:t>
      </w:r>
    </w:p>
    <w:p w14:paraId="5BB40711">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.1.2 招标文件中的主要产品或金额大的产品，提供相同品牌产品且通过资格审查、符合性审查的不同投标人，按一家投标人计算，评审后得分最高的同品牌投标人获得中标人推荐资格。</w:t>
      </w:r>
    </w:p>
    <w:p w14:paraId="57D6D7C0">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.1.3 当发现投标人的投标文件有以下情形时，将认定为有串标嫌疑而对其予以废标：总报价相近，但其中分项报价不合理，且没有合理解释的；总报价相近，且其中款项报价雷同，又提不出计算依据的；总报价相近，数项子目单价完全相同，且提不出合理的单价组成的；总报价相近，主要材料设备价格极其相近的；总价相同，没有</w:t>
      </w:r>
      <w:r>
        <w:fldChar w:fldCharType="begin"/>
      </w:r>
      <w:r>
        <w:instrText xml:space="preserve"> HYPERLINK "http://www.shenmeshi.com/Education/Education_20070429223431.html" \t "_blank" </w:instrText>
      </w:r>
      <w:r>
        <w:fldChar w:fldCharType="separate"/>
      </w:r>
      <w:r>
        <w:rPr>
          <w:rFonts w:hint="eastAsia" w:ascii="宋体" w:hAnsi="宋体" w:cs="宋体"/>
          <w:sz w:val="24"/>
          <w:lang w:val="zh-CN"/>
        </w:rPr>
        <w:t>成本分析</w:t>
      </w:r>
      <w:r>
        <w:rPr>
          <w:rFonts w:hint="eastAsia" w:ascii="宋体" w:hAnsi="宋体" w:cs="宋体"/>
          <w:sz w:val="24"/>
          <w:lang w:val="zh-CN"/>
        </w:rPr>
        <w:fldChar w:fldCharType="end"/>
      </w:r>
      <w:r>
        <w:rPr>
          <w:rFonts w:hint="eastAsia" w:ascii="宋体" w:hAnsi="宋体" w:cs="宋体"/>
          <w:sz w:val="24"/>
          <w:lang w:val="zh-CN"/>
        </w:rPr>
        <w:t>，分项乱调的；几个投标人的</w:t>
      </w:r>
      <w:r>
        <w:fldChar w:fldCharType="begin"/>
      </w:r>
      <w:r>
        <w:instrText xml:space="preserve"> HYPERLINK "http://www.shenmeshi.com/Science/Index.html" \t "_blank" </w:instrText>
      </w:r>
      <w:r>
        <w:fldChar w:fldCharType="separate"/>
      </w:r>
      <w:r>
        <w:rPr>
          <w:rFonts w:hint="eastAsia" w:ascii="宋体" w:hAnsi="宋体" w:cs="宋体"/>
          <w:sz w:val="24"/>
          <w:lang w:val="zh-CN"/>
        </w:rPr>
        <w:t>技术</w:t>
      </w:r>
      <w:r>
        <w:rPr>
          <w:rFonts w:hint="eastAsia" w:ascii="宋体" w:hAnsi="宋体" w:cs="宋体"/>
          <w:sz w:val="24"/>
          <w:lang w:val="zh-CN"/>
        </w:rPr>
        <w:fldChar w:fldCharType="end"/>
      </w:r>
      <w:r>
        <w:rPr>
          <w:rFonts w:hint="eastAsia" w:ascii="宋体" w:hAnsi="宋体" w:cs="宋体"/>
          <w:sz w:val="24"/>
          <w:lang w:val="zh-CN"/>
        </w:rPr>
        <w:t>标都雷同的。</w:t>
      </w:r>
    </w:p>
    <w:p w14:paraId="66400CF4">
      <w:pPr>
        <w:autoSpaceDE w:val="0"/>
        <w:autoSpaceDN w:val="0"/>
        <w:adjustRightInd w:val="0"/>
        <w:spacing w:line="360" w:lineRule="auto"/>
        <w:ind w:firstLine="482"/>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.1.4 本次评标采取</w:t>
      </w:r>
      <w:r>
        <w:rPr>
          <w:rFonts w:hint="eastAsia" w:ascii="宋体" w:hAnsi="宋体" w:cs="宋体"/>
          <w:b/>
          <w:sz w:val="24"/>
          <w:u w:val="single"/>
          <w:lang w:val="zh-CN"/>
        </w:rPr>
        <w:t>综合评分法</w:t>
      </w:r>
      <w:r>
        <w:rPr>
          <w:rFonts w:hint="eastAsia" w:ascii="宋体" w:hAnsi="宋体" w:cs="宋体"/>
          <w:sz w:val="24"/>
          <w:lang w:val="zh-CN"/>
        </w:rPr>
        <w:t>。</w:t>
      </w:r>
    </w:p>
    <w:p w14:paraId="2EB95F4E">
      <w:pPr>
        <w:autoSpaceDE w:val="0"/>
        <w:autoSpaceDN w:val="0"/>
        <w:adjustRightInd w:val="0"/>
        <w:spacing w:line="360" w:lineRule="auto"/>
        <w:ind w:firstLine="482"/>
        <w:rPr>
          <w:rFonts w:ascii="宋体" w:hAnsi="宋体" w:cs="宋体"/>
          <w:b/>
          <w:bCs/>
          <w:sz w:val="24"/>
          <w:lang w:val="zh-CN"/>
        </w:rPr>
      </w:pPr>
      <w:r>
        <w:rPr>
          <w:rFonts w:hint="eastAsia" w:ascii="宋体" w:hAnsi="宋体" w:cs="宋体"/>
          <w:b/>
          <w:bCs/>
          <w:sz w:val="24"/>
          <w:lang w:val="zh-CN"/>
        </w:rPr>
        <w:t>2</w:t>
      </w:r>
      <w:r>
        <w:rPr>
          <w:rFonts w:hint="eastAsia" w:ascii="宋体" w:hAnsi="宋体" w:cs="宋体"/>
          <w:b/>
          <w:bCs/>
          <w:sz w:val="24"/>
        </w:rPr>
        <w:t>1</w:t>
      </w:r>
      <w:r>
        <w:rPr>
          <w:rFonts w:hint="eastAsia" w:ascii="宋体" w:hAnsi="宋体" w:cs="宋体"/>
          <w:b/>
          <w:bCs/>
          <w:sz w:val="24"/>
          <w:lang w:val="zh-CN"/>
        </w:rPr>
        <w:t>.2 评标过程的保密性</w:t>
      </w:r>
    </w:p>
    <w:p w14:paraId="46440194">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lang w:eastAsia="zh-CN"/>
        </w:rPr>
        <w:t>1.1.</w:t>
      </w:r>
      <w:r>
        <w:rPr>
          <w:rFonts w:hint="eastAsia" w:ascii="宋体" w:hAnsi="宋体" w:cs="宋体"/>
          <w:sz w:val="24"/>
          <w:lang w:val="zh-CN"/>
        </w:rPr>
        <w:t>1 所有与本次招标及评标有关的人员，均不得向投标人及与招标项目无关的其他人员，透露与评标有关的资料以及授予合同的意见等。</w:t>
      </w:r>
    </w:p>
    <w:p w14:paraId="73D61A4B">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lang w:eastAsia="zh-CN"/>
        </w:rPr>
        <w:t>1.1.</w:t>
      </w:r>
      <w:r>
        <w:rPr>
          <w:rFonts w:hint="eastAsia" w:ascii="宋体" w:hAnsi="宋体" w:cs="宋体"/>
          <w:sz w:val="24"/>
          <w:lang w:val="zh-CN"/>
        </w:rPr>
        <w:t>2 在评标过程中，投标人试图在投标文件审查、报价、询标（答疑）、澄清、比较及授予合同方面向采购人员施加影响的任何行为，都可能导致其投标文件被拒绝。</w:t>
      </w:r>
    </w:p>
    <w:p w14:paraId="6785E112">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lang w:eastAsia="zh-CN"/>
        </w:rPr>
        <w:t>1.1.</w:t>
      </w:r>
      <w:r>
        <w:rPr>
          <w:rFonts w:hint="eastAsia" w:ascii="宋体" w:hAnsi="宋体" w:cs="宋体"/>
          <w:sz w:val="24"/>
          <w:lang w:val="zh-CN"/>
        </w:rPr>
        <w:t xml:space="preserve">3 </w:t>
      </w:r>
      <w:r>
        <w:rPr>
          <w:rFonts w:hint="eastAsia" w:ascii="宋体" w:hAnsi="宋体" w:cs="宋体"/>
          <w:bCs/>
          <w:sz w:val="24"/>
          <w:szCs w:val="24"/>
        </w:rPr>
        <w:t>开标后直到授予投标人合同为止，凡是属于审查、报价、</w:t>
      </w:r>
      <w:r>
        <w:rPr>
          <w:rFonts w:hint="eastAsia" w:ascii="宋体" w:hAnsi="宋体" w:cs="宋体"/>
          <w:sz w:val="24"/>
          <w:lang w:val="zh-CN"/>
        </w:rPr>
        <w:t>询标（答疑）、</w:t>
      </w:r>
      <w:r>
        <w:rPr>
          <w:rFonts w:hint="eastAsia" w:ascii="宋体" w:hAnsi="宋体" w:cs="宋体"/>
          <w:bCs/>
          <w:sz w:val="24"/>
          <w:szCs w:val="24"/>
        </w:rPr>
        <w:t>澄清、评价和比较的有关资料以及授标建议等，评标委员会成员或参与评标的有关工作人员均不得向投标人或其他无关的人员透露，违者给予警告、取消担任评标委员会成员的资格，不得再参加任何投标项目的评标。</w:t>
      </w:r>
    </w:p>
    <w:p w14:paraId="3D02CE3B">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lang w:eastAsia="zh-CN"/>
        </w:rPr>
        <w:t>1.1.</w:t>
      </w:r>
      <w:r>
        <w:rPr>
          <w:rFonts w:hint="eastAsia" w:ascii="宋体" w:hAnsi="宋体" w:cs="宋体"/>
          <w:sz w:val="24"/>
          <w:lang w:val="zh-CN"/>
        </w:rPr>
        <w:t xml:space="preserve">4 </w:t>
      </w:r>
      <w:r>
        <w:rPr>
          <w:rFonts w:hint="eastAsia" w:ascii="宋体" w:hAnsi="宋体" w:cs="宋体"/>
          <w:bCs/>
          <w:sz w:val="24"/>
          <w:szCs w:val="24"/>
        </w:rPr>
        <w:t>投标人在评标过程中，所进行的力图影响评标结果的不符合《政府采购法》及本次招标有关规定的活动，将被取消中标资格。</w:t>
      </w:r>
    </w:p>
    <w:p w14:paraId="3ACC6759">
      <w:pPr>
        <w:autoSpaceDE w:val="0"/>
        <w:autoSpaceDN w:val="0"/>
        <w:adjustRightInd w:val="0"/>
        <w:spacing w:line="360" w:lineRule="auto"/>
        <w:ind w:firstLine="480"/>
        <w:rPr>
          <w:rFonts w:ascii="宋体" w:hAnsi="宋体" w:cs="宋体"/>
          <w:b/>
          <w:sz w:val="24"/>
          <w:lang w:val="zh-CN"/>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 xml:space="preserve">.3 评标有关规定要求 </w:t>
      </w:r>
    </w:p>
    <w:p w14:paraId="1386BF72">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.3.1 </w:t>
      </w:r>
      <w:r>
        <w:rPr>
          <w:rFonts w:hint="eastAsia" w:ascii="宋体" w:hAnsi="宋体" w:eastAsia="宋体" w:cs="宋体"/>
          <w:sz w:val="24"/>
          <w:lang w:val="zh-CN"/>
        </w:rPr>
        <w:t>各评标委员会成员严格遵守前款“第六部分”中21.1条款之规定，在采购代理机构规定时间进行评标。</w:t>
      </w:r>
    </w:p>
    <w:p w14:paraId="4EFDA30D">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.3.2 评标、报价、询标（答疑）、澄清应按照投标人解密投标文件的正顺序进行。</w:t>
      </w:r>
    </w:p>
    <w:p w14:paraId="50AF0260">
      <w:pPr>
        <w:spacing w:line="360" w:lineRule="auto"/>
        <w:ind w:firstLine="480" w:firstLineChars="200"/>
        <w:rPr>
          <w:rFonts w:ascii="宋体" w:hAnsi="宋体" w:cs="宋体"/>
          <w:bCs/>
          <w:sz w:val="24"/>
          <w:highlight w:val="magenta"/>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 xml:space="preserve">.3.3 评标委员会成员和与本次评标活动有关的工作人员，应遵循前款“第五部分”“第四章”中12.2 条款、12.3条款、12.4条款和13条款之规定。 </w:t>
      </w:r>
    </w:p>
    <w:p w14:paraId="2F23C8CB">
      <w:pPr>
        <w:spacing w:line="360" w:lineRule="auto"/>
        <w:ind w:firstLine="480" w:firstLineChars="200"/>
        <w:rPr>
          <w:rFonts w:ascii="宋体" w:hAnsi="宋体" w:cs="宋体"/>
          <w:bCs/>
          <w:sz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 xml:space="preserve">.3.4 </w:t>
      </w:r>
      <w:r>
        <w:rPr>
          <w:rFonts w:hint="eastAsia" w:ascii="宋体" w:hAnsi="宋体" w:cs="宋体"/>
          <w:sz w:val="24"/>
          <w:szCs w:val="24"/>
        </w:rPr>
        <w:t>采购代理机构要对当事双方的评标、报价、询标（答疑）、澄清等，做好书面记录，经评标委员会评审的招标文件、投标文件具有同等法律地位；也是投标人一旦中标后，与采购人签订中标合同和发生质疑或投诉事项时的重要法律依据。</w:t>
      </w:r>
    </w:p>
    <w:p w14:paraId="153BE03F">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.3.</w:t>
      </w:r>
      <w:r>
        <w:rPr>
          <w:rFonts w:hint="eastAsia" w:ascii="宋体" w:hAnsi="宋体" w:cs="宋体"/>
          <w:sz w:val="24"/>
        </w:rPr>
        <w:t>5</w:t>
      </w:r>
      <w:r>
        <w:rPr>
          <w:rFonts w:hint="eastAsia" w:ascii="宋体" w:hAnsi="宋体" w:cs="宋体"/>
          <w:b/>
          <w:sz w:val="24"/>
          <w:lang w:val="zh-CN"/>
        </w:rPr>
        <w:t xml:space="preserve"> </w:t>
      </w:r>
      <w:r>
        <w:rPr>
          <w:rFonts w:hint="eastAsia" w:ascii="宋体" w:hAnsi="宋体" w:cs="宋体"/>
          <w:bCs/>
          <w:sz w:val="24"/>
        </w:rPr>
        <w:t>评标委员会各成员应在采购人规定时间内阅读和熟悉招标文件，当要提出招标文件疑问事项时，应由采购人、</w:t>
      </w:r>
      <w:r>
        <w:rPr>
          <w:rFonts w:hint="eastAsia" w:ascii="宋体" w:hAnsi="宋体" w:cs="宋体"/>
          <w:sz w:val="24"/>
          <w:szCs w:val="24"/>
        </w:rPr>
        <w:t>采购代理机构</w:t>
      </w:r>
      <w:r>
        <w:rPr>
          <w:rFonts w:hint="eastAsia" w:ascii="宋体" w:hAnsi="宋体" w:cs="宋体"/>
          <w:bCs/>
          <w:sz w:val="24"/>
        </w:rPr>
        <w:t>本次招标项目的责任人作为主体解答者，解答不清的，由会议主持进行补充解答。</w:t>
      </w:r>
    </w:p>
    <w:p w14:paraId="4FC18EF8">
      <w:pPr>
        <w:spacing w:line="360" w:lineRule="auto"/>
        <w:ind w:firstLine="482" w:firstLineChars="200"/>
        <w:rPr>
          <w:rFonts w:ascii="宋体" w:hAnsi="宋体" w:cs="宋体"/>
          <w:b/>
          <w:bCs/>
          <w:sz w:val="24"/>
        </w:rPr>
      </w:pPr>
      <w:r>
        <w:rPr>
          <w:rFonts w:hint="eastAsia" w:ascii="宋体" w:hAnsi="宋体" w:cs="宋体"/>
          <w:b/>
          <w:bCs/>
          <w:sz w:val="24"/>
        </w:rPr>
        <w:t>21.4 报价</w:t>
      </w:r>
    </w:p>
    <w:p w14:paraId="5B3F831C">
      <w:pPr>
        <w:autoSpaceDE w:val="0"/>
        <w:autoSpaceDN w:val="0"/>
        <w:adjustRightInd w:val="0"/>
        <w:spacing w:line="360" w:lineRule="auto"/>
        <w:ind w:firstLine="480"/>
        <w:rPr>
          <w:rFonts w:ascii="宋体" w:hAnsi="宋体" w:cs="宋体"/>
          <w:b/>
          <w:sz w:val="24"/>
          <w:lang w:val="zh-CN"/>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 xml:space="preserve">.4.1 投标报价的审查和原则要求 </w:t>
      </w:r>
    </w:p>
    <w:p w14:paraId="3B4FCEDE">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.4.1.1 评标委员应确认实质上响应招标文件要求的投标文件中的价格进行审核，检查看其是否有计算和累加上的错误。</w:t>
      </w:r>
    </w:p>
    <w:p w14:paraId="56880FEA">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21.4.1.2修正错误的原则。如大写金额与小写金额不一致的，以大写金额为准；总价金额与按单价汇总金额不一致的，以单价金额计算结果为准；单价金额小数点有明显错位的，以总价为准，并修改单价；对不同文字文本投标文件的解释发生异议的，以中文文本为准。按上述原则调整后的价格为评标价，对投标人具有约束力。如果投标人不接受修正后的价格，则其报价将被拒绝，其投标保证金将被没收。</w:t>
      </w:r>
    </w:p>
    <w:p w14:paraId="5C7AA50E">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.4.1.3 采购代理机构在解密完成后开启开标一览表，进行公开唱标并开启签字时段，采购人按照规定时间，应检查所有投标文件的资格审查，确认无误后，评标委员会进行符合性审查。</w:t>
      </w:r>
    </w:p>
    <w:p w14:paraId="5A30E6EA">
      <w:pPr>
        <w:autoSpaceDE w:val="0"/>
        <w:autoSpaceDN w:val="0"/>
        <w:adjustRightInd w:val="0"/>
        <w:spacing w:line="360" w:lineRule="auto"/>
        <w:ind w:firstLine="482"/>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.4.1.4 </w:t>
      </w:r>
      <w:r>
        <w:rPr>
          <w:rFonts w:hint="eastAsia" w:ascii="宋体" w:hAnsi="宋体" w:cs="宋体"/>
          <w:bCs/>
          <w:sz w:val="24"/>
          <w:lang w:val="zh-CN"/>
        </w:rPr>
        <w:t>报价</w:t>
      </w:r>
      <w:r>
        <w:rPr>
          <w:rFonts w:hint="eastAsia" w:ascii="宋体" w:hAnsi="宋体" w:cs="宋体"/>
          <w:sz w:val="24"/>
          <w:lang w:val="zh-CN"/>
        </w:rPr>
        <w:t>采用一次性报价方式，且为最终报价。</w:t>
      </w:r>
    </w:p>
    <w:p w14:paraId="58B53681">
      <w:pPr>
        <w:autoSpaceDE w:val="0"/>
        <w:autoSpaceDN w:val="0"/>
        <w:adjustRightInd w:val="0"/>
        <w:spacing w:line="360" w:lineRule="auto"/>
        <w:ind w:firstLine="482"/>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.4.1.5 投标人的报价均应报出拟提供货物的单价和总价。</w:t>
      </w:r>
    </w:p>
    <w:p w14:paraId="63B4CE13">
      <w:pPr>
        <w:spacing w:line="360" w:lineRule="auto"/>
        <w:ind w:firstLine="480" w:firstLineChars="200"/>
        <w:rPr>
          <w:rFonts w:ascii="宋体" w:hAnsi="宋体" w:cs="宋体"/>
          <w:b/>
          <w:sz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.4.1.6 投标人的报价采取现场公开的方式进行唱标，</w:t>
      </w:r>
      <w:r>
        <w:rPr>
          <w:rFonts w:hint="eastAsia" w:ascii="宋体" w:hAnsi="宋体" w:cs="宋体"/>
          <w:sz w:val="24"/>
        </w:rPr>
        <w:t>均不接受二次报价。否则，将直接取消其投标报价资格。</w:t>
      </w:r>
    </w:p>
    <w:p w14:paraId="0A925C41">
      <w:pPr>
        <w:spacing w:line="360" w:lineRule="auto"/>
        <w:ind w:firstLine="482" w:firstLineChars="200"/>
        <w:rPr>
          <w:rFonts w:ascii="宋体" w:hAnsi="宋体" w:cs="宋体"/>
          <w:b/>
          <w:bCs/>
          <w:sz w:val="24"/>
        </w:rPr>
      </w:pPr>
      <w:r>
        <w:rPr>
          <w:rFonts w:hint="eastAsia" w:ascii="宋体" w:hAnsi="宋体" w:cs="宋体"/>
          <w:b/>
          <w:bCs/>
          <w:sz w:val="24"/>
        </w:rPr>
        <w:t>21.4.2 唱标、记标</w:t>
      </w:r>
    </w:p>
    <w:p w14:paraId="4932205F">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采购代理机构对投标报价登记确认，要给予每个正在参加评标的投标人相同的机会，采购代理机构登记资格资质审查合格及对招标文件做出实质性响应的投标人报价，并对报价采取公开的方式，招标代理机构在开启报价后，投标人须在规定的报价确认签字时段内进行</w:t>
      </w:r>
      <w:r>
        <w:rPr>
          <w:rFonts w:hint="eastAsia" w:ascii="宋体" w:hAnsi="宋体" w:cs="宋体"/>
          <w:sz w:val="24"/>
          <w:lang w:val="en-US" w:eastAsia="zh-CN"/>
        </w:rPr>
        <w:t>CA签章</w:t>
      </w:r>
      <w:r>
        <w:rPr>
          <w:rFonts w:hint="eastAsia" w:ascii="宋体" w:hAnsi="宋体" w:cs="宋体"/>
          <w:sz w:val="24"/>
          <w:lang w:val="zh-CN"/>
        </w:rPr>
        <w:t>，否则视为无效报价。该报价只允许有一个报价，投标人任何有选择性的报价将不予接受。</w:t>
      </w:r>
    </w:p>
    <w:p w14:paraId="054015AE">
      <w:pPr>
        <w:autoSpaceDE w:val="0"/>
        <w:autoSpaceDN w:val="0"/>
        <w:adjustRightInd w:val="0"/>
        <w:spacing w:line="360" w:lineRule="auto"/>
        <w:ind w:firstLine="480"/>
        <w:rPr>
          <w:rFonts w:ascii="宋体" w:hAnsi="宋体" w:cs="宋体"/>
          <w:b/>
          <w:sz w:val="24"/>
          <w:lang w:val="zh-CN"/>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.4.3 最终报价是否均超过采购预算的审查确认</w:t>
      </w:r>
    </w:p>
    <w:p w14:paraId="51AB91CA">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.4.3.1 报价唱标结束后，采购人须根据《中华人民共和国政府采购法》及招标文件的规定，按照最终报价不接受超过采购预算的原则，对最终报价是否均超过采购预算进行审查确认，并现场公布结果。 </w:t>
      </w:r>
    </w:p>
    <w:p w14:paraId="1308B200">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.4.3.2 唱标结束后，如所有报价均超过采购预算，且采购人不能支付时，采购人现场应宣布本次招标废标。出现此种情况时，评标委员会有权决定拒绝所有的投标文件。</w:t>
      </w:r>
    </w:p>
    <w:p w14:paraId="14E1A3FF">
      <w:pPr>
        <w:autoSpaceDE w:val="0"/>
        <w:autoSpaceDN w:val="0"/>
        <w:adjustRightInd w:val="0"/>
        <w:spacing w:line="360" w:lineRule="auto"/>
        <w:ind w:firstLine="480"/>
        <w:rPr>
          <w:rFonts w:ascii="宋体" w:hAnsi="宋体" w:cs="宋体"/>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.4.3.3 唱标结束后，如果没有超过采购预算的投标人只有二家时，且是第一次开标，采购人应中止</w:t>
      </w:r>
      <w:r>
        <w:rPr>
          <w:rFonts w:hint="eastAsia" w:ascii="宋体" w:hAnsi="宋体" w:cs="宋体"/>
          <w:sz w:val="24"/>
          <w:lang w:val="en-US" w:eastAsia="zh-CN"/>
        </w:rPr>
        <w:t>招标</w:t>
      </w:r>
      <w:r>
        <w:rPr>
          <w:rFonts w:hint="eastAsia" w:ascii="宋体" w:hAnsi="宋体" w:cs="宋体"/>
          <w:sz w:val="24"/>
          <w:lang w:val="zh-CN"/>
        </w:rPr>
        <w:t>，重新组织采购；如果是第二次</w:t>
      </w:r>
      <w:r>
        <w:rPr>
          <w:rFonts w:hint="eastAsia" w:ascii="宋体" w:hAnsi="宋体" w:cs="宋体"/>
          <w:sz w:val="24"/>
          <w:lang w:val="en-US" w:eastAsia="zh-CN"/>
        </w:rPr>
        <w:t>招标</w:t>
      </w:r>
      <w:r>
        <w:rPr>
          <w:rFonts w:hint="eastAsia" w:ascii="宋体" w:hAnsi="宋体" w:cs="宋体"/>
          <w:sz w:val="24"/>
          <w:lang w:val="zh-CN"/>
        </w:rPr>
        <w:t>，</w:t>
      </w:r>
      <w:r>
        <w:rPr>
          <w:rFonts w:hint="eastAsia" w:ascii="宋体" w:hAnsi="宋体" w:cs="宋体"/>
          <w:sz w:val="24"/>
          <w:szCs w:val="24"/>
        </w:rPr>
        <w:t>按照公开、公平和竞争的原则，采购人可以书面提出转竞争性谈判方式采购，经批准后，按批准后的采购方式继续开标。</w:t>
      </w:r>
    </w:p>
    <w:p w14:paraId="796009C7">
      <w:pPr>
        <w:autoSpaceDE w:val="0"/>
        <w:autoSpaceDN w:val="0"/>
        <w:adjustRightInd w:val="0"/>
        <w:spacing w:line="360" w:lineRule="auto"/>
        <w:ind w:firstLine="480"/>
        <w:rPr>
          <w:rFonts w:ascii="宋体" w:hAnsi="宋体" w:cs="宋体"/>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.4.3.4</w:t>
      </w:r>
      <w:r>
        <w:rPr>
          <w:rFonts w:hint="eastAsia" w:ascii="宋体" w:hAnsi="宋体" w:cs="宋体"/>
          <w:sz w:val="24"/>
          <w:szCs w:val="24"/>
        </w:rPr>
        <w:t xml:space="preserve"> </w:t>
      </w:r>
      <w:r>
        <w:rPr>
          <w:rFonts w:hint="eastAsia" w:ascii="宋体" w:hAnsi="宋体" w:cs="宋体"/>
          <w:sz w:val="24"/>
          <w:lang w:val="zh-CN"/>
        </w:rPr>
        <w:t>唱标结束后，如果没有超过采购预算的投标人只有一家时，</w:t>
      </w:r>
      <w:r>
        <w:rPr>
          <w:rFonts w:hint="eastAsia" w:ascii="宋体" w:hAnsi="宋体" w:cs="宋体"/>
          <w:sz w:val="24"/>
          <w:szCs w:val="24"/>
        </w:rPr>
        <w:t>且是第一次开标，采购人应中止</w:t>
      </w:r>
      <w:r>
        <w:rPr>
          <w:rFonts w:hint="eastAsia" w:ascii="宋体" w:hAnsi="宋体" w:cs="宋体"/>
          <w:sz w:val="24"/>
          <w:lang w:val="en-US" w:eastAsia="zh-CN"/>
        </w:rPr>
        <w:t>招标</w:t>
      </w:r>
      <w:r>
        <w:rPr>
          <w:rFonts w:hint="eastAsia" w:ascii="宋体" w:hAnsi="宋体" w:cs="宋体"/>
          <w:sz w:val="24"/>
          <w:szCs w:val="24"/>
        </w:rPr>
        <w:t>，重新组织采购；如果是第二次开标，采购人和投标商既没有过不良行为记录，也不存在明显或恶意的投标倾向性行为，由评标委员会对其递交的投标文件和招标文件做出实质性响应进行审查确认后，采购人可以书面申请</w:t>
      </w:r>
      <w:r>
        <w:rPr>
          <w:rFonts w:hint="eastAsia" w:ascii="宋体" w:hAnsi="宋体" w:cs="宋体"/>
          <w:bCs/>
          <w:sz w:val="24"/>
          <w:szCs w:val="24"/>
        </w:rPr>
        <w:t>单一来源方式</w:t>
      </w:r>
      <w:r>
        <w:rPr>
          <w:rFonts w:hint="eastAsia" w:ascii="宋体" w:hAnsi="宋体" w:cs="宋体"/>
          <w:sz w:val="24"/>
          <w:szCs w:val="24"/>
        </w:rPr>
        <w:t>采购，经批准同意后，按批准后的采购方式依法按程序组织采购。反之，则应直接作废标处理，并依法重新组织采购。</w:t>
      </w:r>
    </w:p>
    <w:p w14:paraId="606E5B25">
      <w:pPr>
        <w:autoSpaceDE w:val="0"/>
        <w:autoSpaceDN w:val="0"/>
        <w:adjustRightInd w:val="0"/>
        <w:spacing w:line="360" w:lineRule="auto"/>
        <w:ind w:firstLine="480"/>
        <w:rPr>
          <w:rFonts w:ascii="宋体" w:hAnsi="宋体" w:cs="宋体"/>
          <w:b/>
          <w:bCs/>
          <w:sz w:val="24"/>
          <w:lang w:val="zh-CN"/>
        </w:rPr>
      </w:pPr>
      <w:r>
        <w:rPr>
          <w:rFonts w:hint="eastAsia" w:ascii="宋体" w:hAnsi="宋体" w:cs="宋体"/>
          <w:b/>
          <w:bCs/>
          <w:sz w:val="24"/>
        </w:rPr>
        <w:t xml:space="preserve">21.5 </w:t>
      </w:r>
      <w:r>
        <w:rPr>
          <w:rFonts w:hint="eastAsia" w:ascii="宋体" w:hAnsi="宋体" w:cs="宋体"/>
          <w:b/>
          <w:bCs/>
          <w:sz w:val="24"/>
          <w:lang w:val="zh-CN"/>
        </w:rPr>
        <w:t>评标程序</w:t>
      </w:r>
    </w:p>
    <w:p w14:paraId="1D9BD7CC">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szCs w:val="24"/>
        </w:rPr>
        <w:t>.5.1 评标委员会及其成员应当遵循独立评标的原则，按照独立初审、单独（或集中）询标（答疑）、独立综合评审、独立推荐拟中标人、集体定标、出具评标报告的工作程序进行。</w:t>
      </w:r>
    </w:p>
    <w:p w14:paraId="0702C1DF">
      <w:pPr>
        <w:autoSpaceDE w:val="0"/>
        <w:autoSpaceDN w:val="0"/>
        <w:adjustRightInd w:val="0"/>
        <w:spacing w:line="360" w:lineRule="auto"/>
        <w:ind w:firstLine="480" w:firstLineChars="200"/>
        <w:rPr>
          <w:rFonts w:ascii="宋体" w:hAnsi="宋体" w:cs="宋体"/>
          <w:bCs/>
          <w:sz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.5.2 评标委员会成员需要投标人答疑时，投标人按采购代理机构、采购人规定时间要求，向本次评标委员会进行澄清。</w:t>
      </w:r>
    </w:p>
    <w:p w14:paraId="562485C8">
      <w:pPr>
        <w:autoSpaceDE w:val="0"/>
        <w:autoSpaceDN w:val="0"/>
        <w:adjustRightInd w:val="0"/>
        <w:spacing w:line="360" w:lineRule="auto"/>
        <w:ind w:firstLine="480"/>
        <w:rPr>
          <w:rFonts w:ascii="宋体" w:hAnsi="宋体" w:cs="宋体"/>
          <w:b/>
          <w:bCs/>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.5.3 评标委员会应单独（或集中）与资格资质审查合格的投标人分别进行技术和商务评审与比较。</w:t>
      </w:r>
    </w:p>
    <w:p w14:paraId="7BF0BFB8">
      <w:pPr>
        <w:spacing w:line="360" w:lineRule="auto"/>
        <w:ind w:firstLine="480" w:firstLineChars="20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.5.4 按照采购人规定程序，评标当事双方应本着“实事求是、公正诚信”的原则，要以</w:t>
      </w:r>
      <w:r>
        <w:rPr>
          <w:rFonts w:hint="eastAsia" w:ascii="宋体" w:hAnsi="宋体" w:cs="宋体"/>
          <w:sz w:val="24"/>
          <w:szCs w:val="24"/>
        </w:rPr>
        <w:t>采购代理机构</w:t>
      </w:r>
      <w:r>
        <w:rPr>
          <w:rFonts w:hint="eastAsia" w:ascii="宋体" w:hAnsi="宋体" w:cs="宋体"/>
          <w:bCs/>
          <w:sz w:val="24"/>
        </w:rPr>
        <w:t>的招标文件为评标的唯一依据，不允许做招标文件以外无关问题讨论；评标委员会成员可以采取单独（或集中）的方式与投标人分别逐一进行评标、询标（</w:t>
      </w:r>
      <w:r>
        <w:rPr>
          <w:rFonts w:hint="eastAsia" w:ascii="宋体" w:hAnsi="宋体" w:cs="宋体"/>
          <w:sz w:val="24"/>
          <w:lang w:val="zh-CN"/>
        </w:rPr>
        <w:t>答疑）、澄清。</w:t>
      </w:r>
    </w:p>
    <w:p w14:paraId="359BCBA1">
      <w:pPr>
        <w:autoSpaceDE w:val="0"/>
        <w:autoSpaceDN w:val="0"/>
        <w:adjustRightInd w:val="0"/>
        <w:spacing w:line="360" w:lineRule="auto"/>
        <w:ind w:firstLine="480"/>
        <w:rPr>
          <w:rFonts w:ascii="宋体" w:hAnsi="宋体" w:cs="宋体"/>
          <w:b/>
          <w:sz w:val="24"/>
          <w:lang w:val="zh-CN"/>
        </w:rPr>
      </w:pPr>
      <w:r>
        <w:rPr>
          <w:rFonts w:hint="eastAsia" w:ascii="宋体" w:hAnsi="宋体" w:cs="宋体"/>
          <w:b/>
          <w:bCs/>
          <w:sz w:val="24"/>
        </w:rPr>
        <w:t>21.5.5 询标（答疑）、</w:t>
      </w:r>
      <w:r>
        <w:rPr>
          <w:rFonts w:hint="eastAsia" w:ascii="宋体" w:hAnsi="宋体" w:cs="宋体"/>
          <w:b/>
          <w:bCs/>
          <w:sz w:val="24"/>
          <w:lang w:val="zh-CN"/>
        </w:rPr>
        <w:t>澄清</w:t>
      </w:r>
    </w:p>
    <w:p w14:paraId="7905FA2A">
      <w:pPr>
        <w:spacing w:line="360" w:lineRule="auto"/>
        <w:ind w:firstLine="480" w:firstLineChars="200"/>
        <w:rPr>
          <w:rFonts w:ascii="宋体" w:hAnsi="宋体" w:cs="宋体"/>
          <w:bCs/>
          <w:sz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5.5.1在评标过程中，评标委员会各成员如对投标文件中含义不明确、同类问题表述不一致或者有明显文字和计算错误的内容，需要投标人进行必要澄清、说明或者纠正，应以书面形式要求投标人在采购代理机构规定的时间内作出必要的澄清、说明或者补正。</w:t>
      </w:r>
    </w:p>
    <w:p w14:paraId="527D8BF0">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 xml:space="preserve">.5.5.2 </w:t>
      </w:r>
      <w:r>
        <w:rPr>
          <w:rFonts w:hint="eastAsia" w:ascii="宋体" w:hAnsi="宋体" w:cs="宋体"/>
          <w:bCs/>
          <w:sz w:val="24"/>
          <w:szCs w:val="24"/>
        </w:rPr>
        <w:t>为有助于对投标文件进行审查、评估和比较，评标委员会及其成员将对认为需要投标人进行询标（答疑）、澄清等时，投标方有责任按照采购人通知的时间进行询标（答疑）和澄清。询标（答疑）和澄清时，投标方代表须做出书面答复并在规定时间内提交澄清文件。</w:t>
      </w:r>
    </w:p>
    <w:p w14:paraId="575719FB">
      <w:pPr>
        <w:autoSpaceDE w:val="0"/>
        <w:autoSpaceDN w:val="0"/>
        <w:adjustRightInd w:val="0"/>
        <w:spacing w:line="360" w:lineRule="auto"/>
        <w:ind w:firstLine="480"/>
        <w:rPr>
          <w:rFonts w:ascii="宋体" w:hAnsi="宋体" w:cs="宋体"/>
          <w:b/>
          <w:bCs/>
          <w:sz w:val="32"/>
          <w:szCs w:val="32"/>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.5.5.3</w:t>
      </w:r>
      <w:r>
        <w:rPr>
          <w:rFonts w:hint="eastAsia" w:ascii="宋体" w:hAnsi="宋体" w:cs="宋体"/>
          <w:sz w:val="24"/>
          <w:lang w:val="zh-CN"/>
        </w:rPr>
        <w:t xml:space="preserve"> 评标委员会在初步评审的基础上，单独（或集体）讨论、分析、综合各种因素后，可决定是否与各投标人再次进行询标（答疑）。</w:t>
      </w:r>
    </w:p>
    <w:p w14:paraId="71E29ED2">
      <w:pPr>
        <w:spacing w:line="360" w:lineRule="auto"/>
        <w:ind w:firstLine="480" w:firstLineChars="200"/>
        <w:rPr>
          <w:rFonts w:ascii="宋体" w:hAnsi="宋体" w:cs="宋体"/>
          <w:bCs/>
          <w:sz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 xml:space="preserve">.5.5.4 </w:t>
      </w:r>
      <w:r>
        <w:rPr>
          <w:rFonts w:hint="eastAsia" w:ascii="宋体" w:hAnsi="宋体" w:cs="宋体"/>
          <w:sz w:val="24"/>
          <w:szCs w:val="24"/>
        </w:rPr>
        <w:t>采购代理机构</w:t>
      </w:r>
      <w:r>
        <w:rPr>
          <w:rFonts w:hint="eastAsia" w:ascii="宋体" w:hAnsi="宋体" w:cs="宋体"/>
          <w:bCs/>
          <w:sz w:val="24"/>
        </w:rPr>
        <w:t>要对投标人的澄清、说明或者补正，</w:t>
      </w:r>
      <w:r>
        <w:rPr>
          <w:rFonts w:hint="eastAsia" w:ascii="宋体" w:hAnsi="宋体" w:cs="宋体"/>
          <w:sz w:val="24"/>
          <w:lang w:val="zh-CN"/>
        </w:rPr>
        <w:t>采用书面形式，</w:t>
      </w:r>
      <w:r>
        <w:rPr>
          <w:rFonts w:hint="eastAsia" w:ascii="宋体" w:hAnsi="宋体" w:cs="宋体"/>
          <w:bCs/>
          <w:sz w:val="24"/>
        </w:rPr>
        <w:t>由</w:t>
      </w:r>
      <w:r>
        <w:rPr>
          <w:rFonts w:hint="eastAsia" w:ascii="宋体" w:hAnsi="宋体" w:cs="宋体"/>
          <w:sz w:val="24"/>
          <w:szCs w:val="24"/>
        </w:rPr>
        <w:t>采购代理机构</w:t>
      </w:r>
      <w:r>
        <w:rPr>
          <w:rFonts w:hint="eastAsia" w:ascii="宋体" w:hAnsi="宋体" w:cs="宋体"/>
          <w:bCs/>
          <w:sz w:val="24"/>
        </w:rPr>
        <w:t>做好书面记录，并由其</w:t>
      </w:r>
      <w:r>
        <w:rPr>
          <w:rFonts w:hint="eastAsia" w:ascii="宋体" w:hAnsi="宋体" w:cs="宋体"/>
          <w:sz w:val="24"/>
          <w:lang w:val="zh-CN"/>
        </w:rPr>
        <w:t>法定代表人或</w:t>
      </w:r>
      <w:r>
        <w:rPr>
          <w:rFonts w:hint="eastAsia" w:ascii="宋体" w:hAnsi="宋体" w:cs="宋体"/>
          <w:bCs/>
          <w:sz w:val="24"/>
        </w:rPr>
        <w:t>授权的代表签字</w:t>
      </w:r>
      <w:r>
        <w:rPr>
          <w:rFonts w:hint="eastAsia" w:ascii="宋体" w:hAnsi="宋体" w:cs="宋体"/>
          <w:bCs/>
          <w:sz w:val="24"/>
          <w:szCs w:val="24"/>
        </w:rPr>
        <w:t>或加盖单位公章</w:t>
      </w:r>
      <w:r>
        <w:rPr>
          <w:rFonts w:hint="eastAsia" w:ascii="宋体" w:hAnsi="宋体" w:cs="宋体"/>
          <w:bCs/>
          <w:sz w:val="24"/>
        </w:rPr>
        <w:t>，其澄清、说明或者补正不得超出投标报价文件的范围或者改变其实质性内容，</w:t>
      </w:r>
      <w:r>
        <w:rPr>
          <w:rFonts w:hint="eastAsia" w:ascii="宋体" w:hAnsi="宋体" w:cs="宋体"/>
          <w:bCs/>
          <w:sz w:val="24"/>
          <w:szCs w:val="24"/>
        </w:rPr>
        <w:t>并作为投标文件的组成部分。</w:t>
      </w:r>
    </w:p>
    <w:p w14:paraId="3548F70E">
      <w:pPr>
        <w:autoSpaceDE w:val="0"/>
        <w:autoSpaceDN w:val="0"/>
        <w:adjustRightInd w:val="0"/>
        <w:spacing w:line="360" w:lineRule="auto"/>
        <w:ind w:firstLine="480"/>
        <w:rPr>
          <w:rFonts w:ascii="宋体" w:hAnsi="宋体" w:cs="宋体"/>
          <w:b/>
          <w:bCs/>
          <w:sz w:val="32"/>
          <w:szCs w:val="32"/>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.5.5.5</w:t>
      </w:r>
      <w:r>
        <w:rPr>
          <w:rFonts w:hint="eastAsia" w:ascii="宋体" w:hAnsi="宋体" w:cs="宋体"/>
          <w:sz w:val="24"/>
          <w:lang w:val="zh-CN"/>
        </w:rPr>
        <w:t xml:space="preserve"> 投标人拒不进行澄清、说明或者补正的，或者不能在</w:t>
      </w:r>
      <w:r>
        <w:rPr>
          <w:rFonts w:hint="eastAsia" w:ascii="宋体" w:hAnsi="宋体" w:cs="宋体"/>
          <w:sz w:val="24"/>
          <w:szCs w:val="24"/>
        </w:rPr>
        <w:t>采购代理机构</w:t>
      </w:r>
      <w:r>
        <w:rPr>
          <w:rFonts w:hint="eastAsia" w:ascii="宋体" w:hAnsi="宋体" w:cs="宋体"/>
          <w:sz w:val="24"/>
          <w:lang w:val="zh-CN"/>
        </w:rPr>
        <w:t>规定时间内做出书面澄清、说明或者补正的，评标委员会将取消其继续参加评标的资格。</w:t>
      </w:r>
    </w:p>
    <w:p w14:paraId="206C4B75">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.5.5.6</w:t>
      </w:r>
      <w:r>
        <w:rPr>
          <w:rFonts w:hint="eastAsia" w:ascii="宋体" w:hAnsi="宋体" w:cs="宋体"/>
          <w:sz w:val="24"/>
          <w:lang w:val="zh-CN"/>
        </w:rPr>
        <w:t xml:space="preserve"> 参加投标的投标人应当对评标（审）的承诺和最终报价以书面形式确认，并由其法定代表人或其授权人签署或加盖公章。</w:t>
      </w:r>
    </w:p>
    <w:p w14:paraId="7E49800C">
      <w:pPr>
        <w:autoSpaceDE w:val="0"/>
        <w:autoSpaceDN w:val="0"/>
        <w:adjustRightInd w:val="0"/>
        <w:spacing w:line="360" w:lineRule="auto"/>
        <w:ind w:firstLine="480"/>
        <w:rPr>
          <w:rFonts w:ascii="宋体" w:hAnsi="宋体" w:cs="宋体"/>
          <w:b/>
          <w:sz w:val="24"/>
          <w:lang w:val="zh-CN"/>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.5.6 符合性审查</w:t>
      </w:r>
    </w:p>
    <w:p w14:paraId="0BAF358A">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.5.6.1 评标委员会</w:t>
      </w:r>
      <w:r>
        <w:rPr>
          <w:rFonts w:hint="eastAsia" w:ascii="宋体" w:hAnsi="宋体" w:cs="宋体"/>
          <w:sz w:val="24"/>
          <w:lang w:val="zh-CN"/>
        </w:rPr>
        <w:t>应依据招标文件的规定，对投标人的报价文件的有效性、完整性和对招标文件的响应程度进行审查，以确定是否对招标文件的要求做出实质性响应，对招标文件的要求未做出实质性响应的投标人，不得进入具体评标程序。</w:t>
      </w:r>
    </w:p>
    <w:p w14:paraId="51E257A2">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.5.6.2 评标委员会</w:t>
      </w:r>
      <w:r>
        <w:rPr>
          <w:rFonts w:hint="eastAsia" w:ascii="宋体" w:hAnsi="宋体" w:cs="宋体"/>
          <w:bCs/>
          <w:sz w:val="24"/>
          <w:szCs w:val="24"/>
        </w:rPr>
        <w:t>应当根据招标文件，审查并逐项列出每一个投标文件的全部投标偏差。投标偏差分为重大偏差和细微偏差。</w:t>
      </w:r>
    </w:p>
    <w:p w14:paraId="1BE930D3">
      <w:pPr>
        <w:spacing w:line="360" w:lineRule="auto"/>
        <w:ind w:firstLine="480" w:firstLineChars="200"/>
        <w:rPr>
          <w:rFonts w:ascii="宋体" w:hAnsi="宋体" w:cs="宋体"/>
          <w:bCs/>
          <w:sz w:val="24"/>
          <w:szCs w:val="24"/>
        </w:rPr>
      </w:pPr>
      <w:r>
        <w:rPr>
          <w:rFonts w:hint="eastAsia" w:ascii="宋体" w:hAnsi="宋体" w:cs="宋体"/>
          <w:bCs/>
          <w:sz w:val="24"/>
          <w:szCs w:val="24"/>
        </w:rPr>
        <w:t>1、细微偏差是指投标文件实质上响应了招标文件要求，但在个别地方存在漏项或者提供了不完整的技术信息和数据等情况，并且补正这些遗漏或不完整不会对其他投标人造成不公平的结果。细微偏差不影响投标文件的有效性。</w:t>
      </w:r>
    </w:p>
    <w:p w14:paraId="447F5A7D">
      <w:pPr>
        <w:spacing w:line="360" w:lineRule="auto"/>
        <w:ind w:firstLine="480" w:firstLineChars="200"/>
        <w:rPr>
          <w:rFonts w:ascii="宋体" w:hAnsi="宋体" w:cs="宋体"/>
          <w:bCs/>
          <w:sz w:val="24"/>
          <w:szCs w:val="24"/>
        </w:rPr>
      </w:pPr>
      <w:r>
        <w:rPr>
          <w:rFonts w:hint="eastAsia" w:ascii="宋体" w:hAnsi="宋体" w:cs="宋体"/>
          <w:bCs/>
          <w:sz w:val="24"/>
          <w:szCs w:val="24"/>
        </w:rPr>
        <w:t>2、应当要求存在细小偏差的投标人在评标结束前以书面形式予以补正。拒绝补正的，在综合评审时可以对细微偏差作不利于该投标人的量化。</w:t>
      </w:r>
    </w:p>
    <w:p w14:paraId="67B2A48C">
      <w:pPr>
        <w:spacing w:line="360" w:lineRule="auto"/>
        <w:ind w:firstLine="480" w:firstLineChars="200"/>
        <w:rPr>
          <w:rFonts w:ascii="宋体" w:hAnsi="宋体" w:cs="宋体"/>
          <w:bCs/>
          <w:sz w:val="24"/>
          <w:szCs w:val="24"/>
        </w:rPr>
      </w:pPr>
      <w:r>
        <w:rPr>
          <w:rFonts w:hint="eastAsia" w:ascii="宋体" w:hAnsi="宋体" w:cs="宋体"/>
          <w:bCs/>
          <w:sz w:val="24"/>
        </w:rPr>
        <w:t>3、</w:t>
      </w:r>
      <w:r>
        <w:rPr>
          <w:rFonts w:hint="eastAsia" w:ascii="宋体" w:hAnsi="宋体" w:cs="宋体"/>
          <w:bCs/>
          <w:sz w:val="24"/>
          <w:szCs w:val="24"/>
        </w:rPr>
        <w:t>重大偏离是指影响到招标文件规定的服务范围和质量，或限制了采购人的权力和义务的规定，而纠正这些偏离将影响到其他提交实质性响应的投标方的公平竞争地位。主要表现有投标文件没有按照招标文件要求提供投标保证金的，投标文件没有投标人授权代表签字和加盖公章的，投标文件中附有采购人不能接受的条件的，和不符合招标文件中规定的其他实质性要求的等。</w:t>
      </w:r>
    </w:p>
    <w:p w14:paraId="56F745D7">
      <w:pPr>
        <w:spacing w:line="360" w:lineRule="auto"/>
        <w:ind w:firstLine="480" w:firstLineChars="200"/>
        <w:rPr>
          <w:rFonts w:ascii="宋体" w:hAnsi="宋体" w:cs="宋体"/>
          <w:bCs/>
          <w:sz w:val="24"/>
          <w:szCs w:val="24"/>
        </w:rPr>
      </w:pPr>
      <w:r>
        <w:rPr>
          <w:rFonts w:hint="eastAsia" w:ascii="宋体" w:hAnsi="宋体" w:cs="宋体"/>
          <w:bCs/>
          <w:sz w:val="24"/>
        </w:rPr>
        <w:t>4、发现有重大偏差时，评标委员会及其成员应按招标文件中的规定，可以取消其投标的权利。</w:t>
      </w:r>
    </w:p>
    <w:p w14:paraId="1A71E04D">
      <w:pPr>
        <w:spacing w:line="360" w:lineRule="auto"/>
        <w:ind w:firstLine="480" w:firstLineChars="200"/>
        <w:rPr>
          <w:rFonts w:ascii="宋体" w:hAnsi="宋体" w:cs="宋体"/>
          <w:b/>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rPr>
        <w:t xml:space="preserve">.5.6.3 </w:t>
      </w:r>
      <w:r>
        <w:rPr>
          <w:rFonts w:hint="eastAsia" w:ascii="宋体" w:hAnsi="宋体" w:cs="宋体"/>
          <w:bCs/>
          <w:sz w:val="24"/>
          <w:lang w:val="zh-CN"/>
        </w:rPr>
        <w:t>进行符合性审查时，评标委员会</w:t>
      </w:r>
      <w:r>
        <w:rPr>
          <w:rFonts w:hint="eastAsia" w:ascii="宋体" w:hAnsi="宋体" w:cs="宋体"/>
          <w:bCs/>
          <w:sz w:val="24"/>
          <w:szCs w:val="24"/>
        </w:rPr>
        <w:t>应当审查每一个投标文件是否对招标文件提出的所有实质性要求和条件作出响应。未能实质上响应的，视情况按照招标文件的规定，应不得进入综合评审程序。主要有下列情况：</w:t>
      </w:r>
    </w:p>
    <w:p w14:paraId="70E2A274">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rPr>
        <w:t>1</w:t>
      </w:r>
      <w:r>
        <w:rPr>
          <w:rFonts w:hint="eastAsia" w:ascii="宋体" w:hAnsi="宋体" w:cs="宋体"/>
          <w:sz w:val="24"/>
          <w:lang w:val="zh-CN"/>
        </w:rPr>
        <w:t>、投标文件载明的采购项目完成期限超过招标文件规定期限的；</w:t>
      </w:r>
    </w:p>
    <w:p w14:paraId="725BFE6E">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rPr>
        <w:t>2</w:t>
      </w:r>
      <w:r>
        <w:rPr>
          <w:rFonts w:hint="eastAsia" w:ascii="宋体" w:hAnsi="宋体" w:cs="宋体"/>
          <w:sz w:val="24"/>
          <w:lang w:val="zh-CN"/>
        </w:rPr>
        <w:t>、投标文件明显不符合招标文件规定的产品技术规格、技术标准以及商务条款要求的；</w:t>
      </w:r>
    </w:p>
    <w:p w14:paraId="2E53FDA0">
      <w:pPr>
        <w:autoSpaceDE w:val="0"/>
        <w:autoSpaceDN w:val="0"/>
        <w:adjustRightInd w:val="0"/>
        <w:spacing w:line="360" w:lineRule="auto"/>
        <w:ind w:firstLine="480"/>
        <w:rPr>
          <w:rFonts w:ascii="宋体" w:hAnsi="宋体" w:cs="宋体"/>
          <w:b/>
          <w:sz w:val="24"/>
          <w:lang w:val="zh-CN"/>
        </w:rPr>
      </w:pPr>
      <w:r>
        <w:rPr>
          <w:rFonts w:hint="eastAsia" w:ascii="宋体" w:hAnsi="宋体" w:cs="宋体"/>
          <w:sz w:val="24"/>
        </w:rPr>
        <w:t>3</w:t>
      </w:r>
      <w:r>
        <w:rPr>
          <w:rFonts w:hint="eastAsia" w:ascii="宋体" w:hAnsi="宋体" w:cs="宋体"/>
          <w:sz w:val="24"/>
          <w:lang w:val="zh-CN"/>
        </w:rPr>
        <w:t>、投标文件附有采购人和</w:t>
      </w:r>
      <w:r>
        <w:rPr>
          <w:rFonts w:hint="eastAsia" w:ascii="宋体" w:hAnsi="宋体" w:cs="宋体"/>
          <w:sz w:val="24"/>
          <w:szCs w:val="24"/>
        </w:rPr>
        <w:t>采购代理机构</w:t>
      </w:r>
      <w:r>
        <w:rPr>
          <w:rFonts w:hint="eastAsia" w:ascii="宋体" w:hAnsi="宋体" w:cs="宋体"/>
          <w:sz w:val="24"/>
          <w:lang w:val="zh-CN"/>
        </w:rPr>
        <w:t>不能接受的条件的；</w:t>
      </w:r>
    </w:p>
    <w:p w14:paraId="47DB04ED">
      <w:pPr>
        <w:autoSpaceDE w:val="0"/>
        <w:autoSpaceDN w:val="0"/>
        <w:adjustRightInd w:val="0"/>
        <w:spacing w:line="360" w:lineRule="auto"/>
        <w:ind w:firstLine="480"/>
        <w:rPr>
          <w:rFonts w:ascii="宋体" w:hAnsi="宋体" w:cs="宋体"/>
          <w:bCs/>
          <w:sz w:val="24"/>
          <w:szCs w:val="24"/>
        </w:rPr>
      </w:pPr>
      <w:r>
        <w:rPr>
          <w:rFonts w:hint="eastAsia" w:ascii="宋体" w:hAnsi="宋体" w:cs="宋体"/>
          <w:bCs/>
          <w:sz w:val="24"/>
          <w:szCs w:val="24"/>
        </w:rPr>
        <w:t>4、在评标过程中，发现投标人的最终报价明显低于其他投标报价，使得其报价可能低于其个别成本的，应当要求该投标人做出书面说明并提供相关证明材料。投标人不能合理说明或者不能提供相关证明材料的，</w:t>
      </w:r>
      <w:r>
        <w:rPr>
          <w:rFonts w:hint="eastAsia" w:ascii="宋体" w:hAnsi="宋体" w:cs="宋体"/>
          <w:bCs/>
          <w:sz w:val="24"/>
        </w:rPr>
        <w:t>评标委员会</w:t>
      </w:r>
      <w:r>
        <w:rPr>
          <w:rFonts w:hint="eastAsia" w:ascii="宋体" w:hAnsi="宋体" w:cs="宋体"/>
          <w:bCs/>
          <w:sz w:val="24"/>
          <w:szCs w:val="24"/>
        </w:rPr>
        <w:t>可以认定该投标人以低于成本报价竞标的；</w:t>
      </w:r>
    </w:p>
    <w:p w14:paraId="0DA3A701">
      <w:pPr>
        <w:autoSpaceDE w:val="0"/>
        <w:autoSpaceDN w:val="0"/>
        <w:adjustRightInd w:val="0"/>
        <w:spacing w:line="360" w:lineRule="auto"/>
        <w:ind w:firstLine="480"/>
        <w:rPr>
          <w:rFonts w:ascii="宋体" w:hAnsi="宋体" w:cs="宋体"/>
          <w:bCs/>
          <w:sz w:val="24"/>
          <w:szCs w:val="24"/>
        </w:rPr>
      </w:pPr>
      <w:r>
        <w:rPr>
          <w:rFonts w:hint="eastAsia" w:ascii="宋体" w:hAnsi="宋体" w:cs="宋体"/>
          <w:bCs/>
          <w:sz w:val="24"/>
          <w:szCs w:val="24"/>
        </w:rPr>
        <w:t>5、</w:t>
      </w:r>
      <w:r>
        <w:rPr>
          <w:rFonts w:hint="eastAsia" w:ascii="宋体" w:hAnsi="宋体" w:cs="宋体"/>
          <w:sz w:val="24"/>
          <w:szCs w:val="24"/>
        </w:rPr>
        <w:t>采购代理机构</w:t>
      </w:r>
      <w:r>
        <w:rPr>
          <w:rFonts w:hint="eastAsia" w:ascii="宋体" w:hAnsi="宋体" w:cs="宋体"/>
          <w:bCs/>
          <w:sz w:val="24"/>
          <w:szCs w:val="24"/>
        </w:rPr>
        <w:t>不接受不符合国家有关部门相关规定的投标报价或优惠方案。最终报价不接受超过采购预算的报价，</w:t>
      </w:r>
      <w:r>
        <w:rPr>
          <w:rFonts w:hint="eastAsia" w:ascii="宋体" w:hAnsi="宋体" w:cs="宋体"/>
          <w:bCs/>
          <w:sz w:val="24"/>
          <w:szCs w:val="24"/>
          <w:lang w:eastAsia="zh-CN"/>
        </w:rPr>
        <w:t>投标人</w:t>
      </w:r>
      <w:r>
        <w:rPr>
          <w:rFonts w:hint="eastAsia" w:ascii="宋体" w:hAnsi="宋体" w:cs="宋体"/>
          <w:bCs/>
          <w:sz w:val="24"/>
          <w:szCs w:val="24"/>
        </w:rPr>
        <w:t>的最终报价超过采购预算，且采购人不能支付的；</w:t>
      </w:r>
    </w:p>
    <w:p w14:paraId="00962F19">
      <w:pPr>
        <w:autoSpaceDE w:val="0"/>
        <w:autoSpaceDN w:val="0"/>
        <w:adjustRightInd w:val="0"/>
        <w:spacing w:line="360" w:lineRule="auto"/>
        <w:ind w:firstLine="480"/>
        <w:rPr>
          <w:rFonts w:ascii="宋体" w:hAnsi="宋体" w:cs="宋体"/>
          <w:b/>
          <w:sz w:val="24"/>
          <w:lang w:val="zh-CN"/>
        </w:rPr>
      </w:pPr>
      <w:r>
        <w:rPr>
          <w:rFonts w:hint="eastAsia" w:ascii="宋体" w:hAnsi="宋体" w:cs="宋体"/>
          <w:bCs/>
          <w:sz w:val="24"/>
          <w:szCs w:val="24"/>
        </w:rPr>
        <w:t>6、在评标过程中，发现投标人以他人名义投标、串通投标、以行贿手段谋取成交或者以其他弄虚作假方式投标的；</w:t>
      </w:r>
    </w:p>
    <w:p w14:paraId="1DCE054D">
      <w:pPr>
        <w:autoSpaceDE w:val="0"/>
        <w:autoSpaceDN w:val="0"/>
        <w:adjustRightInd w:val="0"/>
        <w:spacing w:line="360" w:lineRule="auto"/>
        <w:ind w:firstLine="480"/>
        <w:rPr>
          <w:rFonts w:ascii="宋体" w:hAnsi="宋体" w:cs="宋体"/>
          <w:b/>
          <w:sz w:val="24"/>
          <w:lang w:val="zh-CN"/>
        </w:rPr>
      </w:pPr>
      <w:r>
        <w:rPr>
          <w:rFonts w:hint="eastAsia" w:ascii="宋体" w:hAnsi="宋体" w:cs="宋体"/>
          <w:bCs/>
          <w:sz w:val="24"/>
          <w:szCs w:val="24"/>
        </w:rPr>
        <w:t>7、投标人的资格条件不符合国家有关规定和招标文件要求的，或者拒不按照要求对招标文件进行澄清、说明或补正的；</w:t>
      </w:r>
    </w:p>
    <w:p w14:paraId="12C4E612">
      <w:pPr>
        <w:autoSpaceDE w:val="0"/>
        <w:autoSpaceDN w:val="0"/>
        <w:adjustRightInd w:val="0"/>
        <w:spacing w:line="360" w:lineRule="auto"/>
        <w:ind w:firstLine="480"/>
        <w:rPr>
          <w:rFonts w:ascii="宋体" w:hAnsi="宋体" w:cs="宋体"/>
          <w:bCs/>
          <w:sz w:val="24"/>
          <w:szCs w:val="24"/>
        </w:rPr>
      </w:pPr>
      <w:r>
        <w:rPr>
          <w:rFonts w:hint="eastAsia" w:ascii="宋体" w:hAnsi="宋体" w:cs="宋体"/>
          <w:bCs/>
          <w:sz w:val="24"/>
          <w:szCs w:val="24"/>
        </w:rPr>
        <w:t>8、投标人误导、干扰采购人的评标活动的；</w:t>
      </w:r>
    </w:p>
    <w:p w14:paraId="37EC1773">
      <w:pPr>
        <w:autoSpaceDE w:val="0"/>
        <w:autoSpaceDN w:val="0"/>
        <w:adjustRightInd w:val="0"/>
        <w:spacing w:line="360" w:lineRule="auto"/>
        <w:ind w:firstLine="480"/>
        <w:rPr>
          <w:rFonts w:ascii="宋体" w:hAnsi="宋体" w:cs="宋体"/>
          <w:bCs/>
          <w:sz w:val="24"/>
          <w:szCs w:val="24"/>
        </w:rPr>
      </w:pPr>
      <w:r>
        <w:rPr>
          <w:rFonts w:hint="eastAsia" w:ascii="宋体" w:hAnsi="宋体" w:cs="宋体"/>
          <w:bCs/>
          <w:sz w:val="24"/>
          <w:szCs w:val="24"/>
        </w:rPr>
        <w:t>9、投标文件不符合招标文件规定的其他实质性要求的。</w:t>
      </w:r>
    </w:p>
    <w:p w14:paraId="33A2F351">
      <w:pPr>
        <w:adjustRightInd w:val="0"/>
        <w:snapToGrid w:val="0"/>
        <w:spacing w:line="360" w:lineRule="auto"/>
        <w:ind w:firstLine="482" w:firstLineChars="200"/>
        <w:rPr>
          <w:rFonts w:ascii="宋体" w:hAnsi="宋体"/>
          <w:b/>
          <w:kern w:val="0"/>
          <w:sz w:val="24"/>
        </w:rPr>
      </w:pPr>
      <w:r>
        <w:rPr>
          <w:rFonts w:hint="eastAsia" w:ascii="宋体" w:hAnsi="宋体"/>
          <w:b/>
          <w:kern w:val="0"/>
          <w:sz w:val="24"/>
        </w:rPr>
        <w:t>21.5.6.4有下列情形之一的，视为投标人串通投标，其投标无效</w:t>
      </w:r>
      <w:r>
        <w:rPr>
          <w:rFonts w:ascii="宋体" w:hAnsi="宋体"/>
          <w:b/>
          <w:kern w:val="0"/>
          <w:sz w:val="24"/>
        </w:rPr>
        <w:t>,并对投标人依照《政府采购法》第七十七条的规定追究法律责任：</w:t>
      </w:r>
    </w:p>
    <w:p w14:paraId="6DF60E30">
      <w:pPr>
        <w:adjustRightInd w:val="0"/>
        <w:snapToGrid w:val="0"/>
        <w:spacing w:line="360" w:lineRule="auto"/>
        <w:ind w:firstLine="480" w:firstLineChars="200"/>
        <w:rPr>
          <w:rFonts w:ascii="宋体" w:hAnsi="宋体"/>
          <w:kern w:val="0"/>
          <w:sz w:val="24"/>
        </w:rPr>
      </w:pPr>
      <w:r>
        <w:rPr>
          <w:rFonts w:ascii="宋体" w:hAnsi="宋体"/>
          <w:kern w:val="0"/>
          <w:sz w:val="24"/>
        </w:rPr>
        <w:t xml:space="preserve">1 </w:t>
      </w:r>
      <w:r>
        <w:rPr>
          <w:rFonts w:hint="eastAsia" w:ascii="宋体" w:hAnsi="宋体"/>
          <w:kern w:val="0"/>
          <w:sz w:val="24"/>
          <w:lang w:eastAsia="zh-CN"/>
        </w:rPr>
        <w:t>、</w:t>
      </w:r>
      <w:r>
        <w:rPr>
          <w:rFonts w:hint="eastAsia" w:ascii="宋体" w:hAnsi="宋体"/>
          <w:kern w:val="0"/>
          <w:sz w:val="24"/>
        </w:rPr>
        <w:t>不同投标人的投标文件由同一单位或者个人编制；</w:t>
      </w:r>
    </w:p>
    <w:p w14:paraId="13E8E77A">
      <w:pPr>
        <w:adjustRightInd w:val="0"/>
        <w:snapToGrid w:val="0"/>
        <w:spacing w:line="360" w:lineRule="auto"/>
        <w:ind w:firstLine="480" w:firstLineChars="200"/>
        <w:rPr>
          <w:rFonts w:ascii="宋体" w:hAnsi="宋体"/>
          <w:kern w:val="0"/>
          <w:sz w:val="24"/>
        </w:rPr>
      </w:pPr>
      <w:r>
        <w:rPr>
          <w:rFonts w:ascii="宋体" w:hAnsi="宋体"/>
          <w:kern w:val="0"/>
          <w:sz w:val="24"/>
        </w:rPr>
        <w:t xml:space="preserve">2 </w:t>
      </w:r>
      <w:r>
        <w:rPr>
          <w:rFonts w:hint="eastAsia" w:ascii="宋体" w:hAnsi="宋体"/>
          <w:kern w:val="0"/>
          <w:sz w:val="24"/>
          <w:lang w:eastAsia="zh-CN"/>
        </w:rPr>
        <w:t>、</w:t>
      </w:r>
      <w:r>
        <w:rPr>
          <w:rFonts w:hint="eastAsia" w:ascii="宋体" w:hAnsi="宋体"/>
          <w:kern w:val="0"/>
          <w:sz w:val="24"/>
        </w:rPr>
        <w:t>不同投标人委托同一单位或者个人办理投标事宜；</w:t>
      </w:r>
    </w:p>
    <w:p w14:paraId="2D057524">
      <w:pPr>
        <w:adjustRightInd w:val="0"/>
        <w:snapToGrid w:val="0"/>
        <w:spacing w:line="360" w:lineRule="auto"/>
        <w:ind w:firstLine="480" w:firstLineChars="200"/>
        <w:rPr>
          <w:rFonts w:ascii="宋体" w:hAnsi="宋体"/>
          <w:kern w:val="0"/>
          <w:sz w:val="24"/>
        </w:rPr>
      </w:pPr>
      <w:r>
        <w:rPr>
          <w:rFonts w:ascii="宋体" w:hAnsi="宋体"/>
          <w:kern w:val="0"/>
          <w:sz w:val="24"/>
        </w:rPr>
        <w:t>3</w:t>
      </w:r>
      <w:r>
        <w:rPr>
          <w:rFonts w:hint="eastAsia" w:ascii="宋体" w:hAnsi="宋体"/>
          <w:kern w:val="0"/>
          <w:sz w:val="24"/>
          <w:lang w:eastAsia="zh-CN"/>
        </w:rPr>
        <w:t>、</w:t>
      </w:r>
      <w:r>
        <w:rPr>
          <w:rFonts w:ascii="宋体" w:hAnsi="宋体"/>
          <w:kern w:val="0"/>
          <w:sz w:val="24"/>
        </w:rPr>
        <w:t xml:space="preserve"> </w:t>
      </w:r>
      <w:r>
        <w:rPr>
          <w:rFonts w:hint="eastAsia" w:ascii="宋体" w:hAnsi="宋体"/>
          <w:kern w:val="0"/>
          <w:sz w:val="24"/>
        </w:rPr>
        <w:t>不同投标人的投标文件载明的项目管理成员或者联系人员为同一人；</w:t>
      </w:r>
    </w:p>
    <w:p w14:paraId="2A956AD9">
      <w:pPr>
        <w:adjustRightInd w:val="0"/>
        <w:snapToGrid w:val="0"/>
        <w:spacing w:line="360" w:lineRule="auto"/>
        <w:ind w:firstLine="480" w:firstLineChars="200"/>
        <w:rPr>
          <w:rFonts w:ascii="宋体" w:hAnsi="宋体"/>
          <w:kern w:val="0"/>
          <w:sz w:val="24"/>
        </w:rPr>
      </w:pPr>
      <w:r>
        <w:rPr>
          <w:rFonts w:ascii="宋体" w:hAnsi="宋体"/>
          <w:kern w:val="0"/>
          <w:sz w:val="24"/>
        </w:rPr>
        <w:t>4</w:t>
      </w:r>
      <w:r>
        <w:rPr>
          <w:rFonts w:hint="eastAsia" w:ascii="宋体" w:hAnsi="宋体"/>
          <w:kern w:val="0"/>
          <w:sz w:val="24"/>
          <w:lang w:eastAsia="zh-CN"/>
        </w:rPr>
        <w:t>、</w:t>
      </w:r>
      <w:r>
        <w:rPr>
          <w:rFonts w:hint="eastAsia" w:ascii="宋体" w:hAnsi="宋体"/>
          <w:kern w:val="0"/>
          <w:sz w:val="24"/>
        </w:rPr>
        <w:t>不同投标人的投标文件异常一致或者投标报价呈规律性差异；</w:t>
      </w:r>
    </w:p>
    <w:p w14:paraId="3867801D">
      <w:pPr>
        <w:adjustRightInd w:val="0"/>
        <w:snapToGrid w:val="0"/>
        <w:spacing w:line="360" w:lineRule="auto"/>
        <w:ind w:firstLine="480" w:firstLineChars="200"/>
        <w:rPr>
          <w:rFonts w:ascii="宋体" w:hAnsi="宋体"/>
          <w:kern w:val="0"/>
          <w:sz w:val="24"/>
        </w:rPr>
      </w:pPr>
      <w:r>
        <w:rPr>
          <w:rFonts w:ascii="宋体" w:hAnsi="宋体"/>
          <w:kern w:val="0"/>
          <w:sz w:val="24"/>
        </w:rPr>
        <w:t>5</w:t>
      </w:r>
      <w:r>
        <w:rPr>
          <w:rFonts w:hint="eastAsia" w:ascii="宋体" w:hAnsi="宋体"/>
          <w:kern w:val="0"/>
          <w:sz w:val="24"/>
          <w:lang w:eastAsia="zh-CN"/>
        </w:rPr>
        <w:t>、</w:t>
      </w:r>
      <w:r>
        <w:rPr>
          <w:rFonts w:ascii="宋体" w:hAnsi="宋体"/>
          <w:kern w:val="0"/>
          <w:sz w:val="24"/>
        </w:rPr>
        <w:t xml:space="preserve"> </w:t>
      </w:r>
      <w:r>
        <w:rPr>
          <w:rFonts w:hint="eastAsia" w:ascii="宋体" w:hAnsi="宋体"/>
          <w:kern w:val="0"/>
          <w:sz w:val="24"/>
        </w:rPr>
        <w:t>不同投标人的投标文件相互混装；</w:t>
      </w:r>
    </w:p>
    <w:p w14:paraId="087A6782">
      <w:pPr>
        <w:adjustRightInd w:val="0"/>
        <w:snapToGrid w:val="0"/>
        <w:spacing w:line="360" w:lineRule="auto"/>
        <w:ind w:firstLine="480" w:firstLineChars="200"/>
        <w:rPr>
          <w:rFonts w:ascii="宋体" w:hAnsi="宋体"/>
          <w:kern w:val="0"/>
          <w:sz w:val="24"/>
        </w:rPr>
      </w:pPr>
      <w:r>
        <w:rPr>
          <w:rFonts w:ascii="宋体" w:hAnsi="宋体"/>
          <w:kern w:val="0"/>
          <w:sz w:val="24"/>
        </w:rPr>
        <w:t>6</w:t>
      </w:r>
      <w:r>
        <w:rPr>
          <w:rFonts w:hint="eastAsia" w:ascii="宋体" w:hAnsi="宋体"/>
          <w:kern w:val="0"/>
          <w:sz w:val="24"/>
          <w:lang w:eastAsia="zh-CN"/>
        </w:rPr>
        <w:t>、</w:t>
      </w:r>
      <w:r>
        <w:rPr>
          <w:rFonts w:ascii="宋体" w:hAnsi="宋体"/>
          <w:kern w:val="0"/>
          <w:sz w:val="24"/>
        </w:rPr>
        <w:t xml:space="preserve"> </w:t>
      </w:r>
      <w:r>
        <w:rPr>
          <w:rFonts w:hint="eastAsia" w:ascii="宋体" w:hAnsi="宋体"/>
          <w:kern w:val="0"/>
          <w:sz w:val="24"/>
        </w:rPr>
        <w:t>不同投标人的投标保证金从同一单位或者个人的账户转出。</w:t>
      </w:r>
    </w:p>
    <w:p w14:paraId="3F271BBB">
      <w:pPr>
        <w:pStyle w:val="7"/>
        <w:jc w:val="center"/>
        <w:rPr>
          <w:rFonts w:ascii="宋体" w:hAnsi="宋体"/>
          <w:b/>
          <w:bCs/>
          <w:sz w:val="28"/>
          <w:szCs w:val="28"/>
        </w:rPr>
      </w:pPr>
    </w:p>
    <w:p w14:paraId="32C80627">
      <w:pPr>
        <w:pStyle w:val="7"/>
        <w:jc w:val="center"/>
        <w:rPr>
          <w:rFonts w:hint="eastAsia" w:ascii="宋体" w:hAnsi="宋体"/>
          <w:b/>
          <w:bCs/>
          <w:sz w:val="28"/>
          <w:szCs w:val="28"/>
        </w:rPr>
      </w:pPr>
    </w:p>
    <w:p w14:paraId="574264BA">
      <w:pPr>
        <w:rPr>
          <w:rFonts w:hint="eastAsia" w:ascii="宋体" w:hAnsi="宋体"/>
          <w:b/>
          <w:bCs/>
          <w:sz w:val="28"/>
          <w:szCs w:val="28"/>
        </w:rPr>
      </w:pPr>
      <w:r>
        <w:rPr>
          <w:rFonts w:hint="eastAsia" w:ascii="宋体" w:hAnsi="宋体"/>
          <w:b/>
          <w:bCs/>
          <w:sz w:val="28"/>
          <w:szCs w:val="28"/>
        </w:rPr>
        <w:br w:type="page"/>
      </w:r>
    </w:p>
    <w:p w14:paraId="2B02BC30">
      <w:pPr>
        <w:pStyle w:val="7"/>
        <w:jc w:val="center"/>
        <w:rPr>
          <w:rFonts w:ascii="宋体" w:hAnsi="宋体"/>
          <w:b/>
          <w:bCs/>
          <w:sz w:val="28"/>
          <w:szCs w:val="28"/>
        </w:rPr>
      </w:pPr>
      <w:r>
        <w:rPr>
          <w:rFonts w:hint="eastAsia" w:ascii="宋体" w:hAnsi="宋体"/>
          <w:b/>
          <w:bCs/>
          <w:sz w:val="28"/>
          <w:szCs w:val="28"/>
        </w:rPr>
        <w:t>资格审查一览表</w:t>
      </w:r>
    </w:p>
    <w:tbl>
      <w:tblPr>
        <w:tblStyle w:val="22"/>
        <w:tblW w:w="9334"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689"/>
        <w:gridCol w:w="8645"/>
      </w:tblGrid>
      <w:tr w14:paraId="05E9FE2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8" w:hRule="atLeast"/>
          <w:jc w:val="center"/>
        </w:trPr>
        <w:tc>
          <w:tcPr>
            <w:tcW w:w="689" w:type="dxa"/>
            <w:tcBorders>
              <w:top w:val="single" w:color="000000" w:sz="6" w:space="0"/>
              <w:bottom w:val="single" w:color="000000" w:sz="6" w:space="0"/>
              <w:right w:val="single" w:color="000000" w:sz="6" w:space="0"/>
            </w:tcBorders>
            <w:shd w:val="clear" w:color="auto" w:fill="EDEBE0"/>
          </w:tcPr>
          <w:p w14:paraId="1EAECA1D">
            <w:pPr>
              <w:pStyle w:val="33"/>
              <w:keepNext w:val="0"/>
              <w:keepLines w:val="0"/>
              <w:suppressLineNumbers w:val="0"/>
              <w:spacing w:before="107" w:beforeAutospacing="0" w:after="0" w:afterAutospacing="0"/>
              <w:ind w:left="82" w:right="68"/>
              <w:jc w:val="center"/>
              <w:rPr>
                <w:rFonts w:hint="default"/>
                <w:b/>
                <w:sz w:val="24"/>
                <w:szCs w:val="22"/>
              </w:rPr>
            </w:pPr>
            <w:r>
              <w:rPr>
                <w:rFonts w:hint="default"/>
                <w:b/>
                <w:sz w:val="24"/>
                <w:szCs w:val="22"/>
              </w:rPr>
              <w:t>序号</w:t>
            </w:r>
          </w:p>
        </w:tc>
        <w:tc>
          <w:tcPr>
            <w:tcW w:w="8645" w:type="dxa"/>
            <w:tcBorders>
              <w:top w:val="single" w:color="000000" w:sz="6" w:space="0"/>
              <w:left w:val="single" w:color="000000" w:sz="6" w:space="0"/>
              <w:bottom w:val="single" w:color="000000" w:sz="6" w:space="0"/>
              <w:right w:val="single" w:color="000000" w:sz="6" w:space="0"/>
            </w:tcBorders>
            <w:shd w:val="clear" w:color="auto" w:fill="EDEBE0"/>
          </w:tcPr>
          <w:p w14:paraId="2026F6E8">
            <w:pPr>
              <w:pStyle w:val="33"/>
              <w:keepNext w:val="0"/>
              <w:keepLines w:val="0"/>
              <w:suppressLineNumbers w:val="0"/>
              <w:spacing w:before="107" w:beforeAutospacing="0" w:after="0" w:afterAutospacing="0"/>
              <w:ind w:left="1957" w:right="1925"/>
              <w:jc w:val="center"/>
              <w:rPr>
                <w:rFonts w:hint="default"/>
                <w:b/>
                <w:sz w:val="24"/>
                <w:szCs w:val="22"/>
              </w:rPr>
            </w:pPr>
            <w:r>
              <w:rPr>
                <w:rFonts w:hint="eastAsia"/>
                <w:b/>
                <w:sz w:val="24"/>
                <w:szCs w:val="22"/>
              </w:rPr>
              <w:t>招标</w:t>
            </w:r>
            <w:r>
              <w:rPr>
                <w:rFonts w:hint="default"/>
                <w:b/>
                <w:sz w:val="24"/>
                <w:szCs w:val="22"/>
              </w:rPr>
              <w:t>文件要求</w:t>
            </w:r>
          </w:p>
        </w:tc>
      </w:tr>
      <w:tr w14:paraId="4CA8500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46" w:hRule="atLeast"/>
          <w:jc w:val="center"/>
        </w:trPr>
        <w:tc>
          <w:tcPr>
            <w:tcW w:w="689" w:type="dxa"/>
            <w:tcBorders>
              <w:top w:val="single" w:color="000000" w:sz="6" w:space="0"/>
              <w:bottom w:val="single" w:color="000000" w:sz="6" w:space="0"/>
              <w:right w:val="single" w:color="000000" w:sz="6" w:space="0"/>
            </w:tcBorders>
            <w:vAlign w:val="center"/>
          </w:tcPr>
          <w:p w14:paraId="14B2134B">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1</w:t>
            </w:r>
          </w:p>
        </w:tc>
        <w:tc>
          <w:tcPr>
            <w:tcW w:w="8645" w:type="dxa"/>
            <w:tcBorders>
              <w:top w:val="single" w:color="000000" w:sz="6" w:space="0"/>
              <w:left w:val="single" w:color="000000" w:sz="6" w:space="0"/>
              <w:bottom w:val="single" w:color="000000" w:sz="6" w:space="0"/>
              <w:right w:val="single" w:color="000000" w:sz="6" w:space="0"/>
            </w:tcBorders>
            <w:vAlign w:val="center"/>
          </w:tcPr>
          <w:p w14:paraId="4E3AFC69">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kern w:val="2"/>
                <w:sz w:val="24"/>
                <w:szCs w:val="24"/>
                <w:highlight w:val="none"/>
                <w:lang w:val="zh-CN" w:eastAsia="zh-CN" w:bidi="ar-SA"/>
              </w:rPr>
            </w:pPr>
            <w:r>
              <w:rPr>
                <w:rFonts w:hint="eastAsia" w:cs="Times New Roman"/>
                <w:color w:val="auto"/>
                <w:sz w:val="24"/>
                <w:szCs w:val="24"/>
                <w:highlight w:val="none"/>
                <w:shd w:val="clear" w:color="auto" w:fill="auto"/>
                <w:lang w:val="en-US" w:eastAsia="zh-CN"/>
              </w:rPr>
              <w:t>满足《中华人民共和国政府采购法》第二十二条规定，并提供承诺书。</w:t>
            </w:r>
          </w:p>
        </w:tc>
      </w:tr>
      <w:tr w14:paraId="0937D8A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46" w:hRule="atLeast"/>
          <w:jc w:val="center"/>
        </w:trPr>
        <w:tc>
          <w:tcPr>
            <w:tcW w:w="689" w:type="dxa"/>
            <w:tcBorders>
              <w:top w:val="single" w:color="000000" w:sz="6" w:space="0"/>
              <w:bottom w:val="single" w:color="000000" w:sz="6" w:space="0"/>
              <w:right w:val="single" w:color="000000" w:sz="6" w:space="0"/>
            </w:tcBorders>
            <w:shd w:val="clear" w:color="auto" w:fill="auto"/>
            <w:vAlign w:val="center"/>
          </w:tcPr>
          <w:p w14:paraId="1433CA9E">
            <w:pPr>
              <w:keepNext w:val="0"/>
              <w:keepLines w:val="0"/>
              <w:suppressLineNumbers w:val="0"/>
              <w:spacing w:before="170" w:beforeAutospacing="0" w:after="0" w:afterAutospacing="0" w:line="360" w:lineRule="auto"/>
              <w:ind w:left="0" w:leftChars="0" w:right="0" w:rightChars="0"/>
              <w:jc w:val="center"/>
              <w:rPr>
                <w:rFonts w:hint="eastAsia" w:ascii="Times New Roman" w:hAnsi="Times New Roman" w:eastAsia="宋体" w:cs="Times New Roman"/>
                <w:kern w:val="2"/>
                <w:sz w:val="24"/>
                <w:szCs w:val="24"/>
                <w:highlight w:val="none"/>
                <w:lang w:val="en-US" w:eastAsia="zh-CN" w:bidi="ar-SA"/>
              </w:rPr>
            </w:pPr>
            <w:r>
              <w:rPr>
                <w:rFonts w:hint="eastAsia"/>
                <w:sz w:val="24"/>
                <w:szCs w:val="24"/>
                <w:highlight w:val="none"/>
              </w:rPr>
              <w:t>2</w:t>
            </w:r>
          </w:p>
        </w:tc>
        <w:tc>
          <w:tcPr>
            <w:tcW w:w="8645" w:type="dxa"/>
            <w:tcBorders>
              <w:top w:val="single" w:color="000000" w:sz="6" w:space="0"/>
              <w:left w:val="single" w:color="000000" w:sz="6" w:space="0"/>
              <w:bottom w:val="single" w:color="000000" w:sz="6" w:space="0"/>
              <w:right w:val="single" w:color="000000" w:sz="6" w:space="0"/>
            </w:tcBorders>
            <w:vAlign w:val="center"/>
          </w:tcPr>
          <w:p w14:paraId="608286A7">
            <w:pPr>
              <w:keepNext w:val="0"/>
              <w:keepLines w:val="0"/>
              <w:suppressLineNumbers w:val="0"/>
              <w:autoSpaceDE w:val="0"/>
              <w:autoSpaceDN w:val="0"/>
              <w:spacing w:before="0" w:beforeAutospacing="0" w:after="0" w:afterAutospacing="0" w:line="360" w:lineRule="auto"/>
              <w:ind w:left="0" w:right="0"/>
              <w:jc w:val="left"/>
              <w:rPr>
                <w:rFonts w:hint="eastAsia" w:cs="Times New Roman"/>
                <w:color w:val="auto"/>
                <w:sz w:val="24"/>
                <w:szCs w:val="24"/>
                <w:highlight w:val="none"/>
                <w:shd w:val="clear" w:color="auto" w:fill="auto"/>
                <w:lang w:val="en-US" w:eastAsia="zh-CN"/>
              </w:rPr>
            </w:pPr>
            <w:r>
              <w:rPr>
                <w:rFonts w:hint="eastAsia" w:cs="Times New Roman"/>
                <w:color w:val="auto"/>
                <w:sz w:val="24"/>
                <w:szCs w:val="24"/>
                <w:highlight w:val="none"/>
                <w:shd w:val="clear" w:color="auto" w:fill="auto"/>
                <w:lang w:val="en-US" w:eastAsia="zh-CN"/>
              </w:rPr>
              <w:t>须具有中华人民共和国境内注册的独立法人资格的企业或事业单位，提供事业单位证书或营业执照。</w:t>
            </w:r>
          </w:p>
        </w:tc>
      </w:tr>
      <w:tr w14:paraId="0BAAAED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0" w:hRule="atLeast"/>
          <w:jc w:val="center"/>
        </w:trPr>
        <w:tc>
          <w:tcPr>
            <w:tcW w:w="689" w:type="dxa"/>
            <w:tcBorders>
              <w:top w:val="single" w:color="000000" w:sz="6" w:space="0"/>
              <w:bottom w:val="single" w:color="000000" w:sz="6" w:space="0"/>
              <w:right w:val="single" w:color="000000" w:sz="6" w:space="0"/>
            </w:tcBorders>
            <w:shd w:val="clear" w:color="auto" w:fill="auto"/>
            <w:vAlign w:val="center"/>
          </w:tcPr>
          <w:p w14:paraId="566FEF07">
            <w:pPr>
              <w:keepNext w:val="0"/>
              <w:keepLines w:val="0"/>
              <w:suppressLineNumbers w:val="0"/>
              <w:spacing w:before="170" w:beforeAutospacing="0" w:after="0" w:afterAutospacing="0" w:line="360" w:lineRule="auto"/>
              <w:ind w:left="0" w:leftChars="0" w:right="0" w:rightChars="0"/>
              <w:jc w:val="center"/>
              <w:rPr>
                <w:rFonts w:hint="default" w:ascii="Times New Roman" w:hAnsi="Times New Roman" w:eastAsia="宋体" w:cs="Times New Roman"/>
                <w:kern w:val="2"/>
                <w:sz w:val="24"/>
                <w:szCs w:val="24"/>
                <w:highlight w:val="none"/>
                <w:lang w:val="en-US" w:eastAsia="zh-CN" w:bidi="ar-SA"/>
              </w:rPr>
            </w:pPr>
            <w:r>
              <w:rPr>
                <w:rFonts w:hint="eastAsia"/>
                <w:sz w:val="24"/>
                <w:szCs w:val="24"/>
                <w:highlight w:val="none"/>
              </w:rPr>
              <w:t>3</w:t>
            </w:r>
          </w:p>
        </w:tc>
        <w:tc>
          <w:tcPr>
            <w:tcW w:w="8645" w:type="dxa"/>
            <w:tcBorders>
              <w:top w:val="single" w:color="000000" w:sz="6" w:space="0"/>
              <w:left w:val="single" w:color="000000" w:sz="6" w:space="0"/>
              <w:bottom w:val="single" w:color="000000" w:sz="6" w:space="0"/>
              <w:right w:val="single" w:color="000000" w:sz="6" w:space="0"/>
            </w:tcBorders>
            <w:vAlign w:val="center"/>
          </w:tcPr>
          <w:p w14:paraId="6985CBAF">
            <w:pPr>
              <w:keepNext w:val="0"/>
              <w:keepLines w:val="0"/>
              <w:suppressLineNumbers w:val="0"/>
              <w:spacing w:before="0" w:beforeAutospacing="0" w:after="0" w:afterAutospacing="0" w:line="360" w:lineRule="auto"/>
              <w:ind w:left="0" w:right="0"/>
              <w:jc w:val="left"/>
              <w:rPr>
                <w:rFonts w:hint="eastAsia" w:ascii="仿宋" w:hAnsi="仿宋" w:eastAsia="宋体" w:cs="仿宋"/>
                <w:kern w:val="2"/>
                <w:sz w:val="24"/>
                <w:szCs w:val="24"/>
                <w:highlight w:val="none"/>
                <w:lang w:val="zh-CN" w:eastAsia="zh-CN" w:bidi="ar-SA"/>
              </w:rPr>
            </w:pPr>
            <w:r>
              <w:rPr>
                <w:rFonts w:hint="eastAsia"/>
                <w:sz w:val="24"/>
                <w:szCs w:val="24"/>
                <w:highlight w:val="none"/>
              </w:rPr>
              <w:t>法人须提供法定代表人资格证明书及身份证或法人授权委托书及被授权人身份证</w:t>
            </w:r>
            <w:r>
              <w:rPr>
                <w:rFonts w:hint="eastAsia"/>
                <w:sz w:val="24"/>
                <w:szCs w:val="24"/>
                <w:highlight w:val="none"/>
                <w:lang w:eastAsia="zh-CN"/>
              </w:rPr>
              <w:t>。</w:t>
            </w:r>
          </w:p>
        </w:tc>
      </w:tr>
      <w:tr w14:paraId="6359D1E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1" w:hRule="atLeast"/>
          <w:jc w:val="center"/>
        </w:trPr>
        <w:tc>
          <w:tcPr>
            <w:tcW w:w="689" w:type="dxa"/>
            <w:tcBorders>
              <w:top w:val="single" w:color="000000" w:sz="6" w:space="0"/>
              <w:bottom w:val="single" w:color="000000" w:sz="6" w:space="0"/>
              <w:right w:val="single" w:color="000000" w:sz="6" w:space="0"/>
            </w:tcBorders>
            <w:shd w:val="clear" w:color="auto" w:fill="auto"/>
            <w:vAlign w:val="center"/>
          </w:tcPr>
          <w:p w14:paraId="2D4C1251">
            <w:pPr>
              <w:keepNext w:val="0"/>
              <w:keepLines w:val="0"/>
              <w:suppressLineNumbers w:val="0"/>
              <w:spacing w:before="0" w:beforeAutospacing="0" w:after="0" w:afterAutospacing="0" w:line="360" w:lineRule="auto"/>
              <w:ind w:left="0" w:right="0" w:rightChars="0"/>
              <w:jc w:val="center"/>
              <w:rPr>
                <w:rFonts w:hint="default" w:ascii="Times New Roman" w:hAnsi="Times New Roman" w:eastAsia="宋体" w:cs="Times New Roman"/>
                <w:kern w:val="2"/>
                <w:sz w:val="24"/>
                <w:szCs w:val="24"/>
                <w:highlight w:val="none"/>
                <w:lang w:val="en-US" w:eastAsia="zh-CN" w:bidi="ar-SA"/>
              </w:rPr>
            </w:pPr>
            <w:r>
              <w:rPr>
                <w:rFonts w:hint="eastAsia"/>
                <w:sz w:val="24"/>
                <w:szCs w:val="24"/>
                <w:highlight w:val="none"/>
              </w:rPr>
              <w:t>4</w:t>
            </w:r>
          </w:p>
        </w:tc>
        <w:tc>
          <w:tcPr>
            <w:tcW w:w="8645" w:type="dxa"/>
            <w:tcBorders>
              <w:top w:val="single" w:color="000000" w:sz="6" w:space="0"/>
              <w:left w:val="single" w:color="000000" w:sz="6" w:space="0"/>
              <w:bottom w:val="single" w:color="000000" w:sz="6" w:space="0"/>
              <w:right w:val="single" w:color="000000" w:sz="6" w:space="0"/>
            </w:tcBorders>
            <w:vAlign w:val="center"/>
          </w:tcPr>
          <w:p w14:paraId="7ED39D9D">
            <w:pPr>
              <w:keepNext w:val="0"/>
              <w:keepLines w:val="0"/>
              <w:suppressLineNumbers w:val="0"/>
              <w:spacing w:before="0" w:beforeAutospacing="0" w:after="0" w:afterAutospacing="0" w:line="360" w:lineRule="auto"/>
              <w:ind w:left="0" w:right="0"/>
              <w:jc w:val="left"/>
              <w:rPr>
                <w:rFonts w:hint="eastAsia" w:ascii="仿宋" w:hAnsi="仿宋" w:eastAsia="仿宋" w:cs="仿宋"/>
                <w:kern w:val="2"/>
                <w:sz w:val="24"/>
                <w:szCs w:val="24"/>
                <w:highlight w:val="none"/>
                <w:lang w:val="zh-CN" w:eastAsia="zh-CN" w:bidi="ar-SA"/>
              </w:rPr>
            </w:pPr>
            <w:r>
              <w:rPr>
                <w:rFonts w:hint="default"/>
                <w:sz w:val="24"/>
                <w:szCs w:val="24"/>
                <w:highlight w:val="none"/>
              </w:rPr>
              <w:t>单位负责人为同一人或者存在直接控股、管理关系的不同</w:t>
            </w:r>
            <w:r>
              <w:rPr>
                <w:rFonts w:hint="eastAsia"/>
                <w:sz w:val="24"/>
                <w:szCs w:val="24"/>
                <w:highlight w:val="none"/>
              </w:rPr>
              <w:t>投标人</w:t>
            </w:r>
            <w:r>
              <w:rPr>
                <w:rFonts w:hint="default"/>
                <w:sz w:val="24"/>
                <w:szCs w:val="24"/>
                <w:highlight w:val="none"/>
              </w:rPr>
              <w:t>，不得参加同一合同项下的政府采购活动。</w:t>
            </w:r>
            <w:r>
              <w:rPr>
                <w:rFonts w:hint="eastAsia" w:cs="Times New Roman"/>
                <w:color w:val="auto"/>
                <w:sz w:val="24"/>
                <w:szCs w:val="24"/>
                <w:highlight w:val="none"/>
                <w:shd w:val="clear" w:color="auto" w:fill="auto"/>
                <w:lang w:val="en-US" w:eastAsia="zh-CN"/>
              </w:rPr>
              <w:t>（格式按招标文件附件：主要股东或出资人信息填写）。</w:t>
            </w:r>
          </w:p>
        </w:tc>
      </w:tr>
      <w:tr w14:paraId="766CF38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43" w:hRule="atLeast"/>
          <w:jc w:val="center"/>
        </w:trPr>
        <w:tc>
          <w:tcPr>
            <w:tcW w:w="689" w:type="dxa"/>
            <w:tcBorders>
              <w:top w:val="single" w:color="000000" w:sz="6" w:space="0"/>
              <w:bottom w:val="single" w:color="000000" w:sz="6" w:space="0"/>
              <w:right w:val="single" w:color="000000" w:sz="6" w:space="0"/>
            </w:tcBorders>
            <w:shd w:val="clear" w:color="auto" w:fill="auto"/>
            <w:vAlign w:val="center"/>
          </w:tcPr>
          <w:p w14:paraId="22DC0460">
            <w:pPr>
              <w:keepNext w:val="0"/>
              <w:keepLines w:val="0"/>
              <w:suppressLineNumbers w:val="0"/>
              <w:spacing w:before="170" w:beforeAutospacing="0" w:after="0" w:afterAutospacing="0" w:line="360" w:lineRule="auto"/>
              <w:ind w:left="0" w:leftChars="0" w:right="0" w:rightChars="0"/>
              <w:jc w:val="center"/>
              <w:rPr>
                <w:rFonts w:hint="default" w:ascii="Times New Roman" w:hAnsi="Times New Roman" w:eastAsia="宋体" w:cs="Times New Roman"/>
                <w:kern w:val="2"/>
                <w:sz w:val="24"/>
                <w:szCs w:val="24"/>
                <w:highlight w:val="none"/>
                <w:lang w:val="en-US" w:eastAsia="zh-CN" w:bidi="ar-SA"/>
              </w:rPr>
            </w:pPr>
            <w:r>
              <w:rPr>
                <w:rFonts w:hint="eastAsia"/>
                <w:sz w:val="24"/>
                <w:szCs w:val="24"/>
                <w:highlight w:val="none"/>
                <w:lang w:val="en-US" w:eastAsia="zh-CN"/>
              </w:rPr>
              <w:t>5</w:t>
            </w:r>
          </w:p>
        </w:tc>
        <w:tc>
          <w:tcPr>
            <w:tcW w:w="8645" w:type="dxa"/>
            <w:tcBorders>
              <w:top w:val="single" w:color="000000" w:sz="6" w:space="0"/>
              <w:left w:val="single" w:color="000000" w:sz="6" w:space="0"/>
              <w:bottom w:val="single" w:color="000000" w:sz="6" w:space="0"/>
              <w:right w:val="single" w:color="000000" w:sz="6" w:space="0"/>
            </w:tcBorders>
            <w:vAlign w:val="center"/>
          </w:tcPr>
          <w:p w14:paraId="4DE543F8">
            <w:pPr>
              <w:keepNext w:val="0"/>
              <w:keepLines w:val="0"/>
              <w:suppressLineNumbers w:val="0"/>
              <w:spacing w:before="0" w:beforeAutospacing="0" w:after="0" w:afterAutospacing="0" w:line="360" w:lineRule="auto"/>
              <w:ind w:left="0" w:right="0"/>
              <w:jc w:val="left"/>
              <w:rPr>
                <w:rFonts w:hint="default"/>
                <w:sz w:val="24"/>
                <w:szCs w:val="24"/>
                <w:highlight w:val="none"/>
                <w:lang w:val="en-US" w:eastAsia="zh-CN"/>
              </w:rPr>
            </w:pPr>
            <w:r>
              <w:rPr>
                <w:rFonts w:hint="eastAsia"/>
                <w:sz w:val="24"/>
                <w:szCs w:val="24"/>
                <w:highlight w:val="none"/>
                <w:lang w:val="en-US" w:eastAsia="zh-CN"/>
              </w:rPr>
              <w:t>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p>
        </w:tc>
      </w:tr>
      <w:tr w14:paraId="1A50127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1" w:hRule="atLeast"/>
          <w:jc w:val="center"/>
        </w:trPr>
        <w:tc>
          <w:tcPr>
            <w:tcW w:w="689" w:type="dxa"/>
            <w:tcBorders>
              <w:top w:val="single" w:color="000000" w:sz="6" w:space="0"/>
              <w:bottom w:val="single" w:color="000000" w:sz="6" w:space="0"/>
              <w:right w:val="single" w:color="000000" w:sz="6" w:space="0"/>
            </w:tcBorders>
            <w:shd w:val="clear" w:color="auto" w:fill="auto"/>
            <w:vAlign w:val="center"/>
          </w:tcPr>
          <w:p w14:paraId="52FDB80B">
            <w:pPr>
              <w:keepNext w:val="0"/>
              <w:keepLines w:val="0"/>
              <w:suppressLineNumbers w:val="0"/>
              <w:spacing w:before="170" w:beforeAutospacing="0" w:after="0" w:afterAutospacing="0" w:line="360" w:lineRule="auto"/>
              <w:ind w:left="0" w:leftChars="0" w:right="0" w:rightChars="0"/>
              <w:jc w:val="center"/>
              <w:rPr>
                <w:rFonts w:hint="default" w:ascii="Times New Roman" w:hAnsi="Times New Roman" w:eastAsia="宋体" w:cs="Times New Roman"/>
                <w:kern w:val="2"/>
                <w:sz w:val="24"/>
                <w:szCs w:val="24"/>
                <w:highlight w:val="none"/>
                <w:lang w:val="en-US" w:eastAsia="zh-CN" w:bidi="ar-SA"/>
              </w:rPr>
            </w:pPr>
            <w:r>
              <w:rPr>
                <w:rFonts w:hint="eastAsia" w:cs="Times New Roman"/>
                <w:kern w:val="2"/>
                <w:sz w:val="24"/>
                <w:szCs w:val="24"/>
                <w:highlight w:val="none"/>
                <w:lang w:val="en-US" w:eastAsia="zh-CN" w:bidi="ar-SA"/>
              </w:rPr>
              <w:t>6</w:t>
            </w:r>
          </w:p>
        </w:tc>
        <w:tc>
          <w:tcPr>
            <w:tcW w:w="8645" w:type="dxa"/>
            <w:tcBorders>
              <w:top w:val="single" w:color="000000" w:sz="6" w:space="0"/>
              <w:left w:val="single" w:color="000000" w:sz="6" w:space="0"/>
              <w:bottom w:val="single" w:color="000000" w:sz="6" w:space="0"/>
              <w:right w:val="single" w:color="000000" w:sz="6" w:space="0"/>
            </w:tcBorders>
            <w:vAlign w:val="center"/>
          </w:tcPr>
          <w:p w14:paraId="6D2D5568">
            <w:pPr>
              <w:keepNext w:val="0"/>
              <w:keepLines w:val="0"/>
              <w:suppressLineNumbers w:val="0"/>
              <w:spacing w:before="170" w:beforeAutospacing="0" w:after="0" w:afterAutospacing="0" w:line="360" w:lineRule="auto"/>
              <w:ind w:left="0" w:leftChars="0" w:right="0" w:rightChars="0"/>
              <w:jc w:val="left"/>
              <w:rPr>
                <w:rFonts w:hint="eastAsia" w:ascii="仿宋" w:hAnsi="仿宋" w:eastAsia="宋体" w:cs="仿宋"/>
                <w:kern w:val="2"/>
                <w:sz w:val="24"/>
                <w:szCs w:val="24"/>
                <w:highlight w:val="none"/>
                <w:lang w:val="zh-CN" w:eastAsia="zh-CN" w:bidi="ar-SA"/>
              </w:rPr>
            </w:pPr>
            <w:r>
              <w:rPr>
                <w:rFonts w:hint="eastAsia"/>
                <w:sz w:val="24"/>
                <w:szCs w:val="24"/>
                <w:highlight w:val="none"/>
                <w:lang w:val="zh-CN"/>
              </w:rPr>
              <w:t>投标保证金缴纳凭证（</w:t>
            </w:r>
            <w:r>
              <w:rPr>
                <w:rFonts w:hint="eastAsia"/>
                <w:sz w:val="24"/>
                <w:szCs w:val="24"/>
                <w:highlight w:val="none"/>
                <w:lang w:val="en-US" w:eastAsia="zh-CN"/>
              </w:rPr>
              <w:t>按招标文件要求提供</w:t>
            </w:r>
            <w:r>
              <w:rPr>
                <w:rFonts w:hint="eastAsia"/>
                <w:sz w:val="24"/>
                <w:szCs w:val="24"/>
                <w:highlight w:val="none"/>
                <w:lang w:val="zh-CN"/>
              </w:rPr>
              <w:t>）。</w:t>
            </w:r>
          </w:p>
        </w:tc>
      </w:tr>
      <w:tr w14:paraId="7CBA3CB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1" w:hRule="atLeast"/>
          <w:jc w:val="center"/>
        </w:trPr>
        <w:tc>
          <w:tcPr>
            <w:tcW w:w="689" w:type="dxa"/>
            <w:tcBorders>
              <w:top w:val="single" w:color="000000" w:sz="6" w:space="0"/>
              <w:bottom w:val="single" w:color="000000" w:sz="6" w:space="0"/>
              <w:right w:val="single" w:color="000000" w:sz="6" w:space="0"/>
            </w:tcBorders>
            <w:shd w:val="clear" w:color="auto" w:fill="auto"/>
            <w:vAlign w:val="center"/>
          </w:tcPr>
          <w:p w14:paraId="53DF2FA2">
            <w:pPr>
              <w:keepNext w:val="0"/>
              <w:keepLines w:val="0"/>
              <w:suppressLineNumbers w:val="0"/>
              <w:spacing w:before="170" w:beforeAutospacing="0" w:after="0" w:afterAutospacing="0" w:line="360" w:lineRule="auto"/>
              <w:ind w:left="0" w:leftChars="0" w:right="0" w:rightChars="0"/>
              <w:jc w:val="center"/>
              <w:rPr>
                <w:rFonts w:hint="default" w:cs="Times New Roman"/>
                <w:kern w:val="2"/>
                <w:sz w:val="24"/>
                <w:szCs w:val="24"/>
                <w:highlight w:val="none"/>
                <w:lang w:val="en-US" w:eastAsia="zh-CN" w:bidi="ar-SA"/>
              </w:rPr>
            </w:pPr>
            <w:r>
              <w:rPr>
                <w:rFonts w:hint="eastAsia" w:cs="Times New Roman"/>
                <w:kern w:val="2"/>
                <w:sz w:val="24"/>
                <w:szCs w:val="24"/>
                <w:highlight w:val="none"/>
                <w:lang w:val="en-US" w:eastAsia="zh-CN" w:bidi="ar-SA"/>
              </w:rPr>
              <w:t>7</w:t>
            </w:r>
          </w:p>
        </w:tc>
        <w:tc>
          <w:tcPr>
            <w:tcW w:w="8645" w:type="dxa"/>
            <w:tcBorders>
              <w:top w:val="single" w:color="000000" w:sz="6" w:space="0"/>
              <w:left w:val="single" w:color="000000" w:sz="6" w:space="0"/>
              <w:bottom w:val="single" w:color="000000" w:sz="6" w:space="0"/>
              <w:right w:val="single" w:color="000000" w:sz="6" w:space="0"/>
            </w:tcBorders>
            <w:vAlign w:val="center"/>
          </w:tcPr>
          <w:p w14:paraId="30718C42">
            <w:pPr>
              <w:keepNext w:val="0"/>
              <w:keepLines w:val="0"/>
              <w:suppressLineNumbers w:val="0"/>
              <w:spacing w:before="170" w:beforeAutospacing="0" w:after="0" w:afterAutospacing="0" w:line="360" w:lineRule="auto"/>
              <w:ind w:left="0" w:leftChars="0" w:right="0" w:rightChars="0"/>
              <w:jc w:val="left"/>
              <w:rPr>
                <w:rFonts w:hint="eastAsia"/>
                <w:sz w:val="24"/>
                <w:szCs w:val="24"/>
                <w:highlight w:val="none"/>
                <w:lang w:val="zh-CN"/>
              </w:rPr>
            </w:pPr>
            <w:r>
              <w:rPr>
                <w:rFonts w:hint="eastAsia" w:ascii="宋体" w:hAnsi="宋体" w:cs="宋体"/>
                <w:bCs/>
                <w:sz w:val="24"/>
                <w:szCs w:val="24"/>
                <w:lang w:val="en-US" w:eastAsia="zh-CN"/>
              </w:rPr>
              <w:t>本项目专门面向中小企业采购，提供中小企业声明函。</w:t>
            </w:r>
          </w:p>
        </w:tc>
      </w:tr>
    </w:tbl>
    <w:p w14:paraId="6C43BA60">
      <w:pPr>
        <w:pStyle w:val="7"/>
        <w:rPr>
          <w:rFonts w:ascii="宋体" w:hAnsi="宋体"/>
          <w:sz w:val="24"/>
        </w:rPr>
      </w:pPr>
    </w:p>
    <w:p w14:paraId="22DC4FFB">
      <w:pPr>
        <w:pStyle w:val="7"/>
        <w:jc w:val="center"/>
        <w:rPr>
          <w:rFonts w:hint="eastAsia" w:ascii="宋体" w:hAnsi="宋体"/>
          <w:b/>
          <w:bCs/>
          <w:sz w:val="28"/>
          <w:szCs w:val="28"/>
        </w:rPr>
      </w:pPr>
    </w:p>
    <w:p w14:paraId="47395CB9">
      <w:pPr>
        <w:rPr>
          <w:rFonts w:hint="eastAsia" w:ascii="宋体" w:hAnsi="宋体"/>
          <w:b/>
          <w:bCs/>
          <w:sz w:val="28"/>
          <w:szCs w:val="28"/>
        </w:rPr>
      </w:pPr>
      <w:r>
        <w:rPr>
          <w:rFonts w:hint="eastAsia" w:ascii="宋体" w:hAnsi="宋体"/>
          <w:b/>
          <w:bCs/>
          <w:sz w:val="28"/>
          <w:szCs w:val="28"/>
        </w:rPr>
        <w:br w:type="page"/>
      </w:r>
    </w:p>
    <w:p w14:paraId="4527CA1B">
      <w:pPr>
        <w:pStyle w:val="7"/>
        <w:jc w:val="center"/>
      </w:pPr>
      <w:r>
        <w:rPr>
          <w:rFonts w:hint="eastAsia" w:ascii="宋体" w:hAnsi="宋体"/>
          <w:b/>
          <w:bCs/>
          <w:sz w:val="28"/>
          <w:szCs w:val="28"/>
        </w:rPr>
        <w:t>符合性审查一览表</w:t>
      </w:r>
    </w:p>
    <w:tbl>
      <w:tblPr>
        <w:tblStyle w:val="22"/>
        <w:tblpPr w:leftFromText="180" w:rightFromText="180" w:vertAnchor="text" w:horzAnchor="page" w:tblpXSpec="center" w:tblpY="319"/>
        <w:tblOverlap w:val="never"/>
        <w:tblW w:w="93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6942"/>
        <w:gridCol w:w="1551"/>
      </w:tblGrid>
      <w:tr w14:paraId="1D3D1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831" w:type="dxa"/>
            <w:vAlign w:val="center"/>
          </w:tcPr>
          <w:p w14:paraId="327DF1E5">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2"/>
                <w:lang w:val="zh-CN"/>
              </w:rPr>
            </w:pPr>
            <w:r>
              <w:rPr>
                <w:rFonts w:hint="eastAsia" w:ascii="宋体" w:hAnsi="宋体" w:cs="宋体"/>
                <w:bCs/>
                <w:sz w:val="24"/>
                <w:szCs w:val="22"/>
                <w:lang w:val="zh-CN"/>
              </w:rPr>
              <w:t>序号</w:t>
            </w:r>
          </w:p>
        </w:tc>
        <w:tc>
          <w:tcPr>
            <w:tcW w:w="6942" w:type="dxa"/>
            <w:vAlign w:val="center"/>
          </w:tcPr>
          <w:p w14:paraId="05EB18F4">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2"/>
                <w:lang w:val="zh-CN"/>
              </w:rPr>
            </w:pPr>
            <w:r>
              <w:rPr>
                <w:rFonts w:hint="eastAsia" w:ascii="宋体" w:hAnsi="宋体" w:cs="宋体"/>
                <w:bCs/>
                <w:sz w:val="24"/>
                <w:szCs w:val="22"/>
                <w:lang w:val="zh-CN"/>
              </w:rPr>
              <w:t>审查项目</w:t>
            </w:r>
          </w:p>
        </w:tc>
        <w:tc>
          <w:tcPr>
            <w:tcW w:w="1551" w:type="dxa"/>
            <w:vAlign w:val="center"/>
          </w:tcPr>
          <w:p w14:paraId="73ADAFF5">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2"/>
                <w:lang w:val="zh-CN"/>
              </w:rPr>
            </w:pPr>
            <w:r>
              <w:rPr>
                <w:rFonts w:hint="eastAsia" w:ascii="宋体" w:hAnsi="宋体" w:cs="宋体"/>
                <w:bCs/>
                <w:sz w:val="24"/>
                <w:szCs w:val="22"/>
                <w:lang w:val="zh-CN"/>
              </w:rPr>
              <w:t>审查情况</w:t>
            </w:r>
          </w:p>
          <w:p w14:paraId="315BA69E">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2"/>
                <w:lang w:val="zh-CN"/>
              </w:rPr>
            </w:pPr>
            <w:r>
              <w:rPr>
                <w:rFonts w:hint="eastAsia" w:ascii="宋体" w:hAnsi="宋体" w:cs="宋体"/>
                <w:bCs/>
                <w:sz w:val="24"/>
                <w:szCs w:val="22"/>
                <w:lang w:val="zh-CN"/>
              </w:rPr>
              <w:t>（是否响应）</w:t>
            </w:r>
          </w:p>
        </w:tc>
      </w:tr>
      <w:tr w14:paraId="34B21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1" w:type="dxa"/>
            <w:vMerge w:val="restart"/>
            <w:vAlign w:val="center"/>
          </w:tcPr>
          <w:p w14:paraId="59EEF955">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4"/>
              </w:rPr>
            </w:pPr>
            <w:r>
              <w:rPr>
                <w:rFonts w:hint="eastAsia" w:ascii="宋体" w:hAnsi="宋体" w:cs="宋体"/>
                <w:bCs/>
                <w:sz w:val="24"/>
                <w:szCs w:val="24"/>
              </w:rPr>
              <w:t>报价</w:t>
            </w:r>
          </w:p>
        </w:tc>
        <w:tc>
          <w:tcPr>
            <w:tcW w:w="6942" w:type="dxa"/>
            <w:vAlign w:val="center"/>
          </w:tcPr>
          <w:p w14:paraId="0FECE70D">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sz w:val="24"/>
                <w:szCs w:val="24"/>
                <w:lang w:val="zh-CN"/>
              </w:rPr>
            </w:pPr>
            <w:r>
              <w:rPr>
                <w:rFonts w:hint="eastAsia" w:ascii="宋体" w:hAnsi="宋体" w:cs="宋体"/>
                <w:bCs/>
                <w:sz w:val="24"/>
                <w:szCs w:val="24"/>
              </w:rPr>
              <w:t>是否</w:t>
            </w:r>
            <w:r>
              <w:rPr>
                <w:rFonts w:hint="eastAsia" w:ascii="宋体" w:hAnsi="宋体" w:cs="宋体"/>
                <w:bCs/>
                <w:sz w:val="24"/>
                <w:szCs w:val="24"/>
                <w:lang w:eastAsia="zh-CN"/>
              </w:rPr>
              <w:t>未</w:t>
            </w:r>
            <w:r>
              <w:rPr>
                <w:rFonts w:hint="eastAsia" w:ascii="宋体" w:hAnsi="宋体" w:cs="宋体"/>
                <w:bCs/>
                <w:sz w:val="24"/>
                <w:szCs w:val="24"/>
              </w:rPr>
              <w:t>超过最高限价、最终报价是否</w:t>
            </w:r>
            <w:r>
              <w:rPr>
                <w:rFonts w:hint="eastAsia" w:ascii="宋体" w:hAnsi="宋体" w:cs="宋体"/>
                <w:bCs/>
                <w:sz w:val="24"/>
                <w:szCs w:val="24"/>
                <w:lang w:eastAsia="zh-CN"/>
              </w:rPr>
              <w:t>未</w:t>
            </w:r>
            <w:r>
              <w:rPr>
                <w:rFonts w:hint="eastAsia" w:ascii="宋体" w:hAnsi="宋体" w:cs="宋体"/>
                <w:bCs/>
                <w:sz w:val="24"/>
                <w:szCs w:val="24"/>
              </w:rPr>
              <w:t>明显低于其他投标报价</w:t>
            </w:r>
            <w:r>
              <w:rPr>
                <w:rFonts w:hint="eastAsia" w:ascii="宋体" w:hAnsi="宋体" w:cs="宋体"/>
                <w:bCs/>
                <w:sz w:val="24"/>
                <w:szCs w:val="24"/>
                <w:lang w:eastAsia="zh-CN"/>
              </w:rPr>
              <w:t>。</w:t>
            </w:r>
          </w:p>
        </w:tc>
        <w:tc>
          <w:tcPr>
            <w:tcW w:w="1551" w:type="dxa"/>
            <w:vAlign w:val="center"/>
          </w:tcPr>
          <w:p w14:paraId="30EA0EB6">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p>
        </w:tc>
      </w:tr>
      <w:tr w14:paraId="043C2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1" w:type="dxa"/>
            <w:vMerge w:val="continue"/>
            <w:vAlign w:val="center"/>
          </w:tcPr>
          <w:p w14:paraId="71C8E5CC">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4"/>
              </w:rPr>
            </w:pPr>
          </w:p>
        </w:tc>
        <w:tc>
          <w:tcPr>
            <w:tcW w:w="6942" w:type="dxa"/>
            <w:vAlign w:val="center"/>
          </w:tcPr>
          <w:p w14:paraId="3431C712">
            <w:pPr>
              <w:keepNext w:val="0"/>
              <w:keepLines w:val="0"/>
              <w:suppressLineNumbers w:val="0"/>
              <w:autoSpaceDE w:val="0"/>
              <w:autoSpaceDN w:val="0"/>
              <w:adjustRightInd w:val="0"/>
              <w:spacing w:before="0" w:beforeAutospacing="0" w:after="0" w:afterAutospacing="0" w:line="360" w:lineRule="auto"/>
              <w:ind w:left="0" w:right="0"/>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评标委员会认为投标人的报价明显低于其他通过符合性审查投标人的报价，有可能影响产品质量或者不能诚信履约的，应当要求其在评标现场合理的时间内提供书面说明，必要时提交相关证明材料</w:t>
            </w:r>
            <w:r>
              <w:rPr>
                <w:rFonts w:hint="eastAsia" w:ascii="宋体" w:hAnsi="宋体" w:cs="宋体"/>
                <w:sz w:val="24"/>
                <w:szCs w:val="24"/>
                <w:lang w:val="zh-CN" w:eastAsia="zh-CN"/>
              </w:rPr>
              <w:t>；</w:t>
            </w:r>
            <w:r>
              <w:rPr>
                <w:rFonts w:hint="eastAsia" w:ascii="宋体" w:hAnsi="宋体" w:eastAsia="宋体" w:cs="宋体"/>
                <w:sz w:val="24"/>
                <w:szCs w:val="24"/>
                <w:lang w:val="zh-CN" w:eastAsia="zh-CN"/>
              </w:rPr>
              <w:t>投标人不能证明其报价合理性的，评标委员会应当将其作为无效投标处理</w:t>
            </w:r>
            <w:r>
              <w:rPr>
                <w:rFonts w:hint="eastAsia" w:ascii="宋体" w:hAnsi="宋体" w:cs="宋体"/>
                <w:sz w:val="24"/>
                <w:szCs w:val="24"/>
                <w:lang w:val="zh-CN" w:eastAsia="zh-CN"/>
              </w:rPr>
              <w:t>。</w:t>
            </w:r>
          </w:p>
        </w:tc>
        <w:tc>
          <w:tcPr>
            <w:tcW w:w="1551" w:type="dxa"/>
            <w:vAlign w:val="center"/>
          </w:tcPr>
          <w:p w14:paraId="35DB10E1">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p>
        </w:tc>
      </w:tr>
      <w:tr w14:paraId="26C69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831" w:type="dxa"/>
            <w:vMerge w:val="restart"/>
            <w:vAlign w:val="center"/>
          </w:tcPr>
          <w:p w14:paraId="40E60387">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4"/>
              </w:rPr>
            </w:pPr>
            <w:r>
              <w:rPr>
                <w:rFonts w:hint="eastAsia" w:ascii="宋体" w:hAnsi="宋体" w:cs="宋体"/>
                <w:bCs/>
                <w:sz w:val="24"/>
                <w:szCs w:val="24"/>
              </w:rPr>
              <w:t>商务资信</w:t>
            </w:r>
          </w:p>
        </w:tc>
        <w:tc>
          <w:tcPr>
            <w:tcW w:w="6942" w:type="dxa"/>
            <w:vAlign w:val="center"/>
          </w:tcPr>
          <w:p w14:paraId="318697E9">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r>
              <w:rPr>
                <w:rFonts w:hint="eastAsia" w:ascii="宋体" w:hAnsi="宋体" w:cs="宋体"/>
                <w:bCs/>
                <w:sz w:val="24"/>
                <w:szCs w:val="24"/>
                <w:lang w:val="zh-CN"/>
              </w:rPr>
              <w:t>合同完成期限是否未超过招标文件规定期限、是否未以他人名义投标、串通投标、以行贿手段谋取成交或者以其他弄虚作假方式投标的。</w:t>
            </w:r>
          </w:p>
        </w:tc>
        <w:tc>
          <w:tcPr>
            <w:tcW w:w="1551" w:type="dxa"/>
            <w:vAlign w:val="center"/>
          </w:tcPr>
          <w:p w14:paraId="493C0B71">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p>
        </w:tc>
      </w:tr>
      <w:tr w14:paraId="5530D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1" w:type="dxa"/>
            <w:vMerge w:val="continue"/>
            <w:vAlign w:val="center"/>
          </w:tcPr>
          <w:p w14:paraId="0F67DF9C">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4"/>
              </w:rPr>
            </w:pPr>
          </w:p>
        </w:tc>
        <w:tc>
          <w:tcPr>
            <w:tcW w:w="6942" w:type="dxa"/>
            <w:vAlign w:val="center"/>
          </w:tcPr>
          <w:p w14:paraId="7CBCAF15">
            <w:pPr>
              <w:keepNext w:val="0"/>
              <w:keepLines w:val="0"/>
              <w:suppressLineNumbers w:val="0"/>
              <w:autoSpaceDE w:val="0"/>
              <w:autoSpaceDN w:val="0"/>
              <w:adjustRightInd w:val="0"/>
              <w:spacing w:before="0" w:beforeAutospacing="0" w:after="0" w:afterAutospacing="0" w:line="360" w:lineRule="auto"/>
              <w:ind w:left="0" w:leftChars="0" w:right="0" w:rightChars="0"/>
              <w:rPr>
                <w:rFonts w:hint="default" w:ascii="宋体" w:hAnsi="宋体" w:cs="宋体"/>
                <w:sz w:val="24"/>
                <w:szCs w:val="24"/>
                <w:lang w:val="zh-CN"/>
              </w:rPr>
            </w:pPr>
            <w:r>
              <w:rPr>
                <w:rFonts w:hint="eastAsia" w:ascii="宋体" w:hAnsi="宋体" w:cs="宋体"/>
                <w:bCs/>
                <w:sz w:val="24"/>
                <w:szCs w:val="24"/>
                <w:lang w:val="en-US" w:eastAsia="zh-CN"/>
              </w:rPr>
              <w:t>投标有效期是否符合招标文件要求。</w:t>
            </w:r>
          </w:p>
        </w:tc>
        <w:tc>
          <w:tcPr>
            <w:tcW w:w="1551" w:type="dxa"/>
            <w:vAlign w:val="center"/>
          </w:tcPr>
          <w:p w14:paraId="06AE0FFF">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p>
        </w:tc>
      </w:tr>
      <w:tr w14:paraId="4C188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31" w:type="dxa"/>
            <w:vMerge w:val="restart"/>
            <w:vAlign w:val="center"/>
          </w:tcPr>
          <w:p w14:paraId="17A1D585">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宋体" w:hAnsi="宋体" w:cs="宋体"/>
                <w:bCs/>
                <w:sz w:val="24"/>
                <w:szCs w:val="24"/>
              </w:rPr>
            </w:pPr>
            <w:r>
              <w:rPr>
                <w:rFonts w:hint="eastAsia" w:ascii="宋体" w:hAnsi="宋体" w:cs="宋体"/>
                <w:bCs/>
                <w:sz w:val="24"/>
                <w:szCs w:val="24"/>
              </w:rPr>
              <w:t>技术</w:t>
            </w:r>
          </w:p>
        </w:tc>
        <w:tc>
          <w:tcPr>
            <w:tcW w:w="6942" w:type="dxa"/>
            <w:vAlign w:val="center"/>
          </w:tcPr>
          <w:p w14:paraId="2793CD73">
            <w:pPr>
              <w:keepNext w:val="0"/>
              <w:keepLines w:val="0"/>
              <w:suppressLineNumbers w:val="0"/>
              <w:autoSpaceDE w:val="0"/>
              <w:autoSpaceDN w:val="0"/>
              <w:adjustRightInd w:val="0"/>
              <w:spacing w:before="0" w:beforeAutospacing="0" w:after="0" w:afterAutospacing="0" w:line="360" w:lineRule="auto"/>
              <w:ind w:left="0" w:leftChars="0" w:right="0" w:rightChars="0"/>
              <w:rPr>
                <w:rFonts w:hint="default" w:ascii="宋体" w:hAnsi="宋体" w:eastAsia="宋体" w:cs="宋体"/>
                <w:sz w:val="24"/>
                <w:szCs w:val="24"/>
                <w:lang w:val="en-US" w:eastAsia="zh-CN"/>
              </w:rPr>
            </w:pPr>
            <w:r>
              <w:rPr>
                <w:rFonts w:hint="eastAsia" w:ascii="宋体" w:hAnsi="宋体" w:cs="宋体"/>
                <w:bCs/>
                <w:sz w:val="24"/>
                <w:szCs w:val="24"/>
                <w:lang w:val="zh-CN"/>
              </w:rPr>
              <w:t>投标文件是否未附有采购人不能接受的条件的。</w:t>
            </w:r>
          </w:p>
        </w:tc>
        <w:tc>
          <w:tcPr>
            <w:tcW w:w="1551" w:type="dxa"/>
            <w:vAlign w:val="center"/>
          </w:tcPr>
          <w:p w14:paraId="2473FB24">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p>
        </w:tc>
      </w:tr>
      <w:tr w14:paraId="5B3DC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31" w:type="dxa"/>
            <w:vMerge w:val="continue"/>
            <w:vAlign w:val="center"/>
          </w:tcPr>
          <w:p w14:paraId="11BE4922">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cs="宋体"/>
                <w:bCs/>
                <w:sz w:val="24"/>
                <w:szCs w:val="24"/>
                <w:highlight w:val="none"/>
              </w:rPr>
            </w:pPr>
          </w:p>
        </w:tc>
        <w:tc>
          <w:tcPr>
            <w:tcW w:w="6942" w:type="dxa"/>
            <w:vAlign w:val="center"/>
          </w:tcPr>
          <w:p w14:paraId="771F6B9B">
            <w:pPr>
              <w:keepNext w:val="0"/>
              <w:keepLines w:val="0"/>
              <w:suppressLineNumbers w:val="0"/>
              <w:autoSpaceDE w:val="0"/>
              <w:autoSpaceDN w:val="0"/>
              <w:adjustRightInd w:val="0"/>
              <w:spacing w:before="0" w:beforeAutospacing="0" w:after="0" w:afterAutospacing="0" w:line="360" w:lineRule="auto"/>
              <w:ind w:left="0" w:leftChars="0" w:right="0" w:rightChars="0"/>
              <w:rPr>
                <w:rFonts w:hint="eastAsia" w:ascii="宋体" w:hAnsi="宋体" w:cs="宋体"/>
                <w:bCs/>
                <w:sz w:val="24"/>
                <w:szCs w:val="24"/>
                <w:highlight w:val="none"/>
                <w:lang w:val="zh-CN"/>
              </w:rPr>
            </w:pPr>
            <w:r>
              <w:rPr>
                <w:rFonts w:hint="eastAsia" w:ascii="宋体" w:hAnsi="宋体" w:cs="宋体"/>
                <w:bCs/>
                <w:color w:val="auto"/>
                <w:sz w:val="24"/>
                <w:szCs w:val="24"/>
                <w:highlight w:val="none"/>
                <w:lang w:val="en-US" w:eastAsia="zh-CN"/>
              </w:rPr>
              <w:t>是否提供政采云上传投标文件的IP地址截图。</w:t>
            </w:r>
          </w:p>
        </w:tc>
        <w:tc>
          <w:tcPr>
            <w:tcW w:w="1551" w:type="dxa"/>
            <w:vAlign w:val="center"/>
          </w:tcPr>
          <w:p w14:paraId="64CC8109">
            <w:pPr>
              <w:keepNext w:val="0"/>
              <w:keepLines w:val="0"/>
              <w:suppressLineNumbers w:val="0"/>
              <w:autoSpaceDE w:val="0"/>
              <w:autoSpaceDN w:val="0"/>
              <w:adjustRightInd w:val="0"/>
              <w:spacing w:before="0" w:beforeAutospacing="0" w:after="0" w:afterAutospacing="0" w:line="360" w:lineRule="auto"/>
              <w:ind w:left="0" w:right="0"/>
              <w:rPr>
                <w:rFonts w:hint="default" w:ascii="宋体" w:hAnsi="宋体" w:cs="宋体"/>
                <w:sz w:val="24"/>
                <w:szCs w:val="24"/>
                <w:lang w:val="zh-CN"/>
              </w:rPr>
            </w:pPr>
          </w:p>
        </w:tc>
      </w:tr>
    </w:tbl>
    <w:p w14:paraId="119A634B">
      <w:pPr>
        <w:autoSpaceDE w:val="0"/>
        <w:autoSpaceDN w:val="0"/>
        <w:adjustRightInd w:val="0"/>
        <w:spacing w:line="360" w:lineRule="auto"/>
        <w:ind w:firstLine="480"/>
        <w:rPr>
          <w:rFonts w:ascii="宋体" w:hAnsi="宋体" w:cs="宋体"/>
          <w:b/>
          <w:sz w:val="24"/>
          <w:lang w:val="zh-CN"/>
        </w:rPr>
      </w:pPr>
    </w:p>
    <w:p w14:paraId="654793D2">
      <w:pPr>
        <w:autoSpaceDE w:val="0"/>
        <w:autoSpaceDN w:val="0"/>
        <w:adjustRightInd w:val="0"/>
        <w:spacing w:line="360" w:lineRule="auto"/>
        <w:ind w:firstLine="480"/>
        <w:rPr>
          <w:rFonts w:ascii="宋体" w:hAnsi="宋体" w:cs="宋体"/>
          <w:sz w:val="24"/>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.5.</w:t>
      </w:r>
      <w:r>
        <w:rPr>
          <w:rFonts w:hint="eastAsia" w:ascii="宋体" w:hAnsi="宋体" w:cs="宋体"/>
          <w:b/>
          <w:sz w:val="24"/>
        </w:rPr>
        <w:t xml:space="preserve">7 综合评审 </w:t>
      </w:r>
    </w:p>
    <w:p w14:paraId="5EF5DDF9">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7</w:t>
      </w:r>
      <w:r>
        <w:rPr>
          <w:rFonts w:hint="eastAsia" w:ascii="宋体" w:hAnsi="宋体" w:cs="宋体"/>
          <w:sz w:val="24"/>
          <w:lang w:val="zh-CN"/>
        </w:rPr>
        <w:t>.1</w:t>
      </w:r>
      <w:r>
        <w:rPr>
          <w:rFonts w:hint="eastAsia" w:ascii="宋体" w:hAnsi="宋体" w:cs="宋体"/>
          <w:sz w:val="24"/>
        </w:rPr>
        <w:t xml:space="preserve"> </w:t>
      </w:r>
      <w:r>
        <w:rPr>
          <w:rFonts w:hint="eastAsia" w:ascii="宋体" w:hAnsi="宋体" w:cs="宋体"/>
          <w:bCs/>
          <w:sz w:val="24"/>
        </w:rPr>
        <w:t>评标委员会各成员</w:t>
      </w:r>
      <w:r>
        <w:rPr>
          <w:rFonts w:hint="eastAsia" w:ascii="宋体" w:hAnsi="宋体" w:cs="宋体"/>
          <w:sz w:val="24"/>
        </w:rPr>
        <w:t>应当</w:t>
      </w:r>
      <w:r>
        <w:rPr>
          <w:rFonts w:hint="eastAsia" w:ascii="宋体" w:hAnsi="宋体" w:cs="宋体"/>
          <w:bCs/>
          <w:sz w:val="24"/>
        </w:rPr>
        <w:t>遵循独立评审原则，</w:t>
      </w:r>
      <w:r>
        <w:rPr>
          <w:rFonts w:hint="eastAsia" w:ascii="宋体" w:hAnsi="宋体" w:cs="宋体"/>
          <w:sz w:val="24"/>
          <w:lang w:val="zh-CN"/>
        </w:rPr>
        <w:t>按照招标文件的评标方法和标准，对资质资格资质</w:t>
      </w:r>
      <w:r>
        <w:rPr>
          <w:rFonts w:hint="eastAsia" w:ascii="宋体" w:hAnsi="宋体" w:cs="宋体"/>
          <w:sz w:val="24"/>
          <w:lang w:val="en-US" w:eastAsia="zh-CN"/>
        </w:rPr>
        <w:t>审查</w:t>
      </w:r>
      <w:r>
        <w:rPr>
          <w:rFonts w:hint="eastAsia" w:ascii="宋体" w:hAnsi="宋体" w:cs="宋体"/>
          <w:sz w:val="24"/>
          <w:lang w:val="zh-CN"/>
        </w:rPr>
        <w:t>和符合性</w:t>
      </w:r>
      <w:r>
        <w:rPr>
          <w:rFonts w:hint="eastAsia" w:ascii="宋体" w:hAnsi="宋体" w:cs="宋体"/>
          <w:sz w:val="24"/>
          <w:lang w:val="en-US" w:eastAsia="zh-CN"/>
        </w:rPr>
        <w:t>审查</w:t>
      </w:r>
      <w:r>
        <w:rPr>
          <w:rFonts w:hint="eastAsia" w:ascii="宋体" w:hAnsi="宋体" w:cs="宋体"/>
          <w:sz w:val="24"/>
          <w:lang w:val="zh-CN"/>
        </w:rPr>
        <w:t>合格的投标文件的商务和技术进行评估，综合比较与评价，并应当以书面方式发表各自（或集体）的具体综合评审意见。</w:t>
      </w:r>
    </w:p>
    <w:p w14:paraId="765D3AFB">
      <w:pPr>
        <w:autoSpaceDE w:val="0"/>
        <w:autoSpaceDN w:val="0"/>
        <w:adjustRightInd w:val="0"/>
        <w:spacing w:line="360" w:lineRule="auto"/>
        <w:ind w:firstLine="48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7</w:t>
      </w:r>
      <w:r>
        <w:rPr>
          <w:rFonts w:hint="eastAsia" w:ascii="宋体" w:hAnsi="宋体" w:cs="宋体"/>
          <w:sz w:val="24"/>
          <w:lang w:val="zh-CN"/>
        </w:rPr>
        <w:t>.2 评估和综合比较与评价，应当</w:t>
      </w:r>
      <w:r>
        <w:rPr>
          <w:rFonts w:hint="eastAsia" w:ascii="宋体" w:hAnsi="宋体" w:cs="宋体"/>
          <w:bCs/>
          <w:sz w:val="24"/>
        </w:rPr>
        <w:t>严格</w:t>
      </w:r>
      <w:r>
        <w:rPr>
          <w:rFonts w:hint="eastAsia" w:ascii="宋体" w:hAnsi="宋体" w:cs="宋体"/>
          <w:sz w:val="24"/>
          <w:lang w:val="zh-CN"/>
        </w:rPr>
        <w:t>按照采购人设计格式要求，做好书面原始署名记录，</w:t>
      </w:r>
      <w:r>
        <w:rPr>
          <w:rFonts w:hint="eastAsia" w:ascii="宋体" w:hAnsi="宋体" w:cs="宋体"/>
          <w:bCs/>
          <w:sz w:val="24"/>
          <w:szCs w:val="24"/>
        </w:rPr>
        <w:t>连同书面评标报告提交采购人。</w:t>
      </w:r>
    </w:p>
    <w:p w14:paraId="2623401F">
      <w:pPr>
        <w:autoSpaceDE w:val="0"/>
        <w:autoSpaceDN w:val="0"/>
        <w:adjustRightInd w:val="0"/>
        <w:spacing w:line="360" w:lineRule="auto"/>
        <w:ind w:firstLine="48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7</w:t>
      </w:r>
      <w:r>
        <w:rPr>
          <w:rFonts w:hint="eastAsia" w:ascii="宋体" w:hAnsi="宋体" w:cs="宋体"/>
          <w:sz w:val="24"/>
          <w:lang w:val="zh-CN"/>
        </w:rPr>
        <w:t>.3</w:t>
      </w:r>
      <w:r>
        <w:rPr>
          <w:rFonts w:hint="eastAsia" w:ascii="宋体" w:hAnsi="宋体" w:cs="宋体"/>
          <w:bCs/>
          <w:sz w:val="24"/>
          <w:szCs w:val="24"/>
        </w:rPr>
        <w:t xml:space="preserve"> “综合评分法”应当载明投标人的投标项目、所作的任何修正、对商业偏差的调整、对技术偏差的调整、对各评审因素的评估，以及对每一投标的最终评标结果。</w:t>
      </w:r>
    </w:p>
    <w:p w14:paraId="076E540B">
      <w:pPr>
        <w:autoSpaceDE w:val="0"/>
        <w:autoSpaceDN w:val="0"/>
        <w:adjustRightInd w:val="0"/>
        <w:spacing w:line="360" w:lineRule="auto"/>
        <w:ind w:firstLine="480"/>
        <w:rPr>
          <w:rFonts w:ascii="宋体" w:hAnsi="宋体" w:cs="宋体"/>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7</w:t>
      </w:r>
      <w:r>
        <w:rPr>
          <w:rFonts w:hint="eastAsia" w:ascii="宋体" w:hAnsi="宋体" w:cs="宋体"/>
          <w:sz w:val="24"/>
          <w:lang w:val="zh-CN"/>
        </w:rPr>
        <w:t>.4</w:t>
      </w:r>
      <w:r>
        <w:rPr>
          <w:rFonts w:hint="eastAsia" w:ascii="宋体" w:hAnsi="宋体" w:cs="宋体"/>
          <w:bCs/>
          <w:sz w:val="24"/>
          <w:szCs w:val="24"/>
        </w:rPr>
        <w:t xml:space="preserve"> </w:t>
      </w:r>
      <w:r>
        <w:rPr>
          <w:rFonts w:hint="eastAsia" w:ascii="宋体" w:hAnsi="宋体" w:eastAsia="宋体" w:cs="宋体"/>
          <w:sz w:val="24"/>
          <w:lang w:val="zh-CN"/>
        </w:rPr>
        <w:t>综合评审记录要突出重点、抓住关键（核</w:t>
      </w:r>
      <w:r>
        <w:rPr>
          <w:rFonts w:hint="eastAsia" w:ascii="宋体" w:hAnsi="宋体" w:eastAsia="宋体" w:cs="宋体"/>
          <w:bCs/>
          <w:sz w:val="24"/>
          <w:szCs w:val="24"/>
        </w:rPr>
        <w:t>心）、真实准确、简明扼要，体现公平、公正、合理。</w:t>
      </w:r>
    </w:p>
    <w:p w14:paraId="63DA3CAC">
      <w:pPr>
        <w:autoSpaceDE w:val="0"/>
        <w:autoSpaceDN w:val="0"/>
        <w:adjustRightInd w:val="0"/>
        <w:spacing w:line="360" w:lineRule="auto"/>
        <w:ind w:firstLine="480"/>
        <w:rPr>
          <w:rFonts w:ascii="宋体" w:hAnsi="宋体" w:cs="宋体"/>
          <w:bCs/>
          <w:sz w:val="24"/>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.5.</w:t>
      </w:r>
      <w:r>
        <w:rPr>
          <w:rFonts w:hint="eastAsia" w:ascii="宋体" w:hAnsi="宋体" w:cs="宋体"/>
          <w:b/>
          <w:sz w:val="24"/>
        </w:rPr>
        <w:t>7</w:t>
      </w:r>
      <w:r>
        <w:rPr>
          <w:rFonts w:hint="eastAsia" w:ascii="宋体" w:hAnsi="宋体" w:cs="宋体"/>
          <w:b/>
          <w:sz w:val="24"/>
          <w:lang w:val="zh-CN"/>
        </w:rPr>
        <w:t>.</w:t>
      </w:r>
      <w:r>
        <w:rPr>
          <w:rFonts w:hint="eastAsia" w:ascii="宋体" w:hAnsi="宋体" w:cs="宋体"/>
          <w:b/>
          <w:sz w:val="24"/>
        </w:rPr>
        <w:t>5</w:t>
      </w:r>
      <w:r>
        <w:rPr>
          <w:rFonts w:hint="eastAsia" w:ascii="宋体" w:hAnsi="宋体" w:cs="宋体"/>
          <w:b/>
          <w:sz w:val="24"/>
          <w:lang w:val="zh-CN"/>
        </w:rPr>
        <w:t xml:space="preserve"> 比较与评价</w:t>
      </w:r>
    </w:p>
    <w:p w14:paraId="60FF6B5E">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bCs/>
          <w:sz w:val="24"/>
        </w:rPr>
        <w:t>综合评标时，评标委员会各成员应当对每一个有效</w:t>
      </w:r>
      <w:r>
        <w:rPr>
          <w:rFonts w:hint="eastAsia" w:ascii="宋体" w:hAnsi="宋体" w:cs="宋体"/>
          <w:bCs/>
          <w:sz w:val="24"/>
          <w:lang w:eastAsia="zh-CN"/>
        </w:rPr>
        <w:t>投标人</w:t>
      </w:r>
      <w:r>
        <w:rPr>
          <w:rFonts w:hint="eastAsia" w:ascii="宋体" w:hAnsi="宋体" w:cs="宋体"/>
          <w:bCs/>
          <w:sz w:val="24"/>
        </w:rPr>
        <w:t>的投标文件，</w:t>
      </w:r>
      <w:r>
        <w:rPr>
          <w:rFonts w:hint="eastAsia" w:ascii="宋体" w:hAnsi="宋体" w:cs="宋体"/>
          <w:sz w:val="24"/>
          <w:lang w:val="zh-CN"/>
        </w:rPr>
        <w:t>根据招标文件中要求的产品价格、技术、性能、质量及质检认证、环保节能、财务状况、信誉、业绩、服务、培训、货物供应及对招标文件的响应程度等指标，进行具体评估。</w:t>
      </w:r>
    </w:p>
    <w:p w14:paraId="647DF295">
      <w:pPr>
        <w:autoSpaceDE w:val="0"/>
        <w:autoSpaceDN w:val="0"/>
        <w:adjustRightInd w:val="0"/>
        <w:spacing w:line="360" w:lineRule="auto"/>
        <w:ind w:firstLine="480"/>
        <w:rPr>
          <w:rFonts w:ascii="宋体" w:hAnsi="宋体" w:cs="宋体"/>
          <w:bCs/>
          <w:sz w:val="24"/>
        </w:rPr>
      </w:pPr>
      <w:r>
        <w:rPr>
          <w:rFonts w:hint="eastAsia" w:ascii="宋体" w:hAnsi="宋体" w:cs="宋体"/>
          <w:sz w:val="24"/>
        </w:rPr>
        <w:t>2、</w:t>
      </w:r>
      <w:r>
        <w:rPr>
          <w:rFonts w:hint="eastAsia" w:ascii="宋体" w:hAnsi="宋体" w:cs="宋体"/>
          <w:sz w:val="24"/>
          <w:lang w:val="zh-CN"/>
        </w:rPr>
        <w:t>评标委员会成员应独立按照对每一个投标人所投产品的最终报价、设备选型、配置及性能指标、质检认证报告、环保节能、售后服务体系、培训计划、货物供应、财务能力和状况、类似业绩等因素的具体综合评估，进行比较与评价。</w:t>
      </w:r>
    </w:p>
    <w:p w14:paraId="1F11D0A5">
      <w:pPr>
        <w:autoSpaceDE w:val="0"/>
        <w:autoSpaceDN w:val="0"/>
        <w:adjustRightInd w:val="0"/>
        <w:spacing w:line="360" w:lineRule="auto"/>
        <w:ind w:firstLine="480"/>
        <w:rPr>
          <w:rFonts w:ascii="宋体" w:hAnsi="宋体" w:cs="宋体"/>
          <w:bCs/>
          <w:sz w:val="24"/>
        </w:rPr>
      </w:pPr>
      <w:r>
        <w:rPr>
          <w:rFonts w:hint="eastAsia" w:ascii="宋体" w:hAnsi="宋体" w:cs="宋体"/>
          <w:b/>
          <w:sz w:val="24"/>
          <w:lang w:val="zh-CN"/>
        </w:rPr>
        <w:t>2</w:t>
      </w:r>
      <w:r>
        <w:rPr>
          <w:rFonts w:hint="eastAsia" w:ascii="宋体" w:hAnsi="宋体" w:cs="宋体"/>
          <w:b/>
          <w:sz w:val="24"/>
        </w:rPr>
        <w:t>1</w:t>
      </w:r>
      <w:r>
        <w:rPr>
          <w:rFonts w:hint="eastAsia" w:ascii="宋体" w:hAnsi="宋体" w:cs="宋体"/>
          <w:b/>
          <w:sz w:val="24"/>
          <w:lang w:val="zh-CN"/>
        </w:rPr>
        <w:t>.5.</w:t>
      </w:r>
      <w:r>
        <w:rPr>
          <w:rFonts w:hint="eastAsia" w:ascii="宋体" w:hAnsi="宋体" w:cs="宋体"/>
          <w:b/>
          <w:sz w:val="24"/>
        </w:rPr>
        <w:t>8</w:t>
      </w:r>
      <w:r>
        <w:rPr>
          <w:rFonts w:hint="eastAsia" w:ascii="宋体" w:hAnsi="宋体" w:cs="宋体"/>
          <w:b/>
          <w:sz w:val="24"/>
          <w:lang w:val="zh-CN"/>
        </w:rPr>
        <w:t xml:space="preserve"> 综合评分法的原则、方法和标准</w:t>
      </w:r>
    </w:p>
    <w:p w14:paraId="702231A2">
      <w:pPr>
        <w:spacing w:line="360" w:lineRule="auto"/>
        <w:ind w:firstLine="480" w:firstLineChars="20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8</w:t>
      </w:r>
      <w:r>
        <w:rPr>
          <w:rFonts w:hint="eastAsia" w:ascii="宋体" w:hAnsi="宋体" w:cs="宋体"/>
          <w:sz w:val="24"/>
          <w:lang w:val="zh-CN"/>
        </w:rPr>
        <w:t>.1</w:t>
      </w:r>
      <w:r>
        <w:rPr>
          <w:rFonts w:hint="eastAsia" w:ascii="宋体" w:hAnsi="宋体" w:cs="宋体"/>
          <w:bCs/>
          <w:sz w:val="24"/>
          <w:szCs w:val="24"/>
        </w:rPr>
        <w:t>采用综合评分法，是指在最大限度地满足招标文件实质性要求前提下，按照招标文件中规定的各项因素进行综合评审后，以评分得分最高的投标人作为中标候选投标人或者中标投标人的评标方法。</w:t>
      </w:r>
    </w:p>
    <w:p w14:paraId="3895EFF1">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8</w:t>
      </w:r>
      <w:r>
        <w:rPr>
          <w:rFonts w:hint="eastAsia" w:ascii="宋体" w:hAnsi="宋体" w:cs="宋体"/>
          <w:sz w:val="24"/>
          <w:lang w:val="zh-CN"/>
        </w:rPr>
        <w:t>.2</w:t>
      </w:r>
      <w:r>
        <w:rPr>
          <w:rFonts w:hint="eastAsia" w:ascii="宋体" w:hAnsi="宋体" w:cs="宋体"/>
          <w:sz w:val="24"/>
          <w:szCs w:val="24"/>
        </w:rPr>
        <w:t xml:space="preserve"> </w:t>
      </w:r>
      <w:r>
        <w:rPr>
          <w:rFonts w:hint="eastAsia" w:ascii="宋体" w:hAnsi="宋体" w:cs="宋体"/>
          <w:sz w:val="24"/>
          <w:lang w:val="zh-CN"/>
        </w:rPr>
        <w:t>综合评分方法：评标委员会成员</w:t>
      </w:r>
      <w:r>
        <w:rPr>
          <w:rFonts w:hint="eastAsia" w:ascii="宋体" w:hAnsi="宋体" w:cs="宋体"/>
          <w:sz w:val="24"/>
          <w:szCs w:val="24"/>
        </w:rPr>
        <w:t>应按照独立综合评审原则，根据对招标</w:t>
      </w:r>
      <w:r>
        <w:rPr>
          <w:rFonts w:hint="eastAsia" w:ascii="宋体" w:hAnsi="宋体" w:cs="宋体"/>
          <w:sz w:val="24"/>
          <w:lang w:val="zh-CN"/>
        </w:rPr>
        <w:t>文件的响应程度和具体评标</w:t>
      </w:r>
      <w:r>
        <w:rPr>
          <w:rFonts w:hint="eastAsia" w:ascii="宋体" w:hAnsi="宋体" w:cs="宋体"/>
          <w:sz w:val="24"/>
          <w:szCs w:val="24"/>
        </w:rPr>
        <w:t>情况，</w:t>
      </w:r>
      <w:r>
        <w:rPr>
          <w:rFonts w:hint="eastAsia" w:ascii="宋体" w:hAnsi="宋体" w:cs="宋体"/>
          <w:sz w:val="24"/>
          <w:lang w:val="zh-CN"/>
        </w:rPr>
        <w:t>独立对具体投标文件的商务和技术指标进行评估和综合比较与评价后，独立（或集体）发表综合评审（议）意见，对每一个投标人做出打分决定；经政采云系统自动核对汇总核对和汇总后，按得高分原则，由高到低进行排序后，</w:t>
      </w:r>
      <w:r>
        <w:rPr>
          <w:rFonts w:hint="eastAsia" w:ascii="宋体" w:hAnsi="宋体" w:cs="宋体"/>
          <w:sz w:val="24"/>
        </w:rPr>
        <w:t>最后根据评标委员会各成员签署的打分结果，得出评标结论。</w:t>
      </w:r>
    </w:p>
    <w:p w14:paraId="14B53CE2">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8</w:t>
      </w:r>
      <w:r>
        <w:rPr>
          <w:rFonts w:hint="eastAsia" w:ascii="宋体" w:hAnsi="宋体" w:cs="宋体"/>
          <w:sz w:val="24"/>
          <w:lang w:val="zh-CN"/>
        </w:rPr>
        <w:t>.3 评标时，评标委员会各成员应当独立对每个有效投标人的投标文件进行评价、打分，然后由政采云系统自动核对汇总</w:t>
      </w:r>
      <w:r>
        <w:rPr>
          <w:rFonts w:hint="eastAsia" w:ascii="宋体" w:hAnsi="宋体" w:cs="宋体"/>
          <w:sz w:val="24"/>
          <w:szCs w:val="22"/>
          <w:lang w:val="zh-CN"/>
        </w:rPr>
        <w:t>核对汇总出每</w:t>
      </w:r>
      <w:r>
        <w:rPr>
          <w:rFonts w:hint="eastAsia" w:ascii="宋体" w:hAnsi="宋体" w:cs="宋体"/>
          <w:sz w:val="24"/>
          <w:lang w:val="zh-CN"/>
        </w:rPr>
        <w:t>个投标人每项评分因素的得分。</w:t>
      </w:r>
    </w:p>
    <w:p w14:paraId="1915FA7A">
      <w:pPr>
        <w:autoSpaceDE w:val="0"/>
        <w:autoSpaceDN w:val="0"/>
        <w:adjustRightInd w:val="0"/>
        <w:spacing w:line="360" w:lineRule="auto"/>
        <w:ind w:firstLine="480"/>
        <w:rPr>
          <w:rFonts w:ascii="宋体" w:hAnsi="宋体" w:cs="宋体"/>
          <w:bCs/>
          <w:sz w:val="24"/>
          <w:szCs w:val="24"/>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.5.</w:t>
      </w:r>
      <w:r>
        <w:rPr>
          <w:rFonts w:hint="eastAsia" w:ascii="宋体" w:hAnsi="宋体" w:cs="宋体"/>
          <w:sz w:val="24"/>
        </w:rPr>
        <w:t>8</w:t>
      </w:r>
      <w:r>
        <w:rPr>
          <w:rFonts w:hint="eastAsia" w:ascii="宋体" w:hAnsi="宋体" w:cs="宋体"/>
          <w:sz w:val="24"/>
          <w:lang w:val="zh-CN"/>
        </w:rPr>
        <w:t xml:space="preserve">.4 </w:t>
      </w:r>
      <w:r>
        <w:rPr>
          <w:rFonts w:hint="eastAsia" w:ascii="宋体" w:hAnsi="宋体" w:eastAsia="宋体" w:cs="宋体"/>
          <w:sz w:val="24"/>
          <w:lang w:val="zh-CN"/>
        </w:rPr>
        <w:t>综合评分，应严格遵守前款“</w:t>
      </w:r>
      <w:r>
        <w:rPr>
          <w:rFonts w:hint="eastAsia" w:ascii="宋体" w:hAnsi="宋体" w:eastAsia="宋体" w:cs="宋体"/>
          <w:bCs/>
          <w:sz w:val="24"/>
          <w:lang w:val="zh-CN"/>
        </w:rPr>
        <w:t>24.5.8</w:t>
      </w:r>
      <w:r>
        <w:rPr>
          <w:rFonts w:hint="eastAsia" w:ascii="宋体" w:hAnsi="宋体" w:eastAsia="宋体" w:cs="宋体"/>
          <w:bCs/>
          <w:sz w:val="24"/>
        </w:rPr>
        <w:t xml:space="preserve"> 综合评审”条款之规定。</w:t>
      </w:r>
      <w:r>
        <w:rPr>
          <w:rFonts w:hint="eastAsia" w:ascii="宋体" w:hAnsi="宋体" w:eastAsia="宋体" w:cs="宋体"/>
          <w:bCs/>
          <w:sz w:val="24"/>
          <w:lang w:val="zh-CN"/>
        </w:rPr>
        <w:t>否则，经核实后，</w:t>
      </w:r>
      <w:r>
        <w:rPr>
          <w:rFonts w:hint="eastAsia" w:ascii="宋体" w:hAnsi="宋体" w:eastAsia="宋体" w:cs="宋体"/>
          <w:bCs/>
          <w:sz w:val="24"/>
          <w:szCs w:val="24"/>
        </w:rPr>
        <w:t>将按前款“第五部分”中“第四章”的21.3条款之规定执行</w:t>
      </w:r>
      <w:r>
        <w:rPr>
          <w:rFonts w:hint="eastAsia" w:ascii="宋体" w:hAnsi="宋体" w:cs="宋体"/>
          <w:bCs/>
          <w:sz w:val="24"/>
          <w:szCs w:val="24"/>
        </w:rPr>
        <w:t>。</w:t>
      </w:r>
    </w:p>
    <w:p w14:paraId="2075542C">
      <w:pPr>
        <w:tabs>
          <w:tab w:val="left" w:pos="8280"/>
        </w:tabs>
        <w:spacing w:line="360" w:lineRule="auto"/>
        <w:ind w:right="-1" w:firstLine="540" w:firstLineChars="225"/>
        <w:rPr>
          <w:rFonts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bCs/>
          <w:sz w:val="24"/>
          <w:lang w:val="zh-CN"/>
        </w:rPr>
        <w:t>.5.</w:t>
      </w:r>
      <w:r>
        <w:rPr>
          <w:rFonts w:hint="eastAsia" w:ascii="宋体" w:hAnsi="宋体" w:cs="宋体"/>
          <w:bCs/>
          <w:sz w:val="24"/>
        </w:rPr>
        <w:t>8</w:t>
      </w:r>
      <w:r>
        <w:rPr>
          <w:rFonts w:hint="eastAsia" w:ascii="宋体" w:hAnsi="宋体" w:cs="宋体"/>
          <w:bCs/>
          <w:sz w:val="24"/>
          <w:lang w:val="zh-CN"/>
        </w:rPr>
        <w:t>.5 评标委员会各成员要按照采购人规定格式，将每一个投标人的综合评审意见、打分结果、推荐理由等进行署名</w:t>
      </w:r>
      <w:r>
        <w:rPr>
          <w:rFonts w:hint="eastAsia" w:ascii="宋体" w:hAnsi="宋体" w:cs="宋体"/>
          <w:sz w:val="24"/>
          <w:lang w:val="zh-CN"/>
        </w:rPr>
        <w:t>。</w:t>
      </w:r>
    </w:p>
    <w:p w14:paraId="7136B467">
      <w:pPr>
        <w:spacing w:line="360" w:lineRule="auto"/>
        <w:ind w:firstLine="482" w:firstLineChars="200"/>
        <w:rPr>
          <w:rFonts w:ascii="宋体" w:hAnsi="宋体" w:cs="宋体"/>
          <w:b/>
          <w:sz w:val="32"/>
          <w:szCs w:val="32"/>
        </w:rPr>
      </w:pPr>
      <w:r>
        <w:rPr>
          <w:rFonts w:hint="eastAsia" w:ascii="宋体" w:hAnsi="宋体" w:cs="宋体"/>
          <w:b/>
          <w:sz w:val="24"/>
          <w:szCs w:val="24"/>
          <w:lang w:val="zh-CN"/>
        </w:rPr>
        <w:t>2</w:t>
      </w:r>
      <w:r>
        <w:rPr>
          <w:rFonts w:hint="eastAsia" w:ascii="宋体" w:hAnsi="宋体" w:cs="宋体"/>
          <w:b/>
          <w:sz w:val="24"/>
          <w:szCs w:val="24"/>
        </w:rPr>
        <w:t>1</w:t>
      </w:r>
      <w:r>
        <w:rPr>
          <w:rFonts w:hint="eastAsia" w:ascii="宋体" w:hAnsi="宋体" w:cs="宋体"/>
          <w:b/>
          <w:sz w:val="24"/>
          <w:szCs w:val="24"/>
          <w:lang w:val="zh-CN"/>
        </w:rPr>
        <w:t>.5.</w:t>
      </w:r>
      <w:r>
        <w:rPr>
          <w:rFonts w:hint="eastAsia" w:ascii="宋体" w:hAnsi="宋体" w:cs="宋体"/>
          <w:b/>
          <w:sz w:val="24"/>
          <w:szCs w:val="24"/>
        </w:rPr>
        <w:t>8</w:t>
      </w:r>
      <w:r>
        <w:rPr>
          <w:rFonts w:hint="eastAsia" w:ascii="宋体" w:hAnsi="宋体" w:cs="宋体"/>
          <w:b/>
          <w:sz w:val="24"/>
          <w:szCs w:val="24"/>
          <w:lang w:val="zh-CN"/>
        </w:rPr>
        <w:t>.</w:t>
      </w:r>
      <w:r>
        <w:rPr>
          <w:rFonts w:hint="eastAsia" w:ascii="宋体" w:hAnsi="宋体" w:cs="宋体"/>
          <w:b/>
          <w:sz w:val="24"/>
          <w:szCs w:val="24"/>
        </w:rPr>
        <w:t>6</w:t>
      </w:r>
      <w:r>
        <w:rPr>
          <w:rFonts w:hint="eastAsia" w:ascii="宋体" w:hAnsi="宋体" w:cs="宋体"/>
          <w:b/>
          <w:sz w:val="24"/>
        </w:rPr>
        <w:t xml:space="preserve"> 综合评分原则</w:t>
      </w:r>
    </w:p>
    <w:p w14:paraId="7BBA7050">
      <w:pPr>
        <w:spacing w:line="360" w:lineRule="auto"/>
        <w:ind w:firstLine="480" w:firstLineChars="200"/>
        <w:rPr>
          <w:rFonts w:ascii="宋体" w:hAnsi="宋体" w:cs="宋体"/>
          <w:bCs/>
          <w:sz w:val="32"/>
          <w:szCs w:val="32"/>
        </w:rPr>
      </w:pPr>
      <w:r>
        <w:rPr>
          <w:rFonts w:hint="eastAsia" w:ascii="宋体" w:hAnsi="宋体" w:cs="宋体"/>
          <w:sz w:val="24"/>
        </w:rPr>
        <w:t>1、评标委员会依据《评标（分）记录明细表》对投标文件进行比较与评价，并进行打分和汇总。</w:t>
      </w:r>
    </w:p>
    <w:p w14:paraId="6860004B">
      <w:pPr>
        <w:spacing w:line="360" w:lineRule="auto"/>
        <w:ind w:firstLine="480" w:firstLineChars="200"/>
        <w:rPr>
          <w:rFonts w:ascii="宋体" w:hAnsi="宋体" w:cs="宋体"/>
          <w:b/>
          <w:sz w:val="32"/>
          <w:szCs w:val="32"/>
        </w:rPr>
      </w:pPr>
      <w:r>
        <w:rPr>
          <w:rFonts w:hint="eastAsia" w:ascii="宋体" w:hAnsi="宋体" w:cs="宋体"/>
          <w:sz w:val="24"/>
          <w:szCs w:val="24"/>
        </w:rPr>
        <w:t>2、评标委员会小组成员评标、打分时不得协商，应独立完成。</w:t>
      </w:r>
    </w:p>
    <w:p w14:paraId="06533AC2">
      <w:pPr>
        <w:spacing w:line="360" w:lineRule="auto"/>
        <w:ind w:firstLine="480" w:firstLineChars="200"/>
        <w:rPr>
          <w:rFonts w:ascii="宋体" w:hAnsi="宋体" w:cs="宋体"/>
          <w:b/>
          <w:sz w:val="32"/>
          <w:szCs w:val="32"/>
        </w:rPr>
      </w:pPr>
      <w:r>
        <w:rPr>
          <w:rFonts w:hint="eastAsia" w:ascii="宋体" w:hAnsi="宋体" w:cs="宋体"/>
          <w:sz w:val="24"/>
          <w:szCs w:val="24"/>
        </w:rPr>
        <w:t>3、未满足招标文件要求的投标方，不予评分。</w:t>
      </w:r>
    </w:p>
    <w:p w14:paraId="31B1AE43">
      <w:pPr>
        <w:spacing w:line="360" w:lineRule="auto"/>
        <w:ind w:firstLine="480" w:firstLineChars="200"/>
        <w:rPr>
          <w:rFonts w:ascii="宋体" w:hAnsi="宋体" w:cs="宋体"/>
          <w:b/>
          <w:sz w:val="32"/>
          <w:szCs w:val="32"/>
        </w:rPr>
      </w:pPr>
      <w:r>
        <w:rPr>
          <w:rFonts w:hint="eastAsia" w:ascii="宋体" w:hAnsi="宋体" w:cs="宋体"/>
          <w:sz w:val="24"/>
          <w:szCs w:val="24"/>
        </w:rPr>
        <w:t>4、评标打分应当按照技术部分、商务部分、报价部分的顺序进行，打分可保留两位小数。</w:t>
      </w:r>
    </w:p>
    <w:p w14:paraId="2C1EFB10">
      <w:pPr>
        <w:spacing w:line="360" w:lineRule="auto"/>
        <w:ind w:firstLine="480" w:firstLineChars="200"/>
        <w:rPr>
          <w:rFonts w:ascii="宋体" w:hAnsi="宋体" w:cs="宋体"/>
          <w:b/>
          <w:sz w:val="32"/>
          <w:szCs w:val="32"/>
        </w:rPr>
      </w:pPr>
      <w:r>
        <w:rPr>
          <w:rFonts w:hint="eastAsia" w:ascii="宋体" w:hAnsi="宋体" w:cs="宋体"/>
          <w:sz w:val="24"/>
          <w:szCs w:val="24"/>
        </w:rPr>
        <w:t>5、技术、商务部分应按各小项分档打分，投标文件中各小项指标相近的，打分应属同一档次。在采购人同意的情况下，允许评标委员会小组各成员根据招标书文件部分要求的技术、功能和</w:t>
      </w:r>
      <w:r>
        <w:rPr>
          <w:rFonts w:hint="eastAsia" w:ascii="宋体" w:hAnsi="宋体" w:cs="宋体"/>
          <w:bCs/>
          <w:sz w:val="24"/>
          <w:szCs w:val="24"/>
          <w:lang w:val="zh-CN"/>
        </w:rPr>
        <w:t>《</w:t>
      </w:r>
      <w:r>
        <w:rPr>
          <w:rFonts w:hint="eastAsia" w:ascii="宋体" w:hAnsi="宋体" w:cs="宋体"/>
          <w:bCs/>
          <w:sz w:val="24"/>
          <w:szCs w:val="24"/>
        </w:rPr>
        <w:t>评标（分）记录明细表》</w:t>
      </w:r>
      <w:r>
        <w:rPr>
          <w:rFonts w:hint="eastAsia" w:ascii="宋体" w:hAnsi="宋体" w:cs="宋体"/>
          <w:sz w:val="24"/>
          <w:szCs w:val="24"/>
        </w:rPr>
        <w:t>表格部分的性能指标要求，可以按各投标文件（投标书和产品技术说明书）实际情况在档次打分范围内调整分值。</w:t>
      </w:r>
    </w:p>
    <w:p w14:paraId="4080EB9C">
      <w:pPr>
        <w:spacing w:line="360" w:lineRule="auto"/>
        <w:ind w:firstLine="573"/>
        <w:rPr>
          <w:rFonts w:ascii="宋体" w:hAnsi="宋体" w:cs="宋体"/>
          <w:sz w:val="24"/>
          <w:szCs w:val="24"/>
        </w:rPr>
      </w:pPr>
      <w:r>
        <w:rPr>
          <w:rFonts w:hint="eastAsia" w:ascii="宋体" w:hAnsi="宋体" w:cs="宋体"/>
          <w:sz w:val="24"/>
          <w:szCs w:val="24"/>
        </w:rPr>
        <w:t>6、打分采取百分制。</w:t>
      </w:r>
    </w:p>
    <w:p w14:paraId="5B02BCAE">
      <w:pPr>
        <w:tabs>
          <w:tab w:val="left" w:pos="8280"/>
        </w:tabs>
        <w:spacing w:line="360" w:lineRule="auto"/>
        <w:ind w:right="-1" w:firstLine="540" w:firstLineChars="225"/>
        <w:rPr>
          <w:rFonts w:ascii="宋体" w:hAnsi="宋体" w:cs="宋体"/>
          <w:sz w:val="24"/>
          <w:szCs w:val="24"/>
        </w:rPr>
      </w:pPr>
      <w:r>
        <w:rPr>
          <w:rFonts w:hint="eastAsia" w:ascii="宋体" w:hAnsi="宋体" w:cs="宋体"/>
          <w:sz w:val="24"/>
          <w:szCs w:val="24"/>
        </w:rPr>
        <w:t>7、</w:t>
      </w:r>
      <w:r>
        <w:rPr>
          <w:rFonts w:hint="eastAsia" w:ascii="宋体" w:hAnsi="宋体" w:cs="宋体"/>
          <w:sz w:val="24"/>
          <w:lang w:val="zh-CN"/>
        </w:rPr>
        <w:t>由采购代理机构核对录入和汇总计算出每一个投标人的所得分数值，</w:t>
      </w:r>
      <w:r>
        <w:rPr>
          <w:rFonts w:hint="eastAsia" w:ascii="宋体" w:hAnsi="宋体" w:cs="宋体"/>
          <w:sz w:val="24"/>
          <w:szCs w:val="24"/>
        </w:rPr>
        <w:t>并由高到底排序后，须有评标委员会小组各成员署名确认。如出现得分相同的，</w:t>
      </w:r>
      <w:r>
        <w:rPr>
          <w:rFonts w:hint="eastAsia" w:ascii="宋体" w:hAnsi="宋体" w:cs="宋体"/>
          <w:sz w:val="24"/>
          <w:lang w:val="zh-CN"/>
        </w:rPr>
        <w:t>应按投标人的报价由低到高顺序排列；得分且其报价相等的，则按核心技术指标优劣顺序排列。价格、技术指标的高</w:t>
      </w:r>
      <w:r>
        <w:rPr>
          <w:rFonts w:hint="eastAsia" w:ascii="宋体" w:hAnsi="宋体" w:cs="宋体"/>
          <w:sz w:val="24"/>
          <w:szCs w:val="24"/>
        </w:rPr>
        <w:t>低或优劣由评标委员各成员确认评定。</w:t>
      </w:r>
    </w:p>
    <w:p w14:paraId="5027588B">
      <w:pPr>
        <w:autoSpaceDE w:val="0"/>
        <w:autoSpaceDN w:val="0"/>
        <w:adjustRightInd w:val="0"/>
        <w:spacing w:line="360" w:lineRule="auto"/>
        <w:ind w:firstLine="480"/>
        <w:rPr>
          <w:rFonts w:ascii="宋体" w:hAnsi="宋体" w:cs="宋体"/>
          <w:sz w:val="24"/>
          <w:szCs w:val="24"/>
        </w:rPr>
      </w:pPr>
      <w:r>
        <w:rPr>
          <w:rFonts w:hint="eastAsia" w:ascii="宋体" w:hAnsi="宋体" w:cs="宋体"/>
          <w:sz w:val="24"/>
          <w:szCs w:val="24"/>
        </w:rPr>
        <w:t>8、</w:t>
      </w:r>
      <w:r>
        <w:rPr>
          <w:rFonts w:hint="eastAsia" w:ascii="宋体" w:hAnsi="宋体" w:eastAsia="宋体" w:cs="宋体"/>
          <w:sz w:val="24"/>
          <w:szCs w:val="24"/>
        </w:rPr>
        <w:t>若发现打分有误或者有差错的，或发现存在个人印象或带有明显倾向性时，将按前款</w:t>
      </w:r>
      <w:r>
        <w:rPr>
          <w:rFonts w:hint="eastAsia" w:ascii="宋体" w:hAnsi="宋体" w:eastAsia="宋体" w:cs="宋体"/>
          <w:bCs/>
          <w:sz w:val="24"/>
          <w:szCs w:val="24"/>
        </w:rPr>
        <w:t>“第五部分”中“第四章”的21.3条款之规定</w:t>
      </w:r>
      <w:r>
        <w:rPr>
          <w:rFonts w:hint="eastAsia" w:ascii="宋体" w:hAnsi="宋体" w:eastAsia="宋体" w:cs="宋体"/>
          <w:sz w:val="24"/>
          <w:szCs w:val="24"/>
        </w:rPr>
        <w:t>执行</w:t>
      </w:r>
      <w:r>
        <w:rPr>
          <w:rFonts w:hint="eastAsia" w:ascii="宋体" w:hAnsi="宋体" w:cs="宋体"/>
          <w:sz w:val="24"/>
          <w:szCs w:val="24"/>
        </w:rPr>
        <w:t>。</w:t>
      </w:r>
    </w:p>
    <w:p w14:paraId="14D9B541">
      <w:pPr>
        <w:spacing w:line="360" w:lineRule="auto"/>
        <w:ind w:firstLine="482" w:firstLineChars="200"/>
        <w:rPr>
          <w:rFonts w:ascii="宋体" w:hAnsi="宋体" w:cs="宋体"/>
          <w:b/>
          <w:sz w:val="24"/>
          <w:szCs w:val="24"/>
        </w:rPr>
      </w:pPr>
      <w:r>
        <w:rPr>
          <w:rFonts w:hint="eastAsia" w:ascii="宋体" w:hAnsi="宋体" w:cs="宋体"/>
          <w:b/>
          <w:sz w:val="24"/>
          <w:szCs w:val="24"/>
          <w:lang w:val="zh-CN"/>
        </w:rPr>
        <w:t>2</w:t>
      </w:r>
      <w:r>
        <w:rPr>
          <w:rFonts w:hint="eastAsia" w:ascii="宋体" w:hAnsi="宋体" w:cs="宋体"/>
          <w:b/>
          <w:sz w:val="24"/>
          <w:szCs w:val="24"/>
        </w:rPr>
        <w:t>1</w:t>
      </w:r>
      <w:r>
        <w:rPr>
          <w:rFonts w:hint="eastAsia" w:ascii="宋体" w:hAnsi="宋体" w:cs="宋体"/>
          <w:b/>
          <w:sz w:val="24"/>
          <w:szCs w:val="24"/>
          <w:lang w:val="zh-CN"/>
        </w:rPr>
        <w:t>.5.</w:t>
      </w:r>
      <w:r>
        <w:rPr>
          <w:rFonts w:hint="eastAsia" w:ascii="宋体" w:hAnsi="宋体" w:cs="宋体"/>
          <w:b/>
          <w:sz w:val="24"/>
          <w:szCs w:val="24"/>
        </w:rPr>
        <w:t>8</w:t>
      </w:r>
      <w:r>
        <w:rPr>
          <w:rFonts w:hint="eastAsia" w:ascii="宋体" w:hAnsi="宋体" w:cs="宋体"/>
          <w:b/>
          <w:sz w:val="24"/>
          <w:szCs w:val="24"/>
          <w:lang w:val="zh-CN"/>
        </w:rPr>
        <w:t>.</w:t>
      </w:r>
      <w:r>
        <w:rPr>
          <w:rFonts w:hint="eastAsia" w:ascii="宋体" w:hAnsi="宋体" w:cs="宋体"/>
          <w:b/>
          <w:sz w:val="24"/>
          <w:szCs w:val="24"/>
        </w:rPr>
        <w:t>7 《评标（分）记录明细表》</w:t>
      </w:r>
    </w:p>
    <w:p w14:paraId="3E4E11C2">
      <w:pPr>
        <w:spacing w:line="360" w:lineRule="auto"/>
        <w:ind w:firstLine="480" w:firstLineChars="200"/>
      </w:pPr>
      <w:r>
        <w:rPr>
          <w:rFonts w:hint="eastAsia" w:ascii="宋体" w:hAnsi="宋体" w:cs="宋体"/>
          <w:sz w:val="24"/>
          <w:szCs w:val="24"/>
        </w:rPr>
        <w:t>评标委员会各成员记录原则上不允许有涂改、划擦等，如有应按合规方式修正。不允许在采购代理机构核对汇总且确认之后，在未经许可时，不能再要回重新记录。</w:t>
      </w:r>
    </w:p>
    <w:p w14:paraId="61A5A49A">
      <w:pPr>
        <w:pStyle w:val="34"/>
        <w:spacing w:before="0" w:after="0" w:line="360" w:lineRule="auto"/>
        <w:ind w:firstLine="0"/>
        <w:jc w:val="center"/>
        <w:rPr>
          <w:rFonts w:ascii="宋体" w:hAnsi="宋体" w:cs="宋体"/>
          <w:b/>
          <w:sz w:val="32"/>
          <w:szCs w:val="32"/>
        </w:rPr>
      </w:pPr>
    </w:p>
    <w:p w14:paraId="50F0D20B">
      <w:pPr>
        <w:pStyle w:val="7"/>
        <w:spacing w:line="500" w:lineRule="exact"/>
        <w:jc w:val="center"/>
        <w:rPr>
          <w:rFonts w:hint="eastAsia"/>
          <w:b/>
          <w:bCs/>
          <w:color w:val="auto"/>
          <w:sz w:val="28"/>
          <w:szCs w:val="28"/>
          <w:highlight w:val="none"/>
        </w:rPr>
      </w:pPr>
      <w:r>
        <w:rPr>
          <w:rFonts w:hint="eastAsia"/>
          <w:b/>
          <w:bCs/>
          <w:color w:val="auto"/>
          <w:sz w:val="28"/>
          <w:szCs w:val="28"/>
          <w:highlight w:val="none"/>
        </w:rPr>
        <w:t>技术部分（</w:t>
      </w:r>
      <w:r>
        <w:rPr>
          <w:rFonts w:hint="eastAsia" w:eastAsia="宋体"/>
          <w:b/>
          <w:bCs/>
          <w:color w:val="auto"/>
          <w:sz w:val="28"/>
          <w:szCs w:val="28"/>
          <w:highlight w:val="none"/>
        </w:rPr>
        <w:t>占总分值的50%</w:t>
      </w:r>
      <w:r>
        <w:rPr>
          <w:rFonts w:hint="eastAsia"/>
          <w:b/>
          <w:bCs/>
          <w:color w:val="auto"/>
          <w:sz w:val="28"/>
          <w:szCs w:val="28"/>
          <w:highlight w:val="none"/>
        </w:rPr>
        <w:t>）</w:t>
      </w:r>
    </w:p>
    <w:tbl>
      <w:tblPr>
        <w:tblStyle w:val="22"/>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748"/>
        <w:gridCol w:w="6979"/>
      </w:tblGrid>
      <w:tr w14:paraId="599EA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675" w:type="dxa"/>
            <w:noWrap w:val="0"/>
            <w:vAlign w:val="center"/>
          </w:tcPr>
          <w:p w14:paraId="5342E7E5">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序号</w:t>
            </w:r>
          </w:p>
        </w:tc>
        <w:tc>
          <w:tcPr>
            <w:tcW w:w="1560" w:type="dxa"/>
            <w:noWrap w:val="0"/>
            <w:vAlign w:val="center"/>
          </w:tcPr>
          <w:p w14:paraId="58FA533F">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评分因素</w:t>
            </w:r>
          </w:p>
        </w:tc>
        <w:tc>
          <w:tcPr>
            <w:tcW w:w="748" w:type="dxa"/>
            <w:noWrap w:val="0"/>
            <w:vAlign w:val="center"/>
          </w:tcPr>
          <w:p w14:paraId="02899C84">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分值</w:t>
            </w:r>
          </w:p>
        </w:tc>
        <w:tc>
          <w:tcPr>
            <w:tcW w:w="6979" w:type="dxa"/>
            <w:noWrap w:val="0"/>
            <w:vAlign w:val="center"/>
          </w:tcPr>
          <w:p w14:paraId="0545B937">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评分标准</w:t>
            </w:r>
          </w:p>
        </w:tc>
      </w:tr>
      <w:tr w14:paraId="36F32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2A406586">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1</w:t>
            </w:r>
          </w:p>
        </w:tc>
        <w:tc>
          <w:tcPr>
            <w:tcW w:w="1560" w:type="dxa"/>
            <w:noWrap w:val="0"/>
            <w:vAlign w:val="center"/>
          </w:tcPr>
          <w:p w14:paraId="1385A9D5">
            <w:pPr>
              <w:keepNext w:val="0"/>
              <w:keepLines w:val="0"/>
              <w:suppressLineNumbers w:val="0"/>
              <w:spacing w:before="0" w:beforeAutospacing="0" w:after="0" w:afterAutospacing="0" w:line="500" w:lineRule="exact"/>
              <w:ind w:left="0" w:right="0"/>
              <w:jc w:val="center"/>
              <w:rPr>
                <w:rFonts w:hint="default" w:cs="宋体"/>
                <w:szCs w:val="21"/>
              </w:rPr>
            </w:pPr>
            <w:r>
              <w:rPr>
                <w:rFonts w:hint="eastAsia" w:cs="宋体"/>
                <w:szCs w:val="21"/>
              </w:rPr>
              <w:t>工作部署及安排</w:t>
            </w:r>
          </w:p>
        </w:tc>
        <w:tc>
          <w:tcPr>
            <w:tcW w:w="748" w:type="dxa"/>
            <w:noWrap w:val="0"/>
            <w:vAlign w:val="center"/>
          </w:tcPr>
          <w:p w14:paraId="36E3C4DF">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15</w:t>
            </w:r>
          </w:p>
        </w:tc>
        <w:tc>
          <w:tcPr>
            <w:tcW w:w="6979" w:type="dxa"/>
            <w:noWrap w:val="0"/>
            <w:vAlign w:val="top"/>
          </w:tcPr>
          <w:p w14:paraId="45C7AAEE">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技术路线是否清晰、可行；工作阶段划分是否合理明强，根据以下几点进行综合评审；</w:t>
            </w:r>
          </w:p>
          <w:p w14:paraId="4B447A11">
            <w:pPr>
              <w:pStyle w:val="7"/>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1、技术路线清晰，总体工作部署合理，阶段划分明确得</w:t>
            </w:r>
            <w:r>
              <w:rPr>
                <w:rFonts w:hint="default" w:cs="宋体"/>
                <w:szCs w:val="21"/>
                <w:lang w:val="en-US"/>
              </w:rPr>
              <w:t>15</w:t>
            </w:r>
            <w:r>
              <w:rPr>
                <w:rFonts w:hint="eastAsia" w:cs="宋体"/>
                <w:szCs w:val="21"/>
              </w:rPr>
              <w:t>分；</w:t>
            </w:r>
          </w:p>
          <w:p w14:paraId="06F5E80F">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2、技术路线较清晰，总体工作部署较合理，阶段划分较合理得</w:t>
            </w:r>
            <w:r>
              <w:rPr>
                <w:rFonts w:hint="default" w:cs="宋体"/>
                <w:szCs w:val="21"/>
                <w:lang w:val="en-US"/>
              </w:rPr>
              <w:t>10</w:t>
            </w:r>
            <w:r>
              <w:rPr>
                <w:rFonts w:hint="eastAsia" w:cs="宋体"/>
                <w:szCs w:val="21"/>
              </w:rPr>
              <w:t>分；</w:t>
            </w:r>
          </w:p>
          <w:p w14:paraId="122BD4D3">
            <w:pPr>
              <w:pStyle w:val="7"/>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3、技术路线基本清晰，总体工作部署基本合理，阶段划分基本合理得</w:t>
            </w:r>
            <w:r>
              <w:rPr>
                <w:rFonts w:hint="eastAsia" w:cs="宋体"/>
                <w:color w:val="auto"/>
                <w:szCs w:val="21"/>
              </w:rPr>
              <w:t>5</w:t>
            </w:r>
            <w:r>
              <w:rPr>
                <w:rFonts w:hint="eastAsia" w:cs="宋体"/>
                <w:szCs w:val="21"/>
              </w:rPr>
              <w:t>分；</w:t>
            </w:r>
          </w:p>
          <w:p w14:paraId="32309777">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4、技术路线不清晰，工作部署及阶段划分不太合理得</w:t>
            </w:r>
            <w:r>
              <w:rPr>
                <w:rFonts w:hint="default" w:cs="宋体"/>
                <w:szCs w:val="21"/>
                <w:lang w:val="en-US"/>
              </w:rPr>
              <w:t>2</w:t>
            </w:r>
            <w:r>
              <w:rPr>
                <w:rFonts w:hint="eastAsia" w:cs="宋体"/>
                <w:szCs w:val="21"/>
              </w:rPr>
              <w:t>分</w:t>
            </w:r>
            <w:r>
              <w:rPr>
                <w:rFonts w:hint="eastAsia" w:cs="宋体"/>
                <w:szCs w:val="21"/>
                <w:lang w:eastAsia="zh-CN"/>
              </w:rPr>
              <w:t>；</w:t>
            </w:r>
          </w:p>
          <w:p w14:paraId="49263D9E">
            <w:pPr>
              <w:pStyle w:val="7"/>
              <w:keepNext w:val="0"/>
              <w:keepLines w:val="0"/>
              <w:numPr>
                <w:ilvl w:val="0"/>
                <w:numId w:val="0"/>
              </w:numPr>
              <w:suppressLineNumbers w:val="0"/>
              <w:spacing w:before="0" w:beforeAutospacing="0" w:after="0" w:afterAutospacing="0" w:line="500" w:lineRule="exact"/>
              <w:ind w:left="0" w:right="0"/>
              <w:rPr>
                <w:rFonts w:hint="eastAsia" w:cs="宋体"/>
                <w:szCs w:val="21"/>
              </w:rPr>
            </w:pPr>
            <w:r>
              <w:rPr>
                <w:rFonts w:hint="default" w:cs="宋体"/>
                <w:szCs w:val="21"/>
                <w:lang w:val="en-US"/>
              </w:rPr>
              <w:t>5</w:t>
            </w:r>
            <w:r>
              <w:rPr>
                <w:rFonts w:hint="eastAsia" w:cs="宋体"/>
                <w:szCs w:val="21"/>
                <w:lang w:val="en-US" w:eastAsia="zh-CN"/>
              </w:rPr>
              <w:t>、不提供不得分。</w:t>
            </w:r>
          </w:p>
        </w:tc>
      </w:tr>
      <w:tr w14:paraId="45F8F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027C9782">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2</w:t>
            </w:r>
          </w:p>
        </w:tc>
        <w:tc>
          <w:tcPr>
            <w:tcW w:w="1560" w:type="dxa"/>
            <w:noWrap w:val="0"/>
            <w:vAlign w:val="center"/>
          </w:tcPr>
          <w:p w14:paraId="6D81AC6D">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对项目的理解</w:t>
            </w:r>
          </w:p>
        </w:tc>
        <w:tc>
          <w:tcPr>
            <w:tcW w:w="748" w:type="dxa"/>
            <w:noWrap w:val="0"/>
            <w:vAlign w:val="center"/>
          </w:tcPr>
          <w:p w14:paraId="4DF257B1">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15</w:t>
            </w:r>
          </w:p>
        </w:tc>
        <w:tc>
          <w:tcPr>
            <w:tcW w:w="6979" w:type="dxa"/>
            <w:noWrap w:val="0"/>
            <w:vAlign w:val="center"/>
          </w:tcPr>
          <w:p w14:paraId="52BECD50">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1、对本项目的理解全面、认识程度深刻及项目需求分析明确，得15分；</w:t>
            </w:r>
          </w:p>
          <w:p w14:paraId="14525AAC">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2、对本项目的理解比较全面、认识程度一般及项目需求分析比较明确，得10分；</w:t>
            </w:r>
          </w:p>
          <w:p w14:paraId="4EE525B9">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3、对本项目的理解基本全面、认识程度一般及项目需求分析基本明确，得5分；</w:t>
            </w:r>
          </w:p>
          <w:p w14:paraId="5BE6F1F2">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4、对本项目的理解一般、认识程度一般及项目需求分析不太明确，得2分</w:t>
            </w:r>
            <w:r>
              <w:rPr>
                <w:rFonts w:hint="eastAsia" w:cs="宋体"/>
                <w:szCs w:val="21"/>
                <w:lang w:eastAsia="zh-CN"/>
              </w:rPr>
              <w:t>；</w:t>
            </w:r>
          </w:p>
          <w:p w14:paraId="286F87F6">
            <w:pPr>
              <w:pStyle w:val="7"/>
              <w:keepNext w:val="0"/>
              <w:keepLines w:val="0"/>
              <w:numPr>
                <w:ilvl w:val="0"/>
                <w:numId w:val="0"/>
              </w:numPr>
              <w:suppressLineNumbers w:val="0"/>
              <w:spacing w:before="0" w:beforeAutospacing="0" w:after="0" w:afterAutospacing="0" w:line="500" w:lineRule="exact"/>
              <w:ind w:left="0" w:right="0"/>
              <w:rPr>
                <w:rFonts w:hint="eastAsia" w:cs="宋体"/>
                <w:szCs w:val="21"/>
              </w:rPr>
            </w:pPr>
            <w:r>
              <w:rPr>
                <w:rFonts w:hint="default" w:cs="宋体"/>
                <w:szCs w:val="21"/>
                <w:lang w:val="en-US"/>
              </w:rPr>
              <w:t>5</w:t>
            </w:r>
            <w:r>
              <w:rPr>
                <w:rFonts w:hint="eastAsia" w:cs="宋体"/>
                <w:szCs w:val="21"/>
                <w:lang w:val="en-US" w:eastAsia="zh-CN"/>
              </w:rPr>
              <w:t>、不提供不得分。</w:t>
            </w:r>
          </w:p>
        </w:tc>
      </w:tr>
      <w:tr w14:paraId="4906E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12525907">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b/>
                <w:bCs/>
                <w:szCs w:val="21"/>
              </w:rPr>
              <w:t>3</w:t>
            </w:r>
          </w:p>
        </w:tc>
        <w:tc>
          <w:tcPr>
            <w:tcW w:w="1560" w:type="dxa"/>
            <w:noWrap w:val="0"/>
            <w:vAlign w:val="center"/>
          </w:tcPr>
          <w:p w14:paraId="17C3A419">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项目质量保证措施</w:t>
            </w:r>
          </w:p>
        </w:tc>
        <w:tc>
          <w:tcPr>
            <w:tcW w:w="748" w:type="dxa"/>
            <w:noWrap w:val="0"/>
            <w:vAlign w:val="center"/>
          </w:tcPr>
          <w:p w14:paraId="13D9D3C5">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15</w:t>
            </w:r>
          </w:p>
        </w:tc>
        <w:tc>
          <w:tcPr>
            <w:tcW w:w="6979" w:type="dxa"/>
            <w:noWrap w:val="0"/>
            <w:vAlign w:val="center"/>
          </w:tcPr>
          <w:p w14:paraId="2D1427FC">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1、工作安排满足任务要求，进度安排合理。</w:t>
            </w:r>
            <w:r>
              <w:rPr>
                <w:rFonts w:hint="eastAsia" w:cs="宋体"/>
                <w:szCs w:val="21"/>
                <w:lang w:eastAsia="zh-CN"/>
              </w:rPr>
              <w:t>企业</w:t>
            </w:r>
            <w:r>
              <w:rPr>
                <w:rFonts w:hint="eastAsia" w:cs="宋体"/>
                <w:szCs w:val="21"/>
              </w:rPr>
              <w:t>内部管理制度完善，服务意识强，管理水平高，对完成本项目有较好承诺，项目质量的保障措施具体、合理、可行、针对性强，能够持续提供完整、优质后续服务，得15分；</w:t>
            </w:r>
          </w:p>
          <w:p w14:paraId="7C97280E">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2、工作安排较满足任务要求，进度安排具有一定合理性。企业服务意识强，有一定管理水平，项目质量的保障措施具体、可行得10分；</w:t>
            </w:r>
          </w:p>
          <w:p w14:paraId="1C73AE8A">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3、工作安排基本满足任务要求，进度安排具有一定合理性。企业服务意识强，有一定管理水平，项目质量的保障措施具体、可行，得5分；</w:t>
            </w:r>
          </w:p>
          <w:p w14:paraId="55EAED46">
            <w:pPr>
              <w:keepNext w:val="0"/>
              <w:keepLines w:val="0"/>
              <w:suppressLineNumbers w:val="0"/>
              <w:spacing w:before="0" w:beforeAutospacing="0" w:after="0" w:afterAutospacing="0" w:line="500" w:lineRule="exact"/>
              <w:ind w:left="0" w:right="0"/>
              <w:rPr>
                <w:rFonts w:hint="eastAsia" w:cs="宋体"/>
                <w:szCs w:val="21"/>
                <w:lang w:eastAsia="zh-CN"/>
              </w:rPr>
            </w:pPr>
            <w:r>
              <w:rPr>
                <w:rFonts w:hint="eastAsia" w:cs="宋体"/>
                <w:szCs w:val="21"/>
              </w:rPr>
              <w:t>4、工作安排不符合任务要求，进度安排不太合理。企业服务意识薄弱，难以保障项目质量，得2分</w:t>
            </w:r>
            <w:r>
              <w:rPr>
                <w:rFonts w:hint="eastAsia" w:cs="宋体"/>
                <w:szCs w:val="21"/>
                <w:lang w:eastAsia="zh-CN"/>
              </w:rPr>
              <w:t>；</w:t>
            </w:r>
          </w:p>
          <w:p w14:paraId="6BAD127C">
            <w:pPr>
              <w:pStyle w:val="7"/>
              <w:keepNext w:val="0"/>
              <w:keepLines w:val="0"/>
              <w:numPr>
                <w:ilvl w:val="0"/>
                <w:numId w:val="0"/>
              </w:numPr>
              <w:suppressLineNumbers w:val="0"/>
              <w:spacing w:before="0" w:beforeAutospacing="0" w:after="0" w:afterAutospacing="0" w:line="500" w:lineRule="exact"/>
              <w:ind w:left="0" w:right="0"/>
              <w:rPr>
                <w:rFonts w:hint="eastAsia" w:cs="宋体"/>
                <w:szCs w:val="21"/>
              </w:rPr>
            </w:pPr>
            <w:r>
              <w:rPr>
                <w:rFonts w:hint="default" w:cs="宋体"/>
                <w:szCs w:val="21"/>
                <w:lang w:val="en-US" w:eastAsia="zh-CN"/>
              </w:rPr>
              <w:t>5</w:t>
            </w:r>
            <w:r>
              <w:rPr>
                <w:rFonts w:hint="eastAsia" w:cs="宋体"/>
                <w:szCs w:val="21"/>
                <w:lang w:val="en-US" w:eastAsia="zh-CN"/>
              </w:rPr>
              <w:t>、不提供不得分。</w:t>
            </w:r>
          </w:p>
        </w:tc>
      </w:tr>
      <w:tr w14:paraId="5E41E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0FE68541">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b/>
                <w:bCs/>
                <w:szCs w:val="21"/>
              </w:rPr>
              <w:t>4</w:t>
            </w:r>
          </w:p>
        </w:tc>
        <w:tc>
          <w:tcPr>
            <w:tcW w:w="1560" w:type="dxa"/>
            <w:noWrap w:val="0"/>
            <w:vAlign w:val="center"/>
          </w:tcPr>
          <w:p w14:paraId="1BA46D30">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售后服务</w:t>
            </w:r>
          </w:p>
        </w:tc>
        <w:tc>
          <w:tcPr>
            <w:tcW w:w="748" w:type="dxa"/>
            <w:noWrap w:val="0"/>
            <w:vAlign w:val="center"/>
          </w:tcPr>
          <w:p w14:paraId="325A9AE6">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5</w:t>
            </w:r>
          </w:p>
        </w:tc>
        <w:tc>
          <w:tcPr>
            <w:tcW w:w="6979" w:type="dxa"/>
            <w:noWrap w:val="0"/>
            <w:vAlign w:val="center"/>
          </w:tcPr>
          <w:p w14:paraId="5775BE0C">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1、根据供应商提供的本项目售后服务方案由评委进行评审。售后服务响应措施全面完整，合理可靠，可行性强，得5分；</w:t>
            </w:r>
          </w:p>
          <w:p w14:paraId="7EE464A7">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2、售后服务</w:t>
            </w:r>
            <w:r>
              <w:rPr>
                <w:rFonts w:hint="eastAsia" w:cs="宋体"/>
                <w:szCs w:val="21"/>
                <w:lang w:eastAsia="zh-CN"/>
              </w:rPr>
              <w:t>响应</w:t>
            </w:r>
            <w:r>
              <w:rPr>
                <w:rFonts w:hint="eastAsia" w:cs="宋体"/>
                <w:szCs w:val="21"/>
              </w:rPr>
              <w:t>措施基本合理可靠，可行性一般，得3分；</w:t>
            </w:r>
          </w:p>
          <w:p w14:paraId="7CB700F2">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3、售后服务响应措施欠佳，可行性不足，得1分；</w:t>
            </w:r>
          </w:p>
          <w:p w14:paraId="398C82B9">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4、未提供售后服务响应措施不得分。</w:t>
            </w:r>
          </w:p>
        </w:tc>
      </w:tr>
    </w:tbl>
    <w:p w14:paraId="43AD4E9E">
      <w:pPr>
        <w:pStyle w:val="7"/>
        <w:spacing w:line="500" w:lineRule="exact"/>
        <w:rPr>
          <w:rFonts w:hint="eastAsia"/>
        </w:rPr>
      </w:pPr>
    </w:p>
    <w:p w14:paraId="61291ADA">
      <w:pPr>
        <w:spacing w:line="500" w:lineRule="exact"/>
      </w:pPr>
    </w:p>
    <w:p w14:paraId="1A9CECFA">
      <w:pPr>
        <w:pStyle w:val="7"/>
        <w:spacing w:line="500" w:lineRule="exact"/>
        <w:jc w:val="center"/>
        <w:rPr>
          <w:rFonts w:hint="eastAsia"/>
          <w:b/>
          <w:bCs/>
          <w:sz w:val="28"/>
          <w:szCs w:val="28"/>
          <w:highlight w:val="none"/>
        </w:rPr>
      </w:pPr>
      <w:r>
        <w:br w:type="page"/>
      </w:r>
      <w:r>
        <w:rPr>
          <w:rFonts w:hint="eastAsia"/>
          <w:b/>
          <w:bCs/>
          <w:sz w:val="28"/>
          <w:szCs w:val="28"/>
          <w:highlight w:val="none"/>
        </w:rPr>
        <w:t>商务部分（占总分值的40%）</w:t>
      </w:r>
    </w:p>
    <w:p w14:paraId="207F37D0">
      <w:pPr>
        <w:spacing w:line="500" w:lineRule="exact"/>
        <w:ind w:firstLine="420" w:firstLineChars="200"/>
      </w:pPr>
    </w:p>
    <w:tbl>
      <w:tblPr>
        <w:tblStyle w:val="22"/>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748"/>
        <w:gridCol w:w="6979"/>
      </w:tblGrid>
      <w:tr w14:paraId="2BF3C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675" w:type="dxa"/>
            <w:noWrap w:val="0"/>
            <w:vAlign w:val="center"/>
          </w:tcPr>
          <w:p w14:paraId="7B3E24B9">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序号</w:t>
            </w:r>
          </w:p>
        </w:tc>
        <w:tc>
          <w:tcPr>
            <w:tcW w:w="1560" w:type="dxa"/>
            <w:noWrap w:val="0"/>
            <w:vAlign w:val="center"/>
          </w:tcPr>
          <w:p w14:paraId="487FFDF2">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评分因素</w:t>
            </w:r>
          </w:p>
        </w:tc>
        <w:tc>
          <w:tcPr>
            <w:tcW w:w="748" w:type="dxa"/>
            <w:noWrap w:val="0"/>
            <w:vAlign w:val="center"/>
          </w:tcPr>
          <w:p w14:paraId="2FACB4BF">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分值</w:t>
            </w:r>
          </w:p>
        </w:tc>
        <w:tc>
          <w:tcPr>
            <w:tcW w:w="6979" w:type="dxa"/>
            <w:noWrap w:val="0"/>
            <w:vAlign w:val="center"/>
          </w:tcPr>
          <w:p w14:paraId="2AE0B017">
            <w:pPr>
              <w:keepNext w:val="0"/>
              <w:keepLines w:val="0"/>
              <w:widowControl/>
              <w:suppressLineNumbers w:val="0"/>
              <w:spacing w:before="0" w:beforeAutospacing="0" w:after="0" w:afterAutospacing="0" w:line="500" w:lineRule="exact"/>
              <w:ind w:left="0" w:right="0"/>
              <w:jc w:val="center"/>
              <w:textAlignment w:val="center"/>
              <w:rPr>
                <w:rFonts w:hint="eastAsia" w:cs="宋体"/>
                <w:b/>
                <w:bCs/>
                <w:szCs w:val="21"/>
              </w:rPr>
            </w:pPr>
            <w:r>
              <w:rPr>
                <w:rFonts w:hint="eastAsia" w:cs="宋体"/>
                <w:b/>
                <w:bCs/>
                <w:color w:val="000000"/>
                <w:kern w:val="0"/>
                <w:szCs w:val="20"/>
                <w:lang w:bidi="ar"/>
              </w:rPr>
              <w:t>评分标准</w:t>
            </w:r>
          </w:p>
        </w:tc>
      </w:tr>
      <w:tr w14:paraId="1C440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13CE80F4">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1</w:t>
            </w:r>
          </w:p>
        </w:tc>
        <w:tc>
          <w:tcPr>
            <w:tcW w:w="1560" w:type="dxa"/>
            <w:noWrap w:val="0"/>
            <w:vAlign w:val="center"/>
          </w:tcPr>
          <w:p w14:paraId="70EF822C">
            <w:pPr>
              <w:keepNext w:val="0"/>
              <w:keepLines w:val="0"/>
              <w:suppressLineNumbers w:val="0"/>
              <w:spacing w:before="0" w:beforeAutospacing="0" w:after="0" w:afterAutospacing="0" w:line="500" w:lineRule="exact"/>
              <w:ind w:left="0" w:right="0"/>
              <w:jc w:val="center"/>
              <w:rPr>
                <w:rFonts w:hint="default" w:cs="宋体"/>
                <w:szCs w:val="21"/>
              </w:rPr>
            </w:pPr>
            <w:r>
              <w:rPr>
                <w:rFonts w:hint="eastAsia" w:cs="宋体"/>
                <w:szCs w:val="21"/>
              </w:rPr>
              <w:t>项目业绩</w:t>
            </w:r>
          </w:p>
        </w:tc>
        <w:tc>
          <w:tcPr>
            <w:tcW w:w="748" w:type="dxa"/>
            <w:noWrap w:val="0"/>
            <w:vAlign w:val="center"/>
          </w:tcPr>
          <w:p w14:paraId="58198A5A">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2</w:t>
            </w:r>
          </w:p>
        </w:tc>
        <w:tc>
          <w:tcPr>
            <w:tcW w:w="6979" w:type="dxa"/>
            <w:noWrap w:val="0"/>
            <w:vAlign w:val="top"/>
          </w:tcPr>
          <w:p w14:paraId="45E8463E">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投标人</w:t>
            </w:r>
            <w:r>
              <w:rPr>
                <w:rFonts w:hint="eastAsia" w:cs="宋体"/>
                <w:szCs w:val="21"/>
                <w:lang w:eastAsia="zh-CN"/>
              </w:rPr>
              <w:t>自</w:t>
            </w:r>
            <w:r>
              <w:rPr>
                <w:rFonts w:hint="eastAsia" w:cs="宋体"/>
                <w:szCs w:val="21"/>
              </w:rPr>
              <w:t>2022年</w:t>
            </w:r>
            <w:r>
              <w:rPr>
                <w:rFonts w:hint="default" w:cs="宋体"/>
                <w:szCs w:val="21"/>
                <w:lang w:val="en-US"/>
              </w:rPr>
              <w:t>3</w:t>
            </w:r>
            <w:r>
              <w:rPr>
                <w:rFonts w:hint="eastAsia" w:cs="宋体"/>
                <w:szCs w:val="21"/>
                <w:lang w:val="en-US" w:eastAsia="zh-CN"/>
              </w:rPr>
              <w:t>月</w:t>
            </w:r>
            <w:r>
              <w:rPr>
                <w:rFonts w:hint="default" w:cs="宋体"/>
                <w:szCs w:val="21"/>
                <w:lang w:val="en-US" w:eastAsia="zh-CN"/>
              </w:rPr>
              <w:t>1</w:t>
            </w:r>
            <w:r>
              <w:rPr>
                <w:rFonts w:hint="eastAsia" w:cs="宋体"/>
                <w:szCs w:val="21"/>
                <w:lang w:val="en-US" w:eastAsia="zh-CN"/>
              </w:rPr>
              <w:t>日至今</w:t>
            </w:r>
            <w:r>
              <w:rPr>
                <w:rFonts w:hint="eastAsia" w:cs="宋体"/>
                <w:szCs w:val="21"/>
              </w:rPr>
              <w:t>，</w:t>
            </w:r>
            <w:r>
              <w:rPr>
                <w:rFonts w:hint="eastAsia" w:cs="宋体"/>
                <w:szCs w:val="21"/>
                <w:lang w:eastAsia="zh-CN"/>
              </w:rPr>
              <w:t>提供项目业绩</w:t>
            </w:r>
            <w:r>
              <w:rPr>
                <w:rFonts w:hint="eastAsia" w:cs="宋体"/>
                <w:szCs w:val="21"/>
              </w:rPr>
              <w:t>，每提供一个有效业绩得1分，满分2分。</w:t>
            </w:r>
          </w:p>
          <w:p w14:paraId="5FBF7443">
            <w:pPr>
              <w:keepNext w:val="0"/>
              <w:keepLines w:val="0"/>
              <w:suppressLineNumbers w:val="0"/>
              <w:spacing w:before="0" w:beforeAutospacing="0" w:after="0" w:afterAutospacing="0" w:line="500" w:lineRule="exact"/>
              <w:ind w:left="0" w:right="0"/>
              <w:rPr>
                <w:rFonts w:hint="eastAsia"/>
                <w:szCs w:val="20"/>
              </w:rPr>
            </w:pPr>
            <w:r>
              <w:rPr>
                <w:rFonts w:hint="eastAsia" w:cs="宋体"/>
                <w:szCs w:val="21"/>
              </w:rPr>
              <w:t>注：需提供合同及中标通知书等相关证明文件，并加盖投标单位公章，否则不得分。</w:t>
            </w:r>
          </w:p>
        </w:tc>
      </w:tr>
      <w:tr w14:paraId="3F3FD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7A923450">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2</w:t>
            </w:r>
          </w:p>
        </w:tc>
        <w:tc>
          <w:tcPr>
            <w:tcW w:w="1560" w:type="dxa"/>
            <w:noWrap w:val="0"/>
            <w:vAlign w:val="center"/>
          </w:tcPr>
          <w:p w14:paraId="7EAC801E">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szCs w:val="21"/>
              </w:rPr>
              <w:t>项目负责人</w:t>
            </w:r>
          </w:p>
        </w:tc>
        <w:tc>
          <w:tcPr>
            <w:tcW w:w="748" w:type="dxa"/>
            <w:noWrap w:val="0"/>
            <w:vAlign w:val="center"/>
          </w:tcPr>
          <w:p w14:paraId="02619C61">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3</w:t>
            </w:r>
          </w:p>
        </w:tc>
        <w:tc>
          <w:tcPr>
            <w:tcW w:w="6979" w:type="dxa"/>
            <w:noWrap w:val="0"/>
            <w:vAlign w:val="center"/>
          </w:tcPr>
          <w:p w14:paraId="4CF1625D">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项目负责人（1人）具有</w:t>
            </w:r>
            <w:r>
              <w:rPr>
                <w:rFonts w:hint="eastAsia" w:cs="宋体"/>
                <w:szCs w:val="21"/>
                <w:lang w:eastAsia="zh-CN"/>
              </w:rPr>
              <w:t>野生动植物相关</w:t>
            </w:r>
            <w:r>
              <w:rPr>
                <w:rFonts w:hint="eastAsia" w:cs="宋体"/>
                <w:szCs w:val="21"/>
              </w:rPr>
              <w:t>专业高级及以上职称的得3分，</w:t>
            </w:r>
            <w:r>
              <w:rPr>
                <w:rFonts w:hint="eastAsia" w:cs="宋体"/>
                <w:szCs w:val="21"/>
                <w:lang w:eastAsia="zh-CN"/>
              </w:rPr>
              <w:t>其他职称不得分，</w:t>
            </w:r>
            <w:r>
              <w:rPr>
                <w:rFonts w:hint="eastAsia" w:cs="宋体"/>
                <w:szCs w:val="21"/>
              </w:rPr>
              <w:t>满分3分。</w:t>
            </w:r>
          </w:p>
          <w:p w14:paraId="6B26D35C">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注：须提供项目负责人职称证书复印件、从投标截止之日当月向前连续6个月</w:t>
            </w:r>
            <w:r>
              <w:rPr>
                <w:rFonts w:hint="eastAsia" w:cs="宋体"/>
                <w:szCs w:val="21"/>
                <w:lang w:eastAsia="zh-CN"/>
              </w:rPr>
              <w:t>在本单位缴纳社保凭证</w:t>
            </w:r>
            <w:r>
              <w:rPr>
                <w:rFonts w:hint="eastAsia" w:cs="宋体"/>
                <w:szCs w:val="21"/>
              </w:rPr>
              <w:t>，并加盖投标单位公章，</w:t>
            </w:r>
            <w:r>
              <w:rPr>
                <w:rFonts w:hint="eastAsia" w:cs="宋体"/>
                <w:szCs w:val="21"/>
                <w:lang w:eastAsia="zh-CN"/>
              </w:rPr>
              <w:t>证明文件提供不全</w:t>
            </w:r>
            <w:r>
              <w:rPr>
                <w:rFonts w:hint="eastAsia" w:cs="宋体"/>
                <w:szCs w:val="21"/>
              </w:rPr>
              <w:t>不得分。</w:t>
            </w:r>
          </w:p>
        </w:tc>
      </w:tr>
      <w:tr w14:paraId="07773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67E26C4B">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3</w:t>
            </w:r>
          </w:p>
        </w:tc>
        <w:tc>
          <w:tcPr>
            <w:tcW w:w="1560" w:type="dxa"/>
            <w:noWrap w:val="0"/>
            <w:vAlign w:val="center"/>
          </w:tcPr>
          <w:p w14:paraId="70C25612">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技术审核人</w:t>
            </w:r>
          </w:p>
        </w:tc>
        <w:tc>
          <w:tcPr>
            <w:tcW w:w="748" w:type="dxa"/>
            <w:noWrap w:val="0"/>
            <w:vAlign w:val="center"/>
          </w:tcPr>
          <w:p w14:paraId="6D6B5AD5">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4</w:t>
            </w:r>
          </w:p>
        </w:tc>
        <w:tc>
          <w:tcPr>
            <w:tcW w:w="6979" w:type="dxa"/>
            <w:noWrap w:val="0"/>
            <w:vAlign w:val="center"/>
          </w:tcPr>
          <w:p w14:paraId="49A8A542">
            <w:pPr>
              <w:keepNext w:val="0"/>
              <w:keepLines w:val="0"/>
              <w:suppressLineNumbers w:val="0"/>
              <w:spacing w:before="0" w:beforeAutospacing="0" w:after="0" w:afterAutospacing="0" w:line="500" w:lineRule="exact"/>
              <w:ind w:left="0" w:right="0"/>
              <w:rPr>
                <w:rFonts w:hint="default" w:cs="宋体"/>
                <w:szCs w:val="21"/>
              </w:rPr>
            </w:pPr>
            <w:r>
              <w:rPr>
                <w:rFonts w:hint="eastAsia" w:cs="宋体"/>
                <w:szCs w:val="21"/>
              </w:rPr>
              <w:t>拟派本项目的技术审核人（1人）属于国务院或国家林草局自然保护区评审委员会委员的得4分；属于省</w:t>
            </w:r>
            <w:r>
              <w:rPr>
                <w:rFonts w:hint="eastAsia" w:cs="宋体"/>
                <w:szCs w:val="21"/>
                <w:lang w:eastAsia="zh-CN"/>
              </w:rPr>
              <w:t>级林草</w:t>
            </w:r>
            <w:r>
              <w:rPr>
                <w:rFonts w:hint="eastAsia" w:cs="宋体"/>
                <w:szCs w:val="21"/>
              </w:rPr>
              <w:t>局自然保护区评审委员会委员的得2分；满分4分。</w:t>
            </w:r>
          </w:p>
          <w:p w14:paraId="4F0CDD85">
            <w:pPr>
              <w:keepNext w:val="0"/>
              <w:keepLines w:val="0"/>
              <w:suppressLineNumbers w:val="0"/>
              <w:spacing w:before="0" w:beforeAutospacing="0" w:after="0" w:afterAutospacing="0" w:line="500" w:lineRule="exact"/>
              <w:ind w:left="0" w:right="0"/>
              <w:rPr>
                <w:rFonts w:hint="eastAsia" w:cs="宋体"/>
                <w:szCs w:val="21"/>
              </w:rPr>
            </w:pPr>
            <w:r>
              <w:rPr>
                <w:rFonts w:hint="eastAsia" w:cs="宋体"/>
                <w:szCs w:val="21"/>
              </w:rPr>
              <w:t>注：此项人员与其他人员均不得重复得分，需提供纳入对应委员会委员名单的相关证明材料，及技术审核人</w:t>
            </w:r>
            <w:r>
              <w:rPr>
                <w:rFonts w:hint="eastAsia" w:cs="宋体"/>
                <w:szCs w:val="21"/>
                <w:lang w:eastAsia="zh-CN"/>
              </w:rPr>
              <w:t>近</w:t>
            </w:r>
            <w:r>
              <w:rPr>
                <w:rFonts w:hint="default" w:cs="宋体"/>
                <w:szCs w:val="21"/>
                <w:lang w:val="en-US" w:eastAsia="zh-CN"/>
              </w:rPr>
              <w:t>6</w:t>
            </w:r>
            <w:r>
              <w:rPr>
                <w:rFonts w:hint="eastAsia" w:cs="宋体"/>
                <w:szCs w:val="21"/>
                <w:lang w:val="en-US" w:eastAsia="zh-CN"/>
              </w:rPr>
              <w:t>个月</w:t>
            </w:r>
            <w:r>
              <w:rPr>
                <w:rFonts w:hint="eastAsia" w:cs="宋体"/>
                <w:szCs w:val="21"/>
              </w:rPr>
              <w:t>缴纳社保或同投标人签署合作协议的证明材料。</w:t>
            </w:r>
          </w:p>
        </w:tc>
      </w:tr>
      <w:tr w14:paraId="6FCBD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12BACB6D">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3</w:t>
            </w:r>
          </w:p>
        </w:tc>
        <w:tc>
          <w:tcPr>
            <w:tcW w:w="1560" w:type="dxa"/>
            <w:noWrap w:val="0"/>
            <w:vAlign w:val="center"/>
          </w:tcPr>
          <w:p w14:paraId="09AF82EB">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color w:val="auto"/>
                <w:szCs w:val="21"/>
              </w:rPr>
              <w:t>项目组成员</w:t>
            </w:r>
          </w:p>
        </w:tc>
        <w:tc>
          <w:tcPr>
            <w:tcW w:w="748" w:type="dxa"/>
            <w:noWrap w:val="0"/>
            <w:vAlign w:val="center"/>
          </w:tcPr>
          <w:p w14:paraId="214391FD">
            <w:pPr>
              <w:keepNext w:val="0"/>
              <w:keepLines w:val="0"/>
              <w:suppressLineNumbers w:val="0"/>
              <w:spacing w:before="0" w:beforeAutospacing="0" w:after="0" w:afterAutospacing="0" w:line="500" w:lineRule="exact"/>
              <w:ind w:left="0" w:right="0"/>
              <w:jc w:val="center"/>
              <w:rPr>
                <w:rFonts w:hint="eastAsia" w:cs="宋体"/>
                <w:szCs w:val="21"/>
              </w:rPr>
            </w:pPr>
            <w:r>
              <w:rPr>
                <w:rFonts w:hint="eastAsia" w:cs="宋体"/>
                <w:szCs w:val="21"/>
              </w:rPr>
              <w:t>20</w:t>
            </w:r>
          </w:p>
        </w:tc>
        <w:tc>
          <w:tcPr>
            <w:tcW w:w="6979" w:type="dxa"/>
            <w:noWrap w:val="0"/>
            <w:vAlign w:val="center"/>
          </w:tcPr>
          <w:p w14:paraId="5CD34552">
            <w:pPr>
              <w:keepNext w:val="0"/>
              <w:keepLines w:val="0"/>
              <w:suppressLineNumbers w:val="0"/>
              <w:spacing w:before="0" w:beforeAutospacing="0" w:after="0" w:afterAutospacing="0" w:line="500" w:lineRule="exact"/>
              <w:ind w:left="0" w:right="0"/>
              <w:rPr>
                <w:rFonts w:hint="default"/>
                <w:szCs w:val="20"/>
              </w:rPr>
            </w:pPr>
            <w:r>
              <w:rPr>
                <w:rFonts w:hint="eastAsia" w:cs="宋体"/>
                <w:szCs w:val="21"/>
              </w:rPr>
              <w:t>1、项目组成员（不含项目负责人和技术审核人）中，具有野生动植物保护与利用、自然保护区学、野生动物与自然保护区管理、植物资源学、动物学、自然地理、地理信息系统、3S集成与气象应用、全球环境变化、资源环境科学的，每有一个专业得1分，各专业不重复计分。满分10分。</w:t>
            </w:r>
          </w:p>
          <w:p w14:paraId="1B17EE04">
            <w:pPr>
              <w:keepNext w:val="0"/>
              <w:keepLines w:val="0"/>
              <w:suppressLineNumbers w:val="0"/>
              <w:spacing w:before="0" w:beforeAutospacing="0" w:after="0" w:afterAutospacing="0" w:line="500" w:lineRule="exact"/>
              <w:ind w:left="0" w:right="0"/>
              <w:rPr>
                <w:rFonts w:hint="default" w:cs="宋体"/>
                <w:color w:val="FF0000"/>
                <w:szCs w:val="21"/>
              </w:rPr>
            </w:pPr>
            <w:r>
              <w:rPr>
                <w:rFonts w:hint="eastAsia" w:cs="宋体"/>
                <w:szCs w:val="21"/>
              </w:rPr>
              <w:t>2</w:t>
            </w:r>
            <w:r>
              <w:rPr>
                <w:rFonts w:hint="eastAsia" w:cs="宋体"/>
                <w:color w:val="000000"/>
                <w:szCs w:val="21"/>
              </w:rPr>
              <w:t>、上述专业项目组成员中，具有中级及以上职称的，每有1位得1分；中级以下职称不得分。各专业人员不重复计分。满分10分。</w:t>
            </w:r>
          </w:p>
          <w:p w14:paraId="26F63B54">
            <w:pPr>
              <w:keepNext w:val="0"/>
              <w:keepLines w:val="0"/>
              <w:suppressLineNumbers w:val="0"/>
              <w:spacing w:before="0" w:beforeAutospacing="0" w:after="0" w:afterAutospacing="0" w:line="500" w:lineRule="exact"/>
              <w:ind w:left="0" w:right="0"/>
              <w:rPr>
                <w:rFonts w:hint="eastAsia" w:cs="宋体"/>
                <w:szCs w:val="21"/>
                <w:lang w:eastAsia="zh-CN"/>
              </w:rPr>
            </w:pPr>
            <w:r>
              <w:rPr>
                <w:rFonts w:hint="eastAsia" w:cs="宋体"/>
                <w:szCs w:val="21"/>
              </w:rPr>
              <w:t>注：</w:t>
            </w:r>
            <w:r>
              <w:rPr>
                <w:rFonts w:hint="eastAsia" w:cs="宋体"/>
                <w:szCs w:val="21"/>
                <w:lang w:eastAsia="zh-CN"/>
              </w:rPr>
              <w:t>第</w:t>
            </w:r>
            <w:r>
              <w:rPr>
                <w:rFonts w:hint="default" w:cs="宋体"/>
                <w:szCs w:val="21"/>
                <w:lang w:val="en-US" w:eastAsia="zh-CN"/>
              </w:rPr>
              <w:t>1</w:t>
            </w:r>
            <w:r>
              <w:rPr>
                <w:rFonts w:hint="eastAsia" w:cs="宋体"/>
                <w:szCs w:val="21"/>
                <w:lang w:val="en-US" w:eastAsia="zh-CN"/>
              </w:rPr>
              <w:t>项</w:t>
            </w:r>
            <w:r>
              <w:rPr>
                <w:rFonts w:hint="eastAsia" w:cs="宋体"/>
                <w:szCs w:val="21"/>
              </w:rPr>
              <w:t>须提供毕业证</w:t>
            </w:r>
            <w:r>
              <w:rPr>
                <w:rFonts w:hint="eastAsia" w:cs="宋体"/>
                <w:szCs w:val="21"/>
                <w:lang w:eastAsia="zh-CN"/>
              </w:rPr>
              <w:t>或</w:t>
            </w:r>
            <w:r>
              <w:rPr>
                <w:rFonts w:hint="eastAsia" w:cs="宋体"/>
                <w:szCs w:val="21"/>
              </w:rPr>
              <w:t>学位证</w:t>
            </w:r>
            <w:r>
              <w:rPr>
                <w:rFonts w:hint="eastAsia" w:cs="宋体"/>
                <w:szCs w:val="21"/>
                <w:lang w:eastAsia="zh-CN"/>
              </w:rPr>
              <w:t>复印件；</w:t>
            </w:r>
          </w:p>
          <w:p w14:paraId="74CF3425">
            <w:pPr>
              <w:keepNext w:val="0"/>
              <w:keepLines w:val="0"/>
              <w:suppressLineNumbers w:val="0"/>
              <w:spacing w:before="0" w:beforeAutospacing="0" w:after="0" w:afterAutospacing="0" w:line="500" w:lineRule="exact"/>
              <w:ind w:left="0" w:right="0"/>
              <w:rPr>
                <w:rFonts w:hint="eastAsia" w:cs="宋体"/>
                <w:szCs w:val="21"/>
                <w:lang w:eastAsia="zh-CN"/>
              </w:rPr>
            </w:pPr>
            <w:r>
              <w:rPr>
                <w:rFonts w:hint="eastAsia" w:cs="宋体"/>
                <w:szCs w:val="21"/>
                <w:lang w:eastAsia="zh-CN"/>
              </w:rPr>
              <w:t>第</w:t>
            </w:r>
            <w:r>
              <w:rPr>
                <w:rFonts w:hint="default" w:cs="宋体"/>
                <w:szCs w:val="21"/>
                <w:lang w:val="en-US" w:eastAsia="zh-CN"/>
              </w:rPr>
              <w:t>2</w:t>
            </w:r>
            <w:r>
              <w:rPr>
                <w:rFonts w:hint="eastAsia" w:cs="宋体"/>
                <w:szCs w:val="21"/>
                <w:lang w:val="en-US" w:eastAsia="zh-CN"/>
              </w:rPr>
              <w:t>项须提供</w:t>
            </w:r>
            <w:r>
              <w:rPr>
                <w:rFonts w:hint="eastAsia" w:cs="宋体"/>
                <w:szCs w:val="21"/>
              </w:rPr>
              <w:t>职称证书复印件</w:t>
            </w:r>
            <w:r>
              <w:rPr>
                <w:rFonts w:hint="eastAsia" w:cs="宋体"/>
                <w:szCs w:val="21"/>
                <w:lang w:eastAsia="zh-CN"/>
              </w:rPr>
              <w:t>；</w:t>
            </w:r>
          </w:p>
          <w:p w14:paraId="50CAEC59">
            <w:pPr>
              <w:keepNext w:val="0"/>
              <w:keepLines w:val="0"/>
              <w:suppressLineNumbers w:val="0"/>
              <w:spacing w:before="0" w:beforeAutospacing="0" w:after="0" w:afterAutospacing="0" w:line="500" w:lineRule="exact"/>
              <w:ind w:left="0" w:right="0"/>
              <w:rPr>
                <w:rFonts w:hint="eastAsia"/>
                <w:szCs w:val="20"/>
              </w:rPr>
            </w:pPr>
            <w:r>
              <w:rPr>
                <w:rFonts w:hint="eastAsia" w:cs="宋体"/>
                <w:szCs w:val="21"/>
                <w:lang w:eastAsia="zh-CN"/>
              </w:rPr>
              <w:t>两项均需提供项目组成员</w:t>
            </w:r>
            <w:r>
              <w:rPr>
                <w:rFonts w:hint="eastAsia" w:cs="宋体"/>
                <w:szCs w:val="21"/>
              </w:rPr>
              <w:t>从投标截止之日当月向前连续6个月</w:t>
            </w:r>
            <w:r>
              <w:rPr>
                <w:rFonts w:hint="eastAsia" w:cs="宋体"/>
                <w:szCs w:val="21"/>
                <w:lang w:eastAsia="zh-CN"/>
              </w:rPr>
              <w:t>在本单位缴纳社保凭证</w:t>
            </w:r>
            <w:r>
              <w:rPr>
                <w:rFonts w:hint="eastAsia" w:cs="宋体"/>
                <w:szCs w:val="21"/>
              </w:rPr>
              <w:t>，并加盖投标单位公章</w:t>
            </w:r>
            <w:r>
              <w:rPr>
                <w:rFonts w:hint="eastAsia" w:cs="宋体"/>
                <w:szCs w:val="21"/>
                <w:lang w:eastAsia="zh-CN"/>
              </w:rPr>
              <w:t>。证明文件提供不全</w:t>
            </w:r>
            <w:r>
              <w:rPr>
                <w:rFonts w:hint="eastAsia" w:cs="宋体"/>
                <w:szCs w:val="21"/>
              </w:rPr>
              <w:t>不得分。</w:t>
            </w:r>
          </w:p>
        </w:tc>
      </w:tr>
      <w:tr w14:paraId="2FE00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noWrap w:val="0"/>
            <w:vAlign w:val="center"/>
          </w:tcPr>
          <w:p w14:paraId="0EA29396">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b/>
                <w:bCs/>
                <w:szCs w:val="21"/>
              </w:rPr>
              <w:t>4</w:t>
            </w:r>
          </w:p>
        </w:tc>
        <w:tc>
          <w:tcPr>
            <w:tcW w:w="1560" w:type="dxa"/>
            <w:noWrap w:val="0"/>
            <w:vAlign w:val="center"/>
          </w:tcPr>
          <w:p w14:paraId="4FF92A08">
            <w:pPr>
              <w:keepNext w:val="0"/>
              <w:keepLines w:val="0"/>
              <w:suppressLineNumbers w:val="0"/>
              <w:spacing w:before="0" w:beforeAutospacing="0" w:after="0" w:afterAutospacing="0" w:line="500" w:lineRule="exact"/>
              <w:ind w:left="0" w:right="0"/>
              <w:jc w:val="center"/>
              <w:rPr>
                <w:rFonts w:hint="eastAsia" w:cs="宋体"/>
                <w:b/>
                <w:bCs/>
                <w:szCs w:val="21"/>
              </w:rPr>
            </w:pPr>
            <w:r>
              <w:rPr>
                <w:rFonts w:hint="eastAsia" w:cs="宋体"/>
                <w:color w:val="auto"/>
                <w:szCs w:val="21"/>
              </w:rPr>
              <w:t>综合实力</w:t>
            </w:r>
          </w:p>
        </w:tc>
        <w:tc>
          <w:tcPr>
            <w:tcW w:w="748" w:type="dxa"/>
            <w:noWrap w:val="0"/>
            <w:vAlign w:val="center"/>
          </w:tcPr>
          <w:p w14:paraId="2B3B8228">
            <w:pPr>
              <w:keepNext w:val="0"/>
              <w:keepLines w:val="0"/>
              <w:suppressLineNumbers w:val="0"/>
              <w:spacing w:before="0" w:beforeAutospacing="0" w:after="0" w:afterAutospacing="0" w:line="500" w:lineRule="exact"/>
              <w:ind w:left="0" w:right="0"/>
              <w:jc w:val="center"/>
              <w:rPr>
                <w:rFonts w:hint="eastAsia" w:cs="宋体"/>
                <w:color w:val="000000"/>
                <w:szCs w:val="21"/>
              </w:rPr>
            </w:pPr>
            <w:r>
              <w:rPr>
                <w:rFonts w:hint="eastAsia" w:cs="宋体"/>
                <w:color w:val="000000"/>
                <w:szCs w:val="21"/>
              </w:rPr>
              <w:t>11</w:t>
            </w:r>
          </w:p>
        </w:tc>
        <w:tc>
          <w:tcPr>
            <w:tcW w:w="6979" w:type="dxa"/>
            <w:noWrap w:val="0"/>
            <w:vAlign w:val="center"/>
          </w:tcPr>
          <w:p w14:paraId="678E581D">
            <w:pPr>
              <w:keepNext w:val="0"/>
              <w:keepLines w:val="0"/>
              <w:suppressLineNumbers w:val="0"/>
              <w:spacing w:before="0" w:beforeAutospacing="0" w:after="0" w:afterAutospacing="0" w:line="500" w:lineRule="exact"/>
              <w:ind w:left="0" w:right="0"/>
              <w:rPr>
                <w:rFonts w:hint="default" w:cs="宋体"/>
                <w:color w:val="000000"/>
                <w:szCs w:val="21"/>
              </w:rPr>
            </w:pPr>
            <w:r>
              <w:rPr>
                <w:rFonts w:hint="eastAsia" w:cs="宋体"/>
                <w:color w:val="000000"/>
                <w:szCs w:val="21"/>
              </w:rPr>
              <w:t>1、投标人具备有效期内的质量管理体系认证证书、知识产权管理体系认证证书、职业健康安全管理体系认证证书、中国环境服务认证证书、合规管理体系认证证书的，每有1个得1分。满分5分。</w:t>
            </w:r>
          </w:p>
          <w:p w14:paraId="0B7BAD57">
            <w:pPr>
              <w:keepNext w:val="0"/>
              <w:keepLines w:val="0"/>
              <w:suppressLineNumbers w:val="0"/>
              <w:spacing w:before="0" w:beforeAutospacing="0" w:after="0" w:afterAutospacing="0" w:line="500" w:lineRule="exact"/>
              <w:ind w:left="0" w:right="0"/>
              <w:rPr>
                <w:rFonts w:hint="default" w:cs="宋体"/>
                <w:color w:val="000000"/>
                <w:szCs w:val="21"/>
              </w:rPr>
            </w:pPr>
            <w:r>
              <w:rPr>
                <w:rFonts w:hint="eastAsia" w:cs="宋体"/>
                <w:color w:val="000000"/>
                <w:szCs w:val="21"/>
              </w:rPr>
              <w:t>2、投标人具备工程咨询单位资信证书（含林业），等级为甲级得2分，乙级得1分。满分2分。</w:t>
            </w:r>
          </w:p>
          <w:p w14:paraId="30593718">
            <w:pPr>
              <w:keepNext w:val="0"/>
              <w:keepLines w:val="0"/>
              <w:suppressLineNumbers w:val="0"/>
              <w:spacing w:before="0" w:beforeAutospacing="0" w:after="0" w:afterAutospacing="0" w:line="500" w:lineRule="exact"/>
              <w:ind w:left="0" w:right="0"/>
              <w:rPr>
                <w:rFonts w:hint="default" w:cs="宋体"/>
                <w:color w:val="000000"/>
                <w:szCs w:val="21"/>
              </w:rPr>
            </w:pPr>
            <w:r>
              <w:rPr>
                <w:rFonts w:hint="eastAsia" w:cs="宋体"/>
                <w:color w:val="000000"/>
                <w:szCs w:val="21"/>
              </w:rPr>
              <w:t>3、投标人具备林业调查规划设计资质证书（含森林资源、野生动物资源）的，得2分。</w:t>
            </w:r>
          </w:p>
          <w:p w14:paraId="21F9D761">
            <w:pPr>
              <w:keepNext w:val="0"/>
              <w:keepLines w:val="0"/>
              <w:suppressLineNumbers w:val="0"/>
              <w:spacing w:before="0" w:beforeAutospacing="0" w:after="0" w:afterAutospacing="0" w:line="500" w:lineRule="exact"/>
              <w:ind w:left="0" w:right="0"/>
              <w:rPr>
                <w:rFonts w:hint="eastAsia" w:cs="宋体"/>
                <w:color w:val="000000"/>
                <w:szCs w:val="21"/>
              </w:rPr>
            </w:pPr>
            <w:r>
              <w:rPr>
                <w:rFonts w:hint="eastAsia" w:cs="宋体"/>
                <w:color w:val="000000"/>
                <w:szCs w:val="21"/>
              </w:rPr>
              <w:t>4、投标人具有测绘资质证书（含地理信息系统工程）的，得2分。</w:t>
            </w:r>
          </w:p>
          <w:p w14:paraId="49109D8E">
            <w:pPr>
              <w:keepNext w:val="0"/>
              <w:keepLines w:val="0"/>
              <w:suppressLineNumbers w:val="0"/>
              <w:spacing w:before="0" w:beforeAutospacing="0" w:after="0" w:afterAutospacing="0" w:line="500" w:lineRule="exact"/>
              <w:ind w:left="0" w:right="0"/>
              <w:rPr>
                <w:rFonts w:hint="eastAsia"/>
                <w:color w:val="000000"/>
                <w:szCs w:val="20"/>
              </w:rPr>
            </w:pPr>
            <w:r>
              <w:rPr>
                <w:rFonts w:hint="eastAsia" w:cs="宋体"/>
                <w:color w:val="000000"/>
                <w:szCs w:val="21"/>
              </w:rPr>
              <w:t>注：以上须提供有效期内的证书复印件并加盖投标单位公章，不提供不得分。</w:t>
            </w:r>
          </w:p>
        </w:tc>
      </w:tr>
    </w:tbl>
    <w:p w14:paraId="764C7DEB">
      <w:pPr>
        <w:rPr>
          <w:rFonts w:hint="eastAsia" w:ascii="宋体" w:hAnsi="宋体" w:cs="宋体"/>
          <w:b/>
          <w:sz w:val="32"/>
          <w:szCs w:val="32"/>
        </w:rPr>
      </w:pPr>
      <w:r>
        <w:rPr>
          <w:rFonts w:hint="eastAsia" w:ascii="宋体" w:hAnsi="宋体" w:cs="宋体"/>
          <w:b/>
          <w:sz w:val="32"/>
          <w:szCs w:val="32"/>
        </w:rPr>
        <w:br w:type="page"/>
      </w:r>
    </w:p>
    <w:p w14:paraId="4C627FA6">
      <w:pPr>
        <w:pStyle w:val="34"/>
        <w:spacing w:before="0" w:after="0" w:line="360" w:lineRule="auto"/>
        <w:ind w:firstLine="0"/>
        <w:jc w:val="center"/>
        <w:rPr>
          <w:rFonts w:ascii="宋体" w:hAnsi="宋体" w:cs="宋体"/>
          <w:b/>
          <w:sz w:val="32"/>
          <w:szCs w:val="32"/>
        </w:rPr>
      </w:pPr>
      <w:r>
        <w:rPr>
          <w:rFonts w:hint="eastAsia" w:ascii="宋体" w:hAnsi="宋体" w:cs="宋体"/>
          <w:b/>
          <w:sz w:val="32"/>
          <w:szCs w:val="32"/>
        </w:rPr>
        <w:t>价格评标（分）记录明细表</w:t>
      </w:r>
    </w:p>
    <w:tbl>
      <w:tblPr>
        <w:tblStyle w:val="22"/>
        <w:tblW w:w="91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9"/>
        <w:gridCol w:w="6304"/>
        <w:gridCol w:w="1231"/>
      </w:tblGrid>
      <w:tr w14:paraId="47C68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blHeader/>
          <w:jc w:val="center"/>
        </w:trPr>
        <w:tc>
          <w:tcPr>
            <w:tcW w:w="1629" w:type="dxa"/>
            <w:vAlign w:val="center"/>
          </w:tcPr>
          <w:p w14:paraId="541B0020">
            <w:pPr>
              <w:pStyle w:val="35"/>
              <w:keepNext w:val="0"/>
              <w:keepLines w:val="0"/>
              <w:suppressLineNumbers w:val="0"/>
              <w:spacing w:before="0" w:beforeAutospacing="0" w:after="0" w:afterAutospacing="0"/>
              <w:ind w:left="0" w:right="0"/>
              <w:jc w:val="center"/>
              <w:rPr>
                <w:rFonts w:hint="default" w:ascii="宋体" w:hAnsi="宋体" w:cs="仿宋"/>
                <w:b/>
                <w:bCs/>
                <w:color w:val="auto"/>
                <w:kern w:val="2"/>
                <w:sz w:val="21"/>
                <w:szCs w:val="21"/>
              </w:rPr>
            </w:pPr>
            <w:r>
              <w:rPr>
                <w:rFonts w:hint="eastAsia" w:ascii="宋体" w:hAnsi="宋体" w:cs="仿宋"/>
                <w:b/>
                <w:bCs/>
                <w:color w:val="auto"/>
                <w:kern w:val="2"/>
                <w:sz w:val="21"/>
                <w:szCs w:val="21"/>
              </w:rPr>
              <w:t>项目</w:t>
            </w:r>
          </w:p>
        </w:tc>
        <w:tc>
          <w:tcPr>
            <w:tcW w:w="6304" w:type="dxa"/>
            <w:vAlign w:val="center"/>
          </w:tcPr>
          <w:p w14:paraId="69BA36B6">
            <w:pPr>
              <w:pStyle w:val="35"/>
              <w:keepNext w:val="0"/>
              <w:keepLines w:val="0"/>
              <w:suppressLineNumbers w:val="0"/>
              <w:spacing w:before="0" w:beforeAutospacing="0" w:after="0" w:afterAutospacing="0"/>
              <w:ind w:left="0" w:right="0"/>
              <w:jc w:val="center"/>
              <w:rPr>
                <w:rFonts w:hint="default" w:ascii="宋体" w:hAnsi="宋体" w:cs="仿宋"/>
                <w:b/>
                <w:bCs/>
                <w:color w:val="auto"/>
                <w:kern w:val="2"/>
                <w:sz w:val="21"/>
                <w:szCs w:val="21"/>
              </w:rPr>
            </w:pPr>
            <w:r>
              <w:rPr>
                <w:rFonts w:hint="eastAsia" w:ascii="宋体" w:hAnsi="宋体" w:cs="仿宋"/>
                <w:b/>
                <w:bCs/>
                <w:color w:val="auto"/>
                <w:kern w:val="2"/>
                <w:sz w:val="21"/>
                <w:szCs w:val="21"/>
              </w:rPr>
              <w:t>评标内容</w:t>
            </w:r>
          </w:p>
        </w:tc>
        <w:tc>
          <w:tcPr>
            <w:tcW w:w="1231" w:type="dxa"/>
            <w:vAlign w:val="center"/>
          </w:tcPr>
          <w:p w14:paraId="7C99C144">
            <w:pPr>
              <w:pStyle w:val="35"/>
              <w:keepNext w:val="0"/>
              <w:keepLines w:val="0"/>
              <w:suppressLineNumbers w:val="0"/>
              <w:spacing w:before="0" w:beforeAutospacing="0" w:after="0" w:afterAutospacing="0"/>
              <w:ind w:left="0" w:right="0"/>
              <w:jc w:val="center"/>
              <w:rPr>
                <w:rFonts w:hint="default" w:ascii="宋体" w:hAnsi="宋体" w:cs="仿宋"/>
                <w:b/>
                <w:bCs/>
                <w:color w:val="auto"/>
                <w:kern w:val="2"/>
                <w:sz w:val="21"/>
                <w:szCs w:val="21"/>
              </w:rPr>
            </w:pPr>
            <w:r>
              <w:rPr>
                <w:rFonts w:hint="eastAsia" w:ascii="宋体" w:hAnsi="宋体" w:cs="仿宋"/>
                <w:b/>
                <w:bCs/>
                <w:color w:val="auto"/>
                <w:kern w:val="2"/>
                <w:sz w:val="21"/>
                <w:szCs w:val="21"/>
              </w:rPr>
              <w:t>分值</w:t>
            </w:r>
          </w:p>
        </w:tc>
      </w:tr>
      <w:tr w14:paraId="75747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164" w:type="dxa"/>
            <w:gridSpan w:val="3"/>
            <w:vAlign w:val="center"/>
          </w:tcPr>
          <w:p w14:paraId="385DB901">
            <w:pPr>
              <w:pStyle w:val="35"/>
              <w:keepNext w:val="0"/>
              <w:keepLines w:val="0"/>
              <w:suppressLineNumbers w:val="0"/>
              <w:spacing w:before="0" w:beforeAutospacing="0" w:after="0" w:afterAutospacing="0"/>
              <w:ind w:left="0" w:right="0"/>
              <w:jc w:val="both"/>
              <w:rPr>
                <w:rFonts w:hint="default" w:ascii="宋体" w:hAnsi="宋体" w:cs="仿宋"/>
                <w:color w:val="auto"/>
                <w:kern w:val="2"/>
                <w:sz w:val="21"/>
                <w:szCs w:val="21"/>
              </w:rPr>
            </w:pPr>
            <w:r>
              <w:rPr>
                <w:rFonts w:hint="eastAsia" w:ascii="宋体" w:hAnsi="宋体" w:cs="仿宋"/>
                <w:b/>
                <w:bCs/>
                <w:color w:val="auto"/>
                <w:kern w:val="2"/>
                <w:sz w:val="21"/>
                <w:szCs w:val="21"/>
              </w:rPr>
              <w:t>A．投标价格评分</w:t>
            </w:r>
            <w:r>
              <w:rPr>
                <w:rFonts w:hint="eastAsia" w:ascii="宋体" w:hAnsi="宋体" w:cs="仿宋"/>
                <w:b/>
                <w:bCs/>
                <w:color w:val="auto"/>
                <w:kern w:val="2"/>
                <w:sz w:val="21"/>
                <w:szCs w:val="21"/>
                <w:lang w:val="en-US" w:eastAsia="zh-CN"/>
              </w:rPr>
              <w:t>1</w:t>
            </w:r>
            <w:r>
              <w:rPr>
                <w:rFonts w:hint="default" w:ascii="宋体" w:hAnsi="宋体" w:cs="仿宋"/>
                <w:b/>
                <w:bCs/>
                <w:color w:val="auto"/>
                <w:kern w:val="2"/>
                <w:sz w:val="21"/>
                <w:szCs w:val="21"/>
              </w:rPr>
              <w:t>0分</w:t>
            </w:r>
          </w:p>
        </w:tc>
      </w:tr>
      <w:tr w14:paraId="51320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629" w:type="dxa"/>
            <w:vMerge w:val="restart"/>
            <w:vAlign w:val="center"/>
          </w:tcPr>
          <w:p w14:paraId="7FCA5A53">
            <w:pPr>
              <w:keepNext w:val="0"/>
              <w:keepLines w:val="0"/>
              <w:suppressLineNumbers w:val="0"/>
              <w:spacing w:before="0" w:beforeAutospacing="0" w:after="0" w:afterAutospacing="0"/>
              <w:ind w:left="0" w:right="0"/>
              <w:jc w:val="center"/>
              <w:rPr>
                <w:rFonts w:hint="default" w:ascii="宋体" w:hAnsi="宋体" w:cs="仿宋"/>
                <w:szCs w:val="21"/>
              </w:rPr>
            </w:pPr>
            <w:r>
              <w:rPr>
                <w:rFonts w:hint="eastAsia" w:ascii="宋体" w:hAnsi="宋体" w:cs="仿宋"/>
                <w:szCs w:val="21"/>
              </w:rPr>
              <w:t>价格评审</w:t>
            </w:r>
          </w:p>
          <w:p w14:paraId="44178613">
            <w:pPr>
              <w:pStyle w:val="6"/>
              <w:keepNext w:val="0"/>
              <w:keepLines w:val="0"/>
              <w:suppressLineNumbers w:val="0"/>
              <w:spacing w:before="0" w:beforeAutospacing="0" w:after="0" w:afterAutospacing="0"/>
              <w:ind w:left="0" w:right="0"/>
              <w:jc w:val="center"/>
              <w:rPr>
                <w:rFonts w:hint="default" w:ascii="宋体" w:hAnsi="宋体"/>
                <w:sz w:val="21"/>
                <w:szCs w:val="21"/>
              </w:rPr>
            </w:pPr>
            <w:r>
              <w:rPr>
                <w:rFonts w:hint="eastAsia" w:ascii="宋体" w:hAnsi="宋体"/>
                <w:sz w:val="21"/>
                <w:szCs w:val="21"/>
                <w:lang w:val="en-US" w:eastAsia="zh-CN"/>
              </w:rPr>
              <w:t>1</w:t>
            </w:r>
            <w:r>
              <w:rPr>
                <w:rFonts w:hint="default" w:ascii="宋体" w:hAnsi="宋体"/>
                <w:sz w:val="21"/>
                <w:szCs w:val="21"/>
              </w:rPr>
              <w:t>0分</w:t>
            </w:r>
          </w:p>
        </w:tc>
        <w:tc>
          <w:tcPr>
            <w:tcW w:w="6304" w:type="dxa"/>
            <w:vAlign w:val="center"/>
          </w:tcPr>
          <w:p w14:paraId="6CEE762D">
            <w:pPr>
              <w:pStyle w:val="37"/>
              <w:keepNext w:val="0"/>
              <w:keepLines w:val="0"/>
              <w:widowControl w:val="0"/>
              <w:suppressLineNumbers w:val="0"/>
              <w:spacing w:before="0" w:beforeAutospacing="0" w:after="0" w:afterAutospacing="0" w:line="280" w:lineRule="exact"/>
              <w:ind w:left="0" w:right="0"/>
              <w:jc w:val="both"/>
              <w:rPr>
                <w:rFonts w:hint="eastAsia" w:ascii="宋体" w:hAnsi="宋体" w:eastAsia="宋体" w:cs="宋体"/>
                <w:kern w:val="2"/>
                <w:sz w:val="21"/>
                <w:szCs w:val="21"/>
                <w:lang w:eastAsia="zh-CN"/>
              </w:rPr>
            </w:pPr>
            <w:r>
              <w:rPr>
                <w:rFonts w:hint="eastAsia" w:ascii="宋体" w:hAnsi="宋体" w:eastAsia="宋体" w:cs="宋体"/>
                <w:kern w:val="2"/>
                <w:sz w:val="21"/>
                <w:szCs w:val="21"/>
              </w:rPr>
              <w:t>评标基准价</w:t>
            </w:r>
            <w:r>
              <w:rPr>
                <w:rFonts w:hint="default" w:ascii="宋体" w:hAnsi="宋体" w:eastAsia="宋体" w:cs="宋体"/>
                <w:kern w:val="2"/>
                <w:sz w:val="21"/>
                <w:szCs w:val="21"/>
              </w:rPr>
              <w:t xml:space="preserve"> =有效投标报价的最低值，有效投标报价等于基准值的得满分，投标报价得分= </w:t>
            </w:r>
            <w:r>
              <w:rPr>
                <w:rFonts w:hint="eastAsia" w:ascii="宋体" w:hAnsi="宋体" w:eastAsia="宋体" w:cs="宋体"/>
                <w:kern w:val="2"/>
                <w:sz w:val="21"/>
                <w:szCs w:val="21"/>
              </w:rPr>
              <w:t>（评标基准价</w:t>
            </w:r>
            <w:r>
              <w:rPr>
                <w:rFonts w:hint="default" w:ascii="宋体" w:hAnsi="宋体" w:eastAsia="宋体" w:cs="宋体"/>
                <w:kern w:val="2"/>
                <w:sz w:val="21"/>
                <w:szCs w:val="21"/>
              </w:rPr>
              <w:t>/投标报价）×</w:t>
            </w:r>
            <w:r>
              <w:rPr>
                <w:rFonts w:hint="eastAsia" w:ascii="宋体" w:hAnsi="宋体" w:eastAsia="宋体" w:cs="宋体"/>
                <w:kern w:val="2"/>
                <w:sz w:val="21"/>
                <w:szCs w:val="21"/>
                <w:lang w:val="en-US" w:eastAsia="zh-CN"/>
              </w:rPr>
              <w:t>1</w:t>
            </w:r>
            <w:r>
              <w:rPr>
                <w:rFonts w:hint="default" w:ascii="宋体" w:hAnsi="宋体" w:eastAsia="宋体" w:cs="宋体"/>
                <w:kern w:val="2"/>
                <w:sz w:val="21"/>
                <w:szCs w:val="21"/>
              </w:rPr>
              <w:t>0。有效投标报价为通过初步审查的</w:t>
            </w:r>
            <w:r>
              <w:rPr>
                <w:rFonts w:hint="eastAsia" w:ascii="宋体" w:hAnsi="宋体" w:eastAsia="宋体" w:cs="宋体"/>
                <w:kern w:val="2"/>
                <w:sz w:val="21"/>
                <w:szCs w:val="21"/>
              </w:rPr>
              <w:t>投标人</w:t>
            </w:r>
            <w:r>
              <w:rPr>
                <w:rFonts w:hint="default" w:ascii="宋体" w:hAnsi="宋体" w:eastAsia="宋体" w:cs="宋体"/>
                <w:kern w:val="2"/>
                <w:sz w:val="21"/>
                <w:szCs w:val="21"/>
              </w:rPr>
              <w:t>报价</w:t>
            </w:r>
            <w:r>
              <w:rPr>
                <w:rFonts w:hint="eastAsia" w:ascii="宋体" w:hAnsi="宋体" w:eastAsia="宋体" w:cs="宋体"/>
                <w:kern w:val="2"/>
                <w:sz w:val="21"/>
                <w:szCs w:val="21"/>
                <w:lang w:eastAsia="zh-CN"/>
              </w:rPr>
              <w:t>。</w:t>
            </w:r>
          </w:p>
        </w:tc>
        <w:tc>
          <w:tcPr>
            <w:tcW w:w="1231" w:type="dxa"/>
            <w:vMerge w:val="restart"/>
            <w:vAlign w:val="center"/>
          </w:tcPr>
          <w:p w14:paraId="3E736914">
            <w:pPr>
              <w:pStyle w:val="35"/>
              <w:keepNext w:val="0"/>
              <w:keepLines w:val="0"/>
              <w:suppressLineNumbers w:val="0"/>
              <w:spacing w:before="0" w:beforeAutospacing="0" w:after="0" w:afterAutospacing="0"/>
              <w:ind w:left="0" w:right="0"/>
              <w:jc w:val="center"/>
              <w:rPr>
                <w:rFonts w:hint="default" w:ascii="宋体" w:hAnsi="宋体" w:cs="仿宋"/>
                <w:color w:val="auto"/>
                <w:kern w:val="2"/>
                <w:sz w:val="21"/>
                <w:szCs w:val="21"/>
              </w:rPr>
            </w:pPr>
            <w:r>
              <w:rPr>
                <w:rFonts w:hint="eastAsia" w:ascii="宋体" w:hAnsi="宋体" w:cs="仿宋"/>
                <w:color w:val="auto"/>
                <w:kern w:val="2"/>
                <w:sz w:val="21"/>
                <w:szCs w:val="21"/>
                <w:lang w:val="en-US" w:eastAsia="zh-CN"/>
              </w:rPr>
              <w:t>1</w:t>
            </w:r>
            <w:r>
              <w:rPr>
                <w:rFonts w:hint="eastAsia" w:ascii="宋体" w:hAnsi="宋体" w:cs="仿宋"/>
                <w:color w:val="auto"/>
                <w:kern w:val="2"/>
                <w:sz w:val="21"/>
                <w:szCs w:val="21"/>
              </w:rPr>
              <w:t>0</w:t>
            </w:r>
            <w:r>
              <w:rPr>
                <w:rFonts w:hint="default" w:ascii="宋体" w:hAnsi="宋体" w:cs="仿宋"/>
                <w:color w:val="auto"/>
                <w:kern w:val="2"/>
                <w:sz w:val="21"/>
                <w:szCs w:val="21"/>
              </w:rPr>
              <w:t>分</w:t>
            </w:r>
          </w:p>
        </w:tc>
      </w:tr>
      <w:tr w14:paraId="17781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1629" w:type="dxa"/>
            <w:vMerge w:val="continue"/>
            <w:vAlign w:val="center"/>
          </w:tcPr>
          <w:p w14:paraId="4ED504E9">
            <w:pPr>
              <w:pStyle w:val="35"/>
              <w:keepNext w:val="0"/>
              <w:keepLines w:val="0"/>
              <w:suppressLineNumbers w:val="0"/>
              <w:spacing w:before="0" w:beforeAutospacing="0" w:after="0" w:afterAutospacing="0"/>
              <w:ind w:left="0" w:right="0"/>
              <w:jc w:val="center"/>
              <w:rPr>
                <w:rFonts w:hint="default" w:ascii="宋体" w:hAnsi="宋体" w:cs="仿宋"/>
                <w:color w:val="auto"/>
                <w:kern w:val="2"/>
                <w:sz w:val="21"/>
                <w:szCs w:val="21"/>
              </w:rPr>
            </w:pPr>
          </w:p>
        </w:tc>
        <w:tc>
          <w:tcPr>
            <w:tcW w:w="6304" w:type="dxa"/>
            <w:vAlign w:val="center"/>
          </w:tcPr>
          <w:p w14:paraId="6495373C">
            <w:pPr>
              <w:pStyle w:val="37"/>
              <w:keepNext w:val="0"/>
              <w:keepLines w:val="0"/>
              <w:widowControl w:val="0"/>
              <w:suppressLineNumbers w:val="0"/>
              <w:spacing w:before="0" w:beforeAutospacing="0" w:after="0" w:afterAutospacing="0" w:line="280" w:lineRule="exact"/>
              <w:ind w:left="0" w:right="0"/>
              <w:jc w:val="both"/>
              <w:rPr>
                <w:rFonts w:hint="default" w:ascii="宋体" w:hAnsi="宋体" w:eastAsia="宋体" w:cs="宋体"/>
                <w:kern w:val="2"/>
                <w:sz w:val="21"/>
                <w:szCs w:val="21"/>
              </w:rPr>
            </w:pPr>
            <w:r>
              <w:rPr>
                <w:rFonts w:hint="eastAsia" w:ascii="宋体" w:hAnsi="宋体" w:eastAsia="宋体" w:cs="宋体"/>
                <w:kern w:val="2"/>
                <w:sz w:val="21"/>
                <w:szCs w:val="21"/>
              </w:rPr>
              <w:t>按上述公式计算得分为负值时，其投标报价得分为零分。计算公式的计算结果值在小数点后均保留两位小数，后余位数四舍五入计。当计算结果为负数时，计为零分。</w:t>
            </w:r>
          </w:p>
        </w:tc>
        <w:tc>
          <w:tcPr>
            <w:tcW w:w="1231" w:type="dxa"/>
            <w:vMerge w:val="continue"/>
            <w:vAlign w:val="center"/>
          </w:tcPr>
          <w:p w14:paraId="6EC1F2BA">
            <w:pPr>
              <w:pStyle w:val="35"/>
              <w:keepNext w:val="0"/>
              <w:keepLines w:val="0"/>
              <w:suppressLineNumbers w:val="0"/>
              <w:spacing w:before="0" w:beforeAutospacing="0" w:after="0" w:afterAutospacing="0"/>
              <w:ind w:left="0" w:right="0"/>
              <w:jc w:val="center"/>
              <w:rPr>
                <w:rFonts w:hint="default" w:ascii="宋体" w:hAnsi="宋体" w:cs="仿宋"/>
                <w:color w:val="auto"/>
                <w:kern w:val="2"/>
                <w:sz w:val="21"/>
                <w:szCs w:val="21"/>
              </w:rPr>
            </w:pPr>
          </w:p>
        </w:tc>
      </w:tr>
      <w:tr w14:paraId="3FCC4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9164" w:type="dxa"/>
            <w:gridSpan w:val="3"/>
            <w:vAlign w:val="center"/>
          </w:tcPr>
          <w:p w14:paraId="12FBB621">
            <w:pPr>
              <w:pStyle w:val="35"/>
              <w:keepNext w:val="0"/>
              <w:keepLines w:val="0"/>
              <w:suppressLineNumbers w:val="0"/>
              <w:spacing w:before="0" w:beforeAutospacing="0" w:after="0" w:afterAutospacing="0"/>
              <w:ind w:left="0" w:right="0"/>
              <w:jc w:val="both"/>
              <w:rPr>
                <w:rFonts w:hint="default" w:ascii="宋体" w:hAnsi="宋体" w:cs="宋体"/>
                <w:color w:val="auto"/>
                <w:kern w:val="2"/>
                <w:sz w:val="21"/>
                <w:szCs w:val="21"/>
              </w:rPr>
            </w:pPr>
            <w:r>
              <w:rPr>
                <w:rFonts w:hint="eastAsia" w:ascii="宋体" w:hAnsi="宋体" w:cs="宋体"/>
                <w:color w:val="auto"/>
                <w:kern w:val="2"/>
                <w:sz w:val="21"/>
                <w:szCs w:val="21"/>
              </w:rPr>
              <w:t>注：</w:t>
            </w:r>
            <w:r>
              <w:rPr>
                <w:rFonts w:hint="default" w:ascii="宋体" w:hAnsi="宋体" w:cs="宋体"/>
                <w:color w:val="auto"/>
                <w:kern w:val="2"/>
                <w:sz w:val="21"/>
                <w:szCs w:val="21"/>
              </w:rPr>
              <w:t>1、计算过程中，算术平均值保留2位小数（百分比亦取2位小数），第三位小数四舍五入。</w:t>
            </w:r>
          </w:p>
          <w:p w14:paraId="62A4B383">
            <w:pPr>
              <w:pStyle w:val="35"/>
              <w:keepNext w:val="0"/>
              <w:keepLines w:val="0"/>
              <w:suppressLineNumbers w:val="0"/>
              <w:spacing w:before="0" w:beforeAutospacing="0" w:after="0" w:afterAutospacing="0"/>
              <w:ind w:left="0" w:right="0" w:firstLine="420" w:firstLineChars="200"/>
              <w:jc w:val="both"/>
              <w:rPr>
                <w:rFonts w:hint="default" w:ascii="宋体" w:hAnsi="宋体" w:cs="仿宋"/>
                <w:color w:val="auto"/>
                <w:kern w:val="2"/>
                <w:sz w:val="21"/>
                <w:szCs w:val="21"/>
              </w:rPr>
            </w:pPr>
            <w:r>
              <w:rPr>
                <w:rFonts w:hint="default" w:ascii="宋体" w:hAnsi="宋体" w:cs="宋体"/>
                <w:color w:val="auto"/>
                <w:kern w:val="2"/>
                <w:sz w:val="21"/>
                <w:szCs w:val="21"/>
              </w:rPr>
              <w:t>2、投标人的最终得分为：所有评委对其评分的算术平均值。</w:t>
            </w:r>
          </w:p>
        </w:tc>
      </w:tr>
      <w:tr w14:paraId="6CC91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164" w:type="dxa"/>
            <w:gridSpan w:val="3"/>
            <w:vAlign w:val="center"/>
          </w:tcPr>
          <w:p w14:paraId="401DFE4B">
            <w:pPr>
              <w:pStyle w:val="35"/>
              <w:keepNext w:val="0"/>
              <w:keepLines w:val="0"/>
              <w:suppressLineNumbers w:val="0"/>
              <w:spacing w:before="0" w:beforeAutospacing="0" w:after="0" w:afterAutospacing="0"/>
              <w:ind w:left="0" w:right="0"/>
              <w:jc w:val="both"/>
              <w:rPr>
                <w:rFonts w:hint="default" w:ascii="宋体" w:hAnsi="宋体" w:cs="仿宋"/>
                <w:color w:val="auto"/>
                <w:kern w:val="2"/>
                <w:sz w:val="21"/>
                <w:szCs w:val="21"/>
              </w:rPr>
            </w:pPr>
            <w:r>
              <w:rPr>
                <w:rFonts w:hint="eastAsia" w:ascii="宋体" w:hAnsi="宋体" w:cs="仿宋"/>
                <w:b/>
                <w:bCs/>
                <w:color w:val="auto"/>
                <w:kern w:val="2"/>
                <w:sz w:val="21"/>
                <w:szCs w:val="21"/>
              </w:rPr>
              <w:t>B．属于中小企业评标优惠内容及价格扣除幅度，本项目的价格扣除为</w:t>
            </w:r>
            <w:r>
              <w:rPr>
                <w:rFonts w:hint="eastAsia" w:ascii="宋体" w:hAnsi="宋体" w:cs="仿宋"/>
                <w:b/>
                <w:bCs/>
                <w:color w:val="auto"/>
                <w:kern w:val="2"/>
                <w:sz w:val="21"/>
                <w:szCs w:val="21"/>
                <w:lang w:val="en-US" w:eastAsia="zh-CN"/>
              </w:rPr>
              <w:t>10</w:t>
            </w:r>
            <w:r>
              <w:rPr>
                <w:rFonts w:hint="default" w:ascii="宋体" w:hAnsi="宋体" w:cs="仿宋"/>
                <w:b/>
                <w:bCs/>
                <w:color w:val="auto"/>
                <w:kern w:val="2"/>
                <w:sz w:val="21"/>
                <w:szCs w:val="21"/>
              </w:rPr>
              <w:t>%。</w:t>
            </w:r>
          </w:p>
        </w:tc>
      </w:tr>
      <w:tr w14:paraId="203DD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164" w:type="dxa"/>
            <w:gridSpan w:val="3"/>
            <w:tcBorders>
              <w:bottom w:val="single" w:color="auto" w:sz="4" w:space="0"/>
            </w:tcBorders>
            <w:vAlign w:val="center"/>
          </w:tcPr>
          <w:p w14:paraId="0332AFA6">
            <w:pPr>
              <w:pStyle w:val="35"/>
              <w:keepNext w:val="0"/>
              <w:keepLines w:val="0"/>
              <w:suppressLineNumbers w:val="0"/>
              <w:spacing w:before="0" w:beforeAutospacing="0" w:after="0" w:afterAutospacing="0" w:line="300" w:lineRule="exact"/>
              <w:ind w:left="0" w:right="0" w:firstLine="420" w:firstLineChars="200"/>
              <w:jc w:val="both"/>
              <w:rPr>
                <w:rFonts w:hint="default" w:ascii="宋体" w:hAnsi="宋体" w:cs="仿宋"/>
                <w:color w:val="auto"/>
                <w:kern w:val="2"/>
                <w:sz w:val="21"/>
                <w:szCs w:val="21"/>
              </w:rPr>
            </w:pPr>
            <w:r>
              <w:rPr>
                <w:rFonts w:hint="eastAsia" w:ascii="宋体" w:hAnsi="宋体" w:cs="仿宋"/>
                <w:color w:val="auto"/>
                <w:kern w:val="2"/>
                <w:sz w:val="21"/>
                <w:szCs w:val="21"/>
              </w:rPr>
              <w:t>根据中华人民共和国财政部、中华人民共和国工业和信息化部《政府采购促进中小企业发展暂行办法》（财库</w:t>
            </w:r>
            <w:r>
              <w:rPr>
                <w:rFonts w:hint="default" w:ascii="宋体" w:hAnsi="宋体" w:cs="仿宋"/>
                <w:color w:val="auto"/>
                <w:kern w:val="2"/>
                <w:sz w:val="21"/>
                <w:szCs w:val="21"/>
              </w:rPr>
              <w:t>[2011] 181号）文件的规定，属于中小企业评标优惠内容及幅度如下：</w:t>
            </w:r>
          </w:p>
          <w:p w14:paraId="41769EF7">
            <w:pPr>
              <w:pStyle w:val="35"/>
              <w:keepNext w:val="0"/>
              <w:keepLines w:val="0"/>
              <w:suppressLineNumbers w:val="0"/>
              <w:spacing w:before="0" w:beforeAutospacing="0" w:after="0" w:afterAutospacing="0" w:line="300" w:lineRule="exact"/>
              <w:ind w:left="0" w:right="0"/>
              <w:jc w:val="both"/>
              <w:rPr>
                <w:rFonts w:hint="default" w:ascii="宋体" w:hAnsi="宋体" w:cs="仿宋"/>
                <w:color w:val="auto"/>
                <w:kern w:val="2"/>
                <w:sz w:val="21"/>
                <w:szCs w:val="21"/>
              </w:rPr>
            </w:pPr>
            <w:r>
              <w:rPr>
                <w:rFonts w:hint="eastAsia" w:ascii="宋体" w:hAnsi="宋体" w:cs="仿宋"/>
                <w:b/>
                <w:bCs/>
                <w:color w:val="auto"/>
                <w:kern w:val="2"/>
                <w:sz w:val="21"/>
                <w:szCs w:val="21"/>
              </w:rPr>
              <w:t>（一）中小企业（含中型、小型、微型企业）应当同时符合以下条件：</w:t>
            </w:r>
          </w:p>
          <w:p w14:paraId="388D4588">
            <w:pPr>
              <w:pStyle w:val="35"/>
              <w:keepNext w:val="0"/>
              <w:keepLines w:val="0"/>
              <w:suppressLineNumbers w:val="0"/>
              <w:spacing w:before="0" w:beforeAutospacing="0" w:after="0" w:afterAutospacing="0" w:line="300" w:lineRule="exact"/>
              <w:ind w:left="0" w:right="0"/>
              <w:jc w:val="both"/>
              <w:rPr>
                <w:rFonts w:hint="eastAsia" w:ascii="宋体" w:hAnsi="宋体" w:eastAsia="宋体" w:cs="仿宋"/>
                <w:color w:val="auto"/>
                <w:kern w:val="2"/>
                <w:sz w:val="21"/>
                <w:szCs w:val="21"/>
                <w:lang w:eastAsia="zh-CN"/>
              </w:rPr>
            </w:pPr>
            <w:r>
              <w:rPr>
                <w:rFonts w:hint="default" w:ascii="宋体" w:hAnsi="宋体" w:cs="仿宋"/>
                <w:color w:val="auto"/>
                <w:kern w:val="2"/>
                <w:sz w:val="21"/>
                <w:szCs w:val="21"/>
              </w:rPr>
              <w:t xml:space="preserve">    ①符合中小企业划分标准(按《关于印发中小企业划型标准规定的通知》(工信部联企业( 2011)300号）执行）</w:t>
            </w:r>
            <w:r>
              <w:rPr>
                <w:rFonts w:hint="eastAsia" w:ascii="宋体" w:hAnsi="宋体" w:cs="仿宋"/>
                <w:color w:val="auto"/>
                <w:kern w:val="2"/>
                <w:sz w:val="21"/>
                <w:szCs w:val="21"/>
                <w:lang w:eastAsia="zh-CN"/>
              </w:rPr>
              <w:t>。</w:t>
            </w:r>
          </w:p>
          <w:p w14:paraId="260677CE">
            <w:pPr>
              <w:pStyle w:val="35"/>
              <w:keepNext w:val="0"/>
              <w:keepLines w:val="0"/>
              <w:suppressLineNumbers w:val="0"/>
              <w:spacing w:before="0" w:beforeAutospacing="0" w:after="0" w:afterAutospacing="0" w:line="300" w:lineRule="exact"/>
              <w:ind w:left="0" w:right="0"/>
              <w:jc w:val="both"/>
              <w:rPr>
                <w:rFonts w:hint="eastAsia" w:ascii="宋体" w:hAnsi="宋体" w:eastAsia="宋体" w:cs="仿宋"/>
                <w:color w:val="auto"/>
                <w:kern w:val="2"/>
                <w:sz w:val="21"/>
                <w:szCs w:val="21"/>
                <w:lang w:eastAsia="zh-CN"/>
              </w:rPr>
            </w:pPr>
            <w:r>
              <w:rPr>
                <w:rFonts w:hint="default" w:ascii="宋体" w:hAnsi="宋体" w:cs="仿宋"/>
                <w:color w:val="auto"/>
                <w:kern w:val="2"/>
                <w:sz w:val="21"/>
                <w:szCs w:val="21"/>
              </w:rPr>
              <w:t xml:space="preserve">    ②提供本企业制造的货物、承担的项目或者服务，或者提供其他中小企业制造的货物。本项所称货物不包括使用大型企业注册商标的货物</w:t>
            </w:r>
            <w:r>
              <w:rPr>
                <w:rFonts w:hint="eastAsia" w:ascii="宋体" w:hAnsi="宋体" w:cs="仿宋"/>
                <w:color w:val="auto"/>
                <w:kern w:val="2"/>
                <w:sz w:val="21"/>
                <w:szCs w:val="21"/>
                <w:lang w:eastAsia="zh-CN"/>
              </w:rPr>
              <w:t>。</w:t>
            </w:r>
          </w:p>
          <w:p w14:paraId="1B133256">
            <w:pPr>
              <w:pStyle w:val="35"/>
              <w:keepNext w:val="0"/>
              <w:keepLines w:val="0"/>
              <w:suppressLineNumbers w:val="0"/>
              <w:spacing w:before="0" w:beforeAutospacing="0" w:after="0" w:afterAutospacing="0" w:line="300" w:lineRule="exact"/>
              <w:ind w:left="0" w:right="0"/>
              <w:jc w:val="both"/>
              <w:rPr>
                <w:rFonts w:hint="default" w:ascii="宋体" w:hAnsi="宋体" w:cs="仿宋"/>
                <w:color w:val="auto"/>
                <w:kern w:val="2"/>
                <w:sz w:val="21"/>
                <w:szCs w:val="21"/>
              </w:rPr>
            </w:pPr>
            <w:r>
              <w:rPr>
                <w:rFonts w:hint="default" w:ascii="宋体" w:hAnsi="宋体" w:cs="仿宋"/>
                <w:color w:val="auto"/>
                <w:kern w:val="2"/>
                <w:sz w:val="21"/>
                <w:szCs w:val="21"/>
              </w:rPr>
              <w:t xml:space="preserve">    ③小型、微型企业提供中型企业制造的货物的，视同为中型企业。</w:t>
            </w:r>
          </w:p>
          <w:p w14:paraId="378F7EB2">
            <w:pPr>
              <w:pStyle w:val="35"/>
              <w:keepNext w:val="0"/>
              <w:keepLines w:val="0"/>
              <w:numPr>
                <w:ilvl w:val="0"/>
                <w:numId w:val="5"/>
              </w:numPr>
              <w:suppressLineNumbers w:val="0"/>
              <w:spacing w:before="0" w:beforeAutospacing="0" w:after="0" w:afterAutospacing="0" w:line="300" w:lineRule="exact"/>
              <w:ind w:left="0" w:right="0"/>
              <w:jc w:val="both"/>
              <w:rPr>
                <w:rFonts w:hint="default" w:ascii="宋体" w:hAnsi="宋体" w:cs="仿宋"/>
                <w:b/>
                <w:bCs/>
                <w:color w:val="auto"/>
                <w:kern w:val="2"/>
                <w:sz w:val="21"/>
                <w:szCs w:val="21"/>
              </w:rPr>
            </w:pPr>
            <w:r>
              <w:rPr>
                <w:rFonts w:hint="eastAsia" w:ascii="宋体" w:hAnsi="宋体" w:cs="仿宋"/>
                <w:b/>
                <w:bCs/>
                <w:color w:val="auto"/>
                <w:kern w:val="2"/>
                <w:sz w:val="21"/>
                <w:szCs w:val="21"/>
              </w:rPr>
              <w:t>价格扣除办法：</w:t>
            </w:r>
          </w:p>
          <w:p w14:paraId="2860AB5A">
            <w:pPr>
              <w:pStyle w:val="35"/>
              <w:keepNext w:val="0"/>
              <w:keepLines w:val="0"/>
              <w:suppressLineNumbers w:val="0"/>
              <w:spacing w:before="0" w:beforeAutospacing="0" w:after="0" w:afterAutospacing="0" w:line="300" w:lineRule="exact"/>
              <w:ind w:left="0" w:right="0" w:firstLine="480"/>
              <w:jc w:val="both"/>
              <w:rPr>
                <w:rFonts w:hint="default" w:ascii="宋体" w:hAnsi="宋体" w:cs="仿宋"/>
                <w:color w:val="auto"/>
                <w:kern w:val="2"/>
                <w:sz w:val="21"/>
                <w:szCs w:val="21"/>
              </w:rPr>
            </w:pPr>
            <w:r>
              <w:rPr>
                <w:rFonts w:hint="eastAsia" w:ascii="宋体" w:hAnsi="宋体" w:cs="仿宋"/>
                <w:color w:val="auto"/>
                <w:kern w:val="2"/>
                <w:sz w:val="21"/>
                <w:szCs w:val="21"/>
              </w:rPr>
              <w:t>①对于非专门面向中小企业的项目，对小型和微型企业（或联合体各方均为小型、微型企业的）产品的价格给予</w:t>
            </w:r>
            <w:r>
              <w:rPr>
                <w:rFonts w:hint="eastAsia" w:ascii="宋体" w:hAnsi="宋体" w:cs="仿宋"/>
                <w:color w:val="auto"/>
                <w:kern w:val="2"/>
                <w:sz w:val="21"/>
                <w:szCs w:val="21"/>
                <w:lang w:val="en-US" w:eastAsia="zh-CN"/>
              </w:rPr>
              <w:t>10</w:t>
            </w:r>
            <w:r>
              <w:rPr>
                <w:rFonts w:hint="default" w:ascii="宋体" w:hAnsi="宋体" w:cs="仿宋"/>
                <w:color w:val="auto"/>
                <w:kern w:val="2"/>
                <w:sz w:val="21"/>
                <w:szCs w:val="21"/>
              </w:rPr>
              <w:t>%的扣除，用扣除后的</w:t>
            </w:r>
            <w:r>
              <w:rPr>
                <w:rFonts w:hint="eastAsia" w:ascii="宋体" w:hAnsi="宋体" w:cs="仿宋"/>
                <w:color w:val="auto"/>
                <w:kern w:val="2"/>
                <w:sz w:val="21"/>
                <w:szCs w:val="21"/>
              </w:rPr>
              <w:t>评标</w:t>
            </w:r>
            <w:r>
              <w:rPr>
                <w:rFonts w:hint="default" w:ascii="宋体" w:hAnsi="宋体" w:cs="仿宋"/>
                <w:color w:val="auto"/>
                <w:kern w:val="2"/>
                <w:sz w:val="21"/>
                <w:szCs w:val="21"/>
              </w:rPr>
              <w:t>价格参与价格分的评标。</w:t>
            </w:r>
          </w:p>
          <w:p w14:paraId="1E0C070D">
            <w:pPr>
              <w:pStyle w:val="35"/>
              <w:keepNext w:val="0"/>
              <w:keepLines w:val="0"/>
              <w:suppressLineNumbers w:val="0"/>
              <w:spacing w:before="0" w:beforeAutospacing="0" w:after="0" w:afterAutospacing="0" w:line="300" w:lineRule="exact"/>
              <w:ind w:left="0" w:right="0" w:firstLine="480"/>
              <w:jc w:val="both"/>
              <w:rPr>
                <w:rFonts w:hint="default" w:ascii="宋体" w:hAnsi="宋体" w:cs="仿宋"/>
                <w:color w:val="auto"/>
                <w:kern w:val="2"/>
                <w:sz w:val="21"/>
                <w:szCs w:val="21"/>
              </w:rPr>
            </w:pPr>
            <w:r>
              <w:rPr>
                <w:rFonts w:hint="eastAsia" w:ascii="宋体" w:hAnsi="宋体" w:cs="仿宋"/>
                <w:color w:val="auto"/>
                <w:kern w:val="2"/>
                <w:sz w:val="21"/>
                <w:szCs w:val="21"/>
              </w:rPr>
              <w:t>②大中型企业和其他自然人、法人或者其他组织与小型、微型企业组成联合体，联合体协议中约定，小型、微型企业的协议合同金额占到联合体协议合同总金额</w:t>
            </w:r>
            <w:r>
              <w:rPr>
                <w:rFonts w:hint="default" w:ascii="宋体" w:hAnsi="宋体" w:cs="仿宋"/>
                <w:color w:val="auto"/>
                <w:kern w:val="2"/>
                <w:sz w:val="21"/>
                <w:szCs w:val="21"/>
              </w:rPr>
              <w:t xml:space="preserve">30%以上的，可给予联合体2%的价格扣除。联合体各方均为小型、微型企业的，联合体视同为小型、微型企业享受扶持政策。组成联合体的大中型企业和其他自然人、法人或者其他组织，与小型、微型企业之间不得存在投资关系，并附协议书。  </w:t>
            </w:r>
          </w:p>
          <w:p w14:paraId="10E16EF6">
            <w:pPr>
              <w:pStyle w:val="35"/>
              <w:keepNext w:val="0"/>
              <w:keepLines w:val="0"/>
              <w:suppressLineNumbers w:val="0"/>
              <w:spacing w:before="0" w:beforeAutospacing="0" w:after="0" w:afterAutospacing="0" w:line="300" w:lineRule="exact"/>
              <w:ind w:left="0" w:right="0"/>
              <w:jc w:val="both"/>
              <w:rPr>
                <w:rFonts w:hint="default" w:ascii="宋体" w:hAnsi="宋体" w:cs="仿宋"/>
                <w:b/>
                <w:bCs/>
                <w:color w:val="auto"/>
                <w:kern w:val="2"/>
                <w:sz w:val="21"/>
                <w:szCs w:val="21"/>
              </w:rPr>
            </w:pPr>
            <w:r>
              <w:rPr>
                <w:rFonts w:hint="eastAsia" w:ascii="宋体" w:hAnsi="宋体" w:cs="仿宋"/>
                <w:b/>
                <w:bCs/>
                <w:color w:val="auto"/>
                <w:kern w:val="2"/>
                <w:sz w:val="21"/>
                <w:szCs w:val="21"/>
              </w:rPr>
              <w:t>（三）小型和微型企业适用价格扣除办法时应提供的相关资料：</w:t>
            </w:r>
          </w:p>
          <w:p w14:paraId="449F9BD1">
            <w:pPr>
              <w:pStyle w:val="35"/>
              <w:keepNext w:val="0"/>
              <w:keepLines w:val="0"/>
              <w:suppressLineNumbers w:val="0"/>
              <w:spacing w:before="0" w:beforeAutospacing="0" w:after="0" w:afterAutospacing="0" w:line="300" w:lineRule="exact"/>
              <w:ind w:left="0" w:right="0"/>
              <w:jc w:val="both"/>
              <w:rPr>
                <w:rFonts w:hint="default" w:ascii="宋体" w:hAnsi="宋体" w:cs="仿宋"/>
                <w:color w:val="auto"/>
                <w:kern w:val="2"/>
                <w:sz w:val="21"/>
                <w:szCs w:val="21"/>
              </w:rPr>
            </w:pPr>
            <w:r>
              <w:rPr>
                <w:rFonts w:hint="default" w:ascii="宋体" w:hAnsi="宋体" w:cs="仿宋"/>
                <w:color w:val="auto"/>
                <w:kern w:val="2"/>
                <w:sz w:val="21"/>
                <w:szCs w:val="21"/>
              </w:rPr>
              <w:t xml:space="preserve">    《中小企业声明函》</w:t>
            </w:r>
          </w:p>
        </w:tc>
      </w:tr>
      <w:tr w14:paraId="15E75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9164" w:type="dxa"/>
            <w:gridSpan w:val="3"/>
            <w:vAlign w:val="center"/>
          </w:tcPr>
          <w:p w14:paraId="7460873C">
            <w:pPr>
              <w:pStyle w:val="35"/>
              <w:keepNext w:val="0"/>
              <w:keepLines w:val="0"/>
              <w:suppressLineNumbers w:val="0"/>
              <w:spacing w:before="0" w:beforeAutospacing="0" w:after="0" w:afterAutospacing="0" w:line="340" w:lineRule="exact"/>
              <w:ind w:left="0" w:right="0"/>
              <w:jc w:val="both"/>
              <w:rPr>
                <w:rFonts w:hint="default" w:ascii="宋体" w:hAnsi="宋体" w:cs="仿宋"/>
                <w:color w:val="auto"/>
                <w:kern w:val="2"/>
                <w:sz w:val="21"/>
                <w:szCs w:val="21"/>
              </w:rPr>
            </w:pPr>
            <w:r>
              <w:rPr>
                <w:rFonts w:hint="eastAsia" w:ascii="宋体" w:hAnsi="宋体" w:cs="仿宋"/>
                <w:b/>
                <w:bCs/>
                <w:color w:val="auto"/>
                <w:kern w:val="2"/>
                <w:sz w:val="21"/>
                <w:szCs w:val="21"/>
              </w:rPr>
              <w:t>C.属于享受政府采购支持政策的残疾人福利性单位评标优惠内容及价格扣除幅度按小型、微型企业评标中价格扣除</w:t>
            </w:r>
            <w:r>
              <w:rPr>
                <w:rFonts w:hint="default" w:ascii="宋体" w:hAnsi="宋体" w:cs="仿宋"/>
                <w:b/>
                <w:bCs/>
                <w:color w:val="auto"/>
                <w:kern w:val="2"/>
                <w:sz w:val="21"/>
                <w:szCs w:val="21"/>
              </w:rPr>
              <w:t>,残疾人福利性单位属于小型、微型企业的，不重复享受政策。本项目的价格扣除为</w:t>
            </w:r>
            <w:r>
              <w:rPr>
                <w:rFonts w:hint="eastAsia" w:ascii="宋体" w:hAnsi="宋体" w:cs="仿宋"/>
                <w:b/>
                <w:bCs/>
                <w:color w:val="auto"/>
                <w:kern w:val="2"/>
                <w:sz w:val="21"/>
                <w:szCs w:val="21"/>
                <w:lang w:val="en-US" w:eastAsia="zh-CN"/>
              </w:rPr>
              <w:t>10</w:t>
            </w:r>
            <w:r>
              <w:rPr>
                <w:rFonts w:hint="default" w:ascii="宋体" w:hAnsi="宋体" w:cs="仿宋"/>
                <w:b/>
                <w:bCs/>
                <w:color w:val="auto"/>
                <w:kern w:val="2"/>
                <w:sz w:val="21"/>
                <w:szCs w:val="21"/>
              </w:rPr>
              <w:t>%。</w:t>
            </w:r>
          </w:p>
        </w:tc>
      </w:tr>
      <w:tr w14:paraId="05380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9164" w:type="dxa"/>
            <w:gridSpan w:val="3"/>
            <w:vAlign w:val="center"/>
          </w:tcPr>
          <w:p w14:paraId="014A34BD">
            <w:pPr>
              <w:pStyle w:val="35"/>
              <w:keepNext w:val="0"/>
              <w:keepLines w:val="0"/>
              <w:suppressLineNumbers w:val="0"/>
              <w:spacing w:before="0" w:beforeAutospacing="0" w:after="0" w:afterAutospacing="0" w:line="340" w:lineRule="exact"/>
              <w:ind w:left="0" w:right="0"/>
              <w:jc w:val="both"/>
              <w:rPr>
                <w:rFonts w:hint="default" w:ascii="宋体" w:hAnsi="宋体" w:cs="仿宋"/>
                <w:b/>
                <w:bCs/>
                <w:color w:val="auto"/>
                <w:kern w:val="2"/>
                <w:sz w:val="21"/>
                <w:szCs w:val="21"/>
              </w:rPr>
            </w:pPr>
            <w:r>
              <w:rPr>
                <w:rFonts w:hint="eastAsia" w:ascii="宋体" w:hAnsi="宋体" w:cs="仿宋"/>
                <w:b/>
                <w:bCs/>
                <w:color w:val="auto"/>
                <w:kern w:val="2"/>
                <w:sz w:val="21"/>
                <w:szCs w:val="21"/>
              </w:rPr>
              <w:t>D.</w:t>
            </w:r>
            <w:r>
              <w:rPr>
                <w:rFonts w:hint="eastAsia" w:ascii="宋体" w:hAnsi="宋体" w:cs="宋体"/>
                <w:b/>
                <w:bCs/>
                <w:color w:val="auto"/>
                <w:kern w:val="2"/>
                <w:sz w:val="21"/>
                <w:szCs w:val="21"/>
              </w:rPr>
              <w:t xml:space="preserve"> 属于享受政府采购支持政策的监狱企业评标优惠内容及价格扣除幅度</w:t>
            </w:r>
            <w:r>
              <w:rPr>
                <w:rFonts w:hint="eastAsia" w:ascii="宋体" w:hAnsi="宋体" w:cs="宋体"/>
                <w:b/>
                <w:bCs/>
                <w:color w:val="auto"/>
                <w:kern w:val="2"/>
                <w:sz w:val="21"/>
                <w:szCs w:val="21"/>
                <w:lang w:bidi="ar"/>
              </w:rPr>
              <w:t>按小型、微型企业评标中价格评审优惠,残疾人福利性单位属于小型、微型企业的，不重复享受政策（须提供由省级以上监狱管理局、戒毒管理局（含新疆生产建设兵团）出具的属于监狱企业的证明文件</w:t>
            </w:r>
            <w:r>
              <w:rPr>
                <w:rFonts w:hint="eastAsia" w:ascii="宋体" w:hAnsi="宋体" w:cs="宋体"/>
                <w:b/>
                <w:bCs/>
                <w:color w:val="auto"/>
                <w:kern w:val="2"/>
                <w:sz w:val="21"/>
                <w:szCs w:val="21"/>
              </w:rPr>
              <w:t>）</w:t>
            </w:r>
            <w:r>
              <w:rPr>
                <w:rFonts w:hint="eastAsia" w:ascii="宋体" w:hAnsi="宋体" w:cs="宋体"/>
                <w:b/>
                <w:bCs/>
                <w:color w:val="auto"/>
                <w:kern w:val="2"/>
                <w:sz w:val="21"/>
                <w:szCs w:val="21"/>
                <w:lang w:bidi="ar"/>
              </w:rPr>
              <w:t>。</w:t>
            </w:r>
            <w:r>
              <w:rPr>
                <w:rFonts w:hint="default" w:ascii="宋体" w:hAnsi="宋体" w:cs="仿宋"/>
                <w:b/>
                <w:bCs/>
                <w:color w:val="auto"/>
                <w:kern w:val="2"/>
                <w:sz w:val="21"/>
                <w:szCs w:val="21"/>
              </w:rPr>
              <w:t>本项目的价格扣除为</w:t>
            </w:r>
            <w:r>
              <w:rPr>
                <w:rFonts w:hint="eastAsia" w:ascii="宋体" w:hAnsi="宋体" w:cs="仿宋"/>
                <w:b/>
                <w:bCs/>
                <w:color w:val="auto"/>
                <w:kern w:val="2"/>
                <w:sz w:val="21"/>
                <w:szCs w:val="21"/>
                <w:lang w:val="en-US" w:eastAsia="zh-CN"/>
              </w:rPr>
              <w:t>10</w:t>
            </w:r>
            <w:r>
              <w:rPr>
                <w:rFonts w:hint="default" w:ascii="宋体" w:hAnsi="宋体" w:cs="仿宋"/>
                <w:b/>
                <w:bCs/>
                <w:color w:val="auto"/>
                <w:kern w:val="2"/>
                <w:sz w:val="21"/>
                <w:szCs w:val="21"/>
              </w:rPr>
              <w:t>%。</w:t>
            </w:r>
          </w:p>
        </w:tc>
      </w:tr>
      <w:tr w14:paraId="78482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164" w:type="dxa"/>
            <w:gridSpan w:val="3"/>
            <w:vAlign w:val="center"/>
          </w:tcPr>
          <w:p w14:paraId="163E5221">
            <w:pPr>
              <w:pStyle w:val="35"/>
              <w:keepNext w:val="0"/>
              <w:keepLines w:val="0"/>
              <w:suppressLineNumbers w:val="0"/>
              <w:spacing w:before="0" w:beforeAutospacing="0" w:after="0" w:afterAutospacing="0" w:line="340" w:lineRule="exact"/>
              <w:ind w:left="0" w:right="0"/>
              <w:jc w:val="both"/>
              <w:rPr>
                <w:rFonts w:hint="default" w:ascii="宋体" w:hAnsi="宋体" w:cs="仿宋"/>
                <w:b/>
                <w:bCs/>
                <w:color w:val="auto"/>
                <w:kern w:val="2"/>
                <w:sz w:val="21"/>
                <w:szCs w:val="21"/>
              </w:rPr>
            </w:pPr>
            <w:r>
              <w:rPr>
                <w:rFonts w:hint="eastAsia" w:ascii="宋体" w:hAnsi="宋体" w:cs="仿宋"/>
                <w:b/>
                <w:bCs/>
                <w:color w:val="auto"/>
                <w:kern w:val="2"/>
                <w:sz w:val="21"/>
                <w:szCs w:val="21"/>
              </w:rPr>
              <w:t>E.节能、环境标志产品评审优惠内容及办法</w:t>
            </w:r>
          </w:p>
        </w:tc>
      </w:tr>
      <w:tr w14:paraId="2F9E6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164" w:type="dxa"/>
            <w:gridSpan w:val="3"/>
            <w:vAlign w:val="center"/>
          </w:tcPr>
          <w:p w14:paraId="2C95C6F6">
            <w:pPr>
              <w:pStyle w:val="35"/>
              <w:keepNext w:val="0"/>
              <w:keepLines w:val="0"/>
              <w:suppressLineNumbers w:val="0"/>
              <w:spacing w:before="0" w:beforeAutospacing="0" w:after="0" w:afterAutospacing="0" w:line="340" w:lineRule="exact"/>
              <w:ind w:left="0" w:right="0"/>
              <w:rPr>
                <w:rFonts w:hint="default" w:ascii="宋体" w:hAnsi="宋体" w:cs="仿宋"/>
                <w:color w:val="auto"/>
                <w:kern w:val="2"/>
                <w:sz w:val="21"/>
                <w:szCs w:val="21"/>
              </w:rPr>
            </w:pPr>
            <w:r>
              <w:rPr>
                <w:rFonts w:hint="eastAsia" w:ascii="宋体" w:hAnsi="宋体" w:cs="仿宋"/>
                <w:color w:val="auto"/>
                <w:kern w:val="2"/>
                <w:sz w:val="21"/>
                <w:szCs w:val="21"/>
              </w:rPr>
              <w:t>根据《国务院办公厅关于建立政府强制采购节能产品制度的通知》（国办发[2007]51号）和财政部、发展改革委发布的《节能产品政府采购实施意见》（财库[2004]185号）以及《财政部、发展改革委关于调整节能产品政府采购清单的通知》最新的规定，投标人所投产品如是《节能产品政府采购清单》内产品，并提供清单内证明材料。其他产品若属于“节能产品政府采购清单”内产品，在同等条件下，优先采购清单中的产品。</w:t>
            </w:r>
          </w:p>
          <w:p w14:paraId="7DCD449F">
            <w:pPr>
              <w:pStyle w:val="35"/>
              <w:keepNext w:val="0"/>
              <w:keepLines w:val="0"/>
              <w:suppressLineNumbers w:val="0"/>
              <w:spacing w:before="0" w:beforeAutospacing="0" w:after="0" w:afterAutospacing="0" w:line="340" w:lineRule="exact"/>
              <w:ind w:left="0" w:right="0"/>
              <w:jc w:val="both"/>
              <w:rPr>
                <w:rFonts w:hint="default" w:ascii="宋体" w:hAnsi="宋体" w:cs="仿宋"/>
                <w:b/>
                <w:bCs/>
                <w:color w:val="auto"/>
                <w:kern w:val="2"/>
                <w:sz w:val="21"/>
                <w:szCs w:val="21"/>
              </w:rPr>
            </w:pPr>
            <w:r>
              <w:rPr>
                <w:rFonts w:hint="eastAsia" w:ascii="宋体" w:hAnsi="宋体" w:cs="仿宋"/>
                <w:color w:val="auto"/>
                <w:kern w:val="2"/>
                <w:sz w:val="21"/>
                <w:szCs w:val="21"/>
              </w:rPr>
              <w:t>“节能产品”系指列入财政部、国家发改委最新公布《节能产品政府采购清单》的产品；“环境标志产品”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或评审优惠。</w:t>
            </w:r>
          </w:p>
        </w:tc>
      </w:tr>
      <w:tr w14:paraId="40157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164" w:type="dxa"/>
            <w:gridSpan w:val="3"/>
            <w:vAlign w:val="center"/>
          </w:tcPr>
          <w:p w14:paraId="47F62937">
            <w:pPr>
              <w:pStyle w:val="35"/>
              <w:keepNext w:val="0"/>
              <w:keepLines w:val="0"/>
              <w:suppressLineNumbers w:val="0"/>
              <w:spacing w:before="0" w:beforeAutospacing="0" w:after="0" w:afterAutospacing="0" w:line="340" w:lineRule="exact"/>
              <w:ind w:left="0" w:right="0"/>
              <w:jc w:val="center"/>
              <w:rPr>
                <w:rFonts w:hint="default" w:ascii="宋体" w:hAnsi="宋体" w:cs="仿宋"/>
                <w:color w:val="auto"/>
                <w:kern w:val="2"/>
                <w:sz w:val="21"/>
                <w:szCs w:val="21"/>
              </w:rPr>
            </w:pPr>
            <w:r>
              <w:rPr>
                <w:rFonts w:hint="eastAsia" w:ascii="宋体" w:hAnsi="宋体" w:cs="仿宋"/>
                <w:color w:val="auto"/>
                <w:kern w:val="2"/>
                <w:sz w:val="21"/>
                <w:szCs w:val="21"/>
              </w:rPr>
              <w:t>优惠办法</w:t>
            </w:r>
          </w:p>
        </w:tc>
      </w:tr>
      <w:tr w14:paraId="12AF2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164" w:type="dxa"/>
            <w:gridSpan w:val="3"/>
          </w:tcPr>
          <w:p w14:paraId="793D35A5">
            <w:pPr>
              <w:pStyle w:val="35"/>
              <w:keepNext w:val="0"/>
              <w:keepLines w:val="0"/>
              <w:suppressLineNumbers w:val="0"/>
              <w:spacing w:before="0" w:beforeAutospacing="0" w:after="0" w:afterAutospacing="0" w:line="340" w:lineRule="exact"/>
              <w:ind w:left="0" w:right="0"/>
              <w:rPr>
                <w:rFonts w:hint="default" w:ascii="宋体" w:hAnsi="宋体" w:cs="仿宋"/>
                <w:b/>
                <w:bCs/>
                <w:color w:val="auto"/>
                <w:kern w:val="2"/>
                <w:sz w:val="21"/>
                <w:szCs w:val="21"/>
              </w:rPr>
            </w:pPr>
            <w:r>
              <w:rPr>
                <w:rFonts w:hint="eastAsia" w:ascii="宋体" w:hAnsi="宋体" w:cs="仿宋"/>
                <w:color w:val="auto"/>
                <w:kern w:val="2"/>
                <w:sz w:val="21"/>
                <w:szCs w:val="21"/>
              </w:rPr>
              <w:t>1.产品的价格给予扣除，用扣除后的价格参与价格分的评标。</w:t>
            </w:r>
            <w:r>
              <w:rPr>
                <w:rFonts w:hint="default" w:ascii="宋体" w:hAnsi="宋体" w:cs="仿宋"/>
                <w:b/>
                <w:bCs/>
                <w:color w:val="auto"/>
                <w:kern w:val="2"/>
                <w:sz w:val="21"/>
                <w:szCs w:val="21"/>
              </w:rPr>
              <w:t>本项目的价格扣除为</w:t>
            </w:r>
            <w:r>
              <w:rPr>
                <w:rFonts w:hint="eastAsia" w:ascii="宋体" w:hAnsi="宋体" w:cs="仿宋"/>
                <w:b/>
                <w:bCs/>
                <w:color w:val="auto"/>
                <w:kern w:val="2"/>
                <w:sz w:val="21"/>
                <w:szCs w:val="21"/>
                <w:lang w:val="en-US" w:eastAsia="zh-CN"/>
              </w:rPr>
              <w:t>10</w:t>
            </w:r>
            <w:r>
              <w:rPr>
                <w:rFonts w:hint="default" w:ascii="宋体" w:hAnsi="宋体" w:cs="仿宋"/>
                <w:b/>
                <w:bCs/>
                <w:color w:val="auto"/>
                <w:kern w:val="2"/>
                <w:sz w:val="21"/>
                <w:szCs w:val="21"/>
              </w:rPr>
              <w:t>%。</w:t>
            </w:r>
          </w:p>
          <w:p w14:paraId="60A3E7AA">
            <w:pPr>
              <w:pStyle w:val="35"/>
              <w:keepNext w:val="0"/>
              <w:keepLines w:val="0"/>
              <w:suppressLineNumbers w:val="0"/>
              <w:spacing w:before="0" w:beforeAutospacing="0" w:after="0" w:afterAutospacing="0" w:line="340" w:lineRule="exact"/>
              <w:ind w:left="0" w:right="0"/>
              <w:rPr>
                <w:rFonts w:hint="default" w:ascii="宋体" w:hAnsi="宋体" w:cs="仿宋"/>
                <w:color w:val="auto"/>
                <w:kern w:val="2"/>
                <w:sz w:val="21"/>
                <w:szCs w:val="21"/>
              </w:rPr>
            </w:pPr>
            <w:r>
              <w:rPr>
                <w:rFonts w:hint="eastAsia" w:ascii="宋体" w:hAnsi="宋体" w:cs="仿宋"/>
                <w:color w:val="auto"/>
                <w:sz w:val="21"/>
                <w:szCs w:val="21"/>
              </w:rPr>
              <w:t>2.投标人须提供国家财政部、发改委公布的最新公布的《节能产品政府采购清单》关于投标产品当前页的打印件或国家财政部、生态环境部最新公布的《环境标志产品政府采购清单》关于供应产品当前页的打印件（加盖投标人单位章），</w:t>
            </w:r>
            <w:r>
              <w:rPr>
                <w:rFonts w:hint="eastAsia" w:ascii="宋体" w:hAnsi="宋体" w:cs="宋体"/>
                <w:color w:val="auto"/>
                <w:kern w:val="2"/>
                <w:sz w:val="21"/>
                <w:szCs w:val="21"/>
                <w:lang w:val="zh-CN" w:bidi="zh-CN"/>
              </w:rPr>
              <w:t>提供国家确定的认证机构出具的、处于有效期之内的节能产品或环境标志产品认证证书复印件，并加盖</w:t>
            </w:r>
            <w:r>
              <w:rPr>
                <w:rFonts w:hint="eastAsia" w:ascii="宋体" w:hAnsi="宋体" w:cs="仿宋"/>
                <w:color w:val="auto"/>
                <w:sz w:val="21"/>
                <w:szCs w:val="21"/>
              </w:rPr>
              <w:t>投标人</w:t>
            </w:r>
            <w:r>
              <w:rPr>
                <w:rFonts w:hint="eastAsia" w:ascii="宋体" w:hAnsi="宋体" w:cs="宋体"/>
                <w:color w:val="auto"/>
                <w:kern w:val="2"/>
                <w:sz w:val="21"/>
                <w:szCs w:val="21"/>
                <w:lang w:val="zh-CN" w:bidi="zh-CN"/>
              </w:rPr>
              <w:t>单位的公章。</w:t>
            </w:r>
          </w:p>
        </w:tc>
      </w:tr>
    </w:tbl>
    <w:p w14:paraId="270F097F">
      <w:pPr>
        <w:pStyle w:val="12"/>
        <w:rPr>
          <w:lang w:val="zh-CN"/>
        </w:rPr>
      </w:pPr>
    </w:p>
    <w:p w14:paraId="47F0D009">
      <w:pPr>
        <w:rPr>
          <w:lang w:val="zh-CN"/>
        </w:rPr>
      </w:pPr>
    </w:p>
    <w:p w14:paraId="167C13A8">
      <w:pPr>
        <w:pStyle w:val="7"/>
        <w:rPr>
          <w:lang w:val="zh-CN"/>
        </w:rPr>
      </w:pPr>
    </w:p>
    <w:p w14:paraId="3DA10753">
      <w:pPr>
        <w:pStyle w:val="29"/>
        <w:rPr>
          <w:lang w:val="zh-CN"/>
        </w:rPr>
      </w:pPr>
    </w:p>
    <w:p w14:paraId="56F78FE5">
      <w:pPr>
        <w:rPr>
          <w:rFonts w:hint="eastAsia" w:ascii="宋体" w:hAnsi="宋体" w:cs="宋体"/>
          <w:b/>
          <w:sz w:val="24"/>
          <w:lang w:val="zh-CN"/>
        </w:rPr>
      </w:pPr>
      <w:r>
        <w:rPr>
          <w:rFonts w:hint="eastAsia" w:ascii="宋体" w:hAnsi="宋体" w:cs="宋体"/>
          <w:b/>
          <w:sz w:val="24"/>
          <w:lang w:val="zh-CN"/>
        </w:rPr>
        <w:br w:type="page"/>
      </w:r>
    </w:p>
    <w:p w14:paraId="3281E95B">
      <w:pPr>
        <w:tabs>
          <w:tab w:val="left" w:pos="8280"/>
        </w:tabs>
        <w:spacing w:line="360" w:lineRule="auto"/>
        <w:ind w:right="-1" w:firstLine="542" w:firstLineChars="225"/>
        <w:rPr>
          <w:rFonts w:ascii="宋体" w:hAnsi="宋体" w:cs="宋体"/>
          <w:b/>
          <w:sz w:val="24"/>
          <w:lang w:val="zh-CN"/>
        </w:rPr>
      </w:pPr>
      <w:r>
        <w:rPr>
          <w:rFonts w:hint="eastAsia" w:ascii="宋体" w:hAnsi="宋体" w:cs="宋体"/>
          <w:b/>
          <w:sz w:val="24"/>
          <w:lang w:val="zh-CN"/>
        </w:rPr>
        <w:t>2</w:t>
      </w:r>
      <w:r>
        <w:rPr>
          <w:rFonts w:hint="eastAsia" w:ascii="宋体" w:hAnsi="宋体" w:cs="宋体"/>
          <w:b/>
          <w:sz w:val="24"/>
        </w:rPr>
        <w:t>2</w:t>
      </w:r>
      <w:r>
        <w:rPr>
          <w:rFonts w:hint="eastAsia" w:ascii="宋体" w:hAnsi="宋体" w:cs="宋体"/>
          <w:b/>
          <w:sz w:val="24"/>
          <w:lang w:val="zh-CN"/>
        </w:rPr>
        <w:t>. 推荐拟中标候选人</w:t>
      </w:r>
    </w:p>
    <w:p w14:paraId="0A3A6D54">
      <w:pPr>
        <w:tabs>
          <w:tab w:val="left" w:pos="8280"/>
        </w:tabs>
        <w:spacing w:line="360" w:lineRule="auto"/>
        <w:ind w:right="-1" w:firstLine="540" w:firstLineChars="225"/>
        <w:rPr>
          <w:rFonts w:ascii="宋体" w:hAnsi="宋体" w:cs="宋体"/>
          <w:bCs/>
          <w:sz w:val="24"/>
        </w:rPr>
      </w:pPr>
      <w:r>
        <w:rPr>
          <w:rFonts w:hint="eastAsia" w:ascii="宋体" w:hAnsi="宋体" w:cs="宋体"/>
          <w:sz w:val="24"/>
          <w:lang w:val="zh-CN"/>
        </w:rPr>
        <w:t>2</w:t>
      </w:r>
      <w:r>
        <w:rPr>
          <w:rFonts w:hint="eastAsia" w:ascii="宋体" w:hAnsi="宋体" w:cs="宋体"/>
          <w:sz w:val="24"/>
        </w:rPr>
        <w:t>2</w:t>
      </w:r>
      <w:r>
        <w:rPr>
          <w:rFonts w:hint="eastAsia" w:ascii="宋体" w:hAnsi="宋体" w:cs="宋体"/>
          <w:sz w:val="24"/>
          <w:lang w:val="zh-CN"/>
        </w:rPr>
        <w:t>.1由评标委员会集体按照经署名确认的汇总得分排序顺序，</w:t>
      </w:r>
      <w:r>
        <w:rPr>
          <w:rFonts w:hint="eastAsia" w:ascii="宋体" w:hAnsi="宋体" w:cs="宋体"/>
          <w:bCs/>
          <w:sz w:val="24"/>
        </w:rPr>
        <w:t>推荐拟中标候选人。</w:t>
      </w:r>
    </w:p>
    <w:p w14:paraId="56BD9481">
      <w:pPr>
        <w:tabs>
          <w:tab w:val="left" w:pos="8280"/>
        </w:tabs>
        <w:spacing w:line="360" w:lineRule="auto"/>
        <w:ind w:right="-1" w:firstLine="540" w:firstLineChars="225"/>
        <w:rPr>
          <w:rFonts w:ascii="宋体" w:hAnsi="宋体" w:cs="宋体"/>
          <w:bCs/>
          <w:sz w:val="24"/>
        </w:rPr>
      </w:pPr>
      <w:r>
        <w:rPr>
          <w:rFonts w:hint="eastAsia" w:ascii="宋体" w:hAnsi="宋体" w:cs="宋体"/>
          <w:sz w:val="24"/>
          <w:lang w:val="zh-CN"/>
        </w:rPr>
        <w:t>2</w:t>
      </w:r>
      <w:r>
        <w:rPr>
          <w:rFonts w:hint="eastAsia" w:ascii="宋体" w:hAnsi="宋体" w:cs="宋体"/>
          <w:sz w:val="24"/>
        </w:rPr>
        <w:t>2</w:t>
      </w:r>
      <w:r>
        <w:rPr>
          <w:rFonts w:hint="eastAsia" w:ascii="宋体" w:hAnsi="宋体" w:cs="宋体"/>
          <w:bCs/>
          <w:sz w:val="24"/>
        </w:rPr>
        <w:t>.2 推荐拟中标候选投标人数量应当根据采购需要确定，应当限定在一至三人，并标明排列顺序。排序第一位的为推荐的</w:t>
      </w:r>
      <w:r>
        <w:rPr>
          <w:rFonts w:hint="eastAsia" w:ascii="宋体" w:hAnsi="宋体" w:cs="宋体"/>
          <w:sz w:val="24"/>
          <w:szCs w:val="24"/>
        </w:rPr>
        <w:t>第一拟成交投标人。</w:t>
      </w:r>
    </w:p>
    <w:p w14:paraId="539D8DC4">
      <w:pPr>
        <w:tabs>
          <w:tab w:val="left" w:pos="8280"/>
        </w:tabs>
        <w:spacing w:line="360" w:lineRule="auto"/>
        <w:ind w:right="-1" w:firstLine="540" w:firstLineChars="225"/>
        <w:rPr>
          <w:rFonts w:ascii="宋体" w:hAnsi="宋体" w:cs="宋体"/>
          <w:sz w:val="24"/>
          <w:lang w:val="zh-CN"/>
        </w:rPr>
      </w:pPr>
      <w:r>
        <w:rPr>
          <w:rFonts w:hint="eastAsia" w:ascii="宋体" w:hAnsi="宋体" w:cs="宋体"/>
          <w:sz w:val="24"/>
          <w:lang w:val="zh-CN"/>
        </w:rPr>
        <w:t>2</w:t>
      </w:r>
      <w:r>
        <w:rPr>
          <w:rFonts w:hint="eastAsia" w:ascii="宋体" w:hAnsi="宋体" w:cs="宋体"/>
          <w:sz w:val="24"/>
        </w:rPr>
        <w:t>2</w:t>
      </w:r>
      <w:r>
        <w:rPr>
          <w:rFonts w:hint="eastAsia" w:ascii="宋体" w:hAnsi="宋体" w:cs="宋体"/>
          <w:sz w:val="24"/>
          <w:lang w:val="zh-CN"/>
        </w:rPr>
        <w:t>.3 投标方</w:t>
      </w:r>
      <w:r>
        <w:rPr>
          <w:rFonts w:hint="eastAsia" w:ascii="宋体" w:hAnsi="宋体" w:cs="宋体"/>
          <w:bCs/>
          <w:sz w:val="24"/>
        </w:rPr>
        <w:t>最低投标报价不是唯一中标条件</w:t>
      </w:r>
      <w:r>
        <w:rPr>
          <w:rFonts w:hint="eastAsia" w:ascii="宋体" w:hAnsi="宋体" w:cs="宋体"/>
          <w:sz w:val="24"/>
          <w:lang w:val="zh-CN"/>
        </w:rPr>
        <w:t>。对资格资质审查和符合性审查合格的投标报价文件完整无缺、最大限度的满足招标文件需求的投标方，中标机会均等。</w:t>
      </w:r>
    </w:p>
    <w:p w14:paraId="2C1300D2">
      <w:pPr>
        <w:tabs>
          <w:tab w:val="left" w:pos="8280"/>
        </w:tabs>
        <w:spacing w:line="360" w:lineRule="auto"/>
        <w:ind w:right="-1" w:firstLine="540" w:firstLineChars="225"/>
        <w:rPr>
          <w:rFonts w:ascii="宋体" w:hAnsi="宋体" w:cs="宋体"/>
          <w:sz w:val="24"/>
          <w:szCs w:val="24"/>
        </w:rPr>
      </w:pPr>
      <w:r>
        <w:rPr>
          <w:rFonts w:hint="eastAsia" w:ascii="宋体" w:hAnsi="宋体" w:cs="宋体"/>
          <w:sz w:val="24"/>
          <w:lang w:val="zh-CN"/>
        </w:rPr>
        <w:t>2</w:t>
      </w:r>
      <w:r>
        <w:rPr>
          <w:rFonts w:hint="eastAsia" w:ascii="宋体" w:hAnsi="宋体" w:cs="宋体"/>
          <w:sz w:val="24"/>
        </w:rPr>
        <w:t>2</w:t>
      </w:r>
      <w:r>
        <w:rPr>
          <w:rFonts w:hint="eastAsia" w:ascii="宋体" w:hAnsi="宋体" w:cs="宋体"/>
          <w:sz w:val="24"/>
          <w:szCs w:val="24"/>
        </w:rPr>
        <w:t>.4 如汇总得分排序后出现</w:t>
      </w:r>
      <w:r>
        <w:rPr>
          <w:rFonts w:hint="eastAsia" w:ascii="宋体" w:hAnsi="宋体" w:cs="宋体"/>
          <w:bCs/>
          <w:sz w:val="24"/>
        </w:rPr>
        <w:t>推荐拟中标候选人</w:t>
      </w:r>
      <w:r>
        <w:rPr>
          <w:rFonts w:hint="eastAsia" w:ascii="宋体" w:hAnsi="宋体" w:cs="宋体"/>
          <w:sz w:val="24"/>
          <w:szCs w:val="24"/>
        </w:rPr>
        <w:t>得分相同的，评标委员会只对取得得分前三位投标人，按照</w:t>
      </w:r>
      <w:r>
        <w:rPr>
          <w:rFonts w:hint="eastAsia" w:ascii="宋体" w:hAnsi="宋体" w:cs="宋体"/>
          <w:sz w:val="24"/>
          <w:lang w:val="zh-CN"/>
        </w:rPr>
        <w:t>其报价由低到高顺序排列；得分且其报价相等的，则按核心技术指标优劣顺序排列。价格、技术指标的高</w:t>
      </w:r>
      <w:r>
        <w:rPr>
          <w:rFonts w:hint="eastAsia" w:ascii="宋体" w:hAnsi="宋体" w:cs="宋体"/>
          <w:sz w:val="24"/>
          <w:szCs w:val="24"/>
        </w:rPr>
        <w:t>低或优劣由评标委员会集体进行综合确认评定。排序在前三位之后的，按原排序不变，允许排序并列。</w:t>
      </w:r>
    </w:p>
    <w:p w14:paraId="2896A4DD">
      <w:pPr>
        <w:spacing w:line="360" w:lineRule="auto"/>
        <w:ind w:firstLine="480" w:firstLineChars="200"/>
        <w:rPr>
          <w:rFonts w:ascii="宋体" w:hAnsi="宋体" w:cs="宋体"/>
          <w:bCs/>
          <w:sz w:val="24"/>
        </w:rPr>
      </w:pPr>
      <w:r>
        <w:rPr>
          <w:rFonts w:hint="eastAsia" w:ascii="宋体" w:hAnsi="宋体" w:cs="宋体"/>
          <w:sz w:val="24"/>
          <w:lang w:val="zh-CN"/>
        </w:rPr>
        <w:t>2</w:t>
      </w:r>
      <w:r>
        <w:rPr>
          <w:rFonts w:hint="eastAsia" w:ascii="宋体" w:hAnsi="宋体" w:cs="宋体"/>
          <w:sz w:val="24"/>
        </w:rPr>
        <w:t>2</w:t>
      </w:r>
      <w:r>
        <w:rPr>
          <w:rFonts w:hint="eastAsia" w:ascii="宋体" w:hAnsi="宋体" w:cs="宋体"/>
          <w:sz w:val="24"/>
          <w:lang w:val="zh-CN"/>
        </w:rPr>
        <w:t>.5 由采购代理机构对未推荐拟成交候选人、确认废标的，进行核对汇总后，由评标委员会各成员签署确认。</w:t>
      </w:r>
    </w:p>
    <w:p w14:paraId="523120BC">
      <w:pPr>
        <w:tabs>
          <w:tab w:val="left" w:pos="8280"/>
        </w:tabs>
        <w:spacing w:line="360" w:lineRule="auto"/>
        <w:ind w:right="-1" w:firstLine="542" w:firstLineChars="225"/>
        <w:rPr>
          <w:rFonts w:ascii="宋体" w:hAnsi="宋体" w:cs="宋体"/>
          <w:b/>
          <w:sz w:val="24"/>
          <w:lang w:val="zh-CN"/>
        </w:rPr>
      </w:pPr>
      <w:r>
        <w:rPr>
          <w:rFonts w:hint="eastAsia" w:ascii="宋体" w:hAnsi="宋体" w:cs="宋体"/>
          <w:b/>
          <w:sz w:val="24"/>
          <w:lang w:val="zh-CN"/>
        </w:rPr>
        <w:t>2</w:t>
      </w:r>
      <w:r>
        <w:rPr>
          <w:rFonts w:hint="eastAsia" w:ascii="宋体" w:hAnsi="宋体" w:cs="宋体"/>
          <w:b/>
          <w:sz w:val="24"/>
        </w:rPr>
        <w:t>3</w:t>
      </w:r>
      <w:r>
        <w:rPr>
          <w:rFonts w:hint="eastAsia" w:ascii="宋体" w:hAnsi="宋体" w:cs="宋体"/>
          <w:b/>
          <w:sz w:val="24"/>
          <w:lang w:val="zh-CN"/>
        </w:rPr>
        <w:t>. 编写评标报告</w:t>
      </w:r>
    </w:p>
    <w:p w14:paraId="7A1FC9AD">
      <w:pPr>
        <w:tabs>
          <w:tab w:val="left" w:pos="8280"/>
        </w:tabs>
        <w:spacing w:line="360" w:lineRule="auto"/>
        <w:ind w:right="-1" w:firstLine="540" w:firstLineChars="225"/>
        <w:rPr>
          <w:rFonts w:ascii="宋体" w:hAnsi="宋体" w:cs="宋体"/>
          <w:sz w:val="24"/>
          <w:szCs w:val="24"/>
        </w:rPr>
      </w:pPr>
      <w:r>
        <w:rPr>
          <w:rFonts w:hint="eastAsia" w:ascii="宋体" w:hAnsi="宋体" w:cs="宋体"/>
          <w:sz w:val="24"/>
          <w:szCs w:val="24"/>
        </w:rPr>
        <w:t>23.1</w:t>
      </w:r>
      <w:r>
        <w:rPr>
          <w:rFonts w:hint="eastAsia" w:ascii="宋体" w:hAnsi="宋体" w:cs="宋体"/>
          <w:sz w:val="24"/>
          <w:lang w:val="zh-CN"/>
        </w:rPr>
        <w:t>评标委员会</w:t>
      </w:r>
      <w:r>
        <w:rPr>
          <w:rFonts w:hint="eastAsia" w:ascii="宋体" w:hAnsi="宋体" w:cs="宋体"/>
          <w:sz w:val="24"/>
          <w:szCs w:val="24"/>
        </w:rPr>
        <w:t>根据全体成员签字的评标（评审）原始记录和结果，编写评标报告，并现场提交给采购代理机构。编写的评标报告要符合招标文件的要求。</w:t>
      </w:r>
    </w:p>
    <w:p w14:paraId="0C2CA491">
      <w:pPr>
        <w:tabs>
          <w:tab w:val="left" w:pos="8280"/>
        </w:tabs>
        <w:spacing w:line="360" w:lineRule="auto"/>
        <w:ind w:right="-1" w:firstLine="542" w:firstLineChars="225"/>
        <w:rPr>
          <w:rFonts w:ascii="宋体" w:hAnsi="宋体" w:cs="宋体"/>
          <w:b/>
          <w:sz w:val="24"/>
          <w:szCs w:val="24"/>
        </w:rPr>
      </w:pPr>
      <w:r>
        <w:rPr>
          <w:rFonts w:hint="eastAsia" w:ascii="宋体" w:hAnsi="宋体" w:cs="宋体"/>
          <w:b/>
          <w:sz w:val="24"/>
          <w:szCs w:val="24"/>
        </w:rPr>
        <w:t>24. 评标结束</w:t>
      </w:r>
    </w:p>
    <w:p w14:paraId="4D806AC9">
      <w:pPr>
        <w:tabs>
          <w:tab w:val="left" w:pos="8280"/>
        </w:tabs>
        <w:spacing w:line="360" w:lineRule="auto"/>
        <w:ind w:right="-1" w:firstLine="540" w:firstLineChars="225"/>
        <w:rPr>
          <w:rFonts w:ascii="宋体" w:hAnsi="宋体" w:cs="宋体"/>
          <w:b/>
          <w:sz w:val="24"/>
          <w:szCs w:val="24"/>
        </w:rPr>
      </w:pPr>
      <w:r>
        <w:rPr>
          <w:rFonts w:hint="eastAsia" w:ascii="宋体" w:hAnsi="宋体" w:cs="宋体"/>
          <w:sz w:val="24"/>
          <w:szCs w:val="24"/>
        </w:rPr>
        <w:t>24.1采购代理机构应按规定时间，通知全部参与本次招标投标有效的投标人入场，进行会议总结，宣布本次</w:t>
      </w:r>
      <w:r>
        <w:rPr>
          <w:rFonts w:hint="eastAsia" w:ascii="宋体" w:hAnsi="宋体" w:cs="宋体"/>
          <w:sz w:val="24"/>
          <w:lang w:val="zh-CN"/>
        </w:rPr>
        <w:t>评标委员会</w:t>
      </w:r>
      <w:r>
        <w:rPr>
          <w:rFonts w:hint="eastAsia" w:ascii="宋体" w:hAnsi="宋体" w:cs="宋体"/>
          <w:sz w:val="24"/>
          <w:szCs w:val="24"/>
        </w:rPr>
        <w:t>推荐的第一拟成交投标人名单。</w:t>
      </w:r>
    </w:p>
    <w:p w14:paraId="091706F8">
      <w:pPr>
        <w:tabs>
          <w:tab w:val="left" w:pos="8280"/>
        </w:tabs>
        <w:spacing w:line="360" w:lineRule="auto"/>
        <w:ind w:right="-1" w:firstLine="540" w:firstLineChars="225"/>
        <w:rPr>
          <w:rFonts w:ascii="宋体" w:hAnsi="宋体" w:cs="宋体"/>
          <w:b/>
          <w:sz w:val="24"/>
          <w:szCs w:val="24"/>
        </w:rPr>
      </w:pPr>
      <w:r>
        <w:rPr>
          <w:rFonts w:hint="eastAsia" w:ascii="宋体" w:hAnsi="宋体" w:cs="宋体"/>
          <w:sz w:val="24"/>
          <w:szCs w:val="24"/>
        </w:rPr>
        <w:t>24.2 评审小组各成员名单不公开。</w:t>
      </w:r>
    </w:p>
    <w:p w14:paraId="4A5EED37">
      <w:pPr>
        <w:tabs>
          <w:tab w:val="left" w:pos="8280"/>
        </w:tabs>
        <w:spacing w:line="360" w:lineRule="auto"/>
        <w:ind w:right="-1" w:firstLine="540" w:firstLineChars="225"/>
        <w:rPr>
          <w:rFonts w:ascii="宋体" w:hAnsi="宋体" w:cs="宋体"/>
          <w:sz w:val="24"/>
          <w:szCs w:val="24"/>
        </w:rPr>
      </w:pPr>
      <w:r>
        <w:rPr>
          <w:rFonts w:hint="eastAsia" w:ascii="宋体" w:hAnsi="宋体" w:cs="宋体"/>
          <w:sz w:val="24"/>
          <w:szCs w:val="24"/>
        </w:rPr>
        <w:t>24.3 由采购代理机构宣读有关招标信息公告、中标确认原则及质疑（投诉）事项等说明。</w:t>
      </w:r>
    </w:p>
    <w:p w14:paraId="22256A87">
      <w:pPr>
        <w:tabs>
          <w:tab w:val="left" w:pos="8280"/>
        </w:tabs>
        <w:spacing w:line="360" w:lineRule="auto"/>
        <w:ind w:right="-1" w:firstLine="540" w:firstLineChars="225"/>
        <w:rPr>
          <w:rFonts w:ascii="宋体" w:hAnsi="宋体" w:cs="宋体"/>
          <w:sz w:val="24"/>
          <w:szCs w:val="24"/>
        </w:rPr>
      </w:pPr>
      <w:r>
        <w:rPr>
          <w:rFonts w:hint="eastAsia" w:ascii="宋体" w:hAnsi="宋体" w:cs="宋体"/>
          <w:sz w:val="24"/>
          <w:szCs w:val="24"/>
        </w:rPr>
        <w:t>24.4 在宣布会议结束后，采购代理机构均有义务告知所有</w:t>
      </w:r>
      <w:r>
        <w:rPr>
          <w:rFonts w:hint="eastAsia" w:ascii="宋体" w:hAnsi="宋体" w:cs="宋体"/>
          <w:sz w:val="24"/>
          <w:szCs w:val="24"/>
          <w:lang w:eastAsia="zh-CN"/>
        </w:rPr>
        <w:t>投标人</w:t>
      </w:r>
      <w:r>
        <w:rPr>
          <w:rFonts w:hint="eastAsia" w:ascii="宋体" w:hAnsi="宋体" w:cs="宋体"/>
          <w:sz w:val="24"/>
          <w:szCs w:val="24"/>
        </w:rPr>
        <w:t>办理投标保证金的退付手续。</w:t>
      </w:r>
    </w:p>
    <w:p w14:paraId="104BACE4">
      <w:pPr>
        <w:spacing w:line="360" w:lineRule="auto"/>
        <w:ind w:firstLine="480" w:firstLineChars="200"/>
        <w:rPr>
          <w:rFonts w:ascii="宋体" w:hAnsi="宋体" w:cs="宋体"/>
          <w:b/>
          <w:sz w:val="36"/>
          <w:szCs w:val="36"/>
        </w:rPr>
      </w:pPr>
      <w:r>
        <w:rPr>
          <w:rFonts w:hint="eastAsia" w:ascii="宋体" w:hAnsi="宋体" w:cs="宋体"/>
          <w:sz w:val="24"/>
          <w:szCs w:val="24"/>
        </w:rPr>
        <w:t>24</w:t>
      </w:r>
      <w:r>
        <w:rPr>
          <w:rFonts w:hint="eastAsia" w:ascii="宋体" w:hAnsi="宋体" w:cs="宋体"/>
          <w:sz w:val="24"/>
          <w:lang w:val="zh-CN"/>
        </w:rPr>
        <w:t xml:space="preserve">.5 </w:t>
      </w:r>
      <w:r>
        <w:rPr>
          <w:rFonts w:hint="eastAsia" w:ascii="宋体" w:hAnsi="宋体" w:cs="宋体"/>
          <w:bCs/>
          <w:sz w:val="24"/>
          <w:szCs w:val="24"/>
        </w:rPr>
        <w:t>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其投标保证金的有效期，但不得修改其投标文件的实质性内容。</w:t>
      </w:r>
    </w:p>
    <w:p w14:paraId="678EC11C"/>
    <w:p w14:paraId="0F45BB2D">
      <w:pPr>
        <w:spacing w:line="360" w:lineRule="auto"/>
        <w:jc w:val="center"/>
        <w:rPr>
          <w:rFonts w:hint="eastAsia" w:ascii="宋体" w:hAnsi="宋体" w:cs="宋体"/>
          <w:b/>
          <w:sz w:val="32"/>
          <w:szCs w:val="32"/>
        </w:rPr>
      </w:pPr>
    </w:p>
    <w:p w14:paraId="6CE4C316">
      <w:pPr>
        <w:spacing w:line="360" w:lineRule="auto"/>
        <w:jc w:val="center"/>
        <w:rPr>
          <w:rFonts w:ascii="宋体" w:hAnsi="宋体" w:cs="宋体"/>
          <w:b/>
          <w:sz w:val="32"/>
          <w:szCs w:val="32"/>
        </w:rPr>
      </w:pPr>
      <w:r>
        <w:rPr>
          <w:rFonts w:hint="eastAsia" w:ascii="宋体" w:hAnsi="宋体" w:cs="宋体"/>
          <w:b/>
          <w:sz w:val="32"/>
          <w:szCs w:val="32"/>
        </w:rPr>
        <w:t>第三章 定　标</w:t>
      </w:r>
    </w:p>
    <w:p w14:paraId="24957AD0">
      <w:pPr>
        <w:autoSpaceDE w:val="0"/>
        <w:autoSpaceDN w:val="0"/>
        <w:adjustRightInd w:val="0"/>
        <w:spacing w:line="360" w:lineRule="auto"/>
        <w:ind w:firstLine="482" w:firstLineChars="200"/>
        <w:rPr>
          <w:rFonts w:ascii="宋体" w:hAnsi="宋体" w:cs="宋体"/>
          <w:b/>
          <w:bCs/>
          <w:sz w:val="24"/>
        </w:rPr>
      </w:pPr>
      <w:r>
        <w:rPr>
          <w:rFonts w:hint="eastAsia" w:ascii="宋体" w:hAnsi="宋体" w:cs="宋体"/>
          <w:b/>
          <w:bCs/>
          <w:sz w:val="24"/>
        </w:rPr>
        <w:t>25</w:t>
      </w:r>
      <w:r>
        <w:rPr>
          <w:rFonts w:hint="eastAsia" w:ascii="宋体" w:hAnsi="宋体" w:cs="宋体"/>
          <w:b/>
          <w:bCs/>
          <w:sz w:val="24"/>
          <w:lang w:val="zh-CN"/>
        </w:rPr>
        <w:t>．定标标准</w:t>
      </w:r>
    </w:p>
    <w:p w14:paraId="677A3C6D">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25.1 招标代理机构</w:t>
      </w:r>
      <w:r>
        <w:rPr>
          <w:rFonts w:hint="eastAsia" w:ascii="宋体" w:hAnsi="宋体" w:cs="宋体"/>
          <w:sz w:val="24"/>
          <w:lang w:val="zh-CN"/>
        </w:rPr>
        <w:t>应在评标结束后</w:t>
      </w:r>
      <w:r>
        <w:rPr>
          <w:rFonts w:hint="eastAsia" w:ascii="宋体" w:hAnsi="宋体" w:cs="宋体"/>
          <w:sz w:val="24"/>
        </w:rPr>
        <w:t>2</w:t>
      </w:r>
      <w:r>
        <w:rPr>
          <w:rFonts w:hint="eastAsia" w:ascii="宋体" w:hAnsi="宋体" w:cs="宋体"/>
          <w:sz w:val="24"/>
          <w:lang w:val="zh-CN"/>
        </w:rPr>
        <w:t>个工作日内，以书面形式向采购人发出《关于给予评审结果的确认函》，采购人在收到后5个工作日内，应按照评标报告确定的中标候选投标人名单中的顺序确认中标投标人</w:t>
      </w:r>
      <w:r>
        <w:rPr>
          <w:rFonts w:hint="eastAsia" w:ascii="宋体" w:hAnsi="宋体" w:cs="宋体"/>
          <w:sz w:val="24"/>
          <w:szCs w:val="24"/>
        </w:rPr>
        <w:t>。</w:t>
      </w:r>
    </w:p>
    <w:p w14:paraId="08A00DC9">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25.2 中标投标人因不可抗力或者自身原因不能履行合同的，采购人可以与排位在中标投标人之后第一位的中标候选投标人签订合同，以此类推。</w:t>
      </w:r>
    </w:p>
    <w:p w14:paraId="19471D76">
      <w:pPr>
        <w:spacing w:line="360" w:lineRule="auto"/>
        <w:ind w:firstLine="480" w:firstLineChars="200"/>
        <w:rPr>
          <w:rFonts w:ascii="宋体" w:hAnsi="宋体" w:cs="宋体"/>
          <w:bCs/>
          <w:sz w:val="24"/>
        </w:rPr>
      </w:pPr>
      <w:r>
        <w:rPr>
          <w:rFonts w:hint="eastAsia" w:ascii="宋体" w:hAnsi="宋体" w:cs="宋体"/>
          <w:sz w:val="24"/>
          <w:szCs w:val="24"/>
        </w:rPr>
        <w:t>25</w:t>
      </w:r>
      <w:r>
        <w:rPr>
          <w:rFonts w:hint="eastAsia" w:ascii="宋体" w:hAnsi="宋体" w:cs="宋体"/>
          <w:bCs/>
          <w:sz w:val="24"/>
        </w:rPr>
        <w:t>.2.1 最低投标价不一定是被授予合同的保证。</w:t>
      </w:r>
    </w:p>
    <w:p w14:paraId="0B07ACAC">
      <w:pPr>
        <w:spacing w:line="360" w:lineRule="auto"/>
        <w:ind w:firstLine="480" w:firstLineChars="200"/>
        <w:rPr>
          <w:rFonts w:ascii="宋体" w:hAnsi="宋体" w:cs="宋体"/>
          <w:bCs/>
          <w:sz w:val="24"/>
        </w:rPr>
      </w:pPr>
      <w:r>
        <w:rPr>
          <w:rFonts w:hint="eastAsia" w:ascii="宋体" w:hAnsi="宋体" w:cs="宋体"/>
          <w:sz w:val="24"/>
          <w:szCs w:val="24"/>
        </w:rPr>
        <w:t>25</w:t>
      </w:r>
      <w:r>
        <w:rPr>
          <w:rFonts w:hint="eastAsia" w:ascii="宋体" w:hAnsi="宋体" w:cs="宋体"/>
          <w:bCs/>
          <w:sz w:val="24"/>
        </w:rPr>
        <w:t>.2.2 合同将授予被确定为实质上响应招标文件要求，经评定认为具备履行合同义务能力、报价合理、技术和商务条件都符合招标文件要求的、对买方最为有利的</w:t>
      </w:r>
      <w:r>
        <w:rPr>
          <w:rFonts w:hint="eastAsia" w:ascii="宋体" w:hAnsi="宋体" w:cs="宋体"/>
          <w:bCs/>
          <w:sz w:val="24"/>
          <w:lang w:eastAsia="zh-CN"/>
        </w:rPr>
        <w:t>投标人</w:t>
      </w:r>
      <w:r>
        <w:rPr>
          <w:rFonts w:hint="eastAsia" w:ascii="宋体" w:hAnsi="宋体" w:cs="宋体"/>
          <w:bCs/>
          <w:sz w:val="24"/>
        </w:rPr>
        <w:t>。</w:t>
      </w:r>
    </w:p>
    <w:p w14:paraId="31DC2068">
      <w:pPr>
        <w:spacing w:line="360" w:lineRule="auto"/>
        <w:ind w:firstLine="480" w:firstLineChars="200"/>
        <w:rPr>
          <w:rFonts w:ascii="宋体" w:hAnsi="宋体" w:cs="宋体"/>
          <w:bCs/>
          <w:sz w:val="24"/>
        </w:rPr>
      </w:pPr>
      <w:r>
        <w:rPr>
          <w:rFonts w:hint="eastAsia" w:ascii="宋体" w:hAnsi="宋体" w:cs="宋体"/>
          <w:sz w:val="24"/>
          <w:szCs w:val="24"/>
        </w:rPr>
        <w:t>25</w:t>
      </w:r>
      <w:r>
        <w:rPr>
          <w:rFonts w:hint="eastAsia" w:ascii="宋体" w:hAnsi="宋体" w:cs="宋体"/>
          <w:bCs/>
          <w:sz w:val="24"/>
        </w:rPr>
        <w:t>.2.3 如果采购人确定该中标投标人无条件圆满履行合同，应由采购人将对下一个可能成交的</w:t>
      </w:r>
      <w:r>
        <w:rPr>
          <w:rFonts w:hint="eastAsia" w:ascii="宋体" w:hAnsi="宋体" w:cs="宋体"/>
          <w:bCs/>
          <w:sz w:val="24"/>
          <w:lang w:eastAsia="zh-CN"/>
        </w:rPr>
        <w:t>投标人</w:t>
      </w:r>
      <w:r>
        <w:rPr>
          <w:rFonts w:hint="eastAsia" w:ascii="宋体" w:hAnsi="宋体" w:cs="宋体"/>
          <w:bCs/>
          <w:sz w:val="24"/>
        </w:rPr>
        <w:t>资格做出类似的审查。</w:t>
      </w:r>
    </w:p>
    <w:p w14:paraId="0BD40FA2">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26</w:t>
      </w:r>
      <w:r>
        <w:rPr>
          <w:rFonts w:hint="eastAsia" w:ascii="宋体" w:hAnsi="宋体" w:cs="宋体"/>
          <w:b/>
          <w:bCs/>
          <w:sz w:val="24"/>
          <w:lang w:val="zh-CN"/>
        </w:rPr>
        <w:t>．接受和拒绝任何或所有投标的权力</w:t>
      </w:r>
    </w:p>
    <w:p w14:paraId="18A6908F">
      <w:pPr>
        <w:autoSpaceDE w:val="0"/>
        <w:autoSpaceDN w:val="0"/>
        <w:adjustRightInd w:val="0"/>
        <w:spacing w:line="360" w:lineRule="auto"/>
        <w:ind w:firstLine="472"/>
        <w:rPr>
          <w:rFonts w:ascii="宋体" w:hAnsi="宋体" w:cs="宋体"/>
          <w:sz w:val="24"/>
          <w:lang w:val="zh-CN"/>
        </w:rPr>
      </w:pPr>
      <w:r>
        <w:rPr>
          <w:rFonts w:hint="eastAsia" w:ascii="宋体" w:hAnsi="宋体" w:cs="宋体"/>
          <w:sz w:val="24"/>
        </w:rPr>
        <w:t>26</w:t>
      </w:r>
      <w:r>
        <w:rPr>
          <w:rFonts w:hint="eastAsia" w:ascii="宋体" w:hAnsi="宋体" w:cs="宋体"/>
          <w:sz w:val="24"/>
          <w:lang w:val="zh-CN"/>
        </w:rPr>
        <w:t>.1 为维护国家利益，评标委员会在授予合同之前仍有选择或拒绝任何投标的权力。</w:t>
      </w:r>
    </w:p>
    <w:p w14:paraId="52EC66E8">
      <w:pPr>
        <w:autoSpaceDE w:val="0"/>
        <w:autoSpaceDN w:val="0"/>
        <w:adjustRightInd w:val="0"/>
        <w:spacing w:line="360" w:lineRule="auto"/>
        <w:ind w:firstLine="482"/>
        <w:rPr>
          <w:rFonts w:ascii="宋体" w:hAnsi="宋体" w:cs="宋体"/>
          <w:b/>
          <w:bCs/>
          <w:sz w:val="24"/>
          <w:lang w:val="zh-CN"/>
        </w:rPr>
      </w:pPr>
      <w:r>
        <w:rPr>
          <w:rFonts w:hint="eastAsia" w:ascii="宋体" w:hAnsi="宋体" w:cs="宋体"/>
          <w:b/>
          <w:bCs/>
          <w:sz w:val="24"/>
        </w:rPr>
        <w:t>27</w:t>
      </w:r>
      <w:r>
        <w:rPr>
          <w:rFonts w:hint="eastAsia" w:ascii="宋体" w:hAnsi="宋体" w:cs="宋体"/>
          <w:b/>
          <w:bCs/>
          <w:sz w:val="24"/>
          <w:lang w:val="zh-CN"/>
        </w:rPr>
        <w:t>．中标通知书</w:t>
      </w:r>
    </w:p>
    <w:p w14:paraId="19E7A7E6">
      <w:pPr>
        <w:autoSpaceDE w:val="0"/>
        <w:autoSpaceDN w:val="0"/>
        <w:adjustRightInd w:val="0"/>
        <w:spacing w:line="360" w:lineRule="auto"/>
        <w:ind w:firstLine="472"/>
        <w:rPr>
          <w:rFonts w:ascii="宋体" w:hAnsi="宋体" w:cs="宋体"/>
          <w:sz w:val="24"/>
          <w:lang w:val="zh-CN"/>
        </w:rPr>
      </w:pPr>
      <w:r>
        <w:rPr>
          <w:rFonts w:hint="eastAsia" w:ascii="宋体" w:hAnsi="宋体" w:cs="宋体"/>
          <w:sz w:val="24"/>
          <w:szCs w:val="24"/>
        </w:rPr>
        <w:t>27.1 中标投标人确定后，采购代理机构应当将中标结果在省级以上财政部门指定的信息发布媒体上公告1个工作日，在公告中标结果的同时，采购代理机构向中标投标人发出</w:t>
      </w:r>
      <w:r>
        <w:rPr>
          <w:rFonts w:hint="eastAsia" w:ascii="宋体" w:hAnsi="宋体" w:cs="宋体"/>
          <w:bCs/>
          <w:sz w:val="24"/>
        </w:rPr>
        <w:t>《中标通知书》 。</w:t>
      </w:r>
    </w:p>
    <w:p w14:paraId="7790D504">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 xml:space="preserve">27.1.1 </w:t>
      </w:r>
      <w:r>
        <w:rPr>
          <w:rFonts w:hint="eastAsia" w:ascii="宋体" w:hAnsi="宋体" w:cs="宋体"/>
          <w:sz w:val="24"/>
          <w:szCs w:val="24"/>
          <w:lang w:eastAsia="zh-CN"/>
        </w:rPr>
        <w:t>投标人</w:t>
      </w:r>
      <w:r>
        <w:rPr>
          <w:rFonts w:hint="eastAsia" w:ascii="宋体" w:hAnsi="宋体" w:cs="宋体"/>
          <w:sz w:val="24"/>
          <w:szCs w:val="24"/>
        </w:rPr>
        <w:t>对中标公告有异议的，应当在中标公告发布之日起七个工作日内，以书面形式向采购代理机构提出质疑。采购代理机构应当在收到投标人书面质疑后七个工作日内，对质疑内容做出答复。质疑投标人对答复不满意或者采购代理机构未在规定时间内答复的，可以在答复期满后十五个工作日内按有关规定，向同级人民政府财政部门投诉。</w:t>
      </w:r>
    </w:p>
    <w:p w14:paraId="25DDC017">
      <w:pPr>
        <w:autoSpaceDE w:val="0"/>
        <w:autoSpaceDN w:val="0"/>
        <w:adjustRightInd w:val="0"/>
        <w:spacing w:line="360" w:lineRule="auto"/>
        <w:ind w:firstLine="472"/>
        <w:rPr>
          <w:rFonts w:ascii="宋体" w:hAnsi="宋体" w:cs="宋体"/>
          <w:sz w:val="24"/>
          <w:lang w:val="zh-CN"/>
        </w:rPr>
      </w:pPr>
      <w:r>
        <w:rPr>
          <w:rFonts w:hint="eastAsia" w:ascii="宋体" w:hAnsi="宋体" w:cs="宋体"/>
          <w:sz w:val="24"/>
          <w:szCs w:val="24"/>
        </w:rPr>
        <w:t>27</w:t>
      </w:r>
      <w:r>
        <w:rPr>
          <w:rFonts w:hint="eastAsia" w:ascii="宋体" w:hAnsi="宋体" w:cs="宋体"/>
          <w:sz w:val="24"/>
          <w:lang w:val="zh-CN"/>
        </w:rPr>
        <w:t>.1.2 采购人在收到《关于给予评审结果的确认函》5个工作日内，如不按规定确认中标投标人，应在规定的5个工作日期限内，以书面方式回函提出异议，经过财政监管部门同意后，由采购代理机构直接向中标首选投标人发出《中标通知书》。如逾期既不确认也不回函提出异议的，采购代理机构则视同采购人认可评标委员会推荐的中标首选结果，由采购代理机构直接向拟中标首选投标人发出《中标通知书》。一经发出即发生法律效力。</w:t>
      </w:r>
    </w:p>
    <w:p w14:paraId="65683EAB">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szCs w:val="24"/>
        </w:rPr>
        <w:t>27</w:t>
      </w:r>
      <w:r>
        <w:rPr>
          <w:rFonts w:hint="eastAsia" w:ascii="宋体" w:hAnsi="宋体" w:cs="宋体"/>
          <w:sz w:val="24"/>
          <w:lang w:val="zh-CN"/>
        </w:rPr>
        <w:t>.1.3 中标投标人领取《中标通知书》时，须向采购人提交合同履约保证金，拒绝提交的，视为放弃成交项目。</w:t>
      </w:r>
    </w:p>
    <w:p w14:paraId="2FDC8671">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szCs w:val="24"/>
        </w:rPr>
        <w:t>27</w:t>
      </w:r>
      <w:r>
        <w:rPr>
          <w:rFonts w:hint="eastAsia" w:ascii="宋体" w:hAnsi="宋体" w:cs="宋体"/>
          <w:sz w:val="24"/>
          <w:lang w:val="zh-CN"/>
        </w:rPr>
        <w:t>.1.3.1 合同履约保证金待合同执行期满、项目验收合格及办理货款结算时，由采购人无息退还。</w:t>
      </w:r>
    </w:p>
    <w:p w14:paraId="4B6464D7">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szCs w:val="24"/>
        </w:rPr>
        <w:t>27</w:t>
      </w:r>
      <w:r>
        <w:rPr>
          <w:rFonts w:hint="eastAsia" w:ascii="宋体" w:hAnsi="宋体" w:cs="宋体"/>
          <w:sz w:val="24"/>
          <w:lang w:val="zh-CN"/>
        </w:rPr>
        <w:t>.1.3.2 合同履约保证金可采用银行汇票、银行保函等形式交纳，成交投标人须将履约保证金交到采购人指定帐户。指定账户与投标报价保证金同账户。</w:t>
      </w:r>
    </w:p>
    <w:p w14:paraId="76F58E24">
      <w:pPr>
        <w:autoSpaceDE w:val="0"/>
        <w:autoSpaceDN w:val="0"/>
        <w:adjustRightInd w:val="0"/>
        <w:spacing w:line="360" w:lineRule="auto"/>
        <w:ind w:firstLine="480"/>
        <w:rPr>
          <w:rFonts w:ascii="宋体" w:hAnsi="宋体" w:cs="宋体"/>
          <w:sz w:val="24"/>
          <w:lang w:val="zh-CN"/>
        </w:rPr>
      </w:pPr>
      <w:r>
        <w:rPr>
          <w:rFonts w:hint="eastAsia" w:ascii="宋体" w:hAnsi="宋体" w:cs="宋体"/>
          <w:sz w:val="24"/>
          <w:szCs w:val="24"/>
        </w:rPr>
        <w:t>27</w:t>
      </w:r>
      <w:r>
        <w:rPr>
          <w:rFonts w:hint="eastAsia" w:ascii="宋体" w:hAnsi="宋体" w:cs="宋体"/>
          <w:sz w:val="24"/>
          <w:lang w:val="zh-CN"/>
        </w:rPr>
        <w:t>.1.3.3 中标投标人提交的合同履约保证金，其有效期限应不低于合同有效期。</w:t>
      </w:r>
    </w:p>
    <w:p w14:paraId="5620EBD6">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 xml:space="preserve">27.2  </w:t>
      </w:r>
      <w:r>
        <w:rPr>
          <w:rFonts w:hint="eastAsia" w:ascii="宋体" w:hAnsi="宋体" w:cs="宋体"/>
          <w:sz w:val="24"/>
          <w:lang w:val="zh-CN"/>
        </w:rPr>
        <w:t>在发布中标公告后，招标采购单位应当向中标投标人发出中标通知书，中标通知书对采购人和中标投标人具有同等法律效力。《中标通知书》</w:t>
      </w:r>
      <w:r>
        <w:rPr>
          <w:rFonts w:hint="eastAsia" w:ascii="宋体" w:hAnsi="宋体" w:cs="宋体"/>
          <w:sz w:val="24"/>
          <w:szCs w:val="24"/>
        </w:rPr>
        <w:t>发出后，采购人改变中标结果，或者中标投标人放弃成交，应当承担相应的法律责任。</w:t>
      </w:r>
    </w:p>
    <w:p w14:paraId="574EB905">
      <w:pPr>
        <w:autoSpaceDE w:val="0"/>
        <w:autoSpaceDN w:val="0"/>
        <w:adjustRightInd w:val="0"/>
        <w:spacing w:line="360" w:lineRule="auto"/>
        <w:ind w:firstLine="480" w:firstLineChars="200"/>
        <w:rPr>
          <w:rFonts w:ascii="宋体" w:hAnsi="宋体" w:cs="宋体"/>
          <w:sz w:val="24"/>
          <w:lang w:val="zh-CN"/>
        </w:rPr>
      </w:pPr>
      <w:r>
        <w:rPr>
          <w:rFonts w:hint="eastAsia" w:ascii="宋体" w:hAnsi="宋体" w:cs="宋体"/>
          <w:sz w:val="24"/>
          <w:szCs w:val="24"/>
        </w:rPr>
        <w:t>27</w:t>
      </w:r>
      <w:r>
        <w:rPr>
          <w:rFonts w:hint="eastAsia" w:ascii="宋体" w:hAnsi="宋体" w:cs="宋体"/>
          <w:sz w:val="24"/>
          <w:lang w:val="zh-CN"/>
        </w:rPr>
        <w:t>.3 《中标通知书》要作为采购人、中标人签订合同的依据。</w:t>
      </w:r>
    </w:p>
    <w:p w14:paraId="18CED0FF">
      <w:pPr>
        <w:spacing w:line="360" w:lineRule="auto"/>
        <w:ind w:firstLine="643" w:firstLineChars="200"/>
        <w:jc w:val="center"/>
        <w:rPr>
          <w:rFonts w:ascii="宋体" w:hAnsi="宋体" w:cs="宋体"/>
          <w:b/>
          <w:sz w:val="32"/>
          <w:szCs w:val="32"/>
        </w:rPr>
      </w:pPr>
    </w:p>
    <w:p w14:paraId="1BC46646">
      <w:pPr>
        <w:spacing w:line="360" w:lineRule="auto"/>
        <w:jc w:val="center"/>
        <w:rPr>
          <w:rFonts w:ascii="宋体" w:hAnsi="宋体" w:cs="宋体"/>
          <w:b/>
          <w:sz w:val="32"/>
          <w:szCs w:val="32"/>
        </w:rPr>
      </w:pPr>
    </w:p>
    <w:p w14:paraId="375B6473">
      <w:pPr>
        <w:rPr>
          <w:rFonts w:hint="eastAsia" w:ascii="宋体" w:hAnsi="宋体" w:cs="宋体"/>
          <w:b/>
          <w:sz w:val="32"/>
          <w:szCs w:val="32"/>
        </w:rPr>
      </w:pPr>
      <w:r>
        <w:rPr>
          <w:rFonts w:hint="eastAsia" w:ascii="宋体" w:hAnsi="宋体" w:cs="宋体"/>
          <w:b/>
          <w:sz w:val="32"/>
          <w:szCs w:val="32"/>
        </w:rPr>
        <w:br w:type="page"/>
      </w:r>
    </w:p>
    <w:p w14:paraId="643CA3DE">
      <w:pPr>
        <w:spacing w:line="360" w:lineRule="auto"/>
        <w:jc w:val="center"/>
        <w:rPr>
          <w:rFonts w:ascii="宋体" w:hAnsi="宋体" w:cs="宋体"/>
          <w:b/>
          <w:sz w:val="32"/>
          <w:szCs w:val="32"/>
        </w:rPr>
      </w:pPr>
      <w:r>
        <w:rPr>
          <w:rFonts w:hint="eastAsia" w:ascii="宋体" w:hAnsi="宋体" w:cs="宋体"/>
          <w:b/>
          <w:sz w:val="32"/>
          <w:szCs w:val="32"/>
        </w:rPr>
        <w:t>第四章 授予合同</w:t>
      </w:r>
    </w:p>
    <w:p w14:paraId="00DB9571">
      <w:pPr>
        <w:autoSpaceDE w:val="0"/>
        <w:autoSpaceDN w:val="0"/>
        <w:adjustRightInd w:val="0"/>
        <w:spacing w:line="360" w:lineRule="auto"/>
        <w:ind w:firstLine="482"/>
        <w:rPr>
          <w:rFonts w:ascii="宋体" w:hAnsi="宋体" w:cs="宋体"/>
          <w:b/>
          <w:bCs/>
          <w:sz w:val="24"/>
        </w:rPr>
      </w:pPr>
      <w:r>
        <w:rPr>
          <w:rFonts w:hint="eastAsia" w:ascii="宋体" w:hAnsi="宋体" w:cs="宋体"/>
          <w:b/>
          <w:bCs/>
          <w:sz w:val="24"/>
        </w:rPr>
        <w:t xml:space="preserve">28. </w:t>
      </w:r>
      <w:r>
        <w:rPr>
          <w:rFonts w:hint="eastAsia" w:ascii="宋体" w:hAnsi="宋体" w:cs="宋体"/>
          <w:b/>
          <w:bCs/>
          <w:sz w:val="24"/>
          <w:lang w:val="zh-CN"/>
        </w:rPr>
        <w:t>签订合同</w:t>
      </w:r>
    </w:p>
    <w:p w14:paraId="0166B381">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.1</w:t>
      </w:r>
      <w:r>
        <w:rPr>
          <w:rFonts w:hint="eastAsia" w:ascii="宋体" w:hAnsi="宋体" w:cs="宋体"/>
          <w:sz w:val="24"/>
          <w:szCs w:val="24"/>
        </w:rPr>
        <w:t xml:space="preserve"> 中标人应当自《中标通知书》发出之日起30日内，按照招标文件的约定和中标方投标文件中的承诺与采购单位签订书面合同，所签订的合同不得对招标文件和中标方的投标文件作实质性修改。</w:t>
      </w:r>
    </w:p>
    <w:p w14:paraId="23A28472">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.2 采购单位不得向中标投标人提出任何不合理要求作为签订合同的条件，不得与中标投标人私下订立背离合同实质性内容的协议。</w:t>
      </w:r>
    </w:p>
    <w:p w14:paraId="0E39D1ED">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.3 合同的双方当事人不得擅自变更、中止或者终止合同。</w:t>
      </w:r>
    </w:p>
    <w:p w14:paraId="3E19CD2E">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.4 合同继续履行将损害国家利益和社会公共利益的，双方当事人应当变更、中止或者终止合同。有过错的一方承担赔偿责任，双方都有过错的，各自承担相应责任。</w:t>
      </w:r>
    </w:p>
    <w:p w14:paraId="7F44534F">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.5 合同履行中，采购人需追加与合同标的相同的货物、工程或者服务的，在不改变其他条款的前提下，经采购人审查后，可以与投标人签订补充合同，补充合同须有采购人监章，但所有补充合同的采购金额不得超过原合同金额的10%。</w:t>
      </w:r>
    </w:p>
    <w:p w14:paraId="780F39C9">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.5.1 采购人在授予中标人合同时，经审查采购人的书面申请后，有权对招标文件中规定的货物和服务的数量在10%的幅度内予以增加或减少，并要在合同中增加条款进行说明。</w:t>
      </w:r>
    </w:p>
    <w:p w14:paraId="027B2110">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.6 如中标投标人拒签合同，则按违约处理。采购人将没收其合同履约保证金。</w:t>
      </w:r>
    </w:p>
    <w:p w14:paraId="4A6A4E6F">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7 采购代理机构的招标文件、中标方的投标文件及其澄清、询标（答疑）文件等，均做为签订合同的法律依据。</w:t>
      </w:r>
    </w:p>
    <w:p w14:paraId="2C87D222">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.8 在未经采购人允许的情况下，不允许中标人将成交项目分包或转交他人承担。而且，采购人也不得直接指定分包人。</w:t>
      </w:r>
    </w:p>
    <w:p w14:paraId="31A4F531">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.8.1 经采购人同意，中标投标人可以依法采取分包方式履行合同。合同分包履行的，中标投标人就采购项目和分包项目向采购人负责，分包投标人向分包项目承担责任。</w:t>
      </w:r>
    </w:p>
    <w:p w14:paraId="78B1FCD7">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.8.2 对于不具备分包条件或者不符合分包规定的，采购人有权在签订合同或中标投标人提出分包要求时予以拒绝。如发现中标投标人转包或违法分包时，有权要求其改正；拒不改正的，有权要求终止合同，并报请有关行政监督部门查处。</w:t>
      </w:r>
    </w:p>
    <w:p w14:paraId="2DE22716">
      <w:pPr>
        <w:keepNext w:val="0"/>
        <w:keepLines w:val="0"/>
        <w:pageBreakBefore w:val="0"/>
        <w:widowControl w:val="0"/>
        <w:kinsoku/>
        <w:wordWrap/>
        <w:overflowPunct/>
        <w:topLinePunct w:val="0"/>
        <w:autoSpaceDE w:val="0"/>
        <w:autoSpaceDN w:val="0"/>
        <w:bidi w:val="0"/>
        <w:adjustRightInd w:val="0"/>
        <w:snapToGrid/>
        <w:spacing w:line="336" w:lineRule="auto"/>
        <w:ind w:firstLine="471"/>
        <w:textAlignment w:val="auto"/>
        <w:rPr>
          <w:rFonts w:ascii="宋体" w:hAnsi="宋体" w:cs="宋体"/>
          <w:sz w:val="24"/>
          <w:lang w:val="zh-CN"/>
        </w:rPr>
      </w:pPr>
      <w:r>
        <w:rPr>
          <w:rFonts w:hint="eastAsia" w:ascii="宋体" w:hAnsi="宋体" w:cs="宋体"/>
          <w:sz w:val="24"/>
        </w:rPr>
        <w:t>28</w:t>
      </w:r>
      <w:r>
        <w:rPr>
          <w:rFonts w:hint="eastAsia" w:ascii="宋体" w:hAnsi="宋体" w:cs="宋体"/>
          <w:sz w:val="24"/>
          <w:lang w:val="zh-CN"/>
        </w:rPr>
        <w:t>.8.2.1 中标投标人必须与采购人协商后，共同决定将合同标的中的部分由第三方承担供货和服务责任，但中标投标人必须对合同标的的全部内容向采购人负责，并保证第三方提供的供货和服务符合采购代理机构招标文件的约定和其投标文件的承诺及相关约定。</w:t>
      </w:r>
    </w:p>
    <w:p w14:paraId="35310E04">
      <w:pPr>
        <w:autoSpaceDE w:val="0"/>
        <w:autoSpaceDN w:val="0"/>
        <w:adjustRightInd w:val="0"/>
        <w:spacing w:line="360" w:lineRule="auto"/>
        <w:ind w:firstLine="472"/>
        <w:rPr>
          <w:rFonts w:ascii="宋体" w:hAnsi="宋体" w:cs="宋体"/>
          <w:sz w:val="24"/>
          <w:lang w:val="zh-CN"/>
        </w:rPr>
      </w:pPr>
    </w:p>
    <w:p w14:paraId="57514A74">
      <w:pPr>
        <w:jc w:val="center"/>
        <w:rPr>
          <w:rFonts w:hint="eastAsia"/>
          <w:color w:val="FFFFFF"/>
          <w:sz w:val="20"/>
          <w:szCs w:val="22"/>
          <w:highlight w:val="none"/>
        </w:rPr>
      </w:pPr>
      <w:r>
        <w:rPr>
          <w:rFonts w:hint="eastAsia" w:ascii="宋体" w:hAnsi="宋体" w:cs="宋体"/>
          <w:b/>
          <w:sz w:val="36"/>
        </w:rPr>
        <w:t>第七部分 商务部分</w:t>
      </w:r>
      <w:r>
        <w:rPr>
          <w:rFonts w:hint="eastAsia" w:ascii="宋体" w:hAnsi="宋体"/>
          <w:b/>
          <w:sz w:val="36"/>
          <w:highlight w:val="none"/>
        </w:rPr>
        <w:t>（仅供参考）</w:t>
      </w:r>
    </w:p>
    <w:p w14:paraId="7CF026BE">
      <w:pPr>
        <w:rPr>
          <w:rFonts w:hint="eastAsia"/>
          <w:szCs w:val="21"/>
          <w:highlight w:val="none"/>
        </w:rPr>
      </w:pPr>
    </w:p>
    <w:p w14:paraId="00EE95C6">
      <w:pPr>
        <w:ind w:firstLine="480"/>
        <w:jc w:val="center"/>
        <w:rPr>
          <w:rFonts w:hint="eastAsia"/>
          <w:sz w:val="24"/>
          <w:highlight w:val="none"/>
        </w:rPr>
      </w:pPr>
    </w:p>
    <w:p w14:paraId="59A001E6">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center"/>
        <w:textAlignment w:val="auto"/>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(此合同样本仅供参考,合同具体细则以成交双方协定为准)</w:t>
      </w:r>
    </w:p>
    <w:p w14:paraId="4C6FF48E">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合同编号：</w:t>
      </w:r>
      <w:r>
        <w:rPr>
          <w:rFonts w:hint="eastAsia" w:asciiTheme="minorEastAsia" w:hAnsiTheme="minorEastAsia" w:eastAsiaTheme="minorEastAsia" w:cstheme="minorEastAsia"/>
          <w:sz w:val="24"/>
          <w:u w:val="single"/>
        </w:rPr>
        <w:t xml:space="preserve">           </w:t>
      </w:r>
    </w:p>
    <w:p w14:paraId="6823B300">
      <w:pPr>
        <w:kinsoku/>
        <w:topLinePunct w:val="0"/>
        <w:bidi w:val="0"/>
        <w:spacing w:line="440" w:lineRule="exact"/>
        <w:jc w:val="center"/>
        <w:rPr>
          <w:rFonts w:hint="eastAsia" w:asciiTheme="minorEastAsia" w:hAnsiTheme="minorEastAsia" w:eastAsiaTheme="minorEastAsia" w:cstheme="minorEastAsia"/>
          <w:b/>
          <w:sz w:val="28"/>
          <w:szCs w:val="28"/>
        </w:rPr>
      </w:pPr>
    </w:p>
    <w:p w14:paraId="68F7F5FF">
      <w:pPr>
        <w:kinsoku/>
        <w:topLinePunct w:val="0"/>
        <w:bidi w:val="0"/>
        <w:spacing w:line="440" w:lineRule="exact"/>
        <w:jc w:val="center"/>
        <w:rPr>
          <w:rFonts w:hint="eastAsia" w:asciiTheme="minorEastAsia" w:hAnsiTheme="minorEastAsia" w:eastAsiaTheme="minorEastAsia" w:cstheme="minorEastAsia"/>
          <w:b/>
          <w:sz w:val="28"/>
          <w:szCs w:val="28"/>
        </w:rPr>
      </w:pPr>
    </w:p>
    <w:p w14:paraId="6830E18A">
      <w:pPr>
        <w:keepNext w:val="0"/>
        <w:keepLines w:val="0"/>
        <w:pageBreakBefore w:val="0"/>
        <w:widowControl w:val="0"/>
        <w:kinsoku/>
        <w:wordWrap/>
        <w:overflowPunct/>
        <w:topLinePunct w:val="0"/>
        <w:bidi w:val="0"/>
        <w:snapToGrid/>
        <w:spacing w:line="440" w:lineRule="exact"/>
        <w:jc w:val="center"/>
        <w:textAlignment w:val="auto"/>
        <w:outlineLvl w:val="9"/>
        <w:rPr>
          <w:rFonts w:hint="eastAsia" w:asciiTheme="minorEastAsia" w:hAnsiTheme="minorEastAsia" w:eastAsiaTheme="minorEastAsia" w:cstheme="minorEastAsia"/>
          <w:b/>
          <w:sz w:val="44"/>
          <w:szCs w:val="44"/>
        </w:rPr>
      </w:pPr>
      <w:r>
        <w:rPr>
          <w:rFonts w:hint="eastAsia" w:asciiTheme="minorEastAsia" w:hAnsiTheme="minorEastAsia" w:eastAsiaTheme="minorEastAsia" w:cstheme="minorEastAsia"/>
          <w:b/>
          <w:sz w:val="44"/>
          <w:szCs w:val="44"/>
        </w:rPr>
        <w:t>政府采购合同参考范本</w:t>
      </w:r>
    </w:p>
    <w:p w14:paraId="0E446366">
      <w:pPr>
        <w:keepNext w:val="0"/>
        <w:keepLines w:val="0"/>
        <w:pageBreakBefore w:val="0"/>
        <w:widowControl w:val="0"/>
        <w:kinsoku/>
        <w:wordWrap/>
        <w:overflowPunct/>
        <w:topLinePunct w:val="0"/>
        <w:bidi w:val="0"/>
        <w:snapToGrid/>
        <w:spacing w:line="440" w:lineRule="exact"/>
        <w:jc w:val="center"/>
        <w:textAlignment w:val="auto"/>
        <w:outlineLvl w:val="9"/>
        <w:rPr>
          <w:rFonts w:hint="eastAsia" w:asciiTheme="minorEastAsia" w:hAnsiTheme="minorEastAsia" w:eastAsiaTheme="minorEastAsia" w:cstheme="minorEastAsia"/>
          <w:b/>
          <w:sz w:val="24"/>
        </w:rPr>
      </w:pPr>
      <w:bookmarkStart w:id="3" w:name="_Toc7119"/>
      <w:bookmarkStart w:id="4" w:name="_Toc15540"/>
      <w:bookmarkStart w:id="5" w:name="_Toc17302"/>
      <w:bookmarkStart w:id="6" w:name="_Toc29773"/>
      <w:bookmarkStart w:id="7" w:name="_Toc11871"/>
      <w:bookmarkStart w:id="8" w:name="_Toc17088"/>
      <w:bookmarkStart w:id="9" w:name="_Toc15014"/>
      <w:r>
        <w:rPr>
          <w:rFonts w:hint="eastAsia" w:asciiTheme="minorEastAsia" w:hAnsiTheme="minorEastAsia" w:eastAsiaTheme="minorEastAsia" w:cstheme="minorEastAsia"/>
          <w:b/>
          <w:sz w:val="24"/>
        </w:rPr>
        <w:t>（服务类）</w:t>
      </w:r>
      <w:bookmarkEnd w:id="3"/>
      <w:bookmarkEnd w:id="4"/>
      <w:bookmarkEnd w:id="5"/>
      <w:bookmarkEnd w:id="6"/>
      <w:bookmarkEnd w:id="7"/>
      <w:bookmarkEnd w:id="8"/>
      <w:bookmarkEnd w:id="9"/>
    </w:p>
    <w:p w14:paraId="2CD3C3B1">
      <w:pPr>
        <w:pStyle w:val="49"/>
        <w:keepNext w:val="0"/>
        <w:keepLines w:val="0"/>
        <w:pageBreakBefore w:val="0"/>
        <w:widowControl w:val="0"/>
        <w:kinsoku/>
        <w:wordWrap/>
        <w:overflowPunct/>
        <w:topLinePunct w:val="0"/>
        <w:bidi w:val="0"/>
        <w:snapToGrid/>
        <w:spacing w:line="440" w:lineRule="exact"/>
        <w:ind w:firstLine="0"/>
        <w:textAlignment w:val="auto"/>
        <w:outlineLvl w:val="9"/>
        <w:rPr>
          <w:rFonts w:hint="eastAsia" w:asciiTheme="minorEastAsia" w:hAnsiTheme="minorEastAsia" w:eastAsiaTheme="minorEastAsia" w:cstheme="minorEastAsia"/>
          <w:szCs w:val="24"/>
        </w:rPr>
      </w:pPr>
    </w:p>
    <w:p w14:paraId="6E1407FF">
      <w:pPr>
        <w:pStyle w:val="49"/>
        <w:keepNext w:val="0"/>
        <w:keepLines w:val="0"/>
        <w:pageBreakBefore w:val="0"/>
        <w:widowControl w:val="0"/>
        <w:kinsoku/>
        <w:wordWrap/>
        <w:overflowPunct/>
        <w:topLinePunct w:val="0"/>
        <w:bidi w:val="0"/>
        <w:snapToGrid/>
        <w:spacing w:line="440" w:lineRule="exact"/>
        <w:ind w:firstLine="0"/>
        <w:textAlignment w:val="auto"/>
        <w:outlineLvl w:val="9"/>
        <w:rPr>
          <w:rFonts w:hint="eastAsia" w:asciiTheme="minorEastAsia" w:hAnsiTheme="minorEastAsia" w:eastAsiaTheme="minorEastAsia" w:cstheme="minorEastAsia"/>
          <w:szCs w:val="24"/>
        </w:rPr>
      </w:pPr>
    </w:p>
    <w:p w14:paraId="40E9D2AA">
      <w:pPr>
        <w:pStyle w:val="49"/>
        <w:keepNext w:val="0"/>
        <w:keepLines w:val="0"/>
        <w:pageBreakBefore w:val="0"/>
        <w:widowControl w:val="0"/>
        <w:kinsoku/>
        <w:wordWrap/>
        <w:overflowPunct/>
        <w:topLinePunct w:val="0"/>
        <w:bidi w:val="0"/>
        <w:snapToGrid/>
        <w:spacing w:line="440" w:lineRule="exact"/>
        <w:ind w:firstLine="0"/>
        <w:jc w:val="center"/>
        <w:textAlignment w:val="auto"/>
        <w:outlineLvl w:val="9"/>
        <w:rPr>
          <w:rFonts w:hint="eastAsia" w:asciiTheme="minorEastAsia" w:hAnsiTheme="minorEastAsia" w:eastAsiaTheme="minorEastAsia" w:cstheme="minorEastAsia"/>
          <w:b/>
          <w:szCs w:val="24"/>
        </w:rPr>
      </w:pPr>
      <w:bookmarkStart w:id="10" w:name="_Toc19443"/>
      <w:bookmarkStart w:id="11" w:name="_Toc29744"/>
      <w:bookmarkStart w:id="12" w:name="_Toc10036"/>
      <w:bookmarkStart w:id="13" w:name="_Toc32716"/>
      <w:bookmarkStart w:id="14" w:name="_Toc12077"/>
      <w:bookmarkStart w:id="15" w:name="_Toc26468"/>
      <w:bookmarkStart w:id="16" w:name="_Toc10478"/>
      <w:r>
        <w:rPr>
          <w:rFonts w:hint="eastAsia" w:asciiTheme="minorEastAsia" w:hAnsiTheme="minorEastAsia" w:eastAsiaTheme="minorEastAsia" w:cstheme="minorEastAsia"/>
          <w:b/>
          <w:szCs w:val="24"/>
        </w:rPr>
        <w:t>第一部分 合同书</w:t>
      </w:r>
      <w:bookmarkEnd w:id="10"/>
      <w:bookmarkEnd w:id="11"/>
      <w:bookmarkEnd w:id="12"/>
      <w:bookmarkEnd w:id="13"/>
      <w:bookmarkEnd w:id="14"/>
      <w:bookmarkEnd w:id="15"/>
      <w:bookmarkEnd w:id="16"/>
    </w:p>
    <w:p w14:paraId="5D7F00B4">
      <w:pPr>
        <w:pStyle w:val="49"/>
        <w:kinsoku/>
        <w:topLinePunct w:val="0"/>
        <w:bidi w:val="0"/>
        <w:spacing w:line="440" w:lineRule="exact"/>
        <w:ind w:firstLine="0"/>
        <w:rPr>
          <w:rFonts w:hint="eastAsia" w:asciiTheme="minorEastAsia" w:hAnsiTheme="minorEastAsia" w:eastAsiaTheme="minorEastAsia" w:cstheme="minorEastAsia"/>
          <w:szCs w:val="24"/>
        </w:rPr>
      </w:pPr>
    </w:p>
    <w:p w14:paraId="436A966C">
      <w:pPr>
        <w:pStyle w:val="49"/>
        <w:kinsoku/>
        <w:topLinePunct w:val="0"/>
        <w:bidi w:val="0"/>
        <w:spacing w:line="440" w:lineRule="exact"/>
        <w:ind w:firstLine="0"/>
        <w:rPr>
          <w:rFonts w:hint="eastAsia" w:asciiTheme="minorEastAsia" w:hAnsiTheme="minorEastAsia" w:eastAsiaTheme="minorEastAsia" w:cstheme="minorEastAsia"/>
          <w:szCs w:val="24"/>
        </w:rPr>
      </w:pPr>
    </w:p>
    <w:p w14:paraId="2970637E">
      <w:pPr>
        <w:kinsoku/>
        <w:topLinePunct w:val="0"/>
        <w:bidi w:val="0"/>
        <w:spacing w:before="120" w:line="440" w:lineRule="exact"/>
        <w:rPr>
          <w:rFonts w:hint="eastAsia" w:asciiTheme="minorEastAsia" w:hAnsiTheme="minorEastAsia" w:eastAsiaTheme="minorEastAsia" w:cstheme="minorEastAsia"/>
          <w:sz w:val="24"/>
        </w:rPr>
      </w:pPr>
    </w:p>
    <w:p w14:paraId="191C33F2">
      <w:pPr>
        <w:kinsoku/>
        <w:topLinePunct w:val="0"/>
        <w:bidi w:val="0"/>
        <w:spacing w:before="120" w:line="440" w:lineRule="exact"/>
        <w:ind w:left="96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项目名称：</w:t>
      </w:r>
      <w:r>
        <w:rPr>
          <w:rFonts w:hint="eastAsia" w:asciiTheme="minorEastAsia" w:hAnsiTheme="minorEastAsia" w:eastAsiaTheme="minorEastAsia" w:cstheme="minorEastAsia"/>
          <w:sz w:val="24"/>
          <w:u w:val="single"/>
        </w:rPr>
        <w:t xml:space="preserve">                                   </w:t>
      </w:r>
    </w:p>
    <w:p w14:paraId="369E2838">
      <w:pPr>
        <w:pStyle w:val="57"/>
        <w:kinsoku/>
        <w:topLinePunct w:val="0"/>
        <w:bidi w:val="0"/>
        <w:spacing w:before="120" w:line="440" w:lineRule="exact"/>
        <w:rPr>
          <w:rFonts w:hint="eastAsia" w:asciiTheme="minorEastAsia" w:hAnsiTheme="minorEastAsia" w:eastAsiaTheme="minorEastAsia" w:cstheme="minorEastAsia"/>
          <w:szCs w:val="24"/>
        </w:rPr>
      </w:pPr>
    </w:p>
    <w:p w14:paraId="25D5FD57">
      <w:pPr>
        <w:pStyle w:val="57"/>
        <w:kinsoku/>
        <w:topLinePunct w:val="0"/>
        <w:bidi w:val="0"/>
        <w:spacing w:before="120" w:line="440" w:lineRule="exact"/>
        <w:rPr>
          <w:rFonts w:hint="eastAsia" w:asciiTheme="minorEastAsia" w:hAnsiTheme="minorEastAsia" w:eastAsiaTheme="minorEastAsia" w:cstheme="minorEastAsia"/>
          <w:szCs w:val="24"/>
        </w:rPr>
      </w:pPr>
    </w:p>
    <w:p w14:paraId="654C6A24">
      <w:pPr>
        <w:kinsoku/>
        <w:topLinePunct w:val="0"/>
        <w:bidi w:val="0"/>
        <w:spacing w:line="440" w:lineRule="exact"/>
        <w:rPr>
          <w:rFonts w:hint="eastAsia" w:asciiTheme="minorEastAsia" w:hAnsiTheme="minorEastAsia" w:eastAsiaTheme="minorEastAsia" w:cstheme="minorEastAsia"/>
        </w:rPr>
      </w:pPr>
    </w:p>
    <w:p w14:paraId="0E68F147">
      <w:pPr>
        <w:kinsoku/>
        <w:topLinePunct w:val="0"/>
        <w:bidi w:val="0"/>
        <w:spacing w:line="440" w:lineRule="exact"/>
        <w:rPr>
          <w:rFonts w:hint="eastAsia" w:asciiTheme="minorEastAsia" w:hAnsiTheme="minorEastAsia" w:eastAsiaTheme="minorEastAsia" w:cstheme="minorEastAsia"/>
        </w:rPr>
      </w:pPr>
    </w:p>
    <w:p w14:paraId="39FDA778">
      <w:pPr>
        <w:kinsoku/>
        <w:topLinePunct w:val="0"/>
        <w:bidi w:val="0"/>
        <w:spacing w:before="120" w:line="440" w:lineRule="exact"/>
        <w:ind w:left="96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甲方：</w:t>
      </w:r>
      <w:r>
        <w:rPr>
          <w:rFonts w:hint="eastAsia" w:asciiTheme="minorEastAsia" w:hAnsiTheme="minorEastAsia" w:eastAsiaTheme="minorEastAsia" w:cstheme="minorEastAsia"/>
          <w:sz w:val="24"/>
          <w:u w:val="single"/>
        </w:rPr>
        <w:t xml:space="preserve">                                       </w:t>
      </w:r>
    </w:p>
    <w:p w14:paraId="4C9199D1">
      <w:pPr>
        <w:kinsoku/>
        <w:topLinePunct w:val="0"/>
        <w:bidi w:val="0"/>
        <w:spacing w:before="120" w:line="440" w:lineRule="exact"/>
        <w:rPr>
          <w:rFonts w:hint="eastAsia" w:asciiTheme="minorEastAsia" w:hAnsiTheme="minorEastAsia" w:eastAsiaTheme="minorEastAsia" w:cstheme="minorEastAsia"/>
          <w:sz w:val="24"/>
        </w:rPr>
      </w:pPr>
    </w:p>
    <w:p w14:paraId="78217F8A">
      <w:pPr>
        <w:kinsoku/>
        <w:topLinePunct w:val="0"/>
        <w:bidi w:val="0"/>
        <w:spacing w:before="120" w:line="440" w:lineRule="exact"/>
        <w:ind w:left="96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乙方：</w:t>
      </w:r>
      <w:r>
        <w:rPr>
          <w:rFonts w:hint="eastAsia" w:asciiTheme="minorEastAsia" w:hAnsiTheme="minorEastAsia" w:eastAsiaTheme="minorEastAsia" w:cstheme="minorEastAsia"/>
          <w:sz w:val="24"/>
          <w:u w:val="single"/>
        </w:rPr>
        <w:t xml:space="preserve">                                       </w:t>
      </w:r>
    </w:p>
    <w:p w14:paraId="47B021C0">
      <w:pPr>
        <w:kinsoku/>
        <w:topLinePunct w:val="0"/>
        <w:bidi w:val="0"/>
        <w:spacing w:before="120" w:line="440" w:lineRule="exact"/>
        <w:rPr>
          <w:rFonts w:hint="eastAsia" w:asciiTheme="minorEastAsia" w:hAnsiTheme="minorEastAsia" w:eastAsiaTheme="minorEastAsia" w:cstheme="minorEastAsia"/>
          <w:sz w:val="24"/>
        </w:rPr>
      </w:pPr>
    </w:p>
    <w:p w14:paraId="44B5B813">
      <w:pPr>
        <w:kinsoku/>
        <w:topLinePunct w:val="0"/>
        <w:bidi w:val="0"/>
        <w:spacing w:before="120" w:line="440" w:lineRule="exact"/>
        <w:ind w:firstLine="960" w:firstLineChars="400"/>
        <w:rPr>
          <w:rFonts w:hint="eastAsia"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签订地：</w:t>
      </w:r>
      <w:r>
        <w:rPr>
          <w:rFonts w:hint="eastAsia" w:asciiTheme="minorEastAsia" w:hAnsiTheme="minorEastAsia" w:eastAsiaTheme="minorEastAsia" w:cstheme="minorEastAsia"/>
          <w:sz w:val="24"/>
          <w:u w:val="single"/>
        </w:rPr>
        <w:t xml:space="preserve">                                     </w:t>
      </w:r>
    </w:p>
    <w:p w14:paraId="30E43C82">
      <w:pPr>
        <w:kinsoku/>
        <w:topLinePunct w:val="0"/>
        <w:bidi w:val="0"/>
        <w:spacing w:before="120" w:line="440" w:lineRule="exact"/>
        <w:rPr>
          <w:rFonts w:hint="eastAsia" w:asciiTheme="minorEastAsia" w:hAnsiTheme="minorEastAsia" w:eastAsiaTheme="minorEastAsia" w:cstheme="minorEastAsia"/>
          <w:sz w:val="24"/>
        </w:rPr>
      </w:pPr>
    </w:p>
    <w:p w14:paraId="362F2845">
      <w:pPr>
        <w:keepNext w:val="0"/>
        <w:keepLines w:val="0"/>
        <w:widowControl/>
        <w:suppressLineNumbers w:val="0"/>
        <w:tabs>
          <w:tab w:val="left" w:pos="3510"/>
        </w:tabs>
        <w:ind w:firstLine="960" w:firstLineChars="4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签订日期：</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年</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月</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日</w:t>
      </w:r>
    </w:p>
    <w:p w14:paraId="44AB8640">
      <w:pPr>
        <w:keepNext w:val="0"/>
        <w:keepLines w:val="0"/>
        <w:widowControl/>
        <w:suppressLineNumbers w:val="0"/>
        <w:tabs>
          <w:tab w:val="left" w:pos="3510"/>
        </w:tabs>
        <w:ind w:firstLine="1440" w:firstLineChars="600"/>
        <w:jc w:val="left"/>
        <w:rPr>
          <w:rFonts w:hint="eastAsia" w:asciiTheme="minorEastAsia" w:hAnsiTheme="minorEastAsia" w:eastAsiaTheme="minorEastAsia" w:cstheme="minorEastAsia"/>
          <w:sz w:val="24"/>
        </w:rPr>
      </w:pPr>
    </w:p>
    <w:p w14:paraId="52B7A4CB">
      <w:pPr>
        <w:pStyle w:val="48"/>
        <w:ind w:left="0" w:leftChars="0" w:firstLine="0" w:firstLineChars="0"/>
        <w:rPr>
          <w:rFonts w:hint="eastAsia" w:asciiTheme="minorEastAsia" w:hAnsiTheme="minorEastAsia" w:eastAsiaTheme="minorEastAsia" w:cstheme="minorEastAsia"/>
          <w:sz w:val="24"/>
        </w:rPr>
      </w:pPr>
    </w:p>
    <w:p w14:paraId="1921568E">
      <w:pPr>
        <w:kinsoku/>
        <w:topLinePunct w:val="0"/>
        <w:bidi w:val="0"/>
        <w:spacing w:line="440" w:lineRule="exact"/>
        <w:ind w:firstLine="480" w:firstLineChars="200"/>
        <w:rPr>
          <w:rFonts w:hint="eastAsia" w:asciiTheme="minorEastAsia" w:hAnsiTheme="minorEastAsia" w:eastAsiaTheme="minorEastAsia" w:cstheme="minorEastAsia"/>
          <w:sz w:val="24"/>
          <w:u w:val="single"/>
          <w:lang w:val="zh-CN"/>
        </w:rPr>
      </w:pPr>
    </w:p>
    <w:p w14:paraId="77AF426E">
      <w:pPr>
        <w:kinsoku/>
        <w:topLinePunct w:val="0"/>
        <w:bidi w:val="0"/>
        <w:spacing w:line="44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u w:val="single"/>
          <w:lang w:val="zh-CN"/>
        </w:rPr>
        <w:t xml:space="preserve"> </w:t>
      </w:r>
      <w:r>
        <w:rPr>
          <w:rFonts w:hint="eastAsia" w:asciiTheme="minorEastAsia" w:hAnsiTheme="minorEastAsia" w:eastAsiaTheme="minorEastAsia" w:cstheme="minorEastAsia"/>
          <w:sz w:val="24"/>
          <w:szCs w:val="24"/>
          <w:u w:val="single"/>
          <w:lang w:val="zh-CN"/>
        </w:rPr>
        <w:t xml:space="preserve">       </w:t>
      </w:r>
      <w:r>
        <w:rPr>
          <w:rFonts w:hint="eastAsia" w:asciiTheme="minorEastAsia" w:hAnsiTheme="minorEastAsia" w:eastAsiaTheme="minorEastAsia" w:cstheme="minorEastAsia"/>
          <w:sz w:val="24"/>
          <w:szCs w:val="24"/>
          <w:lang w:val="zh-CN"/>
        </w:rPr>
        <w:t>年</w:t>
      </w:r>
      <w:r>
        <w:rPr>
          <w:rFonts w:hint="eastAsia" w:asciiTheme="minorEastAsia" w:hAnsiTheme="minorEastAsia" w:eastAsiaTheme="minorEastAsia" w:cstheme="minorEastAsia"/>
          <w:sz w:val="24"/>
          <w:szCs w:val="24"/>
          <w:u w:val="single"/>
          <w:lang w:val="zh-CN"/>
        </w:rPr>
        <w:t xml:space="preserve">    </w:t>
      </w:r>
      <w:r>
        <w:rPr>
          <w:rFonts w:hint="eastAsia" w:asciiTheme="minorEastAsia" w:hAnsiTheme="minorEastAsia" w:eastAsiaTheme="minorEastAsia" w:cstheme="minorEastAsia"/>
          <w:sz w:val="24"/>
          <w:szCs w:val="24"/>
          <w:lang w:val="zh-CN"/>
        </w:rPr>
        <w:t>月</w:t>
      </w:r>
      <w:r>
        <w:rPr>
          <w:rFonts w:hint="eastAsia" w:asciiTheme="minorEastAsia" w:hAnsiTheme="minorEastAsia" w:eastAsiaTheme="minorEastAsia" w:cstheme="minorEastAsia"/>
          <w:sz w:val="24"/>
          <w:szCs w:val="24"/>
          <w:u w:val="single"/>
          <w:lang w:val="zh-CN"/>
        </w:rPr>
        <w:t xml:space="preserve">    </w:t>
      </w:r>
      <w:r>
        <w:rPr>
          <w:rFonts w:hint="eastAsia" w:asciiTheme="minorEastAsia" w:hAnsiTheme="minorEastAsia" w:eastAsiaTheme="minorEastAsia" w:cstheme="minorEastAsia"/>
          <w:sz w:val="24"/>
          <w:szCs w:val="24"/>
          <w:lang w:val="zh-CN"/>
        </w:rPr>
        <w:t>日</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u w:val="single"/>
        </w:rPr>
        <w:t xml:space="preserve">   （采购人名称）   </w:t>
      </w:r>
      <w:r>
        <w:rPr>
          <w:rFonts w:hint="eastAsia" w:asciiTheme="minorEastAsia" w:hAnsiTheme="minorEastAsia" w:eastAsiaTheme="minorEastAsia" w:cstheme="minorEastAsia"/>
          <w:sz w:val="24"/>
          <w:szCs w:val="24"/>
        </w:rPr>
        <w:t>以</w:t>
      </w:r>
      <w:r>
        <w:rPr>
          <w:rFonts w:hint="eastAsia" w:asciiTheme="minorEastAsia" w:hAnsiTheme="minorEastAsia" w:eastAsiaTheme="minorEastAsia" w:cstheme="minorEastAsia"/>
          <w:sz w:val="24"/>
          <w:szCs w:val="24"/>
          <w:u w:val="single"/>
        </w:rPr>
        <w:t xml:space="preserve">   （政府采购方式）  </w:t>
      </w:r>
      <w:r>
        <w:rPr>
          <w:rFonts w:hint="eastAsia" w:asciiTheme="minorEastAsia" w:hAnsiTheme="minorEastAsia" w:eastAsiaTheme="minorEastAsia" w:cstheme="minorEastAsia"/>
          <w:sz w:val="24"/>
          <w:szCs w:val="24"/>
        </w:rPr>
        <w:t>对</w:t>
      </w:r>
      <w:r>
        <w:rPr>
          <w:rFonts w:hint="eastAsia" w:asciiTheme="minorEastAsia" w:hAnsiTheme="minorEastAsia" w:eastAsiaTheme="minorEastAsia" w:cstheme="minorEastAsia"/>
          <w:sz w:val="24"/>
          <w:szCs w:val="24"/>
          <w:u w:val="single"/>
        </w:rPr>
        <w:t xml:space="preserve">   （同前页项目名称）   </w:t>
      </w:r>
      <w:r>
        <w:rPr>
          <w:rFonts w:hint="eastAsia" w:asciiTheme="minorEastAsia" w:hAnsiTheme="minorEastAsia" w:eastAsiaTheme="minorEastAsia" w:cstheme="minorEastAsia"/>
          <w:sz w:val="24"/>
          <w:szCs w:val="24"/>
        </w:rPr>
        <w:t>项目进行了采购。经</w:t>
      </w:r>
      <w:r>
        <w:rPr>
          <w:rFonts w:hint="eastAsia" w:asciiTheme="minorEastAsia" w:hAnsiTheme="minorEastAsia" w:eastAsiaTheme="minorEastAsia" w:cstheme="minorEastAsia"/>
          <w:sz w:val="24"/>
          <w:szCs w:val="24"/>
          <w:u w:val="single"/>
        </w:rPr>
        <w:t xml:space="preserve">   （相关评定主体名称）   </w:t>
      </w:r>
      <w:r>
        <w:rPr>
          <w:rFonts w:hint="eastAsia" w:asciiTheme="minorEastAsia" w:hAnsiTheme="minorEastAsia" w:eastAsiaTheme="minorEastAsia" w:cstheme="minorEastAsia"/>
          <w:sz w:val="24"/>
          <w:szCs w:val="24"/>
        </w:rPr>
        <w:t>评定，</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eastAsia="zh-CN"/>
        </w:rPr>
        <w:t>成交</w:t>
      </w:r>
      <w:r>
        <w:rPr>
          <w:rFonts w:hint="eastAsia" w:asciiTheme="minorEastAsia" w:hAnsiTheme="minorEastAsia" w:eastAsiaTheme="minorEastAsia" w:cstheme="minorEastAsia"/>
          <w:sz w:val="24"/>
          <w:szCs w:val="24"/>
          <w:u w:val="single"/>
        </w:rPr>
        <w:t xml:space="preserve">供应商名称） </w:t>
      </w:r>
      <w:r>
        <w:rPr>
          <w:rFonts w:hint="eastAsia" w:asciiTheme="minorEastAsia" w:hAnsiTheme="minorEastAsia" w:eastAsiaTheme="minorEastAsia" w:cstheme="minorEastAsia"/>
          <w:sz w:val="24"/>
          <w:szCs w:val="24"/>
        </w:rPr>
        <w:t>为该项目</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供应商。现于</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通知书发出之日起三十日内，按照采购文件确定的事项签订本合同。</w:t>
      </w:r>
    </w:p>
    <w:p w14:paraId="74BE964B">
      <w:pPr>
        <w:kinsoku/>
        <w:topLinePunct w:val="0"/>
        <w:bidi w:val="0"/>
        <w:spacing w:line="44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zh-CN"/>
        </w:rPr>
        <w:t>根据《</w:t>
      </w:r>
      <w:r>
        <w:rPr>
          <w:rFonts w:hint="eastAsia" w:asciiTheme="minorEastAsia" w:hAnsiTheme="minorEastAsia" w:eastAsiaTheme="minorEastAsia" w:cstheme="minorEastAsia"/>
          <w:sz w:val="24"/>
          <w:szCs w:val="24"/>
          <w:highlight w:val="none"/>
          <w:lang w:val="zh-CN"/>
        </w:rPr>
        <w:t>中华人民共和国民法典</w:t>
      </w:r>
      <w:r>
        <w:rPr>
          <w:rFonts w:hint="eastAsia" w:asciiTheme="minorEastAsia" w:hAnsiTheme="minorEastAsia" w:eastAsiaTheme="minorEastAsia" w:cstheme="minorEastAsia"/>
          <w:sz w:val="24"/>
          <w:szCs w:val="24"/>
          <w:lang w:val="zh-CN"/>
        </w:rPr>
        <w:t>》、《中华人民共和国政府采购法》等相关法律法规之规定，按照平等、自愿、公平和诚实信用的原则，经</w:t>
      </w:r>
      <w:r>
        <w:rPr>
          <w:rFonts w:hint="eastAsia" w:asciiTheme="minorEastAsia" w:hAnsiTheme="minorEastAsia" w:eastAsiaTheme="minorEastAsia" w:cstheme="minorEastAsia"/>
          <w:sz w:val="24"/>
          <w:szCs w:val="24"/>
          <w:u w:val="single"/>
        </w:rPr>
        <w:t xml:space="preserve">   （采购人名称）   </w:t>
      </w:r>
      <w:r>
        <w:rPr>
          <w:rFonts w:hint="eastAsia" w:asciiTheme="minorEastAsia" w:hAnsiTheme="minorEastAsia" w:eastAsiaTheme="minorEastAsia" w:cstheme="minorEastAsia"/>
          <w:sz w:val="24"/>
          <w:szCs w:val="24"/>
          <w:lang w:val="zh-CN"/>
        </w:rPr>
        <w:t>(以下简称：甲方)和</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eastAsia="zh-CN"/>
        </w:rPr>
        <w:t>成交</w:t>
      </w:r>
      <w:r>
        <w:rPr>
          <w:rFonts w:hint="eastAsia" w:asciiTheme="minorEastAsia" w:hAnsiTheme="minorEastAsia" w:eastAsiaTheme="minorEastAsia" w:cstheme="minorEastAsia"/>
          <w:sz w:val="24"/>
          <w:szCs w:val="24"/>
          <w:u w:val="single"/>
        </w:rPr>
        <w:t xml:space="preserve">供应商名称）   </w:t>
      </w:r>
      <w:r>
        <w:rPr>
          <w:rFonts w:hint="eastAsia" w:asciiTheme="minorEastAsia" w:hAnsiTheme="minorEastAsia" w:eastAsiaTheme="minorEastAsia" w:cstheme="minorEastAsia"/>
          <w:sz w:val="24"/>
          <w:szCs w:val="24"/>
          <w:lang w:val="zh-CN"/>
        </w:rPr>
        <w:t>(以下简称：乙方)协商一致，约定以下合同</w:t>
      </w:r>
      <w:r>
        <w:rPr>
          <w:rFonts w:hint="eastAsia" w:asciiTheme="minorEastAsia" w:hAnsiTheme="minorEastAsia" w:eastAsiaTheme="minorEastAsia" w:cstheme="minorEastAsia"/>
          <w:sz w:val="24"/>
          <w:szCs w:val="24"/>
        </w:rPr>
        <w:t>条款，以兹共同遵守、全面履行。</w:t>
      </w:r>
    </w:p>
    <w:p w14:paraId="7AC1B4A9">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sz w:val="24"/>
          <w:szCs w:val="24"/>
        </w:rPr>
      </w:pPr>
      <w:bookmarkStart w:id="17" w:name="_Toc19273"/>
      <w:bookmarkStart w:id="18" w:name="_Toc19139"/>
      <w:bookmarkStart w:id="19" w:name="_Toc22967"/>
      <w:bookmarkStart w:id="20" w:name="_Toc15367"/>
      <w:bookmarkStart w:id="21" w:name="_Toc28855"/>
      <w:bookmarkStart w:id="22" w:name="_Toc20421"/>
      <w:r>
        <w:rPr>
          <w:rFonts w:hint="eastAsia" w:asciiTheme="minorEastAsia" w:hAnsiTheme="minorEastAsia" w:eastAsiaTheme="minorEastAsia" w:cstheme="minorEastAsia"/>
          <w:b/>
          <w:sz w:val="24"/>
          <w:szCs w:val="24"/>
        </w:rPr>
        <w:t>1.1 合同组成部分</w:t>
      </w:r>
      <w:bookmarkEnd w:id="17"/>
      <w:bookmarkEnd w:id="18"/>
      <w:bookmarkEnd w:id="19"/>
      <w:bookmarkEnd w:id="20"/>
      <w:bookmarkEnd w:id="21"/>
      <w:bookmarkEnd w:id="22"/>
    </w:p>
    <w:p w14:paraId="0FB35E15">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DA2696B">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 本合同及其补充合同、变更协议；</w:t>
      </w:r>
    </w:p>
    <w:p w14:paraId="27869904">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1.1.2 </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通知书；</w:t>
      </w:r>
    </w:p>
    <w:p w14:paraId="1ECC4B75">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1.1.3 投标文件（含澄清或者说明文件）；</w:t>
      </w:r>
    </w:p>
    <w:p w14:paraId="4DD456CC">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1.1.4 招标文件（含澄清或者修改文件）；</w:t>
      </w:r>
    </w:p>
    <w:p w14:paraId="2EAB3AD0">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1.1.5 其他相关采购文件。</w:t>
      </w:r>
    </w:p>
    <w:p w14:paraId="38DF4C88">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23" w:name="_Toc18585"/>
      <w:bookmarkStart w:id="24" w:name="_Toc6773"/>
      <w:bookmarkStart w:id="25" w:name="_Toc2918"/>
      <w:bookmarkStart w:id="26" w:name="_Toc22185"/>
      <w:bookmarkStart w:id="27" w:name="_Toc6311"/>
      <w:bookmarkStart w:id="28" w:name="_Toc17642"/>
      <w:r>
        <w:rPr>
          <w:rFonts w:hint="eastAsia" w:asciiTheme="minorEastAsia" w:hAnsiTheme="minorEastAsia" w:eastAsiaTheme="minorEastAsia" w:cstheme="minorEastAsia"/>
          <w:b/>
          <w:sz w:val="24"/>
          <w:szCs w:val="24"/>
        </w:rPr>
        <w:t>1.2 标的</w:t>
      </w:r>
      <w:bookmarkEnd w:id="23"/>
      <w:bookmarkEnd w:id="24"/>
      <w:bookmarkEnd w:id="25"/>
      <w:bookmarkEnd w:id="26"/>
      <w:bookmarkEnd w:id="27"/>
      <w:bookmarkEnd w:id="28"/>
    </w:p>
    <w:p w14:paraId="5D19E40D">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1.2.1 标的名称：</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513B5280">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1.2.2 标的数量：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4E6EF7C8">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1.2.3 标的质量：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32F45501">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29" w:name="_Toc13918"/>
      <w:bookmarkStart w:id="30" w:name="_Toc1386"/>
      <w:bookmarkStart w:id="31" w:name="_Toc21124"/>
      <w:bookmarkStart w:id="32" w:name="_Toc5635"/>
      <w:bookmarkStart w:id="33" w:name="_Toc4929"/>
      <w:r>
        <w:rPr>
          <w:rFonts w:hint="eastAsia" w:asciiTheme="minorEastAsia" w:hAnsiTheme="minorEastAsia" w:eastAsiaTheme="minorEastAsia" w:cstheme="minorEastAsia"/>
          <w:b/>
          <w:sz w:val="24"/>
          <w:szCs w:val="24"/>
        </w:rPr>
        <w:t>1.3 价款</w:t>
      </w:r>
      <w:bookmarkEnd w:id="29"/>
      <w:bookmarkEnd w:id="30"/>
      <w:bookmarkEnd w:id="31"/>
      <w:bookmarkEnd w:id="32"/>
      <w:bookmarkEnd w:id="33"/>
    </w:p>
    <w:p w14:paraId="52DB3E43">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本合同总价为：￥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元（大写：</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元人民币）。</w:t>
      </w:r>
    </w:p>
    <w:p w14:paraId="59E613D2">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分项价格：</w:t>
      </w:r>
    </w:p>
    <w:tbl>
      <w:tblPr>
        <w:tblStyle w:val="2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EA23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45EEFD">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jc w:val="center"/>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序号</w:t>
            </w:r>
          </w:p>
        </w:tc>
        <w:tc>
          <w:tcPr>
            <w:tcW w:w="3402" w:type="dxa"/>
            <w:vAlign w:val="center"/>
          </w:tcPr>
          <w:p w14:paraId="13B4EA3B">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分项名称</w:t>
            </w:r>
          </w:p>
        </w:tc>
        <w:tc>
          <w:tcPr>
            <w:tcW w:w="2552" w:type="dxa"/>
            <w:vAlign w:val="center"/>
          </w:tcPr>
          <w:p w14:paraId="5E2587DB">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jc w:val="center"/>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分项价格</w:t>
            </w:r>
          </w:p>
        </w:tc>
      </w:tr>
      <w:tr w14:paraId="5464A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E7721AB">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3402" w:type="dxa"/>
            <w:vAlign w:val="center"/>
          </w:tcPr>
          <w:p w14:paraId="2BD6F799">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2552" w:type="dxa"/>
            <w:vAlign w:val="center"/>
          </w:tcPr>
          <w:p w14:paraId="06DDD7E3">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r>
      <w:tr w14:paraId="7588C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7EC6861">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3402" w:type="dxa"/>
            <w:vAlign w:val="center"/>
          </w:tcPr>
          <w:p w14:paraId="707D3898">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2552" w:type="dxa"/>
            <w:vAlign w:val="center"/>
          </w:tcPr>
          <w:p w14:paraId="2054762F">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r>
      <w:tr w14:paraId="6FE99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30A69C">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3402" w:type="dxa"/>
            <w:vAlign w:val="center"/>
          </w:tcPr>
          <w:p w14:paraId="108B3EEC">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2552" w:type="dxa"/>
            <w:vAlign w:val="center"/>
          </w:tcPr>
          <w:p w14:paraId="752A63EE">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r>
      <w:tr w14:paraId="33C25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676F55">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3402" w:type="dxa"/>
            <w:vAlign w:val="center"/>
          </w:tcPr>
          <w:p w14:paraId="4C1CD298">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c>
          <w:tcPr>
            <w:tcW w:w="2552" w:type="dxa"/>
            <w:vAlign w:val="center"/>
          </w:tcPr>
          <w:p w14:paraId="428D637B">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r>
      <w:tr w14:paraId="43A19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80D5F42">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总价</w:t>
            </w:r>
          </w:p>
        </w:tc>
        <w:tc>
          <w:tcPr>
            <w:tcW w:w="2552" w:type="dxa"/>
            <w:vAlign w:val="center"/>
          </w:tcPr>
          <w:p w14:paraId="77587F1B">
            <w:pPr>
              <w:pStyle w:val="58"/>
              <w:keepNext w:val="0"/>
              <w:keepLines w:val="0"/>
              <w:pageBreakBefore w:val="0"/>
              <w:widowControl w:val="0"/>
              <w:suppressLineNumbers w:val="0"/>
              <w:kinsoku/>
              <w:wordWrap/>
              <w:overflowPunct/>
              <w:topLinePunct w:val="0"/>
              <w:bidi w:val="0"/>
              <w:snapToGrid/>
              <w:spacing w:before="0" w:beforeAutospacing="0" w:after="0" w:afterAutospacing="0" w:line="440" w:lineRule="exact"/>
              <w:ind w:left="0" w:right="0" w:firstLine="200"/>
              <w:jc w:val="center"/>
              <w:textAlignment w:val="auto"/>
              <w:outlineLvl w:val="9"/>
              <w:rPr>
                <w:rFonts w:hint="eastAsia" w:asciiTheme="minorEastAsia" w:hAnsiTheme="minorEastAsia" w:eastAsiaTheme="minorEastAsia" w:cstheme="minorEastAsia"/>
                <w:color w:val="000000"/>
                <w:sz w:val="24"/>
                <w:szCs w:val="24"/>
              </w:rPr>
            </w:pPr>
          </w:p>
        </w:tc>
      </w:tr>
    </w:tbl>
    <w:p w14:paraId="41486C73">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34" w:name="_Toc1307"/>
      <w:bookmarkStart w:id="35" w:name="_Toc3654"/>
      <w:bookmarkStart w:id="36" w:name="_Toc30158"/>
      <w:bookmarkStart w:id="37" w:name="_Toc26916"/>
      <w:bookmarkStart w:id="38" w:name="_Toc14993"/>
      <w:bookmarkStart w:id="39" w:name="_Toc30506"/>
      <w:r>
        <w:rPr>
          <w:rFonts w:hint="eastAsia" w:asciiTheme="minorEastAsia" w:hAnsiTheme="minorEastAsia" w:eastAsiaTheme="minorEastAsia" w:cstheme="minorEastAsia"/>
          <w:b/>
          <w:sz w:val="24"/>
          <w:szCs w:val="24"/>
        </w:rPr>
        <w:t>1.4 付款方式和发票开具方式</w:t>
      </w:r>
      <w:bookmarkEnd w:id="34"/>
      <w:bookmarkEnd w:id="35"/>
      <w:bookmarkEnd w:id="36"/>
      <w:bookmarkEnd w:id="37"/>
      <w:bookmarkEnd w:id="38"/>
      <w:bookmarkEnd w:id="39"/>
    </w:p>
    <w:p w14:paraId="73AD4AC4">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1.4.1付款方式：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13C8BA86">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1.4.2 发票开具方式：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28BA562E">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40" w:name="_Toc4760"/>
      <w:bookmarkStart w:id="41" w:name="_Toc8772"/>
      <w:bookmarkStart w:id="42" w:name="_Toc31421"/>
      <w:bookmarkStart w:id="43" w:name="_Toc3625"/>
      <w:bookmarkStart w:id="44" w:name="_Toc1486"/>
      <w:bookmarkStart w:id="45" w:name="_Toc11108"/>
      <w:r>
        <w:rPr>
          <w:rFonts w:hint="eastAsia" w:asciiTheme="minorEastAsia" w:hAnsiTheme="minorEastAsia" w:eastAsiaTheme="minorEastAsia" w:cstheme="minorEastAsia"/>
          <w:b/>
          <w:sz w:val="24"/>
          <w:szCs w:val="24"/>
        </w:rPr>
        <w:t>1.5 履行期限、地点和方式</w:t>
      </w:r>
      <w:bookmarkEnd w:id="40"/>
      <w:bookmarkEnd w:id="41"/>
      <w:bookmarkEnd w:id="42"/>
      <w:bookmarkEnd w:id="43"/>
      <w:bookmarkEnd w:id="44"/>
      <w:bookmarkEnd w:id="45"/>
    </w:p>
    <w:p w14:paraId="7379ECB2">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1.5.1 履行期限：</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46C38858">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1.5.2 履行地点：</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061913AB">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1.5.3 履行方式：</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14:paraId="7F3F9CBA">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sz w:val="24"/>
          <w:szCs w:val="24"/>
          <w:u w:val="single"/>
        </w:rPr>
      </w:pPr>
      <w:bookmarkStart w:id="46" w:name="_Toc24662"/>
      <w:bookmarkStart w:id="47" w:name="_Toc3079"/>
      <w:bookmarkStart w:id="48" w:name="_Toc8586"/>
      <w:bookmarkStart w:id="49" w:name="_Toc2375"/>
      <w:bookmarkStart w:id="50" w:name="_Toc31307"/>
      <w:bookmarkStart w:id="51" w:name="_Toc5698"/>
      <w:r>
        <w:rPr>
          <w:rFonts w:hint="eastAsia" w:asciiTheme="minorEastAsia" w:hAnsiTheme="minorEastAsia" w:eastAsiaTheme="minorEastAsia" w:cstheme="minorEastAsia"/>
          <w:b/>
          <w:sz w:val="24"/>
          <w:szCs w:val="24"/>
        </w:rPr>
        <w:t>1.6 违约责任</w:t>
      </w:r>
      <w:bookmarkEnd w:id="46"/>
      <w:bookmarkEnd w:id="47"/>
      <w:bookmarkEnd w:id="48"/>
      <w:bookmarkEnd w:id="49"/>
      <w:bookmarkEnd w:id="50"/>
      <w:bookmarkEnd w:id="51"/>
    </w:p>
    <w:p w14:paraId="342AAF16">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1.6.1 除不可抗力外，如果乙方没有按照本合同约定的期限、地点和方式履行，那么甲方可要求乙方支付违约金，违约金按每迟延履行一日的应提供而未提供服务价格的</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%计算，最高限额为本合同总价的</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%；迟延履行的违约金计算数额达到前述最高限额之日起，甲方有权在要求乙方支付违约金的同时，书面通知乙方解除本合同；</w:t>
      </w:r>
    </w:p>
    <w:p w14:paraId="57D922B4">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1.6.2 除不可抗力外，如果甲方没有按照本合同约定的付款方式付款，那么乙方可要求甲方支付违约金，违约金按每迟延付款一日的应付而未付款的</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%计算，最高限额为本合同总价的</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%；迟延付款的违约金计算数额达到前述最高限额之日起，乙方有权在要求甲方支付违约金的同时，书面通知甲方解除本合同；</w:t>
      </w:r>
    </w:p>
    <w:p w14:paraId="2CD5A305">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11A8B58B">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E57D210">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1962938">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1.6.6 如果出现政府采购监督管理部门在处理投诉事项期间，书面通知甲方暂停采购活动的情形，或者询问或质疑事项可能影响</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结果的，导致甲方中止履行合同的情形，均不视为甲方违约。</w:t>
      </w:r>
    </w:p>
    <w:p w14:paraId="47443007">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52" w:name="_Toc32454"/>
      <w:bookmarkStart w:id="53" w:name="_Toc13058"/>
      <w:bookmarkStart w:id="54" w:name="_Toc18683"/>
      <w:bookmarkStart w:id="55" w:name="_Toc30329"/>
      <w:bookmarkStart w:id="56" w:name="_Toc9497"/>
      <w:bookmarkStart w:id="57" w:name="_Toc26807"/>
      <w:r>
        <w:rPr>
          <w:rFonts w:hint="eastAsia" w:asciiTheme="minorEastAsia" w:hAnsiTheme="minorEastAsia" w:eastAsiaTheme="minorEastAsia" w:cstheme="minorEastAsia"/>
          <w:b/>
          <w:sz w:val="24"/>
          <w:szCs w:val="24"/>
        </w:rPr>
        <w:t>1.7 合同争议的解决</w:t>
      </w:r>
      <w:bookmarkEnd w:id="52"/>
      <w:bookmarkEnd w:id="53"/>
      <w:bookmarkEnd w:id="54"/>
      <w:bookmarkEnd w:id="55"/>
      <w:bookmarkEnd w:id="56"/>
      <w:bookmarkEnd w:id="57"/>
    </w:p>
    <w:p w14:paraId="4E1462C8">
      <w:pPr>
        <w:keepNext w:val="0"/>
        <w:keepLines w:val="0"/>
        <w:pageBreakBefore w:val="0"/>
        <w:widowControl w:val="0"/>
        <w:kinsoku/>
        <w:wordWrap/>
        <w:overflowPunct/>
        <w:topLinePunct w:val="0"/>
        <w:bidi w:val="0"/>
        <w:snapToGrid/>
        <w:spacing w:line="440" w:lineRule="exact"/>
        <w:ind w:right="-420" w:rightChars="-200"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本合同履行过程中发生的任何争议，双方当事人均可通过和解或者调解解决；不愿和解、调解或者和解、调解不成的，可以选择下列第</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种方式解决：</w:t>
      </w:r>
    </w:p>
    <w:p w14:paraId="6FF26D1C">
      <w:pPr>
        <w:keepNext w:val="0"/>
        <w:keepLines w:val="0"/>
        <w:pageBreakBefore w:val="0"/>
        <w:widowControl w:val="0"/>
        <w:kinsoku/>
        <w:wordWrap/>
        <w:overflowPunct/>
        <w:topLinePunct w:val="0"/>
        <w:bidi w:val="0"/>
        <w:snapToGrid/>
        <w:spacing w:line="440" w:lineRule="exact"/>
        <w:ind w:right="-420" w:rightChars="-200"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1.7.1 将争议提交</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仲裁委员会依申请仲裁时其现行有效的仲裁规则裁决；</w:t>
      </w:r>
    </w:p>
    <w:p w14:paraId="7E435C1B">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1.7.2 向</w:t>
      </w:r>
      <w:r>
        <w:rPr>
          <w:rFonts w:hint="eastAsia" w:asciiTheme="minorEastAsia" w:hAnsiTheme="minorEastAsia" w:eastAsiaTheme="minorEastAsia" w:cstheme="minorEastAsia"/>
          <w:sz w:val="24"/>
          <w:szCs w:val="24"/>
          <w:u w:val="single"/>
        </w:rPr>
        <w:t xml:space="preserve">   （被告住所地、合同履行地、合同签订地、原告住所地、标的物所在地等与争议有实际联系的地点中选出的人民法院名称）    </w:t>
      </w:r>
      <w:r>
        <w:rPr>
          <w:rFonts w:hint="eastAsia" w:asciiTheme="minorEastAsia" w:hAnsiTheme="minorEastAsia" w:eastAsiaTheme="minorEastAsia" w:cstheme="minorEastAsia"/>
          <w:sz w:val="24"/>
          <w:szCs w:val="24"/>
        </w:rPr>
        <w:t>人民法院起诉。</w:t>
      </w:r>
    </w:p>
    <w:p w14:paraId="05CBE935">
      <w:pPr>
        <w:keepNext w:val="0"/>
        <w:keepLines w:val="0"/>
        <w:pageBreakBefore w:val="0"/>
        <w:widowControl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58" w:name="_Toc26227"/>
      <w:bookmarkStart w:id="59" w:name="_Toc23784"/>
      <w:bookmarkStart w:id="60" w:name="_Toc16417"/>
      <w:bookmarkStart w:id="61" w:name="_Toc12273"/>
      <w:bookmarkStart w:id="62" w:name="_Toc6273"/>
      <w:bookmarkStart w:id="63" w:name="_Toc15827"/>
      <w:r>
        <w:rPr>
          <w:rFonts w:hint="eastAsia" w:asciiTheme="minorEastAsia" w:hAnsiTheme="minorEastAsia" w:eastAsiaTheme="minorEastAsia" w:cstheme="minorEastAsia"/>
          <w:b/>
          <w:sz w:val="24"/>
          <w:szCs w:val="24"/>
        </w:rPr>
        <w:t>1.8 合同生效</w:t>
      </w:r>
      <w:bookmarkEnd w:id="58"/>
      <w:bookmarkEnd w:id="59"/>
      <w:bookmarkEnd w:id="60"/>
      <w:bookmarkEnd w:id="61"/>
      <w:bookmarkEnd w:id="62"/>
      <w:bookmarkEnd w:id="63"/>
    </w:p>
    <w:p w14:paraId="143691B0">
      <w:pPr>
        <w:keepNext w:val="0"/>
        <w:keepLines w:val="0"/>
        <w:pageBreakBefore w:val="0"/>
        <w:widowControl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sz w:val="24"/>
          <w:szCs w:val="24"/>
        </w:rPr>
        <w:t>本合同自双方当事人盖章或者签字时生效。</w:t>
      </w:r>
    </w:p>
    <w:p w14:paraId="677E8212">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p>
    <w:p w14:paraId="1E0144D3">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b/>
          <w:sz w:val="24"/>
          <w:szCs w:val="24"/>
          <w:lang w:val="zh-CN"/>
        </w:rPr>
        <w:t>甲方</w:t>
      </w:r>
      <w:r>
        <w:rPr>
          <w:rFonts w:hint="eastAsia" w:asciiTheme="minorEastAsia" w:hAnsiTheme="minorEastAsia" w:eastAsiaTheme="minorEastAsia" w:cstheme="minorEastAsia"/>
          <w:sz w:val="24"/>
          <w:szCs w:val="24"/>
          <w:lang w:val="zh-CN"/>
        </w:rPr>
        <w:t xml:space="preserve">：                             </w:t>
      </w:r>
      <w:r>
        <w:rPr>
          <w:rFonts w:hint="eastAsia" w:asciiTheme="minorEastAsia" w:hAnsiTheme="minorEastAsia" w:eastAsiaTheme="minorEastAsia" w:cstheme="minorEastAsia"/>
          <w:b/>
          <w:sz w:val="24"/>
          <w:szCs w:val="24"/>
          <w:lang w:val="zh-CN"/>
        </w:rPr>
        <w:t xml:space="preserve">      乙方</w:t>
      </w:r>
      <w:r>
        <w:rPr>
          <w:rFonts w:hint="eastAsia" w:asciiTheme="minorEastAsia" w:hAnsiTheme="minorEastAsia" w:eastAsiaTheme="minorEastAsia" w:cstheme="minorEastAsia"/>
          <w:sz w:val="24"/>
          <w:szCs w:val="24"/>
          <w:lang w:val="zh-CN"/>
        </w:rPr>
        <w:t>：</w:t>
      </w:r>
    </w:p>
    <w:p w14:paraId="48A85366">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统一社会信用代码：                        统一社会信用代码或身份证号码：</w:t>
      </w:r>
    </w:p>
    <w:p w14:paraId="274A6CED">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住所：                                   住所：</w:t>
      </w:r>
    </w:p>
    <w:p w14:paraId="0B9F3F5B">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法定代表人或                             法定代表人</w:t>
      </w:r>
    </w:p>
    <w:p w14:paraId="29AA9DB0">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 xml:space="preserve">授权代表（签字）：                        或授权代表（签字）: </w:t>
      </w:r>
    </w:p>
    <w:p w14:paraId="0DE2D153">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联系人：                                 联系人：</w:t>
      </w:r>
    </w:p>
    <w:p w14:paraId="22029BAB">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约定送达地址：                           约定送达地址：</w:t>
      </w:r>
    </w:p>
    <w:p w14:paraId="2CD4761D">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邮政编码：                               邮政编码：</w:t>
      </w:r>
    </w:p>
    <w:p w14:paraId="385C3977">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 xml:space="preserve">电话:                                    电话: </w:t>
      </w:r>
    </w:p>
    <w:p w14:paraId="31BAD479">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lang w:val="zh-CN"/>
        </w:rPr>
        <w:t>传真:                                    传真:</w:t>
      </w:r>
    </w:p>
    <w:p w14:paraId="3631261B">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zh-CN"/>
        </w:rPr>
        <w:t>电子邮箱：                               电子邮箱：</w:t>
      </w:r>
    </w:p>
    <w:p w14:paraId="10B9D4AD">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开户银行：                               开户银行： </w:t>
      </w:r>
    </w:p>
    <w:p w14:paraId="6B1106CF">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开户名称：                               开户名称： </w:t>
      </w:r>
    </w:p>
    <w:p w14:paraId="5BCE7273">
      <w:pPr>
        <w:keepNext w:val="0"/>
        <w:keepLines w:val="0"/>
        <w:pageBreakBefore w:val="0"/>
        <w:widowControl w:val="0"/>
        <w:kinsoku/>
        <w:wordWrap/>
        <w:overflowPunct/>
        <w:topLinePunct w:val="0"/>
        <w:autoSpaceDE w:val="0"/>
        <w:autoSpaceDN w:val="0"/>
        <w:bidi w:val="0"/>
        <w:adjustRightInd w:val="0"/>
        <w:snapToGrid/>
        <w:spacing w:line="440" w:lineRule="exact"/>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开户账号：</w:t>
      </w:r>
      <w:r>
        <w:rPr>
          <w:rFonts w:hint="eastAsia" w:asciiTheme="minorEastAsia" w:hAnsiTheme="minorEastAsia" w:eastAsiaTheme="minorEastAsia" w:cstheme="minorEastAsia"/>
          <w:sz w:val="24"/>
          <w:szCs w:val="24"/>
          <w:lang w:val="zh-CN"/>
        </w:rPr>
        <w:t xml:space="preserve">                               </w:t>
      </w:r>
      <w:r>
        <w:rPr>
          <w:rFonts w:hint="eastAsia" w:asciiTheme="minorEastAsia" w:hAnsiTheme="minorEastAsia" w:eastAsiaTheme="minorEastAsia" w:cstheme="minorEastAsia"/>
          <w:sz w:val="24"/>
          <w:szCs w:val="24"/>
        </w:rPr>
        <w:t>开户账号：</w:t>
      </w:r>
    </w:p>
    <w:p w14:paraId="432F2867">
      <w:pPr>
        <w:pStyle w:val="48"/>
        <w:rPr>
          <w:rFonts w:hint="eastAsia" w:asciiTheme="minorEastAsia" w:hAnsiTheme="minorEastAsia" w:eastAsiaTheme="minorEastAsia" w:cstheme="minorEastAsia"/>
          <w:sz w:val="24"/>
        </w:rPr>
      </w:pPr>
    </w:p>
    <w:p w14:paraId="1FE632D0">
      <w:pPr>
        <w:pStyle w:val="48"/>
        <w:rPr>
          <w:rFonts w:hint="eastAsia" w:asciiTheme="minorEastAsia" w:hAnsiTheme="minorEastAsia" w:eastAsiaTheme="minorEastAsia" w:cstheme="minorEastAsia"/>
          <w:sz w:val="24"/>
        </w:rPr>
      </w:pPr>
    </w:p>
    <w:p w14:paraId="363AF122">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rPr>
      </w:pPr>
    </w:p>
    <w:p w14:paraId="24334B78">
      <w:pPr>
        <w:pStyle w:val="49"/>
        <w:keepNext w:val="0"/>
        <w:keepLines w:val="0"/>
        <w:pageBreakBefore w:val="0"/>
        <w:kinsoku/>
        <w:wordWrap/>
        <w:overflowPunct/>
        <w:topLinePunct w:val="0"/>
        <w:bidi w:val="0"/>
        <w:snapToGrid/>
        <w:spacing w:line="440" w:lineRule="exact"/>
        <w:ind w:firstLine="200"/>
        <w:jc w:val="center"/>
        <w:textAlignment w:val="auto"/>
        <w:outlineLvl w:val="9"/>
        <w:rPr>
          <w:rFonts w:hint="eastAsia" w:asciiTheme="minorEastAsia" w:hAnsiTheme="minorEastAsia" w:eastAsiaTheme="minorEastAsia" w:cstheme="minorEastAsia"/>
          <w:b/>
          <w:sz w:val="24"/>
          <w:szCs w:val="24"/>
        </w:rPr>
      </w:pPr>
      <w:bookmarkStart w:id="64" w:name="_Toc30050"/>
      <w:bookmarkStart w:id="65" w:name="_Toc27168"/>
      <w:bookmarkStart w:id="66" w:name="_Toc12306"/>
      <w:bookmarkStart w:id="67" w:name="_Toc24019"/>
      <w:bookmarkStart w:id="68" w:name="_Toc18820"/>
    </w:p>
    <w:p w14:paraId="769DBD1A">
      <w:pP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br w:type="page"/>
      </w:r>
    </w:p>
    <w:p w14:paraId="7F647FC2">
      <w:pPr>
        <w:pStyle w:val="49"/>
        <w:keepNext w:val="0"/>
        <w:keepLines w:val="0"/>
        <w:pageBreakBefore w:val="0"/>
        <w:kinsoku/>
        <w:wordWrap/>
        <w:overflowPunct/>
        <w:topLinePunct w:val="0"/>
        <w:bidi w:val="0"/>
        <w:snapToGrid/>
        <w:spacing w:line="440" w:lineRule="exact"/>
        <w:ind w:firstLine="200"/>
        <w:jc w:val="center"/>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第二部分 合同一般条款</w:t>
      </w:r>
      <w:bookmarkEnd w:id="64"/>
      <w:bookmarkEnd w:id="65"/>
      <w:bookmarkEnd w:id="66"/>
      <w:bookmarkEnd w:id="67"/>
      <w:bookmarkEnd w:id="68"/>
    </w:p>
    <w:p w14:paraId="19E31AE0">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69" w:name="_Toc5228"/>
      <w:bookmarkStart w:id="70" w:name="_Ref467379195"/>
      <w:bookmarkStart w:id="71" w:name="_Ref467378499"/>
      <w:bookmarkStart w:id="72" w:name="_Toc22671"/>
      <w:bookmarkStart w:id="73" w:name="_Toc14021"/>
      <w:bookmarkStart w:id="74" w:name="_Ref467379205"/>
      <w:bookmarkStart w:id="75" w:name="_Toc19680"/>
      <w:bookmarkStart w:id="76" w:name="_Toc279701240"/>
      <w:bookmarkStart w:id="77" w:name="_Toc31297"/>
      <w:bookmarkStart w:id="78" w:name="_Ref467379214"/>
      <w:bookmarkStart w:id="79" w:name="_Ref467379094"/>
      <w:bookmarkStart w:id="80" w:name="_Toc259093669"/>
      <w:bookmarkStart w:id="81" w:name="_Ref467378463"/>
      <w:bookmarkStart w:id="82" w:name="_Toc487900349"/>
      <w:bookmarkStart w:id="83" w:name="_Ref467378404"/>
      <w:bookmarkStart w:id="84" w:name="_Toc25079"/>
      <w:bookmarkStart w:id="85" w:name="_Ref467379109"/>
      <w:bookmarkStart w:id="86" w:name="_Ref467379225"/>
      <w:bookmarkStart w:id="87" w:name="_Ref467379101"/>
      <w:r>
        <w:rPr>
          <w:rFonts w:hint="eastAsia" w:asciiTheme="minorEastAsia" w:hAnsiTheme="minorEastAsia" w:eastAsiaTheme="minorEastAsia" w:cstheme="minorEastAsia"/>
          <w:b/>
          <w:sz w:val="24"/>
          <w:szCs w:val="24"/>
        </w:rPr>
        <w:t>2.1 定义</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p w14:paraId="24440B5A">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本合同中的下列词语应按以下内容进行解释：</w:t>
      </w:r>
    </w:p>
    <w:p w14:paraId="57AA6AE8">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2.1.1 “合同”系指采购人和</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供应商签订的载明双方当事人所达成的协议，并包括所有的附件、附录和构成合同的其他文件。</w:t>
      </w:r>
    </w:p>
    <w:p w14:paraId="0972FCDE">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2.1.2 “合同价”系指根据合同约定，</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供应商在完全履行合同义务后，采购人应支付给</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供应商的价格。</w:t>
      </w:r>
    </w:p>
    <w:p w14:paraId="340C9D22">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2.1.3 “服务”系指</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供应商根据合同约定应向采购人履行的除货物和工程以外的其他政府采购对象，包括采购人自身需要的服务和向社会公众提供的公共服务。</w:t>
      </w:r>
    </w:p>
    <w:p w14:paraId="51C33277">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bookmarkStart w:id="88" w:name="_Ref467378840"/>
      <w:r>
        <w:rPr>
          <w:rFonts w:hint="eastAsia" w:asciiTheme="minorEastAsia" w:hAnsiTheme="minorEastAsia" w:eastAsiaTheme="minorEastAsia" w:cstheme="minorEastAsia"/>
          <w:sz w:val="24"/>
          <w:szCs w:val="24"/>
        </w:rPr>
        <w:t>2.1.4 “甲方”系指与</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供应商签署合同的采购人</w:t>
      </w:r>
      <w:bookmarkEnd w:id="88"/>
      <w:r>
        <w:rPr>
          <w:rFonts w:hint="eastAsia" w:asciiTheme="minorEastAsia" w:hAnsiTheme="minorEastAsia" w:eastAsiaTheme="minorEastAsia" w:cstheme="minorEastAsia"/>
          <w:sz w:val="24"/>
          <w:szCs w:val="24"/>
        </w:rPr>
        <w:t>；采购人委托采购代理机构代表其与乙方签订合同的，采购人的授权委托书作为合同附件。</w:t>
      </w:r>
    </w:p>
    <w:p w14:paraId="28D36AAC">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bookmarkStart w:id="89" w:name="_Ref467379400"/>
      <w:r>
        <w:rPr>
          <w:rFonts w:hint="eastAsia" w:asciiTheme="minorEastAsia" w:hAnsiTheme="minorEastAsia" w:eastAsiaTheme="minorEastAsia" w:cstheme="minorEastAsia"/>
          <w:sz w:val="24"/>
          <w:szCs w:val="24"/>
        </w:rPr>
        <w:t>2.1.5 “乙方”系指根据合同约定提供服务的</w:t>
      </w:r>
      <w:r>
        <w:rPr>
          <w:rFonts w:hint="eastAsia" w:asciiTheme="minorEastAsia" w:hAnsiTheme="minorEastAsia" w:eastAsiaTheme="minorEastAsia" w:cstheme="minorEastAsia"/>
          <w:sz w:val="24"/>
          <w:szCs w:val="24"/>
          <w:lang w:eastAsia="zh-CN"/>
        </w:rPr>
        <w:t>成交</w:t>
      </w:r>
      <w:r>
        <w:rPr>
          <w:rFonts w:hint="eastAsia" w:asciiTheme="minorEastAsia" w:hAnsiTheme="minorEastAsia" w:eastAsiaTheme="minorEastAsia" w:cstheme="minorEastAsia"/>
          <w:sz w:val="24"/>
          <w:szCs w:val="24"/>
        </w:rPr>
        <w:t>供应商</w:t>
      </w:r>
      <w:bookmarkEnd w:id="89"/>
      <w:r>
        <w:rPr>
          <w:rFonts w:hint="eastAsia" w:asciiTheme="minorEastAsia" w:hAnsiTheme="minorEastAsia" w:eastAsiaTheme="minorEastAsia" w:cstheme="minorEastAsia"/>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376EB0C">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bookmarkStart w:id="90" w:name="_Ref467379436"/>
      <w:r>
        <w:rPr>
          <w:rFonts w:hint="eastAsia" w:asciiTheme="minorEastAsia" w:hAnsiTheme="minorEastAsia" w:eastAsiaTheme="minorEastAsia" w:cstheme="minorEastAsia"/>
          <w:sz w:val="24"/>
          <w:szCs w:val="24"/>
        </w:rPr>
        <w:t>2.1.6 “现场”系指合同约定提供服务的地点。</w:t>
      </w:r>
      <w:bookmarkEnd w:id="90"/>
    </w:p>
    <w:p w14:paraId="6EDFDA78">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91" w:name="_Toc31402"/>
      <w:bookmarkStart w:id="92" w:name="_Toc3769"/>
      <w:bookmarkStart w:id="93" w:name="_Toc259093670"/>
      <w:bookmarkStart w:id="94" w:name="_Toc279701241"/>
      <w:bookmarkStart w:id="95" w:name="_Toc487900350"/>
      <w:bookmarkStart w:id="96" w:name="_Toc12047"/>
      <w:bookmarkStart w:id="97" w:name="_Toc19539"/>
      <w:bookmarkStart w:id="98" w:name="_Toc16752"/>
      <w:bookmarkStart w:id="99" w:name="_Toc23289"/>
      <w:r>
        <w:rPr>
          <w:rFonts w:hint="eastAsia" w:asciiTheme="minorEastAsia" w:hAnsiTheme="minorEastAsia" w:eastAsiaTheme="minorEastAsia" w:cstheme="minorEastAsia"/>
          <w:b/>
          <w:sz w:val="24"/>
          <w:szCs w:val="24"/>
        </w:rPr>
        <w:t>2.2 技术规范</w:t>
      </w:r>
      <w:bookmarkEnd w:id="91"/>
      <w:bookmarkEnd w:id="92"/>
      <w:bookmarkEnd w:id="93"/>
      <w:bookmarkEnd w:id="94"/>
      <w:bookmarkEnd w:id="95"/>
      <w:bookmarkEnd w:id="96"/>
      <w:bookmarkEnd w:id="97"/>
      <w:bookmarkEnd w:id="98"/>
      <w:bookmarkEnd w:id="99"/>
    </w:p>
    <w:p w14:paraId="1EFC1685">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F32FB2A">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00" w:name="_Toc4133"/>
      <w:bookmarkStart w:id="101" w:name="_Toc13673"/>
      <w:bookmarkStart w:id="102" w:name="_Toc259093671"/>
      <w:bookmarkStart w:id="103" w:name="_Toc27945"/>
      <w:bookmarkStart w:id="104" w:name="_Toc487900351"/>
      <w:bookmarkStart w:id="105" w:name="_Toc279701242"/>
      <w:bookmarkStart w:id="106" w:name="_Toc8980"/>
      <w:bookmarkStart w:id="107" w:name="_Toc9161"/>
      <w:bookmarkStart w:id="108" w:name="_Toc12412"/>
      <w:r>
        <w:rPr>
          <w:rFonts w:hint="eastAsia" w:asciiTheme="minorEastAsia" w:hAnsiTheme="minorEastAsia" w:eastAsiaTheme="minorEastAsia" w:cstheme="minorEastAsia"/>
          <w:b/>
          <w:sz w:val="24"/>
          <w:szCs w:val="24"/>
        </w:rPr>
        <w:t>2.3 知识产权</w:t>
      </w:r>
      <w:bookmarkEnd w:id="100"/>
      <w:bookmarkEnd w:id="101"/>
      <w:bookmarkEnd w:id="102"/>
      <w:bookmarkEnd w:id="103"/>
      <w:bookmarkEnd w:id="104"/>
      <w:bookmarkEnd w:id="105"/>
      <w:bookmarkEnd w:id="106"/>
      <w:bookmarkEnd w:id="107"/>
      <w:bookmarkEnd w:id="108"/>
    </w:p>
    <w:p w14:paraId="1B976EAA">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95B79D9">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2.3.2 合同涉及技术成果的归属和收益的分成办法的，详见</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i w:val="0"/>
          <w:iCs/>
          <w:sz w:val="24"/>
          <w:szCs w:val="24"/>
        </w:rPr>
        <w:t>。</w:t>
      </w:r>
    </w:p>
    <w:p w14:paraId="66F7606B">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2.4 履约检查和问题反馈</w:t>
      </w:r>
    </w:p>
    <w:p w14:paraId="084C5296">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bookmarkStart w:id="109" w:name="_Ref467379657"/>
      <w:r>
        <w:rPr>
          <w:rFonts w:hint="eastAsia" w:asciiTheme="minorEastAsia" w:hAnsiTheme="minorEastAsia" w:eastAsiaTheme="minorEastAsia" w:cstheme="minorEastAsia"/>
          <w:sz w:val="24"/>
          <w:szCs w:val="24"/>
        </w:rPr>
        <w:t>2.4.1</w:t>
      </w:r>
      <w:bookmarkEnd w:id="109"/>
      <w:bookmarkStart w:id="110" w:name="_Toc186431854"/>
      <w:bookmarkStart w:id="111" w:name="_Toc259093676"/>
      <w:bookmarkStart w:id="112" w:name="_Toc279701247"/>
      <w:bookmarkStart w:id="113" w:name="_Ref467379807"/>
      <w:bookmarkStart w:id="114" w:name="_Toc487900357"/>
      <w:bookmarkStart w:id="115" w:name="_Ref467379793"/>
      <w:r>
        <w:rPr>
          <w:rFonts w:hint="eastAsia" w:asciiTheme="minorEastAsia" w:hAnsiTheme="minorEastAsia" w:eastAsiaTheme="minorEastAsia" w:cstheme="minorEastAsia"/>
          <w:sz w:val="24"/>
          <w:szCs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0D9795B7">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2.4.2 合同履行期间，甲方有权将履行过程中出现的问题反馈给乙方，双方当事人应以书面形式约定需要完善和改进的内容</w:t>
      </w:r>
      <w:bookmarkEnd w:id="110"/>
      <w:bookmarkStart w:id="116" w:name="_Toc186431855"/>
      <w:r>
        <w:rPr>
          <w:rFonts w:hint="eastAsia" w:asciiTheme="minorEastAsia" w:hAnsiTheme="minorEastAsia" w:eastAsiaTheme="minorEastAsia" w:cstheme="minorEastAsia"/>
          <w:sz w:val="24"/>
          <w:szCs w:val="24"/>
        </w:rPr>
        <w:t>。</w:t>
      </w:r>
    </w:p>
    <w:bookmarkEnd w:id="116"/>
    <w:p w14:paraId="3BDDBEA3">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17" w:name="_Toc31233"/>
      <w:bookmarkStart w:id="118" w:name="_Toc15447"/>
      <w:bookmarkStart w:id="119" w:name="_Toc22011"/>
      <w:bookmarkStart w:id="120" w:name="_Toc26555"/>
      <w:bookmarkStart w:id="121" w:name="_Toc7401"/>
      <w:bookmarkStart w:id="122" w:name="_Toc32670"/>
      <w:r>
        <w:rPr>
          <w:rFonts w:hint="eastAsia" w:asciiTheme="minorEastAsia" w:hAnsiTheme="minorEastAsia" w:eastAsiaTheme="minorEastAsia" w:cstheme="minorEastAsia"/>
          <w:b/>
          <w:sz w:val="24"/>
          <w:szCs w:val="24"/>
        </w:rPr>
        <w:t>2.5 结算方式和付款条件</w:t>
      </w:r>
      <w:bookmarkEnd w:id="111"/>
      <w:bookmarkEnd w:id="112"/>
      <w:bookmarkEnd w:id="113"/>
      <w:bookmarkEnd w:id="114"/>
      <w:bookmarkEnd w:id="115"/>
      <w:bookmarkEnd w:id="117"/>
      <w:bookmarkEnd w:id="118"/>
      <w:bookmarkEnd w:id="119"/>
      <w:bookmarkEnd w:id="120"/>
      <w:bookmarkEnd w:id="121"/>
      <w:bookmarkEnd w:id="122"/>
    </w:p>
    <w:p w14:paraId="7BB02D08">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详见</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w:t>
      </w:r>
    </w:p>
    <w:p w14:paraId="3A82B423">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23" w:name="_Ref467379863"/>
      <w:bookmarkStart w:id="124" w:name="_Toc487900358"/>
      <w:bookmarkStart w:id="125" w:name="_Toc279701248"/>
      <w:bookmarkStart w:id="126" w:name="_Ref467379923"/>
      <w:bookmarkStart w:id="127" w:name="_Ref467379852"/>
      <w:bookmarkStart w:id="128" w:name="_Toc259093677"/>
      <w:bookmarkStart w:id="129" w:name="_Toc13467"/>
      <w:bookmarkStart w:id="130" w:name="_Toc18990"/>
      <w:bookmarkStart w:id="131" w:name="_Toc30507"/>
      <w:bookmarkStart w:id="132" w:name="_Toc16163"/>
      <w:bookmarkStart w:id="133" w:name="_Toc13154"/>
      <w:bookmarkStart w:id="134" w:name="_Toc14447"/>
      <w:r>
        <w:rPr>
          <w:rFonts w:hint="eastAsia" w:asciiTheme="minorEastAsia" w:hAnsiTheme="minorEastAsia" w:eastAsiaTheme="minorEastAsia" w:cstheme="minorEastAsia"/>
          <w:b/>
          <w:sz w:val="24"/>
          <w:szCs w:val="24"/>
        </w:rPr>
        <w:t>2.6 技术资料</w:t>
      </w:r>
      <w:bookmarkEnd w:id="123"/>
      <w:bookmarkEnd w:id="124"/>
      <w:bookmarkEnd w:id="125"/>
      <w:bookmarkEnd w:id="126"/>
      <w:bookmarkEnd w:id="127"/>
      <w:bookmarkEnd w:id="128"/>
      <w:r>
        <w:rPr>
          <w:rFonts w:hint="eastAsia" w:asciiTheme="minorEastAsia" w:hAnsiTheme="minorEastAsia" w:eastAsiaTheme="minorEastAsia" w:cstheme="minorEastAsia"/>
          <w:b/>
          <w:sz w:val="24"/>
          <w:szCs w:val="24"/>
        </w:rPr>
        <w:t>和保密义务</w:t>
      </w:r>
      <w:bookmarkEnd w:id="129"/>
      <w:bookmarkEnd w:id="130"/>
      <w:bookmarkEnd w:id="131"/>
      <w:bookmarkEnd w:id="132"/>
      <w:bookmarkEnd w:id="133"/>
      <w:bookmarkEnd w:id="134"/>
    </w:p>
    <w:p w14:paraId="70A44B27">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2.6.1 乙方有权依据合同约定和项目需要，向甲方了解有关情况，调阅有关资料等，甲方应予积极配合；</w:t>
      </w:r>
    </w:p>
    <w:p w14:paraId="5D8AD385">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2.6.2 乙方有义务妥善保管和保护由甲方提供的前款信息和资料等；</w:t>
      </w:r>
    </w:p>
    <w:p w14:paraId="062B734B">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48D2826">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35" w:name="_Toc19069"/>
      <w:bookmarkStart w:id="136" w:name="_Toc27320"/>
      <w:bookmarkStart w:id="137" w:name="_Toc279701252"/>
      <w:bookmarkStart w:id="138" w:name="_Toc487900362"/>
      <w:bookmarkStart w:id="139" w:name="_Toc259093681"/>
      <w:r>
        <w:rPr>
          <w:rFonts w:hint="eastAsia" w:asciiTheme="minorEastAsia" w:hAnsiTheme="minorEastAsia" w:eastAsiaTheme="minorEastAsia" w:cstheme="minorEastAsia"/>
          <w:b/>
          <w:sz w:val="24"/>
          <w:szCs w:val="24"/>
        </w:rPr>
        <w:t>2.7 质量保证</w:t>
      </w:r>
      <w:bookmarkEnd w:id="135"/>
      <w:bookmarkEnd w:id="136"/>
    </w:p>
    <w:p w14:paraId="58FE9CC6">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2.7.1 乙方应建立和完善履行合同的内部质量保证体系，并提供相关内部规章制度给甲方，以便甲方进行监督检查；</w:t>
      </w:r>
    </w:p>
    <w:p w14:paraId="2AFB003B">
      <w:pPr>
        <w:keepNext w:val="0"/>
        <w:keepLines w:val="0"/>
        <w:pageBreakBefore w:val="0"/>
        <w:kinsoku/>
        <w:wordWrap/>
        <w:overflowPunct/>
        <w:topLinePunct w:val="0"/>
        <w:bidi w:val="0"/>
        <w:snapToGrid/>
        <w:spacing w:line="440" w:lineRule="exact"/>
        <w:ind w:right="563" w:rightChars="268"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2.7.2 乙方应保证履行合同的人员数量和素质、软件和硬件设备的配置、场地、环境和设施等满足全面履行合同的要求，并应接受甲方的监督检查。</w:t>
      </w:r>
    </w:p>
    <w:p w14:paraId="01F566AD">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40" w:name="_Toc22267"/>
      <w:bookmarkStart w:id="141" w:name="_Toc9600"/>
      <w:r>
        <w:rPr>
          <w:rFonts w:hint="eastAsia" w:asciiTheme="minorEastAsia" w:hAnsiTheme="minorEastAsia" w:eastAsiaTheme="minorEastAsia" w:cstheme="minorEastAsia"/>
          <w:b/>
          <w:sz w:val="24"/>
          <w:szCs w:val="24"/>
        </w:rPr>
        <w:t>2.8 延迟</w:t>
      </w:r>
      <w:bookmarkEnd w:id="137"/>
      <w:bookmarkEnd w:id="138"/>
      <w:bookmarkEnd w:id="139"/>
      <w:r>
        <w:rPr>
          <w:rFonts w:hint="eastAsia" w:asciiTheme="minorEastAsia" w:hAnsiTheme="minorEastAsia" w:eastAsiaTheme="minorEastAsia" w:cstheme="minorEastAsia"/>
          <w:b/>
          <w:sz w:val="24"/>
          <w:szCs w:val="24"/>
        </w:rPr>
        <w:t>履行</w:t>
      </w:r>
      <w:bookmarkEnd w:id="140"/>
      <w:bookmarkEnd w:id="141"/>
    </w:p>
    <w:p w14:paraId="723771F9">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4D2F3F46">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42" w:name="_Toc10611"/>
      <w:bookmarkStart w:id="143" w:name="_Toc8116"/>
      <w:bookmarkStart w:id="144" w:name="_Toc487900364"/>
      <w:bookmarkStart w:id="145" w:name="_Ref467378121"/>
      <w:bookmarkStart w:id="146" w:name="_Toc259093683"/>
      <w:bookmarkStart w:id="147" w:name="_Toc279701254"/>
      <w:r>
        <w:rPr>
          <w:rFonts w:hint="eastAsia" w:asciiTheme="minorEastAsia" w:hAnsiTheme="minorEastAsia" w:eastAsiaTheme="minorEastAsia" w:cstheme="minorEastAsia"/>
          <w:b/>
          <w:sz w:val="24"/>
          <w:szCs w:val="24"/>
        </w:rPr>
        <w:t>2.9 合同变更</w:t>
      </w:r>
      <w:bookmarkEnd w:id="142"/>
      <w:bookmarkEnd w:id="143"/>
    </w:p>
    <w:p w14:paraId="0B13AC89">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14:paraId="30EFF383">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2.9.2 合同继续履行将损害国家利益和社会公共利益的，双方当事人应当以书面形式变更合同。有过错的一方应当承担赔偿责任，双方当事人都有过错的，各自承担相应的责任。</w:t>
      </w:r>
      <w:bookmarkStart w:id="148" w:name="_Toc279701259"/>
      <w:bookmarkStart w:id="149" w:name="_Toc259093688"/>
      <w:bookmarkStart w:id="150" w:name="_Toc487900369"/>
    </w:p>
    <w:p w14:paraId="355A3E65">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51" w:name="_Toc10663"/>
      <w:bookmarkStart w:id="152" w:name="_Toc23368"/>
      <w:bookmarkStart w:id="153" w:name="_Toc26689"/>
      <w:bookmarkStart w:id="154" w:name="_Toc4896"/>
      <w:bookmarkStart w:id="155" w:name="_Toc42"/>
      <w:bookmarkStart w:id="156" w:name="_Toc21830"/>
      <w:r>
        <w:rPr>
          <w:rFonts w:hint="eastAsia" w:asciiTheme="minorEastAsia" w:hAnsiTheme="minorEastAsia" w:eastAsiaTheme="minorEastAsia" w:cstheme="minorEastAsia"/>
          <w:b/>
          <w:sz w:val="24"/>
          <w:szCs w:val="24"/>
        </w:rPr>
        <w:t>2.10 合同转让</w:t>
      </w:r>
      <w:bookmarkEnd w:id="148"/>
      <w:bookmarkEnd w:id="149"/>
      <w:bookmarkEnd w:id="150"/>
      <w:r>
        <w:rPr>
          <w:rFonts w:hint="eastAsia" w:asciiTheme="minorEastAsia" w:hAnsiTheme="minorEastAsia" w:eastAsiaTheme="minorEastAsia" w:cstheme="minorEastAsia"/>
          <w:b/>
          <w:sz w:val="24"/>
          <w:szCs w:val="24"/>
        </w:rPr>
        <w:t>和分包</w:t>
      </w:r>
      <w:bookmarkEnd w:id="151"/>
      <w:bookmarkEnd w:id="152"/>
      <w:bookmarkEnd w:id="153"/>
      <w:bookmarkEnd w:id="154"/>
      <w:bookmarkEnd w:id="155"/>
      <w:bookmarkEnd w:id="156"/>
    </w:p>
    <w:p w14:paraId="24828111">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C6869A5">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57" w:name="_Toc26633"/>
      <w:bookmarkStart w:id="158" w:name="_Toc32494"/>
      <w:bookmarkStart w:id="159" w:name="_Toc14371"/>
      <w:bookmarkStart w:id="160" w:name="_Toc25571"/>
      <w:bookmarkStart w:id="161" w:name="_Toc11694"/>
      <w:bookmarkStart w:id="162" w:name="_Toc4720"/>
      <w:r>
        <w:rPr>
          <w:rFonts w:hint="eastAsia" w:asciiTheme="minorEastAsia" w:hAnsiTheme="minorEastAsia" w:eastAsiaTheme="minorEastAsia" w:cstheme="minorEastAsia"/>
          <w:b/>
          <w:sz w:val="24"/>
          <w:szCs w:val="24"/>
        </w:rPr>
        <w:t>2.11 不可抗力</w:t>
      </w:r>
      <w:bookmarkEnd w:id="157"/>
      <w:bookmarkEnd w:id="158"/>
      <w:bookmarkEnd w:id="159"/>
      <w:bookmarkEnd w:id="160"/>
      <w:bookmarkEnd w:id="161"/>
      <w:bookmarkEnd w:id="162"/>
    </w:p>
    <w:p w14:paraId="3A04635E">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2.11.1如果任何一方遭遇法律规定的不可抗力，致使合同履行受阻时，履行合同的期限应予延长，延长的期限应相当于不可抗力所影响的时间；</w:t>
      </w:r>
    </w:p>
    <w:p w14:paraId="4F4F0B53">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2.11.2 因不可抗力致使不能实现合同目的的，当事人可以解除合同；</w:t>
      </w:r>
    </w:p>
    <w:p w14:paraId="518C8E43">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2.11.3 因不可抗力致使合同有变更必要的，双方当事人应在</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约定时间内以书面形式变更合同；</w:t>
      </w:r>
    </w:p>
    <w:p w14:paraId="730E6D5F">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2.11.4受不可抗力影响的一方在不可抗力发生后，应在</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约定时间内以书面形式通知对方当事人，并在</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约定时间内，将有关部门出具的证明文件送达对方当事人。</w:t>
      </w:r>
    </w:p>
    <w:p w14:paraId="6275E68A">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63" w:name="_Toc279701255"/>
      <w:bookmarkStart w:id="164" w:name="_Toc487900365"/>
      <w:bookmarkStart w:id="165" w:name="_Toc28351"/>
      <w:bookmarkStart w:id="166" w:name="_Toc3638"/>
      <w:bookmarkStart w:id="167" w:name="_Toc259093684"/>
      <w:bookmarkStart w:id="168" w:name="_Toc25783"/>
      <w:bookmarkStart w:id="169" w:name="_Toc14115"/>
      <w:bookmarkStart w:id="170" w:name="_Toc24465"/>
      <w:bookmarkStart w:id="171" w:name="_Toc23854"/>
      <w:r>
        <w:rPr>
          <w:rFonts w:hint="eastAsia" w:asciiTheme="minorEastAsia" w:hAnsiTheme="minorEastAsia" w:eastAsiaTheme="minorEastAsia" w:cstheme="minorEastAsia"/>
          <w:b/>
          <w:sz w:val="24"/>
          <w:szCs w:val="24"/>
        </w:rPr>
        <w:t>2.12 税费</w:t>
      </w:r>
      <w:bookmarkEnd w:id="163"/>
      <w:bookmarkEnd w:id="164"/>
      <w:bookmarkEnd w:id="165"/>
      <w:bookmarkEnd w:id="166"/>
      <w:bookmarkEnd w:id="167"/>
      <w:bookmarkEnd w:id="168"/>
      <w:bookmarkEnd w:id="169"/>
      <w:bookmarkEnd w:id="170"/>
      <w:bookmarkEnd w:id="171"/>
    </w:p>
    <w:p w14:paraId="13944958">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与合同有关的一切税费，均按照中华人民共和国法律的相关规定缴纳。</w:t>
      </w:r>
    </w:p>
    <w:p w14:paraId="78A160DB">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72" w:name="_Toc487900368"/>
      <w:bookmarkStart w:id="173" w:name="_Toc27600"/>
      <w:bookmarkStart w:id="174" w:name="_Toc25525"/>
      <w:bookmarkStart w:id="175" w:name="_Toc26883"/>
      <w:bookmarkStart w:id="176" w:name="_Toc14814"/>
      <w:bookmarkStart w:id="177" w:name="_Toc259093687"/>
      <w:bookmarkStart w:id="178" w:name="_Toc30105"/>
      <w:bookmarkStart w:id="179" w:name="_Toc279701258"/>
      <w:r>
        <w:rPr>
          <w:rFonts w:hint="eastAsia" w:asciiTheme="minorEastAsia" w:hAnsiTheme="minorEastAsia" w:eastAsiaTheme="minorEastAsia" w:cstheme="minorEastAsia"/>
          <w:b/>
          <w:sz w:val="24"/>
          <w:szCs w:val="24"/>
        </w:rPr>
        <w:t>2.13 乙方破产</w:t>
      </w:r>
      <w:bookmarkEnd w:id="172"/>
      <w:bookmarkEnd w:id="173"/>
      <w:bookmarkEnd w:id="174"/>
      <w:bookmarkEnd w:id="175"/>
      <w:bookmarkEnd w:id="176"/>
      <w:bookmarkEnd w:id="177"/>
      <w:bookmarkEnd w:id="178"/>
      <w:bookmarkEnd w:id="179"/>
    </w:p>
    <w:p w14:paraId="7D922F26">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FF3ABD6">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80" w:name="_Toc7301"/>
      <w:bookmarkStart w:id="181" w:name="_Toc1123"/>
      <w:bookmarkStart w:id="182" w:name="_Toc2016"/>
      <w:bookmarkStart w:id="183" w:name="_Toc23323"/>
      <w:r>
        <w:rPr>
          <w:rFonts w:hint="eastAsia" w:asciiTheme="minorEastAsia" w:hAnsiTheme="minorEastAsia" w:eastAsiaTheme="minorEastAsia" w:cstheme="minorEastAsia"/>
          <w:b/>
          <w:sz w:val="24"/>
          <w:szCs w:val="24"/>
        </w:rPr>
        <w:t>2.14 合同中止、终止</w:t>
      </w:r>
      <w:bookmarkEnd w:id="180"/>
      <w:bookmarkEnd w:id="181"/>
      <w:bookmarkEnd w:id="182"/>
      <w:bookmarkEnd w:id="183"/>
    </w:p>
    <w:p w14:paraId="2009F941">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2.14.1 双方当事人不得擅自中止或者终止合同；</w:t>
      </w:r>
    </w:p>
    <w:p w14:paraId="281CCAEB">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2.14.2合同继续履行将损害国家利益和社会公共利益的，双方当事人应当中止或者终止合同。有过错的一方应当承担赔偿责任，双方当事人都有过错的，各自承担相应的责任。</w:t>
      </w:r>
    </w:p>
    <w:p w14:paraId="3BB96BBF">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84" w:name="_Toc17363"/>
      <w:bookmarkStart w:id="185" w:name="_Toc14525"/>
      <w:bookmarkStart w:id="186" w:name="_Toc6298"/>
      <w:bookmarkStart w:id="187" w:name="_Toc1969"/>
      <w:r>
        <w:rPr>
          <w:rFonts w:hint="eastAsia" w:asciiTheme="minorEastAsia" w:hAnsiTheme="minorEastAsia" w:eastAsiaTheme="minorEastAsia" w:cstheme="minorEastAsia"/>
          <w:b/>
          <w:sz w:val="24"/>
          <w:szCs w:val="24"/>
        </w:rPr>
        <w:t>2.15 检验和验收</w:t>
      </w:r>
      <w:bookmarkEnd w:id="184"/>
      <w:bookmarkEnd w:id="185"/>
      <w:bookmarkEnd w:id="186"/>
      <w:bookmarkEnd w:id="187"/>
    </w:p>
    <w:p w14:paraId="384B8C0F">
      <w:pPr>
        <w:keepNext w:val="0"/>
        <w:keepLines w:val="0"/>
        <w:pageBreakBefore w:val="0"/>
        <w:tabs>
          <w:tab w:val="left" w:pos="360"/>
          <w:tab w:val="left" w:pos="540"/>
          <w:tab w:val="left" w:pos="1080"/>
        </w:tabs>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2.15.1 乙方按照</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的约定，定期提交服务报告，甲方按照</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的约定进行定期验收；</w:t>
      </w:r>
    </w:p>
    <w:p w14:paraId="4659411E">
      <w:pPr>
        <w:keepNext w:val="0"/>
        <w:keepLines w:val="0"/>
        <w:pageBreakBefore w:val="0"/>
        <w:tabs>
          <w:tab w:val="left" w:pos="360"/>
          <w:tab w:val="left" w:pos="540"/>
          <w:tab w:val="left" w:pos="1080"/>
        </w:tabs>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8D1D067">
      <w:pPr>
        <w:keepNext w:val="0"/>
        <w:keepLines w:val="0"/>
        <w:pageBreakBefore w:val="0"/>
        <w:tabs>
          <w:tab w:val="left" w:pos="360"/>
          <w:tab w:val="left" w:pos="540"/>
          <w:tab w:val="left" w:pos="1080"/>
        </w:tabs>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2.15.3 检验和验收标准、程序等具体内容以及前述验收书的效力详见</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i/>
          <w:sz w:val="24"/>
          <w:szCs w:val="24"/>
        </w:rPr>
        <w:t>。</w:t>
      </w:r>
    </w:p>
    <w:bookmarkEnd w:id="144"/>
    <w:bookmarkEnd w:id="145"/>
    <w:bookmarkEnd w:id="146"/>
    <w:bookmarkEnd w:id="147"/>
    <w:p w14:paraId="452F76CE">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188" w:name="_Toc279701261"/>
      <w:bookmarkStart w:id="189" w:name="_Toc487900371"/>
      <w:bookmarkStart w:id="190" w:name="_Toc259093690"/>
      <w:bookmarkStart w:id="191" w:name="_Toc12666"/>
      <w:bookmarkStart w:id="192" w:name="_Toc31892"/>
      <w:bookmarkStart w:id="193" w:name="_Toc25198"/>
      <w:bookmarkStart w:id="194" w:name="_Toc2308"/>
      <w:bookmarkStart w:id="195" w:name="_Toc10218"/>
      <w:bookmarkStart w:id="196" w:name="_Toc9808"/>
      <w:r>
        <w:rPr>
          <w:rFonts w:hint="eastAsia" w:asciiTheme="minorEastAsia" w:hAnsiTheme="minorEastAsia" w:eastAsiaTheme="minorEastAsia" w:cstheme="minorEastAsia"/>
          <w:b/>
          <w:sz w:val="24"/>
          <w:szCs w:val="24"/>
        </w:rPr>
        <w:t>2.16 通知</w:t>
      </w:r>
      <w:bookmarkEnd w:id="188"/>
      <w:bookmarkEnd w:id="189"/>
      <w:bookmarkEnd w:id="190"/>
      <w:r>
        <w:rPr>
          <w:rFonts w:hint="eastAsia" w:asciiTheme="minorEastAsia" w:hAnsiTheme="minorEastAsia" w:eastAsiaTheme="minorEastAsia" w:cstheme="minorEastAsia"/>
          <w:b/>
          <w:sz w:val="24"/>
          <w:szCs w:val="24"/>
        </w:rPr>
        <w:t>和送达</w:t>
      </w:r>
      <w:bookmarkEnd w:id="191"/>
      <w:bookmarkEnd w:id="192"/>
      <w:bookmarkEnd w:id="193"/>
      <w:bookmarkEnd w:id="194"/>
      <w:bookmarkEnd w:id="195"/>
      <w:bookmarkEnd w:id="196"/>
    </w:p>
    <w:p w14:paraId="494DDFD5">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bookmarkStart w:id="197" w:name="_Toc29220"/>
      <w:bookmarkStart w:id="198" w:name="_Toc7073"/>
      <w:bookmarkStart w:id="199" w:name="_Toc487900372"/>
      <w:bookmarkStart w:id="200" w:name="_Toc259093691"/>
      <w:bookmarkStart w:id="201" w:name="_Toc279701262"/>
      <w:r>
        <w:rPr>
          <w:rFonts w:hint="eastAsia" w:asciiTheme="minorEastAsia" w:hAnsiTheme="minorEastAsia" w:eastAsiaTheme="minorEastAsia" w:cstheme="minorEastAsia"/>
          <w:sz w:val="24"/>
          <w:szCs w:val="24"/>
        </w:rPr>
        <w:t>2.16.1 任何一方因履行合同而以合同第一部分尾部所列明的</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发出的所有通知、文件、材料，均视为已向对方当事人送达；任何一方变更上述送达方式或者地址的，应于</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个工作日内书面通知对方当事人，在对方当事人收到有关变更通知之前，变更前的约定送达方式或者地址仍视为有效。</w:t>
      </w:r>
      <w:bookmarkEnd w:id="197"/>
      <w:bookmarkEnd w:id="198"/>
    </w:p>
    <w:p w14:paraId="2313D41A">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bookmarkStart w:id="202" w:name="_Toc18401"/>
      <w:bookmarkStart w:id="203" w:name="_Toc27674"/>
      <w:r>
        <w:rPr>
          <w:rFonts w:hint="eastAsia" w:asciiTheme="minorEastAsia" w:hAnsiTheme="minorEastAsia" w:eastAsiaTheme="minorEastAsia" w:cstheme="minorEastAsia"/>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02"/>
      <w:bookmarkEnd w:id="203"/>
    </w:p>
    <w:bookmarkEnd w:id="199"/>
    <w:bookmarkEnd w:id="200"/>
    <w:bookmarkEnd w:id="201"/>
    <w:p w14:paraId="1659EFFE">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bookmarkStart w:id="204" w:name="_Toc27644"/>
      <w:bookmarkStart w:id="205" w:name="_Toc28906"/>
      <w:bookmarkStart w:id="206" w:name="_Toc279701263"/>
      <w:bookmarkStart w:id="207" w:name="_Toc20808"/>
      <w:bookmarkStart w:id="208" w:name="_Toc487900373"/>
      <w:bookmarkStart w:id="209" w:name="_Toc5063"/>
      <w:bookmarkStart w:id="210" w:name="_Toc9407"/>
      <w:bookmarkStart w:id="211" w:name="_Toc259093692"/>
      <w:bookmarkStart w:id="212" w:name="_Toc12254"/>
      <w:r>
        <w:rPr>
          <w:rFonts w:hint="eastAsia" w:asciiTheme="minorEastAsia" w:hAnsiTheme="minorEastAsia" w:eastAsiaTheme="minorEastAsia" w:cstheme="minorEastAsia"/>
          <w:b/>
          <w:sz w:val="24"/>
          <w:szCs w:val="24"/>
        </w:rPr>
        <w:t>2.17 合同使用的文字和适用的法律</w:t>
      </w:r>
      <w:bookmarkEnd w:id="204"/>
      <w:bookmarkEnd w:id="205"/>
      <w:bookmarkEnd w:id="206"/>
      <w:bookmarkEnd w:id="207"/>
      <w:bookmarkEnd w:id="208"/>
      <w:bookmarkEnd w:id="209"/>
      <w:bookmarkEnd w:id="210"/>
      <w:bookmarkEnd w:id="211"/>
      <w:bookmarkEnd w:id="212"/>
    </w:p>
    <w:p w14:paraId="1C66F9FE">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2.17.1 合同使用汉语书就、变更和解释；</w:t>
      </w:r>
    </w:p>
    <w:p w14:paraId="5B194B99">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2.17.2 合同适用中华人民共和国法律。</w:t>
      </w:r>
      <w:bookmarkStart w:id="213" w:name="_Toc487900374"/>
    </w:p>
    <w:bookmarkEnd w:id="213"/>
    <w:p w14:paraId="42BEDCE0">
      <w:pPr>
        <w:keepNext w:val="0"/>
        <w:keepLines w:val="0"/>
        <w:pageBreakBefore w:val="0"/>
        <w:kinsoku/>
        <w:wordWrap/>
        <w:overflowPunct/>
        <w:topLinePunct w:val="0"/>
        <w:bidi w:val="0"/>
        <w:snapToGrid/>
        <w:spacing w:line="440" w:lineRule="exact"/>
        <w:ind w:firstLine="482" w:firstLineChars="200"/>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2.1</w:t>
      </w:r>
      <w:r>
        <w:rPr>
          <w:rFonts w:hint="eastAsia" w:asciiTheme="minorEastAsia" w:hAnsiTheme="minorEastAsia" w:eastAsiaTheme="minorEastAsia" w:cstheme="minorEastAsia"/>
          <w:b/>
          <w:sz w:val="24"/>
          <w:szCs w:val="24"/>
          <w:lang w:val="en-US" w:eastAsia="zh-CN"/>
        </w:rPr>
        <w:t>8</w:t>
      </w:r>
      <w:r>
        <w:rPr>
          <w:rFonts w:hint="eastAsia" w:asciiTheme="minorEastAsia" w:hAnsiTheme="minorEastAsia" w:eastAsiaTheme="minorEastAsia" w:cstheme="minorEastAsia"/>
          <w:b/>
          <w:sz w:val="24"/>
          <w:szCs w:val="24"/>
        </w:rPr>
        <w:t>合同份数</w:t>
      </w:r>
    </w:p>
    <w:p w14:paraId="5987678E">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合同份数按</w:t>
      </w:r>
      <w:r>
        <w:rPr>
          <w:rFonts w:hint="eastAsia" w:asciiTheme="minorEastAsia" w:hAnsiTheme="minorEastAsia" w:eastAsiaTheme="minorEastAsia" w:cstheme="minorEastAsia"/>
          <w:b/>
          <w:i w:val="0"/>
          <w:iCs/>
          <w:sz w:val="24"/>
          <w:szCs w:val="24"/>
          <w:u w:val="single"/>
        </w:rPr>
        <w:t>合同专用条款</w:t>
      </w:r>
      <w:r>
        <w:rPr>
          <w:rFonts w:hint="eastAsia" w:asciiTheme="minorEastAsia" w:hAnsiTheme="minorEastAsia" w:eastAsiaTheme="minorEastAsia" w:cstheme="minorEastAsia"/>
          <w:sz w:val="24"/>
          <w:szCs w:val="24"/>
        </w:rPr>
        <w:t>规定，每份均具有同等法律效力。</w:t>
      </w:r>
    </w:p>
    <w:p w14:paraId="29860817">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p>
    <w:p w14:paraId="62C6C3E3">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p>
    <w:p w14:paraId="779ACC2C">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p>
    <w:p w14:paraId="18D74810">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p>
    <w:p w14:paraId="0FB51FD0">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p>
    <w:p w14:paraId="0869ED92">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br w:type="page"/>
      </w:r>
    </w:p>
    <w:p w14:paraId="24B2C856">
      <w:pPr>
        <w:pStyle w:val="48"/>
        <w:keepNext w:val="0"/>
        <w:keepLines w:val="0"/>
        <w:pageBreakBefore w:val="0"/>
        <w:kinsoku/>
        <w:wordWrap/>
        <w:overflowPunct/>
        <w:topLinePunct w:val="0"/>
        <w:bidi w:val="0"/>
        <w:snapToGrid/>
        <w:textAlignment w:val="auto"/>
        <w:outlineLvl w:val="9"/>
        <w:rPr>
          <w:rFonts w:hint="eastAsia" w:asciiTheme="minorEastAsia" w:hAnsiTheme="minorEastAsia" w:eastAsiaTheme="minorEastAsia" w:cstheme="minorEastAsia"/>
          <w:sz w:val="24"/>
          <w:szCs w:val="24"/>
        </w:rPr>
      </w:pPr>
    </w:p>
    <w:p w14:paraId="75F8BD52">
      <w:pPr>
        <w:pStyle w:val="49"/>
        <w:keepNext w:val="0"/>
        <w:keepLines w:val="0"/>
        <w:pageBreakBefore w:val="0"/>
        <w:kinsoku/>
        <w:wordWrap/>
        <w:overflowPunct/>
        <w:topLinePunct w:val="0"/>
        <w:bidi w:val="0"/>
        <w:snapToGrid/>
        <w:spacing w:line="440" w:lineRule="exact"/>
        <w:ind w:firstLine="0"/>
        <w:jc w:val="center"/>
        <w:textAlignment w:val="auto"/>
        <w:outlineLvl w:val="9"/>
        <w:rPr>
          <w:rFonts w:hint="eastAsia" w:asciiTheme="minorEastAsia" w:hAnsiTheme="minorEastAsia" w:eastAsiaTheme="minorEastAsia" w:cstheme="minorEastAsia"/>
          <w:b/>
          <w:sz w:val="24"/>
          <w:szCs w:val="24"/>
        </w:rPr>
      </w:pPr>
      <w:bookmarkStart w:id="214" w:name="_Toc331685784"/>
      <w:bookmarkStart w:id="215" w:name="_Toc5623"/>
      <w:bookmarkStart w:id="216" w:name="_Toc20615"/>
      <w:bookmarkStart w:id="217" w:name="_Toc16779"/>
      <w:bookmarkStart w:id="218" w:name="_Toc21949"/>
      <w:bookmarkStart w:id="219" w:name="_Toc31777"/>
      <w:bookmarkStart w:id="220" w:name="_Toc4591"/>
      <w:bookmarkStart w:id="221" w:name="_Toc17390"/>
      <w:r>
        <w:rPr>
          <w:rFonts w:hint="eastAsia" w:asciiTheme="minorEastAsia" w:hAnsiTheme="minorEastAsia" w:eastAsiaTheme="minorEastAsia" w:cstheme="minorEastAsia"/>
          <w:b/>
          <w:sz w:val="24"/>
          <w:szCs w:val="24"/>
        </w:rPr>
        <w:t>第三部分  合同专用条款</w:t>
      </w:r>
      <w:bookmarkEnd w:id="214"/>
      <w:bookmarkEnd w:id="215"/>
      <w:bookmarkEnd w:id="216"/>
      <w:bookmarkEnd w:id="217"/>
      <w:bookmarkEnd w:id="218"/>
      <w:bookmarkEnd w:id="219"/>
      <w:bookmarkEnd w:id="220"/>
      <w:bookmarkEnd w:id="221"/>
    </w:p>
    <w:p w14:paraId="06160A0F">
      <w:pPr>
        <w:keepNext w:val="0"/>
        <w:keepLines w:val="0"/>
        <w:pageBreakBefore w:val="0"/>
        <w:kinsoku/>
        <w:wordWrap/>
        <w:overflowPunct/>
        <w:topLinePunct w:val="0"/>
        <w:bidi w:val="0"/>
        <w:snapToGrid/>
        <w:spacing w:line="440" w:lineRule="exact"/>
        <w:ind w:firstLine="480" w:firstLineChars="200"/>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r>
        <w:rPr>
          <w:rFonts w:hint="eastAsia" w:asciiTheme="minorEastAsia" w:hAnsiTheme="minorEastAsia" w:eastAsiaTheme="minorEastAsia" w:cstheme="minorEastAsia"/>
          <w:b/>
          <w:bCs/>
          <w:color w:val="000000"/>
          <w:kern w:val="0"/>
          <w:sz w:val="24"/>
          <w:szCs w:val="24"/>
          <w:u w:color="000000"/>
          <w:lang w:val="en-US" w:eastAsia="zh-CN" w:bidi="ar"/>
        </w:rPr>
        <w:t>注：本合同仅为合同的参考文本，合同签订双方可根据项目的具体要求进行修订。</w:t>
      </w:r>
    </w:p>
    <w:tbl>
      <w:tblPr>
        <w:tblStyle w:val="22"/>
        <w:tblpPr w:leftFromText="180" w:rightFromText="180" w:vertAnchor="text" w:horzAnchor="page" w:tblpX="1304" w:tblpY="316"/>
        <w:tblOverlap w:val="never"/>
        <w:tblW w:w="947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8677"/>
      </w:tblGrid>
      <w:tr w14:paraId="6B0D00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0BF934E1">
            <w:pPr>
              <w:keepNext w:val="0"/>
              <w:keepLines w:val="0"/>
              <w:pageBreakBefore w:val="0"/>
              <w:suppressLineNumbers w:val="0"/>
              <w:kinsoku/>
              <w:wordWrap/>
              <w:overflowPunct/>
              <w:topLinePunct w:val="0"/>
              <w:bidi w:val="0"/>
              <w:snapToGrid/>
              <w:spacing w:before="0" w:beforeAutospacing="0" w:after="0" w:afterAutospacing="0" w:line="440" w:lineRule="exact"/>
              <w:ind w:left="0" w:right="0"/>
              <w:jc w:val="center"/>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条款号</w:t>
            </w:r>
          </w:p>
        </w:tc>
        <w:tc>
          <w:tcPr>
            <w:tcW w:w="8677" w:type="dxa"/>
            <w:vAlign w:val="center"/>
          </w:tcPr>
          <w:p w14:paraId="68CAC2D2">
            <w:pPr>
              <w:keepNext w:val="0"/>
              <w:keepLines w:val="0"/>
              <w:pageBreakBefore w:val="0"/>
              <w:suppressLineNumbers w:val="0"/>
              <w:kinsoku/>
              <w:wordWrap/>
              <w:overflowPunct/>
              <w:topLinePunct w:val="0"/>
              <w:bidi w:val="0"/>
              <w:snapToGrid/>
              <w:spacing w:before="0" w:beforeAutospacing="0" w:after="0" w:afterAutospacing="0" w:line="440" w:lineRule="exact"/>
              <w:ind w:left="0" w:right="0"/>
              <w:jc w:val="center"/>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约定内容</w:t>
            </w:r>
          </w:p>
        </w:tc>
      </w:tr>
      <w:tr w14:paraId="74D713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17B08255">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7E8557ED">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2BB822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F82AE38">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0F07213E">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773824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5691E68">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54E28D42">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5D4CE9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931A15C">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0F850887">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0A2E11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48DA915">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3C813366">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u w:val="single"/>
              </w:rPr>
            </w:pPr>
          </w:p>
        </w:tc>
      </w:tr>
      <w:tr w14:paraId="5A7366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C7F257F">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2F08E6EC">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13C207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799D63E">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26303C40">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u w:val="single"/>
              </w:rPr>
            </w:pPr>
          </w:p>
        </w:tc>
      </w:tr>
      <w:tr w14:paraId="525E6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6A0854B">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3D1146F7">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6F22AA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36A9D59">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1E4F8EF0">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67454D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83ADD24">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vAlign w:val="center"/>
          </w:tcPr>
          <w:p w14:paraId="7B4EEF13">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574F7C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4F36A57D">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tcBorders>
              <w:top w:val="single" w:color="auto" w:sz="6" w:space="0"/>
              <w:left w:val="single" w:color="auto" w:sz="6" w:space="0"/>
              <w:bottom w:val="single" w:color="auto" w:sz="6" w:space="0"/>
              <w:right w:val="single" w:color="auto" w:sz="6" w:space="0"/>
            </w:tcBorders>
            <w:vAlign w:val="center"/>
          </w:tcPr>
          <w:p w14:paraId="7FDFD28E">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r w14:paraId="355E6C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top w:val="single" w:color="auto" w:sz="6" w:space="0"/>
              <w:left w:val="single" w:color="auto" w:sz="4" w:space="0"/>
              <w:bottom w:val="single" w:color="auto" w:sz="6" w:space="0"/>
              <w:right w:val="single" w:color="auto" w:sz="6" w:space="0"/>
            </w:tcBorders>
            <w:vAlign w:val="center"/>
          </w:tcPr>
          <w:p w14:paraId="0A49069B">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c>
          <w:tcPr>
            <w:tcW w:w="8677" w:type="dxa"/>
            <w:tcBorders>
              <w:top w:val="single" w:color="auto" w:sz="6" w:space="0"/>
              <w:left w:val="single" w:color="auto" w:sz="6" w:space="0"/>
              <w:bottom w:val="single" w:color="auto" w:sz="6" w:space="0"/>
              <w:right w:val="single" w:color="auto" w:sz="6" w:space="0"/>
            </w:tcBorders>
            <w:vAlign w:val="center"/>
          </w:tcPr>
          <w:p w14:paraId="282BD46A">
            <w:pPr>
              <w:keepNext w:val="0"/>
              <w:keepLines w:val="0"/>
              <w:pageBreakBefore w:val="0"/>
              <w:suppressLineNumbers w:val="0"/>
              <w:kinsoku/>
              <w:wordWrap/>
              <w:overflowPunct/>
              <w:topLinePunct w:val="0"/>
              <w:bidi w:val="0"/>
              <w:snapToGrid/>
              <w:spacing w:before="0" w:beforeAutospacing="0" w:after="0" w:afterAutospacing="0" w:line="440" w:lineRule="exact"/>
              <w:ind w:left="0" w:right="0"/>
              <w:textAlignment w:val="auto"/>
              <w:outlineLvl w:val="9"/>
              <w:rPr>
                <w:rFonts w:hint="eastAsia" w:asciiTheme="minorEastAsia" w:hAnsiTheme="minorEastAsia" w:eastAsiaTheme="minorEastAsia" w:cstheme="minorEastAsia"/>
                <w:sz w:val="24"/>
                <w:szCs w:val="24"/>
              </w:rPr>
            </w:pPr>
          </w:p>
        </w:tc>
      </w:tr>
    </w:tbl>
    <w:p w14:paraId="0CAF505A">
      <w:pPr>
        <w:pStyle w:val="12"/>
      </w:pPr>
    </w:p>
    <w:p w14:paraId="1085BCA9"/>
    <w:p w14:paraId="2B3DC975">
      <w:pPr>
        <w:pStyle w:val="45"/>
      </w:pPr>
    </w:p>
    <w:p w14:paraId="2AF2166D">
      <w:pPr>
        <w:pStyle w:val="45"/>
      </w:pPr>
    </w:p>
    <w:p w14:paraId="7DB246DD">
      <w:pPr>
        <w:pStyle w:val="45"/>
      </w:pPr>
    </w:p>
    <w:p w14:paraId="69838F59">
      <w:pPr>
        <w:pStyle w:val="45"/>
      </w:pPr>
    </w:p>
    <w:p w14:paraId="6F17FD18">
      <w:pPr>
        <w:pStyle w:val="45"/>
      </w:pPr>
    </w:p>
    <w:p w14:paraId="6ED22D50">
      <w:pPr>
        <w:pStyle w:val="45"/>
      </w:pPr>
    </w:p>
    <w:p w14:paraId="48872911">
      <w:pPr>
        <w:pStyle w:val="45"/>
      </w:pPr>
    </w:p>
    <w:p w14:paraId="4DC58DDE">
      <w:pPr>
        <w:pStyle w:val="45"/>
      </w:pPr>
    </w:p>
    <w:p w14:paraId="43F83B2A">
      <w:pPr>
        <w:pStyle w:val="45"/>
      </w:pPr>
    </w:p>
    <w:p w14:paraId="1B0BD798">
      <w:pPr>
        <w:pStyle w:val="45"/>
      </w:pPr>
    </w:p>
    <w:p w14:paraId="5E568946">
      <w:pPr>
        <w:pStyle w:val="45"/>
      </w:pPr>
    </w:p>
    <w:p w14:paraId="0B7DC617">
      <w:pPr>
        <w:pStyle w:val="45"/>
      </w:pPr>
    </w:p>
    <w:p w14:paraId="70BE9A36"/>
    <w:p w14:paraId="67F220E7">
      <w:pPr>
        <w:pStyle w:val="6"/>
      </w:pPr>
    </w:p>
    <w:p w14:paraId="3D1E31F5">
      <w:pPr>
        <w:pStyle w:val="6"/>
      </w:pPr>
    </w:p>
    <w:p w14:paraId="7D730BEA">
      <w:pPr>
        <w:pStyle w:val="6"/>
      </w:pPr>
    </w:p>
    <w:p w14:paraId="72444E7F">
      <w:pPr>
        <w:spacing w:line="360" w:lineRule="auto"/>
        <w:jc w:val="center"/>
        <w:rPr>
          <w:rFonts w:ascii="宋体" w:hAnsi="宋体" w:cs="宋体"/>
          <w:b/>
          <w:sz w:val="36"/>
        </w:rPr>
      </w:pPr>
      <w:r>
        <w:rPr>
          <w:rFonts w:hint="eastAsia" w:ascii="宋体" w:hAnsi="宋体" w:cs="宋体"/>
          <w:b/>
          <w:sz w:val="36"/>
        </w:rPr>
        <w:t>第八部分 投标文件的编制装订</w:t>
      </w:r>
    </w:p>
    <w:p w14:paraId="554676D2">
      <w:pPr>
        <w:spacing w:line="360" w:lineRule="auto"/>
        <w:ind w:firstLine="600" w:firstLineChars="249"/>
        <w:rPr>
          <w:rFonts w:ascii="宋体" w:hAnsi="宋体" w:cs="宋体"/>
          <w:b/>
          <w:sz w:val="24"/>
          <w:szCs w:val="24"/>
        </w:rPr>
      </w:pPr>
      <w:r>
        <w:rPr>
          <w:rFonts w:hint="eastAsia" w:ascii="宋体" w:hAnsi="宋体" w:cs="宋体"/>
          <w:b/>
          <w:sz w:val="24"/>
          <w:szCs w:val="24"/>
        </w:rPr>
        <w:t>一、投标文件编制和装订顺序</w:t>
      </w:r>
    </w:p>
    <w:p w14:paraId="52FD4260">
      <w:pPr>
        <w:spacing w:line="360" w:lineRule="auto"/>
        <w:ind w:firstLine="600" w:firstLineChars="249"/>
        <w:rPr>
          <w:rFonts w:ascii="宋体" w:hAnsi="宋体" w:cs="宋体"/>
          <w:b/>
          <w:sz w:val="24"/>
          <w:szCs w:val="24"/>
        </w:rPr>
      </w:pPr>
      <w:r>
        <w:rPr>
          <w:rFonts w:hint="eastAsia" w:ascii="宋体" w:hAnsi="宋体" w:cs="宋体"/>
          <w:b/>
          <w:sz w:val="24"/>
          <w:szCs w:val="24"/>
        </w:rPr>
        <w:t>（一）投标人的投标文件必须制作目录和页码并进行胶装。</w:t>
      </w:r>
    </w:p>
    <w:p w14:paraId="1277D1E7">
      <w:pPr>
        <w:spacing w:line="360" w:lineRule="auto"/>
        <w:ind w:firstLine="597" w:firstLineChars="249"/>
        <w:rPr>
          <w:rFonts w:ascii="宋体" w:hAnsi="宋体" w:cs="宋体"/>
          <w:sz w:val="24"/>
          <w:szCs w:val="24"/>
        </w:rPr>
      </w:pPr>
      <w:r>
        <w:rPr>
          <w:rFonts w:hint="eastAsia" w:ascii="宋体" w:hAnsi="宋体" w:cs="宋体"/>
          <w:sz w:val="24"/>
          <w:szCs w:val="24"/>
        </w:rPr>
        <w:t>（二）投标人的投标文件编制顺序，必须按下列顺序排列和装订。否则，其投标文件将可能被拒绝接受，或作为废标处理。编制排列和装订顺序严格如下：</w:t>
      </w:r>
    </w:p>
    <w:p w14:paraId="4F23340D">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1、投标函</w:t>
      </w:r>
    </w:p>
    <w:p w14:paraId="2E403FC5">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2、法定代表人资格证明书、法定代表人的授权委托书</w:t>
      </w:r>
    </w:p>
    <w:p w14:paraId="2B5ABDB0">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3、报价一览表</w:t>
      </w:r>
    </w:p>
    <w:p w14:paraId="6852568B">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4、供应商资质证明文件，包括：</w:t>
      </w:r>
    </w:p>
    <w:p w14:paraId="0E6BE99B">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4.1、</w:t>
      </w:r>
      <w:r>
        <w:rPr>
          <w:rFonts w:hint="eastAsia" w:ascii="宋体" w:hAnsi="宋体" w:cs="宋体"/>
          <w:bCs/>
          <w:sz w:val="24"/>
          <w:szCs w:val="24"/>
          <w:lang w:val="en-US" w:eastAsia="zh-CN"/>
        </w:rPr>
        <w:t>须具有中华人民共和国境内注册的独立法人资格的企事业单位，提供事业单位证书或营业执照</w:t>
      </w:r>
      <w:r>
        <w:rPr>
          <w:rFonts w:hint="eastAsia" w:ascii="宋体" w:hAnsi="宋体"/>
          <w:sz w:val="24"/>
          <w:highlight w:val="none"/>
        </w:rPr>
        <w:t>；</w:t>
      </w:r>
    </w:p>
    <w:p w14:paraId="63050D87">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4.2、</w:t>
      </w:r>
      <w:r>
        <w:rPr>
          <w:rFonts w:hint="eastAsia" w:ascii="宋体" w:hAnsi="宋体"/>
          <w:sz w:val="24"/>
          <w:highlight w:val="none"/>
          <w:lang w:val="zh-CN"/>
        </w:rPr>
        <w:t>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r>
        <w:rPr>
          <w:rFonts w:hint="eastAsia" w:ascii="宋体" w:hAnsi="宋体"/>
          <w:sz w:val="24"/>
          <w:highlight w:val="none"/>
        </w:rPr>
        <w:t xml:space="preserve">  </w:t>
      </w:r>
    </w:p>
    <w:p w14:paraId="50A6D259">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4.3、投标保证金缴纳凭证；</w:t>
      </w:r>
    </w:p>
    <w:p w14:paraId="7E2FAA2B">
      <w:pPr>
        <w:autoSpaceDE w:val="0"/>
        <w:autoSpaceDN w:val="0"/>
        <w:adjustRightInd w:val="0"/>
        <w:spacing w:line="360" w:lineRule="auto"/>
        <w:ind w:firstLine="787" w:firstLineChars="328"/>
        <w:rPr>
          <w:rFonts w:hint="eastAsia" w:cs="Times New Roman"/>
          <w:color w:val="auto"/>
          <w:sz w:val="24"/>
          <w:szCs w:val="24"/>
          <w:highlight w:val="none"/>
          <w:shd w:val="clear" w:color="auto" w:fill="auto"/>
          <w:lang w:val="en-US" w:eastAsia="zh-CN"/>
        </w:rPr>
      </w:pPr>
      <w:r>
        <w:rPr>
          <w:rFonts w:hint="eastAsia" w:ascii="宋体" w:hAnsi="宋体"/>
          <w:sz w:val="24"/>
          <w:highlight w:val="none"/>
          <w:lang w:val="en-US" w:eastAsia="zh-CN"/>
        </w:rPr>
        <w:t>4.4、</w:t>
      </w:r>
      <w:r>
        <w:rPr>
          <w:rFonts w:hint="eastAsia" w:cs="Times New Roman"/>
          <w:color w:val="auto"/>
          <w:sz w:val="24"/>
          <w:szCs w:val="24"/>
          <w:highlight w:val="none"/>
          <w:shd w:val="clear" w:color="auto" w:fill="auto"/>
          <w:lang w:val="en-US" w:eastAsia="zh-CN"/>
        </w:rPr>
        <w:t>满足《中华人民共和国政府采购法》第二十二条规定，并提供承诺书。</w:t>
      </w:r>
    </w:p>
    <w:p w14:paraId="2321995C">
      <w:pP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zh-CN"/>
        </w:rPr>
        <w:t>5、关于资格的声明函</w:t>
      </w:r>
    </w:p>
    <w:p w14:paraId="04CFB1C5">
      <w:pPr>
        <w:autoSpaceDE w:val="0"/>
        <w:autoSpaceDN w:val="0"/>
        <w:adjustRightInd w:val="0"/>
        <w:spacing w:line="360" w:lineRule="auto"/>
        <w:ind w:firstLine="480" w:firstLineChars="200"/>
        <w:rPr>
          <w:rFonts w:hint="default" w:ascii="宋体" w:hAnsi="宋体"/>
          <w:sz w:val="24"/>
          <w:highlight w:val="none"/>
          <w:lang w:val="en-US" w:eastAsia="zh-CN"/>
        </w:rPr>
      </w:pPr>
      <w:r>
        <w:rPr>
          <w:rFonts w:hint="eastAsia" w:ascii="宋体" w:hAnsi="宋体"/>
          <w:sz w:val="24"/>
          <w:highlight w:val="none"/>
          <w:lang w:val="en-US" w:eastAsia="zh-CN"/>
        </w:rPr>
        <w:t>6、服务报价明细表</w:t>
      </w:r>
    </w:p>
    <w:p w14:paraId="3081F1FC">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en-US" w:eastAsia="zh-CN"/>
        </w:rPr>
        <w:t>7</w:t>
      </w:r>
      <w:r>
        <w:rPr>
          <w:rFonts w:hint="eastAsia" w:ascii="宋体" w:hAnsi="宋体" w:cs="仿宋_GB2312"/>
          <w:sz w:val="24"/>
          <w:highlight w:val="none"/>
          <w:lang w:val="zh-CN"/>
        </w:rPr>
        <w:t>、商务条款偏离表</w:t>
      </w:r>
    </w:p>
    <w:p w14:paraId="0E969424">
      <w:pP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en-US" w:eastAsia="zh-CN"/>
        </w:rPr>
        <w:t>8</w:t>
      </w:r>
      <w:r>
        <w:rPr>
          <w:rFonts w:hint="eastAsia" w:ascii="宋体" w:hAnsi="宋体" w:cs="仿宋_GB2312"/>
          <w:sz w:val="24"/>
          <w:highlight w:val="none"/>
          <w:lang w:val="zh-CN"/>
        </w:rPr>
        <w:t>、业绩表</w:t>
      </w:r>
    </w:p>
    <w:p w14:paraId="0DFBB4F1">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lang w:val="en-US" w:eastAsia="zh-CN"/>
        </w:rPr>
        <w:t>9</w:t>
      </w:r>
      <w:r>
        <w:rPr>
          <w:rFonts w:hint="eastAsia" w:ascii="宋体" w:hAnsi="宋体" w:cs="仿宋_GB2312"/>
          <w:sz w:val="24"/>
          <w:highlight w:val="none"/>
          <w:lang w:val="zh-CN"/>
        </w:rPr>
        <w:t>、投标单位（供应商）反商业贿赂承诺书</w:t>
      </w:r>
    </w:p>
    <w:p w14:paraId="7976D552">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lang w:val="en-US" w:eastAsia="zh-CN"/>
        </w:rPr>
        <w:t>10</w:t>
      </w:r>
      <w:r>
        <w:rPr>
          <w:rFonts w:hint="eastAsia" w:ascii="宋体" w:hAnsi="宋体" w:cs="仿宋_GB2312"/>
          <w:sz w:val="24"/>
          <w:highlight w:val="none"/>
          <w:lang w:val="zh-CN"/>
        </w:rPr>
        <w:t>、投标承诺书</w:t>
      </w:r>
    </w:p>
    <w:p w14:paraId="677FB18B">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1</w:t>
      </w:r>
      <w:r>
        <w:rPr>
          <w:rFonts w:hint="eastAsia" w:ascii="宋体" w:hAnsi="宋体" w:cs="仿宋_GB2312"/>
          <w:sz w:val="24"/>
          <w:highlight w:val="none"/>
          <w:lang w:val="zh-CN"/>
        </w:rPr>
        <w:t>、投标保证金退还说明</w:t>
      </w:r>
    </w:p>
    <w:p w14:paraId="7B57E496">
      <w:pPr>
        <w:autoSpaceDE w:val="0"/>
        <w:autoSpaceDN w:val="0"/>
        <w:adjustRightInd w:val="0"/>
        <w:spacing w:line="360" w:lineRule="auto"/>
        <w:ind w:firstLine="480"/>
        <w:rPr>
          <w:rFonts w:hint="eastAsia"/>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2</w:t>
      </w:r>
      <w:r>
        <w:rPr>
          <w:rFonts w:hint="eastAsia" w:ascii="宋体" w:hAnsi="宋体" w:cs="仿宋_GB2312"/>
          <w:sz w:val="24"/>
          <w:highlight w:val="none"/>
        </w:rPr>
        <w:t>、</w:t>
      </w:r>
      <w:r>
        <w:rPr>
          <w:rFonts w:hint="eastAsia" w:ascii="宋体" w:hAnsi="宋体" w:cs="仿宋_GB2312"/>
          <w:sz w:val="24"/>
          <w:highlight w:val="none"/>
          <w:lang w:val="zh-CN"/>
        </w:rPr>
        <w:t>投标单位（供应商）《遵守政府采购相关法律法规承诺书》</w:t>
      </w:r>
    </w:p>
    <w:p w14:paraId="71667479">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3</w:t>
      </w:r>
      <w:r>
        <w:rPr>
          <w:rFonts w:hint="eastAsia" w:ascii="宋体" w:hAnsi="宋体" w:cs="仿宋_GB2312"/>
          <w:sz w:val="24"/>
          <w:highlight w:val="none"/>
          <w:lang w:val="zh-CN"/>
        </w:rPr>
        <w:t>、中小企业声明函</w:t>
      </w:r>
    </w:p>
    <w:p w14:paraId="45644C23">
      <w:pPr>
        <w:autoSpaceDE w:val="0"/>
        <w:autoSpaceDN w:val="0"/>
        <w:adjustRightInd w:val="0"/>
        <w:spacing w:line="360" w:lineRule="auto"/>
        <w:ind w:firstLine="480"/>
        <w:rPr>
          <w:rFonts w:hint="eastAsia" w:ascii="宋体" w:hAnsi="宋体" w:cs="仿宋_GB2312"/>
          <w:sz w:val="24"/>
          <w:highlight w:val="none"/>
        </w:rPr>
      </w:pPr>
      <w:r>
        <w:rPr>
          <w:rFonts w:hint="eastAsia" w:ascii="宋体" w:hAnsi="宋体" w:cs="仿宋_GB2312"/>
          <w:sz w:val="24"/>
          <w:highlight w:val="none"/>
        </w:rPr>
        <w:t>1</w:t>
      </w:r>
      <w:r>
        <w:rPr>
          <w:rFonts w:hint="eastAsia" w:ascii="宋体" w:hAnsi="宋体" w:cs="仿宋_GB2312"/>
          <w:sz w:val="24"/>
          <w:highlight w:val="none"/>
          <w:lang w:val="en-US" w:eastAsia="zh-CN"/>
        </w:rPr>
        <w:t>4</w:t>
      </w:r>
      <w:r>
        <w:rPr>
          <w:rFonts w:hint="eastAsia" w:ascii="宋体" w:hAnsi="宋体" w:cs="仿宋_GB2312"/>
          <w:sz w:val="24"/>
          <w:highlight w:val="none"/>
        </w:rPr>
        <w:t>、主要股东或出资人信息</w:t>
      </w:r>
    </w:p>
    <w:p w14:paraId="11D256F1">
      <w:pPr>
        <w:autoSpaceDE w:val="0"/>
        <w:autoSpaceDN w:val="0"/>
        <w:adjustRightInd w:val="0"/>
        <w:spacing w:line="360" w:lineRule="auto"/>
        <w:ind w:firstLine="480"/>
        <w:rPr>
          <w:rFonts w:hint="eastAsia" w:ascii="宋体" w:hAnsi="宋体" w:cs="仿宋_GB2312"/>
          <w:sz w:val="24"/>
          <w:highlight w:val="none"/>
        </w:rPr>
      </w:pPr>
      <w:r>
        <w:rPr>
          <w:rFonts w:hint="eastAsia" w:ascii="宋体" w:hAnsi="宋体" w:cs="仿宋_GB2312"/>
          <w:sz w:val="24"/>
          <w:highlight w:val="none"/>
        </w:rPr>
        <w:t>1</w:t>
      </w:r>
      <w:r>
        <w:rPr>
          <w:rFonts w:hint="eastAsia" w:ascii="宋体" w:hAnsi="宋体" w:cs="仿宋_GB2312"/>
          <w:sz w:val="24"/>
          <w:highlight w:val="none"/>
          <w:lang w:val="en-US" w:eastAsia="zh-CN"/>
        </w:rPr>
        <w:t>5</w:t>
      </w:r>
      <w:r>
        <w:rPr>
          <w:rFonts w:hint="eastAsia" w:ascii="宋体" w:hAnsi="宋体" w:cs="仿宋_GB2312"/>
          <w:sz w:val="24"/>
          <w:highlight w:val="none"/>
        </w:rPr>
        <w:t>、非联合体投标声明</w:t>
      </w:r>
    </w:p>
    <w:p w14:paraId="69301AE0">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6</w:t>
      </w:r>
      <w:r>
        <w:rPr>
          <w:rFonts w:hint="eastAsia" w:ascii="宋体" w:hAnsi="宋体" w:cs="仿宋_GB2312"/>
          <w:sz w:val="24"/>
          <w:highlight w:val="none"/>
        </w:rPr>
        <w:t>、</w:t>
      </w:r>
      <w:r>
        <w:rPr>
          <w:rFonts w:hint="eastAsia" w:ascii="宋体" w:hAnsi="宋体" w:cs="仿宋_GB2312"/>
          <w:sz w:val="24"/>
          <w:highlight w:val="none"/>
          <w:lang w:val="zh-CN"/>
        </w:rPr>
        <w:t>无重大违法记录声明函</w:t>
      </w:r>
    </w:p>
    <w:p w14:paraId="36AA8DEC">
      <w:pPr>
        <w:autoSpaceDE w:val="0"/>
        <w:autoSpaceDN w:val="0"/>
        <w:adjustRightInd w:val="0"/>
        <w:spacing w:line="360" w:lineRule="auto"/>
        <w:ind w:firstLine="480"/>
      </w:pPr>
      <w:r>
        <w:rPr>
          <w:rFonts w:hint="eastAsia" w:ascii="宋体" w:hAnsi="宋体" w:cs="仿宋_GB2312"/>
          <w:sz w:val="24"/>
          <w:highlight w:val="none"/>
          <w:lang w:val="en-US" w:eastAsia="zh-CN"/>
        </w:rPr>
        <w:t>17、</w:t>
      </w:r>
      <w:r>
        <w:rPr>
          <w:rFonts w:hint="eastAsia" w:ascii="宋体" w:hAnsi="宋体" w:cs="宋体"/>
          <w:bCs/>
          <w:color w:val="auto"/>
          <w:sz w:val="24"/>
          <w:szCs w:val="24"/>
          <w:lang w:val="en-US" w:eastAsia="zh-CN"/>
        </w:rPr>
        <w:t>是否提供政采云上传投标文件的IP地址截图</w:t>
      </w:r>
    </w:p>
    <w:p w14:paraId="5522F2F8">
      <w:pPr>
        <w:autoSpaceDE w:val="0"/>
        <w:autoSpaceDN w:val="0"/>
        <w:adjustRightInd w:val="0"/>
        <w:spacing w:line="360" w:lineRule="auto"/>
        <w:ind w:firstLine="480"/>
        <w:rPr>
          <w:rFonts w:hint="default" w:ascii="宋体" w:hAnsi="宋体" w:cs="仿宋_GB2312"/>
          <w:sz w:val="24"/>
          <w:lang w:val="en-US" w:eastAsia="zh-CN"/>
        </w:rPr>
      </w:pPr>
      <w:r>
        <w:rPr>
          <w:rFonts w:hint="eastAsia" w:ascii="宋体" w:hAnsi="宋体" w:cs="仿宋_GB2312"/>
          <w:sz w:val="24"/>
          <w:highlight w:val="none"/>
        </w:rPr>
        <w:t>1</w:t>
      </w:r>
      <w:r>
        <w:rPr>
          <w:rFonts w:hint="eastAsia" w:ascii="宋体" w:hAnsi="宋体" w:cs="仿宋_GB2312"/>
          <w:sz w:val="24"/>
          <w:highlight w:val="none"/>
          <w:lang w:val="en-US" w:eastAsia="zh-CN"/>
        </w:rPr>
        <w:t>8</w:t>
      </w:r>
      <w:r>
        <w:rPr>
          <w:rFonts w:hint="eastAsia" w:ascii="宋体" w:hAnsi="宋体" w:cs="仿宋_GB2312"/>
          <w:sz w:val="24"/>
          <w:highlight w:val="none"/>
          <w:lang w:val="zh-CN"/>
        </w:rPr>
        <w:t>、提供其它有利于投标的资料</w:t>
      </w:r>
    </w:p>
    <w:p w14:paraId="2E877C8B">
      <w:pPr>
        <w:spacing w:line="360" w:lineRule="auto"/>
        <w:ind w:firstLine="602" w:firstLineChars="250"/>
        <w:rPr>
          <w:rFonts w:ascii="宋体" w:hAnsi="宋体" w:cs="宋体"/>
          <w:b/>
          <w:sz w:val="24"/>
        </w:rPr>
      </w:pPr>
      <w:r>
        <w:rPr>
          <w:rFonts w:hint="eastAsia" w:ascii="宋体" w:hAnsi="宋体" w:cs="宋体"/>
          <w:b/>
          <w:sz w:val="24"/>
        </w:rPr>
        <w:t xml:space="preserve">二、投标文件顺序及格式范本 </w:t>
      </w:r>
    </w:p>
    <w:p w14:paraId="1CCB4EB7">
      <w:pPr>
        <w:spacing w:line="360" w:lineRule="auto"/>
        <w:ind w:firstLine="602" w:firstLineChars="250"/>
        <w:rPr>
          <w:rFonts w:ascii="宋体" w:hAnsi="宋体" w:cs="宋体"/>
          <w:b/>
          <w:sz w:val="24"/>
        </w:rPr>
      </w:pPr>
      <w:r>
        <w:rPr>
          <w:rFonts w:hint="eastAsia" w:ascii="宋体" w:hAnsi="宋体" w:cs="宋体"/>
          <w:b/>
          <w:sz w:val="24"/>
        </w:rPr>
        <w:t>（一）投标文件顺序及要求</w:t>
      </w:r>
    </w:p>
    <w:p w14:paraId="0036C53B">
      <w:pPr>
        <w:spacing w:line="360" w:lineRule="auto"/>
        <w:ind w:firstLine="600" w:firstLineChars="250"/>
        <w:rPr>
          <w:rFonts w:ascii="宋体" w:hAnsi="宋体" w:cs="宋体"/>
          <w:sz w:val="24"/>
          <w:szCs w:val="24"/>
        </w:rPr>
      </w:pPr>
      <w:r>
        <w:rPr>
          <w:rFonts w:hint="eastAsia" w:ascii="宋体" w:hAnsi="宋体" w:cs="宋体"/>
          <w:sz w:val="24"/>
          <w:szCs w:val="24"/>
        </w:rPr>
        <w:t>1、各投标人应严格按格式范本提供，不允许擅自或随意改变和变动，标书范本应做到工整整齐和完整。</w:t>
      </w:r>
    </w:p>
    <w:p w14:paraId="2A1F3173">
      <w:pPr>
        <w:spacing w:line="360" w:lineRule="auto"/>
        <w:ind w:firstLine="600" w:firstLineChars="250"/>
        <w:rPr>
          <w:rFonts w:hint="eastAsia" w:ascii="宋体" w:hAnsi="宋体" w:eastAsia="宋体" w:cs="宋体"/>
          <w:sz w:val="24"/>
          <w:szCs w:val="24"/>
          <w:lang w:eastAsia="zh-CN"/>
        </w:rPr>
      </w:pPr>
      <w:r>
        <w:rPr>
          <w:rFonts w:hint="eastAsia" w:ascii="宋体" w:hAnsi="宋体" w:cs="宋体"/>
          <w:sz w:val="24"/>
          <w:szCs w:val="24"/>
        </w:rPr>
        <w:t>2、文书字体应选择不大于仿宋三号或宋体三号字体，表格内字体应选择不大于仿宋小四号或宋体小四号字体</w:t>
      </w:r>
      <w:r>
        <w:rPr>
          <w:rFonts w:hint="eastAsia" w:ascii="宋体" w:hAnsi="宋体" w:cs="宋体"/>
          <w:sz w:val="24"/>
          <w:szCs w:val="24"/>
          <w:lang w:eastAsia="zh-CN"/>
        </w:rPr>
        <w:t>。</w:t>
      </w:r>
    </w:p>
    <w:p w14:paraId="37B08E85">
      <w:pPr>
        <w:spacing w:line="360" w:lineRule="auto"/>
        <w:ind w:firstLine="600" w:firstLineChars="250"/>
        <w:rPr>
          <w:rFonts w:ascii="宋体" w:hAnsi="宋体" w:cs="宋体"/>
          <w:sz w:val="24"/>
          <w:szCs w:val="24"/>
        </w:rPr>
      </w:pPr>
      <w:r>
        <w:rPr>
          <w:rFonts w:hint="eastAsia" w:ascii="宋体" w:hAnsi="宋体" w:cs="宋体"/>
          <w:sz w:val="24"/>
          <w:szCs w:val="24"/>
        </w:rPr>
        <w:t>3、凡须要签字盖章的，必须有符合招标文件规定要求的人员签字，公章必须是单位法人印章。</w:t>
      </w:r>
    </w:p>
    <w:p w14:paraId="29C152BB">
      <w:pPr>
        <w:spacing w:line="360" w:lineRule="auto"/>
        <w:ind w:firstLine="600" w:firstLineChars="250"/>
        <w:rPr>
          <w:rFonts w:ascii="宋体" w:hAnsi="宋体" w:cs="宋体"/>
          <w:sz w:val="24"/>
          <w:szCs w:val="24"/>
        </w:rPr>
      </w:pPr>
      <w:r>
        <w:rPr>
          <w:rFonts w:hint="eastAsia" w:ascii="宋体" w:hAnsi="宋体" w:cs="宋体"/>
          <w:sz w:val="24"/>
          <w:szCs w:val="24"/>
        </w:rPr>
        <w:t>4、凡有备注说明的，必须符合说明的要求。</w:t>
      </w:r>
    </w:p>
    <w:p w14:paraId="0A3FC310">
      <w:pPr>
        <w:spacing w:line="360" w:lineRule="auto"/>
        <w:ind w:firstLine="600" w:firstLineChars="250"/>
        <w:jc w:val="left"/>
        <w:rPr>
          <w:rFonts w:ascii="宋体" w:hAnsi="宋体" w:cs="宋体"/>
          <w:sz w:val="24"/>
          <w:szCs w:val="24"/>
        </w:rPr>
      </w:pPr>
      <w:r>
        <w:rPr>
          <w:rFonts w:hint="eastAsia" w:ascii="宋体" w:hAnsi="宋体" w:cs="宋体"/>
          <w:sz w:val="24"/>
          <w:szCs w:val="24"/>
        </w:rPr>
        <w:t>5、凡招标文件要求提供的，必须提供。</w:t>
      </w:r>
    </w:p>
    <w:p w14:paraId="2653D891">
      <w:pPr>
        <w:pStyle w:val="11"/>
      </w:pPr>
    </w:p>
    <w:p w14:paraId="2FF06CD7">
      <w:pPr>
        <w:pStyle w:val="11"/>
      </w:pPr>
    </w:p>
    <w:p w14:paraId="065CA69C">
      <w:pPr>
        <w:pStyle w:val="7"/>
      </w:pPr>
    </w:p>
    <w:p w14:paraId="72DA735C">
      <w:pPr>
        <w:spacing w:line="460" w:lineRule="exact"/>
        <w:rPr>
          <w:rFonts w:ascii="宋体" w:hAnsi="宋体"/>
          <w:b/>
          <w:sz w:val="24"/>
        </w:rPr>
      </w:pPr>
    </w:p>
    <w:p w14:paraId="1A07093E">
      <w:pPr>
        <w:spacing w:line="460" w:lineRule="exact"/>
        <w:rPr>
          <w:rFonts w:ascii="宋体" w:hAnsi="宋体"/>
          <w:b/>
          <w:sz w:val="24"/>
        </w:rPr>
      </w:pPr>
    </w:p>
    <w:p w14:paraId="5BA69272">
      <w:pPr>
        <w:spacing w:line="460" w:lineRule="exact"/>
        <w:rPr>
          <w:rFonts w:ascii="宋体" w:hAnsi="宋体"/>
          <w:b/>
          <w:sz w:val="24"/>
        </w:rPr>
      </w:pPr>
    </w:p>
    <w:p w14:paraId="5222F423">
      <w:pPr>
        <w:spacing w:line="460" w:lineRule="exact"/>
        <w:rPr>
          <w:rFonts w:ascii="宋体" w:hAnsi="宋体"/>
          <w:b/>
          <w:sz w:val="24"/>
        </w:rPr>
      </w:pPr>
    </w:p>
    <w:p w14:paraId="3DB3BB2D">
      <w:pPr>
        <w:spacing w:line="460" w:lineRule="exact"/>
        <w:rPr>
          <w:rFonts w:ascii="宋体" w:hAnsi="宋体"/>
          <w:b/>
          <w:sz w:val="24"/>
        </w:rPr>
      </w:pPr>
    </w:p>
    <w:p w14:paraId="5CDECE0C">
      <w:pPr>
        <w:spacing w:line="460" w:lineRule="exact"/>
        <w:rPr>
          <w:rFonts w:ascii="宋体" w:hAnsi="宋体"/>
          <w:b/>
          <w:sz w:val="24"/>
        </w:rPr>
      </w:pPr>
    </w:p>
    <w:p w14:paraId="3A23991D">
      <w:pPr>
        <w:spacing w:line="460" w:lineRule="exact"/>
        <w:rPr>
          <w:rFonts w:ascii="宋体" w:hAnsi="宋体"/>
          <w:b/>
          <w:sz w:val="24"/>
        </w:rPr>
      </w:pPr>
    </w:p>
    <w:p w14:paraId="00D6F1EE">
      <w:pPr>
        <w:spacing w:line="460" w:lineRule="exact"/>
        <w:rPr>
          <w:rFonts w:ascii="宋体" w:hAnsi="宋体"/>
          <w:b/>
          <w:sz w:val="24"/>
        </w:rPr>
      </w:pPr>
    </w:p>
    <w:p w14:paraId="12F24766">
      <w:pPr>
        <w:spacing w:line="460" w:lineRule="exact"/>
        <w:rPr>
          <w:rFonts w:ascii="宋体" w:hAnsi="宋体"/>
          <w:b/>
          <w:sz w:val="24"/>
        </w:rPr>
      </w:pPr>
    </w:p>
    <w:p w14:paraId="078DF42C">
      <w:pPr>
        <w:spacing w:line="460" w:lineRule="exact"/>
        <w:rPr>
          <w:rFonts w:ascii="宋体" w:hAnsi="宋体"/>
          <w:b/>
          <w:sz w:val="24"/>
        </w:rPr>
      </w:pPr>
    </w:p>
    <w:p w14:paraId="6DB0DE22">
      <w:pPr>
        <w:spacing w:line="460" w:lineRule="exact"/>
        <w:rPr>
          <w:rFonts w:ascii="宋体" w:hAnsi="宋体"/>
          <w:b/>
          <w:sz w:val="24"/>
        </w:rPr>
      </w:pPr>
    </w:p>
    <w:p w14:paraId="06EE8D66">
      <w:pPr>
        <w:spacing w:line="460" w:lineRule="exact"/>
        <w:rPr>
          <w:rFonts w:ascii="宋体" w:hAnsi="宋体"/>
          <w:b/>
          <w:sz w:val="24"/>
        </w:rPr>
      </w:pPr>
    </w:p>
    <w:p w14:paraId="6E29C65E">
      <w:pPr>
        <w:pStyle w:val="45"/>
        <w:rPr>
          <w:rFonts w:ascii="宋体" w:hAnsi="宋体"/>
          <w:b/>
          <w:sz w:val="24"/>
        </w:rPr>
      </w:pPr>
    </w:p>
    <w:p w14:paraId="12CEF1BD">
      <w:pPr>
        <w:pStyle w:val="45"/>
        <w:rPr>
          <w:rFonts w:ascii="宋体" w:hAnsi="宋体"/>
          <w:b/>
          <w:sz w:val="24"/>
        </w:rPr>
      </w:pPr>
    </w:p>
    <w:p w14:paraId="0AA4A8F0">
      <w:pPr>
        <w:pStyle w:val="45"/>
        <w:rPr>
          <w:rFonts w:ascii="宋体" w:hAnsi="宋体"/>
          <w:b/>
          <w:sz w:val="24"/>
        </w:rPr>
      </w:pPr>
    </w:p>
    <w:p w14:paraId="09AC84D5">
      <w:pPr>
        <w:rPr>
          <w:rFonts w:hint="eastAsia" w:ascii="宋体" w:hAnsi="宋体" w:cs="宋体"/>
          <w:b/>
          <w:sz w:val="28"/>
          <w:szCs w:val="28"/>
        </w:rPr>
      </w:pPr>
      <w:r>
        <w:rPr>
          <w:rFonts w:hint="eastAsia" w:ascii="宋体" w:hAnsi="宋体" w:cs="宋体"/>
          <w:b/>
          <w:sz w:val="28"/>
          <w:szCs w:val="28"/>
        </w:rPr>
        <w:br w:type="page"/>
      </w:r>
    </w:p>
    <w:p w14:paraId="7795FC25">
      <w:pPr>
        <w:spacing w:line="360" w:lineRule="auto"/>
        <w:ind w:firstLine="703" w:firstLineChars="250"/>
        <w:jc w:val="center"/>
        <w:rPr>
          <w:rFonts w:ascii="宋体" w:hAnsi="宋体" w:cs="宋体"/>
          <w:b/>
          <w:sz w:val="28"/>
          <w:szCs w:val="28"/>
        </w:rPr>
      </w:pPr>
      <w:r>
        <w:rPr>
          <w:rFonts w:hint="eastAsia" w:ascii="宋体" w:hAnsi="宋体" w:cs="宋体"/>
          <w:b/>
          <w:sz w:val="28"/>
          <w:szCs w:val="28"/>
        </w:rPr>
        <w:t>投标文件格式范本</w:t>
      </w:r>
    </w:p>
    <w:p w14:paraId="051FE545">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rPr>
        <w:t>1、</w:t>
      </w:r>
      <w:r>
        <w:rPr>
          <w:rFonts w:hint="eastAsia"/>
          <w:b/>
          <w:bCs/>
          <w:sz w:val="28"/>
          <w:szCs w:val="28"/>
          <w:highlight w:val="none"/>
        </w:rPr>
        <w:t>投标函</w:t>
      </w:r>
    </w:p>
    <w:p w14:paraId="3E822A96">
      <w:pPr>
        <w:spacing w:line="400" w:lineRule="exact"/>
        <w:rPr>
          <w:rFonts w:hint="eastAsia" w:ascii="宋体" w:hAnsi="宋体"/>
          <w:sz w:val="24"/>
          <w:highlight w:val="none"/>
        </w:rPr>
      </w:pPr>
      <w:r>
        <w:rPr>
          <w:rFonts w:hint="eastAsia" w:ascii="宋体" w:hAnsi="宋体"/>
          <w:sz w:val="24"/>
          <w:highlight w:val="none"/>
        </w:rPr>
        <w:t>致：（采购人）</w:t>
      </w:r>
    </w:p>
    <w:p w14:paraId="3F446D3D">
      <w:pPr>
        <w:spacing w:line="400" w:lineRule="exact"/>
        <w:ind w:firstLine="555"/>
        <w:rPr>
          <w:rFonts w:hint="eastAsia" w:ascii="宋体" w:hAnsi="宋体"/>
          <w:sz w:val="24"/>
          <w:highlight w:val="none"/>
        </w:rPr>
      </w:pPr>
      <w:r>
        <w:rPr>
          <w:rFonts w:hint="eastAsia" w:ascii="宋体" w:hAnsi="宋体"/>
          <w:sz w:val="24"/>
          <w:highlight w:val="none"/>
        </w:rPr>
        <w:t>根据贵方为</w:t>
      </w:r>
      <w:r>
        <w:rPr>
          <w:rFonts w:hint="eastAsia" w:ascii="宋体" w:hAnsi="宋体"/>
          <w:sz w:val="24"/>
          <w:highlight w:val="none"/>
          <w:u w:val="single"/>
        </w:rPr>
        <w:t xml:space="preserve">　　　（项目名称）    </w:t>
      </w:r>
      <w:r>
        <w:rPr>
          <w:rFonts w:hint="eastAsia" w:ascii="宋体" w:hAnsi="宋体"/>
          <w:sz w:val="24"/>
          <w:highlight w:val="none"/>
        </w:rPr>
        <w:t>项目招标的投标邀请</w:t>
      </w:r>
      <w:r>
        <w:rPr>
          <w:rFonts w:hint="eastAsia" w:ascii="宋体" w:hAnsi="宋体"/>
          <w:sz w:val="24"/>
          <w:highlight w:val="none"/>
          <w:u w:val="single"/>
        </w:rPr>
        <w:t xml:space="preserve">（项目编号） </w:t>
      </w:r>
      <w:r>
        <w:rPr>
          <w:rFonts w:hint="eastAsia" w:ascii="宋体" w:hAnsi="宋体"/>
          <w:sz w:val="24"/>
          <w:highlight w:val="none"/>
        </w:rPr>
        <w:t>，签字代表</w:t>
      </w:r>
      <w:r>
        <w:rPr>
          <w:rFonts w:hint="eastAsia" w:ascii="宋体" w:hAnsi="宋体"/>
          <w:sz w:val="24"/>
          <w:highlight w:val="none"/>
          <w:u w:val="single"/>
        </w:rPr>
        <w:t>（姓名、职务）</w:t>
      </w:r>
      <w:r>
        <w:rPr>
          <w:rFonts w:hint="eastAsia" w:ascii="宋体" w:hAnsi="宋体"/>
          <w:sz w:val="24"/>
          <w:highlight w:val="none"/>
        </w:rPr>
        <w:t>经正式授权并代表供应商</w:t>
      </w:r>
      <w:r>
        <w:rPr>
          <w:rFonts w:hint="eastAsia" w:ascii="宋体" w:hAnsi="宋体"/>
          <w:sz w:val="24"/>
          <w:highlight w:val="none"/>
          <w:u w:val="single"/>
        </w:rPr>
        <w:t>（供应商名称、地址）</w:t>
      </w:r>
      <w:r>
        <w:rPr>
          <w:rFonts w:hint="eastAsia" w:ascii="宋体" w:hAnsi="宋体"/>
          <w:sz w:val="24"/>
          <w:highlight w:val="none"/>
        </w:rPr>
        <w:t>提交下述文件正本</w:t>
      </w:r>
      <w:r>
        <w:rPr>
          <w:rFonts w:hint="eastAsia" w:ascii="宋体" w:hAnsi="宋体"/>
          <w:sz w:val="24"/>
          <w:highlight w:val="none"/>
          <w:u w:val="single"/>
        </w:rPr>
        <w:t>一</w:t>
      </w:r>
      <w:r>
        <w:rPr>
          <w:rFonts w:hint="eastAsia" w:ascii="宋体" w:hAnsi="宋体"/>
          <w:sz w:val="24"/>
          <w:highlight w:val="none"/>
        </w:rPr>
        <w:t>份和副本</w:t>
      </w:r>
      <w:r>
        <w:rPr>
          <w:rFonts w:hint="eastAsia" w:ascii="宋体" w:hAnsi="宋体"/>
          <w:sz w:val="24"/>
          <w:highlight w:val="none"/>
          <w:u w:val="single"/>
        </w:rPr>
        <w:t>二</w:t>
      </w:r>
      <w:r>
        <w:rPr>
          <w:rFonts w:hint="eastAsia" w:ascii="宋体" w:hAnsi="宋体"/>
          <w:sz w:val="24"/>
          <w:highlight w:val="none"/>
        </w:rPr>
        <w:t>份。</w:t>
      </w:r>
    </w:p>
    <w:p w14:paraId="3459771B">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1、投标函</w:t>
      </w:r>
    </w:p>
    <w:p w14:paraId="63910177">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2、法定代表人资格证明书、法定代表人的授权委托书</w:t>
      </w:r>
    </w:p>
    <w:p w14:paraId="6D664981">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3、报价一览表</w:t>
      </w:r>
    </w:p>
    <w:p w14:paraId="63FB4266">
      <w:pPr>
        <w:autoSpaceDE w:val="0"/>
        <w:autoSpaceDN w:val="0"/>
        <w:adjustRightInd w:val="0"/>
        <w:spacing w:line="360" w:lineRule="auto"/>
        <w:ind w:firstLine="787" w:firstLineChars="328"/>
        <w:rPr>
          <w:rFonts w:hint="eastAsia" w:ascii="宋体" w:hAnsi="宋体" w:cs="仿宋_GB2312"/>
          <w:sz w:val="24"/>
          <w:highlight w:val="none"/>
          <w:lang w:val="zh-CN"/>
        </w:rPr>
      </w:pPr>
      <w:r>
        <w:rPr>
          <w:rFonts w:hint="eastAsia" w:ascii="宋体" w:hAnsi="宋体" w:cs="仿宋_GB2312"/>
          <w:sz w:val="24"/>
          <w:highlight w:val="none"/>
          <w:lang w:val="zh-CN"/>
        </w:rPr>
        <w:t>4、供应商资质证明文件，包括：</w:t>
      </w:r>
    </w:p>
    <w:p w14:paraId="1FDB71BA">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4.1、</w:t>
      </w:r>
      <w:r>
        <w:rPr>
          <w:rFonts w:hint="eastAsia" w:ascii="宋体" w:hAnsi="宋体" w:cs="宋体"/>
          <w:bCs/>
          <w:sz w:val="24"/>
          <w:szCs w:val="24"/>
          <w:lang w:val="en-US" w:eastAsia="zh-CN"/>
        </w:rPr>
        <w:t>须具有中华人民共和国境内注册的独立法人资格的企事业单位，提供事业单位证书或营业执照</w:t>
      </w:r>
      <w:r>
        <w:rPr>
          <w:rFonts w:hint="eastAsia" w:ascii="宋体" w:hAnsi="宋体"/>
          <w:sz w:val="24"/>
          <w:highlight w:val="none"/>
        </w:rPr>
        <w:t>；</w:t>
      </w:r>
    </w:p>
    <w:p w14:paraId="46460F21">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4.2、</w:t>
      </w:r>
      <w:r>
        <w:rPr>
          <w:rFonts w:hint="eastAsia" w:ascii="宋体" w:hAnsi="宋体"/>
          <w:sz w:val="24"/>
          <w:highlight w:val="none"/>
          <w:lang w:val="zh-CN"/>
        </w:rPr>
        <w:t>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r>
        <w:rPr>
          <w:rFonts w:hint="eastAsia" w:ascii="宋体" w:hAnsi="宋体"/>
          <w:sz w:val="24"/>
          <w:highlight w:val="none"/>
        </w:rPr>
        <w:t xml:space="preserve">  </w:t>
      </w:r>
    </w:p>
    <w:p w14:paraId="0814F3D4">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4.3、投标保证金缴纳凭证；</w:t>
      </w:r>
    </w:p>
    <w:p w14:paraId="36B90A39">
      <w:pPr>
        <w:autoSpaceDE w:val="0"/>
        <w:autoSpaceDN w:val="0"/>
        <w:adjustRightInd w:val="0"/>
        <w:spacing w:line="360" w:lineRule="auto"/>
        <w:ind w:firstLine="787" w:firstLineChars="328"/>
        <w:rPr>
          <w:rFonts w:hint="eastAsia" w:cs="Times New Roman"/>
          <w:color w:val="auto"/>
          <w:sz w:val="24"/>
          <w:szCs w:val="24"/>
          <w:highlight w:val="none"/>
          <w:shd w:val="clear" w:color="auto" w:fill="auto"/>
          <w:lang w:val="en-US" w:eastAsia="zh-CN"/>
        </w:rPr>
      </w:pPr>
      <w:r>
        <w:rPr>
          <w:rFonts w:hint="eastAsia" w:ascii="宋体" w:hAnsi="宋体"/>
          <w:sz w:val="24"/>
          <w:highlight w:val="none"/>
          <w:lang w:val="en-US" w:eastAsia="zh-CN"/>
        </w:rPr>
        <w:t>4.4、</w:t>
      </w:r>
      <w:r>
        <w:rPr>
          <w:rFonts w:hint="eastAsia" w:cs="Times New Roman"/>
          <w:color w:val="auto"/>
          <w:sz w:val="24"/>
          <w:szCs w:val="24"/>
          <w:highlight w:val="none"/>
          <w:shd w:val="clear" w:color="auto" w:fill="auto"/>
          <w:lang w:val="en-US" w:eastAsia="zh-CN"/>
        </w:rPr>
        <w:t>满足《中华人民共和国政府采购法》第二十二条规定，并提供承诺书。</w:t>
      </w:r>
    </w:p>
    <w:p w14:paraId="2F41F729">
      <w:pP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zh-CN"/>
        </w:rPr>
        <w:t>5、关于资格的声明函</w:t>
      </w:r>
    </w:p>
    <w:p w14:paraId="7194F650">
      <w:pPr>
        <w:autoSpaceDE w:val="0"/>
        <w:autoSpaceDN w:val="0"/>
        <w:adjustRightInd w:val="0"/>
        <w:spacing w:line="360" w:lineRule="auto"/>
        <w:ind w:firstLine="480" w:firstLineChars="200"/>
        <w:rPr>
          <w:rFonts w:hint="default" w:ascii="宋体" w:hAnsi="宋体"/>
          <w:sz w:val="24"/>
          <w:highlight w:val="none"/>
          <w:lang w:val="en-US" w:eastAsia="zh-CN"/>
        </w:rPr>
      </w:pPr>
      <w:r>
        <w:rPr>
          <w:rFonts w:hint="eastAsia" w:ascii="宋体" w:hAnsi="宋体"/>
          <w:sz w:val="24"/>
          <w:highlight w:val="none"/>
          <w:lang w:val="en-US" w:eastAsia="zh-CN"/>
        </w:rPr>
        <w:t>6、服务报价明细表</w:t>
      </w:r>
    </w:p>
    <w:p w14:paraId="36F24506">
      <w:pPr>
        <w:pBdr>
          <w:top w:val="none" w:color="auto" w:sz="0" w:space="0"/>
          <w:left w:val="none" w:color="auto" w:sz="0" w:space="0"/>
          <w:bottom w:val="none" w:color="auto" w:sz="0" w:space="0"/>
          <w:right w:val="none" w:color="auto" w:sz="0" w:space="0"/>
          <w:between w:val="none" w:color="auto" w:sz="0" w:space="0"/>
        </w:pBd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en-US" w:eastAsia="zh-CN"/>
        </w:rPr>
        <w:t>7</w:t>
      </w:r>
      <w:r>
        <w:rPr>
          <w:rFonts w:hint="eastAsia" w:ascii="宋体" w:hAnsi="宋体" w:cs="仿宋_GB2312"/>
          <w:sz w:val="24"/>
          <w:highlight w:val="none"/>
          <w:lang w:val="zh-CN"/>
        </w:rPr>
        <w:t>、商务条款偏离表</w:t>
      </w:r>
    </w:p>
    <w:p w14:paraId="4DA12C50">
      <w:pPr>
        <w:autoSpaceDE w:val="0"/>
        <w:autoSpaceDN w:val="0"/>
        <w:adjustRightInd w:val="0"/>
        <w:spacing w:line="360" w:lineRule="auto"/>
        <w:ind w:firstLine="480" w:firstLineChars="200"/>
        <w:rPr>
          <w:rFonts w:hint="eastAsia" w:ascii="宋体" w:hAnsi="宋体" w:cs="仿宋_GB2312"/>
          <w:sz w:val="24"/>
          <w:highlight w:val="none"/>
          <w:lang w:val="zh-CN"/>
        </w:rPr>
      </w:pPr>
      <w:r>
        <w:rPr>
          <w:rFonts w:hint="eastAsia" w:ascii="宋体" w:hAnsi="宋体" w:cs="仿宋_GB2312"/>
          <w:sz w:val="24"/>
          <w:highlight w:val="none"/>
          <w:lang w:val="en-US" w:eastAsia="zh-CN"/>
        </w:rPr>
        <w:t>8</w:t>
      </w:r>
      <w:r>
        <w:rPr>
          <w:rFonts w:hint="eastAsia" w:ascii="宋体" w:hAnsi="宋体" w:cs="仿宋_GB2312"/>
          <w:sz w:val="24"/>
          <w:highlight w:val="none"/>
          <w:lang w:val="zh-CN"/>
        </w:rPr>
        <w:t>、业绩表</w:t>
      </w:r>
    </w:p>
    <w:p w14:paraId="006B41FC">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lang w:val="en-US" w:eastAsia="zh-CN"/>
        </w:rPr>
        <w:t>9</w:t>
      </w:r>
      <w:r>
        <w:rPr>
          <w:rFonts w:hint="eastAsia" w:ascii="宋体" w:hAnsi="宋体" w:cs="仿宋_GB2312"/>
          <w:sz w:val="24"/>
          <w:highlight w:val="none"/>
          <w:lang w:val="zh-CN"/>
        </w:rPr>
        <w:t>、投标单位（供应商）反商业贿赂承诺书</w:t>
      </w:r>
    </w:p>
    <w:p w14:paraId="295CED10">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lang w:val="en-US" w:eastAsia="zh-CN"/>
        </w:rPr>
        <w:t>10</w:t>
      </w:r>
      <w:r>
        <w:rPr>
          <w:rFonts w:hint="eastAsia" w:ascii="宋体" w:hAnsi="宋体" w:cs="仿宋_GB2312"/>
          <w:sz w:val="24"/>
          <w:highlight w:val="none"/>
          <w:lang w:val="zh-CN"/>
        </w:rPr>
        <w:t>、投标承诺书</w:t>
      </w:r>
    </w:p>
    <w:p w14:paraId="14167027">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1</w:t>
      </w:r>
      <w:r>
        <w:rPr>
          <w:rFonts w:hint="eastAsia" w:ascii="宋体" w:hAnsi="宋体" w:cs="仿宋_GB2312"/>
          <w:sz w:val="24"/>
          <w:highlight w:val="none"/>
          <w:lang w:val="zh-CN"/>
        </w:rPr>
        <w:t>、投标保证金退还说明</w:t>
      </w:r>
    </w:p>
    <w:p w14:paraId="200E40D6">
      <w:pPr>
        <w:autoSpaceDE w:val="0"/>
        <w:autoSpaceDN w:val="0"/>
        <w:adjustRightInd w:val="0"/>
        <w:spacing w:line="360" w:lineRule="auto"/>
        <w:ind w:firstLine="480"/>
        <w:rPr>
          <w:rFonts w:hint="eastAsia"/>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2</w:t>
      </w:r>
      <w:r>
        <w:rPr>
          <w:rFonts w:hint="eastAsia" w:ascii="宋体" w:hAnsi="宋体" w:cs="仿宋_GB2312"/>
          <w:sz w:val="24"/>
          <w:highlight w:val="none"/>
        </w:rPr>
        <w:t>、</w:t>
      </w:r>
      <w:r>
        <w:rPr>
          <w:rFonts w:hint="eastAsia" w:ascii="宋体" w:hAnsi="宋体" w:cs="仿宋_GB2312"/>
          <w:sz w:val="24"/>
          <w:highlight w:val="none"/>
          <w:lang w:val="zh-CN"/>
        </w:rPr>
        <w:t>投标单位（供应商）《遵守政府采购相关法律法规承诺书》</w:t>
      </w:r>
    </w:p>
    <w:p w14:paraId="69BC055B">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3</w:t>
      </w:r>
      <w:r>
        <w:rPr>
          <w:rFonts w:hint="eastAsia" w:ascii="宋体" w:hAnsi="宋体" w:cs="仿宋_GB2312"/>
          <w:sz w:val="24"/>
          <w:highlight w:val="none"/>
          <w:lang w:val="zh-CN"/>
        </w:rPr>
        <w:t>、中小企业声明函</w:t>
      </w:r>
    </w:p>
    <w:p w14:paraId="1B898840">
      <w:pPr>
        <w:autoSpaceDE w:val="0"/>
        <w:autoSpaceDN w:val="0"/>
        <w:adjustRightInd w:val="0"/>
        <w:spacing w:line="360" w:lineRule="auto"/>
        <w:ind w:firstLine="480"/>
        <w:rPr>
          <w:rFonts w:hint="eastAsia" w:ascii="宋体" w:hAnsi="宋体" w:cs="仿宋_GB2312"/>
          <w:sz w:val="24"/>
          <w:highlight w:val="none"/>
        </w:rPr>
      </w:pPr>
      <w:r>
        <w:rPr>
          <w:rFonts w:hint="eastAsia" w:ascii="宋体" w:hAnsi="宋体" w:cs="仿宋_GB2312"/>
          <w:sz w:val="24"/>
          <w:highlight w:val="none"/>
        </w:rPr>
        <w:t>1</w:t>
      </w:r>
      <w:r>
        <w:rPr>
          <w:rFonts w:hint="eastAsia" w:ascii="宋体" w:hAnsi="宋体" w:cs="仿宋_GB2312"/>
          <w:sz w:val="24"/>
          <w:highlight w:val="none"/>
          <w:lang w:val="en-US" w:eastAsia="zh-CN"/>
        </w:rPr>
        <w:t>4</w:t>
      </w:r>
      <w:r>
        <w:rPr>
          <w:rFonts w:hint="eastAsia" w:ascii="宋体" w:hAnsi="宋体" w:cs="仿宋_GB2312"/>
          <w:sz w:val="24"/>
          <w:highlight w:val="none"/>
        </w:rPr>
        <w:t>、主要股东或出资人信息</w:t>
      </w:r>
    </w:p>
    <w:p w14:paraId="1ED033C7">
      <w:pPr>
        <w:autoSpaceDE w:val="0"/>
        <w:autoSpaceDN w:val="0"/>
        <w:adjustRightInd w:val="0"/>
        <w:spacing w:line="360" w:lineRule="auto"/>
        <w:ind w:firstLine="480"/>
        <w:rPr>
          <w:rFonts w:hint="eastAsia" w:ascii="宋体" w:hAnsi="宋体" w:cs="仿宋_GB2312"/>
          <w:sz w:val="24"/>
          <w:highlight w:val="none"/>
        </w:rPr>
      </w:pPr>
      <w:r>
        <w:rPr>
          <w:rFonts w:hint="eastAsia" w:ascii="宋体" w:hAnsi="宋体" w:cs="仿宋_GB2312"/>
          <w:sz w:val="24"/>
          <w:highlight w:val="none"/>
        </w:rPr>
        <w:t>1</w:t>
      </w:r>
      <w:r>
        <w:rPr>
          <w:rFonts w:hint="eastAsia" w:ascii="宋体" w:hAnsi="宋体" w:cs="仿宋_GB2312"/>
          <w:sz w:val="24"/>
          <w:highlight w:val="none"/>
          <w:lang w:val="en-US" w:eastAsia="zh-CN"/>
        </w:rPr>
        <w:t>5</w:t>
      </w:r>
      <w:r>
        <w:rPr>
          <w:rFonts w:hint="eastAsia" w:ascii="宋体" w:hAnsi="宋体" w:cs="仿宋_GB2312"/>
          <w:sz w:val="24"/>
          <w:highlight w:val="none"/>
        </w:rPr>
        <w:t>、非联合体投标声明</w:t>
      </w:r>
    </w:p>
    <w:p w14:paraId="3FFFF483">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6</w:t>
      </w:r>
      <w:r>
        <w:rPr>
          <w:rFonts w:hint="eastAsia" w:ascii="宋体" w:hAnsi="宋体" w:cs="仿宋_GB2312"/>
          <w:sz w:val="24"/>
          <w:highlight w:val="none"/>
        </w:rPr>
        <w:t>、</w:t>
      </w:r>
      <w:r>
        <w:rPr>
          <w:rFonts w:hint="eastAsia" w:ascii="宋体" w:hAnsi="宋体" w:cs="仿宋_GB2312"/>
          <w:sz w:val="24"/>
          <w:highlight w:val="none"/>
          <w:lang w:val="zh-CN"/>
        </w:rPr>
        <w:t>无重大违法记录声明函</w:t>
      </w:r>
    </w:p>
    <w:p w14:paraId="14AC8063">
      <w:pPr>
        <w:autoSpaceDE w:val="0"/>
        <w:autoSpaceDN w:val="0"/>
        <w:adjustRightInd w:val="0"/>
        <w:spacing w:line="360" w:lineRule="auto"/>
        <w:ind w:firstLine="480"/>
      </w:pPr>
      <w:r>
        <w:rPr>
          <w:rFonts w:hint="eastAsia" w:ascii="宋体" w:hAnsi="宋体" w:cs="仿宋_GB2312"/>
          <w:sz w:val="24"/>
          <w:highlight w:val="none"/>
          <w:lang w:val="en-US" w:eastAsia="zh-CN"/>
        </w:rPr>
        <w:t>17、</w:t>
      </w:r>
      <w:r>
        <w:rPr>
          <w:rFonts w:hint="eastAsia" w:ascii="宋体" w:hAnsi="宋体" w:cs="宋体"/>
          <w:bCs/>
          <w:color w:val="auto"/>
          <w:sz w:val="24"/>
          <w:szCs w:val="24"/>
          <w:lang w:val="en-US" w:eastAsia="zh-CN"/>
        </w:rPr>
        <w:t>是否提供政采云上传投标文件的IP地址截图</w:t>
      </w:r>
    </w:p>
    <w:p w14:paraId="1470B473">
      <w:pPr>
        <w:autoSpaceDE w:val="0"/>
        <w:autoSpaceDN w:val="0"/>
        <w:adjustRightInd w:val="0"/>
        <w:spacing w:line="360" w:lineRule="auto"/>
        <w:ind w:firstLine="480"/>
        <w:rPr>
          <w:rFonts w:hint="eastAsia" w:ascii="宋体" w:hAnsi="宋体" w:cs="仿宋_GB2312"/>
          <w:sz w:val="24"/>
          <w:highlight w:val="none"/>
          <w:lang w:val="zh-CN"/>
        </w:rPr>
      </w:pPr>
      <w:r>
        <w:rPr>
          <w:rFonts w:hint="eastAsia" w:ascii="宋体" w:hAnsi="宋体" w:cs="仿宋_GB2312"/>
          <w:sz w:val="24"/>
          <w:highlight w:val="none"/>
        </w:rPr>
        <w:t>1</w:t>
      </w:r>
      <w:r>
        <w:rPr>
          <w:rFonts w:hint="eastAsia" w:ascii="宋体" w:hAnsi="宋体" w:cs="仿宋_GB2312"/>
          <w:sz w:val="24"/>
          <w:highlight w:val="none"/>
          <w:lang w:val="en-US" w:eastAsia="zh-CN"/>
        </w:rPr>
        <w:t>8</w:t>
      </w:r>
      <w:r>
        <w:rPr>
          <w:rFonts w:hint="eastAsia" w:ascii="宋体" w:hAnsi="宋体" w:cs="仿宋_GB2312"/>
          <w:sz w:val="24"/>
          <w:highlight w:val="none"/>
          <w:lang w:val="zh-CN"/>
        </w:rPr>
        <w:t>、提供其它有利于投标的资料</w:t>
      </w:r>
    </w:p>
    <w:p w14:paraId="1B38F5EA">
      <w:pPr>
        <w:spacing w:line="400" w:lineRule="exact"/>
        <w:ind w:firstLine="555"/>
        <w:rPr>
          <w:rFonts w:hint="eastAsia" w:ascii="宋体" w:hAnsi="宋体"/>
          <w:sz w:val="24"/>
          <w:highlight w:val="none"/>
        </w:rPr>
      </w:pPr>
      <w:r>
        <w:rPr>
          <w:rFonts w:hint="eastAsia" w:ascii="宋体" w:hAnsi="宋体"/>
          <w:sz w:val="24"/>
          <w:highlight w:val="none"/>
        </w:rPr>
        <w:t>据此函，签字代表宣布并同意如下：</w:t>
      </w:r>
    </w:p>
    <w:p w14:paraId="7F9AABAD">
      <w:pPr>
        <w:spacing w:line="400" w:lineRule="exact"/>
        <w:ind w:firstLine="555"/>
        <w:rPr>
          <w:rFonts w:hint="eastAsia" w:ascii="宋体" w:hAnsi="宋体"/>
          <w:sz w:val="24"/>
          <w:highlight w:val="none"/>
        </w:rPr>
      </w:pPr>
      <w:r>
        <w:rPr>
          <w:rFonts w:hint="eastAsia" w:ascii="宋体" w:hAnsi="宋体"/>
          <w:sz w:val="24"/>
          <w:highlight w:val="none"/>
        </w:rPr>
        <w:t>1、所附投标报价表中规定的应提交和交付的货物和服务投标总价为</w:t>
      </w:r>
      <w:r>
        <w:rPr>
          <w:rFonts w:hint="eastAsia" w:ascii="宋体" w:hAnsi="宋体"/>
          <w:sz w:val="24"/>
          <w:highlight w:val="none"/>
          <w:u w:val="single"/>
        </w:rPr>
        <w:t>（注明币种，  并用文字和数字表示的投标总价</w:t>
      </w:r>
      <w:r>
        <w:rPr>
          <w:rFonts w:hint="eastAsia" w:ascii="宋体" w:hAnsi="宋体"/>
          <w:sz w:val="24"/>
          <w:highlight w:val="none"/>
        </w:rPr>
        <w:t>）。</w:t>
      </w:r>
    </w:p>
    <w:p w14:paraId="5656CC78">
      <w:pPr>
        <w:spacing w:line="400" w:lineRule="exact"/>
        <w:ind w:firstLine="555"/>
        <w:rPr>
          <w:rFonts w:hint="eastAsia" w:ascii="宋体" w:hAnsi="宋体"/>
          <w:sz w:val="24"/>
          <w:highlight w:val="none"/>
        </w:rPr>
      </w:pPr>
      <w:r>
        <w:rPr>
          <w:rFonts w:hint="eastAsia" w:ascii="宋体" w:hAnsi="宋体"/>
          <w:sz w:val="24"/>
          <w:highlight w:val="none"/>
        </w:rPr>
        <w:t>2、供应商将按</w:t>
      </w:r>
      <w:r>
        <w:rPr>
          <w:rFonts w:hint="eastAsia" w:ascii="宋体" w:hAnsi="宋体"/>
          <w:sz w:val="24"/>
          <w:highlight w:val="none"/>
          <w:lang w:eastAsia="zh-CN"/>
        </w:rPr>
        <w:t>招标文件</w:t>
      </w:r>
      <w:r>
        <w:rPr>
          <w:rFonts w:hint="eastAsia" w:ascii="宋体" w:hAnsi="宋体"/>
          <w:sz w:val="24"/>
          <w:highlight w:val="none"/>
        </w:rPr>
        <w:t>的规定履行合同责任和义务；</w:t>
      </w:r>
    </w:p>
    <w:p w14:paraId="19B9B6F7">
      <w:pPr>
        <w:spacing w:line="400" w:lineRule="exact"/>
        <w:ind w:firstLine="555"/>
        <w:rPr>
          <w:rFonts w:hint="eastAsia" w:ascii="宋体" w:hAnsi="宋体"/>
          <w:sz w:val="24"/>
          <w:highlight w:val="none"/>
        </w:rPr>
      </w:pPr>
      <w:r>
        <w:rPr>
          <w:rFonts w:hint="eastAsia" w:ascii="宋体" w:hAnsi="宋体"/>
          <w:sz w:val="24"/>
          <w:highlight w:val="none"/>
        </w:rPr>
        <w:t>3、供应商已详细阅读并理解了</w:t>
      </w:r>
      <w:r>
        <w:rPr>
          <w:rFonts w:hint="eastAsia" w:ascii="宋体" w:hAnsi="宋体"/>
          <w:sz w:val="24"/>
          <w:highlight w:val="none"/>
          <w:lang w:eastAsia="zh-CN"/>
        </w:rPr>
        <w:t>招标文件</w:t>
      </w:r>
      <w:r>
        <w:rPr>
          <w:rFonts w:hint="eastAsia" w:ascii="宋体" w:hAnsi="宋体"/>
          <w:sz w:val="24"/>
          <w:highlight w:val="none"/>
        </w:rPr>
        <w:t>的全部，包括修改文件。我们完全理解并同意放弃对这方面有不明及误解的权利。</w:t>
      </w:r>
    </w:p>
    <w:p w14:paraId="6847D131">
      <w:pPr>
        <w:spacing w:line="400" w:lineRule="exact"/>
        <w:ind w:firstLine="555"/>
        <w:rPr>
          <w:rFonts w:hint="eastAsia" w:ascii="宋体" w:hAnsi="宋体"/>
          <w:sz w:val="24"/>
          <w:highlight w:val="none"/>
        </w:rPr>
      </w:pPr>
      <w:r>
        <w:rPr>
          <w:rFonts w:hint="eastAsia" w:ascii="宋体" w:hAnsi="宋体"/>
          <w:sz w:val="24"/>
          <w:highlight w:val="none"/>
        </w:rPr>
        <w:t>4、本投标有效期自开标之日起</w:t>
      </w:r>
      <w:r>
        <w:rPr>
          <w:rFonts w:hint="eastAsia" w:ascii="宋体" w:hAnsi="宋体"/>
          <w:sz w:val="24"/>
          <w:highlight w:val="none"/>
          <w:u w:val="single"/>
        </w:rPr>
        <w:t>　</w:t>
      </w:r>
      <w:r>
        <w:rPr>
          <w:rFonts w:hint="eastAsia" w:ascii="宋体" w:hAnsi="宋体"/>
          <w:sz w:val="24"/>
          <w:highlight w:val="none"/>
          <w:u w:val="single"/>
          <w:lang w:val="en-US" w:eastAsia="zh-CN"/>
        </w:rPr>
        <w:t>90</w:t>
      </w:r>
      <w:r>
        <w:rPr>
          <w:rFonts w:hint="eastAsia" w:ascii="宋体" w:hAnsi="宋体"/>
          <w:sz w:val="24"/>
          <w:highlight w:val="none"/>
          <w:u w:val="single"/>
        </w:rPr>
        <w:t>　</w:t>
      </w:r>
      <w:r>
        <w:rPr>
          <w:rFonts w:hint="eastAsia" w:ascii="宋体" w:hAnsi="宋体"/>
          <w:sz w:val="24"/>
          <w:highlight w:val="none"/>
        </w:rPr>
        <w:t>个日历日。</w:t>
      </w:r>
    </w:p>
    <w:p w14:paraId="693F20A8">
      <w:pPr>
        <w:spacing w:line="400" w:lineRule="exact"/>
        <w:ind w:firstLine="555"/>
        <w:rPr>
          <w:rFonts w:hint="eastAsia" w:ascii="宋体" w:hAnsi="宋体"/>
          <w:sz w:val="24"/>
          <w:highlight w:val="none"/>
        </w:rPr>
      </w:pPr>
      <w:r>
        <w:rPr>
          <w:rFonts w:hint="eastAsia" w:ascii="宋体" w:hAnsi="宋体"/>
          <w:sz w:val="24"/>
          <w:highlight w:val="none"/>
        </w:rPr>
        <w:t>5、在规定的开标时间后，如果在投标有效期内撤回投标，同意投标保证金将被贵方没收。</w:t>
      </w:r>
    </w:p>
    <w:p w14:paraId="51AB1458">
      <w:pPr>
        <w:spacing w:line="400" w:lineRule="exact"/>
        <w:ind w:firstLine="555"/>
        <w:rPr>
          <w:rFonts w:hint="eastAsia" w:ascii="宋体" w:hAnsi="宋体"/>
          <w:sz w:val="24"/>
          <w:highlight w:val="none"/>
        </w:rPr>
      </w:pPr>
      <w:r>
        <w:rPr>
          <w:rFonts w:hint="eastAsia" w:ascii="宋体" w:hAnsi="宋体"/>
          <w:sz w:val="24"/>
          <w:highlight w:val="none"/>
        </w:rPr>
        <w:t>6、供应商同意提供按照贵方可能要求的与其投标有关的一切数据或资料，完全理解贵方不一定接受最低价的投标或收到的任何投标的约定。</w:t>
      </w:r>
    </w:p>
    <w:p w14:paraId="0CB99B1C">
      <w:pPr>
        <w:spacing w:line="400" w:lineRule="exact"/>
        <w:ind w:firstLine="570"/>
        <w:rPr>
          <w:rFonts w:hint="eastAsia" w:ascii="宋体" w:hAnsi="宋体"/>
          <w:sz w:val="24"/>
          <w:highlight w:val="none"/>
        </w:rPr>
      </w:pPr>
      <w:r>
        <w:rPr>
          <w:rFonts w:hint="eastAsia" w:ascii="宋体" w:hAnsi="宋体"/>
          <w:sz w:val="24"/>
          <w:highlight w:val="none"/>
        </w:rPr>
        <w:t>7、与本投标有关的一切正式往来信函请寄：</w:t>
      </w:r>
    </w:p>
    <w:p w14:paraId="7D6BCA55">
      <w:pPr>
        <w:spacing w:line="400" w:lineRule="exact"/>
        <w:ind w:firstLine="840" w:firstLineChars="350"/>
        <w:rPr>
          <w:rFonts w:hint="eastAsia" w:ascii="宋体" w:hAnsi="宋体"/>
          <w:sz w:val="24"/>
          <w:highlight w:val="none"/>
          <w:u w:val="single"/>
        </w:rPr>
      </w:pPr>
      <w:r>
        <w:rPr>
          <w:rFonts w:hint="eastAsia" w:ascii="宋体" w:hAnsi="宋体"/>
          <w:sz w:val="24"/>
          <w:highlight w:val="none"/>
        </w:rPr>
        <w:t>供 应 商 名 称：</w:t>
      </w:r>
      <w:r>
        <w:rPr>
          <w:rFonts w:hint="eastAsia" w:ascii="宋体" w:hAnsi="宋体"/>
          <w:sz w:val="24"/>
          <w:highlight w:val="none"/>
          <w:u w:val="single"/>
        </w:rPr>
        <w:t xml:space="preserve">　      　　　　　　　　　          </w:t>
      </w:r>
    </w:p>
    <w:p w14:paraId="24856BC9">
      <w:pPr>
        <w:spacing w:line="400" w:lineRule="exact"/>
        <w:ind w:firstLine="840" w:firstLineChars="350"/>
        <w:rPr>
          <w:rFonts w:hint="eastAsia" w:ascii="宋体" w:hAnsi="宋体"/>
          <w:sz w:val="24"/>
          <w:highlight w:val="none"/>
          <w:u w:val="single"/>
        </w:rPr>
      </w:pPr>
      <w:r>
        <w:rPr>
          <w:rFonts w:hint="eastAsia" w:ascii="宋体" w:hAnsi="宋体"/>
          <w:sz w:val="24"/>
          <w:highlight w:val="none"/>
        </w:rPr>
        <w:t>供应商代表签字：</w:t>
      </w:r>
      <w:r>
        <w:rPr>
          <w:rFonts w:hint="eastAsia" w:ascii="宋体" w:hAnsi="宋体"/>
          <w:sz w:val="24"/>
          <w:highlight w:val="none"/>
          <w:u w:val="single"/>
        </w:rPr>
        <w:t xml:space="preserve">　　　　　　　　　　　              </w:t>
      </w:r>
    </w:p>
    <w:p w14:paraId="525BDAAA">
      <w:pPr>
        <w:spacing w:line="400" w:lineRule="exact"/>
        <w:ind w:firstLine="840" w:firstLineChars="350"/>
        <w:rPr>
          <w:rFonts w:hint="eastAsia" w:ascii="宋体" w:hAnsi="宋体"/>
          <w:sz w:val="24"/>
          <w:highlight w:val="none"/>
          <w:u w:val="single"/>
        </w:rPr>
      </w:pPr>
      <w:r>
        <w:rPr>
          <w:rFonts w:hint="eastAsia" w:ascii="宋体" w:hAnsi="宋体"/>
          <w:sz w:val="24"/>
          <w:highlight w:val="none"/>
        </w:rPr>
        <w:t>公          章：</w:t>
      </w:r>
      <w:r>
        <w:rPr>
          <w:rFonts w:hint="eastAsia" w:ascii="宋体" w:hAnsi="宋体"/>
          <w:sz w:val="24"/>
          <w:highlight w:val="none"/>
          <w:u w:val="single"/>
        </w:rPr>
        <w:t xml:space="preserve">　　　　　　　　　　　　　          </w:t>
      </w:r>
    </w:p>
    <w:p w14:paraId="5E24CA34">
      <w:pPr>
        <w:spacing w:line="400" w:lineRule="exact"/>
        <w:ind w:firstLine="876" w:firstLineChars="365"/>
        <w:rPr>
          <w:rFonts w:hint="eastAsia" w:ascii="宋体" w:hAnsi="宋体"/>
          <w:sz w:val="24"/>
          <w:highlight w:val="none"/>
        </w:rPr>
      </w:pPr>
      <w:r>
        <w:rPr>
          <w:rFonts w:hint="eastAsia" w:ascii="宋体" w:hAnsi="宋体"/>
          <w:sz w:val="24"/>
          <w:highlight w:val="none"/>
        </w:rPr>
        <w:t>地　　　　  址：</w:t>
      </w:r>
      <w:r>
        <w:rPr>
          <w:rFonts w:hint="eastAsia" w:ascii="宋体" w:hAnsi="宋体"/>
          <w:sz w:val="24"/>
          <w:highlight w:val="none"/>
          <w:u w:val="single"/>
        </w:rPr>
        <w:t xml:space="preserve">　　　　　　　　    　              </w:t>
      </w:r>
    </w:p>
    <w:p w14:paraId="7D54E3C6">
      <w:pPr>
        <w:spacing w:line="400" w:lineRule="exact"/>
        <w:rPr>
          <w:rFonts w:hint="eastAsia" w:ascii="宋体" w:hAnsi="宋体"/>
          <w:sz w:val="24"/>
          <w:highlight w:val="none"/>
        </w:rPr>
      </w:pPr>
      <w:r>
        <w:rPr>
          <w:rFonts w:hint="eastAsia" w:ascii="宋体" w:hAnsi="宋体"/>
          <w:sz w:val="24"/>
          <w:highlight w:val="none"/>
        </w:rPr>
        <w:t>　     电　　　　　话：</w:t>
      </w:r>
      <w:r>
        <w:rPr>
          <w:rFonts w:hint="eastAsia" w:ascii="宋体" w:hAnsi="宋体"/>
          <w:sz w:val="24"/>
          <w:highlight w:val="none"/>
          <w:u w:val="single"/>
        </w:rPr>
        <w:t xml:space="preserve">　　　　　　　　　　                </w:t>
      </w:r>
    </w:p>
    <w:p w14:paraId="170E016F">
      <w:pPr>
        <w:spacing w:line="400" w:lineRule="exact"/>
        <w:rPr>
          <w:rFonts w:hint="eastAsia" w:ascii="宋体" w:hAnsi="宋体"/>
          <w:sz w:val="24"/>
          <w:highlight w:val="none"/>
        </w:rPr>
      </w:pPr>
      <w:r>
        <w:rPr>
          <w:rFonts w:hint="eastAsia" w:ascii="宋体" w:hAnsi="宋体"/>
          <w:sz w:val="24"/>
          <w:highlight w:val="none"/>
        </w:rPr>
        <w:t>　     邮          编：</w:t>
      </w:r>
      <w:r>
        <w:rPr>
          <w:rFonts w:hint="eastAsia" w:ascii="宋体" w:hAnsi="宋体"/>
          <w:sz w:val="24"/>
          <w:highlight w:val="none"/>
          <w:u w:val="single"/>
        </w:rPr>
        <w:t xml:space="preserve">　　　　   　　　                   </w:t>
      </w:r>
    </w:p>
    <w:p w14:paraId="42F0AB76">
      <w:pPr>
        <w:spacing w:line="400" w:lineRule="exact"/>
        <w:rPr>
          <w:rFonts w:hint="eastAsia" w:ascii="宋体" w:hAnsi="宋体"/>
          <w:sz w:val="24"/>
          <w:highlight w:val="none"/>
        </w:rPr>
      </w:pPr>
      <w:r>
        <w:rPr>
          <w:rFonts w:hint="eastAsia" w:ascii="宋体" w:hAnsi="宋体"/>
          <w:sz w:val="24"/>
          <w:highlight w:val="none"/>
        </w:rPr>
        <w:t>　     传          真：</w:t>
      </w:r>
      <w:r>
        <w:rPr>
          <w:rFonts w:hint="eastAsia" w:ascii="宋体" w:hAnsi="宋体"/>
          <w:sz w:val="24"/>
          <w:highlight w:val="none"/>
          <w:u w:val="single"/>
        </w:rPr>
        <w:t xml:space="preserve">　   　　　　　　                   </w:t>
      </w:r>
    </w:p>
    <w:p w14:paraId="7DFF6C8E">
      <w:pPr>
        <w:spacing w:line="400" w:lineRule="exact"/>
        <w:ind w:firstLine="240" w:firstLineChars="100"/>
        <w:rPr>
          <w:rFonts w:hint="eastAsia" w:ascii="宋体" w:hAnsi="宋体"/>
          <w:sz w:val="24"/>
          <w:highlight w:val="none"/>
        </w:rPr>
      </w:pPr>
      <w:r>
        <w:rPr>
          <w:rFonts w:hint="eastAsia" w:ascii="宋体" w:hAnsi="宋体"/>
          <w:sz w:val="24"/>
          <w:highlight w:val="none"/>
        </w:rPr>
        <w:t>　</w:t>
      </w:r>
    </w:p>
    <w:p w14:paraId="1F45B231">
      <w:pPr>
        <w:spacing w:line="400" w:lineRule="exact"/>
        <w:rPr>
          <w:rFonts w:hint="eastAsia" w:ascii="宋体" w:hAnsi="宋体"/>
          <w:sz w:val="24"/>
          <w:highlight w:val="none"/>
        </w:rPr>
      </w:pPr>
      <w:r>
        <w:rPr>
          <w:rFonts w:hint="eastAsia" w:ascii="宋体" w:hAnsi="宋体"/>
          <w:sz w:val="24"/>
          <w:highlight w:val="none"/>
        </w:rPr>
        <w:t>　　　　　　　　　　　　　　　　20</w:t>
      </w:r>
      <w:r>
        <w:rPr>
          <w:rFonts w:hint="eastAsia" w:ascii="宋体" w:hAnsi="宋体"/>
          <w:sz w:val="24"/>
          <w:highlight w:val="none"/>
          <w:u w:val="single"/>
        </w:rPr>
        <w:t xml:space="preserve"> 　　</w:t>
      </w: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月</w:t>
      </w:r>
      <w:r>
        <w:rPr>
          <w:rFonts w:hint="eastAsia" w:ascii="宋体" w:hAnsi="宋体"/>
          <w:sz w:val="24"/>
          <w:highlight w:val="none"/>
          <w:u w:val="single"/>
        </w:rPr>
        <w:t xml:space="preserve">   　</w:t>
      </w:r>
      <w:r>
        <w:rPr>
          <w:rFonts w:hint="eastAsia" w:ascii="宋体" w:hAnsi="宋体"/>
          <w:sz w:val="24"/>
          <w:highlight w:val="none"/>
        </w:rPr>
        <w:t>日</w:t>
      </w:r>
    </w:p>
    <w:p w14:paraId="445660DF">
      <w:pPr>
        <w:spacing w:line="400" w:lineRule="exact"/>
        <w:rPr>
          <w:rFonts w:hint="eastAsia" w:ascii="宋体" w:hAnsi="宋体"/>
          <w:b/>
          <w:sz w:val="24"/>
          <w:highlight w:val="none"/>
        </w:rPr>
      </w:pPr>
    </w:p>
    <w:p w14:paraId="2653CEBF">
      <w:pPr>
        <w:pStyle w:val="7"/>
        <w:rPr>
          <w:rFonts w:hint="eastAsia" w:ascii="宋体" w:hAnsi="宋体"/>
          <w:b/>
          <w:sz w:val="24"/>
          <w:highlight w:val="none"/>
        </w:rPr>
      </w:pPr>
    </w:p>
    <w:p w14:paraId="520E086C">
      <w:pPr>
        <w:pStyle w:val="7"/>
        <w:rPr>
          <w:rFonts w:hint="eastAsia" w:ascii="宋体" w:hAnsi="宋体"/>
          <w:b/>
          <w:sz w:val="24"/>
          <w:highlight w:val="none"/>
        </w:rPr>
      </w:pPr>
    </w:p>
    <w:p w14:paraId="77D9874E">
      <w:pPr>
        <w:pStyle w:val="7"/>
        <w:rPr>
          <w:rFonts w:hint="eastAsia" w:ascii="宋体" w:hAnsi="宋体"/>
          <w:b/>
          <w:sz w:val="24"/>
          <w:highlight w:val="none"/>
        </w:rPr>
      </w:pPr>
    </w:p>
    <w:p w14:paraId="42F965F7">
      <w:pPr>
        <w:pStyle w:val="7"/>
        <w:rPr>
          <w:rFonts w:hint="eastAsia" w:ascii="宋体" w:hAnsi="宋体"/>
          <w:b/>
          <w:sz w:val="24"/>
          <w:highlight w:val="none"/>
        </w:rPr>
      </w:pPr>
    </w:p>
    <w:p w14:paraId="114CD331">
      <w:pPr>
        <w:pStyle w:val="7"/>
        <w:rPr>
          <w:rFonts w:hint="eastAsia" w:ascii="宋体" w:hAnsi="宋体"/>
          <w:b/>
          <w:sz w:val="24"/>
          <w:highlight w:val="none"/>
        </w:rPr>
      </w:pPr>
    </w:p>
    <w:p w14:paraId="48E26A3E">
      <w:pPr>
        <w:pStyle w:val="7"/>
        <w:rPr>
          <w:rFonts w:hint="eastAsia" w:ascii="宋体" w:hAnsi="宋体"/>
          <w:b/>
          <w:sz w:val="24"/>
          <w:highlight w:val="none"/>
        </w:rPr>
      </w:pPr>
    </w:p>
    <w:p w14:paraId="37A229A4">
      <w:pPr>
        <w:pStyle w:val="7"/>
        <w:rPr>
          <w:rFonts w:hint="eastAsia" w:ascii="宋体" w:hAnsi="宋体"/>
          <w:b/>
          <w:sz w:val="24"/>
          <w:highlight w:val="none"/>
        </w:rPr>
      </w:pPr>
    </w:p>
    <w:p w14:paraId="3D1EB378">
      <w:pPr>
        <w:pStyle w:val="7"/>
        <w:rPr>
          <w:rFonts w:hint="eastAsia" w:ascii="宋体" w:hAnsi="宋体"/>
          <w:b/>
          <w:sz w:val="24"/>
          <w:highlight w:val="none"/>
        </w:rPr>
      </w:pPr>
    </w:p>
    <w:p w14:paraId="35448439">
      <w:pPr>
        <w:pStyle w:val="7"/>
        <w:rPr>
          <w:rFonts w:hint="eastAsia" w:ascii="宋体" w:hAnsi="宋体"/>
          <w:b/>
          <w:sz w:val="24"/>
          <w:highlight w:val="none"/>
        </w:rPr>
      </w:pPr>
    </w:p>
    <w:p w14:paraId="3415DBF0">
      <w:pPr>
        <w:pStyle w:val="7"/>
        <w:rPr>
          <w:rFonts w:hint="eastAsia" w:ascii="宋体" w:hAnsi="宋体"/>
          <w:b/>
          <w:sz w:val="24"/>
          <w:highlight w:val="none"/>
        </w:rPr>
      </w:pPr>
    </w:p>
    <w:p w14:paraId="5B757350">
      <w:pPr>
        <w:pStyle w:val="7"/>
        <w:rPr>
          <w:rFonts w:hint="eastAsia" w:ascii="宋体" w:hAnsi="宋体"/>
          <w:b/>
          <w:sz w:val="24"/>
          <w:highlight w:val="none"/>
        </w:rPr>
      </w:pPr>
    </w:p>
    <w:p w14:paraId="494AE13D">
      <w:pPr>
        <w:pStyle w:val="7"/>
        <w:rPr>
          <w:rFonts w:hint="eastAsia" w:ascii="宋体" w:hAnsi="宋体"/>
          <w:b/>
          <w:sz w:val="24"/>
          <w:highlight w:val="none"/>
        </w:rPr>
      </w:pPr>
    </w:p>
    <w:p w14:paraId="615ACFF6">
      <w:pPr>
        <w:pStyle w:val="7"/>
        <w:rPr>
          <w:rFonts w:hint="eastAsia" w:ascii="宋体" w:hAnsi="宋体"/>
          <w:b/>
          <w:sz w:val="24"/>
          <w:highlight w:val="none"/>
        </w:rPr>
      </w:pPr>
    </w:p>
    <w:p w14:paraId="3178DD30">
      <w:pPr>
        <w:pStyle w:val="7"/>
        <w:rPr>
          <w:rFonts w:hint="eastAsia" w:ascii="宋体" w:hAnsi="宋体"/>
          <w:b/>
          <w:sz w:val="24"/>
          <w:highlight w:val="none"/>
        </w:rPr>
      </w:pPr>
    </w:p>
    <w:p w14:paraId="726416BE">
      <w:pPr>
        <w:pStyle w:val="7"/>
        <w:rPr>
          <w:rFonts w:hint="eastAsia" w:ascii="宋体" w:hAnsi="宋体"/>
          <w:b/>
          <w:sz w:val="24"/>
          <w:highlight w:val="none"/>
        </w:rPr>
      </w:pPr>
    </w:p>
    <w:p w14:paraId="49E5BFAD">
      <w:pPr>
        <w:pStyle w:val="7"/>
        <w:rPr>
          <w:rFonts w:hint="eastAsia" w:ascii="宋体" w:hAnsi="宋体"/>
          <w:b/>
          <w:sz w:val="24"/>
          <w:highlight w:val="none"/>
        </w:rPr>
      </w:pPr>
    </w:p>
    <w:p w14:paraId="45689F64">
      <w:pPr>
        <w:pStyle w:val="7"/>
        <w:rPr>
          <w:rFonts w:hint="eastAsia" w:ascii="宋体" w:hAnsi="宋体"/>
          <w:b/>
          <w:sz w:val="24"/>
          <w:highlight w:val="none"/>
        </w:rPr>
      </w:pPr>
    </w:p>
    <w:p w14:paraId="4E18412C">
      <w:pPr>
        <w:pStyle w:val="7"/>
        <w:rPr>
          <w:rFonts w:hint="eastAsia" w:ascii="宋体" w:hAnsi="宋体"/>
          <w:b/>
          <w:sz w:val="24"/>
          <w:highlight w:val="none"/>
        </w:rPr>
      </w:pPr>
    </w:p>
    <w:p w14:paraId="5CFFF456">
      <w:pPr>
        <w:pStyle w:val="16"/>
        <w:rPr>
          <w:rFonts w:hint="eastAsia" w:ascii="宋体" w:hAnsi="宋体"/>
          <w:sz w:val="24"/>
          <w:highlight w:val="none"/>
        </w:rPr>
      </w:pPr>
    </w:p>
    <w:p w14:paraId="6F45BC2B">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rPr>
        <w:t>2、</w:t>
      </w:r>
      <w:r>
        <w:rPr>
          <w:rFonts w:hint="eastAsia"/>
          <w:b/>
          <w:bCs/>
          <w:sz w:val="28"/>
          <w:szCs w:val="28"/>
          <w:highlight w:val="none"/>
        </w:rPr>
        <w:t>法人代表授权书格式</w:t>
      </w:r>
    </w:p>
    <w:p w14:paraId="3C42C50E">
      <w:pPr>
        <w:jc w:val="center"/>
        <w:rPr>
          <w:rFonts w:hint="eastAsia"/>
          <w:b/>
          <w:bCs/>
          <w:sz w:val="28"/>
          <w:szCs w:val="36"/>
          <w:highlight w:val="none"/>
        </w:rPr>
      </w:pPr>
      <w:r>
        <w:rPr>
          <w:rFonts w:hint="eastAsia"/>
          <w:b/>
          <w:bCs/>
          <w:sz w:val="28"/>
          <w:szCs w:val="36"/>
          <w:highlight w:val="none"/>
        </w:rPr>
        <w:t>法定代表人资格证明书</w:t>
      </w:r>
    </w:p>
    <w:p w14:paraId="27B58740">
      <w:pPr>
        <w:spacing w:before="120" w:beforeLines="50" w:after="120" w:afterLines="50" w:line="360" w:lineRule="auto"/>
        <w:ind w:left="546" w:leftChars="260"/>
        <w:rPr>
          <w:rFonts w:hint="eastAsia" w:ascii="宋体" w:hAnsi="宋体" w:cs="宋体"/>
          <w:sz w:val="24"/>
          <w:highlight w:val="none"/>
        </w:rPr>
      </w:pPr>
      <w:r>
        <w:rPr>
          <w:rFonts w:hint="eastAsia" w:ascii="宋体" w:hAnsi="宋体" w:cs="宋体"/>
          <w:sz w:val="24"/>
          <w:highlight w:val="none"/>
        </w:rPr>
        <w:t>单位名称：</w:t>
      </w:r>
    </w:p>
    <w:p w14:paraId="7AC94895">
      <w:pPr>
        <w:spacing w:before="120" w:beforeLines="50" w:after="120" w:afterLines="50" w:line="360" w:lineRule="auto"/>
        <w:ind w:left="546" w:leftChars="260"/>
        <w:rPr>
          <w:rFonts w:hint="eastAsia" w:ascii="宋体" w:hAnsi="宋体" w:cs="宋体"/>
          <w:sz w:val="24"/>
          <w:highlight w:val="none"/>
        </w:rPr>
      </w:pPr>
      <w:r>
        <w:rPr>
          <w:rFonts w:hint="eastAsia" w:ascii="宋体" w:hAnsi="宋体" w:cs="宋体"/>
          <w:sz w:val="24"/>
          <w:highlight w:val="none"/>
        </w:rPr>
        <w:t>单位性质：</w:t>
      </w:r>
    </w:p>
    <w:p w14:paraId="532960A8">
      <w:pPr>
        <w:spacing w:before="120" w:beforeLines="50" w:after="120" w:afterLines="50" w:line="360" w:lineRule="auto"/>
        <w:ind w:left="546" w:leftChars="260"/>
        <w:rPr>
          <w:rFonts w:hint="eastAsia" w:ascii="宋体" w:hAnsi="宋体" w:cs="宋体"/>
          <w:sz w:val="24"/>
          <w:highlight w:val="none"/>
        </w:rPr>
      </w:pPr>
      <w:r>
        <w:rPr>
          <w:rFonts w:hint="eastAsia" w:ascii="宋体" w:hAnsi="宋体" w:cs="宋体"/>
          <w:sz w:val="24"/>
          <w:highlight w:val="none"/>
        </w:rPr>
        <w:t>地址：</w:t>
      </w:r>
    </w:p>
    <w:p w14:paraId="4319B922">
      <w:pPr>
        <w:spacing w:before="120" w:beforeLines="50" w:after="120" w:afterLines="50" w:line="360" w:lineRule="auto"/>
        <w:ind w:left="546" w:leftChars="260"/>
        <w:rPr>
          <w:rFonts w:hint="eastAsia" w:ascii="宋体" w:hAnsi="宋体" w:cs="宋体"/>
          <w:sz w:val="24"/>
          <w:highlight w:val="none"/>
        </w:rPr>
      </w:pPr>
      <w:r>
        <w:rPr>
          <w:rFonts w:hint="eastAsia" w:ascii="宋体" w:hAnsi="宋体" w:cs="宋体"/>
          <w:sz w:val="24"/>
          <w:highlight w:val="none"/>
        </w:rPr>
        <w:t>成立时间：</w:t>
      </w:r>
    </w:p>
    <w:p w14:paraId="48530750">
      <w:pPr>
        <w:spacing w:before="120" w:beforeLines="50" w:after="120" w:afterLines="50" w:line="360" w:lineRule="auto"/>
        <w:ind w:left="546" w:leftChars="260"/>
        <w:rPr>
          <w:rFonts w:hint="eastAsia" w:ascii="宋体" w:hAnsi="宋体" w:cs="宋体"/>
          <w:sz w:val="24"/>
          <w:highlight w:val="none"/>
        </w:rPr>
      </w:pPr>
      <w:r>
        <w:rPr>
          <w:rFonts w:hint="eastAsia" w:ascii="宋体" w:hAnsi="宋体" w:cs="宋体"/>
          <w:sz w:val="24"/>
          <w:highlight w:val="none"/>
        </w:rPr>
        <w:t>经营期限：</w:t>
      </w:r>
    </w:p>
    <w:p w14:paraId="3714239C">
      <w:pPr>
        <w:spacing w:before="120" w:beforeLines="50" w:after="120" w:afterLines="50" w:line="360" w:lineRule="auto"/>
        <w:ind w:left="546" w:leftChars="260"/>
        <w:rPr>
          <w:rFonts w:hint="eastAsia" w:ascii="宋体" w:hAnsi="宋体" w:cs="宋体"/>
          <w:sz w:val="24"/>
          <w:highlight w:val="none"/>
          <w:u w:val="single"/>
        </w:rPr>
      </w:pPr>
      <w:r>
        <w:rPr>
          <w:rFonts w:hint="eastAsia" w:ascii="宋体" w:hAnsi="宋体" w:cs="宋体"/>
          <w:sz w:val="24"/>
          <w:highlight w:val="none"/>
        </w:rPr>
        <w:t>姓名：</w:t>
      </w:r>
      <w:r>
        <w:rPr>
          <w:rFonts w:hint="eastAsia" w:ascii="宋体" w:hAnsi="宋体" w:cs="宋体"/>
          <w:sz w:val="24"/>
          <w:highlight w:val="none"/>
          <w:u w:val="single"/>
        </w:rPr>
        <w:t xml:space="preserve">      </w:t>
      </w:r>
      <w:r>
        <w:rPr>
          <w:rFonts w:hint="eastAsia" w:ascii="宋体" w:hAnsi="宋体" w:cs="宋体"/>
          <w:sz w:val="24"/>
          <w:highlight w:val="none"/>
        </w:rPr>
        <w:t xml:space="preserve"> 性别：</w:t>
      </w:r>
      <w:r>
        <w:rPr>
          <w:rFonts w:hint="eastAsia" w:ascii="宋体" w:hAnsi="宋体" w:cs="宋体"/>
          <w:sz w:val="24"/>
          <w:highlight w:val="none"/>
          <w:u w:val="single"/>
        </w:rPr>
        <w:t xml:space="preserve">    </w:t>
      </w:r>
    </w:p>
    <w:p w14:paraId="1B2A9A7D">
      <w:pPr>
        <w:spacing w:before="120" w:beforeLines="50" w:after="120" w:afterLines="50" w:line="360" w:lineRule="auto"/>
        <w:ind w:left="546" w:leftChars="260"/>
        <w:rPr>
          <w:rFonts w:hint="eastAsia" w:ascii="宋体" w:hAnsi="宋体" w:cs="宋体"/>
          <w:sz w:val="24"/>
          <w:highlight w:val="none"/>
          <w:u w:val="single"/>
        </w:rPr>
      </w:pPr>
      <w:r>
        <w:rPr>
          <w:rFonts w:hint="eastAsia" w:ascii="宋体" w:hAnsi="宋体" w:cs="宋体"/>
          <w:sz w:val="24"/>
          <w:highlight w:val="none"/>
        </w:rPr>
        <w:t xml:space="preserve"> 年龄：</w:t>
      </w:r>
      <w:r>
        <w:rPr>
          <w:rFonts w:hint="eastAsia" w:ascii="宋体" w:hAnsi="宋体" w:cs="宋体"/>
          <w:sz w:val="24"/>
          <w:highlight w:val="none"/>
          <w:u w:val="single"/>
        </w:rPr>
        <w:t xml:space="preserve">     </w:t>
      </w:r>
      <w:r>
        <w:rPr>
          <w:rFonts w:hint="eastAsia" w:ascii="宋体" w:hAnsi="宋体" w:cs="宋体"/>
          <w:sz w:val="24"/>
          <w:highlight w:val="none"/>
        </w:rPr>
        <w:t>职务：</w:t>
      </w:r>
      <w:r>
        <w:rPr>
          <w:rFonts w:hint="eastAsia" w:ascii="宋体" w:hAnsi="宋体" w:cs="宋体"/>
          <w:sz w:val="24"/>
          <w:highlight w:val="none"/>
          <w:u w:val="single"/>
        </w:rPr>
        <w:t xml:space="preserve">        </w:t>
      </w:r>
    </w:p>
    <w:p w14:paraId="142FF2AE">
      <w:pPr>
        <w:spacing w:before="120" w:beforeLines="50" w:after="120" w:afterLines="50" w:line="360" w:lineRule="auto"/>
        <w:ind w:firstLine="480" w:firstLineChars="200"/>
        <w:rPr>
          <w:rFonts w:hint="eastAsia" w:ascii="宋体" w:hAnsi="宋体" w:cs="宋体"/>
          <w:sz w:val="24"/>
          <w:highlight w:val="none"/>
        </w:rPr>
      </w:pPr>
      <w:r>
        <w:rPr>
          <w:rFonts w:hint="eastAsia" w:ascii="宋体" w:hAnsi="宋体" w:cs="宋体"/>
          <w:sz w:val="24"/>
          <w:highlight w:val="none"/>
        </w:rPr>
        <w:t>系</w:t>
      </w:r>
      <w:r>
        <w:rPr>
          <w:rFonts w:hint="eastAsia" w:ascii="宋体" w:hAnsi="宋体" w:cs="宋体"/>
          <w:sz w:val="24"/>
          <w:highlight w:val="none"/>
          <w:u w:val="single"/>
        </w:rPr>
        <w:t>（供应商）</w:t>
      </w:r>
      <w:r>
        <w:rPr>
          <w:rFonts w:hint="eastAsia" w:ascii="宋体" w:hAnsi="宋体" w:cs="宋体"/>
          <w:sz w:val="24"/>
          <w:highlight w:val="none"/>
        </w:rPr>
        <w:t>的法定代表人。</w:t>
      </w:r>
      <w:r>
        <w:rPr>
          <w:rFonts w:hint="eastAsia" w:ascii="宋体" w:hAnsi="宋体" w:cs="宋体"/>
          <w:sz w:val="24"/>
          <w:highlight w:val="none"/>
        </w:rPr>
        <w:cr/>
      </w:r>
    </w:p>
    <w:p w14:paraId="4A99AA5A">
      <w:pPr>
        <w:spacing w:before="120" w:beforeLines="50" w:after="120" w:afterLines="50" w:line="360" w:lineRule="auto"/>
        <w:ind w:firstLine="480" w:firstLineChars="200"/>
        <w:rPr>
          <w:rFonts w:hint="eastAsia" w:ascii="宋体" w:hAnsi="宋体" w:cs="宋体"/>
          <w:sz w:val="24"/>
          <w:highlight w:val="none"/>
        </w:rPr>
      </w:pPr>
      <w:r>
        <w:rPr>
          <w:rFonts w:hint="eastAsia" w:ascii="宋体" w:hAnsi="宋体" w:cs="宋体"/>
          <w:sz w:val="24"/>
          <w:highlight w:val="none"/>
        </w:rPr>
        <w:t>特此证明。</w:t>
      </w:r>
    </w:p>
    <w:p w14:paraId="4E990106">
      <w:pPr>
        <w:pStyle w:val="7"/>
        <w:rPr>
          <w:rFonts w:hint="eastAsia" w:ascii="宋体" w:hAnsi="宋体" w:cs="宋体"/>
          <w:sz w:val="24"/>
          <w:highlight w:val="none"/>
        </w:rPr>
      </w:pPr>
    </w:p>
    <w:p w14:paraId="6C9C56FA">
      <w:pPr>
        <w:pStyle w:val="7"/>
        <w:rPr>
          <w:rFonts w:hint="eastAsia" w:ascii="宋体" w:hAnsi="宋体" w:cs="宋体"/>
          <w:sz w:val="24"/>
          <w:highlight w:val="none"/>
        </w:rPr>
      </w:pPr>
      <w:r>
        <w:rPr>
          <w:rFonts w:hint="eastAsia" w:ascii="宋体" w:hAnsi="宋体" w:cs="宋体"/>
          <w:sz w:val="24"/>
          <w:highlight w:val="none"/>
        </w:rPr>
        <w:t>（此处附法人身份证</w:t>
      </w:r>
      <w:r>
        <w:rPr>
          <w:rFonts w:hint="eastAsia" w:ascii="宋体" w:hAnsi="宋体" w:cs="宋体"/>
          <w:sz w:val="24"/>
          <w:highlight w:val="none"/>
          <w:lang w:eastAsia="zh-CN"/>
        </w:rPr>
        <w:t>扫描件</w:t>
      </w:r>
      <w:r>
        <w:rPr>
          <w:rFonts w:hint="eastAsia" w:ascii="宋体" w:hAnsi="宋体" w:cs="宋体"/>
          <w:sz w:val="24"/>
          <w:highlight w:val="none"/>
        </w:rPr>
        <w:t>）</w:t>
      </w:r>
    </w:p>
    <w:p w14:paraId="0E5A7A74">
      <w:pPr>
        <w:spacing w:before="120" w:beforeLines="50" w:after="120" w:afterLines="50" w:line="460" w:lineRule="exact"/>
        <w:ind w:firstLine="480" w:firstLineChars="200"/>
        <w:rPr>
          <w:rFonts w:hint="eastAsia" w:ascii="宋体" w:hAnsi="宋体" w:cs="宋体"/>
          <w:sz w:val="24"/>
          <w:highlight w:val="none"/>
        </w:rPr>
      </w:pPr>
      <w:r>
        <w:rPr>
          <w:rFonts w:hint="eastAsia" w:ascii="宋体" w:hAnsi="宋体" w:cs="宋体"/>
          <w:sz w:val="24"/>
          <w:highlight w:val="none"/>
        </w:rPr>
        <w:t>供应商公章：[供应商盖章]</w:t>
      </w:r>
    </w:p>
    <w:p w14:paraId="019069B8">
      <w:pPr>
        <w:spacing w:before="120" w:beforeLines="50" w:after="120" w:afterLines="50" w:line="460" w:lineRule="exact"/>
        <w:ind w:firstLine="496" w:firstLineChars="200"/>
        <w:rPr>
          <w:rFonts w:hint="eastAsia" w:ascii="宋体" w:hAnsi="宋体" w:cs="宋体"/>
          <w:highlight w:val="none"/>
        </w:rPr>
      </w:pPr>
      <w:r>
        <w:rPr>
          <w:rFonts w:hint="eastAsia" w:ascii="宋体" w:hAnsi="宋体" w:cs="宋体"/>
          <w:spacing w:val="4"/>
          <w:sz w:val="24"/>
          <w:highlight w:val="none"/>
        </w:rPr>
        <w:t>日期：</w:t>
      </w:r>
      <w:r>
        <w:rPr>
          <w:rFonts w:hint="eastAsia" w:ascii="宋体" w:hAnsi="宋体" w:cs="宋体"/>
          <w:spacing w:val="4"/>
          <w:sz w:val="24"/>
          <w:highlight w:val="none"/>
          <w:lang w:eastAsia="zh-CN"/>
        </w:rPr>
        <w:t>2025年</w:t>
      </w:r>
      <w:r>
        <w:rPr>
          <w:rFonts w:hint="eastAsia" w:ascii="宋体" w:hAnsi="宋体" w:cs="宋体"/>
          <w:sz w:val="24"/>
          <w:highlight w:val="none"/>
        </w:rPr>
        <w:t xml:space="preserve">   月   日</w:t>
      </w:r>
    </w:p>
    <w:p w14:paraId="44949CDE">
      <w:pPr>
        <w:pStyle w:val="12"/>
        <w:ind w:left="0"/>
        <w:rPr>
          <w:rFonts w:hint="eastAsia"/>
          <w:highlight w:val="none"/>
        </w:rPr>
      </w:pPr>
    </w:p>
    <w:p w14:paraId="3E085A2E">
      <w:pPr>
        <w:jc w:val="center"/>
        <w:rPr>
          <w:b/>
          <w:bCs/>
          <w:sz w:val="28"/>
          <w:szCs w:val="36"/>
          <w:highlight w:val="none"/>
        </w:rPr>
      </w:pPr>
    </w:p>
    <w:p w14:paraId="2C3D3999">
      <w:pPr>
        <w:jc w:val="center"/>
        <w:rPr>
          <w:b/>
          <w:bCs/>
          <w:sz w:val="28"/>
          <w:szCs w:val="36"/>
          <w:highlight w:val="none"/>
        </w:rPr>
      </w:pPr>
    </w:p>
    <w:p w14:paraId="6D38C904">
      <w:pPr>
        <w:jc w:val="center"/>
        <w:rPr>
          <w:rFonts w:hint="eastAsia"/>
          <w:b/>
          <w:bCs/>
          <w:sz w:val="28"/>
          <w:szCs w:val="36"/>
          <w:highlight w:val="none"/>
        </w:rPr>
      </w:pPr>
      <w:r>
        <w:rPr>
          <w:rFonts w:hint="eastAsia"/>
          <w:b/>
          <w:bCs/>
          <w:sz w:val="28"/>
          <w:szCs w:val="36"/>
          <w:highlight w:val="none"/>
        </w:rPr>
        <w:t>法人代表授权书</w:t>
      </w:r>
    </w:p>
    <w:p w14:paraId="280B8BA9">
      <w:pPr>
        <w:spacing w:line="360" w:lineRule="auto"/>
        <w:ind w:firstLine="602"/>
        <w:rPr>
          <w:rFonts w:ascii="宋体" w:hAnsi="宋体"/>
          <w:sz w:val="24"/>
          <w:highlight w:val="none"/>
        </w:rPr>
      </w:pPr>
    </w:p>
    <w:p w14:paraId="353946CB">
      <w:pPr>
        <w:spacing w:line="360" w:lineRule="auto"/>
        <w:ind w:firstLine="602"/>
        <w:rPr>
          <w:rFonts w:hint="eastAsia" w:ascii="宋体" w:hAnsi="宋体"/>
          <w:sz w:val="24"/>
          <w:highlight w:val="none"/>
        </w:rPr>
      </w:pPr>
      <w:r>
        <w:rPr>
          <w:rFonts w:hint="eastAsia" w:ascii="宋体" w:hAnsi="宋体"/>
          <w:sz w:val="24"/>
          <w:highlight w:val="none"/>
        </w:rPr>
        <w:t>本授权书声明：注册于</w:t>
      </w:r>
      <w:r>
        <w:rPr>
          <w:rFonts w:hint="eastAsia" w:ascii="宋体" w:hAnsi="宋体"/>
          <w:sz w:val="24"/>
          <w:highlight w:val="none"/>
          <w:u w:val="single"/>
        </w:rPr>
        <w:t>（地区的名称）</w:t>
      </w:r>
      <w:r>
        <w:rPr>
          <w:rFonts w:hint="eastAsia" w:ascii="宋体" w:hAnsi="宋体"/>
          <w:sz w:val="24"/>
          <w:highlight w:val="none"/>
        </w:rPr>
        <w:t>的</w:t>
      </w:r>
      <w:r>
        <w:rPr>
          <w:rFonts w:hint="eastAsia" w:ascii="宋体" w:hAnsi="宋体"/>
          <w:sz w:val="24"/>
          <w:highlight w:val="none"/>
          <w:u w:val="single"/>
        </w:rPr>
        <w:t>（公司名称）</w:t>
      </w:r>
      <w:r>
        <w:rPr>
          <w:rFonts w:hint="eastAsia" w:ascii="宋体" w:hAnsi="宋体"/>
          <w:sz w:val="24"/>
          <w:highlight w:val="none"/>
        </w:rPr>
        <w:t>，在下面签字的法人代表</w:t>
      </w:r>
      <w:r>
        <w:rPr>
          <w:rFonts w:hint="eastAsia" w:ascii="宋体" w:hAnsi="宋体"/>
          <w:sz w:val="24"/>
          <w:highlight w:val="none"/>
          <w:u w:val="single"/>
        </w:rPr>
        <w:t>（姓名、职务）</w:t>
      </w:r>
      <w:r>
        <w:rPr>
          <w:rFonts w:hint="eastAsia" w:ascii="宋体" w:hAnsi="宋体"/>
          <w:sz w:val="24"/>
          <w:highlight w:val="none"/>
        </w:rPr>
        <w:t>，代表本公司授权在下面签字的</w:t>
      </w:r>
      <w:r>
        <w:rPr>
          <w:rFonts w:hint="eastAsia" w:ascii="宋体" w:hAnsi="宋体"/>
          <w:sz w:val="24"/>
          <w:highlight w:val="none"/>
          <w:u w:val="single"/>
        </w:rPr>
        <w:t>（被授权人的姓名、职务）</w:t>
      </w:r>
      <w:r>
        <w:rPr>
          <w:rFonts w:hint="eastAsia" w:ascii="宋体" w:hAnsi="宋体"/>
          <w:sz w:val="24"/>
          <w:highlight w:val="none"/>
        </w:rPr>
        <w:t>为本公司的合法代理人，就</w:t>
      </w:r>
      <w:r>
        <w:rPr>
          <w:rFonts w:hint="eastAsia" w:ascii="宋体" w:hAnsi="宋体"/>
          <w:sz w:val="24"/>
          <w:highlight w:val="none"/>
          <w:u w:val="single"/>
        </w:rPr>
        <w:t>　（项目名称）　</w:t>
      </w:r>
      <w:r>
        <w:rPr>
          <w:rFonts w:hint="eastAsia" w:ascii="宋体" w:hAnsi="宋体"/>
          <w:sz w:val="24"/>
          <w:highlight w:val="none"/>
        </w:rPr>
        <w:t>的投标，以本公司的名义处理一切与之有关的事务。本授权书于20</w:t>
      </w:r>
      <w:r>
        <w:rPr>
          <w:rFonts w:hint="eastAsia" w:ascii="宋体" w:hAnsi="宋体"/>
          <w:sz w:val="24"/>
          <w:highlight w:val="none"/>
          <w:u w:val="single"/>
        </w:rPr>
        <w:t>　　　</w:t>
      </w:r>
      <w:r>
        <w:rPr>
          <w:rFonts w:hint="eastAsia" w:ascii="宋体" w:hAnsi="宋体"/>
          <w:sz w:val="24"/>
          <w:highlight w:val="none"/>
        </w:rPr>
        <w:t>年</w:t>
      </w:r>
      <w:r>
        <w:rPr>
          <w:rFonts w:hint="eastAsia" w:ascii="宋体" w:hAnsi="宋体"/>
          <w:sz w:val="24"/>
          <w:highlight w:val="none"/>
          <w:u w:val="single"/>
        </w:rPr>
        <w:t>　　　</w:t>
      </w:r>
      <w:r>
        <w:rPr>
          <w:rFonts w:hint="eastAsia" w:ascii="宋体" w:hAnsi="宋体"/>
          <w:sz w:val="24"/>
          <w:highlight w:val="none"/>
        </w:rPr>
        <w:t>月</w:t>
      </w:r>
      <w:r>
        <w:rPr>
          <w:rFonts w:hint="eastAsia" w:ascii="宋体" w:hAnsi="宋体"/>
          <w:sz w:val="24"/>
          <w:highlight w:val="none"/>
          <w:u w:val="single"/>
        </w:rPr>
        <w:t>　　</w:t>
      </w:r>
      <w:r>
        <w:rPr>
          <w:rFonts w:hint="eastAsia" w:ascii="宋体" w:hAnsi="宋体"/>
          <w:sz w:val="24"/>
          <w:highlight w:val="none"/>
        </w:rPr>
        <w:t>日签字生效，特此声明。</w:t>
      </w:r>
    </w:p>
    <w:p w14:paraId="4E9ADA0C">
      <w:pPr>
        <w:pStyle w:val="7"/>
        <w:rPr>
          <w:rFonts w:hint="eastAsia" w:ascii="宋体" w:hAnsi="宋体" w:cs="宋体"/>
          <w:sz w:val="24"/>
          <w:highlight w:val="none"/>
        </w:rPr>
      </w:pPr>
    </w:p>
    <w:p w14:paraId="5CCF9B75">
      <w:pPr>
        <w:pStyle w:val="7"/>
        <w:rPr>
          <w:rFonts w:hint="eastAsia"/>
          <w:highlight w:val="none"/>
        </w:rPr>
      </w:pPr>
      <w:r>
        <w:rPr>
          <w:rFonts w:hint="eastAsia" w:ascii="宋体" w:hAnsi="宋体" w:cs="宋体"/>
          <w:sz w:val="24"/>
          <w:highlight w:val="none"/>
        </w:rPr>
        <w:t>（此处附法人身份证</w:t>
      </w:r>
      <w:r>
        <w:rPr>
          <w:rFonts w:hint="eastAsia" w:ascii="宋体" w:hAnsi="宋体" w:cs="宋体"/>
          <w:sz w:val="24"/>
          <w:highlight w:val="none"/>
          <w:lang w:eastAsia="zh-CN"/>
        </w:rPr>
        <w:t>扫描件</w:t>
      </w:r>
      <w:r>
        <w:rPr>
          <w:rFonts w:hint="eastAsia" w:ascii="宋体" w:hAnsi="宋体" w:cs="宋体"/>
          <w:sz w:val="24"/>
          <w:highlight w:val="none"/>
        </w:rPr>
        <w:t>及被授权人身份证</w:t>
      </w:r>
      <w:r>
        <w:rPr>
          <w:rFonts w:hint="eastAsia" w:ascii="宋体" w:hAnsi="宋体" w:cs="宋体"/>
          <w:sz w:val="24"/>
          <w:highlight w:val="none"/>
          <w:lang w:eastAsia="zh-CN"/>
        </w:rPr>
        <w:t>扫描件</w:t>
      </w:r>
      <w:r>
        <w:rPr>
          <w:rFonts w:hint="eastAsia" w:ascii="宋体" w:hAnsi="宋体" w:cs="宋体"/>
          <w:sz w:val="24"/>
          <w:highlight w:val="none"/>
        </w:rPr>
        <w:t>）</w:t>
      </w:r>
    </w:p>
    <w:p w14:paraId="4F7F89C7">
      <w:pPr>
        <w:spacing w:line="360" w:lineRule="auto"/>
        <w:ind w:firstLine="482"/>
        <w:rPr>
          <w:rFonts w:hint="eastAsia" w:ascii="宋体" w:hAnsi="宋体"/>
          <w:sz w:val="24"/>
          <w:highlight w:val="none"/>
        </w:rPr>
      </w:pPr>
    </w:p>
    <w:p w14:paraId="69193F39">
      <w:pPr>
        <w:spacing w:line="360" w:lineRule="auto"/>
        <w:ind w:firstLine="2400" w:firstLineChars="1000"/>
        <w:rPr>
          <w:rFonts w:hint="eastAsia" w:ascii="宋体" w:hAnsi="宋体"/>
          <w:sz w:val="24"/>
          <w:highlight w:val="none"/>
        </w:rPr>
      </w:pPr>
      <w:r>
        <w:rPr>
          <w:rFonts w:hint="eastAsia" w:ascii="宋体" w:hAnsi="宋体"/>
          <w:sz w:val="24"/>
          <w:highlight w:val="none"/>
        </w:rPr>
        <w:t>法人代表签字：</w:t>
      </w:r>
      <w:r>
        <w:rPr>
          <w:rFonts w:hint="eastAsia" w:ascii="宋体" w:hAnsi="宋体"/>
          <w:sz w:val="24"/>
          <w:highlight w:val="none"/>
          <w:u w:val="single"/>
        </w:rPr>
        <w:t>　　　　　　　　　　　　　　　</w:t>
      </w:r>
    </w:p>
    <w:p w14:paraId="2D2E2F73">
      <w:pPr>
        <w:spacing w:line="360" w:lineRule="auto"/>
        <w:ind w:firstLine="2400" w:firstLineChars="1000"/>
        <w:rPr>
          <w:rFonts w:hint="eastAsia" w:ascii="宋体" w:hAnsi="宋体"/>
          <w:sz w:val="24"/>
          <w:highlight w:val="none"/>
        </w:rPr>
      </w:pPr>
      <w:r>
        <w:rPr>
          <w:rFonts w:hint="eastAsia" w:ascii="宋体" w:hAnsi="宋体"/>
          <w:sz w:val="24"/>
          <w:highlight w:val="none"/>
        </w:rPr>
        <w:t>被授权人签字：</w:t>
      </w:r>
      <w:r>
        <w:rPr>
          <w:rFonts w:hint="eastAsia" w:ascii="宋体" w:hAnsi="宋体"/>
          <w:sz w:val="24"/>
          <w:highlight w:val="none"/>
          <w:u w:val="single"/>
        </w:rPr>
        <w:t>　　　　　　　　　　　　　　　</w:t>
      </w:r>
    </w:p>
    <w:p w14:paraId="2926A86A">
      <w:pPr>
        <w:spacing w:line="360" w:lineRule="auto"/>
        <w:ind w:firstLine="2400" w:firstLineChars="1000"/>
        <w:rPr>
          <w:rFonts w:hint="eastAsia" w:ascii="宋体" w:hAnsi="宋体"/>
          <w:sz w:val="24"/>
          <w:highlight w:val="none"/>
        </w:rPr>
      </w:pPr>
      <w:r>
        <w:rPr>
          <w:rFonts w:hint="eastAsia" w:ascii="宋体" w:hAnsi="宋体"/>
          <w:sz w:val="24"/>
          <w:highlight w:val="none"/>
        </w:rPr>
        <w:t>公        章：</w:t>
      </w:r>
      <w:r>
        <w:rPr>
          <w:rFonts w:hint="eastAsia" w:ascii="宋体" w:hAnsi="宋体"/>
          <w:sz w:val="24"/>
          <w:highlight w:val="none"/>
          <w:u w:val="single"/>
        </w:rPr>
        <w:t xml:space="preserve">                              </w:t>
      </w:r>
    </w:p>
    <w:p w14:paraId="28F404C2">
      <w:pPr>
        <w:spacing w:line="360" w:lineRule="auto"/>
        <w:ind w:firstLine="480"/>
        <w:rPr>
          <w:rFonts w:hint="eastAsia" w:ascii="宋体" w:hAnsi="宋体"/>
          <w:sz w:val="24"/>
          <w:highlight w:val="none"/>
          <w:u w:val="single"/>
        </w:rPr>
      </w:pPr>
      <w:r>
        <w:rPr>
          <w:rFonts w:hint="eastAsia" w:ascii="宋体" w:hAnsi="宋体"/>
          <w:sz w:val="24"/>
          <w:highlight w:val="none"/>
        </w:rPr>
        <w:t>　　　　　　　　授  权 日 期：20</w:t>
      </w:r>
      <w:r>
        <w:rPr>
          <w:rFonts w:hint="eastAsia" w:ascii="宋体" w:hAnsi="宋体"/>
          <w:sz w:val="24"/>
          <w:highlight w:val="none"/>
          <w:u w:val="single"/>
        </w:rPr>
        <w:t>　　</w:t>
      </w:r>
      <w:r>
        <w:rPr>
          <w:rFonts w:hint="eastAsia" w:ascii="宋体" w:hAnsi="宋体"/>
          <w:sz w:val="24"/>
          <w:highlight w:val="none"/>
        </w:rPr>
        <w:t>年</w:t>
      </w:r>
      <w:r>
        <w:rPr>
          <w:rFonts w:hint="eastAsia" w:ascii="宋体" w:hAnsi="宋体"/>
          <w:sz w:val="24"/>
          <w:highlight w:val="none"/>
          <w:u w:val="single"/>
        </w:rPr>
        <w:t>　　</w:t>
      </w:r>
      <w:r>
        <w:rPr>
          <w:rFonts w:hint="eastAsia" w:ascii="宋体" w:hAnsi="宋体"/>
          <w:sz w:val="24"/>
          <w:highlight w:val="none"/>
        </w:rPr>
        <w:t>月</w:t>
      </w:r>
      <w:r>
        <w:rPr>
          <w:rFonts w:hint="eastAsia" w:ascii="宋体" w:hAnsi="宋体"/>
          <w:sz w:val="24"/>
          <w:highlight w:val="none"/>
          <w:u w:val="single"/>
        </w:rPr>
        <w:t>　　</w:t>
      </w:r>
      <w:r>
        <w:rPr>
          <w:rFonts w:hint="eastAsia" w:ascii="宋体" w:hAnsi="宋体"/>
          <w:sz w:val="24"/>
          <w:highlight w:val="none"/>
        </w:rPr>
        <w:t>日</w:t>
      </w:r>
    </w:p>
    <w:p w14:paraId="1A859E91">
      <w:pPr>
        <w:spacing w:line="360" w:lineRule="auto"/>
        <w:ind w:firstLine="482" w:firstLineChars="200"/>
        <w:rPr>
          <w:rFonts w:hint="eastAsia" w:ascii="宋体" w:hAnsi="宋体"/>
          <w:b/>
          <w:sz w:val="24"/>
          <w:highlight w:val="none"/>
        </w:rPr>
      </w:pPr>
      <w:r>
        <w:rPr>
          <w:rFonts w:hint="eastAsia" w:ascii="宋体" w:hAnsi="宋体"/>
          <w:b/>
          <w:sz w:val="24"/>
          <w:highlight w:val="none"/>
        </w:rPr>
        <w:t>注：法人代表本人作为公司代理人前来参加投标的，供应商可以不提供此项证明文件。</w:t>
      </w:r>
    </w:p>
    <w:p w14:paraId="21D97413">
      <w:pPr>
        <w:spacing w:line="360" w:lineRule="auto"/>
        <w:ind w:firstLine="482" w:firstLineChars="200"/>
        <w:rPr>
          <w:rFonts w:hint="eastAsia" w:ascii="宋体" w:hAnsi="宋体"/>
          <w:b/>
          <w:sz w:val="24"/>
          <w:highlight w:val="none"/>
        </w:rPr>
      </w:pPr>
    </w:p>
    <w:p w14:paraId="5CEB744C">
      <w:pPr>
        <w:pStyle w:val="7"/>
        <w:rPr>
          <w:rFonts w:hint="eastAsia" w:ascii="宋体" w:hAnsi="宋体"/>
          <w:b/>
          <w:sz w:val="24"/>
          <w:highlight w:val="none"/>
        </w:rPr>
      </w:pPr>
    </w:p>
    <w:p w14:paraId="5A0CD5F6">
      <w:pPr>
        <w:pStyle w:val="7"/>
        <w:rPr>
          <w:rFonts w:hint="eastAsia" w:ascii="宋体" w:hAnsi="宋体"/>
          <w:b/>
          <w:sz w:val="24"/>
          <w:highlight w:val="none"/>
        </w:rPr>
      </w:pPr>
    </w:p>
    <w:p w14:paraId="27CAB8DF">
      <w:pPr>
        <w:rPr>
          <w:rFonts w:hint="eastAsia"/>
          <w:b/>
          <w:bCs/>
          <w:sz w:val="28"/>
          <w:szCs w:val="28"/>
          <w:highlight w:val="none"/>
        </w:rPr>
      </w:pPr>
      <w:r>
        <w:rPr>
          <w:rFonts w:hint="eastAsia"/>
          <w:b/>
          <w:bCs/>
          <w:sz w:val="28"/>
          <w:szCs w:val="28"/>
          <w:highlight w:val="none"/>
        </w:rPr>
        <w:br w:type="page"/>
      </w:r>
    </w:p>
    <w:p w14:paraId="03EF5DA8">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rPr>
        <w:t>3、</w:t>
      </w:r>
      <w:r>
        <w:rPr>
          <w:rFonts w:hint="eastAsia"/>
          <w:b/>
          <w:bCs/>
          <w:sz w:val="28"/>
          <w:szCs w:val="28"/>
          <w:highlight w:val="none"/>
        </w:rPr>
        <w:t>报价一览表</w:t>
      </w:r>
    </w:p>
    <w:p w14:paraId="5A29010C">
      <w:pPr>
        <w:pStyle w:val="31"/>
        <w:spacing w:line="360" w:lineRule="auto"/>
        <w:ind w:left="212" w:leftChars="-86" w:hanging="393" w:hangingChars="163"/>
        <w:jc w:val="both"/>
        <w:rPr>
          <w:rFonts w:ascii="宋体" w:hAnsi="宋体" w:cs="宋体"/>
          <w:b/>
          <w:color w:val="auto"/>
          <w:highlight w:val="none"/>
        </w:rPr>
      </w:pPr>
      <w:r>
        <w:rPr>
          <w:rFonts w:hint="eastAsia" w:ascii="宋体" w:hAnsi="宋体" w:cs="宋体"/>
          <w:b/>
          <w:color w:val="auto"/>
          <w:highlight w:val="none"/>
        </w:rPr>
        <w:t>投标人名称：</w:t>
      </w:r>
      <w:r>
        <w:rPr>
          <w:rFonts w:hint="eastAsia" w:ascii="宋体" w:hAnsi="宋体" w:cs="宋体"/>
          <w:b/>
          <w:color w:val="auto"/>
          <w:highlight w:val="none"/>
          <w:u w:val="single"/>
        </w:rPr>
        <w:t xml:space="preserve">                                  </w:t>
      </w:r>
      <w:r>
        <w:rPr>
          <w:rFonts w:hint="eastAsia" w:ascii="宋体" w:hAnsi="宋体" w:cs="宋体"/>
          <w:b/>
          <w:color w:val="auto"/>
          <w:highlight w:val="none"/>
        </w:rPr>
        <w:t xml:space="preserve">                               </w:t>
      </w:r>
    </w:p>
    <w:p w14:paraId="693DCB45">
      <w:pPr>
        <w:pStyle w:val="31"/>
        <w:spacing w:line="360" w:lineRule="auto"/>
        <w:ind w:left="212" w:leftChars="-86" w:hanging="393" w:hangingChars="163"/>
        <w:jc w:val="both"/>
        <w:rPr>
          <w:rFonts w:ascii="宋体" w:hAnsi="宋体" w:cs="宋体"/>
          <w:b/>
          <w:color w:val="auto"/>
          <w:highlight w:val="none"/>
        </w:rPr>
      </w:pPr>
      <w:r>
        <w:rPr>
          <w:rFonts w:hint="eastAsia" w:ascii="宋体" w:hAnsi="宋体" w:cs="宋体"/>
          <w:b/>
          <w:color w:val="auto"/>
          <w:highlight w:val="none"/>
        </w:rPr>
        <w:t>招标文件编号：</w:t>
      </w:r>
      <w:r>
        <w:rPr>
          <w:rFonts w:hint="eastAsia" w:ascii="宋体" w:hAnsi="宋体" w:cs="宋体"/>
          <w:b/>
          <w:color w:val="auto"/>
          <w:highlight w:val="none"/>
          <w:u w:val="single"/>
        </w:rPr>
        <w:t xml:space="preserve">                                </w:t>
      </w:r>
      <w:r>
        <w:rPr>
          <w:rFonts w:hint="eastAsia" w:ascii="宋体" w:hAnsi="宋体" w:cs="宋体"/>
          <w:b/>
          <w:color w:val="auto"/>
          <w:highlight w:val="none"/>
        </w:rPr>
        <w:t xml:space="preserve">              </w:t>
      </w:r>
    </w:p>
    <w:p w14:paraId="2B6B722D">
      <w:pPr>
        <w:pStyle w:val="31"/>
        <w:spacing w:line="360" w:lineRule="auto"/>
        <w:ind w:left="212" w:leftChars="-86" w:hanging="393" w:hangingChars="163"/>
        <w:jc w:val="both"/>
        <w:rPr>
          <w:rFonts w:ascii="宋体" w:hAnsi="宋体" w:cs="宋体"/>
          <w:b/>
          <w:color w:val="auto"/>
          <w:highlight w:val="none"/>
        </w:rPr>
      </w:pPr>
      <w:r>
        <w:rPr>
          <w:rFonts w:hint="eastAsia" w:ascii="宋体" w:hAnsi="宋体" w:cs="宋体"/>
          <w:b/>
          <w:color w:val="auto"/>
          <w:highlight w:val="none"/>
        </w:rPr>
        <w:t>采购项目名称：</w:t>
      </w:r>
      <w:r>
        <w:rPr>
          <w:rFonts w:hint="eastAsia" w:ascii="宋体" w:hAnsi="宋体" w:cs="宋体"/>
          <w:b/>
          <w:color w:val="auto"/>
          <w:highlight w:val="none"/>
          <w:u w:val="single"/>
        </w:rPr>
        <w:t xml:space="preserve">                                </w:t>
      </w:r>
      <w:r>
        <w:rPr>
          <w:rFonts w:hint="eastAsia" w:ascii="宋体" w:hAnsi="宋体" w:cs="宋体"/>
          <w:b/>
          <w:color w:val="auto"/>
          <w:highlight w:val="none"/>
        </w:rPr>
        <w:t xml:space="preserve"> </w:t>
      </w:r>
    </w:p>
    <w:tbl>
      <w:tblPr>
        <w:tblStyle w:val="22"/>
        <w:tblW w:w="9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23"/>
        <w:gridCol w:w="3229"/>
        <w:gridCol w:w="1649"/>
        <w:gridCol w:w="1408"/>
      </w:tblGrid>
      <w:tr w14:paraId="28CDC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2923" w:type="dxa"/>
            <w:vAlign w:val="center"/>
          </w:tcPr>
          <w:p w14:paraId="6B09EC14">
            <w:pPr>
              <w:pStyle w:val="31"/>
              <w:keepNext w:val="0"/>
              <w:keepLines w:val="0"/>
              <w:suppressLineNumbers w:val="0"/>
              <w:spacing w:before="0" w:beforeAutospacing="0" w:after="0" w:afterAutospacing="0" w:line="360" w:lineRule="auto"/>
              <w:ind w:left="-178" w:leftChars="-342" w:right="-743" w:rightChars="-354" w:hanging="540" w:hangingChars="256"/>
              <w:jc w:val="center"/>
              <w:rPr>
                <w:rFonts w:hint="default" w:ascii="宋体" w:hAnsi="宋体" w:cs="宋体"/>
                <w:b/>
                <w:color w:val="auto"/>
                <w:kern w:val="2"/>
                <w:sz w:val="21"/>
                <w:szCs w:val="21"/>
                <w:highlight w:val="none"/>
              </w:rPr>
            </w:pPr>
            <w:r>
              <w:rPr>
                <w:rFonts w:hint="eastAsia" w:ascii="宋体" w:hAnsi="宋体" w:cs="宋体"/>
                <w:b/>
                <w:color w:val="auto"/>
                <w:kern w:val="2"/>
                <w:sz w:val="21"/>
                <w:szCs w:val="21"/>
                <w:highlight w:val="none"/>
                <w:lang w:val="en-US" w:eastAsia="zh-CN"/>
              </w:rPr>
              <w:t>项目</w:t>
            </w:r>
            <w:r>
              <w:rPr>
                <w:rFonts w:hint="eastAsia" w:ascii="宋体" w:hAnsi="宋体" w:cs="宋体"/>
                <w:b/>
                <w:color w:val="auto"/>
                <w:kern w:val="2"/>
                <w:sz w:val="21"/>
                <w:szCs w:val="21"/>
                <w:highlight w:val="none"/>
              </w:rPr>
              <w:t>名称</w:t>
            </w:r>
          </w:p>
        </w:tc>
        <w:tc>
          <w:tcPr>
            <w:tcW w:w="3229" w:type="dxa"/>
            <w:vAlign w:val="center"/>
          </w:tcPr>
          <w:p w14:paraId="463176AE">
            <w:pPr>
              <w:pStyle w:val="31"/>
              <w:keepNext w:val="0"/>
              <w:keepLines w:val="0"/>
              <w:suppressLineNumbers w:val="0"/>
              <w:spacing w:before="0" w:beforeAutospacing="0" w:after="0" w:afterAutospacing="0" w:line="360" w:lineRule="auto"/>
              <w:ind w:left="-342" w:right="-354"/>
              <w:jc w:val="center"/>
              <w:rPr>
                <w:rFonts w:hint="default" w:ascii="宋体" w:hAnsi="宋体" w:cs="宋体"/>
                <w:b/>
                <w:color w:val="auto"/>
                <w:kern w:val="2"/>
                <w:sz w:val="21"/>
                <w:szCs w:val="21"/>
                <w:highlight w:val="none"/>
              </w:rPr>
            </w:pPr>
            <w:r>
              <w:rPr>
                <w:rFonts w:hint="eastAsia" w:ascii="宋体" w:hAnsi="宋体" w:cs="宋体"/>
                <w:b/>
                <w:color w:val="auto"/>
                <w:kern w:val="2"/>
                <w:sz w:val="21"/>
                <w:szCs w:val="21"/>
                <w:highlight w:val="none"/>
              </w:rPr>
              <w:t>投标报价（元）</w:t>
            </w:r>
          </w:p>
        </w:tc>
        <w:tc>
          <w:tcPr>
            <w:tcW w:w="1649" w:type="dxa"/>
            <w:vAlign w:val="center"/>
          </w:tcPr>
          <w:p w14:paraId="3EBA699D">
            <w:pPr>
              <w:pStyle w:val="31"/>
              <w:keepNext w:val="0"/>
              <w:keepLines w:val="0"/>
              <w:suppressLineNumbers w:val="0"/>
              <w:spacing w:before="0" w:beforeAutospacing="0" w:after="0" w:afterAutospacing="0" w:line="360" w:lineRule="auto"/>
              <w:ind w:left="-342" w:right="-354"/>
              <w:jc w:val="center"/>
              <w:rPr>
                <w:rFonts w:hint="default" w:ascii="宋体" w:hAnsi="宋体" w:cs="宋体"/>
                <w:b/>
                <w:color w:val="auto"/>
                <w:kern w:val="2"/>
                <w:sz w:val="21"/>
                <w:szCs w:val="21"/>
                <w:highlight w:val="none"/>
              </w:rPr>
            </w:pPr>
            <w:r>
              <w:rPr>
                <w:rFonts w:hint="eastAsia" w:ascii="宋体" w:hAnsi="宋体" w:cs="宋体"/>
                <w:b/>
                <w:color w:val="auto"/>
                <w:kern w:val="2"/>
                <w:sz w:val="21"/>
                <w:szCs w:val="21"/>
                <w:highlight w:val="none"/>
              </w:rPr>
              <w:t>合同履行期限</w:t>
            </w:r>
          </w:p>
        </w:tc>
        <w:tc>
          <w:tcPr>
            <w:tcW w:w="1408" w:type="dxa"/>
            <w:vAlign w:val="center"/>
          </w:tcPr>
          <w:p w14:paraId="0EA45941">
            <w:pPr>
              <w:pStyle w:val="31"/>
              <w:keepNext w:val="0"/>
              <w:keepLines w:val="0"/>
              <w:suppressLineNumbers w:val="0"/>
              <w:spacing w:before="0" w:beforeAutospacing="0" w:after="0" w:afterAutospacing="0" w:line="360" w:lineRule="auto"/>
              <w:ind w:left="-342" w:right="-354"/>
              <w:jc w:val="center"/>
              <w:rPr>
                <w:rFonts w:hint="default" w:ascii="宋体" w:hAnsi="宋体" w:cs="宋体"/>
                <w:b/>
                <w:color w:val="auto"/>
                <w:kern w:val="2"/>
                <w:sz w:val="21"/>
                <w:szCs w:val="21"/>
                <w:highlight w:val="none"/>
              </w:rPr>
            </w:pPr>
            <w:r>
              <w:rPr>
                <w:rFonts w:hint="eastAsia" w:ascii="宋体" w:hAnsi="宋体" w:cs="宋体"/>
                <w:b/>
                <w:color w:val="auto"/>
                <w:kern w:val="2"/>
                <w:sz w:val="21"/>
                <w:szCs w:val="21"/>
                <w:highlight w:val="none"/>
              </w:rPr>
              <w:t>备 注</w:t>
            </w:r>
          </w:p>
        </w:tc>
      </w:tr>
      <w:tr w14:paraId="7753E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2923" w:type="dxa"/>
            <w:vAlign w:val="center"/>
          </w:tcPr>
          <w:p w14:paraId="405BA6BE">
            <w:pPr>
              <w:pStyle w:val="31"/>
              <w:keepNext w:val="0"/>
              <w:keepLines w:val="0"/>
              <w:suppressLineNumbers w:val="0"/>
              <w:spacing w:before="0" w:beforeAutospacing="0" w:after="0" w:afterAutospacing="0" w:line="360" w:lineRule="auto"/>
              <w:ind w:left="-342" w:right="-354"/>
              <w:jc w:val="center"/>
              <w:rPr>
                <w:rFonts w:hint="default" w:ascii="宋体" w:hAnsi="宋体" w:cs="宋体"/>
                <w:color w:val="auto"/>
                <w:kern w:val="2"/>
                <w:sz w:val="21"/>
                <w:highlight w:val="none"/>
              </w:rPr>
            </w:pPr>
          </w:p>
        </w:tc>
        <w:tc>
          <w:tcPr>
            <w:tcW w:w="3229" w:type="dxa"/>
            <w:vAlign w:val="center"/>
          </w:tcPr>
          <w:p w14:paraId="121EBFC4">
            <w:pPr>
              <w:pStyle w:val="31"/>
              <w:keepNext w:val="0"/>
              <w:keepLines w:val="0"/>
              <w:suppressLineNumbers w:val="0"/>
              <w:spacing w:before="0" w:beforeAutospacing="0" w:after="0" w:afterAutospacing="0" w:line="360" w:lineRule="auto"/>
              <w:ind w:left="-342" w:right="-354"/>
              <w:jc w:val="center"/>
              <w:rPr>
                <w:rFonts w:hint="default" w:ascii="宋体" w:hAnsi="宋体" w:cs="宋体"/>
                <w:color w:val="auto"/>
                <w:kern w:val="2"/>
                <w:sz w:val="21"/>
                <w:highlight w:val="none"/>
              </w:rPr>
            </w:pPr>
          </w:p>
        </w:tc>
        <w:tc>
          <w:tcPr>
            <w:tcW w:w="1649" w:type="dxa"/>
            <w:vAlign w:val="center"/>
          </w:tcPr>
          <w:p w14:paraId="234B2703">
            <w:pPr>
              <w:pStyle w:val="31"/>
              <w:keepNext w:val="0"/>
              <w:keepLines w:val="0"/>
              <w:suppressLineNumbers w:val="0"/>
              <w:spacing w:before="0" w:beforeAutospacing="0" w:after="0" w:afterAutospacing="0" w:line="360" w:lineRule="auto"/>
              <w:ind w:left="-342" w:right="-354"/>
              <w:jc w:val="center"/>
              <w:rPr>
                <w:rFonts w:hint="default" w:ascii="宋体" w:hAnsi="宋体" w:cs="宋体"/>
                <w:color w:val="auto"/>
                <w:kern w:val="2"/>
                <w:sz w:val="21"/>
                <w:highlight w:val="none"/>
              </w:rPr>
            </w:pPr>
          </w:p>
        </w:tc>
        <w:tc>
          <w:tcPr>
            <w:tcW w:w="1408" w:type="dxa"/>
            <w:vAlign w:val="center"/>
          </w:tcPr>
          <w:p w14:paraId="5792710D">
            <w:pPr>
              <w:pStyle w:val="31"/>
              <w:keepNext w:val="0"/>
              <w:keepLines w:val="0"/>
              <w:suppressLineNumbers w:val="0"/>
              <w:spacing w:before="0" w:beforeAutospacing="0" w:after="0" w:afterAutospacing="0" w:line="360" w:lineRule="auto"/>
              <w:ind w:left="-342" w:right="-354"/>
              <w:jc w:val="center"/>
              <w:rPr>
                <w:rFonts w:hint="default" w:ascii="宋体" w:hAnsi="宋体" w:cs="宋体"/>
                <w:color w:val="auto"/>
                <w:kern w:val="2"/>
                <w:sz w:val="21"/>
                <w:highlight w:val="none"/>
              </w:rPr>
            </w:pPr>
          </w:p>
        </w:tc>
      </w:tr>
      <w:tr w14:paraId="245EB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2923" w:type="dxa"/>
            <w:vAlign w:val="center"/>
          </w:tcPr>
          <w:p w14:paraId="055E4E3A">
            <w:pPr>
              <w:pStyle w:val="31"/>
              <w:keepNext w:val="0"/>
              <w:keepLines w:val="0"/>
              <w:suppressLineNumbers w:val="0"/>
              <w:spacing w:before="0" w:beforeAutospacing="0" w:after="0" w:afterAutospacing="0" w:line="360" w:lineRule="auto"/>
              <w:ind w:left="-342" w:right="-354"/>
              <w:jc w:val="center"/>
              <w:rPr>
                <w:rFonts w:hint="default" w:ascii="宋体" w:hAnsi="宋体" w:cs="宋体"/>
                <w:color w:val="auto"/>
                <w:kern w:val="2"/>
                <w:sz w:val="21"/>
                <w:highlight w:val="none"/>
              </w:rPr>
            </w:pPr>
            <w:r>
              <w:rPr>
                <w:rFonts w:hint="eastAsia" w:ascii="宋体" w:hAnsi="宋体" w:cs="宋体"/>
                <w:color w:val="auto"/>
                <w:kern w:val="2"/>
                <w:sz w:val="21"/>
                <w:highlight w:val="none"/>
              </w:rPr>
              <w:t>大写</w:t>
            </w:r>
          </w:p>
        </w:tc>
        <w:tc>
          <w:tcPr>
            <w:tcW w:w="6286" w:type="dxa"/>
            <w:gridSpan w:val="3"/>
            <w:vAlign w:val="center"/>
          </w:tcPr>
          <w:p w14:paraId="66A334D4">
            <w:pPr>
              <w:pStyle w:val="31"/>
              <w:keepNext w:val="0"/>
              <w:keepLines w:val="0"/>
              <w:suppressLineNumbers w:val="0"/>
              <w:spacing w:before="0" w:beforeAutospacing="0" w:after="0" w:afterAutospacing="0" w:line="360" w:lineRule="auto"/>
              <w:ind w:left="-342" w:right="-354"/>
              <w:jc w:val="center"/>
              <w:rPr>
                <w:rFonts w:hint="default" w:ascii="宋体" w:hAnsi="宋体" w:cs="宋体"/>
                <w:color w:val="auto"/>
                <w:kern w:val="2"/>
                <w:sz w:val="21"/>
                <w:highlight w:val="none"/>
              </w:rPr>
            </w:pPr>
          </w:p>
        </w:tc>
      </w:tr>
    </w:tbl>
    <w:p w14:paraId="1158BB0D">
      <w:pPr>
        <w:ind w:firstLine="642"/>
        <w:jc w:val="center"/>
        <w:rPr>
          <w:rFonts w:hint="eastAsia" w:ascii="宋体" w:hAnsi="宋体"/>
          <w:b/>
          <w:sz w:val="24"/>
          <w:highlight w:val="none"/>
        </w:rPr>
      </w:pPr>
    </w:p>
    <w:p w14:paraId="68B2F827">
      <w:pPr>
        <w:ind w:firstLine="642"/>
        <w:jc w:val="center"/>
        <w:rPr>
          <w:rFonts w:ascii="宋体" w:hAnsi="宋体"/>
          <w:b/>
          <w:sz w:val="24"/>
          <w:highlight w:val="none"/>
        </w:rPr>
      </w:pPr>
      <w:r>
        <w:rPr>
          <w:rFonts w:hint="eastAsia" w:ascii="宋体" w:hAnsi="宋体"/>
          <w:b/>
          <w:sz w:val="24"/>
          <w:highlight w:val="none"/>
        </w:rPr>
        <w:t xml:space="preserve"> 投标人（公章）：</w:t>
      </w:r>
    </w:p>
    <w:p w14:paraId="14438593">
      <w:pPr>
        <w:ind w:firstLine="642"/>
        <w:jc w:val="center"/>
        <w:rPr>
          <w:rFonts w:ascii="宋体" w:hAnsi="宋体"/>
          <w:b/>
          <w:sz w:val="24"/>
          <w:highlight w:val="none"/>
        </w:rPr>
      </w:pPr>
    </w:p>
    <w:p w14:paraId="6C4CC9F5">
      <w:pPr>
        <w:ind w:firstLine="642"/>
        <w:jc w:val="center"/>
        <w:rPr>
          <w:rFonts w:ascii="宋体" w:hAnsi="宋体"/>
          <w:b/>
          <w:sz w:val="24"/>
          <w:highlight w:val="none"/>
        </w:rPr>
      </w:pPr>
      <w:r>
        <w:rPr>
          <w:rFonts w:hint="eastAsia" w:ascii="宋体" w:hAnsi="宋体"/>
          <w:b/>
          <w:sz w:val="24"/>
          <w:highlight w:val="none"/>
        </w:rPr>
        <w:t>法定代表人或授权委托人签字：</w:t>
      </w:r>
    </w:p>
    <w:p w14:paraId="21F9D941">
      <w:pPr>
        <w:ind w:firstLine="642"/>
        <w:jc w:val="center"/>
        <w:rPr>
          <w:rFonts w:ascii="宋体" w:hAnsi="宋体"/>
          <w:b/>
          <w:sz w:val="24"/>
          <w:highlight w:val="none"/>
        </w:rPr>
      </w:pPr>
    </w:p>
    <w:p w14:paraId="5E4E5855">
      <w:pPr>
        <w:pStyle w:val="31"/>
        <w:spacing w:line="360" w:lineRule="auto"/>
        <w:rPr>
          <w:rFonts w:ascii="宋体" w:hAnsi="宋体" w:cs="宋体"/>
          <w:b/>
          <w:color w:val="auto"/>
          <w:highlight w:val="none"/>
        </w:rPr>
      </w:pPr>
      <w:r>
        <w:rPr>
          <w:rFonts w:hint="eastAsia" w:ascii="宋体" w:hAnsi="宋体"/>
          <w:b/>
          <w:sz w:val="24"/>
          <w:highlight w:val="none"/>
        </w:rPr>
        <w:t xml:space="preserve">                     </w:t>
      </w:r>
      <w:r>
        <w:rPr>
          <w:rFonts w:hint="eastAsia" w:ascii="宋体" w:hAnsi="宋体"/>
          <w:b/>
          <w:sz w:val="24"/>
          <w:highlight w:val="none"/>
          <w:lang w:val="en-US" w:eastAsia="zh-CN"/>
        </w:rPr>
        <w:t xml:space="preserve">                </w:t>
      </w:r>
      <w:r>
        <w:rPr>
          <w:rFonts w:hint="eastAsia" w:ascii="宋体" w:hAnsi="宋体"/>
          <w:b/>
          <w:sz w:val="24"/>
          <w:highlight w:val="none"/>
        </w:rPr>
        <w:t>日期：</w:t>
      </w:r>
    </w:p>
    <w:p w14:paraId="5A59153C">
      <w:pPr>
        <w:ind w:left="2888" w:leftChars="228" w:hanging="2409" w:hangingChars="1000"/>
        <w:rPr>
          <w:rFonts w:hint="eastAsia" w:ascii="宋体" w:hAnsi="宋体"/>
          <w:b/>
          <w:sz w:val="24"/>
          <w:highlight w:val="none"/>
        </w:rPr>
      </w:pPr>
    </w:p>
    <w:p w14:paraId="521506C4">
      <w:pPr>
        <w:pStyle w:val="31"/>
        <w:spacing w:line="360" w:lineRule="auto"/>
        <w:rPr>
          <w:rFonts w:hint="eastAsia" w:ascii="宋体" w:hAnsi="宋体"/>
          <w:b/>
          <w:color w:val="auto"/>
          <w:highlight w:val="none"/>
        </w:rPr>
      </w:pPr>
    </w:p>
    <w:p w14:paraId="79E74B02">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rPr>
        <w:t>4、供应商资质证明文件</w:t>
      </w:r>
    </w:p>
    <w:p w14:paraId="0A062C5A">
      <w:pPr>
        <w:ind w:firstLine="482" w:firstLineChars="200"/>
        <w:rPr>
          <w:rFonts w:hint="eastAsia" w:ascii="宋体" w:hAnsi="宋体"/>
          <w:b/>
          <w:sz w:val="24"/>
          <w:highlight w:val="none"/>
        </w:rPr>
      </w:pPr>
    </w:p>
    <w:p w14:paraId="119AF0E1">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4.1、</w:t>
      </w:r>
      <w:r>
        <w:rPr>
          <w:rFonts w:hint="eastAsia" w:ascii="宋体" w:hAnsi="宋体" w:cs="宋体"/>
          <w:bCs/>
          <w:sz w:val="24"/>
          <w:szCs w:val="24"/>
          <w:lang w:val="en-US" w:eastAsia="zh-CN"/>
        </w:rPr>
        <w:t>须具有中华人民共和国境内注册的独立法人资格的企事业单位，提供事业单位证书或营业执照</w:t>
      </w:r>
      <w:r>
        <w:rPr>
          <w:rFonts w:hint="eastAsia" w:ascii="宋体" w:hAnsi="宋体"/>
          <w:sz w:val="24"/>
          <w:highlight w:val="none"/>
        </w:rPr>
        <w:t>；</w:t>
      </w:r>
    </w:p>
    <w:p w14:paraId="093EBA4C">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4.2、</w:t>
      </w:r>
      <w:r>
        <w:rPr>
          <w:rFonts w:hint="eastAsia" w:ascii="宋体" w:hAnsi="宋体"/>
          <w:sz w:val="24"/>
          <w:highlight w:val="none"/>
          <w:lang w:val="zh-CN"/>
        </w:rPr>
        <w:t>未被“信用中国”（www.creditchina.gov.cn）列入严重失信主体名单查询、重大税收违法失信主体、政府采购严重违法失信行为记录名单、拖欠农民工工资失信联合惩戒对象名单、安全生产严重失信主体名单；未被“中国执行信息公开网”（http://zxgk.court.gov.cn）列入失信被执行人；未被“中国政府采购网”（www.ccgp.gov.cn）列入政府采购严重违法失信行为记录名单；</w:t>
      </w:r>
      <w:r>
        <w:rPr>
          <w:rFonts w:hint="eastAsia" w:ascii="宋体" w:hAnsi="宋体"/>
          <w:sz w:val="24"/>
          <w:highlight w:val="none"/>
        </w:rPr>
        <w:t xml:space="preserve">  </w:t>
      </w:r>
    </w:p>
    <w:p w14:paraId="1A6EF8C8">
      <w:pPr>
        <w:autoSpaceDE w:val="0"/>
        <w:autoSpaceDN w:val="0"/>
        <w:adjustRightInd w:val="0"/>
        <w:spacing w:line="360" w:lineRule="auto"/>
        <w:ind w:firstLine="787" w:firstLineChars="328"/>
        <w:rPr>
          <w:rFonts w:hint="eastAsia" w:ascii="宋体" w:hAnsi="宋体"/>
          <w:sz w:val="24"/>
          <w:highlight w:val="none"/>
        </w:rPr>
      </w:pPr>
      <w:r>
        <w:rPr>
          <w:rFonts w:hint="eastAsia" w:ascii="宋体" w:hAnsi="宋体"/>
          <w:sz w:val="24"/>
          <w:highlight w:val="none"/>
        </w:rPr>
        <w:t>4.3、投标保证金缴纳凭证；</w:t>
      </w:r>
    </w:p>
    <w:p w14:paraId="7A4ADAF6">
      <w:pPr>
        <w:ind w:firstLine="720" w:firstLineChars="300"/>
        <w:rPr>
          <w:rFonts w:hint="eastAsia" w:cs="Times New Roman"/>
          <w:color w:val="auto"/>
          <w:sz w:val="24"/>
          <w:szCs w:val="24"/>
          <w:highlight w:val="none"/>
          <w:shd w:val="clear" w:color="auto" w:fill="auto"/>
          <w:lang w:val="en-US" w:eastAsia="zh-CN"/>
        </w:rPr>
      </w:pPr>
      <w:r>
        <w:rPr>
          <w:rFonts w:hint="eastAsia" w:ascii="宋体" w:hAnsi="宋体"/>
          <w:sz w:val="24"/>
          <w:highlight w:val="none"/>
          <w:lang w:val="en-US" w:eastAsia="zh-CN"/>
        </w:rPr>
        <w:t>4.4、</w:t>
      </w:r>
      <w:r>
        <w:rPr>
          <w:rFonts w:hint="eastAsia" w:cs="Times New Roman"/>
          <w:color w:val="auto"/>
          <w:sz w:val="24"/>
          <w:szCs w:val="24"/>
          <w:highlight w:val="none"/>
          <w:shd w:val="clear" w:color="auto" w:fill="auto"/>
          <w:lang w:val="en-US" w:eastAsia="zh-CN"/>
        </w:rPr>
        <w:t>满足《中华人民共和国政府采购法》第二十二条规定，并提供承诺书。</w:t>
      </w:r>
    </w:p>
    <w:p w14:paraId="3C981C2A">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br w:type="page"/>
      </w:r>
    </w:p>
    <w:p w14:paraId="40B43C96">
      <w:pPr>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符合《政府采购法》第二十二条内容的承诺书</w:t>
      </w:r>
    </w:p>
    <w:p w14:paraId="2484F8BF">
      <w:pPr>
        <w:pageBreakBefore w:val="0"/>
        <w:kinsoku/>
        <w:wordWrap/>
        <w:overflowPunct/>
        <w:topLinePunct w:val="0"/>
        <w:bidi w:val="0"/>
        <w:spacing w:line="360" w:lineRule="auto"/>
        <w:ind w:firstLine="120" w:firstLineChars="50"/>
        <w:textAlignment w:val="auto"/>
        <w:rPr>
          <w:rFonts w:hint="eastAsia" w:ascii="宋体" w:hAnsi="宋体" w:eastAsia="宋体" w:cs="宋体"/>
          <w:b/>
          <w:bCs/>
          <w:sz w:val="24"/>
          <w:szCs w:val="24"/>
          <w:highlight w:val="none"/>
        </w:rPr>
      </w:pPr>
    </w:p>
    <w:p w14:paraId="699C689D">
      <w:pPr>
        <w:pageBreakBefore w:val="0"/>
        <w:kinsoku/>
        <w:wordWrap/>
        <w:overflowPunct/>
        <w:topLinePunct w:val="0"/>
        <w:bidi w:val="0"/>
        <w:spacing w:line="360" w:lineRule="auto"/>
        <w:ind w:firstLine="120" w:firstLineChars="50"/>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致：代理机构</w:t>
      </w:r>
    </w:p>
    <w:p w14:paraId="7C3086EC">
      <w:pPr>
        <w:pageBreakBefore w:val="0"/>
        <w:kinsoku/>
        <w:wordWrap/>
        <w:overflowPunct/>
        <w:topLinePunct w:val="0"/>
        <w:bidi w:val="0"/>
        <w:spacing w:line="360" w:lineRule="auto"/>
        <w:ind w:firstLine="600" w:firstLineChars="2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关于贵方</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eastAsia="zh-CN"/>
        </w:rPr>
        <w:t>项目</w:t>
      </w:r>
      <w:r>
        <w:rPr>
          <w:rFonts w:hint="eastAsia" w:ascii="宋体" w:hAnsi="宋体" w:eastAsia="宋体" w:cs="宋体"/>
          <w:b/>
          <w:bCs/>
          <w:color w:val="auto"/>
          <w:sz w:val="24"/>
          <w:szCs w:val="24"/>
          <w:highlight w:val="none"/>
          <w:u w:val="single"/>
        </w:rPr>
        <w:t>名称、</w:t>
      </w:r>
      <w:r>
        <w:rPr>
          <w:rFonts w:hint="eastAsia" w:ascii="宋体" w:hAnsi="宋体" w:eastAsia="宋体" w:cs="宋体"/>
          <w:b/>
          <w:bCs/>
          <w:color w:val="auto"/>
          <w:sz w:val="24"/>
          <w:szCs w:val="24"/>
          <w:highlight w:val="none"/>
          <w:u w:val="single"/>
          <w:lang w:eastAsia="zh-CN"/>
        </w:rPr>
        <w:t>项目</w:t>
      </w:r>
      <w:r>
        <w:rPr>
          <w:rFonts w:hint="eastAsia" w:ascii="宋体" w:hAnsi="宋体" w:eastAsia="宋体" w:cs="宋体"/>
          <w:b/>
          <w:bCs/>
          <w:color w:val="auto"/>
          <w:sz w:val="24"/>
          <w:szCs w:val="24"/>
          <w:highlight w:val="none"/>
          <w:u w:val="single"/>
        </w:rPr>
        <w:t>招标编号</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投标邀请，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
          <w:bCs/>
          <w:color w:val="auto"/>
          <w:sz w:val="24"/>
          <w:szCs w:val="24"/>
          <w:highlight w:val="none"/>
          <w:u w:val="single"/>
        </w:rPr>
        <w:t>投标人名称</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sz w:val="24"/>
          <w:szCs w:val="24"/>
          <w:highlight w:val="none"/>
        </w:rPr>
        <w:t>愿意参加投标，提供招标文件中规定的货物和服务，并声明我公司符合《</w:t>
      </w:r>
      <w:r>
        <w:rPr>
          <w:rFonts w:hint="eastAsia" w:ascii="宋体" w:hAnsi="宋体" w:eastAsia="宋体" w:cs="宋体"/>
          <w:sz w:val="24"/>
          <w:szCs w:val="24"/>
          <w:highlight w:val="none"/>
          <w:lang w:eastAsia="zh-CN"/>
        </w:rPr>
        <w:t>政</w:t>
      </w:r>
      <w:r>
        <w:rPr>
          <w:rFonts w:hint="eastAsia" w:ascii="宋体" w:hAnsi="宋体" w:eastAsia="宋体" w:cs="宋体"/>
          <w:sz w:val="24"/>
          <w:szCs w:val="24"/>
          <w:highlight w:val="none"/>
        </w:rPr>
        <w:t>府采购法》第二十二条之规定：</w:t>
      </w:r>
    </w:p>
    <w:p w14:paraId="2387D3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w:t>
      </w:r>
      <w:r>
        <w:rPr>
          <w:rFonts w:hint="eastAsia" w:ascii="宋体" w:hAnsi="宋体" w:eastAsia="宋体" w:cs="宋体"/>
          <w:sz w:val="24"/>
          <w:szCs w:val="24"/>
          <w:highlight w:val="none"/>
        </w:rPr>
        <w:t>具有独立承担民事责任的能力</w:t>
      </w:r>
      <w:r>
        <w:rPr>
          <w:rFonts w:hint="eastAsia" w:ascii="宋体" w:hAnsi="宋体" w:eastAsia="宋体" w:cs="宋体"/>
          <w:sz w:val="24"/>
          <w:szCs w:val="24"/>
          <w:highlight w:val="none"/>
          <w:lang w:eastAsia="zh-CN"/>
        </w:rPr>
        <w:t>；</w:t>
      </w:r>
    </w:p>
    <w:p w14:paraId="472176D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w:t>
      </w:r>
      <w:r>
        <w:rPr>
          <w:rFonts w:hint="eastAsia" w:ascii="宋体" w:hAnsi="宋体" w:eastAsia="宋体" w:cs="宋体"/>
          <w:sz w:val="24"/>
          <w:szCs w:val="24"/>
          <w:highlight w:val="none"/>
        </w:rPr>
        <w:t>具有良好的商业信誉和健全的财务会计制度</w:t>
      </w:r>
      <w:r>
        <w:rPr>
          <w:rFonts w:hint="eastAsia" w:ascii="宋体" w:hAnsi="宋体" w:eastAsia="宋体" w:cs="宋体"/>
          <w:sz w:val="24"/>
          <w:szCs w:val="24"/>
          <w:highlight w:val="none"/>
          <w:lang w:eastAsia="zh-CN"/>
        </w:rPr>
        <w:t>；</w:t>
      </w:r>
    </w:p>
    <w:p w14:paraId="56B6858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w:t>
      </w:r>
      <w:r>
        <w:rPr>
          <w:rFonts w:hint="eastAsia" w:ascii="宋体" w:hAnsi="宋体" w:eastAsia="宋体" w:cs="宋体"/>
          <w:sz w:val="24"/>
          <w:szCs w:val="24"/>
          <w:highlight w:val="none"/>
        </w:rPr>
        <w:t>具有履行合同所必需的设备和专业技术能力</w:t>
      </w:r>
      <w:r>
        <w:rPr>
          <w:rFonts w:hint="eastAsia" w:ascii="宋体" w:hAnsi="宋体" w:eastAsia="宋体" w:cs="宋体"/>
          <w:sz w:val="24"/>
          <w:szCs w:val="24"/>
          <w:highlight w:val="none"/>
          <w:lang w:eastAsia="zh-CN"/>
        </w:rPr>
        <w:t>；</w:t>
      </w:r>
    </w:p>
    <w:p w14:paraId="5C07B6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（四）</w:t>
      </w:r>
      <w:r>
        <w:rPr>
          <w:rFonts w:hint="eastAsia" w:ascii="宋体" w:hAnsi="宋体" w:eastAsia="宋体" w:cs="宋体"/>
          <w:sz w:val="24"/>
          <w:szCs w:val="24"/>
          <w:highlight w:val="none"/>
        </w:rPr>
        <w:t>有依法缴纳税收和社会保障资金的良好记录</w:t>
      </w:r>
      <w:r>
        <w:rPr>
          <w:rFonts w:hint="eastAsia" w:ascii="宋体" w:hAnsi="宋体" w:eastAsia="宋体" w:cs="宋体"/>
          <w:sz w:val="24"/>
          <w:szCs w:val="24"/>
          <w:highlight w:val="none"/>
          <w:lang w:eastAsia="zh-CN"/>
        </w:rPr>
        <w:t>；</w:t>
      </w:r>
    </w:p>
    <w:p w14:paraId="5C0B93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（五）</w:t>
      </w:r>
      <w:r>
        <w:rPr>
          <w:rFonts w:hint="eastAsia" w:ascii="宋体" w:hAnsi="宋体" w:eastAsia="宋体" w:cs="宋体"/>
          <w:sz w:val="24"/>
          <w:szCs w:val="24"/>
          <w:highlight w:val="none"/>
        </w:rPr>
        <w:t>参加</w:t>
      </w:r>
      <w:r>
        <w:rPr>
          <w:rFonts w:hint="eastAsia" w:ascii="宋体" w:hAnsi="宋体" w:eastAsia="宋体" w:cs="宋体"/>
          <w:sz w:val="24"/>
          <w:szCs w:val="24"/>
          <w:highlight w:val="none"/>
          <w:lang w:eastAsia="zh-CN"/>
        </w:rPr>
        <w:t>政府采购</w:t>
      </w:r>
      <w:r>
        <w:rPr>
          <w:rFonts w:hint="eastAsia" w:ascii="宋体" w:hAnsi="宋体" w:eastAsia="宋体" w:cs="宋体"/>
          <w:sz w:val="24"/>
          <w:szCs w:val="24"/>
          <w:highlight w:val="none"/>
        </w:rPr>
        <w:t>活动前三年内，在经营活动中没有重大违法记录</w:t>
      </w:r>
      <w:r>
        <w:rPr>
          <w:rFonts w:hint="eastAsia" w:ascii="宋体" w:hAnsi="宋体" w:eastAsia="宋体" w:cs="宋体"/>
          <w:sz w:val="24"/>
          <w:szCs w:val="24"/>
          <w:highlight w:val="none"/>
          <w:lang w:eastAsia="zh-CN"/>
        </w:rPr>
        <w:t>；</w:t>
      </w:r>
    </w:p>
    <w:p w14:paraId="779698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（六）</w:t>
      </w:r>
      <w:r>
        <w:rPr>
          <w:rFonts w:hint="eastAsia" w:ascii="宋体" w:hAnsi="宋体" w:eastAsia="宋体" w:cs="宋体"/>
          <w:sz w:val="24"/>
          <w:szCs w:val="24"/>
          <w:highlight w:val="none"/>
        </w:rPr>
        <w:t>满足法律、行</w:t>
      </w:r>
      <w:r>
        <w:rPr>
          <w:rFonts w:hint="eastAsia" w:ascii="宋体" w:hAnsi="宋体" w:eastAsia="宋体" w:cs="宋体"/>
          <w:sz w:val="24"/>
          <w:szCs w:val="24"/>
          <w:highlight w:val="none"/>
          <w:lang w:eastAsia="zh-CN"/>
        </w:rPr>
        <w:t>政</w:t>
      </w:r>
      <w:r>
        <w:rPr>
          <w:rFonts w:hint="eastAsia" w:ascii="宋体" w:hAnsi="宋体" w:eastAsia="宋体" w:cs="宋体"/>
          <w:sz w:val="24"/>
          <w:szCs w:val="24"/>
          <w:highlight w:val="none"/>
        </w:rPr>
        <w:t>法规规定的其他条件。</w:t>
      </w:r>
    </w:p>
    <w:p w14:paraId="11660496">
      <w:pPr>
        <w:pageBreakBefore w:val="0"/>
        <w:kinsoku/>
        <w:wordWrap/>
        <w:overflowPunct/>
        <w:topLinePunct w:val="0"/>
        <w:bidi w:val="0"/>
        <w:spacing w:line="360" w:lineRule="auto"/>
        <w:ind w:firstLine="120" w:firstLineChars="50"/>
        <w:jc w:val="right"/>
        <w:textAlignment w:val="auto"/>
        <w:rPr>
          <w:rFonts w:hint="eastAsia" w:ascii="宋体" w:hAnsi="宋体" w:eastAsia="宋体" w:cs="宋体"/>
          <w:sz w:val="24"/>
          <w:szCs w:val="24"/>
          <w:highlight w:val="none"/>
        </w:rPr>
      </w:pPr>
    </w:p>
    <w:p w14:paraId="634E9836">
      <w:pPr>
        <w:pageBreakBefore w:val="0"/>
        <w:kinsoku/>
        <w:wordWrap/>
        <w:overflowPunct/>
        <w:topLinePunct w:val="0"/>
        <w:bidi w:val="0"/>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特此声明！</w:t>
      </w:r>
    </w:p>
    <w:p w14:paraId="6F7445BF">
      <w:pPr>
        <w:pageBreakBefore w:val="0"/>
        <w:kinsoku/>
        <w:wordWrap/>
        <w:overflowPunct/>
        <w:topLinePunct w:val="0"/>
        <w:bidi w:val="0"/>
        <w:spacing w:line="360" w:lineRule="auto"/>
        <w:ind w:firstLine="120" w:firstLineChars="5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p>
    <w:p w14:paraId="43B78C62">
      <w:pPr>
        <w:pageBreakBefore w:val="0"/>
        <w:kinsoku/>
        <w:wordWrap/>
        <w:overflowPunct/>
        <w:topLinePunct w:val="0"/>
        <w:bidi w:val="0"/>
        <w:spacing w:line="360" w:lineRule="auto"/>
        <w:ind w:firstLine="120" w:firstLineChars="5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投标人代表签</w:t>
      </w:r>
      <w:r>
        <w:rPr>
          <w:rFonts w:hint="eastAsia" w:ascii="宋体" w:hAnsi="宋体" w:eastAsia="宋体" w:cs="宋体"/>
          <w:sz w:val="24"/>
          <w:szCs w:val="24"/>
          <w:highlight w:val="none"/>
          <w:lang w:eastAsia="zh-CN"/>
        </w:rPr>
        <w:t>字</w:t>
      </w:r>
      <w:r>
        <w:rPr>
          <w:rFonts w:hint="eastAsia" w:ascii="宋体" w:hAnsi="宋体" w:eastAsia="宋体" w:cs="宋体"/>
          <w:sz w:val="24"/>
          <w:szCs w:val="24"/>
          <w:highlight w:val="none"/>
        </w:rPr>
        <w:t>：</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p>
    <w:p w14:paraId="74E800E0">
      <w:pPr>
        <w:pageBreakBefore w:val="0"/>
        <w:kinsoku/>
        <w:wordWrap/>
        <w:overflowPunct/>
        <w:topLinePunct w:val="0"/>
        <w:bidi w:val="0"/>
        <w:spacing w:line="360" w:lineRule="auto"/>
        <w:ind w:firstLine="120" w:firstLineChars="50"/>
        <w:jc w:val="center"/>
        <w:textAlignment w:val="auto"/>
        <w:rPr>
          <w:rFonts w:hint="eastAsia" w:ascii="宋体" w:hAnsi="宋体" w:eastAsia="宋体" w:cs="宋体"/>
          <w:sz w:val="24"/>
          <w:szCs w:val="24"/>
          <w:highlight w:val="none"/>
        </w:rPr>
      </w:pPr>
    </w:p>
    <w:p w14:paraId="287479D5">
      <w:pPr>
        <w:pageBreakBefore w:val="0"/>
        <w:kinsoku/>
        <w:wordWrap/>
        <w:overflowPunct/>
        <w:topLinePunct w:val="0"/>
        <w:bidi w:val="0"/>
        <w:spacing w:line="360" w:lineRule="auto"/>
        <w:ind w:firstLine="120" w:firstLineChars="50"/>
        <w:jc w:val="center"/>
        <w:textAlignment w:val="auto"/>
        <w:rPr>
          <w:rFonts w:hint="eastAsia" w:ascii="宋体" w:hAnsi="宋体" w:eastAsia="宋体" w:cs="宋体"/>
          <w:sz w:val="24"/>
          <w:szCs w:val="24"/>
          <w:highlight w:val="none"/>
          <w:lang w:val="en-US" w:eastAsia="zh-CN"/>
        </w:rPr>
        <w:sectPr>
          <w:pgSz w:w="11906" w:h="16838"/>
          <w:pgMar w:top="1134" w:right="1417" w:bottom="1134" w:left="1417" w:header="510" w:footer="567" w:gutter="0"/>
          <w:pgNumType w:fmt="decimal"/>
          <w:cols w:space="720" w:num="1"/>
          <w:titlePg/>
          <w:rtlGutter w:val="1"/>
          <w:docGrid w:type="lines" w:linePitch="312" w:charSpace="0"/>
        </w:sectPr>
      </w:pPr>
      <w:r>
        <w:rPr>
          <w:rFonts w:hint="eastAsia" w:ascii="宋体" w:hAnsi="宋体" w:eastAsia="宋体" w:cs="宋体"/>
          <w:sz w:val="24"/>
          <w:szCs w:val="24"/>
          <w:highlight w:val="none"/>
          <w:lang w:val="en-US" w:eastAsia="zh-CN"/>
        </w:rPr>
        <w:t xml:space="preserve">                                     </w:t>
      </w:r>
      <w:r>
        <w:rPr>
          <w:rFonts w:hint="eastAsia" w:ascii="宋体" w:hAnsi="宋体"/>
          <w:sz w:val="24"/>
          <w:szCs w:val="24"/>
          <w:highlight w:val="none"/>
        </w:rPr>
        <w:t>供应商（盖章）：</w:t>
      </w:r>
      <w:r>
        <w:rPr>
          <w:rFonts w:hint="eastAsia" w:ascii="宋体" w:hAnsi="宋体"/>
          <w:sz w:val="24"/>
          <w:szCs w:val="24"/>
          <w:highlight w:val="none"/>
          <w:u w:val="single"/>
        </w:rPr>
        <w:t xml:space="preserve">　供应商名称　                         </w:t>
      </w:r>
    </w:p>
    <w:p w14:paraId="0FF85477">
      <w:pPr>
        <w:pStyle w:val="4"/>
        <w:ind w:firstLine="562"/>
        <w:jc w:val="center"/>
        <w:rPr>
          <w:rFonts w:hint="eastAsia"/>
          <w:b/>
          <w:sz w:val="30"/>
          <w:szCs w:val="30"/>
          <w:highlight w:val="none"/>
        </w:rPr>
      </w:pPr>
      <w:r>
        <w:rPr>
          <w:rFonts w:hint="eastAsia"/>
          <w:b/>
          <w:bCs/>
          <w:sz w:val="28"/>
          <w:szCs w:val="28"/>
          <w:highlight w:val="none"/>
        </w:rPr>
        <w:t>附件</w:t>
      </w:r>
      <w:r>
        <w:rPr>
          <w:rFonts w:hint="eastAsia"/>
          <w:b/>
          <w:bCs/>
          <w:sz w:val="28"/>
          <w:szCs w:val="28"/>
          <w:highlight w:val="none"/>
          <w:lang w:val="en-US"/>
        </w:rPr>
        <w:t>5、</w:t>
      </w:r>
      <w:r>
        <w:rPr>
          <w:rFonts w:hint="eastAsia"/>
          <w:b/>
          <w:bCs/>
          <w:sz w:val="28"/>
          <w:szCs w:val="28"/>
          <w:highlight w:val="none"/>
        </w:rPr>
        <w:t xml:space="preserve">关于资格的声明函 </w:t>
      </w:r>
    </w:p>
    <w:p w14:paraId="2D05D974">
      <w:pPr>
        <w:spacing w:line="440" w:lineRule="exact"/>
        <w:jc w:val="center"/>
        <w:rPr>
          <w:rFonts w:hint="eastAsia" w:ascii="宋体" w:hAnsi="宋体"/>
          <w:b/>
          <w:sz w:val="30"/>
          <w:szCs w:val="30"/>
          <w:highlight w:val="none"/>
        </w:rPr>
      </w:pPr>
      <w:r>
        <w:rPr>
          <w:rFonts w:hint="eastAsia" w:ascii="宋体" w:hAnsi="宋体"/>
          <w:b/>
          <w:sz w:val="30"/>
          <w:szCs w:val="30"/>
          <w:highlight w:val="none"/>
        </w:rPr>
        <w:t>关于资格的声明函</w:t>
      </w:r>
    </w:p>
    <w:p w14:paraId="56BB1ADD">
      <w:pPr>
        <w:spacing w:line="440" w:lineRule="exact"/>
        <w:rPr>
          <w:rFonts w:hint="eastAsia" w:ascii="宋体" w:hAnsi="宋体"/>
          <w:b/>
          <w:sz w:val="24"/>
          <w:highlight w:val="none"/>
        </w:rPr>
      </w:pPr>
      <w:r>
        <w:rPr>
          <w:rFonts w:hint="eastAsia" w:ascii="宋体" w:hAnsi="宋体"/>
          <w:b/>
          <w:sz w:val="24"/>
          <w:highlight w:val="none"/>
        </w:rPr>
        <w:t>致：（采购人）</w:t>
      </w:r>
    </w:p>
    <w:p w14:paraId="26C06C15">
      <w:pPr>
        <w:spacing w:line="440" w:lineRule="exact"/>
        <w:ind w:firstLine="480" w:firstLineChars="200"/>
        <w:rPr>
          <w:rFonts w:hint="eastAsia" w:ascii="宋体" w:hAnsi="宋体"/>
          <w:b/>
          <w:sz w:val="24"/>
          <w:highlight w:val="none"/>
        </w:rPr>
      </w:pPr>
      <w:r>
        <w:rPr>
          <w:rFonts w:hint="eastAsia" w:ascii="宋体" w:hAnsi="宋体"/>
          <w:sz w:val="24"/>
          <w:highlight w:val="none"/>
        </w:rPr>
        <w:t>关于贵方20</w:t>
      </w:r>
      <w:r>
        <w:rPr>
          <w:rFonts w:hint="eastAsia" w:ascii="宋体" w:hAnsi="宋体"/>
          <w:sz w:val="24"/>
          <w:highlight w:val="none"/>
          <w:u w:val="single"/>
        </w:rPr>
        <w:t>　　</w:t>
      </w:r>
      <w:r>
        <w:rPr>
          <w:rFonts w:hint="eastAsia" w:ascii="宋体" w:hAnsi="宋体"/>
          <w:sz w:val="24"/>
          <w:highlight w:val="none"/>
        </w:rPr>
        <w:t>年</w:t>
      </w:r>
      <w:r>
        <w:rPr>
          <w:rFonts w:hint="eastAsia" w:ascii="宋体" w:hAnsi="宋体"/>
          <w:sz w:val="24"/>
          <w:highlight w:val="none"/>
          <w:u w:val="single"/>
        </w:rPr>
        <w:t>　　</w:t>
      </w:r>
      <w:r>
        <w:rPr>
          <w:rFonts w:hint="eastAsia" w:ascii="宋体" w:hAnsi="宋体"/>
          <w:sz w:val="24"/>
          <w:highlight w:val="none"/>
        </w:rPr>
        <w:t>月</w:t>
      </w:r>
      <w:r>
        <w:rPr>
          <w:rFonts w:hint="eastAsia" w:ascii="宋体" w:hAnsi="宋体"/>
          <w:sz w:val="24"/>
          <w:highlight w:val="none"/>
          <w:u w:val="single"/>
        </w:rPr>
        <w:t>　　</w:t>
      </w:r>
      <w:r>
        <w:rPr>
          <w:rFonts w:hint="eastAsia" w:ascii="宋体" w:hAnsi="宋体"/>
          <w:sz w:val="24"/>
          <w:highlight w:val="none"/>
        </w:rPr>
        <w:t>日第（项目编号）</w:t>
      </w:r>
      <w:r>
        <w:rPr>
          <w:rFonts w:hint="eastAsia" w:ascii="宋体" w:hAnsi="宋体"/>
          <w:sz w:val="24"/>
          <w:highlight w:val="none"/>
          <w:lang w:val="en-US" w:eastAsia="zh-CN"/>
        </w:rPr>
        <w:t>招标</w:t>
      </w:r>
      <w:r>
        <w:rPr>
          <w:rFonts w:hint="eastAsia" w:ascii="宋体" w:hAnsi="宋体"/>
          <w:sz w:val="24"/>
          <w:highlight w:val="none"/>
        </w:rPr>
        <w:t>公告关于</w:t>
      </w:r>
      <w:r>
        <w:rPr>
          <w:rFonts w:hint="eastAsia" w:ascii="宋体" w:hAnsi="宋体"/>
          <w:sz w:val="24"/>
          <w:highlight w:val="none"/>
          <w:u w:val="single"/>
        </w:rPr>
        <w:t>“　　　　　　　　”</w:t>
      </w:r>
      <w:r>
        <w:rPr>
          <w:rFonts w:hint="eastAsia" w:ascii="宋体" w:hAnsi="宋体"/>
          <w:sz w:val="24"/>
          <w:highlight w:val="none"/>
        </w:rPr>
        <w:t>的招标项目，本签字人愿意参加投标，并有能力提供</w:t>
      </w:r>
      <w:r>
        <w:rPr>
          <w:rFonts w:hint="eastAsia" w:ascii="宋体" w:hAnsi="宋体"/>
          <w:sz w:val="24"/>
          <w:highlight w:val="none"/>
          <w:u w:val="single"/>
        </w:rPr>
        <w:t xml:space="preserve">  （项目名称）    </w:t>
      </w:r>
      <w:r>
        <w:rPr>
          <w:rFonts w:hint="eastAsia" w:ascii="宋体" w:hAnsi="宋体"/>
          <w:sz w:val="24"/>
          <w:highlight w:val="none"/>
        </w:rPr>
        <w:t>项目中的相关服务，并保证所提交的所有文件和说明是真实和准确的。</w:t>
      </w:r>
    </w:p>
    <w:p w14:paraId="77564AC4">
      <w:pPr>
        <w:pStyle w:val="8"/>
        <w:spacing w:line="400" w:lineRule="exact"/>
        <w:ind w:firstLine="720" w:firstLineChars="300"/>
        <w:rPr>
          <w:rFonts w:hint="eastAsia" w:ascii="宋体" w:hAnsi="宋体"/>
          <w:sz w:val="24"/>
          <w:szCs w:val="24"/>
          <w:highlight w:val="none"/>
        </w:rPr>
      </w:pPr>
      <w:r>
        <w:rPr>
          <w:rFonts w:hint="eastAsia" w:ascii="宋体" w:hAnsi="宋体"/>
          <w:sz w:val="24"/>
          <w:szCs w:val="24"/>
          <w:highlight w:val="none"/>
        </w:rPr>
        <w:t>供应商（盖章）：</w:t>
      </w:r>
      <w:r>
        <w:rPr>
          <w:rFonts w:hint="eastAsia" w:ascii="宋体" w:hAnsi="宋体"/>
          <w:sz w:val="24"/>
          <w:szCs w:val="24"/>
          <w:highlight w:val="none"/>
          <w:u w:val="single"/>
        </w:rPr>
        <w:t xml:space="preserve">　供应商名称　                         </w:t>
      </w:r>
      <w:r>
        <w:rPr>
          <w:rFonts w:hint="eastAsia" w:ascii="宋体" w:hAnsi="宋体"/>
          <w:sz w:val="24"/>
          <w:szCs w:val="24"/>
          <w:highlight w:val="none"/>
        </w:rPr>
        <w:t>　　　　</w:t>
      </w:r>
    </w:p>
    <w:p w14:paraId="30B01B61">
      <w:pPr>
        <w:pStyle w:val="8"/>
        <w:spacing w:line="400" w:lineRule="exact"/>
        <w:ind w:firstLine="720" w:firstLineChars="300"/>
        <w:rPr>
          <w:rFonts w:hint="eastAsia" w:ascii="宋体" w:hAnsi="宋体"/>
          <w:sz w:val="24"/>
          <w:szCs w:val="24"/>
          <w:highlight w:val="none"/>
          <w:u w:val="single"/>
        </w:rPr>
      </w:pPr>
      <w:r>
        <w:rPr>
          <w:rFonts w:hint="eastAsia" w:ascii="宋体" w:hAnsi="宋体"/>
          <w:sz w:val="24"/>
          <w:szCs w:val="24"/>
          <w:highlight w:val="none"/>
        </w:rPr>
        <w:t>授权签署本资格文件人（签字）：</w:t>
      </w:r>
      <w:r>
        <w:rPr>
          <w:rFonts w:hint="eastAsia" w:ascii="宋体" w:hAnsi="宋体"/>
          <w:sz w:val="24"/>
          <w:szCs w:val="24"/>
          <w:highlight w:val="none"/>
          <w:u w:val="single"/>
        </w:rPr>
        <w:t xml:space="preserve">被授权人姓名             </w:t>
      </w:r>
    </w:p>
    <w:p w14:paraId="5FA45612">
      <w:pPr>
        <w:pStyle w:val="8"/>
        <w:spacing w:line="400" w:lineRule="exact"/>
        <w:ind w:firstLine="720" w:firstLineChars="300"/>
        <w:rPr>
          <w:rFonts w:hint="eastAsia" w:ascii="宋体" w:hAnsi="宋体"/>
          <w:sz w:val="24"/>
          <w:szCs w:val="24"/>
          <w:highlight w:val="none"/>
          <w:u w:val="single"/>
        </w:rPr>
      </w:pPr>
      <w:r>
        <w:rPr>
          <w:rFonts w:hint="eastAsia" w:ascii="宋体" w:hAnsi="宋体"/>
          <w:sz w:val="24"/>
          <w:szCs w:val="24"/>
          <w:highlight w:val="none"/>
        </w:rPr>
        <w:t>签字人姓名、职务：</w:t>
      </w:r>
      <w:r>
        <w:rPr>
          <w:rFonts w:hint="eastAsia" w:ascii="宋体" w:hAnsi="宋体"/>
          <w:sz w:val="24"/>
          <w:szCs w:val="24"/>
          <w:highlight w:val="none"/>
          <w:u w:val="single"/>
        </w:rPr>
        <w:t xml:space="preserve">被授权人姓名、职务                  </w:t>
      </w:r>
    </w:p>
    <w:p w14:paraId="6B063F4A">
      <w:pPr>
        <w:pStyle w:val="8"/>
        <w:spacing w:line="400" w:lineRule="exact"/>
        <w:ind w:firstLine="720" w:firstLineChars="300"/>
        <w:rPr>
          <w:rFonts w:hint="eastAsia" w:ascii="宋体" w:hAnsi="宋体"/>
          <w:sz w:val="24"/>
          <w:szCs w:val="24"/>
          <w:highlight w:val="none"/>
        </w:rPr>
      </w:pPr>
      <w:r>
        <w:rPr>
          <w:rFonts w:hint="eastAsia" w:ascii="宋体" w:hAnsi="宋体"/>
          <w:sz w:val="24"/>
          <w:szCs w:val="24"/>
          <w:highlight w:val="none"/>
        </w:rPr>
        <w:t>地址：</w:t>
      </w:r>
      <w:r>
        <w:rPr>
          <w:rFonts w:hint="eastAsia" w:ascii="宋体" w:hAnsi="宋体"/>
          <w:sz w:val="24"/>
          <w:szCs w:val="24"/>
          <w:highlight w:val="none"/>
          <w:u w:val="single"/>
        </w:rPr>
        <w:t xml:space="preserve">供应商地址                                      </w:t>
      </w:r>
      <w:r>
        <w:rPr>
          <w:rFonts w:hint="eastAsia" w:ascii="宋体" w:hAnsi="宋体"/>
          <w:sz w:val="24"/>
          <w:szCs w:val="24"/>
          <w:highlight w:val="none"/>
        </w:rPr>
        <w:t>　　　　　　　　　　　　　</w:t>
      </w:r>
    </w:p>
    <w:p w14:paraId="1ED72249">
      <w:pPr>
        <w:pStyle w:val="8"/>
        <w:spacing w:line="400" w:lineRule="exact"/>
        <w:ind w:firstLine="720" w:firstLineChars="300"/>
        <w:rPr>
          <w:rFonts w:hint="eastAsia" w:ascii="宋体" w:hAnsi="宋体"/>
          <w:sz w:val="24"/>
          <w:szCs w:val="24"/>
          <w:highlight w:val="none"/>
        </w:rPr>
      </w:pPr>
      <w:r>
        <w:rPr>
          <w:rFonts w:hint="eastAsia" w:ascii="宋体" w:hAnsi="宋体"/>
          <w:sz w:val="24"/>
          <w:szCs w:val="24"/>
          <w:highlight w:val="none"/>
        </w:rPr>
        <w:t>传真：</w:t>
      </w:r>
      <w:r>
        <w:rPr>
          <w:rFonts w:hint="eastAsia" w:ascii="宋体" w:hAnsi="宋体"/>
          <w:sz w:val="24"/>
          <w:szCs w:val="24"/>
          <w:highlight w:val="none"/>
          <w:u w:val="single"/>
        </w:rPr>
        <w:t xml:space="preserve">          </w:t>
      </w:r>
      <w:r>
        <w:rPr>
          <w:rFonts w:hint="eastAsia" w:ascii="宋体" w:hAnsi="宋体"/>
          <w:sz w:val="24"/>
          <w:szCs w:val="24"/>
          <w:highlight w:val="none"/>
        </w:rPr>
        <w:t>　电话：</w:t>
      </w:r>
      <w:r>
        <w:rPr>
          <w:rFonts w:hint="eastAsia" w:ascii="宋体" w:hAnsi="宋体"/>
          <w:sz w:val="24"/>
          <w:szCs w:val="24"/>
          <w:highlight w:val="none"/>
          <w:u w:val="single"/>
        </w:rPr>
        <w:t xml:space="preserve">            </w:t>
      </w:r>
      <w:r>
        <w:rPr>
          <w:rFonts w:hint="eastAsia" w:ascii="宋体" w:hAnsi="宋体"/>
          <w:sz w:val="24"/>
          <w:szCs w:val="24"/>
          <w:highlight w:val="none"/>
        </w:rPr>
        <w:t>　 邮编：</w:t>
      </w:r>
      <w:r>
        <w:rPr>
          <w:rFonts w:hint="eastAsia" w:ascii="宋体" w:hAnsi="宋体"/>
          <w:sz w:val="24"/>
          <w:szCs w:val="24"/>
          <w:highlight w:val="none"/>
          <w:u w:val="single"/>
        </w:rPr>
        <w:t xml:space="preserve">         </w:t>
      </w:r>
      <w:r>
        <w:rPr>
          <w:rFonts w:hint="eastAsia" w:ascii="宋体" w:hAnsi="宋体"/>
          <w:sz w:val="24"/>
          <w:szCs w:val="24"/>
          <w:highlight w:val="none"/>
        </w:rPr>
        <w:t>　　　　　　　　　</w:t>
      </w:r>
    </w:p>
    <w:p w14:paraId="3EABF660">
      <w:pPr>
        <w:pStyle w:val="8"/>
        <w:spacing w:line="400" w:lineRule="exact"/>
        <w:rPr>
          <w:rFonts w:hint="eastAsia" w:ascii="宋体" w:hAnsi="宋体"/>
          <w:sz w:val="24"/>
          <w:szCs w:val="24"/>
          <w:highlight w:val="none"/>
        </w:rPr>
      </w:pPr>
      <w:r>
        <w:rPr>
          <w:rFonts w:hint="eastAsia" w:ascii="宋体" w:hAnsi="宋体"/>
          <w:sz w:val="24"/>
          <w:szCs w:val="24"/>
          <w:highlight w:val="none"/>
        </w:rPr>
        <w:t>　　　　　　　　　　　　　　　　　　　　</w:t>
      </w:r>
    </w:p>
    <w:p w14:paraId="5CE071E6">
      <w:pPr>
        <w:pStyle w:val="11"/>
        <w:jc w:val="center"/>
        <w:rPr>
          <w:rFonts w:hint="eastAsia" w:hAnsi="宋体"/>
          <w:bCs/>
          <w:sz w:val="24"/>
          <w:szCs w:val="24"/>
          <w:highlight w:val="none"/>
        </w:rPr>
      </w:pPr>
      <w:r>
        <w:rPr>
          <w:rFonts w:hint="eastAsia" w:hAnsi="宋体"/>
          <w:sz w:val="24"/>
          <w:szCs w:val="24"/>
          <w:highlight w:val="none"/>
        </w:rPr>
        <w:t>　　　　　　　　　　　　　　　　</w:t>
      </w:r>
      <w:r>
        <w:rPr>
          <w:rFonts w:hint="eastAsia" w:hAnsi="宋体"/>
          <w:b/>
          <w:sz w:val="24"/>
          <w:szCs w:val="24"/>
          <w:highlight w:val="none"/>
        </w:rPr>
        <w:t>　声明日期：</w:t>
      </w:r>
      <w:r>
        <w:rPr>
          <w:rFonts w:hint="eastAsia" w:hAnsi="宋体"/>
          <w:bCs/>
          <w:sz w:val="24"/>
          <w:szCs w:val="24"/>
          <w:highlight w:val="none"/>
        </w:rPr>
        <w:t>20</w:t>
      </w:r>
      <w:r>
        <w:rPr>
          <w:rFonts w:hint="eastAsia" w:hAnsi="宋体"/>
          <w:bCs/>
          <w:sz w:val="24"/>
          <w:szCs w:val="24"/>
          <w:highlight w:val="none"/>
          <w:u w:val="single"/>
        </w:rPr>
        <w:t>　　</w:t>
      </w:r>
      <w:r>
        <w:rPr>
          <w:rFonts w:hint="eastAsia" w:hAnsi="宋体"/>
          <w:bCs/>
          <w:sz w:val="24"/>
          <w:szCs w:val="24"/>
          <w:highlight w:val="none"/>
        </w:rPr>
        <w:t>年</w:t>
      </w:r>
      <w:r>
        <w:rPr>
          <w:rFonts w:hint="eastAsia" w:hAnsi="宋体"/>
          <w:bCs/>
          <w:sz w:val="24"/>
          <w:szCs w:val="24"/>
          <w:highlight w:val="none"/>
          <w:u w:val="single"/>
        </w:rPr>
        <w:t>　</w:t>
      </w:r>
      <w:r>
        <w:rPr>
          <w:rFonts w:hint="eastAsia" w:hAnsi="宋体"/>
          <w:bCs/>
          <w:sz w:val="24"/>
          <w:szCs w:val="24"/>
          <w:highlight w:val="none"/>
        </w:rPr>
        <w:t>月</w:t>
      </w:r>
      <w:r>
        <w:rPr>
          <w:rFonts w:hint="eastAsia" w:hAnsi="宋体"/>
          <w:bCs/>
          <w:sz w:val="24"/>
          <w:szCs w:val="24"/>
          <w:highlight w:val="none"/>
          <w:u w:val="single"/>
        </w:rPr>
        <w:t>　</w:t>
      </w:r>
      <w:r>
        <w:rPr>
          <w:rFonts w:hint="eastAsia" w:hAnsi="宋体"/>
          <w:bCs/>
          <w:sz w:val="24"/>
          <w:szCs w:val="24"/>
          <w:highlight w:val="none"/>
        </w:rPr>
        <w:t>日</w:t>
      </w:r>
    </w:p>
    <w:p w14:paraId="6AB3204B">
      <w:pPr>
        <w:ind w:firstLine="482" w:firstLineChars="200"/>
        <w:rPr>
          <w:rFonts w:hint="eastAsia" w:ascii="宋体" w:hAnsi="宋体"/>
          <w:b/>
          <w:sz w:val="24"/>
          <w:highlight w:val="none"/>
        </w:rPr>
      </w:pPr>
    </w:p>
    <w:p w14:paraId="3DC939E9">
      <w:pPr>
        <w:ind w:firstLine="482" w:firstLineChars="200"/>
        <w:rPr>
          <w:rFonts w:hint="eastAsia" w:ascii="宋体" w:hAnsi="宋体"/>
          <w:b/>
          <w:sz w:val="24"/>
          <w:highlight w:val="none"/>
        </w:rPr>
      </w:pPr>
    </w:p>
    <w:p w14:paraId="1ADEA33A">
      <w:pPr>
        <w:rPr>
          <w:rFonts w:hint="eastAsia"/>
          <w:b/>
          <w:bCs/>
          <w:sz w:val="28"/>
          <w:szCs w:val="28"/>
          <w:highlight w:val="none"/>
        </w:rPr>
      </w:pPr>
      <w:r>
        <w:rPr>
          <w:rFonts w:hint="eastAsia"/>
          <w:b/>
          <w:bCs/>
          <w:sz w:val="28"/>
          <w:szCs w:val="28"/>
          <w:highlight w:val="none"/>
        </w:rPr>
        <w:br w:type="page"/>
      </w:r>
    </w:p>
    <w:p w14:paraId="6766186F">
      <w:pPr>
        <w:spacing w:line="360" w:lineRule="auto"/>
        <w:jc w:val="center"/>
        <w:rPr>
          <w:rFonts w:hint="eastAsia" w:ascii="宋体" w:hAnsi="宋体" w:eastAsia="黑体" w:cs="宋体"/>
          <w:b/>
          <w:bCs/>
          <w:kern w:val="2"/>
          <w:sz w:val="28"/>
          <w:szCs w:val="28"/>
          <w:highlight w:val="none"/>
          <w:lang w:val="zh-CN" w:eastAsia="zh-CN" w:bidi="ar-SA"/>
        </w:rPr>
      </w:pPr>
      <w:r>
        <w:rPr>
          <w:rFonts w:hint="eastAsia" w:ascii="宋体" w:hAnsi="宋体" w:eastAsia="黑体" w:cs="宋体"/>
          <w:b/>
          <w:bCs/>
          <w:kern w:val="2"/>
          <w:sz w:val="28"/>
          <w:szCs w:val="28"/>
          <w:highlight w:val="none"/>
          <w:lang w:val="en-US" w:eastAsia="zh-CN" w:bidi="ar-SA"/>
        </w:rPr>
        <w:t>附件6、</w:t>
      </w:r>
      <w:r>
        <w:rPr>
          <w:rFonts w:hint="eastAsia" w:ascii="宋体" w:hAnsi="宋体" w:eastAsia="黑体" w:cs="宋体"/>
          <w:b/>
          <w:bCs/>
          <w:kern w:val="2"/>
          <w:sz w:val="28"/>
          <w:szCs w:val="28"/>
          <w:highlight w:val="none"/>
          <w:lang w:val="zh-CN" w:eastAsia="zh-CN" w:bidi="ar-SA"/>
        </w:rPr>
        <w:t>服务报价明细表</w:t>
      </w:r>
    </w:p>
    <w:p w14:paraId="2793E857">
      <w:pPr>
        <w:spacing w:line="360" w:lineRule="auto"/>
        <w:ind w:firstLine="482" w:firstLineChars="200"/>
        <w:rPr>
          <w:rFonts w:ascii="宋体" w:hAnsi="宋体" w:cs="宋体"/>
          <w:b/>
          <w:sz w:val="24"/>
          <w:highlight w:val="none"/>
        </w:rPr>
      </w:pPr>
    </w:p>
    <w:p w14:paraId="0BE5B296">
      <w:pPr>
        <w:spacing w:line="360" w:lineRule="auto"/>
        <w:jc w:val="center"/>
        <w:rPr>
          <w:rFonts w:ascii="宋体" w:hAnsi="宋体" w:cs="宋体"/>
          <w:b/>
          <w:sz w:val="24"/>
          <w:highlight w:val="none"/>
        </w:rPr>
      </w:pPr>
      <w:r>
        <w:rPr>
          <w:rFonts w:hint="eastAsia" w:ascii="宋体" w:hAnsi="宋体" w:cs="宋体"/>
          <w:b/>
          <w:sz w:val="24"/>
          <w:highlight w:val="none"/>
        </w:rPr>
        <w:t>服务报价明细表</w:t>
      </w:r>
    </w:p>
    <w:p w14:paraId="1A0A8FF5">
      <w:pPr>
        <w:spacing w:line="360" w:lineRule="auto"/>
        <w:rPr>
          <w:rFonts w:ascii="宋体" w:hAnsi="宋体" w:cs="宋体"/>
          <w:b/>
          <w:sz w:val="24"/>
          <w:highlight w:val="none"/>
          <w:u w:val="single"/>
        </w:rPr>
      </w:pPr>
      <w:r>
        <w:rPr>
          <w:rFonts w:hint="eastAsia" w:ascii="宋体" w:hAnsi="宋体" w:cs="宋体"/>
          <w:b/>
          <w:sz w:val="24"/>
          <w:highlight w:val="none"/>
          <w:lang w:val="en-US" w:eastAsia="zh-CN"/>
        </w:rPr>
        <w:t>项目名称</w:t>
      </w:r>
      <w:r>
        <w:rPr>
          <w:rFonts w:hint="eastAsia" w:ascii="宋体" w:hAnsi="宋体" w:cs="宋体"/>
          <w:b/>
          <w:sz w:val="24"/>
          <w:highlight w:val="none"/>
        </w:rPr>
        <w:t xml:space="preserve">：                           </w:t>
      </w:r>
    </w:p>
    <w:tbl>
      <w:tblPr>
        <w:tblStyle w:val="22"/>
        <w:tblW w:w="9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1705"/>
        <w:gridCol w:w="2824"/>
        <w:gridCol w:w="1086"/>
        <w:gridCol w:w="1288"/>
        <w:gridCol w:w="1520"/>
      </w:tblGrid>
      <w:tr w14:paraId="6DDDE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36" w:hRule="atLeast"/>
        </w:trPr>
        <w:tc>
          <w:tcPr>
            <w:tcW w:w="814" w:type="dxa"/>
            <w:vAlign w:val="center"/>
          </w:tcPr>
          <w:p w14:paraId="2101594D">
            <w:pPr>
              <w:keepNext w:val="0"/>
              <w:keepLines w:val="0"/>
              <w:suppressLineNumbers w:val="0"/>
              <w:spacing w:before="0" w:beforeAutospacing="0" w:after="0" w:afterAutospacing="0" w:line="360" w:lineRule="auto"/>
              <w:ind w:left="0" w:right="0"/>
              <w:jc w:val="center"/>
              <w:rPr>
                <w:rFonts w:hint="default" w:ascii="宋体" w:hAnsi="宋体" w:cs="宋体"/>
                <w:b/>
                <w:szCs w:val="21"/>
                <w:highlight w:val="none"/>
              </w:rPr>
            </w:pPr>
            <w:r>
              <w:rPr>
                <w:rFonts w:hint="eastAsia" w:ascii="宋体" w:hAnsi="宋体" w:cs="宋体"/>
                <w:b/>
                <w:szCs w:val="21"/>
                <w:highlight w:val="none"/>
              </w:rPr>
              <w:t>序号</w:t>
            </w:r>
          </w:p>
        </w:tc>
        <w:tc>
          <w:tcPr>
            <w:tcW w:w="1705" w:type="dxa"/>
            <w:vAlign w:val="center"/>
          </w:tcPr>
          <w:p w14:paraId="18E947AE">
            <w:pPr>
              <w:keepNext w:val="0"/>
              <w:keepLines w:val="0"/>
              <w:suppressLineNumbers w:val="0"/>
              <w:spacing w:before="0" w:beforeAutospacing="0" w:after="0" w:afterAutospacing="0" w:line="360" w:lineRule="auto"/>
              <w:ind w:left="0" w:right="0"/>
              <w:jc w:val="center"/>
              <w:rPr>
                <w:rFonts w:hint="default" w:ascii="宋体" w:hAnsi="宋体" w:cs="宋体"/>
                <w:b/>
                <w:szCs w:val="21"/>
                <w:highlight w:val="none"/>
              </w:rPr>
            </w:pPr>
            <w:r>
              <w:rPr>
                <w:rFonts w:hint="eastAsia" w:ascii="宋体" w:hAnsi="宋体" w:cs="宋体"/>
                <w:b/>
                <w:szCs w:val="21"/>
                <w:highlight w:val="none"/>
              </w:rPr>
              <w:t>服务名称</w:t>
            </w:r>
          </w:p>
        </w:tc>
        <w:tc>
          <w:tcPr>
            <w:tcW w:w="2824" w:type="dxa"/>
            <w:vAlign w:val="center"/>
          </w:tcPr>
          <w:p w14:paraId="6228319D">
            <w:pPr>
              <w:keepNext w:val="0"/>
              <w:keepLines w:val="0"/>
              <w:suppressLineNumbers w:val="0"/>
              <w:spacing w:before="0" w:beforeAutospacing="0" w:after="0" w:afterAutospacing="0" w:line="360" w:lineRule="auto"/>
              <w:ind w:left="0" w:right="0"/>
              <w:jc w:val="center"/>
              <w:rPr>
                <w:rFonts w:hint="default" w:ascii="宋体" w:hAnsi="宋体" w:cs="宋体"/>
                <w:b/>
                <w:szCs w:val="21"/>
                <w:highlight w:val="none"/>
              </w:rPr>
            </w:pPr>
            <w:r>
              <w:rPr>
                <w:rFonts w:hint="eastAsia" w:ascii="宋体" w:hAnsi="宋体" w:cs="宋体"/>
                <w:b/>
                <w:szCs w:val="21"/>
                <w:highlight w:val="none"/>
              </w:rPr>
              <w:t>服务详细内容</w:t>
            </w:r>
          </w:p>
        </w:tc>
        <w:tc>
          <w:tcPr>
            <w:tcW w:w="1086" w:type="dxa"/>
            <w:vAlign w:val="center"/>
          </w:tcPr>
          <w:p w14:paraId="4967CAD2">
            <w:pPr>
              <w:keepNext w:val="0"/>
              <w:keepLines w:val="0"/>
              <w:suppressLineNumbers w:val="0"/>
              <w:spacing w:before="0" w:beforeAutospacing="0" w:after="0" w:afterAutospacing="0" w:line="360" w:lineRule="auto"/>
              <w:ind w:left="103" w:right="0" w:hanging="103" w:hangingChars="49"/>
              <w:rPr>
                <w:rFonts w:hint="default" w:ascii="宋体" w:hAnsi="宋体" w:cs="宋体"/>
                <w:b/>
                <w:szCs w:val="21"/>
                <w:highlight w:val="none"/>
              </w:rPr>
            </w:pPr>
            <w:r>
              <w:rPr>
                <w:rFonts w:hint="eastAsia" w:ascii="宋体" w:hAnsi="宋体" w:cs="宋体"/>
                <w:b/>
                <w:szCs w:val="21"/>
                <w:highlight w:val="none"/>
              </w:rPr>
              <w:t>数量</w:t>
            </w:r>
          </w:p>
        </w:tc>
        <w:tc>
          <w:tcPr>
            <w:tcW w:w="1288" w:type="dxa"/>
            <w:vAlign w:val="center"/>
          </w:tcPr>
          <w:p w14:paraId="0555056A">
            <w:pPr>
              <w:keepNext w:val="0"/>
              <w:keepLines w:val="0"/>
              <w:suppressLineNumbers w:val="0"/>
              <w:spacing w:before="0" w:beforeAutospacing="0" w:after="0" w:afterAutospacing="0" w:line="360" w:lineRule="auto"/>
              <w:ind w:left="0" w:right="0"/>
              <w:jc w:val="center"/>
              <w:rPr>
                <w:rFonts w:hint="default" w:ascii="宋体" w:hAnsi="宋体" w:cs="宋体"/>
                <w:b/>
                <w:szCs w:val="21"/>
                <w:highlight w:val="none"/>
              </w:rPr>
            </w:pPr>
            <w:r>
              <w:rPr>
                <w:rFonts w:hint="eastAsia" w:ascii="宋体" w:hAnsi="宋体" w:cs="宋体"/>
                <w:b/>
                <w:szCs w:val="21"/>
                <w:highlight w:val="none"/>
              </w:rPr>
              <w:t>单价</w:t>
            </w:r>
          </w:p>
        </w:tc>
        <w:tc>
          <w:tcPr>
            <w:tcW w:w="1520" w:type="dxa"/>
            <w:vAlign w:val="center"/>
          </w:tcPr>
          <w:p w14:paraId="5C307C9B">
            <w:pPr>
              <w:keepNext w:val="0"/>
              <w:keepLines w:val="0"/>
              <w:suppressLineNumbers w:val="0"/>
              <w:spacing w:before="0" w:beforeAutospacing="0" w:after="0" w:afterAutospacing="0" w:line="360" w:lineRule="auto"/>
              <w:ind w:left="0" w:right="0"/>
              <w:jc w:val="center"/>
              <w:rPr>
                <w:rFonts w:hint="default" w:ascii="宋体" w:hAnsi="宋体" w:cs="宋体"/>
                <w:b/>
                <w:szCs w:val="21"/>
                <w:highlight w:val="none"/>
              </w:rPr>
            </w:pPr>
            <w:r>
              <w:rPr>
                <w:rFonts w:hint="eastAsia" w:ascii="宋体" w:hAnsi="宋体" w:cs="宋体"/>
                <w:b/>
                <w:szCs w:val="21"/>
                <w:highlight w:val="none"/>
              </w:rPr>
              <w:t>总价</w:t>
            </w:r>
          </w:p>
        </w:tc>
      </w:tr>
      <w:tr w14:paraId="41273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trPr>
        <w:tc>
          <w:tcPr>
            <w:tcW w:w="814" w:type="dxa"/>
            <w:vAlign w:val="center"/>
          </w:tcPr>
          <w:p w14:paraId="48910E70">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r>
              <w:rPr>
                <w:rFonts w:hint="eastAsia" w:ascii="宋体" w:hAnsi="宋体" w:cs="宋体"/>
                <w:sz w:val="18"/>
                <w:szCs w:val="18"/>
                <w:highlight w:val="none"/>
              </w:rPr>
              <w:t>1</w:t>
            </w:r>
          </w:p>
        </w:tc>
        <w:tc>
          <w:tcPr>
            <w:tcW w:w="1705" w:type="dxa"/>
            <w:vAlign w:val="center"/>
          </w:tcPr>
          <w:p w14:paraId="18B12E9B">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2824" w:type="dxa"/>
            <w:vAlign w:val="center"/>
          </w:tcPr>
          <w:p w14:paraId="2580A7B7">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086" w:type="dxa"/>
          </w:tcPr>
          <w:p w14:paraId="2F2621DB">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288" w:type="dxa"/>
            <w:vAlign w:val="center"/>
          </w:tcPr>
          <w:p w14:paraId="033C61A0">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520" w:type="dxa"/>
            <w:vAlign w:val="center"/>
          </w:tcPr>
          <w:p w14:paraId="717BB42C">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r>
      <w:tr w14:paraId="3C081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trPr>
        <w:tc>
          <w:tcPr>
            <w:tcW w:w="814" w:type="dxa"/>
            <w:vAlign w:val="center"/>
          </w:tcPr>
          <w:p w14:paraId="190BD2AA">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r>
              <w:rPr>
                <w:rFonts w:hint="eastAsia" w:ascii="宋体" w:hAnsi="宋体" w:cs="宋体"/>
                <w:sz w:val="18"/>
                <w:szCs w:val="18"/>
                <w:highlight w:val="none"/>
              </w:rPr>
              <w:t>2</w:t>
            </w:r>
          </w:p>
        </w:tc>
        <w:tc>
          <w:tcPr>
            <w:tcW w:w="1705" w:type="dxa"/>
            <w:vAlign w:val="center"/>
          </w:tcPr>
          <w:p w14:paraId="78563918">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2824" w:type="dxa"/>
            <w:vAlign w:val="center"/>
          </w:tcPr>
          <w:p w14:paraId="58240582">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086" w:type="dxa"/>
          </w:tcPr>
          <w:p w14:paraId="24BE079B">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288" w:type="dxa"/>
            <w:vAlign w:val="center"/>
          </w:tcPr>
          <w:p w14:paraId="37CAB24B">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520" w:type="dxa"/>
            <w:vAlign w:val="center"/>
          </w:tcPr>
          <w:p w14:paraId="5DCB75B8">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r>
      <w:tr w14:paraId="763CC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trPr>
        <w:tc>
          <w:tcPr>
            <w:tcW w:w="814" w:type="dxa"/>
            <w:vAlign w:val="center"/>
          </w:tcPr>
          <w:p w14:paraId="1E702EF2">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r>
              <w:rPr>
                <w:rFonts w:hint="eastAsia" w:ascii="宋体" w:hAnsi="宋体" w:cs="宋体"/>
                <w:sz w:val="18"/>
                <w:szCs w:val="18"/>
                <w:highlight w:val="none"/>
              </w:rPr>
              <w:t>3</w:t>
            </w:r>
          </w:p>
        </w:tc>
        <w:tc>
          <w:tcPr>
            <w:tcW w:w="1705" w:type="dxa"/>
            <w:vAlign w:val="center"/>
          </w:tcPr>
          <w:p w14:paraId="04EBAF47">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2824" w:type="dxa"/>
            <w:vAlign w:val="center"/>
          </w:tcPr>
          <w:p w14:paraId="0C0EDD25">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086" w:type="dxa"/>
          </w:tcPr>
          <w:p w14:paraId="2CF3BC04">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288" w:type="dxa"/>
            <w:vAlign w:val="center"/>
          </w:tcPr>
          <w:p w14:paraId="0FF42D78">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520" w:type="dxa"/>
            <w:vAlign w:val="center"/>
          </w:tcPr>
          <w:p w14:paraId="07E3E7D5">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r>
      <w:tr w14:paraId="02665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trPr>
        <w:tc>
          <w:tcPr>
            <w:tcW w:w="814" w:type="dxa"/>
            <w:vAlign w:val="center"/>
          </w:tcPr>
          <w:p w14:paraId="4E9E43EA">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705" w:type="dxa"/>
            <w:vAlign w:val="center"/>
          </w:tcPr>
          <w:p w14:paraId="2606BFD3">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2824" w:type="dxa"/>
            <w:vAlign w:val="center"/>
          </w:tcPr>
          <w:p w14:paraId="6B0A6E8C">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086" w:type="dxa"/>
          </w:tcPr>
          <w:p w14:paraId="1ED631D6">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288" w:type="dxa"/>
            <w:vAlign w:val="center"/>
          </w:tcPr>
          <w:p w14:paraId="093154B7">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c>
          <w:tcPr>
            <w:tcW w:w="1520" w:type="dxa"/>
            <w:vAlign w:val="center"/>
          </w:tcPr>
          <w:p w14:paraId="1B1BF323">
            <w:pPr>
              <w:keepNext w:val="0"/>
              <w:keepLines w:val="0"/>
              <w:suppressLineNumbers w:val="0"/>
              <w:spacing w:before="0" w:beforeAutospacing="0" w:after="0" w:afterAutospacing="0" w:line="360" w:lineRule="auto"/>
              <w:ind w:left="0" w:right="0"/>
              <w:jc w:val="center"/>
              <w:rPr>
                <w:rFonts w:hint="default" w:ascii="宋体" w:hAnsi="宋体" w:cs="宋体"/>
                <w:sz w:val="18"/>
                <w:szCs w:val="18"/>
                <w:highlight w:val="none"/>
              </w:rPr>
            </w:pPr>
          </w:p>
        </w:tc>
      </w:tr>
    </w:tbl>
    <w:p w14:paraId="328339C9">
      <w:pPr>
        <w:spacing w:line="360" w:lineRule="auto"/>
        <w:rPr>
          <w:rFonts w:ascii="宋体" w:hAnsi="宋体" w:cs="宋体"/>
          <w:b/>
          <w:sz w:val="24"/>
          <w:highlight w:val="none"/>
        </w:rPr>
      </w:pPr>
      <w:r>
        <w:rPr>
          <w:rFonts w:hint="eastAsia" w:ascii="宋体" w:hAnsi="宋体" w:cs="宋体"/>
          <w:b/>
          <w:sz w:val="24"/>
          <w:highlight w:val="none"/>
        </w:rPr>
        <w:t>注：此表需详列投标的每项服务。</w:t>
      </w:r>
    </w:p>
    <w:p w14:paraId="264FFFD1">
      <w:pPr>
        <w:ind w:firstLine="642"/>
        <w:jc w:val="center"/>
        <w:rPr>
          <w:rFonts w:ascii="宋体" w:hAnsi="宋体"/>
          <w:b/>
          <w:sz w:val="24"/>
          <w:highlight w:val="none"/>
        </w:rPr>
      </w:pPr>
      <w:r>
        <w:rPr>
          <w:rFonts w:hint="eastAsia" w:ascii="宋体" w:hAnsi="宋体"/>
          <w:b/>
          <w:sz w:val="24"/>
          <w:highlight w:val="none"/>
        </w:rPr>
        <w:t xml:space="preserve"> 投标人（公章）：</w:t>
      </w:r>
    </w:p>
    <w:p w14:paraId="7349F647">
      <w:pPr>
        <w:ind w:firstLine="642"/>
        <w:jc w:val="center"/>
        <w:rPr>
          <w:rFonts w:ascii="宋体" w:hAnsi="宋体"/>
          <w:b/>
          <w:sz w:val="24"/>
          <w:highlight w:val="none"/>
        </w:rPr>
      </w:pPr>
    </w:p>
    <w:p w14:paraId="0B5DD993">
      <w:pPr>
        <w:ind w:firstLine="642"/>
        <w:jc w:val="center"/>
        <w:rPr>
          <w:rFonts w:ascii="宋体" w:hAnsi="宋体"/>
          <w:b/>
          <w:sz w:val="24"/>
          <w:highlight w:val="none"/>
        </w:rPr>
      </w:pPr>
      <w:r>
        <w:rPr>
          <w:rFonts w:hint="eastAsia" w:ascii="宋体" w:hAnsi="宋体"/>
          <w:b/>
          <w:sz w:val="24"/>
          <w:highlight w:val="none"/>
        </w:rPr>
        <w:t>法定代表人或授权委托人签字：</w:t>
      </w:r>
    </w:p>
    <w:p w14:paraId="25C3E275">
      <w:pPr>
        <w:ind w:firstLine="642"/>
        <w:jc w:val="center"/>
        <w:rPr>
          <w:rFonts w:ascii="宋体" w:hAnsi="宋体"/>
          <w:b/>
          <w:sz w:val="24"/>
          <w:highlight w:val="none"/>
        </w:rPr>
      </w:pPr>
    </w:p>
    <w:p w14:paraId="1E945D75">
      <w:pPr>
        <w:spacing w:line="360" w:lineRule="auto"/>
        <w:ind w:left="2888" w:leftChars="228" w:hanging="2409" w:hangingChars="1000"/>
        <w:rPr>
          <w:rFonts w:ascii="宋体" w:hAnsi="宋体" w:cs="宋体"/>
          <w:b/>
          <w:sz w:val="24"/>
          <w:highlight w:val="none"/>
        </w:rPr>
      </w:pPr>
      <w:r>
        <w:rPr>
          <w:rFonts w:hint="eastAsia" w:ascii="宋体" w:hAnsi="宋体"/>
          <w:b/>
          <w:sz w:val="24"/>
          <w:highlight w:val="none"/>
        </w:rPr>
        <w:t xml:space="preserve">                     </w:t>
      </w:r>
      <w:r>
        <w:rPr>
          <w:rFonts w:hint="eastAsia" w:ascii="宋体" w:hAnsi="宋体"/>
          <w:b/>
          <w:sz w:val="24"/>
          <w:highlight w:val="none"/>
          <w:lang w:val="en-US" w:eastAsia="zh-CN"/>
        </w:rPr>
        <w:t xml:space="preserve">                </w:t>
      </w:r>
      <w:r>
        <w:rPr>
          <w:rFonts w:hint="eastAsia" w:ascii="宋体" w:hAnsi="宋体"/>
          <w:b/>
          <w:sz w:val="24"/>
          <w:highlight w:val="none"/>
        </w:rPr>
        <w:t>日期：</w:t>
      </w:r>
    </w:p>
    <w:p w14:paraId="62208B33">
      <w:pPr>
        <w:pStyle w:val="4"/>
        <w:ind w:firstLine="562"/>
        <w:jc w:val="center"/>
        <w:rPr>
          <w:rFonts w:hint="eastAsia"/>
          <w:b/>
          <w:bCs/>
          <w:sz w:val="28"/>
          <w:szCs w:val="28"/>
          <w:highlight w:val="none"/>
        </w:rPr>
      </w:pPr>
    </w:p>
    <w:p w14:paraId="72A034FE">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eastAsia="zh-CN"/>
        </w:rPr>
        <w:t>7</w:t>
      </w:r>
      <w:r>
        <w:rPr>
          <w:rFonts w:hint="eastAsia"/>
          <w:b/>
          <w:bCs/>
          <w:sz w:val="28"/>
          <w:szCs w:val="28"/>
          <w:highlight w:val="none"/>
          <w:lang w:val="en-US"/>
        </w:rPr>
        <w:t>、</w:t>
      </w:r>
      <w:r>
        <w:rPr>
          <w:rFonts w:hint="eastAsia"/>
          <w:b/>
          <w:bCs/>
          <w:sz w:val="28"/>
          <w:szCs w:val="28"/>
          <w:highlight w:val="none"/>
        </w:rPr>
        <w:t>商务条款偏离表</w:t>
      </w:r>
    </w:p>
    <w:p w14:paraId="6404ED89">
      <w:pPr>
        <w:jc w:val="center"/>
        <w:rPr>
          <w:rFonts w:hint="eastAsia" w:ascii="宋体" w:hAnsi="宋体"/>
          <w:b/>
          <w:sz w:val="30"/>
          <w:highlight w:val="none"/>
        </w:rPr>
      </w:pPr>
      <w:r>
        <w:rPr>
          <w:rFonts w:hint="eastAsia" w:ascii="宋体" w:hAnsi="宋体"/>
          <w:b/>
          <w:sz w:val="30"/>
          <w:highlight w:val="none"/>
        </w:rPr>
        <w:t>商务条款偏离表</w:t>
      </w:r>
    </w:p>
    <w:p w14:paraId="33008618">
      <w:pPr>
        <w:spacing w:line="440" w:lineRule="exact"/>
        <w:jc w:val="left"/>
        <w:rPr>
          <w:rFonts w:hint="eastAsia" w:ascii="宋体" w:hAnsi="宋体"/>
          <w:b/>
          <w:szCs w:val="21"/>
          <w:highlight w:val="none"/>
        </w:rPr>
      </w:pPr>
      <w:r>
        <w:rPr>
          <w:rFonts w:hint="eastAsia" w:ascii="宋体" w:hAnsi="宋体"/>
          <w:b/>
          <w:sz w:val="24"/>
          <w:highlight w:val="none"/>
        </w:rPr>
        <w:t xml:space="preserve"> 项目</w:t>
      </w:r>
      <w:r>
        <w:rPr>
          <w:rFonts w:hint="eastAsia" w:ascii="宋体" w:hAnsi="宋体"/>
          <w:b/>
          <w:sz w:val="24"/>
          <w:highlight w:val="none"/>
          <w:lang w:val="en-US" w:eastAsia="zh-CN"/>
        </w:rPr>
        <w:t>名称</w:t>
      </w:r>
      <w:r>
        <w:rPr>
          <w:rFonts w:hint="eastAsia" w:ascii="宋体" w:hAnsi="宋体"/>
          <w:b/>
          <w:sz w:val="24"/>
          <w:highlight w:val="none"/>
        </w:rPr>
        <w:t xml:space="preserve">：　   </w:t>
      </w:r>
    </w:p>
    <w:tbl>
      <w:tblPr>
        <w:tblStyle w:val="22"/>
        <w:tblW w:w="0" w:type="auto"/>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5"/>
        <w:gridCol w:w="2453"/>
        <w:gridCol w:w="2227"/>
        <w:gridCol w:w="1600"/>
        <w:gridCol w:w="1134"/>
      </w:tblGrid>
      <w:tr w14:paraId="78ECC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495" w:type="dxa"/>
            <w:noWrap w:val="0"/>
            <w:vAlign w:val="center"/>
          </w:tcPr>
          <w:p w14:paraId="3990BB8A">
            <w:pPr>
              <w:keepNext w:val="0"/>
              <w:keepLines w:val="0"/>
              <w:suppressLineNumbers w:val="0"/>
              <w:spacing w:before="0" w:beforeAutospacing="0" w:after="0" w:afterAutospacing="0"/>
              <w:ind w:left="0" w:right="0"/>
              <w:jc w:val="center"/>
              <w:rPr>
                <w:rFonts w:hint="eastAsia" w:ascii="宋体" w:hAnsi="宋体"/>
                <w:b/>
                <w:szCs w:val="21"/>
                <w:highlight w:val="none"/>
              </w:rPr>
            </w:pPr>
            <w:r>
              <w:rPr>
                <w:rFonts w:hint="eastAsia" w:ascii="宋体" w:hAnsi="宋体"/>
                <w:b/>
                <w:szCs w:val="21"/>
                <w:highlight w:val="none"/>
              </w:rPr>
              <w:t>序号</w:t>
            </w:r>
          </w:p>
        </w:tc>
        <w:tc>
          <w:tcPr>
            <w:tcW w:w="2453" w:type="dxa"/>
            <w:noWrap w:val="0"/>
            <w:vAlign w:val="center"/>
          </w:tcPr>
          <w:p w14:paraId="04CFAD03">
            <w:pPr>
              <w:keepNext w:val="0"/>
              <w:keepLines w:val="0"/>
              <w:suppressLineNumbers w:val="0"/>
              <w:spacing w:before="0" w:beforeAutospacing="0" w:after="0" w:afterAutospacing="0"/>
              <w:ind w:left="0" w:right="0"/>
              <w:jc w:val="center"/>
              <w:rPr>
                <w:rFonts w:hint="eastAsia" w:ascii="宋体" w:hAnsi="宋体"/>
                <w:b/>
                <w:szCs w:val="21"/>
                <w:highlight w:val="none"/>
              </w:rPr>
            </w:pPr>
            <w:r>
              <w:rPr>
                <w:rFonts w:hint="eastAsia" w:ascii="宋体" w:hAnsi="宋体"/>
                <w:b/>
                <w:szCs w:val="21"/>
                <w:highlight w:val="none"/>
              </w:rPr>
              <w:t>招标条款</w:t>
            </w:r>
          </w:p>
        </w:tc>
        <w:tc>
          <w:tcPr>
            <w:tcW w:w="2227" w:type="dxa"/>
            <w:noWrap w:val="0"/>
            <w:vAlign w:val="center"/>
          </w:tcPr>
          <w:p w14:paraId="11B77A27">
            <w:pPr>
              <w:keepNext w:val="0"/>
              <w:keepLines w:val="0"/>
              <w:suppressLineNumbers w:val="0"/>
              <w:spacing w:before="0" w:beforeAutospacing="0" w:after="0" w:afterAutospacing="0"/>
              <w:ind w:left="0" w:right="0"/>
              <w:jc w:val="center"/>
              <w:rPr>
                <w:rFonts w:hint="eastAsia" w:ascii="宋体" w:hAnsi="宋体"/>
                <w:b/>
                <w:szCs w:val="21"/>
                <w:highlight w:val="none"/>
              </w:rPr>
            </w:pPr>
            <w:r>
              <w:rPr>
                <w:rFonts w:hint="eastAsia" w:ascii="宋体" w:hAnsi="宋体"/>
                <w:b/>
                <w:szCs w:val="21"/>
                <w:highlight w:val="none"/>
              </w:rPr>
              <w:t>投标条款</w:t>
            </w:r>
          </w:p>
        </w:tc>
        <w:tc>
          <w:tcPr>
            <w:tcW w:w="1600" w:type="dxa"/>
            <w:noWrap w:val="0"/>
            <w:vAlign w:val="center"/>
          </w:tcPr>
          <w:p w14:paraId="7312AE9B">
            <w:pPr>
              <w:keepNext w:val="0"/>
              <w:keepLines w:val="0"/>
              <w:suppressLineNumbers w:val="0"/>
              <w:spacing w:before="0" w:beforeAutospacing="0" w:after="0" w:afterAutospacing="0"/>
              <w:ind w:left="0" w:right="0"/>
              <w:jc w:val="center"/>
              <w:rPr>
                <w:rFonts w:hint="eastAsia" w:ascii="宋体" w:hAnsi="宋体"/>
                <w:b/>
                <w:szCs w:val="21"/>
                <w:highlight w:val="none"/>
              </w:rPr>
            </w:pPr>
            <w:r>
              <w:rPr>
                <w:rFonts w:hint="eastAsia" w:ascii="宋体" w:hAnsi="宋体"/>
                <w:b/>
                <w:szCs w:val="21"/>
                <w:highlight w:val="none"/>
              </w:rPr>
              <w:t>偏离</w:t>
            </w:r>
          </w:p>
        </w:tc>
        <w:tc>
          <w:tcPr>
            <w:tcW w:w="1134" w:type="dxa"/>
            <w:noWrap w:val="0"/>
            <w:vAlign w:val="center"/>
          </w:tcPr>
          <w:p w14:paraId="08D647E4">
            <w:pPr>
              <w:keepNext w:val="0"/>
              <w:keepLines w:val="0"/>
              <w:suppressLineNumbers w:val="0"/>
              <w:spacing w:before="0" w:beforeAutospacing="0" w:after="0" w:afterAutospacing="0"/>
              <w:ind w:left="0" w:right="0"/>
              <w:jc w:val="center"/>
              <w:rPr>
                <w:rFonts w:hint="eastAsia" w:ascii="宋体" w:hAnsi="宋体"/>
                <w:b/>
                <w:szCs w:val="21"/>
                <w:highlight w:val="none"/>
              </w:rPr>
            </w:pPr>
            <w:r>
              <w:rPr>
                <w:rFonts w:hint="eastAsia" w:ascii="宋体" w:hAnsi="宋体"/>
                <w:b/>
                <w:szCs w:val="21"/>
                <w:highlight w:val="none"/>
              </w:rPr>
              <w:t>说明</w:t>
            </w:r>
          </w:p>
        </w:tc>
      </w:tr>
      <w:tr w14:paraId="6B21E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495" w:type="dxa"/>
            <w:noWrap w:val="0"/>
            <w:vAlign w:val="top"/>
          </w:tcPr>
          <w:p w14:paraId="395CF4BF">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2453" w:type="dxa"/>
            <w:noWrap w:val="0"/>
            <w:vAlign w:val="top"/>
          </w:tcPr>
          <w:p w14:paraId="3075F264">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2227" w:type="dxa"/>
            <w:noWrap w:val="0"/>
            <w:vAlign w:val="top"/>
          </w:tcPr>
          <w:p w14:paraId="56830E87">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1600" w:type="dxa"/>
            <w:noWrap w:val="0"/>
            <w:vAlign w:val="top"/>
          </w:tcPr>
          <w:p w14:paraId="49720284">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1134" w:type="dxa"/>
            <w:noWrap w:val="0"/>
            <w:vAlign w:val="top"/>
          </w:tcPr>
          <w:p w14:paraId="7A9AC6E0">
            <w:pPr>
              <w:keepNext w:val="0"/>
              <w:keepLines w:val="0"/>
              <w:suppressLineNumbers w:val="0"/>
              <w:spacing w:before="0" w:beforeAutospacing="0" w:after="0" w:afterAutospacing="0"/>
              <w:ind w:left="0" w:right="0"/>
              <w:rPr>
                <w:rFonts w:hint="eastAsia" w:ascii="宋体" w:hAnsi="宋体"/>
                <w:sz w:val="18"/>
                <w:szCs w:val="18"/>
                <w:highlight w:val="none"/>
              </w:rPr>
            </w:pPr>
          </w:p>
        </w:tc>
      </w:tr>
      <w:tr w14:paraId="7B16A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495" w:type="dxa"/>
            <w:noWrap w:val="0"/>
            <w:vAlign w:val="top"/>
          </w:tcPr>
          <w:p w14:paraId="38513198">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2453" w:type="dxa"/>
            <w:noWrap w:val="0"/>
            <w:vAlign w:val="top"/>
          </w:tcPr>
          <w:p w14:paraId="293AE7D7">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2227" w:type="dxa"/>
            <w:noWrap w:val="0"/>
            <w:vAlign w:val="top"/>
          </w:tcPr>
          <w:p w14:paraId="6CEC5C25">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1600" w:type="dxa"/>
            <w:noWrap w:val="0"/>
            <w:vAlign w:val="top"/>
          </w:tcPr>
          <w:p w14:paraId="4C5305E2">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1134" w:type="dxa"/>
            <w:noWrap w:val="0"/>
            <w:vAlign w:val="top"/>
          </w:tcPr>
          <w:p w14:paraId="4177D336">
            <w:pPr>
              <w:keepNext w:val="0"/>
              <w:keepLines w:val="0"/>
              <w:suppressLineNumbers w:val="0"/>
              <w:spacing w:before="0" w:beforeAutospacing="0" w:after="0" w:afterAutospacing="0"/>
              <w:ind w:left="0" w:right="0"/>
              <w:rPr>
                <w:rFonts w:hint="eastAsia" w:ascii="宋体" w:hAnsi="宋体"/>
                <w:sz w:val="18"/>
                <w:szCs w:val="18"/>
                <w:highlight w:val="none"/>
              </w:rPr>
            </w:pPr>
          </w:p>
        </w:tc>
      </w:tr>
      <w:tr w14:paraId="745C1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495" w:type="dxa"/>
            <w:noWrap w:val="0"/>
            <w:vAlign w:val="top"/>
          </w:tcPr>
          <w:p w14:paraId="6B673EA2">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2453" w:type="dxa"/>
            <w:noWrap w:val="0"/>
            <w:vAlign w:val="top"/>
          </w:tcPr>
          <w:p w14:paraId="4935D39B">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2227" w:type="dxa"/>
            <w:noWrap w:val="0"/>
            <w:vAlign w:val="top"/>
          </w:tcPr>
          <w:p w14:paraId="50A00AA0">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1600" w:type="dxa"/>
            <w:noWrap w:val="0"/>
            <w:vAlign w:val="top"/>
          </w:tcPr>
          <w:p w14:paraId="5A011FA3">
            <w:pPr>
              <w:keepNext w:val="0"/>
              <w:keepLines w:val="0"/>
              <w:suppressLineNumbers w:val="0"/>
              <w:spacing w:before="0" w:beforeAutospacing="0" w:after="0" w:afterAutospacing="0"/>
              <w:ind w:left="0" w:right="0"/>
              <w:rPr>
                <w:rFonts w:hint="eastAsia" w:ascii="宋体" w:hAnsi="宋体"/>
                <w:sz w:val="18"/>
                <w:szCs w:val="18"/>
                <w:highlight w:val="none"/>
              </w:rPr>
            </w:pPr>
          </w:p>
        </w:tc>
        <w:tc>
          <w:tcPr>
            <w:tcW w:w="1134" w:type="dxa"/>
            <w:noWrap w:val="0"/>
            <w:vAlign w:val="top"/>
          </w:tcPr>
          <w:p w14:paraId="2B079B7D">
            <w:pPr>
              <w:keepNext w:val="0"/>
              <w:keepLines w:val="0"/>
              <w:suppressLineNumbers w:val="0"/>
              <w:spacing w:before="0" w:beforeAutospacing="0" w:after="0" w:afterAutospacing="0"/>
              <w:ind w:left="0" w:right="0"/>
              <w:rPr>
                <w:rFonts w:hint="eastAsia" w:ascii="宋体" w:hAnsi="宋体"/>
                <w:sz w:val="18"/>
                <w:szCs w:val="18"/>
                <w:highlight w:val="none"/>
              </w:rPr>
            </w:pPr>
          </w:p>
        </w:tc>
      </w:tr>
    </w:tbl>
    <w:p w14:paraId="39CB9E9A">
      <w:pPr>
        <w:rPr>
          <w:rFonts w:hint="eastAsia" w:ascii="宋体" w:hAnsi="宋体"/>
          <w:sz w:val="24"/>
          <w:highlight w:val="none"/>
        </w:rPr>
      </w:pPr>
      <w:r>
        <w:rPr>
          <w:rFonts w:hint="eastAsia" w:ascii="宋体" w:hAnsi="宋体"/>
          <w:sz w:val="24"/>
          <w:highlight w:val="none"/>
        </w:rPr>
        <w:t>　</w:t>
      </w:r>
    </w:p>
    <w:p w14:paraId="5069F2AC">
      <w:pPr>
        <w:spacing w:line="360" w:lineRule="auto"/>
        <w:rPr>
          <w:rFonts w:hint="default" w:ascii="宋体" w:hAnsi="宋体" w:eastAsia="宋体"/>
          <w:b/>
          <w:sz w:val="24"/>
          <w:highlight w:val="none"/>
          <w:lang w:val="en-US" w:eastAsia="zh-CN"/>
        </w:rPr>
      </w:pPr>
      <w:r>
        <w:rPr>
          <w:rFonts w:hint="eastAsia" w:ascii="宋体" w:hAnsi="宋体"/>
          <w:b/>
          <w:sz w:val="24"/>
          <w:highlight w:val="none"/>
        </w:rPr>
        <w:t>供应商名称（公章）：</w:t>
      </w:r>
      <w:r>
        <w:rPr>
          <w:rFonts w:hint="eastAsia" w:ascii="宋体" w:hAnsi="宋体"/>
          <w:b/>
          <w:sz w:val="24"/>
          <w:highlight w:val="none"/>
          <w:u w:val="single"/>
          <w:lang w:val="en-US" w:eastAsia="zh-CN"/>
        </w:rPr>
        <w:t xml:space="preserve">                          </w:t>
      </w:r>
      <w:r>
        <w:rPr>
          <w:rFonts w:hint="eastAsia" w:ascii="宋体" w:hAnsi="宋体"/>
          <w:b/>
          <w:sz w:val="24"/>
          <w:highlight w:val="none"/>
          <w:lang w:val="en-US" w:eastAsia="zh-CN"/>
        </w:rPr>
        <w:t xml:space="preserve"> </w:t>
      </w:r>
    </w:p>
    <w:p w14:paraId="60A50A35">
      <w:pPr>
        <w:spacing w:line="360" w:lineRule="auto"/>
        <w:rPr>
          <w:rFonts w:hint="eastAsia" w:ascii="宋体" w:hAnsi="宋体"/>
          <w:b/>
          <w:sz w:val="24"/>
          <w:highlight w:val="none"/>
        </w:rPr>
      </w:pPr>
      <w:r>
        <w:rPr>
          <w:rFonts w:hint="eastAsia" w:ascii="宋体" w:hAnsi="宋体"/>
          <w:b/>
          <w:sz w:val="24"/>
          <w:highlight w:val="none"/>
        </w:rPr>
        <w:t>供应商代表签字：</w:t>
      </w:r>
      <w:r>
        <w:rPr>
          <w:rFonts w:hint="eastAsia" w:ascii="宋体" w:hAnsi="宋体"/>
          <w:b/>
          <w:sz w:val="24"/>
          <w:highlight w:val="none"/>
          <w:u w:val="single"/>
        </w:rPr>
        <w:t>　　　　　　　　　　　　　　　</w:t>
      </w:r>
      <w:r>
        <w:rPr>
          <w:rFonts w:hint="eastAsia" w:ascii="宋体" w:hAnsi="宋体"/>
          <w:b/>
          <w:sz w:val="24"/>
          <w:highlight w:val="none"/>
        </w:rPr>
        <w:t>　</w:t>
      </w:r>
    </w:p>
    <w:p w14:paraId="0D8663CE">
      <w:pPr>
        <w:rPr>
          <w:rFonts w:hint="eastAsia" w:ascii="宋体" w:hAnsi="宋体"/>
          <w:sz w:val="24"/>
          <w:highlight w:val="none"/>
        </w:rPr>
      </w:pPr>
    </w:p>
    <w:p w14:paraId="6B50BAD4">
      <w:pPr>
        <w:ind w:firstLine="482" w:firstLineChars="200"/>
        <w:rPr>
          <w:rFonts w:hint="eastAsia" w:ascii="宋体" w:hAnsi="宋体"/>
          <w:b/>
          <w:sz w:val="24"/>
          <w:highlight w:val="none"/>
        </w:rPr>
      </w:pPr>
    </w:p>
    <w:p w14:paraId="0C5F9297">
      <w:pPr>
        <w:ind w:firstLine="482" w:firstLineChars="200"/>
        <w:rPr>
          <w:rFonts w:hint="eastAsia" w:ascii="宋体" w:hAnsi="宋体"/>
          <w:b/>
          <w:sz w:val="24"/>
          <w:highlight w:val="none"/>
        </w:rPr>
      </w:pPr>
    </w:p>
    <w:p w14:paraId="76C94E96">
      <w:pPr>
        <w:ind w:firstLine="482" w:firstLineChars="200"/>
        <w:rPr>
          <w:rFonts w:hint="eastAsia" w:ascii="宋体" w:hAnsi="宋体"/>
          <w:b/>
          <w:sz w:val="24"/>
          <w:highlight w:val="none"/>
        </w:rPr>
      </w:pPr>
    </w:p>
    <w:p w14:paraId="601D8B21">
      <w:pPr>
        <w:pStyle w:val="4"/>
        <w:ind w:firstLine="562"/>
        <w:jc w:val="center"/>
        <w:rPr>
          <w:b/>
          <w:bCs/>
          <w:sz w:val="28"/>
          <w:szCs w:val="28"/>
          <w:highlight w:val="none"/>
        </w:rPr>
      </w:pPr>
    </w:p>
    <w:p w14:paraId="3A34CBDC">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eastAsia="zh-CN"/>
        </w:rPr>
        <w:t>8</w:t>
      </w:r>
      <w:r>
        <w:rPr>
          <w:rFonts w:hint="eastAsia"/>
          <w:b/>
          <w:bCs/>
          <w:sz w:val="28"/>
          <w:szCs w:val="28"/>
          <w:highlight w:val="none"/>
          <w:lang w:val="en-US"/>
        </w:rPr>
        <w:t>、</w:t>
      </w:r>
      <w:r>
        <w:rPr>
          <w:rFonts w:hint="eastAsia"/>
          <w:b/>
          <w:bCs/>
          <w:sz w:val="28"/>
          <w:szCs w:val="28"/>
          <w:highlight w:val="none"/>
        </w:rPr>
        <w:t>业绩表</w:t>
      </w:r>
    </w:p>
    <w:p w14:paraId="694542B1">
      <w:pPr>
        <w:jc w:val="center"/>
        <w:rPr>
          <w:rFonts w:hint="eastAsia" w:ascii="宋体" w:hAnsi="宋体"/>
          <w:b/>
          <w:sz w:val="30"/>
          <w:highlight w:val="none"/>
        </w:rPr>
      </w:pPr>
      <w:r>
        <w:rPr>
          <w:rFonts w:hint="eastAsia" w:ascii="宋体" w:hAnsi="宋体"/>
          <w:b/>
          <w:sz w:val="30"/>
          <w:highlight w:val="none"/>
        </w:rPr>
        <w:t>业绩表</w:t>
      </w:r>
    </w:p>
    <w:p w14:paraId="401524B4">
      <w:pPr>
        <w:rPr>
          <w:rFonts w:hint="eastAsia" w:ascii="宋体" w:hAnsi="宋体"/>
          <w:b/>
          <w:sz w:val="24"/>
          <w:highlight w:val="none"/>
          <w:u w:val="single"/>
        </w:rPr>
      </w:pPr>
      <w:r>
        <w:rPr>
          <w:rFonts w:hint="eastAsia" w:ascii="宋体" w:hAnsi="宋体"/>
          <w:b/>
          <w:sz w:val="24"/>
          <w:highlight w:val="none"/>
        </w:rPr>
        <w:t>项目</w:t>
      </w:r>
      <w:r>
        <w:rPr>
          <w:rFonts w:hint="eastAsia" w:ascii="宋体" w:hAnsi="宋体"/>
          <w:b/>
          <w:sz w:val="24"/>
          <w:highlight w:val="none"/>
          <w:lang w:val="en-US" w:eastAsia="zh-CN"/>
        </w:rPr>
        <w:t>名称</w:t>
      </w:r>
      <w:r>
        <w:rPr>
          <w:rFonts w:hint="eastAsia" w:ascii="宋体" w:hAnsi="宋体"/>
          <w:b/>
          <w:sz w:val="24"/>
          <w:highlight w:val="none"/>
        </w:rPr>
        <w:t>：　　　</w:t>
      </w:r>
    </w:p>
    <w:tbl>
      <w:tblPr>
        <w:tblStyle w:val="22"/>
        <w:tblW w:w="900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4680"/>
        <w:gridCol w:w="900"/>
        <w:gridCol w:w="1800"/>
      </w:tblGrid>
      <w:tr w14:paraId="721E5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noWrap w:val="0"/>
            <w:vAlign w:val="top"/>
          </w:tcPr>
          <w:p w14:paraId="1874BB61">
            <w:pPr>
              <w:pStyle w:val="35"/>
              <w:keepNext w:val="0"/>
              <w:keepLines w:val="0"/>
              <w:suppressLineNumbers w:val="0"/>
              <w:spacing w:before="0" w:beforeAutospacing="0" w:after="0" w:afterAutospacing="0" w:line="360" w:lineRule="auto"/>
              <w:ind w:left="0" w:right="0"/>
              <w:jc w:val="center"/>
              <w:rPr>
                <w:rFonts w:hint="eastAsia" w:ascii="宋体" w:hAnsi="宋体" w:eastAsia="宋体"/>
                <w:b/>
                <w:color w:val="auto"/>
                <w:sz w:val="21"/>
                <w:szCs w:val="21"/>
                <w:highlight w:val="none"/>
              </w:rPr>
            </w:pPr>
            <w:r>
              <w:rPr>
                <w:rFonts w:hint="eastAsia" w:ascii="宋体" w:hAnsi="宋体" w:eastAsia="宋体"/>
                <w:b/>
                <w:color w:val="auto"/>
                <w:sz w:val="21"/>
                <w:szCs w:val="21"/>
                <w:highlight w:val="none"/>
              </w:rPr>
              <w:t>地　　区</w:t>
            </w:r>
          </w:p>
        </w:tc>
        <w:tc>
          <w:tcPr>
            <w:tcW w:w="4680" w:type="dxa"/>
            <w:noWrap w:val="0"/>
            <w:vAlign w:val="top"/>
          </w:tcPr>
          <w:p w14:paraId="00386DB7">
            <w:pPr>
              <w:pStyle w:val="35"/>
              <w:keepNext w:val="0"/>
              <w:keepLines w:val="0"/>
              <w:suppressLineNumbers w:val="0"/>
              <w:spacing w:before="0" w:beforeAutospacing="0" w:after="0" w:afterAutospacing="0" w:line="360" w:lineRule="auto"/>
              <w:ind w:left="0" w:right="0" w:firstLine="422" w:firstLineChars="200"/>
              <w:jc w:val="center"/>
              <w:rPr>
                <w:rFonts w:hint="eastAsia" w:ascii="宋体" w:hAnsi="宋体" w:eastAsia="宋体"/>
                <w:b/>
                <w:color w:val="auto"/>
                <w:sz w:val="21"/>
                <w:szCs w:val="21"/>
                <w:highlight w:val="none"/>
              </w:rPr>
            </w:pPr>
            <w:r>
              <w:rPr>
                <w:rFonts w:hint="eastAsia" w:ascii="宋体" w:hAnsi="宋体" w:eastAsia="宋体"/>
                <w:b/>
                <w:color w:val="auto"/>
                <w:sz w:val="21"/>
                <w:szCs w:val="21"/>
                <w:highlight w:val="none"/>
              </w:rPr>
              <w:t>合同名称</w:t>
            </w:r>
          </w:p>
        </w:tc>
        <w:tc>
          <w:tcPr>
            <w:tcW w:w="900" w:type="dxa"/>
            <w:noWrap w:val="0"/>
            <w:vAlign w:val="top"/>
          </w:tcPr>
          <w:p w14:paraId="01D72A23">
            <w:pPr>
              <w:pStyle w:val="35"/>
              <w:keepNext w:val="0"/>
              <w:keepLines w:val="0"/>
              <w:suppressLineNumbers w:val="0"/>
              <w:spacing w:before="0" w:beforeAutospacing="0" w:after="0" w:afterAutospacing="0" w:line="360" w:lineRule="auto"/>
              <w:ind w:left="0" w:right="0"/>
              <w:jc w:val="center"/>
              <w:rPr>
                <w:rFonts w:hint="eastAsia" w:ascii="宋体" w:hAnsi="宋体" w:eastAsia="宋体"/>
                <w:b/>
                <w:color w:val="auto"/>
                <w:sz w:val="21"/>
                <w:szCs w:val="21"/>
                <w:highlight w:val="none"/>
              </w:rPr>
            </w:pPr>
            <w:r>
              <w:rPr>
                <w:rFonts w:hint="eastAsia" w:ascii="宋体" w:hAnsi="宋体" w:eastAsia="宋体"/>
                <w:b/>
                <w:color w:val="auto"/>
                <w:sz w:val="21"/>
                <w:szCs w:val="21"/>
                <w:highlight w:val="none"/>
              </w:rPr>
              <w:t>金额</w:t>
            </w:r>
          </w:p>
        </w:tc>
        <w:tc>
          <w:tcPr>
            <w:tcW w:w="1800" w:type="dxa"/>
            <w:noWrap w:val="0"/>
            <w:vAlign w:val="top"/>
          </w:tcPr>
          <w:p w14:paraId="136FB673">
            <w:pPr>
              <w:pStyle w:val="35"/>
              <w:keepNext w:val="0"/>
              <w:keepLines w:val="0"/>
              <w:suppressLineNumbers w:val="0"/>
              <w:spacing w:before="0" w:beforeAutospacing="0" w:after="0" w:afterAutospacing="0" w:line="360" w:lineRule="auto"/>
              <w:ind w:left="0" w:right="0" w:firstLine="415" w:firstLineChars="197"/>
              <w:rPr>
                <w:rFonts w:hint="eastAsia" w:ascii="宋体" w:hAnsi="宋体" w:eastAsia="宋体"/>
                <w:b/>
                <w:color w:val="auto"/>
                <w:sz w:val="21"/>
                <w:szCs w:val="21"/>
                <w:highlight w:val="none"/>
              </w:rPr>
            </w:pPr>
            <w:r>
              <w:rPr>
                <w:rFonts w:hint="eastAsia" w:ascii="宋体" w:hAnsi="宋体" w:eastAsia="宋体"/>
                <w:b/>
                <w:color w:val="auto"/>
                <w:sz w:val="21"/>
                <w:szCs w:val="21"/>
                <w:highlight w:val="none"/>
              </w:rPr>
              <w:t>备 注</w:t>
            </w:r>
          </w:p>
        </w:tc>
      </w:tr>
      <w:tr w14:paraId="5235C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20" w:type="dxa"/>
            <w:noWrap w:val="0"/>
            <w:vAlign w:val="top"/>
          </w:tcPr>
          <w:p w14:paraId="4781B8A5">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4680" w:type="dxa"/>
            <w:noWrap w:val="0"/>
            <w:vAlign w:val="top"/>
          </w:tcPr>
          <w:p w14:paraId="0DF837BB">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900" w:type="dxa"/>
            <w:noWrap w:val="0"/>
            <w:vAlign w:val="top"/>
          </w:tcPr>
          <w:p w14:paraId="76DB385B">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1800" w:type="dxa"/>
            <w:noWrap w:val="0"/>
            <w:vAlign w:val="top"/>
          </w:tcPr>
          <w:p w14:paraId="601EF651">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r>
      <w:tr w14:paraId="3E2C3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20" w:type="dxa"/>
            <w:noWrap w:val="0"/>
            <w:vAlign w:val="top"/>
          </w:tcPr>
          <w:p w14:paraId="30121601">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4680" w:type="dxa"/>
            <w:noWrap w:val="0"/>
            <w:vAlign w:val="top"/>
          </w:tcPr>
          <w:p w14:paraId="4EC74E37">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900" w:type="dxa"/>
            <w:noWrap w:val="0"/>
            <w:vAlign w:val="top"/>
          </w:tcPr>
          <w:p w14:paraId="76DB4AAB">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1800" w:type="dxa"/>
            <w:noWrap w:val="0"/>
            <w:vAlign w:val="top"/>
          </w:tcPr>
          <w:p w14:paraId="7DD73BBF">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r>
      <w:tr w14:paraId="47AB6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620" w:type="dxa"/>
            <w:noWrap w:val="0"/>
            <w:vAlign w:val="top"/>
          </w:tcPr>
          <w:p w14:paraId="526EB9BE">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4680" w:type="dxa"/>
            <w:noWrap w:val="0"/>
            <w:vAlign w:val="top"/>
          </w:tcPr>
          <w:p w14:paraId="153C1E5F">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900" w:type="dxa"/>
            <w:noWrap w:val="0"/>
            <w:vAlign w:val="top"/>
          </w:tcPr>
          <w:p w14:paraId="5F8D8B7A">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1800" w:type="dxa"/>
            <w:noWrap w:val="0"/>
            <w:vAlign w:val="top"/>
          </w:tcPr>
          <w:p w14:paraId="18F8C8CD">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r>
      <w:tr w14:paraId="26594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620" w:type="dxa"/>
            <w:noWrap w:val="0"/>
            <w:vAlign w:val="top"/>
          </w:tcPr>
          <w:p w14:paraId="0FBA3690">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4680" w:type="dxa"/>
            <w:noWrap w:val="0"/>
            <w:vAlign w:val="top"/>
          </w:tcPr>
          <w:p w14:paraId="2E83C0F0">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900" w:type="dxa"/>
            <w:noWrap w:val="0"/>
            <w:vAlign w:val="top"/>
          </w:tcPr>
          <w:p w14:paraId="0DDA3B93">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c>
          <w:tcPr>
            <w:tcW w:w="1800" w:type="dxa"/>
            <w:noWrap w:val="0"/>
            <w:vAlign w:val="top"/>
          </w:tcPr>
          <w:p w14:paraId="7FD5E0E3">
            <w:pPr>
              <w:keepNext w:val="0"/>
              <w:keepLines w:val="0"/>
              <w:suppressLineNumbers w:val="0"/>
              <w:spacing w:before="0" w:beforeAutospacing="0" w:after="0" w:afterAutospacing="0" w:line="480" w:lineRule="exact"/>
              <w:ind w:left="0" w:right="0"/>
              <w:rPr>
                <w:rFonts w:hint="eastAsia" w:ascii="宋体" w:hAnsi="宋体"/>
                <w:sz w:val="18"/>
                <w:szCs w:val="18"/>
                <w:highlight w:val="none"/>
              </w:rPr>
            </w:pPr>
          </w:p>
        </w:tc>
      </w:tr>
    </w:tbl>
    <w:p w14:paraId="7F599520">
      <w:pPr>
        <w:spacing w:line="360" w:lineRule="auto"/>
        <w:rPr>
          <w:rFonts w:hint="eastAsia" w:ascii="宋体" w:hAnsi="宋体"/>
          <w:b/>
          <w:sz w:val="24"/>
          <w:highlight w:val="none"/>
        </w:rPr>
      </w:pPr>
      <w:r>
        <w:rPr>
          <w:rFonts w:hint="eastAsia" w:ascii="宋体" w:hAnsi="宋体"/>
          <w:b/>
          <w:sz w:val="24"/>
          <w:highlight w:val="none"/>
        </w:rPr>
        <w:t>注：业绩须附有采购合同或中标通知书</w:t>
      </w:r>
      <w:r>
        <w:rPr>
          <w:rFonts w:hint="eastAsia" w:ascii="宋体" w:hAnsi="宋体"/>
          <w:b/>
          <w:sz w:val="24"/>
          <w:highlight w:val="none"/>
          <w:lang w:eastAsia="zh-CN"/>
        </w:rPr>
        <w:t>扫描件</w:t>
      </w:r>
      <w:r>
        <w:rPr>
          <w:rFonts w:hint="eastAsia" w:ascii="宋体" w:hAnsi="宋体"/>
          <w:b/>
          <w:sz w:val="24"/>
          <w:highlight w:val="none"/>
        </w:rPr>
        <w:t xml:space="preserve">证明。 </w:t>
      </w:r>
    </w:p>
    <w:p w14:paraId="3E4993FF">
      <w:pPr>
        <w:spacing w:line="360" w:lineRule="auto"/>
        <w:rPr>
          <w:rFonts w:hint="eastAsia" w:ascii="宋体" w:hAnsi="宋体"/>
          <w:sz w:val="24"/>
          <w:highlight w:val="none"/>
        </w:rPr>
      </w:pPr>
    </w:p>
    <w:p w14:paraId="06E50415">
      <w:pPr>
        <w:spacing w:line="360" w:lineRule="auto"/>
        <w:rPr>
          <w:rFonts w:hint="default" w:ascii="宋体" w:hAnsi="宋体" w:eastAsia="宋体"/>
          <w:b/>
          <w:sz w:val="24"/>
          <w:highlight w:val="none"/>
          <w:lang w:val="en-US" w:eastAsia="zh-CN"/>
        </w:rPr>
      </w:pPr>
      <w:r>
        <w:rPr>
          <w:rFonts w:hint="eastAsia" w:ascii="宋体" w:hAnsi="宋体"/>
          <w:b/>
          <w:sz w:val="24"/>
          <w:highlight w:val="none"/>
        </w:rPr>
        <w:t>供应商名称（公章）：</w:t>
      </w:r>
      <w:r>
        <w:rPr>
          <w:rFonts w:hint="eastAsia" w:ascii="宋体" w:hAnsi="宋体"/>
          <w:b/>
          <w:sz w:val="24"/>
          <w:highlight w:val="none"/>
          <w:u w:val="single"/>
          <w:lang w:val="en-US" w:eastAsia="zh-CN"/>
        </w:rPr>
        <w:t xml:space="preserve">                          </w:t>
      </w:r>
      <w:r>
        <w:rPr>
          <w:rFonts w:hint="eastAsia" w:ascii="宋体" w:hAnsi="宋体"/>
          <w:b/>
          <w:sz w:val="24"/>
          <w:highlight w:val="none"/>
          <w:lang w:val="en-US" w:eastAsia="zh-CN"/>
        </w:rPr>
        <w:t xml:space="preserve"> </w:t>
      </w:r>
    </w:p>
    <w:p w14:paraId="34853213">
      <w:pPr>
        <w:spacing w:line="360" w:lineRule="auto"/>
        <w:rPr>
          <w:rFonts w:hint="eastAsia" w:ascii="宋体" w:hAnsi="宋体"/>
          <w:b/>
          <w:sz w:val="24"/>
          <w:highlight w:val="none"/>
        </w:rPr>
      </w:pPr>
      <w:r>
        <w:rPr>
          <w:rFonts w:hint="eastAsia" w:ascii="宋体" w:hAnsi="宋体"/>
          <w:b/>
          <w:sz w:val="24"/>
          <w:highlight w:val="none"/>
        </w:rPr>
        <w:t>供应商代表签字：</w:t>
      </w:r>
      <w:r>
        <w:rPr>
          <w:rFonts w:hint="eastAsia" w:ascii="宋体" w:hAnsi="宋体"/>
          <w:b/>
          <w:sz w:val="24"/>
          <w:highlight w:val="none"/>
          <w:u w:val="single"/>
        </w:rPr>
        <w:t>　　　　　　　　　　　　　　　</w:t>
      </w:r>
      <w:r>
        <w:rPr>
          <w:rFonts w:hint="eastAsia" w:ascii="宋体" w:hAnsi="宋体"/>
          <w:b/>
          <w:sz w:val="24"/>
          <w:highlight w:val="none"/>
        </w:rPr>
        <w:t>　</w:t>
      </w:r>
    </w:p>
    <w:p w14:paraId="3EF5081F">
      <w:pPr>
        <w:spacing w:line="360" w:lineRule="auto"/>
        <w:rPr>
          <w:rFonts w:hint="eastAsia" w:ascii="宋体" w:hAnsi="宋体"/>
          <w:b/>
          <w:sz w:val="24"/>
          <w:highlight w:val="none"/>
        </w:rPr>
      </w:pPr>
      <w:r>
        <w:rPr>
          <w:rFonts w:hint="eastAsia" w:ascii="宋体" w:hAnsi="宋体"/>
          <w:b/>
          <w:sz w:val="24"/>
          <w:highlight w:val="none"/>
        </w:rPr>
        <w:t>　</w:t>
      </w:r>
    </w:p>
    <w:p w14:paraId="1D453F34">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eastAsia="zh-CN"/>
        </w:rPr>
        <w:t>9</w:t>
      </w:r>
      <w:r>
        <w:rPr>
          <w:rFonts w:hint="eastAsia"/>
          <w:b/>
          <w:bCs/>
          <w:sz w:val="28"/>
          <w:szCs w:val="28"/>
          <w:highlight w:val="none"/>
          <w:lang w:val="en-US"/>
        </w:rPr>
        <w:t>、</w:t>
      </w:r>
      <w:r>
        <w:rPr>
          <w:rFonts w:hint="eastAsia"/>
          <w:b/>
          <w:bCs/>
          <w:sz w:val="28"/>
          <w:szCs w:val="28"/>
          <w:highlight w:val="none"/>
        </w:rPr>
        <w:t>投标单位（供应商）反商业贿赂承诺书</w:t>
      </w:r>
    </w:p>
    <w:p w14:paraId="1B6F9EBF">
      <w:pPr>
        <w:spacing w:line="360" w:lineRule="auto"/>
        <w:jc w:val="center"/>
        <w:rPr>
          <w:rFonts w:hint="eastAsia" w:ascii="宋体" w:hAnsi="宋体" w:cs="宋体"/>
          <w:b/>
          <w:highlight w:val="none"/>
        </w:rPr>
      </w:pPr>
      <w:bookmarkStart w:id="222" w:name="_Toc12185"/>
      <w:bookmarkStart w:id="223" w:name="_Toc29495"/>
      <w:bookmarkStart w:id="224" w:name="_Toc9193"/>
      <w:bookmarkStart w:id="225" w:name="_Toc14703_WPSOffice_Level2"/>
      <w:bookmarkStart w:id="226" w:name="_Toc3528"/>
      <w:bookmarkStart w:id="227" w:name="_Toc28726_WPSOffice_Level2"/>
      <w:bookmarkStart w:id="228" w:name="_Toc1363"/>
      <w:r>
        <w:rPr>
          <w:rFonts w:hint="eastAsia"/>
          <w:b/>
          <w:bCs/>
          <w:sz w:val="28"/>
          <w:szCs w:val="36"/>
          <w:highlight w:val="none"/>
        </w:rPr>
        <w:t>投标单位（供应商）反商业贿赂承诺书</w:t>
      </w:r>
      <w:bookmarkEnd w:id="222"/>
      <w:bookmarkEnd w:id="223"/>
      <w:bookmarkEnd w:id="224"/>
      <w:bookmarkEnd w:id="225"/>
      <w:bookmarkEnd w:id="226"/>
      <w:bookmarkEnd w:id="227"/>
      <w:bookmarkEnd w:id="228"/>
    </w:p>
    <w:p w14:paraId="76811A31">
      <w:pPr>
        <w:spacing w:line="360" w:lineRule="auto"/>
        <w:ind w:firstLine="482" w:firstLineChars="200"/>
        <w:rPr>
          <w:rFonts w:hint="eastAsia" w:ascii="宋体" w:hAnsi="宋体"/>
          <w:b/>
          <w:sz w:val="24"/>
          <w:highlight w:val="none"/>
        </w:rPr>
      </w:pPr>
      <w:r>
        <w:rPr>
          <w:rFonts w:hint="eastAsia" w:ascii="宋体" w:hAnsi="宋体"/>
          <w:b/>
          <w:sz w:val="24"/>
          <w:highlight w:val="none"/>
        </w:rPr>
        <w:t>我公司承诺在（项目编号、项目名称）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18508E57">
      <w:pPr>
        <w:spacing w:line="360" w:lineRule="auto"/>
        <w:rPr>
          <w:rFonts w:ascii="宋体" w:hAnsi="宋体"/>
          <w:b/>
          <w:sz w:val="24"/>
          <w:highlight w:val="none"/>
        </w:rPr>
      </w:pPr>
    </w:p>
    <w:p w14:paraId="1CC907D1">
      <w:pPr>
        <w:spacing w:line="360" w:lineRule="auto"/>
        <w:rPr>
          <w:rFonts w:ascii="宋体" w:hAnsi="宋体"/>
          <w:b/>
          <w:sz w:val="24"/>
          <w:highlight w:val="none"/>
        </w:rPr>
      </w:pPr>
    </w:p>
    <w:p w14:paraId="29D5B66D">
      <w:pPr>
        <w:spacing w:line="360" w:lineRule="auto"/>
        <w:jc w:val="center"/>
        <w:rPr>
          <w:rFonts w:hint="eastAsia" w:ascii="宋体" w:hAnsi="宋体"/>
          <w:b/>
          <w:sz w:val="24"/>
          <w:highlight w:val="none"/>
        </w:rPr>
      </w:pPr>
      <w:r>
        <w:rPr>
          <w:rFonts w:hint="eastAsia" w:ascii="宋体" w:hAnsi="宋体"/>
          <w:b/>
          <w:sz w:val="24"/>
          <w:highlight w:val="none"/>
        </w:rPr>
        <w:t>投标单位（盖公章）：</w:t>
      </w:r>
    </w:p>
    <w:p w14:paraId="2EEAA3C7">
      <w:pPr>
        <w:spacing w:line="360" w:lineRule="auto"/>
        <w:jc w:val="center"/>
        <w:rPr>
          <w:rFonts w:hint="eastAsia" w:ascii="宋体" w:hAnsi="宋体"/>
          <w:b/>
          <w:sz w:val="24"/>
          <w:highlight w:val="none"/>
        </w:rPr>
      </w:pPr>
      <w:r>
        <w:rPr>
          <w:rFonts w:hint="eastAsia" w:ascii="宋体" w:hAnsi="宋体"/>
          <w:b/>
          <w:sz w:val="24"/>
          <w:highlight w:val="none"/>
        </w:rPr>
        <w:t>投标单位法人代表或授权代表签字：</w:t>
      </w:r>
    </w:p>
    <w:p w14:paraId="4D5B4AA4">
      <w:pPr>
        <w:spacing w:line="360" w:lineRule="auto"/>
        <w:jc w:val="center"/>
        <w:rPr>
          <w:rFonts w:hint="eastAsia" w:ascii="宋体" w:hAnsi="宋体"/>
          <w:b/>
          <w:sz w:val="24"/>
          <w:highlight w:val="none"/>
        </w:rPr>
      </w:pPr>
      <w:r>
        <w:rPr>
          <w:rFonts w:hint="eastAsia" w:ascii="宋体" w:hAnsi="宋体"/>
          <w:b/>
          <w:sz w:val="24"/>
          <w:highlight w:val="none"/>
        </w:rPr>
        <w:t>承诺日期：   年  月   日</w:t>
      </w:r>
    </w:p>
    <w:p w14:paraId="24FBE479">
      <w:pPr>
        <w:pStyle w:val="7"/>
        <w:rPr>
          <w:rFonts w:hint="eastAsia" w:ascii="宋体" w:hAnsi="宋体"/>
          <w:b/>
          <w:sz w:val="24"/>
          <w:highlight w:val="none"/>
        </w:rPr>
      </w:pPr>
    </w:p>
    <w:p w14:paraId="7C1BDB00">
      <w:pPr>
        <w:pStyle w:val="7"/>
        <w:rPr>
          <w:rFonts w:hint="eastAsia" w:ascii="宋体" w:hAnsi="宋体"/>
          <w:b/>
          <w:sz w:val="24"/>
          <w:highlight w:val="none"/>
        </w:rPr>
      </w:pPr>
    </w:p>
    <w:p w14:paraId="12F9B183">
      <w:pPr>
        <w:pStyle w:val="4"/>
        <w:ind w:firstLine="562"/>
        <w:jc w:val="center"/>
        <w:rPr>
          <w:rFonts w:hint="eastAsia"/>
          <w:b/>
          <w:bCs/>
          <w:sz w:val="28"/>
          <w:szCs w:val="28"/>
          <w:highlight w:val="none"/>
        </w:rPr>
      </w:pPr>
    </w:p>
    <w:p w14:paraId="2DEF3CA1">
      <w:pPr>
        <w:pStyle w:val="4"/>
        <w:ind w:firstLine="562"/>
        <w:jc w:val="center"/>
        <w:rPr>
          <w:rFonts w:hint="eastAsia"/>
          <w:b/>
          <w:bCs/>
          <w:sz w:val="28"/>
          <w:szCs w:val="28"/>
          <w:highlight w:val="none"/>
        </w:rPr>
      </w:pPr>
    </w:p>
    <w:p w14:paraId="7E90E1F3">
      <w:pPr>
        <w:pStyle w:val="4"/>
        <w:ind w:firstLine="562"/>
        <w:jc w:val="center"/>
        <w:rPr>
          <w:rFonts w:hint="eastAsia"/>
          <w:b/>
          <w:bCs/>
          <w:sz w:val="28"/>
          <w:szCs w:val="28"/>
          <w:highlight w:val="none"/>
        </w:rPr>
      </w:pPr>
    </w:p>
    <w:p w14:paraId="65EA47A9">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eastAsia="zh-CN"/>
        </w:rPr>
        <w:t>10</w:t>
      </w:r>
      <w:r>
        <w:rPr>
          <w:rFonts w:hint="eastAsia"/>
          <w:b/>
          <w:bCs/>
          <w:sz w:val="28"/>
          <w:szCs w:val="28"/>
          <w:highlight w:val="none"/>
          <w:lang w:val="en-US"/>
        </w:rPr>
        <w:t>、</w:t>
      </w:r>
      <w:r>
        <w:rPr>
          <w:rFonts w:hint="eastAsia"/>
          <w:b/>
          <w:bCs/>
          <w:sz w:val="28"/>
          <w:szCs w:val="28"/>
          <w:highlight w:val="none"/>
        </w:rPr>
        <w:t>投标承诺书</w:t>
      </w:r>
    </w:p>
    <w:p w14:paraId="0E1E63B5">
      <w:pPr>
        <w:spacing w:line="360" w:lineRule="auto"/>
        <w:jc w:val="center"/>
        <w:rPr>
          <w:rFonts w:hint="eastAsia"/>
          <w:highlight w:val="none"/>
          <w:lang w:val="zh-CN"/>
        </w:rPr>
      </w:pPr>
      <w:r>
        <w:rPr>
          <w:rFonts w:hint="eastAsia"/>
          <w:b/>
          <w:bCs/>
          <w:sz w:val="28"/>
          <w:szCs w:val="28"/>
          <w:highlight w:val="none"/>
          <w:lang w:val="zh-CN"/>
        </w:rPr>
        <w:t>投标承诺书</w:t>
      </w:r>
    </w:p>
    <w:p w14:paraId="6C175640">
      <w:pPr>
        <w:spacing w:line="360" w:lineRule="auto"/>
        <w:ind w:firstLine="482" w:firstLineChars="200"/>
        <w:rPr>
          <w:rFonts w:hint="eastAsia" w:ascii="宋体" w:hAnsi="宋体"/>
          <w:b/>
          <w:sz w:val="24"/>
          <w:highlight w:val="none"/>
        </w:rPr>
      </w:pPr>
      <w:r>
        <w:rPr>
          <w:rFonts w:hint="eastAsia" w:ascii="宋体" w:hAnsi="宋体"/>
          <w:b/>
          <w:sz w:val="24"/>
          <w:highlight w:val="none"/>
        </w:rPr>
        <w:t>我方承诺接受</w:t>
      </w:r>
      <w:r>
        <w:rPr>
          <w:rFonts w:hint="eastAsia" w:ascii="宋体" w:hAnsi="宋体"/>
          <w:b/>
          <w:sz w:val="24"/>
          <w:highlight w:val="none"/>
          <w:lang w:eastAsia="zh-CN"/>
        </w:rPr>
        <w:t>招标文件</w:t>
      </w:r>
      <w:r>
        <w:rPr>
          <w:rFonts w:hint="eastAsia" w:ascii="宋体" w:hAnsi="宋体"/>
          <w:b/>
          <w:sz w:val="24"/>
          <w:highlight w:val="none"/>
        </w:rPr>
        <w:t>及澄清修改部分（如有）的全部条款（包括响应文件递交截止时间、保证金、资格条件、评审成交标准以及采购需求等其他所有条款）且无任何异议，现向贵单位提出承诺报价。</w:t>
      </w:r>
    </w:p>
    <w:p w14:paraId="15417EE4">
      <w:pPr>
        <w:spacing w:line="360" w:lineRule="auto"/>
        <w:ind w:firstLine="482" w:firstLineChars="200"/>
        <w:rPr>
          <w:rFonts w:hint="eastAsia" w:ascii="宋体" w:hAnsi="宋体"/>
          <w:b/>
          <w:sz w:val="24"/>
          <w:highlight w:val="none"/>
        </w:rPr>
      </w:pPr>
    </w:p>
    <w:p w14:paraId="7D50E1FB">
      <w:pPr>
        <w:spacing w:line="360" w:lineRule="auto"/>
        <w:ind w:firstLine="482" w:firstLineChars="200"/>
        <w:rPr>
          <w:rFonts w:hint="eastAsia" w:ascii="宋体" w:hAnsi="宋体"/>
          <w:b/>
          <w:sz w:val="24"/>
          <w:highlight w:val="none"/>
        </w:rPr>
      </w:pPr>
    </w:p>
    <w:p w14:paraId="0463E8EF">
      <w:pPr>
        <w:spacing w:line="360" w:lineRule="auto"/>
        <w:ind w:firstLine="482" w:firstLineChars="200"/>
        <w:rPr>
          <w:rFonts w:hint="eastAsia" w:ascii="宋体" w:hAnsi="宋体"/>
          <w:b/>
          <w:sz w:val="24"/>
          <w:highlight w:val="none"/>
        </w:rPr>
      </w:pPr>
      <w:r>
        <w:rPr>
          <w:rFonts w:hint="eastAsia" w:ascii="宋体" w:hAnsi="宋体"/>
          <w:b/>
          <w:sz w:val="24"/>
          <w:highlight w:val="none"/>
        </w:rPr>
        <w:t>投标单位（盖公章）：</w:t>
      </w:r>
    </w:p>
    <w:p w14:paraId="3E5481A9">
      <w:pPr>
        <w:spacing w:line="360" w:lineRule="auto"/>
        <w:ind w:firstLine="482" w:firstLineChars="200"/>
        <w:rPr>
          <w:rFonts w:hint="eastAsia" w:ascii="宋体" w:hAnsi="宋体"/>
          <w:b/>
          <w:sz w:val="24"/>
          <w:highlight w:val="none"/>
        </w:rPr>
      </w:pPr>
    </w:p>
    <w:p w14:paraId="57D957A1">
      <w:pPr>
        <w:spacing w:line="360" w:lineRule="auto"/>
        <w:ind w:firstLine="482" w:firstLineChars="200"/>
        <w:rPr>
          <w:rFonts w:hint="eastAsia" w:ascii="宋体" w:hAnsi="宋体"/>
          <w:b/>
          <w:sz w:val="24"/>
          <w:highlight w:val="none"/>
        </w:rPr>
      </w:pPr>
      <w:r>
        <w:rPr>
          <w:rFonts w:hint="eastAsia" w:ascii="宋体" w:hAnsi="宋体"/>
          <w:b/>
          <w:sz w:val="24"/>
          <w:highlight w:val="none"/>
        </w:rPr>
        <w:t>投标单位法人代表或授权代表签字：</w:t>
      </w:r>
    </w:p>
    <w:p w14:paraId="39F7142B">
      <w:pPr>
        <w:pStyle w:val="28"/>
        <w:rPr>
          <w:rFonts w:hint="eastAsia"/>
        </w:rPr>
      </w:pPr>
    </w:p>
    <w:p w14:paraId="5DF3B507">
      <w:pPr>
        <w:spacing w:line="360" w:lineRule="auto"/>
        <w:ind w:firstLine="482" w:firstLineChars="200"/>
        <w:rPr>
          <w:rFonts w:hint="eastAsia" w:ascii="宋体" w:hAnsi="宋体"/>
          <w:b/>
          <w:sz w:val="24"/>
          <w:highlight w:val="none"/>
        </w:rPr>
      </w:pPr>
      <w:r>
        <w:rPr>
          <w:rFonts w:hint="eastAsia" w:ascii="宋体" w:hAnsi="宋体"/>
          <w:b/>
          <w:sz w:val="24"/>
          <w:highlight w:val="none"/>
        </w:rPr>
        <w:t>20xx年xx月xx日</w:t>
      </w:r>
    </w:p>
    <w:p w14:paraId="766B8346">
      <w:pPr>
        <w:pStyle w:val="7"/>
        <w:rPr>
          <w:rFonts w:hint="eastAsia" w:ascii="宋体" w:hAnsi="宋体"/>
          <w:b/>
          <w:kern w:val="2"/>
          <w:sz w:val="24"/>
          <w:highlight w:val="none"/>
          <w:lang w:val="en-US"/>
        </w:rPr>
      </w:pPr>
    </w:p>
    <w:p w14:paraId="3567C993">
      <w:pPr>
        <w:pStyle w:val="7"/>
        <w:rPr>
          <w:rFonts w:hint="eastAsia" w:ascii="宋体" w:hAnsi="宋体"/>
          <w:b/>
          <w:sz w:val="24"/>
          <w:highlight w:val="none"/>
        </w:rPr>
      </w:pPr>
    </w:p>
    <w:p w14:paraId="2DC706E8">
      <w:pPr>
        <w:pStyle w:val="7"/>
        <w:rPr>
          <w:rFonts w:hint="eastAsia" w:ascii="宋体" w:hAnsi="宋体"/>
          <w:b/>
          <w:sz w:val="24"/>
          <w:highlight w:val="none"/>
        </w:rPr>
      </w:pPr>
    </w:p>
    <w:p w14:paraId="38E5C025">
      <w:pPr>
        <w:pStyle w:val="7"/>
        <w:spacing w:line="20" w:lineRule="exact"/>
        <w:ind w:left="266"/>
        <w:rPr>
          <w:rFonts w:hint="eastAsia" w:ascii="宋体" w:hAnsi="宋体"/>
          <w:b/>
          <w:sz w:val="24"/>
          <w:highlight w:val="none"/>
        </w:rPr>
      </w:pPr>
      <w:r>
        <w:rPr>
          <w:rFonts w:hint="eastAsia" w:ascii="宋体" w:hAnsi="宋体"/>
          <w:b/>
          <w:sz w:val="28"/>
          <w:szCs w:val="28"/>
          <w:highlight w:val="none"/>
          <w:lang w:val="en-US"/>
        </w:rPr>
        <w:t xml:space="preserve"> </w:t>
      </w:r>
      <w:bookmarkStart w:id="229" w:name="政策功能情况（如有）"/>
      <w:bookmarkEnd w:id="229"/>
      <w:bookmarkStart w:id="230" w:name="响应供应商资格声明函"/>
      <w:bookmarkEnd w:id="230"/>
    </w:p>
    <w:p w14:paraId="126BB01E">
      <w:pPr>
        <w:rPr>
          <w:rFonts w:hint="eastAsia"/>
          <w:b/>
          <w:bCs/>
          <w:sz w:val="28"/>
          <w:szCs w:val="28"/>
          <w:highlight w:val="none"/>
        </w:rPr>
      </w:pPr>
      <w:r>
        <w:rPr>
          <w:rFonts w:hint="eastAsia"/>
          <w:b/>
          <w:bCs/>
          <w:sz w:val="28"/>
          <w:szCs w:val="28"/>
          <w:highlight w:val="none"/>
        </w:rPr>
        <w:br w:type="page"/>
      </w:r>
    </w:p>
    <w:p w14:paraId="144736A6">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rPr>
        <w:t>1</w:t>
      </w:r>
      <w:r>
        <w:rPr>
          <w:rFonts w:hint="eastAsia"/>
          <w:b/>
          <w:bCs/>
          <w:sz w:val="28"/>
          <w:szCs w:val="28"/>
          <w:highlight w:val="none"/>
          <w:lang w:val="en-US" w:eastAsia="zh-CN"/>
        </w:rPr>
        <w:t>1</w:t>
      </w:r>
      <w:r>
        <w:rPr>
          <w:rFonts w:hint="eastAsia"/>
          <w:b/>
          <w:bCs/>
          <w:sz w:val="28"/>
          <w:szCs w:val="28"/>
          <w:highlight w:val="none"/>
          <w:lang w:val="en-US"/>
        </w:rPr>
        <w:t>、</w:t>
      </w:r>
      <w:r>
        <w:rPr>
          <w:rFonts w:hint="eastAsia"/>
          <w:b/>
          <w:bCs/>
          <w:sz w:val="28"/>
          <w:szCs w:val="28"/>
          <w:highlight w:val="none"/>
        </w:rPr>
        <w:t>投标保证金退还说明</w:t>
      </w:r>
    </w:p>
    <w:p w14:paraId="7655C537">
      <w:pPr>
        <w:jc w:val="center"/>
        <w:rPr>
          <w:rFonts w:hint="eastAsia" w:ascii="宋体" w:hAnsi="宋体" w:cs="宋体"/>
          <w:highlight w:val="none"/>
        </w:rPr>
      </w:pPr>
      <w:r>
        <w:rPr>
          <w:rFonts w:hint="eastAsia"/>
          <w:b/>
          <w:bCs/>
          <w:sz w:val="28"/>
          <w:szCs w:val="28"/>
          <w:highlight w:val="none"/>
        </w:rPr>
        <w:t>投标保证金退还说明</w:t>
      </w:r>
    </w:p>
    <w:p w14:paraId="29D8B2AE">
      <w:pPr>
        <w:adjustRightInd w:val="0"/>
        <w:snapToGrid w:val="0"/>
        <w:spacing w:line="360" w:lineRule="auto"/>
        <w:ind w:firstLine="420" w:firstLineChars="200"/>
        <w:jc w:val="left"/>
        <w:rPr>
          <w:rFonts w:hint="eastAsia" w:ascii="宋体" w:hAnsi="宋体" w:cs="宋体"/>
          <w:szCs w:val="21"/>
          <w:highlight w:val="none"/>
        </w:rPr>
      </w:pPr>
      <w:r>
        <w:rPr>
          <w:rFonts w:hint="eastAsia" w:ascii="宋体" w:hAnsi="宋体" w:cs="宋体"/>
          <w:szCs w:val="21"/>
          <w:highlight w:val="none"/>
        </w:rPr>
        <w:t>致：</w:t>
      </w:r>
    </w:p>
    <w:p w14:paraId="4411028A">
      <w:pPr>
        <w:adjustRightInd w:val="0"/>
        <w:snapToGrid w:val="0"/>
        <w:spacing w:line="360" w:lineRule="auto"/>
        <w:ind w:left="420" w:leftChars="200" w:firstLine="399" w:firstLineChars="190"/>
        <w:jc w:val="left"/>
        <w:rPr>
          <w:rFonts w:hint="eastAsia" w:ascii="宋体" w:hAnsi="宋体" w:cs="宋体"/>
          <w:szCs w:val="21"/>
          <w:highlight w:val="none"/>
        </w:rPr>
      </w:pPr>
      <w:r>
        <w:rPr>
          <w:rFonts w:hint="eastAsia" w:ascii="宋体" w:hAnsi="宋体" w:cs="宋体"/>
          <w:szCs w:val="21"/>
          <w:highlight w:val="none"/>
        </w:rPr>
        <w:t>我公司参与《</w:t>
      </w:r>
      <w:r>
        <w:rPr>
          <w:rFonts w:hint="eastAsia" w:ascii="宋体" w:hAnsi="宋体" w:cs="宋体"/>
          <w:szCs w:val="21"/>
          <w:highlight w:val="none"/>
          <w:u w:val="single"/>
        </w:rPr>
        <w:t xml:space="preserve">         项目名称       </w:t>
      </w:r>
      <w:r>
        <w:rPr>
          <w:rFonts w:hint="eastAsia" w:ascii="宋体" w:hAnsi="宋体" w:cs="宋体"/>
          <w:szCs w:val="21"/>
          <w:highlight w:val="none"/>
        </w:rPr>
        <w:t>（项目编号：</w:t>
      </w:r>
      <w:r>
        <w:rPr>
          <w:rFonts w:hint="eastAsia" w:ascii="宋体" w:hAnsi="宋体" w:cs="宋体"/>
          <w:szCs w:val="21"/>
          <w:highlight w:val="none"/>
          <w:u w:val="single"/>
        </w:rPr>
        <w:t xml:space="preserve">          </w:t>
      </w:r>
      <w:r>
        <w:rPr>
          <w:rFonts w:hint="eastAsia" w:ascii="宋体" w:hAnsi="宋体" w:cs="宋体"/>
          <w:szCs w:val="21"/>
          <w:highlight w:val="none"/>
        </w:rPr>
        <w:t>）》的投标，请贵单位按照有关规定将我公司投标保证金（</w:t>
      </w:r>
      <w:r>
        <w:rPr>
          <w:rFonts w:hint="eastAsia" w:ascii="宋体" w:hAnsi="宋体" w:cs="宋体"/>
          <w:szCs w:val="21"/>
          <w:highlight w:val="none"/>
          <w:u w:val="single"/>
        </w:rPr>
        <w:t xml:space="preserve">          元</w:t>
      </w:r>
      <w:r>
        <w:rPr>
          <w:rFonts w:hint="eastAsia" w:ascii="宋体" w:hAnsi="宋体" w:cs="宋体"/>
          <w:szCs w:val="21"/>
          <w:highlight w:val="none"/>
        </w:rPr>
        <w:t>）退还，具体账户信息如下：</w:t>
      </w:r>
    </w:p>
    <w:p w14:paraId="695CAB80">
      <w:pPr>
        <w:adjustRightInd w:val="0"/>
        <w:snapToGrid w:val="0"/>
        <w:spacing w:line="360" w:lineRule="auto"/>
        <w:ind w:firstLine="819" w:firstLineChars="390"/>
        <w:jc w:val="left"/>
        <w:rPr>
          <w:rFonts w:hint="eastAsia" w:ascii="宋体" w:hAnsi="宋体" w:cs="宋体"/>
          <w:szCs w:val="21"/>
          <w:highlight w:val="none"/>
        </w:rPr>
      </w:pPr>
      <w:r>
        <w:rPr>
          <w:rFonts w:hint="eastAsia" w:ascii="宋体" w:hAnsi="宋体" w:cs="宋体"/>
          <w:szCs w:val="21"/>
          <w:highlight w:val="none"/>
        </w:rPr>
        <w:t>收款单位：</w:t>
      </w:r>
      <w:r>
        <w:rPr>
          <w:rFonts w:hint="eastAsia" w:ascii="宋体" w:hAnsi="宋体" w:cs="宋体"/>
          <w:szCs w:val="21"/>
          <w:highlight w:val="none"/>
          <w:u w:val="single"/>
        </w:rPr>
        <w:t xml:space="preserve">                    </w:t>
      </w:r>
      <w:r>
        <w:rPr>
          <w:rFonts w:hint="eastAsia" w:ascii="宋体" w:hAnsi="宋体" w:cs="宋体"/>
          <w:szCs w:val="21"/>
          <w:highlight w:val="none"/>
        </w:rPr>
        <w:t>（公司名称）</w:t>
      </w:r>
    </w:p>
    <w:p w14:paraId="4507C156">
      <w:pPr>
        <w:adjustRightInd w:val="0"/>
        <w:snapToGrid w:val="0"/>
        <w:spacing w:line="360" w:lineRule="auto"/>
        <w:ind w:firstLine="819" w:firstLineChars="390"/>
        <w:jc w:val="left"/>
        <w:rPr>
          <w:rFonts w:hint="eastAsia" w:ascii="宋体" w:hAnsi="宋体" w:cs="宋体"/>
          <w:szCs w:val="21"/>
          <w:highlight w:val="none"/>
        </w:rPr>
      </w:pPr>
      <w:r>
        <w:rPr>
          <w:rFonts w:hint="eastAsia" w:ascii="宋体" w:hAnsi="宋体" w:cs="宋体"/>
          <w:szCs w:val="21"/>
          <w:highlight w:val="none"/>
        </w:rPr>
        <w:t>开户银行：</w:t>
      </w:r>
      <w:r>
        <w:rPr>
          <w:rFonts w:hint="eastAsia" w:ascii="宋体" w:hAnsi="宋体" w:cs="宋体"/>
          <w:szCs w:val="21"/>
          <w:highlight w:val="none"/>
          <w:u w:val="single"/>
        </w:rPr>
        <w:t xml:space="preserve">                    </w:t>
      </w:r>
    </w:p>
    <w:p w14:paraId="0C7ED675">
      <w:pPr>
        <w:adjustRightInd w:val="0"/>
        <w:snapToGrid w:val="0"/>
        <w:spacing w:line="360" w:lineRule="auto"/>
        <w:ind w:firstLine="819" w:firstLineChars="390"/>
        <w:jc w:val="left"/>
        <w:rPr>
          <w:rFonts w:hint="eastAsia" w:ascii="宋体" w:hAnsi="宋体" w:cs="宋体"/>
          <w:szCs w:val="21"/>
          <w:highlight w:val="none"/>
        </w:rPr>
      </w:pPr>
      <w:r>
        <w:rPr>
          <w:rFonts w:hint="eastAsia" w:ascii="宋体" w:hAnsi="宋体" w:cs="宋体"/>
          <w:szCs w:val="21"/>
          <w:highlight w:val="none"/>
        </w:rPr>
        <w:t>账　　号：</w:t>
      </w:r>
      <w:r>
        <w:rPr>
          <w:rFonts w:hint="eastAsia" w:ascii="宋体" w:hAnsi="宋体" w:cs="宋体"/>
          <w:szCs w:val="21"/>
          <w:highlight w:val="none"/>
          <w:u w:val="single"/>
        </w:rPr>
        <w:t xml:space="preserve">                    </w:t>
      </w:r>
    </w:p>
    <w:p w14:paraId="6F8DDACB">
      <w:pPr>
        <w:adjustRightInd w:val="0"/>
        <w:snapToGrid w:val="0"/>
        <w:spacing w:line="360" w:lineRule="auto"/>
        <w:ind w:firstLine="819" w:firstLineChars="390"/>
        <w:jc w:val="left"/>
        <w:rPr>
          <w:rFonts w:hint="eastAsia" w:ascii="宋体" w:hAnsi="宋体" w:cs="宋体"/>
          <w:szCs w:val="21"/>
          <w:highlight w:val="none"/>
        </w:rPr>
      </w:pPr>
      <w:r>
        <w:rPr>
          <w:rFonts w:hint="eastAsia" w:ascii="宋体" w:hAnsi="宋体" w:cs="宋体"/>
          <w:szCs w:val="21"/>
          <w:highlight w:val="none"/>
        </w:rPr>
        <w:t>备　　注：</w:t>
      </w:r>
      <w:r>
        <w:rPr>
          <w:rFonts w:hint="eastAsia" w:ascii="宋体" w:hAnsi="宋体" w:cs="宋体"/>
          <w:szCs w:val="21"/>
          <w:highlight w:val="none"/>
          <w:u w:val="single"/>
        </w:rPr>
        <w:t xml:space="preserve">                    </w:t>
      </w:r>
      <w:r>
        <w:rPr>
          <w:rFonts w:hint="eastAsia" w:ascii="宋体" w:hAnsi="宋体" w:cs="宋体"/>
          <w:szCs w:val="21"/>
          <w:highlight w:val="none"/>
        </w:rPr>
        <w:t>（项目编号）</w:t>
      </w:r>
    </w:p>
    <w:p w14:paraId="71AA3638">
      <w:pPr>
        <w:adjustRightInd w:val="0"/>
        <w:snapToGrid w:val="0"/>
        <w:spacing w:line="360" w:lineRule="auto"/>
        <w:ind w:firstLine="819" w:firstLineChars="390"/>
        <w:jc w:val="left"/>
        <w:rPr>
          <w:rFonts w:hint="eastAsia" w:ascii="宋体" w:hAnsi="宋体" w:cs="宋体"/>
          <w:szCs w:val="21"/>
          <w:highlight w:val="none"/>
          <w:u w:val="single"/>
        </w:rPr>
      </w:pPr>
      <w:r>
        <w:rPr>
          <w:rFonts w:hint="eastAsia" w:ascii="宋体" w:hAnsi="宋体" w:cs="宋体"/>
          <w:szCs w:val="21"/>
          <w:highlight w:val="none"/>
        </w:rPr>
        <w:t>财务联系电话：</w:t>
      </w:r>
      <w:r>
        <w:rPr>
          <w:rFonts w:hint="eastAsia" w:ascii="宋体" w:hAnsi="宋体" w:cs="宋体"/>
          <w:szCs w:val="21"/>
          <w:highlight w:val="none"/>
          <w:u w:val="single"/>
        </w:rPr>
        <w:t xml:space="preserve">                </w:t>
      </w:r>
    </w:p>
    <w:p w14:paraId="4118A066">
      <w:pPr>
        <w:adjustRightInd w:val="0"/>
        <w:snapToGrid w:val="0"/>
        <w:spacing w:line="360" w:lineRule="auto"/>
        <w:ind w:firstLine="405"/>
        <w:jc w:val="left"/>
        <w:rPr>
          <w:rFonts w:hint="eastAsia" w:ascii="宋体" w:hAnsi="宋体" w:cs="宋体"/>
          <w:szCs w:val="21"/>
          <w:highlight w:val="none"/>
          <w:u w:val="single"/>
        </w:rPr>
      </w:pPr>
    </w:p>
    <w:p w14:paraId="2DE57C37">
      <w:pPr>
        <w:adjustRightInd w:val="0"/>
        <w:snapToGrid w:val="0"/>
        <w:spacing w:line="360" w:lineRule="auto"/>
        <w:ind w:firstLine="819" w:firstLineChars="390"/>
        <w:jc w:val="left"/>
        <w:rPr>
          <w:rFonts w:hint="eastAsia" w:ascii="宋体" w:hAnsi="宋体" w:cs="宋体"/>
          <w:szCs w:val="21"/>
          <w:highlight w:val="none"/>
        </w:rPr>
      </w:pPr>
      <w:r>
        <w:rPr>
          <w:rFonts w:hint="eastAsia" w:ascii="宋体" w:hAnsi="宋体" w:cs="宋体"/>
          <w:szCs w:val="21"/>
          <w:highlight w:val="none"/>
        </w:rPr>
        <w:t>特此说明！</w:t>
      </w:r>
    </w:p>
    <w:p w14:paraId="3BFF32F8">
      <w:pPr>
        <w:adjustRightInd w:val="0"/>
        <w:snapToGrid w:val="0"/>
        <w:spacing w:line="360" w:lineRule="auto"/>
        <w:rPr>
          <w:rFonts w:hint="eastAsia" w:ascii="宋体" w:hAnsi="宋体" w:cs="宋体"/>
          <w:szCs w:val="21"/>
          <w:highlight w:val="none"/>
        </w:rPr>
      </w:pPr>
    </w:p>
    <w:p w14:paraId="1088B6EA">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供应商名称：</w:t>
      </w:r>
      <w:r>
        <w:rPr>
          <w:rFonts w:hint="eastAsia" w:ascii="宋体" w:hAnsi="宋体" w:cs="宋体"/>
          <w:szCs w:val="21"/>
          <w:highlight w:val="none"/>
          <w:u w:val="single"/>
        </w:rPr>
        <w:t xml:space="preserve">                                      </w:t>
      </w:r>
      <w:r>
        <w:rPr>
          <w:rFonts w:hint="eastAsia" w:ascii="宋体" w:hAnsi="宋体" w:cs="宋体"/>
          <w:szCs w:val="21"/>
          <w:highlight w:val="none"/>
        </w:rPr>
        <w:t>（公章）</w:t>
      </w:r>
    </w:p>
    <w:p w14:paraId="42A05312">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法定代表人签名（或被授权委托人）：</w:t>
      </w:r>
      <w:r>
        <w:rPr>
          <w:rFonts w:hint="eastAsia" w:ascii="宋体" w:hAnsi="宋体" w:cs="宋体"/>
          <w:szCs w:val="21"/>
          <w:highlight w:val="none"/>
          <w:u w:val="single"/>
        </w:rPr>
        <w:t xml:space="preserve">           </w:t>
      </w:r>
    </w:p>
    <w:p w14:paraId="1B93EF88">
      <w:pPr>
        <w:adjustRightInd w:val="0"/>
        <w:snapToGrid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日期：</w:t>
      </w:r>
      <w:r>
        <w:rPr>
          <w:rFonts w:hint="eastAsia" w:ascii="宋体" w:hAnsi="宋体" w:cs="宋体"/>
          <w:szCs w:val="21"/>
          <w:highlight w:val="none"/>
          <w:lang w:eastAsia="zh-CN"/>
        </w:rPr>
        <w:t>2025年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6E0DBFD2">
      <w:pPr>
        <w:pStyle w:val="7"/>
        <w:rPr>
          <w:rFonts w:hint="eastAsia" w:ascii="宋体" w:hAnsi="宋体" w:cs="宋体"/>
          <w:szCs w:val="21"/>
          <w:highlight w:val="none"/>
        </w:rPr>
      </w:pPr>
    </w:p>
    <w:p w14:paraId="0F4DF831">
      <w:pPr>
        <w:pStyle w:val="4"/>
        <w:ind w:firstLine="562"/>
        <w:jc w:val="center"/>
        <w:rPr>
          <w:b/>
          <w:bCs/>
          <w:sz w:val="28"/>
          <w:szCs w:val="28"/>
          <w:highlight w:val="none"/>
        </w:rPr>
      </w:pPr>
    </w:p>
    <w:p w14:paraId="51C0100A">
      <w:pPr>
        <w:pStyle w:val="4"/>
        <w:ind w:firstLine="562"/>
        <w:jc w:val="center"/>
        <w:rPr>
          <w:b/>
          <w:bCs/>
          <w:sz w:val="28"/>
          <w:szCs w:val="28"/>
          <w:highlight w:val="none"/>
        </w:rPr>
      </w:pPr>
    </w:p>
    <w:p w14:paraId="63C9B1F1">
      <w:pPr>
        <w:rPr>
          <w:b/>
          <w:bCs/>
          <w:sz w:val="28"/>
          <w:szCs w:val="28"/>
          <w:highlight w:val="none"/>
        </w:rPr>
      </w:pPr>
    </w:p>
    <w:p w14:paraId="2C103B3F">
      <w:pPr>
        <w:rPr>
          <w:b/>
          <w:bCs/>
          <w:sz w:val="28"/>
          <w:szCs w:val="28"/>
          <w:highlight w:val="none"/>
        </w:rPr>
      </w:pPr>
    </w:p>
    <w:p w14:paraId="61B75736">
      <w:pPr>
        <w:rPr>
          <w:b/>
          <w:bCs/>
          <w:sz w:val="28"/>
          <w:szCs w:val="28"/>
          <w:highlight w:val="none"/>
        </w:rPr>
      </w:pPr>
    </w:p>
    <w:p w14:paraId="46F7AD51">
      <w:pPr>
        <w:rPr>
          <w:b/>
          <w:bCs/>
          <w:sz w:val="28"/>
          <w:szCs w:val="28"/>
          <w:highlight w:val="none"/>
        </w:rPr>
      </w:pPr>
    </w:p>
    <w:p w14:paraId="1C9E1C46">
      <w:pPr>
        <w:rPr>
          <w:rFonts w:hint="eastAsia"/>
          <w:b/>
          <w:bCs/>
          <w:sz w:val="28"/>
          <w:szCs w:val="28"/>
          <w:highlight w:val="none"/>
        </w:rPr>
      </w:pPr>
      <w:r>
        <w:rPr>
          <w:rFonts w:hint="eastAsia"/>
          <w:b/>
          <w:bCs/>
          <w:sz w:val="28"/>
          <w:szCs w:val="28"/>
          <w:highlight w:val="none"/>
        </w:rPr>
        <w:br w:type="page"/>
      </w:r>
    </w:p>
    <w:p w14:paraId="49C653C2">
      <w:pPr>
        <w:pStyle w:val="4"/>
        <w:ind w:firstLine="562"/>
        <w:jc w:val="center"/>
        <w:rPr>
          <w:rFonts w:hint="eastAsia"/>
          <w:b/>
          <w:bCs/>
          <w:sz w:val="28"/>
          <w:szCs w:val="28"/>
          <w:highlight w:val="none"/>
        </w:rPr>
      </w:pPr>
      <w:r>
        <w:rPr>
          <w:rFonts w:hint="eastAsia"/>
          <w:b/>
          <w:bCs/>
          <w:sz w:val="28"/>
          <w:szCs w:val="28"/>
          <w:highlight w:val="none"/>
        </w:rPr>
        <w:t>附件</w:t>
      </w:r>
      <w:r>
        <w:rPr>
          <w:rFonts w:hint="eastAsia"/>
          <w:b/>
          <w:bCs/>
          <w:sz w:val="28"/>
          <w:szCs w:val="28"/>
          <w:highlight w:val="none"/>
          <w:lang w:val="en-US"/>
        </w:rPr>
        <w:t>1</w:t>
      </w:r>
      <w:r>
        <w:rPr>
          <w:rFonts w:hint="eastAsia"/>
          <w:b/>
          <w:bCs/>
          <w:sz w:val="28"/>
          <w:szCs w:val="28"/>
          <w:highlight w:val="none"/>
          <w:lang w:val="en-US" w:eastAsia="zh-CN"/>
        </w:rPr>
        <w:t>2</w:t>
      </w:r>
      <w:r>
        <w:rPr>
          <w:rFonts w:hint="eastAsia"/>
          <w:b/>
          <w:bCs/>
          <w:sz w:val="28"/>
          <w:szCs w:val="28"/>
          <w:highlight w:val="none"/>
          <w:lang w:val="en-US"/>
        </w:rPr>
        <w:t>、</w:t>
      </w:r>
      <w:r>
        <w:rPr>
          <w:rFonts w:hint="eastAsia"/>
          <w:b/>
          <w:bCs/>
          <w:sz w:val="28"/>
          <w:szCs w:val="28"/>
          <w:highlight w:val="none"/>
        </w:rPr>
        <w:t>投标单位（供应商）《遵守政府采购相关法律法规承诺书》</w:t>
      </w:r>
    </w:p>
    <w:p w14:paraId="2FA39ED9">
      <w:pPr>
        <w:rPr>
          <w:rFonts w:hint="eastAsia"/>
          <w:highlight w:val="none"/>
        </w:rPr>
      </w:pPr>
    </w:p>
    <w:p w14:paraId="5D0A41F6">
      <w:pPr>
        <w:spacing w:line="360" w:lineRule="auto"/>
        <w:jc w:val="center"/>
        <w:rPr>
          <w:rFonts w:hint="eastAsia"/>
          <w:highlight w:val="none"/>
        </w:rPr>
      </w:pPr>
      <w:r>
        <w:rPr>
          <w:rFonts w:hint="eastAsia"/>
          <w:b/>
          <w:bCs/>
          <w:sz w:val="28"/>
          <w:szCs w:val="28"/>
          <w:highlight w:val="none"/>
        </w:rPr>
        <w:t>投标单位（供应商）《遵守政府采购相关法律法规承诺书》</w:t>
      </w:r>
    </w:p>
    <w:p w14:paraId="4A3BBB42">
      <w:pPr>
        <w:adjustRightInd w:val="0"/>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我公司承诺在（项目编号、项目名称）采购活动中，严格遵守政府采购相关法律法规，遵循公平竞争的原则，不存在恶意串通的行为，不存在妨碍其他投标人的竞争行为，不存在损害采购人或者其他投标人的合法权益的行为。</w:t>
      </w:r>
    </w:p>
    <w:p w14:paraId="0F964BB6">
      <w:pPr>
        <w:adjustRightInd w:val="0"/>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如发生违反政府采购相关法律法规行为，我公司及项目参与人员自愿放弃本次项目的投标、报价资格，并承担相关法律责任。</w:t>
      </w:r>
    </w:p>
    <w:p w14:paraId="048EC5A6">
      <w:pPr>
        <w:adjustRightInd w:val="0"/>
        <w:snapToGrid w:val="0"/>
        <w:spacing w:line="360" w:lineRule="auto"/>
        <w:ind w:firstLine="480" w:firstLineChars="200"/>
        <w:rPr>
          <w:rFonts w:hint="eastAsia" w:ascii="宋体" w:hAnsi="宋体" w:cs="宋体"/>
          <w:sz w:val="24"/>
          <w:highlight w:val="none"/>
        </w:rPr>
      </w:pPr>
    </w:p>
    <w:p w14:paraId="6DC8437E">
      <w:pPr>
        <w:pStyle w:val="14"/>
        <w:pBdr>
          <w:top w:val="none" w:color="auto" w:sz="0" w:space="0"/>
          <w:left w:val="none" w:color="auto" w:sz="0" w:space="0"/>
          <w:bottom w:val="none" w:color="auto" w:sz="0" w:space="0"/>
          <w:right w:val="none" w:color="auto" w:sz="0" w:space="0"/>
          <w:between w:val="none" w:color="auto" w:sz="0" w:space="0"/>
        </w:pBdr>
        <w:ind w:firstLine="480" w:firstLineChars="200"/>
        <w:jc w:val="left"/>
        <w:rPr>
          <w:rFonts w:hint="eastAsia" w:ascii="宋体" w:hAnsi="宋体" w:cs="宋体"/>
          <w:sz w:val="24"/>
          <w:highlight w:val="none"/>
        </w:rPr>
      </w:pPr>
      <w:r>
        <w:rPr>
          <w:rFonts w:hint="eastAsia" w:ascii="宋体" w:hAnsi="宋体" w:cs="宋体"/>
          <w:sz w:val="24"/>
          <w:highlight w:val="none"/>
        </w:rPr>
        <w:t>投标单位（盖公章）：</w:t>
      </w:r>
    </w:p>
    <w:p w14:paraId="511FF7DC">
      <w:pPr>
        <w:pStyle w:val="14"/>
        <w:pBdr>
          <w:top w:val="none" w:color="auto" w:sz="0" w:space="0"/>
          <w:left w:val="none" w:color="auto" w:sz="0" w:space="0"/>
          <w:bottom w:val="none" w:color="auto" w:sz="0" w:space="0"/>
          <w:right w:val="none" w:color="auto" w:sz="0" w:space="0"/>
          <w:between w:val="none" w:color="auto" w:sz="0" w:space="0"/>
        </w:pBdr>
        <w:ind w:firstLine="480" w:firstLineChars="200"/>
        <w:jc w:val="left"/>
        <w:rPr>
          <w:rFonts w:hint="eastAsia" w:ascii="宋体" w:hAnsi="宋体" w:cs="宋体"/>
          <w:sz w:val="24"/>
          <w:highlight w:val="none"/>
        </w:rPr>
      </w:pPr>
    </w:p>
    <w:p w14:paraId="17AEF9D8">
      <w:pPr>
        <w:pStyle w:val="14"/>
        <w:pBdr>
          <w:top w:val="none" w:color="auto" w:sz="0" w:space="0"/>
          <w:left w:val="none" w:color="auto" w:sz="0" w:space="0"/>
          <w:bottom w:val="none" w:color="auto" w:sz="0" w:space="0"/>
          <w:right w:val="none" w:color="auto" w:sz="0" w:space="0"/>
          <w:between w:val="none" w:color="auto" w:sz="0" w:space="0"/>
        </w:pBdr>
        <w:ind w:firstLine="480" w:firstLineChars="200"/>
        <w:jc w:val="left"/>
        <w:rPr>
          <w:rFonts w:hint="eastAsia" w:ascii="宋体" w:hAnsi="宋体" w:cs="宋体"/>
          <w:sz w:val="24"/>
          <w:highlight w:val="none"/>
        </w:rPr>
      </w:pPr>
      <w:r>
        <w:rPr>
          <w:rFonts w:hint="eastAsia" w:ascii="宋体" w:hAnsi="宋体" w:cs="宋体"/>
          <w:sz w:val="24"/>
          <w:highlight w:val="none"/>
        </w:rPr>
        <w:t>投标单位法人代表或授权代表签字：</w:t>
      </w:r>
    </w:p>
    <w:p w14:paraId="5E665508">
      <w:pPr>
        <w:pStyle w:val="14"/>
        <w:pBdr>
          <w:top w:val="none" w:color="auto" w:sz="0" w:space="0"/>
          <w:left w:val="none" w:color="auto" w:sz="0" w:space="0"/>
          <w:bottom w:val="none" w:color="auto" w:sz="0" w:space="0"/>
          <w:right w:val="none" w:color="auto" w:sz="0" w:space="0"/>
          <w:between w:val="none" w:color="auto" w:sz="0" w:space="0"/>
        </w:pBdr>
        <w:ind w:firstLine="480" w:firstLineChars="200"/>
        <w:jc w:val="left"/>
        <w:rPr>
          <w:rFonts w:hint="eastAsia" w:ascii="宋体" w:hAnsi="宋体" w:cs="宋体"/>
          <w:sz w:val="24"/>
          <w:highlight w:val="none"/>
        </w:rPr>
      </w:pPr>
    </w:p>
    <w:p w14:paraId="2914E2AC">
      <w:pPr>
        <w:pStyle w:val="14"/>
        <w:pBdr>
          <w:top w:val="none" w:color="auto" w:sz="0" w:space="0"/>
          <w:left w:val="none" w:color="auto" w:sz="0" w:space="0"/>
          <w:bottom w:val="none" w:color="auto" w:sz="0" w:space="0"/>
          <w:right w:val="none" w:color="auto" w:sz="0" w:space="0"/>
          <w:between w:val="none" w:color="auto" w:sz="0" w:space="0"/>
        </w:pBdr>
        <w:ind w:firstLine="480" w:firstLineChars="200"/>
        <w:jc w:val="left"/>
        <w:rPr>
          <w:highlight w:val="none"/>
        </w:rPr>
      </w:pPr>
      <w:r>
        <w:rPr>
          <w:rFonts w:hint="eastAsia" w:ascii="宋体" w:hAnsi="宋体" w:cs="宋体"/>
          <w:sz w:val="24"/>
          <w:highlight w:val="none"/>
          <w:lang w:eastAsia="zh-CN"/>
        </w:rPr>
        <w:t>2025年</w:t>
      </w:r>
      <w:r>
        <w:rPr>
          <w:rFonts w:hint="eastAsia" w:ascii="宋体" w:hAnsi="宋体" w:cs="宋体"/>
          <w:sz w:val="24"/>
          <w:highlight w:val="none"/>
        </w:rPr>
        <w:t>xx月xx日</w:t>
      </w:r>
    </w:p>
    <w:p w14:paraId="6D7BB043">
      <w:pPr>
        <w:pBdr>
          <w:top w:val="none" w:color="auto" w:sz="0" w:space="0"/>
          <w:left w:val="none" w:color="auto" w:sz="0" w:space="0"/>
          <w:bottom w:val="none" w:color="auto" w:sz="0" w:space="0"/>
          <w:right w:val="none" w:color="auto" w:sz="0" w:space="0"/>
          <w:between w:val="none" w:color="auto" w:sz="0" w:space="0"/>
        </w:pBdr>
        <w:adjustRightInd w:val="0"/>
        <w:snapToGrid w:val="0"/>
        <w:spacing w:line="360" w:lineRule="auto"/>
        <w:rPr>
          <w:rFonts w:hint="eastAsia" w:ascii="宋体" w:hAnsi="宋体" w:cs="宋体"/>
          <w:highlight w:val="none"/>
        </w:rPr>
      </w:pPr>
    </w:p>
    <w:p w14:paraId="52B98B50">
      <w:pPr>
        <w:pStyle w:val="14"/>
        <w:pBdr>
          <w:top w:val="none" w:color="auto" w:sz="0" w:space="0"/>
          <w:left w:val="none" w:color="auto" w:sz="0" w:space="0"/>
          <w:bottom w:val="none" w:color="auto" w:sz="0" w:space="0"/>
          <w:right w:val="none" w:color="auto" w:sz="0" w:space="0"/>
          <w:between w:val="none" w:color="auto" w:sz="0" w:space="0"/>
        </w:pBdr>
        <w:rPr>
          <w:rFonts w:ascii="宋体" w:hAnsi="宋体" w:cs="宋体"/>
          <w:b/>
          <w:sz w:val="24"/>
          <w:highlight w:val="none"/>
        </w:rPr>
      </w:pPr>
    </w:p>
    <w:p w14:paraId="023EFEF4">
      <w:pPr>
        <w:pStyle w:val="14"/>
        <w:pBdr>
          <w:top w:val="none" w:color="auto" w:sz="0" w:space="0"/>
          <w:left w:val="none" w:color="auto" w:sz="0" w:space="0"/>
          <w:bottom w:val="none" w:color="auto" w:sz="0" w:space="1"/>
          <w:right w:val="none" w:color="auto" w:sz="0" w:space="0"/>
          <w:between w:val="none" w:color="auto" w:sz="0" w:space="0"/>
        </w:pBdr>
        <w:rPr>
          <w:rFonts w:hint="eastAsia" w:ascii="宋体" w:hAnsi="宋体" w:cs="宋体"/>
          <w:b/>
          <w:sz w:val="24"/>
          <w:highlight w:val="none"/>
        </w:rPr>
      </w:pPr>
    </w:p>
    <w:p w14:paraId="03843D40">
      <w:pPr>
        <w:pStyle w:val="14"/>
        <w:pBdr>
          <w:top w:val="none" w:color="auto" w:sz="0" w:space="0"/>
          <w:left w:val="none" w:color="auto" w:sz="0" w:space="0"/>
          <w:bottom w:val="none" w:color="auto" w:sz="0" w:space="1"/>
          <w:right w:val="none" w:color="auto" w:sz="0" w:space="0"/>
          <w:between w:val="none" w:color="auto" w:sz="0" w:space="0"/>
        </w:pBdr>
        <w:rPr>
          <w:rFonts w:hint="eastAsia" w:ascii="宋体" w:hAnsi="宋体" w:cs="宋体"/>
          <w:b/>
          <w:sz w:val="24"/>
          <w:highlight w:val="none"/>
        </w:rPr>
      </w:pPr>
    </w:p>
    <w:p w14:paraId="2DBCC0E7">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2179EF7B">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5A51F33B">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3B22B550">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6687799F">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62BE4E67">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6637FEE2">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7B71A8FA">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2536D8D3">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6473177E">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716D4442">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0507F2EE">
      <w:pPr>
        <w:pStyle w:val="14"/>
        <w:pBdr>
          <w:top w:val="none" w:color="auto" w:sz="0" w:space="0"/>
          <w:left w:val="none" w:color="auto" w:sz="0" w:space="0"/>
          <w:bottom w:val="none" w:color="auto" w:sz="0" w:space="1"/>
          <w:right w:val="none" w:color="auto" w:sz="0" w:space="0"/>
          <w:between w:val="none" w:color="auto" w:sz="0" w:space="0"/>
        </w:pBdr>
        <w:jc w:val="both"/>
        <w:rPr>
          <w:rFonts w:hint="eastAsia" w:ascii="宋体" w:hAnsi="宋体" w:cs="宋体"/>
          <w:b/>
          <w:sz w:val="24"/>
          <w:highlight w:val="none"/>
        </w:rPr>
      </w:pPr>
    </w:p>
    <w:p w14:paraId="709F41B4">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3946D4B0">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16B3B93E">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7572BD04">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2C70199F">
      <w:pPr>
        <w:pStyle w:val="14"/>
        <w:pBdr>
          <w:top w:val="none" w:color="auto" w:sz="0" w:space="0"/>
          <w:left w:val="none" w:color="auto" w:sz="0" w:space="0"/>
          <w:bottom w:val="none" w:color="auto" w:sz="0" w:space="1"/>
          <w:right w:val="none" w:color="auto" w:sz="0" w:space="0"/>
          <w:between w:val="none" w:color="auto" w:sz="0" w:space="0"/>
        </w:pBdr>
        <w:jc w:val="both"/>
        <w:rPr>
          <w:rFonts w:ascii="宋体" w:hAnsi="宋体" w:cs="宋体"/>
          <w:b/>
          <w:sz w:val="24"/>
          <w:highlight w:val="none"/>
        </w:rPr>
      </w:pPr>
    </w:p>
    <w:p w14:paraId="586474E8">
      <w:pPr>
        <w:pBdr>
          <w:top w:val="none" w:color="auto" w:sz="0" w:space="0"/>
          <w:left w:val="none" w:color="auto" w:sz="0" w:space="0"/>
          <w:bottom w:val="none" w:color="auto" w:sz="0" w:space="0"/>
          <w:right w:val="none" w:color="auto" w:sz="0" w:space="0"/>
          <w:between w:val="none" w:color="auto" w:sz="0" w:space="0"/>
        </w:pBdr>
        <w:spacing w:before="55"/>
        <w:ind w:right="2656"/>
        <w:jc w:val="center"/>
        <w:outlineLvl w:val="1"/>
        <w:rPr>
          <w:rFonts w:hint="eastAsia"/>
          <w:b/>
          <w:bCs/>
          <w:sz w:val="28"/>
          <w:szCs w:val="28"/>
          <w:highlight w:val="none"/>
        </w:rPr>
      </w:pPr>
      <w:r>
        <w:rPr>
          <w:rFonts w:hint="eastAsia"/>
          <w:b/>
          <w:bCs/>
          <w:sz w:val="28"/>
          <w:szCs w:val="28"/>
          <w:highlight w:val="none"/>
        </w:rPr>
        <w:t xml:space="preserve">   </w:t>
      </w:r>
    </w:p>
    <w:p w14:paraId="68CE5F94">
      <w:pPr>
        <w:pBdr>
          <w:top w:val="none" w:color="auto" w:sz="0" w:space="0"/>
          <w:left w:val="none" w:color="auto" w:sz="0" w:space="0"/>
          <w:bottom w:val="none" w:color="auto" w:sz="0" w:space="0"/>
          <w:right w:val="none" w:color="auto" w:sz="0" w:space="0"/>
          <w:between w:val="none" w:color="auto" w:sz="0" w:space="0"/>
        </w:pBdr>
        <w:spacing w:before="55"/>
        <w:ind w:right="2656"/>
        <w:jc w:val="center"/>
        <w:outlineLvl w:val="1"/>
        <w:rPr>
          <w:rFonts w:hint="eastAsia"/>
          <w:b/>
          <w:bCs/>
          <w:sz w:val="28"/>
          <w:szCs w:val="28"/>
          <w:highlight w:val="none"/>
        </w:rPr>
      </w:pPr>
    </w:p>
    <w:p w14:paraId="095FBB27">
      <w:pPr>
        <w:spacing w:before="55"/>
        <w:ind w:right="2656"/>
        <w:jc w:val="center"/>
        <w:outlineLvl w:val="1"/>
        <w:rPr>
          <w:rFonts w:hint="eastAsia"/>
          <w:b/>
          <w:bCs/>
          <w:sz w:val="28"/>
          <w:szCs w:val="28"/>
          <w:highlight w:val="none"/>
          <w:lang w:val="zh-CN"/>
        </w:rPr>
      </w:pPr>
    </w:p>
    <w:p w14:paraId="45C731AC">
      <w:pPr>
        <w:spacing w:before="55"/>
        <w:ind w:right="2656"/>
        <w:jc w:val="center"/>
        <w:outlineLvl w:val="1"/>
        <w:rPr>
          <w:rFonts w:hint="eastAsia" w:ascii="宋体" w:hAnsi="宋体" w:eastAsia="宋体" w:cs="宋体"/>
          <w:b/>
          <w:bCs/>
          <w:sz w:val="28"/>
          <w:szCs w:val="28"/>
          <w:highlight w:val="none"/>
          <w:lang w:eastAsia="zh-CN"/>
        </w:rPr>
      </w:pPr>
      <w:r>
        <w:rPr>
          <w:rFonts w:hint="eastAsia"/>
          <w:b/>
          <w:bCs/>
          <w:sz w:val="28"/>
          <w:szCs w:val="28"/>
          <w:highlight w:val="none"/>
          <w:lang w:val="zh-CN"/>
        </w:rPr>
        <w:t>附件</w:t>
      </w:r>
      <w:r>
        <w:rPr>
          <w:rFonts w:hint="eastAsia"/>
          <w:b/>
          <w:bCs/>
          <w:sz w:val="28"/>
          <w:szCs w:val="28"/>
          <w:highlight w:val="none"/>
          <w:lang w:val="en-US" w:eastAsia="zh-CN"/>
        </w:rPr>
        <w:t>13</w:t>
      </w:r>
      <w:r>
        <w:rPr>
          <w:rFonts w:hint="eastAsia"/>
          <w:b/>
          <w:bCs/>
          <w:sz w:val="28"/>
          <w:szCs w:val="28"/>
          <w:highlight w:val="none"/>
        </w:rPr>
        <w:t>、</w:t>
      </w:r>
      <w:r>
        <w:rPr>
          <w:rFonts w:hint="eastAsia"/>
          <w:b/>
          <w:bCs/>
          <w:sz w:val="28"/>
          <w:szCs w:val="28"/>
          <w:highlight w:val="none"/>
          <w:lang w:eastAsia="zh-CN"/>
        </w:rPr>
        <w:t>中小企业声明函</w:t>
      </w:r>
    </w:p>
    <w:p w14:paraId="2D24B0E5">
      <w:pPr>
        <w:rPr>
          <w:rFonts w:hint="eastAsia"/>
          <w:highlight w:val="none"/>
        </w:rPr>
      </w:pPr>
    </w:p>
    <w:p w14:paraId="24E39C8A">
      <w:pPr>
        <w:keepNext w:val="0"/>
        <w:keepLines w:val="0"/>
        <w:widowControl/>
        <w:suppressLineNumbers w:val="0"/>
        <w:jc w:val="center"/>
        <w:rPr>
          <w:rFonts w:hint="eastAsia" w:ascii="Times New Roman" w:hAnsi="Times New Roman" w:eastAsia="宋体" w:cs="Times New Roman"/>
          <w:b/>
          <w:bCs/>
          <w:sz w:val="28"/>
          <w:szCs w:val="28"/>
          <w:highlight w:val="none"/>
          <w:lang w:val="en-US" w:eastAsia="zh-CN"/>
        </w:rPr>
      </w:pPr>
      <w:r>
        <w:rPr>
          <w:rFonts w:hint="eastAsia" w:ascii="Times New Roman" w:hAnsi="Times New Roman" w:eastAsia="宋体" w:cs="Times New Roman"/>
          <w:b/>
          <w:bCs/>
          <w:sz w:val="28"/>
          <w:szCs w:val="28"/>
          <w:highlight w:val="none"/>
          <w:lang w:val="en-US" w:eastAsia="zh-CN"/>
        </w:rPr>
        <w:t>中小企业声明函（服务）</w:t>
      </w:r>
    </w:p>
    <w:p w14:paraId="12C52CFA">
      <w:pPr>
        <w:pStyle w:val="49"/>
        <w:rPr>
          <w:highlight w:val="none"/>
        </w:rPr>
      </w:pPr>
    </w:p>
    <w:p w14:paraId="1AFEB9D7">
      <w:pPr>
        <w:ind w:firstLine="536" w:firstLineChars="200"/>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本公司（联合体）郑重声明，根据《政府采购促进中小企业发展管理办法》（财库﹝2020﹞46号）的规定，本公司（联合体）参加</w:t>
      </w:r>
      <w:r>
        <w:rPr>
          <w:rFonts w:hint="eastAsia" w:ascii="宋体" w:hAnsi="宋体" w:eastAsia="宋体" w:cs="宋体"/>
          <w:spacing w:val="14"/>
          <w:sz w:val="24"/>
          <w:szCs w:val="32"/>
          <w:highlight w:val="none"/>
          <w:u w:val="single"/>
          <w:lang w:val="en-US" w:eastAsia="zh-CN"/>
        </w:rPr>
        <w:t>（单位名称）</w:t>
      </w:r>
      <w:r>
        <w:rPr>
          <w:rFonts w:hint="eastAsia" w:ascii="宋体" w:hAnsi="宋体" w:eastAsia="宋体" w:cs="宋体"/>
          <w:spacing w:val="14"/>
          <w:sz w:val="24"/>
          <w:szCs w:val="32"/>
          <w:highlight w:val="none"/>
          <w:lang w:val="en-US" w:eastAsia="zh-CN"/>
        </w:rPr>
        <w:t>的</w:t>
      </w:r>
      <w:r>
        <w:rPr>
          <w:rFonts w:hint="eastAsia" w:ascii="宋体" w:hAnsi="宋体" w:eastAsia="宋体" w:cs="宋体"/>
          <w:spacing w:val="14"/>
          <w:sz w:val="24"/>
          <w:szCs w:val="32"/>
          <w:highlight w:val="none"/>
          <w:u w:val="single"/>
          <w:lang w:val="en-US" w:eastAsia="zh-CN"/>
        </w:rPr>
        <w:t>（项目名称）</w:t>
      </w:r>
      <w:r>
        <w:rPr>
          <w:rFonts w:hint="eastAsia" w:ascii="宋体" w:hAnsi="宋体" w:eastAsia="宋体" w:cs="宋体"/>
          <w:spacing w:val="14"/>
          <w:sz w:val="24"/>
          <w:szCs w:val="32"/>
          <w:highlight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12550320">
      <w:pPr>
        <w:ind w:firstLine="536" w:firstLineChars="200"/>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 xml:space="preserve">1. </w:t>
      </w:r>
      <w:r>
        <w:rPr>
          <w:rFonts w:hint="eastAsia" w:ascii="宋体" w:hAnsi="宋体" w:eastAsia="宋体" w:cs="宋体"/>
          <w:spacing w:val="14"/>
          <w:sz w:val="24"/>
          <w:szCs w:val="32"/>
          <w:highlight w:val="none"/>
          <w:u w:val="single"/>
          <w:lang w:val="en-US" w:eastAsia="zh-CN"/>
        </w:rPr>
        <w:t>（标的名称）</w:t>
      </w:r>
      <w:r>
        <w:rPr>
          <w:rFonts w:hint="eastAsia" w:ascii="宋体" w:hAnsi="宋体" w:eastAsia="宋体" w:cs="宋体"/>
          <w:spacing w:val="14"/>
          <w:sz w:val="24"/>
          <w:szCs w:val="32"/>
          <w:highlight w:val="none"/>
          <w:lang w:val="en-US" w:eastAsia="zh-CN"/>
        </w:rPr>
        <w:t xml:space="preserve"> ，属于（</w:t>
      </w:r>
      <w:r>
        <w:rPr>
          <w:rFonts w:hint="eastAsia" w:ascii="宋体" w:hAnsi="宋体" w:eastAsia="宋体" w:cs="宋体"/>
          <w:spacing w:val="14"/>
          <w:sz w:val="24"/>
          <w:szCs w:val="32"/>
          <w:highlight w:val="none"/>
          <w:u w:val="single"/>
          <w:lang w:val="en-US" w:eastAsia="zh-CN"/>
        </w:rPr>
        <w:t>其他未列明行业</w:t>
      </w:r>
      <w:r>
        <w:rPr>
          <w:rFonts w:hint="eastAsia" w:ascii="宋体" w:hAnsi="宋体" w:eastAsia="宋体" w:cs="宋体"/>
          <w:spacing w:val="14"/>
          <w:sz w:val="24"/>
          <w:szCs w:val="32"/>
          <w:highlight w:val="none"/>
          <w:lang w:val="en-US" w:eastAsia="zh-CN"/>
        </w:rPr>
        <w:t>）；承建（承接）企业为</w:t>
      </w:r>
      <w:r>
        <w:rPr>
          <w:rFonts w:hint="eastAsia" w:ascii="宋体" w:hAnsi="宋体" w:eastAsia="宋体" w:cs="宋体"/>
          <w:spacing w:val="14"/>
          <w:sz w:val="24"/>
          <w:szCs w:val="32"/>
          <w:highlight w:val="none"/>
          <w:u w:val="single"/>
          <w:lang w:val="en-US" w:eastAsia="zh-CN"/>
        </w:rPr>
        <w:t>（企业名称）</w:t>
      </w:r>
      <w:r>
        <w:rPr>
          <w:rFonts w:hint="eastAsia" w:ascii="宋体" w:hAnsi="宋体" w:eastAsia="宋体" w:cs="宋体"/>
          <w:spacing w:val="14"/>
          <w:sz w:val="24"/>
          <w:szCs w:val="32"/>
          <w:highlight w:val="none"/>
          <w:lang w:val="en-US" w:eastAsia="zh-CN"/>
        </w:rPr>
        <w:t>，从业人员</w:t>
      </w:r>
      <w:r>
        <w:rPr>
          <w:rFonts w:hint="eastAsia" w:ascii="宋体" w:hAnsi="宋体" w:eastAsia="宋体" w:cs="宋体"/>
          <w:spacing w:val="14"/>
          <w:sz w:val="24"/>
          <w:szCs w:val="32"/>
          <w:highlight w:val="none"/>
          <w:u w:val="single"/>
          <w:lang w:val="en-US" w:eastAsia="zh-CN"/>
        </w:rPr>
        <w:t xml:space="preserve">     </w:t>
      </w:r>
      <w:r>
        <w:rPr>
          <w:rFonts w:hint="eastAsia" w:ascii="宋体" w:hAnsi="宋体" w:eastAsia="宋体" w:cs="宋体"/>
          <w:spacing w:val="14"/>
          <w:sz w:val="24"/>
          <w:szCs w:val="32"/>
          <w:highlight w:val="none"/>
          <w:lang w:val="en-US" w:eastAsia="zh-CN"/>
        </w:rPr>
        <w:t>人，营业收入为</w:t>
      </w:r>
      <w:r>
        <w:rPr>
          <w:rFonts w:hint="eastAsia" w:ascii="宋体" w:hAnsi="宋体" w:eastAsia="宋体" w:cs="宋体"/>
          <w:spacing w:val="14"/>
          <w:sz w:val="24"/>
          <w:szCs w:val="32"/>
          <w:highlight w:val="none"/>
          <w:u w:val="single"/>
          <w:lang w:val="en-US" w:eastAsia="zh-CN"/>
        </w:rPr>
        <w:t xml:space="preserve">   </w:t>
      </w:r>
      <w:r>
        <w:rPr>
          <w:rFonts w:hint="eastAsia" w:ascii="宋体" w:hAnsi="宋体" w:eastAsia="宋体" w:cs="宋体"/>
          <w:spacing w:val="14"/>
          <w:sz w:val="24"/>
          <w:szCs w:val="32"/>
          <w:highlight w:val="none"/>
          <w:lang w:val="en-US" w:eastAsia="zh-CN"/>
        </w:rPr>
        <w:t>万元，资产总额为</w:t>
      </w:r>
      <w:r>
        <w:rPr>
          <w:rFonts w:hint="eastAsia" w:ascii="宋体" w:hAnsi="宋体" w:eastAsia="宋体" w:cs="宋体"/>
          <w:spacing w:val="14"/>
          <w:sz w:val="24"/>
          <w:szCs w:val="32"/>
          <w:highlight w:val="none"/>
          <w:u w:val="single"/>
          <w:lang w:val="en-US" w:eastAsia="zh-CN"/>
        </w:rPr>
        <w:t xml:space="preserve">    </w:t>
      </w:r>
      <w:r>
        <w:rPr>
          <w:rFonts w:hint="eastAsia" w:ascii="宋体" w:hAnsi="宋体" w:eastAsia="宋体" w:cs="宋体"/>
          <w:spacing w:val="14"/>
          <w:sz w:val="24"/>
          <w:szCs w:val="32"/>
          <w:highlight w:val="none"/>
          <w:lang w:val="en-US" w:eastAsia="zh-CN"/>
        </w:rPr>
        <w:t>万元，属于（</w:t>
      </w:r>
      <w:r>
        <w:rPr>
          <w:rFonts w:hint="eastAsia" w:ascii="宋体" w:hAnsi="宋体" w:eastAsia="宋体" w:cs="宋体"/>
          <w:spacing w:val="14"/>
          <w:sz w:val="24"/>
          <w:szCs w:val="32"/>
          <w:highlight w:val="none"/>
          <w:u w:val="single"/>
          <w:lang w:val="en-US" w:eastAsia="zh-CN"/>
        </w:rPr>
        <w:t>中型企业、小型企业、微型企业</w:t>
      </w:r>
      <w:r>
        <w:rPr>
          <w:rFonts w:hint="eastAsia" w:ascii="宋体" w:hAnsi="宋体" w:eastAsia="宋体" w:cs="宋体"/>
          <w:spacing w:val="14"/>
          <w:sz w:val="24"/>
          <w:szCs w:val="32"/>
          <w:highlight w:val="none"/>
          <w:lang w:val="en-US" w:eastAsia="zh-CN"/>
        </w:rPr>
        <w:t xml:space="preserve">）； </w:t>
      </w:r>
    </w:p>
    <w:p w14:paraId="1BB7ACD8">
      <w:pPr>
        <w:ind w:firstLine="536" w:firstLineChars="200"/>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 xml:space="preserve">2. </w:t>
      </w:r>
      <w:r>
        <w:rPr>
          <w:rFonts w:hint="eastAsia" w:ascii="宋体" w:hAnsi="宋体" w:eastAsia="宋体" w:cs="宋体"/>
          <w:spacing w:val="14"/>
          <w:sz w:val="24"/>
          <w:szCs w:val="32"/>
          <w:highlight w:val="none"/>
          <w:u w:val="single"/>
          <w:lang w:val="en-US" w:eastAsia="zh-CN"/>
        </w:rPr>
        <w:t>（标的名称）</w:t>
      </w:r>
      <w:r>
        <w:rPr>
          <w:rFonts w:hint="eastAsia" w:ascii="宋体" w:hAnsi="宋体" w:eastAsia="宋体" w:cs="宋体"/>
          <w:spacing w:val="14"/>
          <w:sz w:val="24"/>
          <w:szCs w:val="32"/>
          <w:highlight w:val="none"/>
          <w:lang w:val="en-US" w:eastAsia="zh-CN"/>
        </w:rPr>
        <w:t xml:space="preserve"> ，属于（</w:t>
      </w:r>
      <w:r>
        <w:rPr>
          <w:rFonts w:hint="eastAsia" w:ascii="宋体" w:hAnsi="宋体" w:eastAsia="宋体" w:cs="宋体"/>
          <w:spacing w:val="14"/>
          <w:sz w:val="24"/>
          <w:szCs w:val="32"/>
          <w:highlight w:val="none"/>
          <w:u w:val="single"/>
          <w:lang w:val="en-US" w:eastAsia="zh-CN"/>
        </w:rPr>
        <w:t>其他未列明行业</w:t>
      </w:r>
      <w:r>
        <w:rPr>
          <w:rFonts w:hint="eastAsia" w:ascii="宋体" w:hAnsi="宋体" w:eastAsia="宋体" w:cs="宋体"/>
          <w:spacing w:val="14"/>
          <w:sz w:val="24"/>
          <w:szCs w:val="32"/>
          <w:highlight w:val="none"/>
          <w:lang w:val="en-US" w:eastAsia="zh-CN"/>
        </w:rPr>
        <w:t>）；承建（承接）企业为</w:t>
      </w:r>
      <w:r>
        <w:rPr>
          <w:rFonts w:hint="eastAsia" w:ascii="宋体" w:hAnsi="宋体" w:eastAsia="宋体" w:cs="宋体"/>
          <w:spacing w:val="14"/>
          <w:sz w:val="24"/>
          <w:szCs w:val="32"/>
          <w:highlight w:val="none"/>
          <w:u w:val="single"/>
          <w:lang w:val="en-US" w:eastAsia="zh-CN"/>
        </w:rPr>
        <w:t>（企业名称）</w:t>
      </w:r>
      <w:r>
        <w:rPr>
          <w:rFonts w:hint="eastAsia" w:ascii="宋体" w:hAnsi="宋体" w:eastAsia="宋体" w:cs="宋体"/>
          <w:spacing w:val="14"/>
          <w:sz w:val="24"/>
          <w:szCs w:val="32"/>
          <w:highlight w:val="none"/>
          <w:lang w:val="en-US" w:eastAsia="zh-CN"/>
        </w:rPr>
        <w:t>，从业人员</w:t>
      </w:r>
      <w:r>
        <w:rPr>
          <w:rFonts w:hint="eastAsia" w:ascii="宋体" w:hAnsi="宋体" w:eastAsia="宋体" w:cs="宋体"/>
          <w:spacing w:val="14"/>
          <w:sz w:val="24"/>
          <w:szCs w:val="32"/>
          <w:highlight w:val="none"/>
          <w:u w:val="single"/>
          <w:lang w:val="en-US" w:eastAsia="zh-CN"/>
        </w:rPr>
        <w:t xml:space="preserve">    </w:t>
      </w:r>
      <w:r>
        <w:rPr>
          <w:rFonts w:hint="eastAsia" w:ascii="宋体" w:hAnsi="宋体" w:eastAsia="宋体" w:cs="宋体"/>
          <w:spacing w:val="14"/>
          <w:sz w:val="24"/>
          <w:szCs w:val="32"/>
          <w:highlight w:val="none"/>
          <w:lang w:val="en-US" w:eastAsia="zh-CN"/>
        </w:rPr>
        <w:t>人，营业收入为</w:t>
      </w:r>
      <w:r>
        <w:rPr>
          <w:rFonts w:hint="eastAsia" w:ascii="宋体" w:hAnsi="宋体" w:eastAsia="宋体" w:cs="宋体"/>
          <w:spacing w:val="14"/>
          <w:sz w:val="24"/>
          <w:szCs w:val="32"/>
          <w:highlight w:val="none"/>
          <w:u w:val="single"/>
          <w:lang w:val="en-US" w:eastAsia="zh-CN"/>
        </w:rPr>
        <w:t xml:space="preserve">   </w:t>
      </w:r>
      <w:r>
        <w:rPr>
          <w:rFonts w:hint="eastAsia" w:ascii="宋体" w:hAnsi="宋体" w:eastAsia="宋体" w:cs="宋体"/>
          <w:spacing w:val="14"/>
          <w:sz w:val="24"/>
          <w:szCs w:val="32"/>
          <w:highlight w:val="none"/>
          <w:lang w:val="en-US" w:eastAsia="zh-CN"/>
        </w:rPr>
        <w:t>万元，资产总额为</w:t>
      </w:r>
      <w:r>
        <w:rPr>
          <w:rFonts w:hint="eastAsia" w:ascii="宋体" w:hAnsi="宋体" w:eastAsia="宋体" w:cs="宋体"/>
          <w:spacing w:val="14"/>
          <w:sz w:val="24"/>
          <w:szCs w:val="32"/>
          <w:highlight w:val="none"/>
          <w:u w:val="single"/>
          <w:lang w:val="en-US" w:eastAsia="zh-CN"/>
        </w:rPr>
        <w:t xml:space="preserve">    </w:t>
      </w:r>
      <w:r>
        <w:rPr>
          <w:rFonts w:hint="eastAsia" w:ascii="宋体" w:hAnsi="宋体" w:eastAsia="宋体" w:cs="宋体"/>
          <w:spacing w:val="14"/>
          <w:sz w:val="24"/>
          <w:szCs w:val="32"/>
          <w:highlight w:val="none"/>
          <w:lang w:val="en-US" w:eastAsia="zh-CN"/>
        </w:rPr>
        <w:t>万元，属于（</w:t>
      </w:r>
      <w:r>
        <w:rPr>
          <w:rFonts w:hint="eastAsia" w:ascii="宋体" w:hAnsi="宋体" w:eastAsia="宋体" w:cs="宋体"/>
          <w:spacing w:val="14"/>
          <w:sz w:val="24"/>
          <w:szCs w:val="32"/>
          <w:highlight w:val="none"/>
          <w:u w:val="single"/>
          <w:lang w:val="en-US" w:eastAsia="zh-CN"/>
        </w:rPr>
        <w:t>中型企业、小型企业、微型企业</w:t>
      </w:r>
      <w:r>
        <w:rPr>
          <w:rFonts w:hint="eastAsia" w:ascii="宋体" w:hAnsi="宋体" w:eastAsia="宋体" w:cs="宋体"/>
          <w:spacing w:val="14"/>
          <w:sz w:val="24"/>
          <w:szCs w:val="32"/>
          <w:highlight w:val="none"/>
          <w:lang w:val="en-US" w:eastAsia="zh-CN"/>
        </w:rPr>
        <w:t xml:space="preserve">）； </w:t>
      </w:r>
    </w:p>
    <w:p w14:paraId="73687DB4">
      <w:pPr>
        <w:ind w:firstLine="536" w:firstLineChars="200"/>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w:t>
      </w:r>
    </w:p>
    <w:p w14:paraId="14BA4CB6">
      <w:pPr>
        <w:ind w:firstLine="536" w:firstLineChars="200"/>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以上企业，不属于大企业的分支机构，不存在控股股东为大企业的情形，也不存在与大企业的负责人为同一人的情形。</w:t>
      </w:r>
    </w:p>
    <w:p w14:paraId="47CC64F9">
      <w:pPr>
        <w:ind w:firstLine="536" w:firstLineChars="200"/>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 xml:space="preserve">本企业对上述声明内容的真实性负责。如有虚假，将依法承担相应责任。 </w:t>
      </w:r>
    </w:p>
    <w:p w14:paraId="039B391F">
      <w:pPr>
        <w:ind w:firstLine="536" w:firstLineChars="200"/>
        <w:rPr>
          <w:rFonts w:hint="eastAsia" w:ascii="宋体" w:hAnsi="宋体" w:eastAsia="宋体" w:cs="宋体"/>
          <w:spacing w:val="14"/>
          <w:sz w:val="24"/>
          <w:szCs w:val="32"/>
          <w:highlight w:val="none"/>
          <w:lang w:val="en-US" w:eastAsia="zh-CN"/>
        </w:rPr>
      </w:pPr>
    </w:p>
    <w:p w14:paraId="6DFBCB6E">
      <w:pPr>
        <w:pStyle w:val="49"/>
        <w:rPr>
          <w:rFonts w:hint="eastAsia" w:ascii="宋体" w:hAnsi="宋体" w:eastAsia="宋体" w:cs="宋体"/>
          <w:spacing w:val="14"/>
          <w:sz w:val="24"/>
          <w:szCs w:val="32"/>
          <w:highlight w:val="none"/>
          <w:lang w:val="en-US" w:eastAsia="zh-CN"/>
        </w:rPr>
      </w:pPr>
    </w:p>
    <w:p w14:paraId="3210001E">
      <w:pPr>
        <w:pStyle w:val="49"/>
        <w:rPr>
          <w:rFonts w:hint="eastAsia" w:ascii="宋体" w:hAnsi="宋体" w:eastAsia="宋体" w:cs="宋体"/>
          <w:spacing w:val="14"/>
          <w:sz w:val="24"/>
          <w:szCs w:val="32"/>
          <w:highlight w:val="none"/>
          <w:lang w:val="en-US" w:eastAsia="zh-CN"/>
        </w:rPr>
      </w:pPr>
    </w:p>
    <w:p w14:paraId="486F095B">
      <w:pPr>
        <w:ind w:firstLine="536" w:firstLineChars="200"/>
        <w:jc w:val="center"/>
        <w:rPr>
          <w:rFonts w:hint="eastAsia" w:ascii="宋体" w:hAnsi="宋体" w:eastAsia="宋体" w:cs="宋体"/>
          <w:spacing w:val="14"/>
          <w:sz w:val="24"/>
          <w:szCs w:val="32"/>
          <w:highlight w:val="none"/>
        </w:rPr>
      </w:pPr>
      <w:r>
        <w:rPr>
          <w:rFonts w:hint="eastAsia" w:ascii="宋体" w:hAnsi="宋体" w:eastAsia="宋体" w:cs="宋体"/>
          <w:spacing w:val="14"/>
          <w:sz w:val="24"/>
          <w:szCs w:val="32"/>
          <w:highlight w:val="none"/>
          <w:lang w:val="en-US" w:eastAsia="zh-CN"/>
        </w:rPr>
        <w:t xml:space="preserve">企业名称（盖章）： </w:t>
      </w:r>
    </w:p>
    <w:p w14:paraId="46839769">
      <w:pPr>
        <w:ind w:firstLine="536" w:firstLineChars="200"/>
        <w:jc w:val="center"/>
        <w:rPr>
          <w:highlight w:val="none"/>
        </w:rPr>
      </w:pPr>
      <w:r>
        <w:rPr>
          <w:rFonts w:hint="eastAsia" w:ascii="宋体" w:hAnsi="宋体" w:eastAsia="宋体" w:cs="宋体"/>
          <w:spacing w:val="14"/>
          <w:sz w:val="24"/>
          <w:szCs w:val="32"/>
          <w:highlight w:val="none"/>
          <w:lang w:val="en-US" w:eastAsia="zh-CN"/>
        </w:rPr>
        <w:t>日 期：</w:t>
      </w:r>
      <w:r>
        <w:rPr>
          <w:rFonts w:hint="eastAsia" w:ascii="仿宋" w:hAnsi="仿宋" w:eastAsia="仿宋" w:cs="仿宋"/>
          <w:color w:val="000000"/>
          <w:kern w:val="0"/>
          <w:sz w:val="31"/>
          <w:szCs w:val="31"/>
          <w:highlight w:val="none"/>
          <w:lang w:val="en-US" w:eastAsia="zh-CN" w:bidi="ar"/>
        </w:rPr>
        <w:t xml:space="preserve"> </w:t>
      </w:r>
    </w:p>
    <w:p w14:paraId="7B0D4F77">
      <w:pPr>
        <w:ind w:firstLine="3600" w:firstLineChars="1500"/>
        <w:rPr>
          <w:rFonts w:hint="eastAsia" w:ascii="宋体" w:hAnsi="宋体" w:cs="宋体"/>
          <w:sz w:val="24"/>
          <w:highlight w:val="none"/>
        </w:rPr>
      </w:pPr>
    </w:p>
    <w:p w14:paraId="3A4B53BA">
      <w:pPr>
        <w:rPr>
          <w:rFonts w:hint="eastAsia" w:ascii="宋体" w:hAnsi="宋体" w:cs="宋体"/>
          <w:sz w:val="24"/>
          <w:highlight w:val="none"/>
        </w:rPr>
      </w:pPr>
    </w:p>
    <w:p w14:paraId="08F43A70">
      <w:pPr>
        <w:rPr>
          <w:rFonts w:hint="eastAsia" w:ascii="宋体" w:hAnsi="宋体" w:cs="宋体"/>
          <w:kern w:val="0"/>
          <w:sz w:val="24"/>
          <w:highlight w:val="none"/>
          <w:lang w:val="en-GB"/>
        </w:rPr>
      </w:pPr>
      <w:r>
        <w:rPr>
          <w:rFonts w:hint="eastAsia" w:ascii="宋体" w:hAnsi="宋体" w:cs="宋体"/>
          <w:kern w:val="0"/>
          <w:sz w:val="24"/>
          <w:highlight w:val="none"/>
          <w:lang w:val="en-GB"/>
        </w:rPr>
        <w:t>说明:</w:t>
      </w:r>
    </w:p>
    <w:p w14:paraId="2E2B37A0">
      <w:pPr>
        <w:rPr>
          <w:highlight w:val="none"/>
        </w:rPr>
      </w:pPr>
      <w:r>
        <w:rPr>
          <w:rFonts w:hint="eastAsia"/>
          <w:highlight w:val="none"/>
          <w:lang w:val="en-US" w:eastAsia="zh-CN"/>
        </w:rPr>
        <w:t>从业人员、营业收入、资产总额填报上一年度数据，无上一年度数据的新成立企业可不填报。</w:t>
      </w:r>
    </w:p>
    <w:p w14:paraId="2362D830">
      <w:pPr>
        <w:rPr>
          <w:highlight w:val="none"/>
        </w:rPr>
      </w:pPr>
    </w:p>
    <w:p w14:paraId="35EC7CEA">
      <w:pPr>
        <w:rPr>
          <w:highlight w:val="none"/>
        </w:rPr>
      </w:pPr>
    </w:p>
    <w:p w14:paraId="23212A50">
      <w:pPr>
        <w:pStyle w:val="7"/>
        <w:rPr>
          <w:highlight w:val="none"/>
        </w:rPr>
      </w:pPr>
    </w:p>
    <w:p w14:paraId="11490246">
      <w:pPr>
        <w:pStyle w:val="7"/>
        <w:rPr>
          <w:highlight w:val="none"/>
        </w:rPr>
      </w:pPr>
    </w:p>
    <w:p w14:paraId="1C637693">
      <w:pPr>
        <w:pStyle w:val="7"/>
        <w:rPr>
          <w:rFonts w:hint="eastAsia"/>
          <w:highlight w:val="none"/>
        </w:rPr>
      </w:pPr>
      <w:bookmarkStart w:id="231" w:name="残疾人福利性单位声明函（如有）"/>
      <w:bookmarkEnd w:id="231"/>
      <w:bookmarkStart w:id="232" w:name="监狱企业的证明文件（如有）"/>
      <w:bookmarkEnd w:id="232"/>
      <w:bookmarkStart w:id="233" w:name="_Toc25968"/>
    </w:p>
    <w:p w14:paraId="21013328">
      <w:pPr>
        <w:pStyle w:val="7"/>
        <w:rPr>
          <w:rFonts w:hint="eastAsia"/>
          <w:highlight w:val="none"/>
        </w:rPr>
      </w:pPr>
    </w:p>
    <w:p w14:paraId="6BD73F0C">
      <w:pPr>
        <w:pStyle w:val="28"/>
        <w:rPr>
          <w:rFonts w:hint="eastAsia"/>
          <w:highlight w:val="none"/>
        </w:rPr>
      </w:pPr>
    </w:p>
    <w:p w14:paraId="59BD2D0A">
      <w:pPr>
        <w:pStyle w:val="28"/>
        <w:rPr>
          <w:rFonts w:hint="eastAsia"/>
          <w:highlight w:val="none"/>
        </w:rPr>
      </w:pPr>
    </w:p>
    <w:p w14:paraId="16799896">
      <w:pPr>
        <w:pStyle w:val="28"/>
        <w:rPr>
          <w:rFonts w:hint="eastAsia"/>
          <w:highlight w:val="none"/>
        </w:rPr>
      </w:pPr>
    </w:p>
    <w:p w14:paraId="0C3E9757">
      <w:pPr>
        <w:pStyle w:val="28"/>
        <w:rPr>
          <w:rFonts w:hint="eastAsia"/>
          <w:highlight w:val="none"/>
        </w:rPr>
      </w:pPr>
    </w:p>
    <w:p w14:paraId="40468DFB">
      <w:pPr>
        <w:pStyle w:val="28"/>
        <w:rPr>
          <w:rFonts w:hint="eastAsia"/>
          <w:highlight w:val="none"/>
        </w:rPr>
      </w:pPr>
    </w:p>
    <w:p w14:paraId="123E2ACC">
      <w:pPr>
        <w:pStyle w:val="28"/>
        <w:rPr>
          <w:rFonts w:hint="eastAsia"/>
          <w:highlight w:val="none"/>
        </w:rPr>
      </w:pPr>
    </w:p>
    <w:p w14:paraId="2E53B26E">
      <w:pPr>
        <w:pStyle w:val="28"/>
        <w:rPr>
          <w:rFonts w:hint="eastAsia"/>
          <w:highlight w:val="none"/>
        </w:rPr>
      </w:pPr>
    </w:p>
    <w:p w14:paraId="31277B2A">
      <w:pPr>
        <w:pStyle w:val="28"/>
        <w:rPr>
          <w:rFonts w:hint="eastAsia"/>
          <w:highlight w:val="none"/>
        </w:rPr>
      </w:pPr>
    </w:p>
    <w:p w14:paraId="61599600">
      <w:pPr>
        <w:pStyle w:val="28"/>
        <w:rPr>
          <w:rFonts w:hint="eastAsia"/>
          <w:highlight w:val="none"/>
        </w:rPr>
      </w:pPr>
    </w:p>
    <w:p w14:paraId="21613F00">
      <w:pPr>
        <w:pStyle w:val="28"/>
        <w:rPr>
          <w:rFonts w:hint="eastAsia"/>
          <w:highlight w:val="none"/>
        </w:rPr>
      </w:pPr>
    </w:p>
    <w:p w14:paraId="5CE3BA71">
      <w:pPr>
        <w:pStyle w:val="28"/>
        <w:rPr>
          <w:rFonts w:hint="eastAsia"/>
          <w:highlight w:val="none"/>
        </w:rPr>
      </w:pPr>
    </w:p>
    <w:p w14:paraId="3EA4E540">
      <w:pPr>
        <w:pStyle w:val="28"/>
        <w:rPr>
          <w:rFonts w:hint="eastAsia"/>
          <w:highlight w:val="none"/>
        </w:rPr>
      </w:pPr>
    </w:p>
    <w:p w14:paraId="557C948C">
      <w:pPr>
        <w:pStyle w:val="28"/>
        <w:rPr>
          <w:rFonts w:hint="eastAsia"/>
          <w:highlight w:val="none"/>
        </w:rPr>
      </w:pPr>
    </w:p>
    <w:p w14:paraId="6F6162C2">
      <w:pPr>
        <w:pStyle w:val="28"/>
        <w:rPr>
          <w:rFonts w:hint="eastAsia"/>
          <w:highlight w:val="none"/>
        </w:rPr>
      </w:pPr>
    </w:p>
    <w:p w14:paraId="1D60D038">
      <w:pPr>
        <w:pStyle w:val="28"/>
        <w:rPr>
          <w:rFonts w:hint="eastAsia"/>
          <w:highlight w:val="none"/>
        </w:rPr>
      </w:pPr>
    </w:p>
    <w:p w14:paraId="7C7C1C34">
      <w:pPr>
        <w:pStyle w:val="28"/>
        <w:rPr>
          <w:rFonts w:hint="eastAsia"/>
          <w:highlight w:val="none"/>
        </w:rPr>
      </w:pPr>
    </w:p>
    <w:p w14:paraId="3BC8BC40">
      <w:pPr>
        <w:pStyle w:val="7"/>
        <w:rPr>
          <w:rFonts w:hint="eastAsia"/>
          <w:highlight w:val="none"/>
        </w:rPr>
      </w:pPr>
    </w:p>
    <w:p w14:paraId="6B2D6276">
      <w:pPr>
        <w:jc w:val="center"/>
        <w:rPr>
          <w:b/>
          <w:bCs/>
          <w:sz w:val="32"/>
          <w:szCs w:val="40"/>
          <w:highlight w:val="none"/>
        </w:rPr>
      </w:pPr>
      <w:r>
        <w:rPr>
          <w:rFonts w:hint="eastAsia"/>
          <w:b/>
          <w:bCs/>
          <w:sz w:val="32"/>
          <w:szCs w:val="40"/>
          <w:highlight w:val="none"/>
        </w:rPr>
        <w:t>残疾人福利性单位声明函（如有）</w:t>
      </w:r>
      <w:bookmarkEnd w:id="233"/>
    </w:p>
    <w:p w14:paraId="055A22EC">
      <w:pPr>
        <w:rPr>
          <w:highlight w:val="none"/>
        </w:rPr>
      </w:pPr>
    </w:p>
    <w:p w14:paraId="0613C274">
      <w:pPr>
        <w:ind w:firstLine="536" w:firstLineChars="200"/>
        <w:rPr>
          <w:rFonts w:hint="eastAsia" w:ascii="宋体" w:hAnsi="宋体" w:cs="宋体"/>
          <w:sz w:val="24"/>
          <w:szCs w:val="32"/>
          <w:highlight w:val="none"/>
        </w:rPr>
      </w:pPr>
      <w:r>
        <w:rPr>
          <w:rFonts w:hint="eastAsia" w:ascii="宋体" w:hAnsi="宋体" w:cs="宋体"/>
          <w:spacing w:val="14"/>
          <w:sz w:val="24"/>
          <w:szCs w:val="32"/>
          <w:highlight w:val="none"/>
        </w:rPr>
        <w:t>本</w:t>
      </w:r>
      <w:r>
        <w:rPr>
          <w:rFonts w:hint="eastAsia" w:ascii="宋体" w:hAnsi="宋体" w:cs="宋体"/>
          <w:spacing w:val="12"/>
          <w:sz w:val="24"/>
          <w:szCs w:val="32"/>
          <w:highlight w:val="none"/>
        </w:rPr>
        <w:t>单</w:t>
      </w:r>
      <w:r>
        <w:rPr>
          <w:rFonts w:hint="eastAsia" w:ascii="宋体" w:hAnsi="宋体" w:cs="宋体"/>
          <w:spacing w:val="14"/>
          <w:sz w:val="24"/>
          <w:szCs w:val="32"/>
          <w:highlight w:val="none"/>
        </w:rPr>
        <w:t>位</w:t>
      </w:r>
      <w:r>
        <w:rPr>
          <w:rFonts w:hint="eastAsia" w:ascii="宋体" w:hAnsi="宋体" w:cs="宋体"/>
          <w:spacing w:val="12"/>
          <w:sz w:val="24"/>
          <w:szCs w:val="32"/>
          <w:highlight w:val="none"/>
        </w:rPr>
        <w:t>郑</w:t>
      </w:r>
      <w:r>
        <w:rPr>
          <w:rFonts w:hint="eastAsia" w:ascii="宋体" w:hAnsi="宋体" w:cs="宋体"/>
          <w:spacing w:val="14"/>
          <w:sz w:val="24"/>
          <w:szCs w:val="32"/>
          <w:highlight w:val="none"/>
        </w:rPr>
        <w:t>重</w:t>
      </w:r>
      <w:r>
        <w:rPr>
          <w:rFonts w:hint="eastAsia" w:ascii="宋体" w:hAnsi="宋体" w:cs="宋体"/>
          <w:spacing w:val="12"/>
          <w:sz w:val="24"/>
          <w:szCs w:val="32"/>
          <w:highlight w:val="none"/>
        </w:rPr>
        <w:t>声</w:t>
      </w:r>
      <w:r>
        <w:rPr>
          <w:rFonts w:hint="eastAsia" w:ascii="宋体" w:hAnsi="宋体" w:cs="宋体"/>
          <w:spacing w:val="14"/>
          <w:sz w:val="24"/>
          <w:szCs w:val="32"/>
          <w:highlight w:val="none"/>
        </w:rPr>
        <w:t>明，</w:t>
      </w:r>
      <w:r>
        <w:rPr>
          <w:rFonts w:hint="eastAsia" w:ascii="宋体" w:hAnsi="宋体" w:cs="宋体"/>
          <w:spacing w:val="12"/>
          <w:sz w:val="24"/>
          <w:szCs w:val="32"/>
          <w:highlight w:val="none"/>
        </w:rPr>
        <w:t>根</w:t>
      </w:r>
      <w:r>
        <w:rPr>
          <w:rFonts w:hint="eastAsia" w:ascii="宋体" w:hAnsi="宋体" w:cs="宋体"/>
          <w:spacing w:val="14"/>
          <w:sz w:val="24"/>
          <w:szCs w:val="32"/>
          <w:highlight w:val="none"/>
        </w:rPr>
        <w:t>据</w:t>
      </w:r>
      <w:r>
        <w:rPr>
          <w:rFonts w:hint="eastAsia" w:ascii="宋体" w:hAnsi="宋体" w:cs="宋体"/>
          <w:spacing w:val="12"/>
          <w:sz w:val="24"/>
          <w:szCs w:val="32"/>
          <w:highlight w:val="none"/>
        </w:rPr>
        <w:t>《</w:t>
      </w:r>
      <w:r>
        <w:rPr>
          <w:rFonts w:hint="eastAsia" w:ascii="宋体" w:hAnsi="宋体" w:cs="宋体"/>
          <w:spacing w:val="14"/>
          <w:sz w:val="24"/>
          <w:szCs w:val="32"/>
          <w:highlight w:val="none"/>
        </w:rPr>
        <w:t>财政</w:t>
      </w:r>
      <w:r>
        <w:rPr>
          <w:rFonts w:hint="eastAsia" w:ascii="宋体" w:hAnsi="宋体" w:cs="宋体"/>
          <w:sz w:val="24"/>
          <w:szCs w:val="32"/>
          <w:highlight w:val="none"/>
        </w:rPr>
        <w:t>部</w:t>
      </w:r>
      <w:r>
        <w:rPr>
          <w:rFonts w:hint="eastAsia" w:ascii="宋体" w:hAnsi="宋体" w:cs="宋体"/>
          <w:spacing w:val="26"/>
          <w:sz w:val="24"/>
          <w:szCs w:val="32"/>
          <w:highlight w:val="none"/>
        </w:rPr>
        <w:t xml:space="preserve"> </w:t>
      </w:r>
      <w:r>
        <w:rPr>
          <w:rFonts w:hint="eastAsia" w:ascii="宋体" w:hAnsi="宋体" w:cs="宋体"/>
          <w:spacing w:val="14"/>
          <w:sz w:val="24"/>
          <w:szCs w:val="32"/>
          <w:highlight w:val="none"/>
        </w:rPr>
        <w:t>民</w:t>
      </w:r>
      <w:r>
        <w:rPr>
          <w:rFonts w:hint="eastAsia" w:ascii="宋体" w:hAnsi="宋体" w:cs="宋体"/>
          <w:spacing w:val="12"/>
          <w:sz w:val="24"/>
          <w:szCs w:val="32"/>
          <w:highlight w:val="none"/>
        </w:rPr>
        <w:t>政</w:t>
      </w:r>
      <w:r>
        <w:rPr>
          <w:rFonts w:hint="eastAsia" w:ascii="宋体" w:hAnsi="宋体" w:cs="宋体"/>
          <w:sz w:val="24"/>
          <w:szCs w:val="32"/>
          <w:highlight w:val="none"/>
        </w:rPr>
        <w:t>部</w:t>
      </w:r>
      <w:r>
        <w:rPr>
          <w:rFonts w:hint="eastAsia" w:ascii="宋体" w:hAnsi="宋体" w:cs="宋体"/>
          <w:spacing w:val="26"/>
          <w:sz w:val="24"/>
          <w:szCs w:val="32"/>
          <w:highlight w:val="none"/>
        </w:rPr>
        <w:t xml:space="preserve"> </w:t>
      </w:r>
      <w:r>
        <w:rPr>
          <w:rFonts w:hint="eastAsia" w:ascii="宋体" w:hAnsi="宋体" w:cs="宋体"/>
          <w:spacing w:val="14"/>
          <w:sz w:val="24"/>
          <w:szCs w:val="32"/>
          <w:highlight w:val="none"/>
        </w:rPr>
        <w:t>中</w:t>
      </w:r>
      <w:r>
        <w:rPr>
          <w:rFonts w:hint="eastAsia" w:ascii="宋体" w:hAnsi="宋体" w:cs="宋体"/>
          <w:spacing w:val="12"/>
          <w:sz w:val="24"/>
          <w:szCs w:val="32"/>
          <w:highlight w:val="none"/>
        </w:rPr>
        <w:t>国</w:t>
      </w:r>
      <w:r>
        <w:rPr>
          <w:rFonts w:hint="eastAsia" w:ascii="宋体" w:hAnsi="宋体" w:cs="宋体"/>
          <w:spacing w:val="14"/>
          <w:sz w:val="24"/>
          <w:szCs w:val="32"/>
          <w:highlight w:val="none"/>
        </w:rPr>
        <w:t>残</w:t>
      </w:r>
      <w:r>
        <w:rPr>
          <w:rFonts w:hint="eastAsia" w:ascii="宋体" w:hAnsi="宋体" w:cs="宋体"/>
          <w:spacing w:val="12"/>
          <w:sz w:val="24"/>
          <w:szCs w:val="32"/>
          <w:highlight w:val="none"/>
        </w:rPr>
        <w:t>疾</w:t>
      </w:r>
      <w:r>
        <w:rPr>
          <w:rFonts w:hint="eastAsia" w:ascii="宋体" w:hAnsi="宋体" w:cs="宋体"/>
          <w:spacing w:val="14"/>
          <w:sz w:val="24"/>
          <w:szCs w:val="32"/>
          <w:highlight w:val="none"/>
        </w:rPr>
        <w:t>人</w:t>
      </w:r>
      <w:r>
        <w:rPr>
          <w:rFonts w:hint="eastAsia" w:ascii="宋体" w:hAnsi="宋体" w:cs="宋体"/>
          <w:spacing w:val="12"/>
          <w:sz w:val="24"/>
          <w:szCs w:val="32"/>
          <w:highlight w:val="none"/>
        </w:rPr>
        <w:t>联</w:t>
      </w:r>
      <w:r>
        <w:rPr>
          <w:rFonts w:hint="eastAsia" w:ascii="宋体" w:hAnsi="宋体" w:cs="宋体"/>
          <w:spacing w:val="14"/>
          <w:sz w:val="24"/>
          <w:szCs w:val="32"/>
          <w:highlight w:val="none"/>
        </w:rPr>
        <w:t>合会</w:t>
      </w:r>
      <w:r>
        <w:rPr>
          <w:rFonts w:hint="eastAsia" w:ascii="宋体" w:hAnsi="宋体" w:cs="宋体"/>
          <w:spacing w:val="12"/>
          <w:sz w:val="24"/>
          <w:szCs w:val="32"/>
          <w:highlight w:val="none"/>
        </w:rPr>
        <w:t>关</w:t>
      </w:r>
      <w:r>
        <w:rPr>
          <w:rFonts w:hint="eastAsia" w:ascii="宋体" w:hAnsi="宋体" w:cs="宋体"/>
          <w:spacing w:val="14"/>
          <w:sz w:val="24"/>
          <w:szCs w:val="32"/>
          <w:highlight w:val="none"/>
        </w:rPr>
        <w:t>于</w:t>
      </w:r>
      <w:r>
        <w:rPr>
          <w:rFonts w:hint="eastAsia" w:ascii="宋体" w:hAnsi="宋体" w:cs="宋体"/>
          <w:spacing w:val="12"/>
          <w:sz w:val="24"/>
          <w:szCs w:val="32"/>
          <w:highlight w:val="none"/>
        </w:rPr>
        <w:t>促</w:t>
      </w:r>
      <w:r>
        <w:rPr>
          <w:rFonts w:hint="eastAsia" w:ascii="宋体" w:hAnsi="宋体" w:cs="宋体"/>
          <w:spacing w:val="14"/>
          <w:sz w:val="24"/>
          <w:szCs w:val="32"/>
          <w:highlight w:val="none"/>
        </w:rPr>
        <w:t>进残</w:t>
      </w:r>
      <w:r>
        <w:rPr>
          <w:rFonts w:hint="eastAsia" w:ascii="宋体" w:hAnsi="宋体" w:cs="宋体"/>
          <w:spacing w:val="12"/>
          <w:sz w:val="24"/>
          <w:szCs w:val="32"/>
          <w:highlight w:val="none"/>
        </w:rPr>
        <w:t>疾</w:t>
      </w:r>
      <w:r>
        <w:rPr>
          <w:rFonts w:hint="eastAsia" w:ascii="宋体" w:hAnsi="宋体" w:cs="宋体"/>
          <w:spacing w:val="14"/>
          <w:sz w:val="24"/>
          <w:szCs w:val="32"/>
          <w:highlight w:val="none"/>
        </w:rPr>
        <w:t>人</w:t>
      </w:r>
      <w:r>
        <w:rPr>
          <w:rFonts w:hint="eastAsia" w:ascii="宋体" w:hAnsi="宋体" w:cs="宋体"/>
          <w:spacing w:val="12"/>
          <w:sz w:val="24"/>
          <w:szCs w:val="32"/>
          <w:highlight w:val="none"/>
        </w:rPr>
        <w:t>就</w:t>
      </w:r>
      <w:r>
        <w:rPr>
          <w:rFonts w:hint="eastAsia" w:ascii="宋体" w:hAnsi="宋体" w:cs="宋体"/>
          <w:spacing w:val="14"/>
          <w:sz w:val="24"/>
          <w:szCs w:val="32"/>
          <w:highlight w:val="none"/>
        </w:rPr>
        <w:t>业</w:t>
      </w:r>
      <w:r>
        <w:rPr>
          <w:rFonts w:hint="eastAsia" w:ascii="宋体" w:hAnsi="宋体" w:cs="宋体"/>
          <w:sz w:val="24"/>
          <w:szCs w:val="32"/>
          <w:highlight w:val="none"/>
        </w:rPr>
        <w:t>政</w:t>
      </w:r>
      <w:r>
        <w:rPr>
          <w:rFonts w:hint="eastAsia" w:ascii="宋体" w:hAnsi="宋体" w:cs="宋体"/>
          <w:spacing w:val="14"/>
          <w:sz w:val="24"/>
          <w:szCs w:val="32"/>
          <w:highlight w:val="none"/>
        </w:rPr>
        <w:t>府采购</w:t>
      </w:r>
      <w:r>
        <w:rPr>
          <w:rFonts w:hint="eastAsia" w:ascii="宋体" w:hAnsi="宋体" w:cs="宋体"/>
          <w:spacing w:val="12"/>
          <w:sz w:val="24"/>
          <w:szCs w:val="32"/>
          <w:highlight w:val="none"/>
        </w:rPr>
        <w:t>政</w:t>
      </w:r>
      <w:r>
        <w:rPr>
          <w:rFonts w:hint="eastAsia" w:ascii="宋体" w:hAnsi="宋体" w:cs="宋体"/>
          <w:spacing w:val="14"/>
          <w:sz w:val="24"/>
          <w:szCs w:val="32"/>
          <w:highlight w:val="none"/>
        </w:rPr>
        <w:t>策的通知》（</w:t>
      </w:r>
      <w:r>
        <w:rPr>
          <w:rFonts w:hint="eastAsia" w:ascii="宋体" w:hAnsi="宋体" w:cs="宋体"/>
          <w:spacing w:val="12"/>
          <w:sz w:val="24"/>
          <w:szCs w:val="32"/>
          <w:highlight w:val="none"/>
        </w:rPr>
        <w:t>财</w:t>
      </w:r>
      <w:r>
        <w:rPr>
          <w:rFonts w:hint="eastAsia" w:ascii="宋体" w:hAnsi="宋体" w:cs="宋体"/>
          <w:spacing w:val="14"/>
          <w:sz w:val="24"/>
          <w:szCs w:val="32"/>
          <w:highlight w:val="none"/>
        </w:rPr>
        <w:t>库</w:t>
      </w:r>
      <w:r>
        <w:rPr>
          <w:rFonts w:hint="eastAsia" w:ascii="宋体" w:hAnsi="宋体" w:cs="宋体"/>
          <w:sz w:val="24"/>
          <w:szCs w:val="32"/>
          <w:highlight w:val="none"/>
        </w:rPr>
        <w:t>〔1917〕</w:t>
      </w:r>
      <w:r>
        <w:rPr>
          <w:rFonts w:hint="eastAsia" w:ascii="宋体" w:hAnsi="宋体" w:cs="宋体"/>
          <w:spacing w:val="6"/>
          <w:sz w:val="24"/>
          <w:szCs w:val="32"/>
          <w:highlight w:val="none"/>
        </w:rPr>
        <w:t xml:space="preserve"> </w:t>
      </w:r>
      <w:r>
        <w:rPr>
          <w:rFonts w:hint="eastAsia" w:ascii="宋体" w:hAnsi="宋体" w:cs="宋体"/>
          <w:sz w:val="24"/>
          <w:szCs w:val="32"/>
          <w:highlight w:val="none"/>
        </w:rPr>
        <w:t>141</w:t>
      </w:r>
      <w:r>
        <w:rPr>
          <w:rFonts w:hint="eastAsia" w:ascii="宋体" w:hAnsi="宋体" w:cs="宋体"/>
          <w:spacing w:val="-57"/>
          <w:sz w:val="24"/>
          <w:szCs w:val="32"/>
          <w:highlight w:val="none"/>
        </w:rPr>
        <w:t xml:space="preserve"> </w:t>
      </w:r>
      <w:r>
        <w:rPr>
          <w:rFonts w:hint="eastAsia" w:ascii="宋体" w:hAnsi="宋体" w:cs="宋体"/>
          <w:spacing w:val="14"/>
          <w:sz w:val="24"/>
          <w:szCs w:val="32"/>
          <w:highlight w:val="none"/>
        </w:rPr>
        <w:t>号）的</w:t>
      </w:r>
      <w:r>
        <w:rPr>
          <w:rFonts w:hint="eastAsia" w:ascii="宋体" w:hAnsi="宋体" w:cs="宋体"/>
          <w:spacing w:val="12"/>
          <w:sz w:val="24"/>
          <w:szCs w:val="32"/>
          <w:highlight w:val="none"/>
        </w:rPr>
        <w:t>规</w:t>
      </w:r>
      <w:r>
        <w:rPr>
          <w:rFonts w:hint="eastAsia" w:ascii="宋体" w:hAnsi="宋体" w:cs="宋体"/>
          <w:spacing w:val="14"/>
          <w:sz w:val="24"/>
          <w:szCs w:val="32"/>
          <w:highlight w:val="none"/>
        </w:rPr>
        <w:t>定，本单位为</w:t>
      </w:r>
      <w:r>
        <w:rPr>
          <w:rFonts w:hint="eastAsia" w:ascii="宋体" w:hAnsi="宋体" w:cs="宋体"/>
          <w:spacing w:val="12"/>
          <w:sz w:val="24"/>
          <w:szCs w:val="32"/>
          <w:highlight w:val="none"/>
        </w:rPr>
        <w:t>符</w:t>
      </w:r>
      <w:r>
        <w:rPr>
          <w:rFonts w:hint="eastAsia" w:ascii="宋体" w:hAnsi="宋体" w:cs="宋体"/>
          <w:spacing w:val="14"/>
          <w:sz w:val="24"/>
          <w:szCs w:val="32"/>
          <w:highlight w:val="none"/>
        </w:rPr>
        <w:t>合条件的残疾</w:t>
      </w:r>
      <w:r>
        <w:rPr>
          <w:rFonts w:hint="eastAsia" w:ascii="宋体" w:hAnsi="宋体" w:cs="宋体"/>
          <w:spacing w:val="12"/>
          <w:sz w:val="24"/>
          <w:szCs w:val="32"/>
          <w:highlight w:val="none"/>
        </w:rPr>
        <w:t>人</w:t>
      </w:r>
      <w:r>
        <w:rPr>
          <w:rFonts w:hint="eastAsia" w:ascii="宋体" w:hAnsi="宋体" w:cs="宋体"/>
          <w:spacing w:val="14"/>
          <w:sz w:val="24"/>
          <w:szCs w:val="32"/>
          <w:highlight w:val="none"/>
        </w:rPr>
        <w:t>福</w:t>
      </w:r>
      <w:r>
        <w:rPr>
          <w:rFonts w:hint="eastAsia" w:ascii="宋体" w:hAnsi="宋体" w:cs="宋体"/>
          <w:sz w:val="24"/>
          <w:szCs w:val="32"/>
          <w:highlight w:val="none"/>
        </w:rPr>
        <w:t>利</w:t>
      </w:r>
      <w:r>
        <w:rPr>
          <w:rFonts w:hint="eastAsia" w:ascii="宋体" w:hAnsi="宋体" w:cs="宋体"/>
          <w:spacing w:val="14"/>
          <w:sz w:val="24"/>
          <w:szCs w:val="32"/>
          <w:highlight w:val="none"/>
        </w:rPr>
        <w:t>性单</w:t>
      </w:r>
      <w:r>
        <w:rPr>
          <w:rFonts w:hint="eastAsia" w:ascii="宋体" w:hAnsi="宋体" w:cs="宋体"/>
          <w:spacing w:val="12"/>
          <w:sz w:val="24"/>
          <w:szCs w:val="32"/>
          <w:highlight w:val="none"/>
        </w:rPr>
        <w:t>位</w:t>
      </w:r>
      <w:r>
        <w:rPr>
          <w:rFonts w:hint="eastAsia" w:ascii="宋体" w:hAnsi="宋体" w:cs="宋体"/>
          <w:spacing w:val="14"/>
          <w:sz w:val="24"/>
          <w:szCs w:val="32"/>
          <w:highlight w:val="none"/>
        </w:rPr>
        <w:t>，且本</w:t>
      </w:r>
      <w:r>
        <w:rPr>
          <w:rFonts w:hint="eastAsia" w:ascii="宋体" w:hAnsi="宋体" w:cs="宋体"/>
          <w:spacing w:val="12"/>
          <w:sz w:val="24"/>
          <w:szCs w:val="32"/>
          <w:highlight w:val="none"/>
        </w:rPr>
        <w:t>单</w:t>
      </w:r>
      <w:r>
        <w:rPr>
          <w:rFonts w:hint="eastAsia" w:ascii="宋体" w:hAnsi="宋体" w:cs="宋体"/>
          <w:spacing w:val="14"/>
          <w:sz w:val="24"/>
          <w:szCs w:val="32"/>
          <w:highlight w:val="none"/>
        </w:rPr>
        <w:t>位参加</w:t>
      </w:r>
      <w:r>
        <w:rPr>
          <w:rFonts w:hint="eastAsia" w:ascii="宋体" w:hAnsi="宋体" w:cs="宋体"/>
          <w:spacing w:val="6"/>
          <w:sz w:val="24"/>
          <w:szCs w:val="32"/>
          <w:highlight w:val="none"/>
        </w:rPr>
        <w:t>______</w:t>
      </w:r>
      <w:r>
        <w:rPr>
          <w:rFonts w:hint="eastAsia" w:ascii="宋体" w:hAnsi="宋体" w:cs="宋体"/>
          <w:spacing w:val="14"/>
          <w:sz w:val="24"/>
          <w:szCs w:val="32"/>
          <w:highlight w:val="none"/>
        </w:rPr>
        <w:t>单位</w:t>
      </w:r>
      <w:r>
        <w:rPr>
          <w:rFonts w:hint="eastAsia" w:ascii="宋体" w:hAnsi="宋体" w:cs="宋体"/>
          <w:sz w:val="24"/>
          <w:szCs w:val="32"/>
          <w:highlight w:val="none"/>
        </w:rPr>
        <w:t>的</w:t>
      </w:r>
      <w:r>
        <w:rPr>
          <w:rFonts w:hint="eastAsia" w:ascii="宋体" w:hAnsi="宋体" w:cs="宋体"/>
          <w:sz w:val="24"/>
          <w:szCs w:val="32"/>
          <w:highlight w:val="none"/>
        </w:rPr>
        <w:tab/>
      </w:r>
      <w:r>
        <w:rPr>
          <w:rFonts w:hint="eastAsia" w:ascii="宋体" w:hAnsi="宋体" w:cs="宋体"/>
          <w:spacing w:val="14"/>
          <w:sz w:val="24"/>
          <w:szCs w:val="32"/>
          <w:highlight w:val="none"/>
        </w:rPr>
        <w:t>项目</w:t>
      </w:r>
      <w:r>
        <w:rPr>
          <w:rFonts w:hint="eastAsia" w:ascii="宋体" w:hAnsi="宋体" w:cs="宋体"/>
          <w:spacing w:val="12"/>
          <w:sz w:val="24"/>
          <w:szCs w:val="32"/>
          <w:highlight w:val="none"/>
        </w:rPr>
        <w:t>采</w:t>
      </w:r>
      <w:r>
        <w:rPr>
          <w:rFonts w:hint="eastAsia" w:ascii="宋体" w:hAnsi="宋体" w:cs="宋体"/>
          <w:spacing w:val="14"/>
          <w:sz w:val="24"/>
          <w:szCs w:val="32"/>
          <w:highlight w:val="none"/>
        </w:rPr>
        <w:t>购活动并由</w:t>
      </w:r>
      <w:r>
        <w:rPr>
          <w:rFonts w:hint="eastAsia" w:ascii="宋体" w:hAnsi="宋体" w:cs="宋体"/>
          <w:spacing w:val="-11"/>
          <w:sz w:val="24"/>
          <w:szCs w:val="32"/>
          <w:highlight w:val="none"/>
        </w:rPr>
        <w:t>本</w:t>
      </w:r>
      <w:r>
        <w:rPr>
          <w:rFonts w:hint="eastAsia" w:ascii="宋体" w:hAnsi="宋体" w:cs="宋体"/>
          <w:sz w:val="24"/>
          <w:szCs w:val="32"/>
          <w:highlight w:val="none"/>
        </w:rPr>
        <w:t>单位提供服务。</w:t>
      </w:r>
    </w:p>
    <w:p w14:paraId="09A02674">
      <w:pPr>
        <w:rPr>
          <w:rFonts w:hint="eastAsia" w:ascii="宋体" w:hAnsi="宋体" w:cs="宋体"/>
          <w:sz w:val="24"/>
          <w:szCs w:val="32"/>
          <w:highlight w:val="none"/>
        </w:rPr>
      </w:pPr>
      <w:r>
        <w:rPr>
          <w:rFonts w:hint="eastAsia" w:ascii="宋体" w:hAnsi="宋体" w:cs="宋体"/>
          <w:sz w:val="24"/>
          <w:szCs w:val="32"/>
          <w:highlight w:val="none"/>
        </w:rPr>
        <w:t>本单位对上述声明的真实性负责。如有虚假，将依法承担相应责任。</w:t>
      </w:r>
    </w:p>
    <w:p w14:paraId="3BEF58B6">
      <w:pPr>
        <w:rPr>
          <w:rFonts w:hint="eastAsia" w:ascii="宋体" w:hAnsi="宋体" w:cs="宋体"/>
          <w:sz w:val="24"/>
          <w:szCs w:val="32"/>
          <w:highlight w:val="none"/>
        </w:rPr>
      </w:pPr>
    </w:p>
    <w:p w14:paraId="067E071D">
      <w:pPr>
        <w:rPr>
          <w:rFonts w:hint="eastAsia" w:ascii="宋体" w:hAnsi="宋体" w:cs="宋体"/>
          <w:sz w:val="24"/>
          <w:szCs w:val="32"/>
          <w:highlight w:val="none"/>
        </w:rPr>
      </w:pPr>
    </w:p>
    <w:p w14:paraId="58DE1B01">
      <w:pPr>
        <w:ind w:firstLine="4320" w:firstLineChars="1800"/>
        <w:rPr>
          <w:rFonts w:hint="eastAsia" w:ascii="宋体" w:hAnsi="宋体" w:cs="宋体"/>
          <w:sz w:val="24"/>
          <w:szCs w:val="32"/>
          <w:highlight w:val="none"/>
        </w:rPr>
      </w:pPr>
      <w:r>
        <w:rPr>
          <w:rFonts w:hint="eastAsia" w:ascii="宋体" w:hAnsi="宋体" w:cs="宋体"/>
          <w:sz w:val="24"/>
          <w:szCs w:val="32"/>
          <w:highlight w:val="none"/>
        </w:rPr>
        <w:t>响应供应商名称（盖公章）：</w:t>
      </w:r>
    </w:p>
    <w:p w14:paraId="39D7EEB7">
      <w:pPr>
        <w:rPr>
          <w:rFonts w:hint="eastAsia" w:ascii="宋体" w:hAnsi="宋体" w:cs="宋体"/>
          <w:sz w:val="24"/>
          <w:szCs w:val="32"/>
          <w:highlight w:val="none"/>
        </w:rPr>
      </w:pPr>
      <w:r>
        <w:rPr>
          <w:rFonts w:hint="eastAsia" w:ascii="宋体" w:hAnsi="宋体" w:cs="宋体"/>
          <w:sz w:val="24"/>
          <w:szCs w:val="32"/>
          <w:highlight w:val="none"/>
        </w:rPr>
        <w:t xml:space="preserve">                                     </w:t>
      </w:r>
    </w:p>
    <w:p w14:paraId="1B2A3C0B">
      <w:pPr>
        <w:rPr>
          <w:rFonts w:hint="eastAsia" w:ascii="宋体" w:hAnsi="宋体" w:cs="宋体"/>
          <w:sz w:val="24"/>
          <w:szCs w:val="32"/>
          <w:highlight w:val="none"/>
        </w:rPr>
      </w:pPr>
    </w:p>
    <w:p w14:paraId="430840B9">
      <w:pPr>
        <w:ind w:firstLine="4320" w:firstLineChars="1800"/>
        <w:rPr>
          <w:rFonts w:hint="eastAsia" w:ascii="宋体" w:hAnsi="宋体" w:cs="宋体"/>
          <w:sz w:val="24"/>
          <w:szCs w:val="32"/>
          <w:highlight w:val="none"/>
        </w:rPr>
      </w:pPr>
      <w:r>
        <w:rPr>
          <w:rFonts w:hint="eastAsia" w:ascii="宋体" w:hAnsi="宋体" w:cs="宋体"/>
          <w:sz w:val="24"/>
          <w:szCs w:val="32"/>
          <w:highlight w:val="none"/>
        </w:rPr>
        <w:t>日 期：</w:t>
      </w:r>
    </w:p>
    <w:p w14:paraId="7C35F0B4">
      <w:pPr>
        <w:spacing w:line="364" w:lineRule="auto"/>
        <w:outlineLvl w:val="1"/>
        <w:rPr>
          <w:highlight w:val="none"/>
        </w:rPr>
        <w:sectPr>
          <w:headerReference r:id="rId5" w:type="default"/>
          <w:footerReference r:id="rId6" w:type="default"/>
          <w:pgSz w:w="11910" w:h="16840"/>
          <w:pgMar w:top="1440" w:right="1800" w:bottom="1440" w:left="1800" w:header="714" w:footer="587" w:gutter="0"/>
          <w:pgNumType w:fmt="decimal"/>
          <w:cols w:space="720" w:num="1"/>
        </w:sectPr>
      </w:pPr>
    </w:p>
    <w:p w14:paraId="538D73D4">
      <w:pPr>
        <w:rPr>
          <w:highlight w:val="none"/>
        </w:rPr>
      </w:pPr>
    </w:p>
    <w:p w14:paraId="551C716E">
      <w:pPr>
        <w:jc w:val="center"/>
        <w:rPr>
          <w:b/>
          <w:bCs/>
          <w:sz w:val="28"/>
          <w:szCs w:val="36"/>
          <w:highlight w:val="none"/>
        </w:rPr>
      </w:pPr>
      <w:bookmarkStart w:id="234" w:name="_Toc12151"/>
      <w:r>
        <w:rPr>
          <w:rFonts w:hint="eastAsia"/>
          <w:b/>
          <w:bCs/>
          <w:sz w:val="28"/>
          <w:szCs w:val="36"/>
          <w:highlight w:val="none"/>
        </w:rPr>
        <w:t>政策功能情况（如有）</w:t>
      </w:r>
      <w:bookmarkEnd w:id="234"/>
    </w:p>
    <w:p w14:paraId="05A2D9CE">
      <w:pPr>
        <w:rPr>
          <w:highlight w:val="none"/>
        </w:rPr>
      </w:pPr>
    </w:p>
    <w:p w14:paraId="38092C8D">
      <w:pPr>
        <w:rPr>
          <w:highlight w:val="none"/>
        </w:rPr>
      </w:pPr>
      <w:r>
        <w:rPr>
          <w:highlight w:val="none"/>
        </w:rPr>
        <w:t>项目名称：</w:t>
      </w:r>
    </w:p>
    <w:tbl>
      <w:tblPr>
        <w:tblStyle w:val="22"/>
        <w:tblW w:w="0" w:type="auto"/>
        <w:tblInd w:w="-92"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127"/>
        <w:gridCol w:w="2359"/>
        <w:gridCol w:w="1677"/>
        <w:gridCol w:w="1994"/>
        <w:gridCol w:w="1745"/>
      </w:tblGrid>
      <w:tr w14:paraId="2009BD2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45" w:hRule="atLeast"/>
        </w:trPr>
        <w:tc>
          <w:tcPr>
            <w:tcW w:w="1127" w:type="dxa"/>
            <w:tcBorders>
              <w:bottom w:val="single" w:color="000000" w:sz="6" w:space="0"/>
              <w:right w:val="single" w:color="000000" w:sz="6" w:space="0"/>
            </w:tcBorders>
            <w:noWrap w:val="0"/>
            <w:vAlign w:val="top"/>
          </w:tcPr>
          <w:p w14:paraId="573AD1FD">
            <w:pPr>
              <w:pStyle w:val="33"/>
              <w:keepNext w:val="0"/>
              <w:keepLines w:val="0"/>
              <w:suppressLineNumbers w:val="0"/>
              <w:spacing w:before="159" w:beforeAutospacing="0" w:after="0" w:afterAutospacing="0"/>
              <w:ind w:left="276" w:right="0"/>
              <w:outlineLvl w:val="1"/>
              <w:rPr>
                <w:rFonts w:hint="default"/>
                <w:sz w:val="24"/>
                <w:szCs w:val="20"/>
                <w:highlight w:val="none"/>
              </w:rPr>
            </w:pPr>
            <w:r>
              <w:rPr>
                <w:rFonts w:hint="default"/>
                <w:sz w:val="24"/>
                <w:szCs w:val="20"/>
                <w:highlight w:val="none"/>
              </w:rPr>
              <w:t>类别</w:t>
            </w:r>
          </w:p>
        </w:tc>
        <w:tc>
          <w:tcPr>
            <w:tcW w:w="2359" w:type="dxa"/>
            <w:tcBorders>
              <w:left w:val="single" w:color="000000" w:sz="6" w:space="0"/>
              <w:bottom w:val="single" w:color="000000" w:sz="6" w:space="0"/>
              <w:right w:val="single" w:color="000000" w:sz="6" w:space="0"/>
            </w:tcBorders>
            <w:noWrap w:val="0"/>
            <w:vAlign w:val="top"/>
          </w:tcPr>
          <w:p w14:paraId="005F8490">
            <w:pPr>
              <w:pStyle w:val="33"/>
              <w:keepNext w:val="0"/>
              <w:keepLines w:val="0"/>
              <w:suppressLineNumbers w:val="0"/>
              <w:spacing w:before="3" w:beforeAutospacing="0" w:after="0" w:afterAutospacing="0"/>
              <w:ind w:left="162" w:right="150"/>
              <w:jc w:val="center"/>
              <w:outlineLvl w:val="1"/>
              <w:rPr>
                <w:rFonts w:hint="default"/>
                <w:sz w:val="24"/>
                <w:szCs w:val="20"/>
                <w:highlight w:val="none"/>
              </w:rPr>
            </w:pPr>
            <w:r>
              <w:rPr>
                <w:rFonts w:hint="default"/>
                <w:sz w:val="24"/>
                <w:szCs w:val="20"/>
                <w:highlight w:val="none"/>
              </w:rPr>
              <w:t>供应商提供的产品</w:t>
            </w:r>
          </w:p>
          <w:p w14:paraId="3BBA0CF3">
            <w:pPr>
              <w:pStyle w:val="33"/>
              <w:keepNext w:val="0"/>
              <w:keepLines w:val="0"/>
              <w:suppressLineNumbers w:val="0"/>
              <w:spacing w:before="4" w:beforeAutospacing="0" w:after="0" w:afterAutospacing="0" w:line="289" w:lineRule="exact"/>
              <w:ind w:left="162" w:right="150"/>
              <w:jc w:val="center"/>
              <w:outlineLvl w:val="1"/>
              <w:rPr>
                <w:rFonts w:hint="default"/>
                <w:sz w:val="24"/>
                <w:szCs w:val="20"/>
                <w:highlight w:val="none"/>
              </w:rPr>
            </w:pPr>
            <w:r>
              <w:rPr>
                <w:rFonts w:hint="default"/>
                <w:sz w:val="24"/>
                <w:szCs w:val="20"/>
                <w:highlight w:val="none"/>
              </w:rPr>
              <w:t>（规格型号）</w:t>
            </w:r>
          </w:p>
        </w:tc>
        <w:tc>
          <w:tcPr>
            <w:tcW w:w="1677" w:type="dxa"/>
            <w:tcBorders>
              <w:left w:val="single" w:color="000000" w:sz="6" w:space="0"/>
              <w:bottom w:val="single" w:color="000000" w:sz="6" w:space="0"/>
              <w:right w:val="single" w:color="000000" w:sz="6" w:space="0"/>
            </w:tcBorders>
            <w:noWrap w:val="0"/>
            <w:vAlign w:val="top"/>
          </w:tcPr>
          <w:p w14:paraId="3B26A886">
            <w:pPr>
              <w:pStyle w:val="33"/>
              <w:keepNext w:val="0"/>
              <w:keepLines w:val="0"/>
              <w:suppressLineNumbers w:val="0"/>
              <w:spacing w:before="3" w:beforeAutospacing="0" w:after="0" w:afterAutospacing="0"/>
              <w:ind w:left="243" w:right="231"/>
              <w:jc w:val="center"/>
              <w:outlineLvl w:val="1"/>
              <w:rPr>
                <w:rFonts w:hint="default"/>
                <w:sz w:val="24"/>
                <w:szCs w:val="20"/>
                <w:highlight w:val="none"/>
              </w:rPr>
            </w:pPr>
            <w:r>
              <w:rPr>
                <w:rFonts w:hint="default"/>
                <w:sz w:val="24"/>
                <w:szCs w:val="20"/>
                <w:highlight w:val="none"/>
              </w:rPr>
              <w:t>生产者</w:t>
            </w:r>
          </w:p>
          <w:p w14:paraId="381F1E45">
            <w:pPr>
              <w:pStyle w:val="33"/>
              <w:keepNext w:val="0"/>
              <w:keepLines w:val="0"/>
              <w:suppressLineNumbers w:val="0"/>
              <w:spacing w:before="4" w:beforeAutospacing="0" w:after="0" w:afterAutospacing="0" w:line="289" w:lineRule="exact"/>
              <w:ind w:left="243" w:right="231"/>
              <w:jc w:val="center"/>
              <w:outlineLvl w:val="1"/>
              <w:rPr>
                <w:rFonts w:hint="default"/>
                <w:sz w:val="24"/>
                <w:szCs w:val="20"/>
                <w:highlight w:val="none"/>
              </w:rPr>
            </w:pPr>
            <w:r>
              <w:rPr>
                <w:rFonts w:hint="default"/>
                <w:sz w:val="24"/>
                <w:szCs w:val="20"/>
                <w:highlight w:val="none"/>
              </w:rPr>
              <w:t>（制造商）</w:t>
            </w:r>
          </w:p>
        </w:tc>
        <w:tc>
          <w:tcPr>
            <w:tcW w:w="1994" w:type="dxa"/>
            <w:tcBorders>
              <w:left w:val="single" w:color="000000" w:sz="6" w:space="0"/>
              <w:bottom w:val="single" w:color="000000" w:sz="6" w:space="0"/>
              <w:right w:val="single" w:color="000000" w:sz="6" w:space="0"/>
            </w:tcBorders>
            <w:noWrap w:val="0"/>
            <w:vAlign w:val="top"/>
          </w:tcPr>
          <w:p w14:paraId="49DB740D">
            <w:pPr>
              <w:pStyle w:val="33"/>
              <w:keepNext w:val="0"/>
              <w:keepLines w:val="0"/>
              <w:suppressLineNumbers w:val="0"/>
              <w:spacing w:before="159" w:beforeAutospacing="0" w:after="0" w:afterAutospacing="0"/>
              <w:ind w:left="527" w:right="516"/>
              <w:jc w:val="center"/>
              <w:outlineLvl w:val="1"/>
              <w:rPr>
                <w:rFonts w:hint="default"/>
                <w:sz w:val="24"/>
                <w:szCs w:val="20"/>
                <w:highlight w:val="none"/>
              </w:rPr>
            </w:pPr>
            <w:r>
              <w:rPr>
                <w:rFonts w:hint="default"/>
                <w:sz w:val="24"/>
                <w:szCs w:val="20"/>
                <w:highlight w:val="none"/>
              </w:rPr>
              <w:t>证书编号</w:t>
            </w:r>
          </w:p>
        </w:tc>
        <w:tc>
          <w:tcPr>
            <w:tcW w:w="1745" w:type="dxa"/>
            <w:tcBorders>
              <w:left w:val="single" w:color="000000" w:sz="6" w:space="0"/>
              <w:bottom w:val="single" w:color="000000" w:sz="6" w:space="0"/>
            </w:tcBorders>
            <w:noWrap w:val="0"/>
            <w:vAlign w:val="top"/>
          </w:tcPr>
          <w:p w14:paraId="5449B7D8">
            <w:pPr>
              <w:pStyle w:val="33"/>
              <w:keepNext w:val="0"/>
              <w:keepLines w:val="0"/>
              <w:suppressLineNumbers w:val="0"/>
              <w:spacing w:before="159" w:beforeAutospacing="0" w:after="0" w:afterAutospacing="0"/>
              <w:ind w:left="267" w:right="0"/>
              <w:outlineLvl w:val="1"/>
              <w:rPr>
                <w:rFonts w:hint="default"/>
                <w:sz w:val="24"/>
                <w:szCs w:val="20"/>
                <w:highlight w:val="none"/>
              </w:rPr>
            </w:pPr>
            <w:r>
              <w:rPr>
                <w:rFonts w:hint="default"/>
                <w:sz w:val="24"/>
                <w:szCs w:val="20"/>
                <w:highlight w:val="none"/>
              </w:rPr>
              <w:t>所提供节能产品金额</w:t>
            </w:r>
          </w:p>
        </w:tc>
      </w:tr>
      <w:tr w14:paraId="60F217E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restart"/>
            <w:tcBorders>
              <w:top w:val="single" w:color="000000" w:sz="6" w:space="0"/>
              <w:bottom w:val="single" w:color="000000" w:sz="6" w:space="0"/>
              <w:right w:val="single" w:color="000000" w:sz="6" w:space="0"/>
            </w:tcBorders>
            <w:noWrap w:val="0"/>
            <w:vAlign w:val="top"/>
          </w:tcPr>
          <w:p w14:paraId="3CD0E87C">
            <w:pPr>
              <w:pStyle w:val="33"/>
              <w:keepNext w:val="0"/>
              <w:keepLines w:val="0"/>
              <w:suppressLineNumbers w:val="0"/>
              <w:spacing w:before="0" w:beforeAutospacing="0" w:after="0" w:afterAutospacing="0"/>
              <w:ind w:left="0" w:right="0"/>
              <w:outlineLvl w:val="1"/>
              <w:rPr>
                <w:rFonts w:hint="default"/>
                <w:sz w:val="24"/>
                <w:szCs w:val="20"/>
                <w:highlight w:val="none"/>
              </w:rPr>
            </w:pPr>
          </w:p>
          <w:p w14:paraId="69173E2C">
            <w:pPr>
              <w:pStyle w:val="33"/>
              <w:keepNext w:val="0"/>
              <w:keepLines w:val="0"/>
              <w:suppressLineNumbers w:val="0"/>
              <w:spacing w:before="0" w:beforeAutospacing="0" w:after="0" w:afterAutospacing="0"/>
              <w:ind w:left="0" w:right="0"/>
              <w:outlineLvl w:val="1"/>
              <w:rPr>
                <w:rFonts w:hint="default"/>
                <w:sz w:val="24"/>
                <w:szCs w:val="20"/>
                <w:highlight w:val="none"/>
              </w:rPr>
            </w:pPr>
          </w:p>
          <w:p w14:paraId="5032AC27">
            <w:pPr>
              <w:pStyle w:val="33"/>
              <w:keepNext w:val="0"/>
              <w:keepLines w:val="0"/>
              <w:suppressLineNumbers w:val="0"/>
              <w:spacing w:before="1" w:beforeAutospacing="0" w:after="0" w:afterAutospacing="0"/>
              <w:ind w:left="0" w:right="0"/>
              <w:outlineLvl w:val="1"/>
              <w:rPr>
                <w:rFonts w:hint="default"/>
                <w:sz w:val="27"/>
                <w:szCs w:val="20"/>
                <w:highlight w:val="none"/>
              </w:rPr>
            </w:pPr>
          </w:p>
          <w:p w14:paraId="3C1A3DF9">
            <w:pPr>
              <w:pStyle w:val="33"/>
              <w:keepNext w:val="0"/>
              <w:keepLines w:val="0"/>
              <w:suppressLineNumbers w:val="0"/>
              <w:spacing w:before="0" w:beforeAutospacing="0" w:after="0" w:afterAutospacing="0" w:line="242" w:lineRule="auto"/>
              <w:ind w:left="276" w:right="270"/>
              <w:outlineLvl w:val="1"/>
              <w:rPr>
                <w:rFonts w:hint="default"/>
                <w:sz w:val="24"/>
                <w:szCs w:val="20"/>
                <w:highlight w:val="none"/>
              </w:rPr>
            </w:pPr>
            <w:r>
              <w:rPr>
                <w:rFonts w:hint="default"/>
                <w:sz w:val="24"/>
                <w:szCs w:val="20"/>
                <w:highlight w:val="none"/>
              </w:rPr>
              <w:t>节能产品</w:t>
            </w:r>
          </w:p>
        </w:tc>
        <w:tc>
          <w:tcPr>
            <w:tcW w:w="2359" w:type="dxa"/>
            <w:tcBorders>
              <w:top w:val="single" w:color="000000" w:sz="6" w:space="0"/>
              <w:left w:val="single" w:color="000000" w:sz="6" w:space="0"/>
              <w:bottom w:val="single" w:color="000000" w:sz="6" w:space="0"/>
              <w:right w:val="single" w:color="000000" w:sz="6" w:space="0"/>
            </w:tcBorders>
            <w:noWrap w:val="0"/>
            <w:vAlign w:val="top"/>
          </w:tcPr>
          <w:p w14:paraId="6B30B558">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677" w:type="dxa"/>
            <w:tcBorders>
              <w:top w:val="single" w:color="000000" w:sz="6" w:space="0"/>
              <w:left w:val="single" w:color="000000" w:sz="6" w:space="0"/>
              <w:bottom w:val="single" w:color="000000" w:sz="6" w:space="0"/>
              <w:right w:val="single" w:color="000000" w:sz="6" w:space="0"/>
            </w:tcBorders>
            <w:noWrap w:val="0"/>
            <w:vAlign w:val="top"/>
          </w:tcPr>
          <w:p w14:paraId="33F97B39">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994" w:type="dxa"/>
            <w:tcBorders>
              <w:top w:val="single" w:color="000000" w:sz="6" w:space="0"/>
              <w:left w:val="single" w:color="000000" w:sz="6" w:space="0"/>
              <w:bottom w:val="single" w:color="000000" w:sz="6" w:space="0"/>
              <w:right w:val="single" w:color="000000" w:sz="6" w:space="0"/>
            </w:tcBorders>
            <w:noWrap w:val="0"/>
            <w:vAlign w:val="top"/>
          </w:tcPr>
          <w:p w14:paraId="6764FA91">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745" w:type="dxa"/>
            <w:tcBorders>
              <w:top w:val="single" w:color="000000" w:sz="6" w:space="0"/>
              <w:left w:val="single" w:color="000000" w:sz="6" w:space="0"/>
              <w:bottom w:val="single" w:color="000000" w:sz="6" w:space="0"/>
            </w:tcBorders>
            <w:noWrap w:val="0"/>
            <w:vAlign w:val="top"/>
          </w:tcPr>
          <w:p w14:paraId="6131F462">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r>
      <w:tr w14:paraId="3D2FBE5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continue"/>
            <w:tcBorders>
              <w:top w:val="nil"/>
              <w:bottom w:val="single" w:color="000000" w:sz="6" w:space="0"/>
              <w:right w:val="single" w:color="000000" w:sz="6" w:space="0"/>
            </w:tcBorders>
            <w:noWrap w:val="0"/>
            <w:vAlign w:val="top"/>
          </w:tcPr>
          <w:p w14:paraId="43A2C970">
            <w:pPr>
              <w:keepNext w:val="0"/>
              <w:keepLines w:val="0"/>
              <w:suppressLineNumbers w:val="0"/>
              <w:spacing w:before="0" w:beforeAutospacing="0" w:after="0" w:afterAutospacing="0"/>
              <w:ind w:left="0" w:right="0"/>
              <w:outlineLvl w:val="1"/>
              <w:rPr>
                <w:rFonts w:hint="default"/>
                <w:sz w:val="2"/>
                <w:szCs w:val="2"/>
                <w:highlight w:val="none"/>
              </w:rPr>
            </w:pPr>
          </w:p>
        </w:tc>
        <w:tc>
          <w:tcPr>
            <w:tcW w:w="2359" w:type="dxa"/>
            <w:tcBorders>
              <w:top w:val="single" w:color="000000" w:sz="6" w:space="0"/>
              <w:left w:val="single" w:color="000000" w:sz="6" w:space="0"/>
              <w:bottom w:val="single" w:color="000000" w:sz="6" w:space="0"/>
              <w:right w:val="single" w:color="000000" w:sz="6" w:space="0"/>
            </w:tcBorders>
            <w:noWrap w:val="0"/>
            <w:vAlign w:val="top"/>
          </w:tcPr>
          <w:p w14:paraId="28331F5F">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677" w:type="dxa"/>
            <w:tcBorders>
              <w:top w:val="single" w:color="000000" w:sz="6" w:space="0"/>
              <w:left w:val="single" w:color="000000" w:sz="6" w:space="0"/>
              <w:bottom w:val="single" w:color="000000" w:sz="6" w:space="0"/>
              <w:right w:val="single" w:color="000000" w:sz="6" w:space="0"/>
            </w:tcBorders>
            <w:noWrap w:val="0"/>
            <w:vAlign w:val="top"/>
          </w:tcPr>
          <w:p w14:paraId="3E82F147">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994" w:type="dxa"/>
            <w:tcBorders>
              <w:top w:val="single" w:color="000000" w:sz="6" w:space="0"/>
              <w:left w:val="single" w:color="000000" w:sz="6" w:space="0"/>
              <w:bottom w:val="single" w:color="000000" w:sz="6" w:space="0"/>
              <w:right w:val="single" w:color="000000" w:sz="6" w:space="0"/>
            </w:tcBorders>
            <w:noWrap w:val="0"/>
            <w:vAlign w:val="top"/>
          </w:tcPr>
          <w:p w14:paraId="77CC5ED3">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745" w:type="dxa"/>
            <w:tcBorders>
              <w:top w:val="single" w:color="000000" w:sz="6" w:space="0"/>
              <w:left w:val="single" w:color="000000" w:sz="6" w:space="0"/>
              <w:bottom w:val="single" w:color="000000" w:sz="6" w:space="0"/>
            </w:tcBorders>
            <w:noWrap w:val="0"/>
            <w:vAlign w:val="top"/>
          </w:tcPr>
          <w:p w14:paraId="4FCB13F7">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r>
      <w:tr w14:paraId="19803DD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554" w:hRule="atLeast"/>
        </w:trPr>
        <w:tc>
          <w:tcPr>
            <w:tcW w:w="1127" w:type="dxa"/>
            <w:vMerge w:val="continue"/>
            <w:tcBorders>
              <w:top w:val="nil"/>
              <w:bottom w:val="single" w:color="000000" w:sz="6" w:space="0"/>
              <w:right w:val="single" w:color="000000" w:sz="6" w:space="0"/>
            </w:tcBorders>
            <w:noWrap w:val="0"/>
            <w:vAlign w:val="top"/>
          </w:tcPr>
          <w:p w14:paraId="6E975556">
            <w:pPr>
              <w:keepNext w:val="0"/>
              <w:keepLines w:val="0"/>
              <w:suppressLineNumbers w:val="0"/>
              <w:spacing w:before="0" w:beforeAutospacing="0" w:after="0" w:afterAutospacing="0"/>
              <w:ind w:left="0" w:right="0"/>
              <w:outlineLvl w:val="1"/>
              <w:rPr>
                <w:rFonts w:hint="default"/>
                <w:sz w:val="2"/>
                <w:szCs w:val="2"/>
                <w:highlight w:val="none"/>
              </w:rPr>
            </w:pPr>
          </w:p>
        </w:tc>
        <w:tc>
          <w:tcPr>
            <w:tcW w:w="7775" w:type="dxa"/>
            <w:gridSpan w:val="4"/>
            <w:tcBorders>
              <w:top w:val="single" w:color="000000" w:sz="6" w:space="0"/>
              <w:left w:val="single" w:color="000000" w:sz="6" w:space="0"/>
              <w:bottom w:val="single" w:color="000000" w:sz="6" w:space="0"/>
            </w:tcBorders>
            <w:noWrap w:val="0"/>
            <w:vAlign w:val="top"/>
          </w:tcPr>
          <w:p w14:paraId="142C884D">
            <w:pPr>
              <w:pStyle w:val="33"/>
              <w:keepNext w:val="0"/>
              <w:keepLines w:val="0"/>
              <w:suppressLineNumbers w:val="0"/>
              <w:spacing w:before="0" w:beforeAutospacing="0" w:after="0" w:afterAutospacing="0"/>
              <w:ind w:left="0" w:right="0"/>
              <w:outlineLvl w:val="1"/>
              <w:rPr>
                <w:rFonts w:hint="default"/>
                <w:sz w:val="24"/>
                <w:szCs w:val="20"/>
                <w:highlight w:val="none"/>
              </w:rPr>
            </w:pPr>
          </w:p>
          <w:p w14:paraId="363BBDD0">
            <w:pPr>
              <w:pStyle w:val="33"/>
              <w:keepNext w:val="0"/>
              <w:keepLines w:val="0"/>
              <w:suppressLineNumbers w:val="0"/>
              <w:spacing w:before="164" w:beforeAutospacing="0" w:after="0" w:afterAutospacing="0"/>
              <w:ind w:left="115" w:right="0"/>
              <w:outlineLvl w:val="1"/>
              <w:rPr>
                <w:rFonts w:hint="default"/>
                <w:sz w:val="24"/>
                <w:szCs w:val="20"/>
                <w:highlight w:val="none"/>
              </w:rPr>
            </w:pPr>
            <w:r>
              <w:rPr>
                <w:rFonts w:hint="default"/>
                <w:sz w:val="24"/>
                <w:szCs w:val="20"/>
                <w:highlight w:val="none"/>
              </w:rPr>
              <w:t>节能产品总金额：</w:t>
            </w:r>
          </w:p>
          <w:p w14:paraId="502BE56D">
            <w:pPr>
              <w:pStyle w:val="33"/>
              <w:keepNext w:val="0"/>
              <w:keepLines w:val="0"/>
              <w:suppressLineNumbers w:val="0"/>
              <w:spacing w:before="9" w:beforeAutospacing="0" w:after="0" w:afterAutospacing="0"/>
              <w:ind w:left="0" w:right="0"/>
              <w:outlineLvl w:val="1"/>
              <w:rPr>
                <w:rFonts w:hint="default"/>
                <w:sz w:val="24"/>
                <w:szCs w:val="20"/>
                <w:highlight w:val="none"/>
              </w:rPr>
            </w:pPr>
          </w:p>
          <w:p w14:paraId="3B1B038E">
            <w:pPr>
              <w:pStyle w:val="33"/>
              <w:keepNext w:val="0"/>
              <w:keepLines w:val="0"/>
              <w:suppressLineNumbers w:val="0"/>
              <w:spacing w:before="0" w:beforeAutospacing="0" w:after="0" w:afterAutospacing="0"/>
              <w:ind w:left="115" w:right="0"/>
              <w:outlineLvl w:val="1"/>
              <w:rPr>
                <w:rFonts w:hint="default"/>
                <w:sz w:val="24"/>
                <w:szCs w:val="20"/>
                <w:highlight w:val="none"/>
              </w:rPr>
            </w:pPr>
            <w:r>
              <w:rPr>
                <w:rFonts w:hint="default"/>
                <w:sz w:val="24"/>
                <w:szCs w:val="20"/>
                <w:highlight w:val="none"/>
              </w:rPr>
              <w:t>节能产品金额占报价比重：%</w:t>
            </w:r>
          </w:p>
        </w:tc>
      </w:tr>
      <w:tr w14:paraId="73AB52D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2" w:hRule="atLeast"/>
        </w:trPr>
        <w:tc>
          <w:tcPr>
            <w:tcW w:w="1127" w:type="dxa"/>
            <w:vMerge w:val="restart"/>
            <w:tcBorders>
              <w:top w:val="single" w:color="000000" w:sz="6" w:space="0"/>
              <w:right w:val="single" w:color="000000" w:sz="6" w:space="0"/>
            </w:tcBorders>
            <w:noWrap w:val="0"/>
            <w:vAlign w:val="top"/>
          </w:tcPr>
          <w:p w14:paraId="673EEFAD">
            <w:pPr>
              <w:pStyle w:val="33"/>
              <w:keepNext w:val="0"/>
              <w:keepLines w:val="0"/>
              <w:suppressLineNumbers w:val="0"/>
              <w:spacing w:before="0" w:beforeAutospacing="0" w:after="0" w:afterAutospacing="0"/>
              <w:ind w:left="0" w:right="0"/>
              <w:outlineLvl w:val="1"/>
              <w:rPr>
                <w:rFonts w:hint="default"/>
                <w:sz w:val="24"/>
                <w:szCs w:val="20"/>
                <w:highlight w:val="none"/>
              </w:rPr>
            </w:pPr>
          </w:p>
          <w:p w14:paraId="4DFDD6CC">
            <w:pPr>
              <w:pStyle w:val="33"/>
              <w:keepNext w:val="0"/>
              <w:keepLines w:val="0"/>
              <w:suppressLineNumbers w:val="0"/>
              <w:spacing w:before="0" w:beforeAutospacing="0" w:after="0" w:afterAutospacing="0"/>
              <w:ind w:left="0" w:right="0"/>
              <w:outlineLvl w:val="1"/>
              <w:rPr>
                <w:rFonts w:hint="default"/>
                <w:sz w:val="24"/>
                <w:szCs w:val="20"/>
                <w:highlight w:val="none"/>
              </w:rPr>
            </w:pPr>
          </w:p>
          <w:p w14:paraId="695244A5">
            <w:pPr>
              <w:pStyle w:val="33"/>
              <w:keepNext w:val="0"/>
              <w:keepLines w:val="0"/>
              <w:suppressLineNumbers w:val="0"/>
              <w:spacing w:before="0" w:beforeAutospacing="0" w:after="0" w:afterAutospacing="0"/>
              <w:ind w:left="0" w:right="0"/>
              <w:outlineLvl w:val="1"/>
              <w:rPr>
                <w:rFonts w:hint="default"/>
                <w:sz w:val="24"/>
                <w:szCs w:val="20"/>
                <w:highlight w:val="none"/>
              </w:rPr>
            </w:pPr>
          </w:p>
          <w:p w14:paraId="63A64634">
            <w:pPr>
              <w:pStyle w:val="33"/>
              <w:keepNext w:val="0"/>
              <w:keepLines w:val="0"/>
              <w:suppressLineNumbers w:val="0"/>
              <w:spacing w:before="201" w:beforeAutospacing="0" w:after="0" w:afterAutospacing="0" w:line="242" w:lineRule="auto"/>
              <w:ind w:left="276" w:right="30" w:hanging="240"/>
              <w:outlineLvl w:val="1"/>
              <w:rPr>
                <w:rFonts w:hint="default"/>
                <w:sz w:val="24"/>
                <w:szCs w:val="20"/>
                <w:highlight w:val="none"/>
              </w:rPr>
            </w:pPr>
            <w:r>
              <w:rPr>
                <w:rFonts w:hint="default"/>
                <w:sz w:val="24"/>
                <w:szCs w:val="20"/>
                <w:highlight w:val="none"/>
              </w:rPr>
              <w:t>环保标志产品</w:t>
            </w:r>
          </w:p>
        </w:tc>
        <w:tc>
          <w:tcPr>
            <w:tcW w:w="2359" w:type="dxa"/>
            <w:tcBorders>
              <w:top w:val="single" w:color="000000" w:sz="6" w:space="0"/>
              <w:left w:val="single" w:color="000000" w:sz="6" w:space="0"/>
              <w:bottom w:val="single" w:color="000000" w:sz="6" w:space="0"/>
              <w:right w:val="single" w:color="000000" w:sz="6" w:space="0"/>
            </w:tcBorders>
            <w:noWrap w:val="0"/>
            <w:vAlign w:val="top"/>
          </w:tcPr>
          <w:p w14:paraId="01903529">
            <w:pPr>
              <w:pStyle w:val="33"/>
              <w:keepNext w:val="0"/>
              <w:keepLines w:val="0"/>
              <w:suppressLineNumbers w:val="0"/>
              <w:spacing w:before="2" w:beforeAutospacing="0" w:after="0" w:afterAutospacing="0"/>
              <w:ind w:left="162" w:right="150"/>
              <w:jc w:val="center"/>
              <w:outlineLvl w:val="1"/>
              <w:rPr>
                <w:rFonts w:hint="default"/>
                <w:sz w:val="24"/>
                <w:szCs w:val="20"/>
                <w:highlight w:val="none"/>
              </w:rPr>
            </w:pPr>
            <w:r>
              <w:rPr>
                <w:rFonts w:hint="default"/>
                <w:sz w:val="24"/>
                <w:szCs w:val="20"/>
                <w:highlight w:val="none"/>
              </w:rPr>
              <w:t>供应商提供的产品</w:t>
            </w:r>
          </w:p>
          <w:p w14:paraId="09C084FD">
            <w:pPr>
              <w:pStyle w:val="33"/>
              <w:keepNext w:val="0"/>
              <w:keepLines w:val="0"/>
              <w:suppressLineNumbers w:val="0"/>
              <w:spacing w:before="5" w:beforeAutospacing="0" w:after="0" w:afterAutospacing="0" w:line="282" w:lineRule="exact"/>
              <w:ind w:left="162" w:right="136"/>
              <w:jc w:val="center"/>
              <w:outlineLvl w:val="1"/>
              <w:rPr>
                <w:rFonts w:hint="default"/>
                <w:sz w:val="24"/>
                <w:szCs w:val="20"/>
                <w:highlight w:val="none"/>
              </w:rPr>
            </w:pPr>
            <w:r>
              <w:rPr>
                <w:rFonts w:hint="default"/>
                <w:sz w:val="24"/>
                <w:szCs w:val="20"/>
                <w:highlight w:val="none"/>
              </w:rPr>
              <w:t>（规格型号）</w:t>
            </w:r>
          </w:p>
        </w:tc>
        <w:tc>
          <w:tcPr>
            <w:tcW w:w="1677" w:type="dxa"/>
            <w:tcBorders>
              <w:top w:val="single" w:color="000000" w:sz="6" w:space="0"/>
              <w:left w:val="single" w:color="000000" w:sz="6" w:space="0"/>
              <w:bottom w:val="single" w:color="000000" w:sz="6" w:space="0"/>
              <w:right w:val="single" w:color="000000" w:sz="6" w:space="0"/>
            </w:tcBorders>
            <w:noWrap w:val="0"/>
            <w:vAlign w:val="top"/>
          </w:tcPr>
          <w:p w14:paraId="7C871EF0">
            <w:pPr>
              <w:pStyle w:val="33"/>
              <w:keepNext w:val="0"/>
              <w:keepLines w:val="0"/>
              <w:suppressLineNumbers w:val="0"/>
              <w:spacing w:before="2" w:beforeAutospacing="0" w:after="0" w:afterAutospacing="0"/>
              <w:ind w:left="243" w:right="231"/>
              <w:jc w:val="center"/>
              <w:outlineLvl w:val="1"/>
              <w:rPr>
                <w:rFonts w:hint="default"/>
                <w:sz w:val="24"/>
                <w:szCs w:val="20"/>
                <w:highlight w:val="none"/>
              </w:rPr>
            </w:pPr>
            <w:r>
              <w:rPr>
                <w:rFonts w:hint="default"/>
                <w:sz w:val="24"/>
                <w:szCs w:val="20"/>
                <w:highlight w:val="none"/>
              </w:rPr>
              <w:t>生产者</w:t>
            </w:r>
          </w:p>
          <w:p w14:paraId="69C6C6C6">
            <w:pPr>
              <w:pStyle w:val="33"/>
              <w:keepNext w:val="0"/>
              <w:keepLines w:val="0"/>
              <w:suppressLineNumbers w:val="0"/>
              <w:spacing w:before="5" w:beforeAutospacing="0" w:after="0" w:afterAutospacing="0" w:line="282" w:lineRule="exact"/>
              <w:ind w:left="250" w:right="224"/>
              <w:jc w:val="center"/>
              <w:outlineLvl w:val="1"/>
              <w:rPr>
                <w:rFonts w:hint="default"/>
                <w:sz w:val="24"/>
                <w:szCs w:val="20"/>
                <w:highlight w:val="none"/>
              </w:rPr>
            </w:pPr>
            <w:r>
              <w:rPr>
                <w:rFonts w:hint="default"/>
                <w:sz w:val="24"/>
                <w:szCs w:val="20"/>
                <w:highlight w:val="none"/>
              </w:rPr>
              <w:t>（制造商）</w:t>
            </w:r>
          </w:p>
        </w:tc>
        <w:tc>
          <w:tcPr>
            <w:tcW w:w="1994" w:type="dxa"/>
            <w:tcBorders>
              <w:top w:val="single" w:color="000000" w:sz="6" w:space="0"/>
              <w:left w:val="single" w:color="000000" w:sz="6" w:space="0"/>
              <w:bottom w:val="single" w:color="000000" w:sz="6" w:space="0"/>
              <w:right w:val="single" w:color="000000" w:sz="6" w:space="0"/>
            </w:tcBorders>
            <w:noWrap w:val="0"/>
            <w:vAlign w:val="top"/>
          </w:tcPr>
          <w:p w14:paraId="7297627F">
            <w:pPr>
              <w:pStyle w:val="33"/>
              <w:keepNext w:val="0"/>
              <w:keepLines w:val="0"/>
              <w:suppressLineNumbers w:val="0"/>
              <w:spacing w:before="158" w:beforeAutospacing="0" w:after="0" w:afterAutospacing="0"/>
              <w:ind w:left="534" w:right="509"/>
              <w:jc w:val="center"/>
              <w:outlineLvl w:val="1"/>
              <w:rPr>
                <w:rFonts w:hint="default"/>
                <w:sz w:val="24"/>
                <w:szCs w:val="20"/>
                <w:highlight w:val="none"/>
              </w:rPr>
            </w:pPr>
            <w:r>
              <w:rPr>
                <w:rFonts w:hint="default"/>
                <w:sz w:val="24"/>
                <w:szCs w:val="20"/>
                <w:highlight w:val="none"/>
              </w:rPr>
              <w:t>证书编号</w:t>
            </w:r>
          </w:p>
        </w:tc>
        <w:tc>
          <w:tcPr>
            <w:tcW w:w="1745" w:type="dxa"/>
            <w:tcBorders>
              <w:top w:val="single" w:color="000000" w:sz="6" w:space="0"/>
              <w:left w:val="single" w:color="000000" w:sz="6" w:space="0"/>
              <w:bottom w:val="single" w:color="000000" w:sz="6" w:space="0"/>
            </w:tcBorders>
            <w:noWrap w:val="0"/>
            <w:vAlign w:val="top"/>
          </w:tcPr>
          <w:p w14:paraId="5EAA10A8">
            <w:pPr>
              <w:pStyle w:val="33"/>
              <w:keepNext w:val="0"/>
              <w:keepLines w:val="0"/>
              <w:suppressLineNumbers w:val="0"/>
              <w:spacing w:before="2" w:beforeAutospacing="0" w:after="0" w:afterAutospacing="0"/>
              <w:ind w:left="134" w:right="100"/>
              <w:jc w:val="center"/>
              <w:outlineLvl w:val="1"/>
              <w:rPr>
                <w:rFonts w:hint="default"/>
                <w:sz w:val="24"/>
                <w:szCs w:val="20"/>
                <w:highlight w:val="none"/>
              </w:rPr>
            </w:pPr>
            <w:r>
              <w:rPr>
                <w:rFonts w:hint="default"/>
                <w:sz w:val="24"/>
                <w:szCs w:val="20"/>
                <w:highlight w:val="none"/>
              </w:rPr>
              <w:t>所提供环保标志产品金</w:t>
            </w:r>
          </w:p>
          <w:p w14:paraId="74FB7685">
            <w:pPr>
              <w:pStyle w:val="33"/>
              <w:keepNext w:val="0"/>
              <w:keepLines w:val="0"/>
              <w:suppressLineNumbers w:val="0"/>
              <w:spacing w:before="5" w:beforeAutospacing="0" w:after="0" w:afterAutospacing="0" w:line="282" w:lineRule="exact"/>
              <w:ind w:left="34" w:right="0"/>
              <w:jc w:val="center"/>
              <w:outlineLvl w:val="1"/>
              <w:rPr>
                <w:rFonts w:hint="default"/>
                <w:sz w:val="24"/>
                <w:szCs w:val="20"/>
                <w:highlight w:val="none"/>
              </w:rPr>
            </w:pPr>
            <w:r>
              <w:rPr>
                <w:rFonts w:hint="default"/>
                <w:sz w:val="24"/>
                <w:szCs w:val="20"/>
                <w:highlight w:val="none"/>
              </w:rPr>
              <w:t>额</w:t>
            </w:r>
          </w:p>
        </w:tc>
      </w:tr>
      <w:tr w14:paraId="32A30BF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continue"/>
            <w:tcBorders>
              <w:top w:val="nil"/>
              <w:right w:val="single" w:color="000000" w:sz="6" w:space="0"/>
            </w:tcBorders>
            <w:noWrap w:val="0"/>
            <w:vAlign w:val="top"/>
          </w:tcPr>
          <w:p w14:paraId="39B1B7DE">
            <w:pPr>
              <w:keepNext w:val="0"/>
              <w:keepLines w:val="0"/>
              <w:suppressLineNumbers w:val="0"/>
              <w:spacing w:before="0" w:beforeAutospacing="0" w:after="0" w:afterAutospacing="0"/>
              <w:ind w:left="0" w:right="0"/>
              <w:outlineLvl w:val="1"/>
              <w:rPr>
                <w:rFonts w:hint="default"/>
                <w:sz w:val="2"/>
                <w:szCs w:val="2"/>
                <w:highlight w:val="none"/>
              </w:rPr>
            </w:pPr>
          </w:p>
        </w:tc>
        <w:tc>
          <w:tcPr>
            <w:tcW w:w="2359" w:type="dxa"/>
            <w:tcBorders>
              <w:top w:val="single" w:color="000000" w:sz="6" w:space="0"/>
              <w:left w:val="single" w:color="000000" w:sz="6" w:space="0"/>
              <w:bottom w:val="single" w:color="000000" w:sz="6" w:space="0"/>
              <w:right w:val="single" w:color="000000" w:sz="6" w:space="0"/>
            </w:tcBorders>
            <w:noWrap w:val="0"/>
            <w:vAlign w:val="top"/>
          </w:tcPr>
          <w:p w14:paraId="361D84F2">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677" w:type="dxa"/>
            <w:tcBorders>
              <w:top w:val="single" w:color="000000" w:sz="6" w:space="0"/>
              <w:left w:val="single" w:color="000000" w:sz="6" w:space="0"/>
              <w:bottom w:val="single" w:color="000000" w:sz="6" w:space="0"/>
              <w:right w:val="single" w:color="000000" w:sz="6" w:space="0"/>
            </w:tcBorders>
            <w:noWrap w:val="0"/>
            <w:vAlign w:val="top"/>
          </w:tcPr>
          <w:p w14:paraId="0BAF0A57">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994" w:type="dxa"/>
            <w:tcBorders>
              <w:top w:val="single" w:color="000000" w:sz="6" w:space="0"/>
              <w:left w:val="single" w:color="000000" w:sz="6" w:space="0"/>
              <w:bottom w:val="single" w:color="000000" w:sz="6" w:space="0"/>
              <w:right w:val="single" w:color="000000" w:sz="6" w:space="0"/>
            </w:tcBorders>
            <w:noWrap w:val="0"/>
            <w:vAlign w:val="top"/>
          </w:tcPr>
          <w:p w14:paraId="58125F8F">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745" w:type="dxa"/>
            <w:tcBorders>
              <w:top w:val="single" w:color="000000" w:sz="6" w:space="0"/>
              <w:left w:val="single" w:color="000000" w:sz="6" w:space="0"/>
              <w:bottom w:val="single" w:color="000000" w:sz="6" w:space="0"/>
            </w:tcBorders>
            <w:noWrap w:val="0"/>
            <w:vAlign w:val="top"/>
          </w:tcPr>
          <w:p w14:paraId="33753C8B">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r>
      <w:tr w14:paraId="086F950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continue"/>
            <w:tcBorders>
              <w:top w:val="nil"/>
              <w:right w:val="single" w:color="000000" w:sz="6" w:space="0"/>
            </w:tcBorders>
            <w:noWrap w:val="0"/>
            <w:vAlign w:val="top"/>
          </w:tcPr>
          <w:p w14:paraId="3576FDBC">
            <w:pPr>
              <w:keepNext w:val="0"/>
              <w:keepLines w:val="0"/>
              <w:suppressLineNumbers w:val="0"/>
              <w:spacing w:before="0" w:beforeAutospacing="0" w:after="0" w:afterAutospacing="0"/>
              <w:ind w:left="0" w:right="0"/>
              <w:outlineLvl w:val="1"/>
              <w:rPr>
                <w:rFonts w:hint="default"/>
                <w:sz w:val="2"/>
                <w:szCs w:val="2"/>
                <w:highlight w:val="none"/>
              </w:rPr>
            </w:pPr>
          </w:p>
        </w:tc>
        <w:tc>
          <w:tcPr>
            <w:tcW w:w="2359" w:type="dxa"/>
            <w:tcBorders>
              <w:top w:val="single" w:color="000000" w:sz="6" w:space="0"/>
              <w:left w:val="single" w:color="000000" w:sz="6" w:space="0"/>
              <w:bottom w:val="single" w:color="000000" w:sz="6" w:space="0"/>
              <w:right w:val="single" w:color="000000" w:sz="6" w:space="0"/>
            </w:tcBorders>
            <w:noWrap w:val="0"/>
            <w:vAlign w:val="top"/>
          </w:tcPr>
          <w:p w14:paraId="7FE52265">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677" w:type="dxa"/>
            <w:tcBorders>
              <w:top w:val="single" w:color="000000" w:sz="6" w:space="0"/>
              <w:left w:val="single" w:color="000000" w:sz="6" w:space="0"/>
              <w:bottom w:val="single" w:color="000000" w:sz="6" w:space="0"/>
              <w:right w:val="single" w:color="000000" w:sz="6" w:space="0"/>
            </w:tcBorders>
            <w:noWrap w:val="0"/>
            <w:vAlign w:val="top"/>
          </w:tcPr>
          <w:p w14:paraId="4963A0C4">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994" w:type="dxa"/>
            <w:tcBorders>
              <w:top w:val="single" w:color="000000" w:sz="6" w:space="0"/>
              <w:left w:val="single" w:color="000000" w:sz="6" w:space="0"/>
              <w:bottom w:val="single" w:color="000000" w:sz="6" w:space="0"/>
              <w:right w:val="single" w:color="000000" w:sz="6" w:space="0"/>
            </w:tcBorders>
            <w:noWrap w:val="0"/>
            <w:vAlign w:val="top"/>
          </w:tcPr>
          <w:p w14:paraId="17521574">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c>
          <w:tcPr>
            <w:tcW w:w="1745" w:type="dxa"/>
            <w:tcBorders>
              <w:top w:val="single" w:color="000000" w:sz="6" w:space="0"/>
              <w:left w:val="single" w:color="000000" w:sz="6" w:space="0"/>
              <w:bottom w:val="single" w:color="000000" w:sz="6" w:space="0"/>
            </w:tcBorders>
            <w:noWrap w:val="0"/>
            <w:vAlign w:val="top"/>
          </w:tcPr>
          <w:p w14:paraId="644B1C75">
            <w:pPr>
              <w:pStyle w:val="33"/>
              <w:keepNext w:val="0"/>
              <w:keepLines w:val="0"/>
              <w:suppressLineNumbers w:val="0"/>
              <w:spacing w:before="0" w:beforeAutospacing="0" w:after="0" w:afterAutospacing="0"/>
              <w:ind w:left="0" w:right="0"/>
              <w:outlineLvl w:val="1"/>
              <w:rPr>
                <w:rFonts w:hint="default" w:ascii="Times New Roman"/>
                <w:sz w:val="22"/>
                <w:szCs w:val="20"/>
                <w:highlight w:val="none"/>
              </w:rPr>
            </w:pPr>
          </w:p>
        </w:tc>
      </w:tr>
      <w:tr w14:paraId="102E486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81" w:hRule="atLeast"/>
        </w:trPr>
        <w:tc>
          <w:tcPr>
            <w:tcW w:w="1127" w:type="dxa"/>
            <w:vMerge w:val="continue"/>
            <w:tcBorders>
              <w:top w:val="nil"/>
              <w:right w:val="single" w:color="000000" w:sz="6" w:space="0"/>
            </w:tcBorders>
            <w:noWrap w:val="0"/>
            <w:vAlign w:val="top"/>
          </w:tcPr>
          <w:p w14:paraId="39A875E3">
            <w:pPr>
              <w:keepNext w:val="0"/>
              <w:keepLines w:val="0"/>
              <w:suppressLineNumbers w:val="0"/>
              <w:spacing w:before="0" w:beforeAutospacing="0" w:after="0" w:afterAutospacing="0"/>
              <w:ind w:left="0" w:right="0"/>
              <w:outlineLvl w:val="1"/>
              <w:rPr>
                <w:rFonts w:hint="default"/>
                <w:sz w:val="2"/>
                <w:szCs w:val="2"/>
                <w:highlight w:val="none"/>
              </w:rPr>
            </w:pPr>
          </w:p>
        </w:tc>
        <w:tc>
          <w:tcPr>
            <w:tcW w:w="7775" w:type="dxa"/>
            <w:gridSpan w:val="4"/>
            <w:tcBorders>
              <w:top w:val="single" w:color="000000" w:sz="6" w:space="0"/>
              <w:left w:val="single" w:color="000000" w:sz="6" w:space="0"/>
            </w:tcBorders>
            <w:noWrap w:val="0"/>
            <w:vAlign w:val="top"/>
          </w:tcPr>
          <w:p w14:paraId="7AC3628F">
            <w:pPr>
              <w:pStyle w:val="33"/>
              <w:keepNext w:val="0"/>
              <w:keepLines w:val="0"/>
              <w:suppressLineNumbers w:val="0"/>
              <w:spacing w:before="0" w:beforeAutospacing="0" w:after="0" w:afterAutospacing="0"/>
              <w:ind w:left="0" w:right="0"/>
              <w:outlineLvl w:val="1"/>
              <w:rPr>
                <w:rFonts w:hint="default"/>
                <w:sz w:val="24"/>
                <w:szCs w:val="20"/>
                <w:highlight w:val="none"/>
              </w:rPr>
            </w:pPr>
          </w:p>
          <w:p w14:paraId="5ED2DC14">
            <w:pPr>
              <w:pStyle w:val="33"/>
              <w:keepNext w:val="0"/>
              <w:keepLines w:val="0"/>
              <w:suppressLineNumbers w:val="0"/>
              <w:spacing w:before="0" w:beforeAutospacing="0" w:after="0" w:afterAutospacing="0"/>
              <w:ind w:left="115" w:right="0"/>
              <w:outlineLvl w:val="1"/>
              <w:rPr>
                <w:rFonts w:hint="default"/>
                <w:sz w:val="24"/>
                <w:szCs w:val="20"/>
                <w:highlight w:val="none"/>
              </w:rPr>
            </w:pPr>
            <w:r>
              <w:rPr>
                <w:rFonts w:hint="default"/>
                <w:sz w:val="24"/>
                <w:szCs w:val="20"/>
                <w:highlight w:val="none"/>
              </w:rPr>
              <w:t>环保标志产品总金额：</w:t>
            </w:r>
          </w:p>
          <w:p w14:paraId="00DB0A1D">
            <w:pPr>
              <w:pStyle w:val="33"/>
              <w:keepNext w:val="0"/>
              <w:keepLines w:val="0"/>
              <w:suppressLineNumbers w:val="0"/>
              <w:spacing w:before="9" w:beforeAutospacing="0" w:after="0" w:afterAutospacing="0"/>
              <w:ind w:left="0" w:right="0"/>
              <w:outlineLvl w:val="1"/>
              <w:rPr>
                <w:rFonts w:hint="default"/>
                <w:sz w:val="24"/>
                <w:szCs w:val="20"/>
                <w:highlight w:val="none"/>
              </w:rPr>
            </w:pPr>
          </w:p>
          <w:p w14:paraId="652CF0F2">
            <w:pPr>
              <w:pStyle w:val="33"/>
              <w:keepNext w:val="0"/>
              <w:keepLines w:val="0"/>
              <w:suppressLineNumbers w:val="0"/>
              <w:spacing w:before="0" w:beforeAutospacing="0" w:after="0" w:afterAutospacing="0" w:line="288" w:lineRule="exact"/>
              <w:ind w:left="115" w:right="0"/>
              <w:outlineLvl w:val="1"/>
              <w:rPr>
                <w:rFonts w:hint="default"/>
                <w:sz w:val="24"/>
                <w:szCs w:val="20"/>
                <w:highlight w:val="none"/>
              </w:rPr>
            </w:pPr>
            <w:r>
              <w:rPr>
                <w:rFonts w:hint="default"/>
                <w:sz w:val="24"/>
                <w:szCs w:val="20"/>
                <w:highlight w:val="none"/>
              </w:rPr>
              <w:t>环保标志产品占总报价比重：%</w:t>
            </w:r>
          </w:p>
        </w:tc>
      </w:tr>
    </w:tbl>
    <w:p w14:paraId="0B1BCF05">
      <w:pPr>
        <w:rPr>
          <w:highlight w:val="none"/>
        </w:rPr>
      </w:pPr>
      <w:r>
        <w:rPr>
          <w:highlight w:val="none"/>
        </w:rPr>
        <w:t>说明：</w:t>
      </w:r>
    </w:p>
    <w:p w14:paraId="3D80A0B8">
      <w:pPr>
        <w:rPr>
          <w:highlight w:val="none"/>
        </w:rPr>
      </w:pPr>
      <w:r>
        <w:rPr>
          <w:highlight w:val="none"/>
        </w:rPr>
        <w:t>属于品目清单范围内的节能或环境标志产品，应当提供国家确定的认证机构出具的、处于有效期之内的节能产品或环境标志产品认证证书</w:t>
      </w:r>
      <w:r>
        <w:rPr>
          <w:rFonts w:hint="eastAsia"/>
          <w:highlight w:val="none"/>
          <w:lang w:eastAsia="zh-CN"/>
        </w:rPr>
        <w:t>扫描件</w:t>
      </w:r>
      <w:r>
        <w:rPr>
          <w:highlight w:val="none"/>
        </w:rPr>
        <w:t>，并加盖响应供应商单位的公章。</w:t>
      </w:r>
    </w:p>
    <w:p w14:paraId="682B884D">
      <w:pPr>
        <w:numPr>
          <w:ilvl w:val="0"/>
          <w:numId w:val="6"/>
        </w:numPr>
        <w:rPr>
          <w:highlight w:val="none"/>
        </w:rPr>
      </w:pPr>
      <w:r>
        <w:rPr>
          <w:highlight w:val="none"/>
        </w:rPr>
        <w:t>未提供产品认证证书不予价格扣除。</w:t>
      </w:r>
    </w:p>
    <w:p w14:paraId="71648167">
      <w:pPr>
        <w:rPr>
          <w:highlight w:val="none"/>
        </w:rPr>
      </w:pPr>
    </w:p>
    <w:p w14:paraId="1B3BE09F">
      <w:pPr>
        <w:rPr>
          <w:highlight w:val="none"/>
        </w:rPr>
      </w:pPr>
      <w:r>
        <w:rPr>
          <w:highlight w:val="none"/>
        </w:rPr>
        <w:t>响应供应商名称（盖公章）：</w:t>
      </w:r>
    </w:p>
    <w:p w14:paraId="16CB132A">
      <w:pPr>
        <w:rPr>
          <w:highlight w:val="none"/>
        </w:rPr>
      </w:pPr>
    </w:p>
    <w:p w14:paraId="1C79D9A7">
      <w:pPr>
        <w:rPr>
          <w:highlight w:val="none"/>
        </w:rPr>
      </w:pPr>
      <w:r>
        <w:rPr>
          <w:highlight w:val="none"/>
        </w:rPr>
        <w:t>日期：</w:t>
      </w:r>
    </w:p>
    <w:p w14:paraId="71CB3804">
      <w:pPr>
        <w:rPr>
          <w:highlight w:val="none"/>
        </w:rPr>
      </w:pPr>
    </w:p>
    <w:p w14:paraId="1FB8DCDB">
      <w:pPr>
        <w:rPr>
          <w:highlight w:val="none"/>
        </w:rPr>
      </w:pPr>
    </w:p>
    <w:p w14:paraId="2B4FB92F">
      <w:pPr>
        <w:pStyle w:val="7"/>
        <w:rPr>
          <w:highlight w:val="none"/>
        </w:rPr>
      </w:pPr>
    </w:p>
    <w:p w14:paraId="1A033B62">
      <w:pPr>
        <w:pStyle w:val="7"/>
        <w:rPr>
          <w:highlight w:val="none"/>
        </w:rPr>
      </w:pPr>
    </w:p>
    <w:p w14:paraId="1ECDEA29">
      <w:pPr>
        <w:pStyle w:val="7"/>
        <w:rPr>
          <w:highlight w:val="none"/>
        </w:rPr>
      </w:pPr>
    </w:p>
    <w:p w14:paraId="0D0690EB">
      <w:pPr>
        <w:pStyle w:val="7"/>
        <w:rPr>
          <w:highlight w:val="none"/>
        </w:rPr>
      </w:pPr>
    </w:p>
    <w:p w14:paraId="5C82CC59">
      <w:pPr>
        <w:pStyle w:val="7"/>
        <w:rPr>
          <w:highlight w:val="none"/>
        </w:rPr>
      </w:pPr>
    </w:p>
    <w:p w14:paraId="0C088B0F">
      <w:pPr>
        <w:pStyle w:val="7"/>
        <w:rPr>
          <w:highlight w:val="none"/>
        </w:rPr>
      </w:pPr>
    </w:p>
    <w:p w14:paraId="6B9177C9">
      <w:pPr>
        <w:rPr>
          <w:highlight w:val="none"/>
        </w:rPr>
      </w:pPr>
    </w:p>
    <w:p w14:paraId="037FCE1C">
      <w:pPr>
        <w:pStyle w:val="7"/>
        <w:rPr>
          <w:highlight w:val="none"/>
        </w:rPr>
      </w:pPr>
    </w:p>
    <w:p w14:paraId="1E8FF9D0">
      <w:pPr>
        <w:pStyle w:val="7"/>
        <w:rPr>
          <w:rFonts w:hint="eastAsia" w:ascii="宋体" w:hAnsi="宋体" w:cs="宋体"/>
          <w:b/>
          <w:sz w:val="24"/>
          <w:highlight w:val="none"/>
        </w:rPr>
      </w:pPr>
    </w:p>
    <w:p w14:paraId="16F8C223">
      <w:pPr>
        <w:pStyle w:val="7"/>
        <w:rPr>
          <w:rFonts w:hint="eastAsia" w:ascii="宋体" w:hAnsi="宋体" w:cs="宋体"/>
          <w:b/>
          <w:sz w:val="24"/>
          <w:highlight w:val="none"/>
        </w:rPr>
      </w:pPr>
    </w:p>
    <w:p w14:paraId="2CCBFB39">
      <w:pPr>
        <w:spacing w:before="55"/>
        <w:ind w:right="2656"/>
        <w:jc w:val="center"/>
        <w:outlineLvl w:val="1"/>
        <w:rPr>
          <w:rFonts w:hint="eastAsia"/>
          <w:b/>
          <w:bCs/>
          <w:sz w:val="28"/>
          <w:szCs w:val="28"/>
          <w:highlight w:val="none"/>
        </w:rPr>
      </w:pPr>
      <w:r>
        <w:rPr>
          <w:rFonts w:hint="eastAsia"/>
          <w:b/>
          <w:bCs/>
          <w:sz w:val="28"/>
          <w:szCs w:val="28"/>
          <w:highlight w:val="none"/>
        </w:rPr>
        <w:t xml:space="preserve">  </w:t>
      </w:r>
      <w:r>
        <w:rPr>
          <w:rFonts w:hint="eastAsia"/>
          <w:b/>
          <w:bCs/>
          <w:sz w:val="28"/>
          <w:szCs w:val="28"/>
          <w:highlight w:val="none"/>
          <w:lang w:val="zh-CN"/>
        </w:rPr>
        <w:t>附件</w:t>
      </w:r>
      <w:r>
        <w:rPr>
          <w:rFonts w:hint="eastAsia"/>
          <w:b/>
          <w:bCs/>
          <w:sz w:val="28"/>
          <w:szCs w:val="28"/>
          <w:highlight w:val="none"/>
        </w:rPr>
        <w:t>1</w:t>
      </w:r>
      <w:r>
        <w:rPr>
          <w:rFonts w:hint="eastAsia"/>
          <w:b/>
          <w:bCs/>
          <w:sz w:val="28"/>
          <w:szCs w:val="28"/>
          <w:highlight w:val="none"/>
          <w:lang w:val="en-US" w:eastAsia="zh-CN"/>
        </w:rPr>
        <w:t>4</w:t>
      </w:r>
      <w:r>
        <w:rPr>
          <w:rFonts w:hint="eastAsia"/>
          <w:b/>
          <w:bCs/>
          <w:sz w:val="28"/>
          <w:szCs w:val="28"/>
          <w:highlight w:val="none"/>
        </w:rPr>
        <w:t>、主要股东或出资人信息</w:t>
      </w:r>
    </w:p>
    <w:p w14:paraId="6A18D188">
      <w:pPr>
        <w:jc w:val="center"/>
        <w:rPr>
          <w:rFonts w:hint="eastAsia" w:ascii="宋体" w:hAnsi="宋体" w:cs="宋体"/>
          <w:b/>
          <w:sz w:val="28"/>
          <w:szCs w:val="28"/>
          <w:highlight w:val="none"/>
        </w:rPr>
      </w:pPr>
      <w:r>
        <w:rPr>
          <w:rFonts w:hint="eastAsia" w:ascii="宋体" w:hAnsi="宋体" w:cs="宋体"/>
          <w:b/>
          <w:sz w:val="28"/>
          <w:szCs w:val="28"/>
          <w:highlight w:val="none"/>
        </w:rPr>
        <w:t>主要股东或出资人信息</w:t>
      </w:r>
    </w:p>
    <w:tbl>
      <w:tblPr>
        <w:tblStyle w:val="22"/>
        <w:tblW w:w="9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10"/>
        <w:gridCol w:w="1287"/>
        <w:gridCol w:w="2340"/>
        <w:gridCol w:w="1404"/>
        <w:gridCol w:w="1493"/>
        <w:gridCol w:w="1315"/>
        <w:gridCol w:w="957"/>
      </w:tblGrid>
      <w:tr w14:paraId="4F8C8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93" w:hRule="atLeast"/>
          <w:jc w:val="center"/>
        </w:trPr>
        <w:tc>
          <w:tcPr>
            <w:tcW w:w="810" w:type="dxa"/>
            <w:noWrap w:val="0"/>
            <w:vAlign w:val="center"/>
          </w:tcPr>
          <w:p w14:paraId="15E7AB8F">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序号</w:t>
            </w:r>
          </w:p>
        </w:tc>
        <w:tc>
          <w:tcPr>
            <w:tcW w:w="1287" w:type="dxa"/>
            <w:noWrap w:val="0"/>
            <w:vAlign w:val="center"/>
          </w:tcPr>
          <w:p w14:paraId="2A064475">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名称</w:t>
            </w:r>
          </w:p>
          <w:p w14:paraId="1313AE8F">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（姓名）</w:t>
            </w:r>
          </w:p>
        </w:tc>
        <w:tc>
          <w:tcPr>
            <w:tcW w:w="2340" w:type="dxa"/>
            <w:noWrap w:val="0"/>
            <w:vAlign w:val="center"/>
          </w:tcPr>
          <w:p w14:paraId="299981DE">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统一社会信用代码</w:t>
            </w:r>
          </w:p>
          <w:p w14:paraId="185AE60F">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（身份证号）</w:t>
            </w:r>
          </w:p>
        </w:tc>
        <w:tc>
          <w:tcPr>
            <w:tcW w:w="1404" w:type="dxa"/>
            <w:noWrap w:val="0"/>
            <w:vAlign w:val="center"/>
          </w:tcPr>
          <w:p w14:paraId="18893E3D">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出资方式</w:t>
            </w:r>
          </w:p>
        </w:tc>
        <w:tc>
          <w:tcPr>
            <w:tcW w:w="1493" w:type="dxa"/>
            <w:noWrap w:val="0"/>
            <w:vAlign w:val="center"/>
          </w:tcPr>
          <w:p w14:paraId="3D40CFFE">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出资金额</w:t>
            </w:r>
          </w:p>
          <w:p w14:paraId="51058799">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（万元）</w:t>
            </w:r>
          </w:p>
        </w:tc>
        <w:tc>
          <w:tcPr>
            <w:tcW w:w="1315" w:type="dxa"/>
            <w:noWrap w:val="0"/>
            <w:vAlign w:val="center"/>
          </w:tcPr>
          <w:p w14:paraId="33E7D7B2">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占全部股份比例</w:t>
            </w:r>
          </w:p>
        </w:tc>
        <w:tc>
          <w:tcPr>
            <w:tcW w:w="957" w:type="dxa"/>
            <w:noWrap w:val="0"/>
            <w:vAlign w:val="center"/>
          </w:tcPr>
          <w:p w14:paraId="5296C3EE">
            <w:pPr>
              <w:keepNext w:val="0"/>
              <w:keepLines w:val="0"/>
              <w:suppressLineNumbers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备注</w:t>
            </w:r>
          </w:p>
        </w:tc>
      </w:tr>
      <w:tr w14:paraId="2839F6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0"/>
            <w:vAlign w:val="center"/>
          </w:tcPr>
          <w:p w14:paraId="501FD4E3">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287" w:type="dxa"/>
            <w:noWrap w:val="0"/>
            <w:vAlign w:val="center"/>
          </w:tcPr>
          <w:p w14:paraId="5EFFB842">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2340" w:type="dxa"/>
            <w:noWrap w:val="0"/>
            <w:vAlign w:val="center"/>
          </w:tcPr>
          <w:p w14:paraId="1461DA09">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04" w:type="dxa"/>
            <w:noWrap w:val="0"/>
            <w:vAlign w:val="center"/>
          </w:tcPr>
          <w:p w14:paraId="7F109B06">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93" w:type="dxa"/>
            <w:noWrap w:val="0"/>
            <w:vAlign w:val="center"/>
          </w:tcPr>
          <w:p w14:paraId="00E944FA">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315" w:type="dxa"/>
            <w:noWrap w:val="0"/>
            <w:vAlign w:val="center"/>
          </w:tcPr>
          <w:p w14:paraId="0E6727E1">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957" w:type="dxa"/>
            <w:noWrap w:val="0"/>
            <w:vAlign w:val="center"/>
          </w:tcPr>
          <w:p w14:paraId="183064DB">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r>
      <w:tr w14:paraId="4BEEC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0"/>
            <w:vAlign w:val="center"/>
          </w:tcPr>
          <w:p w14:paraId="46264386">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287" w:type="dxa"/>
            <w:noWrap w:val="0"/>
            <w:vAlign w:val="center"/>
          </w:tcPr>
          <w:p w14:paraId="3EE6B445">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2340" w:type="dxa"/>
            <w:noWrap w:val="0"/>
            <w:vAlign w:val="center"/>
          </w:tcPr>
          <w:p w14:paraId="0A842F1E">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04" w:type="dxa"/>
            <w:noWrap w:val="0"/>
            <w:vAlign w:val="center"/>
          </w:tcPr>
          <w:p w14:paraId="27C60D82">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93" w:type="dxa"/>
            <w:noWrap w:val="0"/>
            <w:vAlign w:val="center"/>
          </w:tcPr>
          <w:p w14:paraId="76DC492E">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315" w:type="dxa"/>
            <w:noWrap w:val="0"/>
            <w:vAlign w:val="center"/>
          </w:tcPr>
          <w:p w14:paraId="53EE0948">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957" w:type="dxa"/>
            <w:noWrap w:val="0"/>
            <w:vAlign w:val="center"/>
          </w:tcPr>
          <w:p w14:paraId="0F22ACAA">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r>
      <w:tr w14:paraId="3AEC3C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0"/>
            <w:vAlign w:val="center"/>
          </w:tcPr>
          <w:p w14:paraId="770627CA">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287" w:type="dxa"/>
            <w:noWrap w:val="0"/>
            <w:vAlign w:val="center"/>
          </w:tcPr>
          <w:p w14:paraId="328FAD54">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2340" w:type="dxa"/>
            <w:noWrap w:val="0"/>
            <w:vAlign w:val="center"/>
          </w:tcPr>
          <w:p w14:paraId="2CF08506">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04" w:type="dxa"/>
            <w:noWrap w:val="0"/>
            <w:vAlign w:val="center"/>
          </w:tcPr>
          <w:p w14:paraId="00596925">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93" w:type="dxa"/>
            <w:noWrap w:val="0"/>
            <w:vAlign w:val="center"/>
          </w:tcPr>
          <w:p w14:paraId="13AF3210">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315" w:type="dxa"/>
            <w:noWrap w:val="0"/>
            <w:vAlign w:val="center"/>
          </w:tcPr>
          <w:p w14:paraId="6BDDCA75">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957" w:type="dxa"/>
            <w:noWrap w:val="0"/>
            <w:vAlign w:val="center"/>
          </w:tcPr>
          <w:p w14:paraId="302AB7F6">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r>
      <w:tr w14:paraId="518523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0"/>
            <w:vAlign w:val="center"/>
          </w:tcPr>
          <w:p w14:paraId="31DA4F6F">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287" w:type="dxa"/>
            <w:noWrap w:val="0"/>
            <w:vAlign w:val="center"/>
          </w:tcPr>
          <w:p w14:paraId="6F5C63CF">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2340" w:type="dxa"/>
            <w:noWrap w:val="0"/>
            <w:vAlign w:val="center"/>
          </w:tcPr>
          <w:p w14:paraId="7D6F04B3">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04" w:type="dxa"/>
            <w:noWrap w:val="0"/>
            <w:vAlign w:val="center"/>
          </w:tcPr>
          <w:p w14:paraId="7A04D8A2">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493" w:type="dxa"/>
            <w:noWrap w:val="0"/>
            <w:vAlign w:val="center"/>
          </w:tcPr>
          <w:p w14:paraId="1748688D">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1315" w:type="dxa"/>
            <w:noWrap w:val="0"/>
            <w:vAlign w:val="center"/>
          </w:tcPr>
          <w:p w14:paraId="013E392E">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c>
          <w:tcPr>
            <w:tcW w:w="957" w:type="dxa"/>
            <w:noWrap w:val="0"/>
            <w:vAlign w:val="center"/>
          </w:tcPr>
          <w:p w14:paraId="300699B2">
            <w:pPr>
              <w:keepNext w:val="0"/>
              <w:keepLines w:val="0"/>
              <w:suppressLineNumbers w:val="0"/>
              <w:spacing w:before="0" w:beforeAutospacing="0" w:after="0" w:afterAutospacing="0"/>
              <w:ind w:left="0" w:right="0"/>
              <w:jc w:val="center"/>
              <w:rPr>
                <w:rFonts w:hint="eastAsia" w:ascii="宋体" w:hAnsi="宋体" w:cs="宋体"/>
                <w:szCs w:val="21"/>
                <w:highlight w:val="none"/>
              </w:rPr>
            </w:pPr>
          </w:p>
        </w:tc>
      </w:tr>
      <w:tr w14:paraId="16A6D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0"/>
            <w:vAlign w:val="center"/>
          </w:tcPr>
          <w:p w14:paraId="1BDC6E91">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c>
          <w:tcPr>
            <w:tcW w:w="1287" w:type="dxa"/>
            <w:noWrap w:val="0"/>
            <w:vAlign w:val="center"/>
          </w:tcPr>
          <w:p w14:paraId="670CA33D">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c>
          <w:tcPr>
            <w:tcW w:w="2340" w:type="dxa"/>
            <w:noWrap w:val="0"/>
            <w:vAlign w:val="center"/>
          </w:tcPr>
          <w:p w14:paraId="0470D78E">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c>
          <w:tcPr>
            <w:tcW w:w="1404" w:type="dxa"/>
            <w:noWrap w:val="0"/>
            <w:vAlign w:val="center"/>
          </w:tcPr>
          <w:p w14:paraId="2EE16AFD">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c>
          <w:tcPr>
            <w:tcW w:w="1493" w:type="dxa"/>
            <w:noWrap w:val="0"/>
            <w:vAlign w:val="center"/>
          </w:tcPr>
          <w:p w14:paraId="228F1BD9">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c>
          <w:tcPr>
            <w:tcW w:w="1315" w:type="dxa"/>
            <w:noWrap w:val="0"/>
            <w:vAlign w:val="center"/>
          </w:tcPr>
          <w:p w14:paraId="550AD3E9">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c>
          <w:tcPr>
            <w:tcW w:w="957" w:type="dxa"/>
            <w:noWrap w:val="0"/>
            <w:vAlign w:val="center"/>
          </w:tcPr>
          <w:p w14:paraId="40271CAF">
            <w:pPr>
              <w:keepNext w:val="0"/>
              <w:keepLines w:val="0"/>
              <w:suppressLineNumbers w:val="0"/>
              <w:spacing w:before="0" w:beforeAutospacing="0" w:after="0" w:afterAutospacing="0"/>
              <w:ind w:left="0" w:right="0"/>
              <w:jc w:val="center"/>
              <w:rPr>
                <w:rFonts w:hint="eastAsia" w:ascii="宋体" w:hAnsi="宋体" w:cs="宋体"/>
                <w:szCs w:val="20"/>
                <w:highlight w:val="none"/>
              </w:rPr>
            </w:pPr>
          </w:p>
        </w:tc>
      </w:tr>
    </w:tbl>
    <w:p w14:paraId="7AE7B990">
      <w:pPr>
        <w:spacing w:line="480" w:lineRule="exact"/>
        <w:ind w:firstLine="480" w:firstLineChars="200"/>
        <w:rPr>
          <w:rFonts w:hint="eastAsia" w:ascii="宋体" w:hAnsi="宋体" w:cs="宋体"/>
          <w:sz w:val="24"/>
          <w:highlight w:val="none"/>
        </w:rPr>
      </w:pPr>
      <w:r>
        <w:rPr>
          <w:rFonts w:hint="eastAsia" w:ascii="宋体" w:hAnsi="宋体" w:cs="宋体"/>
          <w:sz w:val="24"/>
          <w:highlight w:val="none"/>
        </w:rPr>
        <w:t>我方承诺，以上信息真实可靠；如填报的股东出资额、出资比例等与实际不符，视为放弃中标资格。</w:t>
      </w:r>
    </w:p>
    <w:p w14:paraId="69411A85">
      <w:pPr>
        <w:spacing w:line="480" w:lineRule="exact"/>
        <w:ind w:left="630" w:hanging="630" w:hangingChars="300"/>
        <w:rPr>
          <w:rFonts w:hint="eastAsia" w:ascii="宋体" w:hAnsi="宋体" w:cs="宋体"/>
          <w:highlight w:val="none"/>
        </w:rPr>
      </w:pPr>
    </w:p>
    <w:p w14:paraId="539B3A84">
      <w:pPr>
        <w:snapToGrid w:val="0"/>
        <w:spacing w:line="440" w:lineRule="exact"/>
        <w:ind w:left="630" w:hanging="630" w:hangingChars="300"/>
        <w:rPr>
          <w:rFonts w:hint="eastAsia" w:ascii="宋体" w:hAnsi="宋体" w:cs="宋体"/>
          <w:highlight w:val="none"/>
        </w:rPr>
      </w:pPr>
      <w:r>
        <w:rPr>
          <w:rFonts w:hint="eastAsia" w:ascii="宋体" w:hAnsi="宋体" w:cs="宋体"/>
          <w:highlight w:val="none"/>
        </w:rPr>
        <w:t>注：1.主要股东或出资人为法人的，填写法人全称及统一社会信用代码（尚未办理三证合一的填写组织机构代码）；为自然人的，填写自然人姓名和身份证号。</w:t>
      </w:r>
    </w:p>
    <w:p w14:paraId="5704C89A">
      <w:pPr>
        <w:snapToGrid w:val="0"/>
        <w:spacing w:line="440" w:lineRule="exact"/>
        <w:ind w:firstLine="420" w:firstLineChars="200"/>
        <w:rPr>
          <w:rFonts w:hint="eastAsia" w:ascii="宋体" w:hAnsi="宋体" w:cs="宋体"/>
          <w:highlight w:val="none"/>
        </w:rPr>
      </w:pPr>
      <w:r>
        <w:rPr>
          <w:rFonts w:hint="eastAsia" w:ascii="宋体" w:hAnsi="宋体" w:cs="宋体"/>
          <w:highlight w:val="none"/>
        </w:rPr>
        <w:t>2.出资方式填写货币、实物、工艺产权和非专利技术、土地使用权等。</w:t>
      </w:r>
    </w:p>
    <w:p w14:paraId="42F74687">
      <w:pPr>
        <w:snapToGrid w:val="0"/>
        <w:spacing w:line="440" w:lineRule="exact"/>
        <w:ind w:left="630" w:leftChars="200" w:hanging="210" w:hangingChars="100"/>
        <w:rPr>
          <w:rFonts w:hint="eastAsia" w:ascii="宋体" w:hAnsi="宋体" w:cs="宋体"/>
          <w:highlight w:val="none"/>
        </w:rPr>
      </w:pPr>
      <w:r>
        <w:rPr>
          <w:rFonts w:hint="eastAsia" w:ascii="宋体" w:hAnsi="宋体" w:cs="宋体"/>
          <w:highlight w:val="none"/>
        </w:rPr>
        <w:t>3.投标人应按照占全部股份比例从大到小依次逐个股东填写，股东数量多于10个的，填写前10名，不足10个的全部填写。</w:t>
      </w:r>
    </w:p>
    <w:p w14:paraId="4BFB7252">
      <w:pPr>
        <w:spacing w:line="480" w:lineRule="exact"/>
        <w:ind w:left="525" w:leftChars="200" w:hanging="105" w:hangingChars="50"/>
        <w:rPr>
          <w:rFonts w:hint="eastAsia" w:ascii="宋体" w:hAnsi="宋体" w:cs="宋体"/>
          <w:highlight w:val="none"/>
        </w:rPr>
      </w:pPr>
    </w:p>
    <w:p w14:paraId="50D3AECD">
      <w:pPr>
        <w:spacing w:line="480" w:lineRule="exact"/>
        <w:ind w:left="525" w:leftChars="200" w:hanging="105" w:hangingChars="50"/>
        <w:rPr>
          <w:rFonts w:hint="eastAsia" w:ascii="宋体" w:hAnsi="宋体" w:cs="宋体"/>
          <w:highlight w:val="none"/>
        </w:rPr>
      </w:pPr>
    </w:p>
    <w:p w14:paraId="3A35835B">
      <w:pPr>
        <w:spacing w:line="480" w:lineRule="exact"/>
        <w:ind w:left="540" w:leftChars="200" w:hanging="120" w:hangingChars="50"/>
        <w:rPr>
          <w:rFonts w:hint="eastAsia" w:ascii="宋体" w:hAnsi="宋体" w:cs="宋体"/>
          <w:sz w:val="24"/>
          <w:highlight w:val="none"/>
        </w:rPr>
      </w:pPr>
    </w:p>
    <w:p w14:paraId="49804E0B">
      <w:pPr>
        <w:jc w:val="center"/>
        <w:rPr>
          <w:rFonts w:hint="eastAsia" w:ascii="宋体" w:hAnsi="宋体" w:cs="宋体"/>
          <w:sz w:val="24"/>
          <w:highlight w:val="none"/>
          <w:lang w:val="zh-CN"/>
        </w:rPr>
      </w:pPr>
      <w:r>
        <w:rPr>
          <w:rFonts w:hint="eastAsia" w:ascii="宋体" w:hAnsi="宋体" w:cs="宋体"/>
          <w:sz w:val="24"/>
          <w:highlight w:val="none"/>
          <w:lang w:val="zh-CN"/>
        </w:rPr>
        <w:t>投标人全称：（盖章）</w:t>
      </w:r>
    </w:p>
    <w:p w14:paraId="0C16E22C">
      <w:pPr>
        <w:jc w:val="center"/>
        <w:rPr>
          <w:rFonts w:hint="eastAsia" w:ascii="宋体" w:hAnsi="宋体" w:cs="宋体"/>
          <w:sz w:val="24"/>
          <w:highlight w:val="none"/>
          <w:lang w:val="zh-CN"/>
        </w:rPr>
      </w:pPr>
    </w:p>
    <w:p w14:paraId="4DB54136">
      <w:pPr>
        <w:jc w:val="center"/>
        <w:rPr>
          <w:rFonts w:hint="eastAsia" w:ascii="宋体" w:hAnsi="宋体" w:cs="宋体"/>
          <w:sz w:val="24"/>
          <w:highlight w:val="none"/>
          <w:lang w:val="zh-CN"/>
        </w:rPr>
      </w:pPr>
      <w:r>
        <w:rPr>
          <w:rFonts w:hint="eastAsia" w:ascii="宋体" w:hAnsi="宋体" w:cs="宋体"/>
          <w:sz w:val="24"/>
          <w:highlight w:val="none"/>
          <w:lang w:val="zh-CN"/>
        </w:rPr>
        <w:t xml:space="preserve">           法法定代表人或授权委托人签字：</w:t>
      </w:r>
    </w:p>
    <w:p w14:paraId="0EECC04D">
      <w:pPr>
        <w:jc w:val="center"/>
        <w:rPr>
          <w:rFonts w:hint="eastAsia" w:ascii="宋体" w:hAnsi="宋体" w:cs="宋体"/>
          <w:sz w:val="24"/>
          <w:highlight w:val="none"/>
          <w:lang w:val="zh-CN"/>
        </w:rPr>
      </w:pPr>
    </w:p>
    <w:p w14:paraId="5788196D">
      <w:pPr>
        <w:rPr>
          <w:rFonts w:hint="eastAsia" w:ascii="宋体" w:hAnsi="宋体" w:cs="宋体"/>
          <w:sz w:val="24"/>
          <w:highlight w:val="none"/>
          <w:lang w:val="zh-CN"/>
        </w:rPr>
      </w:pPr>
    </w:p>
    <w:p w14:paraId="7409974E">
      <w:pPr>
        <w:pStyle w:val="7"/>
        <w:ind w:firstLine="6960" w:firstLineChars="2900"/>
        <w:rPr>
          <w:rFonts w:hint="eastAsia" w:ascii="宋体" w:hAnsi="宋体" w:cs="宋体"/>
          <w:sz w:val="24"/>
          <w:highlight w:val="none"/>
          <w:lang w:val="zh-CN"/>
        </w:rPr>
      </w:pPr>
      <w:r>
        <w:rPr>
          <w:rFonts w:hint="eastAsia" w:ascii="宋体" w:hAnsi="宋体" w:cs="宋体"/>
          <w:sz w:val="24"/>
          <w:highlight w:val="none"/>
          <w:lang w:val="zh-CN"/>
        </w:rPr>
        <w:t>年   月   日</w:t>
      </w:r>
    </w:p>
    <w:p w14:paraId="6360E4A5">
      <w:pPr>
        <w:rPr>
          <w:rFonts w:hint="eastAsia" w:ascii="宋体" w:hAnsi="宋体" w:cs="宋体"/>
          <w:b/>
          <w:sz w:val="24"/>
          <w:highlight w:val="none"/>
        </w:rPr>
      </w:pPr>
    </w:p>
    <w:p w14:paraId="32D0E66B">
      <w:pPr>
        <w:rPr>
          <w:rFonts w:hint="eastAsia" w:ascii="宋体" w:hAnsi="宋体" w:cs="宋体"/>
          <w:b/>
          <w:sz w:val="24"/>
          <w:highlight w:val="none"/>
        </w:rPr>
      </w:pPr>
    </w:p>
    <w:p w14:paraId="5ABC9AA2">
      <w:pPr>
        <w:rPr>
          <w:rFonts w:hint="eastAsia" w:ascii="宋体" w:hAnsi="宋体" w:cs="宋体"/>
          <w:b/>
          <w:sz w:val="24"/>
          <w:highlight w:val="none"/>
        </w:rPr>
      </w:pPr>
    </w:p>
    <w:p w14:paraId="45DF6F7E">
      <w:pPr>
        <w:rPr>
          <w:rFonts w:hint="eastAsia" w:ascii="宋体" w:hAnsi="宋体" w:cs="宋体"/>
          <w:b/>
          <w:sz w:val="24"/>
          <w:highlight w:val="none"/>
        </w:rPr>
      </w:pPr>
    </w:p>
    <w:p w14:paraId="57284413">
      <w:pPr>
        <w:rPr>
          <w:rFonts w:hint="eastAsia" w:ascii="宋体" w:hAnsi="宋体" w:cs="宋体"/>
          <w:b/>
          <w:sz w:val="24"/>
          <w:highlight w:val="none"/>
        </w:rPr>
      </w:pPr>
    </w:p>
    <w:p w14:paraId="5D1EBD98">
      <w:pPr>
        <w:rPr>
          <w:rFonts w:hint="eastAsia" w:ascii="宋体" w:hAnsi="宋体" w:cs="宋体"/>
          <w:b/>
          <w:sz w:val="24"/>
          <w:highlight w:val="none"/>
        </w:rPr>
      </w:pPr>
    </w:p>
    <w:p w14:paraId="1D8BF13B">
      <w:pPr>
        <w:rPr>
          <w:rFonts w:hint="eastAsia" w:ascii="宋体" w:hAnsi="宋体" w:cs="宋体"/>
          <w:b/>
          <w:sz w:val="24"/>
          <w:highlight w:val="none"/>
        </w:rPr>
      </w:pPr>
    </w:p>
    <w:p w14:paraId="6965089C">
      <w:pPr>
        <w:rPr>
          <w:rFonts w:hint="eastAsia" w:ascii="宋体" w:hAnsi="宋体" w:cs="宋体"/>
          <w:b/>
          <w:sz w:val="24"/>
          <w:highlight w:val="none"/>
        </w:rPr>
      </w:pPr>
    </w:p>
    <w:p w14:paraId="7F87F38E">
      <w:pPr>
        <w:rPr>
          <w:rFonts w:hint="eastAsia" w:ascii="宋体" w:hAnsi="宋体" w:cs="宋体"/>
          <w:b/>
          <w:sz w:val="28"/>
          <w:szCs w:val="28"/>
          <w:highlight w:val="none"/>
        </w:rPr>
      </w:pPr>
      <w:r>
        <w:rPr>
          <w:rFonts w:hint="eastAsia" w:ascii="宋体" w:hAnsi="宋体" w:cs="宋体"/>
          <w:b/>
          <w:sz w:val="28"/>
          <w:szCs w:val="28"/>
          <w:highlight w:val="none"/>
        </w:rPr>
        <w:t>附件1</w:t>
      </w:r>
      <w:r>
        <w:rPr>
          <w:rFonts w:hint="eastAsia" w:ascii="宋体" w:hAnsi="宋体" w:cs="宋体"/>
          <w:b/>
          <w:sz w:val="28"/>
          <w:szCs w:val="28"/>
          <w:highlight w:val="none"/>
          <w:lang w:val="en-US" w:eastAsia="zh-CN"/>
        </w:rPr>
        <w:t>5</w:t>
      </w:r>
      <w:r>
        <w:rPr>
          <w:rFonts w:hint="eastAsia" w:ascii="宋体" w:hAnsi="宋体" w:cs="宋体"/>
          <w:b/>
          <w:sz w:val="28"/>
          <w:szCs w:val="28"/>
          <w:highlight w:val="none"/>
        </w:rPr>
        <w:t>、非联合体投标声明</w:t>
      </w:r>
    </w:p>
    <w:p w14:paraId="28CE4996">
      <w:pPr>
        <w:pStyle w:val="6"/>
        <w:jc w:val="center"/>
        <w:rPr>
          <w:rFonts w:hint="eastAsia"/>
          <w:sz w:val="30"/>
          <w:szCs w:val="30"/>
          <w:highlight w:val="none"/>
        </w:rPr>
      </w:pPr>
      <w:r>
        <w:rPr>
          <w:rFonts w:hint="eastAsia" w:ascii="宋体" w:hAnsi="宋体" w:cs="宋体"/>
          <w:b/>
          <w:sz w:val="30"/>
          <w:szCs w:val="30"/>
          <w:highlight w:val="none"/>
        </w:rPr>
        <w:t>非联合体投标声明</w:t>
      </w:r>
    </w:p>
    <w:p w14:paraId="0A845D23">
      <w:pPr>
        <w:rPr>
          <w:rFonts w:hint="eastAsia" w:ascii="宋体" w:hAnsi="宋体"/>
          <w:b/>
          <w:sz w:val="32"/>
          <w:szCs w:val="32"/>
          <w:highlight w:val="none"/>
        </w:rPr>
      </w:pPr>
    </w:p>
    <w:p w14:paraId="702F5B27">
      <w:pPr>
        <w:ind w:firstLine="642"/>
        <w:rPr>
          <w:rFonts w:hint="eastAsia" w:ascii="宋体" w:hAnsi="宋体"/>
          <w:b/>
          <w:sz w:val="24"/>
          <w:highlight w:val="none"/>
        </w:rPr>
      </w:pPr>
    </w:p>
    <w:p w14:paraId="6ADF0043">
      <w:pPr>
        <w:ind w:firstLine="642"/>
        <w:rPr>
          <w:rFonts w:hint="eastAsia" w:ascii="宋体" w:hAnsi="宋体"/>
          <w:b/>
          <w:sz w:val="24"/>
          <w:highlight w:val="none"/>
        </w:rPr>
      </w:pPr>
      <w:r>
        <w:rPr>
          <w:rFonts w:hint="eastAsia" w:ascii="宋体" w:hAnsi="宋体"/>
          <w:b/>
          <w:sz w:val="24"/>
          <w:highlight w:val="none"/>
        </w:rPr>
        <w:t>本项目非联合体投标，特此声明。</w:t>
      </w:r>
    </w:p>
    <w:p w14:paraId="6B26E518">
      <w:pPr>
        <w:ind w:firstLine="642"/>
        <w:rPr>
          <w:rFonts w:ascii="宋体" w:hAnsi="宋体"/>
          <w:b/>
          <w:sz w:val="24"/>
          <w:highlight w:val="none"/>
        </w:rPr>
      </w:pPr>
    </w:p>
    <w:p w14:paraId="6D7FA47E">
      <w:pPr>
        <w:ind w:firstLine="642"/>
        <w:rPr>
          <w:rFonts w:ascii="宋体" w:hAnsi="宋体"/>
          <w:b/>
          <w:sz w:val="24"/>
          <w:highlight w:val="none"/>
        </w:rPr>
      </w:pPr>
    </w:p>
    <w:p w14:paraId="04502BD2">
      <w:pPr>
        <w:ind w:firstLine="642"/>
        <w:jc w:val="center"/>
        <w:rPr>
          <w:rFonts w:hint="eastAsia" w:ascii="宋体" w:hAnsi="宋体"/>
          <w:b/>
          <w:sz w:val="24"/>
          <w:highlight w:val="none"/>
        </w:rPr>
      </w:pPr>
      <w:r>
        <w:rPr>
          <w:rFonts w:hint="eastAsia" w:ascii="宋体" w:hAnsi="宋体"/>
          <w:b/>
          <w:sz w:val="24"/>
          <w:highlight w:val="none"/>
        </w:rPr>
        <w:t xml:space="preserve">             投标人（公章）：</w:t>
      </w:r>
    </w:p>
    <w:p w14:paraId="013EE023">
      <w:pPr>
        <w:ind w:firstLine="642"/>
        <w:jc w:val="center"/>
        <w:rPr>
          <w:rFonts w:hint="eastAsia" w:ascii="宋体" w:hAnsi="宋体"/>
          <w:b/>
          <w:sz w:val="24"/>
          <w:highlight w:val="none"/>
        </w:rPr>
      </w:pPr>
    </w:p>
    <w:p w14:paraId="1575D556">
      <w:pPr>
        <w:ind w:firstLine="642"/>
        <w:jc w:val="center"/>
        <w:rPr>
          <w:rFonts w:hint="eastAsia" w:ascii="宋体" w:hAnsi="宋体"/>
          <w:b/>
          <w:sz w:val="32"/>
          <w:szCs w:val="32"/>
          <w:highlight w:val="none"/>
        </w:rPr>
      </w:pPr>
      <w:r>
        <w:rPr>
          <w:rFonts w:hint="eastAsia" w:ascii="宋体" w:hAnsi="宋体"/>
          <w:b/>
          <w:sz w:val="24"/>
          <w:highlight w:val="none"/>
        </w:rPr>
        <w:t>法定代表人或授权委托人签字：</w:t>
      </w:r>
    </w:p>
    <w:p w14:paraId="070772E1">
      <w:pPr>
        <w:pStyle w:val="7"/>
        <w:ind w:firstLine="3213" w:firstLineChars="1000"/>
        <w:rPr>
          <w:rFonts w:hint="eastAsia" w:ascii="宋体" w:hAnsi="宋体"/>
          <w:b/>
          <w:sz w:val="24"/>
          <w:highlight w:val="none"/>
          <w:lang w:val="en-US"/>
        </w:rPr>
      </w:pPr>
      <w:r>
        <w:rPr>
          <w:rFonts w:hint="eastAsia" w:ascii="宋体" w:hAnsi="宋体"/>
          <w:b/>
          <w:sz w:val="32"/>
          <w:szCs w:val="32"/>
          <w:highlight w:val="none"/>
          <w:lang w:val="en-US"/>
        </w:rPr>
        <w:t xml:space="preserve">               </w:t>
      </w:r>
      <w:r>
        <w:rPr>
          <w:rFonts w:hint="eastAsia" w:ascii="宋体" w:hAnsi="宋体"/>
          <w:b/>
          <w:sz w:val="24"/>
          <w:highlight w:val="none"/>
          <w:lang w:val="en-US"/>
        </w:rPr>
        <w:t xml:space="preserve">  日期：</w:t>
      </w:r>
    </w:p>
    <w:p w14:paraId="5B877F72">
      <w:pPr>
        <w:pStyle w:val="7"/>
        <w:ind w:firstLine="2409" w:firstLineChars="1000"/>
        <w:rPr>
          <w:rFonts w:hint="eastAsia" w:ascii="宋体" w:hAnsi="宋体"/>
          <w:b/>
          <w:sz w:val="24"/>
          <w:highlight w:val="none"/>
          <w:lang w:val="en-US"/>
        </w:rPr>
      </w:pPr>
    </w:p>
    <w:p w14:paraId="20DE387A">
      <w:pPr>
        <w:pStyle w:val="7"/>
        <w:ind w:firstLine="2409" w:firstLineChars="1000"/>
        <w:rPr>
          <w:rFonts w:hint="eastAsia" w:ascii="宋体" w:hAnsi="宋体"/>
          <w:b/>
          <w:sz w:val="24"/>
          <w:highlight w:val="none"/>
          <w:lang w:val="en-US"/>
        </w:rPr>
      </w:pPr>
    </w:p>
    <w:p w14:paraId="6707CA20">
      <w:pPr>
        <w:pStyle w:val="7"/>
        <w:ind w:firstLine="2409" w:firstLineChars="1000"/>
        <w:rPr>
          <w:rFonts w:hint="eastAsia" w:ascii="宋体" w:hAnsi="宋体"/>
          <w:b/>
          <w:sz w:val="24"/>
          <w:highlight w:val="none"/>
          <w:lang w:val="en-US"/>
        </w:rPr>
      </w:pPr>
    </w:p>
    <w:p w14:paraId="051EDD91">
      <w:pPr>
        <w:pStyle w:val="16"/>
        <w:rPr>
          <w:rFonts w:hint="eastAsia" w:ascii="宋体" w:hAnsi="宋体"/>
          <w:sz w:val="24"/>
          <w:szCs w:val="24"/>
          <w:highlight w:val="none"/>
        </w:rPr>
      </w:pPr>
    </w:p>
    <w:p w14:paraId="5F76F0A6">
      <w:pPr>
        <w:pStyle w:val="16"/>
        <w:jc w:val="left"/>
        <w:rPr>
          <w:rFonts w:hint="eastAsia" w:ascii="Times New Roman" w:hAnsi="Times New Roman" w:eastAsia="宋体" w:cs="Times New Roman"/>
          <w:b/>
          <w:bCs/>
          <w:kern w:val="2"/>
          <w:sz w:val="28"/>
          <w:szCs w:val="28"/>
          <w:highlight w:val="none"/>
          <w:lang w:val="zh-CN" w:eastAsia="zh-CN" w:bidi="ar-SA"/>
        </w:rPr>
      </w:pPr>
      <w:r>
        <w:rPr>
          <w:rFonts w:hint="eastAsia" w:ascii="Times New Roman" w:hAnsi="Times New Roman" w:eastAsia="宋体" w:cs="Times New Roman"/>
          <w:b/>
          <w:bCs/>
          <w:kern w:val="2"/>
          <w:sz w:val="28"/>
          <w:szCs w:val="28"/>
          <w:highlight w:val="none"/>
          <w:lang w:val="zh-CN" w:eastAsia="zh-CN" w:bidi="ar-SA"/>
        </w:rPr>
        <w:t>附件1</w:t>
      </w:r>
      <w:r>
        <w:rPr>
          <w:rFonts w:hint="eastAsia" w:ascii="Times New Roman" w:hAnsi="Times New Roman" w:eastAsia="宋体" w:cs="Times New Roman"/>
          <w:b/>
          <w:bCs/>
          <w:kern w:val="2"/>
          <w:sz w:val="28"/>
          <w:szCs w:val="28"/>
          <w:highlight w:val="none"/>
          <w:lang w:val="en-US" w:eastAsia="zh-CN" w:bidi="ar-SA"/>
        </w:rPr>
        <w:t>6</w:t>
      </w:r>
      <w:r>
        <w:rPr>
          <w:rFonts w:hint="eastAsia" w:ascii="Times New Roman" w:hAnsi="Times New Roman" w:eastAsia="宋体" w:cs="Times New Roman"/>
          <w:b/>
          <w:bCs/>
          <w:kern w:val="2"/>
          <w:sz w:val="28"/>
          <w:szCs w:val="28"/>
          <w:highlight w:val="none"/>
          <w:lang w:val="zh-CN" w:eastAsia="zh-CN" w:bidi="ar-SA"/>
        </w:rPr>
        <w:t>、无重大违法记录声明函</w:t>
      </w:r>
    </w:p>
    <w:p w14:paraId="3B996FF5">
      <w:pPr>
        <w:rPr>
          <w:highlight w:val="none"/>
        </w:rPr>
      </w:pPr>
    </w:p>
    <w:p w14:paraId="35B9425E">
      <w:pPr>
        <w:spacing w:before="55"/>
        <w:ind w:right="2656"/>
        <w:jc w:val="left"/>
        <w:outlineLvl w:val="1"/>
        <w:rPr>
          <w:rFonts w:hint="eastAsia"/>
          <w:b/>
          <w:bCs/>
          <w:sz w:val="24"/>
          <w:highlight w:val="none"/>
        </w:rPr>
      </w:pPr>
      <w:r>
        <w:rPr>
          <w:rFonts w:hint="eastAsia"/>
          <w:b/>
          <w:bCs/>
          <w:sz w:val="24"/>
          <w:highlight w:val="none"/>
        </w:rPr>
        <w:t>致：</w:t>
      </w:r>
      <w:r>
        <w:rPr>
          <w:rFonts w:hint="eastAsia" w:ascii="宋体" w:hAnsi="宋体" w:cs="宋体"/>
          <w:spacing w:val="6"/>
          <w:sz w:val="24"/>
          <w:highlight w:val="none"/>
        </w:rPr>
        <w:t>______（采购人名称）</w:t>
      </w:r>
      <w:r>
        <w:rPr>
          <w:rFonts w:hint="eastAsia"/>
          <w:b/>
          <w:bCs/>
          <w:sz w:val="24"/>
          <w:highlight w:val="none"/>
        </w:rPr>
        <w:t xml:space="preserve"> </w:t>
      </w:r>
    </w:p>
    <w:p w14:paraId="6D5809FC">
      <w:pPr>
        <w:pStyle w:val="10"/>
        <w:ind w:left="902" w:hanging="482"/>
        <w:jc w:val="left"/>
        <w:rPr>
          <w:rFonts w:hint="eastAsia" w:ascii="宋体" w:hAnsi="宋体" w:cs="宋体"/>
          <w:spacing w:val="6"/>
          <w:sz w:val="24"/>
          <w:highlight w:val="none"/>
        </w:rPr>
      </w:pPr>
      <w:r>
        <w:rPr>
          <w:rFonts w:hint="eastAsia"/>
          <w:b/>
          <w:bCs/>
          <w:sz w:val="24"/>
          <w:highlight w:val="none"/>
        </w:rPr>
        <w:t>我单位</w:t>
      </w:r>
      <w:r>
        <w:rPr>
          <w:rFonts w:hint="eastAsia" w:ascii="宋体" w:hAnsi="宋体" w:cs="宋体"/>
          <w:spacing w:val="6"/>
          <w:sz w:val="24"/>
          <w:highlight w:val="none"/>
        </w:rPr>
        <w:t>______(投标人名称）</w:t>
      </w:r>
      <w:r>
        <w:rPr>
          <w:rFonts w:hint="eastAsia" w:ascii="宋体" w:hAnsi="宋体" w:cs="宋体"/>
          <w:color w:val="auto"/>
          <w:spacing w:val="6"/>
          <w:sz w:val="24"/>
          <w:szCs w:val="24"/>
          <w:highlight w:val="none"/>
          <w:lang w:val="en-US" w:eastAsia="zh-CN"/>
        </w:rPr>
        <w:t>近三年</w:t>
      </w:r>
      <w:r>
        <w:rPr>
          <w:rFonts w:hint="eastAsia" w:ascii="宋体" w:hAnsi="宋体" w:cs="宋体"/>
          <w:spacing w:val="6"/>
          <w:sz w:val="24"/>
          <w:highlight w:val="none"/>
        </w:rPr>
        <w:t>内，在参加政府采购活动中没有重大违法记录，特此声明。</w:t>
      </w:r>
    </w:p>
    <w:p w14:paraId="72C8E566">
      <w:pPr>
        <w:pStyle w:val="11"/>
        <w:rPr>
          <w:rFonts w:hint="eastAsia"/>
          <w:sz w:val="24"/>
          <w:szCs w:val="24"/>
          <w:highlight w:val="none"/>
        </w:rPr>
      </w:pPr>
      <w:r>
        <w:rPr>
          <w:rFonts w:hint="eastAsia"/>
          <w:sz w:val="24"/>
          <w:szCs w:val="24"/>
          <w:highlight w:val="none"/>
        </w:rPr>
        <w:t xml:space="preserve">     </w:t>
      </w:r>
      <w:r>
        <w:rPr>
          <w:rFonts w:hint="eastAsia"/>
          <w:color w:val="auto"/>
          <w:sz w:val="24"/>
          <w:szCs w:val="24"/>
          <w:highlight w:val="none"/>
          <w:lang w:val="en-US" w:eastAsia="zh-CN"/>
        </w:rPr>
        <w:t xml:space="preserve"> 若招标采购单位在本项目采购过程中发现我单位近三年内在政府采购活动中有重大违法记录，我单位将无条件地退出本项目的招标，并承担因此引起的一切后果。</w:t>
      </w:r>
    </w:p>
    <w:p w14:paraId="50C247F6">
      <w:pPr>
        <w:pStyle w:val="11"/>
        <w:rPr>
          <w:rFonts w:hint="eastAsia"/>
          <w:sz w:val="24"/>
          <w:szCs w:val="24"/>
          <w:highlight w:val="none"/>
        </w:rPr>
      </w:pPr>
    </w:p>
    <w:p w14:paraId="3B3EE4F1">
      <w:pPr>
        <w:pStyle w:val="11"/>
        <w:ind w:firstLine="420"/>
        <w:jc w:val="left"/>
        <w:rPr>
          <w:rFonts w:hint="eastAsia" w:hAnsi="宋体" w:cs="宋体"/>
          <w:spacing w:val="6"/>
          <w:sz w:val="24"/>
          <w:szCs w:val="24"/>
          <w:highlight w:val="none"/>
        </w:rPr>
      </w:pPr>
      <w:r>
        <w:rPr>
          <w:rFonts w:hint="eastAsia"/>
          <w:sz w:val="24"/>
          <w:szCs w:val="24"/>
          <w:highlight w:val="none"/>
        </w:rPr>
        <w:t xml:space="preserve">供应商名称（单位公章）： </w:t>
      </w:r>
      <w:r>
        <w:rPr>
          <w:rFonts w:hint="eastAsia" w:hAnsi="宋体" w:cs="宋体"/>
          <w:spacing w:val="6"/>
          <w:sz w:val="24"/>
          <w:szCs w:val="24"/>
          <w:highlight w:val="none"/>
        </w:rPr>
        <w:t>______</w:t>
      </w:r>
    </w:p>
    <w:p w14:paraId="6646FF29">
      <w:pPr>
        <w:pStyle w:val="11"/>
        <w:ind w:firstLine="420"/>
        <w:jc w:val="left"/>
        <w:rPr>
          <w:rFonts w:hint="eastAsia" w:hAnsi="宋体" w:cs="宋体"/>
          <w:spacing w:val="6"/>
          <w:sz w:val="24"/>
          <w:szCs w:val="24"/>
          <w:highlight w:val="none"/>
        </w:rPr>
      </w:pPr>
      <w:r>
        <w:rPr>
          <w:rFonts w:hint="eastAsia" w:hAnsi="宋体" w:cs="宋体"/>
          <w:spacing w:val="6"/>
          <w:sz w:val="24"/>
          <w:szCs w:val="24"/>
          <w:highlight w:val="none"/>
        </w:rPr>
        <w:t>法定代表人（印章或签字）：______</w:t>
      </w:r>
    </w:p>
    <w:p w14:paraId="68200ABC">
      <w:pPr>
        <w:pStyle w:val="11"/>
        <w:ind w:firstLine="420"/>
        <w:jc w:val="left"/>
        <w:rPr>
          <w:rFonts w:ascii="Times New Roman" w:hAnsi="Times New Roman"/>
          <w:b/>
          <w:bCs/>
          <w:sz w:val="28"/>
          <w:szCs w:val="28"/>
          <w:highlight w:val="none"/>
        </w:rPr>
      </w:pPr>
      <w:r>
        <w:rPr>
          <w:rFonts w:hint="eastAsia" w:hAnsi="宋体" w:cs="宋体"/>
          <w:spacing w:val="6"/>
          <w:sz w:val="24"/>
          <w:szCs w:val="24"/>
          <w:highlight w:val="none"/>
        </w:rPr>
        <w:t>日期：   年    月   日</w:t>
      </w:r>
    </w:p>
    <w:p w14:paraId="29DBDA59">
      <w:pPr>
        <w:keepNext w:val="0"/>
        <w:keepLines w:val="0"/>
        <w:pageBreakBefore w:val="0"/>
        <w:widowControl w:val="0"/>
        <w:kinsoku/>
        <w:wordWrap/>
        <w:overflowPunct/>
        <w:topLinePunct w:val="0"/>
        <w:autoSpaceDE/>
        <w:autoSpaceDN/>
        <w:bidi w:val="0"/>
        <w:adjustRightInd/>
        <w:snapToGrid/>
        <w:ind w:right="0"/>
        <w:jc w:val="left"/>
        <w:textAlignment w:val="auto"/>
        <w:outlineLvl w:val="1"/>
        <w:rPr>
          <w:rFonts w:hint="eastAsia"/>
          <w:b/>
          <w:bCs/>
          <w:sz w:val="28"/>
          <w:szCs w:val="28"/>
          <w:highlight w:val="none"/>
          <w:lang w:val="en-US" w:eastAsia="zh-CN"/>
        </w:rPr>
      </w:pPr>
    </w:p>
    <w:p w14:paraId="58685490">
      <w:pPr>
        <w:keepNext w:val="0"/>
        <w:keepLines w:val="0"/>
        <w:pageBreakBefore w:val="0"/>
        <w:widowControl w:val="0"/>
        <w:kinsoku/>
        <w:wordWrap/>
        <w:overflowPunct/>
        <w:topLinePunct w:val="0"/>
        <w:autoSpaceDE/>
        <w:autoSpaceDN/>
        <w:bidi w:val="0"/>
        <w:adjustRightInd/>
        <w:snapToGrid/>
        <w:ind w:right="0"/>
        <w:jc w:val="left"/>
        <w:textAlignment w:val="auto"/>
        <w:outlineLvl w:val="1"/>
        <w:rPr>
          <w:rFonts w:hint="eastAsia"/>
          <w:b/>
          <w:bCs/>
          <w:sz w:val="28"/>
          <w:szCs w:val="28"/>
          <w:highlight w:val="none"/>
        </w:rPr>
      </w:pPr>
      <w:r>
        <w:rPr>
          <w:rFonts w:hint="eastAsia"/>
          <w:b/>
          <w:bCs/>
          <w:sz w:val="28"/>
          <w:szCs w:val="28"/>
          <w:highlight w:val="none"/>
          <w:lang w:val="en-US" w:eastAsia="zh-CN"/>
        </w:rPr>
        <w:t>附件17、</w:t>
      </w:r>
      <w:r>
        <w:rPr>
          <w:rFonts w:hint="eastAsia" w:cs="Times New Roman"/>
          <w:b/>
          <w:bCs/>
          <w:color w:val="auto"/>
          <w:kern w:val="2"/>
          <w:sz w:val="28"/>
          <w:szCs w:val="28"/>
          <w:highlight w:val="none"/>
          <w:lang w:val="en-US" w:eastAsia="zh-CN" w:bidi="ar-SA"/>
        </w:rPr>
        <w:t>提供政采云上传投标文件的IP地址截图</w:t>
      </w:r>
    </w:p>
    <w:p w14:paraId="051B498E">
      <w:pPr>
        <w:keepNext w:val="0"/>
        <w:keepLines w:val="0"/>
        <w:pageBreakBefore w:val="0"/>
        <w:widowControl w:val="0"/>
        <w:kinsoku/>
        <w:wordWrap/>
        <w:overflowPunct/>
        <w:topLinePunct w:val="0"/>
        <w:autoSpaceDE/>
        <w:autoSpaceDN/>
        <w:bidi w:val="0"/>
        <w:adjustRightInd/>
        <w:snapToGrid/>
        <w:ind w:right="0"/>
        <w:jc w:val="left"/>
        <w:textAlignment w:val="auto"/>
        <w:outlineLvl w:val="1"/>
        <w:rPr>
          <w:rFonts w:hint="eastAsia"/>
          <w:b/>
          <w:bCs/>
          <w:sz w:val="24"/>
          <w:highlight w:val="none"/>
        </w:rPr>
      </w:pPr>
      <w:r>
        <w:rPr>
          <w:rFonts w:hint="eastAsia"/>
          <w:b/>
          <w:bCs/>
          <w:sz w:val="28"/>
          <w:szCs w:val="28"/>
          <w:highlight w:val="none"/>
          <w:lang w:val="zh-CN"/>
        </w:rPr>
        <w:t>附件</w:t>
      </w:r>
      <w:r>
        <w:rPr>
          <w:rFonts w:hint="eastAsia"/>
          <w:b/>
          <w:bCs/>
          <w:sz w:val="28"/>
          <w:szCs w:val="28"/>
          <w:highlight w:val="none"/>
        </w:rPr>
        <w:t>1</w:t>
      </w:r>
      <w:r>
        <w:rPr>
          <w:rFonts w:hint="eastAsia"/>
          <w:b/>
          <w:bCs/>
          <w:sz w:val="28"/>
          <w:szCs w:val="28"/>
          <w:highlight w:val="none"/>
          <w:lang w:val="en-US" w:eastAsia="zh-CN"/>
        </w:rPr>
        <w:t>8</w:t>
      </w:r>
      <w:r>
        <w:rPr>
          <w:rFonts w:hint="eastAsia"/>
          <w:b/>
          <w:bCs/>
          <w:sz w:val="28"/>
          <w:szCs w:val="28"/>
          <w:highlight w:val="none"/>
        </w:rPr>
        <w:t>、</w:t>
      </w:r>
      <w:r>
        <w:rPr>
          <w:rFonts w:hint="eastAsia"/>
          <w:b/>
          <w:bCs/>
          <w:sz w:val="28"/>
          <w:szCs w:val="28"/>
          <w:highlight w:val="none"/>
          <w:lang w:val="zh-CN"/>
        </w:rPr>
        <w:t>提供其它有利于投标的资料</w:t>
      </w:r>
    </w:p>
    <w:p w14:paraId="1D4E4613">
      <w:pPr>
        <w:pStyle w:val="45"/>
      </w:pPr>
    </w:p>
    <w:p w14:paraId="2D291B71">
      <w:pPr>
        <w:spacing w:line="360" w:lineRule="auto"/>
        <w:rPr>
          <w:rFonts w:ascii="宋体" w:hAnsi="宋体" w:cs="宋体"/>
          <w:b/>
          <w:sz w:val="24"/>
          <w:szCs w:val="24"/>
        </w:rPr>
      </w:pPr>
    </w:p>
    <w:sectPr>
      <w:footerReference r:id="rId10" w:type="first"/>
      <w:headerReference r:id="rId7" w:type="default"/>
      <w:footerReference r:id="rId8" w:type="default"/>
      <w:footerReference r:id="rId9" w:type="even"/>
      <w:pgSz w:w="11906" w:h="16838"/>
      <w:pgMar w:top="1440" w:right="1489" w:bottom="1440" w:left="1797" w:header="851" w:footer="992" w:gutter="0"/>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211A1">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A9A90A">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2A9A90A">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57E4C">
    <w:pPr>
      <w:pStyle w:val="13"/>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F37A8C">
                          <w:pPr>
                            <w:pStyle w:val="13"/>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2F37A8C">
                    <w:pPr>
                      <w:pStyle w:val="13"/>
                    </w:pPr>
                    <w:r>
                      <w:fldChar w:fldCharType="begin"/>
                    </w:r>
                    <w:r>
                      <w:instrText xml:space="preserve"> PAGE  \* MERGEFORMAT </w:instrText>
                    </w:r>
                    <w:r>
                      <w:fldChar w:fldCharType="separate"/>
                    </w:r>
                    <w:r>
                      <w:t>66</w:t>
                    </w:r>
                    <w:r>
                      <w:fldChar w:fldCharType="end"/>
                    </w:r>
                  </w:p>
                </w:txbxContent>
              </v:textbox>
            </v:shape>
          </w:pict>
        </mc:Fallback>
      </mc:AlternateContent>
    </w:r>
  </w:p>
  <w:p w14:paraId="055F971E">
    <w:pPr>
      <w:pStyle w:val="7"/>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047E0">
    <w:pPr>
      <w:pStyle w:val="13"/>
      <w:ind w:right="360"/>
      <w:jc w:val="right"/>
      <w:rPr>
        <w:i/>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9C0911">
                          <w:pPr>
                            <w:pStyle w:val="1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F9C0911">
                    <w:pPr>
                      <w:pStyle w:val="1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DF662">
    <w:pPr>
      <w:pStyle w:val="13"/>
      <w:framePr w:wrap="around" w:vAnchor="text" w:hAnchor="margin" w:xAlign="center" w:y="1"/>
      <w:rPr>
        <w:rStyle w:val="26"/>
      </w:rPr>
    </w:pPr>
    <w:r>
      <w:fldChar w:fldCharType="begin"/>
    </w:r>
    <w:r>
      <w:rPr>
        <w:rStyle w:val="26"/>
      </w:rPr>
      <w:instrText xml:space="preserve">PAGE  </w:instrText>
    </w:r>
    <w:r>
      <w:fldChar w:fldCharType="end"/>
    </w:r>
  </w:p>
  <w:p w14:paraId="4F2F82E6">
    <w:pPr>
      <w:pStyle w:val="13"/>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533F9">
    <w:pPr>
      <w:pStyle w:val="1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6A7E31">
                          <w:pPr>
                            <w:pStyle w:val="13"/>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26A7E31">
                    <w:pPr>
                      <w:pStyle w:val="13"/>
                    </w:pPr>
                    <w:r>
                      <w:fldChar w:fldCharType="begin"/>
                    </w:r>
                    <w:r>
                      <w:instrText xml:space="preserve"> PAGE  \* MERGEFORMAT </w:instrText>
                    </w:r>
                    <w:r>
                      <w:fldChar w:fldCharType="separate"/>
                    </w:r>
                    <w:r>
                      <w:t>74</w:t>
                    </w:r>
                    <w:r>
                      <w:fldChar w:fldCharType="end"/>
                    </w:r>
                  </w:p>
                </w:txbxContent>
              </v:textbox>
            </v:shape>
          </w:pict>
        </mc:Fallback>
      </mc:AlternateContent>
    </w:r>
  </w:p>
  <w:p w14:paraId="4B837AEE">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804D12">
    <w:pPr>
      <w:pStyle w:val="14"/>
      <w:pBdr>
        <w:bottom w:val="none" w:color="auto" w:sz="0" w:space="1"/>
      </w:pBdr>
      <w:wordWrap w:val="0"/>
      <w:jc w:val="right"/>
      <w:rPr>
        <w:rFonts w:ascii="楷体" w:hAnsi="楷体" w:eastAsia="楷体" w:cs="宋体"/>
        <w:b/>
        <w:sz w:val="22"/>
      </w:rPr>
    </w:pPr>
  </w:p>
  <w:p w14:paraId="235B314A">
    <w:pPr>
      <w:pStyle w:val="14"/>
      <w:pBdr>
        <w:bottom w:val="none" w:color="auto" w:sz="0" w:space="1"/>
      </w:pBdr>
      <w:wordWrap w:val="0"/>
      <w:jc w:val="right"/>
      <w:rPr>
        <w:rFonts w:ascii="宋体" w:hAnsi="宋体" w:eastAsia="楷体"/>
      </w:rPr>
    </w:pPr>
    <w:r>
      <w:rPr>
        <w:rFonts w:ascii="楷体" w:hAnsi="楷体" w:eastAsia="楷体" w:cs="宋体"/>
        <w:b/>
        <w:sz w:val="22"/>
      </w:rPr>
      <w:drawing>
        <wp:inline distT="0" distB="0" distL="114300" distR="114300">
          <wp:extent cx="216535" cy="216535"/>
          <wp:effectExtent l="0" t="0" r="12065" b="12065"/>
          <wp:docPr id="6" name="图片 1" descr="锦瑞祥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锦瑞祥Logo"/>
                  <pic:cNvPicPr>
                    <a:picLocks noChangeAspect="1"/>
                  </pic:cNvPicPr>
                </pic:nvPicPr>
                <pic:blipFill>
                  <a:blip r:embed="rId1"/>
                  <a:stretch>
                    <a:fillRect/>
                  </a:stretch>
                </pic:blipFill>
                <pic:spPr>
                  <a:xfrm>
                    <a:off x="0" y="0"/>
                    <a:ext cx="216535" cy="216535"/>
                  </a:xfrm>
                  <a:prstGeom prst="rect">
                    <a:avLst/>
                  </a:prstGeom>
                  <a:noFill/>
                  <a:ln>
                    <a:noFill/>
                  </a:ln>
                </pic:spPr>
              </pic:pic>
            </a:graphicData>
          </a:graphic>
        </wp:inline>
      </w:drawing>
    </w:r>
    <w:r>
      <w:rPr>
        <w:rFonts w:hint="eastAsia" w:ascii="楷体" w:hAnsi="楷体" w:eastAsia="楷体" w:cs="宋体"/>
        <w:b/>
        <w:sz w:val="22"/>
      </w:rPr>
      <w:t xml:space="preserve"> </w:t>
    </w:r>
    <w:r>
      <w:rPr>
        <w:rFonts w:ascii="楷体" w:hAnsi="楷体" w:eastAsia="楷体" w:cs="宋体"/>
        <w:b/>
        <w:sz w:val="22"/>
      </w:rPr>
      <w:t>新疆锦瑞祥工程项目咨询管理有限公司</w:t>
    </w:r>
    <w:r>
      <w:rPr>
        <w:rFonts w:hint="eastAsia" w:ascii="楷体" w:hAnsi="楷体" w:eastAsia="楷体" w:cs="宋体"/>
        <w:b/>
        <w:sz w:val="22"/>
      </w:rPr>
      <w:t xml:space="preserve"> </w:t>
    </w:r>
  </w:p>
  <w:p w14:paraId="1998C74E">
    <w:pPr>
      <w:pStyle w:val="14"/>
      <w:pBdr>
        <w:bottom w:val="none" w:color="auto" w:sz="0" w:space="0"/>
      </w:pBdr>
      <w:jc w:val="right"/>
      <w:rPr>
        <w:rFonts w:ascii="楷体_GB2312" w:eastAsia="楷体_GB2312"/>
        <w:sz w:val="21"/>
        <w:szCs w:val="21"/>
      </w:rPr>
    </w:pPr>
    <w:r>
      <w:rPr>
        <w:rFonts w:ascii="楷体_GB2312" w:eastAsia="楷体_GB2312"/>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CA4E8">
    <w:pPr>
      <w:pStyle w:val="14"/>
      <w:pBdr>
        <w:bottom w:val="none" w:color="auto" w:sz="0" w:space="1"/>
      </w:pBdr>
      <w:jc w:val="right"/>
    </w:pPr>
    <w:r>
      <w:rPr>
        <w:rFonts w:ascii="楷体" w:hAnsi="楷体" w:eastAsia="楷体" w:cs="宋体"/>
        <w:b/>
        <w:sz w:val="22"/>
      </w:rPr>
      <w:drawing>
        <wp:inline distT="0" distB="0" distL="114300" distR="114300">
          <wp:extent cx="216535" cy="216535"/>
          <wp:effectExtent l="0" t="0" r="12065" b="12065"/>
          <wp:docPr id="1" name="图片 1" descr="锦瑞祥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锦瑞祥Logo"/>
                  <pic:cNvPicPr>
                    <a:picLocks noChangeAspect="1"/>
                  </pic:cNvPicPr>
                </pic:nvPicPr>
                <pic:blipFill>
                  <a:blip r:embed="rId1"/>
                  <a:stretch>
                    <a:fillRect/>
                  </a:stretch>
                </pic:blipFill>
                <pic:spPr>
                  <a:xfrm>
                    <a:off x="0" y="0"/>
                    <a:ext cx="216535" cy="216535"/>
                  </a:xfrm>
                  <a:prstGeom prst="rect">
                    <a:avLst/>
                  </a:prstGeom>
                  <a:noFill/>
                  <a:ln>
                    <a:noFill/>
                  </a:ln>
                </pic:spPr>
              </pic:pic>
            </a:graphicData>
          </a:graphic>
        </wp:inline>
      </w:drawing>
    </w:r>
    <w:r>
      <w:rPr>
        <w:rFonts w:hint="eastAsia" w:ascii="楷体" w:hAnsi="楷体" w:eastAsia="楷体" w:cs="宋体"/>
        <w:b/>
        <w:sz w:val="22"/>
      </w:rPr>
      <w:t xml:space="preserve"> </w:t>
    </w:r>
    <w:r>
      <w:rPr>
        <w:rFonts w:ascii="楷体" w:hAnsi="楷体" w:eastAsia="楷体" w:cs="宋体"/>
        <w:b/>
        <w:sz w:val="22"/>
      </w:rPr>
      <w:t>新疆锦瑞祥工程项目咨询管理有限公司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258DC">
    <w:pPr>
      <w:pStyle w:val="14"/>
      <w:pBdr>
        <w:bottom w:val="none" w:color="auto" w:sz="0" w:space="1"/>
      </w:pBdr>
      <w:wordWrap w:val="0"/>
      <w:jc w:val="right"/>
      <w:rPr>
        <w:rFonts w:ascii="宋体" w:hAnsi="宋体" w:eastAsia="楷体"/>
      </w:rPr>
    </w:pPr>
    <w:r>
      <w:rPr>
        <w:rFonts w:hint="eastAsia" w:ascii="宋体" w:hAnsi="宋体"/>
      </w:rPr>
      <w:t xml:space="preserve"> </w:t>
    </w:r>
    <w:r>
      <w:rPr>
        <w:rFonts w:ascii="楷体" w:hAnsi="楷体" w:eastAsia="楷体" w:cs="宋体"/>
        <w:b/>
        <w:sz w:val="22"/>
      </w:rPr>
      <w:drawing>
        <wp:inline distT="0" distB="0" distL="114300" distR="114300">
          <wp:extent cx="216535" cy="216535"/>
          <wp:effectExtent l="0" t="0" r="12065" b="12065"/>
          <wp:docPr id="14" name="图片 1" descr="锦瑞祥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锦瑞祥Logo"/>
                  <pic:cNvPicPr>
                    <a:picLocks noChangeAspect="1"/>
                  </pic:cNvPicPr>
                </pic:nvPicPr>
                <pic:blipFill>
                  <a:blip r:embed="rId1"/>
                  <a:stretch>
                    <a:fillRect/>
                  </a:stretch>
                </pic:blipFill>
                <pic:spPr>
                  <a:xfrm>
                    <a:off x="0" y="0"/>
                    <a:ext cx="216535" cy="216535"/>
                  </a:xfrm>
                  <a:prstGeom prst="rect">
                    <a:avLst/>
                  </a:prstGeom>
                  <a:noFill/>
                  <a:ln>
                    <a:noFill/>
                  </a:ln>
                </pic:spPr>
              </pic:pic>
            </a:graphicData>
          </a:graphic>
        </wp:inline>
      </w:drawing>
    </w:r>
    <w:r>
      <w:rPr>
        <w:rFonts w:hint="eastAsia" w:ascii="楷体" w:hAnsi="楷体" w:eastAsia="楷体" w:cs="宋体"/>
        <w:b/>
        <w:sz w:val="22"/>
      </w:rPr>
      <w:t xml:space="preserve"> </w:t>
    </w:r>
    <w:r>
      <w:rPr>
        <w:rFonts w:ascii="楷体" w:hAnsi="楷体" w:eastAsia="楷体" w:cs="宋体"/>
        <w:b/>
        <w:sz w:val="22"/>
      </w:rPr>
      <w:t>新疆锦瑞祥工程项目咨询管理有限公司</w:t>
    </w:r>
    <w:r>
      <w:rPr>
        <w:rFonts w:hint="eastAsia" w:ascii="楷体" w:hAnsi="楷体" w:eastAsia="楷体" w:cs="宋体"/>
        <w:b/>
        <w:sz w:val="22"/>
      </w:rPr>
      <w:t xml:space="preserve"> </w:t>
    </w:r>
  </w:p>
  <w:p w14:paraId="09D0C8BF">
    <w:pPr>
      <w:pStyle w:val="14"/>
      <w:pBdr>
        <w:bottom w:val="none" w:color="auto" w:sz="0" w:space="1"/>
      </w:pBdr>
      <w:rPr>
        <w:rFonts w:ascii="宋体" w:hAnsi="宋体"/>
      </w:rPr>
    </w:pPr>
    <w:r>
      <w:rPr>
        <w:rFonts w:hint="eastAsia" w:ascii="宋体" w:hAnsi="宋体"/>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A66AAE"/>
    <w:multiLevelType w:val="multilevel"/>
    <w:tmpl w:val="A0A66AAE"/>
    <w:lvl w:ilvl="0" w:tentative="0">
      <w:start w:val="1"/>
      <w:numFmt w:val="chineseCounting"/>
      <w:suff w:val="nothing"/>
      <w:lvlText w:val="第%1章 "/>
      <w:lvlJc w:val="left"/>
      <w:pPr>
        <w:ind w:left="432" w:hanging="432"/>
      </w:pPr>
      <w:rPr>
        <w:rFonts w:hint="eastAsia"/>
      </w:rPr>
    </w:lvl>
    <w:lvl w:ilvl="1" w:tentative="0">
      <w:start w:val="1"/>
      <w:numFmt w:val="decimal"/>
      <w:isLgl/>
      <w:lvlText w:val="%1.%2."/>
      <w:lvlJc w:val="left"/>
      <w:pPr>
        <w:ind w:left="575" w:hanging="575"/>
      </w:pPr>
      <w:rPr>
        <w:rFonts w:hint="eastAsia"/>
      </w:rPr>
    </w:lvl>
    <w:lvl w:ilvl="2" w:tentative="0">
      <w:start w:val="1"/>
      <w:numFmt w:val="decimal"/>
      <w:isLgl/>
      <w:lvlText w:val="%1.%2.%3."/>
      <w:lvlJc w:val="left"/>
      <w:pPr>
        <w:ind w:left="720" w:hanging="720"/>
      </w:pPr>
      <w:rPr>
        <w:rFonts w:hint="eastAsia"/>
      </w:rPr>
    </w:lvl>
    <w:lvl w:ilvl="3" w:tentative="0">
      <w:start w:val="1"/>
      <w:numFmt w:val="decimal"/>
      <w:pStyle w:val="5"/>
      <w:isLgl/>
      <w:lvlText w:val="%1.%2.%3.%4."/>
      <w:lvlJc w:val="left"/>
      <w:pPr>
        <w:ind w:left="2334" w:hanging="864"/>
      </w:pPr>
      <w:rPr>
        <w:rFonts w:hint="eastAsia"/>
      </w:rPr>
    </w:lvl>
    <w:lvl w:ilvl="4" w:tentative="0">
      <w:start w:val="1"/>
      <w:numFmt w:val="decimal"/>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1">
    <w:nsid w:val="C0283A65"/>
    <w:multiLevelType w:val="multilevel"/>
    <w:tmpl w:val="C0283A65"/>
    <w:lvl w:ilvl="0" w:tentative="0">
      <w:start w:val="1"/>
      <w:numFmt w:val="decimal"/>
      <w:lvlText w:val="%1."/>
      <w:lvlJc w:val="left"/>
      <w:pPr>
        <w:ind w:left="700" w:hanging="428"/>
      </w:pPr>
      <w:rPr>
        <w:rFonts w:hint="default" w:ascii="宋体" w:hAnsi="宋体" w:eastAsia="宋体" w:cs="宋体"/>
        <w:spacing w:val="-53"/>
        <w:w w:val="100"/>
        <w:sz w:val="24"/>
        <w:szCs w:val="24"/>
        <w:lang w:val="zh-CN" w:eastAsia="zh-CN" w:bidi="zh-CN"/>
      </w:rPr>
    </w:lvl>
    <w:lvl w:ilvl="1" w:tentative="0">
      <w:start w:val="0"/>
      <w:numFmt w:val="bullet"/>
      <w:lvlText w:val="•"/>
      <w:lvlJc w:val="left"/>
      <w:pPr>
        <w:ind w:left="1646" w:hanging="428"/>
      </w:pPr>
      <w:rPr>
        <w:rFonts w:hint="default"/>
        <w:lang w:val="zh-CN" w:eastAsia="zh-CN" w:bidi="zh-CN"/>
      </w:rPr>
    </w:lvl>
    <w:lvl w:ilvl="2" w:tentative="0">
      <w:start w:val="0"/>
      <w:numFmt w:val="bullet"/>
      <w:lvlText w:val="•"/>
      <w:lvlJc w:val="left"/>
      <w:pPr>
        <w:ind w:left="2593" w:hanging="428"/>
      </w:pPr>
      <w:rPr>
        <w:rFonts w:hint="default"/>
        <w:lang w:val="zh-CN" w:eastAsia="zh-CN" w:bidi="zh-CN"/>
      </w:rPr>
    </w:lvl>
    <w:lvl w:ilvl="3" w:tentative="0">
      <w:start w:val="0"/>
      <w:numFmt w:val="bullet"/>
      <w:lvlText w:val="•"/>
      <w:lvlJc w:val="left"/>
      <w:pPr>
        <w:ind w:left="3539" w:hanging="428"/>
      </w:pPr>
      <w:rPr>
        <w:rFonts w:hint="default"/>
        <w:lang w:val="zh-CN" w:eastAsia="zh-CN" w:bidi="zh-CN"/>
      </w:rPr>
    </w:lvl>
    <w:lvl w:ilvl="4" w:tentative="0">
      <w:start w:val="0"/>
      <w:numFmt w:val="bullet"/>
      <w:lvlText w:val="•"/>
      <w:lvlJc w:val="left"/>
      <w:pPr>
        <w:ind w:left="4486" w:hanging="428"/>
      </w:pPr>
      <w:rPr>
        <w:rFonts w:hint="default"/>
        <w:lang w:val="zh-CN" w:eastAsia="zh-CN" w:bidi="zh-CN"/>
      </w:rPr>
    </w:lvl>
    <w:lvl w:ilvl="5" w:tentative="0">
      <w:start w:val="0"/>
      <w:numFmt w:val="bullet"/>
      <w:lvlText w:val="•"/>
      <w:lvlJc w:val="left"/>
      <w:pPr>
        <w:ind w:left="5433" w:hanging="428"/>
      </w:pPr>
      <w:rPr>
        <w:rFonts w:hint="default"/>
        <w:lang w:val="zh-CN" w:eastAsia="zh-CN" w:bidi="zh-CN"/>
      </w:rPr>
    </w:lvl>
    <w:lvl w:ilvl="6" w:tentative="0">
      <w:start w:val="0"/>
      <w:numFmt w:val="bullet"/>
      <w:lvlText w:val="•"/>
      <w:lvlJc w:val="left"/>
      <w:pPr>
        <w:ind w:left="6379" w:hanging="428"/>
      </w:pPr>
      <w:rPr>
        <w:rFonts w:hint="default"/>
        <w:lang w:val="zh-CN" w:eastAsia="zh-CN" w:bidi="zh-CN"/>
      </w:rPr>
    </w:lvl>
    <w:lvl w:ilvl="7" w:tentative="0">
      <w:start w:val="0"/>
      <w:numFmt w:val="bullet"/>
      <w:lvlText w:val="•"/>
      <w:lvlJc w:val="left"/>
      <w:pPr>
        <w:ind w:left="7326" w:hanging="428"/>
      </w:pPr>
      <w:rPr>
        <w:rFonts w:hint="default"/>
        <w:lang w:val="zh-CN" w:eastAsia="zh-CN" w:bidi="zh-CN"/>
      </w:rPr>
    </w:lvl>
    <w:lvl w:ilvl="8" w:tentative="0">
      <w:start w:val="0"/>
      <w:numFmt w:val="bullet"/>
      <w:lvlText w:val="•"/>
      <w:lvlJc w:val="left"/>
      <w:pPr>
        <w:ind w:left="8272" w:hanging="428"/>
      </w:pPr>
      <w:rPr>
        <w:rFonts w:hint="default"/>
        <w:lang w:val="zh-CN" w:eastAsia="zh-CN" w:bidi="zh-CN"/>
      </w:rPr>
    </w:lvl>
  </w:abstractNum>
  <w:abstractNum w:abstractNumId="2">
    <w:nsid w:val="CAB390C4"/>
    <w:multiLevelType w:val="singleLevel"/>
    <w:tmpl w:val="CAB390C4"/>
    <w:lvl w:ilvl="0" w:tentative="0">
      <w:start w:val="3"/>
      <w:numFmt w:val="chineseCounting"/>
      <w:suff w:val="space"/>
      <w:lvlText w:val="第%1部分"/>
      <w:lvlJc w:val="left"/>
      <w:rPr>
        <w:rFonts w:hint="eastAsia"/>
      </w:rPr>
    </w:lvl>
  </w:abstractNum>
  <w:abstractNum w:abstractNumId="3">
    <w:nsid w:val="EDB499B8"/>
    <w:multiLevelType w:val="singleLevel"/>
    <w:tmpl w:val="EDB499B8"/>
    <w:lvl w:ilvl="0" w:tentative="0">
      <w:start w:val="2"/>
      <w:numFmt w:val="chineseCounting"/>
      <w:suff w:val="nothing"/>
      <w:lvlText w:val="（%1）"/>
      <w:lvlJc w:val="left"/>
      <w:rPr>
        <w:rFonts w:hint="eastAsia"/>
      </w:rPr>
    </w:lvl>
  </w:abstractNum>
  <w:abstractNum w:abstractNumId="4">
    <w:nsid w:val="00000002"/>
    <w:multiLevelType w:val="multilevel"/>
    <w:tmpl w:val="00000002"/>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EBB3C91"/>
    <w:multiLevelType w:val="multilevel"/>
    <w:tmpl w:val="3EBB3C91"/>
    <w:lvl w:ilvl="0" w:tentative="0">
      <w:start w:val="1"/>
      <w:numFmt w:val="chineseCountingThousand"/>
      <w:suff w:val="space"/>
      <w:lvlText w:val="%1. "/>
      <w:lvlJc w:val="left"/>
      <w:pPr>
        <w:ind w:left="907"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40"/>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num w:numId="1">
    <w:abstractNumId w:val="4"/>
  </w:num>
  <w:num w:numId="2">
    <w:abstractNumId w:val="0"/>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5Y2IyOTk0MGJiMjA5NmMzMmJlYjcyZjIzMjc3MjAifQ=="/>
  </w:docVars>
  <w:rsids>
    <w:rsidRoot w:val="78525E90"/>
    <w:rsid w:val="00000773"/>
    <w:rsid w:val="000075DB"/>
    <w:rsid w:val="00030C3A"/>
    <w:rsid w:val="00095510"/>
    <w:rsid w:val="000F285E"/>
    <w:rsid w:val="00105F3D"/>
    <w:rsid w:val="00136AA5"/>
    <w:rsid w:val="00146556"/>
    <w:rsid w:val="00152216"/>
    <w:rsid w:val="001637BF"/>
    <w:rsid w:val="001969CE"/>
    <w:rsid w:val="001A719D"/>
    <w:rsid w:val="001C7D39"/>
    <w:rsid w:val="001F55B7"/>
    <w:rsid w:val="00205797"/>
    <w:rsid w:val="002667FE"/>
    <w:rsid w:val="0028296F"/>
    <w:rsid w:val="002D29C9"/>
    <w:rsid w:val="00312B6F"/>
    <w:rsid w:val="00332D82"/>
    <w:rsid w:val="003748E9"/>
    <w:rsid w:val="00390852"/>
    <w:rsid w:val="003C1F6C"/>
    <w:rsid w:val="003D70C5"/>
    <w:rsid w:val="00450525"/>
    <w:rsid w:val="004B3FF8"/>
    <w:rsid w:val="004B458D"/>
    <w:rsid w:val="004C6D73"/>
    <w:rsid w:val="004C7D2F"/>
    <w:rsid w:val="0050041E"/>
    <w:rsid w:val="00500D7A"/>
    <w:rsid w:val="005168DC"/>
    <w:rsid w:val="00536F0D"/>
    <w:rsid w:val="005734E2"/>
    <w:rsid w:val="00580656"/>
    <w:rsid w:val="00580B8B"/>
    <w:rsid w:val="00583E0F"/>
    <w:rsid w:val="00593686"/>
    <w:rsid w:val="005A6152"/>
    <w:rsid w:val="005D4F3B"/>
    <w:rsid w:val="005F3D5C"/>
    <w:rsid w:val="0063039A"/>
    <w:rsid w:val="0063393F"/>
    <w:rsid w:val="0068043E"/>
    <w:rsid w:val="006A5C5F"/>
    <w:rsid w:val="006F17CA"/>
    <w:rsid w:val="00714E9B"/>
    <w:rsid w:val="00734575"/>
    <w:rsid w:val="00747BC8"/>
    <w:rsid w:val="00763FF8"/>
    <w:rsid w:val="007B7ADF"/>
    <w:rsid w:val="007E0961"/>
    <w:rsid w:val="00805113"/>
    <w:rsid w:val="00817914"/>
    <w:rsid w:val="008401F2"/>
    <w:rsid w:val="00856494"/>
    <w:rsid w:val="008E5B4D"/>
    <w:rsid w:val="00902358"/>
    <w:rsid w:val="00915139"/>
    <w:rsid w:val="0097357A"/>
    <w:rsid w:val="009A635C"/>
    <w:rsid w:val="009C3824"/>
    <w:rsid w:val="009D02C9"/>
    <w:rsid w:val="009F33F7"/>
    <w:rsid w:val="00A2562B"/>
    <w:rsid w:val="00A41AD2"/>
    <w:rsid w:val="00A94067"/>
    <w:rsid w:val="00AD0A03"/>
    <w:rsid w:val="00B8042B"/>
    <w:rsid w:val="00BD04B3"/>
    <w:rsid w:val="00C51DBA"/>
    <w:rsid w:val="00CB31F4"/>
    <w:rsid w:val="00CD1F07"/>
    <w:rsid w:val="00CD336B"/>
    <w:rsid w:val="00CD55CA"/>
    <w:rsid w:val="00CD607B"/>
    <w:rsid w:val="00CE1B94"/>
    <w:rsid w:val="00CE768C"/>
    <w:rsid w:val="00DB30A2"/>
    <w:rsid w:val="00E024DE"/>
    <w:rsid w:val="00E04546"/>
    <w:rsid w:val="00E645B6"/>
    <w:rsid w:val="00E75D49"/>
    <w:rsid w:val="00E76FA2"/>
    <w:rsid w:val="00E843EE"/>
    <w:rsid w:val="00E9152B"/>
    <w:rsid w:val="00F346EB"/>
    <w:rsid w:val="00F46BEA"/>
    <w:rsid w:val="00F62FC3"/>
    <w:rsid w:val="00F91CA3"/>
    <w:rsid w:val="01062D03"/>
    <w:rsid w:val="012E5443"/>
    <w:rsid w:val="013156BA"/>
    <w:rsid w:val="0143674A"/>
    <w:rsid w:val="016A3024"/>
    <w:rsid w:val="01BB7833"/>
    <w:rsid w:val="01F773E4"/>
    <w:rsid w:val="0216443A"/>
    <w:rsid w:val="0230709F"/>
    <w:rsid w:val="02787BF5"/>
    <w:rsid w:val="02871BFC"/>
    <w:rsid w:val="029B323C"/>
    <w:rsid w:val="02A268F2"/>
    <w:rsid w:val="032B14E1"/>
    <w:rsid w:val="03533EA9"/>
    <w:rsid w:val="03D76C48"/>
    <w:rsid w:val="041D2D43"/>
    <w:rsid w:val="0480058F"/>
    <w:rsid w:val="04AD235A"/>
    <w:rsid w:val="04E57AC0"/>
    <w:rsid w:val="04EF23D1"/>
    <w:rsid w:val="05165E89"/>
    <w:rsid w:val="05580882"/>
    <w:rsid w:val="0568587B"/>
    <w:rsid w:val="05C36200"/>
    <w:rsid w:val="05DC1809"/>
    <w:rsid w:val="05ED01D7"/>
    <w:rsid w:val="063472D6"/>
    <w:rsid w:val="06F81AA0"/>
    <w:rsid w:val="070A443E"/>
    <w:rsid w:val="072F7956"/>
    <w:rsid w:val="07AA5AA6"/>
    <w:rsid w:val="083A7670"/>
    <w:rsid w:val="08486997"/>
    <w:rsid w:val="085F4168"/>
    <w:rsid w:val="086329D2"/>
    <w:rsid w:val="0865562F"/>
    <w:rsid w:val="08850002"/>
    <w:rsid w:val="088875A6"/>
    <w:rsid w:val="089367B3"/>
    <w:rsid w:val="08DD232C"/>
    <w:rsid w:val="09210C8A"/>
    <w:rsid w:val="093C3EFA"/>
    <w:rsid w:val="09AD7022"/>
    <w:rsid w:val="09FF3664"/>
    <w:rsid w:val="0A0E4706"/>
    <w:rsid w:val="0A1F0565"/>
    <w:rsid w:val="0A474359"/>
    <w:rsid w:val="0A512B9B"/>
    <w:rsid w:val="0A570F70"/>
    <w:rsid w:val="0A695DE3"/>
    <w:rsid w:val="0A9750CF"/>
    <w:rsid w:val="0AA142D3"/>
    <w:rsid w:val="0AF966B1"/>
    <w:rsid w:val="0B296081"/>
    <w:rsid w:val="0B3B0EC3"/>
    <w:rsid w:val="0C011C5F"/>
    <w:rsid w:val="0C3B1A90"/>
    <w:rsid w:val="0C420B58"/>
    <w:rsid w:val="0C432F81"/>
    <w:rsid w:val="0C6F30A2"/>
    <w:rsid w:val="0C7F315B"/>
    <w:rsid w:val="0CAF21C1"/>
    <w:rsid w:val="0CB05CBB"/>
    <w:rsid w:val="0CC17F52"/>
    <w:rsid w:val="0CF623D3"/>
    <w:rsid w:val="0D042879"/>
    <w:rsid w:val="0D1238E2"/>
    <w:rsid w:val="0D725B91"/>
    <w:rsid w:val="0D90674A"/>
    <w:rsid w:val="0D994BA6"/>
    <w:rsid w:val="0E0440AD"/>
    <w:rsid w:val="0E0C5987"/>
    <w:rsid w:val="0E232191"/>
    <w:rsid w:val="0E3D073A"/>
    <w:rsid w:val="0E3F531B"/>
    <w:rsid w:val="0E9839C4"/>
    <w:rsid w:val="0F2A0DA1"/>
    <w:rsid w:val="0F543075"/>
    <w:rsid w:val="0F5B1463"/>
    <w:rsid w:val="0F9B5E4B"/>
    <w:rsid w:val="0FF92F22"/>
    <w:rsid w:val="106B3547"/>
    <w:rsid w:val="10A257D2"/>
    <w:rsid w:val="10BF0DE6"/>
    <w:rsid w:val="10CD0D17"/>
    <w:rsid w:val="10CE0E95"/>
    <w:rsid w:val="10CF4C7A"/>
    <w:rsid w:val="113C19E4"/>
    <w:rsid w:val="11A62A56"/>
    <w:rsid w:val="11AA6255"/>
    <w:rsid w:val="11AD5711"/>
    <w:rsid w:val="11BB73DB"/>
    <w:rsid w:val="12485948"/>
    <w:rsid w:val="125D10C5"/>
    <w:rsid w:val="125E3489"/>
    <w:rsid w:val="128A74D9"/>
    <w:rsid w:val="12B5514D"/>
    <w:rsid w:val="130A263F"/>
    <w:rsid w:val="13154547"/>
    <w:rsid w:val="13906D71"/>
    <w:rsid w:val="13C3731F"/>
    <w:rsid w:val="140565A3"/>
    <w:rsid w:val="14095568"/>
    <w:rsid w:val="1426054B"/>
    <w:rsid w:val="14722D95"/>
    <w:rsid w:val="14865127"/>
    <w:rsid w:val="14AB3FE6"/>
    <w:rsid w:val="14DA3E7C"/>
    <w:rsid w:val="14E74053"/>
    <w:rsid w:val="153B74CE"/>
    <w:rsid w:val="15AB78D5"/>
    <w:rsid w:val="15CE3CEE"/>
    <w:rsid w:val="15DC1A93"/>
    <w:rsid w:val="15F27DB5"/>
    <w:rsid w:val="15F41BFA"/>
    <w:rsid w:val="167C3398"/>
    <w:rsid w:val="17046386"/>
    <w:rsid w:val="170C14A5"/>
    <w:rsid w:val="17593ABC"/>
    <w:rsid w:val="17B7662A"/>
    <w:rsid w:val="17B81319"/>
    <w:rsid w:val="17F66A07"/>
    <w:rsid w:val="17FF0A42"/>
    <w:rsid w:val="183A21CD"/>
    <w:rsid w:val="18545772"/>
    <w:rsid w:val="18FC0A05"/>
    <w:rsid w:val="18FF55F5"/>
    <w:rsid w:val="190B2E83"/>
    <w:rsid w:val="19BA0933"/>
    <w:rsid w:val="19E909D1"/>
    <w:rsid w:val="1A0933D9"/>
    <w:rsid w:val="1A222C1E"/>
    <w:rsid w:val="1A3D6250"/>
    <w:rsid w:val="1A4B7367"/>
    <w:rsid w:val="1A56070D"/>
    <w:rsid w:val="1A6F1DD4"/>
    <w:rsid w:val="1A93683C"/>
    <w:rsid w:val="1AAB623F"/>
    <w:rsid w:val="1AF51836"/>
    <w:rsid w:val="1B7B0544"/>
    <w:rsid w:val="1BAC0DD1"/>
    <w:rsid w:val="1C011997"/>
    <w:rsid w:val="1C1B73F4"/>
    <w:rsid w:val="1C6C711C"/>
    <w:rsid w:val="1CC36A4A"/>
    <w:rsid w:val="1CD75191"/>
    <w:rsid w:val="1D333DEB"/>
    <w:rsid w:val="1DE05A87"/>
    <w:rsid w:val="1E23214F"/>
    <w:rsid w:val="1E9C6228"/>
    <w:rsid w:val="1EA6173E"/>
    <w:rsid w:val="1EC025A4"/>
    <w:rsid w:val="1F3413ED"/>
    <w:rsid w:val="1F472D4A"/>
    <w:rsid w:val="1F60756A"/>
    <w:rsid w:val="1FD64C2B"/>
    <w:rsid w:val="1FF71F26"/>
    <w:rsid w:val="200E1F9D"/>
    <w:rsid w:val="201F4009"/>
    <w:rsid w:val="20542E81"/>
    <w:rsid w:val="20B724F9"/>
    <w:rsid w:val="20CA69A3"/>
    <w:rsid w:val="20DC1CE8"/>
    <w:rsid w:val="20E003AB"/>
    <w:rsid w:val="2112566F"/>
    <w:rsid w:val="220A2AE6"/>
    <w:rsid w:val="221B707C"/>
    <w:rsid w:val="221B7DFB"/>
    <w:rsid w:val="222A438B"/>
    <w:rsid w:val="22374AAF"/>
    <w:rsid w:val="224E61EC"/>
    <w:rsid w:val="22663F18"/>
    <w:rsid w:val="227D4553"/>
    <w:rsid w:val="228114C2"/>
    <w:rsid w:val="22B448F1"/>
    <w:rsid w:val="22E91F8E"/>
    <w:rsid w:val="22EE13C0"/>
    <w:rsid w:val="23780993"/>
    <w:rsid w:val="239366F2"/>
    <w:rsid w:val="23ED0875"/>
    <w:rsid w:val="243038E0"/>
    <w:rsid w:val="244A0EBF"/>
    <w:rsid w:val="24586EF5"/>
    <w:rsid w:val="24873E5B"/>
    <w:rsid w:val="24F55B21"/>
    <w:rsid w:val="257220CB"/>
    <w:rsid w:val="257746C8"/>
    <w:rsid w:val="259310AF"/>
    <w:rsid w:val="26017C95"/>
    <w:rsid w:val="26907262"/>
    <w:rsid w:val="26B06968"/>
    <w:rsid w:val="27651E6B"/>
    <w:rsid w:val="27EB1374"/>
    <w:rsid w:val="28153131"/>
    <w:rsid w:val="282043CB"/>
    <w:rsid w:val="28526139"/>
    <w:rsid w:val="288D32C1"/>
    <w:rsid w:val="28AE0F0A"/>
    <w:rsid w:val="28C8183E"/>
    <w:rsid w:val="2970244C"/>
    <w:rsid w:val="299A3DFC"/>
    <w:rsid w:val="29AA5021"/>
    <w:rsid w:val="29CA7D4F"/>
    <w:rsid w:val="29CC7338"/>
    <w:rsid w:val="2A0A5DAF"/>
    <w:rsid w:val="2A58372E"/>
    <w:rsid w:val="2AD63457"/>
    <w:rsid w:val="2AF6454E"/>
    <w:rsid w:val="2B231857"/>
    <w:rsid w:val="2BB02DF3"/>
    <w:rsid w:val="2BBD3FD1"/>
    <w:rsid w:val="2C5456F4"/>
    <w:rsid w:val="2C851401"/>
    <w:rsid w:val="2C8E05CD"/>
    <w:rsid w:val="2C924E45"/>
    <w:rsid w:val="2CF843E3"/>
    <w:rsid w:val="2D0F4B62"/>
    <w:rsid w:val="2D2E3237"/>
    <w:rsid w:val="2D961506"/>
    <w:rsid w:val="2DC1654E"/>
    <w:rsid w:val="2E0C5805"/>
    <w:rsid w:val="2E304F81"/>
    <w:rsid w:val="2E4122A3"/>
    <w:rsid w:val="2EAA1035"/>
    <w:rsid w:val="2EC1267E"/>
    <w:rsid w:val="2EC144B3"/>
    <w:rsid w:val="2EF53AC7"/>
    <w:rsid w:val="2F3C14A7"/>
    <w:rsid w:val="2F8B71B4"/>
    <w:rsid w:val="2F9978C6"/>
    <w:rsid w:val="2FD21D4C"/>
    <w:rsid w:val="30AC779C"/>
    <w:rsid w:val="30BC2DA3"/>
    <w:rsid w:val="31050043"/>
    <w:rsid w:val="310E70CF"/>
    <w:rsid w:val="31935EC2"/>
    <w:rsid w:val="31E5260D"/>
    <w:rsid w:val="31EF6985"/>
    <w:rsid w:val="322B3D92"/>
    <w:rsid w:val="32386D71"/>
    <w:rsid w:val="3268280F"/>
    <w:rsid w:val="32935A2E"/>
    <w:rsid w:val="32C54255"/>
    <w:rsid w:val="32D027D5"/>
    <w:rsid w:val="33405270"/>
    <w:rsid w:val="33B50F81"/>
    <w:rsid w:val="33D82479"/>
    <w:rsid w:val="34B62F07"/>
    <w:rsid w:val="34C62E5D"/>
    <w:rsid w:val="34C74D5B"/>
    <w:rsid w:val="34D50211"/>
    <w:rsid w:val="34FD7A88"/>
    <w:rsid w:val="358C17D9"/>
    <w:rsid w:val="35C04216"/>
    <w:rsid w:val="36013FFC"/>
    <w:rsid w:val="36903CFE"/>
    <w:rsid w:val="36C7634F"/>
    <w:rsid w:val="36E05768"/>
    <w:rsid w:val="3781356C"/>
    <w:rsid w:val="37AF71BF"/>
    <w:rsid w:val="37F91398"/>
    <w:rsid w:val="3876691E"/>
    <w:rsid w:val="387972DB"/>
    <w:rsid w:val="38E26BB8"/>
    <w:rsid w:val="3992290F"/>
    <w:rsid w:val="399F745E"/>
    <w:rsid w:val="3A140DF4"/>
    <w:rsid w:val="3A4D0C68"/>
    <w:rsid w:val="3A542FD5"/>
    <w:rsid w:val="3A817F86"/>
    <w:rsid w:val="3A9D7ECD"/>
    <w:rsid w:val="3AC24A90"/>
    <w:rsid w:val="3AC72337"/>
    <w:rsid w:val="3AEA5661"/>
    <w:rsid w:val="3AF17E70"/>
    <w:rsid w:val="3B28321B"/>
    <w:rsid w:val="3B942165"/>
    <w:rsid w:val="3B9D751A"/>
    <w:rsid w:val="3BAB52A6"/>
    <w:rsid w:val="3BB20C2D"/>
    <w:rsid w:val="3C366CC1"/>
    <w:rsid w:val="3C4405FB"/>
    <w:rsid w:val="3CCF1E09"/>
    <w:rsid w:val="3CE139B9"/>
    <w:rsid w:val="3D075D05"/>
    <w:rsid w:val="3D0A03A4"/>
    <w:rsid w:val="3D35086E"/>
    <w:rsid w:val="3D382BB4"/>
    <w:rsid w:val="3D553242"/>
    <w:rsid w:val="3D8C7812"/>
    <w:rsid w:val="3DDB54C2"/>
    <w:rsid w:val="3E073555"/>
    <w:rsid w:val="3E3318C2"/>
    <w:rsid w:val="3E395321"/>
    <w:rsid w:val="3E5A53B5"/>
    <w:rsid w:val="3EE71612"/>
    <w:rsid w:val="3EEE0EBF"/>
    <w:rsid w:val="3F312800"/>
    <w:rsid w:val="3F4A5A2E"/>
    <w:rsid w:val="3F554271"/>
    <w:rsid w:val="3F581C2E"/>
    <w:rsid w:val="3F770B22"/>
    <w:rsid w:val="3F846116"/>
    <w:rsid w:val="3F8D0AAB"/>
    <w:rsid w:val="3FB670F6"/>
    <w:rsid w:val="3FDD7AB1"/>
    <w:rsid w:val="40084901"/>
    <w:rsid w:val="40157022"/>
    <w:rsid w:val="409A19BC"/>
    <w:rsid w:val="40C65EC6"/>
    <w:rsid w:val="40D45A76"/>
    <w:rsid w:val="40FC36E9"/>
    <w:rsid w:val="41470F0E"/>
    <w:rsid w:val="415A1F35"/>
    <w:rsid w:val="416561C6"/>
    <w:rsid w:val="419E7FFC"/>
    <w:rsid w:val="41AC5952"/>
    <w:rsid w:val="41EC2CBF"/>
    <w:rsid w:val="41F7374D"/>
    <w:rsid w:val="4206288D"/>
    <w:rsid w:val="42CB7E62"/>
    <w:rsid w:val="435D20CE"/>
    <w:rsid w:val="43A32387"/>
    <w:rsid w:val="43B366A0"/>
    <w:rsid w:val="43B66121"/>
    <w:rsid w:val="43BD2D57"/>
    <w:rsid w:val="43BE75C1"/>
    <w:rsid w:val="44210A85"/>
    <w:rsid w:val="442B3B6E"/>
    <w:rsid w:val="4446527F"/>
    <w:rsid w:val="444E06E1"/>
    <w:rsid w:val="44A43B7B"/>
    <w:rsid w:val="453375C2"/>
    <w:rsid w:val="45430DBC"/>
    <w:rsid w:val="456D0411"/>
    <w:rsid w:val="457A4E08"/>
    <w:rsid w:val="45982A94"/>
    <w:rsid w:val="46246841"/>
    <w:rsid w:val="463E3B5B"/>
    <w:rsid w:val="46794700"/>
    <w:rsid w:val="46B1432D"/>
    <w:rsid w:val="46D647C4"/>
    <w:rsid w:val="46E0320A"/>
    <w:rsid w:val="46EE0AA7"/>
    <w:rsid w:val="46F8045A"/>
    <w:rsid w:val="476154E3"/>
    <w:rsid w:val="477F0273"/>
    <w:rsid w:val="478A34FC"/>
    <w:rsid w:val="47A466FA"/>
    <w:rsid w:val="47AE3030"/>
    <w:rsid w:val="48090880"/>
    <w:rsid w:val="484F0B18"/>
    <w:rsid w:val="48547F16"/>
    <w:rsid w:val="48EC4BD5"/>
    <w:rsid w:val="48F367D8"/>
    <w:rsid w:val="48FB6710"/>
    <w:rsid w:val="494E3E51"/>
    <w:rsid w:val="496B5766"/>
    <w:rsid w:val="496C13CF"/>
    <w:rsid w:val="498E2B50"/>
    <w:rsid w:val="49AA29D8"/>
    <w:rsid w:val="49B54CE4"/>
    <w:rsid w:val="49C83148"/>
    <w:rsid w:val="49E04B6C"/>
    <w:rsid w:val="49E43A11"/>
    <w:rsid w:val="4A247FFC"/>
    <w:rsid w:val="4AFB0BA5"/>
    <w:rsid w:val="4BCC379F"/>
    <w:rsid w:val="4CD755EA"/>
    <w:rsid w:val="4D853DB1"/>
    <w:rsid w:val="4D896BAF"/>
    <w:rsid w:val="4D9F3BEB"/>
    <w:rsid w:val="4DA27AB0"/>
    <w:rsid w:val="4DA33321"/>
    <w:rsid w:val="4DCD7C9F"/>
    <w:rsid w:val="4DEE47F1"/>
    <w:rsid w:val="4E024111"/>
    <w:rsid w:val="4E13493F"/>
    <w:rsid w:val="4E1361AC"/>
    <w:rsid w:val="4E9034F2"/>
    <w:rsid w:val="4EC631B0"/>
    <w:rsid w:val="4ED4505D"/>
    <w:rsid w:val="4F8E16AF"/>
    <w:rsid w:val="4FC20BBB"/>
    <w:rsid w:val="4FD55ED4"/>
    <w:rsid w:val="4FF64BB2"/>
    <w:rsid w:val="50005955"/>
    <w:rsid w:val="502C7313"/>
    <w:rsid w:val="50621842"/>
    <w:rsid w:val="508B1503"/>
    <w:rsid w:val="5112261F"/>
    <w:rsid w:val="51124F54"/>
    <w:rsid w:val="5127479B"/>
    <w:rsid w:val="512A0988"/>
    <w:rsid w:val="51310E43"/>
    <w:rsid w:val="513B13C3"/>
    <w:rsid w:val="51544998"/>
    <w:rsid w:val="51566920"/>
    <w:rsid w:val="515B6675"/>
    <w:rsid w:val="516C77CE"/>
    <w:rsid w:val="51A62E34"/>
    <w:rsid w:val="51AA15D6"/>
    <w:rsid w:val="51B8079B"/>
    <w:rsid w:val="51FA517E"/>
    <w:rsid w:val="526B4372"/>
    <w:rsid w:val="52DE4E11"/>
    <w:rsid w:val="531F6904"/>
    <w:rsid w:val="5336685F"/>
    <w:rsid w:val="53E34D2E"/>
    <w:rsid w:val="541660D7"/>
    <w:rsid w:val="542331C5"/>
    <w:rsid w:val="543B6BBD"/>
    <w:rsid w:val="54AA1DA2"/>
    <w:rsid w:val="551E3FFA"/>
    <w:rsid w:val="55320D2F"/>
    <w:rsid w:val="553A5DC1"/>
    <w:rsid w:val="553D0B6D"/>
    <w:rsid w:val="55592780"/>
    <w:rsid w:val="555B7047"/>
    <w:rsid w:val="5569057F"/>
    <w:rsid w:val="55AC288F"/>
    <w:rsid w:val="561E32AE"/>
    <w:rsid w:val="573C04B5"/>
    <w:rsid w:val="57A53A08"/>
    <w:rsid w:val="57B051D5"/>
    <w:rsid w:val="5819028C"/>
    <w:rsid w:val="581D7A73"/>
    <w:rsid w:val="581F55FD"/>
    <w:rsid w:val="582B535F"/>
    <w:rsid w:val="58993F5D"/>
    <w:rsid w:val="58B033DA"/>
    <w:rsid w:val="58FD3595"/>
    <w:rsid w:val="59044E54"/>
    <w:rsid w:val="592E4446"/>
    <w:rsid w:val="595955B1"/>
    <w:rsid w:val="59673452"/>
    <w:rsid w:val="59831B59"/>
    <w:rsid w:val="599B0EF7"/>
    <w:rsid w:val="59CE2EFE"/>
    <w:rsid w:val="5A18160C"/>
    <w:rsid w:val="5A737D3D"/>
    <w:rsid w:val="5ACC2D05"/>
    <w:rsid w:val="5AD3538C"/>
    <w:rsid w:val="5AF77EBE"/>
    <w:rsid w:val="5AFC0016"/>
    <w:rsid w:val="5B5E69EB"/>
    <w:rsid w:val="5BA0637A"/>
    <w:rsid w:val="5BD51862"/>
    <w:rsid w:val="5C8E621E"/>
    <w:rsid w:val="5CD27925"/>
    <w:rsid w:val="5CDA6FD2"/>
    <w:rsid w:val="5D3F2E16"/>
    <w:rsid w:val="5D5922B1"/>
    <w:rsid w:val="5D6A5A0D"/>
    <w:rsid w:val="5D731CED"/>
    <w:rsid w:val="5D763B0E"/>
    <w:rsid w:val="5DC142B6"/>
    <w:rsid w:val="5DD548C0"/>
    <w:rsid w:val="5E1C7B64"/>
    <w:rsid w:val="5E225F37"/>
    <w:rsid w:val="5E41061B"/>
    <w:rsid w:val="5EAA2030"/>
    <w:rsid w:val="5EAF122A"/>
    <w:rsid w:val="5F13096F"/>
    <w:rsid w:val="5F4F076A"/>
    <w:rsid w:val="5FC06F17"/>
    <w:rsid w:val="5FCE26FE"/>
    <w:rsid w:val="5FE51F93"/>
    <w:rsid w:val="602E0341"/>
    <w:rsid w:val="60466747"/>
    <w:rsid w:val="60545FFD"/>
    <w:rsid w:val="60AB6DFF"/>
    <w:rsid w:val="60C82843"/>
    <w:rsid w:val="60D33512"/>
    <w:rsid w:val="60E239BE"/>
    <w:rsid w:val="615F08C2"/>
    <w:rsid w:val="61870B9F"/>
    <w:rsid w:val="619623DC"/>
    <w:rsid w:val="61E32559"/>
    <w:rsid w:val="61F8384A"/>
    <w:rsid w:val="621D7B0C"/>
    <w:rsid w:val="624125B1"/>
    <w:rsid w:val="626E176E"/>
    <w:rsid w:val="62AA48B3"/>
    <w:rsid w:val="62B14371"/>
    <w:rsid w:val="62BE126E"/>
    <w:rsid w:val="62D55880"/>
    <w:rsid w:val="62E36858"/>
    <w:rsid w:val="6311025F"/>
    <w:rsid w:val="638C7C94"/>
    <w:rsid w:val="639674EB"/>
    <w:rsid w:val="63B243F8"/>
    <w:rsid w:val="63E47B21"/>
    <w:rsid w:val="64021659"/>
    <w:rsid w:val="642B2677"/>
    <w:rsid w:val="64926CF3"/>
    <w:rsid w:val="64F77CC2"/>
    <w:rsid w:val="65AD7A12"/>
    <w:rsid w:val="65B55790"/>
    <w:rsid w:val="661C4186"/>
    <w:rsid w:val="66267BB6"/>
    <w:rsid w:val="663417A8"/>
    <w:rsid w:val="66772224"/>
    <w:rsid w:val="667E025A"/>
    <w:rsid w:val="66C7577B"/>
    <w:rsid w:val="66EA3B76"/>
    <w:rsid w:val="670837B5"/>
    <w:rsid w:val="673E41AF"/>
    <w:rsid w:val="674E4965"/>
    <w:rsid w:val="6758159E"/>
    <w:rsid w:val="678316EC"/>
    <w:rsid w:val="679444EE"/>
    <w:rsid w:val="67A67EBF"/>
    <w:rsid w:val="682022BD"/>
    <w:rsid w:val="689313B3"/>
    <w:rsid w:val="68CF7E59"/>
    <w:rsid w:val="68DF4717"/>
    <w:rsid w:val="68E71B27"/>
    <w:rsid w:val="68F14E7A"/>
    <w:rsid w:val="69185200"/>
    <w:rsid w:val="69272501"/>
    <w:rsid w:val="69A877A1"/>
    <w:rsid w:val="69B044C3"/>
    <w:rsid w:val="6A500275"/>
    <w:rsid w:val="6B4F05ED"/>
    <w:rsid w:val="6B824366"/>
    <w:rsid w:val="6BB527FB"/>
    <w:rsid w:val="6BD22543"/>
    <w:rsid w:val="6C3B6F4A"/>
    <w:rsid w:val="6C4C785B"/>
    <w:rsid w:val="6C53207F"/>
    <w:rsid w:val="6C6D4EE1"/>
    <w:rsid w:val="6CBC2888"/>
    <w:rsid w:val="6CCD7123"/>
    <w:rsid w:val="6D1F0525"/>
    <w:rsid w:val="6D8F3713"/>
    <w:rsid w:val="6DA26DAD"/>
    <w:rsid w:val="6DA952E1"/>
    <w:rsid w:val="6E082FB2"/>
    <w:rsid w:val="6E5F4961"/>
    <w:rsid w:val="6E693C8C"/>
    <w:rsid w:val="6E950ADE"/>
    <w:rsid w:val="6EC222E0"/>
    <w:rsid w:val="6F474195"/>
    <w:rsid w:val="6F673281"/>
    <w:rsid w:val="6F9A2D90"/>
    <w:rsid w:val="6FBB2A2C"/>
    <w:rsid w:val="6FBC3D4D"/>
    <w:rsid w:val="6FD45E68"/>
    <w:rsid w:val="6FFD0675"/>
    <w:rsid w:val="701A6EDF"/>
    <w:rsid w:val="7065004E"/>
    <w:rsid w:val="7098030B"/>
    <w:rsid w:val="70DD038D"/>
    <w:rsid w:val="70EE26AE"/>
    <w:rsid w:val="70FD6FDE"/>
    <w:rsid w:val="712938D5"/>
    <w:rsid w:val="71723E31"/>
    <w:rsid w:val="717A72B0"/>
    <w:rsid w:val="7192311C"/>
    <w:rsid w:val="71A11ADA"/>
    <w:rsid w:val="71A34C6D"/>
    <w:rsid w:val="7225291B"/>
    <w:rsid w:val="724F4877"/>
    <w:rsid w:val="72664C59"/>
    <w:rsid w:val="72AD2D7C"/>
    <w:rsid w:val="72DB610A"/>
    <w:rsid w:val="73297BAB"/>
    <w:rsid w:val="7378665E"/>
    <w:rsid w:val="73AE33B2"/>
    <w:rsid w:val="7427614C"/>
    <w:rsid w:val="7459693B"/>
    <w:rsid w:val="74B857B4"/>
    <w:rsid w:val="74E62083"/>
    <w:rsid w:val="751037AE"/>
    <w:rsid w:val="75463457"/>
    <w:rsid w:val="75893A32"/>
    <w:rsid w:val="75CB4833"/>
    <w:rsid w:val="75FF4630"/>
    <w:rsid w:val="762512AB"/>
    <w:rsid w:val="76637371"/>
    <w:rsid w:val="76740D50"/>
    <w:rsid w:val="76950189"/>
    <w:rsid w:val="76CC1AB2"/>
    <w:rsid w:val="77422856"/>
    <w:rsid w:val="776E1304"/>
    <w:rsid w:val="77D45F4A"/>
    <w:rsid w:val="77D97120"/>
    <w:rsid w:val="77EF68E0"/>
    <w:rsid w:val="781720DA"/>
    <w:rsid w:val="784C0FB4"/>
    <w:rsid w:val="78525E90"/>
    <w:rsid w:val="78773A51"/>
    <w:rsid w:val="787800C3"/>
    <w:rsid w:val="78B4421D"/>
    <w:rsid w:val="78CB7529"/>
    <w:rsid w:val="7908617E"/>
    <w:rsid w:val="798D0F7A"/>
    <w:rsid w:val="79A4422C"/>
    <w:rsid w:val="79C6782D"/>
    <w:rsid w:val="79E43495"/>
    <w:rsid w:val="79F46AE2"/>
    <w:rsid w:val="7A0B5322"/>
    <w:rsid w:val="7A990D85"/>
    <w:rsid w:val="7AC963AC"/>
    <w:rsid w:val="7AE82C8E"/>
    <w:rsid w:val="7AFF3D43"/>
    <w:rsid w:val="7B0D0A70"/>
    <w:rsid w:val="7B0F63F0"/>
    <w:rsid w:val="7B1834AF"/>
    <w:rsid w:val="7B34130D"/>
    <w:rsid w:val="7B6B611F"/>
    <w:rsid w:val="7B8D1F50"/>
    <w:rsid w:val="7BA957A8"/>
    <w:rsid w:val="7BC63DFB"/>
    <w:rsid w:val="7BD01AD0"/>
    <w:rsid w:val="7BE12CF9"/>
    <w:rsid w:val="7C0948F4"/>
    <w:rsid w:val="7C27143B"/>
    <w:rsid w:val="7C4B6622"/>
    <w:rsid w:val="7C506FC1"/>
    <w:rsid w:val="7C746DB2"/>
    <w:rsid w:val="7CAA27C8"/>
    <w:rsid w:val="7CCB7974"/>
    <w:rsid w:val="7D3F6DFB"/>
    <w:rsid w:val="7D5C596A"/>
    <w:rsid w:val="7D6E64F9"/>
    <w:rsid w:val="7D7535D7"/>
    <w:rsid w:val="7DAF2DDC"/>
    <w:rsid w:val="7DC80B78"/>
    <w:rsid w:val="7E084D12"/>
    <w:rsid w:val="7E26070B"/>
    <w:rsid w:val="7E461224"/>
    <w:rsid w:val="7E5C037D"/>
    <w:rsid w:val="7E5F4093"/>
    <w:rsid w:val="7EBC7738"/>
    <w:rsid w:val="7EC776FA"/>
    <w:rsid w:val="7EF74EB2"/>
    <w:rsid w:val="7EF75F5E"/>
    <w:rsid w:val="7F2E1278"/>
    <w:rsid w:val="7F9A07A7"/>
    <w:rsid w:val="7F9D46F9"/>
    <w:rsid w:val="7FDD7966"/>
    <w:rsid w:val="FD7A2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3"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numPr>
        <w:ilvl w:val="0"/>
        <w:numId w:val="1"/>
      </w:numPr>
      <w:outlineLvl w:val="0"/>
    </w:pPr>
    <w:rPr>
      <w:b/>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3"/>
    <w:next w:val="1"/>
    <w:qFormat/>
    <w:uiPriority w:val="0"/>
    <w:pPr>
      <w:spacing w:line="360" w:lineRule="auto"/>
      <w:ind w:firstLine="480" w:firstLineChars="200"/>
      <w:outlineLvl w:val="2"/>
    </w:pPr>
    <w:rPr>
      <w:rFonts w:ascii="宋体" w:hAnsi="宋体" w:cs="宋体"/>
      <w:sz w:val="24"/>
      <w:lang w:val="zh-CN"/>
    </w:rPr>
  </w:style>
  <w:style w:type="paragraph" w:styleId="5">
    <w:name w:val="heading 4"/>
    <w:basedOn w:val="1"/>
    <w:next w:val="1"/>
    <w:qFormat/>
    <w:uiPriority w:val="99"/>
    <w:pPr>
      <w:widowControl/>
      <w:numPr>
        <w:ilvl w:val="3"/>
        <w:numId w:val="2"/>
      </w:numPr>
      <w:adjustRightInd w:val="0"/>
      <w:snapToGrid w:val="0"/>
      <w:spacing w:before="240" w:line="360" w:lineRule="auto"/>
      <w:jc w:val="left"/>
      <w:outlineLvl w:val="3"/>
    </w:pPr>
    <w:rPr>
      <w:rFonts w:eastAsia="仿宋"/>
      <w:snapToGrid w:val="0"/>
      <w:kern w:val="0"/>
      <w:sz w:val="28"/>
      <w:szCs w:val="24"/>
      <w:lang w:val="zh-CN"/>
    </w:rPr>
  </w:style>
  <w:style w:type="character" w:default="1" w:styleId="24">
    <w:name w:val="Default Paragraph Font"/>
    <w:semiHidden/>
    <w:unhideWhenUsed/>
    <w:qFormat/>
    <w:uiPriority w:val="1"/>
  </w:style>
  <w:style w:type="table" w:default="1" w:styleId="2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6">
    <w:name w:val="Normal Indent"/>
    <w:basedOn w:val="1"/>
    <w:next w:val="5"/>
    <w:qFormat/>
    <w:uiPriority w:val="0"/>
    <w:pPr>
      <w:ind w:firstLine="420"/>
    </w:pPr>
    <w:rPr>
      <w:kern w:val="0"/>
      <w:sz w:val="20"/>
    </w:rPr>
  </w:style>
  <w:style w:type="paragraph" w:styleId="7">
    <w:name w:val="Body Text"/>
    <w:basedOn w:val="1"/>
    <w:qFormat/>
    <w:uiPriority w:val="0"/>
    <w:pPr>
      <w:widowControl/>
      <w:jc w:val="left"/>
    </w:pPr>
    <w:rPr>
      <w:rFonts w:ascii="Tahoma" w:hAnsi="Tahoma"/>
      <w:kern w:val="0"/>
      <w:sz w:val="22"/>
      <w:lang w:val="en-GB"/>
    </w:rPr>
  </w:style>
  <w:style w:type="paragraph" w:styleId="8">
    <w:name w:val="Body Text Indent"/>
    <w:basedOn w:val="1"/>
    <w:next w:val="9"/>
    <w:qFormat/>
    <w:uiPriority w:val="0"/>
    <w:pPr>
      <w:spacing w:after="120"/>
      <w:ind w:left="420" w:leftChars="200"/>
    </w:pPr>
  </w:style>
  <w:style w:type="paragraph" w:styleId="9">
    <w:name w:val="Body Text Indent 2"/>
    <w:basedOn w:val="1"/>
    <w:qFormat/>
    <w:uiPriority w:val="0"/>
    <w:pPr>
      <w:ind w:firstLine="480"/>
    </w:pPr>
    <w:rPr>
      <w:rFonts w:ascii="宋体" w:hAnsi="宋体"/>
      <w:sz w:val="30"/>
      <w:szCs w:val="24"/>
    </w:rPr>
  </w:style>
  <w:style w:type="paragraph" w:styleId="10">
    <w:name w:val="List 2"/>
    <w:basedOn w:val="1"/>
    <w:next w:val="11"/>
    <w:qFormat/>
    <w:uiPriority w:val="0"/>
    <w:pPr>
      <w:ind w:left="100" w:leftChars="200" w:hanging="200" w:hangingChars="200"/>
    </w:pPr>
  </w:style>
  <w:style w:type="paragraph" w:styleId="11">
    <w:name w:val="Plain Text"/>
    <w:basedOn w:val="1"/>
    <w:qFormat/>
    <w:uiPriority w:val="0"/>
    <w:rPr>
      <w:rFonts w:ascii="宋体" w:hAnsi="Courier New"/>
    </w:rPr>
  </w:style>
  <w:style w:type="paragraph" w:styleId="12">
    <w:name w:val="toc 3"/>
    <w:basedOn w:val="1"/>
    <w:next w:val="1"/>
    <w:qFormat/>
    <w:uiPriority w:val="0"/>
    <w:pPr>
      <w:ind w:left="420"/>
      <w:jc w:val="left"/>
    </w:pPr>
    <w:rPr>
      <w:i/>
      <w:sz w:val="20"/>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link w:val="47"/>
    <w:qFormat/>
    <w:uiPriority w:val="99"/>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39"/>
    <w:pPr>
      <w:tabs>
        <w:tab w:val="left" w:pos="1260"/>
        <w:tab w:val="left" w:pos="1685"/>
        <w:tab w:val="right" w:leader="dot" w:pos="8400"/>
      </w:tabs>
      <w:spacing w:line="320" w:lineRule="exact"/>
      <w:ind w:firstLine="280" w:firstLineChars="100"/>
    </w:pPr>
  </w:style>
  <w:style w:type="paragraph" w:styleId="16">
    <w:name w:val="Subtitle"/>
    <w:basedOn w:val="1"/>
    <w:next w:val="1"/>
    <w:qFormat/>
    <w:uiPriority w:val="3"/>
    <w:pPr>
      <w:jc w:val="center"/>
      <w:outlineLvl w:val="1"/>
    </w:pPr>
    <w:rPr>
      <w:rFonts w:ascii="黑体" w:hAnsi="黑体" w:eastAsia="黑体"/>
      <w:b/>
      <w:bCs/>
      <w:kern w:val="28"/>
      <w:sz w:val="30"/>
      <w:szCs w:val="22"/>
    </w:rPr>
  </w:style>
  <w:style w:type="paragraph" w:styleId="17">
    <w:name w:val="footnote text"/>
    <w:basedOn w:val="1"/>
    <w:qFormat/>
    <w:uiPriority w:val="99"/>
    <w:pPr>
      <w:snapToGrid w:val="0"/>
      <w:jc w:val="left"/>
    </w:pPr>
    <w:rPr>
      <w:sz w:val="18"/>
    </w:rPr>
  </w:style>
  <w:style w:type="paragraph" w:styleId="18">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19">
    <w:name w:val="Title"/>
    <w:basedOn w:val="1"/>
    <w:next w:val="1"/>
    <w:qFormat/>
    <w:uiPriority w:val="1"/>
    <w:pPr>
      <w:ind w:left="2108" w:right="636" w:hanging="1760"/>
    </w:pPr>
    <w:rPr>
      <w:rFonts w:ascii="微软雅黑" w:hAnsi="微软雅黑" w:eastAsia="微软雅黑" w:cs="微软雅黑"/>
      <w:sz w:val="44"/>
      <w:szCs w:val="44"/>
    </w:rPr>
  </w:style>
  <w:style w:type="paragraph" w:styleId="20">
    <w:name w:val="Body Text First Indent"/>
    <w:basedOn w:val="7"/>
    <w:qFormat/>
    <w:uiPriority w:val="0"/>
    <w:pPr>
      <w:ind w:firstLine="420" w:firstLineChars="100"/>
    </w:pPr>
  </w:style>
  <w:style w:type="paragraph" w:styleId="21">
    <w:name w:val="Body Text First Indent 2"/>
    <w:basedOn w:val="8"/>
    <w:next w:val="6"/>
    <w:qFormat/>
    <w:uiPriority w:val="0"/>
    <w:pPr>
      <w:ind w:left="200" w:firstLine="20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qFormat/>
    <w:uiPriority w:val="0"/>
    <w:rPr>
      <w:b/>
      <w:bCs/>
    </w:rPr>
  </w:style>
  <w:style w:type="character" w:styleId="26">
    <w:name w:val="page number"/>
    <w:basedOn w:val="24"/>
    <w:qFormat/>
    <w:uiPriority w:val="0"/>
    <w:rPr>
      <w:rFonts w:ascii="Times New Roman" w:hAnsi="Times New Roman" w:eastAsia="宋体" w:cs="Times New Roman"/>
    </w:rPr>
  </w:style>
  <w:style w:type="character" w:styleId="27">
    <w:name w:val="Hyperlink"/>
    <w:basedOn w:val="24"/>
    <w:qFormat/>
    <w:uiPriority w:val="0"/>
    <w:rPr>
      <w:color w:val="0000FF"/>
      <w:u w:val="single"/>
    </w:rPr>
  </w:style>
  <w:style w:type="paragraph" w:customStyle="1" w:styleId="28">
    <w:name w:val="Default"/>
    <w:basedOn w:val="19"/>
    <w:next w:val="2"/>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29">
    <w:name w:val="目录 53"/>
    <w:basedOn w:val="1"/>
    <w:next w:val="1"/>
    <w:qFormat/>
    <w:uiPriority w:val="0"/>
    <w:pPr>
      <w:ind w:left="840"/>
    </w:pPr>
    <w:rPr>
      <w:sz w:val="18"/>
    </w:rPr>
  </w:style>
  <w:style w:type="paragraph" w:customStyle="1" w:styleId="30">
    <w:name w:val="列表段落1"/>
    <w:basedOn w:val="1"/>
    <w:qFormat/>
    <w:uiPriority w:val="0"/>
    <w:pPr>
      <w:ind w:firstLine="420" w:firstLineChars="200"/>
    </w:pPr>
    <w:rPr>
      <w:szCs w:val="24"/>
    </w:rPr>
  </w:style>
  <w:style w:type="paragraph" w:customStyle="1" w:styleId="31">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2">
    <w:name w:val="样式1"/>
    <w:basedOn w:val="1"/>
    <w:qFormat/>
    <w:uiPriority w:val="0"/>
    <w:pPr>
      <w:jc w:val="center"/>
    </w:pPr>
    <w:rPr>
      <w:szCs w:val="30"/>
    </w:rPr>
  </w:style>
  <w:style w:type="paragraph" w:customStyle="1" w:styleId="33">
    <w:name w:val="Table Paragraph"/>
    <w:basedOn w:val="1"/>
    <w:qFormat/>
    <w:uiPriority w:val="1"/>
    <w:rPr>
      <w:rFonts w:ascii="宋体" w:hAnsi="宋体" w:cs="宋体"/>
      <w:lang w:val="zh-CN" w:bidi="zh-CN"/>
    </w:rPr>
  </w:style>
  <w:style w:type="paragraph" w:customStyle="1" w:styleId="34">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35">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6">
    <w:name w:val="无间隔1"/>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customStyle="1" w:styleId="37">
    <w:name w:val="正文1"/>
    <w:qFormat/>
    <w:uiPriority w:val="0"/>
    <w:rPr>
      <w:rFonts w:ascii="Calibri" w:hAnsi="Calibri" w:eastAsia="Times New Roman" w:cs="Times New Roman"/>
      <w:sz w:val="24"/>
      <w:szCs w:val="24"/>
      <w:lang w:val="en-US" w:eastAsia="zh-CN" w:bidi="ar-SA"/>
    </w:rPr>
  </w:style>
  <w:style w:type="paragraph" w:customStyle="1" w:styleId="38">
    <w:name w:val="列出段落1"/>
    <w:basedOn w:val="1"/>
    <w:qFormat/>
    <w:uiPriority w:val="34"/>
    <w:pPr>
      <w:ind w:firstLine="420" w:firstLineChars="200"/>
    </w:pPr>
  </w:style>
  <w:style w:type="paragraph" w:customStyle="1" w:styleId="39">
    <w:name w:val="中文正文、"/>
    <w:basedOn w:val="1"/>
    <w:qFormat/>
    <w:uiPriority w:val="0"/>
    <w:pPr>
      <w:spacing w:line="360" w:lineRule="auto"/>
      <w:ind w:firstLine="420" w:firstLineChars="200"/>
      <w:jc w:val="left"/>
    </w:pPr>
    <w:rPr>
      <w:kern w:val="0"/>
      <w:sz w:val="20"/>
      <w:szCs w:val="21"/>
      <w:lang w:val="de-DE" w:eastAsia="de-DE"/>
    </w:rPr>
  </w:style>
  <w:style w:type="paragraph" w:customStyle="1" w:styleId="40">
    <w:name w:val="标题 5（有编号）（绿盟科技）"/>
    <w:basedOn w:val="1"/>
    <w:next w:val="41"/>
    <w:qFormat/>
    <w:uiPriority w:val="99"/>
    <w:pPr>
      <w:keepNext/>
      <w:keepLines/>
      <w:numPr>
        <w:ilvl w:val="4"/>
        <w:numId w:val="3"/>
      </w:numPr>
      <w:spacing w:before="280" w:after="156" w:line="377" w:lineRule="auto"/>
      <w:jc w:val="left"/>
      <w:outlineLvl w:val="4"/>
    </w:pPr>
    <w:rPr>
      <w:rFonts w:ascii="Arial" w:hAnsi="Arial" w:eastAsia="黑体"/>
      <w:b/>
      <w:sz w:val="24"/>
      <w:szCs w:val="28"/>
    </w:rPr>
  </w:style>
  <w:style w:type="paragraph" w:customStyle="1" w:styleId="41">
    <w:name w:val="正文（绿盟科技）"/>
    <w:qFormat/>
    <w:uiPriority w:val="0"/>
    <w:pPr>
      <w:spacing w:line="300" w:lineRule="auto"/>
    </w:pPr>
    <w:rPr>
      <w:rFonts w:ascii="Arial" w:hAnsi="Arial" w:eastAsia="宋体" w:cs="黑体"/>
      <w:sz w:val="21"/>
      <w:szCs w:val="21"/>
      <w:lang w:val="en-US" w:eastAsia="zh-CN" w:bidi="ar-SA"/>
    </w:rPr>
  </w:style>
  <w:style w:type="character" w:customStyle="1" w:styleId="42">
    <w:name w:val="font21"/>
    <w:basedOn w:val="24"/>
    <w:qFormat/>
    <w:uiPriority w:val="0"/>
    <w:rPr>
      <w:rFonts w:hint="default" w:ascii="Calibri" w:hAnsi="Calibri" w:cs="Calibri"/>
      <w:color w:val="000000"/>
      <w:sz w:val="24"/>
      <w:szCs w:val="24"/>
      <w:u w:val="none"/>
    </w:rPr>
  </w:style>
  <w:style w:type="character" w:customStyle="1" w:styleId="43">
    <w:name w:val="font31"/>
    <w:basedOn w:val="24"/>
    <w:qFormat/>
    <w:uiPriority w:val="0"/>
    <w:rPr>
      <w:rFonts w:hint="default" w:ascii="Times New Roman" w:hAnsi="Times New Roman" w:cs="Times New Roman"/>
      <w:color w:val="000000"/>
      <w:sz w:val="20"/>
      <w:szCs w:val="20"/>
      <w:u w:val="none"/>
    </w:rPr>
  </w:style>
  <w:style w:type="paragraph" w:customStyle="1" w:styleId="44">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5">
    <w:name w:val="Char"/>
    <w:basedOn w:val="1"/>
    <w:qFormat/>
    <w:uiPriority w:val="0"/>
  </w:style>
  <w:style w:type="paragraph" w:customStyle="1" w:styleId="46">
    <w:name w:val="列表段落11"/>
    <w:basedOn w:val="1"/>
    <w:qFormat/>
    <w:uiPriority w:val="1"/>
    <w:pPr>
      <w:ind w:left="228" w:firstLine="420"/>
    </w:pPr>
  </w:style>
  <w:style w:type="character" w:customStyle="1" w:styleId="47">
    <w:name w:val="页眉 字符"/>
    <w:basedOn w:val="24"/>
    <w:link w:val="14"/>
    <w:qFormat/>
    <w:uiPriority w:val="99"/>
    <w:rPr>
      <w:kern w:val="2"/>
      <w:sz w:val="18"/>
    </w:rPr>
  </w:style>
  <w:style w:type="paragraph" w:styleId="48">
    <w:name w:val="List Paragraph"/>
    <w:basedOn w:val="1"/>
    <w:qFormat/>
    <w:uiPriority w:val="1"/>
    <w:pPr>
      <w:ind w:left="106" w:right="278" w:firstLine="640"/>
    </w:pPr>
    <w:rPr>
      <w:rFonts w:ascii="仿宋" w:hAnsi="仿宋" w:eastAsia="仿宋" w:cs="仿宋"/>
    </w:rPr>
  </w:style>
  <w:style w:type="paragraph" w:customStyle="1" w:styleId="49">
    <w:name w:val="正文缩进1"/>
    <w:basedOn w:val="1"/>
    <w:qFormat/>
    <w:uiPriority w:val="0"/>
    <w:pPr>
      <w:ind w:firstLine="420" w:firstLineChars="200"/>
    </w:pPr>
  </w:style>
  <w:style w:type="paragraph" w:customStyle="1" w:styleId="50">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51">
    <w:name w:val="正文_0"/>
    <w:next w:val="52"/>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52">
    <w:name w:val="表格文字_0"/>
    <w:basedOn w:val="51"/>
    <w:qFormat/>
    <w:uiPriority w:val="0"/>
    <w:pPr>
      <w:adjustRightInd w:val="0"/>
      <w:spacing w:line="420" w:lineRule="atLeast"/>
      <w:jc w:val="left"/>
    </w:pPr>
    <w:rPr>
      <w:rFonts w:ascii="Calibri" w:hAnsi="Calibri" w:eastAsia="宋体" w:cs="Times New Roman"/>
      <w:kern w:val="0"/>
      <w:sz w:val="21"/>
      <w:szCs w:val="20"/>
    </w:rPr>
  </w:style>
  <w:style w:type="character" w:customStyle="1" w:styleId="53">
    <w:name w:val="10"/>
    <w:basedOn w:val="24"/>
    <w:qFormat/>
    <w:uiPriority w:val="0"/>
    <w:rPr>
      <w:rFonts w:hint="default" w:ascii="等线" w:hAnsi="等线" w:eastAsia="等线" w:cs="等线"/>
    </w:rPr>
  </w:style>
  <w:style w:type="character" w:customStyle="1" w:styleId="54">
    <w:name w:val="15"/>
    <w:basedOn w:val="24"/>
    <w:qFormat/>
    <w:uiPriority w:val="0"/>
    <w:rPr>
      <w:rFonts w:hint="default" w:ascii="等线" w:hAnsi="等线" w:eastAsia="等线" w:cs="等线"/>
    </w:rPr>
  </w:style>
  <w:style w:type="paragraph" w:customStyle="1" w:styleId="55">
    <w:name w:val="Table Text"/>
    <w:basedOn w:val="1"/>
    <w:semiHidden/>
    <w:qFormat/>
    <w:uiPriority w:val="0"/>
    <w:rPr>
      <w:rFonts w:ascii="仿宋" w:hAnsi="仿宋" w:eastAsia="仿宋" w:cs="仿宋"/>
      <w:sz w:val="21"/>
      <w:szCs w:val="21"/>
      <w:lang w:val="en-US" w:eastAsia="en-US" w:bidi="ar-SA"/>
    </w:rPr>
  </w:style>
  <w:style w:type="table" w:customStyle="1" w:styleId="56">
    <w:name w:val="Table Normal"/>
    <w:unhideWhenUsed/>
    <w:qFormat/>
    <w:uiPriority w:val="0"/>
    <w:tblPr>
      <w:tblCellMar>
        <w:top w:w="0" w:type="dxa"/>
        <w:left w:w="0" w:type="dxa"/>
        <w:bottom w:w="0" w:type="dxa"/>
        <w:right w:w="0" w:type="dxa"/>
      </w:tblCellMar>
    </w:tblPr>
  </w:style>
  <w:style w:type="paragraph" w:customStyle="1" w:styleId="57">
    <w:name w:val="索引 11"/>
    <w:basedOn w:val="1"/>
    <w:next w:val="1"/>
    <w:qFormat/>
    <w:uiPriority w:val="0"/>
    <w:pPr>
      <w:spacing w:line="360" w:lineRule="auto"/>
    </w:pPr>
    <w:rPr>
      <w:rFonts w:ascii="仿宋_GB2312" w:eastAsia="仿宋_GB2312"/>
      <w:sz w:val="24"/>
      <w:szCs w:val="20"/>
    </w:rPr>
  </w:style>
  <w:style w:type="paragraph" w:customStyle="1" w:styleId="58">
    <w:name w:val="纯文本1"/>
    <w:basedOn w:val="1"/>
    <w:qFormat/>
    <w:uiPriority w:val="0"/>
    <w:rPr>
      <w:rFonts w:ascii="宋体" w:hAnsi="Courier New" w:eastAsiaTheme="minorEastAsia" w:cstheme="minorBidi"/>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4.png"/><Relationship Id="rId12" Type="http://schemas.openxmlformats.org/officeDocument/2006/relationships/image" Target="media/image3.jpe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19297</Words>
  <Characters>21114</Characters>
  <Lines>1</Lines>
  <Paragraphs>1</Paragraphs>
  <TotalTime>3</TotalTime>
  <ScaleCrop>false</ScaleCrop>
  <LinksUpToDate>false</LinksUpToDate>
  <CharactersWithSpaces>21496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2020-07-28T16:49:00Z</dcterms:created>
  <dc:creator>Administrator</dc:creator>
  <cp:lastModifiedBy>深圳能源</cp:lastModifiedBy>
  <cp:lastPrinted>2021-04-19T12:51:00Z</cp:lastPrinted>
  <dcterms:modified xsi:type="dcterms:W3CDTF">2025-03-12T05:49:34Z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2A8D0997DBF04B3AB1D1A1E4DE5361EB_13</vt:lpwstr>
  </property>
  <property fmtid="{D5CDD505-2E9C-101B-9397-08002B2CF9AE}" pid="4" name="KSOTemplateDocerSaveRecord">
    <vt:lpwstr>eyJoZGlkIjoiODBhNjFjYjNiOTQ4ZjQyZmU2NzE1ZmMwYzgyNzRmN2EiLCJ1c2VySWQiOiIyNDkxMTU3OTcifQ==</vt:lpwstr>
  </property>
</Properties>
</file>