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F71F7">
      <w:pPr>
        <w:snapToGrid w:val="0"/>
        <w:spacing w:line="240" w:lineRule="atLeast"/>
        <w:jc w:val="center"/>
        <w:textAlignment w:val="baseline"/>
        <w:rPr>
          <w:rFonts w:ascii="微软雅黑" w:hAnsi="微软雅黑" w:eastAsia="微软雅黑" w:cs="微软雅黑"/>
          <w:b/>
          <w:sz w:val="44"/>
          <w:szCs w:val="44"/>
        </w:rPr>
      </w:pPr>
    </w:p>
    <w:p w14:paraId="2580E642">
      <w:pPr>
        <w:pStyle w:val="13"/>
        <w:ind w:firstLine="480"/>
        <w:rPr>
          <w:rFonts w:ascii="微软雅黑" w:hAnsi="微软雅黑" w:eastAsia="微软雅黑" w:cs="微软雅黑"/>
        </w:rPr>
      </w:pPr>
    </w:p>
    <w:p w14:paraId="76942A4B">
      <w:pPr>
        <w:pStyle w:val="7"/>
        <w:rPr>
          <w:rFonts w:ascii="微软雅黑" w:hAnsi="微软雅黑" w:eastAsia="微软雅黑" w:cs="微软雅黑"/>
        </w:rPr>
      </w:pPr>
    </w:p>
    <w:p w14:paraId="453183C9">
      <w:pPr>
        <w:pStyle w:val="8"/>
      </w:pPr>
    </w:p>
    <w:p w14:paraId="3A1963BD">
      <w:pPr>
        <w:snapToGrid w:val="0"/>
        <w:spacing w:line="240" w:lineRule="atLeast"/>
        <w:jc w:val="center"/>
        <w:textAlignment w:val="baseline"/>
        <w:rPr>
          <w:rFonts w:hint="eastAsia" w:ascii="微软雅黑" w:hAnsi="微软雅黑" w:eastAsia="微软雅黑" w:cs="微软雅黑"/>
          <w:b/>
          <w:sz w:val="52"/>
          <w:szCs w:val="52"/>
        </w:rPr>
      </w:pPr>
      <w:r>
        <w:rPr>
          <w:rFonts w:hint="eastAsia" w:ascii="微软雅黑" w:hAnsi="微软雅黑" w:eastAsia="微软雅黑" w:cs="微软雅黑"/>
          <w:b/>
          <w:sz w:val="48"/>
          <w:szCs w:val="48"/>
          <w:lang w:eastAsia="zh-CN"/>
        </w:rPr>
        <w:t>疏勒县阿拉甫乡道路以工代赈项目</w:t>
      </w:r>
    </w:p>
    <w:p w14:paraId="3AE7A67F">
      <w:pPr>
        <w:snapToGrid w:val="0"/>
        <w:spacing w:line="240" w:lineRule="atLeast"/>
        <w:jc w:val="center"/>
        <w:textAlignment w:val="baseline"/>
        <w:rPr>
          <w:rFonts w:ascii="微软雅黑" w:hAnsi="微软雅黑" w:eastAsia="微软雅黑" w:cs="微软雅黑"/>
          <w:b/>
          <w:sz w:val="52"/>
          <w:szCs w:val="52"/>
        </w:rPr>
      </w:pPr>
      <w:r>
        <w:rPr>
          <w:rFonts w:hint="eastAsia" w:ascii="微软雅黑" w:hAnsi="微软雅黑" w:eastAsia="微软雅黑" w:cs="微软雅黑"/>
          <w:b/>
          <w:sz w:val="52"/>
          <w:szCs w:val="52"/>
        </w:rPr>
        <w:t>磋 商 文 件</w:t>
      </w:r>
    </w:p>
    <w:p w14:paraId="2F0F5938">
      <w:pPr>
        <w:pStyle w:val="27"/>
        <w:textAlignment w:val="baseline"/>
        <w:rPr>
          <w:rFonts w:ascii="微软雅黑" w:hAnsi="微软雅黑" w:eastAsia="微软雅黑" w:cs="微软雅黑"/>
        </w:rPr>
      </w:pPr>
    </w:p>
    <w:p w14:paraId="2E48DE2D">
      <w:pPr>
        <w:snapToGrid w:val="0"/>
        <w:spacing w:line="240" w:lineRule="atLeast"/>
        <w:jc w:val="center"/>
        <w:textAlignment w:val="baseline"/>
        <w:rPr>
          <w:rFonts w:hint="eastAsia" w:ascii="微软雅黑" w:hAnsi="微软雅黑" w:eastAsia="微软雅黑" w:cs="微软雅黑"/>
          <w:b/>
          <w:sz w:val="24"/>
          <w:szCs w:val="24"/>
        </w:rPr>
      </w:pPr>
    </w:p>
    <w:p w14:paraId="0C6E8C48">
      <w:pPr>
        <w:snapToGrid w:val="0"/>
        <w:spacing w:line="240" w:lineRule="atLeast"/>
        <w:jc w:val="center"/>
        <w:textAlignment w:val="baseline"/>
        <w:rPr>
          <w:rFonts w:hint="eastAsia" w:ascii="微软雅黑" w:hAnsi="微软雅黑" w:eastAsia="微软雅黑" w:cs="微软雅黑"/>
          <w:b/>
          <w:sz w:val="24"/>
          <w:szCs w:val="24"/>
        </w:rPr>
      </w:pPr>
    </w:p>
    <w:p w14:paraId="5109D09A">
      <w:pPr>
        <w:snapToGrid w:val="0"/>
        <w:spacing w:line="240" w:lineRule="atLeast"/>
        <w:jc w:val="center"/>
        <w:textAlignment w:val="baseline"/>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rPr>
        <w:t>项目编号：</w:t>
      </w:r>
      <w:r>
        <w:rPr>
          <w:rFonts w:hint="eastAsia" w:ascii="微软雅黑" w:hAnsi="微软雅黑" w:eastAsia="微软雅黑" w:cs="微软雅黑"/>
          <w:b/>
          <w:sz w:val="24"/>
          <w:szCs w:val="24"/>
          <w:lang w:val="en-US" w:eastAsia="zh-CN"/>
        </w:rPr>
        <w:t>YYXD(CS)2025-01号</w:t>
      </w:r>
    </w:p>
    <w:p w14:paraId="492BBD64">
      <w:pPr>
        <w:snapToGrid w:val="0"/>
        <w:spacing w:line="240" w:lineRule="atLeast"/>
        <w:jc w:val="center"/>
        <w:textAlignment w:val="baseline"/>
        <w:rPr>
          <w:rFonts w:hint="default" w:ascii="微软雅黑" w:hAnsi="微软雅黑" w:eastAsia="微软雅黑" w:cs="微软雅黑"/>
          <w:sz w:val="16"/>
          <w:szCs w:val="20"/>
          <w:lang w:val="en-US"/>
        </w:rPr>
      </w:pPr>
    </w:p>
    <w:p w14:paraId="18F5DAD6">
      <w:pPr>
        <w:pStyle w:val="27"/>
        <w:textAlignment w:val="baseline"/>
        <w:rPr>
          <w:rFonts w:ascii="微软雅黑" w:hAnsi="微软雅黑" w:eastAsia="微软雅黑" w:cs="微软雅黑"/>
        </w:rPr>
      </w:pPr>
    </w:p>
    <w:p w14:paraId="0F8335B9">
      <w:pPr>
        <w:pStyle w:val="37"/>
        <w:ind w:left="0" w:leftChars="0" w:firstLine="0" w:firstLineChars="0"/>
        <w:rPr>
          <w:rFonts w:ascii="微软雅黑" w:hAnsi="微软雅黑" w:eastAsia="微软雅黑" w:cs="微软雅黑"/>
          <w:b/>
          <w:sz w:val="28"/>
          <w:szCs w:val="28"/>
        </w:rPr>
      </w:pPr>
    </w:p>
    <w:p w14:paraId="6250B079"/>
    <w:p w14:paraId="53F02CAA">
      <w:pPr>
        <w:snapToGrid w:val="0"/>
        <w:spacing w:line="500" w:lineRule="exact"/>
        <w:ind w:firstLine="840" w:firstLineChars="300"/>
        <w:textAlignment w:val="baseline"/>
        <w:rPr>
          <w:rFonts w:hint="eastAsia" w:ascii="微软雅黑" w:hAnsi="微软雅黑" w:eastAsia="微软雅黑" w:cs="微软雅黑"/>
          <w:b/>
          <w:sz w:val="28"/>
          <w:szCs w:val="28"/>
          <w:u w:val="single" w:color="000000"/>
          <w:lang w:val="en-US" w:eastAsia="zh-CN"/>
        </w:rPr>
      </w:pPr>
      <w:r>
        <w:rPr>
          <w:rFonts w:hint="eastAsia" w:ascii="微软雅黑" w:hAnsi="微软雅黑" w:eastAsia="微软雅黑" w:cs="微软雅黑"/>
          <w:b/>
          <w:sz w:val="28"/>
          <w:szCs w:val="28"/>
        </w:rPr>
        <w:t>采购单位名称：</w:t>
      </w:r>
      <w:r>
        <w:rPr>
          <w:rFonts w:hint="eastAsia" w:ascii="微软雅黑" w:hAnsi="微软雅黑" w:eastAsia="微软雅黑" w:cs="微软雅黑"/>
          <w:b/>
          <w:sz w:val="28"/>
          <w:szCs w:val="28"/>
          <w:u w:val="single"/>
        </w:rPr>
        <w:t xml:space="preserve">   </w:t>
      </w:r>
      <w:r>
        <w:rPr>
          <w:rFonts w:hint="eastAsia" w:ascii="微软雅黑" w:hAnsi="微软雅黑" w:eastAsia="微软雅黑" w:cs="微软雅黑"/>
          <w:b/>
          <w:sz w:val="28"/>
          <w:szCs w:val="28"/>
          <w:u w:val="single"/>
          <w:lang w:val="en-US" w:eastAsia="zh-CN"/>
        </w:rPr>
        <w:t>疏勒县阿拉甫乡人民政府</w:t>
      </w:r>
      <w:r>
        <w:rPr>
          <w:rFonts w:hint="eastAsia" w:ascii="微软雅黑" w:hAnsi="微软雅黑" w:eastAsia="微软雅黑" w:cs="微软雅黑"/>
          <w:b/>
          <w:sz w:val="28"/>
          <w:szCs w:val="28"/>
          <w:u w:val="single"/>
        </w:rPr>
        <w:t xml:space="preserve">    </w:t>
      </w:r>
      <w:r>
        <w:rPr>
          <w:rFonts w:hint="eastAsia" w:ascii="微软雅黑" w:hAnsi="微软雅黑" w:eastAsia="微软雅黑" w:cs="微软雅黑"/>
          <w:b/>
          <w:sz w:val="28"/>
          <w:szCs w:val="28"/>
          <w:u w:val="single"/>
          <w:lang w:val="en-US" w:eastAsia="zh-CN"/>
        </w:rPr>
        <w:t xml:space="preserve"> </w:t>
      </w:r>
    </w:p>
    <w:p w14:paraId="69D7607B">
      <w:pPr>
        <w:snapToGrid w:val="0"/>
        <w:spacing w:line="500" w:lineRule="exact"/>
        <w:ind w:firstLine="840" w:firstLineChars="300"/>
        <w:textAlignment w:val="baseline"/>
        <w:rPr>
          <w:rFonts w:hint="eastAsia" w:ascii="微软雅黑" w:hAnsi="微软雅黑" w:eastAsia="微软雅黑" w:cs="微软雅黑"/>
          <w:b/>
          <w:sz w:val="28"/>
          <w:szCs w:val="28"/>
          <w:lang w:val="en-US" w:eastAsia="zh-CN"/>
        </w:rPr>
      </w:pPr>
      <w:r>
        <w:rPr>
          <w:rFonts w:hint="eastAsia" w:ascii="微软雅黑" w:hAnsi="微软雅黑" w:eastAsia="微软雅黑" w:cs="微软雅黑"/>
          <w:b/>
          <w:sz w:val="28"/>
          <w:szCs w:val="28"/>
        </w:rPr>
        <w:t>联   系   人：</w:t>
      </w:r>
      <w:r>
        <w:rPr>
          <w:rFonts w:hint="eastAsia" w:ascii="微软雅黑" w:hAnsi="微软雅黑" w:eastAsia="微软雅黑" w:cs="微软雅黑"/>
          <w:b/>
          <w:sz w:val="28"/>
          <w:szCs w:val="28"/>
          <w:u w:val="single" w:color="auto"/>
        </w:rPr>
        <w:t xml:space="preserve">      </w:t>
      </w:r>
      <w:r>
        <w:rPr>
          <w:rFonts w:hint="eastAsia" w:ascii="微软雅黑" w:hAnsi="微软雅黑" w:eastAsia="微软雅黑" w:cs="微软雅黑"/>
          <w:b/>
          <w:sz w:val="28"/>
          <w:szCs w:val="28"/>
          <w:u w:val="single" w:color="auto"/>
          <w:lang w:val="en-US" w:eastAsia="zh-CN"/>
        </w:rPr>
        <w:t xml:space="preserve">  </w:t>
      </w:r>
      <w:r>
        <w:rPr>
          <w:rFonts w:hint="eastAsia" w:ascii="微软雅黑" w:hAnsi="微软雅黑" w:eastAsia="微软雅黑" w:cs="微软雅黑"/>
          <w:b/>
          <w:sz w:val="28"/>
          <w:szCs w:val="28"/>
          <w:u w:val="single" w:color="auto"/>
        </w:rPr>
        <w:t xml:space="preserve"> </w:t>
      </w:r>
      <w:r>
        <w:rPr>
          <w:rFonts w:hint="eastAsia" w:ascii="微软雅黑" w:hAnsi="微软雅黑" w:eastAsia="微软雅黑" w:cs="微软雅黑"/>
          <w:b/>
          <w:sz w:val="28"/>
          <w:szCs w:val="28"/>
          <w:u w:val="single" w:color="auto"/>
          <w:lang w:eastAsia="zh-CN"/>
        </w:rPr>
        <w:t>宋浩</w:t>
      </w:r>
      <w:r>
        <w:rPr>
          <w:rFonts w:hint="eastAsia" w:ascii="微软雅黑" w:hAnsi="微软雅黑" w:eastAsia="微软雅黑" w:cs="微软雅黑"/>
          <w:b/>
          <w:sz w:val="28"/>
          <w:szCs w:val="28"/>
          <w:u w:val="single" w:color="auto"/>
          <w:lang w:val="en-US" w:eastAsia="zh-CN"/>
        </w:rPr>
        <w:t xml:space="preserve">         </w:t>
      </w:r>
      <w:r>
        <w:rPr>
          <w:rFonts w:hint="eastAsia" w:ascii="微软雅黑" w:hAnsi="微软雅黑" w:eastAsia="微软雅黑" w:cs="微软雅黑"/>
          <w:b/>
          <w:sz w:val="28"/>
          <w:szCs w:val="28"/>
          <w:u w:val="single" w:color="auto"/>
        </w:rPr>
        <w:t xml:space="preserve"> </w:t>
      </w:r>
      <w:r>
        <w:rPr>
          <w:rFonts w:hint="eastAsia" w:ascii="微软雅黑" w:hAnsi="微软雅黑" w:eastAsia="微软雅黑" w:cs="微软雅黑"/>
          <w:b/>
          <w:sz w:val="28"/>
          <w:szCs w:val="28"/>
          <w:u w:val="single" w:color="000000"/>
        </w:rPr>
        <w:t xml:space="preserve">    </w:t>
      </w:r>
      <w:r>
        <w:rPr>
          <w:rFonts w:hint="eastAsia" w:ascii="微软雅黑" w:hAnsi="微软雅黑" w:eastAsia="微软雅黑" w:cs="微软雅黑"/>
          <w:b/>
          <w:sz w:val="28"/>
          <w:szCs w:val="28"/>
          <w:u w:val="single" w:color="000000"/>
          <w:lang w:val="en-US" w:eastAsia="zh-CN"/>
        </w:rPr>
        <w:t xml:space="preserve"> </w:t>
      </w:r>
    </w:p>
    <w:p w14:paraId="1C3F17FB">
      <w:pPr>
        <w:snapToGrid w:val="0"/>
        <w:spacing w:line="500" w:lineRule="exact"/>
        <w:ind w:firstLine="840" w:firstLineChars="300"/>
        <w:textAlignment w:val="baseline"/>
        <w:rPr>
          <w:rFonts w:hint="eastAsia" w:ascii="微软雅黑" w:hAnsi="微软雅黑" w:eastAsia="微软雅黑" w:cs="微软雅黑"/>
          <w:b/>
          <w:sz w:val="28"/>
          <w:szCs w:val="28"/>
          <w:lang w:val="en-US" w:eastAsia="zh-CN"/>
        </w:rPr>
      </w:pPr>
      <w:r>
        <w:rPr>
          <w:rFonts w:hint="eastAsia" w:ascii="微软雅黑" w:hAnsi="微软雅黑" w:eastAsia="微软雅黑" w:cs="微软雅黑"/>
          <w:b/>
          <w:sz w:val="28"/>
          <w:szCs w:val="28"/>
        </w:rPr>
        <w:t>联 系  电 话：</w:t>
      </w:r>
      <w:r>
        <w:rPr>
          <w:rFonts w:hint="eastAsia" w:ascii="微软雅黑" w:hAnsi="微软雅黑" w:eastAsia="微软雅黑" w:cs="微软雅黑"/>
          <w:b/>
          <w:sz w:val="28"/>
          <w:szCs w:val="28"/>
          <w:u w:val="single" w:color="000000"/>
        </w:rPr>
        <w:t xml:space="preserve">    </w:t>
      </w:r>
      <w:r>
        <w:rPr>
          <w:rFonts w:hint="eastAsia" w:ascii="微软雅黑" w:hAnsi="微软雅黑" w:eastAsia="微软雅黑" w:cs="微软雅黑"/>
          <w:b/>
          <w:sz w:val="28"/>
          <w:szCs w:val="28"/>
          <w:u w:val="single" w:color="auto"/>
        </w:rPr>
        <w:t xml:space="preserve"> </w:t>
      </w:r>
      <w:r>
        <w:rPr>
          <w:rFonts w:hint="eastAsia" w:ascii="微软雅黑" w:hAnsi="微软雅黑" w:eastAsia="微软雅黑" w:cs="微软雅黑"/>
          <w:b/>
          <w:sz w:val="28"/>
          <w:szCs w:val="28"/>
          <w:u w:val="single" w:color="auto"/>
          <w:lang w:val="en-US" w:eastAsia="zh-CN"/>
        </w:rPr>
        <w:t xml:space="preserve">13579926112   </w:t>
      </w:r>
      <w:r>
        <w:rPr>
          <w:rFonts w:hint="eastAsia" w:ascii="微软雅黑" w:hAnsi="微软雅黑" w:eastAsia="微软雅黑" w:cs="微软雅黑"/>
          <w:b/>
          <w:sz w:val="28"/>
          <w:szCs w:val="28"/>
          <w:u w:val="single" w:color="auto"/>
        </w:rPr>
        <w:t xml:space="preserve"> </w:t>
      </w:r>
      <w:r>
        <w:rPr>
          <w:rFonts w:hint="eastAsia" w:ascii="微软雅黑" w:hAnsi="微软雅黑" w:eastAsia="微软雅黑" w:cs="微软雅黑"/>
          <w:b/>
          <w:sz w:val="28"/>
          <w:szCs w:val="28"/>
          <w:u w:val="single" w:color="000000"/>
        </w:rPr>
        <w:t xml:space="preserve">   </w:t>
      </w:r>
      <w:r>
        <w:rPr>
          <w:rFonts w:hint="eastAsia" w:ascii="微软雅黑" w:hAnsi="微软雅黑" w:eastAsia="微软雅黑" w:cs="微软雅黑"/>
          <w:b/>
          <w:sz w:val="28"/>
          <w:szCs w:val="28"/>
          <w:u w:val="single" w:color="000000"/>
          <w:lang w:val="en-US" w:eastAsia="zh-CN"/>
        </w:rPr>
        <w:t xml:space="preserve"> </w:t>
      </w:r>
    </w:p>
    <w:p w14:paraId="3A7210BD">
      <w:pPr>
        <w:snapToGrid w:val="0"/>
        <w:spacing w:line="500" w:lineRule="exact"/>
        <w:ind w:firstLine="560" w:firstLineChars="200"/>
        <w:textAlignment w:val="baseline"/>
        <w:rPr>
          <w:rFonts w:hint="eastAsia" w:ascii="微软雅黑" w:hAnsi="微软雅黑" w:eastAsia="微软雅黑" w:cs="微软雅黑"/>
          <w:b/>
          <w:sz w:val="28"/>
          <w:szCs w:val="28"/>
          <w:lang w:val="en-US" w:eastAsia="zh-CN"/>
        </w:rPr>
      </w:pPr>
      <w:r>
        <w:rPr>
          <w:rFonts w:hint="eastAsia" w:ascii="微软雅黑" w:hAnsi="微软雅黑" w:eastAsia="微软雅黑" w:cs="微软雅黑"/>
          <w:b/>
          <w:sz w:val="28"/>
          <w:szCs w:val="28"/>
        </w:rPr>
        <w:t xml:space="preserve"> </w:t>
      </w:r>
      <w:r>
        <w:rPr>
          <w:rFonts w:hint="eastAsia" w:ascii="微软雅黑" w:hAnsi="微软雅黑" w:eastAsia="微软雅黑" w:cs="微软雅黑"/>
          <w:b/>
          <w:sz w:val="28"/>
          <w:szCs w:val="28"/>
          <w:lang w:val="en-US" w:eastAsia="zh-CN"/>
        </w:rPr>
        <w:t xml:space="preserve"> </w:t>
      </w:r>
    </w:p>
    <w:p w14:paraId="4430FD95">
      <w:pPr>
        <w:snapToGrid w:val="0"/>
        <w:spacing w:line="500" w:lineRule="exact"/>
        <w:textAlignment w:val="baseline"/>
        <w:rPr>
          <w:rFonts w:hint="eastAsia" w:ascii="微软雅黑" w:hAnsi="微软雅黑" w:eastAsia="微软雅黑" w:cs="微软雅黑"/>
          <w:b/>
          <w:sz w:val="28"/>
          <w:szCs w:val="28"/>
          <w:lang w:eastAsia="zh-CN"/>
        </w:rPr>
      </w:pPr>
    </w:p>
    <w:p w14:paraId="77B3E7F8">
      <w:pPr>
        <w:pStyle w:val="37"/>
        <w:rPr>
          <w:rFonts w:hint="eastAsia"/>
          <w:lang w:eastAsia="zh-CN"/>
        </w:rPr>
      </w:pPr>
    </w:p>
    <w:p w14:paraId="31EB5CEB">
      <w:pPr>
        <w:snapToGrid w:val="0"/>
        <w:spacing w:line="500" w:lineRule="exact"/>
        <w:ind w:firstLine="840" w:firstLineChars="300"/>
        <w:textAlignment w:val="baseline"/>
        <w:rPr>
          <w:rFonts w:ascii="微软雅黑" w:hAnsi="微软雅黑" w:eastAsia="微软雅黑" w:cs="微软雅黑"/>
          <w:b/>
          <w:sz w:val="28"/>
          <w:szCs w:val="28"/>
        </w:rPr>
      </w:pPr>
      <w:r>
        <w:rPr>
          <w:rFonts w:hint="eastAsia" w:ascii="微软雅黑" w:hAnsi="微软雅黑" w:eastAsia="微软雅黑" w:cs="微软雅黑"/>
          <w:b/>
          <w:sz w:val="28"/>
          <w:szCs w:val="28"/>
        </w:rPr>
        <w:t>代理机构名称：</w:t>
      </w:r>
      <w:r>
        <w:rPr>
          <w:rFonts w:hint="eastAsia" w:ascii="微软雅黑" w:hAnsi="微软雅黑" w:eastAsia="微软雅黑" w:cs="微软雅黑"/>
          <w:b/>
          <w:sz w:val="28"/>
          <w:szCs w:val="28"/>
          <w:u w:val="single"/>
        </w:rPr>
        <w:t xml:space="preserve">  </w:t>
      </w:r>
      <w:r>
        <w:rPr>
          <w:rFonts w:hint="eastAsia" w:ascii="微软雅黑" w:hAnsi="微软雅黑" w:eastAsia="微软雅黑" w:cs="微软雅黑"/>
          <w:b/>
          <w:sz w:val="28"/>
          <w:szCs w:val="28"/>
          <w:u w:val="single" w:color="000000"/>
          <w:lang w:eastAsia="zh-CN"/>
        </w:rPr>
        <w:t xml:space="preserve">新疆永业鑫达招标有限公司 </w:t>
      </w:r>
      <w:r>
        <w:rPr>
          <w:rFonts w:hint="eastAsia" w:ascii="微软雅黑" w:hAnsi="微软雅黑" w:eastAsia="微软雅黑" w:cs="微软雅黑"/>
          <w:b/>
          <w:sz w:val="28"/>
          <w:szCs w:val="28"/>
          <w:u w:val="single" w:color="000000"/>
        </w:rPr>
        <w:t xml:space="preserve">  </w:t>
      </w:r>
      <w:r>
        <w:rPr>
          <w:rFonts w:hint="eastAsia" w:ascii="微软雅黑" w:hAnsi="微软雅黑" w:eastAsia="微软雅黑" w:cs="微软雅黑"/>
          <w:b/>
          <w:sz w:val="28"/>
          <w:szCs w:val="28"/>
        </w:rPr>
        <w:t xml:space="preserve">  </w:t>
      </w:r>
    </w:p>
    <w:p w14:paraId="007E347A">
      <w:pPr>
        <w:snapToGrid w:val="0"/>
        <w:spacing w:line="500" w:lineRule="exact"/>
        <w:ind w:firstLine="840" w:firstLineChars="300"/>
        <w:textAlignment w:val="baseline"/>
        <w:rPr>
          <w:rFonts w:ascii="微软雅黑" w:hAnsi="微软雅黑" w:eastAsia="微软雅黑" w:cs="微软雅黑"/>
          <w:b/>
          <w:sz w:val="28"/>
          <w:szCs w:val="28"/>
        </w:rPr>
      </w:pPr>
      <w:r>
        <w:rPr>
          <w:rFonts w:hint="eastAsia" w:ascii="微软雅黑" w:hAnsi="微软雅黑" w:eastAsia="微软雅黑" w:cs="微软雅黑"/>
          <w:b/>
          <w:sz w:val="28"/>
          <w:szCs w:val="28"/>
        </w:rPr>
        <w:t>联   系   人：</w:t>
      </w:r>
      <w:r>
        <w:rPr>
          <w:rFonts w:hint="eastAsia" w:ascii="微软雅黑" w:hAnsi="微软雅黑" w:eastAsia="微软雅黑" w:cs="微软雅黑"/>
          <w:b/>
          <w:sz w:val="28"/>
          <w:szCs w:val="28"/>
          <w:u w:val="single"/>
        </w:rPr>
        <w:t xml:space="preserve"> </w:t>
      </w:r>
      <w:r>
        <w:rPr>
          <w:rFonts w:hint="eastAsia" w:ascii="微软雅黑" w:hAnsi="微软雅黑" w:eastAsia="微软雅黑" w:cs="微软雅黑"/>
          <w:b/>
          <w:sz w:val="28"/>
          <w:szCs w:val="28"/>
          <w:u w:val="single" w:color="000000"/>
        </w:rPr>
        <w:t xml:space="preserve">         </w:t>
      </w:r>
      <w:r>
        <w:rPr>
          <w:rFonts w:hint="eastAsia" w:ascii="微软雅黑" w:hAnsi="微软雅黑" w:eastAsia="微软雅黑" w:cs="微软雅黑"/>
          <w:b/>
          <w:sz w:val="28"/>
          <w:szCs w:val="28"/>
          <w:u w:val="single" w:color="000000"/>
          <w:lang w:eastAsia="zh-CN"/>
        </w:rPr>
        <w:t>李连伟</w:t>
      </w:r>
      <w:r>
        <w:rPr>
          <w:rFonts w:hint="eastAsia" w:ascii="微软雅黑" w:hAnsi="微软雅黑" w:eastAsia="微软雅黑" w:cs="微软雅黑"/>
          <w:b/>
          <w:sz w:val="28"/>
          <w:szCs w:val="28"/>
          <w:u w:val="single" w:color="000000"/>
        </w:rPr>
        <w:t xml:space="preserve">          </w:t>
      </w:r>
      <w:r>
        <w:rPr>
          <w:rFonts w:hint="eastAsia" w:ascii="微软雅黑" w:hAnsi="微软雅黑" w:eastAsia="微软雅黑" w:cs="微软雅黑"/>
          <w:b/>
          <w:sz w:val="28"/>
          <w:szCs w:val="28"/>
        </w:rPr>
        <w:t xml:space="preserve">  </w:t>
      </w:r>
    </w:p>
    <w:p w14:paraId="781ED976">
      <w:pPr>
        <w:snapToGrid w:val="0"/>
        <w:spacing w:line="500" w:lineRule="exact"/>
        <w:ind w:firstLine="840" w:firstLineChars="300"/>
        <w:textAlignment w:val="baseline"/>
        <w:rPr>
          <w:rFonts w:ascii="微软雅黑" w:hAnsi="微软雅黑" w:eastAsia="微软雅黑" w:cs="微软雅黑"/>
          <w:sz w:val="20"/>
        </w:rPr>
      </w:pPr>
      <w:r>
        <w:rPr>
          <w:rFonts w:hint="eastAsia" w:ascii="微软雅黑" w:hAnsi="微软雅黑" w:eastAsia="微软雅黑" w:cs="微软雅黑"/>
          <w:b/>
          <w:sz w:val="28"/>
          <w:szCs w:val="28"/>
        </w:rPr>
        <w:t>联 系  电 话：</w:t>
      </w:r>
      <w:r>
        <w:rPr>
          <w:rFonts w:hint="eastAsia" w:ascii="微软雅黑" w:hAnsi="微软雅黑" w:eastAsia="微软雅黑" w:cs="微软雅黑"/>
          <w:b/>
          <w:sz w:val="28"/>
          <w:szCs w:val="28"/>
          <w:u w:val="single"/>
        </w:rPr>
        <w:t xml:space="preserve"> </w:t>
      </w:r>
      <w:r>
        <w:rPr>
          <w:rFonts w:hint="eastAsia" w:ascii="微软雅黑" w:hAnsi="微软雅黑" w:eastAsia="微软雅黑" w:cs="微软雅黑"/>
          <w:b/>
          <w:sz w:val="28"/>
          <w:szCs w:val="28"/>
          <w:u w:val="single" w:color="000000"/>
        </w:rPr>
        <w:t xml:space="preserve">   </w:t>
      </w:r>
      <w:r>
        <w:rPr>
          <w:rFonts w:hint="eastAsia" w:ascii="微软雅黑" w:hAnsi="微软雅黑" w:eastAsia="微软雅黑" w:cs="微软雅黑"/>
          <w:b/>
          <w:sz w:val="28"/>
          <w:szCs w:val="28"/>
          <w:u w:val="single" w:color="000000"/>
          <w:lang w:eastAsia="zh-CN"/>
        </w:rPr>
        <w:t>13899186539</w:t>
      </w:r>
      <w:r>
        <w:rPr>
          <w:rFonts w:hint="eastAsia" w:ascii="微软雅黑" w:hAnsi="微软雅黑" w:eastAsia="微软雅黑" w:cs="微软雅黑"/>
          <w:b/>
          <w:sz w:val="28"/>
          <w:szCs w:val="28"/>
          <w:u w:val="single" w:color="000000"/>
        </w:rPr>
        <w:t xml:space="preserve">         </w:t>
      </w:r>
      <w:bookmarkStart w:id="1366" w:name="_GoBack"/>
      <w:bookmarkEnd w:id="1366"/>
    </w:p>
    <w:p w14:paraId="6AAF8872">
      <w:pPr>
        <w:pStyle w:val="13"/>
        <w:snapToGrid w:val="0"/>
        <w:textAlignment w:val="baseline"/>
        <w:rPr>
          <w:rFonts w:ascii="微软雅黑" w:hAnsi="微软雅黑" w:eastAsia="微软雅黑" w:cs="微软雅黑"/>
          <w:sz w:val="21"/>
        </w:rPr>
      </w:pPr>
    </w:p>
    <w:p w14:paraId="192F32D3">
      <w:pPr>
        <w:snapToGrid w:val="0"/>
        <w:spacing w:line="240" w:lineRule="atLeast"/>
        <w:jc w:val="both"/>
        <w:textAlignment w:val="baseline"/>
        <w:rPr>
          <w:rFonts w:ascii="微软雅黑" w:hAnsi="微软雅黑" w:eastAsia="微软雅黑" w:cs="微软雅黑"/>
          <w:b/>
          <w:sz w:val="28"/>
          <w:szCs w:val="28"/>
        </w:rPr>
      </w:pPr>
    </w:p>
    <w:p w14:paraId="41CD0812">
      <w:pPr>
        <w:snapToGrid w:val="0"/>
        <w:spacing w:line="240" w:lineRule="atLeast"/>
        <w:jc w:val="center"/>
        <w:textAlignment w:val="baseline"/>
        <w:rPr>
          <w:rFonts w:ascii="微软雅黑" w:hAnsi="微软雅黑" w:eastAsia="微软雅黑" w:cs="微软雅黑"/>
          <w:b/>
          <w:sz w:val="28"/>
          <w:szCs w:val="28"/>
        </w:rPr>
      </w:pPr>
      <w:r>
        <w:rPr>
          <w:rFonts w:hint="eastAsia" w:ascii="微软雅黑" w:hAnsi="微软雅黑" w:eastAsia="微软雅黑" w:cs="微软雅黑"/>
          <w:b/>
          <w:sz w:val="28"/>
          <w:szCs w:val="28"/>
        </w:rPr>
        <w:t>日期： 202</w:t>
      </w:r>
      <w:r>
        <w:rPr>
          <w:rFonts w:hint="eastAsia" w:ascii="微软雅黑" w:hAnsi="微软雅黑" w:eastAsia="微软雅黑" w:cs="微软雅黑"/>
          <w:b/>
          <w:sz w:val="28"/>
          <w:szCs w:val="28"/>
          <w:lang w:val="en-US" w:eastAsia="zh-CN"/>
        </w:rPr>
        <w:t>5</w:t>
      </w:r>
      <w:r>
        <w:rPr>
          <w:rFonts w:hint="eastAsia" w:ascii="微软雅黑" w:hAnsi="微软雅黑" w:eastAsia="微软雅黑" w:cs="微软雅黑"/>
          <w:b/>
          <w:sz w:val="28"/>
          <w:szCs w:val="28"/>
        </w:rPr>
        <w:t>年</w:t>
      </w:r>
      <w:r>
        <w:rPr>
          <w:rFonts w:hint="eastAsia" w:ascii="微软雅黑" w:hAnsi="微软雅黑" w:eastAsia="微软雅黑" w:cs="微软雅黑"/>
          <w:b/>
          <w:sz w:val="28"/>
          <w:szCs w:val="28"/>
          <w:lang w:val="en-US" w:eastAsia="zh-CN"/>
        </w:rPr>
        <w:t>3</w:t>
      </w:r>
      <w:r>
        <w:rPr>
          <w:rFonts w:hint="eastAsia" w:ascii="微软雅黑" w:hAnsi="微软雅黑" w:eastAsia="微软雅黑" w:cs="微软雅黑"/>
          <w:b/>
          <w:sz w:val="28"/>
          <w:szCs w:val="28"/>
        </w:rPr>
        <w:t>月</w:t>
      </w:r>
    </w:p>
    <w:p w14:paraId="6675D124">
      <w:pPr>
        <w:snapToGrid w:val="0"/>
        <w:spacing w:line="240" w:lineRule="atLeast"/>
        <w:ind w:left="1079" w:leftChars="257" w:hanging="540"/>
        <w:jc w:val="center"/>
        <w:textAlignment w:val="baseline"/>
        <w:rPr>
          <w:rFonts w:ascii="微软雅黑" w:hAnsi="微软雅黑" w:eastAsia="微软雅黑" w:cs="微软雅黑"/>
          <w:b/>
          <w:sz w:val="32"/>
        </w:rPr>
        <w:sectPr>
          <w:headerReference r:id="rId3" w:type="default"/>
          <w:pgSz w:w="11906" w:h="16838"/>
          <w:pgMar w:top="1440" w:right="1080" w:bottom="1440" w:left="1080" w:header="851" w:footer="992" w:gutter="0"/>
          <w:pgNumType w:fmt="decimal" w:start="1"/>
          <w:cols w:space="720" w:num="1"/>
          <w:docGrid w:type="linesAndChars" w:linePitch="312" w:charSpace="0"/>
        </w:sectPr>
      </w:pPr>
    </w:p>
    <w:p w14:paraId="680D17AF">
      <w:pPr>
        <w:snapToGrid w:val="0"/>
        <w:spacing w:line="400" w:lineRule="exact"/>
        <w:ind w:left="1080" w:leftChars="257" w:hanging="540"/>
        <w:jc w:val="center"/>
        <w:textAlignment w:val="baseline"/>
        <w:rPr>
          <w:rFonts w:ascii="微软雅黑" w:hAnsi="微软雅黑" w:eastAsia="微软雅黑" w:cs="微软雅黑"/>
          <w:b/>
          <w:sz w:val="40"/>
          <w:szCs w:val="40"/>
        </w:rPr>
      </w:pPr>
      <w:r>
        <w:rPr>
          <w:rFonts w:hint="eastAsia" w:ascii="微软雅黑" w:hAnsi="微软雅黑" w:eastAsia="微软雅黑" w:cs="微软雅黑"/>
          <w:b/>
          <w:sz w:val="40"/>
          <w:szCs w:val="40"/>
        </w:rPr>
        <w:t>目  录</w:t>
      </w:r>
    </w:p>
    <w:p w14:paraId="37143D9B">
      <w:pPr>
        <w:pStyle w:val="25"/>
        <w:tabs>
          <w:tab w:val="right" w:leader="dot" w:pos="9833"/>
        </w:tabs>
      </w:pPr>
      <w:bookmarkStart w:id="0" w:name="_Toc10715352"/>
      <w:bookmarkStart w:id="1" w:name="_Toc518923059"/>
      <w:bookmarkStart w:id="2" w:name="_Toc1462"/>
      <w:r>
        <w:rPr>
          <w:rFonts w:hint="eastAsia" w:ascii="微软雅黑" w:hAnsi="微软雅黑" w:eastAsia="微软雅黑" w:cs="微软雅黑"/>
          <w:kern w:val="0"/>
          <w:sz w:val="24"/>
          <w:szCs w:val="24"/>
        </w:rPr>
        <w:fldChar w:fldCharType="begin"/>
      </w:r>
      <w:r>
        <w:rPr>
          <w:rFonts w:hint="eastAsia" w:ascii="微软雅黑" w:hAnsi="微软雅黑" w:eastAsia="微软雅黑" w:cs="微软雅黑"/>
          <w:kern w:val="0"/>
          <w:sz w:val="24"/>
          <w:szCs w:val="24"/>
        </w:rPr>
        <w:instrText xml:space="preserve">TOC \o "1-2" \h \u </w:instrText>
      </w:r>
      <w:r>
        <w:rPr>
          <w:rFonts w:hint="eastAsia" w:ascii="微软雅黑" w:hAnsi="微软雅黑" w:eastAsia="微软雅黑" w:cs="微软雅黑"/>
          <w:kern w:val="0"/>
          <w:sz w:val="24"/>
          <w:szCs w:val="24"/>
        </w:rPr>
        <w:fldChar w:fldCharType="separate"/>
      </w: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_Toc1178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kern w:val="0"/>
          <w:szCs w:val="24"/>
        </w:rPr>
        <w:t xml:space="preserve">第1章  </w:t>
      </w:r>
      <w:r>
        <w:rPr>
          <w:rFonts w:hint="eastAsia" w:ascii="微软雅黑" w:hAnsi="微软雅黑" w:eastAsia="微软雅黑" w:cs="微软雅黑"/>
          <w:szCs w:val="24"/>
          <w:lang w:eastAsia="zh-CN"/>
        </w:rPr>
        <w:t>供应商</w:t>
      </w:r>
      <w:r>
        <w:rPr>
          <w:rFonts w:hint="eastAsia" w:ascii="微软雅黑" w:hAnsi="微软雅黑" w:eastAsia="微软雅黑" w:cs="微软雅黑"/>
          <w:szCs w:val="24"/>
        </w:rPr>
        <w:t>须知</w:t>
      </w:r>
      <w:r>
        <w:tab/>
      </w:r>
      <w:r>
        <w:fldChar w:fldCharType="begin"/>
      </w:r>
      <w:r>
        <w:instrText xml:space="preserve"> PAGEREF _Toc1178 \h </w:instrText>
      </w:r>
      <w:r>
        <w:fldChar w:fldCharType="separate"/>
      </w:r>
      <w:r>
        <w:t>1</w:t>
      </w:r>
      <w:r>
        <w:fldChar w:fldCharType="end"/>
      </w:r>
      <w:r>
        <w:rPr>
          <w:rFonts w:hint="eastAsia" w:ascii="微软雅黑" w:hAnsi="微软雅黑" w:eastAsia="微软雅黑" w:cs="微软雅黑"/>
          <w:kern w:val="0"/>
          <w:szCs w:val="24"/>
        </w:rPr>
        <w:fldChar w:fldCharType="end"/>
      </w:r>
    </w:p>
    <w:p w14:paraId="53E0D4CC">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_Toc8800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一   总 则</w:t>
      </w:r>
      <w:r>
        <w:tab/>
      </w:r>
      <w:r>
        <w:fldChar w:fldCharType="begin"/>
      </w:r>
      <w:r>
        <w:instrText xml:space="preserve"> PAGEREF _Toc8800 \h </w:instrText>
      </w:r>
      <w:r>
        <w:fldChar w:fldCharType="separate"/>
      </w:r>
      <w:r>
        <w:t>1</w:t>
      </w:r>
      <w:r>
        <w:fldChar w:fldCharType="end"/>
      </w:r>
      <w:r>
        <w:rPr>
          <w:rFonts w:hint="eastAsia" w:ascii="微软雅黑" w:hAnsi="微软雅黑" w:eastAsia="微软雅黑" w:cs="微软雅黑"/>
          <w:kern w:val="0"/>
          <w:szCs w:val="24"/>
        </w:rPr>
        <w:fldChar w:fldCharType="end"/>
      </w:r>
    </w:p>
    <w:p w14:paraId="3FB38F73">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_Toc9586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二   磋商文件</w:t>
      </w:r>
      <w:r>
        <w:tab/>
      </w:r>
      <w:r>
        <w:fldChar w:fldCharType="begin"/>
      </w:r>
      <w:r>
        <w:instrText xml:space="preserve"> PAGEREF _Toc9586 \h </w:instrText>
      </w:r>
      <w:r>
        <w:fldChar w:fldCharType="separate"/>
      </w:r>
      <w:r>
        <w:t>3</w:t>
      </w:r>
      <w:r>
        <w:fldChar w:fldCharType="end"/>
      </w:r>
      <w:r>
        <w:rPr>
          <w:rFonts w:hint="eastAsia" w:ascii="微软雅黑" w:hAnsi="微软雅黑" w:eastAsia="微软雅黑" w:cs="微软雅黑"/>
          <w:kern w:val="0"/>
          <w:szCs w:val="24"/>
        </w:rPr>
        <w:fldChar w:fldCharType="end"/>
      </w:r>
    </w:p>
    <w:p w14:paraId="16863AB6">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_Toc14593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三   响应文件的编制</w:t>
      </w:r>
      <w:r>
        <w:tab/>
      </w:r>
      <w:r>
        <w:fldChar w:fldCharType="begin"/>
      </w:r>
      <w:r>
        <w:instrText xml:space="preserve"> PAGEREF _Toc14593 \h </w:instrText>
      </w:r>
      <w:r>
        <w:fldChar w:fldCharType="separate"/>
      </w:r>
      <w:r>
        <w:t>4</w:t>
      </w:r>
      <w:r>
        <w:fldChar w:fldCharType="end"/>
      </w:r>
      <w:r>
        <w:rPr>
          <w:rFonts w:hint="eastAsia" w:ascii="微软雅黑" w:hAnsi="微软雅黑" w:eastAsia="微软雅黑" w:cs="微软雅黑"/>
          <w:kern w:val="0"/>
          <w:szCs w:val="24"/>
        </w:rPr>
        <w:fldChar w:fldCharType="end"/>
      </w:r>
    </w:p>
    <w:p w14:paraId="0B154732">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_Toc19554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四   响应文件的递交</w:t>
      </w:r>
      <w:r>
        <w:tab/>
      </w:r>
      <w:r>
        <w:fldChar w:fldCharType="begin"/>
      </w:r>
      <w:r>
        <w:instrText xml:space="preserve"> PAGEREF _Toc19554 \h </w:instrText>
      </w:r>
      <w:r>
        <w:fldChar w:fldCharType="separate"/>
      </w:r>
      <w:r>
        <w:t>7</w:t>
      </w:r>
      <w:r>
        <w:fldChar w:fldCharType="end"/>
      </w:r>
      <w:r>
        <w:rPr>
          <w:rFonts w:hint="eastAsia" w:ascii="微软雅黑" w:hAnsi="微软雅黑" w:eastAsia="微软雅黑" w:cs="微软雅黑"/>
          <w:kern w:val="0"/>
          <w:szCs w:val="24"/>
        </w:rPr>
        <w:fldChar w:fldCharType="end"/>
      </w:r>
    </w:p>
    <w:p w14:paraId="1B9FE312">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_Toc2090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五   磋商及评审</w:t>
      </w:r>
      <w:r>
        <w:tab/>
      </w:r>
      <w:r>
        <w:fldChar w:fldCharType="begin"/>
      </w:r>
      <w:r>
        <w:instrText xml:space="preserve"> PAGEREF _Toc2090 \h </w:instrText>
      </w:r>
      <w:r>
        <w:fldChar w:fldCharType="separate"/>
      </w:r>
      <w:r>
        <w:t>8</w:t>
      </w:r>
      <w:r>
        <w:fldChar w:fldCharType="end"/>
      </w:r>
      <w:r>
        <w:rPr>
          <w:rFonts w:hint="eastAsia" w:ascii="微软雅黑" w:hAnsi="微软雅黑" w:eastAsia="微软雅黑" w:cs="微软雅黑"/>
          <w:kern w:val="0"/>
          <w:szCs w:val="24"/>
        </w:rPr>
        <w:fldChar w:fldCharType="end"/>
      </w:r>
    </w:p>
    <w:p w14:paraId="1F758C85">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_Toc8919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六   确定成交</w:t>
      </w:r>
      <w:r>
        <w:tab/>
      </w:r>
      <w:r>
        <w:fldChar w:fldCharType="begin"/>
      </w:r>
      <w:r>
        <w:instrText xml:space="preserve"> PAGEREF _Toc8919 \h </w:instrText>
      </w:r>
      <w:r>
        <w:fldChar w:fldCharType="separate"/>
      </w:r>
      <w:r>
        <w:t>13</w:t>
      </w:r>
      <w:r>
        <w:fldChar w:fldCharType="end"/>
      </w:r>
      <w:r>
        <w:rPr>
          <w:rFonts w:hint="eastAsia" w:ascii="微软雅黑" w:hAnsi="微软雅黑" w:eastAsia="微软雅黑" w:cs="微软雅黑"/>
          <w:kern w:val="0"/>
          <w:szCs w:val="24"/>
        </w:rPr>
        <w:fldChar w:fldCharType="end"/>
      </w:r>
    </w:p>
    <w:p w14:paraId="7A50A2C8">
      <w:pPr>
        <w:pStyle w:val="25"/>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_Toc16882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第2章 响应文件格式</w:t>
      </w:r>
      <w:r>
        <w:tab/>
      </w:r>
      <w:r>
        <w:fldChar w:fldCharType="begin"/>
      </w:r>
      <w:r>
        <w:instrText xml:space="preserve"> PAGEREF _Toc16882 \h </w:instrText>
      </w:r>
      <w:r>
        <w:fldChar w:fldCharType="separate"/>
      </w:r>
      <w:r>
        <w:t>21</w:t>
      </w:r>
      <w:r>
        <w:fldChar w:fldCharType="end"/>
      </w:r>
      <w:r>
        <w:rPr>
          <w:rFonts w:hint="eastAsia" w:ascii="微软雅黑" w:hAnsi="微软雅黑" w:eastAsia="微软雅黑" w:cs="微软雅黑"/>
          <w:kern w:val="0"/>
          <w:szCs w:val="24"/>
        </w:rPr>
        <w:fldChar w:fldCharType="end"/>
      </w:r>
    </w:p>
    <w:p w14:paraId="1BFF1772">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_Toc19371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第一部分 磋商开启一览表及资格证明文件</w:t>
      </w:r>
      <w:r>
        <w:tab/>
      </w:r>
      <w:r>
        <w:fldChar w:fldCharType="begin"/>
      </w:r>
      <w:r>
        <w:instrText xml:space="preserve"> PAGEREF _Toc19371 \h </w:instrText>
      </w:r>
      <w:r>
        <w:fldChar w:fldCharType="separate"/>
      </w:r>
      <w:r>
        <w:t>21</w:t>
      </w:r>
      <w:r>
        <w:fldChar w:fldCharType="end"/>
      </w:r>
      <w:r>
        <w:rPr>
          <w:rFonts w:hint="eastAsia" w:ascii="微软雅黑" w:hAnsi="微软雅黑" w:eastAsia="微软雅黑" w:cs="微软雅黑"/>
          <w:kern w:val="0"/>
          <w:szCs w:val="24"/>
        </w:rPr>
        <w:fldChar w:fldCharType="end"/>
      </w:r>
    </w:p>
    <w:p w14:paraId="2D2FC725">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_Toc7188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1、磋商报价一览表</w:t>
      </w:r>
      <w:r>
        <w:tab/>
      </w:r>
      <w:r>
        <w:fldChar w:fldCharType="begin"/>
      </w:r>
      <w:r>
        <w:instrText xml:space="preserve"> PAGEREF _Toc7188 \h </w:instrText>
      </w:r>
      <w:r>
        <w:fldChar w:fldCharType="separate"/>
      </w:r>
      <w:r>
        <w:t>22</w:t>
      </w:r>
      <w:r>
        <w:fldChar w:fldCharType="end"/>
      </w:r>
      <w:r>
        <w:rPr>
          <w:rFonts w:hint="eastAsia" w:ascii="微软雅黑" w:hAnsi="微软雅黑" w:eastAsia="微软雅黑" w:cs="微软雅黑"/>
          <w:kern w:val="0"/>
          <w:szCs w:val="24"/>
        </w:rPr>
        <w:fldChar w:fldCharType="end"/>
      </w:r>
    </w:p>
    <w:p w14:paraId="132E0E1C">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_Toc14858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highlight w:val="none"/>
        </w:rPr>
        <w:t>2  符合《中华人民共和国政府采购法》第二十二条的规定</w:t>
      </w:r>
      <w:r>
        <w:tab/>
      </w:r>
      <w:r>
        <w:fldChar w:fldCharType="begin"/>
      </w:r>
      <w:r>
        <w:instrText xml:space="preserve"> PAGEREF _Toc14858 \h </w:instrText>
      </w:r>
      <w:r>
        <w:fldChar w:fldCharType="separate"/>
      </w:r>
      <w:r>
        <w:t>23</w:t>
      </w:r>
      <w:r>
        <w:fldChar w:fldCharType="end"/>
      </w:r>
      <w:r>
        <w:rPr>
          <w:rFonts w:hint="eastAsia" w:ascii="微软雅黑" w:hAnsi="微软雅黑" w:eastAsia="微软雅黑" w:cs="微软雅黑"/>
          <w:kern w:val="0"/>
          <w:szCs w:val="24"/>
        </w:rPr>
        <w:fldChar w:fldCharType="end"/>
      </w:r>
    </w:p>
    <w:p w14:paraId="23CD7C4E">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_Toc27334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kern w:val="0"/>
          <w:lang w:val="en-US" w:eastAsia="zh-CN"/>
        </w:rPr>
        <w:t>3、本项目的特定资格要求：①企业资质要求：[公路工程施工总承包三级]（含）及以上资质，并在人员、设备、资金等方面具有相应的施工能力。②项目负责人资质要求：【公路工程专业二级】（含）及二级以上注册建造师执业资格，具备交通运输主管部门颁发的有效的B类安全生产考核合格证书，且不得担任其他在建工程的项目负责人。</w:t>
      </w:r>
      <w:r>
        <w:tab/>
      </w:r>
      <w:r>
        <w:fldChar w:fldCharType="begin"/>
      </w:r>
      <w:r>
        <w:instrText xml:space="preserve"> PAGEREF _Toc27334 \h </w:instrText>
      </w:r>
      <w:r>
        <w:fldChar w:fldCharType="separate"/>
      </w:r>
      <w:r>
        <w:t>33</w:t>
      </w:r>
      <w:r>
        <w:fldChar w:fldCharType="end"/>
      </w:r>
      <w:r>
        <w:rPr>
          <w:rFonts w:hint="eastAsia" w:ascii="微软雅黑" w:hAnsi="微软雅黑" w:eastAsia="微软雅黑" w:cs="微软雅黑"/>
          <w:kern w:val="0"/>
          <w:szCs w:val="24"/>
        </w:rPr>
        <w:fldChar w:fldCharType="end"/>
      </w:r>
    </w:p>
    <w:p w14:paraId="534B5E23">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_Toc20518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kern w:val="0"/>
          <w:lang w:val="en-US" w:eastAsia="zh-CN"/>
        </w:rPr>
        <w:t>4</w:t>
      </w:r>
      <w:r>
        <w:rPr>
          <w:rFonts w:hint="eastAsia" w:ascii="微软雅黑" w:hAnsi="微软雅黑" w:eastAsia="微软雅黑" w:cs="微软雅黑"/>
          <w:kern w:val="0"/>
        </w:rPr>
        <w:t>、缴纳磋商保证金有效凭证；</w:t>
      </w:r>
      <w:r>
        <w:tab/>
      </w:r>
      <w:r>
        <w:fldChar w:fldCharType="begin"/>
      </w:r>
      <w:r>
        <w:instrText xml:space="preserve"> PAGEREF _Toc20518 \h </w:instrText>
      </w:r>
      <w:r>
        <w:fldChar w:fldCharType="separate"/>
      </w:r>
      <w:r>
        <w:t>33</w:t>
      </w:r>
      <w:r>
        <w:fldChar w:fldCharType="end"/>
      </w:r>
      <w:r>
        <w:rPr>
          <w:rFonts w:hint="eastAsia" w:ascii="微软雅黑" w:hAnsi="微软雅黑" w:eastAsia="微软雅黑" w:cs="微软雅黑"/>
          <w:kern w:val="0"/>
          <w:szCs w:val="24"/>
        </w:rPr>
        <w:fldChar w:fldCharType="end"/>
      </w:r>
    </w:p>
    <w:p w14:paraId="20110192">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_Toc13054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第二部分  商务及技术文件</w:t>
      </w:r>
      <w:r>
        <w:tab/>
      </w:r>
      <w:r>
        <w:fldChar w:fldCharType="begin"/>
      </w:r>
      <w:r>
        <w:instrText xml:space="preserve"> PAGEREF _Toc13054 \h </w:instrText>
      </w:r>
      <w:r>
        <w:fldChar w:fldCharType="separate"/>
      </w:r>
      <w:r>
        <w:t>34</w:t>
      </w:r>
      <w:r>
        <w:fldChar w:fldCharType="end"/>
      </w:r>
      <w:r>
        <w:rPr>
          <w:rFonts w:hint="eastAsia" w:ascii="微软雅黑" w:hAnsi="微软雅黑" w:eastAsia="微软雅黑" w:cs="微软雅黑"/>
          <w:kern w:val="0"/>
          <w:szCs w:val="24"/>
        </w:rPr>
        <w:fldChar w:fldCharType="end"/>
      </w:r>
    </w:p>
    <w:p w14:paraId="527D03C2">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_Toc9342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1 、磋商书</w:t>
      </w:r>
      <w:r>
        <w:tab/>
      </w:r>
      <w:r>
        <w:fldChar w:fldCharType="begin"/>
      </w:r>
      <w:r>
        <w:instrText xml:space="preserve"> PAGEREF _Toc9342 \h </w:instrText>
      </w:r>
      <w:r>
        <w:fldChar w:fldCharType="separate"/>
      </w:r>
      <w:r>
        <w:t>35</w:t>
      </w:r>
      <w:r>
        <w:fldChar w:fldCharType="end"/>
      </w:r>
      <w:r>
        <w:rPr>
          <w:rFonts w:hint="eastAsia" w:ascii="微软雅黑" w:hAnsi="微软雅黑" w:eastAsia="微软雅黑" w:cs="微软雅黑"/>
          <w:kern w:val="0"/>
          <w:szCs w:val="24"/>
        </w:rPr>
        <w:fldChar w:fldCharType="end"/>
      </w:r>
    </w:p>
    <w:p w14:paraId="757AB4FB">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_Toc18709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2 、</w:t>
      </w:r>
      <w:r>
        <w:rPr>
          <w:rFonts w:hint="eastAsia" w:ascii="微软雅黑" w:hAnsi="微软雅黑" w:eastAsia="微软雅黑" w:cs="微软雅黑"/>
          <w:bCs/>
          <w:szCs w:val="24"/>
        </w:rPr>
        <w:t>磋商分项报价表</w:t>
      </w:r>
      <w:r>
        <w:rPr>
          <w:rFonts w:hint="eastAsia" w:ascii="微软雅黑" w:hAnsi="微软雅黑" w:eastAsia="微软雅黑" w:cs="微软雅黑"/>
          <w:bCs/>
          <w:szCs w:val="24"/>
          <w:lang w:eastAsia="zh-CN"/>
        </w:rPr>
        <w:t>（已标价的工程量清单）</w:t>
      </w:r>
      <w:r>
        <w:tab/>
      </w:r>
      <w:r>
        <w:fldChar w:fldCharType="begin"/>
      </w:r>
      <w:r>
        <w:instrText xml:space="preserve"> PAGEREF _Toc18709 \h </w:instrText>
      </w:r>
      <w:r>
        <w:fldChar w:fldCharType="separate"/>
      </w:r>
      <w:r>
        <w:t>36</w:t>
      </w:r>
      <w:r>
        <w:fldChar w:fldCharType="end"/>
      </w:r>
      <w:r>
        <w:rPr>
          <w:rFonts w:hint="eastAsia" w:ascii="微软雅黑" w:hAnsi="微软雅黑" w:eastAsia="微软雅黑" w:cs="微软雅黑"/>
          <w:kern w:val="0"/>
          <w:szCs w:val="24"/>
        </w:rPr>
        <w:fldChar w:fldCharType="end"/>
      </w:r>
    </w:p>
    <w:p w14:paraId="27C3D2DC">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_Toc23161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spacing w:val="-2"/>
          <w:szCs w:val="28"/>
          <w:lang w:val="en-US" w:eastAsia="zh-CN"/>
        </w:rPr>
        <w:t>3、</w:t>
      </w:r>
      <w:r>
        <w:rPr>
          <w:rFonts w:hint="eastAsia" w:ascii="微软雅黑" w:hAnsi="微软雅黑" w:eastAsia="微软雅黑" w:cs="微软雅黑"/>
          <w:bCs/>
          <w:spacing w:val="-2"/>
          <w:szCs w:val="28"/>
        </w:rPr>
        <w:t>商务条款偏离表</w:t>
      </w:r>
      <w:r>
        <w:tab/>
      </w:r>
      <w:r>
        <w:fldChar w:fldCharType="begin"/>
      </w:r>
      <w:r>
        <w:instrText xml:space="preserve"> PAGEREF _Toc23161 \h </w:instrText>
      </w:r>
      <w:r>
        <w:fldChar w:fldCharType="separate"/>
      </w:r>
      <w:r>
        <w:t>37</w:t>
      </w:r>
      <w:r>
        <w:fldChar w:fldCharType="end"/>
      </w:r>
      <w:r>
        <w:rPr>
          <w:rFonts w:hint="eastAsia" w:ascii="微软雅黑" w:hAnsi="微软雅黑" w:eastAsia="微软雅黑" w:cs="微软雅黑"/>
          <w:kern w:val="0"/>
          <w:szCs w:val="24"/>
        </w:rPr>
        <w:fldChar w:fldCharType="end"/>
      </w:r>
    </w:p>
    <w:p w14:paraId="55F9F603">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_Toc10629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lang w:val="en-US" w:eastAsia="zh-CN"/>
        </w:rPr>
        <w:t>4、</w:t>
      </w:r>
      <w:r>
        <w:rPr>
          <w:rFonts w:hint="eastAsia" w:ascii="微软雅黑" w:hAnsi="微软雅黑" w:eastAsia="微软雅黑" w:cs="微软雅黑"/>
          <w:bCs/>
        </w:rPr>
        <w:t>残疾人福利性单位声明函</w:t>
      </w:r>
      <w:r>
        <w:tab/>
      </w:r>
      <w:r>
        <w:fldChar w:fldCharType="begin"/>
      </w:r>
      <w:r>
        <w:instrText xml:space="preserve"> PAGEREF _Toc10629 \h </w:instrText>
      </w:r>
      <w:r>
        <w:fldChar w:fldCharType="separate"/>
      </w:r>
      <w:r>
        <w:t>38</w:t>
      </w:r>
      <w:r>
        <w:fldChar w:fldCharType="end"/>
      </w:r>
      <w:r>
        <w:rPr>
          <w:rFonts w:hint="eastAsia" w:ascii="微软雅黑" w:hAnsi="微软雅黑" w:eastAsia="微软雅黑" w:cs="微软雅黑"/>
          <w:kern w:val="0"/>
          <w:szCs w:val="24"/>
        </w:rPr>
        <w:fldChar w:fldCharType="end"/>
      </w:r>
    </w:p>
    <w:p w14:paraId="344CB23C">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_Toc28844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spacing w:val="-2"/>
          <w:szCs w:val="24"/>
        </w:rPr>
        <w:t>5</w:t>
      </w:r>
      <w:r>
        <w:rPr>
          <w:rFonts w:hint="eastAsia" w:ascii="微软雅黑" w:hAnsi="微软雅黑" w:eastAsia="微软雅黑" w:cs="微软雅黑"/>
          <w:bCs/>
          <w:spacing w:val="-2"/>
          <w:szCs w:val="24"/>
          <w:lang w:eastAsia="zh-CN"/>
        </w:rPr>
        <w:t>、</w:t>
      </w:r>
      <w:r>
        <w:rPr>
          <w:rFonts w:hint="eastAsia" w:ascii="微软雅黑" w:hAnsi="微软雅黑" w:eastAsia="微软雅黑" w:cs="微软雅黑"/>
          <w:bCs/>
          <w:spacing w:val="-2"/>
          <w:szCs w:val="24"/>
        </w:rPr>
        <w:t>供应商关联单位的说明</w:t>
      </w:r>
      <w:r>
        <w:tab/>
      </w:r>
      <w:r>
        <w:fldChar w:fldCharType="begin"/>
      </w:r>
      <w:r>
        <w:instrText xml:space="preserve"> PAGEREF _Toc28844 \h </w:instrText>
      </w:r>
      <w:r>
        <w:fldChar w:fldCharType="separate"/>
      </w:r>
      <w:r>
        <w:t>39</w:t>
      </w:r>
      <w:r>
        <w:fldChar w:fldCharType="end"/>
      </w:r>
      <w:r>
        <w:rPr>
          <w:rFonts w:hint="eastAsia" w:ascii="微软雅黑" w:hAnsi="微软雅黑" w:eastAsia="微软雅黑" w:cs="微软雅黑"/>
          <w:kern w:val="0"/>
          <w:szCs w:val="24"/>
        </w:rPr>
        <w:fldChar w:fldCharType="end"/>
      </w:r>
    </w:p>
    <w:p w14:paraId="116B4D15">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_Toc1155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kern w:val="2"/>
          <w:szCs w:val="24"/>
          <w:lang w:val="en-US" w:eastAsia="zh-CN" w:bidi="ar-SA"/>
        </w:rPr>
        <w:t>6、技术部分主要包括下列内容：</w:t>
      </w:r>
      <w:r>
        <w:tab/>
      </w:r>
      <w:r>
        <w:fldChar w:fldCharType="begin"/>
      </w:r>
      <w:r>
        <w:instrText xml:space="preserve"> PAGEREF _Toc1155 \h </w:instrText>
      </w:r>
      <w:r>
        <w:fldChar w:fldCharType="separate"/>
      </w:r>
      <w:r>
        <w:t>40</w:t>
      </w:r>
      <w:r>
        <w:fldChar w:fldCharType="end"/>
      </w:r>
      <w:r>
        <w:rPr>
          <w:rFonts w:hint="eastAsia" w:ascii="微软雅黑" w:hAnsi="微软雅黑" w:eastAsia="微软雅黑" w:cs="微软雅黑"/>
          <w:kern w:val="0"/>
          <w:szCs w:val="24"/>
        </w:rPr>
        <w:fldChar w:fldCharType="end"/>
      </w:r>
    </w:p>
    <w:p w14:paraId="2D0F0717">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_Toc14985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kern w:val="2"/>
          <w:szCs w:val="24"/>
          <w:lang w:val="en-US" w:eastAsia="zh-CN" w:bidi="ar-SA"/>
        </w:rPr>
        <w:t>7、有利于投标的其他资格证明材料</w:t>
      </w:r>
      <w:r>
        <w:tab/>
      </w:r>
      <w:r>
        <w:fldChar w:fldCharType="begin"/>
      </w:r>
      <w:r>
        <w:instrText xml:space="preserve"> PAGEREF _Toc14985 \h </w:instrText>
      </w:r>
      <w:r>
        <w:fldChar w:fldCharType="separate"/>
      </w:r>
      <w:r>
        <w:t>42</w:t>
      </w:r>
      <w:r>
        <w:fldChar w:fldCharType="end"/>
      </w:r>
      <w:r>
        <w:rPr>
          <w:rFonts w:hint="eastAsia" w:ascii="微软雅黑" w:hAnsi="微软雅黑" w:eastAsia="微软雅黑" w:cs="微软雅黑"/>
          <w:kern w:val="0"/>
          <w:szCs w:val="24"/>
        </w:rPr>
        <w:fldChar w:fldCharType="end"/>
      </w:r>
    </w:p>
    <w:p w14:paraId="0ECFED54">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_Toc31624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kern w:val="0"/>
          <w:szCs w:val="20"/>
          <w:lang w:val="en-US" w:eastAsia="zh-CN"/>
        </w:rPr>
        <w:t>8</w:t>
      </w:r>
      <w:r>
        <w:rPr>
          <w:rFonts w:hint="eastAsia" w:ascii="微软雅黑" w:hAnsi="微软雅黑" w:eastAsia="微软雅黑" w:cs="微软雅黑"/>
          <w:kern w:val="0"/>
          <w:szCs w:val="20"/>
        </w:rPr>
        <w:t>、响应文件格式范本</w:t>
      </w:r>
      <w:r>
        <w:tab/>
      </w:r>
      <w:r>
        <w:fldChar w:fldCharType="begin"/>
      </w:r>
      <w:r>
        <w:instrText xml:space="preserve"> PAGEREF _Toc31624 \h </w:instrText>
      </w:r>
      <w:r>
        <w:fldChar w:fldCharType="separate"/>
      </w:r>
      <w:r>
        <w:t>44</w:t>
      </w:r>
      <w:r>
        <w:fldChar w:fldCharType="end"/>
      </w:r>
      <w:r>
        <w:rPr>
          <w:rFonts w:hint="eastAsia" w:ascii="微软雅黑" w:hAnsi="微软雅黑" w:eastAsia="微软雅黑" w:cs="微软雅黑"/>
          <w:kern w:val="0"/>
          <w:szCs w:val="24"/>
        </w:rPr>
        <w:fldChar w:fldCharType="end"/>
      </w:r>
    </w:p>
    <w:p w14:paraId="0A3459FC">
      <w:pPr>
        <w:pStyle w:val="25"/>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_Toc10311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rPr>
        <w:t>第3章 磋商邀请</w:t>
      </w:r>
      <w:r>
        <w:tab/>
      </w:r>
      <w:r>
        <w:fldChar w:fldCharType="begin"/>
      </w:r>
      <w:r>
        <w:instrText xml:space="preserve"> PAGEREF _Toc10311 \h </w:instrText>
      </w:r>
      <w:r>
        <w:fldChar w:fldCharType="separate"/>
      </w:r>
      <w:r>
        <w:t>46</w:t>
      </w:r>
      <w:r>
        <w:fldChar w:fldCharType="end"/>
      </w:r>
      <w:r>
        <w:rPr>
          <w:rFonts w:hint="eastAsia" w:ascii="微软雅黑" w:hAnsi="微软雅黑" w:eastAsia="微软雅黑" w:cs="微软雅黑"/>
          <w:kern w:val="0"/>
          <w:szCs w:val="24"/>
        </w:rPr>
        <w:fldChar w:fldCharType="end"/>
      </w:r>
    </w:p>
    <w:p w14:paraId="562236F1">
      <w:pPr>
        <w:pStyle w:val="25"/>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_Toc18439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32"/>
        </w:rPr>
        <w:t xml:space="preserve">第4章 </w:t>
      </w:r>
      <w:r>
        <w:rPr>
          <w:rFonts w:hint="eastAsia" w:ascii="微软雅黑" w:hAnsi="微软雅黑" w:eastAsia="微软雅黑" w:cs="微软雅黑"/>
          <w:szCs w:val="32"/>
          <w:lang w:eastAsia="zh-CN"/>
        </w:rPr>
        <w:t>供应商</w:t>
      </w:r>
      <w:r>
        <w:rPr>
          <w:rFonts w:hint="eastAsia" w:ascii="微软雅黑" w:hAnsi="微软雅黑" w:eastAsia="微软雅黑" w:cs="微软雅黑"/>
          <w:szCs w:val="32"/>
        </w:rPr>
        <w:t>须知资料表</w:t>
      </w:r>
      <w:r>
        <w:tab/>
      </w:r>
      <w:r>
        <w:fldChar w:fldCharType="begin"/>
      </w:r>
      <w:r>
        <w:instrText xml:space="preserve"> PAGEREF _Toc18439 \h </w:instrText>
      </w:r>
      <w:r>
        <w:fldChar w:fldCharType="separate"/>
      </w:r>
      <w:r>
        <w:t>50</w:t>
      </w:r>
      <w:r>
        <w:fldChar w:fldCharType="end"/>
      </w:r>
      <w:r>
        <w:rPr>
          <w:rFonts w:hint="eastAsia" w:ascii="微软雅黑" w:hAnsi="微软雅黑" w:eastAsia="微软雅黑" w:cs="微软雅黑"/>
          <w:kern w:val="0"/>
          <w:szCs w:val="24"/>
        </w:rPr>
        <w:fldChar w:fldCharType="end"/>
      </w:r>
    </w:p>
    <w:p w14:paraId="458ADCFD">
      <w:pPr>
        <w:pStyle w:val="25"/>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_Toc22336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rPr>
        <w:t xml:space="preserve">第5章 </w:t>
      </w:r>
      <w:r>
        <w:rPr>
          <w:rFonts w:hint="eastAsia" w:ascii="微软雅黑" w:hAnsi="微软雅黑" w:eastAsia="微软雅黑" w:cs="微软雅黑"/>
          <w:lang w:val="en-US" w:eastAsia="zh-CN"/>
        </w:rPr>
        <w:t>工程量清单及技术标准</w:t>
      </w:r>
      <w:r>
        <w:tab/>
      </w:r>
      <w:r>
        <w:fldChar w:fldCharType="begin"/>
      </w:r>
      <w:r>
        <w:instrText xml:space="preserve"> PAGEREF _Toc22336 \h </w:instrText>
      </w:r>
      <w:r>
        <w:fldChar w:fldCharType="separate"/>
      </w:r>
      <w:r>
        <w:t>55</w:t>
      </w:r>
      <w:r>
        <w:fldChar w:fldCharType="end"/>
      </w:r>
      <w:r>
        <w:rPr>
          <w:rFonts w:hint="eastAsia" w:ascii="微软雅黑" w:hAnsi="微软雅黑" w:eastAsia="微软雅黑" w:cs="微软雅黑"/>
          <w:kern w:val="0"/>
          <w:szCs w:val="24"/>
        </w:rPr>
        <w:fldChar w:fldCharType="end"/>
      </w:r>
    </w:p>
    <w:p w14:paraId="0F83B89A">
      <w:pPr>
        <w:pStyle w:val="25"/>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_Toc31964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rPr>
        <w:t>第6章 评审方法和标准</w:t>
      </w:r>
      <w:r>
        <w:tab/>
      </w:r>
      <w:r>
        <w:fldChar w:fldCharType="begin"/>
      </w:r>
      <w:r>
        <w:instrText xml:space="preserve"> PAGEREF _Toc31964 \h </w:instrText>
      </w:r>
      <w:r>
        <w:fldChar w:fldCharType="separate"/>
      </w:r>
      <w:r>
        <w:t>60</w:t>
      </w:r>
      <w:r>
        <w:fldChar w:fldCharType="end"/>
      </w:r>
      <w:r>
        <w:rPr>
          <w:rFonts w:hint="eastAsia" w:ascii="微软雅黑" w:hAnsi="微软雅黑" w:eastAsia="微软雅黑" w:cs="微软雅黑"/>
          <w:kern w:val="0"/>
          <w:szCs w:val="24"/>
        </w:rPr>
        <w:fldChar w:fldCharType="end"/>
      </w:r>
    </w:p>
    <w:p w14:paraId="12D5BC25">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_Toc30239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rPr>
        <w:t>初步评审—资格性审查表</w:t>
      </w:r>
      <w:r>
        <w:tab/>
      </w:r>
      <w:r>
        <w:fldChar w:fldCharType="begin"/>
      </w:r>
      <w:r>
        <w:instrText xml:space="preserve"> PAGEREF _Toc30239 \h </w:instrText>
      </w:r>
      <w:r>
        <w:fldChar w:fldCharType="separate"/>
      </w:r>
      <w:r>
        <w:t>70</w:t>
      </w:r>
      <w:r>
        <w:fldChar w:fldCharType="end"/>
      </w:r>
      <w:r>
        <w:rPr>
          <w:rFonts w:hint="eastAsia" w:ascii="微软雅黑" w:hAnsi="微软雅黑" w:eastAsia="微软雅黑" w:cs="微软雅黑"/>
          <w:kern w:val="0"/>
          <w:szCs w:val="24"/>
        </w:rPr>
        <w:fldChar w:fldCharType="end"/>
      </w:r>
    </w:p>
    <w:p w14:paraId="739A995E">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_Toc24641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8"/>
        </w:rPr>
        <w:t>初步评审—符合性审查表</w:t>
      </w:r>
      <w:r>
        <w:tab/>
      </w:r>
      <w:r>
        <w:fldChar w:fldCharType="begin"/>
      </w:r>
      <w:r>
        <w:instrText xml:space="preserve"> PAGEREF _Toc24641 \h </w:instrText>
      </w:r>
      <w:r>
        <w:fldChar w:fldCharType="separate"/>
      </w:r>
      <w:r>
        <w:t>72</w:t>
      </w:r>
      <w:r>
        <w:fldChar w:fldCharType="end"/>
      </w:r>
      <w:r>
        <w:rPr>
          <w:rFonts w:hint="eastAsia" w:ascii="微软雅黑" w:hAnsi="微软雅黑" w:eastAsia="微软雅黑" w:cs="微软雅黑"/>
          <w:kern w:val="0"/>
          <w:szCs w:val="24"/>
        </w:rPr>
        <w:fldChar w:fldCharType="end"/>
      </w:r>
    </w:p>
    <w:p w14:paraId="7B556CD7">
      <w:pPr>
        <w:pStyle w:val="30"/>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_Toc9102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8"/>
        </w:rPr>
        <w:t>综合评分表</w:t>
      </w:r>
      <w:r>
        <w:tab/>
      </w:r>
      <w:r>
        <w:fldChar w:fldCharType="begin"/>
      </w:r>
      <w:r>
        <w:instrText xml:space="preserve"> PAGEREF _Toc9102 \h </w:instrText>
      </w:r>
      <w:r>
        <w:fldChar w:fldCharType="separate"/>
      </w:r>
      <w:r>
        <w:t>75</w:t>
      </w:r>
      <w:r>
        <w:fldChar w:fldCharType="end"/>
      </w:r>
      <w:r>
        <w:rPr>
          <w:rFonts w:hint="eastAsia" w:ascii="微软雅黑" w:hAnsi="微软雅黑" w:eastAsia="微软雅黑" w:cs="微软雅黑"/>
          <w:kern w:val="0"/>
          <w:szCs w:val="24"/>
        </w:rPr>
        <w:fldChar w:fldCharType="end"/>
      </w:r>
    </w:p>
    <w:p w14:paraId="492FD5D6">
      <w:pPr>
        <w:pStyle w:val="25"/>
        <w:tabs>
          <w:tab w:val="right" w:leader="dot" w:pos="9833"/>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_Toc2625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rPr>
        <w:t>第7章  政府采购合同</w:t>
      </w:r>
      <w:r>
        <w:tab/>
      </w:r>
      <w:r>
        <w:fldChar w:fldCharType="begin"/>
      </w:r>
      <w:r>
        <w:instrText xml:space="preserve"> PAGEREF _Toc2625 \h </w:instrText>
      </w:r>
      <w:r>
        <w:fldChar w:fldCharType="separate"/>
      </w:r>
      <w:r>
        <w:t>79</w:t>
      </w:r>
      <w:r>
        <w:fldChar w:fldCharType="end"/>
      </w:r>
      <w:r>
        <w:rPr>
          <w:rFonts w:hint="eastAsia" w:ascii="微软雅黑" w:hAnsi="微软雅黑" w:eastAsia="微软雅黑" w:cs="微软雅黑"/>
          <w:kern w:val="0"/>
          <w:szCs w:val="24"/>
        </w:rPr>
        <w:fldChar w:fldCharType="end"/>
      </w:r>
    </w:p>
    <w:p w14:paraId="17668CFC">
      <w:pPr>
        <w:keepNext w:val="0"/>
        <w:keepLines w:val="0"/>
        <w:pageBreakBefore w:val="0"/>
        <w:widowControl w:val="0"/>
        <w:tabs>
          <w:tab w:val="left" w:pos="0"/>
        </w:tabs>
        <w:kinsoku/>
        <w:wordWrap/>
        <w:overflowPunct/>
        <w:topLinePunct w:val="0"/>
        <w:autoSpaceDE/>
        <w:autoSpaceDN/>
        <w:bidi w:val="0"/>
        <w:adjustRightInd/>
        <w:snapToGrid w:val="0"/>
        <w:spacing w:line="400" w:lineRule="exact"/>
        <w:textAlignment w:val="baseline"/>
        <w:rPr>
          <w:rFonts w:hint="eastAsia" w:ascii="微软雅黑" w:hAnsi="微软雅黑" w:eastAsia="微软雅黑" w:cs="微软雅黑"/>
          <w:kern w:val="0"/>
          <w:sz w:val="24"/>
          <w:szCs w:val="24"/>
        </w:rPr>
      </w:pPr>
      <w:r>
        <w:rPr>
          <w:rFonts w:hint="eastAsia" w:ascii="微软雅黑" w:hAnsi="微软雅黑" w:eastAsia="微软雅黑" w:cs="微软雅黑"/>
          <w:kern w:val="0"/>
          <w:szCs w:val="24"/>
        </w:rPr>
        <w:fldChar w:fldCharType="end"/>
      </w:r>
    </w:p>
    <w:p w14:paraId="0E5BF68C">
      <w:pPr>
        <w:pStyle w:val="8"/>
        <w:rPr>
          <w:rFonts w:hint="eastAsia" w:ascii="微软雅黑" w:hAnsi="微软雅黑" w:eastAsia="微软雅黑" w:cs="微软雅黑"/>
          <w:sz w:val="24"/>
          <w:szCs w:val="24"/>
        </w:rPr>
      </w:pPr>
    </w:p>
    <w:p w14:paraId="360A1B95">
      <w:pPr>
        <w:rPr>
          <w:rFonts w:hint="eastAsia" w:ascii="微软雅黑" w:hAnsi="微软雅黑" w:eastAsia="微软雅黑" w:cs="微软雅黑"/>
          <w:sz w:val="24"/>
          <w:szCs w:val="24"/>
        </w:rPr>
      </w:pPr>
    </w:p>
    <w:p w14:paraId="31C1B7C6">
      <w:pPr>
        <w:rPr>
          <w:rFonts w:hint="eastAsia"/>
        </w:rPr>
      </w:pPr>
    </w:p>
    <w:p w14:paraId="6E763BDA">
      <w:pPr>
        <w:pStyle w:val="2"/>
        <w:pageBreakBefore w:val="0"/>
        <w:tabs>
          <w:tab w:val="left" w:pos="0"/>
        </w:tabs>
        <w:kinsoku/>
        <w:wordWrap/>
        <w:overflowPunct/>
        <w:topLinePunct w:val="0"/>
        <w:bidi w:val="0"/>
        <w:snapToGrid w:val="0"/>
        <w:spacing w:before="0" w:after="0" w:line="520" w:lineRule="exact"/>
        <w:textAlignment w:val="baseline"/>
        <w:rPr>
          <w:rFonts w:hint="eastAsia" w:ascii="微软雅黑" w:hAnsi="微软雅黑" w:eastAsia="微软雅黑" w:cs="微软雅黑"/>
          <w:kern w:val="0"/>
          <w:sz w:val="24"/>
          <w:szCs w:val="24"/>
        </w:rPr>
        <w:sectPr>
          <w:footerReference r:id="rId4" w:type="default"/>
          <w:pgSz w:w="11906" w:h="16839"/>
          <w:pgMar w:top="1440" w:right="1080" w:bottom="1440" w:left="1080" w:header="0" w:footer="1225" w:gutter="0"/>
          <w:cols w:space="720" w:num="1"/>
        </w:sectPr>
      </w:pPr>
      <w:bookmarkStart w:id="3" w:name="_Toc9179"/>
      <w:bookmarkStart w:id="4" w:name="_Toc1178"/>
    </w:p>
    <w:p w14:paraId="37AD5D56">
      <w:pPr>
        <w:pStyle w:val="2"/>
        <w:pageBreakBefore w:val="0"/>
        <w:tabs>
          <w:tab w:val="left" w:pos="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 xml:space="preserve">第1章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w:t>
      </w:r>
      <w:bookmarkEnd w:id="0"/>
      <w:bookmarkEnd w:id="1"/>
      <w:bookmarkEnd w:id="2"/>
      <w:bookmarkEnd w:id="3"/>
      <w:bookmarkEnd w:id="4"/>
    </w:p>
    <w:p w14:paraId="300B54A6">
      <w:pPr>
        <w:pStyle w:val="3"/>
        <w:pageBreakBefore w:val="0"/>
        <w:kinsoku/>
        <w:wordWrap/>
        <w:overflowPunct/>
        <w:topLinePunct w:val="0"/>
        <w:bidi w:val="0"/>
        <w:snapToGrid w:val="0"/>
        <w:spacing w:before="0" w:line="520" w:lineRule="exact"/>
        <w:ind w:left="1080" w:leftChars="257" w:hanging="540"/>
        <w:textAlignment w:val="baseline"/>
        <w:rPr>
          <w:rFonts w:hint="eastAsia" w:ascii="微软雅黑" w:hAnsi="微软雅黑" w:eastAsia="微软雅黑" w:cs="微软雅黑"/>
          <w:sz w:val="24"/>
          <w:szCs w:val="24"/>
        </w:rPr>
      </w:pPr>
      <w:bookmarkStart w:id="5" w:name="_Toc515647757"/>
      <w:bookmarkStart w:id="6" w:name="_Toc520356143"/>
      <w:bookmarkStart w:id="7" w:name="_Toc216582805"/>
      <w:bookmarkStart w:id="8" w:name="_Toc8800"/>
      <w:bookmarkStart w:id="9" w:name="_Toc21215"/>
      <w:bookmarkStart w:id="10" w:name="_Toc30837"/>
      <w:bookmarkStart w:id="11" w:name="_Toc21015"/>
      <w:r>
        <w:rPr>
          <w:rFonts w:hint="eastAsia" w:ascii="微软雅黑" w:hAnsi="微软雅黑" w:eastAsia="微软雅黑" w:cs="微软雅黑"/>
          <w:sz w:val="24"/>
          <w:szCs w:val="24"/>
        </w:rPr>
        <w:t xml:space="preserve">一   </w:t>
      </w:r>
      <w:bookmarkEnd w:id="5"/>
      <w:bookmarkEnd w:id="6"/>
      <w:bookmarkEnd w:id="7"/>
      <w:r>
        <w:rPr>
          <w:rFonts w:hint="eastAsia" w:ascii="微软雅黑" w:hAnsi="微软雅黑" w:eastAsia="微软雅黑" w:cs="微软雅黑"/>
          <w:sz w:val="24"/>
          <w:szCs w:val="24"/>
        </w:rPr>
        <w:t>总 则</w:t>
      </w:r>
      <w:bookmarkEnd w:id="8"/>
      <w:bookmarkEnd w:id="9"/>
      <w:bookmarkEnd w:id="10"/>
      <w:bookmarkEnd w:id="11"/>
    </w:p>
    <w:p w14:paraId="2F84C758">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lang w:eastAsia="zh-CN"/>
        </w:rPr>
      </w:pPr>
      <w:bookmarkStart w:id="12" w:name="_Toc520356144"/>
      <w:bookmarkStart w:id="13" w:name="_Toc32189"/>
      <w:bookmarkStart w:id="14" w:name="_Toc515647758"/>
      <w:bookmarkStart w:id="15" w:name="_Toc32623"/>
      <w:bookmarkStart w:id="16" w:name="_Toc6040"/>
      <w:bookmarkStart w:id="17" w:name="_Toc27535"/>
      <w:bookmarkStart w:id="18" w:name="_Toc16501"/>
      <w:bookmarkStart w:id="19" w:name="_Toc20385"/>
      <w:bookmarkStart w:id="20" w:name="_Toc11217"/>
      <w:bookmarkStart w:id="21" w:name="_Toc19826"/>
      <w:bookmarkStart w:id="22" w:name="_Toc28974"/>
      <w:bookmarkStart w:id="23" w:name="_Toc16079"/>
      <w:bookmarkStart w:id="24" w:name="_Toc19219"/>
      <w:r>
        <w:rPr>
          <w:rFonts w:hint="eastAsia" w:ascii="微软雅黑" w:hAnsi="微软雅黑" w:eastAsia="微软雅黑" w:cs="微软雅黑"/>
          <w:sz w:val="24"/>
          <w:szCs w:val="24"/>
          <w:u w:color="000000"/>
        </w:rPr>
        <w:t>1.</w:t>
      </w:r>
      <w:r>
        <w:rPr>
          <w:rFonts w:hint="eastAsia" w:ascii="微软雅黑" w:hAnsi="微软雅黑" w:eastAsia="微软雅黑" w:cs="微软雅黑"/>
          <w:sz w:val="24"/>
          <w:szCs w:val="24"/>
          <w:u w:color="000000"/>
          <w:lang w:eastAsia="zh-CN"/>
        </w:rPr>
        <w:t>采购人</w:t>
      </w:r>
      <w:r>
        <w:rPr>
          <w:rFonts w:hint="eastAsia" w:ascii="微软雅黑" w:hAnsi="微软雅黑" w:eastAsia="微软雅黑" w:cs="微软雅黑"/>
          <w:sz w:val="24"/>
          <w:szCs w:val="24"/>
          <w:u w:color="000000"/>
        </w:rPr>
        <w:t>、</w:t>
      </w:r>
      <w:r>
        <w:rPr>
          <w:rFonts w:hint="eastAsia" w:ascii="微软雅黑" w:hAnsi="微软雅黑" w:eastAsia="微软雅黑" w:cs="微软雅黑"/>
          <w:sz w:val="24"/>
          <w:szCs w:val="24"/>
          <w:u w:color="000000"/>
          <w:lang w:eastAsia="zh-CN"/>
        </w:rPr>
        <w:t>代理机构</w:t>
      </w:r>
      <w:r>
        <w:rPr>
          <w:rFonts w:hint="eastAsia" w:ascii="微软雅黑" w:hAnsi="微软雅黑" w:eastAsia="微软雅黑" w:cs="微软雅黑"/>
          <w:sz w:val="24"/>
          <w:szCs w:val="24"/>
          <w:u w:color="000000"/>
        </w:rPr>
        <w:t>及</w:t>
      </w:r>
      <w:bookmarkEnd w:id="12"/>
      <w:bookmarkEnd w:id="13"/>
      <w:bookmarkEnd w:id="14"/>
      <w:bookmarkEnd w:id="15"/>
      <w:bookmarkEnd w:id="16"/>
      <w:bookmarkEnd w:id="17"/>
      <w:bookmarkEnd w:id="18"/>
      <w:bookmarkEnd w:id="19"/>
      <w:bookmarkEnd w:id="20"/>
      <w:bookmarkEnd w:id="21"/>
      <w:bookmarkEnd w:id="22"/>
      <w:bookmarkEnd w:id="23"/>
      <w:bookmarkEnd w:id="24"/>
      <w:r>
        <w:rPr>
          <w:rFonts w:hint="eastAsia" w:ascii="微软雅黑" w:hAnsi="微软雅黑" w:eastAsia="微软雅黑" w:cs="微软雅黑"/>
          <w:sz w:val="24"/>
          <w:szCs w:val="24"/>
          <w:u w:color="000000"/>
          <w:lang w:eastAsia="zh-CN"/>
        </w:rPr>
        <w:t>供应商</w:t>
      </w:r>
    </w:p>
    <w:p w14:paraId="64D3E15F">
      <w:pPr>
        <w:pageBreakBefore w:val="0"/>
        <w:tabs>
          <w:tab w:val="left" w:pos="0"/>
        </w:tabs>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1.1    </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：是指依法开展政府采购活动的国家机关、事业单位、团体组织。</w:t>
      </w:r>
    </w:p>
    <w:p w14:paraId="5DEE0D35">
      <w:pPr>
        <w:pageBreakBefore w:val="0"/>
        <w:tabs>
          <w:tab w:val="left" w:pos="0"/>
        </w:tabs>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见</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w:t>
      </w:r>
    </w:p>
    <w:p w14:paraId="1E996BCA">
      <w:pPr>
        <w:pageBreakBefore w:val="0"/>
        <w:tabs>
          <w:tab w:val="left" w:pos="0"/>
        </w:tabs>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1.2   </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：是指在集中采购机构或从事采购代理业务的社会中介机构。本项目的</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见</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w:t>
      </w:r>
    </w:p>
    <w:p w14:paraId="7410F21A">
      <w:pPr>
        <w:pageBreakBefore w:val="0"/>
        <w:numPr>
          <w:ilvl w:val="1"/>
          <w:numId w:val="2"/>
        </w:numPr>
        <w:kinsoku/>
        <w:wordWrap/>
        <w:overflowPunct/>
        <w:topLinePunct w:val="0"/>
        <w:bidi w:val="0"/>
        <w:snapToGrid w:val="0"/>
        <w:spacing w:line="520" w:lineRule="exact"/>
        <w:ind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：是指向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提供货物、工程或者服务的法人、非法人组织或者自然人。</w:t>
      </w:r>
    </w:p>
    <w:p w14:paraId="44CBC403">
      <w:pPr>
        <w:pageBreakBefore w:val="0"/>
        <w:kinsoku/>
        <w:wordWrap/>
        <w:overflowPunct/>
        <w:topLinePunct w:val="0"/>
        <w:bidi w:val="0"/>
        <w:snapToGrid w:val="0"/>
        <w:spacing w:line="520" w:lineRule="exact"/>
        <w:ind w:left="850" w:hanging="849" w:hangingChars="354"/>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在中华人民共和国境内注册，能够独立承担民事责任，有生产或供应能力的本国</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w:t>
      </w:r>
    </w:p>
    <w:p w14:paraId="7609DB0F">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1.3.2  具备《中华人民共和国政府采购法》第二十二条关于</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条件的规定，遵守本项目</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本级和上级财政部门政府采购的有关规定。</w:t>
      </w:r>
    </w:p>
    <w:p w14:paraId="491F1CC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1.3.3   以</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认可的方式获得了本项目的磋商文件。</w:t>
      </w:r>
    </w:p>
    <w:p w14:paraId="1F79B9C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1.3.4   符合</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中规定的其他要求。</w:t>
      </w:r>
    </w:p>
    <w:p w14:paraId="14C1633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1.3.5   若</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中写明允许采购进口产品，</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应保证所投产品可履行合法报通关手续进入中国关境内。</w:t>
      </w:r>
    </w:p>
    <w:p w14:paraId="0EF3AB31">
      <w:pPr>
        <w:pageBreakBefore w:val="0"/>
        <w:kinsoku/>
        <w:wordWrap/>
        <w:overflowPunct/>
        <w:topLinePunct w:val="0"/>
        <w:bidi w:val="0"/>
        <w:snapToGrid w:val="0"/>
        <w:spacing w:line="520" w:lineRule="exact"/>
        <w:ind w:left="958" w:leftChars="456"/>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若</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中未写明允许采购进口产品，如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所投产品为进口产品，其磋商将被认定为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78F7ECA9">
      <w:pPr>
        <w:pageBreakBefore w:val="0"/>
        <w:kinsoku/>
        <w:wordWrap/>
        <w:overflowPunct/>
        <w:topLinePunct w:val="0"/>
        <w:bidi w:val="0"/>
        <w:snapToGrid w:val="0"/>
        <w:spacing w:line="520" w:lineRule="exact"/>
        <w:ind w:left="840" w:hanging="840" w:hangingChars="35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1.3.6  若</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中写明专门面向中小企业采购的，如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为非中小企业且所投产品为非中小企业产品，其磋商将被认定为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7F3BB81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     如</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中允许联合体磋商，对联合体规定如下：</w:t>
      </w:r>
    </w:p>
    <w:p w14:paraId="362A6A9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1.4.1   两个以上</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可以组成一个磋商联合体，以一个</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的身份磋商。</w:t>
      </w:r>
    </w:p>
    <w:p w14:paraId="1F5DF1E3">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1.4.2   联合体各方均应符合《中华人民共和国政府采购法》第二十二条规定的条件。</w:t>
      </w:r>
    </w:p>
    <w:p w14:paraId="3932F6B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1.4.3   </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根据采购项目对</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的特殊要求，联合体中至少应当有一方符合相关规定。</w:t>
      </w:r>
    </w:p>
    <w:p w14:paraId="39B8E39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1.4.4   联合体各方应签订共同磋商协议，明确约定联合体各方承担的工作和相应的责任，并将共同磋商协议连同作为磋商文件第一部分的内容提交。</w:t>
      </w:r>
    </w:p>
    <w:p w14:paraId="5970EB0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1.4.5   大中型企业、其他自然人、法人或者非法人组织与小型、微型企业组成联合体共同参加磋商，共同磋商协议中应写明小型、微型企业的协议合同金额占到共同磋商协议磋商总金额的比例。</w:t>
      </w:r>
    </w:p>
    <w:p w14:paraId="2A93D983">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1.4.6  联合体中有同类资质的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按照联合体分工承担相同工作的，按照较低的资质等级确定联合体的资质等级。</w:t>
      </w:r>
    </w:p>
    <w:p w14:paraId="1D12528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1.4.7  以联合体形式参加政府采购活动的，联合体各方不得再单独参加或者与其他</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另外组成联合体参加本项目磋商，否则相关磋商将被认定为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51D6878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1.4.8   对联合体磋商的其他资格要求见</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w:t>
      </w:r>
    </w:p>
    <w:p w14:paraId="23BD4F6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1.5    单位负责人为同一人或者存在直接控股、管理关系的不同</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，其相关磋商将被认定为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0953D55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1.6    为本项目提供过整体设计、规范编制或者项目管理、监理、检测等服务的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，不得再参加本项目上述货物以外的其他采购活动。否则其磋商将被认定为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455BC19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1.7</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在磋商过程中不得向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提供、给予任何有价值的物品，影响其正常决策行为。一经发现，其将被认定为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606687B0">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25" w:name="_Toc12994"/>
      <w:bookmarkStart w:id="26" w:name="_Toc31303"/>
      <w:bookmarkStart w:id="27" w:name="_Toc5286"/>
      <w:bookmarkStart w:id="28" w:name="_Toc20993"/>
      <w:bookmarkStart w:id="29" w:name="_Toc12082"/>
      <w:bookmarkStart w:id="30" w:name="_Toc12139"/>
      <w:bookmarkStart w:id="31" w:name="_Toc17959"/>
      <w:bookmarkStart w:id="32" w:name="_Toc515647759"/>
      <w:bookmarkStart w:id="33" w:name="_Toc21415"/>
      <w:bookmarkStart w:id="34" w:name="_Toc32017"/>
      <w:bookmarkStart w:id="35" w:name="_Toc17954"/>
      <w:bookmarkStart w:id="36" w:name="_Toc1145"/>
      <w:r>
        <w:rPr>
          <w:rFonts w:hint="eastAsia" w:ascii="微软雅黑" w:hAnsi="微软雅黑" w:eastAsia="微软雅黑" w:cs="微软雅黑"/>
          <w:sz w:val="24"/>
          <w:szCs w:val="24"/>
          <w:u w:color="000000"/>
        </w:rPr>
        <w:t>2.资金来源</w:t>
      </w:r>
      <w:bookmarkEnd w:id="25"/>
      <w:bookmarkEnd w:id="26"/>
      <w:bookmarkEnd w:id="27"/>
      <w:bookmarkEnd w:id="28"/>
      <w:bookmarkEnd w:id="29"/>
      <w:bookmarkEnd w:id="30"/>
      <w:bookmarkEnd w:id="31"/>
      <w:bookmarkEnd w:id="32"/>
      <w:bookmarkEnd w:id="33"/>
      <w:bookmarkEnd w:id="34"/>
      <w:bookmarkEnd w:id="35"/>
      <w:bookmarkEnd w:id="36"/>
    </w:p>
    <w:p w14:paraId="65039836">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本项目的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已获得足以支付本次招标后所签订的合同项下的资金（包括财政性资金和本项目采购中无法与财政性资金分割的非财政性资金）。</w:t>
      </w:r>
    </w:p>
    <w:p w14:paraId="7D2618D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2.2    项目预算金额和分项或分包最高限价</w:t>
      </w:r>
      <w:r>
        <w:rPr>
          <w:rFonts w:hint="eastAsia" w:ascii="微软雅黑" w:hAnsi="微软雅黑" w:eastAsia="微软雅黑" w:cs="微软雅黑"/>
          <w:sz w:val="24"/>
          <w:szCs w:val="24"/>
          <w:u w:val="single" w:color="000000"/>
        </w:rPr>
        <w:t>见</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w:t>
      </w:r>
    </w:p>
    <w:p w14:paraId="227A9216">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2.3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报价超过磋商文件规定的预算金额或者分项、分包最高限价的，其磋商将被认定为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530E85E2">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37" w:name="_Toc3164"/>
      <w:bookmarkStart w:id="38" w:name="_Toc91"/>
      <w:bookmarkStart w:id="39" w:name="_Toc15302"/>
      <w:bookmarkStart w:id="40" w:name="_Toc23939"/>
      <w:bookmarkStart w:id="41" w:name="_Toc18168"/>
      <w:bookmarkStart w:id="42" w:name="_Toc6076"/>
      <w:bookmarkStart w:id="43" w:name="_Toc20149"/>
      <w:bookmarkStart w:id="44" w:name="_Toc515647760"/>
      <w:bookmarkStart w:id="45" w:name="_Toc20526"/>
      <w:bookmarkStart w:id="46" w:name="_Toc520356145"/>
      <w:bookmarkStart w:id="47" w:name="_Toc3987"/>
      <w:bookmarkStart w:id="48" w:name="_Toc15936"/>
      <w:bookmarkStart w:id="49" w:name="_Toc4556"/>
      <w:r>
        <w:rPr>
          <w:rFonts w:hint="eastAsia" w:ascii="微软雅黑" w:hAnsi="微软雅黑" w:eastAsia="微软雅黑" w:cs="微软雅黑"/>
          <w:sz w:val="24"/>
          <w:szCs w:val="24"/>
          <w:u w:color="000000"/>
        </w:rPr>
        <w:t>3.磋商费用</w:t>
      </w:r>
      <w:bookmarkEnd w:id="37"/>
      <w:bookmarkEnd w:id="38"/>
      <w:bookmarkEnd w:id="39"/>
      <w:bookmarkEnd w:id="40"/>
      <w:bookmarkEnd w:id="41"/>
      <w:bookmarkEnd w:id="42"/>
      <w:bookmarkEnd w:id="43"/>
      <w:bookmarkEnd w:id="44"/>
      <w:bookmarkEnd w:id="45"/>
      <w:bookmarkEnd w:id="46"/>
      <w:bookmarkEnd w:id="47"/>
      <w:bookmarkEnd w:id="48"/>
      <w:bookmarkEnd w:id="49"/>
    </w:p>
    <w:p w14:paraId="39DA4EAF">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不论磋商的结果如何，</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应承担所有与准备和参加磋商有关的费用。</w:t>
      </w:r>
    </w:p>
    <w:p w14:paraId="26625A7F">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50" w:name="_Toc4463"/>
      <w:bookmarkStart w:id="51" w:name="_Toc15164"/>
      <w:bookmarkStart w:id="52" w:name="_Toc2317"/>
      <w:bookmarkStart w:id="53" w:name="_Toc515647761"/>
      <w:bookmarkStart w:id="54" w:name="_Toc32069"/>
      <w:bookmarkStart w:id="55" w:name="_Toc7327"/>
      <w:bookmarkStart w:id="56" w:name="_Toc14158"/>
      <w:bookmarkStart w:id="57" w:name="_Toc15428"/>
      <w:bookmarkStart w:id="58" w:name="_Toc26501"/>
      <w:bookmarkStart w:id="59" w:name="_Toc23425"/>
      <w:bookmarkStart w:id="60" w:name="_Toc6116"/>
      <w:bookmarkStart w:id="61" w:name="_Toc29823"/>
      <w:r>
        <w:rPr>
          <w:rFonts w:hint="eastAsia" w:ascii="微软雅黑" w:hAnsi="微软雅黑" w:eastAsia="微软雅黑" w:cs="微软雅黑"/>
          <w:sz w:val="24"/>
          <w:szCs w:val="24"/>
          <w:u w:color="000000"/>
        </w:rPr>
        <w:t>4.适用法律</w:t>
      </w:r>
      <w:bookmarkEnd w:id="50"/>
      <w:bookmarkEnd w:id="51"/>
      <w:bookmarkEnd w:id="52"/>
      <w:bookmarkEnd w:id="53"/>
      <w:bookmarkEnd w:id="54"/>
      <w:bookmarkEnd w:id="55"/>
      <w:bookmarkEnd w:id="56"/>
      <w:bookmarkEnd w:id="57"/>
      <w:bookmarkEnd w:id="58"/>
      <w:bookmarkEnd w:id="59"/>
      <w:bookmarkEnd w:id="60"/>
      <w:bookmarkEnd w:id="61"/>
    </w:p>
    <w:p w14:paraId="4F1D9D8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本项目</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评审委员会的相关行为均受《中华人民共和国政府采购法》、《中华人民共和国政府采购法实施条例》、《政府采购竞争性磋商采购方式管理暂行办法》及本项目本级和上级财政部门政府采购有关规定的约束，其权利受到上述法律法规的保护。</w:t>
      </w:r>
    </w:p>
    <w:p w14:paraId="64820DC4">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p>
    <w:p w14:paraId="6A29BE77">
      <w:pPr>
        <w:pStyle w:val="3"/>
        <w:pageBreakBefore w:val="0"/>
        <w:kinsoku/>
        <w:wordWrap/>
        <w:overflowPunct/>
        <w:topLinePunct w:val="0"/>
        <w:bidi w:val="0"/>
        <w:snapToGrid w:val="0"/>
        <w:spacing w:before="0" w:line="520" w:lineRule="exact"/>
        <w:ind w:hanging="540"/>
        <w:textAlignment w:val="baseline"/>
        <w:rPr>
          <w:rFonts w:hint="eastAsia" w:ascii="微软雅黑" w:hAnsi="微软雅黑" w:eastAsia="微软雅黑" w:cs="微软雅黑"/>
          <w:sz w:val="24"/>
          <w:szCs w:val="24"/>
        </w:rPr>
      </w:pPr>
      <w:bookmarkStart w:id="62" w:name="_Toc520356146"/>
      <w:bookmarkStart w:id="63" w:name="_Toc515647762"/>
      <w:bookmarkStart w:id="64" w:name="_Toc21566"/>
      <w:bookmarkStart w:id="65" w:name="_Toc216582806"/>
      <w:bookmarkStart w:id="66" w:name="_Toc4365"/>
      <w:bookmarkStart w:id="67" w:name="_Toc13692"/>
      <w:bookmarkStart w:id="68" w:name="_Toc19024"/>
      <w:bookmarkStart w:id="69" w:name="_Toc9586"/>
      <w:r>
        <w:rPr>
          <w:rFonts w:hint="eastAsia" w:ascii="微软雅黑" w:hAnsi="微软雅黑" w:eastAsia="微软雅黑" w:cs="微软雅黑"/>
          <w:sz w:val="24"/>
          <w:szCs w:val="24"/>
        </w:rPr>
        <w:t xml:space="preserve">二   </w:t>
      </w:r>
      <w:bookmarkEnd w:id="62"/>
      <w:bookmarkEnd w:id="63"/>
      <w:bookmarkEnd w:id="64"/>
      <w:bookmarkEnd w:id="65"/>
      <w:bookmarkEnd w:id="66"/>
      <w:r>
        <w:rPr>
          <w:rFonts w:hint="eastAsia" w:ascii="微软雅黑" w:hAnsi="微软雅黑" w:eastAsia="微软雅黑" w:cs="微软雅黑"/>
          <w:sz w:val="24"/>
          <w:szCs w:val="24"/>
        </w:rPr>
        <w:t>磋商文件</w:t>
      </w:r>
      <w:bookmarkEnd w:id="67"/>
      <w:bookmarkEnd w:id="68"/>
      <w:bookmarkEnd w:id="69"/>
    </w:p>
    <w:p w14:paraId="7F4D37C2">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70" w:name="_Toc27545"/>
      <w:bookmarkStart w:id="71" w:name="_Toc520356147"/>
      <w:bookmarkStart w:id="72" w:name="_Toc16521"/>
      <w:bookmarkStart w:id="73" w:name="_Toc4254"/>
      <w:bookmarkStart w:id="74" w:name="_Toc25743"/>
      <w:bookmarkStart w:id="75" w:name="_Toc20128"/>
      <w:bookmarkStart w:id="76" w:name="_Toc515647763"/>
      <w:bookmarkStart w:id="77" w:name="_Toc4773"/>
      <w:bookmarkStart w:id="78" w:name="_Toc14084"/>
      <w:bookmarkStart w:id="79" w:name="_Toc14409"/>
      <w:bookmarkStart w:id="80" w:name="_Toc12447"/>
      <w:bookmarkStart w:id="81" w:name="_Toc9520"/>
      <w:bookmarkStart w:id="82" w:name="_Toc16061"/>
      <w:r>
        <w:rPr>
          <w:rFonts w:hint="eastAsia" w:ascii="微软雅黑" w:hAnsi="微软雅黑" w:eastAsia="微软雅黑" w:cs="微软雅黑"/>
          <w:sz w:val="24"/>
          <w:szCs w:val="24"/>
          <w:u w:color="000000"/>
        </w:rPr>
        <w:t>5.磋商文件构成</w:t>
      </w:r>
      <w:bookmarkEnd w:id="70"/>
      <w:bookmarkEnd w:id="71"/>
      <w:bookmarkEnd w:id="72"/>
      <w:bookmarkEnd w:id="73"/>
      <w:bookmarkEnd w:id="74"/>
      <w:bookmarkEnd w:id="75"/>
      <w:bookmarkEnd w:id="76"/>
      <w:bookmarkEnd w:id="77"/>
      <w:bookmarkEnd w:id="78"/>
      <w:bookmarkEnd w:id="79"/>
      <w:bookmarkEnd w:id="80"/>
      <w:bookmarkEnd w:id="81"/>
      <w:bookmarkEnd w:id="82"/>
    </w:p>
    <w:p w14:paraId="2E00222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磋商文件分为三册共7章，内容如下：</w:t>
      </w:r>
    </w:p>
    <w:p w14:paraId="0FC678A9">
      <w:pPr>
        <w:pageBreakBefore w:val="0"/>
        <w:kinsoku/>
        <w:wordWrap/>
        <w:overflowPunct/>
        <w:topLinePunct w:val="0"/>
        <w:bidi w:val="0"/>
        <w:snapToGrid w:val="0"/>
        <w:spacing w:line="520" w:lineRule="exact"/>
        <w:ind w:left="180"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第一册</w:t>
      </w:r>
    </w:p>
    <w:p w14:paraId="6B25F439">
      <w:pPr>
        <w:pageBreakBefore w:val="0"/>
        <w:tabs>
          <w:tab w:val="left" w:pos="0"/>
        </w:tabs>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第1章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w:t>
      </w:r>
    </w:p>
    <w:p w14:paraId="0C7025B1">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第2章 响应文件格式</w:t>
      </w:r>
    </w:p>
    <w:p w14:paraId="35EAD71B">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第二册</w:t>
      </w:r>
    </w:p>
    <w:p w14:paraId="031F144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第3章 磋商邀请</w:t>
      </w:r>
    </w:p>
    <w:p w14:paraId="70A6537B">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第4章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须知资料表</w:t>
      </w:r>
    </w:p>
    <w:p w14:paraId="3B0609C8">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第5章 </w:t>
      </w:r>
      <w:r>
        <w:rPr>
          <w:rFonts w:hint="eastAsia" w:ascii="微软雅黑" w:hAnsi="微软雅黑" w:eastAsia="微软雅黑" w:cs="微软雅黑"/>
          <w:sz w:val="24"/>
          <w:szCs w:val="24"/>
          <w:lang w:val="en-US" w:eastAsia="zh-CN"/>
        </w:rPr>
        <w:t>工程量清单及技术标准</w:t>
      </w:r>
    </w:p>
    <w:p w14:paraId="254EFBE3">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第6章 评审方法和标准</w:t>
      </w:r>
    </w:p>
    <w:p w14:paraId="03D5D37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第三册</w:t>
      </w:r>
    </w:p>
    <w:p w14:paraId="73ECE291">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第7章 政府采购合同格式</w:t>
      </w:r>
    </w:p>
    <w:p w14:paraId="4804EFF7">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如本文件的前后内容不一致，以最后描述为准。</w:t>
      </w:r>
    </w:p>
    <w:p w14:paraId="489C719B">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5.3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应认真阅读磋商文件所有的事项、格式、条款和技术规范等。如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没有按照磋商文件要求提交全部资料，或者磋商文件没有对磋商文件在各方面都做出实质性响应，可能导致其磋商将被认定为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0342B3F8">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83" w:name="_Toc520356148"/>
      <w:bookmarkStart w:id="84" w:name="_Toc515904805"/>
      <w:bookmarkStart w:id="85" w:name="_Toc12118"/>
      <w:bookmarkStart w:id="86" w:name="_Toc19969"/>
      <w:bookmarkStart w:id="87" w:name="_Toc9232"/>
      <w:bookmarkStart w:id="88" w:name="_Toc5443"/>
      <w:bookmarkStart w:id="89" w:name="_Toc6163"/>
      <w:bookmarkStart w:id="90" w:name="_Toc17695"/>
      <w:bookmarkStart w:id="91" w:name="_Toc73"/>
      <w:bookmarkStart w:id="92" w:name="_Toc9693"/>
      <w:bookmarkStart w:id="93" w:name="_Toc24794"/>
      <w:bookmarkStart w:id="94" w:name="_Toc26044"/>
      <w:bookmarkStart w:id="95" w:name="_Toc11954"/>
      <w:r>
        <w:rPr>
          <w:rFonts w:hint="eastAsia" w:ascii="微软雅黑" w:hAnsi="微软雅黑" w:eastAsia="微软雅黑" w:cs="微软雅黑"/>
          <w:sz w:val="24"/>
          <w:szCs w:val="24"/>
          <w:u w:color="000000"/>
        </w:rPr>
        <w:t>6.磋商文件的澄清</w:t>
      </w:r>
      <w:bookmarkEnd w:id="83"/>
      <w:bookmarkEnd w:id="84"/>
      <w:r>
        <w:rPr>
          <w:rFonts w:hint="eastAsia" w:ascii="微软雅黑" w:hAnsi="微软雅黑" w:eastAsia="微软雅黑" w:cs="微软雅黑"/>
          <w:sz w:val="24"/>
          <w:szCs w:val="24"/>
          <w:u w:color="000000"/>
        </w:rPr>
        <w:t>与修改</w:t>
      </w:r>
      <w:bookmarkEnd w:id="85"/>
      <w:bookmarkEnd w:id="86"/>
      <w:bookmarkEnd w:id="87"/>
      <w:bookmarkEnd w:id="88"/>
      <w:bookmarkEnd w:id="89"/>
      <w:bookmarkEnd w:id="90"/>
      <w:bookmarkEnd w:id="91"/>
      <w:bookmarkEnd w:id="92"/>
      <w:bookmarkEnd w:id="93"/>
      <w:bookmarkEnd w:id="94"/>
      <w:bookmarkEnd w:id="95"/>
    </w:p>
    <w:p w14:paraId="62852A39">
      <w:pPr>
        <w:pStyle w:val="7"/>
        <w:pageBreakBefore w:val="0"/>
        <w:kinsoku/>
        <w:wordWrap/>
        <w:overflowPunct/>
        <w:topLinePunct w:val="0"/>
        <w:bidi w:val="0"/>
        <w:snapToGrid w:val="0"/>
        <w:spacing w:line="520" w:lineRule="exact"/>
        <w:ind w:left="840" w:hanging="840" w:hangingChars="35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6.1    为了保证对磋商文件的澄清和修改满足法律的时限要求，任何要求对磋商文件进行澄清的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，均应在磋商截止时间至少5日前，以书面形式将澄清要求通知</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w:t>
      </w:r>
    </w:p>
    <w:p w14:paraId="316510AA">
      <w:pPr>
        <w:pStyle w:val="7"/>
        <w:pageBreakBefore w:val="0"/>
        <w:kinsoku/>
        <w:wordWrap/>
        <w:overflowPunct/>
        <w:topLinePunct w:val="0"/>
        <w:bidi w:val="0"/>
        <w:snapToGrid w:val="0"/>
        <w:spacing w:line="520" w:lineRule="exact"/>
        <w:ind w:left="840" w:hanging="840" w:hangingChars="350"/>
        <w:textAlignment w:val="baseline"/>
        <w:rPr>
          <w:rFonts w:hint="eastAsia" w:ascii="微软雅黑" w:hAnsi="微软雅黑" w:eastAsia="微软雅黑" w:cs="微软雅黑"/>
          <w:sz w:val="24"/>
          <w:szCs w:val="24"/>
        </w:rPr>
      </w:pPr>
      <w:bookmarkStart w:id="96" w:name="_Ref467378678"/>
      <w:bookmarkStart w:id="97" w:name="_Toc515904806"/>
      <w:bookmarkStart w:id="98" w:name="_Toc520356149"/>
      <w:r>
        <w:rPr>
          <w:rFonts w:hint="eastAsia" w:ascii="微软雅黑" w:hAnsi="微软雅黑" w:eastAsia="微软雅黑" w:cs="微软雅黑"/>
          <w:sz w:val="24"/>
          <w:szCs w:val="24"/>
        </w:rPr>
        <w:t>6.2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可主动地或在解答</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提出的澄清问题时对磋商文件进行澄清或修改。</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将以发布澄清（更正）公告的方式，澄清或修改磋商文件，澄清或修改内容作为磋商文件的组成部分。</w:t>
      </w:r>
    </w:p>
    <w:p w14:paraId="7083124D">
      <w:pPr>
        <w:pStyle w:val="7"/>
        <w:pageBreakBefore w:val="0"/>
        <w:kinsoku/>
        <w:wordWrap/>
        <w:overflowPunct/>
        <w:topLinePunct w:val="0"/>
        <w:bidi w:val="0"/>
        <w:snapToGrid w:val="0"/>
        <w:spacing w:line="520" w:lineRule="exact"/>
        <w:ind w:left="840" w:hanging="840" w:hangingChars="35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6.3</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澄清或者修改的内容可能影响磋商文件编制的，</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将以书面形式通知所有购买磋商文件的潜在</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，并对其具有约束力。</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在收到上述通知后，应及时向</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回函确认。</w:t>
      </w:r>
    </w:p>
    <w:p w14:paraId="2EFE91B9">
      <w:pPr>
        <w:pStyle w:val="4"/>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99" w:name="_Toc14294"/>
      <w:bookmarkStart w:id="100" w:name="_Toc3801"/>
      <w:bookmarkStart w:id="101" w:name="_Toc25635"/>
      <w:bookmarkStart w:id="102" w:name="_Toc5970"/>
      <w:bookmarkStart w:id="103" w:name="_Toc18879"/>
      <w:bookmarkStart w:id="104" w:name="_Toc16843"/>
      <w:bookmarkStart w:id="105" w:name="_Toc28181"/>
      <w:bookmarkStart w:id="106" w:name="_Toc6738"/>
      <w:bookmarkStart w:id="107" w:name="_Toc14569"/>
      <w:bookmarkStart w:id="108" w:name="_Toc12058"/>
      <w:bookmarkStart w:id="109" w:name="_Toc16792"/>
      <w:r>
        <w:rPr>
          <w:rFonts w:hint="eastAsia" w:ascii="微软雅黑" w:hAnsi="微软雅黑" w:eastAsia="微软雅黑" w:cs="微软雅黑"/>
          <w:sz w:val="24"/>
          <w:szCs w:val="24"/>
          <w:u w:val="none" w:color="auto"/>
        </w:rPr>
        <w:t>7</w:t>
      </w:r>
      <w:bookmarkEnd w:id="96"/>
      <w:bookmarkEnd w:id="97"/>
      <w:bookmarkEnd w:id="98"/>
      <w:r>
        <w:rPr>
          <w:rFonts w:hint="eastAsia" w:ascii="微软雅黑" w:hAnsi="微软雅黑" w:eastAsia="微软雅黑" w:cs="微软雅黑"/>
          <w:sz w:val="24"/>
          <w:szCs w:val="24"/>
          <w:u w:val="none" w:color="auto"/>
        </w:rPr>
        <w:t>.磋商截止时间的顺延</w:t>
      </w:r>
      <w:bookmarkEnd w:id="99"/>
      <w:bookmarkEnd w:id="100"/>
      <w:bookmarkEnd w:id="101"/>
      <w:bookmarkEnd w:id="102"/>
      <w:bookmarkEnd w:id="103"/>
      <w:bookmarkEnd w:id="104"/>
      <w:bookmarkEnd w:id="105"/>
      <w:bookmarkEnd w:id="106"/>
      <w:bookmarkEnd w:id="107"/>
      <w:bookmarkEnd w:id="108"/>
      <w:bookmarkEnd w:id="109"/>
    </w:p>
    <w:p w14:paraId="211DE0D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为使</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准备磋商时有足够的时间对磋商文件的澄清或者修改部分进行研究，</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将依法决定是否顺延磋商截止时间。</w:t>
      </w:r>
    </w:p>
    <w:p w14:paraId="0EBA8A22">
      <w:pPr>
        <w:pStyle w:val="3"/>
        <w:pageBreakBefore w:val="0"/>
        <w:tabs>
          <w:tab w:val="left" w:pos="900"/>
        </w:tabs>
        <w:kinsoku/>
        <w:wordWrap/>
        <w:overflowPunct/>
        <w:topLinePunct w:val="0"/>
        <w:bidi w:val="0"/>
        <w:snapToGrid w:val="0"/>
        <w:spacing w:before="0" w:line="520" w:lineRule="exact"/>
        <w:ind w:hanging="540"/>
        <w:textAlignment w:val="baseline"/>
        <w:rPr>
          <w:rFonts w:hint="eastAsia" w:ascii="微软雅黑" w:hAnsi="微软雅黑" w:eastAsia="微软雅黑" w:cs="微软雅黑"/>
          <w:sz w:val="24"/>
          <w:szCs w:val="24"/>
        </w:rPr>
      </w:pPr>
      <w:bookmarkStart w:id="110" w:name="_Toc516367020"/>
      <w:bookmarkStart w:id="111" w:name="_Toc16906"/>
      <w:bookmarkStart w:id="112" w:name="_Toc18070"/>
      <w:bookmarkStart w:id="113" w:name="_Toc30808"/>
      <w:bookmarkStart w:id="114" w:name="_Toc6744"/>
      <w:bookmarkStart w:id="115" w:name="_Toc515647766"/>
      <w:bookmarkStart w:id="116" w:name="_Toc520356150"/>
      <w:bookmarkStart w:id="117" w:name="_Toc7636"/>
      <w:bookmarkStart w:id="118" w:name="_Toc216582807"/>
      <w:bookmarkStart w:id="119" w:name="_Toc14593"/>
      <w:r>
        <w:rPr>
          <w:rFonts w:hint="eastAsia" w:ascii="微软雅黑" w:hAnsi="微软雅黑" w:eastAsia="微软雅黑" w:cs="微软雅黑"/>
          <w:sz w:val="24"/>
          <w:szCs w:val="24"/>
        </w:rPr>
        <w:t xml:space="preserve">三   </w:t>
      </w:r>
      <w:bookmarkEnd w:id="110"/>
      <w:r>
        <w:rPr>
          <w:rFonts w:hint="eastAsia" w:ascii="微软雅黑" w:hAnsi="微软雅黑" w:eastAsia="微软雅黑" w:cs="微软雅黑"/>
          <w:sz w:val="24"/>
          <w:szCs w:val="24"/>
        </w:rPr>
        <w:t>响应文件的编制</w:t>
      </w:r>
      <w:bookmarkEnd w:id="111"/>
      <w:bookmarkEnd w:id="112"/>
      <w:bookmarkEnd w:id="113"/>
      <w:bookmarkEnd w:id="114"/>
      <w:bookmarkEnd w:id="115"/>
      <w:bookmarkEnd w:id="116"/>
      <w:bookmarkEnd w:id="117"/>
      <w:bookmarkEnd w:id="118"/>
      <w:bookmarkEnd w:id="119"/>
    </w:p>
    <w:p w14:paraId="0C32B82D">
      <w:pPr>
        <w:pStyle w:val="7"/>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p>
    <w:p w14:paraId="093AA1D0">
      <w:pPr>
        <w:pStyle w:val="4"/>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120" w:name="_Toc515647767"/>
      <w:bookmarkStart w:id="121" w:name="_Toc8762"/>
      <w:bookmarkStart w:id="122" w:name="_Toc20168"/>
      <w:bookmarkStart w:id="123" w:name="_Toc3553"/>
      <w:bookmarkStart w:id="124" w:name="_Toc31904"/>
      <w:bookmarkStart w:id="125" w:name="_Toc21065"/>
      <w:bookmarkStart w:id="126" w:name="_Toc7786"/>
      <w:bookmarkStart w:id="127" w:name="_Toc520356151"/>
      <w:bookmarkStart w:id="128" w:name="_Toc19003"/>
      <w:bookmarkStart w:id="129" w:name="_Toc19644"/>
      <w:bookmarkStart w:id="130" w:name="_Toc13379"/>
      <w:bookmarkStart w:id="131" w:name="_Toc21848"/>
      <w:bookmarkStart w:id="132" w:name="_Toc516367021"/>
      <w:bookmarkStart w:id="133" w:name="_Toc14330"/>
      <w:bookmarkStart w:id="134" w:name="_Toc4525"/>
      <w:r>
        <w:rPr>
          <w:rFonts w:hint="eastAsia" w:ascii="微软雅黑" w:hAnsi="微软雅黑" w:eastAsia="微软雅黑" w:cs="微软雅黑"/>
          <w:sz w:val="24"/>
          <w:szCs w:val="24"/>
          <w:u w:val="none" w:color="auto"/>
        </w:rPr>
        <w:t>8.</w:t>
      </w:r>
      <w:r>
        <w:rPr>
          <w:rFonts w:hint="eastAsia" w:ascii="微软雅黑" w:hAnsi="微软雅黑" w:eastAsia="微软雅黑" w:cs="微软雅黑"/>
          <w:sz w:val="24"/>
          <w:szCs w:val="24"/>
          <w:u w:val="none" w:color="auto"/>
        </w:rPr>
        <w:tab/>
      </w:r>
      <w:r>
        <w:rPr>
          <w:rFonts w:hint="eastAsia" w:ascii="微软雅黑" w:hAnsi="微软雅黑" w:eastAsia="微软雅黑" w:cs="微软雅黑"/>
          <w:sz w:val="24"/>
          <w:szCs w:val="24"/>
          <w:u w:val="none" w:color="auto"/>
        </w:rPr>
        <w:t>磋商范围及响应文件成交准和计量单位的使用</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40144B4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8.1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项目有分包的，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可对磋商文件其中某一个或几个分包货物进行磋商，除非在</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中另有规定。</w:t>
      </w:r>
    </w:p>
    <w:p w14:paraId="2F63B026">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8.2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应当对所投分包磋商文件中“</w:t>
      </w:r>
      <w:r>
        <w:rPr>
          <w:rFonts w:hint="eastAsia" w:ascii="微软雅黑" w:hAnsi="微软雅黑" w:eastAsia="微软雅黑" w:cs="微软雅黑"/>
          <w:sz w:val="24"/>
          <w:szCs w:val="24"/>
          <w:lang w:eastAsia="zh-CN"/>
        </w:rPr>
        <w:t>工程量清单</w:t>
      </w:r>
      <w:r>
        <w:rPr>
          <w:rFonts w:hint="eastAsia" w:ascii="微软雅黑" w:hAnsi="微软雅黑" w:eastAsia="微软雅黑" w:cs="微软雅黑"/>
          <w:sz w:val="24"/>
          <w:szCs w:val="24"/>
        </w:rPr>
        <w:t>”所列的所有内容进行磋商，如仅响应分包中的部分内容，其该包磋商将被认定为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4E7C705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8.3     无论</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第5章</w:t>
      </w:r>
      <w:r>
        <w:rPr>
          <w:rFonts w:hint="eastAsia" w:ascii="微软雅黑" w:hAnsi="微软雅黑" w:eastAsia="微软雅黑" w:cs="微软雅黑"/>
          <w:sz w:val="24"/>
          <w:szCs w:val="24"/>
          <w:lang w:eastAsia="zh-CN"/>
        </w:rPr>
        <w:t>工程量清单</w:t>
      </w:r>
      <w:r>
        <w:rPr>
          <w:rFonts w:hint="eastAsia" w:ascii="微软雅黑" w:hAnsi="微软雅黑" w:eastAsia="微软雅黑" w:cs="微软雅黑"/>
          <w:sz w:val="24"/>
          <w:szCs w:val="24"/>
        </w:rPr>
        <w:t>中是否要求，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所投服务均应符合国家强制性标准。</w:t>
      </w:r>
    </w:p>
    <w:p w14:paraId="651F347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8.4     除磋商文件中有特殊要求外，响应文件中所使用的计量单位，应采用中华人民共和国法定计量单位。</w:t>
      </w:r>
    </w:p>
    <w:p w14:paraId="36FC90FA">
      <w:pPr>
        <w:pStyle w:val="4"/>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135" w:name="_Ref467306195"/>
      <w:bookmarkStart w:id="136" w:name="_Toc516367022"/>
      <w:bookmarkStart w:id="137" w:name="_Ref467306676"/>
      <w:bookmarkStart w:id="138" w:name="_Toc515647768"/>
      <w:bookmarkStart w:id="139" w:name="_Toc13837"/>
      <w:bookmarkStart w:id="140" w:name="_Toc16896"/>
      <w:bookmarkStart w:id="141" w:name="_Toc10364"/>
      <w:bookmarkStart w:id="142" w:name="_Toc19752"/>
      <w:bookmarkStart w:id="143" w:name="_Toc14931"/>
      <w:bookmarkStart w:id="144" w:name="_Toc28307"/>
      <w:bookmarkStart w:id="145" w:name="_Toc8989"/>
      <w:bookmarkStart w:id="146" w:name="_Toc520356152"/>
      <w:bookmarkStart w:id="147" w:name="_Toc3006"/>
      <w:bookmarkStart w:id="148" w:name="_Toc26502"/>
      <w:bookmarkStart w:id="149" w:name="_Toc2709"/>
      <w:bookmarkStart w:id="150" w:name="_Toc2582"/>
      <w:bookmarkStart w:id="151" w:name="_Toc28670"/>
      <w:r>
        <w:rPr>
          <w:rFonts w:hint="eastAsia" w:ascii="微软雅黑" w:hAnsi="微软雅黑" w:eastAsia="微软雅黑" w:cs="微软雅黑"/>
          <w:sz w:val="24"/>
          <w:szCs w:val="24"/>
          <w:u w:color="000000"/>
        </w:rPr>
        <w:t>9.</w:t>
      </w:r>
      <w:bookmarkEnd w:id="135"/>
      <w:bookmarkEnd w:id="136"/>
      <w:bookmarkEnd w:id="137"/>
      <w:r>
        <w:rPr>
          <w:rFonts w:hint="eastAsia" w:ascii="微软雅黑" w:hAnsi="微软雅黑" w:eastAsia="微软雅黑" w:cs="微软雅黑"/>
          <w:sz w:val="24"/>
          <w:szCs w:val="24"/>
          <w:u w:color="000000"/>
        </w:rPr>
        <w:t>响应文件构成</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2149A7C">
      <w:pPr>
        <w:pageBreakBefore w:val="0"/>
        <w:tabs>
          <w:tab w:val="left" w:pos="900"/>
          <w:tab w:val="left" w:pos="5580"/>
        </w:tabs>
        <w:kinsoku/>
        <w:wordWrap/>
        <w:overflowPunct/>
        <w:topLinePunct w:val="0"/>
        <w:bidi w:val="0"/>
        <w:snapToGrid w:val="0"/>
        <w:spacing w:line="520" w:lineRule="exact"/>
        <w:ind w:left="960" w:hanging="960" w:hangingChars="400"/>
        <w:jc w:val="left"/>
        <w:textAlignment w:val="baseline"/>
        <w:rPr>
          <w:rFonts w:hint="eastAsia" w:ascii="微软雅黑" w:hAnsi="微软雅黑" w:eastAsia="微软雅黑" w:cs="微软雅黑"/>
          <w:sz w:val="24"/>
          <w:szCs w:val="24"/>
          <w:u w:val="single" w:color="000000"/>
        </w:rPr>
      </w:pPr>
      <w:bookmarkStart w:id="152" w:name="_Ref467052588"/>
      <w:r>
        <w:rPr>
          <w:rFonts w:hint="eastAsia" w:ascii="微软雅黑" w:hAnsi="微软雅黑" w:eastAsia="微软雅黑" w:cs="微软雅黑"/>
          <w:sz w:val="24"/>
          <w:szCs w:val="24"/>
        </w:rPr>
        <w:t xml:space="preserve">9.1     </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应完整地按</w:t>
      </w:r>
      <w:r>
        <w:rPr>
          <w:rFonts w:hint="eastAsia" w:ascii="微软雅黑" w:hAnsi="微软雅黑" w:eastAsia="微软雅黑" w:cs="微软雅黑"/>
          <w:b/>
          <w:bCs/>
          <w:sz w:val="24"/>
          <w:szCs w:val="24"/>
          <w:u w:val="single"/>
          <w:lang w:eastAsia="zh-CN"/>
        </w:rPr>
        <w:t>磋商文件</w:t>
      </w:r>
      <w:r>
        <w:rPr>
          <w:rFonts w:hint="eastAsia" w:ascii="微软雅黑" w:hAnsi="微软雅黑" w:eastAsia="微软雅黑" w:cs="微软雅黑"/>
          <w:b/>
          <w:bCs/>
          <w:sz w:val="24"/>
          <w:szCs w:val="24"/>
          <w:u w:val="single"/>
        </w:rPr>
        <w:t>提供的</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格式及要求编写</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，根据平台关联点上传对应佐证资料，</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应包括“</w:t>
      </w:r>
      <w:r>
        <w:rPr>
          <w:rFonts w:hint="eastAsia" w:ascii="微软雅黑" w:hAnsi="微软雅黑" w:eastAsia="微软雅黑" w:cs="微软雅黑"/>
          <w:b/>
          <w:bCs/>
          <w:sz w:val="24"/>
          <w:szCs w:val="24"/>
          <w:u w:val="single"/>
          <w:lang w:eastAsia="zh-CN"/>
        </w:rPr>
        <w:t>磋商一览表</w:t>
      </w:r>
      <w:r>
        <w:rPr>
          <w:rFonts w:hint="eastAsia" w:ascii="微软雅黑" w:hAnsi="微软雅黑" w:eastAsia="微软雅黑" w:cs="微软雅黑"/>
          <w:b/>
          <w:bCs/>
          <w:sz w:val="24"/>
          <w:szCs w:val="24"/>
          <w:u w:val="single"/>
        </w:rPr>
        <w:t>及资格证明文件”和“商务及技术文件”两部分，两部分合并成完整一册</w:t>
      </w:r>
      <w:r>
        <w:rPr>
          <w:rFonts w:hint="eastAsia" w:ascii="微软雅黑" w:hAnsi="微软雅黑" w:eastAsia="微软雅黑" w:cs="微软雅黑"/>
          <w:b/>
          <w:bCs/>
          <w:sz w:val="24"/>
          <w:szCs w:val="24"/>
          <w:u w:val="single"/>
          <w:lang w:val="en-US" w:eastAsia="zh-CN"/>
        </w:rPr>
        <w:t>经CA证书加密后上传提交</w:t>
      </w:r>
      <w:r>
        <w:rPr>
          <w:rFonts w:hint="eastAsia" w:ascii="微软雅黑" w:hAnsi="微软雅黑" w:eastAsia="微软雅黑" w:cs="微软雅黑"/>
          <w:b/>
          <w:bCs/>
          <w:sz w:val="24"/>
          <w:szCs w:val="24"/>
          <w:u w:val="single"/>
        </w:rPr>
        <w:t>至政采云平台</w:t>
      </w:r>
      <w:r>
        <w:rPr>
          <w:rFonts w:hint="eastAsia" w:ascii="微软雅黑" w:hAnsi="微软雅黑" w:eastAsia="微软雅黑" w:cs="微软雅黑"/>
          <w:b/>
          <w:bCs/>
          <w:sz w:val="24"/>
          <w:szCs w:val="24"/>
          <w:u w:val="single"/>
          <w:lang w:val="en-US" w:eastAsia="zh-CN"/>
        </w:rPr>
        <w:t>（严格按照政采云电子投标流程制作并上传电子响应文件）。</w:t>
      </w:r>
    </w:p>
    <w:p w14:paraId="71FD1818">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9.2    上述文件应按照磋商文件规定的格式填写、签署和盖章。</w:t>
      </w:r>
      <w:bookmarkEnd w:id="152"/>
    </w:p>
    <w:p w14:paraId="6A5986F6">
      <w:pPr>
        <w:pStyle w:val="4"/>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153" w:name="_Toc4291"/>
      <w:bookmarkStart w:id="154" w:name="_Toc18944"/>
      <w:bookmarkStart w:id="155" w:name="_Toc15064"/>
      <w:bookmarkStart w:id="156" w:name="_Toc515647769"/>
      <w:bookmarkStart w:id="157" w:name="_Toc6860"/>
      <w:bookmarkStart w:id="158" w:name="_Toc25631"/>
      <w:bookmarkStart w:id="159" w:name="_Toc870"/>
      <w:bookmarkStart w:id="160" w:name="_Toc4601"/>
      <w:bookmarkStart w:id="161" w:name="_Toc5860"/>
      <w:bookmarkStart w:id="162" w:name="_Toc520356153"/>
      <w:bookmarkStart w:id="163" w:name="_Toc516367023"/>
      <w:bookmarkStart w:id="164" w:name="_Toc8626"/>
      <w:bookmarkStart w:id="165" w:name="_Toc10379"/>
      <w:bookmarkStart w:id="166" w:name="_Toc28330"/>
      <w:bookmarkStart w:id="167" w:name="_Toc32014"/>
      <w:r>
        <w:rPr>
          <w:rFonts w:hint="eastAsia" w:ascii="微软雅黑" w:hAnsi="微软雅黑" w:eastAsia="微软雅黑" w:cs="微软雅黑"/>
          <w:sz w:val="24"/>
          <w:szCs w:val="24"/>
          <w:u w:val="none" w:color="auto"/>
        </w:rPr>
        <w:t>10.</w:t>
      </w:r>
      <w:r>
        <w:rPr>
          <w:rFonts w:hint="eastAsia" w:ascii="微软雅黑" w:hAnsi="微软雅黑" w:eastAsia="微软雅黑" w:cs="微软雅黑"/>
          <w:sz w:val="24"/>
          <w:szCs w:val="24"/>
          <w:u w:val="none" w:color="auto"/>
        </w:rPr>
        <w:tab/>
      </w:r>
      <w:r>
        <w:rPr>
          <w:rFonts w:hint="eastAsia" w:ascii="微软雅黑" w:hAnsi="微软雅黑" w:eastAsia="微软雅黑" w:cs="微软雅黑"/>
          <w:sz w:val="24"/>
          <w:szCs w:val="24"/>
          <w:u w:val="none" w:color="auto"/>
        </w:rPr>
        <w:t>证明磋商标的的合格性和符合磋商文件规定的技术文件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29270B4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10.1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应提交证明文件，证明其磋商内容符合磋商文件规定。该证明文件是响应文件的一部分。</w:t>
      </w:r>
    </w:p>
    <w:p w14:paraId="4391229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bookmarkStart w:id="168" w:name="_Ref467306244"/>
      <w:r>
        <w:rPr>
          <w:rFonts w:hint="eastAsia" w:ascii="微软雅黑" w:hAnsi="微软雅黑" w:eastAsia="微软雅黑" w:cs="微软雅黑"/>
          <w:sz w:val="24"/>
          <w:szCs w:val="24"/>
        </w:rPr>
        <w:t>10.2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上款所述的证明文件，可以是文字资料、图纸和数据，</w:t>
      </w:r>
      <w:bookmarkEnd w:id="168"/>
      <w:r>
        <w:rPr>
          <w:rFonts w:hint="eastAsia" w:ascii="微软雅黑" w:hAnsi="微软雅黑" w:eastAsia="微软雅黑" w:cs="微软雅黑"/>
          <w:sz w:val="24"/>
          <w:szCs w:val="24"/>
        </w:rPr>
        <w:t>它包括：</w:t>
      </w:r>
    </w:p>
    <w:p w14:paraId="214E410B">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169" w:name="_Toc6864"/>
      <w:bookmarkStart w:id="170" w:name="_Toc23231"/>
      <w:bookmarkStart w:id="171" w:name="_Toc5859"/>
      <w:bookmarkStart w:id="172" w:name="_Toc7506"/>
      <w:bookmarkStart w:id="173" w:name="_Toc4935"/>
      <w:bookmarkStart w:id="174" w:name="_Toc9025"/>
      <w:bookmarkStart w:id="175" w:name="_Toc5239"/>
      <w:bookmarkStart w:id="176" w:name="_Toc2248"/>
      <w:bookmarkStart w:id="177" w:name="_Toc16854"/>
      <w:bookmarkStart w:id="178" w:name="_Toc15870"/>
      <w:bookmarkStart w:id="179" w:name="_Toc27117"/>
      <w:bookmarkStart w:id="180" w:name="_Toc520356155"/>
      <w:bookmarkStart w:id="181" w:name="_Toc7688"/>
      <w:bookmarkStart w:id="182" w:name="_Toc515647770"/>
      <w:r>
        <w:rPr>
          <w:rFonts w:hint="eastAsia" w:ascii="微软雅黑" w:hAnsi="微软雅黑" w:eastAsia="微软雅黑" w:cs="微软雅黑"/>
          <w:sz w:val="24"/>
          <w:szCs w:val="24"/>
          <w:u w:val="none" w:color="auto"/>
        </w:rPr>
        <w:t>11.磋商报价</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51A875C">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bookmarkStart w:id="183" w:name="_Toc1651"/>
      <w:bookmarkStart w:id="184" w:name="_Toc9763"/>
      <w:bookmarkStart w:id="185" w:name="_Toc16693"/>
      <w:bookmarkStart w:id="186" w:name="_Ref467306513"/>
      <w:bookmarkStart w:id="187" w:name="_Toc11514"/>
      <w:bookmarkStart w:id="188" w:name="_Toc20519"/>
      <w:bookmarkStart w:id="189" w:name="_Toc29901"/>
      <w:bookmarkStart w:id="190" w:name="_Toc8505"/>
      <w:bookmarkStart w:id="191" w:name="_Toc17788"/>
      <w:bookmarkStart w:id="192" w:name="_Toc5302"/>
      <w:bookmarkStart w:id="193" w:name="_Toc31526"/>
      <w:bookmarkStart w:id="194" w:name="_Toc520356156"/>
      <w:bookmarkStart w:id="195" w:name="_Toc515647771"/>
      <w:bookmarkStart w:id="196" w:name="_Toc30640"/>
      <w:bookmarkStart w:id="197" w:name="_Toc19405"/>
      <w:r>
        <w:rPr>
          <w:rFonts w:hint="eastAsia" w:ascii="微软雅黑" w:hAnsi="微软雅黑" w:eastAsia="微软雅黑" w:cs="微软雅黑"/>
          <w:sz w:val="24"/>
          <w:szCs w:val="24"/>
        </w:rPr>
        <w:t>11.1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所有响应文件均以人民币报价。</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的磋商报价应遵守《中华人民共和国价格法》。同时，根据《中华人民共和国政府采购法》第二条的规定，为保证公平竞争，如有主体磋商标的的赠与行为，其磋商将被认定为磋商无效。</w:t>
      </w:r>
    </w:p>
    <w:p w14:paraId="6CF12F5A">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11.2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highlight w:val="none"/>
          <w:lang w:eastAsia="zh-CN"/>
        </w:rPr>
        <w:t>供应商</w:t>
      </w:r>
      <w:r>
        <w:rPr>
          <w:rFonts w:hint="eastAsia" w:ascii="微软雅黑" w:hAnsi="微软雅黑" w:eastAsia="微软雅黑" w:cs="微软雅黑"/>
          <w:sz w:val="24"/>
          <w:szCs w:val="24"/>
          <w:highlight w:val="none"/>
        </w:rPr>
        <w:t>应在标的分项报价表上标明分项服务的价格（如适用）和总价，并由法定代表人或其委托代理人签署。</w:t>
      </w:r>
    </w:p>
    <w:p w14:paraId="2E2043DC">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11.3</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不接受具有附加条件的报价。</w:t>
      </w:r>
    </w:p>
    <w:p w14:paraId="025BB101">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11.4</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所报的各分项磋商报价在合同履行过程中是固定不变的，不得以任何理由予以变更。任何包含价格调整要求的磋商，将被认定为磋商无效。</w:t>
      </w:r>
    </w:p>
    <w:p w14:paraId="7E01008F">
      <w:pPr>
        <w:pageBreakBefore w:val="0"/>
        <w:kinsoku/>
        <w:wordWrap/>
        <w:overflowPunct/>
        <w:topLinePunct w:val="0"/>
        <w:bidi w:val="0"/>
        <w:spacing w:line="520" w:lineRule="exact"/>
        <w:ind w:left="900" w:hanging="900" w:hangingChars="375"/>
        <w:rPr>
          <w:rFonts w:hint="eastAsia" w:ascii="微软雅黑" w:hAnsi="微软雅黑" w:eastAsia="微软雅黑" w:cs="微软雅黑"/>
          <w:b/>
          <w:bCs/>
          <w:sz w:val="24"/>
          <w:szCs w:val="24"/>
          <w:u w:val="single"/>
        </w:rPr>
      </w:pPr>
      <w:r>
        <w:rPr>
          <w:rFonts w:hint="eastAsia" w:ascii="微软雅黑" w:hAnsi="微软雅黑" w:eastAsia="微软雅黑" w:cs="微软雅黑"/>
          <w:sz w:val="24"/>
          <w:szCs w:val="24"/>
        </w:rPr>
        <w:t xml:space="preserve">11.5   </w:t>
      </w:r>
      <w:r>
        <w:rPr>
          <w:rFonts w:hint="eastAsia" w:ascii="微软雅黑" w:hAnsi="微软雅黑" w:eastAsia="微软雅黑" w:cs="微软雅黑"/>
          <w:b/>
          <w:bCs/>
          <w:sz w:val="24"/>
          <w:szCs w:val="24"/>
          <w:u w:val="single"/>
        </w:rPr>
        <w:t>竞争性磋商共有两次报价，二次报价为最终报价，磋商小组所有成员集中与单一</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分别进行磋商，并给予所有参加磋商的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平等的磋商机会， 磋商小组要求所有实质性响应的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在规定时间内提交最后报价，最后报价是</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响应文件的有效组成部分，经磋商确定最终采购需求和提交最后报价的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后，由磋商小组采用综合评分法对提交最后报价的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的响应文件和最后报价进行综合评分。磋商小组应当从质量和服务均能满足采购文件实质性响应要求的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中，按照综合评分由高到低的顺序提出成交候选人，并编写评审报告，将结果通知所有参加磋商的未成交的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w:t>
      </w:r>
    </w:p>
    <w:p w14:paraId="08728F4C">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r>
        <w:rPr>
          <w:rFonts w:hint="eastAsia" w:ascii="微软雅黑" w:hAnsi="微软雅黑" w:eastAsia="微软雅黑" w:cs="微软雅黑"/>
          <w:sz w:val="24"/>
          <w:szCs w:val="24"/>
          <w:u w:val="none" w:color="auto"/>
        </w:rPr>
        <w:t>12.磋商保证金</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342E398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bookmarkStart w:id="198" w:name="_Ref467306302"/>
      <w:r>
        <w:rPr>
          <w:rFonts w:hint="eastAsia" w:ascii="微软雅黑" w:hAnsi="微软雅黑" w:eastAsia="微软雅黑" w:cs="微软雅黑"/>
          <w:sz w:val="24"/>
          <w:szCs w:val="24"/>
        </w:rPr>
        <w:t>12.1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应提交</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中规定的磋商保证金</w:t>
      </w:r>
      <w:bookmarkEnd w:id="198"/>
      <w:r>
        <w:rPr>
          <w:rFonts w:hint="eastAsia" w:ascii="微软雅黑" w:hAnsi="微软雅黑" w:eastAsia="微软雅黑" w:cs="微软雅黑"/>
          <w:sz w:val="24"/>
          <w:szCs w:val="24"/>
        </w:rPr>
        <w:t>，并作为其磋商的一部分。</w:t>
      </w:r>
    </w:p>
    <w:p w14:paraId="41E892E0">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存在下列情形的，磋商保证金不予退还：</w:t>
      </w:r>
    </w:p>
    <w:p w14:paraId="228E36DE">
      <w:pPr>
        <w:pStyle w:val="17"/>
        <w:pageBreakBefore w:val="0"/>
        <w:tabs>
          <w:tab w:val="left" w:pos="2240"/>
        </w:tabs>
        <w:kinsoku/>
        <w:wordWrap/>
        <w:overflowPunct/>
        <w:topLinePunct w:val="0"/>
        <w:bidi w:val="0"/>
        <w:snapToGrid w:val="0"/>
        <w:spacing w:line="520" w:lineRule="exact"/>
        <w:ind w:left="300" w:hanging="300" w:hangingChars="1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（1）在磋商有效期内，撤销磋商的；</w:t>
      </w:r>
    </w:p>
    <w:p w14:paraId="2D11755A">
      <w:pPr>
        <w:pStyle w:val="17"/>
        <w:pageBreakBefore w:val="0"/>
        <w:tabs>
          <w:tab w:val="left" w:pos="2240"/>
        </w:tabs>
        <w:kinsoku/>
        <w:wordWrap/>
        <w:overflowPunct/>
        <w:topLinePunct w:val="0"/>
        <w:bidi w:val="0"/>
        <w:snapToGrid w:val="0"/>
        <w:spacing w:line="520" w:lineRule="exact"/>
        <w:ind w:left="300" w:hanging="300" w:hangingChars="1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（2）成交后不按本须知第30条的规定与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签订合同的；</w:t>
      </w:r>
    </w:p>
    <w:p w14:paraId="63C6BD85">
      <w:pPr>
        <w:pStyle w:val="17"/>
        <w:pageBreakBefore w:val="0"/>
        <w:tabs>
          <w:tab w:val="left" w:pos="2240"/>
        </w:tabs>
        <w:kinsoku/>
        <w:wordWrap/>
        <w:overflowPunct/>
        <w:topLinePunct w:val="0"/>
        <w:bidi w:val="0"/>
        <w:snapToGrid w:val="0"/>
        <w:spacing w:line="520" w:lineRule="exact"/>
        <w:ind w:left="300" w:hanging="300" w:hangingChars="1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（3）成交后不按本须知第31条的规定提交履约保证金的；</w:t>
      </w:r>
    </w:p>
    <w:p w14:paraId="0144E44B">
      <w:pPr>
        <w:pStyle w:val="17"/>
        <w:pageBreakBefore w:val="0"/>
        <w:tabs>
          <w:tab w:val="left" w:pos="2240"/>
        </w:tabs>
        <w:kinsoku/>
        <w:wordWrap/>
        <w:overflowPunct/>
        <w:topLinePunct w:val="0"/>
        <w:bidi w:val="0"/>
        <w:snapToGrid w:val="0"/>
        <w:spacing w:line="520" w:lineRule="exact"/>
        <w:ind w:left="300" w:hanging="300" w:hangingChars="1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（4）成交后不按本须知第32条的规定缴纳成交代理费的；</w:t>
      </w:r>
    </w:p>
    <w:p w14:paraId="5BF8C007">
      <w:pPr>
        <w:pStyle w:val="17"/>
        <w:pageBreakBefore w:val="0"/>
        <w:tabs>
          <w:tab w:val="left" w:pos="2240"/>
        </w:tabs>
        <w:kinsoku/>
        <w:wordWrap/>
        <w:overflowPunct/>
        <w:topLinePunct w:val="0"/>
        <w:bidi w:val="0"/>
        <w:snapToGrid w:val="0"/>
        <w:spacing w:line="520" w:lineRule="exact"/>
        <w:ind w:left="300" w:hanging="300" w:hangingChars="1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（5）存在其他违法违规行为的。</w:t>
      </w:r>
    </w:p>
    <w:p w14:paraId="4D89D88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bookmarkStart w:id="199" w:name="_Ref467306336"/>
      <w:r>
        <w:rPr>
          <w:rFonts w:hint="eastAsia" w:ascii="微软雅黑" w:hAnsi="微软雅黑" w:eastAsia="微软雅黑" w:cs="微软雅黑"/>
          <w:sz w:val="24"/>
          <w:szCs w:val="24"/>
        </w:rPr>
        <w:t>12.3</w:t>
      </w:r>
      <w:r>
        <w:rPr>
          <w:rFonts w:hint="eastAsia" w:ascii="微软雅黑" w:hAnsi="微软雅黑" w:eastAsia="微软雅黑" w:cs="微软雅黑"/>
          <w:sz w:val="24"/>
          <w:szCs w:val="24"/>
        </w:rPr>
        <w:tab/>
      </w:r>
      <w:bookmarkEnd w:id="199"/>
      <w:r>
        <w:rPr>
          <w:rFonts w:hint="eastAsia" w:ascii="微软雅黑" w:hAnsi="微软雅黑" w:eastAsia="微软雅黑" w:cs="微软雅黑"/>
          <w:sz w:val="24"/>
          <w:szCs w:val="24"/>
        </w:rPr>
        <w:t>政府采购信用担保试点范围内的项目，接受符合财政部门规定的政府采购磋商担保函原件。</w:t>
      </w:r>
    </w:p>
    <w:p w14:paraId="769603D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12.4</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未按本须知第12.1和12.3条规定提交磋商保证金的，其磋商将被认定为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73825C3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12.4.1  采用电汇形式的，一般可以实时入账。</w:t>
      </w:r>
    </w:p>
    <w:p w14:paraId="59FC50F9">
      <w:pPr>
        <w:pageBreakBefore w:val="0"/>
        <w:kinsoku/>
        <w:wordWrap/>
        <w:overflowPunct/>
        <w:topLinePunct w:val="0"/>
        <w:bidi w:val="0"/>
        <w:snapToGrid w:val="0"/>
        <w:spacing w:line="520" w:lineRule="exact"/>
        <w:ind w:left="960" w:hanging="960" w:hangingChars="4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12.4.2  采用支票形式的，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则应充分考虑支票入账时间，以确保磋商保证金能按时进入指定账户。根据银行信息交换和付款时间，支票从递交至实际入账一般需要4-5个工作日。如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未及时提交支票或支票不符合银行委托收款要求（如污损、折叠、胶装等），导致磋商保证金不能按时进入指定账户的，将按照磋商文件的第22.2条相关规定处理。</w:t>
      </w:r>
    </w:p>
    <w:p w14:paraId="55DE4506">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12.5   联合体磋商的，可以由联合体中的一方或者共同提交磋商保证金。以一方名义提交磋商保证金的，对联合体各方均具有约束力。</w:t>
      </w:r>
    </w:p>
    <w:p w14:paraId="02D8ECA0">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12.6</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磋商保证金的退还</w:t>
      </w:r>
    </w:p>
    <w:p w14:paraId="1C53F4BB">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12.6.1  成交人应在与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签订合同之日起5个工作日内，及时联系保证金收受机构办理磋商保证金无息退还手续。</w:t>
      </w:r>
    </w:p>
    <w:p w14:paraId="3BCD0706">
      <w:pPr>
        <w:pageBreakBefore w:val="0"/>
        <w:kinsoku/>
        <w:wordWrap/>
        <w:overflowPunct/>
        <w:topLinePunct w:val="0"/>
        <w:bidi w:val="0"/>
        <w:snapToGrid w:val="0"/>
        <w:spacing w:line="520" w:lineRule="exact"/>
        <w:ind w:left="960" w:hanging="960" w:hangingChars="4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12.6.2  未成交</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的磋商保证金将在成交通知书发出之日暨成交结果公告公布之日起5个工作日内无息退还。</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应及时联系保证金收受机构办理退还磋商保证金手续。</w:t>
      </w:r>
    </w:p>
    <w:p w14:paraId="416C0FD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12.6.3  政府采购磋商担保函不予退回。</w:t>
      </w:r>
    </w:p>
    <w:p w14:paraId="5448B9FF">
      <w:pPr>
        <w:pageBreakBefore w:val="0"/>
        <w:kinsoku/>
        <w:wordWrap/>
        <w:overflowPunct/>
        <w:topLinePunct w:val="0"/>
        <w:bidi w:val="0"/>
        <w:snapToGrid w:val="0"/>
        <w:spacing w:line="520" w:lineRule="exact"/>
        <w:ind w:left="960" w:hanging="960" w:hangingChars="4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12.7    因</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自身原因导致无法及时退还的，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将不承担相应责任。</w:t>
      </w:r>
    </w:p>
    <w:p w14:paraId="0A7D7C68">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200" w:name="_Toc23590"/>
      <w:bookmarkStart w:id="201" w:name="_Toc515647772"/>
      <w:bookmarkStart w:id="202" w:name="_Toc20387"/>
      <w:bookmarkStart w:id="203" w:name="_Toc32569"/>
      <w:bookmarkStart w:id="204" w:name="_Toc8146"/>
      <w:bookmarkStart w:id="205" w:name="_Toc29124"/>
      <w:bookmarkStart w:id="206" w:name="_Toc520356157"/>
      <w:bookmarkStart w:id="207" w:name="_Toc13463"/>
      <w:bookmarkStart w:id="208" w:name="_Toc3815"/>
      <w:bookmarkStart w:id="209" w:name="_Toc277"/>
      <w:bookmarkStart w:id="210" w:name="_Toc325"/>
      <w:bookmarkStart w:id="211" w:name="_Toc12769"/>
      <w:bookmarkStart w:id="212" w:name="_Toc1400"/>
      <w:bookmarkStart w:id="213" w:name="_Toc21509"/>
      <w:r>
        <w:rPr>
          <w:rFonts w:hint="eastAsia" w:ascii="微软雅黑" w:hAnsi="微软雅黑" w:eastAsia="微软雅黑" w:cs="微软雅黑"/>
          <w:sz w:val="24"/>
          <w:szCs w:val="24"/>
          <w:u w:val="none" w:color="auto"/>
        </w:rPr>
        <w:t>13.磋商有效期</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228EE2C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磋商应在</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中规定时间内保持有效。磋商有效期不满足要求的磋商，其磋商将被认定为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572BE7BB">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为保证有充分时间签订合同，</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可根据实际情况，在原磋商有效期截止之前，要求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延长响应文件的有效期。接受该要求的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将不会被要求和允许修正其磋商，且本须知中有关磋商保证金的要求须在延长的有效期内继续有效。</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可以拒绝延长磋商有效期的要求，其磋商保证金将及时无息退还。上述要求和答复都应以书面形式提交。</w:t>
      </w:r>
    </w:p>
    <w:p w14:paraId="52872157">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214" w:name="_Toc520356158"/>
      <w:bookmarkStart w:id="215" w:name="_Toc4551"/>
      <w:bookmarkStart w:id="216" w:name="_Toc13016"/>
      <w:bookmarkStart w:id="217" w:name="_Toc540"/>
      <w:bookmarkStart w:id="218" w:name="_Toc26606"/>
      <w:bookmarkStart w:id="219" w:name="_Toc24880"/>
      <w:bookmarkStart w:id="220" w:name="_Toc19311"/>
      <w:bookmarkStart w:id="221" w:name="_Toc28395"/>
      <w:bookmarkStart w:id="222" w:name="_Toc515647773"/>
      <w:bookmarkStart w:id="223" w:name="_Toc17074"/>
      <w:bookmarkStart w:id="224" w:name="_Toc493"/>
      <w:bookmarkStart w:id="225" w:name="_Toc14581"/>
      <w:bookmarkStart w:id="226" w:name="_Toc29649"/>
      <w:bookmarkStart w:id="227" w:name="_Toc21843"/>
      <w:r>
        <w:rPr>
          <w:rFonts w:hint="eastAsia" w:ascii="微软雅黑" w:hAnsi="微软雅黑" w:eastAsia="微软雅黑" w:cs="微软雅黑"/>
          <w:sz w:val="24"/>
          <w:szCs w:val="24"/>
          <w:u w:val="none" w:color="auto"/>
        </w:rPr>
        <w:t>14.响应文件的签署</w:t>
      </w:r>
      <w:bookmarkEnd w:id="214"/>
      <w:r>
        <w:rPr>
          <w:rFonts w:hint="eastAsia" w:ascii="微软雅黑" w:hAnsi="微软雅黑" w:eastAsia="微软雅黑" w:cs="微软雅黑"/>
          <w:sz w:val="24"/>
          <w:szCs w:val="24"/>
          <w:u w:val="none" w:color="auto"/>
        </w:rPr>
        <w:t>及规定</w:t>
      </w:r>
      <w:bookmarkEnd w:id="215"/>
      <w:bookmarkEnd w:id="216"/>
      <w:bookmarkEnd w:id="217"/>
      <w:bookmarkEnd w:id="218"/>
      <w:bookmarkEnd w:id="219"/>
      <w:bookmarkEnd w:id="220"/>
      <w:bookmarkEnd w:id="221"/>
      <w:bookmarkEnd w:id="222"/>
      <w:bookmarkEnd w:id="223"/>
      <w:bookmarkEnd w:id="224"/>
      <w:bookmarkEnd w:id="225"/>
      <w:bookmarkEnd w:id="226"/>
      <w:bookmarkEnd w:id="227"/>
    </w:p>
    <w:p w14:paraId="3AF91DEB">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bookmarkStart w:id="228" w:name="_Toc16865"/>
      <w:bookmarkStart w:id="229" w:name="_Toc3461"/>
      <w:bookmarkStart w:id="230" w:name="_Toc216582808"/>
      <w:bookmarkStart w:id="231" w:name="_Toc11179"/>
      <w:bookmarkStart w:id="232" w:name="_Toc32551"/>
      <w:bookmarkStart w:id="233" w:name="_Toc8711"/>
      <w:bookmarkStart w:id="234" w:name="_Toc520356159"/>
      <w:bookmarkStart w:id="235" w:name="_Toc515647774"/>
      <w:r>
        <w:rPr>
          <w:rFonts w:hint="eastAsia" w:ascii="微软雅黑" w:hAnsi="微软雅黑" w:eastAsia="微软雅黑" w:cs="微软雅黑"/>
          <w:sz w:val="24"/>
          <w:szCs w:val="24"/>
        </w:rPr>
        <w:t>14.1</w:t>
      </w:r>
      <w:r>
        <w:rPr>
          <w:rFonts w:hint="eastAsia" w:ascii="微软雅黑" w:hAnsi="微软雅黑" w:eastAsia="微软雅黑" w:cs="微软雅黑"/>
          <w:sz w:val="24"/>
          <w:szCs w:val="24"/>
        </w:rPr>
        <w:tab/>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应按</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须知资料表中的规定，准备和</w:t>
      </w:r>
      <w:r>
        <w:rPr>
          <w:rFonts w:hint="eastAsia" w:ascii="微软雅黑" w:hAnsi="微软雅黑" w:eastAsia="微软雅黑" w:cs="微软雅黑"/>
          <w:color w:val="auto"/>
          <w:sz w:val="24"/>
          <w:szCs w:val="24"/>
          <w:highlight w:val="none"/>
          <w:lang w:val="en-US" w:eastAsia="zh-CN"/>
        </w:rPr>
        <w:t>上传</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sz w:val="24"/>
          <w:szCs w:val="24"/>
        </w:rPr>
        <w:t>。</w:t>
      </w:r>
    </w:p>
    <w:p w14:paraId="345B7E2A">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14.2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由</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的法定代表人或经其正式委托代理人按</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规定在</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上签字或盖章并加盖单位印章。委托代理人须有书面的“法定代表人授权委托书”，并将其附在</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中。如对</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进行了修改，则应由</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的法定代表人或其委托代理人在每一修改处签字。</w:t>
      </w:r>
    </w:p>
    <w:p w14:paraId="1C0AD559">
      <w:pPr>
        <w:pageBreakBefore w:val="0"/>
        <w:kinsoku/>
        <w:wordWrap/>
        <w:overflowPunct/>
        <w:topLinePunct w:val="0"/>
        <w:bidi w:val="0"/>
        <w:spacing w:line="520" w:lineRule="exact"/>
        <w:ind w:left="900" w:hanging="900" w:hangingChars="375"/>
        <w:jc w:val="both"/>
        <w:outlineLvl w:val="1"/>
        <w:rPr>
          <w:rFonts w:hint="eastAsia" w:ascii="微软雅黑" w:hAnsi="微软雅黑" w:eastAsia="微软雅黑" w:cs="微软雅黑"/>
          <w:sz w:val="24"/>
          <w:szCs w:val="24"/>
        </w:rPr>
      </w:pPr>
      <w:bookmarkStart w:id="236" w:name="_Toc9747"/>
      <w:bookmarkStart w:id="237" w:name="_Toc20576"/>
      <w:bookmarkStart w:id="238" w:name="_Toc13050"/>
      <w:bookmarkStart w:id="239" w:name="_Toc1384"/>
      <w:bookmarkStart w:id="240" w:name="_Toc21045"/>
      <w:r>
        <w:rPr>
          <w:rFonts w:hint="eastAsia" w:ascii="微软雅黑" w:hAnsi="微软雅黑" w:eastAsia="微软雅黑" w:cs="微软雅黑"/>
          <w:sz w:val="24"/>
          <w:szCs w:val="24"/>
        </w:rPr>
        <w:t>14.3  响应文件因字迹潦草、表达不清所引起的后果由</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负责</w:t>
      </w:r>
      <w:bookmarkEnd w:id="236"/>
      <w:bookmarkEnd w:id="237"/>
      <w:bookmarkEnd w:id="238"/>
      <w:bookmarkEnd w:id="239"/>
      <w:bookmarkEnd w:id="240"/>
    </w:p>
    <w:p w14:paraId="12CBBE8A">
      <w:pPr>
        <w:pageBreakBefore w:val="0"/>
        <w:kinsoku/>
        <w:wordWrap/>
        <w:overflowPunct/>
        <w:topLinePunct w:val="0"/>
        <w:bidi w:val="0"/>
        <w:spacing w:line="520" w:lineRule="exact"/>
        <w:ind w:left="900" w:hanging="900" w:hangingChars="375"/>
        <w:jc w:val="both"/>
        <w:outlineLvl w:val="9"/>
        <w:rPr>
          <w:rFonts w:hint="eastAsia" w:ascii="微软雅黑" w:hAnsi="微软雅黑" w:eastAsia="微软雅黑" w:cs="微软雅黑"/>
          <w:sz w:val="24"/>
          <w:szCs w:val="24"/>
        </w:rPr>
      </w:pPr>
    </w:p>
    <w:p w14:paraId="5D757066">
      <w:pPr>
        <w:pageBreakBefore w:val="0"/>
        <w:kinsoku/>
        <w:wordWrap/>
        <w:overflowPunct/>
        <w:topLinePunct w:val="0"/>
        <w:bidi w:val="0"/>
        <w:spacing w:line="520" w:lineRule="exact"/>
        <w:ind w:left="900" w:hanging="900" w:hangingChars="375"/>
        <w:jc w:val="center"/>
        <w:outlineLvl w:val="1"/>
        <w:rPr>
          <w:rFonts w:hint="eastAsia" w:ascii="微软雅黑" w:hAnsi="微软雅黑" w:eastAsia="微软雅黑" w:cs="微软雅黑"/>
          <w:sz w:val="24"/>
          <w:szCs w:val="24"/>
        </w:rPr>
      </w:pPr>
      <w:bookmarkStart w:id="241" w:name="_Toc19554"/>
      <w:r>
        <w:rPr>
          <w:rFonts w:hint="eastAsia" w:ascii="微软雅黑" w:hAnsi="微软雅黑" w:eastAsia="微软雅黑" w:cs="微软雅黑"/>
          <w:b/>
          <w:sz w:val="24"/>
          <w:szCs w:val="24"/>
        </w:rPr>
        <w:t>四   响应文件的递交</w:t>
      </w:r>
      <w:bookmarkEnd w:id="228"/>
      <w:bookmarkEnd w:id="229"/>
      <w:bookmarkEnd w:id="230"/>
      <w:bookmarkEnd w:id="231"/>
      <w:bookmarkEnd w:id="232"/>
      <w:bookmarkEnd w:id="233"/>
      <w:bookmarkEnd w:id="234"/>
      <w:bookmarkEnd w:id="235"/>
      <w:bookmarkEnd w:id="241"/>
    </w:p>
    <w:p w14:paraId="2BCBDE88">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lang w:eastAsia="zh-CN"/>
        </w:rPr>
      </w:pPr>
      <w:bookmarkStart w:id="242" w:name="_Toc6188"/>
      <w:bookmarkStart w:id="243" w:name="_Toc32337"/>
      <w:bookmarkStart w:id="244" w:name="_Toc13617"/>
      <w:bookmarkStart w:id="245" w:name="_Toc9759"/>
      <w:bookmarkStart w:id="246" w:name="_Toc520356160"/>
      <w:bookmarkStart w:id="247" w:name="_Toc22380"/>
      <w:bookmarkStart w:id="248" w:name="_Toc24069"/>
      <w:bookmarkStart w:id="249" w:name="_Toc30799"/>
      <w:bookmarkStart w:id="250" w:name="_Toc515647775"/>
      <w:bookmarkStart w:id="251" w:name="_Toc16507"/>
      <w:bookmarkStart w:id="252" w:name="_Toc1332"/>
      <w:bookmarkStart w:id="253" w:name="_Toc415"/>
      <w:bookmarkStart w:id="254" w:name="_Toc6764"/>
      <w:bookmarkStart w:id="255" w:name="_Toc21645"/>
      <w:r>
        <w:rPr>
          <w:rFonts w:hint="eastAsia" w:ascii="微软雅黑" w:hAnsi="微软雅黑" w:eastAsia="微软雅黑" w:cs="微软雅黑"/>
          <w:sz w:val="24"/>
          <w:szCs w:val="24"/>
          <w:u w:val="none" w:color="auto"/>
        </w:rPr>
        <w:t>15.响应文件的密封和标记</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hint="eastAsia" w:ascii="微软雅黑" w:hAnsi="微软雅黑" w:eastAsia="微软雅黑" w:cs="微软雅黑"/>
          <w:sz w:val="24"/>
          <w:szCs w:val="24"/>
          <w:u w:val="none" w:color="auto"/>
          <w:lang w:eastAsia="zh-CN"/>
        </w:rPr>
        <w:t>（全面电子化开评标）</w:t>
      </w:r>
    </w:p>
    <w:p w14:paraId="2FAABB7D">
      <w:pPr>
        <w:pageBreakBefore w:val="0"/>
        <w:kinsoku/>
        <w:wordWrap/>
        <w:overflowPunct/>
        <w:topLinePunct w:val="0"/>
        <w:bidi w:val="0"/>
        <w:spacing w:line="520" w:lineRule="exact"/>
        <w:ind w:left="900" w:hanging="900" w:hangingChars="375"/>
        <w:jc w:val="left"/>
        <w:rPr>
          <w:rFonts w:hint="eastAsia" w:ascii="微软雅黑" w:hAnsi="微软雅黑" w:eastAsia="微软雅黑" w:cs="微软雅黑"/>
          <w:b/>
          <w:bCs/>
          <w:sz w:val="24"/>
          <w:szCs w:val="24"/>
          <w:u w:val="single"/>
          <w:lang w:val="en-US" w:eastAsia="zh-CN"/>
        </w:rPr>
      </w:pPr>
      <w:r>
        <w:rPr>
          <w:rFonts w:hint="eastAsia" w:ascii="微软雅黑" w:hAnsi="微软雅黑" w:eastAsia="微软雅黑" w:cs="微软雅黑"/>
          <w:sz w:val="24"/>
          <w:szCs w:val="24"/>
        </w:rPr>
        <w:t xml:space="preserve">15.1   </w:t>
      </w:r>
      <w:r>
        <w:rPr>
          <w:rFonts w:hint="eastAsia" w:ascii="微软雅黑" w:hAnsi="微软雅黑" w:eastAsia="微软雅黑" w:cs="微软雅黑"/>
          <w:b/>
          <w:bCs/>
          <w:sz w:val="24"/>
          <w:szCs w:val="24"/>
          <w:u w:val="single"/>
        </w:rPr>
        <w:t>为方便</w:t>
      </w:r>
      <w:r>
        <w:rPr>
          <w:rFonts w:hint="eastAsia" w:ascii="微软雅黑" w:hAnsi="微软雅黑" w:eastAsia="微软雅黑" w:cs="微软雅黑"/>
          <w:b/>
          <w:bCs/>
          <w:sz w:val="24"/>
          <w:szCs w:val="24"/>
          <w:u w:val="single"/>
          <w:lang w:val="en-US" w:eastAsia="zh-CN"/>
        </w:rPr>
        <w:t>评审</w:t>
      </w:r>
      <w:r>
        <w:rPr>
          <w:rFonts w:hint="eastAsia" w:ascii="微软雅黑" w:hAnsi="微软雅黑" w:eastAsia="微软雅黑" w:cs="微软雅黑"/>
          <w:b/>
          <w:bCs/>
          <w:sz w:val="24"/>
          <w:szCs w:val="24"/>
          <w:u w:val="single"/>
        </w:rPr>
        <w:t>及进行资格审查，</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应完整地按</w:t>
      </w:r>
      <w:r>
        <w:rPr>
          <w:rFonts w:hint="eastAsia" w:ascii="微软雅黑" w:hAnsi="微软雅黑" w:eastAsia="微软雅黑" w:cs="微软雅黑"/>
          <w:b/>
          <w:bCs/>
          <w:sz w:val="24"/>
          <w:szCs w:val="24"/>
          <w:u w:val="single"/>
          <w:lang w:eastAsia="zh-CN"/>
        </w:rPr>
        <w:t>磋商文件</w:t>
      </w:r>
      <w:r>
        <w:rPr>
          <w:rFonts w:hint="eastAsia" w:ascii="微软雅黑" w:hAnsi="微软雅黑" w:eastAsia="微软雅黑" w:cs="微软雅黑"/>
          <w:b/>
          <w:bCs/>
          <w:sz w:val="24"/>
          <w:szCs w:val="24"/>
          <w:u w:val="single"/>
        </w:rPr>
        <w:t>提供的</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格式及要求编写</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，根据平台关联点上传对应佐证资料，</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应包括“</w:t>
      </w:r>
      <w:r>
        <w:rPr>
          <w:rFonts w:hint="eastAsia" w:ascii="微软雅黑" w:hAnsi="微软雅黑" w:eastAsia="微软雅黑" w:cs="微软雅黑"/>
          <w:b/>
          <w:bCs/>
          <w:sz w:val="24"/>
          <w:szCs w:val="24"/>
          <w:u w:val="single"/>
          <w:lang w:eastAsia="zh-CN"/>
        </w:rPr>
        <w:t>磋商一览表</w:t>
      </w:r>
      <w:r>
        <w:rPr>
          <w:rFonts w:hint="eastAsia" w:ascii="微软雅黑" w:hAnsi="微软雅黑" w:eastAsia="微软雅黑" w:cs="微软雅黑"/>
          <w:b/>
          <w:bCs/>
          <w:sz w:val="24"/>
          <w:szCs w:val="24"/>
          <w:u w:val="single"/>
        </w:rPr>
        <w:t>及资格证明文件”和“商务及技术文件”两部分，两部分合并成完整一册</w:t>
      </w:r>
      <w:r>
        <w:rPr>
          <w:rFonts w:hint="eastAsia" w:ascii="微软雅黑" w:hAnsi="微软雅黑" w:eastAsia="微软雅黑" w:cs="微软雅黑"/>
          <w:b/>
          <w:bCs/>
          <w:sz w:val="24"/>
          <w:szCs w:val="24"/>
          <w:u w:val="single"/>
          <w:lang w:val="en-US" w:eastAsia="zh-CN"/>
        </w:rPr>
        <w:t>经CA证书加密后上传提交</w:t>
      </w:r>
      <w:r>
        <w:rPr>
          <w:rFonts w:hint="eastAsia" w:ascii="微软雅黑" w:hAnsi="微软雅黑" w:eastAsia="微软雅黑" w:cs="微软雅黑"/>
          <w:b/>
          <w:bCs/>
          <w:sz w:val="24"/>
          <w:szCs w:val="24"/>
          <w:u w:val="single"/>
        </w:rPr>
        <w:t>至政采云平台</w:t>
      </w:r>
      <w:r>
        <w:rPr>
          <w:rFonts w:hint="eastAsia" w:ascii="微软雅黑" w:hAnsi="微软雅黑" w:eastAsia="微软雅黑" w:cs="微软雅黑"/>
          <w:b/>
          <w:bCs/>
          <w:sz w:val="24"/>
          <w:szCs w:val="24"/>
          <w:u w:val="single"/>
          <w:lang w:eastAsia="zh-CN"/>
        </w:rPr>
        <w:t>，</w:t>
      </w:r>
      <w:r>
        <w:rPr>
          <w:rFonts w:hint="eastAsia" w:ascii="微软雅黑" w:hAnsi="微软雅黑" w:eastAsia="微软雅黑" w:cs="微软雅黑"/>
          <w:b/>
          <w:bCs/>
          <w:sz w:val="24"/>
          <w:szCs w:val="24"/>
          <w:u w:val="single"/>
          <w:lang w:val="en-US" w:eastAsia="zh-CN"/>
        </w:rPr>
        <w:t>任何单位或个人均无法在投标截止时间(即投标时间)之前查看或篡改，不存在泄密风险。（严格按照政采云电子投标流程制作并上传电子响应文件）。</w:t>
      </w:r>
    </w:p>
    <w:p w14:paraId="152186F2">
      <w:pPr>
        <w:pageBreakBefore w:val="0"/>
        <w:kinsoku/>
        <w:wordWrap/>
        <w:overflowPunct/>
        <w:topLinePunct w:val="0"/>
        <w:bidi w:val="0"/>
        <w:spacing w:line="52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val="0"/>
          <w:sz w:val="24"/>
          <w:szCs w:val="24"/>
          <w:u w:val="none"/>
          <w:lang w:val="en-US" w:eastAsia="zh-CN"/>
        </w:rPr>
        <w:t xml:space="preserve">15.2    </w:t>
      </w:r>
      <w:r>
        <w:rPr>
          <w:rFonts w:hint="eastAsia" w:ascii="微软雅黑" w:hAnsi="微软雅黑" w:eastAsia="微软雅黑" w:cs="微软雅黑"/>
          <w:color w:val="auto"/>
          <w:sz w:val="24"/>
          <w:szCs w:val="24"/>
          <w:highlight w:val="none"/>
        </w:rPr>
        <w:t>如果</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未按上述要求标记</w:t>
      </w:r>
      <w:r>
        <w:rPr>
          <w:rFonts w:hint="eastAsia" w:ascii="微软雅黑" w:hAnsi="微软雅黑" w:eastAsia="微软雅黑" w:cs="微软雅黑"/>
          <w:color w:val="auto"/>
          <w:sz w:val="24"/>
          <w:szCs w:val="24"/>
          <w:highlight w:val="none"/>
          <w:lang w:eastAsia="zh-CN"/>
        </w:rPr>
        <w:t>上传响应文件</w:t>
      </w:r>
      <w:r>
        <w:rPr>
          <w:rFonts w:hint="eastAsia" w:ascii="微软雅黑" w:hAnsi="微软雅黑" w:eastAsia="微软雅黑" w:cs="微软雅黑"/>
          <w:color w:val="auto"/>
          <w:sz w:val="24"/>
          <w:szCs w:val="24"/>
          <w:highlight w:val="none"/>
        </w:rPr>
        <w:t>的，将承担相应的后果。</w:t>
      </w:r>
    </w:p>
    <w:p w14:paraId="734F4D08">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256" w:name="_Toc520356161"/>
      <w:bookmarkStart w:id="257" w:name="_Toc12751"/>
      <w:bookmarkStart w:id="258" w:name="_Toc18350"/>
      <w:bookmarkStart w:id="259" w:name="_Toc515647776"/>
      <w:bookmarkStart w:id="260" w:name="_Toc9452"/>
      <w:bookmarkStart w:id="261" w:name="_Toc12690"/>
      <w:bookmarkStart w:id="262" w:name="_Toc9840"/>
      <w:bookmarkStart w:id="263" w:name="_Toc3372"/>
      <w:bookmarkStart w:id="264" w:name="_Toc26069"/>
      <w:bookmarkStart w:id="265" w:name="_Toc8557"/>
      <w:bookmarkStart w:id="266" w:name="_Toc7478"/>
      <w:bookmarkStart w:id="267" w:name="_Toc31921"/>
      <w:bookmarkStart w:id="268" w:name="_Toc2068"/>
      <w:bookmarkStart w:id="269" w:name="_Toc24025"/>
      <w:r>
        <w:rPr>
          <w:rFonts w:hint="eastAsia" w:ascii="微软雅黑" w:hAnsi="微软雅黑" w:eastAsia="微软雅黑" w:cs="微软雅黑"/>
          <w:sz w:val="24"/>
          <w:szCs w:val="24"/>
          <w:u w:val="none" w:color="auto"/>
        </w:rPr>
        <w:t>16.磋商截止</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1219A838">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bookmarkStart w:id="270" w:name="_Toc29943"/>
      <w:bookmarkStart w:id="271" w:name="_Toc12952"/>
      <w:bookmarkStart w:id="272" w:name="_Toc3014"/>
      <w:bookmarkStart w:id="273" w:name="_Toc11003"/>
      <w:bookmarkStart w:id="274" w:name="_Toc520356162"/>
      <w:bookmarkStart w:id="275" w:name="_Toc18537"/>
      <w:bookmarkStart w:id="276" w:name="_Toc23557"/>
      <w:bookmarkStart w:id="277" w:name="_Toc24275"/>
      <w:bookmarkStart w:id="278" w:name="_Toc10299"/>
      <w:bookmarkStart w:id="279" w:name="_Toc22201"/>
      <w:bookmarkStart w:id="280" w:name="_Toc515647777"/>
      <w:bookmarkStart w:id="281" w:name="_Toc18594"/>
      <w:bookmarkStart w:id="282" w:name="_Toc9478"/>
      <w:bookmarkStart w:id="283" w:name="_Toc7274"/>
      <w:r>
        <w:rPr>
          <w:rFonts w:hint="eastAsia" w:ascii="微软雅黑" w:hAnsi="微软雅黑" w:eastAsia="微软雅黑" w:cs="微软雅黑"/>
          <w:sz w:val="24"/>
          <w:szCs w:val="24"/>
          <w:u w:val="none" w:color="auto"/>
        </w:rPr>
        <w:t>16.1</w:t>
      </w:r>
      <w:r>
        <w:rPr>
          <w:rFonts w:hint="eastAsia" w:ascii="微软雅黑" w:hAnsi="微软雅黑" w:eastAsia="微软雅黑" w:cs="微软雅黑"/>
          <w:sz w:val="24"/>
          <w:szCs w:val="24"/>
          <w:u w:val="none" w:color="auto"/>
        </w:rPr>
        <w:tab/>
      </w:r>
      <w:r>
        <w:rPr>
          <w:rFonts w:hint="eastAsia" w:ascii="微软雅黑" w:hAnsi="微软雅黑" w:eastAsia="微软雅黑" w:cs="微软雅黑"/>
          <w:sz w:val="24"/>
          <w:szCs w:val="24"/>
          <w:u w:val="none" w:color="auto"/>
          <w:lang w:eastAsia="zh-CN"/>
        </w:rPr>
        <w:t>供应商</w:t>
      </w:r>
      <w:r>
        <w:rPr>
          <w:rFonts w:hint="eastAsia" w:ascii="微软雅黑" w:hAnsi="微软雅黑" w:eastAsia="微软雅黑" w:cs="微软雅黑"/>
          <w:sz w:val="24"/>
          <w:szCs w:val="24"/>
        </w:rPr>
        <w:t>应在</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须知资料表中规定的截止时间前，将响应文件上传到磋商公告中规定的地点。</w:t>
      </w:r>
    </w:p>
    <w:p w14:paraId="2489C6AD">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16.2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有权按本须知的规定，延迟磋商截止时间。在此情况下，</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受磋商截止时间制约的所有权利和义务均应延长至新的截止时间。</w:t>
      </w:r>
    </w:p>
    <w:p w14:paraId="5E402653">
      <w:pPr>
        <w:pStyle w:val="104"/>
        <w:pageBreakBefore w:val="0"/>
        <w:kinsoku/>
        <w:wordWrap/>
        <w:overflowPunct/>
        <w:topLinePunct w:val="0"/>
        <w:bidi w:val="0"/>
        <w:spacing w:line="520" w:lineRule="exact"/>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16.3   采购人和代理机构将拒绝接收在磋商截止时间后上传的响应文件。</w:t>
      </w:r>
    </w:p>
    <w:p w14:paraId="16ABC0B7">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r>
        <w:rPr>
          <w:rFonts w:hint="eastAsia" w:ascii="微软雅黑" w:hAnsi="微软雅黑" w:eastAsia="微软雅黑" w:cs="微软雅黑"/>
          <w:sz w:val="24"/>
          <w:szCs w:val="24"/>
          <w:u w:val="none" w:color="auto"/>
        </w:rPr>
        <w:t>17.响应文件的接收、修改与撤回</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52081E4">
      <w:pPr>
        <w:pageBreakBefore w:val="0"/>
        <w:kinsoku/>
        <w:wordWrap/>
        <w:overflowPunct/>
        <w:topLinePunct w:val="0"/>
        <w:bidi w:val="0"/>
        <w:spacing w:line="520" w:lineRule="exact"/>
        <w:ind w:left="900" w:hanging="900" w:hangingChars="375"/>
        <w:rPr>
          <w:rFonts w:hint="eastAsia" w:ascii="微软雅黑" w:hAnsi="微软雅黑" w:eastAsia="微软雅黑" w:cs="微软雅黑"/>
          <w:b/>
          <w:sz w:val="24"/>
          <w:szCs w:val="24"/>
        </w:rPr>
      </w:pPr>
      <w:bookmarkStart w:id="284" w:name="_Toc216582809"/>
      <w:bookmarkStart w:id="285" w:name="_Toc520356163"/>
      <w:bookmarkStart w:id="286" w:name="_Toc16124"/>
      <w:bookmarkStart w:id="287" w:name="_Toc12436"/>
      <w:bookmarkStart w:id="288" w:name="_Toc28398"/>
      <w:bookmarkStart w:id="289" w:name="_Toc27283"/>
      <w:bookmarkStart w:id="290" w:name="_Toc515647778"/>
      <w:bookmarkStart w:id="291" w:name="_Toc6161"/>
      <w:r>
        <w:rPr>
          <w:rFonts w:hint="eastAsia" w:ascii="微软雅黑" w:hAnsi="微软雅黑" w:eastAsia="微软雅黑" w:cs="微软雅黑"/>
          <w:sz w:val="24"/>
          <w:szCs w:val="24"/>
        </w:rPr>
        <w:t>17.1   在磋商截止时间后上传的响应文件的，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将拒绝接收。</w:t>
      </w:r>
    </w:p>
    <w:p w14:paraId="3E181113">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17.2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上传响应文件以后，如果</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要进行修改或撤回磋商，</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对响应文件的修改或撤回通知应按本须知规定编制、标记。</w:t>
      </w:r>
    </w:p>
    <w:p w14:paraId="5196C2BA">
      <w:pPr>
        <w:pStyle w:val="104"/>
        <w:pageBreakBefore w:val="0"/>
        <w:kinsoku/>
        <w:wordWrap/>
        <w:overflowPunct/>
        <w:topLinePunct w:val="0"/>
        <w:bidi w:val="0"/>
        <w:spacing w:line="520" w:lineRule="exact"/>
        <w:ind w:firstLine="720" w:firstLineChars="300"/>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t>采购人和代理机构将予以接收，并视为响应文件的组成部分。</w:t>
      </w:r>
    </w:p>
    <w:p w14:paraId="3AF9FA27">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17.3   在磋商截止期之后，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不接受</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主动对其响应文件做任何修改。</w:t>
      </w:r>
    </w:p>
    <w:p w14:paraId="33F2D9E4">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17.4</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对所接收响应文件概不退回。</w:t>
      </w:r>
    </w:p>
    <w:p w14:paraId="67BC353C">
      <w:pPr>
        <w:pStyle w:val="3"/>
        <w:pageBreakBefore w:val="0"/>
        <w:kinsoku/>
        <w:wordWrap/>
        <w:overflowPunct/>
        <w:topLinePunct w:val="0"/>
        <w:bidi w:val="0"/>
        <w:snapToGrid w:val="0"/>
        <w:spacing w:before="0" w:line="520" w:lineRule="exact"/>
        <w:ind w:hanging="540"/>
        <w:textAlignment w:val="baseline"/>
        <w:rPr>
          <w:rFonts w:hint="eastAsia" w:ascii="微软雅黑" w:hAnsi="微软雅黑" w:eastAsia="微软雅黑" w:cs="微软雅黑"/>
          <w:sz w:val="24"/>
          <w:szCs w:val="24"/>
        </w:rPr>
      </w:pPr>
      <w:bookmarkStart w:id="292" w:name="_Toc2090"/>
      <w:r>
        <w:rPr>
          <w:rFonts w:hint="eastAsia" w:ascii="微软雅黑" w:hAnsi="微软雅黑" w:eastAsia="微软雅黑" w:cs="微软雅黑"/>
          <w:sz w:val="24"/>
          <w:szCs w:val="24"/>
        </w:rPr>
        <w:t>五   磋商及评</w:t>
      </w:r>
      <w:bookmarkEnd w:id="284"/>
      <w:bookmarkEnd w:id="285"/>
      <w:bookmarkEnd w:id="286"/>
      <w:bookmarkEnd w:id="287"/>
      <w:bookmarkEnd w:id="288"/>
      <w:bookmarkEnd w:id="289"/>
      <w:bookmarkEnd w:id="290"/>
      <w:r>
        <w:rPr>
          <w:rFonts w:hint="eastAsia" w:ascii="微软雅黑" w:hAnsi="微软雅黑" w:eastAsia="微软雅黑" w:cs="微软雅黑"/>
          <w:sz w:val="24"/>
          <w:szCs w:val="24"/>
        </w:rPr>
        <w:t>审</w:t>
      </w:r>
      <w:bookmarkEnd w:id="291"/>
      <w:bookmarkEnd w:id="292"/>
    </w:p>
    <w:p w14:paraId="6BF5393B">
      <w:pPr>
        <w:pStyle w:val="4"/>
        <w:pageBreakBefore w:val="0"/>
        <w:numPr>
          <w:ilvl w:val="0"/>
          <w:numId w:val="3"/>
        </w:numPr>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293" w:name="_Toc5344"/>
      <w:bookmarkStart w:id="294" w:name="_Toc20787"/>
      <w:bookmarkStart w:id="295" w:name="_Toc32056"/>
      <w:r>
        <w:rPr>
          <w:rFonts w:hint="eastAsia" w:ascii="微软雅黑" w:hAnsi="微软雅黑" w:eastAsia="微软雅黑" w:cs="微软雅黑"/>
          <w:sz w:val="24"/>
          <w:szCs w:val="24"/>
          <w:u w:val="none" w:color="auto"/>
        </w:rPr>
        <w:t>磋商</w:t>
      </w:r>
      <w:bookmarkEnd w:id="293"/>
      <w:bookmarkEnd w:id="294"/>
      <w:bookmarkEnd w:id="295"/>
    </w:p>
    <w:p w14:paraId="6AB9AECF">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bookmarkStart w:id="296" w:name="_Toc520356165"/>
      <w:r>
        <w:rPr>
          <w:rFonts w:hint="eastAsia" w:ascii="微软雅黑" w:hAnsi="微软雅黑" w:eastAsia="微软雅黑" w:cs="微软雅黑"/>
          <w:sz w:val="24"/>
          <w:szCs w:val="24"/>
        </w:rPr>
        <w:t>18.1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将按</w:t>
      </w:r>
      <w:r>
        <w:rPr>
          <w:rFonts w:hint="eastAsia" w:ascii="微软雅黑" w:hAnsi="微软雅黑" w:eastAsia="微软雅黑" w:cs="微软雅黑"/>
          <w:sz w:val="24"/>
          <w:szCs w:val="24"/>
          <w:u w:val="single"/>
          <w:lang w:eastAsia="zh-CN"/>
        </w:rPr>
        <w:t>供应商</w:t>
      </w:r>
      <w:r>
        <w:rPr>
          <w:rFonts w:hint="eastAsia" w:ascii="微软雅黑" w:hAnsi="微软雅黑" w:eastAsia="微软雅黑" w:cs="微软雅黑"/>
          <w:sz w:val="24"/>
          <w:szCs w:val="24"/>
          <w:u w:val="single"/>
        </w:rPr>
        <w:t>须知资料表</w:t>
      </w:r>
      <w:r>
        <w:rPr>
          <w:rFonts w:hint="eastAsia" w:ascii="微软雅黑" w:hAnsi="微软雅黑" w:eastAsia="微软雅黑" w:cs="微软雅黑"/>
          <w:sz w:val="24"/>
          <w:szCs w:val="24"/>
        </w:rPr>
        <w:t>中规定的磋商开启时间和地点组织公开磋商开启并邀请所有</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 xml:space="preserve">代表参加。  </w:t>
      </w:r>
    </w:p>
    <w:p w14:paraId="2768F868">
      <w:pPr>
        <w:pageBreakBefore w:val="0"/>
        <w:kinsoku/>
        <w:wordWrap/>
        <w:overflowPunct/>
        <w:topLinePunct w:val="0"/>
        <w:bidi w:val="0"/>
        <w:spacing w:line="520" w:lineRule="exact"/>
        <w:ind w:left="960" w:hanging="960" w:hanging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18.2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按照须知资料表中规定的开标时间和地点，在规定时间内上传响应文件。</w:t>
      </w:r>
    </w:p>
    <w:p w14:paraId="5AAA635A">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18.3    </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在规定时间内度响应文件进行解密，时长为 30 分钟。</w:t>
      </w:r>
    </w:p>
    <w:p w14:paraId="53882784">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18.4    由</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开启开标记录，须</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在政采云平台对报价进行签字确认。</w:t>
      </w:r>
    </w:p>
    <w:p w14:paraId="5270A450">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297" w:name="_Toc19296"/>
      <w:bookmarkStart w:id="298" w:name="_Toc21372"/>
      <w:bookmarkStart w:id="299" w:name="_Toc5428"/>
      <w:bookmarkStart w:id="300" w:name="_Toc515647780"/>
      <w:bookmarkStart w:id="301" w:name="_Toc28768"/>
      <w:bookmarkStart w:id="302" w:name="_Toc14954"/>
      <w:bookmarkStart w:id="303" w:name="_Toc6401"/>
      <w:bookmarkStart w:id="304" w:name="_Toc5768"/>
      <w:bookmarkStart w:id="305" w:name="_Toc18057"/>
      <w:bookmarkStart w:id="306" w:name="_Toc24447"/>
      <w:bookmarkStart w:id="307" w:name="_Toc18658"/>
      <w:bookmarkStart w:id="308" w:name="_Toc9240"/>
      <w:bookmarkStart w:id="309" w:name="_Toc5402"/>
      <w:r>
        <w:rPr>
          <w:rFonts w:hint="eastAsia" w:ascii="微软雅黑" w:hAnsi="微软雅黑" w:eastAsia="微软雅黑" w:cs="微软雅黑"/>
          <w:sz w:val="24"/>
          <w:szCs w:val="24"/>
          <w:u w:val="none" w:color="auto"/>
        </w:rPr>
        <w:t>19.</w:t>
      </w:r>
      <w:bookmarkEnd w:id="296"/>
      <w:r>
        <w:rPr>
          <w:rFonts w:hint="eastAsia" w:ascii="微软雅黑" w:hAnsi="微软雅黑" w:eastAsia="微软雅黑" w:cs="微软雅黑"/>
          <w:sz w:val="24"/>
          <w:szCs w:val="24"/>
          <w:u w:val="none" w:color="auto"/>
        </w:rPr>
        <w:t>资格审查及组建</w:t>
      </w:r>
      <w:bookmarkEnd w:id="297"/>
      <w:bookmarkEnd w:id="298"/>
      <w:bookmarkEnd w:id="299"/>
      <w:bookmarkEnd w:id="300"/>
      <w:r>
        <w:rPr>
          <w:rFonts w:hint="eastAsia" w:ascii="微软雅黑" w:hAnsi="微软雅黑" w:eastAsia="微软雅黑" w:cs="微软雅黑"/>
          <w:sz w:val="24"/>
          <w:szCs w:val="24"/>
          <w:u w:val="none" w:color="auto"/>
        </w:rPr>
        <w:t>磋商小组</w:t>
      </w:r>
      <w:bookmarkEnd w:id="301"/>
      <w:bookmarkEnd w:id="302"/>
      <w:bookmarkEnd w:id="303"/>
      <w:bookmarkEnd w:id="304"/>
      <w:bookmarkEnd w:id="305"/>
      <w:bookmarkEnd w:id="306"/>
      <w:bookmarkEnd w:id="307"/>
      <w:bookmarkEnd w:id="308"/>
      <w:bookmarkEnd w:id="309"/>
    </w:p>
    <w:p w14:paraId="37A52184">
      <w:pPr>
        <w:pageBreakBefore w:val="0"/>
        <w:kinsoku/>
        <w:wordWrap/>
        <w:overflowPunct/>
        <w:topLinePunct w:val="0"/>
        <w:bidi w:val="0"/>
        <w:snapToGrid w:val="0"/>
        <w:spacing w:line="520" w:lineRule="exact"/>
        <w:ind w:left="960" w:hanging="960" w:hangingChars="4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19.1    </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依据法律法规和磋商文件中规定的内容，对</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资格进行审查，未通过资格审查的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不进入评标。</w:t>
      </w:r>
    </w:p>
    <w:p w14:paraId="133E1562">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如下：合格供应商的其他资格要求（开标时须携带以下资格证明材料）：</w:t>
      </w:r>
    </w:p>
    <w:p w14:paraId="4C79326D">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1、满足《中华人民共和国政府采购法》第二十二条规定；</w:t>
      </w:r>
    </w:p>
    <w:p w14:paraId="582581F5">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①具有独立承担民事责任的能力；（投标时，提供在中华人民共和国境内注册的法人或其他组织的营业执照或事业单位法人证书或社会团体法人登记证书）</w:t>
      </w:r>
    </w:p>
    <w:p w14:paraId="331D69BD">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②提供法定代表人资格证明及授权书、被授权人身份证；(法定代表人投标需提供法定代表人身份证)；</w:t>
      </w:r>
    </w:p>
    <w:p w14:paraId="3EDA1D1B">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③提供本单位依法缴纳近4个月内任意一个月的社会保险证明及法定代表人或授权委托人在本单位依法缴纳近4个月内任意一个月的社会保险明细（新成立公司提供相关证明文件）；</w:t>
      </w:r>
    </w:p>
    <w:p w14:paraId="6E2C76F9">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④提供税务部门出具的本单位近6个月内任意一个月的完税证明（依法免缴的应提供依法免缴的相关证明文件或零申报报表）；</w:t>
      </w:r>
    </w:p>
    <w:p w14:paraId="78F91562">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⑤提供近两年任意一年完整的财务审计报告（或近一个月的银行资信证明）。</w:t>
      </w:r>
    </w:p>
    <w:p w14:paraId="63E1B166">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⑥参与政府采购活动前3年内未被列入失信、重大税收违法案件、财政部门禁止参加政府采购活动的承诺书；</w:t>
      </w:r>
    </w:p>
    <w:p w14:paraId="55418A60">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⑦提供针对本次项目的反商业贿赂承诺书。</w:t>
      </w:r>
    </w:p>
    <w:p w14:paraId="3EF8CB67">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p w14:paraId="19D911BB">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⑨本项目为专门面向中小企业（供应商须根据磋商文件中的法定格式填写中小企业声明函）。</w:t>
      </w:r>
    </w:p>
    <w:p w14:paraId="488D0353">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default"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2、本项目的特定资格要求：①企业资质要求：[公路工程施工总承包三级]（含）及以上资质，并在人员、设备、资金等方面具有相应的施工能力。②项目负责人资质要求：【公路工程专业二级】（含）及二级以上注册建造师执业资格，具备交通运输主管部门颁发的有效的B类安全生产考核合格证书，且不得担任其他在建工程的项目负责人。</w:t>
      </w:r>
    </w:p>
    <w:p w14:paraId="61CE1BA1">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3、磋商保证金有效凭证。</w:t>
      </w:r>
    </w:p>
    <w:p w14:paraId="79B2643F">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提示：①完税证明中“税种”非养老保险、医疗保险、失业保险、工伤保险和生育保险。请各供应商注意！②未通过资格审查的供应商不进入评标；通过资格审查的供应商少于不足三家的，不得评标。</w:t>
      </w:r>
    </w:p>
    <w:p w14:paraId="00515F18">
      <w:pPr>
        <w:pageBreakBefore w:val="0"/>
        <w:kinsoku/>
        <w:wordWrap/>
        <w:overflowPunct/>
        <w:topLinePunct w:val="0"/>
        <w:bidi w:val="0"/>
        <w:snapToGrid w:val="0"/>
        <w:spacing w:line="520" w:lineRule="exact"/>
        <w:ind w:left="734" w:hanging="734" w:hangingChars="306"/>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19.2   </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将在开标前1个工作日至磋商截止后1小时的期间内查询</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的信用记录。</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存在不良信用记录的，其磋商将被认定为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77848182">
      <w:pPr>
        <w:pageBreakBefore w:val="0"/>
        <w:kinsoku/>
        <w:wordWrap/>
        <w:overflowPunct/>
        <w:topLinePunct w:val="0"/>
        <w:bidi w:val="0"/>
        <w:snapToGrid w:val="0"/>
        <w:spacing w:line="520" w:lineRule="exact"/>
        <w:ind w:left="734" w:hanging="734" w:hangingChars="306"/>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19.2.1 不良信用记录指：在“信用中国”网站（ www.creditchina.gov.cn） 被列入失信被执行人、重大税收违法案件当事人名单</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中国政府采购网（http://www.ccgp.gov.cn/search/cr/）严重违法失信行为记录名单的（尚在处罚期内的）</w:t>
      </w:r>
      <w:r>
        <w:rPr>
          <w:rFonts w:hint="eastAsia" w:ascii="微软雅黑" w:hAnsi="微软雅黑" w:eastAsia="微软雅黑" w:cs="微软雅黑"/>
          <w:sz w:val="24"/>
          <w:szCs w:val="24"/>
          <w:lang w:eastAsia="zh-CN"/>
        </w:rPr>
        <w:t>，国家企业公司信息系统</w:t>
      </w:r>
      <w:r>
        <w:rPr>
          <w:rFonts w:hint="eastAsia" w:ascii="微软雅黑" w:hAnsi="微软雅黑" w:eastAsia="微软雅黑" w:cs="微软雅黑"/>
          <w:sz w:val="24"/>
          <w:szCs w:val="24"/>
          <w:lang w:val="en-US" w:eastAsia="zh-CN"/>
        </w:rPr>
        <w:t>（www.gsxt.gov.cn）（经营异常名录、严重违法失信名单）的</w:t>
      </w:r>
      <w:r>
        <w:rPr>
          <w:rFonts w:hint="eastAsia" w:ascii="微软雅黑" w:hAnsi="微软雅黑" w:eastAsia="微软雅黑" w:cs="微软雅黑"/>
          <w:sz w:val="24"/>
          <w:szCs w:val="24"/>
        </w:rPr>
        <w:t>将拒绝其参加本次招标活动</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以及存在《中华人民共和国政府采购法实施条例》第十九条规定的行政处罚记录。</w:t>
      </w:r>
    </w:p>
    <w:p w14:paraId="5485CCA2">
      <w:pPr>
        <w:pageBreakBefore w:val="0"/>
        <w:kinsoku/>
        <w:wordWrap/>
        <w:overflowPunct/>
        <w:topLinePunct w:val="0"/>
        <w:bidi w:val="0"/>
        <w:snapToGrid w:val="0"/>
        <w:spacing w:line="520" w:lineRule="exact"/>
        <w:ind w:left="718" w:leftChars="341" w:hanging="2" w:hangingChars="1"/>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以联合体形式参加磋商的，联合体任何成员存在以上不良信用记录的，联合体磋商将被认定为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33803460">
      <w:pPr>
        <w:pageBreakBefore w:val="0"/>
        <w:kinsoku/>
        <w:wordWrap/>
        <w:overflowPunct/>
        <w:topLinePunct w:val="0"/>
        <w:bidi w:val="0"/>
        <w:snapToGrid w:val="0"/>
        <w:spacing w:line="520" w:lineRule="exact"/>
        <w:ind w:left="850" w:hanging="849" w:hangingChars="354"/>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19.2.2 查询及记录方式：</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经办人将查询网页打印、签字并存档备查。</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不良信用记录以</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查询结果为准。</w:t>
      </w:r>
      <w:r>
        <w:rPr>
          <w:rFonts w:hint="eastAsia" w:ascii="微软雅黑" w:hAnsi="微软雅黑" w:eastAsia="微软雅黑" w:cs="微软雅黑"/>
          <w:b/>
          <w:bCs/>
          <w:sz w:val="24"/>
          <w:szCs w:val="24"/>
        </w:rPr>
        <w:t>在本磋商文件规定的查询时间之后，网站信息发生的任何变更均不再作为评审依据。</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自行提供的与网站信息不一致的其他证明材料亦不作为资格审查的依据。</w:t>
      </w:r>
    </w:p>
    <w:p w14:paraId="7B8BA1ED">
      <w:pPr>
        <w:pageBreakBefore w:val="0"/>
        <w:kinsoku/>
        <w:wordWrap/>
        <w:overflowPunct/>
        <w:topLinePunct w:val="0"/>
        <w:bidi w:val="0"/>
        <w:snapToGrid w:val="0"/>
        <w:spacing w:line="520" w:lineRule="exact"/>
        <w:ind w:left="850" w:hanging="849" w:hangingChars="354"/>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19.3   </w:t>
      </w:r>
      <w:r>
        <w:rPr>
          <w:rFonts w:hint="eastAsia" w:ascii="微软雅黑" w:hAnsi="微软雅黑" w:eastAsia="微软雅黑" w:cs="微软雅黑"/>
          <w:b/>
          <w:bCs/>
          <w:sz w:val="24"/>
          <w:szCs w:val="24"/>
        </w:rPr>
        <w:t>按照《中华人民共和国政府采购法》、《中华人民共和国政府采购法实施条例》、《政府采购竞争性磋商采购方式管理暂行办法》及本项目本级和上级财政部门的有关规定依法在政采云平台</w:t>
      </w:r>
      <w:r>
        <w:rPr>
          <w:rFonts w:hint="eastAsia" w:ascii="微软雅黑" w:hAnsi="微软雅黑" w:eastAsia="微软雅黑" w:cs="微软雅黑"/>
          <w:b/>
          <w:bCs/>
          <w:sz w:val="24"/>
          <w:szCs w:val="24"/>
          <w:lang w:eastAsia="zh-CN"/>
        </w:rPr>
        <w:t>随机抽取</w:t>
      </w:r>
      <w:r>
        <w:rPr>
          <w:rFonts w:hint="eastAsia" w:ascii="微软雅黑" w:hAnsi="微软雅黑" w:eastAsia="微软雅黑" w:cs="微软雅黑"/>
          <w:b/>
          <w:bCs/>
          <w:sz w:val="24"/>
          <w:szCs w:val="24"/>
        </w:rPr>
        <w:t>3人，组成磋商小组，负责评审工作。</w:t>
      </w:r>
      <w:bookmarkStart w:id="310" w:name="_Toc520356166"/>
    </w:p>
    <w:p w14:paraId="35B7BC1A">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b w:val="0"/>
          <w:bCs/>
          <w:sz w:val="24"/>
          <w:szCs w:val="24"/>
          <w:u w:val="none" w:color="auto"/>
          <w:bdr w:val="single" w:color="auto" w:sz="4" w:space="0"/>
        </w:rPr>
      </w:pPr>
      <w:bookmarkStart w:id="311" w:name="_Toc22740"/>
      <w:bookmarkStart w:id="312" w:name="_Toc656"/>
      <w:bookmarkStart w:id="313" w:name="_Toc27625"/>
      <w:bookmarkStart w:id="314" w:name="_Toc7742"/>
      <w:bookmarkStart w:id="315" w:name="_Toc19949"/>
      <w:bookmarkStart w:id="316" w:name="_Toc19498"/>
      <w:bookmarkStart w:id="317" w:name="_Toc17520"/>
      <w:bookmarkStart w:id="318" w:name="_Toc515647781"/>
      <w:bookmarkStart w:id="319" w:name="_Toc29043"/>
      <w:bookmarkStart w:id="320" w:name="_Toc15335"/>
      <w:bookmarkStart w:id="321" w:name="_Toc28479"/>
      <w:bookmarkStart w:id="322" w:name="_Toc29938"/>
      <w:bookmarkStart w:id="323" w:name="_Toc17557"/>
      <w:r>
        <w:rPr>
          <w:rFonts w:hint="eastAsia" w:ascii="微软雅黑" w:hAnsi="微软雅黑" w:eastAsia="微软雅黑" w:cs="微软雅黑"/>
          <w:sz w:val="24"/>
          <w:szCs w:val="24"/>
          <w:u w:val="none" w:color="auto"/>
        </w:rPr>
        <w:t>20.</w:t>
      </w:r>
      <w:bookmarkEnd w:id="310"/>
      <w:r>
        <w:rPr>
          <w:rFonts w:hint="eastAsia" w:ascii="微软雅黑" w:hAnsi="微软雅黑" w:eastAsia="微软雅黑" w:cs="微软雅黑"/>
          <w:sz w:val="24"/>
          <w:szCs w:val="24"/>
          <w:u w:val="none" w:color="auto"/>
        </w:rPr>
        <w:t>响应文件符合性审查与澄清</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0254E1C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20.1   符合性审查是指依据磋商文件的规定，从响应文件的有效性和完整性对磋商文件的响应程度进行审查，以确定是否对磋商文件的实质性要求做出响应。</w:t>
      </w:r>
      <w:bookmarkStart w:id="324" w:name="_Hlt522424701"/>
      <w:bookmarkEnd w:id="324"/>
      <w:bookmarkStart w:id="325" w:name="_Toc520356167"/>
    </w:p>
    <w:p w14:paraId="5A395FF9">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20.2</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t>响应文件的澄清</w:t>
      </w:r>
    </w:p>
    <w:p w14:paraId="3A12C744">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在</w:t>
      </w:r>
      <w:r>
        <w:rPr>
          <w:rFonts w:hint="eastAsia" w:ascii="微软雅黑" w:hAnsi="微软雅黑" w:eastAsia="微软雅黑" w:cs="微软雅黑"/>
          <w:sz w:val="24"/>
          <w:szCs w:val="24"/>
          <w:lang w:val="en-US" w:eastAsia="zh-CN"/>
        </w:rPr>
        <w:t>评审</w:t>
      </w:r>
      <w:r>
        <w:rPr>
          <w:rFonts w:hint="eastAsia" w:ascii="微软雅黑" w:hAnsi="微软雅黑" w:eastAsia="微软雅黑" w:cs="微软雅黑"/>
          <w:sz w:val="24"/>
          <w:szCs w:val="24"/>
        </w:rPr>
        <w:t>期间，磋商小组将以书面方式要求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对其响应文件中含义不明确、对同类问题表述不一致或者有明显文字和计算错误的内容，以及磋商小组认为</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的报价明显低于其他通过符合性检查</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的报价，有可能影响履约的情况作必要的澄清、说明或补正。</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的澄清、说明或补正应在磋商小组规定的时间内以书面方式进行，并不得超出响应文件范围或者改变响应文件的实质性内容。</w:t>
      </w:r>
    </w:p>
    <w:p w14:paraId="04DBE018">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20.2.2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的的澄清、说明或补正将作为响应文件的一部分。</w:t>
      </w:r>
    </w:p>
    <w:p w14:paraId="16413AC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20.3  响应文件报价出现前后不一致的，按照下列规定修正：</w:t>
      </w:r>
    </w:p>
    <w:p w14:paraId="7033C08B">
      <w:pPr>
        <w:pageBreakBefore w:val="0"/>
        <w:kinsoku/>
        <w:wordWrap/>
        <w:overflowPunct/>
        <w:topLinePunct w:val="0"/>
        <w:bidi w:val="0"/>
        <w:snapToGrid w:val="0"/>
        <w:spacing w:line="520" w:lineRule="exact"/>
        <w:ind w:left="1020" w:hanging="1020" w:hangingChars="4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（一）响应文件中开标一览表（报价表）内容与响应文件中相应内容不一致的，以开标一览表（报价表）为准；</w:t>
      </w:r>
    </w:p>
    <w:p w14:paraId="373E4037">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（二）大写金额和小写金额不一致的，以大写金额为准；</w:t>
      </w:r>
    </w:p>
    <w:p w14:paraId="65A9AECC">
      <w:pPr>
        <w:pageBreakBefore w:val="0"/>
        <w:kinsoku/>
        <w:wordWrap/>
        <w:overflowPunct/>
        <w:topLinePunct w:val="0"/>
        <w:bidi w:val="0"/>
        <w:snapToGrid w:val="0"/>
        <w:spacing w:line="520" w:lineRule="exact"/>
        <w:ind w:left="1020" w:hanging="1020" w:hangingChars="4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（三）单价金额小数点或者百分比有明显错位的，以开标一览表的总价为准，并修改单价；</w:t>
      </w:r>
    </w:p>
    <w:p w14:paraId="5C6BDE7B">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（四）总价金额与按单价汇总金额不一致的，以单价金额计算结果为准。</w:t>
      </w:r>
    </w:p>
    <w:p w14:paraId="6171A65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同时出现两种以上不一致的，按照前款规定的顺序修正。修正后的报价按照第20.2条的规定经</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确认后产生约束力，</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不确认的，其磋商将被认定为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0FB3A3C6">
      <w:pPr>
        <w:pageBreakBefore w:val="0"/>
        <w:kinsoku/>
        <w:wordWrap/>
        <w:overflowPunct/>
        <w:topLinePunct w:val="0"/>
        <w:bidi w:val="0"/>
        <w:snapToGrid w:val="0"/>
        <w:spacing w:line="520" w:lineRule="exact"/>
        <w:ind w:firstLine="840" w:firstLineChars="35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对不同文字文本响应文件的解释发生异议的，以中文文本为准。</w:t>
      </w:r>
    </w:p>
    <w:p w14:paraId="74489273">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20.4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14:paraId="33DCE230">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326" w:name="_Toc515647782"/>
      <w:bookmarkStart w:id="327" w:name="_Toc29782"/>
      <w:bookmarkStart w:id="328" w:name="_Toc6364"/>
      <w:bookmarkStart w:id="329" w:name="_Toc12340"/>
      <w:bookmarkStart w:id="330" w:name="_Toc14136"/>
      <w:bookmarkStart w:id="331" w:name="_Toc30430"/>
      <w:bookmarkStart w:id="332" w:name="_Toc28934"/>
      <w:bookmarkStart w:id="333" w:name="_Toc1939"/>
      <w:bookmarkStart w:id="334" w:name="_Toc12693"/>
      <w:bookmarkStart w:id="335" w:name="_Toc18222"/>
      <w:bookmarkStart w:id="336" w:name="_Toc6695"/>
      <w:bookmarkStart w:id="337" w:name="_Toc9469"/>
      <w:bookmarkStart w:id="338" w:name="_Toc27164"/>
      <w:r>
        <w:rPr>
          <w:rFonts w:hint="eastAsia" w:ascii="微软雅黑" w:hAnsi="微软雅黑" w:eastAsia="微软雅黑" w:cs="微软雅黑"/>
          <w:sz w:val="24"/>
          <w:szCs w:val="24"/>
          <w:u w:color="000000"/>
        </w:rPr>
        <w:t>21.磋商偏离</w:t>
      </w:r>
      <w:bookmarkEnd w:id="326"/>
      <w:bookmarkEnd w:id="327"/>
      <w:bookmarkEnd w:id="328"/>
      <w:bookmarkEnd w:id="329"/>
      <w:bookmarkEnd w:id="330"/>
      <w:bookmarkEnd w:id="331"/>
      <w:bookmarkEnd w:id="332"/>
      <w:bookmarkEnd w:id="333"/>
      <w:bookmarkEnd w:id="334"/>
      <w:bookmarkEnd w:id="335"/>
      <w:bookmarkEnd w:id="336"/>
      <w:bookmarkEnd w:id="337"/>
      <w:bookmarkEnd w:id="338"/>
    </w:p>
    <w:p w14:paraId="24DB9D0A">
      <w:pPr>
        <w:pageBreakBefore w:val="0"/>
        <w:kinsoku/>
        <w:wordWrap/>
        <w:overflowPunct/>
        <w:topLinePunct w:val="0"/>
        <w:bidi w:val="0"/>
        <w:snapToGrid w:val="0"/>
        <w:spacing w:line="520" w:lineRule="exact"/>
        <w:ind w:left="641" w:hanging="640" w:hangingChars="267"/>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磋商小组可以接受响应文件中不构成实质性偏离的不正规或不一致。</w:t>
      </w:r>
    </w:p>
    <w:p w14:paraId="4CA86C85">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339" w:name="_Toc515647783"/>
      <w:bookmarkStart w:id="340" w:name="_Toc31191"/>
      <w:bookmarkStart w:id="341" w:name="_Toc27546"/>
      <w:bookmarkStart w:id="342" w:name="_Toc6092"/>
      <w:bookmarkStart w:id="343" w:name="_Toc30267"/>
      <w:bookmarkStart w:id="344" w:name="_Toc13775"/>
      <w:bookmarkStart w:id="345" w:name="_Toc16242"/>
      <w:bookmarkStart w:id="346" w:name="_Toc2275"/>
      <w:bookmarkStart w:id="347" w:name="_Toc108"/>
      <w:bookmarkStart w:id="348" w:name="_Toc9173"/>
      <w:bookmarkStart w:id="349" w:name="_Toc4950"/>
      <w:bookmarkStart w:id="350" w:name="_Toc27656"/>
      <w:bookmarkStart w:id="351" w:name="_Toc23480"/>
      <w:r>
        <w:rPr>
          <w:rFonts w:hint="eastAsia" w:ascii="微软雅黑" w:hAnsi="微软雅黑" w:eastAsia="微软雅黑" w:cs="微软雅黑"/>
          <w:sz w:val="24"/>
          <w:szCs w:val="24"/>
          <w:u w:color="000000"/>
        </w:rPr>
        <w:t>22.</w:t>
      </w:r>
      <w:bookmarkEnd w:id="339"/>
      <w:r>
        <w:rPr>
          <w:rFonts w:hint="eastAsia" w:ascii="微软雅黑" w:hAnsi="微软雅黑" w:eastAsia="微软雅黑" w:cs="微软雅黑"/>
          <w:sz w:val="24"/>
          <w:szCs w:val="24"/>
          <w:u w:color="000000"/>
        </w:rPr>
        <w:t>磋商无效</w:t>
      </w:r>
      <w:bookmarkEnd w:id="340"/>
      <w:bookmarkEnd w:id="341"/>
      <w:bookmarkEnd w:id="342"/>
      <w:bookmarkEnd w:id="343"/>
      <w:bookmarkEnd w:id="344"/>
      <w:bookmarkEnd w:id="345"/>
      <w:bookmarkEnd w:id="346"/>
      <w:bookmarkEnd w:id="347"/>
      <w:bookmarkEnd w:id="348"/>
      <w:bookmarkEnd w:id="349"/>
      <w:bookmarkEnd w:id="350"/>
      <w:bookmarkEnd w:id="351"/>
    </w:p>
    <w:p w14:paraId="1EA8AB28">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22.1   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不得通过修正或撤销不符合要求的偏离，从而使其磋商成为实质上响应的磋商。</w:t>
      </w:r>
    </w:p>
    <w:p w14:paraId="28285D3A">
      <w:pPr>
        <w:pageBreakBefore w:val="0"/>
        <w:kinsoku/>
        <w:wordWrap/>
        <w:overflowPunct/>
        <w:topLinePunct w:val="0"/>
        <w:bidi w:val="0"/>
        <w:snapToGrid w:val="0"/>
        <w:spacing w:line="520" w:lineRule="exact"/>
        <w:ind w:left="958" w:leftChars="456"/>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磋商小组决定磋商的响应性只根据磋商文件要求、响应文件内容及财政主管部门指定相关信息发布媒体。</w:t>
      </w:r>
    </w:p>
    <w:p w14:paraId="7E818D64">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22.2</w:t>
      </w:r>
      <w:r>
        <w:rPr>
          <w:rFonts w:hint="eastAsia" w:ascii="微软雅黑" w:hAnsi="微软雅黑" w:eastAsia="微软雅黑" w:cs="微软雅黑"/>
          <w:sz w:val="24"/>
          <w:szCs w:val="24"/>
        </w:rPr>
        <w:tab/>
      </w:r>
      <w:r>
        <w:rPr>
          <w:rFonts w:hint="eastAsia" w:ascii="微软雅黑" w:hAnsi="微软雅黑" w:eastAsia="微软雅黑" w:cs="微软雅黑"/>
          <w:b/>
          <w:bCs/>
          <w:sz w:val="24"/>
          <w:szCs w:val="24"/>
        </w:rPr>
        <w:t>如发现下列情况之一的，其磋商将被认定为磋商无效：（以下情形应当在磋商文件中规定，并以醒目的方式标明）</w:t>
      </w:r>
    </w:p>
    <w:p w14:paraId="6950CE43">
      <w:pPr>
        <w:pageBreakBefore w:val="0"/>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（1）未按磋商文件规定的形式和金额提交磋商保证金的；</w:t>
      </w:r>
    </w:p>
    <w:p w14:paraId="47CFF634">
      <w:pPr>
        <w:pageBreakBefore w:val="0"/>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（2）未按照磋商文件规定要求签署、盖章的；</w:t>
      </w:r>
    </w:p>
    <w:p w14:paraId="5351E2B7">
      <w:pPr>
        <w:pageBreakBefore w:val="0"/>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（3）未满足磋商文件中技术条款的实质性要求；</w:t>
      </w:r>
    </w:p>
    <w:p w14:paraId="5901A17F">
      <w:pPr>
        <w:pageBreakBefore w:val="0"/>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（4）与其他</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串通磋商，或者与</w:t>
      </w:r>
      <w:r>
        <w:rPr>
          <w:rFonts w:hint="eastAsia" w:ascii="微软雅黑" w:hAnsi="微软雅黑" w:eastAsia="微软雅黑" w:cs="微软雅黑"/>
          <w:b/>
          <w:bCs/>
          <w:sz w:val="24"/>
          <w:szCs w:val="24"/>
          <w:lang w:eastAsia="zh-CN"/>
        </w:rPr>
        <w:t>采购人</w:t>
      </w:r>
      <w:r>
        <w:rPr>
          <w:rFonts w:hint="eastAsia" w:ascii="微软雅黑" w:hAnsi="微软雅黑" w:eastAsia="微软雅黑" w:cs="微软雅黑"/>
          <w:b/>
          <w:bCs/>
          <w:sz w:val="24"/>
          <w:szCs w:val="24"/>
        </w:rPr>
        <w:t>串通磋商；</w:t>
      </w:r>
    </w:p>
    <w:p w14:paraId="72CB8F4D">
      <w:pPr>
        <w:pageBreakBefore w:val="0"/>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（5）属于磋商文件规定的其他磋商无效情形；</w:t>
      </w:r>
    </w:p>
    <w:p w14:paraId="4182E3F9">
      <w:pPr>
        <w:pageBreakBefore w:val="0"/>
        <w:kinsoku/>
        <w:wordWrap/>
        <w:overflowPunct/>
        <w:topLinePunct w:val="0"/>
        <w:bidi w:val="0"/>
        <w:snapToGrid w:val="0"/>
        <w:spacing w:line="520" w:lineRule="exact"/>
        <w:ind w:left="1257" w:leftChars="370" w:hanging="480" w:hangingChars="2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（6）磋商小组认为</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的报价明显低于其他通过符合性检查</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的报价，有可能影响履约的，且</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未按照规定证明其报价合理性的；</w:t>
      </w:r>
    </w:p>
    <w:p w14:paraId="6546DAF5">
      <w:pPr>
        <w:pageBreakBefore w:val="0"/>
        <w:kinsoku/>
        <w:wordWrap/>
        <w:overflowPunct/>
        <w:topLinePunct w:val="0"/>
        <w:bidi w:val="0"/>
        <w:snapToGrid w:val="0"/>
        <w:spacing w:line="520" w:lineRule="exact"/>
        <w:ind w:firstLine="720" w:firstLineChars="3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（7）响应文件含有</w:t>
      </w:r>
      <w:r>
        <w:rPr>
          <w:rFonts w:hint="eastAsia" w:ascii="微软雅黑" w:hAnsi="微软雅黑" w:eastAsia="微软雅黑" w:cs="微软雅黑"/>
          <w:b/>
          <w:bCs/>
          <w:sz w:val="24"/>
          <w:szCs w:val="24"/>
          <w:lang w:eastAsia="zh-CN"/>
        </w:rPr>
        <w:t>采购人</w:t>
      </w:r>
      <w:r>
        <w:rPr>
          <w:rFonts w:hint="eastAsia" w:ascii="微软雅黑" w:hAnsi="微软雅黑" w:eastAsia="微软雅黑" w:cs="微软雅黑"/>
          <w:b/>
          <w:bCs/>
          <w:sz w:val="24"/>
          <w:szCs w:val="24"/>
        </w:rPr>
        <w:t>不能接受的附加条件的；</w:t>
      </w:r>
    </w:p>
    <w:p w14:paraId="5D33641E">
      <w:pPr>
        <w:pageBreakBefore w:val="0"/>
        <w:tabs>
          <w:tab w:val="left" w:pos="0"/>
        </w:tabs>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（8）不符合法规和磋商文件中规定的其他实质性要求的。</w:t>
      </w:r>
    </w:p>
    <w:p w14:paraId="028B6478">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22.3   有下列情形之一的，属于恶意串通，对</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依照政府采购法第七十七条第一款的规定追究法律责任，对</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及其工作人员依照政府采购法第七十二条的规定追究法律责任：</w:t>
      </w:r>
    </w:p>
    <w:p w14:paraId="3DD12913">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（1）</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直接或者间接从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处获得其他</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的相关情况并修改其响应文件或者响应文件；</w:t>
      </w:r>
    </w:p>
    <w:p w14:paraId="05396039">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按照</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的授意撤换、修改响应文件或者响应文件；</w:t>
      </w:r>
    </w:p>
    <w:p w14:paraId="393D8E23">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之间协商报价、技术方案等响应文件或者响应文件的实质性内容；</w:t>
      </w:r>
    </w:p>
    <w:p w14:paraId="3675BC0A">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（4）属于同一集团、协会、商会等组织成员的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按照该组织要求协同参加政府采购活动；</w:t>
      </w:r>
    </w:p>
    <w:p w14:paraId="38704762">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之间事先约定由某一特定</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中标、成交；</w:t>
      </w:r>
    </w:p>
    <w:p w14:paraId="3899BA4C">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（6）</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之间商定部分</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放弃参加政府采购活动或者放弃中标、成交；</w:t>
      </w:r>
    </w:p>
    <w:p w14:paraId="28D8E602">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之间、</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相互之间，为谋求特定</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中标、成交或者排斥其他</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的其他串通行为。</w:t>
      </w:r>
    </w:p>
    <w:p w14:paraId="16B08D17">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352" w:name="_Toc3834"/>
      <w:bookmarkStart w:id="353" w:name="_Toc31440"/>
      <w:bookmarkStart w:id="354" w:name="_Toc13652"/>
      <w:bookmarkStart w:id="355" w:name="_Toc4263"/>
      <w:bookmarkStart w:id="356" w:name="_Toc22903"/>
      <w:bookmarkStart w:id="357" w:name="_Toc515647784"/>
      <w:bookmarkStart w:id="358" w:name="_Toc6450"/>
      <w:bookmarkStart w:id="359" w:name="_Toc5075"/>
      <w:bookmarkStart w:id="360" w:name="_Toc21841"/>
      <w:bookmarkStart w:id="361" w:name="_Toc31260"/>
      <w:bookmarkStart w:id="362" w:name="_Toc22941"/>
      <w:bookmarkStart w:id="363" w:name="_Toc30567"/>
      <w:bookmarkStart w:id="364" w:name="_Toc28827"/>
      <w:r>
        <w:rPr>
          <w:rFonts w:hint="eastAsia" w:ascii="微软雅黑" w:hAnsi="微软雅黑" w:eastAsia="微软雅黑" w:cs="微软雅黑"/>
          <w:sz w:val="24"/>
          <w:szCs w:val="24"/>
          <w:u w:val="none" w:color="auto"/>
        </w:rPr>
        <w:t>23.</w:t>
      </w:r>
      <w:bookmarkEnd w:id="325"/>
      <w:r>
        <w:rPr>
          <w:rFonts w:hint="eastAsia" w:ascii="微软雅黑" w:hAnsi="微软雅黑" w:eastAsia="微软雅黑" w:cs="微软雅黑"/>
          <w:sz w:val="24"/>
          <w:szCs w:val="24"/>
          <w:u w:val="none" w:color="auto"/>
        </w:rPr>
        <w:t>比较与评价</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68BD3F5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23.1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经符合性审查合格的响应文件，磋商小组将根据磋商文件确定的评标方法和标准，对其技术部分和商务部分作进一步的比较和评价。</w:t>
      </w:r>
    </w:p>
    <w:p w14:paraId="6070A264">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23.2  </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评标严格按照磋商文件的要求和条件进行。根据实际情况，在</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中规定采用下列一种评标方法，详细评标标准见磋商文件</w:t>
      </w:r>
      <w:r>
        <w:rPr>
          <w:rFonts w:hint="eastAsia" w:ascii="微软雅黑" w:hAnsi="微软雅黑" w:eastAsia="微软雅黑" w:cs="微软雅黑"/>
          <w:b/>
          <w:sz w:val="24"/>
          <w:szCs w:val="24"/>
        </w:rPr>
        <w:t>第六章：</w:t>
      </w:r>
    </w:p>
    <w:p w14:paraId="4255A91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综合评分法，是指响应文件满足磋商文件全部实质性要求，且按照评审因素的量化指标评审得分最高的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为成交候选人的评标方法。</w:t>
      </w:r>
    </w:p>
    <w:p w14:paraId="66EF2D19">
      <w:pPr>
        <w:pStyle w:val="17"/>
        <w:pageBreakBefore w:val="0"/>
        <w:kinsoku/>
        <w:wordWrap/>
        <w:overflowPunct/>
        <w:topLinePunct w:val="0"/>
        <w:bidi w:val="0"/>
        <w:snapToGrid w:val="0"/>
        <w:spacing w:line="520" w:lineRule="exact"/>
        <w:ind w:left="720" w:hanging="720" w:hangingChars="300"/>
        <w:textAlignment w:val="baseline"/>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365" w:name="sendNo"/>
      <w:r>
        <w:rPr>
          <w:rFonts w:hint="eastAsia" w:ascii="微软雅黑" w:hAnsi="微软雅黑" w:eastAsia="微软雅黑" w:cs="微软雅黑"/>
          <w:b w:val="0"/>
          <w:bCs w:val="0"/>
          <w:sz w:val="24"/>
          <w:szCs w:val="24"/>
        </w:rPr>
        <w:t>财库〔</w:t>
      </w:r>
      <w:bookmarkEnd w:id="365"/>
      <w:r>
        <w:rPr>
          <w:rFonts w:hint="eastAsia" w:ascii="微软雅黑" w:hAnsi="微软雅黑" w:eastAsia="微软雅黑" w:cs="微软雅黑"/>
          <w:b w:val="0"/>
          <w:bCs w:val="0"/>
          <w:sz w:val="24"/>
          <w:szCs w:val="24"/>
        </w:rPr>
        <w:t>2017〕141号）</w:t>
      </w:r>
      <w:r>
        <w:rPr>
          <w:rFonts w:hint="eastAsia" w:ascii="微软雅黑" w:hAnsi="微软雅黑" w:eastAsia="微软雅黑" w:cs="微软雅黑"/>
          <w:b w:val="0"/>
          <w:bCs w:val="0"/>
          <w:sz w:val="24"/>
          <w:szCs w:val="24"/>
          <w:lang w:eastAsia="zh-CN"/>
        </w:rPr>
        <w:t>、《关于进一步加大政府采购支持中小企业力度的通知》（财库〔2022〕19号）</w:t>
      </w:r>
      <w:r>
        <w:rPr>
          <w:rFonts w:hint="eastAsia" w:ascii="微软雅黑" w:hAnsi="微软雅黑" w:eastAsia="微软雅黑" w:cs="微软雅黑"/>
          <w:b w:val="0"/>
          <w:bCs w:val="0"/>
          <w:sz w:val="24"/>
          <w:szCs w:val="24"/>
        </w:rPr>
        <w:t>的规定，对满足价格扣除条件且在投标文件中提交了《中小企业声明函》或省级以上监狱管理局、戒毒管理局（含新疆生产建设兵团）出具的属于监狱企业的证明文件的</w:t>
      </w:r>
      <w:r>
        <w:rPr>
          <w:rFonts w:hint="eastAsia" w:ascii="微软雅黑" w:hAnsi="微软雅黑" w:eastAsia="微软雅黑" w:cs="微软雅黑"/>
          <w:b w:val="0"/>
          <w:bCs w:val="0"/>
          <w:sz w:val="24"/>
          <w:szCs w:val="24"/>
          <w:lang w:eastAsia="zh-CN"/>
        </w:rPr>
        <w:t>供应商</w:t>
      </w:r>
      <w:r>
        <w:rPr>
          <w:rFonts w:hint="eastAsia" w:ascii="微软雅黑" w:hAnsi="微软雅黑" w:eastAsia="微软雅黑" w:cs="微软雅黑"/>
          <w:b w:val="0"/>
          <w:bCs w:val="0"/>
          <w:sz w:val="24"/>
          <w:szCs w:val="24"/>
        </w:rPr>
        <w:t>，其投标报价扣除</w:t>
      </w:r>
      <w:r>
        <w:rPr>
          <w:rFonts w:hint="eastAsia" w:ascii="微软雅黑" w:hAnsi="微软雅黑" w:eastAsia="微软雅黑" w:cs="微软雅黑"/>
          <w:b w:val="0"/>
          <w:bCs w:val="0"/>
          <w:sz w:val="24"/>
          <w:szCs w:val="24"/>
          <w:lang w:val="en-US" w:eastAsia="zh-CN"/>
        </w:rPr>
        <w:t>10%-20%</w:t>
      </w:r>
      <w:r>
        <w:rPr>
          <w:rFonts w:hint="eastAsia" w:ascii="微软雅黑" w:hAnsi="微软雅黑" w:eastAsia="微软雅黑" w:cs="微软雅黑"/>
          <w:b w:val="0"/>
          <w:bCs w:val="0"/>
          <w:sz w:val="24"/>
          <w:szCs w:val="24"/>
        </w:rPr>
        <w:t>后参与</w:t>
      </w:r>
      <w:r>
        <w:rPr>
          <w:rFonts w:hint="eastAsia" w:ascii="微软雅黑" w:hAnsi="微软雅黑" w:eastAsia="微软雅黑" w:cs="微软雅黑"/>
          <w:b w:val="0"/>
          <w:bCs w:val="0"/>
          <w:sz w:val="24"/>
          <w:szCs w:val="24"/>
          <w:lang w:eastAsia="zh-CN"/>
        </w:rPr>
        <w:t>评标</w:t>
      </w:r>
      <w:r>
        <w:rPr>
          <w:rFonts w:hint="eastAsia" w:ascii="微软雅黑" w:hAnsi="微软雅黑" w:eastAsia="微软雅黑" w:cs="微软雅黑"/>
          <w:b w:val="0"/>
          <w:bCs w:val="0"/>
          <w:sz w:val="24"/>
          <w:szCs w:val="24"/>
        </w:rPr>
        <w:t>。具体办法详见磋商文件第6章。</w:t>
      </w:r>
    </w:p>
    <w:p w14:paraId="798A4EA1">
      <w:pPr>
        <w:pStyle w:val="17"/>
        <w:pageBreakBefore w:val="0"/>
        <w:kinsoku/>
        <w:wordWrap/>
        <w:overflowPunct/>
        <w:topLinePunct w:val="0"/>
        <w:bidi w:val="0"/>
        <w:spacing w:line="520" w:lineRule="exact"/>
        <w:ind w:left="900" w:hanging="900" w:hangingChars="375"/>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标优惠。监狱企业及残疾人福利性单位视同小型、微型企业，享受预留份额、评标中价格扣除等政府采购促进中小企业发展的政府采购政策。  </w:t>
      </w:r>
    </w:p>
    <w:p w14:paraId="54314D88">
      <w:pPr>
        <w:pStyle w:val="17"/>
        <w:pageBreakBefore w:val="0"/>
        <w:kinsoku/>
        <w:wordWrap/>
        <w:overflowPunct/>
        <w:topLinePunct w:val="0"/>
        <w:bidi w:val="0"/>
        <w:snapToGrid w:val="0"/>
        <w:spacing w:line="520" w:lineRule="exact"/>
        <w:ind w:left="720" w:hanging="720" w:hangingChars="300"/>
        <w:textAlignment w:val="baseline"/>
        <w:rPr>
          <w:rFonts w:hint="eastAsia" w:ascii="微软雅黑" w:hAnsi="微软雅黑" w:eastAsia="微软雅黑" w:cs="微软雅黑"/>
          <w:b w:val="0"/>
          <w:bCs w:val="0"/>
          <w:sz w:val="24"/>
          <w:szCs w:val="24"/>
        </w:rPr>
      </w:pPr>
    </w:p>
    <w:p w14:paraId="1FF2F0F7">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366" w:name="_Toc520356168"/>
      <w:bookmarkStart w:id="367" w:name="_Toc2218"/>
      <w:bookmarkStart w:id="368" w:name="_Toc9378"/>
      <w:bookmarkStart w:id="369" w:name="_Toc18922"/>
      <w:bookmarkStart w:id="370" w:name="_Toc4586"/>
      <w:bookmarkStart w:id="371" w:name="_Toc515647785"/>
      <w:bookmarkStart w:id="372" w:name="_Toc4445"/>
      <w:bookmarkStart w:id="373" w:name="_Toc16201"/>
      <w:bookmarkStart w:id="374" w:name="_Toc14935"/>
      <w:bookmarkStart w:id="375" w:name="_Toc28413"/>
      <w:bookmarkStart w:id="376" w:name="_Toc6912"/>
      <w:bookmarkStart w:id="377" w:name="_Toc2539"/>
      <w:bookmarkStart w:id="378" w:name="_Toc28843"/>
      <w:bookmarkStart w:id="379" w:name="_Toc20227"/>
      <w:r>
        <w:rPr>
          <w:rFonts w:hint="eastAsia" w:ascii="微软雅黑" w:hAnsi="微软雅黑" w:eastAsia="微软雅黑" w:cs="微软雅黑"/>
          <w:sz w:val="24"/>
          <w:szCs w:val="24"/>
          <w:u w:val="none" w:color="auto"/>
        </w:rPr>
        <w:t>24</w:t>
      </w:r>
      <w:bookmarkEnd w:id="366"/>
      <w:r>
        <w:rPr>
          <w:rFonts w:hint="eastAsia" w:ascii="微软雅黑" w:hAnsi="微软雅黑" w:eastAsia="微软雅黑" w:cs="微软雅黑"/>
          <w:sz w:val="24"/>
          <w:szCs w:val="24"/>
          <w:u w:val="none" w:color="auto"/>
        </w:rPr>
        <w:t>.废标</w:t>
      </w:r>
      <w:bookmarkEnd w:id="367"/>
      <w:bookmarkEnd w:id="368"/>
      <w:bookmarkEnd w:id="369"/>
      <w:bookmarkEnd w:id="370"/>
      <w:bookmarkEnd w:id="371"/>
      <w:bookmarkEnd w:id="372"/>
      <w:bookmarkEnd w:id="373"/>
      <w:bookmarkEnd w:id="374"/>
      <w:bookmarkEnd w:id="375"/>
      <w:bookmarkEnd w:id="376"/>
      <w:bookmarkEnd w:id="377"/>
      <w:bookmarkEnd w:id="378"/>
      <w:bookmarkEnd w:id="379"/>
    </w:p>
    <w:p w14:paraId="56F1578F">
      <w:pPr>
        <w:pageBreakBefore w:val="0"/>
        <w:kinsoku/>
        <w:wordWrap/>
        <w:overflowPunct/>
        <w:topLinePunct w:val="0"/>
        <w:bidi w:val="0"/>
        <w:snapToGrid w:val="0"/>
        <w:spacing w:line="520" w:lineRule="exact"/>
        <w:ind w:left="239" w:leftChars="114" w:firstLine="660" w:firstLineChars="275"/>
        <w:textAlignment w:val="baseline"/>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出现下列情形之一，将导致项目废标： </w:t>
      </w:r>
    </w:p>
    <w:p w14:paraId="72BD235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ab/>
      </w:r>
      <w:r>
        <w:rPr>
          <w:rFonts w:hint="eastAsia" w:ascii="微软雅黑" w:hAnsi="微软雅黑" w:eastAsia="微软雅黑" w:cs="微软雅黑"/>
          <w:b w:val="0"/>
          <w:bCs w:val="0"/>
          <w:sz w:val="24"/>
          <w:szCs w:val="24"/>
        </w:rPr>
        <w:t>（1）出现影响采购公正的违法、违规行为的；</w:t>
      </w:r>
    </w:p>
    <w:p w14:paraId="1FC8A527">
      <w:pPr>
        <w:pageBreakBefore w:val="0"/>
        <w:kinsoku/>
        <w:wordWrap/>
        <w:overflowPunct/>
        <w:topLinePunct w:val="0"/>
        <w:bidi w:val="0"/>
        <w:snapToGrid w:val="0"/>
        <w:spacing w:line="520" w:lineRule="exact"/>
        <w:ind w:firstLine="840" w:firstLineChars="350"/>
        <w:textAlignment w:val="baseline"/>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hint="eastAsia" w:ascii="微软雅黑" w:hAnsi="微软雅黑" w:eastAsia="微软雅黑" w:cs="微软雅黑"/>
          <w:b w:val="0"/>
          <w:bCs w:val="0"/>
          <w:sz w:val="24"/>
          <w:szCs w:val="24"/>
          <w:lang w:eastAsia="zh-CN"/>
        </w:rPr>
        <w:t>供应商</w:t>
      </w:r>
      <w:r>
        <w:rPr>
          <w:rFonts w:hint="eastAsia" w:ascii="微软雅黑" w:hAnsi="微软雅黑" w:eastAsia="微软雅黑" w:cs="微软雅黑"/>
          <w:b w:val="0"/>
          <w:bCs w:val="0"/>
          <w:sz w:val="24"/>
          <w:szCs w:val="24"/>
        </w:rPr>
        <w:t>的报价均超过了采购预算，</w:t>
      </w:r>
      <w:r>
        <w:rPr>
          <w:rFonts w:hint="eastAsia" w:ascii="微软雅黑" w:hAnsi="微软雅黑" w:eastAsia="微软雅黑" w:cs="微软雅黑"/>
          <w:b w:val="0"/>
          <w:bCs w:val="0"/>
          <w:sz w:val="24"/>
          <w:szCs w:val="24"/>
          <w:lang w:eastAsia="zh-CN"/>
        </w:rPr>
        <w:t>采购人</w:t>
      </w:r>
      <w:r>
        <w:rPr>
          <w:rFonts w:hint="eastAsia" w:ascii="微软雅黑" w:hAnsi="微软雅黑" w:eastAsia="微软雅黑" w:cs="微软雅黑"/>
          <w:b w:val="0"/>
          <w:bCs w:val="0"/>
          <w:sz w:val="24"/>
          <w:szCs w:val="24"/>
        </w:rPr>
        <w:t>不能支付的；</w:t>
      </w:r>
    </w:p>
    <w:p w14:paraId="0081AA6A">
      <w:pPr>
        <w:pageBreakBefore w:val="0"/>
        <w:kinsoku/>
        <w:wordWrap/>
        <w:overflowPunct/>
        <w:topLinePunct w:val="0"/>
        <w:bidi w:val="0"/>
        <w:snapToGrid w:val="0"/>
        <w:spacing w:line="520" w:lineRule="exact"/>
        <w:ind w:firstLine="840" w:firstLineChars="35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val="0"/>
          <w:bCs w:val="0"/>
          <w:sz w:val="24"/>
          <w:szCs w:val="24"/>
        </w:rPr>
        <w:t>（3）因重大变故，采购任务取消的。</w:t>
      </w:r>
      <w:r>
        <w:rPr>
          <w:rFonts w:hint="eastAsia" w:ascii="微软雅黑" w:hAnsi="微软雅黑" w:eastAsia="微软雅黑" w:cs="微软雅黑"/>
          <w:b/>
          <w:bCs/>
          <w:sz w:val="24"/>
          <w:szCs w:val="24"/>
        </w:rPr>
        <w:t xml:space="preserve">   </w:t>
      </w:r>
    </w:p>
    <w:p w14:paraId="46B2CF23">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380" w:name="_Toc1106"/>
      <w:bookmarkStart w:id="381" w:name="_Toc11249"/>
      <w:bookmarkStart w:id="382" w:name="_Toc24972"/>
      <w:bookmarkStart w:id="383" w:name="_Toc15505"/>
      <w:bookmarkStart w:id="384" w:name="_Toc8176"/>
      <w:bookmarkStart w:id="385" w:name="_Toc8444"/>
      <w:bookmarkStart w:id="386" w:name="_Toc31289"/>
      <w:bookmarkStart w:id="387" w:name="_Toc515647786"/>
      <w:bookmarkStart w:id="388" w:name="_Toc4481"/>
      <w:bookmarkStart w:id="389" w:name="_Toc27162"/>
      <w:bookmarkStart w:id="390" w:name="_Toc23141"/>
      <w:bookmarkStart w:id="391" w:name="_Toc25920"/>
      <w:bookmarkStart w:id="392" w:name="_Toc20205"/>
      <w:bookmarkStart w:id="393" w:name="_Toc520356169"/>
      <w:r>
        <w:rPr>
          <w:rFonts w:hint="eastAsia" w:ascii="微软雅黑" w:hAnsi="微软雅黑" w:eastAsia="微软雅黑" w:cs="微软雅黑"/>
          <w:sz w:val="24"/>
          <w:szCs w:val="24"/>
          <w:u w:val="none" w:color="auto"/>
        </w:rPr>
        <w:t>25.保密原则</w:t>
      </w:r>
      <w:bookmarkEnd w:id="380"/>
      <w:bookmarkEnd w:id="381"/>
      <w:bookmarkEnd w:id="382"/>
      <w:bookmarkEnd w:id="383"/>
      <w:bookmarkEnd w:id="384"/>
      <w:bookmarkEnd w:id="385"/>
      <w:bookmarkEnd w:id="386"/>
      <w:bookmarkEnd w:id="387"/>
      <w:bookmarkEnd w:id="388"/>
      <w:bookmarkEnd w:id="389"/>
      <w:bookmarkEnd w:id="390"/>
      <w:bookmarkEnd w:id="391"/>
      <w:bookmarkEnd w:id="392"/>
    </w:p>
    <w:p w14:paraId="43995394">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25.1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val="en-US" w:eastAsia="zh-CN"/>
        </w:rPr>
        <w:t>评审</w:t>
      </w:r>
      <w:r>
        <w:rPr>
          <w:rFonts w:hint="eastAsia" w:ascii="微软雅黑" w:hAnsi="微软雅黑" w:eastAsia="微软雅黑" w:cs="微软雅黑"/>
          <w:sz w:val="24"/>
          <w:szCs w:val="24"/>
        </w:rPr>
        <w:t>将在严格保密的情况下进行。</w:t>
      </w:r>
    </w:p>
    <w:p w14:paraId="455F6FCF">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25.2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政府采购评审专家应当遵守评审工作纪律，不得泄露评审文件、评审情况和评审中获悉的商业秘密。</w:t>
      </w:r>
    </w:p>
    <w:p w14:paraId="1AC5404F">
      <w:pPr>
        <w:pStyle w:val="3"/>
        <w:pageBreakBefore w:val="0"/>
        <w:kinsoku/>
        <w:wordWrap/>
        <w:overflowPunct/>
        <w:topLinePunct w:val="0"/>
        <w:bidi w:val="0"/>
        <w:snapToGrid w:val="0"/>
        <w:spacing w:before="0" w:line="520" w:lineRule="exact"/>
        <w:ind w:hanging="540"/>
        <w:textAlignment w:val="baseline"/>
        <w:rPr>
          <w:rFonts w:hint="eastAsia" w:ascii="微软雅黑" w:hAnsi="微软雅黑" w:eastAsia="微软雅黑" w:cs="微软雅黑"/>
          <w:sz w:val="24"/>
          <w:szCs w:val="24"/>
        </w:rPr>
      </w:pPr>
      <w:bookmarkStart w:id="394" w:name="_Toc31195"/>
      <w:bookmarkStart w:id="395" w:name="_Toc12143"/>
      <w:bookmarkStart w:id="396" w:name="_Toc216582810"/>
      <w:bookmarkStart w:id="397" w:name="_Toc23904"/>
      <w:bookmarkStart w:id="398" w:name="_Toc515647787"/>
      <w:bookmarkStart w:id="399" w:name="_Toc18876"/>
      <w:bookmarkStart w:id="400" w:name="_Toc27482"/>
      <w:bookmarkStart w:id="401" w:name="_Toc8919"/>
      <w:r>
        <w:rPr>
          <w:rFonts w:hint="eastAsia" w:ascii="微软雅黑" w:hAnsi="微软雅黑" w:eastAsia="微软雅黑" w:cs="微软雅黑"/>
          <w:sz w:val="24"/>
          <w:szCs w:val="24"/>
        </w:rPr>
        <w:t xml:space="preserve">六   </w:t>
      </w:r>
      <w:bookmarkEnd w:id="393"/>
      <w:r>
        <w:rPr>
          <w:rFonts w:hint="eastAsia" w:ascii="微软雅黑" w:hAnsi="微软雅黑" w:eastAsia="微软雅黑" w:cs="微软雅黑"/>
          <w:sz w:val="24"/>
          <w:szCs w:val="24"/>
        </w:rPr>
        <w:t>确定</w:t>
      </w:r>
      <w:bookmarkEnd w:id="394"/>
      <w:bookmarkEnd w:id="395"/>
      <w:bookmarkEnd w:id="396"/>
      <w:bookmarkEnd w:id="397"/>
      <w:bookmarkEnd w:id="398"/>
      <w:r>
        <w:rPr>
          <w:rFonts w:hint="eastAsia" w:ascii="微软雅黑" w:hAnsi="微软雅黑" w:eastAsia="微软雅黑" w:cs="微软雅黑"/>
          <w:sz w:val="24"/>
          <w:szCs w:val="24"/>
        </w:rPr>
        <w:t>成交</w:t>
      </w:r>
      <w:bookmarkEnd w:id="399"/>
      <w:bookmarkEnd w:id="400"/>
      <w:bookmarkEnd w:id="401"/>
    </w:p>
    <w:p w14:paraId="7DE4123E">
      <w:pPr>
        <w:pStyle w:val="7"/>
        <w:pageBreakBefore w:val="0"/>
        <w:kinsoku/>
        <w:wordWrap/>
        <w:overflowPunct/>
        <w:topLinePunct w:val="0"/>
        <w:bidi w:val="0"/>
        <w:snapToGrid w:val="0"/>
        <w:spacing w:line="520" w:lineRule="exact"/>
        <w:ind w:firstLine="0"/>
        <w:textAlignment w:val="baseline"/>
        <w:rPr>
          <w:rFonts w:hint="eastAsia" w:ascii="微软雅黑" w:hAnsi="微软雅黑" w:eastAsia="微软雅黑" w:cs="微软雅黑"/>
          <w:sz w:val="24"/>
          <w:szCs w:val="24"/>
        </w:rPr>
      </w:pPr>
    </w:p>
    <w:p w14:paraId="0AF0F573">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402" w:name="_Toc20286"/>
      <w:bookmarkStart w:id="403" w:name="_Toc1360"/>
      <w:bookmarkStart w:id="404" w:name="_Toc19391"/>
      <w:bookmarkStart w:id="405" w:name="_Toc20156"/>
      <w:bookmarkStart w:id="406" w:name="_Toc10858"/>
      <w:bookmarkStart w:id="407" w:name="_Toc515647788"/>
      <w:bookmarkStart w:id="408" w:name="_Toc15848"/>
      <w:bookmarkStart w:id="409" w:name="_Toc7632"/>
      <w:bookmarkStart w:id="410" w:name="_Toc29606"/>
      <w:bookmarkStart w:id="411" w:name="_Toc23617"/>
      <w:bookmarkStart w:id="412" w:name="_Toc4774"/>
      <w:bookmarkStart w:id="413" w:name="_Toc23762"/>
      <w:bookmarkStart w:id="414" w:name="_Ref467307010"/>
      <w:bookmarkStart w:id="415" w:name="_Toc8936"/>
      <w:bookmarkStart w:id="416" w:name="_Toc520356170"/>
      <w:r>
        <w:rPr>
          <w:rFonts w:hint="eastAsia" w:ascii="微软雅黑" w:hAnsi="微软雅黑" w:eastAsia="微软雅黑" w:cs="微软雅黑"/>
          <w:sz w:val="24"/>
          <w:szCs w:val="24"/>
          <w:u w:val="none" w:color="auto"/>
        </w:rPr>
        <w:t>26.成交候选人的确定原则及标准</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437299F7">
      <w:pPr>
        <w:pageBreakBefore w:val="0"/>
        <w:kinsoku/>
        <w:wordWrap/>
        <w:overflowPunct/>
        <w:topLinePunct w:val="0"/>
        <w:bidi w:val="0"/>
        <w:snapToGrid w:val="0"/>
        <w:spacing w:line="520" w:lineRule="exact"/>
        <w:ind w:firstLine="480" w:firstLineChars="200"/>
        <w:textAlignment w:val="baseline"/>
        <w:rPr>
          <w:rFonts w:hint="eastAsia" w:ascii="微软雅黑" w:hAnsi="微软雅黑" w:eastAsia="微软雅黑" w:cs="微软雅黑"/>
          <w:sz w:val="24"/>
          <w:szCs w:val="24"/>
        </w:rPr>
      </w:pPr>
      <w:bookmarkStart w:id="417" w:name="_Toc520356171"/>
      <w:bookmarkStart w:id="418" w:name="_Toc515647789"/>
      <w:r>
        <w:rPr>
          <w:rFonts w:hint="eastAsia" w:ascii="微软雅黑" w:hAnsi="微软雅黑" w:eastAsia="微软雅黑" w:cs="微软雅黑"/>
          <w:sz w:val="24"/>
          <w:szCs w:val="24"/>
        </w:rPr>
        <w:t>对实质上响应磋商文件的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按下列方法进行排序，确定投标候选人：</w:t>
      </w:r>
    </w:p>
    <w:p w14:paraId="3F7EF315">
      <w:pPr>
        <w:pageBreakBefore w:val="0"/>
        <w:kinsoku/>
        <w:wordWrap/>
        <w:overflowPunct/>
        <w:topLinePunct w:val="0"/>
        <w:bidi w:val="0"/>
        <w:snapToGrid w:val="0"/>
        <w:spacing w:line="520" w:lineRule="exact"/>
        <w:ind w:left="479" w:leftChars="228"/>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采用综合评分法，是经磋商确定最终采购需求和提交最后报价的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后，由磋商小组采用综合评分法对提交最后报价的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的响应文件和最后报价进行综合评分。响应文件满足磋商文件全部实质性要求且按评审因素的量化指标评审得分最高的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为成交候选</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的评审方法。评审得分且最后报价相同的，按照技术指标优劣顺序推荐。得分与投标报价均相同的处理方式详见磋商文件第6章。</w:t>
      </w:r>
    </w:p>
    <w:p w14:paraId="21236EEA">
      <w:pPr>
        <w:pageBreakBefore w:val="0"/>
        <w:kinsoku/>
        <w:wordWrap/>
        <w:overflowPunct/>
        <w:topLinePunct w:val="0"/>
        <w:bidi w:val="0"/>
        <w:snapToGrid w:val="0"/>
        <w:spacing w:line="520" w:lineRule="exact"/>
        <w:ind w:firstLine="480" w:firstLineChars="200"/>
        <w:textAlignment w:val="baseline"/>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sz w:val="24"/>
          <w:szCs w:val="24"/>
          <w:highlight w:val="none"/>
        </w:rPr>
        <w:t>本项目采用综合评分</w:t>
      </w:r>
      <w:r>
        <w:rPr>
          <w:rFonts w:hint="eastAsia" w:ascii="微软雅黑" w:hAnsi="微软雅黑" w:eastAsia="微软雅黑" w:cs="微软雅黑"/>
          <w:b/>
          <w:bCs/>
          <w:color w:val="auto"/>
          <w:sz w:val="24"/>
          <w:szCs w:val="24"/>
          <w:highlight w:val="none"/>
        </w:rPr>
        <w:t>法。</w:t>
      </w:r>
    </w:p>
    <w:p w14:paraId="4BDFC03F">
      <w:pPr>
        <w:pStyle w:val="4"/>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color w:val="auto"/>
          <w:sz w:val="24"/>
          <w:szCs w:val="24"/>
          <w:u w:val="none" w:color="auto"/>
        </w:rPr>
      </w:pPr>
      <w:bookmarkStart w:id="419" w:name="_Toc23951"/>
      <w:bookmarkStart w:id="420" w:name="_Toc9653"/>
      <w:bookmarkStart w:id="421" w:name="_Toc17933"/>
      <w:bookmarkStart w:id="422" w:name="_Toc15116"/>
      <w:bookmarkStart w:id="423" w:name="_Toc3720"/>
      <w:bookmarkStart w:id="424" w:name="_Toc14558"/>
      <w:bookmarkStart w:id="425" w:name="_Toc1644"/>
      <w:bookmarkStart w:id="426" w:name="_Toc17164"/>
      <w:bookmarkStart w:id="427" w:name="_Toc16846"/>
      <w:bookmarkStart w:id="428" w:name="_Toc1227"/>
      <w:bookmarkStart w:id="429" w:name="_Toc5598"/>
      <w:bookmarkStart w:id="430" w:name="_Toc24948"/>
      <w:r>
        <w:rPr>
          <w:rFonts w:hint="eastAsia" w:ascii="微软雅黑" w:hAnsi="微软雅黑" w:eastAsia="微软雅黑" w:cs="微软雅黑"/>
          <w:color w:val="auto"/>
          <w:sz w:val="24"/>
          <w:szCs w:val="24"/>
          <w:u w:val="none" w:color="auto"/>
        </w:rPr>
        <w:t>27</w:t>
      </w:r>
      <w:bookmarkEnd w:id="417"/>
      <w:r>
        <w:rPr>
          <w:rFonts w:hint="eastAsia" w:ascii="微软雅黑" w:hAnsi="微软雅黑" w:eastAsia="微软雅黑" w:cs="微软雅黑"/>
          <w:color w:val="auto"/>
          <w:sz w:val="24"/>
          <w:szCs w:val="24"/>
          <w:u w:val="none" w:color="auto"/>
        </w:rPr>
        <w:t>.确定成交候选人和</w:t>
      </w:r>
      <w:bookmarkEnd w:id="418"/>
      <w:bookmarkEnd w:id="419"/>
      <w:bookmarkEnd w:id="420"/>
      <w:bookmarkEnd w:id="421"/>
      <w:r>
        <w:rPr>
          <w:rFonts w:hint="eastAsia" w:ascii="微软雅黑" w:hAnsi="微软雅黑" w:eastAsia="微软雅黑" w:cs="微软雅黑"/>
          <w:color w:val="auto"/>
          <w:sz w:val="24"/>
          <w:szCs w:val="24"/>
          <w:u w:val="none" w:color="auto"/>
        </w:rPr>
        <w:t>成交人</w:t>
      </w:r>
      <w:bookmarkEnd w:id="422"/>
      <w:bookmarkEnd w:id="423"/>
      <w:bookmarkEnd w:id="424"/>
      <w:bookmarkEnd w:id="425"/>
      <w:bookmarkEnd w:id="426"/>
      <w:bookmarkEnd w:id="427"/>
      <w:bookmarkEnd w:id="428"/>
      <w:bookmarkEnd w:id="429"/>
      <w:bookmarkEnd w:id="430"/>
    </w:p>
    <w:p w14:paraId="740E226C">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磋商小组将根据评标标准，按</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须知资料表中</w:t>
      </w:r>
      <w:r>
        <w:rPr>
          <w:rFonts w:hint="eastAsia" w:ascii="微软雅黑" w:hAnsi="微软雅黑" w:eastAsia="微软雅黑" w:cs="微软雅黑"/>
          <w:sz w:val="24"/>
          <w:szCs w:val="24"/>
        </w:rPr>
        <w:t>规定数量推荐成交候选人；或根据</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的委托，直接确定成交人。</w:t>
      </w:r>
    </w:p>
    <w:p w14:paraId="301BF130">
      <w:pPr>
        <w:pStyle w:val="4"/>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431" w:name="_Toc520356173"/>
      <w:bookmarkStart w:id="432" w:name="_Ref467306874"/>
      <w:bookmarkStart w:id="433" w:name="_Toc31900"/>
      <w:bookmarkStart w:id="434" w:name="_Toc7729"/>
      <w:bookmarkStart w:id="435" w:name="_Toc27133"/>
      <w:bookmarkStart w:id="436" w:name="_Toc24602"/>
      <w:bookmarkStart w:id="437" w:name="_Toc515647790"/>
      <w:bookmarkStart w:id="438" w:name="_Toc20633"/>
      <w:bookmarkStart w:id="439" w:name="_Toc2091"/>
      <w:bookmarkStart w:id="440" w:name="_Toc8389"/>
      <w:bookmarkStart w:id="441" w:name="_Toc249"/>
      <w:bookmarkStart w:id="442" w:name="_Toc28562"/>
      <w:bookmarkStart w:id="443" w:name="_Toc27308"/>
      <w:bookmarkStart w:id="444" w:name="_Toc12652"/>
      <w:bookmarkStart w:id="445" w:name="_Toc27036"/>
      <w:r>
        <w:rPr>
          <w:rFonts w:hint="eastAsia" w:ascii="微软雅黑" w:hAnsi="微软雅黑" w:eastAsia="微软雅黑" w:cs="微软雅黑"/>
          <w:sz w:val="24"/>
          <w:szCs w:val="24"/>
          <w:u w:val="none" w:color="auto"/>
        </w:rPr>
        <w:t>28.</w:t>
      </w:r>
      <w:bookmarkEnd w:id="431"/>
      <w:bookmarkEnd w:id="432"/>
      <w:r>
        <w:rPr>
          <w:rFonts w:hint="eastAsia" w:ascii="微软雅黑" w:hAnsi="微软雅黑" w:eastAsia="微软雅黑" w:cs="微软雅黑"/>
          <w:sz w:val="24"/>
          <w:szCs w:val="24"/>
          <w:u w:val="none" w:color="auto"/>
        </w:rPr>
        <w:t>采购任务取消</w:t>
      </w:r>
      <w:bookmarkEnd w:id="433"/>
      <w:bookmarkEnd w:id="434"/>
      <w:bookmarkEnd w:id="435"/>
      <w:bookmarkEnd w:id="436"/>
      <w:bookmarkEnd w:id="437"/>
      <w:bookmarkEnd w:id="438"/>
      <w:bookmarkEnd w:id="439"/>
      <w:bookmarkEnd w:id="440"/>
      <w:bookmarkEnd w:id="441"/>
      <w:bookmarkEnd w:id="442"/>
      <w:bookmarkEnd w:id="443"/>
      <w:bookmarkEnd w:id="444"/>
      <w:bookmarkEnd w:id="445"/>
    </w:p>
    <w:p w14:paraId="42CFDF7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因重大变故采购任务取消时，</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有权拒绝任何</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成交，且对受影响的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不承担任何责任。</w:t>
      </w:r>
      <w:bookmarkStart w:id="446" w:name="_Toc520356174"/>
    </w:p>
    <w:p w14:paraId="238C833E">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447" w:name="_Toc7938"/>
      <w:bookmarkStart w:id="448" w:name="_Toc30170"/>
      <w:bookmarkStart w:id="449" w:name="_Toc31099"/>
      <w:bookmarkStart w:id="450" w:name="_Toc515647791"/>
      <w:bookmarkStart w:id="451" w:name="_Toc31506"/>
      <w:bookmarkStart w:id="452" w:name="_Toc2401"/>
      <w:bookmarkStart w:id="453" w:name="_Toc27516"/>
      <w:bookmarkStart w:id="454" w:name="_Toc11134"/>
      <w:bookmarkStart w:id="455" w:name="_Toc6223"/>
      <w:bookmarkStart w:id="456" w:name="_Toc15270"/>
      <w:bookmarkStart w:id="457" w:name="_Toc20620"/>
      <w:bookmarkStart w:id="458" w:name="_Toc29249"/>
      <w:bookmarkStart w:id="459" w:name="_Toc26091"/>
      <w:r>
        <w:rPr>
          <w:rFonts w:hint="eastAsia" w:ascii="微软雅黑" w:hAnsi="微软雅黑" w:eastAsia="微软雅黑" w:cs="微软雅黑"/>
          <w:sz w:val="24"/>
          <w:szCs w:val="24"/>
          <w:u w:val="none" w:color="auto"/>
        </w:rPr>
        <w:t>29.</w:t>
      </w:r>
      <w:bookmarkEnd w:id="446"/>
      <w:r>
        <w:rPr>
          <w:rFonts w:hint="eastAsia" w:ascii="微软雅黑" w:hAnsi="微软雅黑" w:eastAsia="微软雅黑" w:cs="微软雅黑"/>
          <w:sz w:val="24"/>
          <w:szCs w:val="24"/>
          <w:u w:val="none" w:color="auto"/>
        </w:rPr>
        <w:t>成交通知书和</w:t>
      </w:r>
      <w:r>
        <w:rPr>
          <w:rFonts w:hint="eastAsia" w:ascii="微软雅黑" w:hAnsi="微软雅黑" w:eastAsia="微软雅黑" w:cs="微软雅黑"/>
          <w:sz w:val="24"/>
          <w:szCs w:val="24"/>
          <w:u w:val="none" w:color="auto"/>
          <w:lang w:val="en-US" w:eastAsia="zh-CN"/>
        </w:rPr>
        <w:t>成交</w:t>
      </w:r>
      <w:r>
        <w:rPr>
          <w:rFonts w:hint="eastAsia" w:ascii="微软雅黑" w:hAnsi="微软雅黑" w:eastAsia="微软雅黑" w:cs="微软雅黑"/>
          <w:sz w:val="24"/>
          <w:szCs w:val="24"/>
          <w:u w:val="none" w:color="auto"/>
        </w:rPr>
        <w:t>结果通知书</w:t>
      </w:r>
      <w:bookmarkEnd w:id="447"/>
      <w:bookmarkEnd w:id="448"/>
      <w:bookmarkEnd w:id="449"/>
      <w:bookmarkEnd w:id="450"/>
      <w:bookmarkEnd w:id="451"/>
      <w:bookmarkEnd w:id="452"/>
      <w:bookmarkEnd w:id="453"/>
      <w:bookmarkEnd w:id="454"/>
      <w:bookmarkEnd w:id="455"/>
      <w:bookmarkEnd w:id="456"/>
      <w:bookmarkEnd w:id="457"/>
      <w:bookmarkEnd w:id="458"/>
      <w:bookmarkEnd w:id="459"/>
    </w:p>
    <w:p w14:paraId="5B75E4C8">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29.1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在磋商有效期内，成交人确定后，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发布成交公告，同时以书面形式向成交人发出成交通知书。</w:t>
      </w:r>
    </w:p>
    <w:p w14:paraId="2A3A1F79">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29.2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成交通知书是合同的组成部分。</w:t>
      </w:r>
    </w:p>
    <w:p w14:paraId="59F65743">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29.3    </w:t>
      </w:r>
      <w:r>
        <w:rPr>
          <w:rFonts w:hint="eastAsia" w:ascii="微软雅黑" w:hAnsi="微软雅黑" w:eastAsia="微软雅黑" w:cs="微软雅黑"/>
          <w:sz w:val="24"/>
          <w:szCs w:val="24"/>
          <w:lang w:val="en-US" w:eastAsia="zh-CN"/>
        </w:rPr>
        <w:t>成交</w:t>
      </w:r>
      <w:r>
        <w:rPr>
          <w:rFonts w:hint="eastAsia" w:ascii="微软雅黑" w:hAnsi="微软雅黑" w:eastAsia="微软雅黑" w:cs="微软雅黑"/>
          <w:sz w:val="24"/>
          <w:szCs w:val="24"/>
        </w:rPr>
        <w:t>结果通知书和成交通知书同时发出。</w:t>
      </w:r>
      <w:r>
        <w:rPr>
          <w:rFonts w:hint="eastAsia" w:ascii="微软雅黑" w:hAnsi="微软雅黑" w:eastAsia="微软雅黑" w:cs="微软雅黑"/>
          <w:sz w:val="24"/>
          <w:szCs w:val="24"/>
          <w:lang w:val="en-US" w:eastAsia="zh-CN"/>
        </w:rPr>
        <w:t>成交</w:t>
      </w:r>
      <w:r>
        <w:rPr>
          <w:rFonts w:hint="eastAsia" w:ascii="微软雅黑" w:hAnsi="微软雅黑" w:eastAsia="微软雅黑" w:cs="微软雅黑"/>
          <w:sz w:val="24"/>
          <w:szCs w:val="24"/>
        </w:rPr>
        <w:t>结果通知书中将告知未通过资格审查的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未通过的原因；采用综合评分法评审的，还将告知未成交人本人的评审得分和排序。</w:t>
      </w:r>
    </w:p>
    <w:p w14:paraId="1D5D7C30">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rPr>
      </w:pPr>
      <w:bookmarkStart w:id="460" w:name="_Ref467307204"/>
      <w:bookmarkStart w:id="461" w:name="_Toc7779"/>
      <w:bookmarkStart w:id="462" w:name="_Toc790"/>
      <w:bookmarkStart w:id="463" w:name="_Toc515647792"/>
      <w:bookmarkStart w:id="464" w:name="_Toc19431"/>
      <w:bookmarkStart w:id="465" w:name="_Toc29762"/>
      <w:bookmarkStart w:id="466" w:name="_Ref467306377"/>
      <w:bookmarkStart w:id="467" w:name="_Toc11296"/>
      <w:bookmarkStart w:id="468" w:name="_Toc22868"/>
      <w:bookmarkStart w:id="469" w:name="_Toc8912"/>
      <w:bookmarkStart w:id="470" w:name="_Toc520356175"/>
      <w:bookmarkStart w:id="471" w:name="_Toc1076"/>
      <w:bookmarkStart w:id="472" w:name="_Toc15063"/>
      <w:bookmarkStart w:id="473" w:name="_Toc307"/>
      <w:bookmarkStart w:id="474" w:name="_Ref467307062"/>
      <w:bookmarkStart w:id="475" w:name="_Toc13301"/>
      <w:bookmarkStart w:id="476" w:name="_Ref467306978"/>
      <w:bookmarkStart w:id="477" w:name="_Toc20587"/>
      <w:r>
        <w:rPr>
          <w:rFonts w:hint="eastAsia" w:ascii="微软雅黑" w:hAnsi="微软雅黑" w:eastAsia="微软雅黑" w:cs="微软雅黑"/>
          <w:sz w:val="24"/>
          <w:szCs w:val="24"/>
          <w:u w:val="none"/>
        </w:rPr>
        <w:t>30.签订合同</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48B1D3D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30.1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成交人应当自发出成交通知书之日起30日内，与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签订合同。</w:t>
      </w:r>
    </w:p>
    <w:p w14:paraId="75DFD80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30.2</w:t>
      </w:r>
      <w:r>
        <w:rPr>
          <w:rFonts w:hint="eastAsia" w:ascii="微软雅黑" w:hAnsi="微软雅黑" w:eastAsia="微软雅黑" w:cs="微软雅黑"/>
          <w:sz w:val="24"/>
          <w:szCs w:val="24"/>
        </w:rPr>
        <w:tab/>
      </w:r>
      <w:bookmarkStart w:id="478" w:name="_Ref467306425"/>
      <w:bookmarkStart w:id="479" w:name="_Toc520356176"/>
      <w:bookmarkStart w:id="480" w:name="_Ref467307090"/>
      <w:r>
        <w:rPr>
          <w:rFonts w:hint="eastAsia" w:ascii="微软雅黑" w:hAnsi="微软雅黑" w:eastAsia="微软雅黑" w:cs="微软雅黑"/>
          <w:sz w:val="24"/>
          <w:szCs w:val="24"/>
        </w:rPr>
        <w:t>磋商文件、成交人的响应文件及其澄清文件等，均为签订合同的依据。</w:t>
      </w:r>
    </w:p>
    <w:p w14:paraId="42C35CF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30.3   成交人拒绝与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签订合同的，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可以按照评审报告推荐的成交候选人名单排序，确定下一成交候选人为成交人，也可以重新开展政府采购活动。</w:t>
      </w:r>
    </w:p>
    <w:p w14:paraId="66243CF4">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30.4   当出现法规规定的成交无效或成交结果无效情形时，</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可与排名下一位的成交候选人另行签订合同，或依法重新开展采购活动。</w:t>
      </w:r>
    </w:p>
    <w:p w14:paraId="1482F1A7">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rPr>
      </w:pPr>
      <w:bookmarkStart w:id="481" w:name="_Toc6921"/>
      <w:bookmarkStart w:id="482" w:name="_Toc5437"/>
      <w:bookmarkStart w:id="483" w:name="_Toc24808"/>
      <w:bookmarkStart w:id="484" w:name="_Toc14839"/>
      <w:bookmarkStart w:id="485" w:name="_Toc15573"/>
      <w:bookmarkStart w:id="486" w:name="_Toc22555"/>
      <w:bookmarkStart w:id="487" w:name="_Toc14080"/>
      <w:bookmarkStart w:id="488" w:name="_Toc32532"/>
      <w:bookmarkStart w:id="489" w:name="_Toc515647793"/>
      <w:bookmarkStart w:id="490" w:name="_Toc10911"/>
      <w:bookmarkStart w:id="491" w:name="_Toc13164"/>
      <w:bookmarkStart w:id="492" w:name="_Toc26893"/>
      <w:bookmarkStart w:id="493" w:name="_Toc22126"/>
      <w:r>
        <w:rPr>
          <w:rFonts w:hint="eastAsia" w:ascii="微软雅黑" w:hAnsi="微软雅黑" w:eastAsia="微软雅黑" w:cs="微软雅黑"/>
          <w:sz w:val="24"/>
          <w:szCs w:val="24"/>
          <w:u w:val="none"/>
        </w:rPr>
        <w:t>31.履约保证金</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249CF497">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31.1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成交人应按照</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须知资料表规定向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缴纳履约保证金（如采用保函形式，格式见本章附件1）。</w:t>
      </w:r>
    </w:p>
    <w:p w14:paraId="44522C4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31.2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政府采购利用担保试点范围内的项目，除31.1规定的情形外，成交人也可以按照财政部门的规定，向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提供合格的履约担保函（格式见本章附件2）。</w:t>
      </w:r>
    </w:p>
    <w:p w14:paraId="3C38524A">
      <w:pPr>
        <w:pageBreakBefore w:val="0"/>
        <w:kinsoku/>
        <w:wordWrap/>
        <w:overflowPunct/>
        <w:topLinePunct w:val="0"/>
        <w:bidi w:val="0"/>
        <w:snapToGrid w:val="0"/>
        <w:spacing w:line="520" w:lineRule="exact"/>
        <w:ind w:left="960" w:hanging="960" w:hangingChars="400"/>
        <w:jc w:val="left"/>
        <w:textAlignment w:val="baseline"/>
        <w:rPr>
          <w:rFonts w:hint="eastAsia" w:ascii="微软雅黑" w:hAnsi="微软雅黑" w:eastAsia="微软雅黑" w:cs="微软雅黑"/>
          <w:bCs/>
          <w:sz w:val="24"/>
          <w:szCs w:val="24"/>
          <w:u w:val="single" w:color="000000"/>
        </w:rPr>
      </w:pPr>
      <w:bookmarkStart w:id="494" w:name="_Toc5352"/>
      <w:bookmarkStart w:id="495" w:name="_Toc13783"/>
      <w:bookmarkStart w:id="496" w:name="_Toc14350"/>
      <w:bookmarkStart w:id="497" w:name="_Toc864"/>
      <w:bookmarkStart w:id="498" w:name="_Toc32107"/>
      <w:bookmarkStart w:id="499" w:name="_Toc1888"/>
      <w:bookmarkStart w:id="500" w:name="_Toc7088"/>
      <w:r>
        <w:rPr>
          <w:rFonts w:hint="eastAsia" w:ascii="微软雅黑" w:hAnsi="微软雅黑" w:eastAsia="微软雅黑" w:cs="微软雅黑"/>
          <w:sz w:val="24"/>
          <w:szCs w:val="24"/>
        </w:rPr>
        <w:t>31.3   如果成交人没有按照上述履约保证金的规定执行，将视为放弃成交资格，成交人的磋商保证金将不予退还。在此情况下，</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可确定下一候选</w:t>
      </w:r>
      <w:r>
        <w:rPr>
          <w:rFonts w:hint="eastAsia" w:ascii="微软雅黑" w:hAnsi="微软雅黑" w:eastAsia="微软雅黑" w:cs="微软雅黑"/>
          <w:bCs/>
          <w:sz w:val="24"/>
          <w:szCs w:val="24"/>
        </w:rPr>
        <w:t>人为成交人，也可以重新开展采购活动。</w:t>
      </w:r>
      <w:bookmarkEnd w:id="494"/>
      <w:bookmarkEnd w:id="495"/>
      <w:bookmarkEnd w:id="496"/>
      <w:bookmarkEnd w:id="497"/>
      <w:bookmarkEnd w:id="498"/>
      <w:bookmarkEnd w:id="499"/>
      <w:bookmarkEnd w:id="500"/>
    </w:p>
    <w:p w14:paraId="6737B0CF">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rPr>
      </w:pPr>
      <w:bookmarkStart w:id="501" w:name="_Toc10734"/>
      <w:bookmarkStart w:id="502" w:name="_Toc31215"/>
      <w:bookmarkStart w:id="503" w:name="_Toc27934"/>
      <w:bookmarkStart w:id="504" w:name="_Toc26452"/>
      <w:bookmarkStart w:id="505" w:name="_Toc11939"/>
      <w:bookmarkStart w:id="506" w:name="_Toc12971"/>
      <w:bookmarkStart w:id="507" w:name="_Toc3090"/>
      <w:bookmarkStart w:id="508" w:name="_Toc29652"/>
      <w:bookmarkStart w:id="509" w:name="_Toc29408"/>
      <w:bookmarkStart w:id="510" w:name="_Toc515647794"/>
      <w:bookmarkStart w:id="511" w:name="_Toc8658"/>
      <w:bookmarkStart w:id="512" w:name="_Toc16384"/>
      <w:bookmarkStart w:id="513" w:name="_Toc23392"/>
      <w:r>
        <w:rPr>
          <w:rFonts w:hint="eastAsia" w:ascii="微软雅黑" w:hAnsi="微软雅黑" w:eastAsia="微软雅黑" w:cs="微软雅黑"/>
          <w:sz w:val="24"/>
          <w:szCs w:val="24"/>
          <w:u w:val="none"/>
        </w:rPr>
        <w:t>32.成交服务费</w:t>
      </w:r>
      <w:bookmarkEnd w:id="501"/>
      <w:bookmarkEnd w:id="502"/>
      <w:bookmarkEnd w:id="503"/>
      <w:bookmarkEnd w:id="504"/>
      <w:bookmarkEnd w:id="505"/>
      <w:bookmarkEnd w:id="506"/>
      <w:bookmarkEnd w:id="507"/>
      <w:bookmarkEnd w:id="508"/>
      <w:bookmarkEnd w:id="509"/>
      <w:bookmarkEnd w:id="510"/>
      <w:bookmarkEnd w:id="511"/>
      <w:bookmarkEnd w:id="512"/>
      <w:bookmarkEnd w:id="513"/>
    </w:p>
    <w:p w14:paraId="5F7D8A2D">
      <w:pPr>
        <w:pageBreakBefore w:val="0"/>
        <w:kinsoku/>
        <w:wordWrap/>
        <w:overflowPunct/>
        <w:topLinePunct w:val="0"/>
        <w:bidi w:val="0"/>
        <w:snapToGrid w:val="0"/>
        <w:spacing w:line="520" w:lineRule="exact"/>
        <w:jc w:val="left"/>
        <w:textAlignment w:val="baseline"/>
        <w:rPr>
          <w:rFonts w:hint="eastAsia" w:ascii="微软雅黑" w:hAnsi="微软雅黑" w:eastAsia="微软雅黑" w:cs="微软雅黑"/>
          <w:bCs/>
          <w:sz w:val="24"/>
          <w:szCs w:val="24"/>
          <w:u w:val="none"/>
        </w:rPr>
      </w:pPr>
      <w:r>
        <w:rPr>
          <w:rFonts w:hint="eastAsia" w:ascii="微软雅黑" w:hAnsi="微软雅黑" w:eastAsia="微软雅黑" w:cs="微软雅黑"/>
          <w:bCs/>
          <w:sz w:val="24"/>
          <w:szCs w:val="24"/>
          <w:u w:val="none"/>
        </w:rPr>
        <w:t xml:space="preserve">   </w:t>
      </w:r>
      <w:bookmarkStart w:id="514" w:name="_Toc23886"/>
      <w:bookmarkStart w:id="515" w:name="_Toc2958"/>
      <w:bookmarkStart w:id="516" w:name="_Toc31147"/>
      <w:bookmarkStart w:id="517" w:name="_Toc30095"/>
      <w:bookmarkStart w:id="518" w:name="_Toc3808"/>
      <w:bookmarkStart w:id="519" w:name="_Toc6649"/>
      <w:bookmarkStart w:id="520" w:name="_Toc30285"/>
      <w:r>
        <w:rPr>
          <w:rFonts w:hint="eastAsia" w:ascii="微软雅黑" w:hAnsi="微软雅黑" w:eastAsia="微软雅黑" w:cs="微软雅黑"/>
          <w:bCs/>
          <w:sz w:val="24"/>
          <w:szCs w:val="24"/>
          <w:u w:val="none"/>
        </w:rPr>
        <w:t xml:space="preserve">   成交人须按照磋商须知资料表规定，向</w:t>
      </w:r>
      <w:r>
        <w:rPr>
          <w:rFonts w:hint="eastAsia" w:ascii="微软雅黑" w:hAnsi="微软雅黑" w:eastAsia="微软雅黑" w:cs="微软雅黑"/>
          <w:bCs/>
          <w:sz w:val="24"/>
          <w:szCs w:val="24"/>
          <w:u w:val="none"/>
          <w:lang w:eastAsia="zh-CN"/>
        </w:rPr>
        <w:t>代理机构</w:t>
      </w:r>
      <w:r>
        <w:rPr>
          <w:rFonts w:hint="eastAsia" w:ascii="微软雅黑" w:hAnsi="微软雅黑" w:eastAsia="微软雅黑" w:cs="微软雅黑"/>
          <w:bCs/>
          <w:sz w:val="24"/>
          <w:szCs w:val="24"/>
          <w:u w:val="none"/>
        </w:rPr>
        <w:t>支付成交服务费。</w:t>
      </w:r>
      <w:bookmarkEnd w:id="514"/>
      <w:bookmarkEnd w:id="515"/>
      <w:bookmarkEnd w:id="516"/>
      <w:bookmarkEnd w:id="517"/>
      <w:bookmarkEnd w:id="518"/>
      <w:bookmarkEnd w:id="519"/>
      <w:bookmarkEnd w:id="520"/>
    </w:p>
    <w:p w14:paraId="5AC6E2FD">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rPr>
      </w:pPr>
      <w:bookmarkStart w:id="521" w:name="_Toc7049"/>
      <w:bookmarkStart w:id="522" w:name="_Toc5403"/>
      <w:bookmarkStart w:id="523" w:name="_Toc24064"/>
      <w:bookmarkStart w:id="524" w:name="_Toc15699"/>
      <w:bookmarkStart w:id="525" w:name="_Toc515647795"/>
      <w:bookmarkStart w:id="526" w:name="_Toc6923"/>
      <w:bookmarkStart w:id="527" w:name="_Toc18898"/>
      <w:bookmarkStart w:id="528" w:name="_Toc32437"/>
      <w:bookmarkStart w:id="529" w:name="_Toc31549"/>
      <w:bookmarkStart w:id="530" w:name="_Toc1343"/>
      <w:bookmarkStart w:id="531" w:name="_Toc3754"/>
      <w:bookmarkStart w:id="532" w:name="_Toc28128"/>
      <w:bookmarkStart w:id="533" w:name="_Toc26134"/>
      <w:r>
        <w:rPr>
          <w:rFonts w:hint="eastAsia" w:ascii="微软雅黑" w:hAnsi="微软雅黑" w:eastAsia="微软雅黑" w:cs="微软雅黑"/>
          <w:sz w:val="24"/>
          <w:szCs w:val="24"/>
          <w:u w:val="none"/>
        </w:rPr>
        <w:t>33.政府采购信用担保</w:t>
      </w:r>
      <w:bookmarkEnd w:id="521"/>
      <w:bookmarkEnd w:id="522"/>
      <w:bookmarkEnd w:id="523"/>
      <w:bookmarkEnd w:id="524"/>
      <w:bookmarkEnd w:id="525"/>
      <w:bookmarkEnd w:id="526"/>
      <w:bookmarkEnd w:id="527"/>
      <w:bookmarkEnd w:id="528"/>
      <w:bookmarkEnd w:id="529"/>
      <w:bookmarkEnd w:id="530"/>
      <w:bookmarkEnd w:id="531"/>
      <w:bookmarkEnd w:id="532"/>
      <w:bookmarkEnd w:id="533"/>
    </w:p>
    <w:p w14:paraId="1A770940">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33.1   本项目是否属于信用担保试点范围见</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须知资料表。</w:t>
      </w:r>
    </w:p>
    <w:p w14:paraId="0BD6BCA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33.2   如属于政府采购信用担保试点范围内，中小型企业</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可以自由按照财政部门的规定，采用磋商担保、履约担保和融资担保。</w:t>
      </w:r>
    </w:p>
    <w:p w14:paraId="55AF0A59">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33.2.1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递交的磋商担保函和履约担保函应符合本磋商文件的规定。</w:t>
      </w:r>
    </w:p>
    <w:p w14:paraId="1983261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33.2.2 成交人可以采取融资担保的形式为政府采购项目履约进行融资。</w:t>
      </w:r>
    </w:p>
    <w:p w14:paraId="7105D62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33.2.3 合格的政府采购专业信用担保机构名单见</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须知资料表。</w:t>
      </w:r>
    </w:p>
    <w:p w14:paraId="0BD65307">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534" w:name="_Toc28874"/>
      <w:bookmarkStart w:id="535" w:name="_Toc25781"/>
      <w:bookmarkStart w:id="536" w:name="_Toc16394"/>
      <w:bookmarkStart w:id="537" w:name="_Toc15842"/>
      <w:bookmarkStart w:id="538" w:name="_Toc27619"/>
      <w:bookmarkStart w:id="539" w:name="_Toc7616"/>
      <w:bookmarkStart w:id="540" w:name="_Toc24726"/>
      <w:bookmarkStart w:id="541" w:name="_Toc26887"/>
      <w:bookmarkStart w:id="542" w:name="_Toc2133"/>
      <w:bookmarkStart w:id="543" w:name="_Toc515647796"/>
      <w:bookmarkStart w:id="544" w:name="_Toc9673"/>
      <w:bookmarkStart w:id="545" w:name="_Toc9559"/>
      <w:bookmarkStart w:id="546" w:name="_Toc23999"/>
      <w:r>
        <w:rPr>
          <w:rFonts w:hint="eastAsia" w:ascii="微软雅黑" w:hAnsi="微软雅黑" w:eastAsia="微软雅黑" w:cs="微软雅黑"/>
          <w:sz w:val="24"/>
          <w:szCs w:val="24"/>
          <w:u w:val="none" w:color="auto"/>
        </w:rPr>
        <w:t>34.廉洁自律规定</w:t>
      </w:r>
      <w:bookmarkEnd w:id="534"/>
      <w:bookmarkEnd w:id="535"/>
      <w:bookmarkEnd w:id="536"/>
      <w:bookmarkEnd w:id="537"/>
      <w:bookmarkEnd w:id="538"/>
      <w:bookmarkEnd w:id="539"/>
      <w:bookmarkEnd w:id="540"/>
      <w:bookmarkEnd w:id="541"/>
      <w:bookmarkEnd w:id="542"/>
      <w:bookmarkEnd w:id="543"/>
      <w:bookmarkEnd w:id="544"/>
      <w:bookmarkEnd w:id="545"/>
      <w:bookmarkEnd w:id="546"/>
    </w:p>
    <w:p w14:paraId="28A1E66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34.1   </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工作人员不得以不正当手段获取政府采购代理业务，不得与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恶意串通操纵政府采购活动。</w:t>
      </w:r>
    </w:p>
    <w:p w14:paraId="288FD0C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34.2   </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工作人员不得接受</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组织的宴请、旅游、娱乐，不得收受礼品、现金、有价证券等，不得向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报销应当由个人承担的费用。</w:t>
      </w:r>
    </w:p>
    <w:p w14:paraId="3904B50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34.3   为强化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内部监督机制，</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可按</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须知资料表中的</w:t>
      </w:r>
      <w:r>
        <w:rPr>
          <w:rFonts w:hint="eastAsia" w:ascii="微软雅黑" w:hAnsi="微软雅黑" w:eastAsia="微软雅黑" w:cs="微软雅黑"/>
          <w:sz w:val="24"/>
          <w:szCs w:val="24"/>
        </w:rPr>
        <w:t>监督电话和邮箱，反映</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的廉洁自律等问题。</w:t>
      </w:r>
    </w:p>
    <w:p w14:paraId="26371282">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547" w:name="_Toc1011"/>
      <w:bookmarkStart w:id="548" w:name="_Toc32457"/>
      <w:bookmarkStart w:id="549" w:name="_Toc25440"/>
      <w:bookmarkStart w:id="550" w:name="_Toc17910"/>
      <w:bookmarkStart w:id="551" w:name="_Toc24873"/>
      <w:bookmarkStart w:id="552" w:name="_Toc3386"/>
      <w:bookmarkStart w:id="553" w:name="_Toc20804"/>
      <w:bookmarkStart w:id="554" w:name="_Toc8702"/>
      <w:bookmarkStart w:id="555" w:name="_Toc515647797"/>
      <w:bookmarkStart w:id="556" w:name="_Toc25480"/>
      <w:bookmarkStart w:id="557" w:name="_Toc15647"/>
      <w:bookmarkStart w:id="558" w:name="_Toc22851"/>
      <w:bookmarkStart w:id="559" w:name="_Toc11586"/>
      <w:r>
        <w:rPr>
          <w:rFonts w:hint="eastAsia" w:ascii="微软雅黑" w:hAnsi="微软雅黑" w:eastAsia="微软雅黑" w:cs="微软雅黑"/>
          <w:sz w:val="24"/>
          <w:szCs w:val="24"/>
          <w:u w:val="none" w:color="auto"/>
        </w:rPr>
        <w:t>35.人员回避</w:t>
      </w:r>
      <w:bookmarkEnd w:id="547"/>
      <w:bookmarkEnd w:id="548"/>
      <w:bookmarkEnd w:id="549"/>
      <w:bookmarkEnd w:id="550"/>
      <w:bookmarkEnd w:id="551"/>
      <w:bookmarkEnd w:id="552"/>
      <w:bookmarkEnd w:id="553"/>
      <w:bookmarkEnd w:id="554"/>
      <w:bookmarkEnd w:id="555"/>
      <w:bookmarkEnd w:id="556"/>
      <w:bookmarkEnd w:id="557"/>
      <w:bookmarkEnd w:id="558"/>
      <w:bookmarkEnd w:id="559"/>
    </w:p>
    <w:p w14:paraId="6F6A07F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认为</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员及其相关人员有法律法规所列与其他</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有利害关系的，可以向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书面提出回避申请，并说明理由。</w:t>
      </w:r>
    </w:p>
    <w:p w14:paraId="33CAEC05">
      <w:pPr>
        <w:pStyle w:val="4"/>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560" w:name="_Toc9031"/>
      <w:bookmarkStart w:id="561" w:name="_Toc25962"/>
      <w:bookmarkStart w:id="562" w:name="_Toc24595"/>
      <w:bookmarkStart w:id="563" w:name="_Toc24801"/>
      <w:bookmarkStart w:id="564" w:name="_Toc15825"/>
      <w:bookmarkStart w:id="565" w:name="_Toc30280"/>
      <w:bookmarkStart w:id="566" w:name="_Toc17952"/>
      <w:bookmarkStart w:id="567" w:name="_Toc11115"/>
      <w:bookmarkStart w:id="568" w:name="_Toc515647798"/>
      <w:bookmarkStart w:id="569" w:name="_Toc23729"/>
      <w:bookmarkStart w:id="570" w:name="_Toc1148"/>
      <w:bookmarkStart w:id="571" w:name="_Toc31508"/>
      <w:bookmarkStart w:id="572" w:name="_Toc14325"/>
      <w:r>
        <w:rPr>
          <w:rFonts w:hint="eastAsia" w:ascii="微软雅黑" w:hAnsi="微软雅黑" w:eastAsia="微软雅黑" w:cs="微软雅黑"/>
          <w:sz w:val="24"/>
          <w:szCs w:val="24"/>
          <w:u w:val="none" w:color="auto"/>
        </w:rPr>
        <w:t>36.质疑与接收</w:t>
      </w:r>
      <w:bookmarkEnd w:id="560"/>
      <w:bookmarkEnd w:id="561"/>
      <w:bookmarkEnd w:id="562"/>
      <w:bookmarkEnd w:id="563"/>
      <w:bookmarkEnd w:id="564"/>
      <w:bookmarkEnd w:id="565"/>
      <w:bookmarkEnd w:id="566"/>
      <w:bookmarkEnd w:id="567"/>
      <w:bookmarkEnd w:id="568"/>
      <w:bookmarkEnd w:id="569"/>
      <w:bookmarkEnd w:id="570"/>
      <w:bookmarkEnd w:id="571"/>
      <w:bookmarkEnd w:id="572"/>
    </w:p>
    <w:p w14:paraId="23AD143F">
      <w:pPr>
        <w:pageBreakBefore w:val="0"/>
        <w:kinsoku/>
        <w:wordWrap/>
        <w:overflowPunct/>
        <w:topLinePunct w:val="0"/>
        <w:bidi w:val="0"/>
        <w:snapToGrid w:val="0"/>
        <w:spacing w:line="520" w:lineRule="exact"/>
        <w:ind w:left="708" w:hanging="708" w:hangingChars="29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36.1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认为磋商文件、招标过程和成交结果使自己的权益受到损害的，可以根据《中华人民共和国政府采购法》、《中华人民共和国政府采购法实施条例》、《政府采购竞争性磋商采购方式管理暂行办法》和《政府采购质疑和投诉办法》的有关规定，依法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或其委托的</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提出质疑。</w:t>
      </w:r>
    </w:p>
    <w:p w14:paraId="5D6E7E8F">
      <w:pPr>
        <w:pageBreakBefore w:val="0"/>
        <w:kinsoku/>
        <w:wordWrap/>
        <w:overflowPunct/>
        <w:topLinePunct w:val="0"/>
        <w:bidi w:val="0"/>
        <w:snapToGrid w:val="0"/>
        <w:spacing w:line="520" w:lineRule="exact"/>
        <w:ind w:left="708" w:hanging="708" w:hangingChars="29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36.2  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应按照财政部制定的《政府采购质疑函范本》格式（可从财政部官方网站下载）和《政府采购质疑和投诉办法》的要求，在法定质疑期内以纸质形式提出质疑，针对同一采购程序环节的质疑应一次性提出。</w:t>
      </w:r>
    </w:p>
    <w:p w14:paraId="3442B5E4">
      <w:pPr>
        <w:pageBreakBefore w:val="0"/>
        <w:kinsoku/>
        <w:wordWrap/>
        <w:overflowPunct/>
        <w:topLinePunct w:val="0"/>
        <w:bidi w:val="0"/>
        <w:snapToGrid w:val="0"/>
        <w:spacing w:line="520" w:lineRule="exact"/>
        <w:ind w:left="718" w:leftChars="342"/>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超出法定质疑期的、重复提出的、分次提出的或内容、形式不符合《政府采购质疑和投诉办法》的，质疑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将依法承担不利后果。</w:t>
      </w:r>
    </w:p>
    <w:p w14:paraId="00AA3138">
      <w:pPr>
        <w:pageBreakBefore w:val="0"/>
        <w:kinsoku/>
        <w:wordWrap/>
        <w:overflowPunct/>
        <w:topLinePunct w:val="0"/>
        <w:bidi w:val="0"/>
        <w:snapToGrid w:val="0"/>
        <w:spacing w:line="520" w:lineRule="exact"/>
        <w:ind w:left="708" w:hanging="708" w:hangingChars="29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36.3  </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质疑函接收部门、联系电话和通讯地址, 见</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p>
    <w:p w14:paraId="73777707">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35.4   质疑的提出</w:t>
      </w:r>
    </w:p>
    <w:p w14:paraId="1AEFEB8B">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35.5   本</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中所称质疑及答复，是指参加本次采购活动的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对政府采购活动中的</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、采购过程和成交结果向采购方提出质疑，采购方答复质疑的行为。</w:t>
      </w:r>
    </w:p>
    <w:p w14:paraId="0DF1274B">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35.6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认为</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、采购过程和成交结果使自己的权益受到损害的，可以在知道或者应知其权益受到损害之日起7个工作日内，以书面形式向采购方提出质疑。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应知其权益受到损害之日，是指：</w:t>
      </w:r>
    </w:p>
    <w:p w14:paraId="31F25798">
      <w:pPr>
        <w:pageBreakBefore w:val="0"/>
        <w:kinsoku/>
        <w:wordWrap/>
        <w:overflowPunct/>
        <w:topLinePunct w:val="0"/>
        <w:bidi w:val="0"/>
        <w:snapToGrid w:val="0"/>
        <w:spacing w:line="520" w:lineRule="exact"/>
        <w:ind w:left="718" w:leftChars="342" w:firstLine="60" w:firstLineChars="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（一）对可以质疑的</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提出质疑的，为收到</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之日或者</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公告期限届满之日；</w:t>
      </w:r>
    </w:p>
    <w:p w14:paraId="1CAC147B">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（二）对采购过程提出质疑的，为各采购程序环节结束之日；</w:t>
      </w:r>
    </w:p>
    <w:p w14:paraId="51D14BBD">
      <w:pPr>
        <w:pageBreakBefore w:val="0"/>
        <w:kinsoku/>
        <w:wordWrap/>
        <w:overflowPunct/>
        <w:topLinePunct w:val="0"/>
        <w:bidi w:val="0"/>
        <w:snapToGrid w:val="0"/>
        <w:spacing w:line="520" w:lineRule="exact"/>
        <w:ind w:firstLine="720" w:firstLineChars="3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（三）对成交结果提出质疑的，为成交结果公告期限届满之日。</w:t>
      </w:r>
    </w:p>
    <w:p w14:paraId="2B8B5DEB">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35.7   对可以质疑的</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提出质疑的，质疑人为参与本项目的报价方或潜在报价方。可质疑的文件为采购公告以及</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（包括属于其组成部分的澄清、修改、补充文件和评审标准、合同文本等）。</w:t>
      </w:r>
    </w:p>
    <w:p w14:paraId="0A03CB9D">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35.8   对采购过程和成交结果提出质疑的，质疑人为直接参与本项目的报价方。采购过程,即从采购项目信息公告发布起到成交结果公告止，包括</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的发出、提交响应文件、响应文件开启、评审等各个采购程序环节。</w:t>
      </w:r>
    </w:p>
    <w:p w14:paraId="6AE30F46">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35.9   提出质疑应当符合下列条件：</w:t>
      </w:r>
    </w:p>
    <w:p w14:paraId="1190575C">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（一）质疑主体应当符合有关规定；</w:t>
      </w:r>
    </w:p>
    <w:p w14:paraId="6D47FDE9">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（二）在质疑法定期限内提出；</w:t>
      </w:r>
    </w:p>
    <w:p w14:paraId="5F014935">
      <w:pPr>
        <w:pageBreakBefore w:val="0"/>
        <w:kinsoku/>
        <w:wordWrap/>
        <w:overflowPunct/>
        <w:topLinePunct w:val="0"/>
        <w:bidi w:val="0"/>
        <w:snapToGrid w:val="0"/>
        <w:spacing w:line="520" w:lineRule="exact"/>
        <w:ind w:left="1138" w:leftChars="456" w:hanging="180" w:hangingChars="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（三）属于可以提出质疑的政府采购事项受理范围和本项目</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的管辖权范围；</w:t>
      </w:r>
    </w:p>
    <w:p w14:paraId="1CF06A46">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（四）政府采购法律、法规、规章规定的其他条件。</w:t>
      </w:r>
    </w:p>
    <w:p w14:paraId="43AF3E7F">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78A356F">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35.11  质疑人所提供的证明材料应当具有真实性、合法性以及与质疑事项的关联性和证明力，否则不能作为认定该质疑事项成立的依据。</w:t>
      </w:r>
    </w:p>
    <w:p w14:paraId="03ED6E21">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35.12  质疑人提出质疑时应当提交质疑函。质疑函包括下列内容：</w:t>
      </w:r>
    </w:p>
    <w:p w14:paraId="5BA0E25E">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（一）提出质疑的质疑人的名称、地址、邮编、联系人及联系电话等；</w:t>
      </w:r>
    </w:p>
    <w:p w14:paraId="24AE6EA4">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（二）质疑项目的名称、编号；</w:t>
      </w:r>
    </w:p>
    <w:p w14:paraId="65423617">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（三）质疑事项；</w:t>
      </w:r>
    </w:p>
    <w:p w14:paraId="052F6137">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（四）事实依据和证明材料；</w:t>
      </w:r>
    </w:p>
    <w:p w14:paraId="3419AC1A">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（五）法律依据；</w:t>
      </w:r>
    </w:p>
    <w:p w14:paraId="6889C615">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（六）提出质疑的日期。</w:t>
      </w:r>
    </w:p>
    <w:p w14:paraId="167A6678">
      <w:pPr>
        <w:pageBreakBefore w:val="0"/>
        <w:kinsoku/>
        <w:wordWrap/>
        <w:overflowPunct/>
        <w:topLinePunct w:val="0"/>
        <w:bidi w:val="0"/>
        <w:snapToGrid w:val="0"/>
        <w:spacing w:line="520" w:lineRule="exact"/>
        <w:ind w:left="958" w:leftChars="456" w:firstLine="60" w:firstLineChars="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质疑函采用实名制。质疑人为自然人的应当由本人签字，并附有效身份证明文件；质疑人为法人或者非法人组织的应当由法定代表人或者负责人签字并加盖公章，并附有效身份证明文件。</w:t>
      </w:r>
    </w:p>
    <w:p w14:paraId="4988076E">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35.13  质疑人可以委托代理人进行质疑。代理人应当提交授权委托书。授权委托书应当载明委托代理的具体权限、期限和相关事项。</w:t>
      </w:r>
    </w:p>
    <w:p w14:paraId="3C83CB45">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35.14  质疑的审查和受理</w:t>
      </w:r>
    </w:p>
    <w:p w14:paraId="56B49EC2">
      <w:pPr>
        <w:pageBreakBefore w:val="0"/>
        <w:kinsoku/>
        <w:wordWrap/>
        <w:overflowPunct/>
        <w:topLinePunct w:val="0"/>
        <w:bidi w:val="0"/>
        <w:snapToGrid w:val="0"/>
        <w:spacing w:line="520" w:lineRule="exact"/>
        <w:ind w:left="958" w:leftChars="456"/>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采购方在收到质疑函后应当及时审查是否符合质疑受理条件，对符合质疑受理条件的，及时予以受理。</w:t>
      </w:r>
    </w:p>
    <w:p w14:paraId="2959C07E">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35.15  对不符合质疑受理条件的，分别按照下列不同情形予以处理：</w:t>
      </w:r>
    </w:p>
    <w:p w14:paraId="34CB5347">
      <w:pPr>
        <w:pageBreakBefore w:val="0"/>
        <w:kinsoku/>
        <w:wordWrap/>
        <w:overflowPunct/>
        <w:topLinePunct w:val="0"/>
        <w:bidi w:val="0"/>
        <w:snapToGrid w:val="0"/>
        <w:spacing w:line="520" w:lineRule="exact"/>
        <w:ind w:left="1138" w:leftChars="456" w:hanging="180" w:hangingChars="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（一）质疑函内容不符合规定的，告知质疑人进行修改并重新提出质疑。修改后质疑事项仍不具体、不明确或者最终递交质疑函的时间超过质疑法定期限的，不予受理；</w:t>
      </w:r>
    </w:p>
    <w:p w14:paraId="6492B2F1">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（二）质疑主体不符合有关规定的，告知质疑人不予受理；</w:t>
      </w:r>
    </w:p>
    <w:p w14:paraId="0B6F9A6A">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（三）超过质疑法定期限提出质疑的，告知质疑人不予受理；</w:t>
      </w:r>
    </w:p>
    <w:p w14:paraId="4BE93B64">
      <w:pPr>
        <w:pageBreakBefore w:val="0"/>
        <w:kinsoku/>
        <w:wordWrap/>
        <w:overflowPunct/>
        <w:topLinePunct w:val="0"/>
        <w:bidi w:val="0"/>
        <w:snapToGrid w:val="0"/>
        <w:spacing w:line="520" w:lineRule="exact"/>
        <w:ind w:left="958" w:leftChars="342" w:hanging="240" w:hangingChars="1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（四）对不属于可以提出质疑的政府采购事项提出质疑的，告知质疑人不予受理；</w:t>
      </w:r>
    </w:p>
    <w:p w14:paraId="19440EA4">
      <w:pPr>
        <w:pageBreakBefore w:val="0"/>
        <w:kinsoku/>
        <w:wordWrap/>
        <w:overflowPunct/>
        <w:topLinePunct w:val="0"/>
        <w:bidi w:val="0"/>
        <w:snapToGrid w:val="0"/>
        <w:spacing w:line="520" w:lineRule="exact"/>
        <w:ind w:left="718" w:leftChars="342"/>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（五）质疑不属于本项目采购方管辖的，告知质疑人向有管辖权的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提出质疑；</w:t>
      </w:r>
    </w:p>
    <w:p w14:paraId="1F56CFE7">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（六）质疑不符合其他条件的，告知质疑人不予受理。</w:t>
      </w:r>
    </w:p>
    <w:p w14:paraId="529E6C01">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35.16  质疑的处理和答复</w:t>
      </w:r>
    </w:p>
    <w:p w14:paraId="3A40D923">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35.17  采购方受理质疑后，将及时把质疑函发送给被质疑人，并要求其在一定限期内提交书面答复，同时提供有关证据、依据和相关材料。</w:t>
      </w:r>
    </w:p>
    <w:p w14:paraId="0745E3AF">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35.18  对于质疑事项中涉及的问题较多、情况比较复杂的，为了全面查清事实、取得充分的证据，采购方认为有必要时，可以进行调查取证或者组织质证。</w:t>
      </w:r>
    </w:p>
    <w:p w14:paraId="253F0459">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35.19  对评审过程、成交结果提出质疑的，采购方可以组织原评审委员会协助答复质疑。</w:t>
      </w:r>
    </w:p>
    <w:p w14:paraId="6DCADF9C">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35.20  质疑处理过程中，质疑人书面申请撤回质疑的，将终止质疑处理程序。</w:t>
      </w:r>
    </w:p>
    <w:p w14:paraId="35C53AF4">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35.21  质疑人拒绝配合采购方依法对质疑进行调查处理的，采购方将按质疑人自动撤回质疑处理；被质疑人拒绝配合采购方依法对质疑进行调查处理的，采购方将视同其认可质疑事项。</w:t>
      </w:r>
    </w:p>
    <w:p w14:paraId="7361E912">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35.2</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 xml:space="preserve">  采购方将在正式受理质疑后7个工作日内作出答复。</w:t>
      </w:r>
    </w:p>
    <w:p w14:paraId="1C8ED7DD">
      <w:pPr>
        <w:pStyle w:val="62"/>
        <w:pageBreakBefore w:val="0"/>
        <w:kinsoku/>
        <w:wordWrap/>
        <w:overflowPunct/>
        <w:topLinePunct w:val="0"/>
        <w:bidi w:val="0"/>
        <w:snapToGrid w:val="0"/>
        <w:spacing w:line="520" w:lineRule="exact"/>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35.2</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 xml:space="preserve">  质疑答复应当包括下列内容：</w:t>
      </w:r>
    </w:p>
    <w:p w14:paraId="73FAEB04">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（一）质疑人的姓名或者名称；</w:t>
      </w:r>
    </w:p>
    <w:p w14:paraId="0D07A33F">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（二）收到质疑函的日期、质疑项目名称及编号；</w:t>
      </w:r>
    </w:p>
    <w:p w14:paraId="3B0F8D1F">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（三）质疑事项、质疑答复的具体内容、事实依据和法律依据；</w:t>
      </w:r>
    </w:p>
    <w:p w14:paraId="03B6B3CD">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（四）告知质疑</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依法投诉的权利；</w:t>
      </w:r>
    </w:p>
    <w:p w14:paraId="366820E1">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（五）质疑答复人名称；</w:t>
      </w:r>
    </w:p>
    <w:p w14:paraId="047EE148">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（六）答复质疑的日期。</w:t>
      </w:r>
    </w:p>
    <w:p w14:paraId="0102643F">
      <w:pPr>
        <w:pageBreakBefore w:val="0"/>
        <w:kinsoku/>
        <w:wordWrap/>
        <w:overflowPunct/>
        <w:topLinePunct w:val="0"/>
        <w:bidi w:val="0"/>
        <w:snapToGrid w:val="0"/>
        <w:spacing w:line="520" w:lineRule="exact"/>
        <w:jc w:val="center"/>
        <w:textAlignment w:val="baseline"/>
        <w:rPr>
          <w:rFonts w:hint="eastAsia" w:ascii="微软雅黑" w:hAnsi="微软雅黑" w:eastAsia="微软雅黑" w:cs="微软雅黑"/>
          <w:b/>
          <w:bCs/>
          <w:sz w:val="24"/>
          <w:szCs w:val="24"/>
        </w:rPr>
      </w:pPr>
    </w:p>
    <w:p w14:paraId="6FB28EAE">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bCs/>
          <w:sz w:val="24"/>
          <w:szCs w:val="24"/>
        </w:rPr>
      </w:pPr>
      <w:bookmarkStart w:id="573" w:name="_Toc14949"/>
      <w:bookmarkStart w:id="574" w:name="_Toc24577"/>
      <w:r>
        <w:rPr>
          <w:rFonts w:hint="eastAsia" w:ascii="微软雅黑" w:hAnsi="微软雅黑" w:eastAsia="微软雅黑" w:cs="微软雅黑"/>
          <w:b/>
          <w:bCs/>
          <w:sz w:val="24"/>
          <w:szCs w:val="24"/>
        </w:rPr>
        <w:t>质疑函范本</w:t>
      </w:r>
      <w:bookmarkEnd w:id="573"/>
      <w:bookmarkEnd w:id="574"/>
    </w:p>
    <w:p w14:paraId="44C5B55D">
      <w:pPr>
        <w:pageBreakBefore w:val="0"/>
        <w:kinsoku/>
        <w:wordWrap/>
        <w:overflowPunct/>
        <w:topLinePunct w:val="0"/>
        <w:bidi w:val="0"/>
        <w:snapToGrid w:val="0"/>
        <w:spacing w:line="520" w:lineRule="exact"/>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一、质疑</w:t>
      </w:r>
      <w:r>
        <w:rPr>
          <w:rFonts w:hint="eastAsia" w:ascii="微软雅黑" w:hAnsi="微软雅黑" w:eastAsia="微软雅黑" w:cs="微软雅黑"/>
          <w:bCs/>
          <w:sz w:val="24"/>
          <w:szCs w:val="24"/>
          <w:lang w:eastAsia="zh-CN"/>
        </w:rPr>
        <w:t>供应商</w:t>
      </w:r>
      <w:r>
        <w:rPr>
          <w:rFonts w:hint="eastAsia" w:ascii="微软雅黑" w:hAnsi="微软雅黑" w:eastAsia="微软雅黑" w:cs="微软雅黑"/>
          <w:bCs/>
          <w:sz w:val="24"/>
          <w:szCs w:val="24"/>
        </w:rPr>
        <w:t>基本信息</w:t>
      </w:r>
    </w:p>
    <w:p w14:paraId="7858D62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dotted" w:color="000000"/>
        </w:rPr>
        <w:t xml:space="preserve">                                        </w:t>
      </w:r>
    </w:p>
    <w:p w14:paraId="17DE2B9A">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w:t>
      </w:r>
      <w:r>
        <w:rPr>
          <w:rFonts w:hint="eastAsia" w:ascii="微软雅黑" w:hAnsi="微软雅黑" w:eastAsia="微软雅黑" w:cs="微软雅黑"/>
          <w:sz w:val="24"/>
          <w:szCs w:val="24"/>
          <w:u w:val="dotted" w:color="000000"/>
        </w:rPr>
        <w:t xml:space="preserve">                          </w:t>
      </w:r>
      <w:r>
        <w:rPr>
          <w:rFonts w:hint="eastAsia" w:ascii="微软雅黑" w:hAnsi="微软雅黑" w:eastAsia="微软雅黑" w:cs="微软雅黑"/>
          <w:sz w:val="24"/>
          <w:szCs w:val="24"/>
        </w:rPr>
        <w:t>邮编：</w:t>
      </w:r>
      <w:r>
        <w:rPr>
          <w:rFonts w:hint="eastAsia" w:ascii="微软雅黑" w:hAnsi="微软雅黑" w:eastAsia="微软雅黑" w:cs="微软雅黑"/>
          <w:sz w:val="24"/>
          <w:szCs w:val="24"/>
          <w:u w:val="dotted" w:color="000000"/>
        </w:rPr>
        <w:t xml:space="preserve">                                                   </w:t>
      </w:r>
    </w:p>
    <w:p w14:paraId="7E976EB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w:t>
      </w:r>
      <w:r>
        <w:rPr>
          <w:rFonts w:hint="eastAsia" w:ascii="微软雅黑" w:hAnsi="微软雅黑" w:eastAsia="微软雅黑" w:cs="微软雅黑"/>
          <w:sz w:val="24"/>
          <w:szCs w:val="24"/>
          <w:u w:val="dotted" w:color="000000"/>
        </w:rPr>
        <w:t xml:space="preserve">                      </w:t>
      </w:r>
      <w:r>
        <w:rPr>
          <w:rFonts w:hint="eastAsia" w:ascii="微软雅黑" w:hAnsi="微软雅黑" w:eastAsia="微软雅黑" w:cs="微软雅黑"/>
          <w:sz w:val="24"/>
          <w:szCs w:val="24"/>
        </w:rPr>
        <w:t>联系电话：</w:t>
      </w:r>
      <w:r>
        <w:rPr>
          <w:rFonts w:hint="eastAsia" w:ascii="微软雅黑" w:hAnsi="微软雅黑" w:eastAsia="微软雅黑" w:cs="微软雅黑"/>
          <w:sz w:val="24"/>
          <w:szCs w:val="24"/>
          <w:u w:val="dotted" w:color="000000"/>
        </w:rPr>
        <w:t xml:space="preserve">                              </w:t>
      </w:r>
    </w:p>
    <w:p w14:paraId="19F5E16C">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授权代表：</w:t>
      </w:r>
      <w:r>
        <w:rPr>
          <w:rFonts w:hint="eastAsia" w:ascii="微软雅黑" w:hAnsi="微软雅黑" w:eastAsia="微软雅黑" w:cs="微软雅黑"/>
          <w:sz w:val="24"/>
          <w:szCs w:val="24"/>
          <w:u w:val="dotted" w:color="000000"/>
        </w:rPr>
        <w:t xml:space="preserve">                                          </w:t>
      </w:r>
    </w:p>
    <w:p w14:paraId="396FD378">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w:t>
      </w:r>
      <w:r>
        <w:rPr>
          <w:rFonts w:hint="eastAsia" w:ascii="微软雅黑" w:hAnsi="微软雅黑" w:eastAsia="微软雅黑" w:cs="微软雅黑"/>
          <w:sz w:val="24"/>
          <w:szCs w:val="24"/>
          <w:u w:val="dotted" w:color="000000"/>
        </w:rPr>
        <w:t xml:space="preserve">                                           </w:t>
      </w:r>
      <w:r>
        <w:rPr>
          <w:rFonts w:hint="eastAsia" w:ascii="微软雅黑" w:hAnsi="微软雅黑" w:eastAsia="微软雅黑" w:cs="微软雅黑"/>
          <w:sz w:val="24"/>
          <w:szCs w:val="24"/>
        </w:rPr>
        <w:t xml:space="preserve"> </w:t>
      </w:r>
    </w:p>
    <w:p w14:paraId="019CCA9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地址： </w:t>
      </w:r>
      <w:r>
        <w:rPr>
          <w:rFonts w:hint="eastAsia" w:ascii="微软雅黑" w:hAnsi="微软雅黑" w:eastAsia="微软雅黑" w:cs="微软雅黑"/>
          <w:sz w:val="24"/>
          <w:szCs w:val="24"/>
          <w:u w:val="dotted" w:color="000000"/>
        </w:rPr>
        <w:t xml:space="preserve">                        </w:t>
      </w:r>
      <w:r>
        <w:rPr>
          <w:rFonts w:hint="eastAsia" w:ascii="微软雅黑" w:hAnsi="微软雅黑" w:eastAsia="微软雅黑" w:cs="微软雅黑"/>
          <w:sz w:val="24"/>
          <w:szCs w:val="24"/>
        </w:rPr>
        <w:t>邮编：</w:t>
      </w:r>
      <w:r>
        <w:rPr>
          <w:rFonts w:hint="eastAsia" w:ascii="微软雅黑" w:hAnsi="微软雅黑" w:eastAsia="微软雅黑" w:cs="微软雅黑"/>
          <w:sz w:val="24"/>
          <w:szCs w:val="24"/>
          <w:u w:val="dotted" w:color="000000"/>
        </w:rPr>
        <w:t xml:space="preserve">                                                </w:t>
      </w:r>
    </w:p>
    <w:p w14:paraId="64BAA856">
      <w:pPr>
        <w:pageBreakBefore w:val="0"/>
        <w:kinsoku/>
        <w:wordWrap/>
        <w:overflowPunct/>
        <w:topLinePunct w:val="0"/>
        <w:bidi w:val="0"/>
        <w:snapToGrid w:val="0"/>
        <w:spacing w:line="520" w:lineRule="exact"/>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二、质疑项目基本情况</w:t>
      </w:r>
    </w:p>
    <w:p w14:paraId="56497C11">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质疑项目的名称：</w:t>
      </w:r>
      <w:r>
        <w:rPr>
          <w:rFonts w:hint="eastAsia" w:ascii="微软雅黑" w:hAnsi="微软雅黑" w:eastAsia="微软雅黑" w:cs="微软雅黑"/>
          <w:sz w:val="24"/>
          <w:szCs w:val="24"/>
          <w:u w:val="dotted" w:color="000000"/>
        </w:rPr>
        <w:t xml:space="preserve">                                      </w:t>
      </w:r>
    </w:p>
    <w:p w14:paraId="671BC6B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质疑项目的编号：</w:t>
      </w:r>
      <w:r>
        <w:rPr>
          <w:rFonts w:hint="eastAsia" w:ascii="微软雅黑" w:hAnsi="微软雅黑" w:eastAsia="微软雅黑" w:cs="微软雅黑"/>
          <w:sz w:val="24"/>
          <w:szCs w:val="24"/>
          <w:u w:val="dotted" w:color="000000"/>
        </w:rPr>
        <w:t xml:space="preserve">               </w:t>
      </w:r>
      <w:r>
        <w:rPr>
          <w:rFonts w:hint="eastAsia" w:ascii="微软雅黑" w:hAnsi="微软雅黑" w:eastAsia="微软雅黑" w:cs="微软雅黑"/>
          <w:sz w:val="24"/>
          <w:szCs w:val="24"/>
        </w:rPr>
        <w:t>包号：</w:t>
      </w:r>
      <w:r>
        <w:rPr>
          <w:rFonts w:hint="eastAsia" w:ascii="微软雅黑" w:hAnsi="微软雅黑" w:eastAsia="微软雅黑" w:cs="微软雅黑"/>
          <w:sz w:val="24"/>
          <w:szCs w:val="24"/>
          <w:u w:val="dotted" w:color="000000"/>
        </w:rPr>
        <w:t xml:space="preserve">                 </w:t>
      </w:r>
    </w:p>
    <w:p w14:paraId="0D25E835">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名称：</w:t>
      </w:r>
      <w:r>
        <w:rPr>
          <w:rFonts w:hint="eastAsia" w:ascii="微软雅黑" w:hAnsi="微软雅黑" w:eastAsia="微软雅黑" w:cs="微软雅黑"/>
          <w:sz w:val="24"/>
          <w:szCs w:val="24"/>
          <w:u w:val="dotted" w:color="000000"/>
        </w:rPr>
        <w:t xml:space="preserve">                                         </w:t>
      </w:r>
    </w:p>
    <w:p w14:paraId="2433EA0C">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获取日期：</w:t>
      </w:r>
      <w:r>
        <w:rPr>
          <w:rFonts w:hint="eastAsia" w:ascii="微软雅黑" w:hAnsi="微软雅黑" w:eastAsia="微软雅黑" w:cs="微软雅黑"/>
          <w:sz w:val="24"/>
          <w:szCs w:val="24"/>
          <w:u w:val="dotted" w:color="000000"/>
        </w:rPr>
        <w:t xml:space="preserve">                                           </w:t>
      </w:r>
    </w:p>
    <w:p w14:paraId="0E7651D0">
      <w:pPr>
        <w:pageBreakBefore w:val="0"/>
        <w:kinsoku/>
        <w:wordWrap/>
        <w:overflowPunct/>
        <w:topLinePunct w:val="0"/>
        <w:bidi w:val="0"/>
        <w:snapToGrid w:val="0"/>
        <w:spacing w:line="520" w:lineRule="exact"/>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三、质疑事项具体内容</w:t>
      </w:r>
    </w:p>
    <w:p w14:paraId="65954456">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质疑事项1：</w:t>
      </w:r>
      <w:r>
        <w:rPr>
          <w:rFonts w:hint="eastAsia" w:ascii="微软雅黑" w:hAnsi="微软雅黑" w:eastAsia="微软雅黑" w:cs="微软雅黑"/>
          <w:sz w:val="24"/>
          <w:szCs w:val="24"/>
          <w:u w:val="dotted" w:color="000000"/>
        </w:rPr>
        <w:t xml:space="preserve">                                         </w:t>
      </w:r>
    </w:p>
    <w:p w14:paraId="13079AC5">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事实依据：</w:t>
      </w:r>
      <w:r>
        <w:rPr>
          <w:rFonts w:hint="eastAsia" w:ascii="微软雅黑" w:hAnsi="微软雅黑" w:eastAsia="微软雅黑" w:cs="微软雅黑"/>
          <w:sz w:val="24"/>
          <w:szCs w:val="24"/>
          <w:u w:val="dotted" w:color="000000"/>
        </w:rPr>
        <w:t xml:space="preserve">                                          </w:t>
      </w:r>
    </w:p>
    <w:p w14:paraId="7DF7C5E3">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u w:val="dotted" w:color="000000"/>
        </w:rPr>
        <w:t xml:space="preserve">                                                       </w:t>
      </w:r>
    </w:p>
    <w:p w14:paraId="7319A7B7">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法律依据：</w:t>
      </w:r>
      <w:r>
        <w:rPr>
          <w:rFonts w:hint="eastAsia" w:ascii="微软雅黑" w:hAnsi="微软雅黑" w:eastAsia="微软雅黑" w:cs="微软雅黑"/>
          <w:sz w:val="24"/>
          <w:szCs w:val="24"/>
          <w:u w:val="dotted" w:color="000000"/>
        </w:rPr>
        <w:t xml:space="preserve">                                          </w:t>
      </w:r>
    </w:p>
    <w:p w14:paraId="0E620B34">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u w:val="dotted" w:color="000000"/>
        </w:rPr>
        <w:t xml:space="preserve">                                                     </w:t>
      </w:r>
    </w:p>
    <w:p w14:paraId="002EC300">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质疑事项2</w:t>
      </w:r>
    </w:p>
    <w:p w14:paraId="3F886AB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p w14:paraId="0243F47F">
      <w:pPr>
        <w:pageBreakBefore w:val="0"/>
        <w:kinsoku/>
        <w:wordWrap/>
        <w:overflowPunct/>
        <w:topLinePunct w:val="0"/>
        <w:bidi w:val="0"/>
        <w:snapToGrid w:val="0"/>
        <w:spacing w:line="520" w:lineRule="exact"/>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四、与质疑事项相关的质疑请求</w:t>
      </w:r>
    </w:p>
    <w:p w14:paraId="69FD6E2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请求：</w:t>
      </w:r>
      <w:r>
        <w:rPr>
          <w:rFonts w:hint="eastAsia" w:ascii="微软雅黑" w:hAnsi="微软雅黑" w:eastAsia="微软雅黑" w:cs="微软雅黑"/>
          <w:sz w:val="24"/>
          <w:szCs w:val="24"/>
          <w:u w:val="dotted" w:color="000000"/>
        </w:rPr>
        <w:t xml:space="preserve">                                               </w:t>
      </w:r>
    </w:p>
    <w:p w14:paraId="746FCCE1">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签字(签章)：                   公章：                      </w:t>
      </w:r>
    </w:p>
    <w:p w14:paraId="24824B3A">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日期：    </w:t>
      </w:r>
    </w:p>
    <w:p w14:paraId="4C89E866">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sz w:val="24"/>
          <w:szCs w:val="24"/>
        </w:rPr>
      </w:pPr>
    </w:p>
    <w:p w14:paraId="6BE30D18">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质疑函制作说明：</w:t>
      </w:r>
    </w:p>
    <w:p w14:paraId="4053C203">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提出质疑时，应提交质疑函和必要的证明材料。</w:t>
      </w:r>
    </w:p>
    <w:p w14:paraId="0F5FB312">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若委托代理人进行质疑的，质疑函应按要求列明“授权代表”的有关内容，并在附件中提交由质疑</w:t>
      </w:r>
      <w:r>
        <w:rPr>
          <w:rFonts w:hint="eastAsia" w:ascii="微软雅黑" w:hAnsi="微软雅黑" w:eastAsia="微软雅黑" w:cs="微软雅黑"/>
          <w:kern w:val="0"/>
          <w:sz w:val="24"/>
          <w:szCs w:val="24"/>
          <w:lang w:eastAsia="zh-CN"/>
        </w:rPr>
        <w:t>供应商</w:t>
      </w:r>
      <w:r>
        <w:rPr>
          <w:rFonts w:hint="eastAsia" w:ascii="微软雅黑" w:hAnsi="微软雅黑" w:eastAsia="微软雅黑" w:cs="微软雅黑"/>
          <w:kern w:val="0"/>
          <w:sz w:val="24"/>
          <w:szCs w:val="24"/>
        </w:rPr>
        <w:t>签署的授权委托书。授权委托书应载明代理人的姓名或者名称、代理事项、具体权限、期限和相关事项。</w:t>
      </w:r>
    </w:p>
    <w:p w14:paraId="6EE81D46">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若对项目的某一分包进行质疑，质疑函中应列明具体分包号。</w:t>
      </w:r>
    </w:p>
    <w:p w14:paraId="5CDA02A0">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4.质疑函的质疑事项应具体、明确，并有必要的事实依据和法律依据。</w:t>
      </w:r>
    </w:p>
    <w:p w14:paraId="30D4CD4B">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5.质疑函的质疑请求应与质疑事项相关。</w:t>
      </w:r>
    </w:p>
    <w:p w14:paraId="5CEDE278">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6.质疑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为自然人的，质疑函应由本人签字；质疑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为法人或者其他组织的，质疑函应由法定代表人、主要负责人，或者其授权代表签字或者盖章，并加盖公章。</w:t>
      </w:r>
    </w:p>
    <w:p w14:paraId="0414EF77">
      <w:pPr>
        <w:pStyle w:val="7"/>
        <w:pageBreakBefore w:val="0"/>
        <w:kinsoku/>
        <w:wordWrap/>
        <w:overflowPunct/>
        <w:topLinePunct w:val="0"/>
        <w:bidi w:val="0"/>
        <w:spacing w:line="520" w:lineRule="exact"/>
        <w:rPr>
          <w:rFonts w:hint="eastAsia" w:ascii="微软雅黑" w:hAnsi="微软雅黑" w:eastAsia="微软雅黑" w:cs="微软雅黑"/>
          <w:sz w:val="24"/>
          <w:szCs w:val="24"/>
        </w:rPr>
      </w:pPr>
    </w:p>
    <w:p w14:paraId="5C7C5879">
      <w:pPr>
        <w:pageBreakBefore w:val="0"/>
        <w:kinsoku/>
        <w:wordWrap/>
        <w:overflowPunct/>
        <w:topLinePunct w:val="0"/>
        <w:bidi w:val="0"/>
        <w:spacing w:line="520" w:lineRule="exact"/>
        <w:rPr>
          <w:rFonts w:ascii="微软雅黑" w:hAnsi="微软雅黑" w:eastAsia="微软雅黑" w:cs="微软雅黑"/>
          <w:sz w:val="24"/>
        </w:rPr>
      </w:pPr>
    </w:p>
    <w:p w14:paraId="2DAE33D8">
      <w:pPr>
        <w:pStyle w:val="7"/>
        <w:pageBreakBefore w:val="0"/>
        <w:kinsoku/>
        <w:wordWrap/>
        <w:overflowPunct/>
        <w:topLinePunct w:val="0"/>
        <w:bidi w:val="0"/>
        <w:spacing w:line="520" w:lineRule="exact"/>
        <w:rPr>
          <w:rFonts w:ascii="微软雅黑" w:hAnsi="微软雅黑" w:eastAsia="微软雅黑" w:cs="微软雅黑"/>
        </w:rPr>
      </w:pPr>
    </w:p>
    <w:p w14:paraId="7D7933CE">
      <w:pPr>
        <w:pStyle w:val="8"/>
        <w:pageBreakBefore w:val="0"/>
        <w:kinsoku/>
        <w:wordWrap/>
        <w:overflowPunct/>
        <w:topLinePunct w:val="0"/>
        <w:bidi w:val="0"/>
        <w:spacing w:line="520" w:lineRule="exact"/>
        <w:outlineLvl w:val="9"/>
        <w:rPr>
          <w:rFonts w:ascii="微软雅黑" w:hAnsi="微软雅黑" w:eastAsia="微软雅黑" w:cs="微软雅黑"/>
        </w:rPr>
      </w:pPr>
    </w:p>
    <w:p w14:paraId="41E2CD83">
      <w:pPr>
        <w:pageBreakBefore w:val="0"/>
        <w:kinsoku/>
        <w:wordWrap/>
        <w:overflowPunct/>
        <w:topLinePunct w:val="0"/>
        <w:bidi w:val="0"/>
        <w:spacing w:line="520" w:lineRule="exact"/>
        <w:outlineLvl w:val="9"/>
        <w:rPr>
          <w:rFonts w:ascii="微软雅黑" w:hAnsi="微软雅黑" w:eastAsia="微软雅黑" w:cs="微软雅黑"/>
          <w:sz w:val="24"/>
        </w:rPr>
      </w:pPr>
    </w:p>
    <w:p w14:paraId="64A57B0B">
      <w:pPr>
        <w:pStyle w:val="11"/>
        <w:pageBreakBefore w:val="0"/>
        <w:kinsoku/>
        <w:wordWrap/>
        <w:overflowPunct/>
        <w:topLinePunct w:val="0"/>
        <w:bidi w:val="0"/>
        <w:spacing w:line="520" w:lineRule="exact"/>
        <w:rPr>
          <w:rFonts w:ascii="微软雅黑" w:hAnsi="微软雅黑" w:eastAsia="微软雅黑" w:cs="微软雅黑"/>
          <w:sz w:val="24"/>
        </w:rPr>
      </w:pPr>
    </w:p>
    <w:p w14:paraId="12B5A436">
      <w:pPr>
        <w:pStyle w:val="11"/>
        <w:pageBreakBefore w:val="0"/>
        <w:kinsoku/>
        <w:wordWrap/>
        <w:overflowPunct/>
        <w:topLinePunct w:val="0"/>
        <w:bidi w:val="0"/>
        <w:spacing w:line="520" w:lineRule="exact"/>
        <w:rPr>
          <w:rFonts w:ascii="微软雅黑" w:hAnsi="微软雅黑" w:eastAsia="微软雅黑" w:cs="微软雅黑"/>
          <w:sz w:val="24"/>
        </w:rPr>
      </w:pPr>
    </w:p>
    <w:p w14:paraId="5E28B529">
      <w:pPr>
        <w:pStyle w:val="11"/>
        <w:pageBreakBefore w:val="0"/>
        <w:kinsoku/>
        <w:wordWrap/>
        <w:overflowPunct/>
        <w:topLinePunct w:val="0"/>
        <w:bidi w:val="0"/>
        <w:spacing w:line="520" w:lineRule="exact"/>
        <w:rPr>
          <w:rFonts w:ascii="微软雅黑" w:hAnsi="微软雅黑" w:eastAsia="微软雅黑" w:cs="微软雅黑"/>
          <w:sz w:val="24"/>
        </w:rPr>
      </w:pPr>
    </w:p>
    <w:p w14:paraId="2B15FB40">
      <w:pPr>
        <w:pStyle w:val="11"/>
        <w:pageBreakBefore w:val="0"/>
        <w:kinsoku/>
        <w:wordWrap/>
        <w:overflowPunct/>
        <w:topLinePunct w:val="0"/>
        <w:bidi w:val="0"/>
        <w:spacing w:line="520" w:lineRule="exact"/>
        <w:rPr>
          <w:rFonts w:ascii="微软雅黑" w:hAnsi="微软雅黑" w:eastAsia="微软雅黑" w:cs="微软雅黑"/>
          <w:sz w:val="24"/>
        </w:rPr>
      </w:pPr>
    </w:p>
    <w:p w14:paraId="4CA562F3">
      <w:pPr>
        <w:pStyle w:val="11"/>
        <w:pageBreakBefore w:val="0"/>
        <w:kinsoku/>
        <w:wordWrap/>
        <w:overflowPunct/>
        <w:topLinePunct w:val="0"/>
        <w:bidi w:val="0"/>
        <w:spacing w:line="520" w:lineRule="exact"/>
        <w:rPr>
          <w:rFonts w:ascii="微软雅黑" w:hAnsi="微软雅黑" w:eastAsia="微软雅黑" w:cs="微软雅黑"/>
          <w:sz w:val="24"/>
        </w:rPr>
      </w:pPr>
    </w:p>
    <w:p w14:paraId="2D58E011">
      <w:pPr>
        <w:pStyle w:val="11"/>
        <w:pageBreakBefore w:val="0"/>
        <w:kinsoku/>
        <w:wordWrap/>
        <w:overflowPunct/>
        <w:topLinePunct w:val="0"/>
        <w:bidi w:val="0"/>
        <w:spacing w:line="520" w:lineRule="exact"/>
        <w:rPr>
          <w:rFonts w:ascii="微软雅黑" w:hAnsi="微软雅黑" w:eastAsia="微软雅黑" w:cs="微软雅黑"/>
          <w:sz w:val="24"/>
        </w:rPr>
      </w:pPr>
    </w:p>
    <w:p w14:paraId="2EF76D5D">
      <w:pPr>
        <w:pStyle w:val="35"/>
        <w:pageBreakBefore w:val="0"/>
        <w:kinsoku/>
        <w:wordWrap/>
        <w:overflowPunct/>
        <w:topLinePunct w:val="0"/>
        <w:bidi w:val="0"/>
        <w:spacing w:line="520" w:lineRule="exact"/>
        <w:outlineLvl w:val="9"/>
        <w:rPr>
          <w:rFonts w:ascii="微软雅黑" w:hAnsi="微软雅黑" w:eastAsia="微软雅黑" w:cs="微软雅黑"/>
          <w:sz w:val="24"/>
        </w:rPr>
      </w:pPr>
    </w:p>
    <w:p w14:paraId="5DA138B5">
      <w:pPr>
        <w:pageBreakBefore w:val="0"/>
        <w:kinsoku/>
        <w:wordWrap/>
        <w:overflowPunct/>
        <w:topLinePunct w:val="0"/>
        <w:bidi w:val="0"/>
        <w:spacing w:line="520" w:lineRule="exact"/>
        <w:rPr>
          <w:rFonts w:ascii="微软雅黑" w:hAnsi="微软雅黑" w:eastAsia="微软雅黑" w:cs="微软雅黑"/>
          <w:sz w:val="24"/>
        </w:rPr>
      </w:pPr>
    </w:p>
    <w:p w14:paraId="125E9146">
      <w:pPr>
        <w:pageBreakBefore w:val="0"/>
        <w:kinsoku/>
        <w:wordWrap/>
        <w:overflowPunct/>
        <w:topLinePunct w:val="0"/>
        <w:bidi w:val="0"/>
        <w:spacing w:line="520" w:lineRule="exact"/>
        <w:outlineLvl w:val="9"/>
        <w:rPr>
          <w:rFonts w:ascii="微软雅黑" w:hAnsi="微软雅黑" w:eastAsia="微软雅黑" w:cs="微软雅黑"/>
          <w:sz w:val="24"/>
        </w:rPr>
      </w:pPr>
    </w:p>
    <w:p w14:paraId="5CDB8A6B">
      <w:pPr>
        <w:pStyle w:val="2"/>
        <w:pageBreakBefore w:val="0"/>
        <w:kinsoku/>
        <w:wordWrap/>
        <w:overflowPunct/>
        <w:topLinePunct w:val="0"/>
        <w:bidi w:val="0"/>
        <w:snapToGrid w:val="0"/>
        <w:spacing w:before="0" w:after="0" w:line="520" w:lineRule="exact"/>
        <w:textAlignment w:val="baseline"/>
        <w:rPr>
          <w:rFonts w:ascii="微软雅黑" w:hAnsi="微软雅黑" w:eastAsia="微软雅黑" w:cs="微软雅黑"/>
          <w:sz w:val="24"/>
        </w:rPr>
      </w:pPr>
      <w:bookmarkStart w:id="575" w:name="_Toc12503"/>
      <w:bookmarkStart w:id="576" w:name="_Toc515647802"/>
      <w:bookmarkStart w:id="577" w:name="_Toc216582812"/>
      <w:bookmarkStart w:id="578" w:name="_Toc702"/>
      <w:bookmarkStart w:id="579" w:name="_Toc728"/>
      <w:bookmarkStart w:id="580" w:name="_Toc16882"/>
      <w:r>
        <w:rPr>
          <w:rFonts w:hint="eastAsia" w:ascii="微软雅黑" w:hAnsi="微软雅黑" w:eastAsia="微软雅黑" w:cs="微软雅黑"/>
          <w:sz w:val="24"/>
          <w:szCs w:val="24"/>
        </w:rPr>
        <w:t>第2章 响应文件格式</w:t>
      </w:r>
      <w:bookmarkEnd w:id="575"/>
      <w:bookmarkEnd w:id="576"/>
      <w:bookmarkEnd w:id="577"/>
      <w:bookmarkEnd w:id="578"/>
      <w:bookmarkEnd w:id="579"/>
      <w:bookmarkEnd w:id="580"/>
    </w:p>
    <w:p w14:paraId="04A3A263">
      <w:pPr>
        <w:pStyle w:val="3"/>
        <w:pageBreakBefore w:val="0"/>
        <w:kinsoku/>
        <w:wordWrap/>
        <w:overflowPunct/>
        <w:topLinePunct w:val="0"/>
        <w:bidi w:val="0"/>
        <w:snapToGrid w:val="0"/>
        <w:spacing w:before="0" w:line="520" w:lineRule="exact"/>
        <w:ind w:left="1080" w:leftChars="257" w:hanging="540"/>
        <w:textAlignment w:val="baseline"/>
        <w:rPr>
          <w:rFonts w:ascii="微软雅黑" w:hAnsi="微软雅黑" w:eastAsia="微软雅黑" w:cs="微软雅黑"/>
          <w:sz w:val="24"/>
        </w:rPr>
      </w:pPr>
      <w:bookmarkStart w:id="581" w:name="_Toc1126"/>
      <w:bookmarkStart w:id="582" w:name="_Toc26489"/>
      <w:bookmarkStart w:id="583" w:name="_Toc515647803"/>
      <w:bookmarkStart w:id="584" w:name="_Toc18974"/>
      <w:bookmarkStart w:id="585" w:name="_Toc18694"/>
      <w:bookmarkStart w:id="586" w:name="_Toc27184"/>
      <w:bookmarkStart w:id="587" w:name="_Toc19961"/>
      <w:bookmarkStart w:id="588" w:name="_Toc3315"/>
      <w:bookmarkStart w:id="589" w:name="_Toc19371"/>
      <w:r>
        <w:rPr>
          <w:rFonts w:hint="eastAsia" w:ascii="微软雅黑" w:hAnsi="微软雅黑" w:eastAsia="微软雅黑" w:cs="微软雅黑"/>
          <w:sz w:val="24"/>
          <w:szCs w:val="24"/>
        </w:rPr>
        <w:t>第一部分 磋商开启一览表及资格证明文件</w:t>
      </w:r>
      <w:bookmarkEnd w:id="581"/>
      <w:bookmarkEnd w:id="582"/>
      <w:bookmarkEnd w:id="583"/>
      <w:bookmarkEnd w:id="584"/>
      <w:bookmarkEnd w:id="585"/>
      <w:bookmarkEnd w:id="586"/>
      <w:bookmarkEnd w:id="587"/>
      <w:bookmarkEnd w:id="588"/>
      <w:bookmarkEnd w:id="589"/>
    </w:p>
    <w:p w14:paraId="6DB92F5E">
      <w:pPr>
        <w:keepNext w:val="0"/>
        <w:keepLines w:val="0"/>
        <w:pageBreakBefore w:val="0"/>
        <w:tabs>
          <w:tab w:val="left" w:pos="5580"/>
        </w:tabs>
        <w:kinsoku/>
        <w:wordWrap/>
        <w:overflowPunct/>
        <w:topLinePunct w:val="0"/>
        <w:autoSpaceDE/>
        <w:autoSpaceDN/>
        <w:bidi w:val="0"/>
        <w:adjustRightInd/>
        <w:snapToGrid w:val="0"/>
        <w:spacing w:line="480" w:lineRule="exact"/>
        <w:ind w:firstLine="480" w:firstLineChars="200"/>
        <w:jc w:val="left"/>
        <w:textAlignment w:val="baseline"/>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磋商报价一览表;</w:t>
      </w:r>
    </w:p>
    <w:p w14:paraId="438F7194">
      <w:pPr>
        <w:pStyle w:val="1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2、符合《中华人民共和国政府采购法》第二十二条的规定,</w:t>
      </w:r>
    </w:p>
    <w:p w14:paraId="05EEDE65">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①具有独立承担民事责任的能力；（投标时，提供在中华人民共和国境内注册的法人或其他组织的营业执照或事业单位法人证书或社会团体法人登记证书）</w:t>
      </w:r>
    </w:p>
    <w:p w14:paraId="19FB86DF">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②提供法定代表人资格证明及授权书、被授权人身份证；(法定代表人投标需提供法定代表人身份证)；</w:t>
      </w:r>
    </w:p>
    <w:p w14:paraId="4687FD6F">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baseline"/>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val="en-US" w:eastAsia="zh-CN"/>
        </w:rPr>
        <w:t>③提供本单位依法缴纳近4个月内任意一个月的社会保险证明及法定代表人或授权委托人在本单位依法缴纳近4个月内任意一个月的社会保险明细（新成立公司提供相关证明文件）</w:t>
      </w:r>
      <w:r>
        <w:rPr>
          <w:rFonts w:hint="eastAsia" w:ascii="微软雅黑" w:hAnsi="微软雅黑" w:eastAsia="微软雅黑" w:cs="微软雅黑"/>
          <w:color w:val="auto"/>
          <w:kern w:val="0"/>
          <w:sz w:val="24"/>
          <w:highlight w:val="none"/>
          <w:lang w:eastAsia="zh-CN"/>
        </w:rPr>
        <w:t>；</w:t>
      </w:r>
    </w:p>
    <w:p w14:paraId="7C4D4E5E">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④提供税务部门出具的本单位近6个月内任意一个月的完税证明（依法免缴的应提供依法免缴的相关证明文件或零申报报表）</w:t>
      </w:r>
      <w:r>
        <w:rPr>
          <w:rFonts w:hint="eastAsia" w:ascii="微软雅黑" w:hAnsi="微软雅黑" w:eastAsia="微软雅黑" w:cs="微软雅黑"/>
          <w:color w:val="auto"/>
          <w:kern w:val="0"/>
          <w:sz w:val="24"/>
          <w:highlight w:val="none"/>
        </w:rPr>
        <w:t>；</w:t>
      </w:r>
    </w:p>
    <w:p w14:paraId="6268100E">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⑤提供近两年任意一年完整的财务审计报告（或近一个月的银行资信证明）</w:t>
      </w:r>
    </w:p>
    <w:p w14:paraId="449725F6">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⑥</w:t>
      </w:r>
      <w:r>
        <w:rPr>
          <w:rFonts w:hint="eastAsia" w:ascii="微软雅黑" w:hAnsi="微软雅黑" w:eastAsia="微软雅黑" w:cs="微软雅黑"/>
          <w:color w:val="auto"/>
          <w:kern w:val="0"/>
          <w:sz w:val="24"/>
          <w:highlight w:val="none"/>
        </w:rPr>
        <w:t>参与政府采购活动前3年内未被列入失信、重大税收违法案件、财政部门禁止参加政府采购活动的承诺书；</w:t>
      </w:r>
    </w:p>
    <w:p w14:paraId="2C619084">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⑦</w:t>
      </w:r>
      <w:r>
        <w:rPr>
          <w:rFonts w:hint="eastAsia" w:ascii="微软雅黑" w:hAnsi="微软雅黑" w:eastAsia="微软雅黑" w:cs="微软雅黑"/>
          <w:color w:val="auto"/>
          <w:kern w:val="0"/>
          <w:sz w:val="24"/>
          <w:highlight w:val="none"/>
        </w:rPr>
        <w:t>提供针对本次项目的反商业贿赂承诺书。</w:t>
      </w:r>
    </w:p>
    <w:p w14:paraId="5C51723B">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r>
        <w:rPr>
          <w:rFonts w:hint="eastAsia" w:ascii="微软雅黑" w:hAnsi="微软雅黑" w:eastAsia="微软雅黑" w:cs="微软雅黑"/>
          <w:color w:val="auto"/>
          <w:kern w:val="0"/>
          <w:sz w:val="24"/>
          <w:highlight w:val="none"/>
        </w:rPr>
        <w:t>；</w:t>
      </w:r>
    </w:p>
    <w:p w14:paraId="2F3E30A2">
      <w:pPr>
        <w:keepNext w:val="0"/>
        <w:keepLines w:val="0"/>
        <w:pageBreakBefore w:val="0"/>
        <w:tabs>
          <w:tab w:val="left" w:pos="5580"/>
        </w:tabs>
        <w:kinsoku/>
        <w:wordWrap/>
        <w:overflowPunct/>
        <w:topLinePunct w:val="0"/>
        <w:autoSpaceDE/>
        <w:autoSpaceDN/>
        <w:bidi w:val="0"/>
        <w:adjustRightInd/>
        <w:snapToGrid w:val="0"/>
        <w:spacing w:line="480" w:lineRule="exact"/>
        <w:ind w:left="1" w:firstLine="559" w:firstLineChars="233"/>
        <w:jc w:val="left"/>
        <w:textAlignment w:val="baseline"/>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⑨本项目为专门面向中小企业（供应商须根据招标文件中的法定格式填写中小企业声明函）</w:t>
      </w:r>
    </w:p>
    <w:p w14:paraId="20E844EA">
      <w:pPr>
        <w:keepNext w:val="0"/>
        <w:keepLines w:val="0"/>
        <w:pageBreakBefore w:val="0"/>
        <w:tabs>
          <w:tab w:val="left" w:pos="5580"/>
        </w:tabs>
        <w:kinsoku/>
        <w:wordWrap/>
        <w:overflowPunct/>
        <w:topLinePunct w:val="0"/>
        <w:autoSpaceDE/>
        <w:autoSpaceDN/>
        <w:bidi w:val="0"/>
        <w:adjustRightInd/>
        <w:snapToGrid w:val="0"/>
        <w:spacing w:line="480" w:lineRule="exact"/>
        <w:ind w:left="1" w:firstLine="559" w:firstLineChars="233"/>
        <w:jc w:val="left"/>
        <w:textAlignment w:val="baseline"/>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3、本项目的特定资格要求：①企业资质要求：[公路工程施工总承包三级]（含）及以上资质，并在人员、设备、资金等方面具有相应的施工能力。②项目负责人资质要求：【公路工程专业二级】（含）及二级以上注册建造师执业资格，具备交通运输主管部门颁发的有效的B类安全生产考核合格证书，且不得担任其他在建工程的项目负责人。</w:t>
      </w:r>
    </w:p>
    <w:p w14:paraId="2F00008D">
      <w:pPr>
        <w:keepNext w:val="0"/>
        <w:keepLines w:val="0"/>
        <w:pageBreakBefore w:val="0"/>
        <w:tabs>
          <w:tab w:val="left" w:pos="5580"/>
        </w:tabs>
        <w:kinsoku/>
        <w:wordWrap/>
        <w:overflowPunct/>
        <w:topLinePunct w:val="0"/>
        <w:autoSpaceDE/>
        <w:autoSpaceDN/>
        <w:bidi w:val="0"/>
        <w:adjustRightInd/>
        <w:snapToGrid w:val="0"/>
        <w:spacing w:line="480" w:lineRule="exact"/>
        <w:ind w:left="1" w:firstLine="559" w:firstLineChars="233"/>
        <w:jc w:val="left"/>
        <w:textAlignment w:val="baseline"/>
        <w:outlineLvl w:val="9"/>
        <w:rPr>
          <w:rFonts w:ascii="微软雅黑" w:hAnsi="微软雅黑" w:eastAsia="微软雅黑" w:cs="微软雅黑"/>
          <w:sz w:val="24"/>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缴纳磋商保证金有效凭证</w:t>
      </w:r>
      <w:r>
        <w:rPr>
          <w:rFonts w:hint="eastAsia" w:ascii="微软雅黑" w:hAnsi="微软雅黑" w:eastAsia="微软雅黑" w:cs="微软雅黑"/>
          <w:color w:val="auto"/>
          <w:kern w:val="0"/>
          <w:sz w:val="24"/>
          <w:highlight w:val="none"/>
        </w:rPr>
        <w:t>；</w:t>
      </w:r>
    </w:p>
    <w:p w14:paraId="7D27F82A">
      <w:pPr>
        <w:pStyle w:val="13"/>
        <w:keepNext w:val="0"/>
        <w:keepLines w:val="0"/>
        <w:pageBreakBefore w:val="0"/>
        <w:kinsoku/>
        <w:wordWrap/>
        <w:overflowPunct/>
        <w:topLinePunct w:val="0"/>
        <w:autoSpaceDE/>
        <w:autoSpaceDN/>
        <w:bidi w:val="0"/>
        <w:adjustRightInd/>
        <w:snapToGrid w:val="0"/>
        <w:spacing w:line="480" w:lineRule="exact"/>
        <w:textAlignment w:val="baseline"/>
        <w:outlineLvl w:val="9"/>
        <w:rPr>
          <w:rFonts w:ascii="微软雅黑" w:hAnsi="微软雅黑" w:eastAsia="微软雅黑" w:cs="微软雅黑"/>
          <w:sz w:val="21"/>
        </w:rPr>
      </w:pPr>
    </w:p>
    <w:p w14:paraId="45EB4D15">
      <w:pPr>
        <w:pageBreakBefore w:val="0"/>
        <w:kinsoku/>
        <w:wordWrap/>
        <w:overflowPunct/>
        <w:topLinePunct w:val="0"/>
        <w:bidi w:val="0"/>
        <w:spacing w:line="520" w:lineRule="exact"/>
        <w:outlineLvl w:val="9"/>
        <w:rPr>
          <w:rFonts w:ascii="微软雅黑" w:hAnsi="微软雅黑" w:eastAsia="微软雅黑" w:cs="微软雅黑"/>
          <w:sz w:val="21"/>
        </w:rPr>
      </w:pPr>
    </w:p>
    <w:p w14:paraId="59CDAE60">
      <w:pPr>
        <w:pStyle w:val="3"/>
        <w:pageBreakBefore w:val="0"/>
        <w:kinsoku/>
        <w:wordWrap/>
        <w:overflowPunct/>
        <w:topLinePunct w:val="0"/>
        <w:bidi w:val="0"/>
        <w:snapToGrid w:val="0"/>
        <w:spacing w:before="0" w:line="520" w:lineRule="exact"/>
        <w:jc w:val="both"/>
        <w:textAlignment w:val="baseline"/>
        <w:rPr>
          <w:rFonts w:ascii="微软雅黑" w:hAnsi="微软雅黑" w:eastAsia="微软雅黑" w:cs="微软雅黑"/>
          <w:color w:val="auto"/>
          <w:sz w:val="24"/>
          <w:szCs w:val="24"/>
        </w:rPr>
      </w:pPr>
      <w:bookmarkStart w:id="590" w:name="_Toc24216"/>
      <w:bookmarkStart w:id="591" w:name="_Toc11175"/>
      <w:bookmarkStart w:id="592" w:name="_Toc7188"/>
      <w:bookmarkStart w:id="593" w:name="_Toc480942349"/>
      <w:bookmarkStart w:id="594" w:name="_Ref467988698"/>
      <w:bookmarkStart w:id="595" w:name="_Toc216582813"/>
      <w:bookmarkStart w:id="596" w:name="_Toc520356217"/>
      <w:r>
        <w:rPr>
          <w:rFonts w:hint="eastAsia" w:ascii="微软雅黑" w:hAnsi="微软雅黑" w:eastAsia="微软雅黑" w:cs="微软雅黑"/>
          <w:color w:val="auto"/>
          <w:sz w:val="24"/>
          <w:szCs w:val="24"/>
        </w:rPr>
        <w:t>1、磋商报价一览表</w:t>
      </w:r>
      <w:bookmarkEnd w:id="590"/>
      <w:bookmarkEnd w:id="591"/>
      <w:bookmarkEnd w:id="592"/>
    </w:p>
    <w:p w14:paraId="04907D78">
      <w:pPr>
        <w:pStyle w:val="7"/>
        <w:pageBreakBefore w:val="0"/>
        <w:tabs>
          <w:tab w:val="left" w:pos="5580"/>
        </w:tabs>
        <w:kinsoku/>
        <w:wordWrap/>
        <w:overflowPunct/>
        <w:topLinePunct w:val="0"/>
        <w:bidi w:val="0"/>
        <w:snapToGrid w:val="0"/>
        <w:spacing w:line="520" w:lineRule="exact"/>
        <w:ind w:firstLine="0"/>
        <w:jc w:val="center"/>
        <w:textAlignment w:val="baseline"/>
        <w:rPr>
          <w:rFonts w:ascii="微软雅黑" w:hAnsi="微软雅黑" w:eastAsia="微软雅黑" w:cs="微软雅黑"/>
          <w:color w:val="auto"/>
          <w:szCs w:val="24"/>
        </w:rPr>
      </w:pPr>
      <w:bookmarkStart w:id="597" w:name="_Hlt520356241"/>
      <w:bookmarkEnd w:id="597"/>
      <w:r>
        <w:rPr>
          <w:rFonts w:hint="eastAsia" w:ascii="微软雅黑" w:hAnsi="微软雅黑" w:eastAsia="微软雅黑" w:cs="微软雅黑"/>
          <w:b/>
          <w:color w:val="auto"/>
          <w:szCs w:val="24"/>
        </w:rPr>
        <w:t>磋商报价一览表</w:t>
      </w:r>
    </w:p>
    <w:p w14:paraId="6331C0E0">
      <w:pPr>
        <w:pageBreakBefore w:val="0"/>
        <w:tabs>
          <w:tab w:val="left" w:pos="1800"/>
          <w:tab w:val="left" w:pos="5580"/>
        </w:tabs>
        <w:kinsoku/>
        <w:wordWrap/>
        <w:overflowPunct/>
        <w:topLinePunct w:val="0"/>
        <w:bidi w:val="0"/>
        <w:snapToGrid w:val="0"/>
        <w:spacing w:line="520" w:lineRule="exact"/>
        <w:ind w:left="1080" w:leftChars="257" w:right="-867" w:hanging="54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项目名称：　                  项目编号：                        </w:t>
      </w:r>
    </w:p>
    <w:p w14:paraId="07C09501">
      <w:pPr>
        <w:pageBreakBefore w:val="0"/>
        <w:tabs>
          <w:tab w:val="left" w:pos="1800"/>
          <w:tab w:val="left" w:pos="5580"/>
        </w:tabs>
        <w:kinsoku/>
        <w:wordWrap/>
        <w:overflowPunct/>
        <w:topLinePunct w:val="0"/>
        <w:bidi w:val="0"/>
        <w:snapToGrid w:val="0"/>
        <w:spacing w:line="520" w:lineRule="exact"/>
        <w:ind w:left="1080" w:leftChars="257" w:right="-867" w:hanging="54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报价单位：人民币  </w:t>
      </w:r>
      <w:r>
        <w:rPr>
          <w:rFonts w:hint="eastAsia" w:ascii="微软雅黑" w:hAnsi="微软雅黑" w:eastAsia="微软雅黑" w:cs="微软雅黑"/>
          <w:b/>
          <w:color w:val="auto"/>
          <w:sz w:val="24"/>
        </w:rPr>
        <w:t>万元</w:t>
      </w:r>
    </w:p>
    <w:tbl>
      <w:tblPr>
        <w:tblStyle w:val="38"/>
        <w:tblW w:w="10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5"/>
        <w:gridCol w:w="1544"/>
        <w:gridCol w:w="2001"/>
        <w:gridCol w:w="1291"/>
        <w:gridCol w:w="1291"/>
        <w:gridCol w:w="1448"/>
        <w:gridCol w:w="1448"/>
      </w:tblGrid>
      <w:tr w14:paraId="48DB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1295" w:type="dxa"/>
            <w:vAlign w:val="center"/>
          </w:tcPr>
          <w:p w14:paraId="78AB9EB5">
            <w:pPr>
              <w:pageBreakBefore w:val="0"/>
              <w:tabs>
                <w:tab w:val="left" w:pos="5580"/>
              </w:tabs>
              <w:kinsoku/>
              <w:wordWrap/>
              <w:overflowPunct/>
              <w:topLinePunct w:val="0"/>
              <w:bidi w:val="0"/>
              <w:snapToGrid w:val="0"/>
              <w:spacing w:line="520" w:lineRule="exact"/>
              <w:ind w:right="-199"/>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名称</w:t>
            </w:r>
          </w:p>
        </w:tc>
        <w:tc>
          <w:tcPr>
            <w:tcW w:w="1544" w:type="dxa"/>
            <w:vAlign w:val="center"/>
          </w:tcPr>
          <w:p w14:paraId="6A0A9A38">
            <w:pPr>
              <w:pageBreakBefore w:val="0"/>
              <w:tabs>
                <w:tab w:val="left" w:pos="5580"/>
              </w:tabs>
              <w:kinsoku/>
              <w:wordWrap/>
              <w:overflowPunct/>
              <w:topLinePunct w:val="0"/>
              <w:bidi w:val="0"/>
              <w:snapToGrid w:val="0"/>
              <w:spacing w:line="52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总报价</w:t>
            </w:r>
          </w:p>
        </w:tc>
        <w:tc>
          <w:tcPr>
            <w:tcW w:w="2001" w:type="dxa"/>
            <w:vAlign w:val="center"/>
          </w:tcPr>
          <w:p w14:paraId="7DB7B89E">
            <w:pPr>
              <w:pageBreakBefore w:val="0"/>
              <w:tabs>
                <w:tab w:val="left" w:pos="5580"/>
              </w:tabs>
              <w:kinsoku/>
              <w:wordWrap/>
              <w:overflowPunct/>
              <w:topLinePunct w:val="0"/>
              <w:bidi w:val="0"/>
              <w:snapToGrid w:val="0"/>
              <w:spacing w:line="52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磋商保证金</w:t>
            </w:r>
          </w:p>
        </w:tc>
        <w:tc>
          <w:tcPr>
            <w:tcW w:w="1291" w:type="dxa"/>
            <w:vAlign w:val="center"/>
          </w:tcPr>
          <w:p w14:paraId="63D7E1F9">
            <w:pPr>
              <w:pageBreakBefore w:val="0"/>
              <w:tabs>
                <w:tab w:val="left" w:pos="5580"/>
              </w:tabs>
              <w:kinsoku/>
              <w:wordWrap/>
              <w:overflowPunct/>
              <w:topLinePunct w:val="0"/>
              <w:bidi w:val="0"/>
              <w:snapToGrid w:val="0"/>
              <w:spacing w:line="520" w:lineRule="exact"/>
              <w:jc w:val="center"/>
              <w:textAlignment w:val="baseline"/>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项目负责人姓名及注册证号</w:t>
            </w:r>
          </w:p>
        </w:tc>
        <w:tc>
          <w:tcPr>
            <w:tcW w:w="1291" w:type="dxa"/>
            <w:vAlign w:val="center"/>
          </w:tcPr>
          <w:p w14:paraId="0FFE71A1">
            <w:pPr>
              <w:pageBreakBefore w:val="0"/>
              <w:tabs>
                <w:tab w:val="left" w:pos="5580"/>
              </w:tabs>
              <w:kinsoku/>
              <w:wordWrap/>
              <w:overflowPunct/>
              <w:topLinePunct w:val="0"/>
              <w:bidi w:val="0"/>
              <w:snapToGrid w:val="0"/>
              <w:spacing w:line="520" w:lineRule="exac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val="en-US" w:eastAsia="zh-CN"/>
              </w:rPr>
              <w:t>工期</w:t>
            </w:r>
          </w:p>
        </w:tc>
        <w:tc>
          <w:tcPr>
            <w:tcW w:w="1448" w:type="dxa"/>
            <w:vAlign w:val="center"/>
          </w:tcPr>
          <w:p w14:paraId="62239697">
            <w:pPr>
              <w:pageBreakBefore w:val="0"/>
              <w:tabs>
                <w:tab w:val="left" w:pos="5580"/>
              </w:tabs>
              <w:kinsoku/>
              <w:wordWrap/>
              <w:overflowPunct/>
              <w:topLinePunct w:val="0"/>
              <w:bidi w:val="0"/>
              <w:snapToGrid w:val="0"/>
              <w:spacing w:line="520" w:lineRule="exact"/>
              <w:jc w:val="center"/>
              <w:textAlignment w:val="baseline"/>
              <w:rPr>
                <w:rFonts w:hint="default"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工程质量</w:t>
            </w:r>
          </w:p>
        </w:tc>
        <w:tc>
          <w:tcPr>
            <w:tcW w:w="1448" w:type="dxa"/>
            <w:vAlign w:val="center"/>
          </w:tcPr>
          <w:p w14:paraId="2B364DFE">
            <w:pPr>
              <w:pageBreakBefore w:val="0"/>
              <w:tabs>
                <w:tab w:val="left" w:pos="5580"/>
              </w:tabs>
              <w:kinsoku/>
              <w:wordWrap/>
              <w:overflowPunct/>
              <w:topLinePunct w:val="0"/>
              <w:bidi w:val="0"/>
              <w:snapToGrid w:val="0"/>
              <w:spacing w:line="52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备注</w:t>
            </w:r>
          </w:p>
        </w:tc>
      </w:tr>
      <w:tr w14:paraId="40A6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6" w:hRule="atLeast"/>
          <w:jc w:val="center"/>
        </w:trPr>
        <w:tc>
          <w:tcPr>
            <w:tcW w:w="1295" w:type="dxa"/>
            <w:vAlign w:val="center"/>
          </w:tcPr>
          <w:p w14:paraId="17FF7E60">
            <w:pPr>
              <w:pageBreakBefore w:val="0"/>
              <w:tabs>
                <w:tab w:val="left" w:pos="5580"/>
              </w:tabs>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color w:val="auto"/>
                <w:sz w:val="24"/>
              </w:rPr>
            </w:pPr>
          </w:p>
        </w:tc>
        <w:tc>
          <w:tcPr>
            <w:tcW w:w="1544" w:type="dxa"/>
            <w:vAlign w:val="center"/>
          </w:tcPr>
          <w:p w14:paraId="490C83ED">
            <w:pPr>
              <w:pageBreakBefore w:val="0"/>
              <w:tabs>
                <w:tab w:val="left" w:pos="5580"/>
              </w:tabs>
              <w:kinsoku/>
              <w:wordWrap/>
              <w:overflowPunct/>
              <w:topLinePunct w:val="0"/>
              <w:bidi w:val="0"/>
              <w:snapToGrid w:val="0"/>
              <w:spacing w:line="520" w:lineRule="exact"/>
              <w:jc w:val="lef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大写：</w:t>
            </w:r>
          </w:p>
          <w:p w14:paraId="7D1AE309">
            <w:pPr>
              <w:pageBreakBefore w:val="0"/>
              <w:tabs>
                <w:tab w:val="left" w:pos="5580"/>
              </w:tabs>
              <w:kinsoku/>
              <w:wordWrap/>
              <w:overflowPunct/>
              <w:topLinePunct w:val="0"/>
              <w:bidi w:val="0"/>
              <w:snapToGrid w:val="0"/>
              <w:spacing w:line="520" w:lineRule="exact"/>
              <w:jc w:val="lef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小写：</w:t>
            </w:r>
          </w:p>
        </w:tc>
        <w:tc>
          <w:tcPr>
            <w:tcW w:w="2001" w:type="dxa"/>
            <w:vAlign w:val="center"/>
          </w:tcPr>
          <w:p w14:paraId="7A1E9F58">
            <w:pPr>
              <w:pageBreakBefore w:val="0"/>
              <w:tabs>
                <w:tab w:val="left" w:pos="5580"/>
              </w:tabs>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color w:val="auto"/>
                <w:sz w:val="24"/>
              </w:rPr>
            </w:pPr>
          </w:p>
        </w:tc>
        <w:tc>
          <w:tcPr>
            <w:tcW w:w="1291" w:type="dxa"/>
            <w:vAlign w:val="center"/>
          </w:tcPr>
          <w:p w14:paraId="7AFE8311">
            <w:pPr>
              <w:pageBreakBefore w:val="0"/>
              <w:tabs>
                <w:tab w:val="left" w:pos="5580"/>
              </w:tabs>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color w:val="auto"/>
                <w:sz w:val="24"/>
              </w:rPr>
            </w:pPr>
          </w:p>
        </w:tc>
        <w:tc>
          <w:tcPr>
            <w:tcW w:w="1291" w:type="dxa"/>
            <w:vAlign w:val="center"/>
          </w:tcPr>
          <w:p w14:paraId="36E57DBB">
            <w:pPr>
              <w:pageBreakBefore w:val="0"/>
              <w:tabs>
                <w:tab w:val="left" w:pos="5580"/>
              </w:tabs>
              <w:kinsoku/>
              <w:wordWrap/>
              <w:overflowPunct/>
              <w:topLinePunct w:val="0"/>
              <w:bidi w:val="0"/>
              <w:snapToGrid w:val="0"/>
              <w:spacing w:line="520" w:lineRule="exact"/>
              <w:ind w:firstLine="240" w:firstLineChars="100"/>
              <w:jc w:val="both"/>
              <w:textAlignment w:val="baseline"/>
              <w:rPr>
                <w:rFonts w:hint="default" w:ascii="微软雅黑" w:hAnsi="微软雅黑" w:eastAsia="微软雅黑" w:cs="微软雅黑"/>
                <w:color w:val="auto"/>
                <w:sz w:val="24"/>
                <w:lang w:val="en-US" w:eastAsia="zh-CN"/>
              </w:rPr>
            </w:pPr>
          </w:p>
        </w:tc>
        <w:tc>
          <w:tcPr>
            <w:tcW w:w="1448" w:type="dxa"/>
            <w:vAlign w:val="center"/>
          </w:tcPr>
          <w:p w14:paraId="4642AD35">
            <w:pPr>
              <w:pageBreakBefore w:val="0"/>
              <w:tabs>
                <w:tab w:val="left" w:pos="5580"/>
              </w:tabs>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color w:val="auto"/>
                <w:sz w:val="24"/>
              </w:rPr>
            </w:pPr>
          </w:p>
        </w:tc>
        <w:tc>
          <w:tcPr>
            <w:tcW w:w="1448" w:type="dxa"/>
            <w:vAlign w:val="center"/>
          </w:tcPr>
          <w:p w14:paraId="771E691F">
            <w:pPr>
              <w:pageBreakBefore w:val="0"/>
              <w:tabs>
                <w:tab w:val="left" w:pos="5580"/>
              </w:tabs>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color w:val="auto"/>
                <w:sz w:val="24"/>
              </w:rPr>
            </w:pPr>
          </w:p>
        </w:tc>
      </w:tr>
    </w:tbl>
    <w:p w14:paraId="0BD96064">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u w:val="single" w:color="000000"/>
        </w:rPr>
      </w:pPr>
    </w:p>
    <w:p w14:paraId="46173711">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名称（公章）：</w:t>
      </w:r>
    </w:p>
    <w:p w14:paraId="731D0155">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法定代表人或委托代理(签字):</w:t>
      </w:r>
    </w:p>
    <w:p w14:paraId="26716956">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p>
    <w:p w14:paraId="55CF3E64">
      <w:pPr>
        <w:pStyle w:val="18"/>
        <w:pageBreakBefore w:val="0"/>
        <w:kinsoku/>
        <w:wordWrap/>
        <w:overflowPunct/>
        <w:topLinePunct w:val="0"/>
        <w:bidi w:val="0"/>
        <w:spacing w:line="520" w:lineRule="exact"/>
        <w:ind w:left="0" w:leftChars="0"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注:1、此表中，磋商总价应和磋商分项报价表的总价相一致。</w:t>
      </w:r>
    </w:p>
    <w:p w14:paraId="48D21CF5">
      <w:pPr>
        <w:pStyle w:val="18"/>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5E2E01C9">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6EEFBEF5">
      <w:pPr>
        <w:pageBreakBefore w:val="0"/>
        <w:kinsoku/>
        <w:wordWrap/>
        <w:overflowPunct/>
        <w:topLinePunct w:val="0"/>
        <w:bidi w:val="0"/>
        <w:spacing w:line="520" w:lineRule="exact"/>
        <w:outlineLvl w:val="9"/>
        <w:rPr>
          <w:rFonts w:hint="eastAsia" w:ascii="微软雅黑" w:hAnsi="微软雅黑" w:eastAsia="微软雅黑" w:cs="微软雅黑"/>
          <w:color w:val="auto"/>
          <w:sz w:val="24"/>
          <w:szCs w:val="24"/>
        </w:rPr>
      </w:pPr>
    </w:p>
    <w:p w14:paraId="2F0E08DD">
      <w:pPr>
        <w:pageBreakBefore w:val="0"/>
        <w:kinsoku/>
        <w:wordWrap/>
        <w:overflowPunct/>
        <w:topLinePunct w:val="0"/>
        <w:bidi w:val="0"/>
        <w:spacing w:line="520" w:lineRule="exact"/>
        <w:outlineLvl w:val="9"/>
        <w:rPr>
          <w:rFonts w:hint="eastAsia" w:ascii="微软雅黑" w:hAnsi="微软雅黑" w:eastAsia="微软雅黑" w:cs="微软雅黑"/>
          <w:color w:val="auto"/>
          <w:sz w:val="24"/>
          <w:szCs w:val="24"/>
        </w:rPr>
      </w:pPr>
    </w:p>
    <w:p w14:paraId="281C50C8">
      <w:pPr>
        <w:pStyle w:val="37"/>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76BF19A1">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76F2F361">
      <w:pPr>
        <w:pStyle w:val="37"/>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608C4CC4">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7090A228">
      <w:pPr>
        <w:pStyle w:val="7"/>
        <w:pageBreakBefore w:val="0"/>
        <w:kinsoku/>
        <w:wordWrap/>
        <w:overflowPunct/>
        <w:topLinePunct w:val="0"/>
        <w:bidi w:val="0"/>
        <w:spacing w:line="520" w:lineRule="exact"/>
        <w:ind w:left="0" w:leftChars="0" w:firstLine="0" w:firstLineChars="0"/>
        <w:outlineLvl w:val="9"/>
        <w:rPr>
          <w:rFonts w:hint="eastAsia" w:ascii="微软雅黑" w:hAnsi="微软雅黑" w:eastAsia="微软雅黑" w:cs="微软雅黑"/>
          <w:b/>
          <w:bCs/>
          <w:color w:val="auto"/>
          <w:highlight w:val="none"/>
        </w:rPr>
      </w:pPr>
      <w:bookmarkStart w:id="598" w:name="_Toc32348"/>
      <w:bookmarkStart w:id="599" w:name="_Toc3218"/>
    </w:p>
    <w:p w14:paraId="53DF36DF">
      <w:pPr>
        <w:pStyle w:val="7"/>
        <w:pageBreakBefore w:val="0"/>
        <w:kinsoku/>
        <w:wordWrap/>
        <w:overflowPunct/>
        <w:topLinePunct w:val="0"/>
        <w:bidi w:val="0"/>
        <w:spacing w:line="520" w:lineRule="exact"/>
        <w:outlineLvl w:val="1"/>
        <w:rPr>
          <w:rFonts w:hint="eastAsia" w:ascii="微软雅黑" w:hAnsi="微软雅黑" w:eastAsia="微软雅黑" w:cs="微软雅黑"/>
          <w:b/>
          <w:bCs/>
          <w:color w:val="auto"/>
          <w:highlight w:val="none"/>
        </w:rPr>
      </w:pPr>
      <w:bookmarkStart w:id="600" w:name="_Toc15680"/>
      <w:bookmarkStart w:id="601" w:name="_Toc14643"/>
      <w:bookmarkStart w:id="602" w:name="_Toc14858"/>
      <w:r>
        <w:rPr>
          <w:rFonts w:hint="eastAsia" w:ascii="微软雅黑" w:hAnsi="微软雅黑" w:eastAsia="微软雅黑" w:cs="微软雅黑"/>
          <w:b/>
          <w:bCs/>
          <w:color w:val="auto"/>
          <w:highlight w:val="none"/>
        </w:rPr>
        <w:t xml:space="preserve">2  </w:t>
      </w:r>
      <w:bookmarkEnd w:id="598"/>
      <w:r>
        <w:rPr>
          <w:rFonts w:hint="eastAsia" w:ascii="微软雅黑" w:hAnsi="微软雅黑" w:eastAsia="微软雅黑" w:cs="微软雅黑"/>
          <w:b/>
          <w:bCs/>
          <w:color w:val="auto"/>
          <w:highlight w:val="none"/>
        </w:rPr>
        <w:t>符合《中华人民共和国政府采购法》第二十二条的规定</w:t>
      </w:r>
      <w:bookmarkEnd w:id="599"/>
      <w:bookmarkEnd w:id="600"/>
      <w:bookmarkEnd w:id="601"/>
      <w:bookmarkEnd w:id="602"/>
    </w:p>
    <w:p w14:paraId="4B38DC71">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b/>
          <w:color w:val="auto"/>
          <w:sz w:val="24"/>
          <w:szCs w:val="24"/>
        </w:rPr>
      </w:pPr>
    </w:p>
    <w:p w14:paraId="3120D2D1">
      <w:pPr>
        <w:pStyle w:val="7"/>
        <w:pageBreakBefore w:val="0"/>
        <w:kinsoku/>
        <w:wordWrap/>
        <w:overflowPunct/>
        <w:topLinePunct w:val="0"/>
        <w:bidi w:val="0"/>
        <w:spacing w:line="520" w:lineRule="exact"/>
        <w:outlineLvl w:val="9"/>
        <w:rPr>
          <w:rFonts w:hint="eastAsia" w:ascii="微软雅黑" w:hAnsi="微软雅黑" w:eastAsia="微软雅黑" w:cs="微软雅黑"/>
          <w:b/>
          <w:bCs/>
          <w:color w:val="auto"/>
          <w:highlight w:val="none"/>
        </w:rPr>
      </w:pPr>
      <w:bookmarkStart w:id="603" w:name="_Toc16516"/>
      <w:bookmarkStart w:id="604" w:name="_Toc16088"/>
      <w:bookmarkStart w:id="605" w:name="_Toc8241"/>
      <w:bookmarkStart w:id="606" w:name="_Toc22089"/>
      <w:r>
        <w:rPr>
          <w:rFonts w:hint="eastAsia" w:ascii="微软雅黑" w:hAnsi="微软雅黑" w:eastAsia="微软雅黑" w:cs="微软雅黑"/>
          <w:b/>
          <w:bCs/>
          <w:i w:val="0"/>
          <w:iCs w:val="0"/>
          <w:caps w:val="0"/>
          <w:color w:val="auto"/>
          <w:spacing w:val="0"/>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0FB51571">
      <w:pPr>
        <w:pStyle w:val="7"/>
        <w:pageBreakBefore w:val="0"/>
        <w:kinsoku/>
        <w:wordWrap/>
        <w:overflowPunct/>
        <w:topLinePunct w:val="0"/>
        <w:bidi w:val="0"/>
        <w:spacing w:line="520" w:lineRule="exact"/>
        <w:outlineLvl w:val="9"/>
        <w:rPr>
          <w:rFonts w:hint="eastAsia" w:ascii="微软雅黑" w:hAnsi="微软雅黑" w:eastAsia="微软雅黑" w:cs="微软雅黑"/>
          <w:b/>
          <w:bCs/>
          <w:color w:val="auto"/>
          <w:highlight w:val="none"/>
        </w:rPr>
      </w:pPr>
      <w:r>
        <w:rPr>
          <w:rFonts w:hint="eastAsia" w:ascii="微软雅黑" w:hAnsi="微软雅黑" w:eastAsia="微软雅黑" w:cs="微软雅黑"/>
          <w:color w:val="auto"/>
          <w:kern w:val="2"/>
          <w:sz w:val="24"/>
          <w:szCs w:val="24"/>
          <w:highlight w:val="none"/>
          <w:lang w:val="en-US" w:eastAsia="zh-CN" w:bidi="ar-SA"/>
        </w:rPr>
        <w:t>说明：营业执照正本或副本，须上传扫描件并加盖本单位公章。</w:t>
      </w:r>
    </w:p>
    <w:p w14:paraId="5A55EB3B">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1F83D3A2">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1A802E73">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50FD72E4">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74E8243C">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7D459716">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5B4DDC61">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5FDE6929">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44BFB80B">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2BA24F63">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117EA127">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26C81EC8">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4C8FF392">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6FCE8135">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57AD1EAB">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2365697E">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1D379B09">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2E965FAF">
      <w:pPr>
        <w:pStyle w:val="11"/>
        <w:rPr>
          <w:rFonts w:ascii="微软雅黑" w:hAnsi="微软雅黑" w:eastAsia="微软雅黑" w:cs="微软雅黑"/>
          <w:color w:val="auto"/>
        </w:rPr>
      </w:pPr>
    </w:p>
    <w:p w14:paraId="13EF4F92">
      <w:pPr>
        <w:pStyle w:val="11"/>
        <w:rPr>
          <w:rFonts w:ascii="微软雅黑" w:hAnsi="微软雅黑" w:eastAsia="微软雅黑" w:cs="微软雅黑"/>
          <w:color w:val="auto"/>
        </w:rPr>
      </w:pPr>
    </w:p>
    <w:p w14:paraId="13FFAF6D">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1953636D">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bookmarkEnd w:id="603"/>
    <w:bookmarkEnd w:id="604"/>
    <w:bookmarkEnd w:id="605"/>
    <w:bookmarkEnd w:id="606"/>
    <w:p w14:paraId="104EAB2D">
      <w:pPr>
        <w:pStyle w:val="8"/>
        <w:pageBreakBefore w:val="0"/>
        <w:kinsoku/>
        <w:wordWrap/>
        <w:overflowPunct/>
        <w:topLinePunct w:val="0"/>
        <w:bidi w:val="0"/>
        <w:snapToGrid w:val="0"/>
        <w:spacing w:line="520" w:lineRule="exact"/>
        <w:textAlignment w:val="baseline"/>
        <w:outlineLvl w:val="9"/>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②法人投标需提供法人身份证明及身份证复印件，被授权委托人需提供法人授权委托书及身份证复印件</w:t>
      </w:r>
    </w:p>
    <w:p w14:paraId="6FFB7813">
      <w:pPr>
        <w:pageBreakBefore w:val="0"/>
        <w:kinsoku/>
        <w:wordWrap/>
        <w:overflowPunct/>
        <w:topLinePunct w:val="0"/>
        <w:bidi w:val="0"/>
        <w:snapToGrid w:val="0"/>
        <w:spacing w:before="312" w:after="312" w:line="52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b/>
          <w:color w:val="auto"/>
          <w:sz w:val="24"/>
        </w:rPr>
        <w:t>法定代表人资格证明书</w:t>
      </w:r>
    </w:p>
    <w:p w14:paraId="407F4C7C">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同志，现任我单位          职务，为法定代表人，特此证明。</w:t>
      </w:r>
    </w:p>
    <w:p w14:paraId="13FF9406">
      <w:pPr>
        <w:pageBreakBefore w:val="0"/>
        <w:kinsoku/>
        <w:wordWrap/>
        <w:overflowPunct/>
        <w:topLinePunct w:val="0"/>
        <w:bidi w:val="0"/>
        <w:snapToGrid w:val="0"/>
        <w:spacing w:line="52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签发日期：                  单位：         </w:t>
      </w:r>
    </w:p>
    <w:p w14:paraId="60F9288D">
      <w:pPr>
        <w:pageBreakBefore w:val="0"/>
        <w:kinsoku/>
        <w:wordWrap/>
        <w:overflowPunct/>
        <w:topLinePunct w:val="0"/>
        <w:bidi w:val="0"/>
        <w:snapToGrid w:val="0"/>
        <w:spacing w:line="52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附：代表人性别：            年龄：           身份证号码：</w:t>
      </w:r>
    </w:p>
    <w:p w14:paraId="7634D754">
      <w:pPr>
        <w:pageBreakBefore w:val="0"/>
        <w:kinsoku/>
        <w:wordWrap/>
        <w:overflowPunct/>
        <w:topLinePunct w:val="0"/>
        <w:bidi w:val="0"/>
        <w:snapToGrid w:val="0"/>
        <w:spacing w:line="52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联系电话：</w:t>
      </w:r>
    </w:p>
    <w:p w14:paraId="4E758AD7">
      <w:pPr>
        <w:pageBreakBefore w:val="0"/>
        <w:kinsoku/>
        <w:wordWrap/>
        <w:overflowPunct/>
        <w:topLinePunct w:val="0"/>
        <w:bidi w:val="0"/>
        <w:snapToGrid w:val="0"/>
        <w:spacing w:line="52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营业执照号码：              经济性质：</w:t>
      </w:r>
    </w:p>
    <w:p w14:paraId="7F1E9E24">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说明：</w:t>
      </w:r>
    </w:p>
    <w:p w14:paraId="06C3D043">
      <w:pPr>
        <w:pageBreakBefore w:val="0"/>
        <w:kinsoku/>
        <w:wordWrap/>
        <w:overflowPunct/>
        <w:topLinePunct w:val="0"/>
        <w:bidi w:val="0"/>
        <w:snapToGrid w:val="0"/>
        <w:spacing w:line="52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1、法定代表人为企业事业单位、国家机关、社会团体的主要行政负责人。</w:t>
      </w:r>
    </w:p>
    <w:p w14:paraId="139348AE">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2、内容必须填写真实、清楚、涂改无效，不得转让。</w:t>
      </w:r>
    </w:p>
    <w:p w14:paraId="26A98BD1">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114550" cy="1375410"/>
                <wp:effectExtent l="4445" t="4445" r="14605" b="6985"/>
                <wp:wrapNone/>
                <wp:docPr id="1026" name="流程图: 可选过程 14"/>
                <wp:cNvGraphicFramePr/>
                <a:graphic xmlns:a="http://schemas.openxmlformats.org/drawingml/2006/main">
                  <a:graphicData uri="http://schemas.microsoft.com/office/word/2010/wordprocessingShape">
                    <wps:wsp>
                      <wps:cNvSpPr/>
                      <wps:spPr>
                        <a:xfrm>
                          <a:off x="0" y="0"/>
                          <a:ext cx="2114550" cy="13754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59443C8">
                            <w:pPr>
                              <w:jc w:val="center"/>
                              <w:rPr>
                                <w:rFonts w:hAnsi="宋体"/>
                                <w:szCs w:val="21"/>
                              </w:rPr>
                            </w:pPr>
                          </w:p>
                          <w:p w14:paraId="7B2E6201">
                            <w:pPr>
                              <w:jc w:val="both"/>
                              <w:rPr>
                                <w:szCs w:val="21"/>
                              </w:rPr>
                            </w:pPr>
                          </w:p>
                        </w:txbxContent>
                      </wps:txbx>
                      <wps:bodyPr upright="1"/>
                    </wps:wsp>
                  </a:graphicData>
                </a:graphic>
              </wp:anchor>
            </w:drawing>
          </mc:Choice>
          <mc:Fallback>
            <w:pict>
              <v:shape id="流程图: 可选过程 14" o:spid="_x0000_s1026" o:spt="176" type="#_x0000_t176" style="position:absolute;left:0pt;margin-left:12.15pt;margin-top:0.85pt;height:108.3pt;width:166.5pt;z-index:251659264;mso-width-relative:page;mso-height-relative:page;" fillcolor="#FFFFFF" filled="t" stroked="t" coordsize="21600,21600" o:gfxdata="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Z14n9UAAAAIAQAADwAAAAAAAAABACAAAAAiAAAAZHJzL2Rvd25yZXYueG1sUEsBAhQA&#10;FAAAAAgAh07iQOgyQHguAgAAVAQAAA4AAAAAAAAAAQAgAAAAJAEAAGRycy9lMm9Eb2MueG1sUEsF&#10;BgAAAAAGAAYAWQEAAMQFAAAAAA==&#10;">
                <v:fill on="t" focussize="0,0"/>
                <v:stroke color="#000000" joinstyle="miter"/>
                <v:imagedata o:title=""/>
                <o:lock v:ext="edit" aspectratio="f"/>
                <v:textbox>
                  <w:txbxContent>
                    <w:p w14:paraId="359443C8">
                      <w:pPr>
                        <w:jc w:val="center"/>
                        <w:rPr>
                          <w:rFonts w:hAnsi="宋体"/>
                          <w:szCs w:val="21"/>
                        </w:rPr>
                      </w:pPr>
                    </w:p>
                    <w:p w14:paraId="7B2E6201">
                      <w:pPr>
                        <w:jc w:val="both"/>
                        <w:rPr>
                          <w:szCs w:val="21"/>
                        </w:rPr>
                      </w:pPr>
                    </w:p>
                  </w:txbxContent>
                </v:textbox>
              </v:shape>
            </w:pict>
          </mc:Fallback>
        </mc:AlternateContent>
      </w:r>
      <w:r>
        <w:rPr>
          <w:rFonts w:hint="eastAsia" w:ascii="微软雅黑" w:hAnsi="微软雅黑" w:eastAsia="微软雅黑" w:cs="微软雅黑"/>
          <w:color w:val="auto"/>
          <w:sz w:val="24"/>
        </w:rPr>
        <mc:AlternateContent>
          <mc:Choice Requires="wps">
            <w:drawing>
              <wp:anchor distT="0" distB="0" distL="0" distR="0" simplePos="0" relativeHeight="251659264" behindDoc="0" locked="0" layoutInCell="1" allowOverlap="1">
                <wp:simplePos x="0" y="0"/>
                <wp:positionH relativeFrom="column">
                  <wp:posOffset>2918460</wp:posOffset>
                </wp:positionH>
                <wp:positionV relativeFrom="paragraph">
                  <wp:posOffset>28575</wp:posOffset>
                </wp:positionV>
                <wp:extent cx="2077085" cy="1385570"/>
                <wp:effectExtent l="7620" t="7620" r="18415" b="8890"/>
                <wp:wrapNone/>
                <wp:docPr id="1027" name="圆角矩形 18"/>
                <wp:cNvGraphicFramePr/>
                <a:graphic xmlns:a="http://schemas.openxmlformats.org/drawingml/2006/main">
                  <a:graphicData uri="http://schemas.microsoft.com/office/word/2010/wordprocessingShape">
                    <wps:wsp>
                      <wps:cNvSpPr/>
                      <wps:spPr>
                        <a:xfrm>
                          <a:off x="0" y="0"/>
                          <a:ext cx="2077084" cy="138557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48E32841">
                            <w:pPr>
                              <w:jc w:val="center"/>
                              <w:rPr>
                                <w:rFonts w:hAnsi="宋体"/>
                                <w:szCs w:val="21"/>
                              </w:rPr>
                            </w:pPr>
                            <w:r>
                              <w:rPr>
                                <w:rFonts w:hint="eastAsia" w:hAnsi="宋体"/>
                                <w:szCs w:val="21"/>
                              </w:rPr>
                              <w:t xml:space="preserve">  </w:t>
                            </w:r>
                          </w:p>
                          <w:p w14:paraId="7C1E14D8">
                            <w:pPr>
                              <w:jc w:val="center"/>
                              <w:rPr>
                                <w:rFonts w:hAnsi="宋体"/>
                                <w:szCs w:val="21"/>
                              </w:rPr>
                            </w:pPr>
                          </w:p>
                          <w:p w14:paraId="014520C2">
                            <w:pPr>
                              <w:jc w:val="center"/>
                              <w:rPr>
                                <w:rFonts w:hAnsi="宋体"/>
                                <w:szCs w:val="21"/>
                              </w:rPr>
                            </w:pPr>
                          </w:p>
                          <w:p w14:paraId="103168ED">
                            <w:pPr>
                              <w:jc w:val="center"/>
                              <w:rPr>
                                <w:szCs w:val="21"/>
                              </w:rPr>
                            </w:pPr>
                          </w:p>
                          <w:p w14:paraId="5CCE5985"/>
                          <w:p w14:paraId="6B1F7B62">
                            <w:pPr>
                              <w:pStyle w:val="7"/>
                            </w:pPr>
                          </w:p>
                          <w:p w14:paraId="027994AB">
                            <w:pPr>
                              <w:pStyle w:val="7"/>
                            </w:pPr>
                          </w:p>
                          <w:p w14:paraId="416FA213">
                            <w:pPr>
                              <w:pStyle w:val="7"/>
                            </w:pPr>
                          </w:p>
                          <w:p w14:paraId="5C7CD624">
                            <w:pPr>
                              <w:pStyle w:val="7"/>
                            </w:pPr>
                          </w:p>
                        </w:txbxContent>
                      </wps:txbx>
                      <wps:bodyPr upright="1"/>
                    </wps:wsp>
                  </a:graphicData>
                </a:graphic>
              </wp:anchor>
            </w:drawing>
          </mc:Choice>
          <mc:Fallback>
            <w:pict>
              <v:roundrect id="圆角矩形 18" o:spid="_x0000_s1026" o:spt="2" style="position:absolute;left:0pt;margin-left:229.8pt;margin-top:2.25pt;height:109.1pt;width:163.55pt;z-index:251659264;mso-width-relative:page;mso-height-relative:page;" fillcolor="#FFFFFF" filled="t" stroked="t" coordsize="21600,21600" arcsize="0.166666666666667" o:gfxdata="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P3JNnaAAAACQEAAA8AAAAAAAAAAQAgAAAAIgAAAGRycy9kb3ducmV2LnhtbFBL&#10;AQIUABQAAAAIAIdO4kA2KviDLQIAAGYEAAAOAAAAAAAAAAEAIAAAACkBAABkcnMvZTJvRG9jLnht&#10;bFBLBQYAAAAABgAGAFkBAADIBQAAAAA=&#10;">
                <v:fill on="t" focussize="0,0"/>
                <v:stroke weight="1.25pt" color="#808080" joinstyle="round"/>
                <v:imagedata o:title=""/>
                <o:lock v:ext="edit" aspectratio="f"/>
                <v:textbox>
                  <w:txbxContent>
                    <w:p w14:paraId="48E32841">
                      <w:pPr>
                        <w:jc w:val="center"/>
                        <w:rPr>
                          <w:rFonts w:hAnsi="宋体"/>
                          <w:szCs w:val="21"/>
                        </w:rPr>
                      </w:pPr>
                      <w:r>
                        <w:rPr>
                          <w:rFonts w:hint="eastAsia" w:hAnsi="宋体"/>
                          <w:szCs w:val="21"/>
                        </w:rPr>
                        <w:t xml:space="preserve">  </w:t>
                      </w:r>
                    </w:p>
                    <w:p w14:paraId="7C1E14D8">
                      <w:pPr>
                        <w:jc w:val="center"/>
                        <w:rPr>
                          <w:rFonts w:hAnsi="宋体"/>
                          <w:szCs w:val="21"/>
                        </w:rPr>
                      </w:pPr>
                    </w:p>
                    <w:p w14:paraId="014520C2">
                      <w:pPr>
                        <w:jc w:val="center"/>
                        <w:rPr>
                          <w:rFonts w:hAnsi="宋体"/>
                          <w:szCs w:val="21"/>
                        </w:rPr>
                      </w:pPr>
                    </w:p>
                    <w:p w14:paraId="103168ED">
                      <w:pPr>
                        <w:jc w:val="center"/>
                        <w:rPr>
                          <w:szCs w:val="21"/>
                        </w:rPr>
                      </w:pPr>
                    </w:p>
                    <w:p w14:paraId="5CCE5985"/>
                    <w:p w14:paraId="6B1F7B62">
                      <w:pPr>
                        <w:pStyle w:val="7"/>
                      </w:pPr>
                    </w:p>
                    <w:p w14:paraId="027994AB">
                      <w:pPr>
                        <w:pStyle w:val="7"/>
                      </w:pPr>
                    </w:p>
                    <w:p w14:paraId="416FA213">
                      <w:pPr>
                        <w:pStyle w:val="7"/>
                      </w:pPr>
                    </w:p>
                    <w:p w14:paraId="5C7CD624">
                      <w:pPr>
                        <w:pStyle w:val="7"/>
                      </w:pPr>
                    </w:p>
                  </w:txbxContent>
                </v:textbox>
              </v:roundrect>
            </w:pict>
          </mc:Fallback>
        </mc:AlternateContent>
      </w:r>
    </w:p>
    <w:p w14:paraId="01E3252D">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p>
    <w:p w14:paraId="71FD7809">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p>
    <w:p w14:paraId="03712193">
      <w:pPr>
        <w:pStyle w:val="27"/>
        <w:pageBreakBefore w:val="0"/>
        <w:kinsoku/>
        <w:wordWrap/>
        <w:overflowPunct/>
        <w:topLinePunct w:val="0"/>
        <w:bidi w:val="0"/>
        <w:spacing w:line="520" w:lineRule="exact"/>
        <w:rPr>
          <w:rFonts w:ascii="微软雅黑" w:hAnsi="微软雅黑" w:eastAsia="微软雅黑" w:cs="微软雅黑"/>
          <w:color w:val="auto"/>
          <w:sz w:val="24"/>
        </w:rPr>
      </w:pPr>
    </w:p>
    <w:p w14:paraId="69C73B38">
      <w:pPr>
        <w:pageBreakBefore w:val="0"/>
        <w:kinsoku/>
        <w:wordWrap/>
        <w:overflowPunct/>
        <w:topLinePunct w:val="0"/>
        <w:bidi w:val="0"/>
        <w:snapToGrid w:val="0"/>
        <w:spacing w:line="520" w:lineRule="exact"/>
        <w:ind w:right="246"/>
        <w:textAlignment w:val="baseline"/>
        <w:rPr>
          <w:rFonts w:ascii="微软雅黑" w:hAnsi="微软雅黑" w:eastAsia="微软雅黑" w:cs="微软雅黑"/>
          <w:color w:val="auto"/>
          <w:sz w:val="24"/>
        </w:rPr>
      </w:pPr>
    </w:p>
    <w:p w14:paraId="5D938884">
      <w:pPr>
        <w:pageBreakBefore w:val="0"/>
        <w:kinsoku/>
        <w:wordWrap/>
        <w:overflowPunct/>
        <w:topLinePunct w:val="0"/>
        <w:bidi w:val="0"/>
        <w:snapToGrid w:val="0"/>
        <w:spacing w:line="520" w:lineRule="exact"/>
        <w:ind w:right="246"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lang w:eastAsia="zh-CN"/>
        </w:rPr>
        <w:t>供应商</w:t>
      </w:r>
      <w:r>
        <w:rPr>
          <w:rFonts w:hint="eastAsia" w:ascii="微软雅黑" w:hAnsi="微软雅黑" w:eastAsia="微软雅黑" w:cs="微软雅黑"/>
          <w:color w:val="auto"/>
          <w:sz w:val="24"/>
        </w:rPr>
        <w:t xml:space="preserve">（盖章）：                              </w:t>
      </w:r>
    </w:p>
    <w:p w14:paraId="741E8F47">
      <w:pPr>
        <w:pageBreakBefore w:val="0"/>
        <w:kinsoku/>
        <w:wordWrap/>
        <w:overflowPunct/>
        <w:topLinePunct w:val="0"/>
        <w:bidi w:val="0"/>
        <w:snapToGrid w:val="0"/>
        <w:spacing w:line="520" w:lineRule="exact"/>
        <w:ind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法定代表人(签/章)： </w:t>
      </w:r>
    </w:p>
    <w:p w14:paraId="20BC0942">
      <w:pPr>
        <w:pStyle w:val="17"/>
        <w:pageBreakBefore w:val="0"/>
        <w:tabs>
          <w:tab w:val="left" w:pos="5370"/>
        </w:tabs>
        <w:kinsoku/>
        <w:wordWrap/>
        <w:overflowPunct/>
        <w:topLinePunct w:val="0"/>
        <w:bidi w:val="0"/>
        <w:snapToGrid w:val="0"/>
        <w:spacing w:line="520" w:lineRule="exact"/>
        <w:ind w:left="1155" w:leftChars="371" w:hanging="376" w:hangingChars="15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(公章):</w:t>
      </w:r>
      <w:r>
        <w:rPr>
          <w:rFonts w:hint="eastAsia" w:ascii="微软雅黑" w:hAnsi="微软雅黑" w:eastAsia="微软雅黑" w:cs="微软雅黑"/>
          <w:color w:val="auto"/>
          <w:sz w:val="24"/>
        </w:rPr>
        <w:t xml:space="preserve">                   </w:t>
      </w:r>
    </w:p>
    <w:p w14:paraId="4433A174">
      <w:pPr>
        <w:pageBreakBefore w:val="0"/>
        <w:kinsoku/>
        <w:wordWrap/>
        <w:overflowPunct/>
        <w:topLinePunct w:val="0"/>
        <w:bidi w:val="0"/>
        <w:snapToGrid w:val="0"/>
        <w:spacing w:line="520" w:lineRule="exact"/>
        <w:ind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日期：                                       </w:t>
      </w:r>
    </w:p>
    <w:p w14:paraId="40451FD2">
      <w:pPr>
        <w:pStyle w:val="18"/>
        <w:rPr>
          <w:rFonts w:hint="eastAsia" w:ascii="微软雅黑" w:hAnsi="微软雅黑" w:eastAsia="微软雅黑" w:cs="微软雅黑"/>
          <w:color w:val="auto"/>
          <w:sz w:val="24"/>
          <w:szCs w:val="24"/>
        </w:rPr>
      </w:pPr>
    </w:p>
    <w:p w14:paraId="7FAA6DAB">
      <w:pPr>
        <w:rPr>
          <w:rFonts w:hint="eastAsia" w:ascii="微软雅黑" w:hAnsi="微软雅黑" w:eastAsia="微软雅黑" w:cs="微软雅黑"/>
          <w:color w:val="auto"/>
          <w:sz w:val="24"/>
          <w:szCs w:val="24"/>
        </w:rPr>
      </w:pPr>
    </w:p>
    <w:p w14:paraId="6419D327">
      <w:pPr>
        <w:rPr>
          <w:rFonts w:hint="eastAsia" w:ascii="微软雅黑" w:hAnsi="微软雅黑" w:eastAsia="微软雅黑" w:cs="微软雅黑"/>
          <w:color w:val="auto"/>
          <w:sz w:val="24"/>
          <w:szCs w:val="24"/>
        </w:rPr>
      </w:pPr>
    </w:p>
    <w:p w14:paraId="7D2CB2DA">
      <w:pPr>
        <w:rPr>
          <w:rFonts w:hint="eastAsia" w:ascii="微软雅黑" w:hAnsi="微软雅黑" w:eastAsia="微软雅黑" w:cs="微软雅黑"/>
          <w:color w:val="auto"/>
          <w:sz w:val="24"/>
          <w:szCs w:val="24"/>
        </w:rPr>
      </w:pPr>
    </w:p>
    <w:p w14:paraId="2BB0AB4A">
      <w:pPr>
        <w:rPr>
          <w:rFonts w:hint="eastAsia" w:ascii="微软雅黑" w:hAnsi="微软雅黑" w:eastAsia="微软雅黑" w:cs="微软雅黑"/>
          <w:color w:val="auto"/>
          <w:sz w:val="24"/>
          <w:szCs w:val="24"/>
        </w:rPr>
      </w:pPr>
    </w:p>
    <w:p w14:paraId="7B386CA3">
      <w:pPr>
        <w:rPr>
          <w:rFonts w:hint="eastAsia" w:ascii="微软雅黑" w:hAnsi="微软雅黑" w:eastAsia="微软雅黑" w:cs="微软雅黑"/>
          <w:color w:val="auto"/>
          <w:sz w:val="24"/>
          <w:szCs w:val="24"/>
        </w:rPr>
      </w:pPr>
    </w:p>
    <w:p w14:paraId="29BBC86E">
      <w:pPr>
        <w:rPr>
          <w:rFonts w:hint="eastAsia" w:ascii="微软雅黑" w:hAnsi="微软雅黑" w:eastAsia="微软雅黑" w:cs="微软雅黑"/>
          <w:color w:val="auto"/>
          <w:sz w:val="24"/>
          <w:szCs w:val="24"/>
        </w:rPr>
      </w:pPr>
    </w:p>
    <w:p w14:paraId="767B6F91">
      <w:pPr>
        <w:pageBreakBefore w:val="0"/>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b/>
          <w:bCs/>
          <w:color w:val="auto"/>
          <w:sz w:val="24"/>
          <w:u w:val="single" w:color="000000"/>
        </w:rPr>
      </w:pPr>
      <w:r>
        <w:rPr>
          <w:rFonts w:hint="eastAsia" w:ascii="微软雅黑" w:hAnsi="微软雅黑" w:eastAsia="微软雅黑" w:cs="微软雅黑"/>
          <w:color w:val="auto"/>
          <w:sz w:val="24"/>
          <w:szCs w:val="24"/>
        </w:rPr>
        <w:t xml:space="preserve">  </w:t>
      </w:r>
      <w:bookmarkStart w:id="607" w:name="_Toc515647807"/>
      <w:bookmarkStart w:id="608" w:name="_Toc16640"/>
      <w:bookmarkStart w:id="609" w:name="_Toc6829"/>
      <w:bookmarkStart w:id="610" w:name="_Toc22472"/>
      <w:bookmarkStart w:id="611" w:name="_Toc13107"/>
      <w:bookmarkStart w:id="612" w:name="_Toc1083"/>
      <w:bookmarkStart w:id="613" w:name="_Toc21867"/>
      <w:bookmarkStart w:id="614" w:name="_Toc5436"/>
      <w:bookmarkStart w:id="615" w:name="_Toc8491"/>
      <w:bookmarkStart w:id="616" w:name="_Toc7748"/>
      <w:bookmarkStart w:id="617" w:name="_Toc4926"/>
      <w:bookmarkStart w:id="618" w:name="_Toc16635"/>
      <w:bookmarkStart w:id="619" w:name="_Toc4082"/>
      <w:bookmarkStart w:id="620" w:name="_Toc27943"/>
      <w:bookmarkStart w:id="621" w:name="_Toc14483"/>
      <w:r>
        <w:rPr>
          <w:rFonts w:hint="eastAsia" w:ascii="微软雅黑" w:hAnsi="微软雅黑" w:eastAsia="微软雅黑" w:cs="微软雅黑"/>
          <w:b/>
          <w:bCs/>
          <w:color w:val="auto"/>
          <w:sz w:val="24"/>
        </w:rPr>
        <w:t>法定代表人授权委托书</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0AB9FF83">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bookmarkStart w:id="622" w:name="_Toc515647808"/>
      <w:bookmarkStart w:id="623" w:name="_Toc32520"/>
      <w:bookmarkStart w:id="624" w:name="_Toc7039"/>
      <w:r>
        <w:rPr>
          <w:rFonts w:hint="eastAsia" w:ascii="微软雅黑" w:hAnsi="微软雅黑" w:eastAsia="微软雅黑" w:cs="微软雅黑"/>
          <w:color w:val="auto"/>
          <w:sz w:val="24"/>
          <w:szCs w:val="24"/>
        </w:rPr>
        <w:cr/>
      </w:r>
      <w:r>
        <w:rPr>
          <w:rFonts w:hint="eastAsia" w:ascii="微软雅黑" w:hAnsi="微软雅黑" w:eastAsia="微软雅黑" w:cs="微软雅黑"/>
          <w:color w:val="auto"/>
          <w:sz w:val="24"/>
          <w:szCs w:val="24"/>
        </w:rPr>
        <w:t xml:space="preserve">    本授权书声明：注册于（国家或地区的名称）的（</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）的在下面签字的（法人代表姓名、职务）代表我单位授权（单位名称）的在下面签字的（被授权人的姓名、职务）为我单位的合法代理人，就（项目名称）的磋商，以我单位名义处理一切与之有关的事务。　　</w:t>
      </w:r>
    </w:p>
    <w:p w14:paraId="4BDAA258">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本授权书于           年     月     日签字生效,特此声明。</w:t>
      </w:r>
    </w:p>
    <w:p w14:paraId="61911320">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59264" behindDoc="0" locked="0" layoutInCell="1" allowOverlap="1">
                <wp:simplePos x="0" y="0"/>
                <wp:positionH relativeFrom="column">
                  <wp:posOffset>3039110</wp:posOffset>
                </wp:positionH>
                <wp:positionV relativeFrom="paragraph">
                  <wp:posOffset>97155</wp:posOffset>
                </wp:positionV>
                <wp:extent cx="2478405" cy="1387475"/>
                <wp:effectExtent l="7620" t="7620" r="13335" b="22225"/>
                <wp:wrapNone/>
                <wp:docPr id="1028" name="圆角矩形 15"/>
                <wp:cNvGraphicFramePr/>
                <a:graphic xmlns:a="http://schemas.openxmlformats.org/drawingml/2006/main">
                  <a:graphicData uri="http://schemas.microsoft.com/office/word/2010/wordprocessingShape">
                    <wps:wsp>
                      <wps:cNvSpPr/>
                      <wps:spPr>
                        <a:xfrm>
                          <a:off x="0" y="0"/>
                          <a:ext cx="2478405" cy="138747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3BF02DA1">
                            <w:pPr>
                              <w:rPr>
                                <w:rFonts w:hAnsi="宋体"/>
                              </w:rPr>
                            </w:pPr>
                          </w:p>
                          <w:p w14:paraId="3874BDE1">
                            <w:pPr>
                              <w:rPr>
                                <w:rFonts w:hAnsi="宋体"/>
                              </w:rPr>
                            </w:pPr>
                          </w:p>
                          <w:p w14:paraId="0722BD3E">
                            <w:pPr>
                              <w:rPr>
                                <w:rFonts w:hAnsi="宋体"/>
                              </w:rPr>
                            </w:pPr>
                          </w:p>
                          <w:p w14:paraId="3661BB45">
                            <w:pPr>
                              <w:ind w:firstLine="420" w:firstLineChars="200"/>
                            </w:pPr>
                            <w:r>
                              <w:rPr>
                                <w:rFonts w:hint="eastAsia" w:hAnsi="宋体"/>
                              </w:rPr>
                              <w:t>授权委托人身份证复印件</w:t>
                            </w:r>
                          </w:p>
                          <w:p w14:paraId="450FBDC2"/>
                        </w:txbxContent>
                      </wps:txbx>
                      <wps:bodyPr upright="1"/>
                    </wps:wsp>
                  </a:graphicData>
                </a:graphic>
              </wp:anchor>
            </w:drawing>
          </mc:Choice>
          <mc:Fallback>
            <w:pict>
              <v:roundrect id="圆角矩形 15" o:spid="_x0000_s1026" o:spt="2" style="position:absolute;left:0pt;margin-left:239.3pt;margin-top:7.65pt;height:109.25pt;width:195.15pt;z-index:251659264;mso-width-relative:page;mso-height-relative:page;" fillcolor="#FFFFFF" filled="t" stroked="t" coordsize="21600,21600" arcsize="0.166666666666667" o:gfxdata="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Bk62fbAAAACgEAAA8AAAAAAAAAAQAgAAAAIgAAAGRycy9kb3ducmV2LnhtbFBL&#10;AQIUABQAAAAIAIdO4kC/extPLAIAAGYEAAAOAAAAAAAAAAEAIAAAACoBAABkcnMvZTJvRG9jLnht&#10;bFBLBQYAAAAABgAGAFkBAADIBQAAAAA=&#10;">
                <v:fill on="t" focussize="0,0"/>
                <v:stroke weight="1.25pt" color="#808080" joinstyle="round"/>
                <v:imagedata o:title=""/>
                <o:lock v:ext="edit" aspectratio="f"/>
                <v:textbox>
                  <w:txbxContent>
                    <w:p w14:paraId="3BF02DA1">
                      <w:pPr>
                        <w:rPr>
                          <w:rFonts w:hAnsi="宋体"/>
                        </w:rPr>
                      </w:pPr>
                    </w:p>
                    <w:p w14:paraId="3874BDE1">
                      <w:pPr>
                        <w:rPr>
                          <w:rFonts w:hAnsi="宋体"/>
                        </w:rPr>
                      </w:pPr>
                    </w:p>
                    <w:p w14:paraId="0722BD3E">
                      <w:pPr>
                        <w:rPr>
                          <w:rFonts w:hAnsi="宋体"/>
                        </w:rPr>
                      </w:pPr>
                    </w:p>
                    <w:p w14:paraId="3661BB45">
                      <w:pPr>
                        <w:ind w:firstLine="420" w:firstLineChars="200"/>
                      </w:pPr>
                      <w:r>
                        <w:rPr>
                          <w:rFonts w:hint="eastAsia" w:hAnsi="宋体"/>
                        </w:rPr>
                        <w:t>授权委托人身份证复印件</w:t>
                      </w:r>
                    </w:p>
                    <w:p w14:paraId="450FBDC2"/>
                  </w:txbxContent>
                </v:textbox>
              </v:roundrect>
            </w:pict>
          </mc:Fallback>
        </mc:AlternateContent>
      </w:r>
      <w:r>
        <w:rPr>
          <w:rFonts w:hint="eastAsia" w:ascii="微软雅黑" w:hAnsi="微软雅黑" w:eastAsia="微软雅黑" w:cs="微软雅黑"/>
          <w:color w:val="auto"/>
          <w:sz w:val="24"/>
          <w:szCs w:val="24"/>
        </w:rPr>
        <mc:AlternateContent>
          <mc:Choice Requires="wps">
            <w:drawing>
              <wp:anchor distT="0" distB="0" distL="0" distR="0" simplePos="0" relativeHeight="251659264" behindDoc="0" locked="0" layoutInCell="1" allowOverlap="1">
                <wp:simplePos x="0" y="0"/>
                <wp:positionH relativeFrom="column">
                  <wp:posOffset>20955</wp:posOffset>
                </wp:positionH>
                <wp:positionV relativeFrom="paragraph">
                  <wp:posOffset>135890</wp:posOffset>
                </wp:positionV>
                <wp:extent cx="2507615" cy="1405890"/>
                <wp:effectExtent l="4445" t="4445" r="17780" b="6985"/>
                <wp:wrapNone/>
                <wp:docPr id="1029" name="流程图: 可选过程 19"/>
                <wp:cNvGraphicFramePr/>
                <a:graphic xmlns:a="http://schemas.openxmlformats.org/drawingml/2006/main">
                  <a:graphicData uri="http://schemas.microsoft.com/office/word/2010/wordprocessingShape">
                    <wps:wsp>
                      <wps:cNvSpPr/>
                      <wps:spPr>
                        <a:xfrm>
                          <a:off x="0" y="0"/>
                          <a:ext cx="2507615" cy="14058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C6F1A8D">
                            <w:pPr>
                              <w:jc w:val="center"/>
                              <w:rPr>
                                <w:rFonts w:hAnsi="宋体"/>
                              </w:rPr>
                            </w:pPr>
                          </w:p>
                          <w:p w14:paraId="0DABBBA5">
                            <w:pPr>
                              <w:jc w:val="center"/>
                              <w:rPr>
                                <w:rFonts w:hAnsi="宋体"/>
                              </w:rPr>
                            </w:pPr>
                          </w:p>
                          <w:p w14:paraId="6664D8AD">
                            <w:pPr>
                              <w:jc w:val="center"/>
                              <w:rPr>
                                <w:rFonts w:hAnsi="宋体"/>
                              </w:rPr>
                            </w:pPr>
                          </w:p>
                          <w:p w14:paraId="061FBA03">
                            <w:pPr>
                              <w:jc w:val="center"/>
                            </w:pPr>
                            <w:r>
                              <w:rPr>
                                <w:rFonts w:hint="eastAsia" w:hAnsi="宋体"/>
                              </w:rPr>
                              <w:t>授权委托人身份证复印件</w:t>
                            </w:r>
                          </w:p>
                        </w:txbxContent>
                      </wps:txbx>
                      <wps:bodyPr upright="1"/>
                    </wps:wsp>
                  </a:graphicData>
                </a:graphic>
              </wp:anchor>
            </w:drawing>
          </mc:Choice>
          <mc:Fallback>
            <w:pict>
              <v:shape id="流程图: 可选过程 19" o:spid="_x0000_s1026" o:spt="176" type="#_x0000_t176" style="position:absolute;left:0pt;margin-left:1.65pt;margin-top:10.7pt;height:110.7pt;width:197.45pt;z-index:251659264;mso-width-relative:page;mso-height-relative:page;" fillcolor="#FFFFFF" filled="t" stroked="t" coordsize="21600,21600" o:gfxdata="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S6tt1wAAAAgBAAAPAAAAAAAAAAEAIAAAACIAAABkcnMvZG93bnJldi54bWxQSwEC&#10;FAAUAAAACACHTuJAbjjyqS4CAABUBAAADgAAAAAAAAABACAAAAAmAQAAZHJzL2Uyb0RvYy54bWxQ&#10;SwUGAAAAAAYABgBZAQAAxgUAAAAA&#10;">
                <v:fill on="t" focussize="0,0"/>
                <v:stroke color="#000000" joinstyle="miter"/>
                <v:imagedata o:title=""/>
                <o:lock v:ext="edit" aspectratio="f"/>
                <v:textbox>
                  <w:txbxContent>
                    <w:p w14:paraId="4C6F1A8D">
                      <w:pPr>
                        <w:jc w:val="center"/>
                        <w:rPr>
                          <w:rFonts w:hAnsi="宋体"/>
                        </w:rPr>
                      </w:pPr>
                    </w:p>
                    <w:p w14:paraId="0DABBBA5">
                      <w:pPr>
                        <w:jc w:val="center"/>
                        <w:rPr>
                          <w:rFonts w:hAnsi="宋体"/>
                        </w:rPr>
                      </w:pPr>
                    </w:p>
                    <w:p w14:paraId="6664D8AD">
                      <w:pPr>
                        <w:jc w:val="center"/>
                        <w:rPr>
                          <w:rFonts w:hAnsi="宋体"/>
                        </w:rPr>
                      </w:pPr>
                    </w:p>
                    <w:p w14:paraId="061FBA03">
                      <w:pPr>
                        <w:jc w:val="center"/>
                      </w:pPr>
                      <w:r>
                        <w:rPr>
                          <w:rFonts w:hint="eastAsia" w:hAnsi="宋体"/>
                        </w:rPr>
                        <w:t>授权委托人身份证复印件</w:t>
                      </w:r>
                    </w:p>
                  </w:txbxContent>
                </v:textbox>
              </v:shape>
            </w:pict>
          </mc:Fallback>
        </mc:AlternateContent>
      </w:r>
    </w:p>
    <w:p w14:paraId="1A69BD7D">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p>
    <w:p w14:paraId="27984B2A">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27FFB93A">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6E29357B">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5BF93E38">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59264" behindDoc="0" locked="0" layoutInCell="1" allowOverlap="1">
                <wp:simplePos x="0" y="0"/>
                <wp:positionH relativeFrom="column">
                  <wp:posOffset>29845</wp:posOffset>
                </wp:positionH>
                <wp:positionV relativeFrom="paragraph">
                  <wp:posOffset>235585</wp:posOffset>
                </wp:positionV>
                <wp:extent cx="2555240" cy="1409065"/>
                <wp:effectExtent l="7620" t="7620" r="12700" b="15875"/>
                <wp:wrapNone/>
                <wp:docPr id="1030" name="圆角矩形 16"/>
                <wp:cNvGraphicFramePr/>
                <a:graphic xmlns:a="http://schemas.openxmlformats.org/drawingml/2006/main">
                  <a:graphicData uri="http://schemas.microsoft.com/office/word/2010/wordprocessingShape">
                    <wps:wsp>
                      <wps:cNvSpPr/>
                      <wps:spPr>
                        <a:xfrm>
                          <a:off x="0" y="0"/>
                          <a:ext cx="2555240" cy="140906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6E8AE437">
                            <w:pPr>
                              <w:jc w:val="center"/>
                              <w:rPr>
                                <w:rFonts w:hAnsi="宋体"/>
                              </w:rPr>
                            </w:pPr>
                          </w:p>
                          <w:p w14:paraId="3626B239">
                            <w:pPr>
                              <w:jc w:val="center"/>
                              <w:rPr>
                                <w:rFonts w:hAnsi="宋体"/>
                              </w:rPr>
                            </w:pPr>
                          </w:p>
                          <w:p w14:paraId="67891743">
                            <w:pPr>
                              <w:jc w:val="center"/>
                              <w:rPr>
                                <w:rFonts w:hAnsi="宋体"/>
                              </w:rPr>
                            </w:pPr>
                          </w:p>
                          <w:p w14:paraId="70E599A3">
                            <w:pPr>
                              <w:jc w:val="center"/>
                            </w:pPr>
                            <w:r>
                              <w:rPr>
                                <w:rFonts w:hint="eastAsia" w:hAnsi="宋体"/>
                              </w:rPr>
                              <w:t>法人身份证复印件</w:t>
                            </w:r>
                          </w:p>
                          <w:p w14:paraId="75724D81"/>
                        </w:txbxContent>
                      </wps:txbx>
                      <wps:bodyPr upright="1"/>
                    </wps:wsp>
                  </a:graphicData>
                </a:graphic>
              </wp:anchor>
            </w:drawing>
          </mc:Choice>
          <mc:Fallback>
            <w:pict>
              <v:roundrect id="圆角矩形 16" o:spid="_x0000_s1026" o:spt="2" style="position:absolute;left:0pt;margin-left:2.35pt;margin-top:18.55pt;height:110.95pt;width:201.2pt;z-index:251659264;mso-width-relative:page;mso-height-relative:page;" fillcolor="#FFFFFF" filled="t" stroked="t" coordsize="21600,21600" arcsize="0.166666666666667" o:gfxdata="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1cJUzZAAAACAEAAA8AAAAAAAAAAQAgAAAAIgAAAGRycy9kb3ducmV2LnhtbFBLAQIU&#10;ABQAAAAIAIdO4kAwn2ooKwIAAGYEAAAOAAAAAAAAAAEAIAAAACgBAABkcnMvZTJvRG9jLnhtbFBL&#10;BQYAAAAABgAGAFkBAADFBQAAAAA=&#10;">
                <v:fill on="t" focussize="0,0"/>
                <v:stroke weight="1.25pt" color="#808080" joinstyle="round"/>
                <v:imagedata o:title=""/>
                <o:lock v:ext="edit" aspectratio="f"/>
                <v:textbox>
                  <w:txbxContent>
                    <w:p w14:paraId="6E8AE437">
                      <w:pPr>
                        <w:jc w:val="center"/>
                        <w:rPr>
                          <w:rFonts w:hAnsi="宋体"/>
                        </w:rPr>
                      </w:pPr>
                    </w:p>
                    <w:p w14:paraId="3626B239">
                      <w:pPr>
                        <w:jc w:val="center"/>
                        <w:rPr>
                          <w:rFonts w:hAnsi="宋体"/>
                        </w:rPr>
                      </w:pPr>
                    </w:p>
                    <w:p w14:paraId="67891743">
                      <w:pPr>
                        <w:jc w:val="center"/>
                        <w:rPr>
                          <w:rFonts w:hAnsi="宋体"/>
                        </w:rPr>
                      </w:pPr>
                    </w:p>
                    <w:p w14:paraId="70E599A3">
                      <w:pPr>
                        <w:jc w:val="center"/>
                      </w:pPr>
                      <w:r>
                        <w:rPr>
                          <w:rFonts w:hint="eastAsia" w:hAnsi="宋体"/>
                        </w:rPr>
                        <w:t>法人身份证复印件</w:t>
                      </w:r>
                    </w:p>
                    <w:p w14:paraId="75724D81"/>
                  </w:txbxContent>
                </v:textbox>
              </v:roundrect>
            </w:pict>
          </mc:Fallback>
        </mc:AlternateContent>
      </w:r>
    </w:p>
    <w:p w14:paraId="5A5D8F32">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59264" behindDoc="0" locked="0" layoutInCell="1" allowOverlap="1">
                <wp:simplePos x="0" y="0"/>
                <wp:positionH relativeFrom="column">
                  <wp:posOffset>3028315</wp:posOffset>
                </wp:positionH>
                <wp:positionV relativeFrom="paragraph">
                  <wp:posOffset>140335</wp:posOffset>
                </wp:positionV>
                <wp:extent cx="2535555" cy="1252220"/>
                <wp:effectExtent l="7620" t="7620" r="17145" b="20320"/>
                <wp:wrapNone/>
                <wp:docPr id="1031" name="圆角矩形 13"/>
                <wp:cNvGraphicFramePr/>
                <a:graphic xmlns:a="http://schemas.openxmlformats.org/drawingml/2006/main">
                  <a:graphicData uri="http://schemas.microsoft.com/office/word/2010/wordprocessingShape">
                    <wps:wsp>
                      <wps:cNvSpPr/>
                      <wps:spPr>
                        <a:xfrm>
                          <a:off x="0" y="0"/>
                          <a:ext cx="2535554" cy="12522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3EE36D3A">
                            <w:pPr>
                              <w:jc w:val="center"/>
                              <w:rPr>
                                <w:rFonts w:hAnsi="宋体"/>
                              </w:rPr>
                            </w:pPr>
                            <w:r>
                              <w:rPr>
                                <w:rFonts w:hint="eastAsia" w:hAnsi="宋体"/>
                              </w:rPr>
                              <w:t xml:space="preserve">  </w:t>
                            </w:r>
                          </w:p>
                          <w:p w14:paraId="40EA34E1">
                            <w:pPr>
                              <w:jc w:val="center"/>
                              <w:rPr>
                                <w:rFonts w:hAnsi="宋体"/>
                              </w:rPr>
                            </w:pPr>
                          </w:p>
                          <w:p w14:paraId="7D75C26C">
                            <w:pPr>
                              <w:jc w:val="center"/>
                            </w:pPr>
                            <w:r>
                              <w:rPr>
                                <w:rFonts w:hint="eastAsia" w:hAnsi="宋体"/>
                              </w:rPr>
                              <w:t>法人身份证复印件</w:t>
                            </w:r>
                          </w:p>
                          <w:p w14:paraId="01F8C354"/>
                        </w:txbxContent>
                      </wps:txbx>
                      <wps:bodyPr upright="1"/>
                    </wps:wsp>
                  </a:graphicData>
                </a:graphic>
              </wp:anchor>
            </w:drawing>
          </mc:Choice>
          <mc:Fallback>
            <w:pict>
              <v:roundrect id="圆角矩形 13" o:spid="_x0000_s1026" o:spt="2" style="position:absolute;left:0pt;margin-left:238.45pt;margin-top:11.05pt;height:98.6pt;width:199.65pt;z-index:251659264;mso-width-relative:page;mso-height-relative:page;" fillcolor="#FFFFFF" filled="t" stroked="t" coordsize="21600,21600" arcsize="0.166666666666667" o:gfxdata="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hb8+2wAAAAoBAAAPAAAAAAAAAAEAIAAAACIAAABkcnMvZG93bnJldi54bWxQ&#10;SwECFAAUAAAACACHTuJA1/Zebi0CAABmBAAADgAAAAAAAAABACAAAAAqAQAAZHJzL2Uyb0RvYy54&#10;bWxQSwUGAAAAAAYABgBZAQAAyQUAAAAA&#10;">
                <v:fill on="t" focussize="0,0"/>
                <v:stroke weight="1.25pt" color="#808080" joinstyle="round"/>
                <v:imagedata o:title=""/>
                <o:lock v:ext="edit" aspectratio="f"/>
                <v:textbox>
                  <w:txbxContent>
                    <w:p w14:paraId="3EE36D3A">
                      <w:pPr>
                        <w:jc w:val="center"/>
                        <w:rPr>
                          <w:rFonts w:hAnsi="宋体"/>
                        </w:rPr>
                      </w:pPr>
                      <w:r>
                        <w:rPr>
                          <w:rFonts w:hint="eastAsia" w:hAnsi="宋体"/>
                        </w:rPr>
                        <w:t xml:space="preserve">  </w:t>
                      </w:r>
                    </w:p>
                    <w:p w14:paraId="40EA34E1">
                      <w:pPr>
                        <w:jc w:val="center"/>
                        <w:rPr>
                          <w:rFonts w:hAnsi="宋体"/>
                        </w:rPr>
                      </w:pPr>
                    </w:p>
                    <w:p w14:paraId="7D75C26C">
                      <w:pPr>
                        <w:jc w:val="center"/>
                      </w:pPr>
                      <w:r>
                        <w:rPr>
                          <w:rFonts w:hint="eastAsia" w:hAnsi="宋体"/>
                        </w:rPr>
                        <w:t>法人身份证复印件</w:t>
                      </w:r>
                    </w:p>
                    <w:p w14:paraId="01F8C354"/>
                  </w:txbxContent>
                </v:textbox>
              </v:roundrect>
            </w:pict>
          </mc:Fallback>
        </mc:AlternateContent>
      </w:r>
    </w:p>
    <w:p w14:paraId="0F9D985D">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66805B27">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751E2A21">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 xml:space="preserve">（盖单位章）;               </w:t>
      </w:r>
    </w:p>
    <w:p w14:paraId="0B7A2460">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27A4EDE1">
      <w:pPr>
        <w:pStyle w:val="17"/>
        <w:pageBreakBefore w:val="0"/>
        <w:tabs>
          <w:tab w:val="left" w:pos="5370"/>
        </w:tabs>
        <w:kinsoku/>
        <w:wordWrap/>
        <w:overflowPunct/>
        <w:topLinePunct w:val="0"/>
        <w:bidi w:val="0"/>
        <w:snapToGrid w:val="0"/>
        <w:spacing w:line="520" w:lineRule="exact"/>
        <w:ind w:firstLine="480" w:firstLineChars="2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(公章):</w:t>
      </w:r>
    </w:p>
    <w:p w14:paraId="676A9D11">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法定代表人（签/章）：                     </w:t>
      </w:r>
    </w:p>
    <w:p w14:paraId="1749059F">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身份证号码： </w:t>
      </w:r>
    </w:p>
    <w:p w14:paraId="2BF55403">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委托代理人（签/章）：                                   </w:t>
      </w:r>
    </w:p>
    <w:p w14:paraId="455EF04F">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身份证号码：                                   </w:t>
      </w:r>
    </w:p>
    <w:p w14:paraId="49CDD82D">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详细通讯地址：                                 </w:t>
      </w:r>
    </w:p>
    <w:p w14:paraId="310C8C7D">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邮 政 编 码 ：                                 </w:t>
      </w:r>
    </w:p>
    <w:p w14:paraId="1484EA27">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传　　　　真：                                 </w:t>
      </w:r>
    </w:p>
    <w:p w14:paraId="5F68D6ED">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电　　　　话：                                 </w:t>
      </w:r>
      <w:bookmarkEnd w:id="622"/>
      <w:bookmarkEnd w:id="623"/>
      <w:bookmarkEnd w:id="624"/>
    </w:p>
    <w:p w14:paraId="1EE72987">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33505AE1">
      <w:pPr>
        <w:pStyle w:val="13"/>
        <w:pageBreakBefore w:val="0"/>
        <w:kinsoku/>
        <w:wordWrap/>
        <w:overflowPunct/>
        <w:topLinePunct w:val="0"/>
        <w:bidi w:val="0"/>
        <w:snapToGrid w:val="0"/>
        <w:spacing w:line="520" w:lineRule="exact"/>
        <w:ind w:firstLine="480"/>
        <w:textAlignment w:val="baseline"/>
        <w:outlineLvl w:val="9"/>
        <w:rPr>
          <w:rFonts w:ascii="微软雅黑" w:hAnsi="微软雅黑" w:eastAsia="微软雅黑" w:cs="微软雅黑"/>
          <w:b/>
          <w:color w:val="auto"/>
          <w:kern w:val="0"/>
        </w:rPr>
      </w:pPr>
      <w:r>
        <w:rPr>
          <w:rFonts w:hint="eastAsia" w:ascii="微软雅黑" w:hAnsi="微软雅黑" w:eastAsia="微软雅黑" w:cs="微软雅黑"/>
          <w:b/>
          <w:color w:val="auto"/>
          <w:kern w:val="0"/>
          <w:lang w:val="en-US" w:eastAsia="zh-CN"/>
        </w:rPr>
        <w:t>③提供本单位依法缴纳近4个月内任意一个月的社会保险证明及法定代表人或授权委托人在本单位依法缴纳近4个月内任意一个月的社会保险明细（新成立公司提供相关证明文件）</w:t>
      </w:r>
      <w:r>
        <w:rPr>
          <w:rFonts w:hint="eastAsia" w:ascii="微软雅黑" w:hAnsi="微软雅黑" w:eastAsia="微软雅黑" w:cs="微软雅黑"/>
          <w:b/>
          <w:color w:val="auto"/>
          <w:kern w:val="0"/>
          <w:lang w:eastAsia="zh-CN"/>
        </w:rPr>
        <w:t>；</w:t>
      </w:r>
    </w:p>
    <w:p w14:paraId="0D6DF905">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说明：1、社保证明可含：社保缴费凭证或社保缴费证明或社保缴费汇总单或依法缴纳社保的完税证明。</w:t>
      </w:r>
    </w:p>
    <w:p w14:paraId="0637140D">
      <w:pPr>
        <w:pStyle w:val="17"/>
        <w:pageBreakBefore w:val="0"/>
        <w:numPr>
          <w:ilvl w:val="0"/>
          <w:numId w:val="0"/>
        </w:numPr>
        <w:tabs>
          <w:tab w:val="left" w:pos="5580"/>
        </w:tabs>
        <w:kinsoku/>
        <w:wordWrap/>
        <w:overflowPunct/>
        <w:topLinePunct w:val="0"/>
        <w:bidi w:val="0"/>
        <w:snapToGrid w:val="0"/>
        <w:spacing w:line="520" w:lineRule="exact"/>
        <w:ind w:firstLine="720" w:firstLineChars="3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2、近4个月是指磋商文件开启前4个月。</w:t>
      </w:r>
    </w:p>
    <w:p w14:paraId="78A86BBA">
      <w:pPr>
        <w:pStyle w:val="13"/>
        <w:pageBreakBefore w:val="0"/>
        <w:kinsoku/>
        <w:wordWrap/>
        <w:overflowPunct/>
        <w:topLinePunct w:val="0"/>
        <w:bidi w:val="0"/>
        <w:snapToGrid w:val="0"/>
        <w:spacing w:line="520" w:lineRule="exact"/>
        <w:ind w:left="0" w:leftChars="0" w:firstLine="0" w:firstLineChars="0"/>
        <w:textAlignment w:val="baseline"/>
        <w:rPr>
          <w:rFonts w:ascii="微软雅黑" w:hAnsi="微软雅黑" w:eastAsia="微软雅黑" w:cs="微软雅黑"/>
          <w:b/>
          <w:color w:val="auto"/>
          <w:kern w:val="0"/>
          <w:sz w:val="21"/>
        </w:rPr>
      </w:pPr>
    </w:p>
    <w:p w14:paraId="11322AFA">
      <w:pPr>
        <w:pStyle w:val="7"/>
      </w:pPr>
    </w:p>
    <w:p w14:paraId="0BC50325">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④提供税务部门出具的本单位近6个月内任意一个月的完税证明（依法免缴的应提供依法免缴的相关证明文件或零申报报表）；</w:t>
      </w:r>
    </w:p>
    <w:p w14:paraId="725A2823">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说明：1、新成立公司若无纳税记录，可开具无欠税证明或零申报报表。</w:t>
      </w:r>
    </w:p>
    <w:p w14:paraId="045448BC">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2、完税证明中“税种”非养老保险、医疗保险、失业保险、工伤保险和生育保险。</w:t>
      </w:r>
    </w:p>
    <w:p w14:paraId="53AB9E7D">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3、近6个月是指磋商文件开启前6个月</w:t>
      </w:r>
    </w:p>
    <w:p w14:paraId="720E9453">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b/>
          <w:color w:val="auto"/>
          <w:kern w:val="0"/>
          <w:sz w:val="24"/>
          <w:szCs w:val="24"/>
        </w:rPr>
      </w:pPr>
    </w:p>
    <w:p w14:paraId="4ADB6603">
      <w:pPr>
        <w:pStyle w:val="18"/>
      </w:pPr>
    </w:p>
    <w:p w14:paraId="320CE4A3">
      <w:pPr>
        <w:pageBreakBefore w:val="0"/>
        <w:tabs>
          <w:tab w:val="left" w:pos="5580"/>
        </w:tabs>
        <w:kinsoku/>
        <w:wordWrap/>
        <w:overflowPunct/>
        <w:topLinePunct w:val="0"/>
        <w:bidi w:val="0"/>
        <w:spacing w:line="520" w:lineRule="exact"/>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⑤提供近两年任意一年完整的财务审计报告（或近一个月的银行资信证明）</w:t>
      </w:r>
    </w:p>
    <w:p w14:paraId="6432F03C">
      <w:pPr>
        <w:pageBreakBefore w:val="0"/>
        <w:tabs>
          <w:tab w:val="left" w:pos="5580"/>
        </w:tabs>
        <w:kinsoku/>
        <w:wordWrap/>
        <w:overflowPunct/>
        <w:topLinePunct w:val="0"/>
        <w:bidi w:val="0"/>
        <w:spacing w:line="520" w:lineRule="exact"/>
        <w:ind w:left="1080" w:leftChars="257" w:hanging="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说明：</w:t>
      </w:r>
    </w:p>
    <w:p w14:paraId="2AA8CB0A">
      <w:pPr>
        <w:pageBreakBefore w:val="0"/>
        <w:tabs>
          <w:tab w:val="left" w:pos="5580"/>
        </w:tabs>
        <w:kinsoku/>
        <w:wordWrap/>
        <w:overflowPunct/>
        <w:topLinePunct w:val="0"/>
        <w:bidi w:val="0"/>
        <w:spacing w:line="520" w:lineRule="exact"/>
        <w:ind w:left="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1、如提供本单位上年度经会计师事务所出具的完整审计报告复印件须加盖本单位章。</w:t>
      </w:r>
    </w:p>
    <w:p w14:paraId="1F09325A">
      <w:pPr>
        <w:pStyle w:val="7"/>
        <w:pageBreakBefore w:val="0"/>
        <w:kinsoku/>
        <w:wordWrap/>
        <w:overflowPunct/>
        <w:topLinePunct w:val="0"/>
        <w:bidi w:val="0"/>
        <w:spacing w:line="520" w:lineRule="exact"/>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2、如果是联合体投标，联合体各方均需提供上述证明。</w:t>
      </w:r>
    </w:p>
    <w:p w14:paraId="06FC2FED">
      <w:pPr>
        <w:pStyle w:val="8"/>
        <w:pageBreakBefore w:val="0"/>
        <w:kinsoku/>
        <w:wordWrap/>
        <w:overflowPunct/>
        <w:topLinePunct w:val="0"/>
        <w:bidi w:val="0"/>
        <w:spacing w:line="520" w:lineRule="exact"/>
        <w:ind w:firstLine="480" w:firstLineChars="200"/>
        <w:rPr>
          <w:rFonts w:hint="default"/>
          <w:color w:val="auto"/>
          <w:highlight w:val="none"/>
          <w:lang w:val="en-US"/>
        </w:rPr>
      </w:pPr>
      <w:r>
        <w:rPr>
          <w:rFonts w:hint="eastAsia" w:ascii="微软雅黑" w:hAnsi="微软雅黑" w:eastAsia="微软雅黑" w:cs="微软雅黑"/>
          <w:b w:val="0"/>
          <w:bCs/>
          <w:color w:val="auto"/>
          <w:kern w:val="0"/>
          <w:sz w:val="24"/>
          <w:szCs w:val="20"/>
          <w:highlight w:val="none"/>
          <w:lang w:val="en-US" w:eastAsia="zh-CN" w:bidi="ar-SA"/>
        </w:rPr>
        <w:t>3、近两年任意一年指2023年或2024年，近一个月是指磋商文件开启前一个月。</w:t>
      </w:r>
    </w:p>
    <w:p w14:paraId="400B69A5">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b/>
          <w:color w:val="auto"/>
          <w:kern w:val="0"/>
          <w:sz w:val="24"/>
          <w:szCs w:val="24"/>
        </w:rPr>
      </w:pPr>
    </w:p>
    <w:p w14:paraId="2CCAA7D8">
      <w:pPr>
        <w:pStyle w:val="18"/>
      </w:pPr>
    </w:p>
    <w:p w14:paraId="44C9180A">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⑥参与政府采购活动前3年内未被列入失信、重大税收违法案件、财政部门禁止参加政府采购活动的承诺书；</w:t>
      </w:r>
    </w:p>
    <w:p w14:paraId="496E3311">
      <w:pPr>
        <w:pStyle w:val="7"/>
        <w:pageBreakBefore w:val="0"/>
        <w:kinsoku/>
        <w:wordWrap/>
        <w:overflowPunct/>
        <w:topLinePunct w:val="0"/>
        <w:bidi w:val="0"/>
        <w:spacing w:line="520" w:lineRule="exact"/>
        <w:ind w:left="0" w:leftChars="0" w:firstLine="720" w:firstLineChars="300"/>
        <w:rPr>
          <w:rFonts w:ascii="微软雅黑" w:hAnsi="微软雅黑" w:eastAsia="微软雅黑" w:cs="微软雅黑"/>
          <w:b/>
          <w:color w:val="auto"/>
          <w:kern w:val="0"/>
          <w:sz w:val="24"/>
          <w:szCs w:val="24"/>
        </w:rPr>
      </w:pPr>
      <w:r>
        <w:rPr>
          <w:rFonts w:hint="eastAsia" w:ascii="微软雅黑" w:hAnsi="微软雅黑" w:eastAsia="微软雅黑" w:cs="微软雅黑"/>
          <w:color w:val="auto"/>
          <w:lang w:val="en-US" w:eastAsia="zh-CN"/>
        </w:rPr>
        <w:t>说明：1.供应商应按照相关法规规定如实作出说明。</w:t>
      </w:r>
    </w:p>
    <w:p w14:paraId="255E24DC">
      <w:pPr>
        <w:pStyle w:val="18"/>
      </w:pPr>
    </w:p>
    <w:p w14:paraId="048C6192">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ascii="微软雅黑" w:hAnsi="微软雅黑" w:eastAsia="微软雅黑" w:cs="微软雅黑"/>
          <w:b/>
          <w:color w:val="auto"/>
          <w:kern w:val="0"/>
          <w:sz w:val="24"/>
        </w:rPr>
      </w:pPr>
      <w:bookmarkStart w:id="625" w:name="_Toc494296665"/>
      <w:bookmarkStart w:id="626" w:name="_Toc28525"/>
      <w:bookmarkStart w:id="627" w:name="_Toc16326"/>
      <w:bookmarkStart w:id="628" w:name="_Toc20720"/>
      <w:bookmarkStart w:id="629" w:name="_Toc10102"/>
      <w:bookmarkStart w:id="630" w:name="_Toc16480"/>
      <w:bookmarkStart w:id="631" w:name="_Toc494296991"/>
      <w:r>
        <w:rPr>
          <w:rFonts w:hint="eastAsia" w:ascii="微软雅黑" w:hAnsi="微软雅黑" w:eastAsia="微软雅黑" w:cs="微软雅黑"/>
          <w:b/>
          <w:color w:val="auto"/>
          <w:kern w:val="0"/>
          <w:sz w:val="24"/>
          <w:szCs w:val="24"/>
          <w:lang w:val="en-US" w:eastAsia="zh-CN" w:bidi="ar-SA"/>
        </w:rPr>
        <w:t>⑦提供针对本次项目的反商业贿赂承诺书。</w:t>
      </w:r>
    </w:p>
    <w:p w14:paraId="351B47FD">
      <w:pPr>
        <w:pStyle w:val="7"/>
        <w:pageBreakBefore w:val="0"/>
        <w:kinsoku/>
        <w:wordWrap/>
        <w:overflowPunct/>
        <w:topLinePunct w:val="0"/>
        <w:bidi w:val="0"/>
        <w:spacing w:line="520" w:lineRule="exact"/>
        <w:ind w:left="0" w:leftChars="0" w:firstLine="720" w:firstLineChars="30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说明：1.供应商应按照相关法规规定如实作出说明。</w:t>
      </w:r>
    </w:p>
    <w:p w14:paraId="43A01C78">
      <w:pPr>
        <w:pageBreakBefore w:val="0"/>
        <w:kinsoku/>
        <w:wordWrap/>
        <w:overflowPunct/>
        <w:topLinePunct w:val="0"/>
        <w:bidi w:val="0"/>
        <w:spacing w:line="520" w:lineRule="exact"/>
        <w:rPr>
          <w:rFonts w:hint="eastAsia" w:ascii="微软雅黑" w:hAnsi="微软雅黑" w:eastAsia="微软雅黑" w:cs="微软雅黑"/>
          <w:color w:val="auto"/>
          <w:lang w:val="en-US" w:eastAsia="zh-CN"/>
        </w:rPr>
      </w:pPr>
    </w:p>
    <w:p w14:paraId="69DF8838">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p w14:paraId="5CD5DED1">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color w:val="auto"/>
          <w:kern w:val="0"/>
          <w:sz w:val="24"/>
          <w:szCs w:val="24"/>
          <w:lang w:val="en-US" w:eastAsia="zh-CN" w:bidi="ar-SA"/>
        </w:rPr>
      </w:pPr>
    </w:p>
    <w:p w14:paraId="3FC6F231">
      <w:pPr>
        <w:pStyle w:val="37"/>
        <w:pageBreakBefore w:val="0"/>
        <w:kinsoku/>
        <w:wordWrap/>
        <w:overflowPunct/>
        <w:topLinePunct w:val="0"/>
        <w:bidi w:val="0"/>
        <w:spacing w:line="520" w:lineRule="exact"/>
        <w:ind w:left="0" w:leftChars="0" w:firstLine="0" w:firstLineChars="0"/>
        <w:rPr>
          <w:rFonts w:hint="eastAsia"/>
          <w:color w:val="auto"/>
          <w:lang w:val="en-US" w:eastAsia="zh-CN"/>
        </w:rPr>
      </w:pPr>
    </w:p>
    <w:p w14:paraId="6108BCFB">
      <w:pPr>
        <w:rPr>
          <w:rFonts w:hint="eastAsia"/>
          <w:color w:val="auto"/>
          <w:lang w:val="en-US" w:eastAsia="zh-CN"/>
        </w:rPr>
      </w:pPr>
    </w:p>
    <w:p w14:paraId="324D6DA3">
      <w:pPr>
        <w:rPr>
          <w:rFonts w:hint="eastAsia"/>
          <w:color w:val="auto"/>
          <w:lang w:val="en-US" w:eastAsia="zh-CN"/>
        </w:rPr>
      </w:pPr>
    </w:p>
    <w:p w14:paraId="5E22F4B4">
      <w:pPr>
        <w:rPr>
          <w:rFonts w:hint="eastAsia"/>
          <w:color w:val="auto"/>
          <w:lang w:val="en-US" w:eastAsia="zh-CN"/>
        </w:rPr>
      </w:pPr>
    </w:p>
    <w:p w14:paraId="429AE08D">
      <w:pPr>
        <w:rPr>
          <w:rFonts w:hint="eastAsia"/>
          <w:color w:val="auto"/>
          <w:lang w:val="en-US" w:eastAsia="zh-CN"/>
        </w:rPr>
      </w:pPr>
    </w:p>
    <w:p w14:paraId="2DBCDC43">
      <w:pPr>
        <w:rPr>
          <w:rFonts w:hint="eastAsia"/>
          <w:color w:val="auto"/>
          <w:lang w:val="en-US" w:eastAsia="zh-CN"/>
        </w:rPr>
      </w:pPr>
    </w:p>
    <w:p w14:paraId="249EDA37">
      <w:pPr>
        <w:rPr>
          <w:rFonts w:hint="eastAsia"/>
          <w:color w:val="auto"/>
          <w:lang w:val="en-US" w:eastAsia="zh-CN"/>
        </w:rPr>
      </w:pPr>
    </w:p>
    <w:p w14:paraId="1E108039">
      <w:pPr>
        <w:rPr>
          <w:rFonts w:hint="eastAsia"/>
          <w:color w:val="auto"/>
          <w:lang w:val="en-US" w:eastAsia="zh-CN"/>
        </w:rPr>
      </w:pPr>
    </w:p>
    <w:p w14:paraId="209626E4">
      <w:pPr>
        <w:rPr>
          <w:rFonts w:hint="eastAsia"/>
          <w:color w:val="auto"/>
          <w:lang w:val="en-US" w:eastAsia="zh-CN"/>
        </w:rPr>
      </w:pPr>
    </w:p>
    <w:p w14:paraId="5CA05914">
      <w:pPr>
        <w:rPr>
          <w:rFonts w:hint="eastAsia"/>
          <w:color w:val="auto"/>
          <w:lang w:val="en-US" w:eastAsia="zh-CN"/>
        </w:rPr>
      </w:pPr>
    </w:p>
    <w:p w14:paraId="67093D81">
      <w:pPr>
        <w:rPr>
          <w:rFonts w:hint="eastAsia"/>
          <w:color w:val="auto"/>
          <w:lang w:val="en-US" w:eastAsia="zh-CN"/>
        </w:rPr>
      </w:pPr>
    </w:p>
    <w:p w14:paraId="33F2C707">
      <w:pPr>
        <w:rPr>
          <w:rFonts w:hint="eastAsia"/>
          <w:color w:val="auto"/>
          <w:lang w:val="en-US" w:eastAsia="zh-CN"/>
        </w:rPr>
      </w:pPr>
    </w:p>
    <w:p w14:paraId="47092154">
      <w:pPr>
        <w:rPr>
          <w:rFonts w:hint="eastAsia"/>
          <w:color w:val="auto"/>
          <w:lang w:val="en-US" w:eastAsia="zh-CN"/>
        </w:rPr>
      </w:pPr>
    </w:p>
    <w:p w14:paraId="597E46F6">
      <w:pPr>
        <w:rPr>
          <w:rFonts w:hint="eastAsia"/>
          <w:color w:val="auto"/>
          <w:lang w:val="en-US" w:eastAsia="zh-CN"/>
        </w:rPr>
      </w:pPr>
    </w:p>
    <w:p w14:paraId="195A4346">
      <w:pPr>
        <w:rPr>
          <w:rFonts w:hint="eastAsia"/>
          <w:color w:val="auto"/>
          <w:lang w:val="en-US" w:eastAsia="zh-CN"/>
        </w:rPr>
      </w:pPr>
    </w:p>
    <w:p w14:paraId="6328CEDF">
      <w:pPr>
        <w:rPr>
          <w:rFonts w:hint="eastAsia"/>
          <w:color w:val="auto"/>
          <w:lang w:val="en-US" w:eastAsia="zh-CN"/>
        </w:rPr>
      </w:pPr>
    </w:p>
    <w:p w14:paraId="374D6E56">
      <w:pPr>
        <w:rPr>
          <w:rFonts w:hint="eastAsia"/>
          <w:color w:val="auto"/>
          <w:lang w:val="en-US" w:eastAsia="zh-CN"/>
        </w:rPr>
      </w:pPr>
    </w:p>
    <w:p w14:paraId="0EC1214C">
      <w:pPr>
        <w:rPr>
          <w:rFonts w:hint="eastAsia"/>
          <w:color w:val="auto"/>
          <w:lang w:val="en-US" w:eastAsia="zh-CN"/>
        </w:rPr>
      </w:pPr>
    </w:p>
    <w:p w14:paraId="1AA99294">
      <w:pPr>
        <w:rPr>
          <w:rFonts w:hint="eastAsia"/>
          <w:color w:val="auto"/>
          <w:lang w:val="en-US" w:eastAsia="zh-CN"/>
        </w:rPr>
      </w:pPr>
    </w:p>
    <w:p w14:paraId="08CB5C02">
      <w:pPr>
        <w:rPr>
          <w:rFonts w:hint="eastAsia"/>
          <w:color w:val="auto"/>
          <w:lang w:val="en-US" w:eastAsia="zh-CN"/>
        </w:rPr>
      </w:pPr>
    </w:p>
    <w:p w14:paraId="62FB42ED">
      <w:pPr>
        <w:rPr>
          <w:rFonts w:hint="eastAsia"/>
          <w:color w:val="auto"/>
          <w:lang w:val="en-US" w:eastAsia="zh-CN"/>
        </w:rPr>
      </w:pPr>
    </w:p>
    <w:p w14:paraId="54E0C53A">
      <w:pPr>
        <w:rPr>
          <w:rFonts w:hint="eastAsia"/>
          <w:color w:val="auto"/>
          <w:lang w:val="en-US" w:eastAsia="zh-CN"/>
        </w:rPr>
      </w:pPr>
    </w:p>
    <w:p w14:paraId="698CF5ED">
      <w:pPr>
        <w:rPr>
          <w:rFonts w:hint="eastAsia"/>
          <w:color w:val="auto"/>
          <w:lang w:val="en-US" w:eastAsia="zh-CN"/>
        </w:rPr>
      </w:pPr>
    </w:p>
    <w:p w14:paraId="34443E7C">
      <w:pPr>
        <w:rPr>
          <w:rFonts w:hint="eastAsia"/>
          <w:color w:val="auto"/>
          <w:lang w:val="en-US" w:eastAsia="zh-CN"/>
        </w:rPr>
      </w:pPr>
    </w:p>
    <w:p w14:paraId="36C1B81D">
      <w:pPr>
        <w:rPr>
          <w:rFonts w:hint="eastAsia"/>
          <w:color w:val="auto"/>
          <w:lang w:val="en-US" w:eastAsia="zh-CN"/>
        </w:rPr>
      </w:pPr>
    </w:p>
    <w:p w14:paraId="10C5FA5A">
      <w:pPr>
        <w:rPr>
          <w:rFonts w:hint="eastAsia"/>
          <w:color w:val="auto"/>
          <w:lang w:val="en-US" w:eastAsia="zh-CN"/>
        </w:rPr>
      </w:pPr>
    </w:p>
    <w:p w14:paraId="061A6D36">
      <w:pPr>
        <w:rPr>
          <w:rFonts w:hint="eastAsia"/>
          <w:color w:val="auto"/>
          <w:lang w:val="en-US" w:eastAsia="zh-CN"/>
        </w:rPr>
      </w:pPr>
    </w:p>
    <w:p w14:paraId="45FD82FC">
      <w:pPr>
        <w:rPr>
          <w:rFonts w:hint="eastAsia"/>
          <w:color w:val="auto"/>
          <w:lang w:val="en-US" w:eastAsia="zh-CN"/>
        </w:rPr>
      </w:pPr>
    </w:p>
    <w:p w14:paraId="10E4834E">
      <w:pPr>
        <w:rPr>
          <w:rFonts w:hint="eastAsia"/>
          <w:color w:val="auto"/>
          <w:lang w:val="en-US" w:eastAsia="zh-CN"/>
        </w:rPr>
      </w:pPr>
    </w:p>
    <w:p w14:paraId="0A6CBC94">
      <w:pPr>
        <w:rPr>
          <w:rFonts w:hint="eastAsia"/>
          <w:color w:val="auto"/>
          <w:lang w:val="en-US" w:eastAsia="zh-CN"/>
        </w:rPr>
      </w:pPr>
    </w:p>
    <w:p w14:paraId="59D1373D">
      <w:pPr>
        <w:rPr>
          <w:rFonts w:hint="eastAsia"/>
          <w:color w:val="auto"/>
          <w:lang w:val="en-US" w:eastAsia="zh-CN"/>
        </w:rPr>
      </w:pPr>
    </w:p>
    <w:p w14:paraId="41A22669">
      <w:pPr>
        <w:rPr>
          <w:rFonts w:hint="eastAsia"/>
          <w:color w:val="auto"/>
          <w:lang w:val="en-US" w:eastAsia="zh-CN"/>
        </w:rPr>
      </w:pPr>
    </w:p>
    <w:p w14:paraId="38C87C91">
      <w:pPr>
        <w:rPr>
          <w:rFonts w:hint="eastAsia"/>
          <w:color w:val="auto"/>
          <w:lang w:val="en-US" w:eastAsia="zh-CN"/>
        </w:rPr>
      </w:pPr>
    </w:p>
    <w:p w14:paraId="412F7061">
      <w:pPr>
        <w:rPr>
          <w:rFonts w:hint="eastAsia"/>
          <w:color w:val="auto"/>
          <w:lang w:val="en-US" w:eastAsia="zh-CN"/>
        </w:rPr>
      </w:pPr>
    </w:p>
    <w:p w14:paraId="6ACDF9FC">
      <w:pPr>
        <w:rPr>
          <w:rFonts w:hint="eastAsia"/>
          <w:color w:val="auto"/>
          <w:lang w:val="en-US" w:eastAsia="zh-CN"/>
        </w:rPr>
      </w:pPr>
    </w:p>
    <w:p w14:paraId="75717A7B">
      <w:pPr>
        <w:rPr>
          <w:rFonts w:hint="eastAsia"/>
          <w:color w:val="auto"/>
          <w:lang w:val="en-US" w:eastAsia="zh-CN"/>
        </w:rPr>
      </w:pPr>
    </w:p>
    <w:p w14:paraId="31EF4C36">
      <w:pPr>
        <w:rPr>
          <w:rFonts w:hint="eastAsia"/>
          <w:color w:val="auto"/>
          <w:lang w:val="en-US" w:eastAsia="zh-CN"/>
        </w:rPr>
      </w:pPr>
    </w:p>
    <w:p w14:paraId="5B3D8673">
      <w:pPr>
        <w:rPr>
          <w:rFonts w:hint="eastAsia"/>
          <w:color w:val="auto"/>
          <w:lang w:val="en-US" w:eastAsia="zh-CN"/>
        </w:rPr>
      </w:pPr>
    </w:p>
    <w:p w14:paraId="27C975A0">
      <w:pPr>
        <w:pageBreakBefore w:val="0"/>
        <w:kinsoku/>
        <w:wordWrap/>
        <w:overflowPunct/>
        <w:topLinePunct w:val="0"/>
        <w:bidi w:val="0"/>
        <w:spacing w:before="0" w:line="520" w:lineRule="exact"/>
        <w:outlineLvl w:val="9"/>
        <w:rPr>
          <w:rStyle w:val="96"/>
          <w:rFonts w:ascii="微软雅黑" w:hAnsi="微软雅黑" w:eastAsia="微软雅黑" w:cs="微软雅黑"/>
          <w:b/>
          <w:bCs w:val="0"/>
          <w:color w:val="auto"/>
          <w:sz w:val="24"/>
        </w:rPr>
      </w:pPr>
      <w:r>
        <w:rPr>
          <w:rFonts w:hint="eastAsia" w:ascii="微软雅黑" w:hAnsi="微软雅黑" w:eastAsia="微软雅黑" w:cs="微软雅黑"/>
          <w:b/>
          <w:bCs w:val="0"/>
          <w:color w:val="auto"/>
          <w:kern w:val="0"/>
          <w:sz w:val="24"/>
          <w:szCs w:val="24"/>
          <w:lang w:val="en-US" w:eastAsia="zh-CN" w:bidi="ar-SA"/>
        </w:rPr>
        <w:t>⑨</w:t>
      </w:r>
      <w:r>
        <w:rPr>
          <w:rStyle w:val="96"/>
          <w:rFonts w:hint="eastAsia" w:ascii="微软雅黑" w:hAnsi="微软雅黑" w:eastAsia="微软雅黑" w:cs="微软雅黑"/>
          <w:b/>
          <w:bCs w:val="0"/>
          <w:color w:val="auto"/>
          <w:sz w:val="24"/>
        </w:rPr>
        <w:t>中小企业声明函（工程）</w:t>
      </w:r>
    </w:p>
    <w:p w14:paraId="7EC5CA98">
      <w:pPr>
        <w:pageBreakBefore w:val="0"/>
        <w:widowControl/>
        <w:kinsoku/>
        <w:wordWrap/>
        <w:overflowPunct/>
        <w:topLinePunct w:val="0"/>
        <w:bidi w:val="0"/>
        <w:spacing w:before="100" w:beforeAutospacing="1" w:after="100" w:afterAutospacing="1" w:line="520" w:lineRule="exact"/>
        <w:ind w:firstLine="420" w:firstLineChars="200"/>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本公司（联合体）郑重声明，根据《政府采购促进中小企业发展管理办法》（财库﹝2020﹞46 号）的规定，本公司（联合体）参加</w:t>
      </w:r>
      <w:r>
        <w:rPr>
          <w:rFonts w:hint="eastAsia" w:ascii="微软雅黑" w:hAnsi="微软雅黑" w:eastAsia="微软雅黑" w:cs="微软雅黑"/>
          <w:i/>
          <w:iCs/>
          <w:color w:val="auto"/>
          <w:kern w:val="0"/>
          <w:szCs w:val="21"/>
          <w:u w:val="single"/>
        </w:rPr>
        <w:t>（单位名称  ）</w:t>
      </w:r>
      <w:r>
        <w:rPr>
          <w:rFonts w:hint="eastAsia" w:ascii="微软雅黑" w:hAnsi="微软雅黑" w:eastAsia="微软雅黑" w:cs="微软雅黑"/>
          <w:color w:val="auto"/>
          <w:kern w:val="0"/>
          <w:szCs w:val="21"/>
        </w:rPr>
        <w:t>的</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i/>
          <w:iCs/>
          <w:color w:val="auto"/>
          <w:kern w:val="0"/>
          <w:szCs w:val="21"/>
          <w:u w:val="single"/>
        </w:rPr>
        <w:t>（项目名称）</w:t>
      </w:r>
      <w:r>
        <w:rPr>
          <w:rFonts w:hint="eastAsia" w:ascii="微软雅黑" w:hAnsi="微软雅黑" w:eastAsia="微软雅黑" w:cs="微软雅黑"/>
          <w:color w:val="auto"/>
          <w:kern w:val="0"/>
          <w:szCs w:val="21"/>
        </w:rPr>
        <w:t>采购活动，服务全部由符合政策要求的中小企业承接。相关企业（含联合 体中的中小企业、签订分包意向协议的中小企业）的具体情况如下：</w:t>
      </w:r>
    </w:p>
    <w:p w14:paraId="568FD00F">
      <w:pPr>
        <w:pStyle w:val="93"/>
        <w:pageBreakBefore w:val="0"/>
        <w:tabs>
          <w:tab w:val="left" w:pos="1243"/>
        </w:tabs>
        <w:kinsoku/>
        <w:wordWrap/>
        <w:overflowPunct/>
        <w:topLinePunct w:val="0"/>
        <w:bidi w:val="0"/>
        <w:spacing w:line="520" w:lineRule="exac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i/>
          <w:iCs/>
          <w:color w:val="auto"/>
          <w:kern w:val="0"/>
          <w:szCs w:val="21"/>
          <w:u w:val="single"/>
          <w:lang w:eastAsia="zh-CN"/>
        </w:rPr>
        <w:t>标</w:t>
      </w:r>
      <w:r>
        <w:rPr>
          <w:rFonts w:hint="eastAsia" w:ascii="微软雅黑" w:hAnsi="微软雅黑" w:eastAsia="微软雅黑" w:cs="微软雅黑"/>
          <w:i/>
          <w:iCs/>
          <w:color w:val="auto"/>
          <w:kern w:val="0"/>
          <w:szCs w:val="21"/>
          <w:u w:val="single"/>
        </w:rPr>
        <w:t>的名称）</w:t>
      </w:r>
      <w:r>
        <w:rPr>
          <w:rFonts w:hint="eastAsia" w:ascii="微软雅黑" w:hAnsi="微软雅黑" w:eastAsia="微软雅黑" w:cs="微软雅黑"/>
          <w:color w:val="auto"/>
          <w:kern w:val="0"/>
          <w:szCs w:val="21"/>
        </w:rPr>
        <w:t>，属于</w:t>
      </w:r>
      <w:r>
        <w:rPr>
          <w:rFonts w:hint="eastAsia" w:ascii="微软雅黑" w:hAnsi="微软雅黑" w:eastAsia="微软雅黑" w:cs="微软雅黑"/>
          <w:i/>
          <w:iCs/>
          <w:color w:val="auto"/>
          <w:kern w:val="0"/>
          <w:szCs w:val="21"/>
          <w:u w:val="single"/>
        </w:rPr>
        <w:t>（采购文件中明确的所属行业）</w:t>
      </w:r>
      <w:r>
        <w:rPr>
          <w:rFonts w:hint="eastAsia" w:ascii="微软雅黑" w:hAnsi="微软雅黑" w:eastAsia="微软雅黑" w:cs="微软雅黑"/>
          <w:color w:val="auto"/>
          <w:kern w:val="0"/>
          <w:szCs w:val="21"/>
        </w:rPr>
        <w:t xml:space="preserve">；承接企业为 </w:t>
      </w:r>
      <w:r>
        <w:rPr>
          <w:rFonts w:hint="eastAsia" w:ascii="微软雅黑" w:hAnsi="微软雅黑" w:eastAsia="微软雅黑" w:cs="微软雅黑"/>
          <w:i/>
          <w:iCs/>
          <w:color w:val="auto"/>
          <w:kern w:val="0"/>
          <w:szCs w:val="21"/>
          <w:u w:val="single"/>
        </w:rPr>
        <w:t xml:space="preserve">  （企业名称） </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，从业人员</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rPr>
        <w:t>人，营业收入为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万元，资产总额为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rPr>
        <w:t>万元，属于</w:t>
      </w:r>
      <w:r>
        <w:rPr>
          <w:rFonts w:hint="eastAsia" w:ascii="微软雅黑" w:hAnsi="微软雅黑" w:eastAsia="微软雅黑" w:cs="微软雅黑"/>
          <w:i/>
          <w:iCs/>
          <w:color w:val="auto"/>
          <w:kern w:val="0"/>
          <w:szCs w:val="21"/>
          <w:u w:val="single"/>
        </w:rPr>
        <w:t>（中型企业、小型企业、微型企业）</w:t>
      </w:r>
      <w:r>
        <w:rPr>
          <w:rFonts w:hint="eastAsia" w:ascii="微软雅黑" w:hAnsi="微软雅黑" w:eastAsia="微软雅黑" w:cs="微软雅黑"/>
          <w:color w:val="auto"/>
          <w:kern w:val="0"/>
          <w:szCs w:val="21"/>
        </w:rPr>
        <w:t>；</w:t>
      </w:r>
    </w:p>
    <w:p w14:paraId="69002227">
      <w:pPr>
        <w:pStyle w:val="93"/>
        <w:pageBreakBefore w:val="0"/>
        <w:tabs>
          <w:tab w:val="left" w:pos="1243"/>
        </w:tabs>
        <w:kinsoku/>
        <w:wordWrap/>
        <w:overflowPunct/>
        <w:topLinePunct w:val="0"/>
        <w:bidi w:val="0"/>
        <w:spacing w:line="520" w:lineRule="exact"/>
        <w:rPr>
          <w:rFonts w:ascii="微软雅黑" w:hAnsi="微软雅黑" w:eastAsia="微软雅黑" w:cs="微软雅黑"/>
          <w:color w:val="auto"/>
          <w:kern w:val="0"/>
          <w:szCs w:val="21"/>
          <w:u w:val="single"/>
        </w:rPr>
      </w:pPr>
      <w:r>
        <w:rPr>
          <w:rFonts w:hint="eastAsia" w:ascii="微软雅黑" w:hAnsi="微软雅黑" w:eastAsia="微软雅黑" w:cs="微软雅黑"/>
          <w:color w:val="auto"/>
          <w:kern w:val="0"/>
          <w:szCs w:val="21"/>
        </w:rPr>
        <w:t>2.</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i/>
          <w:iCs/>
          <w:color w:val="auto"/>
          <w:kern w:val="0"/>
          <w:szCs w:val="21"/>
          <w:u w:val="single"/>
          <w:lang w:eastAsia="zh-CN"/>
        </w:rPr>
        <w:t>标</w:t>
      </w:r>
      <w:r>
        <w:rPr>
          <w:rFonts w:hint="eastAsia" w:ascii="微软雅黑" w:hAnsi="微软雅黑" w:eastAsia="微软雅黑" w:cs="微软雅黑"/>
          <w:i/>
          <w:iCs/>
          <w:color w:val="auto"/>
          <w:kern w:val="0"/>
          <w:szCs w:val="21"/>
          <w:u w:val="single"/>
        </w:rPr>
        <w:t>的名称）</w:t>
      </w:r>
      <w:r>
        <w:rPr>
          <w:rFonts w:hint="eastAsia" w:ascii="微软雅黑" w:hAnsi="微软雅黑" w:eastAsia="微软雅黑" w:cs="微软雅黑"/>
          <w:color w:val="auto"/>
          <w:kern w:val="0"/>
          <w:szCs w:val="21"/>
          <w:u w:val="single"/>
        </w:rPr>
        <w:t>，</w:t>
      </w:r>
      <w:r>
        <w:rPr>
          <w:rFonts w:hint="eastAsia" w:ascii="微软雅黑" w:hAnsi="微软雅黑" w:eastAsia="微软雅黑" w:cs="微软雅黑"/>
          <w:color w:val="auto"/>
          <w:kern w:val="0"/>
          <w:szCs w:val="21"/>
        </w:rPr>
        <w:t>属于</w:t>
      </w:r>
      <w:r>
        <w:rPr>
          <w:rFonts w:hint="eastAsia" w:ascii="微软雅黑" w:hAnsi="微软雅黑" w:eastAsia="微软雅黑" w:cs="微软雅黑"/>
          <w:i/>
          <w:iCs/>
          <w:color w:val="auto"/>
          <w:kern w:val="0"/>
          <w:szCs w:val="21"/>
          <w:u w:val="single"/>
        </w:rPr>
        <w:t>（采购文件中明确的所属行业）</w:t>
      </w:r>
      <w:r>
        <w:rPr>
          <w:rFonts w:hint="eastAsia" w:ascii="微软雅黑" w:hAnsi="微软雅黑" w:eastAsia="微软雅黑" w:cs="微软雅黑"/>
          <w:color w:val="auto"/>
          <w:kern w:val="0"/>
          <w:szCs w:val="21"/>
        </w:rPr>
        <w:t>；承接企业为</w:t>
      </w:r>
      <w:r>
        <w:rPr>
          <w:rFonts w:hint="eastAsia" w:ascii="微软雅黑" w:hAnsi="微软雅黑" w:eastAsia="微软雅黑" w:cs="微软雅黑"/>
          <w:i/>
          <w:iCs/>
          <w:color w:val="auto"/>
          <w:kern w:val="0"/>
          <w:szCs w:val="21"/>
          <w:u w:val="single"/>
        </w:rPr>
        <w:t>（企业名称）</w:t>
      </w:r>
      <w:r>
        <w:rPr>
          <w:rFonts w:hint="eastAsia" w:ascii="微软雅黑" w:hAnsi="微软雅黑" w:eastAsia="微软雅黑" w:cs="微软雅黑"/>
          <w:color w:val="auto"/>
          <w:kern w:val="0"/>
          <w:szCs w:val="21"/>
        </w:rPr>
        <w:t>，从业人员</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人，营业收入为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万元，资产总额为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万元，属于</w:t>
      </w:r>
      <w:r>
        <w:rPr>
          <w:rFonts w:hint="eastAsia" w:ascii="微软雅黑" w:hAnsi="微软雅黑" w:eastAsia="微软雅黑" w:cs="微软雅黑"/>
          <w:i/>
          <w:iCs/>
          <w:color w:val="auto"/>
          <w:kern w:val="0"/>
          <w:szCs w:val="21"/>
          <w:u w:val="single"/>
        </w:rPr>
        <w:t>（中型企业、小型企业、微型企业）</w:t>
      </w:r>
      <w:r>
        <w:rPr>
          <w:rFonts w:hint="eastAsia" w:ascii="微软雅黑" w:hAnsi="微软雅黑" w:eastAsia="微软雅黑" w:cs="微软雅黑"/>
          <w:color w:val="auto"/>
          <w:kern w:val="0"/>
          <w:szCs w:val="21"/>
        </w:rPr>
        <w:t>；</w:t>
      </w:r>
    </w:p>
    <w:p w14:paraId="43270BCA">
      <w:pPr>
        <w:pStyle w:val="11"/>
        <w:pageBreakBefore w:val="0"/>
        <w:kinsoku/>
        <w:wordWrap/>
        <w:overflowPunct/>
        <w:topLinePunct w:val="0"/>
        <w:bidi w:val="0"/>
        <w:spacing w:before="11" w:line="520" w:lineRule="exact"/>
        <w:ind w:left="86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w:t>
      </w:r>
    </w:p>
    <w:p w14:paraId="328BC2CB">
      <w:pPr>
        <w:pStyle w:val="11"/>
        <w:pageBreakBefore w:val="0"/>
        <w:kinsoku/>
        <w:wordWrap/>
        <w:overflowPunct/>
        <w:topLinePunct w:val="0"/>
        <w:bidi w:val="0"/>
        <w:spacing w:before="108" w:line="520" w:lineRule="exact"/>
        <w:ind w:right="417"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以上企业，不属于大企业的分支机构，不存在控股股东为大企业的情形，也不存在与大企业的负责人为同一人的情形。</w:t>
      </w:r>
    </w:p>
    <w:p w14:paraId="5BEA06AB">
      <w:pPr>
        <w:pStyle w:val="11"/>
        <w:pageBreakBefore w:val="0"/>
        <w:kinsoku/>
        <w:wordWrap/>
        <w:overflowPunct/>
        <w:topLinePunct w:val="0"/>
        <w:bidi w:val="0"/>
        <w:spacing w:before="108" w:line="520" w:lineRule="exact"/>
        <w:ind w:right="417"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本企业对上述声明内容的真实性负责。如有虚假，将依法承担相应责任。</w:t>
      </w:r>
    </w:p>
    <w:p w14:paraId="6DA7A7A3">
      <w:pPr>
        <w:pStyle w:val="93"/>
        <w:pageBreakBefore w:val="0"/>
        <w:tabs>
          <w:tab w:val="left" w:pos="1243"/>
        </w:tabs>
        <w:kinsoku/>
        <w:wordWrap/>
        <w:overflowPunct/>
        <w:topLinePunct w:val="0"/>
        <w:bidi w:val="0"/>
        <w:spacing w:line="520" w:lineRule="exact"/>
        <w:ind w:left="420" w:leftChars="200" w:firstLine="0" w:firstLineChars="0"/>
        <w:rPr>
          <w:rFonts w:ascii="微软雅黑" w:hAnsi="微软雅黑" w:eastAsia="微软雅黑" w:cs="微软雅黑"/>
          <w:color w:val="auto"/>
          <w:kern w:val="0"/>
          <w:szCs w:val="21"/>
        </w:rPr>
      </w:pPr>
    </w:p>
    <w:p w14:paraId="57DBF462">
      <w:pPr>
        <w:pStyle w:val="93"/>
        <w:pageBreakBefore w:val="0"/>
        <w:tabs>
          <w:tab w:val="left" w:pos="1243"/>
        </w:tabs>
        <w:kinsoku/>
        <w:wordWrap/>
        <w:overflowPunct/>
        <w:topLinePunct w:val="0"/>
        <w:bidi w:val="0"/>
        <w:spacing w:line="520" w:lineRule="exact"/>
        <w:ind w:left="0" w:leftChars="0" w:firstLine="0" w:firstLineChars="0"/>
        <w:rPr>
          <w:rFonts w:ascii="微软雅黑" w:hAnsi="微软雅黑" w:eastAsia="微软雅黑" w:cs="微软雅黑"/>
          <w:color w:val="auto"/>
          <w:kern w:val="0"/>
          <w:szCs w:val="21"/>
        </w:rPr>
      </w:pPr>
    </w:p>
    <w:p w14:paraId="402EDF88">
      <w:pPr>
        <w:pStyle w:val="93"/>
        <w:pageBreakBefore w:val="0"/>
        <w:tabs>
          <w:tab w:val="left" w:pos="1243"/>
        </w:tabs>
        <w:kinsoku/>
        <w:wordWrap/>
        <w:overflowPunct/>
        <w:topLinePunct w:val="0"/>
        <w:bidi w:val="0"/>
        <w:spacing w:line="520" w:lineRule="exact"/>
        <w:ind w:left="420" w:leftChars="200" w:firstLine="0" w:firstLineChars="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lang w:eastAsia="zh-CN"/>
        </w:rPr>
        <w:t>供应商</w:t>
      </w:r>
      <w:r>
        <w:rPr>
          <w:rFonts w:hint="eastAsia" w:ascii="微软雅黑" w:hAnsi="微软雅黑" w:eastAsia="微软雅黑" w:cs="微软雅黑"/>
          <w:color w:val="auto"/>
          <w:kern w:val="0"/>
          <w:szCs w:val="21"/>
        </w:rPr>
        <w:t>名称（盖章）：</w:t>
      </w:r>
    </w:p>
    <w:p w14:paraId="1BAEFBC9">
      <w:pPr>
        <w:pStyle w:val="93"/>
        <w:pageBreakBefore w:val="0"/>
        <w:tabs>
          <w:tab w:val="left" w:pos="1243"/>
        </w:tabs>
        <w:kinsoku/>
        <w:wordWrap/>
        <w:overflowPunct/>
        <w:topLinePunct w:val="0"/>
        <w:bidi w:val="0"/>
        <w:spacing w:line="520" w:lineRule="exact"/>
        <w:ind w:left="0" w:leftChars="0" w:firstLine="0" w:firstLineChars="0"/>
        <w:rPr>
          <w:rFonts w:ascii="微软雅黑" w:hAnsi="微软雅黑" w:eastAsia="微软雅黑" w:cs="微软雅黑"/>
          <w:color w:val="auto"/>
          <w:kern w:val="0"/>
          <w:szCs w:val="21"/>
        </w:rPr>
      </w:pPr>
    </w:p>
    <w:p w14:paraId="0058AA20">
      <w:pPr>
        <w:pStyle w:val="93"/>
        <w:pageBreakBefore w:val="0"/>
        <w:tabs>
          <w:tab w:val="left" w:pos="1243"/>
        </w:tabs>
        <w:kinsoku/>
        <w:wordWrap/>
        <w:overflowPunct/>
        <w:topLinePunct w:val="0"/>
        <w:bidi w:val="0"/>
        <w:spacing w:line="520" w:lineRule="exact"/>
        <w:ind w:left="420" w:leftChars="200" w:firstLine="0" w:firstLineChars="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日期：</w:t>
      </w:r>
    </w:p>
    <w:p w14:paraId="29E88A92">
      <w:pPr>
        <w:pStyle w:val="93"/>
        <w:pageBreakBefore w:val="0"/>
        <w:tabs>
          <w:tab w:val="left" w:pos="1243"/>
        </w:tabs>
        <w:kinsoku/>
        <w:wordWrap/>
        <w:overflowPunct/>
        <w:topLinePunct w:val="0"/>
        <w:bidi w:val="0"/>
        <w:spacing w:line="520" w:lineRule="exact"/>
        <w:ind w:left="0" w:leftChars="0" w:firstLine="0" w:firstLineChars="0"/>
        <w:rPr>
          <w:rFonts w:ascii="微软雅黑" w:hAnsi="微软雅黑" w:eastAsia="微软雅黑" w:cs="微软雅黑"/>
          <w:color w:val="auto"/>
          <w:kern w:val="0"/>
          <w:szCs w:val="21"/>
        </w:rPr>
      </w:pPr>
    </w:p>
    <w:p w14:paraId="31B41C2A">
      <w:pPr>
        <w:pageBreakBefore w:val="0"/>
        <w:widowControl/>
        <w:kinsoku/>
        <w:wordWrap/>
        <w:overflowPunct/>
        <w:topLinePunct w:val="0"/>
        <w:bidi w:val="0"/>
        <w:spacing w:before="100" w:beforeAutospacing="1" w:after="100" w:afterAutospacing="1" w:line="520" w:lineRule="exact"/>
        <w:ind w:left="420" w:hanging="420" w:hangingChars="200"/>
        <w:jc w:val="both"/>
        <w:rPr>
          <w:rFonts w:ascii="微软雅黑" w:hAnsi="微软雅黑" w:eastAsia="微软雅黑" w:cs="微软雅黑"/>
          <w:color w:val="auto"/>
          <w:szCs w:val="21"/>
        </w:rPr>
      </w:pPr>
      <w:r>
        <w:rPr>
          <w:rFonts w:hint="eastAsia" w:ascii="微软雅黑" w:hAnsi="微软雅黑" w:eastAsia="微软雅黑" w:cs="微软雅黑"/>
          <w:b/>
          <w:bCs/>
          <w:color w:val="auto"/>
          <w:szCs w:val="21"/>
        </w:rPr>
        <w:t>注：</w:t>
      </w:r>
      <w:r>
        <w:rPr>
          <w:rFonts w:hint="eastAsia" w:ascii="微软雅黑" w:hAnsi="微软雅黑" w:eastAsia="微软雅黑" w:cs="微软雅黑"/>
          <w:b/>
          <w:bCs/>
          <w:color w:val="auto"/>
          <w:szCs w:val="21"/>
          <w:lang w:val="en-US" w:eastAsia="zh-CN"/>
        </w:rPr>
        <w:t xml:space="preserve">1、潜在供应商属于中小微企业的，应在响应文件中提供‘’中小企业声明函”如果未提供或提供“中小企业声明函”内容不实的，供应商将承担由此造成的一切不利后果。  </w:t>
      </w:r>
      <w:r>
        <w:rPr>
          <w:rFonts w:hint="eastAsia" w:ascii="微软雅黑" w:hAnsi="微软雅黑" w:eastAsia="微软雅黑" w:cs="微软雅黑"/>
          <w:color w:val="auto"/>
          <w:szCs w:val="21"/>
          <w:lang w:val="en-US" w:eastAsia="zh-CN"/>
        </w:rPr>
        <w:t xml:space="preserve">    </w:t>
      </w:r>
    </w:p>
    <w:p w14:paraId="18700935">
      <w:pPr>
        <w:pageBreakBefore w:val="0"/>
        <w:widowControl/>
        <w:numPr>
          <w:ilvl w:val="0"/>
          <w:numId w:val="4"/>
        </w:numPr>
        <w:kinsoku/>
        <w:wordWrap/>
        <w:overflowPunct/>
        <w:topLinePunct w:val="0"/>
        <w:bidi w:val="0"/>
        <w:spacing w:before="100" w:beforeAutospacing="1" w:after="100" w:afterAutospacing="1" w:line="520" w:lineRule="exact"/>
        <w:ind w:left="420" w:leftChars="200" w:firstLine="0" w:firstLineChars="0"/>
        <w:jc w:val="both"/>
        <w:rPr>
          <w:rFonts w:hint="eastAsia"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lang w:val="en-US" w:eastAsia="zh-CN"/>
        </w:rPr>
        <w:t>本项目所属行业：建筑业。</w:t>
      </w:r>
    </w:p>
    <w:p w14:paraId="1DCEBAA5">
      <w:pPr>
        <w:pageBreakBefore w:val="0"/>
        <w:widowControl/>
        <w:numPr>
          <w:ilvl w:val="0"/>
          <w:numId w:val="4"/>
        </w:numPr>
        <w:kinsoku/>
        <w:wordWrap/>
        <w:overflowPunct/>
        <w:topLinePunct w:val="0"/>
        <w:bidi w:val="0"/>
        <w:spacing w:before="100" w:beforeAutospacing="1" w:after="100" w:afterAutospacing="1" w:line="520" w:lineRule="exact"/>
        <w:ind w:left="420" w:leftChars="200" w:firstLine="0" w:firstLineChars="0"/>
        <w:jc w:val="both"/>
        <w:rPr>
          <w:rFonts w:hint="eastAsia"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lang w:val="en-US" w:eastAsia="zh-CN"/>
        </w:rPr>
        <w:t>从业人员、营业收入、资产总额填报上一年度数据 ，无上一年度数据的新成立企业可不填报。</w:t>
      </w:r>
    </w:p>
    <w:p w14:paraId="3EE298E8">
      <w:pPr>
        <w:pageBreakBefore w:val="0"/>
        <w:kinsoku/>
        <w:wordWrap/>
        <w:overflowPunct/>
        <w:topLinePunct w:val="0"/>
        <w:bidi w:val="0"/>
        <w:spacing w:line="520" w:lineRule="exact"/>
        <w:jc w:val="left"/>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附：</w:t>
      </w:r>
    </w:p>
    <w:p w14:paraId="70DC427D">
      <w:pPr>
        <w:pageBreakBefore w:val="0"/>
        <w:kinsoku/>
        <w:wordWrap/>
        <w:overflowPunct/>
        <w:topLinePunct w:val="0"/>
        <w:bidi w:val="0"/>
        <w:spacing w:line="520" w:lineRule="exact"/>
        <w:jc w:val="center"/>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中小微企业划型标准</w:t>
      </w:r>
    </w:p>
    <w:p w14:paraId="57E020A8">
      <w:pPr>
        <w:pageBreakBefore w:val="0"/>
        <w:kinsoku/>
        <w:wordWrap/>
        <w:overflowPunct/>
        <w:topLinePunct w:val="0"/>
        <w:bidi w:val="0"/>
        <w:spacing w:line="520" w:lineRule="exact"/>
        <w:ind w:firstLine="480" w:firstLineChars="200"/>
        <w:jc w:val="left"/>
        <w:rPr>
          <w:rFonts w:ascii="微软雅黑" w:hAnsi="微软雅黑" w:eastAsia="微软雅黑" w:cs="微软雅黑"/>
          <w:b/>
          <w:bCs/>
          <w:color w:val="auto"/>
          <w:kern w:val="0"/>
          <w:sz w:val="24"/>
        </w:rPr>
      </w:pPr>
      <w:bookmarkStart w:id="632" w:name="bookmark5"/>
      <w:bookmarkStart w:id="633" w:name="bookmark4"/>
      <w:r>
        <w:rPr>
          <w:rFonts w:hint="eastAsia" w:ascii="微软雅黑" w:hAnsi="微软雅黑" w:eastAsia="微软雅黑" w:cs="微软雅黑"/>
          <w:color w:val="auto"/>
          <w:kern w:val="0"/>
          <w:sz w:val="24"/>
        </w:rPr>
        <w:t>工业和信息化部、国家统计局、发展改革委、财政部等四部门《关于印发中 小企业划型标准规定的通知》（工信部联企业〔2011〕300号）规定中小企业划型标准如表所示：</w:t>
      </w:r>
      <w:bookmarkEnd w:id="632"/>
      <w:bookmarkEnd w:id="633"/>
    </w:p>
    <w:tbl>
      <w:tblPr>
        <w:tblStyle w:val="38"/>
        <w:tblW w:w="9793" w:type="dxa"/>
        <w:jc w:val="center"/>
        <w:tblLayout w:type="autofit"/>
        <w:tblCellMar>
          <w:top w:w="0" w:type="dxa"/>
          <w:left w:w="108" w:type="dxa"/>
          <w:bottom w:w="0" w:type="dxa"/>
          <w:right w:w="108" w:type="dxa"/>
        </w:tblCellMar>
      </w:tblPr>
      <w:tblGrid>
        <w:gridCol w:w="2391"/>
        <w:gridCol w:w="849"/>
        <w:gridCol w:w="6553"/>
      </w:tblGrid>
      <w:tr w14:paraId="63FB65FE">
        <w:tblPrEx>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FCA0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4322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营业收入20000万元以下的为中小微型企业。</w:t>
            </w:r>
          </w:p>
        </w:tc>
      </w:tr>
      <w:tr w14:paraId="7273FB89">
        <w:tblPrEx>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AD621">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249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648B">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500万元-20000万元</w:t>
            </w:r>
          </w:p>
        </w:tc>
      </w:tr>
      <w:tr w14:paraId="4FDE006D">
        <w:tblPrEx>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56A7E">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477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BA7D">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50万元-500万元</w:t>
            </w:r>
          </w:p>
        </w:tc>
      </w:tr>
      <w:tr w14:paraId="25064A50">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06F54">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828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B687">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50万元以下</w:t>
            </w:r>
          </w:p>
        </w:tc>
      </w:tr>
      <w:tr w14:paraId="022D6D96">
        <w:tblPrEx>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A0D0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工业</w:t>
            </w:r>
            <w:r>
              <w:rPr>
                <w:rFonts w:hint="eastAsia" w:ascii="微软雅黑" w:hAnsi="微软雅黑" w:eastAsia="微软雅黑" w:cs="微软雅黑"/>
                <w:color w:val="auto"/>
                <w:kern w:val="0"/>
                <w:szCs w:val="21"/>
              </w:rPr>
              <w:br w:type="textWrapping"/>
            </w:r>
            <w:r>
              <w:rPr>
                <w:rFonts w:hint="eastAsia" w:ascii="微软雅黑" w:hAnsi="微软雅黑" w:eastAsia="微软雅黑" w:cs="微软雅黑"/>
                <w:color w:val="auto"/>
                <w:kern w:val="0"/>
                <w:szCs w:val="21"/>
              </w:rPr>
              <w:t>（包括采矿业，制造 业，电力、热力、燃 气及水生产和供应</w:t>
            </w:r>
            <w:r>
              <w:rPr>
                <w:rFonts w:hint="eastAsia" w:ascii="微软雅黑" w:hAnsi="微软雅黑" w:eastAsia="微软雅黑" w:cs="微软雅黑"/>
                <w:color w:val="auto"/>
                <w:kern w:val="0"/>
                <w:szCs w:val="21"/>
              </w:rPr>
              <w:br w:type="textWrapping"/>
            </w:r>
            <w:r>
              <w:rPr>
                <w:rFonts w:hint="eastAsia" w:ascii="微软雅黑" w:hAnsi="微软雅黑" w:eastAsia="微软雅黑" w:cs="微软雅黑"/>
                <w:color w:val="auto"/>
                <w:kern w:val="0"/>
                <w:szCs w:val="21"/>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E178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从业人员1000人以下或营业收入 40000万元以下的为中小微型企业。</w:t>
            </w:r>
          </w:p>
        </w:tc>
      </w:tr>
      <w:tr w14:paraId="7769B8D1">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7CE8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0EF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61EF">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 300人一1000人，且营业收入 2000万元一40000万元</w:t>
            </w:r>
          </w:p>
        </w:tc>
      </w:tr>
      <w:tr w14:paraId="645B212E">
        <w:tblPrEx>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3B87C">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917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4888">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从业人员20人一300人，且营业收入 300万元一2000万元</w:t>
            </w:r>
          </w:p>
        </w:tc>
      </w:tr>
      <w:tr w14:paraId="46E529A1">
        <w:tblPrEx>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8EDC7">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0ED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277F">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从业人员20人以下或营业收入 300万元以下</w:t>
            </w:r>
          </w:p>
        </w:tc>
      </w:tr>
      <w:tr w14:paraId="457DC21E">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0054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688C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营业收入80000万元以下或资产总额 80000万元以下的为中小微型企业。</w:t>
            </w:r>
          </w:p>
        </w:tc>
      </w:tr>
      <w:tr w14:paraId="0A0552CF">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18B80">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b/>
                <w:bCs/>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BF6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66DB">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营业收入6000万元一80000万元，且资产总额 5000万元一80000万元</w:t>
            </w:r>
          </w:p>
        </w:tc>
      </w:tr>
      <w:tr w14:paraId="30BFD3F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24D5D">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b/>
                <w:bCs/>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B2A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B581">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营业收入 300万元一6000万元，且资产总额 300万一5000万元</w:t>
            </w:r>
          </w:p>
        </w:tc>
      </w:tr>
      <w:tr w14:paraId="7874BD9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CB11B">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b/>
                <w:bCs/>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08C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74F2">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营业收入300万元以下或资产总额 300万元以下</w:t>
            </w:r>
          </w:p>
        </w:tc>
      </w:tr>
      <w:tr w14:paraId="085A493B">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39AE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38D1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从业人员200人以下或营业收入40000万元以下的为中小微型企业。</w:t>
            </w:r>
          </w:p>
        </w:tc>
      </w:tr>
      <w:tr w14:paraId="63AB43C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08256">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43C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639B">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从业人员20人一200人，且营业收入5000万元一40000万元</w:t>
            </w:r>
          </w:p>
        </w:tc>
      </w:tr>
      <w:tr w14:paraId="1748916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B45B0">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207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5815">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从业人员5人一20人，且营业收入1000万元一5000万元</w:t>
            </w:r>
          </w:p>
        </w:tc>
      </w:tr>
      <w:tr w14:paraId="003ECD8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81BD2">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C60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09D7">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从业人员5人以下或营业收入1000万元以下</w:t>
            </w:r>
          </w:p>
        </w:tc>
      </w:tr>
      <w:tr w14:paraId="5C11FA21">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FA50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4FBB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从业人员300人以下或营业收入 20000万元以下的为中小微型企业。</w:t>
            </w:r>
          </w:p>
        </w:tc>
      </w:tr>
      <w:tr w14:paraId="3E7D02D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FC339">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41D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4AD5">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 50人一300人，且营业收入500万元一20000万元</w:t>
            </w:r>
          </w:p>
        </w:tc>
      </w:tr>
      <w:tr w14:paraId="0446A8C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7BF0E">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A03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A0C1">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从业人员10人一50人，且营业收入100万元一500万元</w:t>
            </w:r>
          </w:p>
        </w:tc>
      </w:tr>
      <w:tr w14:paraId="7730ABA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6C40C">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977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F49D">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从业人员10人以下或营业收入100万元以下</w:t>
            </w:r>
          </w:p>
        </w:tc>
      </w:tr>
      <w:tr w14:paraId="0D738845">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A860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17A9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从业人员1000人以下或营业收入 30000万元以下的为中小微型企业。</w:t>
            </w:r>
          </w:p>
        </w:tc>
      </w:tr>
      <w:tr w14:paraId="4E2A9A5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7DA5D">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669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BCBD">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 300人一1000人，且营业收入 3000万元一30000万元</w:t>
            </w:r>
          </w:p>
        </w:tc>
      </w:tr>
      <w:tr w14:paraId="17DE8D3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75FF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BE8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3DA5">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从业人员20人一300人，且营业收入 200万元一3000万元</w:t>
            </w:r>
          </w:p>
        </w:tc>
      </w:tr>
      <w:tr w14:paraId="6492051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E7120">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1B2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9229">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从业人员20人以下或营业收入200万元以下</w:t>
            </w:r>
          </w:p>
        </w:tc>
      </w:tr>
      <w:tr w14:paraId="6291052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E7FA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5ACE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从业人员200人以下或营业收入 30000万元以下的为中小微型企业。</w:t>
            </w:r>
          </w:p>
        </w:tc>
      </w:tr>
      <w:tr w14:paraId="5037D4B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E2792">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121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4B35">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从业人员100人一200人，且营业收入 1000万元一30000万元</w:t>
            </w:r>
          </w:p>
        </w:tc>
      </w:tr>
      <w:tr w14:paraId="5C64768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6488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9A9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374A">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从业人员20人一100人，且营业收入 100万元一1000万元</w:t>
            </w:r>
          </w:p>
        </w:tc>
      </w:tr>
      <w:tr w14:paraId="7815DB2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57EC0">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3FA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3288">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从业人员20人以下或营业收入 100万元以下</w:t>
            </w:r>
          </w:p>
        </w:tc>
      </w:tr>
      <w:tr w14:paraId="400787A8">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F51E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4D57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从业人员1000人以下或营业收入 30000万元以下的为中小微型企业。</w:t>
            </w:r>
          </w:p>
        </w:tc>
      </w:tr>
      <w:tr w14:paraId="6FCD295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CACCC">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3EC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0307">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 300人一1000人，且营业收入 2000万元一30000万元</w:t>
            </w:r>
          </w:p>
        </w:tc>
      </w:tr>
      <w:tr w14:paraId="0A77E05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3EE87">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76B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399B">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从业人员20人一300人，且营业收入 100万元一2000万元</w:t>
            </w:r>
          </w:p>
        </w:tc>
      </w:tr>
      <w:tr w14:paraId="5FF507F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2B3D">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B05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42BD">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从业人员20人以下或营业收入 100万元以下</w:t>
            </w:r>
          </w:p>
        </w:tc>
      </w:tr>
      <w:tr w14:paraId="74E98116">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405C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ABC7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从业人员300人以下或营业收入 10000万元以下的为中小微型企业。</w:t>
            </w:r>
          </w:p>
        </w:tc>
      </w:tr>
      <w:tr w14:paraId="387E383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5C9B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E3F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6F87">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从业人员100人一300人，且营业收入 2000万元一10000万元</w:t>
            </w:r>
          </w:p>
        </w:tc>
      </w:tr>
      <w:tr w14:paraId="2BDBD8F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B1A92">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BCA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129F">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从业人员10人一100人，且营业收入 100万元一2000万元</w:t>
            </w:r>
          </w:p>
        </w:tc>
      </w:tr>
      <w:tr w14:paraId="6950303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4D1AD">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85B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4841">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从业人员10人以下或营业收入 100万元以下</w:t>
            </w:r>
          </w:p>
        </w:tc>
      </w:tr>
      <w:tr w14:paraId="54E704A9">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ACC2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9908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从业人员300人以下或营业收入 10000万元以下的为中小微型企业。</w:t>
            </w:r>
          </w:p>
        </w:tc>
      </w:tr>
      <w:tr w14:paraId="73B93B1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8E898">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E8E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5F7C">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 300人，且营业收入 2000万元一10000万元</w:t>
            </w:r>
          </w:p>
        </w:tc>
      </w:tr>
      <w:tr w14:paraId="35A4326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C6A68">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8BA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40AC">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从业人员10人一100人，且营业收入 100万元一2000万元</w:t>
            </w:r>
          </w:p>
        </w:tc>
      </w:tr>
      <w:tr w14:paraId="0F7E534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E5EC5">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CB0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8FCA">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从业人员10人以下或营业收入 100万元以下</w:t>
            </w:r>
          </w:p>
        </w:tc>
      </w:tr>
      <w:tr w14:paraId="2906FE44">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5399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A289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从业人员2000人以下或营业收入 100000万元以下的为中小微型企业。</w:t>
            </w:r>
          </w:p>
        </w:tc>
      </w:tr>
      <w:tr w14:paraId="73D54F7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1ACA7">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AE4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10C4">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从业人员100人一2000人，且营业收入 1000万元一10000万元</w:t>
            </w:r>
          </w:p>
        </w:tc>
      </w:tr>
      <w:tr w14:paraId="52126DC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0F993">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630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A22F">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从业人员10人一100人，且营业收入 100万元一1000万元</w:t>
            </w:r>
          </w:p>
        </w:tc>
      </w:tr>
      <w:tr w14:paraId="0FBF14C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6D312">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4D1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3616">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从业人员10人以下或营业收入 100万元以下</w:t>
            </w:r>
          </w:p>
        </w:tc>
      </w:tr>
      <w:tr w14:paraId="59DEB110">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FE2C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42F8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从业人员300人以下或营业收入 10000万元以下的为中小微型企业。</w:t>
            </w:r>
          </w:p>
        </w:tc>
      </w:tr>
      <w:tr w14:paraId="35E99AB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0DC0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017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4932">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 300人，且营业收入 1000万元一10000万元</w:t>
            </w:r>
          </w:p>
        </w:tc>
      </w:tr>
      <w:tr w14:paraId="1BCC14B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A7011">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4A5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249F">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从业人员10人一100人，且营业收入 50万元一1000万元</w:t>
            </w:r>
          </w:p>
        </w:tc>
      </w:tr>
      <w:tr w14:paraId="30C768C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1093E">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BDC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3EAC">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从业人员10人以下或营业收入 50万元以下</w:t>
            </w:r>
          </w:p>
        </w:tc>
      </w:tr>
      <w:tr w14:paraId="1C132D77">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28A7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8498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营业收入200000万元以下或资产总额 10000万元以下的为中小微型企业。</w:t>
            </w:r>
          </w:p>
        </w:tc>
      </w:tr>
      <w:tr w14:paraId="2FAFE686">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34DA4">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449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4A07">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营业收入1000万元一200000万元，且资产总额 5000万元一10000万元</w:t>
            </w:r>
          </w:p>
        </w:tc>
      </w:tr>
      <w:tr w14:paraId="494D8491">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A902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E9E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909E">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营业收入100万元一1000万元，且资产总额 2 000万元一5000 万元</w:t>
            </w:r>
          </w:p>
        </w:tc>
      </w:tr>
      <w:tr w14:paraId="5BF5D89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530B8">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1D5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85BE">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营业收入100万元以下或资产总额 2000万元以下的为微型企业</w:t>
            </w:r>
          </w:p>
        </w:tc>
      </w:tr>
      <w:tr w14:paraId="77EB94C5">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0685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5891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从业人员1000人以下或营业收入 5000万元以下的为中小微型企业。</w:t>
            </w:r>
          </w:p>
        </w:tc>
      </w:tr>
      <w:tr w14:paraId="5548DB1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7C551">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017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C80C">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 300人一1 000人，且营业收入 1000万元一5000万元</w:t>
            </w:r>
          </w:p>
        </w:tc>
      </w:tr>
      <w:tr w14:paraId="519F941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A2B32">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24A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AF08">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从业人员100人一300人，且营业收入 500万元一1000万元</w:t>
            </w:r>
          </w:p>
        </w:tc>
      </w:tr>
      <w:tr w14:paraId="28F8EA0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81F9C">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433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27A4">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从业人员100人以下或营业收入 500万元以下</w:t>
            </w:r>
          </w:p>
        </w:tc>
      </w:tr>
      <w:tr w14:paraId="1592660C">
        <w:tblPrEx>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B21DE">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07674">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2909155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2B02F">
            <w:pPr>
              <w:keepNext w:val="0"/>
              <w:keepLines w:val="0"/>
              <w:pageBreakBefore w:val="0"/>
              <w:kinsoku/>
              <w:wordWrap/>
              <w:overflowPunct/>
              <w:topLinePunct w:val="0"/>
              <w:autoSpaceDE/>
              <w:autoSpaceDN/>
              <w:bidi w:val="0"/>
              <w:adjustRightInd/>
              <w:snapToGrid/>
              <w:spacing w:line="480" w:lineRule="exact"/>
              <w:jc w:val="left"/>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A39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0C64">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从业人员100人一300人，且资产总额 8000万元一120000万元</w:t>
            </w:r>
          </w:p>
        </w:tc>
      </w:tr>
      <w:tr w14:paraId="5CBB99F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4FC8B">
            <w:pPr>
              <w:keepNext w:val="0"/>
              <w:keepLines w:val="0"/>
              <w:pageBreakBefore w:val="0"/>
              <w:kinsoku/>
              <w:wordWrap/>
              <w:overflowPunct/>
              <w:topLinePunct w:val="0"/>
              <w:autoSpaceDE/>
              <w:autoSpaceDN/>
              <w:bidi w:val="0"/>
              <w:adjustRightInd/>
              <w:snapToGrid/>
              <w:spacing w:line="480" w:lineRule="exact"/>
              <w:jc w:val="left"/>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E84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3BCD">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从业人员10人一100人，且资产总额 100万元一8000万元</w:t>
            </w:r>
          </w:p>
        </w:tc>
      </w:tr>
      <w:tr w14:paraId="526819E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90E4C">
            <w:pPr>
              <w:keepNext w:val="0"/>
              <w:keepLines w:val="0"/>
              <w:pageBreakBefore w:val="0"/>
              <w:kinsoku/>
              <w:wordWrap/>
              <w:overflowPunct/>
              <w:topLinePunct w:val="0"/>
              <w:autoSpaceDE/>
              <w:autoSpaceDN/>
              <w:bidi w:val="0"/>
              <w:adjustRightInd/>
              <w:snapToGrid/>
              <w:spacing w:line="480" w:lineRule="exact"/>
              <w:jc w:val="left"/>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49A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8E45">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从业人员10人以下或资产总额 100万元以下</w:t>
            </w:r>
          </w:p>
        </w:tc>
      </w:tr>
      <w:tr w14:paraId="1B8E9BC0">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405F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09F7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从业人员300人以下的为中小微型企业。</w:t>
            </w:r>
          </w:p>
        </w:tc>
      </w:tr>
      <w:tr w14:paraId="69DECCB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F0158">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EF9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B4E2">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 300人</w:t>
            </w:r>
          </w:p>
        </w:tc>
      </w:tr>
      <w:tr w14:paraId="537C277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45541">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BF9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620E">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w:t>
            </w:r>
          </w:p>
        </w:tc>
      </w:tr>
      <w:tr w14:paraId="530F3FA6">
        <w:tblPrEx>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3A2BF">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FAB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A8DB">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w:t>
            </w:r>
          </w:p>
        </w:tc>
      </w:tr>
    </w:tbl>
    <w:p w14:paraId="5DF91792">
      <w:pPr>
        <w:keepNext w:val="0"/>
        <w:keepLines w:val="0"/>
        <w:pageBreakBefore w:val="0"/>
        <w:widowControl w:val="0"/>
        <w:kinsoku/>
        <w:wordWrap/>
        <w:overflowPunct/>
        <w:topLinePunct w:val="0"/>
        <w:autoSpaceDE/>
        <w:autoSpaceDN/>
        <w:bidi w:val="0"/>
        <w:adjustRightInd/>
        <w:snapToGrid w:val="0"/>
        <w:spacing w:line="480" w:lineRule="exact"/>
        <w:contextualSpacing/>
        <w:jc w:val="left"/>
        <w:rPr>
          <w:rFonts w:ascii="微软雅黑" w:hAnsi="微软雅黑" w:eastAsia="微软雅黑" w:cs="微软雅黑"/>
          <w:b/>
          <w:color w:val="auto"/>
          <w:sz w:val="24"/>
        </w:rPr>
      </w:pPr>
    </w:p>
    <w:p w14:paraId="040F1EA3">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contextualSpacing/>
        <w:jc w:val="left"/>
        <w:rPr>
          <w:rFonts w:ascii="微软雅黑" w:hAnsi="微软雅黑" w:eastAsia="微软雅黑" w:cs="微软雅黑"/>
          <w:b/>
          <w:color w:val="auto"/>
          <w:sz w:val="24"/>
        </w:rPr>
      </w:pPr>
      <w:r>
        <w:rPr>
          <w:rFonts w:hint="eastAsia" w:ascii="微软雅黑" w:hAnsi="微软雅黑" w:eastAsia="微软雅黑" w:cs="微软雅黑"/>
          <w:b/>
          <w:color w:val="auto"/>
          <w:sz w:val="24"/>
        </w:rPr>
        <w:t>行业包括：</w:t>
      </w:r>
      <w:r>
        <w:rPr>
          <w:rFonts w:hint="eastAsia" w:ascii="微软雅黑" w:hAnsi="微软雅黑" w:eastAsia="微软雅黑" w:cs="微软雅黑"/>
          <w:bCs/>
          <w:color w:val="auto"/>
          <w:sz w:val="24"/>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微软雅黑"/>
          <w:b/>
          <w:color w:val="auto"/>
          <w:sz w:val="24"/>
        </w:rPr>
        <w:t>。</w:t>
      </w:r>
    </w:p>
    <w:p w14:paraId="34A691D5">
      <w:pPr>
        <w:keepNext w:val="0"/>
        <w:keepLines w:val="0"/>
        <w:pageBreakBefore w:val="0"/>
        <w:widowControl w:val="0"/>
        <w:kinsoku/>
        <w:wordWrap/>
        <w:overflowPunct/>
        <w:topLinePunct w:val="0"/>
        <w:autoSpaceDE/>
        <w:autoSpaceDN/>
        <w:bidi w:val="0"/>
        <w:adjustRightInd/>
        <w:snapToGrid w:val="0"/>
        <w:spacing w:line="480" w:lineRule="exact"/>
        <w:contextualSpacing/>
        <w:jc w:val="left"/>
        <w:rPr>
          <w:rFonts w:ascii="微软雅黑" w:hAnsi="微软雅黑" w:eastAsia="微软雅黑" w:cs="微软雅黑"/>
          <w:b/>
          <w:color w:val="auto"/>
          <w:sz w:val="24"/>
        </w:rPr>
      </w:pPr>
      <w:r>
        <w:rPr>
          <w:rFonts w:hint="eastAsia" w:ascii="微软雅黑" w:hAnsi="微软雅黑" w:eastAsia="微软雅黑" w:cs="微软雅黑"/>
          <w:b/>
          <w:color w:val="auto"/>
          <w:sz w:val="24"/>
        </w:rPr>
        <w:t>说明：</w:t>
      </w:r>
    </w:p>
    <w:p w14:paraId="7AC7444E">
      <w:pPr>
        <w:keepNext w:val="0"/>
        <w:keepLines w:val="0"/>
        <w:pageBreakBefore w:val="0"/>
        <w:widowControl w:val="0"/>
        <w:kinsoku/>
        <w:wordWrap/>
        <w:overflowPunct/>
        <w:topLinePunct w:val="0"/>
        <w:autoSpaceDE/>
        <w:autoSpaceDN/>
        <w:bidi w:val="0"/>
        <w:adjustRightInd/>
        <w:snapToGrid w:val="0"/>
        <w:spacing w:line="480" w:lineRule="exact"/>
        <w:contextualSpacing/>
        <w:jc w:val="left"/>
        <w:rPr>
          <w:rFonts w:ascii="微软雅黑" w:hAnsi="微软雅黑" w:eastAsia="微软雅黑" w:cs="微软雅黑"/>
          <w:color w:val="auto"/>
          <w:sz w:val="24"/>
        </w:rPr>
      </w:pPr>
      <w:r>
        <w:rPr>
          <w:rFonts w:hint="eastAsia" w:ascii="微软雅黑" w:hAnsi="微软雅黑" w:eastAsia="微软雅黑" w:cs="微软雅黑"/>
          <w:color w:val="auto"/>
          <w:sz w:val="24"/>
        </w:rPr>
        <w:t>上述标准参照《关于印发中小企业划型标准规定的通知》（工信部联企业[2011]300号），大型、中型和小型企业须同时满足所列指标的下限，否则下划一档；微型企业只须满足所列指标中的一项即可。</w:t>
      </w:r>
    </w:p>
    <w:p w14:paraId="6D30DF0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textAlignment w:val="center"/>
        <w:rPr>
          <w:rFonts w:ascii="微软雅黑" w:hAnsi="微软雅黑" w:eastAsia="微软雅黑" w:cs="微软雅黑"/>
          <w:color w:val="auto"/>
          <w:sz w:val="24"/>
        </w:rPr>
      </w:pPr>
      <w:r>
        <w:rPr>
          <w:rFonts w:hint="eastAsia" w:ascii="微软雅黑" w:hAnsi="微软雅黑" w:eastAsia="微软雅黑" w:cs="微软雅黑"/>
          <w:color w:val="auto"/>
          <w:sz w:val="24"/>
        </w:rPr>
        <w:t>本磋商文件所称中小企业，是指在中华人民共和国境内依法设立，依据国务院批准的</w:t>
      </w:r>
    </w:p>
    <w:p w14:paraId="3BC23F5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textAlignment w:val="center"/>
        <w:rPr>
          <w:rFonts w:ascii="微软雅黑" w:hAnsi="微软雅黑" w:eastAsia="微软雅黑" w:cs="微软雅黑"/>
          <w:color w:val="auto"/>
          <w:sz w:val="24"/>
        </w:rPr>
      </w:pPr>
      <w:r>
        <w:rPr>
          <w:rFonts w:hint="eastAsia" w:ascii="微软雅黑" w:hAnsi="微软雅黑" w:eastAsia="微软雅黑" w:cs="微软雅黑"/>
          <w:color w:val="auto"/>
          <w:sz w:val="24"/>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微软雅黑" w:hAnsi="微软雅黑" w:eastAsia="微软雅黑" w:cs="微软雅黑"/>
          <w:color w:val="auto"/>
          <w:sz w:val="24"/>
          <w:lang w:eastAsia="zh-CN"/>
        </w:rPr>
        <w:t>供应商</w:t>
      </w:r>
      <w:r>
        <w:rPr>
          <w:rFonts w:hint="eastAsia" w:ascii="微软雅黑" w:hAnsi="微软雅黑" w:eastAsia="微软雅黑" w:cs="微软雅黑"/>
          <w:color w:val="auto"/>
          <w:sz w:val="24"/>
        </w:rPr>
        <w:t>提供的货物、工程或者服务符合下列情形的，享受本磋商文件规定的中小企业扶持政策：</w:t>
      </w:r>
    </w:p>
    <w:p w14:paraId="0648C53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（1）在货物采购项目中，货物由中小企业制造，即货物由中小企业生产且使用该中小企业商号或者注册商标，不对其中涉及的工程承建商和服务的承接商作出要求；</w:t>
      </w:r>
    </w:p>
    <w:p w14:paraId="39E7EB2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（2）在工程采购项目中，工程由中小企业承建，即工程施工单位为中小企业，不对其中涉及的货物的制造商和服务的承接商作出要求；</w:t>
      </w:r>
    </w:p>
    <w:p w14:paraId="243037F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（3）在服务采购项目中，服务由中小企业承接，即提供服务的人员为中小企业依照《中华人民共和国劳动合同法》订立劳动合同的从业人员，不对其中涉及的货物的制造商和工程承建商作出要求。</w:t>
      </w:r>
    </w:p>
    <w:p w14:paraId="7314335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textAlignment w:val="center"/>
        <w:rPr>
          <w:rFonts w:ascii="微软雅黑" w:hAnsi="微软雅黑" w:eastAsia="微软雅黑" w:cs="微软雅黑"/>
          <w:color w:val="auto"/>
          <w:sz w:val="24"/>
        </w:rPr>
      </w:pPr>
      <w:r>
        <w:rPr>
          <w:rFonts w:hint="eastAsia" w:ascii="微软雅黑" w:hAnsi="微软雅黑" w:eastAsia="微软雅黑" w:cs="微软雅黑"/>
          <w:color w:val="auto"/>
          <w:sz w:val="24"/>
        </w:rPr>
        <w:t>在货物采购项目中，</w:t>
      </w:r>
      <w:r>
        <w:rPr>
          <w:rFonts w:hint="eastAsia" w:ascii="微软雅黑" w:hAnsi="微软雅黑" w:eastAsia="微软雅黑" w:cs="微软雅黑"/>
          <w:color w:val="auto"/>
          <w:sz w:val="24"/>
          <w:lang w:eastAsia="zh-CN"/>
        </w:rPr>
        <w:t>供应商</w:t>
      </w:r>
      <w:r>
        <w:rPr>
          <w:rFonts w:hint="eastAsia" w:ascii="微软雅黑" w:hAnsi="微软雅黑" w:eastAsia="微软雅黑" w:cs="微软雅黑"/>
          <w:color w:val="auto"/>
          <w:sz w:val="24"/>
        </w:rPr>
        <w:t>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7B4590D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textAlignment w:val="center"/>
        <w:rPr>
          <w:rFonts w:ascii="微软雅黑" w:hAnsi="微软雅黑" w:eastAsia="微软雅黑" w:cs="微软雅黑"/>
          <w:color w:val="auto"/>
          <w:sz w:val="24"/>
        </w:rPr>
      </w:pPr>
      <w:r>
        <w:rPr>
          <w:rFonts w:hint="eastAsia" w:ascii="微软雅黑" w:hAnsi="微软雅黑" w:eastAsia="微软雅黑" w:cs="微软雅黑"/>
          <w:color w:val="auto"/>
          <w:sz w:val="24"/>
        </w:rPr>
        <w:t>依据本磋商文件规定享受扶持政策获得政府采购合同的，小微企业不得将合同分包给大中型企业，中型企业不得将合同分包给大型企业。</w:t>
      </w:r>
    </w:p>
    <w:p w14:paraId="5544587B">
      <w:pPr>
        <w:pStyle w:val="17"/>
        <w:pageBreakBefore w:val="0"/>
        <w:numPr>
          <w:ilvl w:val="0"/>
          <w:numId w:val="0"/>
        </w:numPr>
        <w:tabs>
          <w:tab w:val="left" w:pos="5580"/>
        </w:tabs>
        <w:kinsoku/>
        <w:wordWrap/>
        <w:overflowPunct/>
        <w:topLinePunct w:val="0"/>
        <w:bidi w:val="0"/>
        <w:snapToGrid w:val="0"/>
        <w:spacing w:line="520" w:lineRule="exact"/>
        <w:textAlignment w:val="baseline"/>
        <w:rPr>
          <w:rFonts w:hint="eastAsia" w:ascii="微软雅黑" w:hAnsi="微软雅黑" w:eastAsia="微软雅黑" w:cs="微软雅黑"/>
          <w:b/>
          <w:color w:val="auto"/>
          <w:kern w:val="0"/>
          <w:sz w:val="24"/>
          <w:szCs w:val="24"/>
          <w:lang w:val="en-US" w:eastAsia="zh-CN" w:bidi="ar-SA"/>
        </w:rPr>
      </w:pPr>
    </w:p>
    <w:p w14:paraId="58724039">
      <w:pPr>
        <w:pageBreakBefore w:val="0"/>
        <w:kinsoku/>
        <w:wordWrap/>
        <w:overflowPunct/>
        <w:topLinePunct w:val="0"/>
        <w:bidi w:val="0"/>
        <w:snapToGrid w:val="0"/>
        <w:spacing w:line="520" w:lineRule="exact"/>
        <w:textAlignment w:val="baseline"/>
        <w:outlineLvl w:val="1"/>
        <w:rPr>
          <w:rFonts w:hint="default" w:ascii="微软雅黑" w:hAnsi="微软雅黑" w:eastAsia="微软雅黑" w:cs="微软雅黑"/>
          <w:b/>
          <w:color w:val="auto"/>
          <w:kern w:val="0"/>
          <w:sz w:val="24"/>
          <w:lang w:val="en-US" w:eastAsia="zh-CN"/>
        </w:rPr>
      </w:pPr>
      <w:bookmarkStart w:id="634" w:name="_Toc27334"/>
      <w:r>
        <w:rPr>
          <w:rFonts w:hint="eastAsia" w:ascii="微软雅黑" w:hAnsi="微软雅黑" w:eastAsia="微软雅黑" w:cs="微软雅黑"/>
          <w:b/>
          <w:color w:val="auto"/>
          <w:kern w:val="0"/>
          <w:sz w:val="24"/>
          <w:lang w:val="en-US" w:eastAsia="zh-CN"/>
        </w:rPr>
        <w:t>3、本项目的特定资格要求：①企业资质要求：[公路工程施工总承包三级]（含）及以上资质，并在人员、设备、资金等方面具有相应的施工能力。②项目负责人资质要求：【公路工程专业二级】（含）及二级以上注册建造师执业资格，具备交通运输主管部门颁发的有效的B类安全生产考核合格证书，且不得担任其他在建工程的项目负责人。</w:t>
      </w:r>
      <w:bookmarkEnd w:id="634"/>
    </w:p>
    <w:p w14:paraId="28D169A9">
      <w:pPr>
        <w:pStyle w:val="18"/>
        <w:pageBreakBefore w:val="0"/>
        <w:kinsoku/>
        <w:wordWrap/>
        <w:overflowPunct/>
        <w:topLinePunct w:val="0"/>
        <w:bidi w:val="0"/>
        <w:spacing w:line="520" w:lineRule="exact"/>
        <w:ind w:left="0" w:leftChars="0" w:firstLine="0" w:firstLineChars="0"/>
        <w:rPr>
          <w:rFonts w:hint="eastAsia" w:ascii="微软雅黑" w:hAnsi="微软雅黑" w:eastAsia="微软雅黑" w:cs="微软雅黑"/>
          <w:b/>
          <w:color w:val="auto"/>
          <w:kern w:val="0"/>
          <w:sz w:val="24"/>
          <w:szCs w:val="24"/>
          <w:lang w:val="en-US" w:eastAsia="zh-CN" w:bidi="ar-SA"/>
        </w:rPr>
      </w:pPr>
    </w:p>
    <w:p w14:paraId="6E8C0A22">
      <w:pPr>
        <w:pageBreakBefore w:val="0"/>
        <w:kinsoku/>
        <w:wordWrap/>
        <w:overflowPunct/>
        <w:topLinePunct w:val="0"/>
        <w:bidi w:val="0"/>
        <w:spacing w:line="520" w:lineRule="exact"/>
        <w:rPr>
          <w:rFonts w:hint="eastAsia" w:ascii="微软雅黑" w:hAnsi="微软雅黑" w:eastAsia="微软雅黑" w:cs="微软雅黑"/>
          <w:b w:val="0"/>
          <w:bCs/>
          <w:color w:val="auto"/>
          <w:kern w:val="0"/>
          <w:sz w:val="24"/>
          <w:szCs w:val="24"/>
          <w:lang w:val="en-US" w:eastAsia="zh-CN" w:bidi="ar-SA"/>
        </w:rPr>
      </w:pPr>
      <w:r>
        <w:rPr>
          <w:rFonts w:hint="eastAsia" w:ascii="微软雅黑" w:hAnsi="微软雅黑" w:eastAsia="微软雅黑" w:cs="微软雅黑"/>
          <w:b w:val="0"/>
          <w:bCs/>
          <w:color w:val="auto"/>
          <w:kern w:val="0"/>
          <w:sz w:val="24"/>
          <w:szCs w:val="24"/>
          <w:lang w:val="en-US" w:eastAsia="zh-CN" w:bidi="ar-SA"/>
        </w:rPr>
        <w:t>说明：上传相关资质原件扫描件加盖公章。</w:t>
      </w:r>
    </w:p>
    <w:p w14:paraId="1338B3DF">
      <w:pPr>
        <w:pageBreakBefore w:val="0"/>
        <w:kinsoku/>
        <w:wordWrap/>
        <w:overflowPunct/>
        <w:topLinePunct w:val="0"/>
        <w:bidi w:val="0"/>
        <w:spacing w:line="520" w:lineRule="exact"/>
        <w:rPr>
          <w:rFonts w:hint="eastAsia" w:ascii="微软雅黑" w:hAnsi="微软雅黑" w:eastAsia="微软雅黑" w:cs="微软雅黑"/>
          <w:b/>
          <w:color w:val="auto"/>
          <w:kern w:val="0"/>
          <w:sz w:val="24"/>
          <w:szCs w:val="24"/>
          <w:lang w:val="en-US" w:eastAsia="zh-CN" w:bidi="ar-SA"/>
        </w:rPr>
      </w:pPr>
    </w:p>
    <w:p w14:paraId="05C62480">
      <w:pPr>
        <w:pageBreakBefore w:val="0"/>
        <w:kinsoku/>
        <w:wordWrap/>
        <w:overflowPunct/>
        <w:topLinePunct w:val="0"/>
        <w:bidi w:val="0"/>
        <w:spacing w:line="520" w:lineRule="exact"/>
        <w:rPr>
          <w:rFonts w:hint="eastAsia" w:ascii="微软雅黑" w:hAnsi="微软雅黑" w:eastAsia="微软雅黑" w:cs="微软雅黑"/>
          <w:b/>
          <w:color w:val="auto"/>
          <w:kern w:val="0"/>
          <w:sz w:val="24"/>
          <w:szCs w:val="24"/>
          <w:lang w:val="en-US" w:eastAsia="zh-CN" w:bidi="ar-SA"/>
        </w:rPr>
      </w:pPr>
    </w:p>
    <w:p w14:paraId="45329069">
      <w:pPr>
        <w:pageBreakBefore w:val="0"/>
        <w:kinsoku/>
        <w:wordWrap/>
        <w:overflowPunct/>
        <w:topLinePunct w:val="0"/>
        <w:bidi w:val="0"/>
        <w:snapToGrid w:val="0"/>
        <w:spacing w:line="520" w:lineRule="exact"/>
        <w:textAlignment w:val="baseline"/>
        <w:rPr>
          <w:rFonts w:ascii="微软雅黑" w:hAnsi="微软雅黑" w:eastAsia="微软雅黑" w:cs="微软雅黑"/>
          <w:b/>
          <w:color w:val="auto"/>
          <w:kern w:val="0"/>
          <w:sz w:val="24"/>
        </w:rPr>
      </w:pPr>
    </w:p>
    <w:p w14:paraId="0DEE0572">
      <w:pPr>
        <w:pageBreakBefore w:val="0"/>
        <w:kinsoku/>
        <w:wordWrap/>
        <w:overflowPunct/>
        <w:topLinePunct w:val="0"/>
        <w:bidi w:val="0"/>
        <w:snapToGrid w:val="0"/>
        <w:spacing w:line="520" w:lineRule="exact"/>
        <w:textAlignment w:val="baseline"/>
        <w:outlineLvl w:val="1"/>
        <w:rPr>
          <w:rFonts w:ascii="微软雅黑" w:hAnsi="微软雅黑" w:eastAsia="微软雅黑" w:cs="微软雅黑"/>
          <w:b/>
          <w:color w:val="auto"/>
          <w:kern w:val="0"/>
          <w:sz w:val="24"/>
        </w:rPr>
      </w:pPr>
      <w:bookmarkStart w:id="635" w:name="_Toc30299"/>
      <w:bookmarkStart w:id="636" w:name="_Toc6231"/>
      <w:bookmarkStart w:id="637" w:name="_Toc20518"/>
      <w:r>
        <w:rPr>
          <w:rFonts w:hint="eastAsia" w:ascii="微软雅黑" w:hAnsi="微软雅黑" w:eastAsia="微软雅黑" w:cs="微软雅黑"/>
          <w:b/>
          <w:color w:val="auto"/>
          <w:kern w:val="0"/>
          <w:sz w:val="24"/>
          <w:lang w:val="en-US" w:eastAsia="zh-CN"/>
        </w:rPr>
        <w:t>4</w:t>
      </w:r>
      <w:r>
        <w:rPr>
          <w:rFonts w:hint="eastAsia" w:ascii="微软雅黑" w:hAnsi="微软雅黑" w:eastAsia="微软雅黑" w:cs="微软雅黑"/>
          <w:b/>
          <w:color w:val="auto"/>
          <w:kern w:val="0"/>
          <w:sz w:val="24"/>
        </w:rPr>
        <w:t>、</w:t>
      </w:r>
      <w:bookmarkEnd w:id="625"/>
      <w:bookmarkEnd w:id="626"/>
      <w:bookmarkEnd w:id="627"/>
      <w:bookmarkEnd w:id="628"/>
      <w:bookmarkEnd w:id="629"/>
      <w:bookmarkEnd w:id="630"/>
      <w:bookmarkEnd w:id="631"/>
      <w:r>
        <w:rPr>
          <w:rFonts w:hint="eastAsia" w:ascii="微软雅黑" w:hAnsi="微软雅黑" w:eastAsia="微软雅黑" w:cs="微软雅黑"/>
          <w:b/>
          <w:color w:val="auto"/>
          <w:kern w:val="0"/>
          <w:sz w:val="24"/>
        </w:rPr>
        <w:t>缴纳磋商保证金有效凭证；</w:t>
      </w:r>
      <w:bookmarkEnd w:id="635"/>
      <w:bookmarkEnd w:id="636"/>
      <w:bookmarkEnd w:id="637"/>
    </w:p>
    <w:p w14:paraId="09BA3CED">
      <w:pPr>
        <w:pageBreakBefore w:val="0"/>
        <w:kinsoku/>
        <w:wordWrap/>
        <w:overflowPunct/>
        <w:topLinePunct w:val="0"/>
        <w:bidi w:val="0"/>
        <w:snapToGrid w:val="0"/>
        <w:spacing w:line="520" w:lineRule="exact"/>
        <w:textAlignment w:val="baseline"/>
        <w:rPr>
          <w:rFonts w:ascii="微软雅黑" w:hAnsi="微软雅黑" w:eastAsia="微软雅黑" w:cs="微软雅黑"/>
          <w:b w:val="0"/>
          <w:bCs w:val="0"/>
          <w:color w:val="auto"/>
          <w:sz w:val="24"/>
        </w:rPr>
      </w:pPr>
    </w:p>
    <w:p w14:paraId="1DE69C31">
      <w:pPr>
        <w:pageBreakBefore w:val="0"/>
        <w:kinsoku/>
        <w:wordWrap/>
        <w:overflowPunct/>
        <w:topLinePunct w:val="0"/>
        <w:bidi w:val="0"/>
        <w:snapToGrid w:val="0"/>
        <w:spacing w:line="520" w:lineRule="exact"/>
        <w:textAlignment w:val="baseline"/>
        <w:rPr>
          <w:rFonts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注：本项目以缴纳磋商保证金有效凭证</w:t>
      </w:r>
      <w:r>
        <w:rPr>
          <w:rFonts w:hint="eastAsia" w:ascii="微软雅黑" w:hAnsi="微软雅黑" w:eastAsia="微软雅黑" w:cs="微软雅黑"/>
          <w:b w:val="0"/>
          <w:bCs w:val="0"/>
          <w:color w:val="auto"/>
          <w:sz w:val="24"/>
          <w:lang w:eastAsia="zh-CN"/>
        </w:rPr>
        <w:t>加</w:t>
      </w:r>
      <w:r>
        <w:rPr>
          <w:rFonts w:hint="eastAsia" w:ascii="微软雅黑" w:hAnsi="微软雅黑" w:eastAsia="微软雅黑" w:cs="微软雅黑"/>
          <w:b w:val="0"/>
          <w:bCs w:val="0"/>
          <w:color w:val="auto"/>
          <w:sz w:val="24"/>
        </w:rPr>
        <w:t>盖公章为准。</w:t>
      </w:r>
    </w:p>
    <w:p w14:paraId="06B83B9D">
      <w:pPr>
        <w:pStyle w:val="13"/>
        <w:pageBreakBefore w:val="0"/>
        <w:kinsoku/>
        <w:wordWrap/>
        <w:overflowPunct/>
        <w:topLinePunct w:val="0"/>
        <w:bidi w:val="0"/>
        <w:snapToGrid w:val="0"/>
        <w:spacing w:line="520" w:lineRule="exact"/>
        <w:ind w:left="0" w:leftChars="0" w:firstLine="0" w:firstLineChars="0"/>
        <w:textAlignment w:val="baseline"/>
        <w:rPr>
          <w:rFonts w:ascii="微软雅黑" w:hAnsi="微软雅黑" w:eastAsia="微软雅黑" w:cs="微软雅黑"/>
          <w:color w:val="auto"/>
          <w:sz w:val="21"/>
        </w:rPr>
      </w:pPr>
    </w:p>
    <w:p w14:paraId="57A81537">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sz w:val="24"/>
          <w:szCs w:val="24"/>
          <w:u w:val="single" w:color="000000"/>
        </w:rPr>
      </w:pPr>
    </w:p>
    <w:p w14:paraId="1BFC4CF1">
      <w:pPr>
        <w:pStyle w:val="18"/>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0DEAA90E">
      <w:pPr>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09D7ED83">
      <w:pPr>
        <w:pStyle w:val="37"/>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5FC84DD0">
      <w:pPr>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4E282BAD">
      <w:pPr>
        <w:pStyle w:val="37"/>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0B2D3DD5">
      <w:pPr>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20A9FB5F">
      <w:pPr>
        <w:pStyle w:val="37"/>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4C22B39F">
      <w:pPr>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62123BA0">
      <w:pPr>
        <w:pStyle w:val="37"/>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1D74D4F6">
      <w:pPr>
        <w:pageBreakBefore w:val="0"/>
        <w:kinsoku/>
        <w:wordWrap/>
        <w:overflowPunct/>
        <w:topLinePunct w:val="0"/>
        <w:bidi w:val="0"/>
        <w:snapToGrid w:val="0"/>
        <w:spacing w:line="520" w:lineRule="exact"/>
        <w:jc w:val="both"/>
        <w:textAlignment w:val="baseline"/>
        <w:rPr>
          <w:rFonts w:ascii="微软雅黑" w:hAnsi="微软雅黑" w:eastAsia="微软雅黑" w:cs="微软雅黑"/>
          <w:b/>
          <w:sz w:val="24"/>
        </w:rPr>
      </w:pPr>
      <w:bookmarkStart w:id="638" w:name="_Toc515647816"/>
      <w:bookmarkStart w:id="639" w:name="_Toc11956"/>
      <w:bookmarkStart w:id="640" w:name="_Toc22967"/>
      <w:bookmarkStart w:id="641" w:name="_Toc3552"/>
      <w:bookmarkStart w:id="642" w:name="_Toc11180"/>
      <w:bookmarkStart w:id="643" w:name="_Toc12440"/>
      <w:bookmarkStart w:id="644" w:name="_Toc25827"/>
    </w:p>
    <w:p w14:paraId="625C35DA">
      <w:pPr>
        <w:pStyle w:val="3"/>
        <w:pageBreakBefore w:val="0"/>
        <w:kinsoku/>
        <w:wordWrap/>
        <w:overflowPunct/>
        <w:topLinePunct w:val="0"/>
        <w:bidi w:val="0"/>
        <w:snapToGrid w:val="0"/>
        <w:spacing w:before="0" w:line="520" w:lineRule="exact"/>
        <w:ind w:left="1080" w:leftChars="257" w:hanging="540"/>
        <w:textAlignment w:val="baseline"/>
        <w:rPr>
          <w:rFonts w:ascii="微软雅黑" w:hAnsi="微软雅黑" w:eastAsia="微软雅黑" w:cs="微软雅黑"/>
          <w:sz w:val="24"/>
          <w:szCs w:val="24"/>
        </w:rPr>
      </w:pPr>
      <w:bookmarkStart w:id="645" w:name="_Toc15018"/>
      <w:bookmarkStart w:id="646" w:name="_Toc13054"/>
      <w:r>
        <w:rPr>
          <w:rFonts w:hint="eastAsia" w:ascii="微软雅黑" w:hAnsi="微软雅黑" w:eastAsia="微软雅黑" w:cs="微软雅黑"/>
          <w:sz w:val="24"/>
          <w:szCs w:val="24"/>
        </w:rPr>
        <w:t>第二部分  商务及技术文件</w:t>
      </w:r>
      <w:bookmarkEnd w:id="638"/>
      <w:bookmarkEnd w:id="639"/>
      <w:bookmarkEnd w:id="640"/>
      <w:bookmarkEnd w:id="641"/>
      <w:bookmarkEnd w:id="642"/>
      <w:bookmarkEnd w:id="643"/>
      <w:bookmarkEnd w:id="644"/>
      <w:bookmarkEnd w:id="645"/>
      <w:bookmarkEnd w:id="646"/>
    </w:p>
    <w:p w14:paraId="1D2F43E5">
      <w:pPr>
        <w:pageBreakBefore w:val="0"/>
        <w:kinsoku/>
        <w:wordWrap/>
        <w:overflowPunct/>
        <w:topLinePunct w:val="0"/>
        <w:bidi w:val="0"/>
        <w:spacing w:before="25" w:line="520" w:lineRule="exact"/>
        <w:ind w:left="578"/>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5"/>
          <w:position w:val="1"/>
          <w:sz w:val="24"/>
          <w:szCs w:val="24"/>
        </w:rPr>
        <w:t>1</w:t>
      </w:r>
      <w:r>
        <w:rPr>
          <w:rFonts w:hint="eastAsia" w:ascii="微软雅黑" w:hAnsi="微软雅黑" w:eastAsia="微软雅黑" w:cs="微软雅黑"/>
          <w:color w:val="auto"/>
          <w:spacing w:val="3"/>
          <w:position w:val="1"/>
          <w:sz w:val="24"/>
          <w:szCs w:val="24"/>
        </w:rPr>
        <w:t>、磋商书</w:t>
      </w:r>
    </w:p>
    <w:p w14:paraId="2547EAED">
      <w:pPr>
        <w:pageBreakBefore w:val="0"/>
        <w:kinsoku/>
        <w:wordWrap/>
        <w:overflowPunct/>
        <w:topLinePunct w:val="0"/>
        <w:bidi w:val="0"/>
        <w:spacing w:line="520" w:lineRule="exact"/>
        <w:ind w:left="563"/>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9"/>
          <w:position w:val="1"/>
          <w:sz w:val="24"/>
          <w:szCs w:val="24"/>
        </w:rPr>
        <w:t>2</w:t>
      </w:r>
      <w:r>
        <w:rPr>
          <w:rFonts w:hint="eastAsia" w:ascii="微软雅黑" w:hAnsi="微软雅黑" w:eastAsia="微软雅黑" w:cs="微软雅黑"/>
          <w:color w:val="auto"/>
          <w:spacing w:val="7"/>
          <w:position w:val="1"/>
          <w:sz w:val="24"/>
          <w:szCs w:val="24"/>
        </w:rPr>
        <w:t>、磋商分项报价表</w:t>
      </w:r>
      <w:r>
        <w:rPr>
          <w:rFonts w:hint="eastAsia" w:ascii="微软雅黑" w:hAnsi="微软雅黑" w:eastAsia="微软雅黑" w:cs="微软雅黑"/>
          <w:color w:val="auto"/>
          <w:spacing w:val="7"/>
          <w:position w:val="1"/>
          <w:sz w:val="24"/>
          <w:szCs w:val="24"/>
          <w:lang w:eastAsia="zh-CN"/>
        </w:rPr>
        <w:t>（已标价的工程量清单）</w:t>
      </w:r>
    </w:p>
    <w:p w14:paraId="49466A08">
      <w:pPr>
        <w:pageBreakBefore w:val="0"/>
        <w:kinsoku/>
        <w:wordWrap/>
        <w:overflowPunct/>
        <w:topLinePunct w:val="0"/>
        <w:bidi w:val="0"/>
        <w:spacing w:line="520" w:lineRule="exact"/>
        <w:ind w:left="565"/>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pacing w:val="9"/>
          <w:position w:val="1"/>
          <w:sz w:val="24"/>
          <w:szCs w:val="24"/>
        </w:rPr>
        <w:t>3</w:t>
      </w:r>
      <w:r>
        <w:rPr>
          <w:rFonts w:hint="eastAsia" w:ascii="微软雅黑" w:hAnsi="微软雅黑" w:eastAsia="微软雅黑" w:cs="微软雅黑"/>
          <w:color w:val="auto"/>
          <w:spacing w:val="7"/>
          <w:position w:val="1"/>
          <w:sz w:val="24"/>
          <w:szCs w:val="24"/>
        </w:rPr>
        <w:t>、商务条款偏离表</w:t>
      </w:r>
    </w:p>
    <w:p w14:paraId="284A4B67">
      <w:pPr>
        <w:pageBreakBefore w:val="0"/>
        <w:kinsoku/>
        <w:wordWrap/>
        <w:overflowPunct/>
        <w:topLinePunct w:val="0"/>
        <w:bidi w:val="0"/>
        <w:spacing w:line="520" w:lineRule="exact"/>
        <w:ind w:left="565"/>
        <w:rPr>
          <w:rFonts w:hint="eastAsia" w:ascii="微软雅黑" w:hAnsi="微软雅黑" w:eastAsia="微软雅黑" w:cs="微软雅黑"/>
          <w:color w:val="auto"/>
          <w:spacing w:val="7"/>
          <w:position w:val="1"/>
          <w:sz w:val="24"/>
          <w:szCs w:val="24"/>
        </w:rPr>
      </w:pPr>
      <w:r>
        <w:rPr>
          <w:rFonts w:hint="eastAsia" w:ascii="微软雅黑" w:hAnsi="微软雅黑" w:eastAsia="微软雅黑" w:cs="微软雅黑"/>
          <w:color w:val="auto"/>
          <w:spacing w:val="10"/>
          <w:position w:val="1"/>
          <w:sz w:val="24"/>
          <w:szCs w:val="24"/>
        </w:rPr>
        <w:t>4</w:t>
      </w:r>
      <w:r>
        <w:rPr>
          <w:rFonts w:hint="eastAsia" w:ascii="微软雅黑" w:hAnsi="微软雅黑" w:eastAsia="微软雅黑" w:cs="微软雅黑"/>
          <w:color w:val="auto"/>
          <w:spacing w:val="7"/>
          <w:position w:val="1"/>
          <w:sz w:val="24"/>
          <w:szCs w:val="24"/>
        </w:rPr>
        <w:t>、残疾人福利性单位声明函</w:t>
      </w:r>
    </w:p>
    <w:p w14:paraId="2F352B99">
      <w:pPr>
        <w:pageBreakBefore w:val="0"/>
        <w:kinsoku/>
        <w:wordWrap/>
        <w:overflowPunct/>
        <w:topLinePunct w:val="0"/>
        <w:bidi w:val="0"/>
        <w:spacing w:line="520" w:lineRule="exact"/>
        <w:ind w:left="565"/>
        <w:rPr>
          <w:rFonts w:hint="eastAsia" w:ascii="微软雅黑" w:hAnsi="微软雅黑" w:eastAsia="微软雅黑" w:cs="微软雅黑"/>
          <w:color w:val="auto"/>
          <w:spacing w:val="7"/>
          <w:position w:val="1"/>
          <w:sz w:val="24"/>
          <w:szCs w:val="24"/>
          <w:lang w:val="en-US" w:eastAsia="zh-CN"/>
        </w:rPr>
      </w:pPr>
      <w:r>
        <w:rPr>
          <w:rFonts w:hint="eastAsia" w:ascii="微软雅黑" w:hAnsi="微软雅黑" w:eastAsia="微软雅黑" w:cs="微软雅黑"/>
          <w:color w:val="auto"/>
          <w:spacing w:val="7"/>
          <w:position w:val="1"/>
          <w:sz w:val="24"/>
          <w:szCs w:val="24"/>
          <w:lang w:val="en-US" w:eastAsia="zh-CN"/>
        </w:rPr>
        <w:t>5、供应商关联关系说明</w:t>
      </w:r>
    </w:p>
    <w:p w14:paraId="5E367A3A">
      <w:pPr>
        <w:pageBreakBefore w:val="0"/>
        <w:kinsoku/>
        <w:wordWrap/>
        <w:overflowPunct/>
        <w:topLinePunct w:val="0"/>
        <w:bidi w:val="0"/>
        <w:spacing w:before="27" w:line="520" w:lineRule="exact"/>
        <w:ind w:left="566"/>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8"/>
          <w:sz w:val="24"/>
          <w:szCs w:val="24"/>
        </w:rPr>
        <w:t>6、</w:t>
      </w:r>
      <w:r>
        <w:rPr>
          <w:rFonts w:hint="eastAsia" w:ascii="微软雅黑" w:hAnsi="微软雅黑" w:eastAsia="微软雅黑" w:cs="微软雅黑"/>
          <w:color w:val="auto"/>
          <w:spacing w:val="8"/>
          <w:position w:val="1"/>
          <w:sz w:val="24"/>
          <w:szCs w:val="24"/>
        </w:rPr>
        <w:t>技术部分主要内容</w:t>
      </w:r>
    </w:p>
    <w:p w14:paraId="0CE59B3E">
      <w:pPr>
        <w:pageBreakBefore w:val="0"/>
        <w:kinsoku/>
        <w:wordWrap/>
        <w:overflowPunct/>
        <w:topLinePunct w:val="0"/>
        <w:bidi w:val="0"/>
        <w:spacing w:before="3" w:line="520" w:lineRule="exact"/>
        <w:ind w:left="562"/>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15"/>
          <w:position w:val="1"/>
          <w:sz w:val="24"/>
          <w:szCs w:val="24"/>
          <w:lang w:val="en-US" w:eastAsia="zh-CN"/>
        </w:rPr>
        <w:t>7</w:t>
      </w:r>
      <w:r>
        <w:rPr>
          <w:rFonts w:hint="eastAsia" w:ascii="微软雅黑" w:hAnsi="微软雅黑" w:eastAsia="微软雅黑" w:cs="微软雅黑"/>
          <w:color w:val="auto"/>
          <w:spacing w:val="9"/>
          <w:position w:val="1"/>
          <w:sz w:val="24"/>
          <w:szCs w:val="24"/>
        </w:rPr>
        <w:t>、有利于投标的其他资格证明材料</w:t>
      </w:r>
    </w:p>
    <w:p w14:paraId="03DD29B8">
      <w:pPr>
        <w:pageBreakBefore w:val="0"/>
        <w:kinsoku/>
        <w:wordWrap/>
        <w:overflowPunct/>
        <w:topLinePunct w:val="0"/>
        <w:bidi w:val="0"/>
        <w:spacing w:before="3" w:line="520" w:lineRule="exact"/>
        <w:ind w:left="562"/>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12"/>
          <w:position w:val="1"/>
          <w:sz w:val="24"/>
          <w:szCs w:val="24"/>
          <w:lang w:val="en-US" w:eastAsia="zh-CN"/>
        </w:rPr>
        <w:t>8</w:t>
      </w:r>
      <w:r>
        <w:rPr>
          <w:rFonts w:hint="eastAsia" w:ascii="微软雅黑" w:hAnsi="微软雅黑" w:eastAsia="微软雅黑" w:cs="微软雅黑"/>
          <w:color w:val="auto"/>
          <w:spacing w:val="8"/>
          <w:position w:val="1"/>
          <w:sz w:val="24"/>
          <w:szCs w:val="24"/>
        </w:rPr>
        <w:t>、磋商文件格式范本</w:t>
      </w:r>
    </w:p>
    <w:p w14:paraId="47A289C0">
      <w:pPr>
        <w:pStyle w:val="17"/>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p>
    <w:p w14:paraId="6FF19FF4">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351847F0">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41DFE13D">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7CB4034A">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6854CF37">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5383D30F">
      <w:pPr>
        <w:pStyle w:val="18"/>
        <w:pageBreakBefore w:val="0"/>
        <w:kinsoku/>
        <w:wordWrap/>
        <w:overflowPunct/>
        <w:topLinePunct w:val="0"/>
        <w:bidi w:val="0"/>
        <w:spacing w:line="520" w:lineRule="exact"/>
        <w:rPr>
          <w:rFonts w:ascii="微软雅黑" w:hAnsi="微软雅黑" w:eastAsia="微软雅黑" w:cs="微软雅黑"/>
          <w:color w:val="auto"/>
          <w:sz w:val="24"/>
          <w:szCs w:val="24"/>
        </w:rPr>
      </w:pPr>
    </w:p>
    <w:p w14:paraId="0200D232">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031965BA">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668EE874">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622113AA">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7E4FDAF0">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1A36805E">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0A59948A">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7DB1330C">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3A7DC3BA">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3EDA17B6">
      <w:pPr>
        <w:pStyle w:val="3"/>
        <w:pageBreakBefore w:val="0"/>
        <w:kinsoku/>
        <w:wordWrap/>
        <w:overflowPunct/>
        <w:topLinePunct w:val="0"/>
        <w:bidi w:val="0"/>
        <w:snapToGrid w:val="0"/>
        <w:spacing w:before="0" w:line="520" w:lineRule="exact"/>
        <w:ind w:firstLine="3842" w:firstLineChars="1600"/>
        <w:jc w:val="both"/>
        <w:textAlignment w:val="baseline"/>
        <w:rPr>
          <w:rFonts w:ascii="微软雅黑" w:hAnsi="微软雅黑" w:eastAsia="微软雅黑" w:cs="微软雅黑"/>
          <w:color w:val="auto"/>
          <w:sz w:val="24"/>
        </w:rPr>
      </w:pPr>
      <w:bookmarkStart w:id="647" w:name="_Toc9541"/>
      <w:bookmarkStart w:id="648" w:name="_Toc4701"/>
      <w:bookmarkStart w:id="649" w:name="_Toc9342"/>
      <w:r>
        <w:rPr>
          <w:rFonts w:hint="eastAsia" w:ascii="微软雅黑" w:hAnsi="微软雅黑" w:eastAsia="微软雅黑" w:cs="微软雅黑"/>
          <w:color w:val="auto"/>
          <w:sz w:val="24"/>
          <w:szCs w:val="24"/>
        </w:rPr>
        <w:t>1 、磋商书</w:t>
      </w:r>
      <w:bookmarkEnd w:id="647"/>
      <w:bookmarkEnd w:id="648"/>
      <w:bookmarkEnd w:id="649"/>
    </w:p>
    <w:p w14:paraId="590B0480">
      <w:pPr>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hanging="108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致：</w:t>
      </w:r>
    </w:p>
    <w:p w14:paraId="274BC715">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2" w:leftChars="1" w:firstLine="480" w:firstLineChars="20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根据贵方(</w:t>
      </w:r>
      <w:r>
        <w:rPr>
          <w:rFonts w:hint="eastAsia" w:ascii="微软雅黑" w:hAnsi="微软雅黑" w:eastAsia="微软雅黑" w:cs="微软雅黑"/>
          <w:i/>
          <w:color w:val="auto"/>
          <w:sz w:val="24"/>
          <w:szCs w:val="24"/>
          <w:u w:val="single" w:color="000000"/>
        </w:rPr>
        <w:t>项目名称</w:t>
      </w:r>
      <w:r>
        <w:rPr>
          <w:rFonts w:hint="eastAsia" w:ascii="微软雅黑" w:hAnsi="微软雅黑" w:eastAsia="微软雅黑" w:cs="微软雅黑"/>
          <w:color w:val="auto"/>
          <w:sz w:val="24"/>
          <w:szCs w:val="24"/>
        </w:rPr>
        <w:t>)项目的磋商邀请(</w:t>
      </w:r>
      <w:r>
        <w:rPr>
          <w:rFonts w:hint="eastAsia" w:ascii="微软雅黑" w:hAnsi="微软雅黑" w:eastAsia="微软雅黑" w:cs="微软雅黑"/>
          <w:i/>
          <w:color w:val="auto"/>
          <w:sz w:val="24"/>
          <w:szCs w:val="24"/>
          <w:u w:val="single" w:color="000000"/>
        </w:rPr>
        <w:t>项目编号</w:t>
      </w:r>
      <w:r>
        <w:rPr>
          <w:rFonts w:hint="eastAsia" w:ascii="微软雅黑" w:hAnsi="微软雅黑" w:eastAsia="微软雅黑" w:cs="微软雅黑"/>
          <w:color w:val="auto"/>
          <w:sz w:val="24"/>
          <w:szCs w:val="24"/>
        </w:rPr>
        <w:t>),签字代表(</w:t>
      </w:r>
      <w:r>
        <w:rPr>
          <w:rFonts w:hint="eastAsia" w:ascii="微软雅黑" w:hAnsi="微软雅黑" w:eastAsia="微软雅黑" w:cs="微软雅黑"/>
          <w:i/>
          <w:color w:val="auto"/>
          <w:sz w:val="24"/>
          <w:szCs w:val="24"/>
          <w:u w:val="single" w:color="000000"/>
        </w:rPr>
        <w:t>姓名、职务</w:t>
      </w:r>
      <w:r>
        <w:rPr>
          <w:rFonts w:hint="eastAsia" w:ascii="微软雅黑" w:hAnsi="微软雅黑" w:eastAsia="微软雅黑" w:cs="微软雅黑"/>
          <w:color w:val="auto"/>
          <w:sz w:val="24"/>
          <w:szCs w:val="24"/>
        </w:rPr>
        <w:t>)经正式授权并代表</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w:t>
      </w:r>
      <w:r>
        <w:rPr>
          <w:rFonts w:hint="eastAsia" w:ascii="微软雅黑" w:hAnsi="微软雅黑" w:eastAsia="微软雅黑" w:cs="微软雅黑"/>
          <w:i/>
          <w:color w:val="auto"/>
          <w:sz w:val="24"/>
          <w:szCs w:val="24"/>
          <w:u w:val="single" w:color="000000"/>
        </w:rPr>
        <w:t>名称、地址</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提交并签署响应文件</w:t>
      </w:r>
      <w:r>
        <w:rPr>
          <w:rFonts w:hint="eastAsia" w:ascii="微软雅黑" w:hAnsi="微软雅黑" w:eastAsia="微软雅黑" w:cs="微软雅黑"/>
          <w:color w:val="auto"/>
          <w:sz w:val="24"/>
          <w:szCs w:val="24"/>
        </w:rPr>
        <w:t>，并以</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形式出具的金额为人民币</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color w:val="auto"/>
          <w:sz w:val="24"/>
          <w:szCs w:val="24"/>
        </w:rPr>
        <w:t>元的磋商保证金。</w:t>
      </w:r>
    </w:p>
    <w:p w14:paraId="7A052E12">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据此，签字代表宣布同意如下：</w:t>
      </w:r>
    </w:p>
    <w:p w14:paraId="649F65D1">
      <w:pPr>
        <w:pStyle w:val="17"/>
        <w:keepNext w:val="0"/>
        <w:keepLines w:val="0"/>
        <w:pageBreakBefore w:val="0"/>
        <w:widowControl w:val="0"/>
        <w:tabs>
          <w:tab w:val="left" w:pos="720"/>
          <w:tab w:val="left" w:pos="900"/>
        </w:tabs>
        <w:kinsoku/>
        <w:wordWrap/>
        <w:overflowPunct/>
        <w:topLinePunct w:val="0"/>
        <w:autoSpaceDE/>
        <w:autoSpaceDN/>
        <w:bidi w:val="0"/>
        <w:adjustRightInd/>
        <w:snapToGrid w:val="0"/>
        <w:spacing w:line="480" w:lineRule="exact"/>
        <w:ind w:left="769" w:leftChars="257" w:hanging="229"/>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（1）附磋商价格表中规定的应提供</w:t>
      </w:r>
      <w:r>
        <w:rPr>
          <w:rFonts w:hint="eastAsia" w:ascii="微软雅黑" w:hAnsi="微软雅黑" w:eastAsia="微软雅黑" w:cs="微软雅黑"/>
          <w:color w:val="auto"/>
          <w:sz w:val="24"/>
          <w:szCs w:val="24"/>
          <w:lang w:eastAsia="zh-CN"/>
        </w:rPr>
        <w:t>工程</w:t>
      </w:r>
      <w:r>
        <w:rPr>
          <w:rFonts w:hint="eastAsia" w:ascii="微软雅黑" w:hAnsi="微软雅黑" w:eastAsia="微软雅黑" w:cs="微软雅黑"/>
          <w:color w:val="auto"/>
          <w:sz w:val="24"/>
          <w:szCs w:val="24"/>
        </w:rPr>
        <w:t>的磋商总价详见磋商开启一览表，</w:t>
      </w:r>
      <w:r>
        <w:rPr>
          <w:rFonts w:hint="eastAsia" w:ascii="微软雅黑" w:hAnsi="微软雅黑" w:eastAsia="微软雅黑" w:cs="微软雅黑"/>
          <w:color w:val="auto"/>
          <w:sz w:val="24"/>
          <w:szCs w:val="24"/>
          <w:u w:val="single" w:color="000000"/>
        </w:rPr>
        <w:t>其中由小型和</w:t>
      </w:r>
      <w:r>
        <w:rPr>
          <w:rFonts w:hint="eastAsia" w:ascii="微软雅黑" w:hAnsi="微软雅黑" w:eastAsia="微软雅黑" w:cs="微软雅黑"/>
          <w:color w:val="auto"/>
          <w:sz w:val="24"/>
          <w:szCs w:val="24"/>
        </w:rPr>
        <w:t>微型企业</w:t>
      </w:r>
      <w:r>
        <w:rPr>
          <w:rFonts w:hint="eastAsia" w:ascii="微软雅黑" w:hAnsi="微软雅黑" w:eastAsia="微软雅黑" w:cs="微软雅黑"/>
          <w:color w:val="auto"/>
          <w:sz w:val="24"/>
          <w:szCs w:val="24"/>
          <w:lang w:eastAsia="zh-CN"/>
        </w:rPr>
        <w:t>承接的施工</w:t>
      </w:r>
      <w:r>
        <w:rPr>
          <w:rFonts w:hint="eastAsia" w:ascii="微软雅黑" w:hAnsi="微软雅黑" w:eastAsia="微软雅黑" w:cs="微软雅黑"/>
          <w:color w:val="auto"/>
          <w:sz w:val="24"/>
          <w:szCs w:val="24"/>
        </w:rPr>
        <w:t>价格为</w:t>
      </w:r>
      <w:r>
        <w:rPr>
          <w:rFonts w:hint="eastAsia" w:ascii="微软雅黑" w:hAnsi="微软雅黑" w:eastAsia="微软雅黑" w:cs="微软雅黑"/>
          <w:color w:val="auto"/>
          <w:sz w:val="24"/>
          <w:szCs w:val="24"/>
          <w:u w:val="single" w:color="000000"/>
        </w:rPr>
        <w:t>　　  （用文字和数字表示），占磋商总价   %</w:t>
      </w:r>
      <w:r>
        <w:rPr>
          <w:rFonts w:hint="eastAsia" w:ascii="微软雅黑" w:hAnsi="微软雅黑" w:eastAsia="微软雅黑" w:cs="微软雅黑"/>
          <w:color w:val="auto"/>
          <w:sz w:val="24"/>
          <w:szCs w:val="24"/>
        </w:rPr>
        <w:t>。</w:t>
      </w:r>
    </w:p>
    <w:p w14:paraId="4B33510C">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（2）本磋商有效期为自磋商截止之日起</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个日历日。</w:t>
      </w:r>
    </w:p>
    <w:p w14:paraId="2993A47B">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（3）联合体中的大中型企业和其他自然人、法人或者非法人组织，与联合体中的小型、微型企业之间</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存在、不存在）投资关系（如果是联合体的话）。</w:t>
      </w:r>
    </w:p>
    <w:p w14:paraId="160FA0DF">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（4）已详细审查全部磋商文件，包括所有补充通知（如果有的话），完全理解并同意放弃对这方面有不明、误解和质疑的权力。</w:t>
      </w:r>
    </w:p>
    <w:p w14:paraId="0A642163">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（5）在规定的磋商开启时间后，遵守磋商文件中有关保证金的规定。</w:t>
      </w:r>
    </w:p>
    <w:p w14:paraId="547483C6">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（6）我方不是为本项目提供整体设计、规范编制或者项目管理、监理、检测等服务的</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，我方不是</w:t>
      </w:r>
      <w:r>
        <w:rPr>
          <w:rFonts w:hint="eastAsia" w:ascii="微软雅黑" w:hAnsi="微软雅黑" w:eastAsia="微软雅黑" w:cs="微软雅黑"/>
          <w:color w:val="auto"/>
          <w:sz w:val="24"/>
          <w:szCs w:val="24"/>
          <w:lang w:eastAsia="zh-CN"/>
        </w:rPr>
        <w:t>代理机构</w:t>
      </w:r>
      <w:r>
        <w:rPr>
          <w:rFonts w:hint="eastAsia" w:ascii="微软雅黑" w:hAnsi="微软雅黑" w:eastAsia="微软雅黑" w:cs="微软雅黑"/>
          <w:color w:val="auto"/>
          <w:sz w:val="24"/>
          <w:szCs w:val="24"/>
        </w:rPr>
        <w:t>的附属机构。</w:t>
      </w:r>
    </w:p>
    <w:p w14:paraId="6AC9D923">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（7）在领取成交通知书的同时按磋商文件规定的形式，向贵方一次性支付成交服务费。</w:t>
      </w:r>
    </w:p>
    <w:p w14:paraId="4D333000">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（8）按照贵方可能要求，提供与其磋商有关的一切数据或资料，完全理解贵方不一定接受最低价的磋商或收到的任何磋商。</w:t>
      </w:r>
    </w:p>
    <w:p w14:paraId="5F68CE2C">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（9）按照磋商文件的规定履行合同责任和义务。</w:t>
      </w:r>
    </w:p>
    <w:p w14:paraId="071AF031">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359" w:leftChars="68" w:hanging="216" w:hangingChars="9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与本磋商有关的一切正式往来信函请寄：</w:t>
      </w:r>
    </w:p>
    <w:p w14:paraId="398E7493">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地址</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传真</w:t>
      </w:r>
      <w:r>
        <w:rPr>
          <w:rFonts w:hint="eastAsia" w:ascii="微软雅黑" w:hAnsi="微软雅黑" w:eastAsia="微软雅黑" w:cs="微软雅黑"/>
          <w:color w:val="auto"/>
          <w:sz w:val="24"/>
          <w:szCs w:val="24"/>
          <w:u w:val="single" w:color="000000"/>
        </w:rPr>
        <w:t xml:space="preserve">                             </w:t>
      </w:r>
    </w:p>
    <w:p w14:paraId="49FB6A39">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电话</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电子函件</w:t>
      </w:r>
      <w:r>
        <w:rPr>
          <w:rFonts w:hint="eastAsia" w:ascii="微软雅黑" w:hAnsi="微软雅黑" w:eastAsia="微软雅黑" w:cs="微软雅黑"/>
          <w:color w:val="auto"/>
          <w:sz w:val="24"/>
          <w:szCs w:val="24"/>
          <w:u w:val="single" w:color="000000"/>
        </w:rPr>
        <w:t xml:space="preserve">                         </w:t>
      </w:r>
    </w:p>
    <w:p w14:paraId="6C450527">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法定代表人或其委托代理人（签/章）</w:t>
      </w:r>
      <w:r>
        <w:rPr>
          <w:rFonts w:hint="eastAsia" w:ascii="微软雅黑" w:hAnsi="微软雅黑" w:eastAsia="微软雅黑" w:cs="微软雅黑"/>
          <w:color w:val="auto"/>
          <w:sz w:val="24"/>
          <w:szCs w:val="24"/>
          <w:u w:val="single" w:color="000000"/>
        </w:rPr>
        <w:t xml:space="preserve">　　　　　　 </w:t>
      </w:r>
    </w:p>
    <w:p w14:paraId="4DB47E3F">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名称（全称）</w:t>
      </w:r>
      <w:r>
        <w:rPr>
          <w:rFonts w:hint="eastAsia" w:ascii="微软雅黑" w:hAnsi="微软雅黑" w:eastAsia="微软雅黑" w:cs="微软雅黑"/>
          <w:color w:val="auto"/>
          <w:sz w:val="24"/>
          <w:szCs w:val="24"/>
          <w:u w:val="single" w:color="000000"/>
        </w:rPr>
        <w:t xml:space="preserve">　　　　　　 </w:t>
      </w:r>
    </w:p>
    <w:p w14:paraId="41D6F232">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开户银行（全称）</w:t>
      </w:r>
      <w:r>
        <w:rPr>
          <w:rFonts w:hint="eastAsia" w:ascii="微软雅黑" w:hAnsi="微软雅黑" w:eastAsia="微软雅黑" w:cs="微软雅黑"/>
          <w:color w:val="auto"/>
          <w:sz w:val="24"/>
          <w:szCs w:val="24"/>
          <w:u w:val="single" w:color="000000"/>
        </w:rPr>
        <w:t xml:space="preserve">　　　　　　 </w:t>
      </w:r>
    </w:p>
    <w:p w14:paraId="10EA631D">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银行帐号</w:t>
      </w:r>
      <w:r>
        <w:rPr>
          <w:rFonts w:hint="eastAsia" w:ascii="微软雅黑" w:hAnsi="微软雅黑" w:eastAsia="微软雅黑" w:cs="微软雅黑"/>
          <w:color w:val="auto"/>
          <w:sz w:val="24"/>
          <w:szCs w:val="24"/>
          <w:u w:val="single" w:color="000000"/>
        </w:rPr>
        <w:t>　　　　　　　　 　　</w:t>
      </w:r>
    </w:p>
    <w:p w14:paraId="64FC05C6">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（公章）</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日期</w:t>
      </w:r>
      <w:r>
        <w:rPr>
          <w:rFonts w:hint="eastAsia" w:ascii="微软雅黑" w:hAnsi="微软雅黑" w:eastAsia="微软雅黑" w:cs="微软雅黑"/>
          <w:color w:val="auto"/>
          <w:sz w:val="24"/>
          <w:szCs w:val="24"/>
          <w:u w:val="single" w:color="000000"/>
        </w:rPr>
        <w:t>　　　　　　</w:t>
      </w:r>
    </w:p>
    <w:p w14:paraId="10976585">
      <w:pPr>
        <w:pageBreakBefore w:val="0"/>
        <w:kinsoku/>
        <w:wordWrap/>
        <w:overflowPunct/>
        <w:topLinePunct w:val="0"/>
        <w:bidi w:val="0"/>
        <w:spacing w:line="520" w:lineRule="exact"/>
      </w:pPr>
    </w:p>
    <w:p w14:paraId="2BCCFAF7">
      <w:pPr>
        <w:pStyle w:val="3"/>
        <w:pageBreakBefore w:val="0"/>
        <w:kinsoku/>
        <w:wordWrap/>
        <w:overflowPunct/>
        <w:topLinePunct w:val="0"/>
        <w:bidi w:val="0"/>
        <w:spacing w:before="0" w:line="520" w:lineRule="exact"/>
        <w:ind w:left="1080" w:leftChars="257" w:hanging="540"/>
        <w:rPr>
          <w:rFonts w:hint="eastAsia" w:ascii="微软雅黑" w:hAnsi="微软雅黑" w:eastAsia="微软雅黑" w:cs="微软雅黑"/>
          <w:color w:val="auto"/>
          <w:sz w:val="24"/>
          <w:szCs w:val="24"/>
          <w:lang w:eastAsia="zh-CN"/>
        </w:rPr>
      </w:pPr>
      <w:bookmarkStart w:id="650" w:name="_Toc12710"/>
      <w:bookmarkStart w:id="651" w:name="_Toc5524"/>
      <w:bookmarkStart w:id="652" w:name="_Toc18709"/>
      <w:r>
        <w:rPr>
          <w:rFonts w:hint="eastAsia" w:ascii="微软雅黑" w:hAnsi="微软雅黑" w:eastAsia="微软雅黑" w:cs="微软雅黑"/>
          <w:color w:val="auto"/>
          <w:sz w:val="24"/>
          <w:szCs w:val="24"/>
        </w:rPr>
        <w:t>2 、</w:t>
      </w:r>
      <w:r>
        <w:rPr>
          <w:rFonts w:hint="eastAsia" w:ascii="微软雅黑" w:hAnsi="微软雅黑" w:eastAsia="微软雅黑" w:cs="微软雅黑"/>
          <w:bCs/>
          <w:color w:val="auto"/>
          <w:sz w:val="24"/>
          <w:szCs w:val="24"/>
        </w:rPr>
        <w:t>磋商分项报价表</w:t>
      </w:r>
      <w:bookmarkEnd w:id="650"/>
      <w:r>
        <w:rPr>
          <w:rFonts w:hint="eastAsia" w:ascii="微软雅黑" w:hAnsi="微软雅黑" w:eastAsia="微软雅黑" w:cs="微软雅黑"/>
          <w:bCs/>
          <w:color w:val="auto"/>
          <w:sz w:val="24"/>
          <w:szCs w:val="24"/>
          <w:lang w:eastAsia="zh-CN"/>
        </w:rPr>
        <w:t>（已标价的工程量清单）</w:t>
      </w:r>
      <w:bookmarkEnd w:id="651"/>
      <w:bookmarkEnd w:id="652"/>
    </w:p>
    <w:p w14:paraId="38C2C27B">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p>
    <w:p w14:paraId="6A097AEB">
      <w:pPr>
        <w:pStyle w:val="18"/>
        <w:pageBreakBefore w:val="0"/>
        <w:kinsoku/>
        <w:wordWrap/>
        <w:overflowPunct/>
        <w:topLinePunct w:val="0"/>
        <w:bidi w:val="0"/>
        <w:spacing w:line="520" w:lineRule="exact"/>
        <w:ind w:left="0" w:leftChars="0" w:firstLine="0" w:firstLineChars="0"/>
      </w:pPr>
    </w:p>
    <w:p w14:paraId="7427186A">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1、总说明 ；</w:t>
      </w:r>
    </w:p>
    <w:p w14:paraId="3459BE93">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2、建设项目投标报价汇总表 ；</w:t>
      </w:r>
    </w:p>
    <w:p w14:paraId="491612D3">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3、单项工程投标报价汇总表 ；</w:t>
      </w:r>
    </w:p>
    <w:p w14:paraId="554A0827">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4、单位工程投标报价汇总表 ；</w:t>
      </w:r>
    </w:p>
    <w:p w14:paraId="24AA6689">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 xml:space="preserve">5 </w:t>
      </w:r>
      <w:r>
        <w:rPr>
          <w:rFonts w:hint="eastAsia" w:ascii="微软雅黑" w:hAnsi="微软雅黑" w:eastAsia="微软雅黑" w:cs="微软雅黑"/>
          <w:color w:val="auto"/>
          <w:sz w:val="24"/>
          <w:szCs w:val="24"/>
          <w:lang w:eastAsia="zh-CN"/>
        </w:rPr>
        <w:t>、</w:t>
      </w:r>
      <w:r>
        <w:rPr>
          <w:rFonts w:ascii="微软雅黑" w:hAnsi="微软雅黑" w:eastAsia="微软雅黑" w:cs="微软雅黑"/>
          <w:color w:val="auto"/>
          <w:sz w:val="24"/>
          <w:szCs w:val="24"/>
        </w:rPr>
        <w:t>分部分项工程和单价措施项目清单与计价表 ；</w:t>
      </w:r>
    </w:p>
    <w:p w14:paraId="3B9B05FB">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6、总价措施项目清单与计价表 ；</w:t>
      </w:r>
    </w:p>
    <w:p w14:paraId="14DC2BA2">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7、其他项目清单与计价汇总表 ；</w:t>
      </w:r>
    </w:p>
    <w:p w14:paraId="0C9A51CC">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8、暂列金额明细表 ；</w:t>
      </w:r>
    </w:p>
    <w:p w14:paraId="3973D9BE">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9、材料  (工程设备)  暂估价及调整表 ；</w:t>
      </w:r>
    </w:p>
    <w:p w14:paraId="1992981B">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10</w:t>
      </w:r>
      <w:r>
        <w:rPr>
          <w:rFonts w:hint="eastAsia" w:ascii="微软雅黑" w:hAnsi="微软雅黑" w:eastAsia="微软雅黑" w:cs="微软雅黑"/>
          <w:color w:val="auto"/>
          <w:sz w:val="24"/>
          <w:szCs w:val="24"/>
          <w:lang w:eastAsia="zh-CN"/>
        </w:rPr>
        <w:t>、</w:t>
      </w:r>
      <w:r>
        <w:rPr>
          <w:rFonts w:ascii="微软雅黑" w:hAnsi="微软雅黑" w:eastAsia="微软雅黑" w:cs="微软雅黑"/>
          <w:color w:val="auto"/>
          <w:sz w:val="24"/>
          <w:szCs w:val="24"/>
        </w:rPr>
        <w:t>专业工程暂估价及结算价表 ；</w:t>
      </w:r>
    </w:p>
    <w:p w14:paraId="47411CD0">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11、计日工表 ；</w:t>
      </w:r>
    </w:p>
    <w:p w14:paraId="60673970">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12、总承包服务费计价表 ；</w:t>
      </w:r>
    </w:p>
    <w:p w14:paraId="7FBA0E55">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13、规费、税金项目计价表 ；</w:t>
      </w:r>
    </w:p>
    <w:p w14:paraId="24AC4DFB">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14、需评审材料价格表</w:t>
      </w:r>
    </w:p>
    <w:p w14:paraId="19EAC1DA">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p>
    <w:p w14:paraId="5AD1BCFD">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p>
    <w:p w14:paraId="25CEBD2E">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投标报价应包括本工程的设计施工图纸、工程量清单范围内全部工作内容。</w:t>
      </w:r>
    </w:p>
    <w:p w14:paraId="3004A1D9">
      <w:pPr>
        <w:pStyle w:val="17"/>
        <w:pageBreakBefore w:val="0"/>
        <w:kinsoku/>
        <w:wordWrap/>
        <w:overflowPunct/>
        <w:topLinePunct w:val="0"/>
        <w:bidi w:val="0"/>
        <w:spacing w:line="520" w:lineRule="exact"/>
        <w:jc w:val="left"/>
        <w:outlineLvl w:val="9"/>
        <w:rPr>
          <w:rFonts w:ascii="微软雅黑" w:hAnsi="微软雅黑" w:eastAsia="微软雅黑" w:cs="微软雅黑"/>
          <w:color w:val="auto"/>
          <w:sz w:val="24"/>
          <w:szCs w:val="24"/>
        </w:rPr>
      </w:pPr>
    </w:p>
    <w:p w14:paraId="3A7B1F3F">
      <w:pPr>
        <w:pStyle w:val="18"/>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74EE4062">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1D539431">
      <w:pPr>
        <w:pStyle w:val="11"/>
        <w:pageBreakBefore w:val="0"/>
        <w:kinsoku/>
        <w:wordWrap/>
        <w:overflowPunct/>
        <w:topLinePunct w:val="0"/>
        <w:bidi w:val="0"/>
        <w:spacing w:before="103" w:line="520" w:lineRule="exact"/>
        <w:ind w:left="570"/>
        <w:outlineLvl w:val="9"/>
      </w:pPr>
      <w:bookmarkStart w:id="653" w:name="_Toc18432"/>
      <w:bookmarkStart w:id="654" w:name="_Toc10704"/>
    </w:p>
    <w:p w14:paraId="21D5197C">
      <w:pPr>
        <w:pStyle w:val="11"/>
        <w:pageBreakBefore w:val="0"/>
        <w:kinsoku/>
        <w:wordWrap/>
        <w:overflowPunct/>
        <w:topLinePunct w:val="0"/>
        <w:bidi w:val="0"/>
        <w:spacing w:before="103" w:line="520" w:lineRule="exact"/>
        <w:ind w:left="570"/>
        <w:outlineLvl w:val="9"/>
      </w:pPr>
    </w:p>
    <w:p w14:paraId="6DCE4069">
      <w:pPr>
        <w:pStyle w:val="11"/>
        <w:pageBreakBefore w:val="0"/>
        <w:kinsoku/>
        <w:wordWrap/>
        <w:overflowPunct/>
        <w:topLinePunct w:val="0"/>
        <w:bidi w:val="0"/>
        <w:spacing w:before="56" w:line="520" w:lineRule="exact"/>
        <w:ind w:left="3562"/>
        <w:outlineLvl w:val="1"/>
        <w:rPr>
          <w:rFonts w:hint="eastAsia" w:ascii="微软雅黑" w:hAnsi="微软雅黑" w:eastAsia="微软雅黑" w:cs="微软雅黑"/>
          <w:sz w:val="28"/>
          <w:szCs w:val="28"/>
        </w:rPr>
      </w:pPr>
      <w:bookmarkStart w:id="655" w:name="_Toc23161"/>
      <w:r>
        <w:rPr>
          <w:rFonts w:hint="eastAsia" w:ascii="微软雅黑" w:hAnsi="微软雅黑" w:eastAsia="微软雅黑" w:cs="微软雅黑"/>
          <w:b/>
          <w:bCs/>
          <w:spacing w:val="-2"/>
          <w:sz w:val="28"/>
          <w:szCs w:val="28"/>
          <w:lang w:val="en-US" w:eastAsia="zh-CN"/>
        </w:rPr>
        <w:t>3、</w:t>
      </w:r>
      <w:r>
        <w:rPr>
          <w:rFonts w:hint="eastAsia" w:ascii="微软雅黑" w:hAnsi="微软雅黑" w:eastAsia="微软雅黑" w:cs="微软雅黑"/>
          <w:b/>
          <w:bCs/>
          <w:spacing w:val="-2"/>
          <w:sz w:val="28"/>
          <w:szCs w:val="28"/>
        </w:rPr>
        <w:t>商务条款偏离表</w:t>
      </w:r>
      <w:bookmarkEnd w:id="655"/>
    </w:p>
    <w:p w14:paraId="6EEDDFE1">
      <w:pPr>
        <w:pageBreakBefore w:val="0"/>
        <w:kinsoku/>
        <w:wordWrap/>
        <w:overflowPunct/>
        <w:topLinePunct w:val="0"/>
        <w:bidi w:val="0"/>
        <w:spacing w:line="520" w:lineRule="exact"/>
        <w:rPr>
          <w:rFonts w:hint="eastAsia" w:ascii="微软雅黑" w:hAnsi="微软雅黑" w:eastAsia="微软雅黑" w:cs="微软雅黑"/>
          <w:sz w:val="21"/>
        </w:rPr>
      </w:pPr>
    </w:p>
    <w:p w14:paraId="0AC22B0F">
      <w:pPr>
        <w:pStyle w:val="11"/>
        <w:pageBreakBefore w:val="0"/>
        <w:kinsoku/>
        <w:wordWrap/>
        <w:overflowPunct/>
        <w:topLinePunct w:val="0"/>
        <w:bidi w:val="0"/>
        <w:spacing w:before="103" w:line="520" w:lineRule="exact"/>
        <w:rPr>
          <w:rFonts w:hint="eastAsia" w:ascii="微软雅黑" w:hAnsi="微软雅黑" w:eastAsia="微软雅黑" w:cs="微软雅黑"/>
        </w:rPr>
      </w:pPr>
      <w:r>
        <w:rPr>
          <w:rFonts w:hint="eastAsia" w:ascii="微软雅黑" w:hAnsi="微软雅黑" w:eastAsia="微软雅黑" w:cs="微软雅黑"/>
        </w:rPr>
        <w:t>项目名称:                                                           项目编号:</w:t>
      </w:r>
    </w:p>
    <w:p w14:paraId="027001DB">
      <w:pPr>
        <w:pageBreakBefore w:val="0"/>
        <w:kinsoku/>
        <w:wordWrap/>
        <w:overflowPunct/>
        <w:topLinePunct w:val="0"/>
        <w:bidi w:val="0"/>
        <w:spacing w:before="170" w:line="520" w:lineRule="exact"/>
        <w:rPr>
          <w:rFonts w:hint="eastAsia" w:ascii="微软雅黑" w:hAnsi="微软雅黑" w:eastAsia="微软雅黑" w:cs="微软雅黑"/>
        </w:rPr>
      </w:pPr>
    </w:p>
    <w:tbl>
      <w:tblPr>
        <w:tblStyle w:val="103"/>
        <w:tblW w:w="961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8"/>
        <w:gridCol w:w="3802"/>
        <w:gridCol w:w="3236"/>
        <w:gridCol w:w="1204"/>
      </w:tblGrid>
      <w:tr w14:paraId="607DF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68" w:type="dxa"/>
            <w:vAlign w:val="top"/>
          </w:tcPr>
          <w:p w14:paraId="6CEE8EAE">
            <w:pPr>
              <w:pStyle w:val="105"/>
              <w:pageBreakBefore w:val="0"/>
              <w:kinsoku/>
              <w:wordWrap/>
              <w:overflowPunct/>
              <w:topLinePunct w:val="0"/>
              <w:bidi w:val="0"/>
              <w:spacing w:before="135" w:line="520" w:lineRule="exact"/>
              <w:ind w:left="442"/>
              <w:rPr>
                <w:rFonts w:hint="eastAsia" w:ascii="微软雅黑" w:hAnsi="微软雅黑" w:eastAsia="微软雅黑" w:cs="微软雅黑"/>
              </w:rPr>
            </w:pPr>
            <w:r>
              <w:rPr>
                <w:rFonts w:hint="eastAsia" w:ascii="微软雅黑" w:hAnsi="微软雅黑" w:eastAsia="微软雅黑" w:cs="微软雅黑"/>
                <w:spacing w:val="-1"/>
              </w:rPr>
              <w:t>序号</w:t>
            </w:r>
          </w:p>
        </w:tc>
        <w:tc>
          <w:tcPr>
            <w:tcW w:w="3802" w:type="dxa"/>
            <w:vAlign w:val="top"/>
          </w:tcPr>
          <w:p w14:paraId="6C52A3D4">
            <w:pPr>
              <w:pStyle w:val="105"/>
              <w:pageBreakBefore w:val="0"/>
              <w:kinsoku/>
              <w:wordWrap/>
              <w:overflowPunct/>
              <w:topLinePunct w:val="0"/>
              <w:bidi w:val="0"/>
              <w:spacing w:before="135" w:line="520" w:lineRule="exact"/>
              <w:ind w:left="578"/>
              <w:rPr>
                <w:rFonts w:hint="eastAsia" w:ascii="微软雅黑" w:hAnsi="微软雅黑" w:eastAsia="微软雅黑" w:cs="微软雅黑"/>
              </w:rPr>
            </w:pPr>
            <w:r>
              <w:rPr>
                <w:rFonts w:hint="eastAsia" w:ascii="微软雅黑" w:hAnsi="微软雅黑" w:eastAsia="微软雅黑" w:cs="微软雅黑"/>
                <w:spacing w:val="-1"/>
              </w:rPr>
              <w:t>磋商文件的商务条款内容</w:t>
            </w:r>
          </w:p>
        </w:tc>
        <w:tc>
          <w:tcPr>
            <w:tcW w:w="3236" w:type="dxa"/>
            <w:vAlign w:val="top"/>
          </w:tcPr>
          <w:p w14:paraId="60E31BBC">
            <w:pPr>
              <w:pStyle w:val="105"/>
              <w:pageBreakBefore w:val="0"/>
              <w:kinsoku/>
              <w:wordWrap/>
              <w:overflowPunct/>
              <w:topLinePunct w:val="0"/>
              <w:bidi w:val="0"/>
              <w:spacing w:before="135" w:line="520" w:lineRule="exact"/>
              <w:ind w:left="311"/>
              <w:rPr>
                <w:rFonts w:hint="eastAsia" w:ascii="微软雅黑" w:hAnsi="微软雅黑" w:eastAsia="微软雅黑" w:cs="微软雅黑"/>
              </w:rPr>
            </w:pPr>
            <w:r>
              <w:rPr>
                <w:rFonts w:hint="eastAsia" w:ascii="微软雅黑" w:hAnsi="微软雅黑" w:eastAsia="微软雅黑" w:cs="微软雅黑"/>
                <w:spacing w:val="-2"/>
              </w:rPr>
              <w:t>响应文件的商务条款内容</w:t>
            </w:r>
          </w:p>
        </w:tc>
        <w:tc>
          <w:tcPr>
            <w:tcW w:w="1204" w:type="dxa"/>
            <w:vAlign w:val="top"/>
          </w:tcPr>
          <w:p w14:paraId="7FC695F6">
            <w:pPr>
              <w:pStyle w:val="105"/>
              <w:pageBreakBefore w:val="0"/>
              <w:kinsoku/>
              <w:wordWrap/>
              <w:overflowPunct/>
              <w:topLinePunct w:val="0"/>
              <w:bidi w:val="0"/>
              <w:spacing w:before="139" w:line="520" w:lineRule="exact"/>
              <w:ind w:left="363"/>
              <w:rPr>
                <w:rFonts w:hint="eastAsia" w:ascii="微软雅黑" w:hAnsi="微软雅黑" w:eastAsia="微软雅黑" w:cs="微软雅黑"/>
              </w:rPr>
            </w:pPr>
            <w:r>
              <w:rPr>
                <w:rFonts w:hint="eastAsia" w:ascii="微软雅黑" w:hAnsi="微软雅黑" w:eastAsia="微软雅黑" w:cs="微软雅黑"/>
                <w:spacing w:val="-2"/>
              </w:rPr>
              <w:t>说明</w:t>
            </w:r>
          </w:p>
        </w:tc>
      </w:tr>
      <w:tr w14:paraId="32B9D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2A5B8106">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277B10AF">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6525AAC0">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47B54A20">
            <w:pPr>
              <w:pageBreakBefore w:val="0"/>
              <w:kinsoku/>
              <w:wordWrap/>
              <w:overflowPunct/>
              <w:topLinePunct w:val="0"/>
              <w:bidi w:val="0"/>
              <w:spacing w:line="520" w:lineRule="exact"/>
              <w:rPr>
                <w:rFonts w:hint="eastAsia" w:ascii="微软雅黑" w:hAnsi="微软雅黑" w:eastAsia="微软雅黑" w:cs="微软雅黑"/>
                <w:sz w:val="21"/>
              </w:rPr>
            </w:pPr>
          </w:p>
        </w:tc>
      </w:tr>
      <w:tr w14:paraId="71658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368" w:type="dxa"/>
            <w:vAlign w:val="top"/>
          </w:tcPr>
          <w:p w14:paraId="702B0CBC">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237BCB84">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070C81C2">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4FD6C669">
            <w:pPr>
              <w:pageBreakBefore w:val="0"/>
              <w:kinsoku/>
              <w:wordWrap/>
              <w:overflowPunct/>
              <w:topLinePunct w:val="0"/>
              <w:bidi w:val="0"/>
              <w:spacing w:line="520" w:lineRule="exact"/>
              <w:rPr>
                <w:rFonts w:hint="eastAsia" w:ascii="微软雅黑" w:hAnsi="微软雅黑" w:eastAsia="微软雅黑" w:cs="微软雅黑"/>
                <w:sz w:val="21"/>
              </w:rPr>
            </w:pPr>
          </w:p>
        </w:tc>
      </w:tr>
      <w:tr w14:paraId="43BEE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73521450">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5E5120A7">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06D9B136">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2D5BD78F">
            <w:pPr>
              <w:pageBreakBefore w:val="0"/>
              <w:kinsoku/>
              <w:wordWrap/>
              <w:overflowPunct/>
              <w:topLinePunct w:val="0"/>
              <w:bidi w:val="0"/>
              <w:spacing w:line="520" w:lineRule="exact"/>
              <w:rPr>
                <w:rFonts w:hint="eastAsia" w:ascii="微软雅黑" w:hAnsi="微软雅黑" w:eastAsia="微软雅黑" w:cs="微软雅黑"/>
                <w:sz w:val="21"/>
              </w:rPr>
            </w:pPr>
          </w:p>
        </w:tc>
      </w:tr>
      <w:tr w14:paraId="7F9B3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368" w:type="dxa"/>
            <w:vAlign w:val="top"/>
          </w:tcPr>
          <w:p w14:paraId="1E46F182">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784A8BF4">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610D9EE3">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68DFF142">
            <w:pPr>
              <w:pageBreakBefore w:val="0"/>
              <w:kinsoku/>
              <w:wordWrap/>
              <w:overflowPunct/>
              <w:topLinePunct w:val="0"/>
              <w:bidi w:val="0"/>
              <w:spacing w:line="520" w:lineRule="exact"/>
              <w:rPr>
                <w:rFonts w:hint="eastAsia" w:ascii="微软雅黑" w:hAnsi="微软雅黑" w:eastAsia="微软雅黑" w:cs="微软雅黑"/>
                <w:sz w:val="21"/>
              </w:rPr>
            </w:pPr>
          </w:p>
        </w:tc>
      </w:tr>
      <w:tr w14:paraId="2B24B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368" w:type="dxa"/>
            <w:vAlign w:val="top"/>
          </w:tcPr>
          <w:p w14:paraId="14E98FC2">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35D4E400">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79BCF755">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550120AD">
            <w:pPr>
              <w:pageBreakBefore w:val="0"/>
              <w:kinsoku/>
              <w:wordWrap/>
              <w:overflowPunct/>
              <w:topLinePunct w:val="0"/>
              <w:bidi w:val="0"/>
              <w:spacing w:line="520" w:lineRule="exact"/>
              <w:rPr>
                <w:rFonts w:hint="eastAsia" w:ascii="微软雅黑" w:hAnsi="微软雅黑" w:eastAsia="微软雅黑" w:cs="微软雅黑"/>
                <w:sz w:val="21"/>
              </w:rPr>
            </w:pPr>
          </w:p>
        </w:tc>
      </w:tr>
      <w:tr w14:paraId="7636F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368" w:type="dxa"/>
            <w:vAlign w:val="top"/>
          </w:tcPr>
          <w:p w14:paraId="4EA6FBED">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37DB03D7">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4AB4BF39">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5DB7020F">
            <w:pPr>
              <w:pageBreakBefore w:val="0"/>
              <w:kinsoku/>
              <w:wordWrap/>
              <w:overflowPunct/>
              <w:topLinePunct w:val="0"/>
              <w:bidi w:val="0"/>
              <w:spacing w:line="520" w:lineRule="exact"/>
              <w:rPr>
                <w:rFonts w:hint="eastAsia" w:ascii="微软雅黑" w:hAnsi="微软雅黑" w:eastAsia="微软雅黑" w:cs="微软雅黑"/>
                <w:sz w:val="21"/>
              </w:rPr>
            </w:pPr>
          </w:p>
        </w:tc>
      </w:tr>
      <w:tr w14:paraId="3E055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126E942A">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60EE8E5B">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3C394BE3">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05BB6886">
            <w:pPr>
              <w:pageBreakBefore w:val="0"/>
              <w:kinsoku/>
              <w:wordWrap/>
              <w:overflowPunct/>
              <w:topLinePunct w:val="0"/>
              <w:bidi w:val="0"/>
              <w:spacing w:line="520" w:lineRule="exact"/>
              <w:rPr>
                <w:rFonts w:hint="eastAsia" w:ascii="微软雅黑" w:hAnsi="微软雅黑" w:eastAsia="微软雅黑" w:cs="微软雅黑"/>
                <w:sz w:val="21"/>
              </w:rPr>
            </w:pPr>
          </w:p>
        </w:tc>
      </w:tr>
      <w:tr w14:paraId="32104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7AAF302D">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6CD85A27">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721DEBBF">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24052D66">
            <w:pPr>
              <w:pageBreakBefore w:val="0"/>
              <w:kinsoku/>
              <w:wordWrap/>
              <w:overflowPunct/>
              <w:topLinePunct w:val="0"/>
              <w:bidi w:val="0"/>
              <w:spacing w:line="520" w:lineRule="exact"/>
              <w:rPr>
                <w:rFonts w:hint="eastAsia" w:ascii="微软雅黑" w:hAnsi="微软雅黑" w:eastAsia="微软雅黑" w:cs="微软雅黑"/>
                <w:sz w:val="21"/>
              </w:rPr>
            </w:pPr>
          </w:p>
        </w:tc>
      </w:tr>
      <w:tr w14:paraId="7E9DB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2FFEAA57">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057C8C12">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6146662B">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43E33D4B">
            <w:pPr>
              <w:pageBreakBefore w:val="0"/>
              <w:kinsoku/>
              <w:wordWrap/>
              <w:overflowPunct/>
              <w:topLinePunct w:val="0"/>
              <w:bidi w:val="0"/>
              <w:spacing w:line="520" w:lineRule="exact"/>
              <w:rPr>
                <w:rFonts w:hint="eastAsia" w:ascii="微软雅黑" w:hAnsi="微软雅黑" w:eastAsia="微软雅黑" w:cs="微软雅黑"/>
                <w:sz w:val="21"/>
              </w:rPr>
            </w:pPr>
          </w:p>
        </w:tc>
      </w:tr>
      <w:tr w14:paraId="62254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55B3C2AB">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15F76B24">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0B78BD42">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7381466E">
            <w:pPr>
              <w:pageBreakBefore w:val="0"/>
              <w:kinsoku/>
              <w:wordWrap/>
              <w:overflowPunct/>
              <w:topLinePunct w:val="0"/>
              <w:bidi w:val="0"/>
              <w:spacing w:line="520" w:lineRule="exact"/>
              <w:rPr>
                <w:rFonts w:hint="eastAsia" w:ascii="微软雅黑" w:hAnsi="微软雅黑" w:eastAsia="微软雅黑" w:cs="微软雅黑"/>
                <w:sz w:val="21"/>
              </w:rPr>
            </w:pPr>
          </w:p>
        </w:tc>
      </w:tr>
      <w:tr w14:paraId="3F728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37F312A1">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5631CFB2">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316C4D17">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7AC0BB5B">
            <w:pPr>
              <w:pageBreakBefore w:val="0"/>
              <w:kinsoku/>
              <w:wordWrap/>
              <w:overflowPunct/>
              <w:topLinePunct w:val="0"/>
              <w:bidi w:val="0"/>
              <w:spacing w:line="520" w:lineRule="exact"/>
              <w:rPr>
                <w:rFonts w:hint="eastAsia" w:ascii="微软雅黑" w:hAnsi="微软雅黑" w:eastAsia="微软雅黑" w:cs="微软雅黑"/>
                <w:sz w:val="21"/>
              </w:rPr>
            </w:pPr>
          </w:p>
        </w:tc>
      </w:tr>
      <w:tr w14:paraId="73D2E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6AFFBC92">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5A7F26EB">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7BA56DCC">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4CD826B2">
            <w:pPr>
              <w:pageBreakBefore w:val="0"/>
              <w:kinsoku/>
              <w:wordWrap/>
              <w:overflowPunct/>
              <w:topLinePunct w:val="0"/>
              <w:bidi w:val="0"/>
              <w:spacing w:line="520" w:lineRule="exact"/>
              <w:rPr>
                <w:rFonts w:hint="eastAsia" w:ascii="微软雅黑" w:hAnsi="微软雅黑" w:eastAsia="微软雅黑" w:cs="微软雅黑"/>
                <w:sz w:val="21"/>
              </w:rPr>
            </w:pPr>
          </w:p>
        </w:tc>
      </w:tr>
      <w:tr w14:paraId="07748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0196A7BC">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1C7024F5">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02A727D0">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7D63BE27">
            <w:pPr>
              <w:pageBreakBefore w:val="0"/>
              <w:kinsoku/>
              <w:wordWrap/>
              <w:overflowPunct/>
              <w:topLinePunct w:val="0"/>
              <w:bidi w:val="0"/>
              <w:spacing w:line="520" w:lineRule="exact"/>
              <w:rPr>
                <w:rFonts w:hint="eastAsia" w:ascii="微软雅黑" w:hAnsi="微软雅黑" w:eastAsia="微软雅黑" w:cs="微软雅黑"/>
                <w:sz w:val="21"/>
              </w:rPr>
            </w:pPr>
          </w:p>
        </w:tc>
      </w:tr>
      <w:tr w14:paraId="2C8B5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7D4E099F">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7D5E6E32">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58E13450">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308D2EFC">
            <w:pPr>
              <w:pageBreakBefore w:val="0"/>
              <w:kinsoku/>
              <w:wordWrap/>
              <w:overflowPunct/>
              <w:topLinePunct w:val="0"/>
              <w:bidi w:val="0"/>
              <w:spacing w:line="520" w:lineRule="exact"/>
              <w:rPr>
                <w:rFonts w:hint="eastAsia" w:ascii="微软雅黑" w:hAnsi="微软雅黑" w:eastAsia="微软雅黑" w:cs="微软雅黑"/>
                <w:sz w:val="21"/>
              </w:rPr>
            </w:pPr>
          </w:p>
        </w:tc>
      </w:tr>
      <w:tr w14:paraId="1E3D7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4F79ECC4">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7574BC44">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75F35ACB">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3B7737BE">
            <w:pPr>
              <w:pageBreakBefore w:val="0"/>
              <w:kinsoku/>
              <w:wordWrap/>
              <w:overflowPunct/>
              <w:topLinePunct w:val="0"/>
              <w:bidi w:val="0"/>
              <w:spacing w:line="520" w:lineRule="exact"/>
              <w:rPr>
                <w:rFonts w:hint="eastAsia" w:ascii="微软雅黑" w:hAnsi="微软雅黑" w:eastAsia="微软雅黑" w:cs="微软雅黑"/>
                <w:sz w:val="21"/>
              </w:rPr>
            </w:pPr>
          </w:p>
        </w:tc>
      </w:tr>
      <w:tr w14:paraId="0D667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3680F899">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2223E316">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4BF2000B">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3561FCB9">
            <w:pPr>
              <w:pageBreakBefore w:val="0"/>
              <w:kinsoku/>
              <w:wordWrap/>
              <w:overflowPunct/>
              <w:topLinePunct w:val="0"/>
              <w:bidi w:val="0"/>
              <w:spacing w:line="520" w:lineRule="exact"/>
              <w:rPr>
                <w:rFonts w:hint="eastAsia" w:ascii="微软雅黑" w:hAnsi="微软雅黑" w:eastAsia="微软雅黑" w:cs="微软雅黑"/>
                <w:sz w:val="21"/>
              </w:rPr>
            </w:pPr>
          </w:p>
        </w:tc>
      </w:tr>
      <w:tr w14:paraId="48BAC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68" w:type="dxa"/>
            <w:vAlign w:val="top"/>
          </w:tcPr>
          <w:p w14:paraId="08BB0DEC">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5CBAA911">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682508E9">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628DE198">
            <w:pPr>
              <w:pageBreakBefore w:val="0"/>
              <w:kinsoku/>
              <w:wordWrap/>
              <w:overflowPunct/>
              <w:topLinePunct w:val="0"/>
              <w:bidi w:val="0"/>
              <w:spacing w:line="520" w:lineRule="exact"/>
              <w:rPr>
                <w:rFonts w:hint="eastAsia" w:ascii="微软雅黑" w:hAnsi="微软雅黑" w:eastAsia="微软雅黑" w:cs="微软雅黑"/>
                <w:sz w:val="21"/>
              </w:rPr>
            </w:pPr>
          </w:p>
        </w:tc>
      </w:tr>
    </w:tbl>
    <w:p w14:paraId="152045CB">
      <w:pPr>
        <w:pStyle w:val="17"/>
        <w:pageBreakBefore w:val="0"/>
        <w:tabs>
          <w:tab w:val="left" w:pos="5580"/>
        </w:tabs>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名称（公章）：</w:t>
      </w:r>
    </w:p>
    <w:p w14:paraId="6B377B27">
      <w:pPr>
        <w:pStyle w:val="18"/>
        <w:rPr>
          <w:rFonts w:hint="eastAsia"/>
        </w:rPr>
      </w:pPr>
    </w:p>
    <w:p w14:paraId="242B9EF3">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法定代表人或委托代理(签字):</w:t>
      </w:r>
    </w:p>
    <w:p w14:paraId="5B8D3742">
      <w:pPr>
        <w:pStyle w:val="11"/>
        <w:pageBreakBefore w:val="0"/>
        <w:kinsoku/>
        <w:wordWrap/>
        <w:overflowPunct/>
        <w:topLinePunct w:val="0"/>
        <w:bidi w:val="0"/>
        <w:spacing w:before="103" w:line="520" w:lineRule="exact"/>
        <w:ind w:left="570"/>
        <w:outlineLvl w:val="9"/>
      </w:pPr>
    </w:p>
    <w:bookmarkEnd w:id="653"/>
    <w:bookmarkEnd w:id="654"/>
    <w:p w14:paraId="318974FE">
      <w:pPr>
        <w:pStyle w:val="32"/>
        <w:keepNext w:val="0"/>
        <w:keepLines w:val="0"/>
        <w:pageBreakBefore w:val="0"/>
        <w:widowControl/>
        <w:suppressLineNumbers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i w:val="0"/>
          <w:iCs w:val="0"/>
          <w:caps w:val="0"/>
          <w:color w:val="auto"/>
          <w:spacing w:val="0"/>
          <w:sz w:val="21"/>
          <w:szCs w:val="21"/>
        </w:rPr>
      </w:pPr>
    </w:p>
    <w:p w14:paraId="160D6C20">
      <w:pPr>
        <w:pageBreakBefore w:val="0"/>
        <w:kinsoku/>
        <w:wordWrap/>
        <w:overflowPunct/>
        <w:topLinePunct w:val="0"/>
        <w:bidi w:val="0"/>
        <w:spacing w:line="520" w:lineRule="exact"/>
        <w:outlineLvl w:val="1"/>
        <w:rPr>
          <w:rFonts w:ascii="微软雅黑" w:hAnsi="微软雅黑" w:eastAsia="微软雅黑" w:cs="微软雅黑"/>
          <w:b/>
          <w:bCs/>
          <w:color w:val="auto"/>
          <w:sz w:val="24"/>
        </w:rPr>
      </w:pPr>
      <w:bookmarkStart w:id="656" w:name="_Toc10205"/>
      <w:bookmarkStart w:id="657" w:name="_Toc30772"/>
      <w:bookmarkStart w:id="658" w:name="_Toc10629"/>
      <w:r>
        <w:rPr>
          <w:rFonts w:hint="eastAsia" w:ascii="微软雅黑" w:hAnsi="微软雅黑" w:eastAsia="微软雅黑" w:cs="微软雅黑"/>
          <w:b/>
          <w:bCs/>
          <w:color w:val="auto"/>
          <w:sz w:val="24"/>
          <w:lang w:val="en-US" w:eastAsia="zh-CN"/>
        </w:rPr>
        <w:t>4、</w:t>
      </w:r>
      <w:r>
        <w:rPr>
          <w:rFonts w:hint="eastAsia" w:ascii="微软雅黑" w:hAnsi="微软雅黑" w:eastAsia="微软雅黑" w:cs="微软雅黑"/>
          <w:b/>
          <w:bCs/>
          <w:color w:val="auto"/>
          <w:sz w:val="24"/>
        </w:rPr>
        <w:t>残疾人福利性单位声明函</w:t>
      </w:r>
      <w:bookmarkEnd w:id="656"/>
      <w:bookmarkEnd w:id="657"/>
      <w:bookmarkEnd w:id="658"/>
    </w:p>
    <w:p w14:paraId="4B21083C">
      <w:pPr>
        <w:pageBreakBefore w:val="0"/>
        <w:kinsoku/>
        <w:wordWrap/>
        <w:overflowPunct/>
        <w:topLinePunct w:val="0"/>
        <w:bidi w:val="0"/>
        <w:spacing w:line="520" w:lineRule="exact"/>
        <w:ind w:left="1080" w:leftChars="257" w:hanging="540"/>
        <w:jc w:val="center"/>
        <w:rPr>
          <w:rFonts w:ascii="微软雅黑" w:hAnsi="微软雅黑" w:eastAsia="微软雅黑" w:cs="微软雅黑"/>
          <w:color w:val="auto"/>
          <w:kern w:val="0"/>
          <w:sz w:val="24"/>
        </w:rPr>
      </w:pPr>
    </w:p>
    <w:p w14:paraId="3A9EA432">
      <w:pPr>
        <w:pageBreakBefore w:val="0"/>
        <w:kinsoku/>
        <w:wordWrap/>
        <w:overflowPunct/>
        <w:topLinePunct w:val="0"/>
        <w:bidi w:val="0"/>
        <w:spacing w:line="520" w:lineRule="exact"/>
        <w:ind w:firstLine="567"/>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1FACDBC">
      <w:pPr>
        <w:pageBreakBefore w:val="0"/>
        <w:kinsoku/>
        <w:wordWrap/>
        <w:overflowPunct/>
        <w:topLinePunct w:val="0"/>
        <w:bidi w:val="0"/>
        <w:spacing w:line="520" w:lineRule="exact"/>
        <w:ind w:left="1080" w:leftChars="257" w:hanging="54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本单位对上述声明的真实性负责。如有虚假，将依法承担相应责任。</w:t>
      </w:r>
    </w:p>
    <w:p w14:paraId="37D77CA9">
      <w:pPr>
        <w:pageBreakBefore w:val="0"/>
        <w:kinsoku/>
        <w:wordWrap/>
        <w:overflowPunct/>
        <w:topLinePunct w:val="0"/>
        <w:bidi w:val="0"/>
        <w:spacing w:line="520" w:lineRule="exact"/>
        <w:ind w:left="1080" w:leftChars="257" w:hanging="540"/>
        <w:jc w:val="center"/>
        <w:rPr>
          <w:rFonts w:ascii="微软雅黑" w:hAnsi="微软雅黑" w:eastAsia="微软雅黑" w:cs="微软雅黑"/>
          <w:color w:val="auto"/>
          <w:kern w:val="0"/>
          <w:sz w:val="24"/>
        </w:rPr>
      </w:pPr>
    </w:p>
    <w:p w14:paraId="6F298FAD">
      <w:pPr>
        <w:pageBreakBefore w:val="0"/>
        <w:kinsoku/>
        <w:wordWrap/>
        <w:overflowPunct/>
        <w:topLinePunct w:val="0"/>
        <w:bidi w:val="0"/>
        <w:spacing w:line="520" w:lineRule="exact"/>
        <w:ind w:left="1080" w:leftChars="257" w:hanging="540"/>
        <w:jc w:val="center"/>
        <w:rPr>
          <w:rFonts w:ascii="微软雅黑" w:hAnsi="微软雅黑" w:eastAsia="微软雅黑" w:cs="微软雅黑"/>
          <w:color w:val="auto"/>
          <w:kern w:val="0"/>
          <w:sz w:val="24"/>
        </w:rPr>
      </w:pPr>
    </w:p>
    <w:p w14:paraId="1FDCD6BC">
      <w:pPr>
        <w:pageBreakBefore w:val="0"/>
        <w:kinsoku/>
        <w:wordWrap/>
        <w:overflowPunct/>
        <w:topLinePunct w:val="0"/>
        <w:bidi w:val="0"/>
        <w:spacing w:line="520" w:lineRule="exact"/>
        <w:ind w:left="1080" w:leftChars="257" w:hanging="540"/>
        <w:jc w:val="center"/>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xml:space="preserve"> 残疾人福利性单位名称（公章）：</w:t>
      </w:r>
    </w:p>
    <w:p w14:paraId="4D445C8A">
      <w:pPr>
        <w:pageBreakBefore w:val="0"/>
        <w:kinsoku/>
        <w:wordWrap/>
        <w:overflowPunct/>
        <w:topLinePunct w:val="0"/>
        <w:bidi w:val="0"/>
        <w:spacing w:line="520" w:lineRule="exact"/>
        <w:ind w:left="1080" w:leftChars="257" w:hanging="540"/>
        <w:jc w:val="center"/>
        <w:rPr>
          <w:rFonts w:ascii="微软雅黑" w:hAnsi="微软雅黑" w:eastAsia="微软雅黑" w:cs="微软雅黑"/>
          <w:b/>
          <w:color w:val="auto"/>
          <w:kern w:val="0"/>
          <w:sz w:val="24"/>
        </w:rPr>
      </w:pPr>
      <w:r>
        <w:rPr>
          <w:rFonts w:hint="eastAsia" w:ascii="微软雅黑" w:hAnsi="微软雅黑" w:eastAsia="微软雅黑" w:cs="微软雅黑"/>
          <w:color w:val="auto"/>
          <w:kern w:val="0"/>
          <w:sz w:val="24"/>
        </w:rPr>
        <w:t xml:space="preserve">                 日  期：</w:t>
      </w:r>
    </w:p>
    <w:p w14:paraId="44D696F1">
      <w:pPr>
        <w:pageBreakBefore w:val="0"/>
        <w:kinsoku/>
        <w:wordWrap/>
        <w:overflowPunct/>
        <w:topLinePunct w:val="0"/>
        <w:bidi w:val="0"/>
        <w:spacing w:line="520" w:lineRule="exact"/>
        <w:ind w:left="1080" w:leftChars="257" w:hanging="540"/>
        <w:jc w:val="center"/>
        <w:rPr>
          <w:rFonts w:ascii="微软雅黑" w:hAnsi="微软雅黑" w:eastAsia="微软雅黑" w:cs="微软雅黑"/>
          <w:b/>
          <w:color w:val="auto"/>
          <w:kern w:val="0"/>
          <w:sz w:val="24"/>
        </w:rPr>
      </w:pPr>
    </w:p>
    <w:p w14:paraId="1ACB0395">
      <w:pPr>
        <w:pageBreakBefore w:val="0"/>
        <w:widowControl/>
        <w:kinsoku/>
        <w:wordWrap/>
        <w:overflowPunct/>
        <w:topLinePunct w:val="0"/>
        <w:bidi w:val="0"/>
        <w:spacing w:before="100" w:beforeAutospacing="1" w:after="100" w:afterAutospacing="1" w:line="520" w:lineRule="exact"/>
        <w:ind w:firstLine="2730" w:firstLineChars="1300"/>
        <w:jc w:val="left"/>
        <w:rPr>
          <w:rFonts w:ascii="微软雅黑" w:hAnsi="微软雅黑" w:eastAsia="微软雅黑" w:cs="微软雅黑"/>
          <w:color w:val="auto"/>
          <w:szCs w:val="21"/>
        </w:rPr>
      </w:pPr>
    </w:p>
    <w:p w14:paraId="2026B081">
      <w:pPr>
        <w:pStyle w:val="37"/>
        <w:pageBreakBefore w:val="0"/>
        <w:kinsoku/>
        <w:wordWrap/>
        <w:overflowPunct/>
        <w:topLinePunct w:val="0"/>
        <w:bidi w:val="0"/>
        <w:spacing w:line="520" w:lineRule="exact"/>
        <w:rPr>
          <w:rFonts w:ascii="微软雅黑" w:hAnsi="微软雅黑" w:eastAsia="微软雅黑" w:cs="微软雅黑"/>
          <w:color w:val="auto"/>
          <w:szCs w:val="21"/>
        </w:rPr>
      </w:pPr>
    </w:p>
    <w:p w14:paraId="0F879354">
      <w:pPr>
        <w:pageBreakBefore w:val="0"/>
        <w:kinsoku/>
        <w:wordWrap/>
        <w:overflowPunct/>
        <w:topLinePunct w:val="0"/>
        <w:bidi w:val="0"/>
        <w:spacing w:line="520" w:lineRule="exact"/>
        <w:rPr>
          <w:rFonts w:ascii="微软雅黑" w:hAnsi="微软雅黑" w:eastAsia="微软雅黑" w:cs="微软雅黑"/>
          <w:color w:val="auto"/>
          <w:szCs w:val="21"/>
        </w:rPr>
      </w:pPr>
    </w:p>
    <w:p w14:paraId="623BA9B5">
      <w:pPr>
        <w:pStyle w:val="37"/>
        <w:pageBreakBefore w:val="0"/>
        <w:kinsoku/>
        <w:wordWrap/>
        <w:overflowPunct/>
        <w:topLinePunct w:val="0"/>
        <w:bidi w:val="0"/>
        <w:spacing w:line="520" w:lineRule="exact"/>
        <w:rPr>
          <w:rFonts w:ascii="微软雅黑" w:hAnsi="微软雅黑" w:eastAsia="微软雅黑" w:cs="微软雅黑"/>
          <w:color w:val="auto"/>
          <w:szCs w:val="21"/>
        </w:rPr>
      </w:pPr>
    </w:p>
    <w:p w14:paraId="54D998BF">
      <w:pPr>
        <w:pageBreakBefore w:val="0"/>
        <w:kinsoku/>
        <w:wordWrap/>
        <w:overflowPunct/>
        <w:topLinePunct w:val="0"/>
        <w:bidi w:val="0"/>
        <w:spacing w:line="520" w:lineRule="exact"/>
        <w:rPr>
          <w:rFonts w:ascii="微软雅黑" w:hAnsi="微软雅黑" w:eastAsia="微软雅黑" w:cs="微软雅黑"/>
          <w:color w:val="auto"/>
          <w:szCs w:val="21"/>
        </w:rPr>
      </w:pPr>
    </w:p>
    <w:p w14:paraId="12568D08">
      <w:pPr>
        <w:pStyle w:val="37"/>
        <w:pageBreakBefore w:val="0"/>
        <w:kinsoku/>
        <w:wordWrap/>
        <w:overflowPunct/>
        <w:topLinePunct w:val="0"/>
        <w:bidi w:val="0"/>
        <w:spacing w:line="520" w:lineRule="exact"/>
        <w:rPr>
          <w:rFonts w:ascii="微软雅黑" w:hAnsi="微软雅黑" w:eastAsia="微软雅黑" w:cs="微软雅黑"/>
          <w:color w:val="auto"/>
          <w:szCs w:val="21"/>
        </w:rPr>
      </w:pPr>
    </w:p>
    <w:p w14:paraId="583C1BD3">
      <w:pPr>
        <w:pageBreakBefore w:val="0"/>
        <w:kinsoku/>
        <w:wordWrap/>
        <w:overflowPunct/>
        <w:topLinePunct w:val="0"/>
        <w:bidi w:val="0"/>
        <w:spacing w:line="520" w:lineRule="exact"/>
        <w:rPr>
          <w:rFonts w:ascii="微软雅黑" w:hAnsi="微软雅黑" w:eastAsia="微软雅黑" w:cs="微软雅黑"/>
          <w:color w:val="auto"/>
          <w:szCs w:val="21"/>
        </w:rPr>
      </w:pPr>
    </w:p>
    <w:p w14:paraId="62DAD238">
      <w:pPr>
        <w:pStyle w:val="37"/>
        <w:pageBreakBefore w:val="0"/>
        <w:kinsoku/>
        <w:wordWrap/>
        <w:overflowPunct/>
        <w:topLinePunct w:val="0"/>
        <w:bidi w:val="0"/>
        <w:spacing w:line="520" w:lineRule="exact"/>
        <w:rPr>
          <w:rFonts w:ascii="微软雅黑" w:hAnsi="微软雅黑" w:eastAsia="微软雅黑" w:cs="微软雅黑"/>
          <w:color w:val="auto"/>
          <w:szCs w:val="21"/>
        </w:rPr>
      </w:pPr>
    </w:p>
    <w:p w14:paraId="311BA920">
      <w:pPr>
        <w:pageBreakBefore w:val="0"/>
        <w:kinsoku/>
        <w:wordWrap/>
        <w:overflowPunct/>
        <w:topLinePunct w:val="0"/>
        <w:bidi w:val="0"/>
        <w:spacing w:line="520" w:lineRule="exact"/>
        <w:rPr>
          <w:rFonts w:ascii="微软雅黑" w:hAnsi="微软雅黑" w:eastAsia="微软雅黑" w:cs="微软雅黑"/>
          <w:color w:val="auto"/>
          <w:szCs w:val="21"/>
        </w:rPr>
      </w:pPr>
    </w:p>
    <w:p w14:paraId="0279F688">
      <w:pPr>
        <w:pageBreakBefore w:val="0"/>
        <w:kinsoku/>
        <w:wordWrap/>
        <w:overflowPunct/>
        <w:topLinePunct w:val="0"/>
        <w:bidi w:val="0"/>
        <w:spacing w:line="520" w:lineRule="exact"/>
        <w:rPr>
          <w:rFonts w:ascii="微软雅黑" w:hAnsi="微软雅黑" w:eastAsia="微软雅黑" w:cs="微软雅黑"/>
          <w:color w:val="auto"/>
          <w:szCs w:val="21"/>
        </w:rPr>
      </w:pPr>
    </w:p>
    <w:p w14:paraId="3DA3568D">
      <w:pPr>
        <w:pageBreakBefore w:val="0"/>
        <w:kinsoku/>
        <w:wordWrap/>
        <w:overflowPunct/>
        <w:topLinePunct w:val="0"/>
        <w:bidi w:val="0"/>
        <w:spacing w:line="520" w:lineRule="exact"/>
        <w:rPr>
          <w:rFonts w:ascii="微软雅黑" w:hAnsi="微软雅黑" w:eastAsia="微软雅黑" w:cs="微软雅黑"/>
          <w:color w:val="auto"/>
          <w:szCs w:val="21"/>
        </w:rPr>
      </w:pPr>
    </w:p>
    <w:p w14:paraId="27989784">
      <w:pPr>
        <w:pageBreakBefore w:val="0"/>
        <w:kinsoku/>
        <w:wordWrap/>
        <w:overflowPunct/>
        <w:topLinePunct w:val="0"/>
        <w:bidi w:val="0"/>
        <w:spacing w:line="520" w:lineRule="exact"/>
        <w:rPr>
          <w:rFonts w:ascii="微软雅黑" w:hAnsi="微软雅黑" w:eastAsia="微软雅黑" w:cs="微软雅黑"/>
          <w:color w:val="auto"/>
          <w:szCs w:val="21"/>
        </w:rPr>
      </w:pPr>
    </w:p>
    <w:p w14:paraId="333182EC">
      <w:pPr>
        <w:pStyle w:val="37"/>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15BAEBFA">
      <w:pPr>
        <w:pStyle w:val="11"/>
        <w:pageBreakBefore w:val="0"/>
        <w:kinsoku/>
        <w:wordWrap/>
        <w:overflowPunct/>
        <w:topLinePunct w:val="0"/>
        <w:bidi w:val="0"/>
        <w:spacing w:before="55" w:line="520" w:lineRule="exact"/>
        <w:outlineLvl w:val="1"/>
        <w:rPr>
          <w:rFonts w:hint="eastAsia" w:ascii="微软雅黑" w:hAnsi="微软雅黑" w:eastAsia="微软雅黑" w:cs="微软雅黑"/>
          <w:sz w:val="24"/>
          <w:szCs w:val="24"/>
        </w:rPr>
      </w:pPr>
      <w:bookmarkStart w:id="659" w:name="_Toc28844"/>
      <w:r>
        <w:rPr>
          <w:rFonts w:hint="eastAsia" w:ascii="微软雅黑" w:hAnsi="微软雅黑" w:eastAsia="微软雅黑" w:cs="微软雅黑"/>
          <w:b/>
          <w:bCs/>
          <w:spacing w:val="-2"/>
          <w:sz w:val="24"/>
          <w:szCs w:val="24"/>
        </w:rPr>
        <w:t>5</w:t>
      </w:r>
      <w:r>
        <w:rPr>
          <w:rFonts w:hint="eastAsia" w:ascii="微软雅黑" w:hAnsi="微软雅黑" w:eastAsia="微软雅黑" w:cs="微软雅黑"/>
          <w:b/>
          <w:bCs/>
          <w:spacing w:val="-2"/>
          <w:sz w:val="24"/>
          <w:szCs w:val="24"/>
          <w:lang w:eastAsia="zh-CN"/>
        </w:rPr>
        <w:t>、</w:t>
      </w:r>
      <w:r>
        <w:rPr>
          <w:rFonts w:hint="eastAsia" w:ascii="微软雅黑" w:hAnsi="微软雅黑" w:eastAsia="微软雅黑" w:cs="微软雅黑"/>
          <w:b/>
          <w:bCs/>
          <w:spacing w:val="-2"/>
          <w:sz w:val="24"/>
          <w:szCs w:val="24"/>
        </w:rPr>
        <w:t>供应商关联单位的说明</w:t>
      </w:r>
      <w:bookmarkEnd w:id="659"/>
    </w:p>
    <w:p w14:paraId="36B69ADF">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2662A693">
      <w:pPr>
        <w:pStyle w:val="11"/>
        <w:pageBreakBefore w:val="0"/>
        <w:kinsoku/>
        <w:wordWrap/>
        <w:overflowPunct/>
        <w:topLinePunct w:val="0"/>
        <w:bidi w:val="0"/>
        <w:spacing w:before="103" w:line="520" w:lineRule="exact"/>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说明 ：供应商应当如实披露与本单位存在下列关联关系的单位名称 ：</w:t>
      </w:r>
    </w:p>
    <w:p w14:paraId="772DDFA5">
      <w:pPr>
        <w:pStyle w:val="11"/>
        <w:pageBreakBefore w:val="0"/>
        <w:kinsoku/>
        <w:wordWrap/>
        <w:overflowPunct/>
        <w:topLinePunct w:val="0"/>
        <w:bidi w:val="0"/>
        <w:spacing w:before="257" w:line="520" w:lineRule="exact"/>
        <w:ind w:left="458"/>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 1 ）与供应商单位负责人为同一人的其他单位 ；</w:t>
      </w:r>
    </w:p>
    <w:p w14:paraId="11D3C010">
      <w:pPr>
        <w:pStyle w:val="11"/>
        <w:pageBreakBefore w:val="0"/>
        <w:kinsoku/>
        <w:wordWrap/>
        <w:overflowPunct/>
        <w:topLinePunct w:val="0"/>
        <w:bidi w:val="0"/>
        <w:spacing w:before="240" w:line="520" w:lineRule="exact"/>
        <w:ind w:left="458"/>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 2 ）与供应商存在直接控股、管理关系的其他单位。</w:t>
      </w:r>
    </w:p>
    <w:p w14:paraId="5DBABA1E">
      <w:pPr>
        <w:pageBreakBefore w:val="0"/>
        <w:kinsoku/>
        <w:wordWrap/>
        <w:overflowPunct/>
        <w:topLinePunct w:val="0"/>
        <w:bidi w:val="0"/>
        <w:spacing w:line="520" w:lineRule="exact"/>
        <w:rPr>
          <w:rFonts w:ascii="微软雅黑" w:hAnsi="微软雅黑" w:eastAsia="微软雅黑" w:cs="微软雅黑"/>
          <w:color w:val="auto"/>
          <w:szCs w:val="21"/>
        </w:rPr>
      </w:pPr>
    </w:p>
    <w:p w14:paraId="5A33360F">
      <w:pPr>
        <w:pStyle w:val="37"/>
        <w:pageBreakBefore w:val="0"/>
        <w:kinsoku/>
        <w:wordWrap/>
        <w:overflowPunct/>
        <w:topLinePunct w:val="0"/>
        <w:bidi w:val="0"/>
        <w:spacing w:line="520" w:lineRule="exact"/>
        <w:rPr>
          <w:rFonts w:ascii="微软雅黑" w:hAnsi="微软雅黑" w:eastAsia="微软雅黑" w:cs="微软雅黑"/>
          <w:color w:val="auto"/>
          <w:szCs w:val="21"/>
        </w:rPr>
      </w:pPr>
    </w:p>
    <w:p w14:paraId="06585DF4">
      <w:pPr>
        <w:pageBreakBefore w:val="0"/>
        <w:kinsoku/>
        <w:wordWrap/>
        <w:overflowPunct/>
        <w:topLinePunct w:val="0"/>
        <w:bidi w:val="0"/>
        <w:spacing w:line="520" w:lineRule="exact"/>
        <w:rPr>
          <w:rFonts w:ascii="微软雅黑" w:hAnsi="微软雅黑" w:eastAsia="微软雅黑" w:cs="微软雅黑"/>
          <w:color w:val="auto"/>
          <w:szCs w:val="21"/>
        </w:rPr>
      </w:pPr>
    </w:p>
    <w:p w14:paraId="4E8584B3">
      <w:pPr>
        <w:pStyle w:val="37"/>
        <w:pageBreakBefore w:val="0"/>
        <w:kinsoku/>
        <w:wordWrap/>
        <w:overflowPunct/>
        <w:topLinePunct w:val="0"/>
        <w:bidi w:val="0"/>
        <w:spacing w:line="520" w:lineRule="exact"/>
        <w:rPr>
          <w:rFonts w:ascii="微软雅黑" w:hAnsi="微软雅黑" w:eastAsia="微软雅黑" w:cs="微软雅黑"/>
          <w:color w:val="auto"/>
          <w:szCs w:val="21"/>
        </w:rPr>
      </w:pPr>
    </w:p>
    <w:p w14:paraId="557160BE">
      <w:pPr>
        <w:pageBreakBefore w:val="0"/>
        <w:kinsoku/>
        <w:wordWrap/>
        <w:overflowPunct/>
        <w:topLinePunct w:val="0"/>
        <w:bidi w:val="0"/>
        <w:spacing w:line="520" w:lineRule="exact"/>
        <w:rPr>
          <w:rFonts w:ascii="微软雅黑" w:hAnsi="微软雅黑" w:eastAsia="微软雅黑" w:cs="微软雅黑"/>
          <w:color w:val="auto"/>
          <w:szCs w:val="21"/>
        </w:rPr>
      </w:pPr>
    </w:p>
    <w:p w14:paraId="2712F62A">
      <w:pPr>
        <w:pageBreakBefore w:val="0"/>
        <w:kinsoku/>
        <w:wordWrap/>
        <w:overflowPunct/>
        <w:topLinePunct w:val="0"/>
        <w:bidi w:val="0"/>
        <w:spacing w:line="520" w:lineRule="exact"/>
        <w:rPr>
          <w:rFonts w:ascii="微软雅黑" w:hAnsi="微软雅黑" w:eastAsia="微软雅黑" w:cs="微软雅黑"/>
          <w:color w:val="auto"/>
          <w:szCs w:val="21"/>
        </w:rPr>
      </w:pPr>
    </w:p>
    <w:p w14:paraId="2EB6DA01">
      <w:pPr>
        <w:pageBreakBefore w:val="0"/>
        <w:kinsoku/>
        <w:wordWrap/>
        <w:overflowPunct/>
        <w:topLinePunct w:val="0"/>
        <w:bidi w:val="0"/>
        <w:spacing w:line="520" w:lineRule="exact"/>
        <w:rPr>
          <w:rFonts w:ascii="微软雅黑" w:hAnsi="微软雅黑" w:eastAsia="微软雅黑" w:cs="微软雅黑"/>
          <w:color w:val="auto"/>
          <w:szCs w:val="21"/>
        </w:rPr>
      </w:pPr>
    </w:p>
    <w:p w14:paraId="697B737F">
      <w:pPr>
        <w:pageBreakBefore w:val="0"/>
        <w:kinsoku/>
        <w:wordWrap/>
        <w:overflowPunct/>
        <w:topLinePunct w:val="0"/>
        <w:bidi w:val="0"/>
        <w:spacing w:line="520" w:lineRule="exact"/>
        <w:rPr>
          <w:rFonts w:ascii="微软雅黑" w:hAnsi="微软雅黑" w:eastAsia="微软雅黑" w:cs="微软雅黑"/>
          <w:color w:val="auto"/>
          <w:szCs w:val="21"/>
        </w:rPr>
      </w:pPr>
    </w:p>
    <w:p w14:paraId="22DCEB16">
      <w:pPr>
        <w:pageBreakBefore w:val="0"/>
        <w:kinsoku/>
        <w:wordWrap/>
        <w:overflowPunct/>
        <w:topLinePunct w:val="0"/>
        <w:bidi w:val="0"/>
        <w:spacing w:line="520" w:lineRule="exact"/>
        <w:rPr>
          <w:rFonts w:ascii="微软雅黑" w:hAnsi="微软雅黑" w:eastAsia="微软雅黑" w:cs="微软雅黑"/>
          <w:color w:val="auto"/>
          <w:szCs w:val="21"/>
        </w:rPr>
      </w:pPr>
    </w:p>
    <w:p w14:paraId="786C93E6">
      <w:pPr>
        <w:pageBreakBefore w:val="0"/>
        <w:kinsoku/>
        <w:wordWrap/>
        <w:overflowPunct/>
        <w:topLinePunct w:val="0"/>
        <w:bidi w:val="0"/>
        <w:spacing w:line="520" w:lineRule="exact"/>
        <w:rPr>
          <w:rFonts w:ascii="微软雅黑" w:hAnsi="微软雅黑" w:eastAsia="微软雅黑" w:cs="微软雅黑"/>
          <w:color w:val="auto"/>
          <w:szCs w:val="21"/>
        </w:rPr>
      </w:pPr>
    </w:p>
    <w:p w14:paraId="71D69B8B">
      <w:pPr>
        <w:pageBreakBefore w:val="0"/>
        <w:kinsoku/>
        <w:wordWrap/>
        <w:overflowPunct/>
        <w:topLinePunct w:val="0"/>
        <w:bidi w:val="0"/>
        <w:spacing w:line="520" w:lineRule="exact"/>
        <w:rPr>
          <w:rFonts w:ascii="微软雅黑" w:hAnsi="微软雅黑" w:eastAsia="微软雅黑" w:cs="微软雅黑"/>
          <w:color w:val="auto"/>
          <w:szCs w:val="21"/>
        </w:rPr>
      </w:pPr>
    </w:p>
    <w:p w14:paraId="38547B45">
      <w:pPr>
        <w:pageBreakBefore w:val="0"/>
        <w:kinsoku/>
        <w:wordWrap/>
        <w:overflowPunct/>
        <w:topLinePunct w:val="0"/>
        <w:bidi w:val="0"/>
        <w:spacing w:line="520" w:lineRule="exact"/>
        <w:rPr>
          <w:rFonts w:ascii="微软雅黑" w:hAnsi="微软雅黑" w:eastAsia="微软雅黑" w:cs="微软雅黑"/>
          <w:color w:val="auto"/>
          <w:szCs w:val="21"/>
        </w:rPr>
      </w:pPr>
    </w:p>
    <w:p w14:paraId="6603DB2A">
      <w:pPr>
        <w:pageBreakBefore w:val="0"/>
        <w:kinsoku/>
        <w:wordWrap/>
        <w:overflowPunct/>
        <w:topLinePunct w:val="0"/>
        <w:bidi w:val="0"/>
        <w:spacing w:line="520" w:lineRule="exact"/>
        <w:rPr>
          <w:rFonts w:ascii="微软雅黑" w:hAnsi="微软雅黑" w:eastAsia="微软雅黑" w:cs="微软雅黑"/>
          <w:color w:val="auto"/>
          <w:szCs w:val="21"/>
        </w:rPr>
      </w:pPr>
    </w:p>
    <w:p w14:paraId="4132471C">
      <w:pPr>
        <w:pageBreakBefore w:val="0"/>
        <w:kinsoku/>
        <w:wordWrap/>
        <w:overflowPunct/>
        <w:topLinePunct w:val="0"/>
        <w:bidi w:val="0"/>
        <w:spacing w:line="520" w:lineRule="exact"/>
        <w:rPr>
          <w:rFonts w:ascii="微软雅黑" w:hAnsi="微软雅黑" w:eastAsia="微软雅黑" w:cs="微软雅黑"/>
          <w:color w:val="auto"/>
          <w:szCs w:val="21"/>
        </w:rPr>
      </w:pPr>
    </w:p>
    <w:p w14:paraId="035F55DF">
      <w:pPr>
        <w:pageBreakBefore w:val="0"/>
        <w:kinsoku/>
        <w:wordWrap/>
        <w:overflowPunct/>
        <w:topLinePunct w:val="0"/>
        <w:bidi w:val="0"/>
        <w:spacing w:line="520" w:lineRule="exact"/>
        <w:rPr>
          <w:rFonts w:ascii="微软雅黑" w:hAnsi="微软雅黑" w:eastAsia="微软雅黑" w:cs="微软雅黑"/>
          <w:color w:val="auto"/>
          <w:szCs w:val="21"/>
        </w:rPr>
      </w:pPr>
    </w:p>
    <w:p w14:paraId="7236100B">
      <w:pPr>
        <w:pageBreakBefore w:val="0"/>
        <w:kinsoku/>
        <w:wordWrap/>
        <w:overflowPunct/>
        <w:topLinePunct w:val="0"/>
        <w:bidi w:val="0"/>
        <w:spacing w:line="520" w:lineRule="exact"/>
        <w:rPr>
          <w:rFonts w:ascii="微软雅黑" w:hAnsi="微软雅黑" w:eastAsia="微软雅黑" w:cs="微软雅黑"/>
          <w:color w:val="auto"/>
          <w:szCs w:val="21"/>
        </w:rPr>
      </w:pPr>
    </w:p>
    <w:p w14:paraId="0BC80420">
      <w:pPr>
        <w:pageBreakBefore w:val="0"/>
        <w:kinsoku/>
        <w:wordWrap/>
        <w:overflowPunct/>
        <w:topLinePunct w:val="0"/>
        <w:bidi w:val="0"/>
        <w:spacing w:line="520" w:lineRule="exact"/>
        <w:rPr>
          <w:rFonts w:ascii="微软雅黑" w:hAnsi="微软雅黑" w:eastAsia="微软雅黑" w:cs="微软雅黑"/>
          <w:color w:val="auto"/>
          <w:szCs w:val="21"/>
        </w:rPr>
      </w:pPr>
    </w:p>
    <w:p w14:paraId="0CF11243">
      <w:pPr>
        <w:pageBreakBefore w:val="0"/>
        <w:kinsoku/>
        <w:wordWrap/>
        <w:overflowPunct/>
        <w:topLinePunct w:val="0"/>
        <w:bidi w:val="0"/>
        <w:spacing w:line="520" w:lineRule="exact"/>
        <w:rPr>
          <w:rFonts w:ascii="微软雅黑" w:hAnsi="微软雅黑" w:eastAsia="微软雅黑" w:cs="微软雅黑"/>
          <w:color w:val="auto"/>
          <w:szCs w:val="21"/>
        </w:rPr>
      </w:pPr>
    </w:p>
    <w:p w14:paraId="327F1B94">
      <w:pPr>
        <w:pStyle w:val="37"/>
        <w:pageBreakBefore w:val="0"/>
        <w:kinsoku/>
        <w:wordWrap/>
        <w:overflowPunct/>
        <w:topLinePunct w:val="0"/>
        <w:bidi w:val="0"/>
        <w:spacing w:line="520" w:lineRule="exact"/>
        <w:ind w:left="0" w:leftChars="0" w:firstLine="0" w:firstLineChars="0"/>
      </w:pPr>
    </w:p>
    <w:p w14:paraId="1DE35EE3">
      <w:pPr>
        <w:pStyle w:val="7"/>
        <w:keepNext w:val="0"/>
        <w:keepLines w:val="0"/>
        <w:pageBreakBefore w:val="0"/>
        <w:widowControl w:val="0"/>
        <w:kinsoku/>
        <w:wordWrap/>
        <w:overflowPunct/>
        <w:topLinePunct w:val="0"/>
        <w:bidi w:val="0"/>
        <w:snapToGrid/>
        <w:spacing w:line="520" w:lineRule="exact"/>
        <w:ind w:left="0" w:leftChars="0" w:firstLine="480" w:firstLineChars="200"/>
        <w:textAlignment w:val="auto"/>
        <w:outlineLvl w:val="1"/>
        <w:rPr>
          <w:rFonts w:hint="eastAsia" w:ascii="微软雅黑" w:hAnsi="微软雅黑" w:eastAsia="微软雅黑" w:cs="微软雅黑"/>
          <w:color w:val="auto"/>
          <w:spacing w:val="3"/>
          <w:sz w:val="24"/>
          <w:szCs w:val="24"/>
        </w:rPr>
      </w:pPr>
      <w:bookmarkStart w:id="660" w:name="_Toc31249"/>
      <w:bookmarkStart w:id="661" w:name="_Toc13322"/>
      <w:bookmarkStart w:id="662" w:name="_Toc17432"/>
      <w:bookmarkStart w:id="663" w:name="_Toc1155"/>
      <w:r>
        <w:rPr>
          <w:rFonts w:hint="eastAsia" w:ascii="微软雅黑" w:hAnsi="微软雅黑" w:eastAsia="微软雅黑" w:cs="微软雅黑"/>
          <w:b/>
          <w:bCs/>
          <w:color w:val="auto"/>
          <w:kern w:val="2"/>
          <w:sz w:val="24"/>
          <w:szCs w:val="24"/>
          <w:lang w:val="en-US" w:eastAsia="zh-CN" w:bidi="ar-SA"/>
        </w:rPr>
        <w:t>6、技术部分主要包括下列内容：</w:t>
      </w:r>
      <w:bookmarkEnd w:id="660"/>
      <w:bookmarkEnd w:id="661"/>
      <w:bookmarkEnd w:id="662"/>
      <w:bookmarkEnd w:id="663"/>
    </w:p>
    <w:p w14:paraId="56B2F1C0">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 全面性</w:t>
      </w:r>
    </w:p>
    <w:p w14:paraId="13471417">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1.1 工程概况、施工组织方案</w:t>
      </w:r>
    </w:p>
    <w:p w14:paraId="169B5DBD">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1.2 施工机械设备、劳动力投入计划</w:t>
      </w:r>
    </w:p>
    <w:p w14:paraId="75D1324C">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1.3 质量、工期、投资控制方案</w:t>
      </w:r>
    </w:p>
    <w:p w14:paraId="6FCE9111">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1.4 文明施工措施</w:t>
      </w:r>
    </w:p>
    <w:p w14:paraId="7F9473FF">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1.5 施工总进度计划（ 附图 ）</w:t>
      </w:r>
    </w:p>
    <w:p w14:paraId="3C8794E4">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1.6 施工现场平面布置（ 附图 ）</w:t>
      </w:r>
    </w:p>
    <w:p w14:paraId="33987129">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 可行性</w:t>
      </w:r>
    </w:p>
    <w:p w14:paraId="492B062B">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2.1 施工措施及计划</w:t>
      </w:r>
    </w:p>
    <w:p w14:paraId="09EB4E45">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2.2 施工现场流水段的划分</w:t>
      </w:r>
    </w:p>
    <w:p w14:paraId="61F18AED">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2.3 施工现场流水作业</w:t>
      </w:r>
    </w:p>
    <w:p w14:paraId="6CE50ED4">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2.4 施工现场交叉作业</w:t>
      </w:r>
    </w:p>
    <w:p w14:paraId="23ECDC3C">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2.5 施工现场机具配置和布置</w:t>
      </w:r>
    </w:p>
    <w:p w14:paraId="2819CA85">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 针对性</w:t>
      </w:r>
    </w:p>
    <w:p w14:paraId="30A2DDD2">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3.1 施工的重点和关键部位处理</w:t>
      </w:r>
    </w:p>
    <w:p w14:paraId="63C7EE4F">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3.2 质保体系</w:t>
      </w:r>
    </w:p>
    <w:p w14:paraId="4196B3D4">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3.3 安保体系</w:t>
      </w:r>
    </w:p>
    <w:p w14:paraId="7B5C5D25">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3.4 创优措施</w:t>
      </w:r>
    </w:p>
    <w:p w14:paraId="48F26945">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3.5 安全措施</w:t>
      </w:r>
    </w:p>
    <w:p w14:paraId="4E0F1FFF">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3.6 文明施工和防止扰民措施</w:t>
      </w:r>
    </w:p>
    <w:p w14:paraId="03E8AB08">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4. 先进性</w:t>
      </w:r>
    </w:p>
    <w:p w14:paraId="49647B70">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4.1 采用的新工艺、新技术、新设备</w:t>
      </w:r>
    </w:p>
    <w:p w14:paraId="1C5B8ACB">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4.2 在确保工程质量前提下 ，有降低成本、缩短工期、减轻劳动强度 、提高进度的方案</w:t>
      </w:r>
    </w:p>
    <w:p w14:paraId="6845B0AD">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4.3 在执行国家强制性条文前提下体现施工的先进性措施等</w:t>
      </w:r>
    </w:p>
    <w:p w14:paraId="5E5F1C2A">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5. 强制性</w:t>
      </w:r>
    </w:p>
    <w:p w14:paraId="43176D03">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5.1 防治质量通病的措施</w:t>
      </w:r>
    </w:p>
    <w:p w14:paraId="27088251">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5.2 执行国家强制性条文的保证措施等</w:t>
      </w:r>
    </w:p>
    <w:p w14:paraId="499941DD">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6. 承诺</w:t>
      </w:r>
    </w:p>
    <w:p w14:paraId="6803C814">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6.1 保修承诺和违约经济处罚承诺</w:t>
      </w:r>
    </w:p>
    <w:p w14:paraId="282AA440">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6.2 工程质量争优承诺及保证质量措施承诺等</w:t>
      </w:r>
    </w:p>
    <w:p w14:paraId="411AAE66">
      <w:pPr>
        <w:pageBreakBefore w:val="0"/>
        <w:kinsoku/>
        <w:wordWrap/>
        <w:overflowPunct/>
        <w:topLinePunct w:val="0"/>
        <w:bidi w:val="0"/>
        <w:spacing w:line="520" w:lineRule="exact"/>
        <w:ind w:firstLine="567"/>
        <w:rPr>
          <w:rFonts w:hint="eastAsia" w:ascii="微软雅黑" w:hAnsi="微软雅黑" w:eastAsia="微软雅黑" w:cs="微软雅黑"/>
          <w:color w:val="auto"/>
          <w:kern w:val="0"/>
          <w:sz w:val="24"/>
          <w:lang w:val="en-US" w:eastAsia="zh-CN"/>
        </w:rPr>
      </w:pPr>
    </w:p>
    <w:p w14:paraId="01B0C5F7">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422CC17F">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054B1ACC">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6E62ED17">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3F458876">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1AAC8587">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73B13553">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6864AB75">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694D85B6">
      <w:pPr>
        <w:pageBreakBefore w:val="0"/>
        <w:numPr>
          <w:ilvl w:val="0"/>
          <w:numId w:val="0"/>
        </w:numPr>
        <w:kinsoku/>
        <w:wordWrap/>
        <w:overflowPunct/>
        <w:topLinePunct w:val="0"/>
        <w:bidi w:val="0"/>
        <w:spacing w:before="74" w:line="520" w:lineRule="exact"/>
        <w:outlineLvl w:val="1"/>
        <w:rPr>
          <w:rFonts w:hint="eastAsia" w:ascii="微软雅黑" w:hAnsi="微软雅黑" w:eastAsia="微软雅黑" w:cs="微软雅黑"/>
          <w:sz w:val="24"/>
          <w:szCs w:val="24"/>
        </w:rPr>
      </w:pPr>
      <w:bookmarkStart w:id="664" w:name="_Toc18621"/>
      <w:bookmarkStart w:id="665" w:name="_Toc5089"/>
      <w:bookmarkStart w:id="666" w:name="_Toc14985"/>
      <w:r>
        <w:rPr>
          <w:rFonts w:hint="eastAsia" w:ascii="微软雅黑" w:hAnsi="微软雅黑" w:eastAsia="微软雅黑" w:cs="微软雅黑"/>
          <w:b/>
          <w:bCs/>
          <w:color w:val="auto"/>
          <w:kern w:val="2"/>
          <w:sz w:val="24"/>
          <w:szCs w:val="24"/>
          <w:lang w:val="en-US" w:eastAsia="zh-CN" w:bidi="ar-SA"/>
        </w:rPr>
        <w:t>7、有利于投标的其他资格证明材料</w:t>
      </w:r>
      <w:bookmarkEnd w:id="664"/>
      <w:bookmarkEnd w:id="665"/>
      <w:bookmarkEnd w:id="666"/>
    </w:p>
    <w:p w14:paraId="2D41B99A">
      <w:pPr>
        <w:pStyle w:val="11"/>
        <w:pageBreakBefore w:val="0"/>
        <w:kinsoku/>
        <w:wordWrap/>
        <w:overflowPunct/>
        <w:topLinePunct w:val="0"/>
        <w:bidi w:val="0"/>
        <w:spacing w:before="103" w:line="520" w:lineRule="exact"/>
        <w:ind w:left="111" w:right="1146" w:firstLine="467"/>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注 ：参照“第六章评分方法和标准” ，</w:t>
      </w:r>
      <w:r>
        <w:rPr>
          <w:rFonts w:hint="eastAsia" w:ascii="微软雅黑" w:hAnsi="微软雅黑" w:eastAsia="微软雅黑" w:cs="微软雅黑"/>
          <w:spacing w:val="-6"/>
          <w:sz w:val="24"/>
          <w:szCs w:val="24"/>
        </w:rPr>
        <w:t>提供有力于供应商的其他证明材料等。</w:t>
      </w:r>
      <w:r>
        <w:rPr>
          <w:rFonts w:hint="eastAsia" w:ascii="微软雅黑" w:hAnsi="微软雅黑" w:eastAsia="微软雅黑" w:cs="微软雅黑"/>
          <w:sz w:val="24"/>
          <w:szCs w:val="24"/>
        </w:rPr>
        <w:t xml:space="preserve"> </w:t>
      </w:r>
    </w:p>
    <w:p w14:paraId="3794CF9C">
      <w:pPr>
        <w:pStyle w:val="11"/>
        <w:pageBreakBefore w:val="0"/>
        <w:kinsoku/>
        <w:wordWrap/>
        <w:overflowPunct/>
        <w:topLinePunct w:val="0"/>
        <w:bidi w:val="0"/>
        <w:spacing w:before="103" w:line="520" w:lineRule="exact"/>
        <w:ind w:left="111" w:right="1146" w:firstLine="467"/>
        <w:rPr>
          <w:rFonts w:hint="default" w:ascii="微软雅黑" w:hAnsi="微软雅黑" w:eastAsia="微软雅黑" w:cs="微软雅黑"/>
          <w:sz w:val="24"/>
          <w:szCs w:val="24"/>
          <w:lang w:val="en-US" w:eastAsia="zh-CN"/>
        </w:rPr>
      </w:pPr>
      <w:r>
        <w:rPr>
          <w:rFonts w:hint="eastAsia" w:ascii="微软雅黑" w:hAnsi="微软雅黑" w:eastAsia="微软雅黑" w:cs="微软雅黑"/>
          <w:spacing w:val="-5"/>
          <w:sz w:val="24"/>
          <w:szCs w:val="24"/>
        </w:rPr>
        <w:t>附</w:t>
      </w:r>
      <w:r>
        <w:rPr>
          <w:rFonts w:hint="eastAsia" w:ascii="微软雅黑" w:hAnsi="微软雅黑" w:eastAsia="微软雅黑" w:cs="微软雅黑"/>
          <w:spacing w:val="-5"/>
          <w:sz w:val="24"/>
          <w:szCs w:val="24"/>
          <w:lang w:eastAsia="zh-CN"/>
        </w:rPr>
        <w:t>件</w:t>
      </w:r>
      <w:r>
        <w:rPr>
          <w:rFonts w:hint="eastAsia" w:ascii="微软雅黑" w:hAnsi="微软雅黑" w:eastAsia="微软雅黑" w:cs="微软雅黑"/>
          <w:spacing w:val="-5"/>
          <w:sz w:val="24"/>
          <w:szCs w:val="24"/>
          <w:lang w:val="en-US" w:eastAsia="zh-CN"/>
        </w:rPr>
        <w:t>7.1</w:t>
      </w:r>
    </w:p>
    <w:p w14:paraId="0AAA732C">
      <w:pPr>
        <w:pStyle w:val="11"/>
        <w:pageBreakBefore w:val="0"/>
        <w:kinsoku/>
        <w:wordWrap/>
        <w:overflowPunct/>
        <w:topLinePunct w:val="0"/>
        <w:bidi w:val="0"/>
        <w:spacing w:before="210" w:line="520" w:lineRule="exact"/>
        <w:ind w:left="355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拟投入本项目的人员一览表</w:t>
      </w:r>
    </w:p>
    <w:tbl>
      <w:tblPr>
        <w:tblStyle w:val="103"/>
        <w:tblW w:w="98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3"/>
        <w:gridCol w:w="869"/>
        <w:gridCol w:w="899"/>
        <w:gridCol w:w="707"/>
        <w:gridCol w:w="649"/>
        <w:gridCol w:w="1346"/>
        <w:gridCol w:w="800"/>
        <w:gridCol w:w="1147"/>
        <w:gridCol w:w="1060"/>
        <w:gridCol w:w="827"/>
      </w:tblGrid>
      <w:tr w14:paraId="07377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523" w:type="dxa"/>
            <w:vAlign w:val="top"/>
          </w:tcPr>
          <w:p w14:paraId="2AADA876">
            <w:pPr>
              <w:pStyle w:val="105"/>
              <w:keepNext w:val="0"/>
              <w:keepLines w:val="0"/>
              <w:pageBreakBefore w:val="0"/>
              <w:widowControl w:val="0"/>
              <w:kinsoku/>
              <w:wordWrap/>
              <w:overflowPunct/>
              <w:topLinePunct w:val="0"/>
              <w:autoSpaceDE/>
              <w:autoSpaceDN/>
              <w:bidi w:val="0"/>
              <w:adjustRightInd/>
              <w:snapToGrid/>
              <w:spacing w:before="326" w:line="420" w:lineRule="exact"/>
              <w:ind w:left="342"/>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职责分工</w:t>
            </w:r>
          </w:p>
        </w:tc>
        <w:tc>
          <w:tcPr>
            <w:tcW w:w="869" w:type="dxa"/>
            <w:vAlign w:val="top"/>
          </w:tcPr>
          <w:p w14:paraId="12917A71">
            <w:pPr>
              <w:pStyle w:val="105"/>
              <w:keepNext w:val="0"/>
              <w:keepLines w:val="0"/>
              <w:pageBreakBefore w:val="0"/>
              <w:widowControl w:val="0"/>
              <w:kinsoku/>
              <w:wordWrap/>
              <w:overflowPunct/>
              <w:topLinePunct w:val="0"/>
              <w:autoSpaceDE/>
              <w:autoSpaceDN/>
              <w:bidi w:val="0"/>
              <w:adjustRightInd/>
              <w:snapToGrid/>
              <w:spacing w:before="326" w:line="420" w:lineRule="exact"/>
              <w:ind w:left="223"/>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姓名</w:t>
            </w:r>
          </w:p>
        </w:tc>
        <w:tc>
          <w:tcPr>
            <w:tcW w:w="899" w:type="dxa"/>
            <w:vAlign w:val="top"/>
          </w:tcPr>
          <w:p w14:paraId="00A7CD42">
            <w:pPr>
              <w:pStyle w:val="105"/>
              <w:keepNext w:val="0"/>
              <w:keepLines w:val="0"/>
              <w:pageBreakBefore w:val="0"/>
              <w:widowControl w:val="0"/>
              <w:kinsoku/>
              <w:wordWrap/>
              <w:overflowPunct/>
              <w:topLinePunct w:val="0"/>
              <w:autoSpaceDE/>
              <w:autoSpaceDN/>
              <w:bidi w:val="0"/>
              <w:adjustRightInd/>
              <w:snapToGrid/>
              <w:spacing w:before="324" w:line="420" w:lineRule="exact"/>
              <w:ind w:left="240"/>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年龄</w:t>
            </w:r>
          </w:p>
        </w:tc>
        <w:tc>
          <w:tcPr>
            <w:tcW w:w="707" w:type="dxa"/>
            <w:vAlign w:val="top"/>
          </w:tcPr>
          <w:p w14:paraId="1DD5E57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4E1C1188">
            <w:pPr>
              <w:pStyle w:val="105"/>
              <w:keepNext w:val="0"/>
              <w:keepLines w:val="0"/>
              <w:pageBreakBefore w:val="0"/>
              <w:widowControl w:val="0"/>
              <w:kinsoku/>
              <w:wordWrap/>
              <w:overflowPunct/>
              <w:topLinePunct w:val="0"/>
              <w:autoSpaceDE/>
              <w:autoSpaceDN/>
              <w:bidi w:val="0"/>
              <w:adjustRightInd/>
              <w:snapToGrid/>
              <w:spacing w:before="86" w:line="420" w:lineRule="exact"/>
              <w:ind w:left="143"/>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专业</w:t>
            </w:r>
          </w:p>
        </w:tc>
        <w:tc>
          <w:tcPr>
            <w:tcW w:w="649" w:type="dxa"/>
            <w:vAlign w:val="top"/>
          </w:tcPr>
          <w:p w14:paraId="1E2B589B">
            <w:pPr>
              <w:pStyle w:val="105"/>
              <w:keepNext w:val="0"/>
              <w:keepLines w:val="0"/>
              <w:pageBreakBefore w:val="0"/>
              <w:widowControl w:val="0"/>
              <w:kinsoku/>
              <w:wordWrap/>
              <w:overflowPunct/>
              <w:topLinePunct w:val="0"/>
              <w:autoSpaceDE/>
              <w:autoSpaceDN/>
              <w:bidi w:val="0"/>
              <w:adjustRightInd/>
              <w:snapToGrid/>
              <w:spacing w:before="326" w:line="420" w:lineRule="exact"/>
              <w:ind w:left="131"/>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岗位</w:t>
            </w:r>
          </w:p>
        </w:tc>
        <w:tc>
          <w:tcPr>
            <w:tcW w:w="1346" w:type="dxa"/>
            <w:vAlign w:val="top"/>
          </w:tcPr>
          <w:p w14:paraId="706442E0">
            <w:pPr>
              <w:pStyle w:val="105"/>
              <w:keepNext w:val="0"/>
              <w:keepLines w:val="0"/>
              <w:pageBreakBefore w:val="0"/>
              <w:widowControl w:val="0"/>
              <w:kinsoku/>
              <w:wordWrap/>
              <w:overflowPunct/>
              <w:topLinePunct w:val="0"/>
              <w:autoSpaceDE/>
              <w:autoSpaceDN/>
              <w:bidi w:val="0"/>
              <w:adjustRightInd/>
              <w:snapToGrid/>
              <w:spacing w:before="148" w:line="420" w:lineRule="exact"/>
              <w:ind w:left="252" w:right="148" w:hanging="106"/>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执业或职业</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8"/>
                <w:sz w:val="24"/>
                <w:szCs w:val="24"/>
              </w:rPr>
              <w:t>资格证明</w:t>
            </w:r>
          </w:p>
        </w:tc>
        <w:tc>
          <w:tcPr>
            <w:tcW w:w="800" w:type="dxa"/>
            <w:vAlign w:val="top"/>
          </w:tcPr>
          <w:p w14:paraId="61430ACF">
            <w:pPr>
              <w:pStyle w:val="105"/>
              <w:keepNext w:val="0"/>
              <w:keepLines w:val="0"/>
              <w:pageBreakBefore w:val="0"/>
              <w:widowControl w:val="0"/>
              <w:kinsoku/>
              <w:wordWrap/>
              <w:overflowPunct/>
              <w:topLinePunct w:val="0"/>
              <w:autoSpaceDE/>
              <w:autoSpaceDN/>
              <w:bidi w:val="0"/>
              <w:adjustRightInd/>
              <w:snapToGrid/>
              <w:spacing w:before="148" w:line="420" w:lineRule="exact"/>
              <w:ind w:left="190" w:right="189"/>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证件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7"/>
                <w:sz w:val="24"/>
                <w:szCs w:val="24"/>
              </w:rPr>
              <w:t>种类</w:t>
            </w:r>
          </w:p>
        </w:tc>
        <w:tc>
          <w:tcPr>
            <w:tcW w:w="1147" w:type="dxa"/>
            <w:vAlign w:val="top"/>
          </w:tcPr>
          <w:p w14:paraId="7D67DBF7">
            <w:pPr>
              <w:pStyle w:val="105"/>
              <w:keepNext w:val="0"/>
              <w:keepLines w:val="0"/>
              <w:pageBreakBefore w:val="0"/>
              <w:widowControl w:val="0"/>
              <w:kinsoku/>
              <w:wordWrap/>
              <w:overflowPunct/>
              <w:topLinePunct w:val="0"/>
              <w:autoSpaceDE/>
              <w:autoSpaceDN/>
              <w:bidi w:val="0"/>
              <w:adjustRightInd/>
              <w:snapToGrid/>
              <w:spacing w:before="108" w:line="420" w:lineRule="exact"/>
              <w:ind w:left="363" w:right="146" w:hanging="202"/>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职称（若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5"/>
                <w:sz w:val="24"/>
                <w:szCs w:val="24"/>
              </w:rPr>
              <w:t>有）</w:t>
            </w:r>
          </w:p>
        </w:tc>
        <w:tc>
          <w:tcPr>
            <w:tcW w:w="1060" w:type="dxa"/>
            <w:vAlign w:val="top"/>
          </w:tcPr>
          <w:p w14:paraId="0828ADC9">
            <w:pPr>
              <w:pStyle w:val="105"/>
              <w:keepNext w:val="0"/>
              <w:keepLines w:val="0"/>
              <w:pageBreakBefore w:val="0"/>
              <w:widowControl w:val="0"/>
              <w:kinsoku/>
              <w:wordWrap/>
              <w:overflowPunct/>
              <w:topLinePunct w:val="0"/>
              <w:autoSpaceDE/>
              <w:autoSpaceDN/>
              <w:bidi w:val="0"/>
              <w:adjustRightInd/>
              <w:snapToGrid/>
              <w:spacing w:before="145" w:line="420" w:lineRule="exact"/>
              <w:ind w:left="437" w:right="205" w:hanging="214"/>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驻场时</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z w:val="24"/>
                <w:szCs w:val="24"/>
              </w:rPr>
              <w:t>间</w:t>
            </w:r>
          </w:p>
        </w:tc>
        <w:tc>
          <w:tcPr>
            <w:tcW w:w="827" w:type="dxa"/>
            <w:vAlign w:val="top"/>
          </w:tcPr>
          <w:p w14:paraId="2FF5A881">
            <w:pPr>
              <w:pStyle w:val="105"/>
              <w:keepNext w:val="0"/>
              <w:keepLines w:val="0"/>
              <w:pageBreakBefore w:val="0"/>
              <w:widowControl w:val="0"/>
              <w:kinsoku/>
              <w:wordWrap/>
              <w:overflowPunct/>
              <w:topLinePunct w:val="0"/>
              <w:autoSpaceDE/>
              <w:autoSpaceDN/>
              <w:bidi w:val="0"/>
              <w:adjustRightInd/>
              <w:snapToGrid/>
              <w:spacing w:before="324" w:line="420" w:lineRule="exact"/>
              <w:ind w:left="207"/>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备注</w:t>
            </w:r>
          </w:p>
        </w:tc>
      </w:tr>
      <w:tr w14:paraId="462AD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23" w:type="dxa"/>
            <w:vMerge w:val="restart"/>
            <w:tcBorders>
              <w:bottom w:val="nil"/>
            </w:tcBorders>
            <w:vAlign w:val="top"/>
          </w:tcPr>
          <w:p w14:paraId="644FC3A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29B6408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2951ED4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64B02CE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6BBDB45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34EF463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10B66A4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20B21E7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0FE182A2">
            <w:pPr>
              <w:pStyle w:val="105"/>
              <w:keepNext w:val="0"/>
              <w:keepLines w:val="0"/>
              <w:pageBreakBefore w:val="0"/>
              <w:widowControl w:val="0"/>
              <w:kinsoku/>
              <w:wordWrap/>
              <w:overflowPunct/>
              <w:topLinePunct w:val="0"/>
              <w:autoSpaceDE/>
              <w:autoSpaceDN/>
              <w:bidi w:val="0"/>
              <w:adjustRightInd/>
              <w:snapToGrid/>
              <w:spacing w:before="86" w:line="420" w:lineRule="exact"/>
              <w:ind w:left="234"/>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项目组人员</w:t>
            </w:r>
          </w:p>
        </w:tc>
        <w:tc>
          <w:tcPr>
            <w:tcW w:w="869" w:type="dxa"/>
            <w:vAlign w:val="top"/>
          </w:tcPr>
          <w:p w14:paraId="14B265C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1AFE51C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66AF1BB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55D1DD1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189C64C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63F1EF2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4C520A6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4273EFF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7FEFCF1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04126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Merge w:val="continue"/>
            <w:tcBorders>
              <w:top w:val="nil"/>
              <w:bottom w:val="nil"/>
            </w:tcBorders>
            <w:vAlign w:val="top"/>
          </w:tcPr>
          <w:p w14:paraId="26D6ABA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297BC70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4CF3AD1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04D6AC6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4ED2228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0CC5C33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36F29BA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6BCFF86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74DBD03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23D1270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20CFE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Merge w:val="continue"/>
            <w:tcBorders>
              <w:top w:val="nil"/>
              <w:bottom w:val="nil"/>
            </w:tcBorders>
            <w:vAlign w:val="top"/>
          </w:tcPr>
          <w:p w14:paraId="1E20C68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3207293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4864DF8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3365E6A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03A3D42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6BCF727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36B8448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6F818B4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71FBE62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08FC656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1B7DF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23" w:type="dxa"/>
            <w:vMerge w:val="continue"/>
            <w:tcBorders>
              <w:top w:val="nil"/>
              <w:bottom w:val="nil"/>
            </w:tcBorders>
            <w:vAlign w:val="top"/>
          </w:tcPr>
          <w:p w14:paraId="7E74308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45D863F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32BA7E3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1190D83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0A8C185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5883148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17FAA1F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17428F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6F23744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2EE54C2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3E4CC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23" w:type="dxa"/>
            <w:vMerge w:val="continue"/>
            <w:tcBorders>
              <w:top w:val="nil"/>
              <w:bottom w:val="nil"/>
            </w:tcBorders>
            <w:vAlign w:val="top"/>
          </w:tcPr>
          <w:p w14:paraId="2DB950E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3EC690F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39568DD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77C2E4F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41487B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4613C11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59C4217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74FECD7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7FCDED8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001440E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658DC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Merge w:val="continue"/>
            <w:tcBorders>
              <w:top w:val="nil"/>
              <w:bottom w:val="nil"/>
            </w:tcBorders>
            <w:vAlign w:val="top"/>
          </w:tcPr>
          <w:p w14:paraId="29E1A8E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7F3685D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2B922AA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00CE7B5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0439FB3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18C6D2D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2C36C74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0AF4148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624A47D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038C094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029DF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Merge w:val="continue"/>
            <w:tcBorders>
              <w:top w:val="nil"/>
              <w:bottom w:val="nil"/>
            </w:tcBorders>
            <w:vAlign w:val="top"/>
          </w:tcPr>
          <w:p w14:paraId="2E64148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1BB7D3F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67A2CD6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0746EA3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144E1A1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44BC6BB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2C8CE9F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1C9FD52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389D53C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0FBD43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1A9E3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Merge w:val="continue"/>
            <w:tcBorders>
              <w:top w:val="nil"/>
            </w:tcBorders>
            <w:vAlign w:val="top"/>
          </w:tcPr>
          <w:p w14:paraId="78586AF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2B7B882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42A43CC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710C3D5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14251C0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22EC004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1FA42C7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2063688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5194176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641BF25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38F3D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23" w:type="dxa"/>
            <w:vAlign w:val="top"/>
          </w:tcPr>
          <w:p w14:paraId="692E013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25B5D52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4627668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70EDC16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25481E9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14CA4F8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1C2E5AC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26AD191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64861D5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326800D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0225F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Align w:val="top"/>
          </w:tcPr>
          <w:p w14:paraId="31F07B6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6E22CB9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70CE811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51B8EA5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0781080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4E57015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7B474D7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09A340D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7FD6273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20D99F0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2898E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Align w:val="top"/>
          </w:tcPr>
          <w:p w14:paraId="0A9229D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187C829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6F25FBB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2757754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1C3C499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3C8B2DE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42B70FF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1B21D99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4AB5B72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4A50D7B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1FBEF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523" w:type="dxa"/>
            <w:vAlign w:val="top"/>
          </w:tcPr>
          <w:p w14:paraId="35378F6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0FAFFB4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560E8F3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1C8D5C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2C1DC5F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1AA9D8A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42B61C4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5520E4F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3C46484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1ECFB41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bl>
    <w:p w14:paraId="2BE65992">
      <w:pPr>
        <w:pStyle w:val="11"/>
        <w:pageBreakBefore w:val="0"/>
        <w:kinsoku/>
        <w:wordWrap/>
        <w:overflowPunct/>
        <w:topLinePunct w:val="0"/>
        <w:bidi w:val="0"/>
        <w:spacing w:before="140" w:line="520" w:lineRule="exact"/>
        <w:ind w:left="97" w:right="173" w:rightChars="0"/>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spacing w:val="5"/>
          <w:sz w:val="24"/>
          <w:szCs w:val="24"/>
        </w:rPr>
        <w:t>备</w:t>
      </w:r>
      <w:r>
        <w:rPr>
          <w:rFonts w:hint="eastAsia" w:ascii="微软雅黑" w:hAnsi="微软雅黑" w:eastAsia="微软雅黑" w:cs="微软雅黑"/>
          <w:color w:val="auto"/>
          <w:kern w:val="2"/>
          <w:sz w:val="24"/>
          <w:szCs w:val="24"/>
          <w:lang w:val="en-US" w:eastAsia="zh-CN" w:bidi="ar-SA"/>
        </w:rPr>
        <w:t xml:space="preserve">   注：1、附以上人员相关注册证书或专业技术职称证书等扫件、加盖公章。</w:t>
      </w:r>
    </w:p>
    <w:p w14:paraId="73085400">
      <w:pPr>
        <w:pStyle w:val="17"/>
        <w:pageBreakBefore w:val="0"/>
        <w:tabs>
          <w:tab w:val="left" w:pos="5580"/>
        </w:tabs>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名称（公章）：</w:t>
      </w:r>
    </w:p>
    <w:p w14:paraId="435AB46C">
      <w:pPr>
        <w:pStyle w:val="18"/>
        <w:rPr>
          <w:rFonts w:hint="eastAsia"/>
        </w:rPr>
      </w:pPr>
    </w:p>
    <w:p w14:paraId="66AFBF1B">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法定代表人或委托代理(签字):</w:t>
      </w:r>
    </w:p>
    <w:p w14:paraId="1E634826">
      <w:pPr>
        <w:pStyle w:val="11"/>
        <w:pageBreakBefore w:val="0"/>
        <w:kinsoku/>
        <w:wordWrap/>
        <w:overflowPunct/>
        <w:topLinePunct w:val="0"/>
        <w:bidi w:val="0"/>
        <w:spacing w:before="250" w:line="520" w:lineRule="exact"/>
        <w:ind w:left="128" w:firstLine="236" w:firstLineChars="10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日</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期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年</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6"/>
          <w:sz w:val="24"/>
          <w:szCs w:val="24"/>
          <w:lang w:val="en-US" w:eastAsia="zh-CN"/>
        </w:rPr>
        <w:t xml:space="preserve"> </w:t>
      </w:r>
      <w:r>
        <w:rPr>
          <w:rFonts w:hint="eastAsia" w:ascii="微软雅黑" w:hAnsi="微软雅黑" w:eastAsia="微软雅黑" w:cs="微软雅黑"/>
          <w:spacing w:val="-2"/>
          <w:sz w:val="24"/>
          <w:szCs w:val="24"/>
        </w:rPr>
        <w:t>月</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1"/>
          <w:sz w:val="24"/>
          <w:szCs w:val="24"/>
          <w:lang w:val="en-US" w:eastAsia="zh-CN"/>
        </w:rPr>
        <w:t xml:space="preserve">     </w:t>
      </w:r>
      <w:r>
        <w:rPr>
          <w:rFonts w:hint="eastAsia" w:ascii="微软雅黑" w:hAnsi="微软雅黑" w:eastAsia="微软雅黑" w:cs="微软雅黑"/>
          <w:spacing w:val="-2"/>
          <w:sz w:val="24"/>
          <w:szCs w:val="24"/>
        </w:rPr>
        <w:t>日</w:t>
      </w:r>
    </w:p>
    <w:p w14:paraId="72A87678">
      <w:pPr>
        <w:pageBreakBefore w:val="0"/>
        <w:kinsoku/>
        <w:wordWrap/>
        <w:overflowPunct/>
        <w:topLinePunct w:val="0"/>
        <w:bidi w:val="0"/>
        <w:spacing w:line="520" w:lineRule="exact"/>
        <w:rPr>
          <w:rFonts w:hint="eastAsia" w:ascii="微软雅黑" w:hAnsi="微软雅黑" w:eastAsia="微软雅黑" w:cs="微软雅黑"/>
          <w:sz w:val="24"/>
          <w:szCs w:val="24"/>
        </w:rPr>
        <w:sectPr>
          <w:footerReference r:id="rId5" w:type="default"/>
          <w:pgSz w:w="11906" w:h="16839"/>
          <w:pgMar w:top="1440" w:right="1080" w:bottom="1440" w:left="1080" w:header="0" w:footer="1225" w:gutter="0"/>
          <w:pgNumType w:fmt="decimal" w:start="1"/>
          <w:cols w:space="720" w:num="1"/>
        </w:sectPr>
      </w:pPr>
    </w:p>
    <w:p w14:paraId="6A088FBF">
      <w:pPr>
        <w:pStyle w:val="11"/>
        <w:pageBreakBefore w:val="0"/>
        <w:kinsoku/>
        <w:wordWrap/>
        <w:overflowPunct/>
        <w:topLinePunct w:val="0"/>
        <w:bidi w:val="0"/>
        <w:spacing w:before="47" w:line="520" w:lineRule="exact"/>
        <w:ind w:left="102"/>
        <w:rPr>
          <w:rFonts w:hint="eastAsia" w:ascii="微软雅黑" w:hAnsi="微软雅黑" w:eastAsia="微软雅黑" w:cs="微软雅黑"/>
          <w:spacing w:val="-5"/>
          <w:sz w:val="24"/>
          <w:szCs w:val="24"/>
        </w:rPr>
      </w:pPr>
    </w:p>
    <w:p w14:paraId="39D6B3C8">
      <w:pPr>
        <w:pStyle w:val="11"/>
        <w:pageBreakBefore w:val="0"/>
        <w:kinsoku/>
        <w:wordWrap/>
        <w:overflowPunct/>
        <w:topLinePunct w:val="0"/>
        <w:bidi w:val="0"/>
        <w:spacing w:before="47" w:line="520" w:lineRule="exact"/>
        <w:ind w:left="102"/>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 xml:space="preserve">附件 </w:t>
      </w:r>
      <w:r>
        <w:rPr>
          <w:rFonts w:hint="eastAsia" w:ascii="微软雅黑" w:hAnsi="微软雅黑" w:eastAsia="微软雅黑" w:cs="微软雅黑"/>
          <w:spacing w:val="-5"/>
          <w:sz w:val="24"/>
          <w:szCs w:val="24"/>
          <w:lang w:val="en-US" w:eastAsia="zh-CN"/>
        </w:rPr>
        <w:t>7</w:t>
      </w:r>
      <w:r>
        <w:rPr>
          <w:rFonts w:hint="eastAsia" w:ascii="微软雅黑" w:hAnsi="微软雅黑" w:eastAsia="微软雅黑" w:cs="微软雅黑"/>
          <w:spacing w:val="-5"/>
          <w:sz w:val="24"/>
          <w:szCs w:val="24"/>
        </w:rPr>
        <w:t>.2</w:t>
      </w:r>
    </w:p>
    <w:p w14:paraId="6FE2B726">
      <w:pPr>
        <w:pStyle w:val="11"/>
        <w:pageBreakBefore w:val="0"/>
        <w:kinsoku/>
        <w:wordWrap/>
        <w:overflowPunct/>
        <w:topLinePunct w:val="0"/>
        <w:bidi w:val="0"/>
        <w:spacing w:before="305" w:line="520" w:lineRule="exact"/>
        <w:ind w:left="390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类似项目业绩一览表</w:t>
      </w:r>
    </w:p>
    <w:p w14:paraId="591875D6">
      <w:pPr>
        <w:pageBreakBefore w:val="0"/>
        <w:kinsoku/>
        <w:wordWrap/>
        <w:overflowPunct/>
        <w:topLinePunct w:val="0"/>
        <w:bidi w:val="0"/>
        <w:spacing w:before="178" w:line="520" w:lineRule="exact"/>
        <w:rPr>
          <w:rFonts w:hint="eastAsia" w:ascii="微软雅黑" w:hAnsi="微软雅黑" w:eastAsia="微软雅黑" w:cs="微软雅黑"/>
          <w:sz w:val="24"/>
          <w:szCs w:val="24"/>
        </w:rPr>
      </w:pPr>
    </w:p>
    <w:tbl>
      <w:tblPr>
        <w:tblStyle w:val="103"/>
        <w:tblW w:w="98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2507"/>
        <w:gridCol w:w="1272"/>
        <w:gridCol w:w="1226"/>
        <w:gridCol w:w="1437"/>
        <w:gridCol w:w="1328"/>
        <w:gridCol w:w="1332"/>
      </w:tblGrid>
      <w:tr w14:paraId="47D1D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1" w:hRule="atLeast"/>
        </w:trPr>
        <w:tc>
          <w:tcPr>
            <w:tcW w:w="707" w:type="dxa"/>
            <w:vAlign w:val="top"/>
          </w:tcPr>
          <w:p w14:paraId="224B19CA">
            <w:pPr>
              <w:pStyle w:val="105"/>
              <w:pageBreakBefore w:val="0"/>
              <w:kinsoku/>
              <w:wordWrap/>
              <w:overflowPunct/>
              <w:topLinePunct w:val="0"/>
              <w:bidi w:val="0"/>
              <w:spacing w:before="320" w:line="520" w:lineRule="exact"/>
              <w:ind w:left="141"/>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序号</w:t>
            </w:r>
          </w:p>
        </w:tc>
        <w:tc>
          <w:tcPr>
            <w:tcW w:w="2507" w:type="dxa"/>
            <w:vAlign w:val="top"/>
          </w:tcPr>
          <w:p w14:paraId="623C2D44">
            <w:pPr>
              <w:pStyle w:val="105"/>
              <w:pageBreakBefore w:val="0"/>
              <w:kinsoku/>
              <w:wordWrap/>
              <w:overflowPunct/>
              <w:topLinePunct w:val="0"/>
              <w:bidi w:val="0"/>
              <w:spacing w:before="322" w:line="520" w:lineRule="exact"/>
              <w:ind w:left="829"/>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项目名称</w:t>
            </w:r>
          </w:p>
        </w:tc>
        <w:tc>
          <w:tcPr>
            <w:tcW w:w="1272" w:type="dxa"/>
            <w:vAlign w:val="top"/>
          </w:tcPr>
          <w:p w14:paraId="224D5A01">
            <w:pPr>
              <w:pStyle w:val="105"/>
              <w:pageBreakBefore w:val="0"/>
              <w:kinsoku/>
              <w:wordWrap/>
              <w:overflowPunct/>
              <w:topLinePunct w:val="0"/>
              <w:bidi w:val="0"/>
              <w:spacing w:before="322" w:line="520" w:lineRule="exact"/>
              <w:ind w:left="214"/>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合同金额</w:t>
            </w:r>
          </w:p>
        </w:tc>
        <w:tc>
          <w:tcPr>
            <w:tcW w:w="1226" w:type="dxa"/>
            <w:vAlign w:val="top"/>
          </w:tcPr>
          <w:p w14:paraId="5F8039E6">
            <w:pPr>
              <w:pStyle w:val="105"/>
              <w:pageBreakBefore w:val="0"/>
              <w:kinsoku/>
              <w:wordWrap/>
              <w:overflowPunct/>
              <w:topLinePunct w:val="0"/>
              <w:bidi w:val="0"/>
              <w:spacing w:before="322" w:line="520" w:lineRule="exact"/>
              <w:ind w:left="194"/>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业主名称</w:t>
            </w:r>
          </w:p>
        </w:tc>
        <w:tc>
          <w:tcPr>
            <w:tcW w:w="1437" w:type="dxa"/>
            <w:vAlign w:val="top"/>
          </w:tcPr>
          <w:p w14:paraId="79CE6757">
            <w:pPr>
              <w:pStyle w:val="105"/>
              <w:pageBreakBefore w:val="0"/>
              <w:kinsoku/>
              <w:wordWrap/>
              <w:overflowPunct/>
              <w:topLinePunct w:val="0"/>
              <w:bidi w:val="0"/>
              <w:spacing w:before="321" w:line="520" w:lineRule="exact"/>
              <w:ind w:left="298"/>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签约时间</w:t>
            </w:r>
          </w:p>
        </w:tc>
        <w:tc>
          <w:tcPr>
            <w:tcW w:w="1328" w:type="dxa"/>
            <w:vAlign w:val="top"/>
          </w:tcPr>
          <w:p w14:paraId="31C640A4">
            <w:pPr>
              <w:pStyle w:val="105"/>
              <w:pageBreakBefore w:val="0"/>
              <w:kinsoku/>
              <w:wordWrap/>
              <w:overflowPunct/>
              <w:topLinePunct w:val="0"/>
              <w:bidi w:val="0"/>
              <w:spacing w:before="322" w:line="520" w:lineRule="exact"/>
              <w:ind w:left="245"/>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完成情况</w:t>
            </w:r>
          </w:p>
        </w:tc>
        <w:tc>
          <w:tcPr>
            <w:tcW w:w="1332" w:type="dxa"/>
            <w:vAlign w:val="top"/>
          </w:tcPr>
          <w:p w14:paraId="59F967EB">
            <w:pPr>
              <w:pStyle w:val="105"/>
              <w:pageBreakBefore w:val="0"/>
              <w:kinsoku/>
              <w:wordWrap/>
              <w:overflowPunct/>
              <w:topLinePunct w:val="0"/>
              <w:bidi w:val="0"/>
              <w:spacing w:before="320" w:line="520" w:lineRule="exact"/>
              <w:ind w:left="459"/>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备注</w:t>
            </w:r>
          </w:p>
        </w:tc>
      </w:tr>
      <w:tr w14:paraId="59638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07" w:type="dxa"/>
            <w:vAlign w:val="top"/>
          </w:tcPr>
          <w:p w14:paraId="530054A2">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0DFE2434">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2EDF1EA5">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23B34F1D">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26F1048D">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09DFF195">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3513C066">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20983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07" w:type="dxa"/>
            <w:vAlign w:val="top"/>
          </w:tcPr>
          <w:p w14:paraId="720C0FC2">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1B4E12A1">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7AEEEB0B">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2AF88A3B">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0E6D508D">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710E390B">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0A72A52E">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55AE6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07" w:type="dxa"/>
            <w:vAlign w:val="top"/>
          </w:tcPr>
          <w:p w14:paraId="63DF984F">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1B3A8FF7">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22F9A582">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45BF13B5">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46A1E371">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7C0CAA70">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1E978B05">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38F6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07" w:type="dxa"/>
            <w:vAlign w:val="top"/>
          </w:tcPr>
          <w:p w14:paraId="79DAD10C">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48E21331">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1DD9BD4F">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6B10001D">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3CCBF1C9">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143C98B6">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6C21E234">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68E72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707" w:type="dxa"/>
            <w:vAlign w:val="top"/>
          </w:tcPr>
          <w:p w14:paraId="07085B71">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607972B5">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21054C7F">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1E5033AA">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5945D3D8">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5EF5111F">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2BC6C661">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0EB42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707" w:type="dxa"/>
            <w:vAlign w:val="top"/>
          </w:tcPr>
          <w:p w14:paraId="4AEF44E0">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5DDAE7F5">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25AC159C">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18FE4011">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50679119">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2867D637">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29D707D3">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7C4F4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707" w:type="dxa"/>
            <w:vAlign w:val="top"/>
          </w:tcPr>
          <w:p w14:paraId="7104A5D6">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275CF497">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64704EF9">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1CDBE300">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72AC7114">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1B2E1370">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7FE1D3D3">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421DD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707" w:type="dxa"/>
            <w:vAlign w:val="top"/>
          </w:tcPr>
          <w:p w14:paraId="48968C5E">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1F181EA7">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2CF2D22E">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022EAE28">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57147793">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0C17F2B3">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76E7A560">
            <w:pPr>
              <w:pageBreakBefore w:val="0"/>
              <w:kinsoku/>
              <w:wordWrap/>
              <w:overflowPunct/>
              <w:topLinePunct w:val="0"/>
              <w:bidi w:val="0"/>
              <w:spacing w:line="520" w:lineRule="exact"/>
              <w:rPr>
                <w:rFonts w:hint="eastAsia" w:ascii="微软雅黑" w:hAnsi="微软雅黑" w:eastAsia="微软雅黑" w:cs="微软雅黑"/>
                <w:sz w:val="24"/>
                <w:szCs w:val="24"/>
              </w:rPr>
            </w:pPr>
          </w:p>
        </w:tc>
      </w:tr>
    </w:tbl>
    <w:p w14:paraId="01DD3ABF">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7DDC8DA8">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551F373B">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0148F59D">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1D56AEC0">
      <w:pPr>
        <w:pStyle w:val="17"/>
        <w:pageBreakBefore w:val="0"/>
        <w:tabs>
          <w:tab w:val="left" w:pos="5580"/>
        </w:tabs>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名称（公章）：</w:t>
      </w:r>
    </w:p>
    <w:p w14:paraId="1905D476">
      <w:pPr>
        <w:pStyle w:val="18"/>
        <w:rPr>
          <w:rFonts w:hint="eastAsia"/>
        </w:rPr>
      </w:pPr>
    </w:p>
    <w:p w14:paraId="6F552AD9">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法定代表人或委托代理(签字):</w:t>
      </w:r>
    </w:p>
    <w:p w14:paraId="146C0364">
      <w:pPr>
        <w:pStyle w:val="11"/>
        <w:pageBreakBefore w:val="0"/>
        <w:kinsoku/>
        <w:wordWrap/>
        <w:overflowPunct/>
        <w:topLinePunct w:val="0"/>
        <w:bidi w:val="0"/>
        <w:spacing w:before="250" w:line="520" w:lineRule="exact"/>
        <w:ind w:left="53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日</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期 ：</w:t>
      </w:r>
      <w:r>
        <w:rPr>
          <w:rFonts w:hint="eastAsia" w:ascii="微软雅黑" w:hAnsi="微软雅黑" w:eastAsia="微软雅黑" w:cs="微软雅黑"/>
          <w:spacing w:val="51"/>
          <w:w w:val="101"/>
          <w:sz w:val="24"/>
          <w:szCs w:val="24"/>
        </w:rPr>
        <w:t xml:space="preserve"> </w:t>
      </w:r>
      <w:r>
        <w:rPr>
          <w:rFonts w:hint="eastAsia" w:ascii="微软雅黑" w:hAnsi="微软雅黑" w:eastAsia="微软雅黑" w:cs="微软雅黑"/>
          <w:spacing w:val="51"/>
          <w:w w:val="101"/>
          <w:sz w:val="24"/>
          <w:szCs w:val="24"/>
          <w:lang w:val="en-US" w:eastAsia="zh-CN"/>
        </w:rPr>
        <w:t xml:space="preserve"> </w:t>
      </w:r>
      <w:r>
        <w:rPr>
          <w:rFonts w:hint="eastAsia" w:ascii="微软雅黑" w:hAnsi="微软雅黑" w:eastAsia="微软雅黑" w:cs="微软雅黑"/>
          <w:spacing w:val="-2"/>
          <w:sz w:val="24"/>
          <w:szCs w:val="24"/>
        </w:rPr>
        <w:t>年</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6"/>
          <w:sz w:val="24"/>
          <w:szCs w:val="24"/>
          <w:lang w:val="en-US" w:eastAsia="zh-CN"/>
        </w:rPr>
        <w:t xml:space="preserve"> </w:t>
      </w:r>
      <w:r>
        <w:rPr>
          <w:rFonts w:hint="eastAsia" w:ascii="微软雅黑" w:hAnsi="微软雅黑" w:eastAsia="微软雅黑" w:cs="微软雅黑"/>
          <w:spacing w:val="60"/>
          <w:sz w:val="24"/>
          <w:szCs w:val="24"/>
        </w:rPr>
        <w:t xml:space="preserve"> </w:t>
      </w:r>
      <w:r>
        <w:rPr>
          <w:rFonts w:hint="eastAsia" w:ascii="微软雅黑" w:hAnsi="微软雅黑" w:eastAsia="微软雅黑" w:cs="微软雅黑"/>
          <w:spacing w:val="-2"/>
          <w:sz w:val="24"/>
          <w:szCs w:val="24"/>
        </w:rPr>
        <w:t>月</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6"/>
          <w:sz w:val="24"/>
          <w:szCs w:val="24"/>
          <w:lang w:val="en-US" w:eastAsia="zh-CN"/>
        </w:rPr>
        <w:t xml:space="preserve"> </w:t>
      </w:r>
      <w:r>
        <w:rPr>
          <w:rFonts w:hint="eastAsia" w:ascii="微软雅黑" w:hAnsi="微软雅黑" w:eastAsia="微软雅黑" w:cs="微软雅黑"/>
          <w:spacing w:val="-2"/>
          <w:sz w:val="24"/>
          <w:szCs w:val="24"/>
        </w:rPr>
        <w:t>日</w:t>
      </w:r>
    </w:p>
    <w:p w14:paraId="3081D0DC">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7F6D2769">
      <w:pPr>
        <w:pageBreakBefore w:val="0"/>
        <w:widowControl w:val="0"/>
        <w:numPr>
          <w:ilvl w:val="0"/>
          <w:numId w:val="0"/>
        </w:numPr>
        <w:kinsoku/>
        <w:wordWrap/>
        <w:overflowPunct/>
        <w:topLinePunct w:val="0"/>
        <w:bidi w:val="0"/>
        <w:spacing w:before="74" w:line="520" w:lineRule="exact"/>
        <w:jc w:val="both"/>
        <w:outlineLvl w:val="9"/>
        <w:rPr>
          <w:rFonts w:hint="eastAsia" w:ascii="微软雅黑" w:hAnsi="微软雅黑" w:eastAsia="微软雅黑" w:cs="微软雅黑"/>
          <w:b/>
          <w:bCs/>
          <w:color w:val="auto"/>
          <w:kern w:val="2"/>
          <w:sz w:val="24"/>
          <w:szCs w:val="24"/>
          <w:lang w:val="en-US" w:eastAsia="zh-CN" w:bidi="ar-SA"/>
        </w:rPr>
      </w:pPr>
      <w:r>
        <w:rPr>
          <w:rFonts w:hint="eastAsia" w:ascii="微软雅黑" w:hAnsi="微软雅黑" w:eastAsia="微软雅黑" w:cs="微软雅黑"/>
          <w:spacing w:val="-4"/>
          <w:sz w:val="24"/>
          <w:szCs w:val="24"/>
        </w:rPr>
        <w:t>注 ：参照“第六章评分方法和标准” ，提供其他有力于供应商的其他证明材料等</w:t>
      </w:r>
    </w:p>
    <w:p w14:paraId="02C07159">
      <w:pPr>
        <w:pageBreakBefore w:val="0"/>
        <w:widowControl w:val="0"/>
        <w:numPr>
          <w:ilvl w:val="0"/>
          <w:numId w:val="0"/>
        </w:numPr>
        <w:kinsoku/>
        <w:wordWrap/>
        <w:overflowPunct/>
        <w:topLinePunct w:val="0"/>
        <w:bidi w:val="0"/>
        <w:spacing w:before="74" w:line="520" w:lineRule="exact"/>
        <w:jc w:val="both"/>
        <w:outlineLvl w:val="9"/>
        <w:rPr>
          <w:rFonts w:hint="eastAsia" w:ascii="微软雅黑" w:hAnsi="微软雅黑" w:eastAsia="微软雅黑" w:cs="微软雅黑"/>
          <w:b/>
          <w:bCs/>
          <w:color w:val="auto"/>
          <w:kern w:val="2"/>
          <w:sz w:val="24"/>
          <w:szCs w:val="24"/>
          <w:lang w:val="en-US" w:eastAsia="zh-CN" w:bidi="ar-SA"/>
        </w:rPr>
      </w:pPr>
    </w:p>
    <w:p w14:paraId="3DF83851">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rPr>
      </w:pPr>
      <w:bookmarkStart w:id="667" w:name="_Toc26156"/>
      <w:bookmarkStart w:id="668" w:name="_Toc1459"/>
      <w:bookmarkStart w:id="669" w:name="_Toc31624"/>
      <w:r>
        <w:rPr>
          <w:rFonts w:hint="eastAsia" w:ascii="微软雅黑" w:hAnsi="微软雅黑" w:eastAsia="微软雅黑" w:cs="微软雅黑"/>
          <w:b/>
          <w:color w:val="auto"/>
          <w:kern w:val="0"/>
          <w:sz w:val="24"/>
          <w:szCs w:val="20"/>
          <w:lang w:val="en-US" w:eastAsia="zh-CN"/>
        </w:rPr>
        <w:t>8</w:t>
      </w:r>
      <w:r>
        <w:rPr>
          <w:rFonts w:hint="eastAsia" w:ascii="微软雅黑" w:hAnsi="微软雅黑" w:eastAsia="微软雅黑" w:cs="微软雅黑"/>
          <w:b/>
          <w:color w:val="auto"/>
          <w:kern w:val="0"/>
          <w:sz w:val="24"/>
          <w:szCs w:val="20"/>
        </w:rPr>
        <w:t>、响应文件格式范本</w:t>
      </w:r>
      <w:bookmarkEnd w:id="667"/>
      <w:bookmarkEnd w:id="668"/>
      <w:bookmarkEnd w:id="669"/>
    </w:p>
    <w:tbl>
      <w:tblPr>
        <w:tblStyle w:val="38"/>
        <w:tblpPr w:leftFromText="180" w:rightFromText="180" w:vertAnchor="text" w:horzAnchor="page" w:tblpX="1343" w:tblpY="413"/>
        <w:tblOverlap w:val="never"/>
        <w:tblW w:w="960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600"/>
      </w:tblGrid>
      <w:tr w14:paraId="54570089">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979" w:hRule="atLeast"/>
        </w:trPr>
        <w:tc>
          <w:tcPr>
            <w:tcW w:w="9600" w:type="dxa"/>
            <w:shd w:val="clear" w:color="auto" w:fill="FCFEEA"/>
          </w:tcPr>
          <w:p w14:paraId="2CED1AD2">
            <w:pPr>
              <w:pStyle w:val="11"/>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xml:space="preserve">                                                （正本/副本）</w:t>
            </w:r>
          </w:p>
          <w:p w14:paraId="4970BCD0">
            <w:pPr>
              <w:pStyle w:val="11"/>
              <w:pageBreakBefore w:val="0"/>
              <w:kinsoku/>
              <w:wordWrap/>
              <w:overflowPunct/>
              <w:topLinePunct w:val="0"/>
              <w:bidi w:val="0"/>
              <w:snapToGrid w:val="0"/>
              <w:spacing w:line="520" w:lineRule="exact"/>
              <w:ind w:firstLine="4202" w:firstLineChars="1500"/>
              <w:textAlignment w:val="baseline"/>
              <w:rPr>
                <w:rFonts w:ascii="微软雅黑" w:hAnsi="微软雅黑" w:eastAsia="微软雅黑" w:cs="微软雅黑"/>
                <w:b/>
                <w:bCs/>
                <w:color w:val="auto"/>
                <w:sz w:val="28"/>
                <w:szCs w:val="28"/>
              </w:rPr>
            </w:pPr>
          </w:p>
          <w:p w14:paraId="283D0E9F">
            <w:pPr>
              <w:pStyle w:val="11"/>
              <w:pageBreakBefore w:val="0"/>
              <w:kinsoku/>
              <w:wordWrap/>
              <w:overflowPunct/>
              <w:topLinePunct w:val="0"/>
              <w:bidi w:val="0"/>
              <w:snapToGrid w:val="0"/>
              <w:spacing w:line="520" w:lineRule="exact"/>
              <w:textAlignment w:val="baseline"/>
              <w:rPr>
                <w:rFonts w:ascii="微软雅黑" w:hAnsi="微软雅黑" w:eastAsia="微软雅黑" w:cs="微软雅黑"/>
                <w:b/>
                <w:bCs/>
                <w:color w:val="auto"/>
                <w:sz w:val="28"/>
                <w:szCs w:val="28"/>
              </w:rPr>
            </w:pPr>
          </w:p>
          <w:p w14:paraId="35531C53">
            <w:pPr>
              <w:pStyle w:val="11"/>
              <w:pageBreakBefore w:val="0"/>
              <w:kinsoku/>
              <w:wordWrap/>
              <w:overflowPunct/>
              <w:topLinePunct w:val="0"/>
              <w:bidi w:val="0"/>
              <w:snapToGrid w:val="0"/>
              <w:spacing w:line="520" w:lineRule="exact"/>
              <w:ind w:firstLine="2521" w:firstLineChars="900"/>
              <w:textAlignment w:val="baseline"/>
              <w:rPr>
                <w:rFonts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 *** *** ***   项目***</w:t>
            </w:r>
          </w:p>
          <w:p w14:paraId="25A4C4CF">
            <w:pPr>
              <w:pStyle w:val="11"/>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1"/>
                <w:szCs w:val="21"/>
              </w:rPr>
            </w:pPr>
          </w:p>
          <w:p w14:paraId="7560C5FC">
            <w:pPr>
              <w:pStyle w:val="11"/>
              <w:pageBreakBefore w:val="0"/>
              <w:kinsoku/>
              <w:wordWrap/>
              <w:overflowPunct/>
              <w:topLinePunct w:val="0"/>
              <w:bidi w:val="0"/>
              <w:snapToGrid w:val="0"/>
              <w:spacing w:line="520" w:lineRule="exact"/>
              <w:ind w:firstLine="3152" w:firstLineChars="1500"/>
              <w:textAlignment w:val="baseline"/>
              <w:rPr>
                <w:rFonts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编号 ＊＊＊</w:t>
            </w:r>
          </w:p>
          <w:p w14:paraId="22D89447">
            <w:pPr>
              <w:pStyle w:val="11"/>
              <w:pageBreakBefore w:val="0"/>
              <w:kinsoku/>
              <w:wordWrap/>
              <w:overflowPunct/>
              <w:topLinePunct w:val="0"/>
              <w:bidi w:val="0"/>
              <w:snapToGrid w:val="0"/>
              <w:spacing w:line="520" w:lineRule="exact"/>
              <w:jc w:val="both"/>
              <w:textAlignment w:val="baseline"/>
              <w:rPr>
                <w:rFonts w:ascii="微软雅黑" w:hAnsi="微软雅黑" w:eastAsia="微软雅黑" w:cs="微软雅黑"/>
                <w:b/>
                <w:bCs/>
                <w:color w:val="auto"/>
                <w:sz w:val="48"/>
              </w:rPr>
            </w:pPr>
          </w:p>
          <w:p w14:paraId="441A626C">
            <w:pPr>
              <w:pStyle w:val="11"/>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48"/>
              </w:rPr>
            </w:pPr>
            <w:r>
              <w:rPr>
                <w:rFonts w:hint="eastAsia" w:ascii="微软雅黑" w:hAnsi="微软雅黑" w:eastAsia="微软雅黑" w:cs="微软雅黑"/>
                <w:b/>
                <w:bCs/>
                <w:color w:val="auto"/>
                <w:sz w:val="48"/>
              </w:rPr>
              <w:t>响 应 文 件</w:t>
            </w:r>
          </w:p>
          <w:p w14:paraId="77CD9706">
            <w:pPr>
              <w:pStyle w:val="7"/>
              <w:pageBreakBefore w:val="0"/>
              <w:kinsoku/>
              <w:wordWrap/>
              <w:overflowPunct/>
              <w:topLinePunct w:val="0"/>
              <w:bidi w:val="0"/>
              <w:snapToGrid w:val="0"/>
              <w:spacing w:line="520" w:lineRule="exact"/>
              <w:ind w:firstLine="0"/>
              <w:textAlignment w:val="baseline"/>
              <w:rPr>
                <w:rFonts w:ascii="微软雅黑" w:hAnsi="微软雅黑" w:eastAsia="微软雅黑" w:cs="微软雅黑"/>
                <w:b/>
                <w:color w:val="auto"/>
                <w:sz w:val="32"/>
              </w:rPr>
            </w:pPr>
          </w:p>
          <w:p w14:paraId="5D370061">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rPr>
            </w:pPr>
            <w:r>
              <w:rPr>
                <w:rFonts w:hint="eastAsia" w:ascii="微软雅黑" w:hAnsi="微软雅黑" w:eastAsia="微软雅黑" w:cs="微软雅黑"/>
                <w:color w:val="auto"/>
                <w:szCs w:val="21"/>
              </w:rPr>
              <w:t>磋商单位：</w:t>
            </w:r>
            <w:r>
              <w:rPr>
                <w:rFonts w:hint="eastAsia" w:ascii="微软雅黑" w:hAnsi="微软雅黑" w:eastAsia="微软雅黑" w:cs="微软雅黑"/>
                <w:color w:val="auto"/>
                <w:szCs w:val="21"/>
                <w:u w:val="single" w:color="000000"/>
              </w:rPr>
              <w:t xml:space="preserve">                                       </w:t>
            </w:r>
            <w:r>
              <w:rPr>
                <w:rFonts w:hint="eastAsia" w:ascii="微软雅黑" w:hAnsi="微软雅黑" w:eastAsia="微软雅黑" w:cs="微软雅黑"/>
                <w:color w:val="auto"/>
                <w:szCs w:val="21"/>
              </w:rPr>
              <w:t>（公章）</w:t>
            </w:r>
          </w:p>
          <w:p w14:paraId="1105EB90">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项目名称：</w:t>
            </w:r>
            <w:r>
              <w:rPr>
                <w:rFonts w:hint="eastAsia" w:ascii="微软雅黑" w:hAnsi="微软雅黑" w:eastAsia="微软雅黑" w:cs="微软雅黑"/>
                <w:color w:val="auto"/>
                <w:szCs w:val="21"/>
                <w:u w:val="single" w:color="000000"/>
              </w:rPr>
              <w:t xml:space="preserve">                                          </w:t>
            </w:r>
          </w:p>
          <w:p w14:paraId="6E4A71D8">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项目编号：</w:t>
            </w:r>
            <w:r>
              <w:rPr>
                <w:rFonts w:hint="eastAsia" w:ascii="微软雅黑" w:hAnsi="微软雅黑" w:eastAsia="微软雅黑" w:cs="微软雅黑"/>
                <w:color w:val="auto"/>
                <w:szCs w:val="21"/>
                <w:u w:val="single" w:color="000000"/>
              </w:rPr>
              <w:t xml:space="preserve">                                        </w:t>
            </w:r>
          </w:p>
          <w:p w14:paraId="37698FE2">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联 系 人：</w:t>
            </w:r>
            <w:r>
              <w:rPr>
                <w:rFonts w:hint="eastAsia" w:ascii="微软雅黑" w:hAnsi="微软雅黑" w:eastAsia="微软雅黑" w:cs="微软雅黑"/>
                <w:color w:val="auto"/>
                <w:szCs w:val="21"/>
                <w:u w:val="single" w:color="000000"/>
              </w:rPr>
              <w:t xml:space="preserve">                                        </w:t>
            </w:r>
          </w:p>
          <w:p w14:paraId="7B43F925">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rPr>
            </w:pPr>
            <w:r>
              <w:rPr>
                <w:rFonts w:hint="eastAsia" w:ascii="微软雅黑" w:hAnsi="微软雅黑" w:eastAsia="微软雅黑" w:cs="微软雅黑"/>
                <w:color w:val="auto"/>
                <w:szCs w:val="21"/>
              </w:rPr>
              <w:t>电    话：</w:t>
            </w:r>
            <w:r>
              <w:rPr>
                <w:rFonts w:hint="eastAsia" w:ascii="微软雅黑" w:hAnsi="微软雅黑" w:eastAsia="微软雅黑" w:cs="微软雅黑"/>
                <w:color w:val="auto"/>
                <w:szCs w:val="21"/>
                <w:u w:val="single" w:color="000000"/>
              </w:rPr>
              <w:t xml:space="preserve">                                        </w:t>
            </w:r>
          </w:p>
          <w:p w14:paraId="21231D58">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 xml:space="preserve">地    址  ：  </w:t>
            </w:r>
            <w:r>
              <w:rPr>
                <w:rFonts w:hint="eastAsia" w:ascii="微软雅黑" w:hAnsi="微软雅黑" w:eastAsia="微软雅黑" w:cs="微软雅黑"/>
                <w:color w:val="auto"/>
                <w:szCs w:val="21"/>
                <w:u w:val="single" w:color="000000"/>
              </w:rPr>
              <w:t xml:space="preserve">                                    </w:t>
            </w:r>
          </w:p>
          <w:p w14:paraId="54E89694">
            <w:pPr>
              <w:pageBreakBefore w:val="0"/>
              <w:kinsoku/>
              <w:wordWrap/>
              <w:overflowPunct/>
              <w:topLinePunct w:val="0"/>
              <w:bidi w:val="0"/>
              <w:snapToGrid w:val="0"/>
              <w:spacing w:line="520" w:lineRule="exact"/>
              <w:jc w:val="both"/>
              <w:textAlignment w:val="baseline"/>
              <w:rPr>
                <w:rFonts w:ascii="微软雅黑" w:hAnsi="微软雅黑" w:eastAsia="微软雅黑" w:cs="微软雅黑"/>
                <w:b/>
                <w:bCs/>
                <w:color w:val="auto"/>
                <w:sz w:val="20"/>
              </w:rPr>
            </w:pPr>
          </w:p>
          <w:p w14:paraId="1B20E69D">
            <w:pPr>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0"/>
              </w:rPr>
            </w:pPr>
          </w:p>
          <w:p w14:paraId="6756E449">
            <w:pPr>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0"/>
              </w:rPr>
            </w:pPr>
            <w:r>
              <w:rPr>
                <w:rFonts w:hint="eastAsia" w:ascii="微软雅黑" w:hAnsi="微软雅黑" w:eastAsia="微软雅黑" w:cs="微软雅黑"/>
                <w:b/>
                <w:bCs/>
                <w:color w:val="auto"/>
              </w:rPr>
              <w:t>注：   在20XX年   月  日 X午</w:t>
            </w:r>
            <w:r>
              <w:rPr>
                <w:rFonts w:hint="eastAsia" w:ascii="微软雅黑" w:hAnsi="微软雅黑" w:eastAsia="微软雅黑" w:cs="微软雅黑"/>
                <w:color w:val="auto"/>
                <w:kern w:val="0"/>
                <w:szCs w:val="21"/>
              </w:rPr>
              <w:t>XX</w:t>
            </w:r>
            <w:r>
              <w:rPr>
                <w:rFonts w:hint="eastAsia" w:ascii="微软雅黑" w:hAnsi="微软雅黑" w:eastAsia="微软雅黑" w:cs="微软雅黑"/>
                <w:b/>
                <w:bCs/>
                <w:color w:val="auto"/>
              </w:rPr>
              <w:t>之前不得启封</w:t>
            </w:r>
          </w:p>
          <w:p w14:paraId="2AA929AC">
            <w:pPr>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0"/>
              </w:rPr>
            </w:pPr>
          </w:p>
        </w:tc>
      </w:tr>
    </w:tbl>
    <w:p w14:paraId="3ADF1D7D">
      <w:pPr>
        <w:pageBreakBefore w:val="0"/>
        <w:kinsoku/>
        <w:wordWrap/>
        <w:overflowPunct/>
        <w:topLinePunct w:val="0"/>
        <w:bidi w:val="0"/>
        <w:snapToGrid w:val="0"/>
        <w:spacing w:line="520" w:lineRule="exact"/>
        <w:textAlignment w:val="baseline"/>
        <w:rPr>
          <w:rFonts w:ascii="微软雅黑" w:hAnsi="微软雅黑" w:eastAsia="微软雅黑" w:cs="微软雅黑"/>
          <w:b/>
          <w:color w:val="auto"/>
          <w:sz w:val="30"/>
          <w:szCs w:val="30"/>
        </w:rPr>
      </w:pPr>
    </w:p>
    <w:bookmarkEnd w:id="593"/>
    <w:bookmarkEnd w:id="594"/>
    <w:bookmarkEnd w:id="595"/>
    <w:bookmarkEnd w:id="596"/>
    <w:p w14:paraId="796906AD">
      <w:pPr>
        <w:pageBreakBefore w:val="0"/>
        <w:kinsoku/>
        <w:wordWrap/>
        <w:overflowPunct/>
        <w:topLinePunct w:val="0"/>
        <w:bidi w:val="0"/>
        <w:snapToGrid w:val="0"/>
        <w:spacing w:line="520" w:lineRule="exact"/>
        <w:jc w:val="center"/>
        <w:textAlignment w:val="baseline"/>
        <w:outlineLvl w:val="9"/>
        <w:rPr>
          <w:rFonts w:ascii="微软雅黑" w:hAnsi="微软雅黑" w:eastAsia="微软雅黑" w:cs="微软雅黑"/>
          <w:b/>
          <w:sz w:val="44"/>
          <w:szCs w:val="44"/>
        </w:rPr>
      </w:pPr>
      <w:bookmarkStart w:id="670" w:name="_Toc16370"/>
      <w:bookmarkStart w:id="671" w:name="_Toc515647829"/>
      <w:bookmarkStart w:id="672" w:name="_Toc507399902"/>
      <w:bookmarkStart w:id="673" w:name="_Toc216582822"/>
      <w:bookmarkStart w:id="674" w:name="_Toc219175634"/>
      <w:bookmarkStart w:id="675" w:name="_Toc28765"/>
      <w:bookmarkStart w:id="676" w:name="_Toc218935350"/>
    </w:p>
    <w:p w14:paraId="244336C9">
      <w:pPr>
        <w:pageBreakBefore w:val="0"/>
        <w:kinsoku/>
        <w:wordWrap/>
        <w:overflowPunct/>
        <w:topLinePunct w:val="0"/>
        <w:bidi w:val="0"/>
        <w:spacing w:line="520" w:lineRule="exact"/>
        <w:outlineLvl w:val="9"/>
        <w:rPr>
          <w:rFonts w:ascii="微软雅黑" w:hAnsi="微软雅黑" w:eastAsia="微软雅黑" w:cs="微软雅黑"/>
          <w:b/>
          <w:sz w:val="44"/>
          <w:szCs w:val="44"/>
        </w:rPr>
      </w:pPr>
    </w:p>
    <w:p w14:paraId="6653DF21">
      <w:pPr>
        <w:pStyle w:val="37"/>
        <w:pageBreakBefore w:val="0"/>
        <w:kinsoku/>
        <w:wordWrap/>
        <w:overflowPunct/>
        <w:topLinePunct w:val="0"/>
        <w:bidi w:val="0"/>
        <w:spacing w:line="520" w:lineRule="exact"/>
        <w:rPr>
          <w:rFonts w:ascii="微软雅黑" w:hAnsi="微软雅黑" w:eastAsia="微软雅黑" w:cs="微软雅黑"/>
          <w:b/>
          <w:sz w:val="44"/>
          <w:szCs w:val="44"/>
        </w:rPr>
      </w:pPr>
    </w:p>
    <w:p w14:paraId="54612E15">
      <w:pPr>
        <w:pageBreakBefore w:val="0"/>
        <w:kinsoku/>
        <w:wordWrap/>
        <w:overflowPunct/>
        <w:topLinePunct w:val="0"/>
        <w:bidi w:val="0"/>
        <w:spacing w:line="520" w:lineRule="exact"/>
        <w:rPr>
          <w:rFonts w:ascii="微软雅黑" w:hAnsi="微软雅黑" w:eastAsia="微软雅黑" w:cs="微软雅黑"/>
          <w:b/>
          <w:sz w:val="44"/>
          <w:szCs w:val="44"/>
        </w:rPr>
      </w:pPr>
    </w:p>
    <w:p w14:paraId="37A3B98D">
      <w:pPr>
        <w:pStyle w:val="37"/>
        <w:pageBreakBefore w:val="0"/>
        <w:kinsoku/>
        <w:wordWrap/>
        <w:overflowPunct/>
        <w:topLinePunct w:val="0"/>
        <w:bidi w:val="0"/>
        <w:spacing w:line="520" w:lineRule="exact"/>
      </w:pPr>
    </w:p>
    <w:p w14:paraId="721DF4C0">
      <w:pPr>
        <w:pageBreakBefore w:val="0"/>
        <w:kinsoku/>
        <w:wordWrap/>
        <w:overflowPunct/>
        <w:topLinePunct w:val="0"/>
        <w:bidi w:val="0"/>
        <w:spacing w:line="520" w:lineRule="exact"/>
        <w:outlineLvl w:val="9"/>
        <w:rPr>
          <w:rFonts w:ascii="微软雅黑" w:hAnsi="微软雅黑" w:eastAsia="微软雅黑" w:cs="微软雅黑"/>
          <w:b/>
          <w:sz w:val="44"/>
          <w:szCs w:val="44"/>
        </w:rPr>
      </w:pPr>
    </w:p>
    <w:p w14:paraId="53903D02">
      <w:pPr>
        <w:pageBreakBefore w:val="0"/>
        <w:kinsoku/>
        <w:wordWrap/>
        <w:overflowPunct/>
        <w:topLinePunct w:val="0"/>
        <w:bidi w:val="0"/>
        <w:spacing w:line="520" w:lineRule="exact"/>
        <w:outlineLvl w:val="9"/>
        <w:rPr>
          <w:rFonts w:ascii="微软雅黑" w:hAnsi="微软雅黑" w:eastAsia="微软雅黑" w:cs="微软雅黑"/>
          <w:b/>
          <w:sz w:val="44"/>
          <w:szCs w:val="44"/>
        </w:rPr>
      </w:pPr>
    </w:p>
    <w:p w14:paraId="5A875D82">
      <w:pPr>
        <w:pageBreakBefore w:val="0"/>
        <w:kinsoku/>
        <w:wordWrap/>
        <w:overflowPunct/>
        <w:topLinePunct w:val="0"/>
        <w:bidi w:val="0"/>
        <w:spacing w:line="360" w:lineRule="auto"/>
      </w:pPr>
    </w:p>
    <w:p w14:paraId="6254E440">
      <w:pPr>
        <w:pageBreakBefore w:val="0"/>
        <w:kinsoku/>
        <w:wordWrap/>
        <w:overflowPunct/>
        <w:topLinePunct w:val="0"/>
        <w:bidi w:val="0"/>
        <w:snapToGrid w:val="0"/>
        <w:spacing w:line="360" w:lineRule="auto"/>
        <w:jc w:val="center"/>
        <w:textAlignment w:val="baseline"/>
        <w:rPr>
          <w:rFonts w:hint="eastAsia" w:ascii="微软雅黑" w:hAnsi="微软雅黑" w:eastAsia="微软雅黑" w:cs="微软雅黑"/>
          <w:b/>
          <w:sz w:val="48"/>
          <w:szCs w:val="48"/>
        </w:rPr>
      </w:pPr>
      <w:r>
        <w:rPr>
          <w:rFonts w:hint="eastAsia" w:ascii="微软雅黑" w:hAnsi="微软雅黑" w:eastAsia="微软雅黑" w:cs="微软雅黑"/>
          <w:b/>
          <w:sz w:val="52"/>
          <w:szCs w:val="52"/>
        </w:rPr>
        <w:t>竞争性磋商文件</w:t>
      </w:r>
    </w:p>
    <w:p w14:paraId="68764F73">
      <w:pPr>
        <w:pageBreakBefore w:val="0"/>
        <w:kinsoku/>
        <w:wordWrap/>
        <w:overflowPunct/>
        <w:topLinePunct w:val="0"/>
        <w:bidi w:val="0"/>
        <w:snapToGrid w:val="0"/>
        <w:spacing w:line="360" w:lineRule="auto"/>
        <w:jc w:val="center"/>
        <w:textAlignment w:val="baseline"/>
        <w:rPr>
          <w:rFonts w:ascii="微软雅黑" w:hAnsi="微软雅黑" w:eastAsia="微软雅黑" w:cs="微软雅黑"/>
          <w:b/>
          <w:sz w:val="48"/>
          <w:szCs w:val="48"/>
        </w:rPr>
      </w:pPr>
      <w:r>
        <w:rPr>
          <w:rFonts w:hint="eastAsia" w:ascii="微软雅黑" w:hAnsi="微软雅黑" w:eastAsia="微软雅黑" w:cs="微软雅黑"/>
          <w:b/>
          <w:sz w:val="48"/>
          <w:szCs w:val="48"/>
        </w:rPr>
        <w:t>第二册</w:t>
      </w:r>
    </w:p>
    <w:p w14:paraId="6A1CF8EB">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280E299A">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153A397A">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05F29E71">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6BCEEC93">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15947D9F">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18DFE5A6">
      <w:pPr>
        <w:pStyle w:val="13"/>
        <w:pageBreakBefore w:val="0"/>
        <w:kinsoku/>
        <w:wordWrap/>
        <w:overflowPunct/>
        <w:topLinePunct w:val="0"/>
        <w:bidi w:val="0"/>
        <w:snapToGrid w:val="0"/>
        <w:spacing w:line="520" w:lineRule="exact"/>
        <w:ind w:firstLine="560"/>
        <w:textAlignment w:val="baseline"/>
        <w:rPr>
          <w:rFonts w:ascii="微软雅黑" w:hAnsi="微软雅黑" w:eastAsia="微软雅黑" w:cs="微软雅黑"/>
          <w:b/>
          <w:sz w:val="28"/>
        </w:rPr>
      </w:pPr>
    </w:p>
    <w:p w14:paraId="0F319D7D">
      <w:pPr>
        <w:pStyle w:val="13"/>
        <w:pageBreakBefore w:val="0"/>
        <w:kinsoku/>
        <w:wordWrap/>
        <w:overflowPunct/>
        <w:topLinePunct w:val="0"/>
        <w:bidi w:val="0"/>
        <w:snapToGrid w:val="0"/>
        <w:spacing w:line="520" w:lineRule="exact"/>
        <w:ind w:firstLine="560"/>
        <w:textAlignment w:val="baseline"/>
        <w:rPr>
          <w:rFonts w:ascii="微软雅黑" w:hAnsi="微软雅黑" w:eastAsia="微软雅黑" w:cs="微软雅黑"/>
          <w:b/>
          <w:sz w:val="28"/>
        </w:rPr>
      </w:pPr>
    </w:p>
    <w:p w14:paraId="6892EBB4">
      <w:pPr>
        <w:pStyle w:val="13"/>
        <w:pageBreakBefore w:val="0"/>
        <w:kinsoku/>
        <w:wordWrap/>
        <w:overflowPunct/>
        <w:topLinePunct w:val="0"/>
        <w:bidi w:val="0"/>
        <w:snapToGrid w:val="0"/>
        <w:spacing w:line="520" w:lineRule="exact"/>
        <w:ind w:firstLine="560"/>
        <w:textAlignment w:val="baseline"/>
        <w:rPr>
          <w:rFonts w:ascii="微软雅黑" w:hAnsi="微软雅黑" w:eastAsia="微软雅黑" w:cs="微软雅黑"/>
          <w:b/>
          <w:sz w:val="28"/>
        </w:rPr>
      </w:pPr>
    </w:p>
    <w:p w14:paraId="4F3FA4FB">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1FC29BDA">
      <w:pPr>
        <w:pStyle w:val="7"/>
        <w:pageBreakBefore w:val="0"/>
        <w:kinsoku/>
        <w:wordWrap/>
        <w:overflowPunct/>
        <w:topLinePunct w:val="0"/>
        <w:bidi w:val="0"/>
        <w:snapToGrid w:val="0"/>
        <w:spacing w:line="520" w:lineRule="exact"/>
        <w:ind w:firstLine="0"/>
        <w:textAlignment w:val="baseline"/>
        <w:rPr>
          <w:rFonts w:ascii="微软雅黑" w:hAnsi="微软雅黑" w:eastAsia="微软雅黑" w:cs="微软雅黑"/>
          <w:b/>
          <w:sz w:val="52"/>
        </w:rPr>
      </w:pPr>
    </w:p>
    <w:p w14:paraId="264F32C3">
      <w:pPr>
        <w:pStyle w:val="2"/>
        <w:pageBreakBefore w:val="0"/>
        <w:tabs>
          <w:tab w:val="left" w:pos="0"/>
        </w:tabs>
        <w:kinsoku/>
        <w:wordWrap/>
        <w:overflowPunct/>
        <w:topLinePunct w:val="0"/>
        <w:bidi w:val="0"/>
        <w:snapToGrid w:val="0"/>
        <w:spacing w:before="0" w:after="0" w:line="520" w:lineRule="exact"/>
        <w:textAlignment w:val="baseline"/>
        <w:rPr>
          <w:rFonts w:ascii="微软雅黑" w:hAnsi="微软雅黑" w:eastAsia="微软雅黑" w:cs="微软雅黑"/>
        </w:rPr>
      </w:pPr>
      <w:bookmarkStart w:id="677" w:name="_Toc22088"/>
      <w:bookmarkStart w:id="678" w:name="_Toc10311"/>
      <w:r>
        <w:rPr>
          <w:rFonts w:hint="eastAsia" w:ascii="微软雅黑" w:hAnsi="微软雅黑" w:eastAsia="微软雅黑" w:cs="微软雅黑"/>
        </w:rPr>
        <w:t>第3章 磋商邀请</w:t>
      </w:r>
      <w:bookmarkEnd w:id="670"/>
      <w:bookmarkEnd w:id="671"/>
      <w:bookmarkEnd w:id="672"/>
      <w:bookmarkEnd w:id="673"/>
      <w:bookmarkEnd w:id="674"/>
      <w:bookmarkEnd w:id="675"/>
      <w:bookmarkEnd w:id="676"/>
      <w:bookmarkEnd w:id="677"/>
      <w:bookmarkEnd w:id="678"/>
    </w:p>
    <w:p w14:paraId="6141CCD8">
      <w:pPr>
        <w:keepNext/>
        <w:keepLines/>
        <w:pageBreakBefore w:val="0"/>
        <w:tabs>
          <w:tab w:val="left" w:pos="0"/>
        </w:tabs>
        <w:kinsoku/>
        <w:wordWrap/>
        <w:overflowPunct/>
        <w:topLinePunct w:val="0"/>
        <w:autoSpaceDE w:val="0"/>
        <w:autoSpaceDN w:val="0"/>
        <w:bidi w:val="0"/>
        <w:adjustRightInd w:val="0"/>
        <w:spacing w:line="500" w:lineRule="exact"/>
        <w:jc w:val="center"/>
        <w:rPr>
          <w:rFonts w:hint="eastAsia" w:ascii="微软雅黑" w:hAnsi="微软雅黑" w:eastAsia="微软雅黑" w:cs="微软雅黑"/>
          <w:b/>
          <w:bCs/>
          <w:color w:val="auto"/>
          <w:kern w:val="44"/>
          <w:sz w:val="28"/>
          <w:szCs w:val="28"/>
        </w:rPr>
      </w:pPr>
      <w:bookmarkStart w:id="679" w:name="_Toc28359011"/>
      <w:bookmarkStart w:id="680" w:name="_Toc35393797"/>
      <w:bookmarkStart w:id="681" w:name="_Toc216582823"/>
      <w:bookmarkStart w:id="682" w:name="_Toc515647830"/>
      <w:bookmarkStart w:id="683" w:name="_Toc31583"/>
      <w:bookmarkStart w:id="684" w:name="_Toc507399903"/>
      <w:bookmarkStart w:id="685" w:name="_Toc512937850"/>
      <w:bookmarkStart w:id="686" w:name="_Toc10488"/>
      <w:r>
        <w:rPr>
          <w:rFonts w:hint="eastAsia" w:ascii="微软雅黑" w:hAnsi="微软雅黑" w:eastAsia="微软雅黑" w:cs="微软雅黑"/>
          <w:b/>
          <w:bCs/>
          <w:color w:val="auto"/>
          <w:kern w:val="44"/>
          <w:sz w:val="28"/>
          <w:szCs w:val="28"/>
        </w:rPr>
        <w:t>疏勒县阿拉甫乡道路以工代赈项目</w:t>
      </w:r>
    </w:p>
    <w:p w14:paraId="44EF80DD">
      <w:pPr>
        <w:keepNext/>
        <w:keepLines/>
        <w:pageBreakBefore w:val="0"/>
        <w:tabs>
          <w:tab w:val="left" w:pos="0"/>
        </w:tabs>
        <w:kinsoku/>
        <w:wordWrap/>
        <w:overflowPunct/>
        <w:topLinePunct w:val="0"/>
        <w:autoSpaceDE w:val="0"/>
        <w:autoSpaceDN w:val="0"/>
        <w:bidi w:val="0"/>
        <w:adjustRightInd w:val="0"/>
        <w:spacing w:line="500" w:lineRule="exact"/>
        <w:jc w:val="center"/>
        <w:rPr>
          <w:rFonts w:ascii="微软雅黑" w:hAnsi="微软雅黑" w:eastAsia="微软雅黑" w:cs="微软雅黑"/>
          <w:color w:val="auto"/>
          <w:sz w:val="24"/>
        </w:rPr>
      </w:pPr>
      <w:r>
        <w:rPr>
          <w:rFonts w:hint="eastAsia" w:ascii="微软雅黑" w:hAnsi="微软雅黑" w:eastAsia="微软雅黑" w:cs="微软雅黑"/>
          <w:b/>
          <w:bCs/>
          <w:color w:val="auto"/>
          <w:kern w:val="44"/>
          <w:sz w:val="28"/>
          <w:szCs w:val="28"/>
        </w:rPr>
        <w:t>竞争性磋商公告</w:t>
      </w:r>
      <w:bookmarkEnd w:id="679"/>
      <w:bookmarkEnd w:id="680"/>
    </w:p>
    <w:p w14:paraId="63C66BF7">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项目概况</w:t>
      </w:r>
    </w:p>
    <w:p w14:paraId="59A3EC17">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疏勒县阿拉甫乡道路以工代赈项目的潜在</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应在政采云平台（https://www.zcygov.cn/） 获取采购文件，并于</w:t>
      </w:r>
      <w:r>
        <w:rPr>
          <w:rFonts w:hint="eastAsia" w:ascii="微软雅黑" w:hAnsi="微软雅黑" w:eastAsia="微软雅黑" w:cs="微软雅黑"/>
          <w:color w:val="auto"/>
          <w:sz w:val="24"/>
          <w:szCs w:val="24"/>
          <w:u w:val="single"/>
          <w:lang w:val="en-US" w:eastAsia="zh-CN"/>
        </w:rPr>
        <w:t>2</w:t>
      </w:r>
      <w:r>
        <w:rPr>
          <w:rFonts w:hint="eastAsia" w:ascii="微软雅黑" w:hAnsi="微软雅黑" w:eastAsia="微软雅黑" w:cs="微软雅黑"/>
          <w:color w:val="auto"/>
          <w:sz w:val="24"/>
          <w:szCs w:val="24"/>
          <w:u w:val="single"/>
        </w:rPr>
        <w:t>02</w:t>
      </w:r>
      <w:r>
        <w:rPr>
          <w:rFonts w:hint="eastAsia" w:ascii="微软雅黑" w:hAnsi="微软雅黑" w:eastAsia="微软雅黑" w:cs="微软雅黑"/>
          <w:color w:val="auto"/>
          <w:sz w:val="24"/>
          <w:szCs w:val="24"/>
          <w:u w:val="single"/>
          <w:lang w:val="en-US" w:eastAsia="zh-CN"/>
        </w:rPr>
        <w:t>5</w:t>
      </w:r>
      <w:r>
        <w:rPr>
          <w:rFonts w:hint="eastAsia" w:ascii="微软雅黑" w:hAnsi="微软雅黑" w:eastAsia="微软雅黑" w:cs="微软雅黑"/>
          <w:bCs/>
          <w:color w:val="auto"/>
          <w:sz w:val="24"/>
          <w:szCs w:val="24"/>
          <w:u w:val="single"/>
        </w:rPr>
        <w:t>年</w:t>
      </w:r>
      <w:r>
        <w:rPr>
          <w:rFonts w:hint="eastAsia" w:ascii="微软雅黑" w:hAnsi="微软雅黑" w:eastAsia="微软雅黑" w:cs="微软雅黑"/>
          <w:bCs/>
          <w:color w:val="auto"/>
          <w:sz w:val="24"/>
          <w:szCs w:val="24"/>
          <w:u w:val="single"/>
          <w:lang w:val="en-US" w:eastAsia="zh-CN"/>
        </w:rPr>
        <w:t>03</w:t>
      </w:r>
      <w:r>
        <w:rPr>
          <w:rFonts w:hint="eastAsia" w:ascii="微软雅黑" w:hAnsi="微软雅黑" w:eastAsia="微软雅黑" w:cs="微软雅黑"/>
          <w:bCs/>
          <w:color w:val="auto"/>
          <w:sz w:val="24"/>
          <w:szCs w:val="24"/>
          <w:u w:val="single"/>
        </w:rPr>
        <w:t>月</w:t>
      </w:r>
      <w:r>
        <w:rPr>
          <w:rFonts w:hint="eastAsia" w:ascii="微软雅黑" w:hAnsi="微软雅黑" w:eastAsia="微软雅黑" w:cs="微软雅黑"/>
          <w:bCs/>
          <w:color w:val="auto"/>
          <w:sz w:val="24"/>
          <w:szCs w:val="24"/>
          <w:u w:val="single"/>
          <w:lang w:val="en-US" w:eastAsia="zh-CN"/>
        </w:rPr>
        <w:t>24</w:t>
      </w:r>
      <w:r>
        <w:rPr>
          <w:rFonts w:hint="eastAsia" w:ascii="微软雅黑" w:hAnsi="微软雅黑" w:eastAsia="微软雅黑" w:cs="微软雅黑"/>
          <w:bCs/>
          <w:color w:val="auto"/>
          <w:sz w:val="24"/>
          <w:szCs w:val="24"/>
          <w:u w:val="single"/>
        </w:rPr>
        <w:t>日</w:t>
      </w:r>
      <w:r>
        <w:rPr>
          <w:rFonts w:hint="eastAsia" w:ascii="微软雅黑" w:hAnsi="微软雅黑" w:eastAsia="微软雅黑" w:cs="微软雅黑"/>
          <w:bCs/>
          <w:color w:val="auto"/>
          <w:sz w:val="24"/>
          <w:szCs w:val="24"/>
          <w:u w:val="single"/>
          <w:lang w:val="en-US" w:eastAsia="zh-CN"/>
        </w:rPr>
        <w:t xml:space="preserve"> 11 </w:t>
      </w:r>
      <w:r>
        <w:rPr>
          <w:rFonts w:hint="eastAsia" w:ascii="微软雅黑" w:hAnsi="微软雅黑" w:eastAsia="微软雅黑" w:cs="微软雅黑"/>
          <w:bCs/>
          <w:color w:val="auto"/>
          <w:sz w:val="24"/>
          <w:szCs w:val="24"/>
          <w:u w:val="single"/>
        </w:rPr>
        <w:t>点00分</w:t>
      </w:r>
      <w:r>
        <w:rPr>
          <w:rFonts w:hint="eastAsia" w:ascii="微软雅黑" w:hAnsi="微软雅黑" w:eastAsia="微软雅黑" w:cs="微软雅黑"/>
          <w:bCs/>
          <w:color w:val="auto"/>
          <w:sz w:val="24"/>
          <w:szCs w:val="24"/>
        </w:rPr>
        <w:t>（北京时间）前提交响应文件</w:t>
      </w:r>
      <w:r>
        <w:rPr>
          <w:rFonts w:hint="eastAsia" w:ascii="微软雅黑" w:hAnsi="微软雅黑" w:eastAsia="微软雅黑" w:cs="微软雅黑"/>
          <w:color w:val="auto"/>
          <w:sz w:val="24"/>
          <w:szCs w:val="24"/>
        </w:rPr>
        <w:t>。</w:t>
      </w:r>
    </w:p>
    <w:p w14:paraId="3DA4BA06">
      <w:pPr>
        <w:keepNext/>
        <w:keepLines/>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rPr>
      </w:pPr>
      <w:bookmarkStart w:id="687" w:name="_Toc28359089"/>
      <w:bookmarkStart w:id="688" w:name="_Toc28359012"/>
      <w:bookmarkStart w:id="689" w:name="_Toc35393798"/>
      <w:bookmarkStart w:id="690" w:name="_Toc35393629"/>
      <w:r>
        <w:rPr>
          <w:rFonts w:hint="eastAsia" w:ascii="微软雅黑" w:hAnsi="微软雅黑" w:eastAsia="微软雅黑" w:cs="微软雅黑"/>
          <w:b/>
          <w:color w:val="auto"/>
          <w:sz w:val="24"/>
          <w:szCs w:val="24"/>
        </w:rPr>
        <w:t>一、项目基本情况</w:t>
      </w:r>
      <w:bookmarkEnd w:id="687"/>
      <w:bookmarkEnd w:id="688"/>
      <w:bookmarkEnd w:id="689"/>
      <w:bookmarkEnd w:id="690"/>
    </w:p>
    <w:p w14:paraId="3FCA2DCD">
      <w:pPr>
        <w:pageBreakBefore w:val="0"/>
        <w:kinsoku/>
        <w:wordWrap/>
        <w:overflowPunct/>
        <w:topLinePunct w:val="0"/>
        <w:autoSpaceDE/>
        <w:autoSpaceDN/>
        <w:bidi w:val="0"/>
        <w:adjustRightInd/>
        <w:spacing w:line="500" w:lineRule="exact"/>
        <w:ind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项目编号：</w:t>
      </w:r>
      <w:r>
        <w:rPr>
          <w:rFonts w:hint="eastAsia" w:ascii="微软雅黑" w:hAnsi="微软雅黑" w:eastAsia="微软雅黑" w:cs="微软雅黑"/>
          <w:color w:val="auto"/>
          <w:sz w:val="24"/>
          <w:szCs w:val="24"/>
          <w:lang w:val="en-US" w:eastAsia="zh-CN"/>
        </w:rPr>
        <w:t>YYXD(CS)2025-01号</w:t>
      </w:r>
    </w:p>
    <w:p w14:paraId="4E8D87A9">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lang w:eastAsia="zh-CN"/>
        </w:rPr>
        <w:t>疏勒县阿拉甫乡道路以工代赈项目</w:t>
      </w:r>
    </w:p>
    <w:p w14:paraId="75E82212">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采购方式：竞争性磋商</w:t>
      </w:r>
    </w:p>
    <w:p w14:paraId="4C33828D">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lang w:eastAsia="zh-CN"/>
        </w:rPr>
        <w:t>招标控制价</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160.8066万</w:t>
      </w:r>
      <w:r>
        <w:rPr>
          <w:rFonts w:hint="eastAsia" w:ascii="微软雅黑" w:hAnsi="微软雅黑" w:eastAsia="微软雅黑" w:cs="微软雅黑"/>
          <w:color w:val="auto"/>
          <w:sz w:val="24"/>
          <w:szCs w:val="24"/>
          <w:highlight w:val="none"/>
        </w:rPr>
        <w:t>元</w:t>
      </w:r>
    </w:p>
    <w:p w14:paraId="46974DDA">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建设内容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新建设村组道路5公里及附属配套。（本工程的工程量清单及施工图纸范围内的全部工作内容）。</w:t>
      </w:r>
    </w:p>
    <w:p w14:paraId="16C6BA71">
      <w:pPr>
        <w:pageBreakBefore w:val="0"/>
        <w:kinsoku/>
        <w:wordWrap/>
        <w:overflowPunct/>
        <w:topLinePunct w:val="0"/>
        <w:autoSpaceDE/>
        <w:autoSpaceDN/>
        <w:bidi w:val="0"/>
        <w:adjustRightInd/>
        <w:spacing w:line="500" w:lineRule="exact"/>
        <w:ind w:firstLine="480" w:firstLineChars="2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6、资金来源：中央财政以工代赈资金。</w:t>
      </w:r>
    </w:p>
    <w:p w14:paraId="5EB701D0">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本项目（</w:t>
      </w:r>
      <w:r>
        <w:rPr>
          <w:rFonts w:hint="eastAsia" w:ascii="微软雅黑" w:hAnsi="微软雅黑" w:eastAsia="微软雅黑" w:cs="微软雅黑"/>
          <w:i/>
          <w:color w:val="auto"/>
          <w:sz w:val="24"/>
          <w:szCs w:val="24"/>
          <w:highlight w:val="none"/>
        </w:rPr>
        <w:t>否</w:t>
      </w:r>
      <w:r>
        <w:rPr>
          <w:rFonts w:hint="eastAsia" w:ascii="微软雅黑" w:hAnsi="微软雅黑" w:eastAsia="微软雅黑" w:cs="微软雅黑"/>
          <w:color w:val="auto"/>
          <w:sz w:val="24"/>
          <w:szCs w:val="24"/>
          <w:highlight w:val="none"/>
        </w:rPr>
        <w:t>）接受联合体。</w:t>
      </w:r>
      <w:bookmarkStart w:id="691" w:name="_Toc28359090"/>
      <w:bookmarkStart w:id="692" w:name="_Toc28359013"/>
      <w:bookmarkStart w:id="693" w:name="_Toc35393799"/>
      <w:bookmarkStart w:id="694" w:name="_Toc35393630"/>
    </w:p>
    <w:p w14:paraId="71E697A2">
      <w:pPr>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二、</w:t>
      </w:r>
      <w:r>
        <w:rPr>
          <w:rFonts w:hint="eastAsia" w:ascii="微软雅黑" w:hAnsi="微软雅黑" w:eastAsia="微软雅黑" w:cs="微软雅黑"/>
          <w:b/>
          <w:color w:val="auto"/>
          <w:sz w:val="24"/>
          <w:szCs w:val="24"/>
          <w:highlight w:val="none"/>
          <w:lang w:eastAsia="zh-CN"/>
        </w:rPr>
        <w:t>供应商</w:t>
      </w:r>
      <w:r>
        <w:rPr>
          <w:rFonts w:hint="eastAsia" w:ascii="微软雅黑" w:hAnsi="微软雅黑" w:eastAsia="微软雅黑" w:cs="微软雅黑"/>
          <w:b/>
          <w:color w:val="auto"/>
          <w:sz w:val="24"/>
          <w:szCs w:val="24"/>
          <w:highlight w:val="none"/>
        </w:rPr>
        <w:t>资格要求：</w:t>
      </w:r>
      <w:bookmarkEnd w:id="691"/>
      <w:bookmarkEnd w:id="692"/>
      <w:bookmarkEnd w:id="693"/>
      <w:bookmarkEnd w:id="694"/>
      <w:bookmarkStart w:id="695" w:name="_Toc28359092"/>
      <w:bookmarkStart w:id="696" w:name="_Toc35393632"/>
      <w:bookmarkStart w:id="697" w:name="_Toc35393801"/>
      <w:bookmarkStart w:id="698" w:name="_Toc28359015"/>
    </w:p>
    <w:p w14:paraId="0730ECD0">
      <w:pPr>
        <w:pStyle w:val="32"/>
        <w:pageBreakBefore w:val="0"/>
        <w:widowControl/>
        <w:kinsoku/>
        <w:wordWrap/>
        <w:overflowPunct/>
        <w:topLinePunct w:val="0"/>
        <w:autoSpaceDE/>
        <w:autoSpaceDN/>
        <w:bidi w:val="0"/>
        <w:adjustRightInd/>
        <w:spacing w:before="75" w:beforeAutospacing="0" w:after="75" w:afterAutospacing="0" w:line="500" w:lineRule="exact"/>
        <w:ind w:left="458" w:leftChars="218"/>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1、符合《中华人民共和国政府采购法》第二十二条的规定；</w:t>
      </w:r>
    </w:p>
    <w:p w14:paraId="5C5E15FB">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13DBDE8B">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②提供法定代表人资格证明及授权书、被授权人身份证；(法定代表人投标需提供法定代表人身份证)；</w:t>
      </w:r>
    </w:p>
    <w:p w14:paraId="20231EB1">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③</w:t>
      </w:r>
      <w:r>
        <w:rPr>
          <w:rFonts w:hint="eastAsia" w:ascii="微软雅黑" w:hAnsi="微软雅黑" w:eastAsia="微软雅黑" w:cs="微软雅黑"/>
          <w:color w:val="auto"/>
          <w:lang w:val="en-US" w:eastAsia="zh-CN"/>
        </w:rPr>
        <w:t>提供本单位依法缴纳近4个月内任意一个月的社会保险证明及法定代表人或授权委托人在本单位依法缴纳近4个月内任意一个月的社会保险明细（新成立公司提供相关证明文件）</w:t>
      </w:r>
      <w:r>
        <w:rPr>
          <w:rFonts w:hint="eastAsia" w:ascii="微软雅黑" w:hAnsi="微软雅黑" w:eastAsia="微软雅黑" w:cs="微软雅黑"/>
          <w:color w:val="auto"/>
        </w:rPr>
        <w:t>；</w:t>
      </w:r>
    </w:p>
    <w:p w14:paraId="4B9610A0">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④</w:t>
      </w:r>
      <w:r>
        <w:rPr>
          <w:rFonts w:hint="eastAsia" w:ascii="微软雅黑" w:hAnsi="微软雅黑" w:eastAsia="微软雅黑" w:cs="微软雅黑"/>
          <w:color w:val="auto"/>
          <w:highlight w:val="none"/>
          <w:lang w:val="en-US" w:eastAsia="zh-CN"/>
        </w:rPr>
        <w:t>提供</w:t>
      </w:r>
      <w:r>
        <w:rPr>
          <w:rFonts w:hint="eastAsia" w:ascii="微软雅黑" w:hAnsi="微软雅黑" w:eastAsia="微软雅黑" w:cs="微软雅黑"/>
          <w:color w:val="auto"/>
          <w:highlight w:val="none"/>
        </w:rPr>
        <w:t>税务部门出具的</w:t>
      </w:r>
      <w:r>
        <w:rPr>
          <w:rFonts w:hint="eastAsia" w:ascii="微软雅黑" w:hAnsi="微软雅黑" w:eastAsia="微软雅黑" w:cs="微软雅黑"/>
          <w:color w:val="auto"/>
          <w:highlight w:val="none"/>
          <w:lang w:val="en-US" w:eastAsia="zh-CN"/>
        </w:rPr>
        <w:t>本单位</w:t>
      </w:r>
      <w:r>
        <w:rPr>
          <w:rFonts w:hint="eastAsia" w:ascii="微软雅黑" w:hAnsi="微软雅黑" w:eastAsia="微软雅黑" w:cs="微软雅黑"/>
          <w:color w:val="auto"/>
          <w:highlight w:val="none"/>
        </w:rPr>
        <w:t>近</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rPr>
        <w:t>个月内任意一个月的完税证明</w:t>
      </w:r>
      <w:r>
        <w:rPr>
          <w:rFonts w:hint="eastAsia" w:ascii="微软雅黑" w:hAnsi="微软雅黑" w:eastAsia="微软雅黑" w:cs="微软雅黑"/>
          <w:color w:val="auto"/>
        </w:rPr>
        <w:t>（依法免缴的应提供依法免缴的相关证明文件或零申报报表）</w:t>
      </w:r>
      <w:r>
        <w:rPr>
          <w:rFonts w:hint="eastAsia" w:ascii="微软雅黑" w:hAnsi="微软雅黑" w:eastAsia="微软雅黑" w:cs="微软雅黑"/>
          <w:i w:val="0"/>
          <w:iCs w:val="0"/>
          <w:caps w:val="0"/>
          <w:color w:val="auto"/>
          <w:spacing w:val="0"/>
          <w:sz w:val="24"/>
          <w:szCs w:val="24"/>
          <w:highlight w:val="none"/>
        </w:rPr>
        <w:t>；</w:t>
      </w:r>
    </w:p>
    <w:p w14:paraId="41DD51D4">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⑤提供近两年任意一年完整的财务审计报告（或近一个月的银行资信证明）；</w:t>
      </w:r>
    </w:p>
    <w:p w14:paraId="3D2B75D9">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⑥</w:t>
      </w:r>
      <w:r>
        <w:rPr>
          <w:rFonts w:hint="eastAsia" w:ascii="微软雅黑" w:hAnsi="微软雅黑" w:eastAsia="微软雅黑" w:cs="微软雅黑"/>
          <w:i w:val="0"/>
          <w:iCs w:val="0"/>
          <w:caps w:val="0"/>
          <w:color w:val="auto"/>
          <w:spacing w:val="0"/>
          <w:sz w:val="24"/>
          <w:szCs w:val="24"/>
          <w:highlight w:val="none"/>
        </w:rPr>
        <w:t>参与政府采购活动前3年内未被列入失信、重大税收违法案件、财政部门禁止参加政府采购活动的承诺书；</w:t>
      </w:r>
    </w:p>
    <w:p w14:paraId="5D4F77AE">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⑦</w:t>
      </w:r>
      <w:r>
        <w:rPr>
          <w:rFonts w:hint="eastAsia" w:ascii="微软雅黑" w:hAnsi="微软雅黑" w:eastAsia="微软雅黑" w:cs="微软雅黑"/>
          <w:i w:val="0"/>
          <w:iCs w:val="0"/>
          <w:caps w:val="0"/>
          <w:color w:val="auto"/>
          <w:spacing w:val="0"/>
          <w:sz w:val="24"/>
          <w:szCs w:val="24"/>
          <w:highlight w:val="none"/>
        </w:rPr>
        <w:t>提供针对本次项目的反商业贿赂承诺书。</w:t>
      </w:r>
    </w:p>
    <w:p w14:paraId="043A50DC">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r>
        <w:rPr>
          <w:rFonts w:hint="eastAsia" w:ascii="微软雅黑" w:hAnsi="微软雅黑" w:eastAsia="微软雅黑" w:cs="微软雅黑"/>
          <w:i w:val="0"/>
          <w:iCs w:val="0"/>
          <w:caps w:val="0"/>
          <w:color w:val="auto"/>
          <w:spacing w:val="0"/>
          <w:sz w:val="24"/>
          <w:szCs w:val="24"/>
          <w:highlight w:val="none"/>
        </w:rPr>
        <w:t>；</w:t>
      </w:r>
    </w:p>
    <w:p w14:paraId="12E88710">
      <w:pPr>
        <w:pStyle w:val="32"/>
        <w:keepNext w:val="0"/>
        <w:keepLines w:val="0"/>
        <w:pageBreakBefore w:val="0"/>
        <w:widowControl/>
        <w:numPr>
          <w:ilvl w:val="0"/>
          <w:numId w:val="5"/>
        </w:numPr>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落实政府采购政策需满足的资格要求：本项目为专门面向中小企业</w:t>
      </w:r>
      <w:r>
        <w:rPr>
          <w:rFonts w:hint="eastAsia" w:ascii="微软雅黑" w:hAnsi="微软雅黑" w:eastAsia="微软雅黑" w:cs="微软雅黑"/>
          <w:i w:val="0"/>
          <w:iCs w:val="0"/>
          <w:caps w:val="0"/>
          <w:color w:val="auto"/>
          <w:spacing w:val="0"/>
          <w:sz w:val="24"/>
          <w:szCs w:val="24"/>
          <w:highlight w:val="none"/>
          <w:u w:val="none" w:color="auto"/>
          <w:lang w:val="en-US" w:eastAsia="zh-CN"/>
        </w:rPr>
        <w:t>（含中型、小型、微型企业）</w:t>
      </w:r>
    </w:p>
    <w:p w14:paraId="003B1F1C">
      <w:pPr>
        <w:pageBreakBefore w:val="0"/>
        <w:numPr>
          <w:ilvl w:val="0"/>
          <w:numId w:val="5"/>
        </w:numPr>
        <w:kinsoku/>
        <w:wordWrap/>
        <w:overflowPunct/>
        <w:topLinePunct w:val="0"/>
        <w:autoSpaceDE/>
        <w:autoSpaceDN/>
        <w:bidi w:val="0"/>
        <w:adjustRightInd/>
        <w:snapToGrid w:val="0"/>
        <w:spacing w:line="500" w:lineRule="exact"/>
        <w:ind w:left="0" w:leftChars="0" w:firstLine="480" w:firstLineChars="200"/>
        <w:textAlignment w:val="baseline"/>
        <w:rPr>
          <w:rFonts w:hint="eastAsia" w:ascii="微软雅黑" w:hAnsi="微软雅黑" w:eastAsia="微软雅黑" w:cs="微软雅黑"/>
          <w:color w:val="0000FF"/>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本项目的特定资格要</w:t>
      </w:r>
      <w:r>
        <w:rPr>
          <w:rFonts w:hint="eastAsia" w:ascii="微软雅黑" w:hAnsi="微软雅黑" w:eastAsia="微软雅黑" w:cs="微软雅黑"/>
          <w:b w:val="0"/>
          <w:bCs w:val="0"/>
          <w:i w:val="0"/>
          <w:iCs w:val="0"/>
          <w:caps w:val="0"/>
          <w:color w:val="auto"/>
          <w:spacing w:val="0"/>
          <w:sz w:val="24"/>
          <w:szCs w:val="24"/>
          <w:highlight w:val="none"/>
          <w:lang w:val="en-US" w:eastAsia="zh-CN"/>
        </w:rPr>
        <w:t>求：①</w:t>
      </w:r>
      <w:r>
        <w:rPr>
          <w:rFonts w:hint="eastAsia" w:ascii="微软雅黑" w:hAnsi="微软雅黑" w:eastAsia="微软雅黑" w:cs="微软雅黑"/>
          <w:b w:val="0"/>
          <w:bCs w:val="0"/>
          <w:i w:val="0"/>
          <w:iCs w:val="0"/>
          <w:caps w:val="0"/>
          <w:color w:val="0000FF"/>
          <w:spacing w:val="0"/>
          <w:sz w:val="24"/>
          <w:szCs w:val="24"/>
          <w:highlight w:val="none"/>
          <w:lang w:val="en-US" w:eastAsia="zh-CN"/>
        </w:rPr>
        <w:t>企业资质要求：[公路工程施工总承包三级]（含）及以上资质，并在人员、设备、资金等方面具有相应的施工能力。②项目负责人资质要求：【公路工程专业二级】（含）及二级以上注册建造师执业资格，具备交通运输主管部门颁发的有效的B类安全生产考核合格证书，且不得担任其他在建工程的项目负责人。</w:t>
      </w:r>
    </w:p>
    <w:p w14:paraId="5B378AED">
      <w:pPr>
        <w:keepNext/>
        <w:keepLines/>
        <w:pageBreakBefore w:val="0"/>
        <w:kinsoku/>
        <w:wordWrap/>
        <w:overflowPunct/>
        <w:topLinePunct w:val="0"/>
        <w:autoSpaceDE/>
        <w:autoSpaceDN/>
        <w:bidi w:val="0"/>
        <w:adjustRightInd/>
        <w:spacing w:line="500" w:lineRule="exact"/>
        <w:jc w:val="left"/>
        <w:rPr>
          <w:rFonts w:hint="eastAsia" w:ascii="微软雅黑" w:hAnsi="微软雅黑" w:eastAsia="微软雅黑" w:cs="微软雅黑"/>
          <w:b/>
          <w:color w:val="auto"/>
          <w:kern w:val="0"/>
          <w:sz w:val="24"/>
          <w:szCs w:val="24"/>
        </w:rPr>
      </w:pPr>
      <w:r>
        <w:rPr>
          <w:rFonts w:hint="eastAsia" w:ascii="微软雅黑" w:hAnsi="微软雅黑" w:eastAsia="微软雅黑" w:cs="微软雅黑"/>
          <w:b/>
          <w:color w:val="auto"/>
          <w:sz w:val="24"/>
          <w:szCs w:val="24"/>
        </w:rPr>
        <w:t>三、获取采购文件</w:t>
      </w:r>
    </w:p>
    <w:p w14:paraId="267FA058">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时间：202</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 xml:space="preserve"> 03</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 xml:space="preserve">13 </w:t>
      </w:r>
      <w:r>
        <w:rPr>
          <w:rFonts w:hint="eastAsia" w:ascii="微软雅黑" w:hAnsi="微软雅黑" w:eastAsia="微软雅黑" w:cs="微软雅黑"/>
          <w:color w:val="auto"/>
          <w:sz w:val="24"/>
          <w:szCs w:val="24"/>
        </w:rPr>
        <w:t>日至202</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03</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日（</w:t>
      </w:r>
      <w:r>
        <w:rPr>
          <w:rFonts w:hint="eastAsia" w:ascii="微软雅黑" w:hAnsi="微软雅黑" w:eastAsia="微软雅黑" w:cs="微软雅黑"/>
          <w:i w:val="0"/>
          <w:iCs w:val="0"/>
          <w:caps w:val="0"/>
          <w:color w:val="auto"/>
          <w:spacing w:val="0"/>
          <w:sz w:val="24"/>
          <w:szCs w:val="24"/>
          <w:highlight w:val="none"/>
        </w:rPr>
        <w:t>每天上午00:00至12:00，下午12:00至23:59（北京时间，法定节假日除外）</w:t>
      </w:r>
      <w:r>
        <w:rPr>
          <w:rFonts w:hint="eastAsia" w:ascii="微软雅黑" w:hAnsi="微软雅黑" w:eastAsia="微软雅黑" w:cs="微软雅黑"/>
          <w:color w:val="auto"/>
          <w:sz w:val="24"/>
          <w:szCs w:val="24"/>
        </w:rPr>
        <w:t>）</w:t>
      </w:r>
    </w:p>
    <w:p w14:paraId="3D770221">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地点：</w:t>
      </w:r>
      <w:r>
        <w:rPr>
          <w:rFonts w:hint="eastAsia" w:ascii="微软雅黑" w:hAnsi="微软雅黑" w:eastAsia="微软雅黑" w:cs="微软雅黑"/>
          <w:i w:val="0"/>
          <w:iCs w:val="0"/>
          <w:caps w:val="0"/>
          <w:color w:val="auto"/>
          <w:spacing w:val="0"/>
          <w:sz w:val="24"/>
          <w:szCs w:val="24"/>
          <w:highlight w:val="none"/>
          <w:lang w:val="en-US" w:eastAsia="zh-CN"/>
        </w:rPr>
        <w:t>政采云平台（https://www.zcygov.cn/） </w:t>
      </w:r>
    </w:p>
    <w:p w14:paraId="0D29E512">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方式：</w:t>
      </w:r>
      <w:r>
        <w:rPr>
          <w:rFonts w:hint="eastAsia" w:ascii="微软雅黑" w:hAnsi="微软雅黑" w:eastAsia="微软雅黑" w:cs="微软雅黑"/>
          <w:i w:val="0"/>
          <w:iCs w:val="0"/>
          <w:caps w:val="0"/>
          <w:color w:val="auto"/>
          <w:spacing w:val="0"/>
          <w:sz w:val="24"/>
          <w:szCs w:val="24"/>
          <w:highlight w:val="none"/>
          <w:lang w:val="en-US" w:eastAsia="zh-CN"/>
        </w:rPr>
        <w:t>（1）线上获取（登录政府采购云平台 → 项目采购 → 获取磋商文件）。（2）供应商获取磋商文件前应注册成为政府采购云平台正式供应商。</w:t>
      </w:r>
    </w:p>
    <w:p w14:paraId="15EBF8C6">
      <w:pPr>
        <w:keepNext/>
        <w:keepLines/>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四、响应文件提交</w:t>
      </w:r>
      <w:bookmarkEnd w:id="695"/>
      <w:bookmarkEnd w:id="696"/>
      <w:bookmarkEnd w:id="697"/>
      <w:bookmarkEnd w:id="698"/>
      <w:r>
        <w:rPr>
          <w:rFonts w:hint="eastAsia" w:ascii="微软雅黑" w:hAnsi="微软雅黑" w:eastAsia="微软雅黑" w:cs="微软雅黑"/>
          <w:b/>
          <w:color w:val="auto"/>
          <w:sz w:val="24"/>
          <w:szCs w:val="24"/>
        </w:rPr>
        <w:t>及开启</w:t>
      </w:r>
    </w:p>
    <w:p w14:paraId="4C70C91F">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bCs/>
          <w:color w:val="auto"/>
          <w:sz w:val="24"/>
          <w:szCs w:val="24"/>
        </w:rPr>
      </w:pPr>
      <w:r>
        <w:rPr>
          <w:rFonts w:hint="eastAsia" w:ascii="微软雅黑" w:hAnsi="微软雅黑" w:eastAsia="微软雅黑" w:cs="微软雅黑"/>
          <w:color w:val="auto"/>
          <w:sz w:val="24"/>
          <w:szCs w:val="24"/>
        </w:rPr>
        <w:t>时间：</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02</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lang w:val="en-US" w:eastAsia="zh-CN"/>
        </w:rPr>
        <w:t>03</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24</w:t>
      </w:r>
      <w:r>
        <w:rPr>
          <w:rFonts w:hint="eastAsia" w:ascii="微软雅黑" w:hAnsi="微软雅黑" w:eastAsia="微软雅黑" w:cs="微软雅黑"/>
          <w:color w:val="auto"/>
          <w:sz w:val="24"/>
          <w:szCs w:val="24"/>
        </w:rPr>
        <w:t>日</w:t>
      </w:r>
      <w:r>
        <w:rPr>
          <w:rFonts w:hint="eastAsia" w:ascii="微软雅黑" w:hAnsi="微软雅黑" w:eastAsia="微软雅黑" w:cs="微软雅黑"/>
          <w:color w:val="auto"/>
          <w:sz w:val="24"/>
          <w:szCs w:val="24"/>
          <w:lang w:val="en-US" w:eastAsia="zh-CN"/>
        </w:rPr>
        <w:t xml:space="preserve"> 11 </w:t>
      </w:r>
      <w:r>
        <w:rPr>
          <w:rFonts w:hint="eastAsia" w:ascii="微软雅黑" w:hAnsi="微软雅黑" w:eastAsia="微软雅黑" w:cs="微软雅黑"/>
          <w:color w:val="auto"/>
          <w:sz w:val="24"/>
          <w:szCs w:val="24"/>
        </w:rPr>
        <w:t>点00分（北京时间）</w:t>
      </w:r>
    </w:p>
    <w:p w14:paraId="2CD79DE4">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地点：</w:t>
      </w:r>
      <w:r>
        <w:rPr>
          <w:rFonts w:hint="eastAsia" w:ascii="微软雅黑" w:hAnsi="微软雅黑" w:eastAsia="微软雅黑" w:cs="微软雅黑"/>
          <w:i w:val="0"/>
          <w:iCs w:val="0"/>
          <w:caps w:val="0"/>
          <w:color w:val="auto"/>
          <w:spacing w:val="0"/>
          <w:sz w:val="24"/>
          <w:szCs w:val="24"/>
          <w:highlight w:val="none"/>
          <w:lang w:val="en-US" w:eastAsia="zh-CN"/>
        </w:rPr>
        <w:t>政采云平台（https://www.zcygov.cn/）</w:t>
      </w:r>
    </w:p>
    <w:p w14:paraId="7F4F0BC9">
      <w:pPr>
        <w:keepNext/>
        <w:keepLines/>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rPr>
      </w:pPr>
      <w:bookmarkStart w:id="699" w:name="_Toc35393633"/>
      <w:bookmarkStart w:id="700" w:name="_Toc35393802"/>
      <w:bookmarkStart w:id="701" w:name="_Toc28359016"/>
      <w:bookmarkStart w:id="702" w:name="_Toc28359093"/>
      <w:r>
        <w:rPr>
          <w:rFonts w:hint="eastAsia" w:ascii="微软雅黑" w:hAnsi="微软雅黑" w:eastAsia="微软雅黑" w:cs="微软雅黑"/>
          <w:b/>
          <w:color w:val="auto"/>
          <w:sz w:val="24"/>
          <w:szCs w:val="24"/>
        </w:rPr>
        <w:t>五、</w:t>
      </w:r>
      <w:bookmarkEnd w:id="699"/>
      <w:bookmarkEnd w:id="700"/>
      <w:bookmarkEnd w:id="701"/>
      <w:bookmarkEnd w:id="702"/>
      <w:bookmarkStart w:id="703" w:name="_Toc35393634"/>
      <w:bookmarkStart w:id="704" w:name="_Toc28359017"/>
      <w:bookmarkStart w:id="705" w:name="_Toc28359094"/>
      <w:bookmarkStart w:id="706" w:name="_Toc35393803"/>
      <w:r>
        <w:rPr>
          <w:rFonts w:hint="eastAsia" w:ascii="微软雅黑" w:hAnsi="微软雅黑" w:eastAsia="微软雅黑" w:cs="微软雅黑"/>
          <w:b/>
          <w:color w:val="auto"/>
          <w:sz w:val="24"/>
          <w:szCs w:val="24"/>
        </w:rPr>
        <w:t>公告期限</w:t>
      </w:r>
      <w:bookmarkEnd w:id="703"/>
      <w:bookmarkEnd w:id="704"/>
      <w:bookmarkEnd w:id="705"/>
      <w:bookmarkEnd w:id="706"/>
    </w:p>
    <w:p w14:paraId="07E98418">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自本公告发布之日起3个工作日。</w:t>
      </w:r>
    </w:p>
    <w:p w14:paraId="79C39877">
      <w:pPr>
        <w:keepNext/>
        <w:keepLines/>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lang w:eastAsia="zh-CN"/>
        </w:rPr>
      </w:pPr>
      <w:r>
        <w:rPr>
          <w:rFonts w:hint="eastAsia" w:ascii="微软雅黑" w:hAnsi="微软雅黑" w:eastAsia="微软雅黑" w:cs="微软雅黑"/>
          <w:b/>
          <w:color w:val="auto"/>
          <w:sz w:val="24"/>
          <w:szCs w:val="24"/>
        </w:rPr>
        <w:t>六、其他补充事宜</w:t>
      </w:r>
      <w:r>
        <w:rPr>
          <w:rFonts w:hint="eastAsia" w:ascii="微软雅黑" w:hAnsi="微软雅黑" w:eastAsia="微软雅黑" w:cs="微软雅黑"/>
          <w:b/>
          <w:color w:val="auto"/>
          <w:sz w:val="24"/>
          <w:szCs w:val="24"/>
          <w:lang w:eastAsia="zh-CN"/>
        </w:rPr>
        <w:t>：</w:t>
      </w:r>
    </w:p>
    <w:p w14:paraId="552EF4BC">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bookmarkStart w:id="707" w:name="_Toc35393804"/>
      <w:bookmarkStart w:id="708" w:name="_Toc35393635"/>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7CE1E77">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2.本项目实行网上投标，采用电子响应文件(供应商须使用CA加密设备通过政采云电子投标客户端制作响应文件)。若供应商参与投标，自行承担投标一切费用。</w:t>
      </w:r>
    </w:p>
    <w:p w14:paraId="53750E61">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043C7046">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32A32796">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632D03BC">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3A0647C5">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b/>
          <w:bCs/>
          <w:color w:val="auto"/>
          <w:kern w:val="0"/>
          <w:sz w:val="24"/>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59C096E">
      <w:pPr>
        <w:pStyle w:val="27"/>
        <w:pageBreakBefore w:val="0"/>
        <w:kinsoku/>
        <w:wordWrap/>
        <w:overflowPunct/>
        <w:topLinePunct w:val="0"/>
        <w:autoSpaceDE/>
        <w:autoSpaceDN/>
        <w:bidi w:val="0"/>
        <w:adjustRightInd/>
        <w:spacing w:line="500" w:lineRule="exact"/>
        <w:ind w:firstLine="240" w:firstLineChars="100"/>
        <w:textAlignment w:val="auto"/>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特别提示：</w:t>
      </w:r>
    </w:p>
    <w:p w14:paraId="4AFB0AFC">
      <w:pPr>
        <w:pStyle w:val="27"/>
        <w:pageBreakBefore w:val="0"/>
        <w:kinsoku/>
        <w:wordWrap/>
        <w:overflowPunct/>
        <w:topLinePunct w:val="0"/>
        <w:autoSpaceDE/>
        <w:autoSpaceDN/>
        <w:bidi w:val="0"/>
        <w:adjustRightInd/>
        <w:spacing w:line="500" w:lineRule="exact"/>
        <w:ind w:firstLine="480" w:firstLineChars="200"/>
        <w:textAlignment w:val="auto"/>
        <w:rPr>
          <w:rFonts w:ascii="微软雅黑" w:hAnsi="微软雅黑" w:eastAsia="微软雅黑" w:cs="微软雅黑"/>
          <w:b w:val="0"/>
          <w:bCs w:val="0"/>
          <w:color w:val="auto"/>
          <w:kern w:val="0"/>
          <w:sz w:val="24"/>
        </w:rPr>
      </w:pPr>
      <w:r>
        <w:rPr>
          <w:rFonts w:hint="eastAsia" w:ascii="微软雅黑" w:hAnsi="微软雅黑" w:eastAsia="微软雅黑" w:cs="微软雅黑"/>
          <w:b w:val="0"/>
          <w:bCs w:val="0"/>
          <w:color w:val="auto"/>
          <w:kern w:val="0"/>
          <w:sz w:val="24"/>
        </w:rPr>
        <w:t>1、超过200万元的货物和服务采购项目、超过400万元的工程采购项目中适宜由中小企业提供的，预留该部分采购项目预算总额的</w:t>
      </w:r>
      <w:r>
        <w:rPr>
          <w:rFonts w:hint="eastAsia" w:ascii="微软雅黑" w:hAnsi="微软雅黑" w:eastAsia="微软雅黑" w:cs="微软雅黑"/>
          <w:b w:val="0"/>
          <w:bCs w:val="0"/>
          <w:color w:val="auto"/>
          <w:kern w:val="0"/>
          <w:sz w:val="24"/>
          <w:lang w:val="en-US" w:eastAsia="zh-CN"/>
        </w:rPr>
        <w:t>30</w:t>
      </w:r>
      <w:r>
        <w:rPr>
          <w:rFonts w:hint="eastAsia" w:ascii="微软雅黑" w:hAnsi="微软雅黑" w:eastAsia="微软雅黑" w:cs="微软雅黑"/>
          <w:b w:val="0"/>
          <w:bCs w:val="0"/>
          <w:color w:val="auto"/>
          <w:kern w:val="0"/>
          <w:sz w:val="24"/>
        </w:rPr>
        <w:t>%以上专门面向中小企业采购，其中预留给小微企业的比例不低于60%。</w:t>
      </w:r>
    </w:p>
    <w:p w14:paraId="4D143117">
      <w:pPr>
        <w:pStyle w:val="27"/>
        <w:pageBreakBefore w:val="0"/>
        <w:kinsoku/>
        <w:wordWrap/>
        <w:overflowPunct/>
        <w:topLinePunct w:val="0"/>
        <w:autoSpaceDE/>
        <w:autoSpaceDN/>
        <w:bidi w:val="0"/>
        <w:adjustRightInd/>
        <w:spacing w:line="500" w:lineRule="exact"/>
        <w:ind w:firstLine="480" w:firstLineChars="200"/>
        <w:textAlignment w:val="auto"/>
        <w:rPr>
          <w:rFonts w:ascii="微软雅黑" w:hAnsi="微软雅黑" w:eastAsia="微软雅黑" w:cs="微软雅黑"/>
          <w:b w:val="0"/>
          <w:bCs w:val="0"/>
          <w:color w:val="auto"/>
          <w:kern w:val="0"/>
          <w:sz w:val="24"/>
        </w:rPr>
      </w:pPr>
      <w:r>
        <w:rPr>
          <w:rFonts w:hint="eastAsia" w:ascii="微软雅黑" w:hAnsi="微软雅黑" w:eastAsia="微软雅黑" w:cs="微软雅黑"/>
          <w:b w:val="0"/>
          <w:bCs w:val="0"/>
          <w:color w:val="auto"/>
          <w:kern w:val="0"/>
          <w:sz w:val="24"/>
        </w:rPr>
        <w:t>2、对于未预留份额专门面向中小企业的采购项目，以及预留份额项目中的非预留部分采购包，</w:t>
      </w:r>
      <w:r>
        <w:rPr>
          <w:rFonts w:hint="eastAsia" w:ascii="微软雅黑" w:hAnsi="微软雅黑" w:eastAsia="微软雅黑" w:cs="微软雅黑"/>
          <w:b w:val="0"/>
          <w:bCs w:val="0"/>
          <w:color w:val="auto"/>
          <w:kern w:val="0"/>
          <w:sz w:val="24"/>
          <w:lang w:eastAsia="zh-CN"/>
        </w:rPr>
        <w:t>采购人</w:t>
      </w:r>
      <w:r>
        <w:rPr>
          <w:rFonts w:hint="eastAsia" w:ascii="微软雅黑" w:hAnsi="微软雅黑" w:eastAsia="微软雅黑" w:cs="微软雅黑"/>
          <w:b w:val="0"/>
          <w:bCs w:val="0"/>
          <w:color w:val="auto"/>
          <w:kern w:val="0"/>
          <w:sz w:val="24"/>
        </w:rPr>
        <w:t>、</w:t>
      </w:r>
      <w:r>
        <w:rPr>
          <w:rFonts w:hint="eastAsia" w:ascii="微软雅黑" w:hAnsi="微软雅黑" w:eastAsia="微软雅黑" w:cs="微软雅黑"/>
          <w:b w:val="0"/>
          <w:bCs w:val="0"/>
          <w:color w:val="auto"/>
          <w:kern w:val="0"/>
          <w:sz w:val="24"/>
          <w:lang w:eastAsia="zh-CN"/>
        </w:rPr>
        <w:t>代理机构</w:t>
      </w:r>
      <w:r>
        <w:rPr>
          <w:rFonts w:hint="eastAsia" w:ascii="微软雅黑" w:hAnsi="微软雅黑" w:eastAsia="微软雅黑" w:cs="微软雅黑"/>
          <w:b w:val="0"/>
          <w:bCs w:val="0"/>
          <w:color w:val="auto"/>
          <w:kern w:val="0"/>
          <w:sz w:val="24"/>
        </w:rPr>
        <w:t>应当对符合规定的小微企业报价给予10%~20%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32ED8853">
      <w:pPr>
        <w:pStyle w:val="27"/>
        <w:pageBreakBefore w:val="0"/>
        <w:kinsoku/>
        <w:wordWrap/>
        <w:overflowPunct/>
        <w:topLinePunct w:val="0"/>
        <w:autoSpaceDE/>
        <w:autoSpaceDN/>
        <w:bidi w:val="0"/>
        <w:adjustRightInd/>
        <w:spacing w:line="500" w:lineRule="exact"/>
        <w:ind w:firstLine="480" w:firstLineChars="200"/>
        <w:textAlignment w:val="auto"/>
        <w:rPr>
          <w:rFonts w:ascii="微软雅黑" w:hAnsi="微软雅黑" w:eastAsia="微软雅黑" w:cs="微软雅黑"/>
          <w:b w:val="0"/>
          <w:bCs w:val="0"/>
          <w:color w:val="auto"/>
          <w:sz w:val="24"/>
        </w:rPr>
      </w:pPr>
      <w:r>
        <w:rPr>
          <w:rFonts w:hint="eastAsia" w:ascii="微软雅黑" w:hAnsi="微软雅黑" w:eastAsia="微软雅黑" w:cs="微软雅黑"/>
          <w:b w:val="0"/>
          <w:bCs w:val="0"/>
          <w:color w:val="auto"/>
          <w:kern w:val="0"/>
          <w:sz w:val="24"/>
        </w:rPr>
        <w:t>3、接受大中型企业与小微企业组成联合体或者允许大中型企业向一家或者多家小微企业分包的采购项目，对于联合协议或者分包意向协议约定小微企业的合同份额占到合同总金额40%以上的，</w:t>
      </w:r>
      <w:r>
        <w:rPr>
          <w:rFonts w:hint="eastAsia" w:ascii="微软雅黑" w:hAnsi="微软雅黑" w:eastAsia="微软雅黑" w:cs="微软雅黑"/>
          <w:b w:val="0"/>
          <w:bCs w:val="0"/>
          <w:color w:val="auto"/>
          <w:kern w:val="0"/>
          <w:sz w:val="24"/>
          <w:lang w:eastAsia="zh-CN"/>
        </w:rPr>
        <w:t>采购人</w:t>
      </w:r>
      <w:r>
        <w:rPr>
          <w:rFonts w:hint="eastAsia" w:ascii="微软雅黑" w:hAnsi="微软雅黑" w:eastAsia="微软雅黑" w:cs="微软雅黑"/>
          <w:b w:val="0"/>
          <w:bCs w:val="0"/>
          <w:color w:val="auto"/>
          <w:kern w:val="0"/>
          <w:sz w:val="24"/>
        </w:rPr>
        <w:t>、</w:t>
      </w:r>
      <w:r>
        <w:rPr>
          <w:rFonts w:hint="eastAsia" w:ascii="微软雅黑" w:hAnsi="微软雅黑" w:eastAsia="微软雅黑" w:cs="微软雅黑"/>
          <w:b w:val="0"/>
          <w:bCs w:val="0"/>
          <w:color w:val="auto"/>
          <w:kern w:val="0"/>
          <w:sz w:val="24"/>
          <w:lang w:eastAsia="zh-CN"/>
        </w:rPr>
        <w:t>代理机构</w:t>
      </w:r>
      <w:r>
        <w:rPr>
          <w:rFonts w:hint="eastAsia" w:ascii="微软雅黑" w:hAnsi="微软雅黑" w:eastAsia="微软雅黑" w:cs="微软雅黑"/>
          <w:b w:val="0"/>
          <w:bCs w:val="0"/>
          <w:color w:val="auto"/>
          <w:kern w:val="0"/>
          <w:sz w:val="24"/>
        </w:rPr>
        <w:t>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微软雅黑" w:hAnsi="微软雅黑" w:eastAsia="微软雅黑" w:cs="微软雅黑"/>
          <w:b w:val="0"/>
          <w:bCs w:val="0"/>
          <w:color w:val="auto"/>
          <w:kern w:val="0"/>
          <w:sz w:val="24"/>
          <w:lang w:val="en-US" w:eastAsia="zh-CN"/>
        </w:rPr>
        <w:t>6</w:t>
      </w:r>
      <w:r>
        <w:rPr>
          <w:rFonts w:hint="eastAsia" w:ascii="微软雅黑" w:hAnsi="微软雅黑" w:eastAsia="微软雅黑" w:cs="微软雅黑"/>
          <w:b w:val="0"/>
          <w:bCs w:val="0"/>
          <w:color w:val="auto"/>
          <w:kern w:val="0"/>
          <w:sz w:val="24"/>
        </w:rPr>
        <w:t>%~</w:t>
      </w:r>
      <w:r>
        <w:rPr>
          <w:rFonts w:hint="eastAsia" w:ascii="微软雅黑" w:hAnsi="微软雅黑" w:eastAsia="微软雅黑" w:cs="微软雅黑"/>
          <w:b w:val="0"/>
          <w:bCs w:val="0"/>
          <w:color w:val="auto"/>
          <w:kern w:val="0"/>
          <w:sz w:val="24"/>
          <w:lang w:val="en-US" w:eastAsia="zh-CN"/>
        </w:rPr>
        <w:t>10</w:t>
      </w:r>
      <w:r>
        <w:rPr>
          <w:rFonts w:hint="eastAsia" w:ascii="微软雅黑" w:hAnsi="微软雅黑" w:eastAsia="微软雅黑" w:cs="微软雅黑"/>
          <w:b w:val="0"/>
          <w:bCs w:val="0"/>
          <w:color w:val="auto"/>
          <w:kern w:val="0"/>
          <w:sz w:val="24"/>
        </w:rPr>
        <w:t>%作为其价格分。</w:t>
      </w:r>
    </w:p>
    <w:p w14:paraId="2AEE4C82">
      <w:pPr>
        <w:pStyle w:val="27"/>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七、</w:t>
      </w:r>
      <w:bookmarkEnd w:id="707"/>
      <w:bookmarkEnd w:id="708"/>
      <w:bookmarkStart w:id="709" w:name="_Toc35393805"/>
      <w:bookmarkStart w:id="710" w:name="_Toc35393636"/>
      <w:bookmarkStart w:id="711" w:name="_Toc28359018"/>
      <w:bookmarkStart w:id="712" w:name="_Toc28359095"/>
      <w:r>
        <w:rPr>
          <w:rFonts w:hint="eastAsia" w:ascii="微软雅黑" w:hAnsi="微软雅黑" w:eastAsia="微软雅黑" w:cs="微软雅黑"/>
          <w:b/>
          <w:color w:val="auto"/>
          <w:sz w:val="24"/>
          <w:szCs w:val="24"/>
        </w:rPr>
        <w:t>凡对本次采购提出询问，请按以下方式联系。</w:t>
      </w:r>
      <w:bookmarkEnd w:id="709"/>
      <w:bookmarkEnd w:id="710"/>
      <w:bookmarkEnd w:id="711"/>
      <w:bookmarkEnd w:id="712"/>
      <w:bookmarkStart w:id="713" w:name="_Toc35393637"/>
      <w:bookmarkStart w:id="714" w:name="_Toc35393806"/>
      <w:bookmarkStart w:id="715" w:name="_Toc28359096"/>
      <w:bookmarkStart w:id="716" w:name="_Toc28359019"/>
      <w:bookmarkStart w:id="717" w:name="_Toc4002"/>
    </w:p>
    <w:p w14:paraId="126F81DC">
      <w:pPr>
        <w:pStyle w:val="27"/>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rPr>
        <w:t>1.</w:t>
      </w:r>
      <w:r>
        <w:rPr>
          <w:rFonts w:hint="eastAsia" w:ascii="微软雅黑" w:hAnsi="微软雅黑" w:eastAsia="微软雅黑" w:cs="微软雅黑"/>
          <w:b w:val="0"/>
          <w:bCs/>
          <w:color w:val="auto"/>
          <w:sz w:val="24"/>
          <w:szCs w:val="24"/>
          <w:lang w:eastAsia="zh-CN"/>
        </w:rPr>
        <w:t>采购人</w:t>
      </w:r>
      <w:r>
        <w:rPr>
          <w:rFonts w:hint="eastAsia" w:ascii="微软雅黑" w:hAnsi="微软雅黑" w:eastAsia="微软雅黑" w:cs="微软雅黑"/>
          <w:b w:val="0"/>
          <w:bCs/>
          <w:color w:val="auto"/>
          <w:sz w:val="24"/>
          <w:szCs w:val="24"/>
        </w:rPr>
        <w:t>信息</w:t>
      </w:r>
      <w:bookmarkEnd w:id="713"/>
      <w:bookmarkEnd w:id="714"/>
      <w:bookmarkEnd w:id="715"/>
      <w:bookmarkEnd w:id="716"/>
      <w:bookmarkEnd w:id="717"/>
      <w:bookmarkStart w:id="718" w:name="_Toc29470"/>
      <w:bookmarkStart w:id="719" w:name="_Toc35393807"/>
      <w:bookmarkStart w:id="720" w:name="_Toc35393638"/>
      <w:bookmarkStart w:id="721" w:name="_Toc28359020"/>
      <w:bookmarkStart w:id="722" w:name="_Toc28359097"/>
    </w:p>
    <w:p w14:paraId="3DA8DB18">
      <w:pPr>
        <w:pStyle w:val="27"/>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rPr>
        <w:t>名    称：</w:t>
      </w:r>
      <w:bookmarkEnd w:id="718"/>
      <w:bookmarkStart w:id="723" w:name="_Toc21820"/>
      <w:r>
        <w:rPr>
          <w:rFonts w:hint="eastAsia" w:ascii="微软雅黑" w:hAnsi="微软雅黑" w:eastAsia="微软雅黑" w:cs="微软雅黑"/>
          <w:bCs/>
          <w:color w:val="auto"/>
          <w:sz w:val="24"/>
          <w:szCs w:val="24"/>
          <w:lang w:val="en-US" w:eastAsia="zh-CN"/>
        </w:rPr>
        <w:t>疏勒县阿拉甫乡人民政府</w:t>
      </w:r>
    </w:p>
    <w:p w14:paraId="37F292E1">
      <w:pPr>
        <w:pStyle w:val="27"/>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rPr>
        <w:t>地    址：</w:t>
      </w:r>
      <w:bookmarkEnd w:id="723"/>
      <w:bookmarkStart w:id="724" w:name="_Toc7391"/>
      <w:r>
        <w:rPr>
          <w:rFonts w:hint="eastAsia" w:ascii="微软雅黑" w:hAnsi="微软雅黑" w:eastAsia="微软雅黑" w:cs="微软雅黑"/>
          <w:bCs/>
          <w:color w:val="auto"/>
          <w:sz w:val="24"/>
          <w:szCs w:val="24"/>
        </w:rPr>
        <w:t>疏勒县阿拉甫乡</w:t>
      </w:r>
    </w:p>
    <w:p w14:paraId="2760A02C">
      <w:pPr>
        <w:pStyle w:val="27"/>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rPr>
        <w:t>联 系 人：</w:t>
      </w:r>
      <w:bookmarkEnd w:id="724"/>
      <w:r>
        <w:rPr>
          <w:rFonts w:hint="eastAsia" w:ascii="微软雅黑" w:hAnsi="微软雅黑" w:eastAsia="微软雅黑" w:cs="微软雅黑"/>
          <w:bCs/>
          <w:color w:val="auto"/>
          <w:sz w:val="24"/>
          <w:szCs w:val="24"/>
        </w:rPr>
        <w:t>宋浩</w:t>
      </w:r>
    </w:p>
    <w:p w14:paraId="77D91BBB">
      <w:pPr>
        <w:pStyle w:val="27"/>
        <w:pageBreakBefore w:val="0"/>
        <w:kinsoku/>
        <w:wordWrap/>
        <w:overflowPunct/>
        <w:topLinePunct w:val="0"/>
        <w:autoSpaceDE/>
        <w:autoSpaceDN/>
        <w:bidi w:val="0"/>
        <w:adjustRightInd/>
        <w:spacing w:line="500" w:lineRule="exact"/>
        <w:ind w:firstLine="480" w:firstLineChars="200"/>
        <w:rPr>
          <w:rFonts w:hint="default" w:ascii="微软雅黑" w:hAnsi="微软雅黑" w:eastAsia="微软雅黑" w:cs="微软雅黑"/>
          <w:bCs/>
          <w:color w:val="auto"/>
          <w:sz w:val="24"/>
          <w:szCs w:val="24"/>
          <w:lang w:val="en-US" w:eastAsia="zh-CN"/>
        </w:rPr>
      </w:pPr>
      <w:bookmarkStart w:id="725" w:name="_Toc15683"/>
      <w:bookmarkStart w:id="726" w:name="_Toc242"/>
      <w:r>
        <w:rPr>
          <w:rFonts w:hint="eastAsia" w:ascii="微软雅黑" w:hAnsi="微软雅黑" w:eastAsia="微软雅黑" w:cs="微软雅黑"/>
          <w:bCs/>
          <w:color w:val="auto"/>
          <w:sz w:val="24"/>
          <w:szCs w:val="24"/>
        </w:rPr>
        <w:t>联系方式：</w:t>
      </w:r>
      <w:bookmarkEnd w:id="725"/>
      <w:bookmarkEnd w:id="726"/>
      <w:r>
        <w:rPr>
          <w:rFonts w:hint="eastAsia" w:ascii="微软雅黑" w:hAnsi="微软雅黑" w:eastAsia="微软雅黑" w:cs="微软雅黑"/>
          <w:bCs/>
          <w:color w:val="auto"/>
          <w:sz w:val="24"/>
          <w:szCs w:val="24"/>
        </w:rPr>
        <w:t>13579926112</w:t>
      </w:r>
    </w:p>
    <w:p w14:paraId="6BBF527C">
      <w:pPr>
        <w:pageBreakBefore w:val="0"/>
        <w:kinsoku/>
        <w:wordWrap/>
        <w:overflowPunct/>
        <w:topLinePunct w:val="0"/>
        <w:autoSpaceDE/>
        <w:autoSpaceDN/>
        <w:bidi w:val="0"/>
        <w:adjustRightInd/>
        <w:spacing w:before="0" w:line="500" w:lineRule="exact"/>
        <w:ind w:firstLine="480" w:firstLineChars="200"/>
        <w:jc w:val="left"/>
        <w:outlineLvl w:val="9"/>
        <w:rPr>
          <w:rFonts w:hint="eastAsia" w:ascii="微软雅黑" w:hAnsi="微软雅黑" w:eastAsia="微软雅黑" w:cs="微软雅黑"/>
          <w:bCs/>
          <w:color w:val="auto"/>
          <w:kern w:val="2"/>
          <w:sz w:val="24"/>
          <w:szCs w:val="24"/>
        </w:rPr>
      </w:pPr>
      <w:bookmarkStart w:id="727" w:name="_Toc1170"/>
      <w:bookmarkStart w:id="728" w:name="_Toc19222"/>
      <w:bookmarkStart w:id="729" w:name="_Toc24525"/>
      <w:bookmarkStart w:id="730" w:name="_Toc15983"/>
      <w:r>
        <w:rPr>
          <w:rFonts w:hint="eastAsia" w:ascii="微软雅黑" w:hAnsi="微软雅黑" w:eastAsia="微软雅黑" w:cs="微软雅黑"/>
          <w:bCs/>
          <w:color w:val="auto"/>
          <w:kern w:val="2"/>
          <w:sz w:val="24"/>
          <w:szCs w:val="24"/>
        </w:rPr>
        <w:t>2.</w:t>
      </w:r>
      <w:r>
        <w:rPr>
          <w:rFonts w:hint="eastAsia" w:ascii="微软雅黑" w:hAnsi="微软雅黑" w:eastAsia="微软雅黑" w:cs="微软雅黑"/>
          <w:bCs/>
          <w:color w:val="auto"/>
          <w:kern w:val="2"/>
          <w:sz w:val="24"/>
          <w:szCs w:val="24"/>
          <w:lang w:eastAsia="zh-CN"/>
        </w:rPr>
        <w:t>代理机构</w:t>
      </w:r>
      <w:r>
        <w:rPr>
          <w:rFonts w:hint="eastAsia" w:ascii="微软雅黑" w:hAnsi="微软雅黑" w:eastAsia="微软雅黑" w:cs="微软雅黑"/>
          <w:bCs/>
          <w:color w:val="auto"/>
          <w:kern w:val="2"/>
          <w:sz w:val="24"/>
          <w:szCs w:val="24"/>
        </w:rPr>
        <w:t>信息</w:t>
      </w:r>
      <w:bookmarkEnd w:id="719"/>
      <w:bookmarkEnd w:id="720"/>
      <w:bookmarkEnd w:id="721"/>
      <w:bookmarkEnd w:id="722"/>
      <w:bookmarkEnd w:id="727"/>
      <w:bookmarkEnd w:id="728"/>
      <w:bookmarkEnd w:id="729"/>
      <w:bookmarkEnd w:id="730"/>
    </w:p>
    <w:p w14:paraId="39649365">
      <w:pPr>
        <w:pStyle w:val="27"/>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名 称：新疆永业鑫达招标有限公司</w:t>
      </w:r>
    </w:p>
    <w:p w14:paraId="1E20C279">
      <w:pPr>
        <w:pStyle w:val="27"/>
        <w:pageBreakBefore w:val="0"/>
        <w:kinsoku/>
        <w:wordWrap/>
        <w:overflowPunct/>
        <w:topLinePunct w:val="0"/>
        <w:autoSpaceDE/>
        <w:autoSpaceDN/>
        <w:bidi w:val="0"/>
        <w:adjustRightInd/>
        <w:spacing w:line="500" w:lineRule="exact"/>
        <w:ind w:firstLine="480" w:firstLineChars="200"/>
        <w:textAlignment w:val="auto"/>
        <w:rPr>
          <w:rFonts w:hint="default"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地 址：</w:t>
      </w:r>
      <w:r>
        <w:rPr>
          <w:rFonts w:hint="eastAsia" w:ascii="微软雅黑" w:hAnsi="微软雅黑" w:eastAsia="微软雅黑" w:cs="微软雅黑"/>
          <w:bCs/>
          <w:color w:val="auto"/>
          <w:sz w:val="24"/>
          <w:szCs w:val="24"/>
          <w:lang w:eastAsia="zh-CN"/>
        </w:rPr>
        <w:t>喀什市明宇广场写字楼</w:t>
      </w:r>
      <w:r>
        <w:rPr>
          <w:rFonts w:hint="eastAsia" w:ascii="微软雅黑" w:hAnsi="微软雅黑" w:eastAsia="微软雅黑" w:cs="微软雅黑"/>
          <w:bCs/>
          <w:color w:val="auto"/>
          <w:sz w:val="24"/>
          <w:szCs w:val="24"/>
          <w:lang w:val="en-US" w:eastAsia="zh-CN"/>
        </w:rPr>
        <w:t>B座</w:t>
      </w:r>
    </w:p>
    <w:p w14:paraId="025DFC98">
      <w:pPr>
        <w:pStyle w:val="27"/>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项目联系人：李连伟</w:t>
      </w:r>
    </w:p>
    <w:p w14:paraId="3C099055">
      <w:pPr>
        <w:pStyle w:val="27"/>
        <w:pageBreakBefore w:val="0"/>
        <w:kinsoku/>
        <w:wordWrap/>
        <w:overflowPunct/>
        <w:topLinePunct w:val="0"/>
        <w:autoSpaceDE/>
        <w:autoSpaceDN/>
        <w:bidi w:val="0"/>
        <w:adjustRightInd/>
        <w:spacing w:line="500" w:lineRule="exact"/>
        <w:ind w:firstLine="480" w:firstLineChars="200"/>
        <w:rPr>
          <w:rFonts w:hint="default"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联系方式：13899186539</w:t>
      </w:r>
    </w:p>
    <w:p w14:paraId="41FCB98A">
      <w:pPr>
        <w:pageBreakBefore w:val="0"/>
        <w:kinsoku/>
        <w:wordWrap/>
        <w:overflowPunct/>
        <w:topLinePunct w:val="0"/>
        <w:bidi w:val="0"/>
        <w:spacing w:line="520" w:lineRule="exact"/>
      </w:pPr>
    </w:p>
    <w:p w14:paraId="0613C5FD">
      <w:pPr>
        <w:pageBreakBefore w:val="0"/>
        <w:tabs>
          <w:tab w:val="left" w:pos="0"/>
        </w:tabs>
        <w:kinsoku/>
        <w:wordWrap/>
        <w:overflowPunct/>
        <w:topLinePunct w:val="0"/>
        <w:bidi w:val="0"/>
        <w:snapToGrid w:val="0"/>
        <w:spacing w:before="0" w:after="0" w:line="520" w:lineRule="exact"/>
        <w:textAlignment w:val="baseline"/>
        <w:outlineLvl w:val="9"/>
        <w:rPr>
          <w:rFonts w:hint="eastAsia" w:ascii="微软雅黑" w:hAnsi="微软雅黑" w:eastAsia="微软雅黑" w:cs="微软雅黑"/>
          <w:szCs w:val="32"/>
        </w:rPr>
      </w:pPr>
      <w:bookmarkStart w:id="731" w:name="_Toc21562"/>
    </w:p>
    <w:p w14:paraId="4D241D74">
      <w:pPr>
        <w:pStyle w:val="2"/>
        <w:pageBreakBefore w:val="0"/>
        <w:tabs>
          <w:tab w:val="left" w:pos="0"/>
        </w:tabs>
        <w:kinsoku/>
        <w:wordWrap/>
        <w:overflowPunct/>
        <w:topLinePunct w:val="0"/>
        <w:bidi w:val="0"/>
        <w:snapToGrid w:val="0"/>
        <w:spacing w:before="0" w:after="0" w:line="520" w:lineRule="exact"/>
        <w:textAlignment w:val="baseline"/>
        <w:rPr>
          <w:rFonts w:ascii="微软雅黑" w:hAnsi="微软雅黑" w:eastAsia="微软雅黑" w:cs="微软雅黑"/>
          <w:szCs w:val="32"/>
        </w:rPr>
      </w:pPr>
      <w:bookmarkStart w:id="732" w:name="_Toc18439"/>
      <w:r>
        <w:rPr>
          <w:rFonts w:hint="eastAsia" w:ascii="微软雅黑" w:hAnsi="微软雅黑" w:eastAsia="微软雅黑" w:cs="微软雅黑"/>
          <w:szCs w:val="32"/>
        </w:rPr>
        <w:t xml:space="preserve">第4章 </w:t>
      </w:r>
      <w:r>
        <w:rPr>
          <w:rFonts w:hint="eastAsia" w:ascii="微软雅黑" w:hAnsi="微软雅黑" w:eastAsia="微软雅黑" w:cs="微软雅黑"/>
          <w:szCs w:val="32"/>
          <w:lang w:eastAsia="zh-CN"/>
        </w:rPr>
        <w:t>供应商</w:t>
      </w:r>
      <w:r>
        <w:rPr>
          <w:rFonts w:hint="eastAsia" w:ascii="微软雅黑" w:hAnsi="微软雅黑" w:eastAsia="微软雅黑" w:cs="微软雅黑"/>
          <w:szCs w:val="32"/>
        </w:rPr>
        <w:t>须知资料表</w:t>
      </w:r>
      <w:bookmarkEnd w:id="681"/>
      <w:bookmarkEnd w:id="682"/>
      <w:bookmarkEnd w:id="683"/>
      <w:bookmarkEnd w:id="684"/>
      <w:bookmarkEnd w:id="685"/>
      <w:bookmarkEnd w:id="686"/>
      <w:bookmarkEnd w:id="731"/>
      <w:bookmarkEnd w:id="732"/>
    </w:p>
    <w:p w14:paraId="415DE779">
      <w:pPr>
        <w:pageBreakBefore w:val="0"/>
        <w:kinsoku/>
        <w:wordWrap/>
        <w:overflowPunct/>
        <w:topLinePunct w:val="0"/>
        <w:bidi w:val="0"/>
        <w:snapToGrid w:val="0"/>
        <w:spacing w:line="520" w:lineRule="exact"/>
        <w:ind w:firstLine="360" w:firstLineChars="150"/>
        <w:textAlignment w:val="baseline"/>
        <w:rPr>
          <w:rFonts w:ascii="微软雅黑" w:hAnsi="微软雅黑" w:eastAsia="微软雅黑" w:cs="微软雅黑"/>
          <w:sz w:val="24"/>
        </w:rPr>
      </w:pPr>
      <w:r>
        <w:rPr>
          <w:rFonts w:hint="eastAsia" w:ascii="微软雅黑" w:hAnsi="微软雅黑" w:eastAsia="微软雅黑" w:cs="微软雅黑"/>
          <w:sz w:val="24"/>
        </w:rPr>
        <w:t xml:space="preserve"> 本表是本采购项目的具体资料，是对</w:t>
      </w:r>
      <w:r>
        <w:rPr>
          <w:rFonts w:hint="eastAsia" w:ascii="微软雅黑" w:hAnsi="微软雅黑" w:eastAsia="微软雅黑" w:cs="微软雅黑"/>
          <w:sz w:val="24"/>
          <w:lang w:eastAsia="zh-CN"/>
        </w:rPr>
        <w:t>供应商</w:t>
      </w:r>
      <w:r>
        <w:rPr>
          <w:rFonts w:hint="eastAsia" w:ascii="微软雅黑" w:hAnsi="微软雅黑" w:eastAsia="微软雅黑" w:cs="微软雅黑"/>
          <w:sz w:val="24"/>
        </w:rPr>
        <w:t>须知的具体补充和修改，如有矛盾，应以本资料表为准。</w:t>
      </w:r>
    </w:p>
    <w:tbl>
      <w:tblPr>
        <w:tblStyle w:val="38"/>
        <w:tblW w:w="95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95"/>
        <w:gridCol w:w="8115"/>
      </w:tblGrid>
      <w:tr w14:paraId="65097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1395" w:type="dxa"/>
            <w:vAlign w:val="center"/>
          </w:tcPr>
          <w:p w14:paraId="062A3E18">
            <w:pPr>
              <w:pageBreakBefore w:val="0"/>
              <w:kinsoku/>
              <w:wordWrap/>
              <w:overflowPunct/>
              <w:topLinePunct w:val="0"/>
              <w:bidi w:val="0"/>
              <w:snapToGrid w:val="0"/>
              <w:spacing w:line="520" w:lineRule="exact"/>
              <w:jc w:val="center"/>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条款号</w:t>
            </w:r>
          </w:p>
        </w:tc>
        <w:tc>
          <w:tcPr>
            <w:tcW w:w="8115" w:type="dxa"/>
            <w:vAlign w:val="center"/>
          </w:tcPr>
          <w:p w14:paraId="34110947">
            <w:pPr>
              <w:pageBreakBefore w:val="0"/>
              <w:kinsoku/>
              <w:wordWrap/>
              <w:overflowPunct/>
              <w:topLinePunct w:val="0"/>
              <w:bidi w:val="0"/>
              <w:snapToGrid w:val="0"/>
              <w:spacing w:line="520" w:lineRule="exact"/>
              <w:ind w:left="1258" w:leftChars="599" w:firstLine="1782" w:firstLineChars="742"/>
              <w:textAlignment w:val="baseline"/>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内      容</w:t>
            </w:r>
          </w:p>
        </w:tc>
      </w:tr>
      <w:tr w14:paraId="156A7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6" w:hRule="atLeast"/>
          <w:jc w:val="center"/>
        </w:trPr>
        <w:tc>
          <w:tcPr>
            <w:tcW w:w="1395" w:type="dxa"/>
            <w:vAlign w:val="center"/>
          </w:tcPr>
          <w:p w14:paraId="3075C97C">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8115" w:type="dxa"/>
            <w:vAlign w:val="center"/>
          </w:tcPr>
          <w:p w14:paraId="38E70E54">
            <w:pPr>
              <w:pStyle w:val="32"/>
              <w:pageBreakBefore w:val="0"/>
              <w:widowControl/>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w:t>
            </w:r>
            <w:r>
              <w:rPr>
                <w:rFonts w:hint="eastAsia" w:ascii="微软雅黑" w:hAnsi="微软雅黑" w:eastAsia="微软雅黑" w:cs="微软雅黑"/>
                <w:bCs/>
                <w:color w:val="auto"/>
                <w:sz w:val="24"/>
                <w:szCs w:val="24"/>
                <w:lang w:val="en-US" w:eastAsia="zh-CN"/>
              </w:rPr>
              <w:t>疏勒县阿拉甫乡人民政府</w:t>
            </w:r>
          </w:p>
          <w:p w14:paraId="2E8A9A56">
            <w:pPr>
              <w:pStyle w:val="27"/>
              <w:pageBreakBefore w:val="0"/>
              <w:kinsoku/>
              <w:wordWrap/>
              <w:overflowPunct/>
              <w:topLinePunct w:val="0"/>
              <w:autoSpaceDE/>
              <w:autoSpaceDN/>
              <w:bidi w:val="0"/>
              <w:adjustRightInd/>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联 系 人：</w:t>
            </w:r>
            <w:r>
              <w:rPr>
                <w:rFonts w:hint="eastAsia" w:ascii="微软雅黑" w:hAnsi="微软雅黑" w:eastAsia="微软雅黑" w:cs="微软雅黑"/>
                <w:sz w:val="24"/>
                <w:szCs w:val="24"/>
                <w:lang w:eastAsia="zh-CN"/>
              </w:rPr>
              <w:t>宋浩</w:t>
            </w:r>
            <w:r>
              <w:rPr>
                <w:rFonts w:hint="eastAsia" w:ascii="微软雅黑" w:hAnsi="微软雅黑" w:eastAsia="微软雅黑" w:cs="微软雅黑"/>
                <w:sz w:val="24"/>
                <w:szCs w:val="24"/>
                <w:u w:val="none"/>
              </w:rPr>
              <w:t xml:space="preserve">     </w:t>
            </w:r>
            <w:r>
              <w:rPr>
                <w:rFonts w:hint="eastAsia" w:ascii="微软雅黑" w:hAnsi="微软雅黑" w:eastAsia="微软雅黑" w:cs="微软雅黑"/>
                <w:sz w:val="24"/>
                <w:szCs w:val="24"/>
              </w:rPr>
              <w:t xml:space="preserve">  联系电话：</w:t>
            </w:r>
            <w:r>
              <w:rPr>
                <w:rFonts w:hint="eastAsia" w:ascii="微软雅黑" w:hAnsi="微软雅黑" w:eastAsia="微软雅黑" w:cs="微软雅黑"/>
                <w:sz w:val="24"/>
                <w:szCs w:val="24"/>
                <w:lang w:val="en-US" w:eastAsia="zh-CN"/>
              </w:rPr>
              <w:t>13579926112</w:t>
            </w:r>
          </w:p>
        </w:tc>
      </w:tr>
      <w:tr w14:paraId="6EF9A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44CDCADA">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w:t>
            </w:r>
          </w:p>
        </w:tc>
        <w:tc>
          <w:tcPr>
            <w:tcW w:w="8115" w:type="dxa"/>
            <w:vAlign w:val="center"/>
          </w:tcPr>
          <w:p w14:paraId="6B8F7D37">
            <w:pPr>
              <w:pageBreakBefore w:val="0"/>
              <w:kinsoku/>
              <w:wordWrap/>
              <w:overflowPunct/>
              <w:topLinePunct w:val="0"/>
              <w:bidi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w:t>
            </w:r>
            <w:r>
              <w:rPr>
                <w:rFonts w:hint="eastAsia" w:ascii="微软雅黑" w:hAnsi="微软雅黑" w:eastAsia="微软雅黑" w:cs="微软雅黑"/>
                <w:b w:val="0"/>
                <w:bCs/>
                <w:color w:val="auto"/>
                <w:kern w:val="2"/>
                <w:sz w:val="24"/>
                <w:szCs w:val="24"/>
                <w:u w:val="none"/>
                <w:lang w:val="en-US" w:eastAsia="zh-CN" w:bidi="ar-SA"/>
              </w:rPr>
              <w:t xml:space="preserve">新疆永业鑫达招标有限公司 </w:t>
            </w:r>
          </w:p>
          <w:p w14:paraId="20D95596">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联系人：</w:t>
            </w:r>
            <w:r>
              <w:rPr>
                <w:rFonts w:hint="eastAsia" w:ascii="微软雅黑" w:hAnsi="微软雅黑" w:eastAsia="微软雅黑" w:cs="微软雅黑"/>
                <w:sz w:val="24"/>
                <w:szCs w:val="24"/>
                <w:lang w:val="en-US" w:eastAsia="zh-CN"/>
              </w:rPr>
              <w:t>李连伟</w:t>
            </w:r>
            <w:r>
              <w:rPr>
                <w:rFonts w:hint="eastAsia" w:ascii="微软雅黑" w:hAnsi="微软雅黑" w:eastAsia="微软雅黑" w:cs="微软雅黑"/>
                <w:sz w:val="24"/>
                <w:szCs w:val="24"/>
              </w:rPr>
              <w:t xml:space="preserve">         联系电话：</w:t>
            </w:r>
            <w:r>
              <w:rPr>
                <w:rFonts w:hint="eastAsia" w:ascii="微软雅黑" w:hAnsi="微软雅黑" w:eastAsia="微软雅黑" w:cs="微软雅黑"/>
                <w:sz w:val="24"/>
                <w:szCs w:val="24"/>
                <w:lang w:val="en-US" w:eastAsia="zh-CN"/>
              </w:rPr>
              <w:t>13899186539</w:t>
            </w:r>
          </w:p>
        </w:tc>
      </w:tr>
      <w:tr w14:paraId="4B32B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1395" w:type="dxa"/>
            <w:vAlign w:val="center"/>
          </w:tcPr>
          <w:p w14:paraId="0917F8A0">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1.3.4</w:t>
            </w:r>
          </w:p>
        </w:tc>
        <w:tc>
          <w:tcPr>
            <w:tcW w:w="8115" w:type="dxa"/>
            <w:vAlign w:val="center"/>
          </w:tcPr>
          <w:p w14:paraId="3A4E0D06">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合格</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的其他资格要求：</w:t>
            </w:r>
          </w:p>
          <w:p w14:paraId="071B9819">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1、满足《中华人民共和国政府采购法》第二十二条规定；</w:t>
            </w:r>
          </w:p>
          <w:p w14:paraId="48AAB7F1">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①具有独立承担民事责任的能力；（投标时，提供在中华人民共和国境内注册的法人或其他组织的营业执照或事业单位法人证书或社会团体法人登记证书）</w:t>
            </w:r>
          </w:p>
          <w:p w14:paraId="789A970F">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②提供法定代表人资格证明及授权书、被授权人身份证；(法定代表人投标需提供法定代表人身份证)；</w:t>
            </w:r>
          </w:p>
          <w:p w14:paraId="5C2E03FF">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③提供本单位依法缴纳近4个月内任意一个月的社会保险证明及法定代表人或授权委托人在本单位依法缴纳近4个月内任意一个月的社会保险明细（新成立公司提供相关证明文件）；</w:t>
            </w:r>
          </w:p>
          <w:p w14:paraId="22110439">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④提供税务部门出具的本单位近6个月内任意一个月的完税证明（依法免缴的应提供依法免缴的相关证明文件或零申报报表）；</w:t>
            </w:r>
          </w:p>
          <w:p w14:paraId="4C24DA89">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⑤提供近两年任意一年完整的财务审计报告（或近一个月的银行资信证明）。</w:t>
            </w:r>
          </w:p>
          <w:p w14:paraId="0B18DCE0">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⑥参与政府采购活动前3年内未被列入失信、重大税收违法案件、财政部门禁止参加政府采购活动的承诺书；</w:t>
            </w:r>
          </w:p>
          <w:p w14:paraId="0725F494">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⑦提供针对本次项目的反商业贿赂承诺书。</w:t>
            </w:r>
          </w:p>
          <w:p w14:paraId="4EAA8AA4">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p w14:paraId="3BC19281">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⑨本项目为专门面向中小企业（供应商须根据磋商文件中的法定格式填写中小企业声明函）。</w:t>
            </w:r>
          </w:p>
          <w:p w14:paraId="0D7E49D0">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2、本项目的特定资格要求：①企业资质要求：[公路工程施工总承包三级]（含）及以上资质，并在人员、设备、资金等方面具有相应的施工能力。②项目负责人资质要求：【公路工程专业二级】（含）及二级以上注册建造师执业资格，具备交通运输主管部门颁发的有效的B类安全生产考核合格证书，且不得担任其他在建工程的项目负责人。</w:t>
            </w:r>
          </w:p>
          <w:p w14:paraId="539E9CFB">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3、磋商保证金有效凭证。</w:t>
            </w:r>
          </w:p>
          <w:p w14:paraId="078D28CF">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注：</w:t>
            </w:r>
          </w:p>
          <w:p w14:paraId="1BBF1975">
            <w:pPr>
              <w:pageBreakBefore w:val="0"/>
              <w:widowControl/>
              <w:kinsoku/>
              <w:wordWrap/>
              <w:overflowPunct/>
              <w:topLinePunct w:val="0"/>
              <w:bidi w:val="0"/>
              <w:snapToGrid w:val="0"/>
              <w:spacing w:line="520" w:lineRule="exact"/>
              <w:ind w:firstLine="240" w:firstLineChars="1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1、“税务部门出具的完税证明”：完税证明中“税种”非养老保险、医疗保险、失业保险、工伤保险和生育保险。请各投标</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注意！</w:t>
            </w:r>
          </w:p>
        </w:tc>
      </w:tr>
      <w:tr w14:paraId="0A514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148FEE16">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1.3.5   </w:t>
            </w:r>
          </w:p>
        </w:tc>
        <w:tc>
          <w:tcPr>
            <w:tcW w:w="8115" w:type="dxa"/>
            <w:vAlign w:val="center"/>
          </w:tcPr>
          <w:p w14:paraId="356B4D6D">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是否允许采购进口产品：</w:t>
            </w:r>
            <w:r>
              <w:rPr>
                <w:rFonts w:hint="eastAsia" w:ascii="微软雅黑" w:hAnsi="微软雅黑" w:eastAsia="微软雅黑" w:cs="微软雅黑"/>
                <w:sz w:val="24"/>
                <w:szCs w:val="24"/>
                <w:u w:val="single" w:color="000000"/>
              </w:rPr>
              <w:t xml:space="preserve">  否  </w:t>
            </w:r>
          </w:p>
        </w:tc>
      </w:tr>
      <w:tr w14:paraId="32FEE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37E575E1">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1.3.6</w:t>
            </w:r>
          </w:p>
        </w:tc>
        <w:tc>
          <w:tcPr>
            <w:tcW w:w="8115" w:type="dxa"/>
            <w:vAlign w:val="center"/>
          </w:tcPr>
          <w:p w14:paraId="054D39C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是否为专门面向中小企业采购：</w:t>
            </w:r>
            <w:r>
              <w:rPr>
                <w:rFonts w:hint="eastAsia" w:ascii="微软雅黑" w:hAnsi="微软雅黑" w:eastAsia="微软雅黑" w:cs="微软雅黑"/>
                <w:sz w:val="24"/>
                <w:szCs w:val="24"/>
                <w:u w:val="single" w:color="000000"/>
              </w:rPr>
              <w:t xml:space="preserve">  </w:t>
            </w:r>
            <w:r>
              <w:rPr>
                <w:rFonts w:hint="eastAsia" w:ascii="微软雅黑" w:hAnsi="微软雅黑" w:eastAsia="微软雅黑" w:cs="微软雅黑"/>
                <w:sz w:val="24"/>
                <w:szCs w:val="24"/>
                <w:u w:val="single" w:color="000000"/>
                <w:lang w:val="en-US" w:eastAsia="zh-CN"/>
              </w:rPr>
              <w:t xml:space="preserve">是  </w:t>
            </w:r>
            <w:r>
              <w:rPr>
                <w:rFonts w:hint="eastAsia" w:ascii="微软雅黑" w:hAnsi="微软雅黑" w:eastAsia="微软雅黑" w:cs="微软雅黑"/>
                <w:sz w:val="24"/>
                <w:szCs w:val="24"/>
                <w:u w:val="single" w:color="000000"/>
              </w:rPr>
              <w:t xml:space="preserve"> </w:t>
            </w:r>
            <w:r>
              <w:rPr>
                <w:rFonts w:hint="eastAsia" w:ascii="微软雅黑" w:hAnsi="微软雅黑" w:eastAsia="微软雅黑" w:cs="微软雅黑"/>
                <w:b/>
                <w:bCs/>
                <w:sz w:val="24"/>
                <w:szCs w:val="24"/>
                <w:u w:val="none" w:color="auto"/>
                <w:lang w:val="en-US" w:eastAsia="zh-CN"/>
              </w:rPr>
              <w:t>潜在供应商属于中小微企业的，应在响应文件中提供‘’中小企业声明函”如果未提供或提供“中小企业声明函”内容不实的，供应商将承担由此造成的一切不利后果。</w:t>
            </w:r>
          </w:p>
        </w:tc>
      </w:tr>
      <w:tr w14:paraId="7EC94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395" w:type="dxa"/>
            <w:vAlign w:val="center"/>
          </w:tcPr>
          <w:p w14:paraId="2DE05386">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w:t>
            </w:r>
          </w:p>
        </w:tc>
        <w:tc>
          <w:tcPr>
            <w:tcW w:w="8115" w:type="dxa"/>
            <w:vAlign w:val="center"/>
          </w:tcPr>
          <w:p w14:paraId="60B300B8">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是否允许联合体磋商：</w:t>
            </w:r>
            <w:r>
              <w:rPr>
                <w:rFonts w:hint="eastAsia" w:ascii="微软雅黑" w:hAnsi="微软雅黑" w:eastAsia="微软雅黑" w:cs="微软雅黑"/>
                <w:sz w:val="24"/>
                <w:szCs w:val="24"/>
                <w:u w:val="single" w:color="000000"/>
              </w:rPr>
              <w:t xml:space="preserve">   否   </w:t>
            </w:r>
          </w:p>
        </w:tc>
      </w:tr>
      <w:tr w14:paraId="583F8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1395" w:type="dxa"/>
            <w:vAlign w:val="center"/>
          </w:tcPr>
          <w:p w14:paraId="2AAF2E3E">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1.4.8</w:t>
            </w:r>
          </w:p>
        </w:tc>
        <w:tc>
          <w:tcPr>
            <w:tcW w:w="8115" w:type="dxa"/>
            <w:vAlign w:val="center"/>
          </w:tcPr>
          <w:p w14:paraId="054279AB">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联合体的其他资格要求：无</w:t>
            </w:r>
          </w:p>
        </w:tc>
      </w:tr>
      <w:tr w14:paraId="5CF6E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1395" w:type="dxa"/>
            <w:vAlign w:val="center"/>
          </w:tcPr>
          <w:p w14:paraId="36F7FCE9">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2.2</w:t>
            </w:r>
          </w:p>
        </w:tc>
        <w:tc>
          <w:tcPr>
            <w:tcW w:w="8115" w:type="dxa"/>
            <w:vAlign w:val="center"/>
          </w:tcPr>
          <w:p w14:paraId="32A26A40">
            <w:pPr>
              <w:pStyle w:val="7"/>
              <w:pageBreakBefore w:val="0"/>
              <w:kinsoku/>
              <w:wordWrap/>
              <w:overflowPunct/>
              <w:topLinePunct w:val="0"/>
              <w:bidi w:val="0"/>
              <w:snapToGrid w:val="0"/>
              <w:spacing w:line="520" w:lineRule="exact"/>
              <w:ind w:firstLine="0"/>
              <w:textAlignment w:val="baseline"/>
              <w:rPr>
                <w:rFonts w:hint="eastAsia" w:ascii="微软雅黑" w:hAnsi="微软雅黑" w:eastAsia="微软雅黑" w:cs="微软雅黑"/>
                <w:sz w:val="24"/>
                <w:szCs w:val="24"/>
              </w:rPr>
            </w:pPr>
            <w:r>
              <w:rPr>
                <w:rFonts w:hint="eastAsia" w:ascii="微软雅黑" w:hAnsi="微软雅黑" w:eastAsia="微软雅黑" w:cs="微软雅黑"/>
                <w:b/>
                <w:bCs/>
                <w:kern w:val="2"/>
                <w:sz w:val="24"/>
                <w:szCs w:val="24"/>
                <w:lang w:val="en-US" w:eastAsia="zh-CN"/>
              </w:rPr>
              <w:t>招标控制价：160.8066万元</w:t>
            </w:r>
            <w:r>
              <w:rPr>
                <w:rFonts w:hint="eastAsia" w:ascii="微软雅黑" w:hAnsi="微软雅黑" w:eastAsia="微软雅黑" w:cs="微软雅黑"/>
                <w:b/>
                <w:bCs/>
                <w:kern w:val="2"/>
                <w:sz w:val="24"/>
                <w:szCs w:val="24"/>
              </w:rPr>
              <w:t>；</w:t>
            </w:r>
          </w:p>
        </w:tc>
      </w:tr>
      <w:tr w14:paraId="10694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7" w:hRule="atLeast"/>
          <w:jc w:val="center"/>
        </w:trPr>
        <w:tc>
          <w:tcPr>
            <w:tcW w:w="1395" w:type="dxa"/>
            <w:vAlign w:val="center"/>
          </w:tcPr>
          <w:p w14:paraId="0E3BB292">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12.1</w:t>
            </w:r>
          </w:p>
        </w:tc>
        <w:tc>
          <w:tcPr>
            <w:tcW w:w="8115" w:type="dxa"/>
            <w:vAlign w:val="center"/>
          </w:tcPr>
          <w:p w14:paraId="6B917B87">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保证金形式：</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保函  </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电汇  </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支票   ☑对公转账   </w:t>
            </w:r>
          </w:p>
          <w:p w14:paraId="11B7488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保证金金额：</w:t>
            </w:r>
            <w:r>
              <w:rPr>
                <w:rFonts w:hint="eastAsia" w:ascii="微软雅黑" w:hAnsi="微软雅黑" w:eastAsia="微软雅黑" w:cs="微软雅黑"/>
                <w:sz w:val="24"/>
                <w:szCs w:val="24"/>
                <w:lang w:val="en-US" w:eastAsia="zh-CN"/>
              </w:rPr>
              <w:t>32000</w:t>
            </w:r>
            <w:r>
              <w:rPr>
                <w:rFonts w:hint="eastAsia" w:ascii="微软雅黑" w:hAnsi="微软雅黑" w:eastAsia="微软雅黑" w:cs="微软雅黑"/>
                <w:b/>
                <w:bCs/>
                <w:sz w:val="24"/>
                <w:szCs w:val="24"/>
              </w:rPr>
              <w:t>元(大写：</w:t>
            </w:r>
            <w:r>
              <w:rPr>
                <w:rFonts w:hint="eastAsia" w:ascii="微软雅黑" w:hAnsi="微软雅黑" w:eastAsia="微软雅黑" w:cs="微软雅黑"/>
                <w:b/>
                <w:bCs/>
                <w:sz w:val="24"/>
                <w:szCs w:val="24"/>
                <w:lang w:val="en-US" w:eastAsia="zh-CN"/>
              </w:rPr>
              <w:t>叁万贰仟元整</w:t>
            </w:r>
            <w:r>
              <w:rPr>
                <w:rFonts w:hint="eastAsia" w:ascii="微软雅黑" w:hAnsi="微软雅黑" w:eastAsia="微软雅黑" w:cs="微软雅黑"/>
                <w:b/>
                <w:bCs/>
                <w:sz w:val="24"/>
                <w:szCs w:val="24"/>
              </w:rPr>
              <w:t>）</w:t>
            </w:r>
          </w:p>
          <w:p w14:paraId="0E757428">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sz w:val="24"/>
                <w:szCs w:val="24"/>
              </w:rPr>
            </w:pPr>
            <w:r>
              <w:rPr>
                <w:rFonts w:hint="eastAsia" w:ascii="微软雅黑" w:hAnsi="微软雅黑" w:eastAsia="微软雅黑" w:cs="微软雅黑"/>
                <w:i/>
                <w:sz w:val="24"/>
                <w:szCs w:val="24"/>
              </w:rPr>
              <w:t>（按照各分包控制金额2%以内的整数计算）</w:t>
            </w:r>
          </w:p>
          <w:p w14:paraId="03A63F17">
            <w:pPr>
              <w:pageBreakBefore w:val="0"/>
              <w:kinsoku/>
              <w:wordWrap/>
              <w:overflowPunct/>
              <w:topLinePunct w:val="0"/>
              <w:bidi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保证金收款人：</w:t>
            </w:r>
          </w:p>
          <w:p w14:paraId="12A23406">
            <w:pPr>
              <w:pageBreakBefore w:val="0"/>
              <w:kinsoku/>
              <w:wordWrap/>
              <w:overflowPunct/>
              <w:topLinePunct w:val="0"/>
              <w:bidi w:val="0"/>
              <w:spacing w:line="520" w:lineRule="exac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单位名称：新疆永业鑫达招标有限公司</w:t>
            </w:r>
          </w:p>
          <w:p w14:paraId="690677AD">
            <w:pPr>
              <w:pageBreakBefore w:val="0"/>
              <w:kinsoku/>
              <w:wordWrap/>
              <w:overflowPunct/>
              <w:topLinePunct w:val="0"/>
              <w:bidi w:val="0"/>
              <w:spacing w:line="520" w:lineRule="exac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开户行：中国银行股份有限公司库尔勒市石化大道支行</w:t>
            </w:r>
          </w:p>
          <w:p w14:paraId="1442140D">
            <w:pPr>
              <w:pageBreakBefore w:val="0"/>
              <w:kinsoku/>
              <w:wordWrap/>
              <w:overflowPunct/>
              <w:topLinePunct w:val="0"/>
              <w:bidi w:val="0"/>
              <w:spacing w:line="520" w:lineRule="exac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账  户：107677536350   （电汇时请在汇款备注栏注明：“阿拉甫乡道路以工代赈项目投标保证金，否则视为无效投标保证金。）</w:t>
            </w:r>
          </w:p>
          <w:p w14:paraId="0342819B">
            <w:pPr>
              <w:pageBreakBefore w:val="0"/>
              <w:kinsoku/>
              <w:wordWrap/>
              <w:overflowPunct/>
              <w:topLinePunct w:val="0"/>
              <w:bidi w:val="0"/>
              <w:spacing w:line="520" w:lineRule="exac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联系人：李连伟  联系电话：13899186539</w:t>
            </w:r>
          </w:p>
          <w:p w14:paraId="2E91602F">
            <w:pPr>
              <w:pageBreakBefore w:val="0"/>
              <w:kinsoku/>
              <w:wordWrap/>
              <w:overflowPunct/>
              <w:topLinePunct w:val="0"/>
              <w:bidi w:val="0"/>
              <w:spacing w:line="520" w:lineRule="exact"/>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A:缴纳保证金要求：</w:t>
            </w:r>
            <w:r>
              <w:rPr>
                <w:rFonts w:hint="eastAsia" w:ascii="微软雅黑" w:hAnsi="微软雅黑" w:eastAsia="微软雅黑" w:cs="微软雅黑"/>
                <w:b w:val="0"/>
                <w:bCs w:val="0"/>
                <w:sz w:val="24"/>
                <w:szCs w:val="24"/>
                <w:lang w:eastAsia="zh-CN"/>
              </w:rPr>
              <w:t>供应商</w:t>
            </w:r>
            <w:r>
              <w:rPr>
                <w:rFonts w:hint="eastAsia" w:ascii="微软雅黑" w:hAnsi="微软雅黑" w:eastAsia="微软雅黑" w:cs="微软雅黑"/>
                <w:b w:val="0"/>
                <w:bCs w:val="0"/>
                <w:sz w:val="24"/>
                <w:szCs w:val="24"/>
              </w:rPr>
              <w:t>向银行办理保证金汇（转）款时，应在用途栏（备注栏）注明项目名称，并注明是</w:t>
            </w:r>
            <w:r>
              <w:rPr>
                <w:rFonts w:hint="eastAsia" w:ascii="微软雅黑" w:hAnsi="微软雅黑" w:eastAsia="微软雅黑" w:cs="微软雅黑"/>
                <w:b w:val="0"/>
                <w:bCs w:val="0"/>
                <w:sz w:val="24"/>
                <w:szCs w:val="24"/>
                <w:lang w:eastAsia="zh-CN"/>
              </w:rPr>
              <w:t>磋商</w:t>
            </w:r>
            <w:r>
              <w:rPr>
                <w:rFonts w:hint="eastAsia" w:ascii="微软雅黑" w:hAnsi="微软雅黑" w:eastAsia="微软雅黑" w:cs="微软雅黑"/>
                <w:b w:val="0"/>
                <w:bCs w:val="0"/>
                <w:sz w:val="24"/>
                <w:szCs w:val="24"/>
              </w:rPr>
              <w:t>保证金字样，如填写字数有要求可简写项目名称，由于未按要求注明信息而导致的一切后果由</w:t>
            </w:r>
            <w:r>
              <w:rPr>
                <w:rFonts w:hint="eastAsia" w:ascii="微软雅黑" w:hAnsi="微软雅黑" w:eastAsia="微软雅黑" w:cs="微软雅黑"/>
                <w:b w:val="0"/>
                <w:bCs w:val="0"/>
                <w:sz w:val="24"/>
                <w:szCs w:val="24"/>
                <w:lang w:eastAsia="zh-CN"/>
              </w:rPr>
              <w:t>供应商</w:t>
            </w:r>
            <w:r>
              <w:rPr>
                <w:rFonts w:hint="eastAsia" w:ascii="微软雅黑" w:hAnsi="微软雅黑" w:eastAsia="微软雅黑" w:cs="微软雅黑"/>
                <w:b w:val="0"/>
                <w:bCs w:val="0"/>
                <w:sz w:val="24"/>
                <w:szCs w:val="24"/>
              </w:rPr>
              <w:t>自行承担。</w:t>
            </w:r>
          </w:p>
          <w:p w14:paraId="138F87D0">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B：</w:t>
            </w:r>
            <w:r>
              <w:rPr>
                <w:rFonts w:hint="eastAsia" w:ascii="微软雅黑" w:hAnsi="微软雅黑" w:eastAsia="微软雅黑" w:cs="微软雅黑"/>
                <w:b/>
                <w:bCs/>
                <w:sz w:val="24"/>
                <w:szCs w:val="24"/>
                <w:lang w:eastAsia="zh-CN"/>
              </w:rPr>
              <w:t>保证金的退还</w:t>
            </w:r>
            <w:r>
              <w:rPr>
                <w:rFonts w:hint="eastAsia" w:ascii="微软雅黑" w:hAnsi="微软雅黑" w:eastAsia="微软雅黑" w:cs="微软雅黑"/>
                <w:b/>
                <w:bCs/>
                <w:sz w:val="24"/>
                <w:szCs w:val="24"/>
              </w:rPr>
              <w:t>：</w:t>
            </w:r>
            <w:r>
              <w:rPr>
                <w:rFonts w:hint="eastAsia" w:ascii="微软雅黑" w:hAnsi="微软雅黑" w:eastAsia="微软雅黑" w:cs="微软雅黑"/>
                <w:b w:val="0"/>
                <w:bCs w:val="0"/>
                <w:sz w:val="24"/>
                <w:szCs w:val="24"/>
                <w:lang w:eastAsia="zh-CN"/>
              </w:rPr>
              <w:t>根据</w:t>
            </w:r>
            <w:r>
              <w:rPr>
                <w:rFonts w:hint="eastAsia" w:ascii="微软雅黑" w:hAnsi="微软雅黑" w:eastAsia="微软雅黑" w:cs="微软雅黑"/>
                <w:b w:val="0"/>
                <w:bCs w:val="0"/>
                <w:color w:val="auto"/>
                <w:sz w:val="24"/>
                <w:szCs w:val="24"/>
                <w:highlight w:val="none"/>
                <w:lang w:val="en-US" w:eastAsia="zh-CN"/>
              </w:rPr>
              <w:fldChar w:fldCharType="begin"/>
            </w:r>
            <w:r>
              <w:rPr>
                <w:rFonts w:hint="eastAsia" w:ascii="微软雅黑" w:hAnsi="微软雅黑" w:eastAsia="微软雅黑" w:cs="微软雅黑"/>
                <w:b w:val="0"/>
                <w:bCs w:val="0"/>
                <w:color w:val="auto"/>
                <w:sz w:val="24"/>
                <w:szCs w:val="24"/>
                <w:highlight w:val="none"/>
                <w:lang w:val="en-US" w:eastAsia="zh-CN"/>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eastAsia" w:ascii="微软雅黑" w:hAnsi="微软雅黑" w:eastAsia="微软雅黑" w:cs="微软雅黑"/>
                <w:b w:val="0"/>
                <w:bCs w:val="0"/>
                <w:color w:val="auto"/>
                <w:sz w:val="24"/>
                <w:szCs w:val="24"/>
                <w:highlight w:val="none"/>
                <w:lang w:val="en-US" w:eastAsia="zh-CN"/>
              </w:rPr>
              <w:fldChar w:fldCharType="separate"/>
            </w:r>
            <w:r>
              <w:rPr>
                <w:rFonts w:hint="eastAsia" w:ascii="微软雅黑" w:hAnsi="微软雅黑" w:eastAsia="微软雅黑" w:cs="微软雅黑"/>
                <w:b w:val="0"/>
                <w:bCs w:val="0"/>
                <w:color w:val="auto"/>
                <w:sz w:val="24"/>
                <w:szCs w:val="24"/>
                <w:highlight w:val="none"/>
                <w:lang w:val="en-US" w:eastAsia="zh-CN"/>
              </w:rPr>
              <w:t>《政府采购竞争性磋商采购方式管理暂行办法》第三十一条规定，①未成交供应商的磋商保证金应在成交通知书发出后5个工作日内退还；②成交供应商的磋商保证金应在采购合同签订后5个工作日内退还（供应商需将采购合同发至邮箱1543019885@qq.com后</w:t>
            </w:r>
            <w:r>
              <w:rPr>
                <w:rFonts w:hint="eastAsia" w:ascii="微软雅黑" w:hAnsi="微软雅黑" w:eastAsia="微软雅黑" w:cs="微软雅黑"/>
                <w:b w:val="0"/>
                <w:bCs w:val="0"/>
                <w:color w:val="auto"/>
                <w:sz w:val="24"/>
                <w:szCs w:val="24"/>
                <w:highlight w:val="none"/>
                <w:lang w:val="en-US" w:eastAsia="zh-CN"/>
              </w:rPr>
              <w:fldChar w:fldCharType="end"/>
            </w:r>
            <w:r>
              <w:rPr>
                <w:rFonts w:hint="eastAsia" w:ascii="微软雅黑" w:hAnsi="微软雅黑" w:eastAsia="微软雅黑" w:cs="微软雅黑"/>
                <w:b w:val="0"/>
                <w:bCs w:val="0"/>
                <w:color w:val="auto"/>
                <w:sz w:val="24"/>
                <w:szCs w:val="24"/>
                <w:highlight w:val="none"/>
                <w:lang w:val="en-US" w:eastAsia="zh-CN"/>
              </w:rPr>
              <w:t>，5个工作日内原账户退回）。</w:t>
            </w:r>
          </w:p>
        </w:tc>
      </w:tr>
      <w:tr w14:paraId="1710A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628F9793">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13.1</w:t>
            </w:r>
          </w:p>
        </w:tc>
        <w:tc>
          <w:tcPr>
            <w:tcW w:w="8115" w:type="dxa"/>
            <w:vAlign w:val="center"/>
          </w:tcPr>
          <w:p w14:paraId="187EDA5B">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single" w:color="000000"/>
              </w:rPr>
            </w:pPr>
            <w:r>
              <w:rPr>
                <w:rFonts w:hint="eastAsia" w:ascii="微软雅黑" w:hAnsi="微软雅黑" w:eastAsia="微软雅黑" w:cs="微软雅黑"/>
                <w:sz w:val="24"/>
                <w:szCs w:val="24"/>
              </w:rPr>
              <w:t>磋商有效期：</w:t>
            </w:r>
            <w:r>
              <w:rPr>
                <w:rFonts w:hint="eastAsia" w:ascii="微软雅黑" w:hAnsi="微软雅黑" w:eastAsia="微软雅黑" w:cs="微软雅黑"/>
                <w:sz w:val="24"/>
                <w:szCs w:val="24"/>
                <w:u w:val="single" w:color="000000"/>
              </w:rPr>
              <w:t>　</w:t>
            </w:r>
            <w:r>
              <w:rPr>
                <w:rFonts w:hint="eastAsia" w:ascii="微软雅黑" w:hAnsi="微软雅黑" w:eastAsia="微软雅黑" w:cs="微软雅黑"/>
                <w:sz w:val="24"/>
                <w:szCs w:val="24"/>
                <w:u w:val="single" w:color="000000"/>
                <w:lang w:val="en-US" w:eastAsia="zh-CN"/>
              </w:rPr>
              <w:t>90</w:t>
            </w:r>
            <w:r>
              <w:rPr>
                <w:rFonts w:hint="eastAsia" w:ascii="微软雅黑" w:hAnsi="微软雅黑" w:eastAsia="微软雅黑" w:cs="微软雅黑"/>
                <w:sz w:val="24"/>
                <w:szCs w:val="24"/>
                <w:u w:val="single" w:color="000000"/>
              </w:rPr>
              <w:t>　</w:t>
            </w:r>
            <w:r>
              <w:rPr>
                <w:rFonts w:hint="eastAsia" w:ascii="微软雅黑" w:hAnsi="微软雅黑" w:eastAsia="微软雅黑" w:cs="微软雅黑"/>
                <w:sz w:val="24"/>
                <w:szCs w:val="24"/>
              </w:rPr>
              <w:t>日历日</w:t>
            </w:r>
          </w:p>
        </w:tc>
      </w:tr>
      <w:tr w14:paraId="2EB06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1395" w:type="dxa"/>
            <w:vAlign w:val="center"/>
          </w:tcPr>
          <w:p w14:paraId="1228C3EA">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14.1</w:t>
            </w:r>
          </w:p>
        </w:tc>
        <w:tc>
          <w:tcPr>
            <w:tcW w:w="8115" w:type="dxa"/>
            <w:vAlign w:val="center"/>
          </w:tcPr>
          <w:p w14:paraId="2291472A">
            <w:pPr>
              <w:pStyle w:val="7"/>
              <w:keepNext w:val="0"/>
              <w:keepLines w:val="0"/>
              <w:pageBreakBefore w:val="0"/>
              <w:widowControl w:val="0"/>
              <w:kinsoku/>
              <w:wordWrap/>
              <w:overflowPunct/>
              <w:topLinePunct w:val="0"/>
              <w:bidi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0AB8CB9F">
            <w:pPr>
              <w:pStyle w:val="7"/>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（2）本项目实行网上投标响应，采用电子响应文件(供应商须使用CA加密设备通过政采云电子投标客户端制作响应文件)。若供应商参与投标，自行承担投标一切费用。</w:t>
            </w:r>
          </w:p>
          <w:p w14:paraId="35EF96DE">
            <w:pPr>
              <w:pStyle w:val="7"/>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737F3982">
            <w:pPr>
              <w:pStyle w:val="7"/>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094AD6B2">
            <w:pPr>
              <w:pStyle w:val="7"/>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569E5FC1">
            <w:pPr>
              <w:pStyle w:val="7"/>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3685D829">
            <w:pPr>
              <w:pStyle w:val="7"/>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1FA1FA6">
            <w:pPr>
              <w:pStyle w:val="7"/>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（8）各供应商</w:t>
            </w:r>
            <w:r>
              <w:rPr>
                <w:rFonts w:hint="eastAsia" w:ascii="微软雅黑" w:hAnsi="微软雅黑" w:eastAsia="微软雅黑" w:cs="微软雅黑"/>
                <w:color w:val="auto"/>
                <w:sz w:val="24"/>
                <w:szCs w:val="24"/>
                <w:highlight w:val="none"/>
              </w:rPr>
              <w:t>须在投标截止时间前完成在系统上递交电子</w:t>
            </w:r>
            <w:r>
              <w:rPr>
                <w:rFonts w:hint="eastAsia" w:ascii="微软雅黑" w:hAnsi="微软雅黑" w:eastAsia="微软雅黑" w:cs="微软雅黑"/>
                <w:color w:val="auto"/>
                <w:sz w:val="24"/>
                <w:szCs w:val="24"/>
                <w:highlight w:val="none"/>
                <w:lang w:val="en-US" w:eastAsia="zh-CN"/>
              </w:rPr>
              <w:t>响应文件</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的电子</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是经过CA证书加密后上传提交的，任何单位或个人均无法在投标截止时间(即开标时间)之前查看或篡改，不存在泄密风险。（严格按照政采云电子投标流程制作并上传电子</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w:t>
            </w:r>
          </w:p>
          <w:p w14:paraId="2118C76D">
            <w:pPr>
              <w:pStyle w:val="7"/>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各供应商在投标截止时间前将“响应文件”上传至政采云平台。响应文件包括“开标一览表表及资格证明文件”与“商务及技术文件”两部分合并成一册。响应文件应按照磋商文件规定的格式填写、签署和盖章，并以.jmbs格式上传至政采云开评标平台（响应文件为正本扫描件）。</w:t>
            </w:r>
          </w:p>
          <w:p w14:paraId="0169923D">
            <w:pPr>
              <w:pStyle w:val="7"/>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lang w:val="en-US" w:eastAsia="zh-CN"/>
              </w:rPr>
            </w:pPr>
            <w:r>
              <w:rPr>
                <w:rFonts w:hint="eastAsia" w:ascii="微软雅黑" w:hAnsi="微软雅黑" w:eastAsia="微软雅黑" w:cs="微软雅黑"/>
                <w:b/>
                <w:bCs/>
                <w:color w:val="auto"/>
                <w:sz w:val="24"/>
                <w:szCs w:val="24"/>
                <w:highlight w:val="none"/>
                <w:lang w:val="en-US" w:eastAsia="zh-CN"/>
              </w:rPr>
              <w:t>（10）解密时长为30分钟，</w:t>
            </w:r>
            <w:r>
              <w:rPr>
                <w:rFonts w:hint="eastAsia" w:ascii="微软雅黑" w:hAnsi="微软雅黑" w:eastAsia="微软雅黑" w:cs="微软雅黑"/>
                <w:b/>
                <w:bCs/>
                <w:color w:val="auto"/>
                <w:sz w:val="24"/>
                <w:highlight w:val="none"/>
                <w:lang w:val="en-US" w:eastAsia="zh-CN"/>
              </w:rPr>
              <w:t>超出解密时长，作无效投标处理。</w:t>
            </w:r>
          </w:p>
          <w:p w14:paraId="7F16C6A1">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lang w:eastAsia="zh-CN"/>
              </w:rPr>
            </w:pPr>
            <w:r>
              <w:rPr>
                <w:rFonts w:hint="eastAsia" w:ascii="微软雅黑" w:hAnsi="微软雅黑" w:eastAsia="微软雅黑" w:cs="微软雅黑"/>
                <w:b/>
                <w:bCs/>
                <w:color w:val="auto"/>
                <w:kern w:val="0"/>
                <w:sz w:val="24"/>
                <w:szCs w:val="24"/>
                <w:highlight w:val="none"/>
                <w:lang w:val="en-US" w:eastAsia="zh-CN" w:bidi="ar-SA"/>
              </w:rPr>
              <w:t>（11）须供应商提供备份的投标文件,后缀为.bfbs。</w:t>
            </w:r>
          </w:p>
        </w:tc>
      </w:tr>
      <w:tr w14:paraId="22992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1395" w:type="dxa"/>
            <w:vAlign w:val="center"/>
          </w:tcPr>
          <w:p w14:paraId="2D3461E4">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16.1</w:t>
            </w:r>
          </w:p>
        </w:tc>
        <w:tc>
          <w:tcPr>
            <w:tcW w:w="8115" w:type="dxa"/>
            <w:vAlign w:val="center"/>
          </w:tcPr>
          <w:p w14:paraId="125B0163">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磋商截止时间：</w:t>
            </w:r>
            <w:r>
              <w:rPr>
                <w:rFonts w:hint="eastAsia" w:ascii="微软雅黑" w:hAnsi="微软雅黑" w:eastAsia="微软雅黑" w:cs="微软雅黑"/>
                <w:b/>
                <w:bCs/>
                <w:sz w:val="24"/>
                <w:szCs w:val="24"/>
                <w:lang w:val="en-US" w:eastAsia="zh-CN"/>
              </w:rPr>
              <w:t>2</w:t>
            </w:r>
            <w:r>
              <w:rPr>
                <w:rFonts w:hint="eastAsia" w:ascii="微软雅黑" w:hAnsi="微软雅黑" w:eastAsia="微软雅黑" w:cs="微软雅黑"/>
                <w:b/>
                <w:bCs/>
                <w:sz w:val="24"/>
                <w:szCs w:val="24"/>
              </w:rPr>
              <w:t>02</w:t>
            </w:r>
            <w:r>
              <w:rPr>
                <w:rFonts w:hint="eastAsia" w:ascii="微软雅黑" w:hAnsi="微软雅黑" w:eastAsia="微软雅黑" w:cs="微软雅黑"/>
                <w:b/>
                <w:bCs/>
                <w:sz w:val="24"/>
                <w:szCs w:val="24"/>
                <w:lang w:val="en-US" w:eastAsia="zh-CN"/>
              </w:rPr>
              <w:t>5</w:t>
            </w:r>
            <w:r>
              <w:rPr>
                <w:rFonts w:hint="eastAsia" w:ascii="微软雅黑" w:hAnsi="微软雅黑" w:eastAsia="微软雅黑" w:cs="微软雅黑"/>
                <w:b/>
                <w:bCs/>
                <w:sz w:val="24"/>
                <w:szCs w:val="24"/>
              </w:rPr>
              <w:t>年</w:t>
            </w:r>
            <w:r>
              <w:rPr>
                <w:rFonts w:hint="eastAsia" w:ascii="微软雅黑" w:hAnsi="微软雅黑" w:eastAsia="微软雅黑" w:cs="微软雅黑"/>
                <w:b/>
                <w:bCs/>
                <w:sz w:val="24"/>
                <w:szCs w:val="24"/>
                <w:lang w:val="en-US" w:eastAsia="zh-CN"/>
              </w:rPr>
              <w:t>03</w:t>
            </w:r>
            <w:r>
              <w:rPr>
                <w:rFonts w:hint="eastAsia" w:ascii="微软雅黑" w:hAnsi="微软雅黑" w:eastAsia="微软雅黑" w:cs="微软雅黑"/>
                <w:b/>
                <w:bCs/>
                <w:sz w:val="24"/>
                <w:szCs w:val="24"/>
              </w:rPr>
              <w:t>月</w:t>
            </w:r>
            <w:r>
              <w:rPr>
                <w:rFonts w:hint="eastAsia" w:ascii="微软雅黑" w:hAnsi="微软雅黑" w:eastAsia="微软雅黑" w:cs="微软雅黑"/>
                <w:b/>
                <w:bCs/>
                <w:sz w:val="24"/>
                <w:szCs w:val="24"/>
                <w:lang w:val="en-US" w:eastAsia="zh-CN"/>
              </w:rPr>
              <w:t>24</w:t>
            </w:r>
            <w:r>
              <w:rPr>
                <w:rFonts w:hint="eastAsia" w:ascii="微软雅黑" w:hAnsi="微软雅黑" w:eastAsia="微软雅黑" w:cs="微软雅黑"/>
                <w:b/>
                <w:bCs/>
                <w:sz w:val="24"/>
                <w:szCs w:val="24"/>
              </w:rPr>
              <w:t>日</w:t>
            </w:r>
            <w:r>
              <w:rPr>
                <w:rFonts w:hint="eastAsia" w:ascii="微软雅黑" w:hAnsi="微软雅黑" w:eastAsia="微软雅黑" w:cs="微软雅黑"/>
                <w:b/>
                <w:bCs/>
                <w:sz w:val="24"/>
                <w:szCs w:val="24"/>
                <w:lang w:val="en-US" w:eastAsia="zh-CN"/>
              </w:rPr>
              <w:t xml:space="preserve"> 11 </w:t>
            </w:r>
            <w:r>
              <w:rPr>
                <w:rFonts w:hint="eastAsia" w:ascii="微软雅黑" w:hAnsi="微软雅黑" w:eastAsia="微软雅黑" w:cs="微软雅黑"/>
                <w:b/>
                <w:bCs/>
                <w:sz w:val="24"/>
                <w:szCs w:val="24"/>
              </w:rPr>
              <w:t>点00分（北京时间）</w:t>
            </w:r>
          </w:p>
        </w:tc>
      </w:tr>
      <w:tr w14:paraId="6D2DC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68E8E590">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18.1</w:t>
            </w:r>
          </w:p>
        </w:tc>
        <w:tc>
          <w:tcPr>
            <w:tcW w:w="8115" w:type="dxa"/>
            <w:vAlign w:val="center"/>
          </w:tcPr>
          <w:p w14:paraId="232C8C73">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bCs/>
                <w:kern w:val="0"/>
                <w:sz w:val="24"/>
                <w:szCs w:val="24"/>
              </w:rPr>
            </w:pPr>
            <w:r>
              <w:rPr>
                <w:rFonts w:hint="eastAsia" w:ascii="微软雅黑" w:hAnsi="微软雅黑" w:eastAsia="微软雅黑" w:cs="微软雅黑"/>
                <w:b/>
                <w:bCs/>
                <w:sz w:val="24"/>
                <w:szCs w:val="24"/>
              </w:rPr>
              <w:t>磋商</w:t>
            </w:r>
            <w:r>
              <w:rPr>
                <w:rFonts w:hint="eastAsia" w:ascii="微软雅黑" w:hAnsi="微软雅黑" w:eastAsia="微软雅黑" w:cs="微软雅黑"/>
                <w:b/>
                <w:bCs/>
                <w:sz w:val="24"/>
                <w:szCs w:val="24"/>
                <w:lang w:eastAsia="zh-CN"/>
              </w:rPr>
              <w:t>开启</w:t>
            </w:r>
            <w:r>
              <w:rPr>
                <w:rFonts w:hint="eastAsia" w:ascii="微软雅黑" w:hAnsi="微软雅黑" w:eastAsia="微软雅黑" w:cs="微软雅黑"/>
                <w:b/>
                <w:bCs/>
                <w:kern w:val="0"/>
                <w:sz w:val="24"/>
                <w:szCs w:val="24"/>
              </w:rPr>
              <w:t>时间：</w:t>
            </w:r>
            <w:r>
              <w:rPr>
                <w:rFonts w:hint="eastAsia" w:ascii="微软雅黑" w:hAnsi="微软雅黑" w:eastAsia="微软雅黑" w:cs="微软雅黑"/>
                <w:b/>
                <w:bCs/>
                <w:kern w:val="0"/>
                <w:sz w:val="24"/>
                <w:szCs w:val="24"/>
                <w:lang w:val="en-US" w:eastAsia="zh-CN"/>
              </w:rPr>
              <w:t>2</w:t>
            </w:r>
            <w:r>
              <w:rPr>
                <w:rFonts w:hint="eastAsia" w:ascii="微软雅黑" w:hAnsi="微软雅黑" w:eastAsia="微软雅黑" w:cs="微软雅黑"/>
                <w:b/>
                <w:bCs/>
                <w:kern w:val="0"/>
                <w:sz w:val="24"/>
                <w:szCs w:val="24"/>
              </w:rPr>
              <w:t>02</w:t>
            </w:r>
            <w:r>
              <w:rPr>
                <w:rFonts w:hint="eastAsia" w:ascii="微软雅黑" w:hAnsi="微软雅黑" w:eastAsia="微软雅黑" w:cs="微软雅黑"/>
                <w:b/>
                <w:bCs/>
                <w:kern w:val="0"/>
                <w:sz w:val="24"/>
                <w:szCs w:val="24"/>
                <w:lang w:val="en-US" w:eastAsia="zh-CN"/>
              </w:rPr>
              <w:t>5</w:t>
            </w:r>
            <w:r>
              <w:rPr>
                <w:rFonts w:hint="eastAsia" w:ascii="微软雅黑" w:hAnsi="微软雅黑" w:eastAsia="微软雅黑" w:cs="微软雅黑"/>
                <w:b/>
                <w:bCs/>
                <w:kern w:val="0"/>
                <w:sz w:val="24"/>
                <w:szCs w:val="24"/>
              </w:rPr>
              <w:t>年</w:t>
            </w:r>
            <w:r>
              <w:rPr>
                <w:rFonts w:hint="eastAsia" w:ascii="微软雅黑" w:hAnsi="微软雅黑" w:eastAsia="微软雅黑" w:cs="微软雅黑"/>
                <w:b/>
                <w:bCs/>
                <w:kern w:val="0"/>
                <w:sz w:val="24"/>
                <w:szCs w:val="24"/>
                <w:lang w:val="en-US" w:eastAsia="zh-CN"/>
              </w:rPr>
              <w:t>03</w:t>
            </w:r>
            <w:r>
              <w:rPr>
                <w:rFonts w:hint="eastAsia" w:ascii="微软雅黑" w:hAnsi="微软雅黑" w:eastAsia="微软雅黑" w:cs="微软雅黑"/>
                <w:b/>
                <w:bCs/>
                <w:kern w:val="0"/>
                <w:sz w:val="24"/>
                <w:szCs w:val="24"/>
              </w:rPr>
              <w:t>月</w:t>
            </w:r>
            <w:r>
              <w:rPr>
                <w:rFonts w:hint="eastAsia" w:ascii="微软雅黑" w:hAnsi="微软雅黑" w:eastAsia="微软雅黑" w:cs="微软雅黑"/>
                <w:b/>
                <w:bCs/>
                <w:kern w:val="0"/>
                <w:sz w:val="24"/>
                <w:szCs w:val="24"/>
                <w:lang w:val="en-US" w:eastAsia="zh-CN"/>
              </w:rPr>
              <w:t>24</w:t>
            </w:r>
            <w:r>
              <w:rPr>
                <w:rFonts w:hint="eastAsia" w:ascii="微软雅黑" w:hAnsi="微软雅黑" w:eastAsia="微软雅黑" w:cs="微软雅黑"/>
                <w:b/>
                <w:bCs/>
                <w:kern w:val="0"/>
                <w:sz w:val="24"/>
                <w:szCs w:val="24"/>
              </w:rPr>
              <w:t>日</w:t>
            </w:r>
            <w:r>
              <w:rPr>
                <w:rFonts w:hint="eastAsia" w:ascii="微软雅黑" w:hAnsi="微软雅黑" w:eastAsia="微软雅黑" w:cs="微软雅黑"/>
                <w:b/>
                <w:bCs/>
                <w:kern w:val="0"/>
                <w:sz w:val="24"/>
                <w:szCs w:val="24"/>
                <w:lang w:val="en-US" w:eastAsia="zh-CN"/>
              </w:rPr>
              <w:t xml:space="preserve"> 11 </w:t>
            </w:r>
            <w:r>
              <w:rPr>
                <w:rFonts w:hint="eastAsia" w:ascii="微软雅黑" w:hAnsi="微软雅黑" w:eastAsia="微软雅黑" w:cs="微软雅黑"/>
                <w:b/>
                <w:bCs/>
                <w:kern w:val="0"/>
                <w:sz w:val="24"/>
                <w:szCs w:val="24"/>
              </w:rPr>
              <w:t>点00分（北京时间）</w:t>
            </w:r>
          </w:p>
          <w:p w14:paraId="255F1E5A">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lang w:val="en-US"/>
              </w:rPr>
            </w:pPr>
            <w:r>
              <w:rPr>
                <w:rFonts w:hint="eastAsia" w:ascii="微软雅黑" w:hAnsi="微软雅黑" w:eastAsia="微软雅黑" w:cs="微软雅黑"/>
                <w:kern w:val="0"/>
                <w:sz w:val="24"/>
                <w:szCs w:val="24"/>
              </w:rPr>
              <w:t>磋商</w:t>
            </w:r>
            <w:r>
              <w:rPr>
                <w:rFonts w:hint="eastAsia" w:ascii="微软雅黑" w:hAnsi="微软雅黑" w:eastAsia="微软雅黑" w:cs="微软雅黑"/>
                <w:kern w:val="0"/>
                <w:sz w:val="24"/>
                <w:szCs w:val="24"/>
                <w:lang w:eastAsia="zh-CN"/>
              </w:rPr>
              <w:t>开启</w:t>
            </w:r>
            <w:r>
              <w:rPr>
                <w:rFonts w:hint="eastAsia" w:ascii="微软雅黑" w:hAnsi="微软雅黑" w:eastAsia="微软雅黑" w:cs="微软雅黑"/>
                <w:kern w:val="0"/>
                <w:sz w:val="24"/>
                <w:szCs w:val="24"/>
              </w:rPr>
              <w:t>地点：</w:t>
            </w:r>
            <w:r>
              <w:rPr>
                <w:rFonts w:hint="eastAsia" w:ascii="微软雅黑" w:hAnsi="微软雅黑" w:eastAsia="微软雅黑" w:cs="微软雅黑"/>
                <w:kern w:val="0"/>
                <w:sz w:val="24"/>
                <w:szCs w:val="24"/>
                <w:lang w:val="en-US" w:eastAsia="zh-CN"/>
              </w:rPr>
              <w:t>政采云平台投标客户端</w:t>
            </w:r>
          </w:p>
        </w:tc>
      </w:tr>
      <w:tr w14:paraId="422D2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1395" w:type="dxa"/>
            <w:vAlign w:val="center"/>
          </w:tcPr>
          <w:p w14:paraId="1DD09221">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23.2</w:t>
            </w:r>
          </w:p>
        </w:tc>
        <w:tc>
          <w:tcPr>
            <w:tcW w:w="8115" w:type="dxa"/>
            <w:vAlign w:val="center"/>
          </w:tcPr>
          <w:p w14:paraId="22E2F4C1">
            <w:pPr>
              <w:pageBreakBefore w:val="0"/>
              <w:kinsoku/>
              <w:wordWrap/>
              <w:overflowPunct/>
              <w:topLinePunct w:val="0"/>
              <w:bidi w:val="0"/>
              <w:snapToGrid w:val="0"/>
              <w:spacing w:line="520" w:lineRule="exact"/>
              <w:textAlignment w:val="baseline"/>
              <w:rPr>
                <w:rFonts w:hint="eastAsia" w:ascii="微软雅黑" w:hAnsi="微软雅黑" w:eastAsia="微软雅黑" w:cs="微软雅黑"/>
                <w:i/>
                <w:sz w:val="24"/>
                <w:szCs w:val="24"/>
              </w:rPr>
            </w:pPr>
            <w:r>
              <w:rPr>
                <w:rFonts w:hint="eastAsia" w:ascii="微软雅黑" w:hAnsi="微软雅黑" w:eastAsia="微软雅黑" w:cs="微软雅黑"/>
                <w:sz w:val="24"/>
                <w:szCs w:val="24"/>
              </w:rPr>
              <w:t>评审方法：</w:t>
            </w:r>
            <w:r>
              <w:rPr>
                <w:rFonts w:hint="eastAsia" w:ascii="微软雅黑" w:hAnsi="微软雅黑" w:eastAsia="微软雅黑" w:cs="微软雅黑"/>
                <w:sz w:val="24"/>
                <w:szCs w:val="24"/>
                <w:u w:val="single" w:color="000000"/>
              </w:rPr>
              <w:t>　综合评分法　</w:t>
            </w:r>
            <w:r>
              <w:rPr>
                <w:rFonts w:hint="eastAsia" w:ascii="微软雅黑" w:hAnsi="微软雅黑" w:eastAsia="微软雅黑" w:cs="微软雅黑"/>
                <w:sz w:val="24"/>
                <w:szCs w:val="24"/>
              </w:rPr>
              <w:t>　　　　　</w:t>
            </w:r>
          </w:p>
        </w:tc>
      </w:tr>
      <w:tr w14:paraId="4F295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1395" w:type="dxa"/>
            <w:vAlign w:val="center"/>
          </w:tcPr>
          <w:p w14:paraId="27BB42AC">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27</w:t>
            </w:r>
          </w:p>
        </w:tc>
        <w:tc>
          <w:tcPr>
            <w:tcW w:w="8115" w:type="dxa"/>
            <w:vAlign w:val="center"/>
          </w:tcPr>
          <w:p w14:paraId="10744A2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推荐成交候选</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的数量：</w:t>
            </w:r>
            <w:r>
              <w:rPr>
                <w:rFonts w:hint="eastAsia" w:ascii="微软雅黑" w:hAnsi="微软雅黑" w:eastAsia="微软雅黑" w:cs="微软雅黑"/>
                <w:sz w:val="24"/>
                <w:szCs w:val="24"/>
                <w:u w:val="single" w:color="000000"/>
              </w:rPr>
              <w:t>　   3　　</w:t>
            </w:r>
          </w:p>
        </w:tc>
      </w:tr>
      <w:tr w14:paraId="6DFBF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4C39A5A3">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27</w:t>
            </w:r>
          </w:p>
        </w:tc>
        <w:tc>
          <w:tcPr>
            <w:tcW w:w="8115" w:type="dxa"/>
            <w:vAlign w:val="center"/>
          </w:tcPr>
          <w:p w14:paraId="54A405DD">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是否委托评审委员会直接确定成交人：</w:t>
            </w:r>
            <w:r>
              <w:rPr>
                <w:rFonts w:hint="eastAsia" w:ascii="微软雅黑" w:hAnsi="微软雅黑" w:eastAsia="微软雅黑" w:cs="微软雅黑"/>
                <w:sz w:val="24"/>
                <w:szCs w:val="24"/>
                <w:u w:val="single" w:color="000000"/>
              </w:rPr>
              <w:t xml:space="preserve">  </w:t>
            </w:r>
            <w:r>
              <w:rPr>
                <w:rFonts w:hint="eastAsia" w:ascii="微软雅黑" w:hAnsi="微软雅黑" w:eastAsia="微软雅黑" w:cs="微软雅黑"/>
                <w:sz w:val="24"/>
                <w:szCs w:val="24"/>
                <w:u w:val="single" w:color="000000"/>
                <w:lang w:eastAsia="zh-CN"/>
              </w:rPr>
              <w:t>否</w:t>
            </w:r>
            <w:r>
              <w:rPr>
                <w:rFonts w:hint="eastAsia" w:ascii="微软雅黑" w:hAnsi="微软雅黑" w:eastAsia="微软雅黑" w:cs="微软雅黑"/>
                <w:sz w:val="24"/>
                <w:szCs w:val="24"/>
                <w:u w:val="single" w:color="000000"/>
              </w:rPr>
              <w:t xml:space="preserve">  </w:t>
            </w:r>
            <w:r>
              <w:rPr>
                <w:rFonts w:hint="eastAsia" w:ascii="微软雅黑" w:hAnsi="微软雅黑" w:eastAsia="微软雅黑" w:cs="微软雅黑"/>
                <w:sz w:val="24"/>
                <w:szCs w:val="24"/>
              </w:rPr>
              <w:t xml:space="preserve"> </w:t>
            </w:r>
          </w:p>
        </w:tc>
      </w:tr>
      <w:tr w14:paraId="5A8BB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395" w:type="dxa"/>
            <w:vAlign w:val="center"/>
          </w:tcPr>
          <w:p w14:paraId="324739B8">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31.1</w:t>
            </w:r>
          </w:p>
        </w:tc>
        <w:tc>
          <w:tcPr>
            <w:tcW w:w="8115" w:type="dxa"/>
            <w:vAlign w:val="center"/>
          </w:tcPr>
          <w:p w14:paraId="0B17A3D7">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single" w:color="000000"/>
              </w:rPr>
            </w:pPr>
            <w:r>
              <w:rPr>
                <w:rFonts w:hint="eastAsia" w:ascii="微软雅黑" w:hAnsi="微软雅黑" w:eastAsia="微软雅黑" w:cs="微软雅黑"/>
                <w:sz w:val="24"/>
                <w:szCs w:val="24"/>
              </w:rPr>
              <w:t>履约保证金金额：合同总价的</w:t>
            </w:r>
            <w:r>
              <w:rPr>
                <w:rFonts w:hint="eastAsia" w:ascii="微软雅黑" w:hAnsi="微软雅黑" w:eastAsia="微软雅黑" w:cs="微软雅黑"/>
                <w:sz w:val="24"/>
                <w:szCs w:val="24"/>
                <w:u w:val="single" w:color="000000"/>
              </w:rPr>
              <w:t>　</w:t>
            </w:r>
            <w:r>
              <w:rPr>
                <w:rFonts w:hint="eastAsia" w:ascii="微软雅黑" w:hAnsi="微软雅黑" w:eastAsia="微软雅黑" w:cs="微软雅黑"/>
                <w:sz w:val="24"/>
                <w:szCs w:val="24"/>
                <w:u w:val="single" w:color="000000"/>
                <w:lang w:val="en-US" w:eastAsia="zh-CN"/>
              </w:rPr>
              <w:t>5</w:t>
            </w:r>
            <w:r>
              <w:rPr>
                <w:rFonts w:hint="eastAsia" w:ascii="微软雅黑" w:hAnsi="微软雅黑" w:eastAsia="微软雅黑" w:cs="微软雅黑"/>
                <w:sz w:val="24"/>
                <w:szCs w:val="24"/>
                <w:u w:val="single" w:color="000000"/>
              </w:rPr>
              <w:t>%　（打入甲方账号）</w:t>
            </w:r>
          </w:p>
          <w:p w14:paraId="752A4B14">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single" w:color="000000"/>
              </w:rPr>
            </w:pPr>
            <w:r>
              <w:rPr>
                <w:rFonts w:hint="eastAsia" w:ascii="微软雅黑" w:hAnsi="微软雅黑" w:eastAsia="微软雅黑" w:cs="微软雅黑"/>
                <w:sz w:val="24"/>
                <w:szCs w:val="24"/>
              </w:rPr>
              <w:t xml:space="preserve">履约保证金形式：☑保函  ☑电汇  </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支票   ☑对公转账 </w:t>
            </w:r>
          </w:p>
          <w:p w14:paraId="428CA25C">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single" w:color="000000"/>
              </w:rPr>
            </w:pPr>
            <w:r>
              <w:rPr>
                <w:rFonts w:hint="eastAsia" w:ascii="微软雅黑" w:hAnsi="微软雅黑" w:eastAsia="微软雅黑" w:cs="微软雅黑"/>
                <w:sz w:val="24"/>
                <w:szCs w:val="24"/>
                <w:u w:val="single" w:color="000000"/>
              </w:rPr>
              <w:t>提交履约保证金的时间：签订合同</w:t>
            </w:r>
            <w:r>
              <w:rPr>
                <w:rFonts w:hint="eastAsia" w:ascii="微软雅黑" w:hAnsi="微软雅黑" w:eastAsia="微软雅黑" w:cs="微软雅黑"/>
                <w:sz w:val="24"/>
                <w:szCs w:val="24"/>
                <w:u w:val="single" w:color="000000"/>
                <w:lang w:eastAsia="zh-CN"/>
              </w:rPr>
              <w:t>后</w:t>
            </w:r>
            <w:r>
              <w:rPr>
                <w:rFonts w:hint="eastAsia" w:ascii="微软雅黑" w:hAnsi="微软雅黑" w:eastAsia="微软雅黑" w:cs="微软雅黑"/>
                <w:sz w:val="24"/>
                <w:szCs w:val="24"/>
                <w:u w:val="single" w:color="000000"/>
              </w:rPr>
              <w:t>2日历日</w:t>
            </w:r>
          </w:p>
        </w:tc>
      </w:tr>
      <w:tr w14:paraId="6D253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95" w:type="dxa"/>
            <w:vAlign w:val="center"/>
          </w:tcPr>
          <w:p w14:paraId="671E2D9E">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32</w:t>
            </w:r>
          </w:p>
        </w:tc>
        <w:tc>
          <w:tcPr>
            <w:tcW w:w="8115" w:type="dxa"/>
            <w:vAlign w:val="center"/>
          </w:tcPr>
          <w:p w14:paraId="17C1F0EB">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成交服务费：</w:t>
            </w:r>
            <w:r>
              <w:rPr>
                <w:rFonts w:hint="eastAsia" w:ascii="微软雅黑" w:hAnsi="微软雅黑" w:eastAsia="微软雅黑" w:cs="微软雅黑"/>
                <w:sz w:val="24"/>
                <w:szCs w:val="24"/>
                <w:highlight w:val="none"/>
              </w:rPr>
              <w:t>根据发改委价格[2015]299文件</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按成交金额的1.5%收取</w:t>
            </w:r>
            <w:r>
              <w:rPr>
                <w:rFonts w:hint="eastAsia" w:ascii="微软雅黑" w:hAnsi="微软雅黑" w:eastAsia="微软雅黑" w:cs="微软雅黑"/>
                <w:sz w:val="24"/>
                <w:szCs w:val="24"/>
                <w:highlight w:val="none"/>
              </w:rPr>
              <w:t>（由成交</w:t>
            </w:r>
            <w:r>
              <w:rPr>
                <w:rFonts w:hint="eastAsia" w:ascii="微软雅黑" w:hAnsi="微软雅黑" w:eastAsia="微软雅黑" w:cs="微软雅黑"/>
                <w:sz w:val="24"/>
                <w:szCs w:val="24"/>
                <w:highlight w:val="none"/>
                <w:lang w:eastAsia="zh-CN"/>
              </w:rPr>
              <w:t>供应商</w:t>
            </w:r>
            <w:r>
              <w:rPr>
                <w:rFonts w:hint="eastAsia" w:ascii="微软雅黑" w:hAnsi="微软雅黑" w:eastAsia="微软雅黑" w:cs="微软雅黑"/>
                <w:sz w:val="24"/>
                <w:szCs w:val="24"/>
                <w:highlight w:val="none"/>
              </w:rPr>
              <w:t>支付）</w:t>
            </w:r>
          </w:p>
          <w:p w14:paraId="46223907">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支付形式：</w:t>
            </w:r>
            <w:r>
              <w:rPr>
                <w:rFonts w:hint="eastAsia" w:ascii="微软雅黑" w:hAnsi="微软雅黑" w:eastAsia="微软雅黑" w:cs="微软雅黑"/>
                <w:sz w:val="24"/>
                <w:szCs w:val="24"/>
                <w:u w:val="single" w:color="000000"/>
              </w:rPr>
              <w:t xml:space="preserve"> 对公转账  </w:t>
            </w:r>
          </w:p>
          <w:p w14:paraId="64F8C52D">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支付时间：</w:t>
            </w:r>
            <w:r>
              <w:rPr>
                <w:rFonts w:hint="eastAsia" w:ascii="微软雅黑" w:hAnsi="微软雅黑" w:eastAsia="微软雅黑" w:cs="微软雅黑"/>
                <w:sz w:val="24"/>
                <w:szCs w:val="24"/>
                <w:u w:val="single" w:color="000000"/>
              </w:rPr>
              <w:t xml:space="preserve"> 领取成交通知书时 </w:t>
            </w:r>
          </w:p>
        </w:tc>
      </w:tr>
      <w:tr w14:paraId="1E8BF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95" w:type="dxa"/>
            <w:vAlign w:val="center"/>
          </w:tcPr>
          <w:p w14:paraId="720630C8">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33.1</w:t>
            </w:r>
          </w:p>
        </w:tc>
        <w:tc>
          <w:tcPr>
            <w:tcW w:w="8115" w:type="dxa"/>
            <w:vAlign w:val="center"/>
          </w:tcPr>
          <w:p w14:paraId="6DC33BEA">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本项目是否属于信用担保试点范围：</w:t>
            </w:r>
            <w:r>
              <w:rPr>
                <w:rFonts w:hint="eastAsia" w:ascii="微软雅黑" w:hAnsi="微软雅黑" w:eastAsia="微软雅黑" w:cs="微软雅黑"/>
                <w:sz w:val="24"/>
                <w:szCs w:val="24"/>
                <w:u w:val="single" w:color="000000"/>
              </w:rPr>
              <w:t xml:space="preserve">  否 </w:t>
            </w:r>
            <w:r>
              <w:rPr>
                <w:rFonts w:hint="eastAsia" w:ascii="微软雅黑" w:hAnsi="微软雅黑" w:eastAsia="微软雅黑" w:cs="微软雅黑"/>
                <w:sz w:val="24"/>
                <w:szCs w:val="24"/>
              </w:rPr>
              <w:t xml:space="preserve"> </w:t>
            </w:r>
          </w:p>
        </w:tc>
      </w:tr>
    </w:tbl>
    <w:p w14:paraId="70FA83DE">
      <w:pPr>
        <w:pageBreakBefore w:val="0"/>
        <w:kinsoku/>
        <w:wordWrap/>
        <w:overflowPunct/>
        <w:topLinePunct w:val="0"/>
        <w:bidi w:val="0"/>
        <w:spacing w:line="520" w:lineRule="exact"/>
        <w:sectPr>
          <w:headerReference r:id="rId6" w:type="default"/>
          <w:footerReference r:id="rId7" w:type="default"/>
          <w:pgSz w:w="11905" w:h="16838"/>
          <w:pgMar w:top="1440" w:right="1083" w:bottom="1440" w:left="1083" w:header="851" w:footer="992" w:gutter="0"/>
          <w:pgNumType w:fmt="decimal"/>
          <w:cols w:space="0" w:num="1"/>
          <w:rtlGutter w:val="0"/>
          <w:docGrid w:linePitch="462" w:charSpace="0"/>
        </w:sectPr>
      </w:pPr>
      <w:bookmarkStart w:id="733" w:name="_Toc219175639"/>
      <w:bookmarkStart w:id="734" w:name="_Toc218935355"/>
      <w:bookmarkStart w:id="735" w:name="_Toc216582826"/>
    </w:p>
    <w:p w14:paraId="318B1B3F">
      <w:pPr>
        <w:pStyle w:val="2"/>
        <w:pageBreakBefore w:val="0"/>
        <w:tabs>
          <w:tab w:val="left" w:pos="0"/>
        </w:tabs>
        <w:kinsoku/>
        <w:wordWrap/>
        <w:overflowPunct/>
        <w:topLinePunct w:val="0"/>
        <w:bidi w:val="0"/>
        <w:snapToGrid w:val="0"/>
        <w:spacing w:before="0" w:after="0" w:line="520" w:lineRule="exact"/>
        <w:jc w:val="center"/>
        <w:textAlignment w:val="baseline"/>
        <w:rPr>
          <w:rFonts w:ascii="微软雅黑" w:hAnsi="微软雅黑" w:eastAsia="微软雅黑" w:cs="微软雅黑"/>
          <w:bCs/>
          <w:kern w:val="0"/>
          <w:sz w:val="24"/>
          <w:szCs w:val="24"/>
        </w:rPr>
      </w:pPr>
      <w:bookmarkStart w:id="736" w:name="_Toc22336"/>
      <w:bookmarkStart w:id="737" w:name="_Toc25942"/>
      <w:r>
        <w:rPr>
          <w:rFonts w:hint="eastAsia" w:ascii="微软雅黑" w:hAnsi="微软雅黑" w:eastAsia="微软雅黑" w:cs="微软雅黑"/>
        </w:rPr>
        <w:t xml:space="preserve">第5章 </w:t>
      </w:r>
      <w:r>
        <w:rPr>
          <w:rFonts w:hint="eastAsia" w:ascii="微软雅黑" w:hAnsi="微软雅黑" w:eastAsia="微软雅黑" w:cs="微软雅黑"/>
          <w:lang w:val="en-US" w:eastAsia="zh-CN"/>
        </w:rPr>
        <w:t>工程量清单及技术标准</w:t>
      </w:r>
      <w:bookmarkEnd w:id="736"/>
      <w:bookmarkEnd w:id="737"/>
    </w:p>
    <w:p w14:paraId="3D81CE12">
      <w:pPr>
        <w:pageBreakBefore w:val="0"/>
        <w:widowControl w:val="0"/>
        <w:kinsoku/>
        <w:wordWrap/>
        <w:overflowPunct/>
        <w:topLinePunct w:val="0"/>
        <w:bidi w:val="0"/>
        <w:snapToGrid/>
        <w:spacing w:line="520" w:lineRule="exact"/>
        <w:ind w:firstLine="480"/>
        <w:jc w:val="left"/>
        <w:textAlignment w:val="auto"/>
        <w:rPr>
          <w:rFonts w:hint="eastAsia" w:ascii="微软雅黑" w:hAnsi="微软雅黑" w:eastAsia="微软雅黑" w:cs="微软雅黑"/>
          <w:color w:val="auto"/>
          <w:sz w:val="21"/>
          <w:szCs w:val="21"/>
          <w:highlight w:val="none"/>
          <w:u w:val="single"/>
          <w:lang w:val="en-US" w:eastAsia="zh-CN"/>
        </w:rPr>
      </w:pPr>
      <w:bookmarkStart w:id="738" w:name="_Toc6341"/>
      <w:bookmarkStart w:id="739" w:name="_Toc17221"/>
      <w:bookmarkStart w:id="740" w:name="_Toc13274"/>
    </w:p>
    <w:p w14:paraId="0EBEF16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b/>
          <w:bCs/>
          <w:color w:val="000000"/>
          <w:kern w:val="0"/>
          <w:sz w:val="24"/>
          <w:szCs w:val="24"/>
          <w:lang w:val="en-US" w:eastAsia="zh-CN" w:bidi="ar"/>
        </w:rPr>
      </w:pPr>
      <w:bookmarkStart w:id="741" w:name="_Toc1972"/>
      <w:r>
        <w:rPr>
          <w:rFonts w:hint="eastAsia" w:ascii="微软雅黑" w:hAnsi="微软雅黑" w:eastAsia="微软雅黑" w:cs="微软雅黑"/>
          <w:b/>
          <w:bCs/>
          <w:color w:val="000000"/>
          <w:kern w:val="0"/>
          <w:sz w:val="24"/>
          <w:szCs w:val="24"/>
          <w:lang w:val="en-US" w:eastAsia="zh-CN" w:bidi="ar"/>
        </w:rPr>
        <w:t>一、工程概况</w:t>
      </w:r>
      <w:bookmarkEnd w:id="741"/>
      <w:r>
        <w:rPr>
          <w:rFonts w:hint="eastAsia" w:ascii="微软雅黑" w:hAnsi="微软雅黑" w:eastAsia="微软雅黑" w:cs="微软雅黑"/>
          <w:b/>
          <w:bCs/>
          <w:color w:val="000000"/>
          <w:kern w:val="0"/>
          <w:sz w:val="24"/>
          <w:szCs w:val="24"/>
          <w:lang w:val="en-US" w:eastAsia="zh-CN" w:bidi="ar"/>
        </w:rPr>
        <w:t xml:space="preserve"> </w:t>
      </w:r>
    </w:p>
    <w:p w14:paraId="1457147B">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①项目名称：疏勒县阿拉甫乡道路以工代赈项目</w:t>
      </w:r>
    </w:p>
    <w:p w14:paraId="5FD7E91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②建设规模：</w:t>
      </w:r>
      <w:r>
        <w:rPr>
          <w:rFonts w:hint="eastAsia" w:ascii="微软雅黑" w:hAnsi="微软雅黑" w:eastAsia="微软雅黑" w:cs="微软雅黑"/>
          <w:color w:val="auto"/>
          <w:sz w:val="24"/>
          <w:szCs w:val="24"/>
          <w:highlight w:val="none"/>
          <w:lang w:val="en-US" w:eastAsia="zh-CN"/>
        </w:rPr>
        <w:t>新建设村组道路5公里及附属配套（本工程的工程量清单及施工图纸范围内的全部工作内容）</w:t>
      </w:r>
      <w:r>
        <w:rPr>
          <w:rFonts w:hint="eastAsia" w:ascii="微软雅黑" w:hAnsi="微软雅黑" w:eastAsia="微软雅黑" w:cs="微软雅黑"/>
          <w:color w:val="000000"/>
          <w:kern w:val="0"/>
          <w:sz w:val="24"/>
          <w:szCs w:val="24"/>
          <w:lang w:val="en-US" w:eastAsia="zh-CN" w:bidi="ar"/>
        </w:rPr>
        <w:t>。</w:t>
      </w:r>
    </w:p>
    <w:p w14:paraId="3B79E2A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二、主要商务要求如下： </w:t>
      </w:r>
    </w:p>
    <w:p w14:paraId="432214BF">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1.项目实施地：疏勒县阿拉甫乡9村</w:t>
      </w:r>
    </w:p>
    <w:p w14:paraId="3096398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2.工期要求：40天。（开工时间和竣工验收时间具体以合同签订为准）</w:t>
      </w:r>
    </w:p>
    <w:p w14:paraId="3C0691B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3.付款方式：合同签订后承包企业交付履约担保 ，缴纳农民工工资保证金 ，建设单位收到承包企业的预付款申请（包含等额有效的增值税普通发票）并施工人员进场施工后支付签约合 同价的 30% ；工程量完成 70%后支付至合同价的 60% ，竣工验收合格后支付至合同价的90% ，完成审计结算资料归档并联合验收备案完成后支付合同价的100% 。其中建设单位按前述约定向承包企业付款前 ，承包企业均需向建设单位提供等额有效的增值税普通发票 ，承包企业未向建设单位提供发票的，建设单位有权延迟支付款项，且对此不承担违约责任。【具体以实际签订合同为准】。 </w:t>
      </w:r>
    </w:p>
    <w:p w14:paraId="7DB7620E">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4.质量要求：合格 </w:t>
      </w:r>
    </w:p>
    <w:p w14:paraId="45A5102E">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color w:val="000000"/>
          <w:kern w:val="0"/>
          <w:sz w:val="24"/>
          <w:szCs w:val="24"/>
          <w:lang w:val="en-US" w:eastAsia="zh-CN" w:bidi="ar"/>
        </w:rPr>
        <w:t>5.验收单位：</w:t>
      </w:r>
      <w:r>
        <w:rPr>
          <w:rFonts w:hint="eastAsia" w:ascii="微软雅黑" w:hAnsi="微软雅黑" w:eastAsia="微软雅黑" w:cs="微软雅黑"/>
          <w:bCs/>
          <w:color w:val="auto"/>
          <w:sz w:val="24"/>
          <w:szCs w:val="24"/>
          <w:lang w:eastAsia="zh-CN"/>
        </w:rPr>
        <w:t>疏勒县阿拉甫乡人民政府及相关单位</w:t>
      </w:r>
    </w:p>
    <w:p w14:paraId="10170F9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6.履约保证金</w:t>
      </w:r>
      <w:r>
        <w:rPr>
          <w:rFonts w:hint="eastAsia" w:ascii="微软雅黑" w:hAnsi="微软雅黑" w:eastAsia="微软雅黑" w:cs="微软雅黑"/>
          <w:color w:val="000000"/>
          <w:kern w:val="0"/>
          <w:sz w:val="24"/>
          <w:szCs w:val="24"/>
          <w:lang w:val="zh-CN" w:eastAsia="zh-CN" w:bidi="ar"/>
        </w:rPr>
        <w:t>：</w:t>
      </w:r>
      <w:r>
        <w:rPr>
          <w:rFonts w:hint="eastAsia" w:ascii="微软雅黑" w:hAnsi="微软雅黑" w:eastAsia="微软雅黑" w:cs="微软雅黑"/>
          <w:color w:val="000000"/>
          <w:kern w:val="0"/>
          <w:sz w:val="24"/>
          <w:szCs w:val="24"/>
          <w:lang w:val="en-US" w:eastAsia="zh-CN" w:bidi="ar"/>
        </w:rPr>
        <w:t>合同总价的5%（具体缴纳时间以合同签订为准）</w:t>
      </w:r>
      <w:r>
        <w:rPr>
          <w:rFonts w:hint="eastAsia" w:ascii="微软雅黑" w:hAnsi="微软雅黑" w:eastAsia="微软雅黑" w:cs="微软雅黑"/>
          <w:color w:val="000000"/>
          <w:kern w:val="0"/>
          <w:sz w:val="24"/>
          <w:szCs w:val="24"/>
          <w:lang w:val="zh-CN" w:eastAsia="zh-CN" w:bidi="ar"/>
        </w:rPr>
        <w:t>。</w:t>
      </w:r>
    </w:p>
    <w:p w14:paraId="256E13A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三、主要技术要求 </w:t>
      </w:r>
    </w:p>
    <w:p w14:paraId="05759619">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本项目必须符合国家和地方现行相关质量评定标准和施工技术规范、施工图设计要求。主要技术支持文件包括但不限于以下文件： </w:t>
      </w:r>
    </w:p>
    <w:p w14:paraId="47928559">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1、</w:t>
      </w:r>
      <w:r>
        <w:rPr>
          <w:rFonts w:hint="eastAsia" w:ascii="微软雅黑" w:hAnsi="微软雅黑" w:eastAsia="微软雅黑" w:cs="微软雅黑"/>
          <w:color w:val="000000"/>
          <w:kern w:val="0"/>
          <w:sz w:val="24"/>
          <w:szCs w:val="24"/>
          <w:lang w:val="en-US" w:eastAsia="zh-CN" w:bidi="ar"/>
        </w:rPr>
        <w:t xml:space="preserve">项目管理机构组成表； </w:t>
      </w:r>
    </w:p>
    <w:p w14:paraId="01379549">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kern w:val="0"/>
          <w:sz w:val="24"/>
          <w:szCs w:val="24"/>
          <w:lang w:val="en-US" w:eastAsia="zh-CN" w:bidi="ar"/>
        </w:rPr>
        <w:t xml:space="preserve">2、项目总工须具备公路工程相关专业中级及以上职称，具备交通运输主管部门颁发的有效的B类安全生产考核合格证书。响应文件中应附有相关证明资料。 </w:t>
      </w:r>
    </w:p>
    <w:p w14:paraId="7957CB8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000000"/>
          <w:kern w:val="0"/>
          <w:sz w:val="24"/>
          <w:szCs w:val="24"/>
          <w:lang w:val="en-US" w:eastAsia="zh-CN" w:bidi="ar"/>
        </w:rPr>
        <w:t xml:space="preserve">3、项目负责人简历表（附相关证书）； </w:t>
      </w:r>
    </w:p>
    <w:p w14:paraId="0F2A20CF">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4、主要项目管理人员简历表； </w:t>
      </w:r>
    </w:p>
    <w:p w14:paraId="1B43C424">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5、具备公路工程施工总承包一级及以上资质的投标人应进入交通运输部“全国公路建设市场信用信息</w:t>
      </w:r>
      <w:r>
        <w:rPr>
          <w:rFonts w:hint="eastAsia" w:ascii="微软雅黑" w:hAnsi="微软雅黑" w:eastAsia="微软雅黑" w:cs="微软雅黑"/>
          <w:color w:val="000000"/>
          <w:kern w:val="0"/>
          <w:sz w:val="24"/>
          <w:szCs w:val="24"/>
          <w:lang w:val="en-US" w:eastAsia="zh-CN" w:bidi="ar"/>
        </w:rPr>
        <w:t>管理系统（https://glxy.mot.gov.cn/）、具备公路工程施工总承包二级及以下的投标人应进入“新疆维吾尔自治区公路建设市场信用信息管理系统（http://117.145.188.9:9399/）”；且投标人名称和资质与该名录中的相应企业名称和资质须完全一致，并在人员、设备、资金等方面具有相应的施工能力。施工企业及项目经理、总工须具有类似公路工程施工业绩。企业及人员信息需已在新疆建设云上报送并通过。(3)投标单位相关人员须为本公司在“新疆工程建设云”或“信用交通·新疆”可查询人员，提供近3个月相关人员缴纳社保证明(相关人员包括：法定代表人或授权委托人、项目负责人、项目总工)。</w:t>
      </w:r>
    </w:p>
    <w:p w14:paraId="58FB5662">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6、投标其他条件：有以下情况的单位不得参加此次投标：1)因公路施工拖欠农民工工资、机械台班费、材料款等债务问题，曾被各级人民法院强制执行和保全的; 2)被列入交通运输部、自治区交通运输厅及各地州市交通运输局列为黑名单的或限制投标的单位。</w:t>
      </w:r>
    </w:p>
    <w:p w14:paraId="34093859">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 xml:space="preserve">7、投标人应根据工程的具体情况，编制相应的施工组织设计。施工组织设计包括下 </w:t>
      </w:r>
    </w:p>
    <w:p w14:paraId="686E0EBC">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 xml:space="preserve">列内容： </w:t>
      </w:r>
    </w:p>
    <w:p w14:paraId="1D2B225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1）工程概况及特点：</w:t>
      </w:r>
      <w:r>
        <w:rPr>
          <w:rFonts w:hint="eastAsia" w:ascii="微软雅黑" w:hAnsi="微软雅黑" w:eastAsia="微软雅黑" w:cs="微软雅黑"/>
          <w:color w:val="000000"/>
          <w:kern w:val="0"/>
          <w:sz w:val="24"/>
          <w:szCs w:val="24"/>
          <w:lang w:val="en-US" w:eastAsia="zh-CN" w:bidi="ar"/>
        </w:rPr>
        <w:t xml:space="preserve">应包括工程主要情况，各专业设计简介和工程施工条件。 </w:t>
      </w:r>
    </w:p>
    <w:p w14:paraId="7A86D267">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①工程主要情况应包括以下内容：工程名称、性质和地理位置；工程承包范围和分包 </w:t>
      </w:r>
    </w:p>
    <w:p w14:paraId="6089902E">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工程范围；施工合同、磋商文件和建设单位对工程施工的重点要求；其他应说明的问题、。 </w:t>
      </w:r>
    </w:p>
    <w:p w14:paraId="3C27518E">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2）施工准备计划：</w:t>
      </w:r>
      <w:r>
        <w:rPr>
          <w:rFonts w:hint="eastAsia" w:ascii="微软雅黑" w:hAnsi="微软雅黑" w:eastAsia="微软雅黑" w:cs="微软雅黑"/>
          <w:color w:val="000000"/>
          <w:kern w:val="0"/>
          <w:sz w:val="24"/>
          <w:szCs w:val="24"/>
          <w:lang w:val="en-US" w:eastAsia="zh-CN" w:bidi="ar"/>
        </w:rPr>
        <w:t xml:space="preserve">技术准备：包括施工所需技术资料的准备、图纸深化和技术交底的要求、试验检验及测试工作计划、样板制作计划 以及相关单位的技术交接计划等；现场准备：包括生产、生活等临时设施的准备以及相关单位进行现场交接的计划等。资金准备：编制资金使用计划等。 </w:t>
      </w:r>
    </w:p>
    <w:p w14:paraId="7F5F8B2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3）主要资源配置计划： </w:t>
      </w:r>
    </w:p>
    <w:p w14:paraId="784888C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①劳动力配置计划：确定工程用工量并编制专业工种劳动力计划表； </w:t>
      </w:r>
    </w:p>
    <w:p w14:paraId="6018BA8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②物资配置计划：包括工程材料和设备配置计划、周转材料和施工机具配置计划以及计量、测量和检验仪器配置计划等。 </w:t>
      </w:r>
    </w:p>
    <w:p w14:paraId="6C57C08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4）施工进度管理计划：</w:t>
      </w:r>
      <w:r>
        <w:rPr>
          <w:rFonts w:hint="eastAsia" w:ascii="微软雅黑" w:hAnsi="微软雅黑" w:eastAsia="微软雅黑" w:cs="微软雅黑"/>
          <w:color w:val="000000"/>
          <w:kern w:val="0"/>
          <w:sz w:val="24"/>
          <w:szCs w:val="24"/>
          <w:lang w:val="en-US" w:eastAsia="zh-CN" w:bidi="ar"/>
        </w:rPr>
        <w:t xml:space="preserve">施工进度计划的编制应内容全面，安排合理、科学实用，在进度计划中应反映出施工区段和各工序之间的搭接关系、施工期限和开始、结束时间，同时，施工进度计划应能体现和落实总体进度计划的目标控制要求，通过编制分部分项或专项工程进度计划进而实现总进度计划的合理性。 </w:t>
      </w:r>
    </w:p>
    <w:p w14:paraId="539C912C">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进度管理计划应包括以下内容：</w:t>
      </w:r>
    </w:p>
    <w:p w14:paraId="0A021372">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①项目施工进度计划进行逐级分解，通过阶段性目标的实现保证最终工期目标的完成； </w:t>
      </w:r>
    </w:p>
    <w:p w14:paraId="2839A8FD">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②建立施工进度管理的组织机构并明确职责，制定相应的管理制度； </w:t>
      </w:r>
    </w:p>
    <w:p w14:paraId="1EEE5582">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③针对不同施工阶段的特点，制度进度管理的相应措施，包括施工组织措施、技术措施和合同措施； </w:t>
      </w:r>
    </w:p>
    <w:p w14:paraId="3C0267DF">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④建立施工进度动态管理机制，及时纠正施工过程中的进度偏差，并制定特殊情况下的赶工措施； </w:t>
      </w:r>
    </w:p>
    <w:p w14:paraId="2E96A8B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⑤根据项目周边环境特点，制定相应的协调措施，减少外部因素对施工进度的影响； </w:t>
      </w:r>
    </w:p>
    <w:p w14:paraId="7227941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⑥施工进度计划图（施工流水作业横道图或施工进度计划网络图）上述两种图表，可选任意一种。 </w:t>
      </w:r>
    </w:p>
    <w:p w14:paraId="6473BB5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5）施工质量管理计划：</w:t>
      </w:r>
      <w:r>
        <w:rPr>
          <w:rFonts w:hint="eastAsia" w:ascii="微软雅黑" w:hAnsi="微软雅黑" w:eastAsia="微软雅黑" w:cs="微软雅黑"/>
          <w:color w:val="000000"/>
          <w:kern w:val="0"/>
          <w:sz w:val="24"/>
          <w:szCs w:val="24"/>
          <w:lang w:val="en-US" w:eastAsia="zh-CN" w:bidi="ar"/>
        </w:rPr>
        <w:t xml:space="preserve">保证实现项目施工质量目标的管理计划，包括制定、实施、评价所需的组织机构，职责和程序以及采取的施工措施和资源配置等，主要包括以下内容： </w:t>
      </w:r>
    </w:p>
    <w:p w14:paraId="554D4EB2">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①应制定具体的项目质量目标，质量目标应不低于合同明示的要求，质量目标应尽可能地量化和层层分解至最基层，建立阶段性目标； </w:t>
      </w:r>
    </w:p>
    <w:p w14:paraId="2E60844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②应明确质量管理组织机构中各重要岗位的职责，与质量有关的各岗位人员应具备与职责要求相匹配的相应知识、能力和经验； </w:t>
      </w:r>
    </w:p>
    <w:p w14:paraId="1039CCA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③应采取各种有效措施，确保项目质量目标的实现，这些措施包括但不局限于：原材料、构配件、机具的要求和检验，主要的施工工艺、主要的质量标准和检验方法，做好季节性施工的技术措施，关键过程、特殊过程、重点工序的质量保证措施，成品、半成品的保护措施，工作场所环境以及劳动力和资金保障措施； </w:t>
      </w:r>
    </w:p>
    <w:p w14:paraId="13C13B4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④按质量管理的八项原则中的过程方法要求，将各项活动和相关资源作为过程进行管理，建立质量过程检查、验收以及质量责任制等相关制度，对质量检查和验收标准做出规定，采购有效的纠正和预防措施，保障各工序和过程的质量。 </w:t>
      </w:r>
    </w:p>
    <w:p w14:paraId="43411D8C">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6）施工安全管理计划：</w:t>
      </w:r>
      <w:r>
        <w:rPr>
          <w:rFonts w:hint="eastAsia" w:ascii="微软雅黑" w:hAnsi="微软雅黑" w:eastAsia="微软雅黑" w:cs="微软雅黑"/>
          <w:color w:val="000000"/>
          <w:kern w:val="0"/>
          <w:sz w:val="24"/>
          <w:szCs w:val="24"/>
          <w:lang w:val="en-US" w:eastAsia="zh-CN" w:bidi="ar"/>
        </w:rPr>
        <w:t xml:space="preserve">包括制定、实施、评价所需的组织机构，职责和程序以及采取的施工措施和资源配置等；安全管理计划应针对项目具体情况，建立安全管理组织、制定相应的管理目标、管理制度、管理控制措施和应急预案等。 </w:t>
      </w:r>
    </w:p>
    <w:p w14:paraId="7D8B8A06">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①确定项目重要危险源，制定项目职业健康安全管理目标； </w:t>
      </w:r>
    </w:p>
    <w:p w14:paraId="2C71CD0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②建立有管理层次的项目安全组织机构并明确职责； </w:t>
      </w:r>
    </w:p>
    <w:p w14:paraId="4917B4B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③根据项目特点，进行职业健康安全方面的资源配置； </w:t>
      </w:r>
    </w:p>
    <w:p w14:paraId="30309B32">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④建立具有针对性的安全生产管理制度和职工安全教育培训制度； </w:t>
      </w:r>
    </w:p>
    <w:p w14:paraId="530D5E5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⑤针对项目重要危险源，制定相应的安全技术措施；对达到一定规模的危险性较大的分部分项工程应制定专项安全技术措施的编制计划； </w:t>
      </w:r>
    </w:p>
    <w:p w14:paraId="1E0A1D6B">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⑥根据季节、气候的变化，制定相应的季节性安全施工措施； </w:t>
      </w:r>
    </w:p>
    <w:p w14:paraId="44F6904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⑦建立现场安全检查制度，并对安全事故的处理做出相应的规定； </w:t>
      </w:r>
    </w:p>
    <w:p w14:paraId="092A67C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⑧现场安全管理应符合国家和地方政府的规定和要求。 </w:t>
      </w:r>
    </w:p>
    <w:p w14:paraId="5BABDA08">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7）现场环境管理计划：</w:t>
      </w:r>
      <w:r>
        <w:rPr>
          <w:rFonts w:hint="eastAsia" w:ascii="微软雅黑" w:hAnsi="微软雅黑" w:eastAsia="微软雅黑" w:cs="微软雅黑"/>
          <w:color w:val="000000"/>
          <w:kern w:val="0"/>
          <w:sz w:val="24"/>
          <w:szCs w:val="24"/>
          <w:lang w:val="en-US" w:eastAsia="zh-CN" w:bidi="ar"/>
        </w:rPr>
        <w:t xml:space="preserve">保证实现项目施工环境目标的管理计划。主要包括以下内容： </w:t>
      </w:r>
    </w:p>
    <w:p w14:paraId="080AE36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①确定项目重要环境因素，制定项目环境管理目标； </w:t>
      </w:r>
    </w:p>
    <w:p w14:paraId="1E94907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②建立项目环境管理的组织机构并明确职责； </w:t>
      </w:r>
    </w:p>
    <w:p w14:paraId="5654571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③根据项目特点，进行环境保护方面的资源配置； </w:t>
      </w:r>
    </w:p>
    <w:p w14:paraId="3F1799E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④制定现场环境保护的控制措施； </w:t>
      </w:r>
    </w:p>
    <w:p w14:paraId="79F500C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⑤建立现场环境检查制度，并对环境事故的处理作出规定； </w:t>
      </w:r>
    </w:p>
    <w:p w14:paraId="3D460B6F">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8、技术重点、难点解决方案： </w:t>
      </w:r>
      <w:r>
        <w:rPr>
          <w:rFonts w:hint="eastAsia" w:ascii="微软雅黑" w:hAnsi="微软雅黑" w:eastAsia="微软雅黑" w:cs="微软雅黑"/>
          <w:color w:val="000000"/>
          <w:kern w:val="0"/>
          <w:sz w:val="24"/>
          <w:szCs w:val="24"/>
          <w:lang w:val="en-US" w:eastAsia="zh-CN" w:bidi="ar"/>
        </w:rPr>
        <w:t xml:space="preserve">结合工程实际情况，列出本工程的施工过程中的重点和难点问题，进行施工安排并简述主要管理和技术措施。 </w:t>
      </w:r>
    </w:p>
    <w:p w14:paraId="5F3A3434">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9、工程保修计划：</w:t>
      </w:r>
      <w:r>
        <w:rPr>
          <w:rFonts w:hint="eastAsia" w:ascii="微软雅黑" w:hAnsi="微软雅黑" w:eastAsia="微软雅黑" w:cs="微软雅黑"/>
          <w:color w:val="000000"/>
          <w:kern w:val="0"/>
          <w:sz w:val="24"/>
          <w:szCs w:val="24"/>
          <w:lang w:val="en-US" w:eastAsia="zh-CN" w:bidi="ar"/>
        </w:rPr>
        <w:t xml:space="preserve">依据采购单位的要求，结合本项目的实际特点，有针对性地编制工程质量保修计划，主要包括保修范围、保修内容、保修期限等内容。 </w:t>
      </w:r>
    </w:p>
    <w:p w14:paraId="26F51ED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四、投标报价要求 </w:t>
      </w:r>
    </w:p>
    <w:p w14:paraId="4A9A61D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1、投标人的报价应为所确定的招标范围内的全部工作内容的价格体现。 </w:t>
      </w:r>
    </w:p>
    <w:p w14:paraId="7BE6A226">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2、工程报价方式：工程量清单 </w:t>
      </w:r>
    </w:p>
    <w:p w14:paraId="34CF4F4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3、竞争性磋商报价以二次最终报价为准（二次报价须同时提交调整后的工程量清单）。</w:t>
      </w:r>
      <w:r>
        <w:rPr>
          <w:rFonts w:hint="eastAsia" w:ascii="微软雅黑" w:hAnsi="微软雅黑" w:eastAsia="微软雅黑" w:cs="微软雅黑"/>
          <w:color w:val="000000"/>
          <w:kern w:val="0"/>
          <w:sz w:val="24"/>
          <w:szCs w:val="24"/>
          <w:lang w:val="en-US" w:eastAsia="zh-CN" w:bidi="ar"/>
        </w:rPr>
        <w:t xml:space="preserve"> </w:t>
      </w:r>
    </w:p>
    <w:p w14:paraId="21FBB22E">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p>
    <w:bookmarkEnd w:id="738"/>
    <w:bookmarkEnd w:id="739"/>
    <w:bookmarkEnd w:id="740"/>
    <w:p w14:paraId="17952349">
      <w:pPr>
        <w:pageBreakBefore w:val="0"/>
        <w:widowControl w:val="0"/>
        <w:kinsoku/>
        <w:wordWrap/>
        <w:overflowPunct/>
        <w:topLinePunct w:val="0"/>
        <w:bidi w:val="0"/>
        <w:snapToGrid/>
        <w:spacing w:line="520" w:lineRule="exact"/>
        <w:textAlignment w:val="auto"/>
        <w:rPr>
          <w:rFonts w:ascii="微软雅黑" w:hAnsi="微软雅黑" w:eastAsia="微软雅黑" w:cs="微软雅黑"/>
          <w:sz w:val="24"/>
        </w:rPr>
      </w:pPr>
      <w:r>
        <w:rPr>
          <w:rFonts w:hint="eastAsia" w:ascii="微软雅黑" w:hAnsi="微软雅黑" w:eastAsia="微软雅黑" w:cs="微软雅黑"/>
          <w:b/>
          <w:bCs/>
          <w:color w:val="auto"/>
          <w:sz w:val="24"/>
          <w:szCs w:val="24"/>
          <w:lang w:val="en-US" w:eastAsia="zh-CN"/>
        </w:rPr>
        <w:t>五、工程量清单：详见附件</w:t>
      </w:r>
    </w:p>
    <w:p w14:paraId="67AD9154">
      <w:pPr>
        <w:pStyle w:val="13"/>
        <w:pageBreakBefore w:val="0"/>
        <w:kinsoku/>
        <w:wordWrap/>
        <w:overflowPunct/>
        <w:topLinePunct w:val="0"/>
        <w:bidi w:val="0"/>
        <w:spacing w:line="520" w:lineRule="exact"/>
        <w:ind w:left="0" w:leftChars="0" w:firstLine="0" w:firstLineChars="0"/>
        <w:rPr>
          <w:rFonts w:ascii="微软雅黑" w:hAnsi="微软雅黑" w:eastAsia="微软雅黑" w:cs="微软雅黑"/>
        </w:rPr>
      </w:pPr>
    </w:p>
    <w:p w14:paraId="45D54A7B">
      <w:pPr>
        <w:pStyle w:val="7"/>
        <w:pageBreakBefore w:val="0"/>
        <w:kinsoku/>
        <w:wordWrap/>
        <w:overflowPunct/>
        <w:topLinePunct w:val="0"/>
        <w:bidi w:val="0"/>
        <w:spacing w:line="520" w:lineRule="exact"/>
        <w:rPr>
          <w:rFonts w:ascii="微软雅黑" w:hAnsi="微软雅黑" w:eastAsia="微软雅黑" w:cs="微软雅黑"/>
        </w:rPr>
      </w:pPr>
    </w:p>
    <w:p w14:paraId="027ABE4E">
      <w:pPr>
        <w:pStyle w:val="8"/>
        <w:pageBreakBefore w:val="0"/>
        <w:kinsoku/>
        <w:wordWrap/>
        <w:overflowPunct/>
        <w:topLinePunct w:val="0"/>
        <w:bidi w:val="0"/>
        <w:spacing w:line="520" w:lineRule="exact"/>
        <w:rPr>
          <w:rFonts w:ascii="微软雅黑" w:hAnsi="微软雅黑" w:eastAsia="微软雅黑" w:cs="微软雅黑"/>
        </w:rPr>
      </w:pPr>
    </w:p>
    <w:p w14:paraId="039AC107">
      <w:pPr>
        <w:rPr>
          <w:rFonts w:ascii="微软雅黑" w:hAnsi="微软雅黑" w:eastAsia="微软雅黑" w:cs="微软雅黑"/>
        </w:rPr>
      </w:pPr>
    </w:p>
    <w:p w14:paraId="4FAA8774">
      <w:pPr>
        <w:rPr>
          <w:rFonts w:ascii="微软雅黑" w:hAnsi="微软雅黑" w:eastAsia="微软雅黑" w:cs="微软雅黑"/>
        </w:rPr>
      </w:pPr>
    </w:p>
    <w:p w14:paraId="2555C929">
      <w:pPr>
        <w:rPr>
          <w:rFonts w:ascii="微软雅黑" w:hAnsi="微软雅黑" w:eastAsia="微软雅黑" w:cs="微软雅黑"/>
        </w:rPr>
      </w:pPr>
    </w:p>
    <w:p w14:paraId="09729AFE">
      <w:pPr>
        <w:rPr>
          <w:rFonts w:ascii="微软雅黑" w:hAnsi="微软雅黑" w:eastAsia="微软雅黑" w:cs="微软雅黑"/>
        </w:rPr>
      </w:pPr>
    </w:p>
    <w:p w14:paraId="677F1A86">
      <w:pPr>
        <w:rPr>
          <w:rFonts w:ascii="微软雅黑" w:hAnsi="微软雅黑" w:eastAsia="微软雅黑" w:cs="微软雅黑"/>
        </w:rPr>
      </w:pPr>
    </w:p>
    <w:p w14:paraId="1014B205">
      <w:pPr>
        <w:rPr>
          <w:rFonts w:ascii="微软雅黑" w:hAnsi="微软雅黑" w:eastAsia="微软雅黑" w:cs="微软雅黑"/>
        </w:rPr>
      </w:pPr>
    </w:p>
    <w:p w14:paraId="168CE8E8">
      <w:pPr>
        <w:rPr>
          <w:rFonts w:ascii="微软雅黑" w:hAnsi="微软雅黑" w:eastAsia="微软雅黑" w:cs="微软雅黑"/>
        </w:rPr>
      </w:pPr>
    </w:p>
    <w:p w14:paraId="277A00CE">
      <w:pPr>
        <w:rPr>
          <w:rFonts w:ascii="微软雅黑" w:hAnsi="微软雅黑" w:eastAsia="微软雅黑" w:cs="微软雅黑"/>
        </w:rPr>
      </w:pPr>
    </w:p>
    <w:p w14:paraId="15320E70">
      <w:pPr>
        <w:rPr>
          <w:rFonts w:ascii="微软雅黑" w:hAnsi="微软雅黑" w:eastAsia="微软雅黑" w:cs="微软雅黑"/>
        </w:rPr>
      </w:pPr>
    </w:p>
    <w:p w14:paraId="331E7BC0">
      <w:pPr>
        <w:rPr>
          <w:rFonts w:ascii="微软雅黑" w:hAnsi="微软雅黑" w:eastAsia="微软雅黑" w:cs="微软雅黑"/>
        </w:rPr>
      </w:pPr>
    </w:p>
    <w:p w14:paraId="5C4EC7A6">
      <w:pPr>
        <w:rPr>
          <w:rFonts w:ascii="微软雅黑" w:hAnsi="微软雅黑" w:eastAsia="微软雅黑" w:cs="微软雅黑"/>
        </w:rPr>
      </w:pPr>
    </w:p>
    <w:p w14:paraId="443A70D3">
      <w:pPr>
        <w:rPr>
          <w:rFonts w:ascii="微软雅黑" w:hAnsi="微软雅黑" w:eastAsia="微软雅黑" w:cs="微软雅黑"/>
        </w:rPr>
      </w:pPr>
    </w:p>
    <w:p w14:paraId="2260F7D1">
      <w:pPr>
        <w:rPr>
          <w:rFonts w:ascii="微软雅黑" w:hAnsi="微软雅黑" w:eastAsia="微软雅黑" w:cs="微软雅黑"/>
        </w:rPr>
      </w:pPr>
    </w:p>
    <w:p w14:paraId="42826F0D">
      <w:pPr>
        <w:rPr>
          <w:rFonts w:ascii="微软雅黑" w:hAnsi="微软雅黑" w:eastAsia="微软雅黑" w:cs="微软雅黑"/>
        </w:rPr>
      </w:pPr>
    </w:p>
    <w:p w14:paraId="4BB1BD4A">
      <w:pPr>
        <w:rPr>
          <w:rFonts w:ascii="微软雅黑" w:hAnsi="微软雅黑" w:eastAsia="微软雅黑" w:cs="微软雅黑"/>
        </w:rPr>
      </w:pPr>
    </w:p>
    <w:p w14:paraId="7A8FD1F8">
      <w:pPr>
        <w:rPr>
          <w:rFonts w:ascii="微软雅黑" w:hAnsi="微软雅黑" w:eastAsia="微软雅黑" w:cs="微软雅黑"/>
        </w:rPr>
      </w:pPr>
    </w:p>
    <w:p w14:paraId="1E36B14A">
      <w:pPr>
        <w:rPr>
          <w:rFonts w:ascii="微软雅黑" w:hAnsi="微软雅黑" w:eastAsia="微软雅黑" w:cs="微软雅黑"/>
        </w:rPr>
      </w:pPr>
    </w:p>
    <w:p w14:paraId="6C6E5C7E">
      <w:pPr>
        <w:rPr>
          <w:rFonts w:ascii="微软雅黑" w:hAnsi="微软雅黑" w:eastAsia="微软雅黑" w:cs="微软雅黑"/>
        </w:rPr>
      </w:pPr>
    </w:p>
    <w:p w14:paraId="33510A69">
      <w:pPr>
        <w:rPr>
          <w:rFonts w:ascii="微软雅黑" w:hAnsi="微软雅黑" w:eastAsia="微软雅黑" w:cs="微软雅黑"/>
        </w:rPr>
      </w:pPr>
    </w:p>
    <w:p w14:paraId="5C419AF3">
      <w:pPr>
        <w:rPr>
          <w:rFonts w:ascii="微软雅黑" w:hAnsi="微软雅黑" w:eastAsia="微软雅黑" w:cs="微软雅黑"/>
        </w:rPr>
      </w:pPr>
    </w:p>
    <w:p w14:paraId="4142C52A">
      <w:pPr>
        <w:rPr>
          <w:rFonts w:ascii="微软雅黑" w:hAnsi="微软雅黑" w:eastAsia="微软雅黑" w:cs="微软雅黑"/>
        </w:rPr>
      </w:pPr>
    </w:p>
    <w:p w14:paraId="0122C73D">
      <w:pPr>
        <w:rPr>
          <w:rFonts w:ascii="微软雅黑" w:hAnsi="微软雅黑" w:eastAsia="微软雅黑" w:cs="微软雅黑"/>
        </w:rPr>
      </w:pPr>
    </w:p>
    <w:p w14:paraId="1530862B">
      <w:pPr>
        <w:pageBreakBefore w:val="0"/>
        <w:kinsoku/>
        <w:wordWrap/>
        <w:overflowPunct/>
        <w:topLinePunct w:val="0"/>
        <w:bidi w:val="0"/>
        <w:spacing w:line="520" w:lineRule="exact"/>
        <w:rPr>
          <w:rFonts w:ascii="微软雅黑" w:hAnsi="微软雅黑" w:eastAsia="微软雅黑" w:cs="微软雅黑"/>
        </w:rPr>
      </w:pPr>
    </w:p>
    <w:p w14:paraId="4F0D314B">
      <w:pPr>
        <w:pageBreakBefore w:val="0"/>
        <w:kinsoku/>
        <w:wordWrap/>
        <w:overflowPunct/>
        <w:topLinePunct w:val="0"/>
        <w:bidi w:val="0"/>
        <w:spacing w:line="520" w:lineRule="exact"/>
        <w:rPr>
          <w:rFonts w:ascii="微软雅黑" w:hAnsi="微软雅黑" w:eastAsia="微软雅黑" w:cs="微软雅黑"/>
        </w:rPr>
      </w:pPr>
    </w:p>
    <w:p w14:paraId="21CB27FC">
      <w:pPr>
        <w:pStyle w:val="2"/>
        <w:pageBreakBefore w:val="0"/>
        <w:tabs>
          <w:tab w:val="left" w:pos="0"/>
        </w:tabs>
        <w:kinsoku/>
        <w:wordWrap/>
        <w:overflowPunct/>
        <w:topLinePunct w:val="0"/>
        <w:bidi w:val="0"/>
        <w:snapToGrid w:val="0"/>
        <w:spacing w:before="0" w:after="0" w:line="520" w:lineRule="exact"/>
        <w:textAlignment w:val="baseline"/>
        <w:rPr>
          <w:rFonts w:ascii="微软雅黑" w:hAnsi="微软雅黑" w:eastAsia="微软雅黑" w:cs="微软雅黑"/>
          <w:b w:val="0"/>
          <w:sz w:val="24"/>
        </w:rPr>
      </w:pPr>
      <w:bookmarkStart w:id="742" w:name="_Toc15856"/>
      <w:bookmarkStart w:id="743" w:name="_Toc31964"/>
      <w:r>
        <w:rPr>
          <w:rFonts w:hint="eastAsia" w:ascii="微软雅黑" w:hAnsi="微软雅黑" w:eastAsia="微软雅黑" w:cs="微软雅黑"/>
        </w:rPr>
        <w:t xml:space="preserve">第6章 </w:t>
      </w:r>
      <w:bookmarkStart w:id="744" w:name="_Toc507399907"/>
      <w:bookmarkStart w:id="745" w:name="_Toc32647"/>
      <w:bookmarkStart w:id="746" w:name="_Toc515647832"/>
      <w:bookmarkStart w:id="747" w:name="_Toc7971"/>
      <w:r>
        <w:rPr>
          <w:rFonts w:hint="eastAsia" w:ascii="微软雅黑" w:hAnsi="微软雅黑" w:eastAsia="微软雅黑" w:cs="微软雅黑"/>
        </w:rPr>
        <w:t>评审方法和标准</w:t>
      </w:r>
      <w:bookmarkEnd w:id="733"/>
      <w:bookmarkEnd w:id="734"/>
      <w:bookmarkEnd w:id="735"/>
      <w:bookmarkEnd w:id="742"/>
      <w:bookmarkEnd w:id="743"/>
      <w:bookmarkEnd w:id="744"/>
      <w:bookmarkEnd w:id="745"/>
      <w:bookmarkEnd w:id="746"/>
      <w:bookmarkEnd w:id="747"/>
    </w:p>
    <w:p w14:paraId="1D7AB9F7">
      <w:pPr>
        <w:pStyle w:val="11"/>
        <w:keepNext w:val="0"/>
        <w:keepLines w:val="0"/>
        <w:pageBreakBefore w:val="0"/>
        <w:kinsoku/>
        <w:wordWrap/>
        <w:overflowPunct/>
        <w:topLinePunct w:val="0"/>
        <w:bidi w:val="0"/>
        <w:snapToGrid w:val="0"/>
        <w:spacing w:before="0" w:beforeAutospacing="0" w:after="0" w:afterAutospacing="0" w:line="520" w:lineRule="exact"/>
        <w:ind w:firstLine="540" w:firstLineChars="225"/>
        <w:jc w:val="both"/>
        <w:textAlignment w:val="baseline"/>
        <w:rPr>
          <w:rFonts w:hint="eastAsia" w:ascii="微软雅黑" w:hAnsi="微软雅黑" w:eastAsia="微软雅黑" w:cs="微软雅黑"/>
          <w:b w:val="0"/>
          <w:i w:val="0"/>
          <w:caps w:val="0"/>
          <w:color w:val="auto"/>
          <w:spacing w:val="0"/>
          <w:w w:val="100"/>
          <w:sz w:val="24"/>
          <w:szCs w:val="24"/>
          <w:highlight w:val="none"/>
        </w:rPr>
      </w:pPr>
      <w:bookmarkStart w:id="748" w:name="_Toc11629"/>
      <w:bookmarkStart w:id="749" w:name="_Toc9048"/>
      <w:bookmarkStart w:id="750" w:name="_Toc4729"/>
      <w:bookmarkStart w:id="751" w:name="_Toc19292"/>
      <w:bookmarkStart w:id="752" w:name="_Toc15607"/>
      <w:bookmarkStart w:id="753" w:name="_Toc5480"/>
      <w:bookmarkStart w:id="754" w:name="_Toc3722"/>
      <w:bookmarkStart w:id="755" w:name="_Toc18284"/>
      <w:bookmarkStart w:id="756" w:name="_Toc5997"/>
      <w:bookmarkStart w:id="757" w:name="_Toc25450"/>
      <w:r>
        <w:rPr>
          <w:rFonts w:hint="eastAsia" w:ascii="微软雅黑" w:hAnsi="微软雅黑" w:eastAsia="微软雅黑" w:cs="微软雅黑"/>
          <w:b w:val="0"/>
          <w:i w:val="0"/>
          <w:caps w:val="0"/>
          <w:color w:val="auto"/>
          <w:spacing w:val="0"/>
          <w:w w:val="100"/>
          <w:sz w:val="24"/>
          <w:szCs w:val="24"/>
          <w:highlight w:val="none"/>
        </w:rPr>
        <w:t>本项目将按照磋商文件第一章</w:t>
      </w:r>
      <w:r>
        <w:rPr>
          <w:rFonts w:hint="eastAsia" w:ascii="微软雅黑" w:hAnsi="微软雅黑" w:eastAsia="微软雅黑" w:cs="微软雅黑"/>
          <w:b w:val="0"/>
          <w:i w:val="0"/>
          <w:caps w:val="0"/>
          <w:color w:val="auto"/>
          <w:spacing w:val="0"/>
          <w:w w:val="100"/>
          <w:sz w:val="24"/>
          <w:szCs w:val="24"/>
          <w:highlight w:val="none"/>
          <w:lang w:eastAsia="zh-CN"/>
        </w:rPr>
        <w:t>供应商</w:t>
      </w:r>
      <w:r>
        <w:rPr>
          <w:rFonts w:hint="eastAsia" w:ascii="微软雅黑" w:hAnsi="微软雅黑" w:eastAsia="微软雅黑" w:cs="微软雅黑"/>
          <w:b w:val="0"/>
          <w:i w:val="0"/>
          <w:caps w:val="0"/>
          <w:color w:val="auto"/>
          <w:spacing w:val="0"/>
          <w:w w:val="100"/>
          <w:sz w:val="24"/>
          <w:szCs w:val="24"/>
          <w:highlight w:val="none"/>
        </w:rPr>
        <w:t>须知中“五 磋商开启及评审”、“六 确定成交”及本章的规定评标。</w:t>
      </w:r>
    </w:p>
    <w:p w14:paraId="76CB6C0F">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1、落实政府采购政策</w:t>
      </w:r>
    </w:p>
    <w:p w14:paraId="6C8D2FB1">
      <w:pPr>
        <w:keepNext w:val="0"/>
        <w:keepLines w:val="0"/>
        <w:pageBreakBefore w:val="0"/>
        <w:widowControl/>
        <w:kinsoku/>
        <w:wordWrap/>
        <w:overflowPunct/>
        <w:topLinePunct w:val="0"/>
        <w:autoSpaceDE/>
        <w:autoSpaceDN/>
        <w:bidi w:val="0"/>
        <w:adjustRightInd/>
        <w:spacing w:line="520" w:lineRule="exact"/>
        <w:ind w:firstLine="480" w:firstLineChars="200"/>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①根据《政府采购促进中小企业发展管理办法》（财库﹝2020﹞46 号）</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关于落实好政府采购支持中小企业发展的通知</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新财购 〔2022〕22号</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color w:val="auto"/>
          <w:kern w:val="2"/>
          <w:sz w:val="24"/>
          <w:szCs w:val="24"/>
          <w:highlight w:val="none"/>
          <w:lang w:val="en-US" w:eastAsia="zh-CN" w:bidi="ar-SA"/>
        </w:rPr>
        <w:t>、《财政部司法部关于政府采购支持监狱企业发展有关问题的通知》（财库〔2014〕68号）和《三部门联合发布关于促进残疾人就业政府采购政策的通知》（财库〔2017〕141号）的规定，其中小型、微型及小微企业在响应文件中提交了《中小企业声明函》、《残疾人福利性单位声明函》或省级以上监狱管理局、戒毒管理局（含新疆生产建设兵团）出具的属于监狱企业的证明文件的供应商，其报价扣除</w:t>
      </w:r>
      <w:r>
        <w:rPr>
          <w:rFonts w:hint="eastAsia" w:ascii="微软雅黑" w:hAnsi="微软雅黑" w:eastAsia="微软雅黑" w:cs="微软雅黑"/>
          <w:b/>
          <w:bCs/>
          <w:color w:val="auto"/>
          <w:kern w:val="2"/>
          <w:sz w:val="24"/>
          <w:szCs w:val="24"/>
          <w:highlight w:val="none"/>
          <w:u w:val="single"/>
          <w:lang w:val="en-US" w:eastAsia="zh-CN" w:bidi="ar-SA"/>
        </w:rPr>
        <w:t xml:space="preserve">  /  </w:t>
      </w:r>
      <w:r>
        <w:rPr>
          <w:rFonts w:hint="eastAsia" w:ascii="微软雅黑" w:hAnsi="微软雅黑" w:eastAsia="微软雅黑" w:cs="微软雅黑"/>
          <w:b/>
          <w:bCs/>
          <w:color w:val="auto"/>
          <w:kern w:val="2"/>
          <w:sz w:val="24"/>
          <w:szCs w:val="24"/>
          <w:highlight w:val="none"/>
          <w:lang w:val="en-US" w:eastAsia="zh-CN" w:bidi="ar-SA"/>
        </w:rPr>
        <w:t>%后参与评审。对于同时属于小型、微型及小微企业、监狱企业或残疾人福利性单位的，不重复进行报价扣除。</w:t>
      </w:r>
      <w:r>
        <w:rPr>
          <w:rFonts w:hint="eastAsia" w:ascii="微软雅黑" w:hAnsi="微软雅黑" w:eastAsia="微软雅黑" w:cs="微软雅黑"/>
          <w:b/>
          <w:bCs/>
          <w:i w:val="0"/>
          <w:caps w:val="0"/>
          <w:color w:val="auto"/>
          <w:spacing w:val="0"/>
          <w:w w:val="100"/>
          <w:sz w:val="24"/>
          <w:szCs w:val="24"/>
          <w:highlight w:val="none"/>
        </w:rPr>
        <w:t>（本项目不适用）</w:t>
      </w:r>
    </w:p>
    <w:p w14:paraId="4B235BDD">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②</w:t>
      </w:r>
      <w:r>
        <w:rPr>
          <w:rFonts w:hint="eastAsia" w:ascii="微软雅黑" w:hAnsi="微软雅黑" w:eastAsia="微软雅黑" w:cs="微软雅黑"/>
          <w:b/>
          <w:bCs/>
          <w:i w:val="0"/>
          <w:caps w:val="0"/>
          <w:color w:val="auto"/>
          <w:spacing w:val="0"/>
          <w:w w:val="100"/>
          <w:sz w:val="24"/>
          <w:szCs w:val="24"/>
          <w:highlight w:val="none"/>
        </w:rPr>
        <w:t>联合协议中约定，小型、微型企业和监狱企业的协议合同金额占到联合体协议合同总金额40%以上的，可给予联合体4%~6%的价格扣除。（本项目不适用）</w:t>
      </w:r>
    </w:p>
    <w:p w14:paraId="5DC2C42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rPr>
        <w:t>联合体各方均为小型、微型企业和监狱企业的，联合体视同为小型、微型企业和监狱企业。</w:t>
      </w:r>
    </w:p>
    <w:p w14:paraId="667DE746">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③供应商</w:t>
      </w:r>
      <w:r>
        <w:rPr>
          <w:rFonts w:hint="eastAsia" w:ascii="微软雅黑" w:hAnsi="微软雅黑" w:eastAsia="微软雅黑" w:cs="微软雅黑"/>
          <w:b/>
          <w:bCs/>
          <w:i w:val="0"/>
          <w:caps w:val="0"/>
          <w:color w:val="auto"/>
          <w:spacing w:val="0"/>
          <w:w w:val="100"/>
          <w:sz w:val="24"/>
          <w:szCs w:val="24"/>
          <w:highlight w:val="none"/>
        </w:rPr>
        <w:t>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14:paraId="4AC9B7F6">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④</w:t>
      </w:r>
      <w:r>
        <w:rPr>
          <w:rFonts w:hint="eastAsia" w:ascii="微软雅黑" w:hAnsi="微软雅黑" w:eastAsia="微软雅黑" w:cs="微软雅黑"/>
          <w:b/>
          <w:bCs/>
          <w:i w:val="0"/>
          <w:caps w:val="0"/>
          <w:color w:val="auto"/>
          <w:spacing w:val="0"/>
          <w:w w:val="100"/>
          <w:sz w:val="24"/>
          <w:szCs w:val="24"/>
          <w:highlight w:val="none"/>
        </w:rPr>
        <w:t>如</w:t>
      </w:r>
      <w:r>
        <w:rPr>
          <w:rFonts w:hint="eastAsia" w:ascii="微软雅黑" w:hAnsi="微软雅黑" w:eastAsia="微软雅黑" w:cs="微软雅黑"/>
          <w:b/>
          <w:bCs/>
          <w:i w:val="0"/>
          <w:caps w:val="0"/>
          <w:color w:val="auto"/>
          <w:spacing w:val="0"/>
          <w:w w:val="100"/>
          <w:sz w:val="24"/>
          <w:szCs w:val="24"/>
          <w:highlight w:val="none"/>
          <w:lang w:eastAsia="zh-CN"/>
        </w:rPr>
        <w:t>采购人</w:t>
      </w:r>
      <w:r>
        <w:rPr>
          <w:rFonts w:hint="eastAsia" w:ascii="微软雅黑" w:hAnsi="微软雅黑" w:eastAsia="微软雅黑" w:cs="微软雅黑"/>
          <w:b/>
          <w:bCs/>
          <w:i w:val="0"/>
          <w:caps w:val="0"/>
          <w:color w:val="auto"/>
          <w:spacing w:val="0"/>
          <w:w w:val="100"/>
          <w:sz w:val="24"/>
          <w:szCs w:val="24"/>
          <w:highlight w:val="none"/>
        </w:rPr>
        <w:t>所采购产品为政府强制采购的节能产品，</w:t>
      </w:r>
      <w:r>
        <w:rPr>
          <w:rFonts w:hint="eastAsia" w:ascii="微软雅黑" w:hAnsi="微软雅黑" w:eastAsia="微软雅黑" w:cs="微软雅黑"/>
          <w:b/>
          <w:bCs/>
          <w:i w:val="0"/>
          <w:caps w:val="0"/>
          <w:color w:val="auto"/>
          <w:spacing w:val="0"/>
          <w:w w:val="100"/>
          <w:sz w:val="24"/>
          <w:szCs w:val="24"/>
          <w:highlight w:val="none"/>
          <w:lang w:eastAsia="zh-CN"/>
        </w:rPr>
        <w:t>供应商</w:t>
      </w:r>
      <w:r>
        <w:rPr>
          <w:rFonts w:hint="eastAsia" w:ascii="微软雅黑" w:hAnsi="微软雅黑" w:eastAsia="微软雅黑" w:cs="微软雅黑"/>
          <w:b/>
          <w:bCs/>
          <w:i w:val="0"/>
          <w:caps w:val="0"/>
          <w:color w:val="auto"/>
          <w:spacing w:val="0"/>
          <w:w w:val="100"/>
          <w:sz w:val="24"/>
          <w:szCs w:val="24"/>
          <w:highlight w:val="none"/>
        </w:rPr>
        <w:t>所投产品的品牌及型号必须为清单中有效期内产品并提供证明文件，否则其投标将被认定为投标无效。</w:t>
      </w:r>
    </w:p>
    <w:p w14:paraId="248A7B4B">
      <w:pPr>
        <w:pageBreakBefore w:val="0"/>
        <w:kinsoku/>
        <w:wordWrap/>
        <w:overflowPunct/>
        <w:topLinePunct w:val="0"/>
        <w:bidi w:val="0"/>
        <w:spacing w:line="52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bCs/>
          <w:i w:val="0"/>
          <w:caps w:val="0"/>
          <w:color w:val="auto"/>
          <w:spacing w:val="0"/>
          <w:w w:val="100"/>
          <w:sz w:val="24"/>
          <w:szCs w:val="24"/>
          <w:highlight w:val="none"/>
          <w:lang w:eastAsia="zh-CN"/>
        </w:rPr>
        <w:t>⑤</w:t>
      </w:r>
      <w:r>
        <w:rPr>
          <w:rFonts w:hint="eastAsia" w:ascii="微软雅黑" w:hAnsi="微软雅黑" w:eastAsia="微软雅黑" w:cs="微软雅黑"/>
          <w:b/>
          <w:bCs/>
          <w:i w:val="0"/>
          <w:caps w:val="0"/>
          <w:color w:val="auto"/>
          <w:spacing w:val="0"/>
          <w:w w:val="100"/>
          <w:sz w:val="24"/>
          <w:szCs w:val="24"/>
          <w:highlight w:val="none"/>
        </w:rPr>
        <w:t>对创新产品或创新性企业的优惠措施为：</w:t>
      </w:r>
      <w:r>
        <w:rPr>
          <w:rFonts w:hint="eastAsia" w:ascii="微软雅黑" w:hAnsi="微软雅黑" w:eastAsia="微软雅黑" w:cs="微软雅黑"/>
          <w:b/>
          <w:bCs/>
          <w:i w:val="0"/>
          <w:caps w:val="0"/>
          <w:color w:val="auto"/>
          <w:spacing w:val="0"/>
          <w:w w:val="100"/>
          <w:sz w:val="24"/>
          <w:szCs w:val="24"/>
          <w:highlight w:val="none"/>
          <w:u w:val="single"/>
        </w:rPr>
        <w:t xml:space="preserve">    / </w:t>
      </w:r>
      <w:r>
        <w:rPr>
          <w:rFonts w:hint="eastAsia" w:ascii="微软雅黑" w:hAnsi="微软雅黑" w:eastAsia="微软雅黑" w:cs="微软雅黑"/>
          <w:b w:val="0"/>
          <w:color w:val="auto"/>
          <w:kern w:val="2"/>
          <w:sz w:val="24"/>
          <w:szCs w:val="24"/>
          <w:u w:val="single"/>
          <w:lang w:val="en-US" w:eastAsia="zh-CN" w:bidi="ar-SA"/>
        </w:rPr>
        <w:t xml:space="preserve">    </w:t>
      </w:r>
    </w:p>
    <w:p w14:paraId="58957E51">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2、 开标</w:t>
      </w:r>
    </w:p>
    <w:p w14:paraId="36DC1689">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bCs/>
          <w:color w:val="auto"/>
          <w:sz w:val="24"/>
          <w:szCs w:val="24"/>
          <w:highlight w:val="none"/>
          <w:lang w:val="en-US" w:eastAsia="zh-CN"/>
        </w:rPr>
      </w:pPr>
      <w:bookmarkStart w:id="758" w:name="_Toc73975822"/>
      <w:r>
        <w:rPr>
          <w:rFonts w:hint="eastAsia" w:ascii="微软雅黑" w:hAnsi="微软雅黑" w:eastAsia="微软雅黑" w:cs="微软雅黑"/>
          <w:b/>
          <w:bCs/>
          <w:color w:val="auto"/>
          <w:sz w:val="24"/>
          <w:szCs w:val="24"/>
          <w:highlight w:val="none"/>
          <w:lang w:val="en-US" w:eastAsia="zh-CN"/>
        </w:rPr>
        <w:t>2.1开标邀请</w:t>
      </w:r>
      <w:bookmarkEnd w:id="758"/>
    </w:p>
    <w:p w14:paraId="37B6C56B">
      <w:pPr>
        <w:pStyle w:val="17"/>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1</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开标准备：本项目开标的准备工作由采购组织机构负责落实，开标过程由采购组织机构负责记录；</w:t>
      </w:r>
    </w:p>
    <w:p w14:paraId="27C33056">
      <w:pPr>
        <w:pStyle w:val="17"/>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2）</w:t>
      </w:r>
      <w:r>
        <w:rPr>
          <w:rFonts w:hint="eastAsia" w:ascii="微软雅黑" w:hAnsi="微软雅黑" w:eastAsia="微软雅黑" w:cs="微软雅黑"/>
          <w:b w:val="0"/>
          <w:bCs/>
          <w:color w:val="auto"/>
          <w:sz w:val="24"/>
          <w:szCs w:val="24"/>
          <w:highlight w:val="none"/>
        </w:rPr>
        <w:t>开标主持：本项目开标由</w:t>
      </w:r>
      <w:r>
        <w:rPr>
          <w:rFonts w:hint="eastAsia" w:ascii="微软雅黑" w:hAnsi="微软雅黑" w:eastAsia="微软雅黑" w:cs="微软雅黑"/>
          <w:b w:val="0"/>
          <w:bCs/>
          <w:color w:val="auto"/>
          <w:sz w:val="24"/>
          <w:szCs w:val="24"/>
          <w:highlight w:val="none"/>
          <w:lang w:eastAsia="zh-CN"/>
        </w:rPr>
        <w:t>采购人</w:t>
      </w:r>
      <w:r>
        <w:rPr>
          <w:rFonts w:hint="eastAsia" w:ascii="微软雅黑" w:hAnsi="微软雅黑" w:eastAsia="微软雅黑" w:cs="微软雅黑"/>
          <w:b w:val="0"/>
          <w:bCs/>
          <w:color w:val="auto"/>
          <w:sz w:val="24"/>
          <w:szCs w:val="24"/>
          <w:highlight w:val="none"/>
        </w:rPr>
        <w:t>或者</w:t>
      </w:r>
      <w:r>
        <w:rPr>
          <w:rFonts w:hint="eastAsia" w:ascii="微软雅黑" w:hAnsi="微软雅黑" w:eastAsia="微软雅黑" w:cs="微软雅黑"/>
          <w:b w:val="0"/>
          <w:bCs/>
          <w:color w:val="auto"/>
          <w:sz w:val="24"/>
          <w:szCs w:val="24"/>
          <w:highlight w:val="none"/>
          <w:lang w:eastAsia="zh-CN"/>
        </w:rPr>
        <w:t>代理机构</w:t>
      </w:r>
      <w:r>
        <w:rPr>
          <w:rFonts w:hint="eastAsia" w:ascii="微软雅黑" w:hAnsi="微软雅黑" w:eastAsia="微软雅黑" w:cs="微软雅黑"/>
          <w:b w:val="0"/>
          <w:bCs/>
          <w:color w:val="auto"/>
          <w:sz w:val="24"/>
          <w:szCs w:val="24"/>
          <w:highlight w:val="none"/>
        </w:rPr>
        <w:t>主持；</w:t>
      </w:r>
    </w:p>
    <w:p w14:paraId="7D0C1626">
      <w:pPr>
        <w:pStyle w:val="17"/>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lang w:val="en-US" w:eastAsia="zh-CN"/>
        </w:rPr>
        <w:t>3</w:t>
      </w: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rPr>
        <w:t>开标邀请：本项目采用电子交易，采购组织机构将按照</w:t>
      </w:r>
      <w:r>
        <w:rPr>
          <w:rFonts w:hint="eastAsia" w:ascii="微软雅黑" w:hAnsi="微软雅黑" w:eastAsia="微软雅黑" w:cs="微软雅黑"/>
          <w:b w:val="0"/>
          <w:color w:val="auto"/>
          <w:sz w:val="24"/>
          <w:szCs w:val="24"/>
          <w:highlight w:val="none"/>
          <w:lang w:eastAsia="zh-CN"/>
        </w:rPr>
        <w:t>竞争性磋商文件</w:t>
      </w:r>
      <w:r>
        <w:rPr>
          <w:rFonts w:hint="eastAsia" w:ascii="微软雅黑" w:hAnsi="微软雅黑" w:eastAsia="微软雅黑" w:cs="微软雅黑"/>
          <w:b w:val="0"/>
          <w:color w:val="auto"/>
          <w:sz w:val="24"/>
          <w:szCs w:val="24"/>
          <w:highlight w:val="none"/>
        </w:rPr>
        <w:t>规定的时间通过“</w:t>
      </w:r>
      <w:r>
        <w:rPr>
          <w:rFonts w:hint="eastAsia" w:ascii="微软雅黑" w:hAnsi="微软雅黑" w:eastAsia="微软雅黑" w:cs="微软雅黑"/>
          <w:b w:val="0"/>
          <w:color w:val="auto"/>
          <w:sz w:val="24"/>
          <w:szCs w:val="24"/>
          <w:highlight w:val="none"/>
          <w:lang w:eastAsia="zh-CN"/>
        </w:rPr>
        <w:t>新疆</w:t>
      </w:r>
      <w:r>
        <w:rPr>
          <w:rFonts w:hint="eastAsia" w:ascii="微软雅黑" w:hAnsi="微软雅黑" w:eastAsia="微软雅黑" w:cs="微软雅黑"/>
          <w:b w:val="0"/>
          <w:color w:val="auto"/>
          <w:sz w:val="24"/>
          <w:szCs w:val="24"/>
          <w:highlight w:val="none"/>
        </w:rPr>
        <w:t>政府采购云平台，网址：</w:t>
      </w:r>
      <w:r>
        <w:rPr>
          <w:rFonts w:hint="eastAsia" w:ascii="微软雅黑" w:hAnsi="微软雅黑" w:eastAsia="微软雅黑" w:cs="微软雅黑"/>
          <w:b w:val="0"/>
          <w:color w:val="auto"/>
          <w:sz w:val="24"/>
          <w:szCs w:val="24"/>
          <w:highlight w:val="none"/>
        </w:rPr>
        <w:fldChar w:fldCharType="begin"/>
      </w:r>
      <w:r>
        <w:rPr>
          <w:rFonts w:hint="eastAsia" w:ascii="微软雅黑" w:hAnsi="微软雅黑" w:eastAsia="微软雅黑" w:cs="微软雅黑"/>
          <w:b w:val="0"/>
          <w:color w:val="auto"/>
          <w:sz w:val="24"/>
          <w:szCs w:val="24"/>
          <w:highlight w:val="none"/>
        </w:rPr>
        <w:instrText xml:space="preserve">HYPERLINK "http://www.zcygov.cn"</w:instrText>
      </w:r>
      <w:r>
        <w:rPr>
          <w:rFonts w:hint="eastAsia" w:ascii="微软雅黑" w:hAnsi="微软雅黑" w:eastAsia="微软雅黑" w:cs="微软雅黑"/>
          <w:b w:val="0"/>
          <w:color w:val="auto"/>
          <w:sz w:val="24"/>
          <w:szCs w:val="24"/>
          <w:highlight w:val="none"/>
        </w:rPr>
        <w:fldChar w:fldCharType="separate"/>
      </w:r>
      <w:r>
        <w:rPr>
          <w:rStyle w:val="49"/>
          <w:rFonts w:hint="eastAsia" w:ascii="微软雅黑" w:hAnsi="微软雅黑" w:eastAsia="微软雅黑" w:cs="微软雅黑"/>
          <w:b w:val="0"/>
          <w:color w:val="auto"/>
          <w:sz w:val="24"/>
          <w:szCs w:val="24"/>
          <w:highlight w:val="none"/>
          <w:u w:val="none"/>
        </w:rPr>
        <w:t>www.zcygov.cn</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b w:val="0"/>
          <w:color w:val="auto"/>
          <w:sz w:val="24"/>
          <w:szCs w:val="24"/>
          <w:highlight w:val="none"/>
        </w:rPr>
        <w:t>”组织开标、开启投标响应文件，所有</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均应当准时在线参加。</w:t>
      </w:r>
    </w:p>
    <w:p w14:paraId="39177EE7">
      <w:pPr>
        <w:pStyle w:val="17"/>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lang w:val="en-US" w:eastAsia="zh-CN"/>
        </w:rPr>
        <w:t>4</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对开标过程和开标记录有疑义，以及认为</w:t>
      </w:r>
      <w:r>
        <w:rPr>
          <w:rFonts w:hint="eastAsia" w:ascii="微软雅黑" w:hAnsi="微软雅黑" w:eastAsia="微软雅黑" w:cs="微软雅黑"/>
          <w:b w:val="0"/>
          <w:color w:val="auto"/>
          <w:sz w:val="24"/>
          <w:szCs w:val="24"/>
          <w:highlight w:val="none"/>
          <w:lang w:eastAsia="zh-CN"/>
        </w:rPr>
        <w:t>采购人</w:t>
      </w:r>
      <w:r>
        <w:rPr>
          <w:rFonts w:hint="eastAsia" w:ascii="微软雅黑" w:hAnsi="微软雅黑" w:eastAsia="微软雅黑" w:cs="微软雅黑"/>
          <w:b w:val="0"/>
          <w:color w:val="auto"/>
          <w:sz w:val="24"/>
          <w:szCs w:val="24"/>
          <w:highlight w:val="none"/>
        </w:rPr>
        <w:t>、</w:t>
      </w:r>
      <w:r>
        <w:rPr>
          <w:rFonts w:hint="eastAsia" w:ascii="微软雅黑" w:hAnsi="微软雅黑" w:eastAsia="微软雅黑" w:cs="微软雅黑"/>
          <w:b w:val="0"/>
          <w:color w:val="auto"/>
          <w:sz w:val="24"/>
          <w:szCs w:val="24"/>
          <w:highlight w:val="none"/>
          <w:lang w:eastAsia="zh-CN"/>
        </w:rPr>
        <w:t>代理机构</w:t>
      </w:r>
      <w:r>
        <w:rPr>
          <w:rFonts w:hint="eastAsia" w:ascii="微软雅黑" w:hAnsi="微软雅黑" w:eastAsia="微软雅黑" w:cs="微软雅黑"/>
          <w:b w:val="0"/>
          <w:color w:val="auto"/>
          <w:sz w:val="24"/>
          <w:szCs w:val="24"/>
          <w:highlight w:val="none"/>
        </w:rPr>
        <w:t>相关工作人员有需要回避的情形的，应当场提出询问或回避申请。</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未参加开标的视同认可开标结果，事后不得对采购相关人员、开标过程和开标结果提出异议，同时</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因未在线参加开标而导致</w:t>
      </w:r>
      <w:r>
        <w:rPr>
          <w:rFonts w:hint="eastAsia" w:ascii="微软雅黑" w:hAnsi="微软雅黑" w:eastAsia="微软雅黑" w:cs="微软雅黑"/>
          <w:b w:val="0"/>
          <w:color w:val="auto"/>
          <w:sz w:val="24"/>
          <w:szCs w:val="24"/>
          <w:highlight w:val="none"/>
          <w:lang w:eastAsia="zh-CN"/>
        </w:rPr>
        <w:t>响应文件</w:t>
      </w:r>
      <w:r>
        <w:rPr>
          <w:rFonts w:hint="eastAsia" w:ascii="微软雅黑" w:hAnsi="微软雅黑" w:eastAsia="微软雅黑" w:cs="微软雅黑"/>
          <w:b w:val="0"/>
          <w:color w:val="auto"/>
          <w:sz w:val="24"/>
          <w:szCs w:val="24"/>
          <w:highlight w:val="none"/>
        </w:rPr>
        <w:t>无法按时解密等一切后果由</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自行承担。</w:t>
      </w:r>
    </w:p>
    <w:p w14:paraId="2D682992">
      <w:pPr>
        <w:keepNext w:val="0"/>
        <w:keepLines w:val="0"/>
        <w:pageBreakBefore w:val="0"/>
        <w:shd w:val="clear" w:color="auto" w:fill="auto"/>
        <w:kinsoku/>
        <w:wordWrap/>
        <w:overflowPunct/>
        <w:topLinePunct w:val="0"/>
        <w:bidi w:val="0"/>
        <w:snapToGrid w:val="0"/>
        <w:spacing w:line="520" w:lineRule="exact"/>
        <w:ind w:firstLine="480" w:firstLineChars="200"/>
        <w:outlineLvl w:val="9"/>
        <w:rPr>
          <w:rFonts w:hint="eastAsia" w:ascii="微软雅黑" w:hAnsi="微软雅黑" w:eastAsia="微软雅黑" w:cs="微软雅黑"/>
          <w:b/>
          <w:color w:val="auto"/>
          <w:sz w:val="24"/>
          <w:szCs w:val="24"/>
          <w:highlight w:val="none"/>
        </w:rPr>
      </w:pPr>
      <w:bookmarkStart w:id="759" w:name="_Toc27602"/>
      <w:bookmarkStart w:id="760" w:name="_Toc21384"/>
      <w:bookmarkStart w:id="761" w:name="_Toc32193"/>
      <w:bookmarkStart w:id="762" w:name="_Toc19065"/>
      <w:bookmarkStart w:id="763" w:name="_Toc22653"/>
      <w:bookmarkStart w:id="764" w:name="_Toc73975823"/>
      <w:r>
        <w:rPr>
          <w:rFonts w:hint="eastAsia" w:ascii="微软雅黑" w:hAnsi="微软雅黑" w:eastAsia="微软雅黑" w:cs="微软雅黑"/>
          <w:b/>
          <w:color w:val="auto"/>
          <w:sz w:val="24"/>
          <w:szCs w:val="24"/>
          <w:highlight w:val="none"/>
          <w:lang w:val="en-US" w:eastAsia="zh-CN"/>
        </w:rPr>
        <w:t>2.2</w:t>
      </w:r>
      <w:r>
        <w:rPr>
          <w:rFonts w:hint="eastAsia" w:ascii="微软雅黑" w:hAnsi="微软雅黑" w:eastAsia="微软雅黑" w:cs="微软雅黑"/>
          <w:b/>
          <w:bCs/>
          <w:color w:val="auto"/>
          <w:sz w:val="24"/>
          <w:szCs w:val="24"/>
          <w:highlight w:val="none"/>
        </w:rPr>
        <w:t>开标程序（</w:t>
      </w:r>
      <w:r>
        <w:rPr>
          <w:rFonts w:hint="eastAsia" w:ascii="微软雅黑" w:hAnsi="微软雅黑" w:eastAsia="微软雅黑" w:cs="微软雅黑"/>
          <w:b/>
          <w:bCs/>
          <w:color w:val="auto"/>
          <w:sz w:val="24"/>
          <w:szCs w:val="24"/>
          <w:highlight w:val="none"/>
          <w:lang w:val="en-US" w:eastAsia="zh-CN"/>
        </w:rPr>
        <w:t>先资格性</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后符合性、最终报价、再商务</w:t>
      </w:r>
      <w:r>
        <w:rPr>
          <w:rFonts w:hint="eastAsia" w:ascii="微软雅黑" w:hAnsi="微软雅黑" w:eastAsia="微软雅黑" w:cs="微软雅黑"/>
          <w:b/>
          <w:bCs/>
          <w:color w:val="auto"/>
          <w:sz w:val="24"/>
          <w:szCs w:val="24"/>
          <w:highlight w:val="none"/>
        </w:rPr>
        <w:t>技术）</w:t>
      </w:r>
      <w:bookmarkEnd w:id="759"/>
      <w:bookmarkEnd w:id="760"/>
      <w:bookmarkEnd w:id="761"/>
      <w:bookmarkEnd w:id="762"/>
      <w:bookmarkEnd w:id="763"/>
      <w:bookmarkEnd w:id="764"/>
    </w:p>
    <w:p w14:paraId="573FFC92">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开标时间到后，主持人宣布开标会议开始。</w:t>
      </w:r>
    </w:p>
    <w:p w14:paraId="71C8AF34">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w:t>
      </w:r>
      <w:r>
        <w:rPr>
          <w:rFonts w:hint="eastAsia" w:ascii="微软雅黑" w:hAnsi="微软雅黑" w:eastAsia="微软雅黑" w:cs="微软雅黑"/>
          <w:b/>
          <w:color w:val="auto"/>
          <w:kern w:val="0"/>
          <w:sz w:val="24"/>
          <w:szCs w:val="24"/>
          <w:highlight w:val="none"/>
        </w:rPr>
        <w:t>解密规定见《</w:t>
      </w:r>
      <w:r>
        <w:rPr>
          <w:rFonts w:hint="eastAsia" w:ascii="微软雅黑" w:hAnsi="微软雅黑" w:eastAsia="微软雅黑" w:cs="微软雅黑"/>
          <w:b/>
          <w:color w:val="auto"/>
          <w:kern w:val="0"/>
          <w:sz w:val="24"/>
          <w:szCs w:val="24"/>
          <w:highlight w:val="none"/>
          <w:lang w:eastAsia="zh-CN"/>
        </w:rPr>
        <w:t>供应商</w:t>
      </w:r>
      <w:r>
        <w:rPr>
          <w:rFonts w:hint="eastAsia" w:ascii="微软雅黑" w:hAnsi="微软雅黑" w:eastAsia="微软雅黑" w:cs="微软雅黑"/>
          <w:b/>
          <w:color w:val="auto"/>
          <w:kern w:val="0"/>
          <w:sz w:val="24"/>
          <w:szCs w:val="24"/>
          <w:highlight w:val="none"/>
        </w:rPr>
        <w:t>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7175A13A">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解密异常情况处理（</w:t>
      </w:r>
      <w:r>
        <w:rPr>
          <w:rFonts w:hint="eastAsia" w:ascii="微软雅黑" w:hAnsi="微软雅黑" w:eastAsia="微软雅黑" w:cs="微软雅黑"/>
          <w:b/>
          <w:color w:val="auto"/>
          <w:kern w:val="0"/>
          <w:sz w:val="24"/>
          <w:szCs w:val="24"/>
          <w:highlight w:val="none"/>
        </w:rPr>
        <w:t>处理办法见《</w:t>
      </w:r>
      <w:r>
        <w:rPr>
          <w:rFonts w:hint="eastAsia" w:ascii="微软雅黑" w:hAnsi="微软雅黑" w:eastAsia="微软雅黑" w:cs="微软雅黑"/>
          <w:b/>
          <w:color w:val="auto"/>
          <w:kern w:val="0"/>
          <w:sz w:val="24"/>
          <w:szCs w:val="24"/>
          <w:highlight w:val="none"/>
          <w:lang w:eastAsia="zh-CN"/>
        </w:rPr>
        <w:t>供应商</w:t>
      </w:r>
      <w:r>
        <w:rPr>
          <w:rFonts w:hint="eastAsia" w:ascii="微软雅黑" w:hAnsi="微软雅黑" w:eastAsia="微软雅黑" w:cs="微软雅黑"/>
          <w:b/>
          <w:color w:val="auto"/>
          <w:kern w:val="0"/>
          <w:sz w:val="24"/>
          <w:szCs w:val="24"/>
          <w:highlight w:val="none"/>
        </w:rPr>
        <w:t>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2854DC7D">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4</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公布</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解密情况（</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成功解密的</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名单等信息），组织签署</w:t>
      </w:r>
      <w:r>
        <w:rPr>
          <w:rFonts w:hint="eastAsia" w:ascii="微软雅黑" w:hAnsi="微软雅黑" w:eastAsia="微软雅黑" w:cs="微软雅黑"/>
          <w:b/>
          <w:bCs/>
          <w:color w:val="auto"/>
          <w:kern w:val="0"/>
          <w:sz w:val="24"/>
          <w:szCs w:val="24"/>
          <w:highlight w:val="none"/>
        </w:rPr>
        <w:t>《政府采购活动现场确认声明书》（疫情防控期间，将通过电子邮件形式组织签署），</w:t>
      </w:r>
      <w:r>
        <w:rPr>
          <w:rFonts w:hint="eastAsia" w:ascii="微软雅黑" w:hAnsi="微软雅黑" w:eastAsia="微软雅黑" w:cs="微软雅黑"/>
          <w:b/>
          <w:bCs/>
          <w:color w:val="auto"/>
          <w:kern w:val="0"/>
          <w:sz w:val="24"/>
          <w:szCs w:val="24"/>
          <w:highlight w:val="none"/>
          <w:lang w:eastAsia="zh-CN"/>
        </w:rPr>
        <w:t>供应商</w:t>
      </w:r>
      <w:r>
        <w:rPr>
          <w:rFonts w:hint="eastAsia" w:ascii="微软雅黑" w:hAnsi="微软雅黑" w:eastAsia="微软雅黑" w:cs="微软雅黑"/>
          <w:b/>
          <w:bCs/>
          <w:color w:val="auto"/>
          <w:kern w:val="0"/>
          <w:sz w:val="24"/>
          <w:szCs w:val="24"/>
          <w:highlight w:val="none"/>
        </w:rPr>
        <w:t>应在20分钟内通过邮件形式将经签署的《政府采购活动现场确认声明书》发送至</w:t>
      </w:r>
      <w:r>
        <w:rPr>
          <w:rFonts w:hint="eastAsia" w:ascii="微软雅黑" w:hAnsi="微软雅黑" w:eastAsia="微软雅黑" w:cs="微软雅黑"/>
          <w:b/>
          <w:bCs/>
          <w:color w:val="auto"/>
          <w:kern w:val="0"/>
          <w:sz w:val="24"/>
          <w:szCs w:val="24"/>
          <w:highlight w:val="none"/>
          <w:lang w:eastAsia="zh-CN"/>
        </w:rPr>
        <w:t>代理机构</w:t>
      </w:r>
      <w:r>
        <w:rPr>
          <w:rFonts w:hint="eastAsia" w:ascii="微软雅黑" w:hAnsi="微软雅黑" w:eastAsia="微软雅黑" w:cs="微软雅黑"/>
          <w:b/>
          <w:bCs/>
          <w:color w:val="auto"/>
          <w:kern w:val="0"/>
          <w:sz w:val="24"/>
          <w:szCs w:val="24"/>
          <w:highlight w:val="none"/>
        </w:rPr>
        <w:t>指定邮箱</w:t>
      </w:r>
      <w:r>
        <w:rPr>
          <w:rFonts w:hint="eastAsia" w:ascii="微软雅黑" w:hAnsi="微软雅黑" w:eastAsia="微软雅黑" w:cs="微软雅黑"/>
          <w:b/>
          <w:bCs/>
          <w:color w:val="auto"/>
          <w:kern w:val="0"/>
          <w:sz w:val="24"/>
          <w:szCs w:val="24"/>
          <w:highlight w:val="none"/>
          <w:lang w:val="en-US" w:eastAsia="zh-CN"/>
        </w:rPr>
        <w:t>1543019885@qq.com</w:t>
      </w:r>
      <w:r>
        <w:rPr>
          <w:rFonts w:hint="eastAsia" w:ascii="微软雅黑" w:hAnsi="微软雅黑" w:eastAsia="微软雅黑" w:cs="微软雅黑"/>
          <w:b/>
          <w:bCs/>
          <w:color w:val="auto"/>
          <w:kern w:val="0"/>
          <w:sz w:val="24"/>
          <w:szCs w:val="24"/>
          <w:highlight w:val="none"/>
        </w:rPr>
        <w:t xml:space="preserve"> ，逾期发送或未发送的视为无异议</w:t>
      </w:r>
      <w:r>
        <w:rPr>
          <w:rFonts w:hint="eastAsia" w:ascii="微软雅黑" w:hAnsi="微软雅黑" w:eastAsia="微软雅黑" w:cs="微软雅黑"/>
          <w:color w:val="auto"/>
          <w:kern w:val="0"/>
          <w:sz w:val="24"/>
          <w:szCs w:val="24"/>
          <w:highlight w:val="none"/>
        </w:rPr>
        <w:t>。</w:t>
      </w:r>
    </w:p>
    <w:p w14:paraId="4E264F94">
      <w:pPr>
        <w:keepNext w:val="0"/>
        <w:keepLines w:val="0"/>
        <w:pageBreakBefore w:val="0"/>
        <w:shd w:val="clear" w:color="auto" w:fill="auto"/>
        <w:kinsoku/>
        <w:wordWrap/>
        <w:overflowPunct/>
        <w:topLinePunct w:val="0"/>
        <w:bidi w:val="0"/>
        <w:snapToGrid w:val="0"/>
        <w:spacing w:line="52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开启标书信息（资格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文件、商务技术文件）。标书信息开启后，首先由</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或</w:t>
      </w:r>
      <w:r>
        <w:rPr>
          <w:rFonts w:hint="eastAsia" w:ascii="微软雅黑" w:hAnsi="微软雅黑" w:eastAsia="微软雅黑" w:cs="微软雅黑"/>
          <w:color w:val="auto"/>
          <w:kern w:val="0"/>
          <w:sz w:val="24"/>
          <w:szCs w:val="24"/>
          <w:highlight w:val="none"/>
          <w:lang w:eastAsia="zh-CN"/>
        </w:rPr>
        <w:t>代理机构或评审小组</w:t>
      </w:r>
      <w:r>
        <w:rPr>
          <w:rFonts w:hint="eastAsia" w:ascii="微软雅黑" w:hAnsi="微软雅黑" w:eastAsia="微软雅黑" w:cs="微软雅黑"/>
          <w:color w:val="auto"/>
          <w:kern w:val="0"/>
          <w:sz w:val="24"/>
          <w:szCs w:val="24"/>
          <w:highlight w:val="none"/>
        </w:rPr>
        <w:t>依法对</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文件进行审查， 审查结束公布</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的资格符合情况。资格审查未获通过的</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，其</w:t>
      </w:r>
      <w:r>
        <w:rPr>
          <w:rFonts w:hint="eastAsia" w:ascii="微软雅黑" w:hAnsi="微软雅黑" w:eastAsia="微软雅黑" w:cs="微软雅黑"/>
          <w:color w:val="auto"/>
          <w:kern w:val="0"/>
          <w:sz w:val="24"/>
          <w:szCs w:val="24"/>
          <w:highlight w:val="none"/>
          <w:lang w:eastAsia="zh-CN"/>
        </w:rPr>
        <w:t>符合性</w:t>
      </w:r>
      <w:r>
        <w:rPr>
          <w:rFonts w:hint="eastAsia" w:ascii="微软雅黑" w:hAnsi="微软雅黑" w:eastAsia="微软雅黑" w:cs="微软雅黑"/>
          <w:color w:val="auto"/>
          <w:kern w:val="0"/>
          <w:sz w:val="24"/>
          <w:szCs w:val="24"/>
          <w:highlight w:val="none"/>
        </w:rPr>
        <w:t>不再进入评审。</w:t>
      </w:r>
    </w:p>
    <w:p w14:paraId="2DAED19E">
      <w:pPr>
        <w:keepNext w:val="0"/>
        <w:keepLines w:val="0"/>
        <w:pageBreakBefore w:val="0"/>
        <w:shd w:val="clear" w:color="auto" w:fill="auto"/>
        <w:kinsoku/>
        <w:wordWrap/>
        <w:overflowPunct/>
        <w:topLinePunct w:val="0"/>
        <w:bidi w:val="0"/>
        <w:snapToGrid w:val="0"/>
        <w:spacing w:line="52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6</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通过资格性审查的供应商，</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kern w:val="0"/>
          <w:sz w:val="24"/>
          <w:szCs w:val="24"/>
          <w:highlight w:val="none"/>
        </w:rPr>
        <w:t>依法对</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eastAsia="zh-CN"/>
        </w:rPr>
        <w:t>符合性证明</w:t>
      </w:r>
      <w:r>
        <w:rPr>
          <w:rFonts w:hint="eastAsia" w:ascii="微软雅黑" w:hAnsi="微软雅黑" w:eastAsia="微软雅黑" w:cs="微软雅黑"/>
          <w:color w:val="auto"/>
          <w:kern w:val="0"/>
          <w:sz w:val="24"/>
          <w:szCs w:val="24"/>
          <w:highlight w:val="none"/>
        </w:rPr>
        <w:t>文件进行审查， 审查结束公布</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val="en-US" w:eastAsia="zh-CN"/>
        </w:rPr>
        <w:t>符合性</w:t>
      </w:r>
      <w:r>
        <w:rPr>
          <w:rFonts w:hint="eastAsia" w:ascii="微软雅黑" w:hAnsi="微软雅黑" w:eastAsia="微软雅黑" w:cs="微软雅黑"/>
          <w:color w:val="auto"/>
          <w:kern w:val="0"/>
          <w:sz w:val="24"/>
          <w:szCs w:val="24"/>
          <w:highlight w:val="none"/>
        </w:rPr>
        <w:t>审查情况。</w:t>
      </w:r>
      <w:r>
        <w:rPr>
          <w:rFonts w:hint="eastAsia" w:ascii="微软雅黑" w:hAnsi="微软雅黑" w:eastAsia="微软雅黑" w:cs="微软雅黑"/>
          <w:color w:val="auto"/>
          <w:kern w:val="0"/>
          <w:sz w:val="24"/>
          <w:szCs w:val="24"/>
          <w:highlight w:val="none"/>
          <w:lang w:val="en-US" w:eastAsia="zh-CN"/>
        </w:rPr>
        <w:t>符合性</w:t>
      </w:r>
      <w:r>
        <w:rPr>
          <w:rFonts w:hint="eastAsia" w:ascii="微软雅黑" w:hAnsi="微软雅黑" w:eastAsia="微软雅黑" w:cs="微软雅黑"/>
          <w:color w:val="auto"/>
          <w:kern w:val="0"/>
          <w:sz w:val="24"/>
          <w:szCs w:val="24"/>
          <w:highlight w:val="none"/>
        </w:rPr>
        <w:t>审查未获通过的</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，其</w:t>
      </w:r>
      <w:r>
        <w:rPr>
          <w:rFonts w:hint="eastAsia" w:ascii="微软雅黑" w:hAnsi="微软雅黑" w:eastAsia="微软雅黑" w:cs="微软雅黑"/>
          <w:color w:val="auto"/>
          <w:kern w:val="0"/>
          <w:sz w:val="24"/>
          <w:szCs w:val="24"/>
          <w:highlight w:val="none"/>
          <w:lang w:eastAsia="zh-CN"/>
        </w:rPr>
        <w:t>不再进入磋商环节</w:t>
      </w:r>
      <w:r>
        <w:rPr>
          <w:rFonts w:hint="eastAsia" w:ascii="微软雅黑" w:hAnsi="微软雅黑" w:eastAsia="微软雅黑" w:cs="微软雅黑"/>
          <w:color w:val="auto"/>
          <w:kern w:val="0"/>
          <w:sz w:val="24"/>
          <w:szCs w:val="24"/>
          <w:highlight w:val="none"/>
        </w:rPr>
        <w:t>。</w:t>
      </w:r>
    </w:p>
    <w:p w14:paraId="50977F2F">
      <w:pPr>
        <w:keepNext w:val="0"/>
        <w:keepLines w:val="0"/>
        <w:pageBreakBefore w:val="0"/>
        <w:kinsoku/>
        <w:wordWrap/>
        <w:overflowPunct/>
        <w:topLinePunct w:val="0"/>
        <w:bidi w:val="0"/>
        <w:spacing w:line="520" w:lineRule="exact"/>
        <w:ind w:firstLine="480" w:firstLineChars="200"/>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（7）通过符合性审查的供应商，评审小组所有成员集中于单一供应商分别进行磋商；</w:t>
      </w:r>
      <w:r>
        <w:rPr>
          <w:rFonts w:hint="eastAsia" w:ascii="微软雅黑" w:hAnsi="微软雅黑" w:eastAsia="微软雅黑" w:cs="微软雅黑"/>
          <w:color w:val="auto"/>
          <w:sz w:val="24"/>
          <w:szCs w:val="24"/>
          <w:lang w:val="en-US" w:eastAsia="zh-CN"/>
        </w:rPr>
        <w:t>并给予所有参加磋商的供应商平等的磋商机会。在磋商中，磋商的任何一方不得透露与磋商有关的其他供应商的技术资料、价格和其他信息。磋商文件有实质性变动的，磋商小组应当以书面</w:t>
      </w:r>
      <w:r>
        <w:rPr>
          <w:rFonts w:hint="eastAsia" w:ascii="微软雅黑" w:hAnsi="微软雅黑" w:eastAsia="微软雅黑" w:cs="微软雅黑"/>
          <w:color w:val="auto"/>
          <w:kern w:val="0"/>
          <w:sz w:val="24"/>
          <w:szCs w:val="24"/>
          <w:highlight w:val="none"/>
          <w:lang w:val="en-US" w:eastAsia="zh-CN"/>
        </w:rPr>
        <w:t>形式通知所有参加磋商的供应商。</w:t>
      </w:r>
    </w:p>
    <w:p w14:paraId="0AD8BF91">
      <w:pPr>
        <w:keepNext w:val="0"/>
        <w:keepLines w:val="0"/>
        <w:pageBreakBefore w:val="0"/>
        <w:shd w:val="clear" w:color="auto" w:fill="auto"/>
        <w:kinsoku/>
        <w:wordWrap/>
        <w:overflowPunct/>
        <w:topLinePunct w:val="0"/>
        <w:bidi w:val="0"/>
        <w:snapToGrid w:val="0"/>
        <w:spacing w:line="520" w:lineRule="exact"/>
        <w:ind w:firstLine="480" w:firstLineChars="200"/>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（8）磋商结束后，磋商小组应当要求所有实质性响应的供应商在规定时间内提交最终报，</w:t>
      </w:r>
      <w:r>
        <w:rPr>
          <w:rFonts w:hint="eastAsia" w:ascii="微软雅黑" w:hAnsi="微软雅黑" w:eastAsia="微软雅黑" w:cs="微软雅黑"/>
          <w:color w:val="auto"/>
          <w:sz w:val="24"/>
          <w:szCs w:val="24"/>
          <w:highlight w:val="none"/>
          <w:lang w:bidi="zh-CN"/>
        </w:rPr>
        <w:t>供应商对开标纪录进行在线签字确认（不予确认的应说明理由，否则视为无异议）</w:t>
      </w:r>
      <w:r>
        <w:rPr>
          <w:rFonts w:hint="eastAsia" w:ascii="微软雅黑" w:hAnsi="微软雅黑" w:eastAsia="微软雅黑" w:cs="微软雅黑"/>
          <w:color w:val="auto"/>
          <w:kern w:val="0"/>
          <w:sz w:val="24"/>
          <w:szCs w:val="24"/>
          <w:highlight w:val="none"/>
        </w:rPr>
        <w:t>。开标结束后，由评标委员会对报价的合理性、准确性等进行审查核实</w:t>
      </w:r>
      <w:r>
        <w:rPr>
          <w:rFonts w:hint="eastAsia" w:ascii="微软雅黑" w:hAnsi="微软雅黑" w:eastAsia="微软雅黑" w:cs="微软雅黑"/>
          <w:color w:val="auto"/>
          <w:sz w:val="24"/>
          <w:szCs w:val="24"/>
          <w:highlight w:val="none"/>
        </w:rPr>
        <w:t>。</w:t>
      </w:r>
    </w:p>
    <w:p w14:paraId="2A992781">
      <w:pPr>
        <w:keepNext w:val="0"/>
        <w:keepLines w:val="0"/>
        <w:pageBreakBefore w:val="0"/>
        <w:shd w:val="clear" w:color="auto" w:fill="auto"/>
        <w:kinsoku/>
        <w:wordWrap/>
        <w:overflowPunct/>
        <w:topLinePunct w:val="0"/>
        <w:bidi w:val="0"/>
        <w:snapToGrid w:val="0"/>
        <w:spacing w:line="520" w:lineRule="exact"/>
        <w:ind w:firstLine="480" w:firstLineChars="200"/>
        <w:jc w:val="lef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（9）最终报价结束后，</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kern w:val="0"/>
          <w:sz w:val="24"/>
          <w:szCs w:val="24"/>
          <w:highlight w:val="none"/>
        </w:rPr>
        <w:t>依法对</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eastAsia="zh-CN"/>
        </w:rPr>
        <w:t>商务</w:t>
      </w:r>
      <w:r>
        <w:rPr>
          <w:rFonts w:hint="eastAsia" w:ascii="微软雅黑" w:hAnsi="微软雅黑" w:eastAsia="微软雅黑" w:cs="微软雅黑"/>
          <w:color w:val="auto"/>
          <w:kern w:val="0"/>
          <w:sz w:val="24"/>
          <w:szCs w:val="24"/>
          <w:highlight w:val="none"/>
          <w:lang w:val="en-US" w:eastAsia="zh-CN"/>
        </w:rPr>
        <w:t>技术</w:t>
      </w:r>
      <w:r>
        <w:rPr>
          <w:rFonts w:hint="eastAsia" w:ascii="微软雅黑" w:hAnsi="微软雅黑" w:eastAsia="微软雅黑" w:cs="微软雅黑"/>
          <w:color w:val="auto"/>
          <w:kern w:val="0"/>
          <w:sz w:val="24"/>
          <w:szCs w:val="24"/>
          <w:highlight w:val="none"/>
        </w:rPr>
        <w:t>进行</w:t>
      </w:r>
      <w:r>
        <w:rPr>
          <w:rFonts w:hint="eastAsia" w:ascii="微软雅黑" w:hAnsi="微软雅黑" w:eastAsia="微软雅黑" w:cs="微软雅黑"/>
          <w:color w:val="auto"/>
          <w:kern w:val="0"/>
          <w:sz w:val="24"/>
          <w:szCs w:val="24"/>
          <w:highlight w:val="none"/>
          <w:lang w:val="en-US" w:eastAsia="zh-CN"/>
        </w:rPr>
        <w:t>评分</w:t>
      </w:r>
      <w:r>
        <w:rPr>
          <w:rFonts w:hint="eastAsia" w:ascii="微软雅黑" w:hAnsi="微软雅黑" w:eastAsia="微软雅黑" w:cs="微软雅黑"/>
          <w:color w:val="auto"/>
          <w:kern w:val="0"/>
          <w:sz w:val="24"/>
          <w:szCs w:val="24"/>
          <w:highlight w:val="none"/>
          <w:lang w:eastAsia="zh-CN"/>
        </w:rPr>
        <w:t>。</w:t>
      </w:r>
    </w:p>
    <w:p w14:paraId="1CA26EC2">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rPr>
        <w:t>评审结束后，</w:t>
      </w:r>
      <w:r>
        <w:rPr>
          <w:rFonts w:hint="eastAsia" w:ascii="微软雅黑" w:hAnsi="微软雅黑" w:eastAsia="微软雅黑" w:cs="微软雅黑"/>
          <w:color w:val="auto"/>
          <w:kern w:val="0"/>
          <w:sz w:val="24"/>
          <w:szCs w:val="24"/>
          <w:highlight w:val="none"/>
          <w:lang w:eastAsia="zh-CN"/>
        </w:rPr>
        <w:t>代理机构</w:t>
      </w:r>
      <w:r>
        <w:rPr>
          <w:rFonts w:hint="eastAsia" w:ascii="微软雅黑" w:hAnsi="微软雅黑" w:eastAsia="微软雅黑" w:cs="微软雅黑"/>
          <w:color w:val="auto"/>
          <w:kern w:val="0"/>
          <w:sz w:val="24"/>
          <w:szCs w:val="24"/>
          <w:highlight w:val="none"/>
        </w:rPr>
        <w:t>在系统上公布评审结果。</w:t>
      </w:r>
    </w:p>
    <w:p w14:paraId="3D6403F5">
      <w:pPr>
        <w:keepNext w:val="0"/>
        <w:keepLines w:val="0"/>
        <w:pageBreakBefore w:val="0"/>
        <w:shd w:val="clear" w:color="auto" w:fill="auto"/>
        <w:kinsoku/>
        <w:wordWrap/>
        <w:overflowPunct/>
        <w:topLinePunct w:val="0"/>
        <w:bidi w:val="0"/>
        <w:snapToGrid w:val="0"/>
        <w:spacing w:line="520" w:lineRule="exact"/>
        <w:ind w:left="48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特别情况说明：</w:t>
      </w:r>
    </w:p>
    <w:p w14:paraId="0A14A0BC">
      <w:pPr>
        <w:keepNext w:val="0"/>
        <w:keepLines w:val="0"/>
        <w:pageBreakBefore w:val="0"/>
        <w:shd w:val="clear" w:color="auto" w:fill="auto"/>
        <w:kinsoku/>
        <w:wordWrap/>
        <w:overflowPunct/>
        <w:topLinePunct w:val="0"/>
        <w:bidi w:val="0"/>
        <w:snapToGrid w:val="0"/>
        <w:spacing w:line="520" w:lineRule="exact"/>
        <w:ind w:firstLine="425" w:firstLineChars="177"/>
        <w:jc w:val="left"/>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（1）本项目采用电子交易，如遇“</w:t>
      </w:r>
      <w:r>
        <w:rPr>
          <w:rFonts w:hint="eastAsia" w:ascii="微软雅黑" w:hAnsi="微软雅黑" w:eastAsia="微软雅黑" w:cs="微软雅黑"/>
          <w:b/>
          <w:color w:val="auto"/>
          <w:kern w:val="0"/>
          <w:sz w:val="24"/>
          <w:szCs w:val="24"/>
          <w:highlight w:val="none"/>
          <w:lang w:eastAsia="zh-CN"/>
        </w:rPr>
        <w:t>新疆</w:t>
      </w:r>
      <w:r>
        <w:rPr>
          <w:rFonts w:hint="eastAsia" w:ascii="微软雅黑" w:hAnsi="微软雅黑" w:eastAsia="微软雅黑" w:cs="微软雅黑"/>
          <w:b/>
          <w:color w:val="auto"/>
          <w:kern w:val="0"/>
          <w:sz w:val="24"/>
          <w:szCs w:val="24"/>
          <w:highlight w:val="none"/>
        </w:rPr>
        <w:t>政府采购云平台”电子化开标或评审程序调整的，按调整后程序执行。</w:t>
      </w:r>
    </w:p>
    <w:p w14:paraId="0BC5795B">
      <w:pPr>
        <w:keepNext w:val="0"/>
        <w:keepLines w:val="0"/>
        <w:pageBreakBefore w:val="0"/>
        <w:shd w:val="clear" w:color="auto" w:fill="auto"/>
        <w:kinsoku/>
        <w:wordWrap/>
        <w:overflowPunct/>
        <w:topLinePunct w:val="0"/>
        <w:bidi w:val="0"/>
        <w:snapToGrid w:val="0"/>
        <w:spacing w:line="520" w:lineRule="exact"/>
        <w:ind w:firstLine="425" w:firstLineChars="177"/>
        <w:jc w:val="left"/>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微软雅黑" w:hAnsi="微软雅黑" w:eastAsia="微软雅黑" w:cs="微软雅黑"/>
          <w:b/>
          <w:color w:val="auto"/>
          <w:kern w:val="0"/>
          <w:sz w:val="24"/>
          <w:szCs w:val="24"/>
          <w:highlight w:val="none"/>
          <w:u w:val="single"/>
        </w:rPr>
        <w:t>请</w:t>
      </w:r>
      <w:r>
        <w:rPr>
          <w:rFonts w:hint="eastAsia" w:ascii="微软雅黑" w:hAnsi="微软雅黑" w:eastAsia="微软雅黑" w:cs="微软雅黑"/>
          <w:b/>
          <w:color w:val="auto"/>
          <w:kern w:val="0"/>
          <w:sz w:val="24"/>
          <w:szCs w:val="24"/>
          <w:highlight w:val="none"/>
          <w:u w:val="single"/>
          <w:lang w:eastAsia="zh-CN"/>
        </w:rPr>
        <w:t>供应商</w:t>
      </w:r>
      <w:r>
        <w:rPr>
          <w:rFonts w:hint="eastAsia" w:ascii="微软雅黑" w:hAnsi="微软雅黑" w:eastAsia="微软雅黑" w:cs="微软雅黑"/>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微软雅黑" w:hAnsi="微软雅黑" w:eastAsia="微软雅黑" w:cs="微软雅黑"/>
          <w:b/>
          <w:color w:val="auto"/>
          <w:kern w:val="0"/>
          <w:sz w:val="24"/>
          <w:szCs w:val="24"/>
          <w:highlight w:val="none"/>
        </w:rPr>
        <w:t>。</w:t>
      </w:r>
    </w:p>
    <w:p w14:paraId="75434F78">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lang w:val="en-US" w:eastAsia="zh-CN"/>
        </w:rPr>
        <w:t>2.3</w:t>
      </w:r>
      <w:r>
        <w:rPr>
          <w:rFonts w:hint="eastAsia" w:ascii="微软雅黑" w:hAnsi="微软雅黑" w:eastAsia="微软雅黑" w:cs="微软雅黑"/>
          <w:b/>
          <w:color w:val="auto"/>
          <w:kern w:val="0"/>
          <w:sz w:val="24"/>
          <w:szCs w:val="24"/>
          <w:highlight w:val="none"/>
        </w:rPr>
        <w:t xml:space="preserve"> </w:t>
      </w:r>
      <w:r>
        <w:rPr>
          <w:rFonts w:hint="eastAsia" w:ascii="微软雅黑" w:hAnsi="微软雅黑" w:eastAsia="微软雅黑" w:cs="微软雅黑"/>
          <w:b/>
          <w:color w:val="auto"/>
          <w:kern w:val="0"/>
          <w:sz w:val="24"/>
          <w:szCs w:val="24"/>
          <w:highlight w:val="none"/>
          <w:lang w:eastAsia="zh-CN"/>
        </w:rPr>
        <w:t>供应商</w:t>
      </w:r>
      <w:r>
        <w:rPr>
          <w:rFonts w:hint="eastAsia" w:ascii="微软雅黑" w:hAnsi="微软雅黑" w:eastAsia="微软雅黑" w:cs="微软雅黑"/>
          <w:b/>
          <w:color w:val="auto"/>
          <w:kern w:val="0"/>
          <w:sz w:val="24"/>
          <w:szCs w:val="24"/>
          <w:highlight w:val="none"/>
        </w:rPr>
        <w:t>资格审查：</w:t>
      </w:r>
    </w:p>
    <w:p w14:paraId="30B2FB60">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Cs/>
          <w:color w:val="auto"/>
          <w:kern w:val="0"/>
          <w:sz w:val="24"/>
          <w:szCs w:val="24"/>
          <w:highlight w:val="none"/>
        </w:rPr>
        <w:t>开标（标书信息开启）后，</w:t>
      </w:r>
      <w:r>
        <w:rPr>
          <w:rFonts w:hint="eastAsia" w:ascii="微软雅黑" w:hAnsi="微软雅黑" w:eastAsia="微软雅黑" w:cs="微软雅黑"/>
          <w:bCs/>
          <w:color w:val="auto"/>
          <w:kern w:val="0"/>
          <w:sz w:val="24"/>
          <w:szCs w:val="24"/>
          <w:highlight w:val="none"/>
          <w:lang w:eastAsia="zh-CN"/>
        </w:rPr>
        <w:t>采购人</w:t>
      </w:r>
      <w:r>
        <w:rPr>
          <w:rFonts w:hint="eastAsia" w:ascii="微软雅黑" w:hAnsi="微软雅黑" w:eastAsia="微软雅黑" w:cs="微软雅黑"/>
          <w:bCs/>
          <w:color w:val="auto"/>
          <w:kern w:val="0"/>
          <w:sz w:val="24"/>
          <w:szCs w:val="24"/>
          <w:highlight w:val="none"/>
        </w:rPr>
        <w:t>或</w:t>
      </w:r>
      <w:r>
        <w:rPr>
          <w:rFonts w:hint="eastAsia" w:ascii="微软雅黑" w:hAnsi="微软雅黑" w:eastAsia="微软雅黑" w:cs="微软雅黑"/>
          <w:bCs/>
          <w:color w:val="auto"/>
          <w:kern w:val="0"/>
          <w:sz w:val="24"/>
          <w:szCs w:val="24"/>
          <w:highlight w:val="none"/>
          <w:lang w:eastAsia="zh-CN"/>
        </w:rPr>
        <w:t>代理机构或</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bCs/>
          <w:color w:val="auto"/>
          <w:kern w:val="0"/>
          <w:sz w:val="24"/>
          <w:szCs w:val="24"/>
          <w:highlight w:val="none"/>
        </w:rPr>
        <w:t>首先依法对</w:t>
      </w:r>
      <w:r>
        <w:rPr>
          <w:rFonts w:hint="eastAsia" w:ascii="微软雅黑" w:hAnsi="微软雅黑" w:eastAsia="微软雅黑" w:cs="微软雅黑"/>
          <w:bCs/>
          <w:color w:val="auto"/>
          <w:kern w:val="0"/>
          <w:sz w:val="24"/>
          <w:szCs w:val="24"/>
          <w:highlight w:val="none"/>
          <w:lang w:eastAsia="zh-CN"/>
        </w:rPr>
        <w:t>供应商</w:t>
      </w:r>
      <w:r>
        <w:rPr>
          <w:rFonts w:hint="eastAsia" w:ascii="微软雅黑" w:hAnsi="微软雅黑" w:eastAsia="微软雅黑" w:cs="微软雅黑"/>
          <w:bCs/>
          <w:color w:val="auto"/>
          <w:kern w:val="0"/>
          <w:sz w:val="24"/>
          <w:szCs w:val="24"/>
          <w:highlight w:val="none"/>
        </w:rPr>
        <w:t>的资格文件进行审查，审查各</w:t>
      </w:r>
      <w:r>
        <w:rPr>
          <w:rFonts w:hint="eastAsia" w:ascii="微软雅黑" w:hAnsi="微软雅黑" w:eastAsia="微软雅黑" w:cs="微软雅黑"/>
          <w:bCs/>
          <w:color w:val="auto"/>
          <w:kern w:val="0"/>
          <w:sz w:val="24"/>
          <w:szCs w:val="24"/>
          <w:highlight w:val="none"/>
          <w:lang w:eastAsia="zh-CN"/>
        </w:rPr>
        <w:t>供应商</w:t>
      </w:r>
      <w:r>
        <w:rPr>
          <w:rFonts w:hint="eastAsia" w:ascii="微软雅黑" w:hAnsi="微软雅黑" w:eastAsia="微软雅黑" w:cs="微软雅黑"/>
          <w:bCs/>
          <w:color w:val="auto"/>
          <w:kern w:val="0"/>
          <w:sz w:val="24"/>
          <w:szCs w:val="24"/>
          <w:highlight w:val="none"/>
        </w:rPr>
        <w:t>的资格符合情况。</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bCs/>
          <w:color w:val="auto"/>
          <w:kern w:val="0"/>
          <w:sz w:val="24"/>
          <w:szCs w:val="24"/>
          <w:highlight w:val="none"/>
          <w:lang w:eastAsia="zh-CN"/>
        </w:rPr>
        <w:t>或</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sz w:val="24"/>
          <w:szCs w:val="24"/>
          <w:highlight w:val="none"/>
        </w:rPr>
        <w:t>对</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所提交的资格证明材料仅负审核的责任。如发现</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所提交的资格证明材料不合法或与事实不符，</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可取消其中标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资格并追究</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的法律责任。</w:t>
      </w:r>
    </w:p>
    <w:p w14:paraId="26C0A490">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color w:val="auto"/>
          <w:sz w:val="24"/>
          <w:szCs w:val="24"/>
          <w:highlight w:val="none"/>
        </w:rPr>
        <w:t>（2</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提交的资格证明材料无法证明其符合</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资格要求”的，</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color w:val="auto"/>
          <w:sz w:val="24"/>
          <w:szCs w:val="24"/>
          <w:highlight w:val="none"/>
        </w:rPr>
        <w:t>将对其作“资格审查不合格”处理（无效投标），并不再将其投标提交评标委员会进行后续评审。</w:t>
      </w:r>
    </w:p>
    <w:p w14:paraId="293330C6">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信用记录查询与使用：见《</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须知前附表》。</w:t>
      </w:r>
    </w:p>
    <w:p w14:paraId="2EAEF6CB">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rPr>
        <w:t>评审工作的组织</w:t>
      </w:r>
    </w:p>
    <w:p w14:paraId="74DB0162">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color w:val="auto"/>
          <w:sz w:val="24"/>
          <w:szCs w:val="24"/>
          <w:highlight w:val="none"/>
        </w:rPr>
        <w:t>负责组织本项目的评审工作，并依据《政府采购货物和服务招标投标管理办法（财政部第87号令）》第四十五条的相关规定履行职责。</w:t>
      </w:r>
    </w:p>
    <w:p w14:paraId="44C8DEDB">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4、</w:t>
      </w:r>
      <w:r>
        <w:rPr>
          <w:rFonts w:hint="eastAsia" w:ascii="微软雅黑" w:hAnsi="微软雅黑" w:eastAsia="微软雅黑" w:cs="微软雅黑"/>
          <w:b/>
          <w:bCs/>
          <w:color w:val="auto"/>
          <w:sz w:val="24"/>
          <w:szCs w:val="24"/>
          <w:highlight w:val="none"/>
        </w:rPr>
        <w:t>评标委员会的组建</w:t>
      </w:r>
    </w:p>
    <w:p w14:paraId="74DE0628">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.1评标委员会由</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color w:val="auto"/>
          <w:sz w:val="24"/>
          <w:szCs w:val="24"/>
          <w:highlight w:val="none"/>
        </w:rPr>
        <w:t>依法组建，成员由</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代表和评审专家组成，成员人数为</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人或以上单数，其中评审专家不少于成员总数的三分之二。</w:t>
      </w:r>
    </w:p>
    <w:p w14:paraId="43D6826A">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b/>
          <w:bCs/>
          <w:sz w:val="24"/>
          <w:szCs w:val="24"/>
        </w:rPr>
        <w:t>按照《中华人民共和国政府采购法》、《中华人民共和国政府采购法实施条例》及本项目本级和上级财政部门的有关规定依法在政采云平台</w:t>
      </w:r>
      <w:r>
        <w:rPr>
          <w:rFonts w:hint="eastAsia" w:ascii="微软雅黑" w:hAnsi="微软雅黑" w:eastAsia="微软雅黑" w:cs="微软雅黑"/>
          <w:b/>
          <w:bCs/>
          <w:sz w:val="24"/>
          <w:szCs w:val="24"/>
          <w:lang w:eastAsia="zh-CN"/>
        </w:rPr>
        <w:t>随机</w:t>
      </w:r>
      <w:r>
        <w:rPr>
          <w:rFonts w:hint="eastAsia" w:ascii="微软雅黑" w:hAnsi="微软雅黑" w:eastAsia="微软雅黑" w:cs="微软雅黑"/>
          <w:b/>
          <w:bCs/>
          <w:sz w:val="24"/>
          <w:szCs w:val="24"/>
        </w:rPr>
        <w:t>抽取3人，组成</w:t>
      </w:r>
      <w:r>
        <w:rPr>
          <w:rFonts w:hint="eastAsia" w:ascii="微软雅黑" w:hAnsi="微软雅黑" w:eastAsia="微软雅黑" w:cs="微软雅黑"/>
          <w:b/>
          <w:bCs/>
          <w:sz w:val="24"/>
          <w:szCs w:val="24"/>
          <w:lang w:eastAsia="zh-CN"/>
        </w:rPr>
        <w:t>磋商</w:t>
      </w:r>
      <w:r>
        <w:rPr>
          <w:rFonts w:hint="eastAsia" w:ascii="微软雅黑" w:hAnsi="微软雅黑" w:eastAsia="微软雅黑" w:cs="微软雅黑"/>
          <w:b/>
          <w:bCs/>
          <w:sz w:val="24"/>
          <w:szCs w:val="24"/>
        </w:rPr>
        <w:t>小组，负责评审工作</w:t>
      </w:r>
      <w:r>
        <w:rPr>
          <w:rFonts w:hint="eastAsia" w:ascii="微软雅黑" w:hAnsi="微软雅黑" w:eastAsia="微软雅黑" w:cs="微软雅黑"/>
          <w:color w:val="auto"/>
          <w:sz w:val="24"/>
          <w:szCs w:val="24"/>
          <w:highlight w:val="none"/>
        </w:rPr>
        <w:t>。</w:t>
      </w:r>
    </w:p>
    <w:p w14:paraId="49EA8366">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rPr>
        <w:t>评标委员会的职责</w:t>
      </w:r>
    </w:p>
    <w:p w14:paraId="4D02F528">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.1审查、评价</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是否符合</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的商务、技术等实质性要求。</w:t>
      </w:r>
    </w:p>
    <w:p w14:paraId="5921CF68">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.2要求</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对</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有关事项作出澄清或者说明。</w:t>
      </w:r>
    </w:p>
    <w:p w14:paraId="4E6571A0">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.3对</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进行比较和评价。</w:t>
      </w:r>
    </w:p>
    <w:p w14:paraId="0466636B">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.4确定中标候选人名单，以及根据</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委托直接确定中标人。</w:t>
      </w:r>
    </w:p>
    <w:p w14:paraId="74C6920E">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.5向</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color w:val="auto"/>
          <w:sz w:val="24"/>
          <w:szCs w:val="24"/>
          <w:highlight w:val="none"/>
        </w:rPr>
        <w:t>或者有关部门报告评审中发现的违法行为。</w:t>
      </w:r>
    </w:p>
    <w:p w14:paraId="7891F3CF">
      <w:pPr>
        <w:keepNext w:val="0"/>
        <w:keepLines w:val="0"/>
        <w:pageBreakBefore w:val="0"/>
        <w:widowControl/>
        <w:shd w:val="clear" w:color="auto" w:fill="auto"/>
        <w:kinsoku/>
        <w:wordWrap/>
        <w:overflowPunct/>
        <w:topLinePunct w:val="0"/>
        <w:autoSpaceDE/>
        <w:autoSpaceDN/>
        <w:bidi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rPr>
        <w:t>评标原则</w:t>
      </w:r>
    </w:p>
    <w:p w14:paraId="0FF45610">
      <w:pPr>
        <w:keepNext w:val="0"/>
        <w:keepLines w:val="0"/>
        <w:pageBreakBefore w:val="0"/>
        <w:widowControl/>
        <w:shd w:val="clear" w:color="auto" w:fill="auto"/>
        <w:kinsoku/>
        <w:wordWrap/>
        <w:overflowPunct/>
        <w:topLinePunct w:val="0"/>
        <w:autoSpaceDE/>
        <w:autoSpaceDN/>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.1评标委员会将遵循公平、公正、科学的原则，对</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提交的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进行综合评审，评标委员会按照</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规定的评标细则进行评分。</w:t>
      </w:r>
    </w:p>
    <w:p w14:paraId="6C78D4CA">
      <w:pPr>
        <w:keepNext w:val="0"/>
        <w:keepLines w:val="0"/>
        <w:pageBreakBefore w:val="0"/>
        <w:widowControl/>
        <w:shd w:val="clear" w:color="auto" w:fill="auto"/>
        <w:kinsoku/>
        <w:wordWrap/>
        <w:overflowPunct/>
        <w:topLinePunct w:val="0"/>
        <w:autoSpaceDE/>
        <w:autoSpaceDN/>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.2客观公正对待所有</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 xml:space="preserve">，对所有投标评价均采用相同的程序和标准。 </w:t>
      </w:r>
    </w:p>
    <w:p w14:paraId="2966F7A5">
      <w:pPr>
        <w:keepNext w:val="0"/>
        <w:keepLines w:val="0"/>
        <w:pageBreakBefore w:val="0"/>
        <w:widowControl/>
        <w:shd w:val="clear" w:color="auto" w:fill="auto"/>
        <w:kinsoku/>
        <w:wordWrap/>
        <w:overflowPunct/>
        <w:topLinePunct w:val="0"/>
        <w:autoSpaceDE/>
        <w:autoSpaceDN/>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66D4525D">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.4 财政部令第87号《政府采购货物和服务招标投标管理办法》第三十一条规定：使用综合评分法的采购项目，提供相同品牌产品且通过资格审查、符合性审查的不同</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参加同一合同项下投标的，按一家</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计算，评审后得分最高的同品牌</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获得中标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人推荐资格；评审得分相同的，由</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或者</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委托评标委员会按照</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规定的方式确定一个</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获得中标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人推荐资格，</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未规定的采取随机抽取方式确定，其他同品牌</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不作为中标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候选人。</w:t>
      </w:r>
    </w:p>
    <w:p w14:paraId="1D1736D5">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非单一产品采购项目，</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应当根据采购项目技术构成、产品价格比重等合理确定核心产品，并在</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中载明。多家</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 xml:space="preserve">提供的核心产品品牌相同的，按前款规定处理。      </w:t>
      </w:r>
    </w:p>
    <w:p w14:paraId="5B7CCEA1">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7、</w:t>
      </w:r>
      <w:r>
        <w:rPr>
          <w:rFonts w:hint="eastAsia" w:ascii="微软雅黑" w:hAnsi="微软雅黑" w:eastAsia="微软雅黑" w:cs="微软雅黑"/>
          <w:b/>
          <w:bCs/>
          <w:color w:val="auto"/>
          <w:sz w:val="24"/>
          <w:szCs w:val="24"/>
          <w:highlight w:val="none"/>
        </w:rPr>
        <w:t>评委纪律</w:t>
      </w:r>
    </w:p>
    <w:p w14:paraId="5864D5ED">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7.1</w:t>
      </w:r>
      <w:r>
        <w:rPr>
          <w:rFonts w:hint="eastAsia" w:ascii="微软雅黑" w:hAnsi="微软雅黑" w:eastAsia="微软雅黑" w:cs="微软雅黑"/>
          <w:color w:val="auto"/>
          <w:sz w:val="24"/>
          <w:szCs w:val="24"/>
          <w:highlight w:val="none"/>
        </w:rPr>
        <w:t>评标委员会成员必须严格遵守保密规定</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不得携带手机进入评标场所</w:t>
      </w:r>
      <w:r>
        <w:rPr>
          <w:rFonts w:hint="eastAsia" w:ascii="微软雅黑" w:hAnsi="微软雅黑" w:eastAsia="微软雅黑" w:cs="微软雅黑"/>
          <w:color w:val="auto"/>
          <w:sz w:val="24"/>
          <w:szCs w:val="24"/>
          <w:highlight w:val="none"/>
        </w:rPr>
        <w:t>，不得泄露评审的有关情况，任何单位和个人不得干扰、影响评标的正常进行，评标委员会成员不得私下与</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接触，不得出现</w:t>
      </w:r>
      <w:r>
        <w:rPr>
          <w:rFonts w:hint="eastAsia" w:ascii="微软雅黑" w:hAnsi="微软雅黑" w:eastAsia="微软雅黑" w:cs="微软雅黑"/>
          <w:color w:val="auto"/>
          <w:sz w:val="24"/>
          <w:szCs w:val="24"/>
          <w:highlight w:val="none"/>
          <w:lang w:val="en-US" w:eastAsia="zh-CN"/>
        </w:rPr>
        <w:t>新疆</w:t>
      </w:r>
      <w:r>
        <w:rPr>
          <w:rFonts w:hint="eastAsia" w:ascii="微软雅黑" w:hAnsi="微软雅黑" w:eastAsia="微软雅黑" w:cs="微软雅黑"/>
          <w:color w:val="auto"/>
          <w:sz w:val="24"/>
          <w:szCs w:val="24"/>
          <w:highlight w:val="none"/>
        </w:rPr>
        <w:t>政府采购活动现场组织管理办法中规定的其他禁止行为。</w:t>
      </w:r>
    </w:p>
    <w:p w14:paraId="7B6F0E9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7.2</w:t>
      </w:r>
      <w:r>
        <w:rPr>
          <w:rFonts w:hint="eastAsia" w:ascii="微软雅黑" w:hAnsi="微软雅黑" w:eastAsia="微软雅黑" w:cs="微软雅黑"/>
          <w:b/>
          <w:bCs/>
          <w:sz w:val="24"/>
          <w:szCs w:val="24"/>
        </w:rPr>
        <w:t>评标专家</w:t>
      </w:r>
      <w:r>
        <w:rPr>
          <w:rFonts w:hint="eastAsia" w:ascii="微软雅黑" w:hAnsi="微软雅黑" w:eastAsia="微软雅黑" w:cs="微软雅黑"/>
          <w:b/>
          <w:bCs/>
          <w:kern w:val="0"/>
          <w:sz w:val="24"/>
          <w:szCs w:val="24"/>
        </w:rPr>
        <w:t>与</w:t>
      </w:r>
      <w:r>
        <w:rPr>
          <w:rFonts w:hint="eastAsia" w:ascii="微软雅黑" w:hAnsi="微软雅黑" w:eastAsia="微软雅黑" w:cs="微软雅黑"/>
          <w:b/>
          <w:bCs/>
          <w:kern w:val="0"/>
          <w:sz w:val="24"/>
          <w:szCs w:val="24"/>
          <w:lang w:eastAsia="zh-CN"/>
        </w:rPr>
        <w:t>供应商</w:t>
      </w:r>
      <w:r>
        <w:rPr>
          <w:rFonts w:hint="eastAsia" w:ascii="微软雅黑" w:hAnsi="微软雅黑" w:eastAsia="微软雅黑" w:cs="微软雅黑"/>
          <w:b/>
          <w:bCs/>
          <w:kern w:val="0"/>
          <w:sz w:val="24"/>
          <w:szCs w:val="24"/>
        </w:rPr>
        <w:t>有下列利害关系之一的人员，应当回避</w:t>
      </w:r>
    </w:p>
    <w:p w14:paraId="13BAFF0E">
      <w:pPr>
        <w:pStyle w:val="5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1）参加采购活动前3年内与</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存在劳动关系；</w:t>
      </w:r>
    </w:p>
    <w:p w14:paraId="0B2822A1">
      <w:pPr>
        <w:pStyle w:val="5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2）参加采购活动前3年内担任</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的董事、监事；</w:t>
      </w:r>
    </w:p>
    <w:p w14:paraId="0BE9457C">
      <w:pPr>
        <w:pStyle w:val="5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3）参加采购活动前3年内是</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的控股股东或者实际控制人；</w:t>
      </w:r>
    </w:p>
    <w:p w14:paraId="1B8D8D03">
      <w:pPr>
        <w:pStyle w:val="5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4）与</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的法定代表人或者负责人有夫妻、直系血亲、三代以内旁系血亲或者近姻亲关系。</w:t>
      </w:r>
    </w:p>
    <w:p w14:paraId="2899999F">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8、</w:t>
      </w:r>
      <w:r>
        <w:rPr>
          <w:rFonts w:hint="eastAsia" w:ascii="微软雅黑" w:hAnsi="微软雅黑" w:eastAsia="微软雅黑" w:cs="微软雅黑"/>
          <w:b/>
          <w:bCs/>
          <w:color w:val="auto"/>
          <w:sz w:val="24"/>
          <w:szCs w:val="24"/>
          <w:highlight w:val="none"/>
        </w:rPr>
        <w:t>评标程序</w:t>
      </w:r>
    </w:p>
    <w:p w14:paraId="49DF09FD">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1 在评审专家中推选评标委员会组长，</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代表不得担任评标委员会组长。</w:t>
      </w:r>
    </w:p>
    <w:p w14:paraId="3FE008D5">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2 评标委员会组长召集成员认真阅读</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以及相关补充、质疑、答复文件、项目书面说明等材料，熟悉采购项目的基本概况，采购项目的质量要求、数量、主要技术标准或服务需求，采购合同主要条款，</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无效情形，评审方法、评审依据、评审标准等。</w:t>
      </w:r>
    </w:p>
    <w:p w14:paraId="4132D94A">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 xml:space="preserve">3 </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对符合资格的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的有效性、符合性、完整性和响应程度进行审查，确定是否对</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作出实质性响应。</w:t>
      </w:r>
    </w:p>
    <w:p w14:paraId="3B388976">
      <w:pPr>
        <w:pageBreakBefore w:val="0"/>
        <w:kinsoku/>
        <w:wordWrap/>
        <w:overflowPunct/>
        <w:topLinePunct w:val="0"/>
        <w:bidi w:val="0"/>
        <w:spacing w:line="520" w:lineRule="exact"/>
        <w:ind w:firstLine="480" w:firstLineChars="200"/>
        <w:jc w:val="both"/>
        <w:outlineLvl w:val="9"/>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8.4竞争性磋商共有两次报价，二次报价为最终报价，对竞争性磋商文件做出实质性响应的供应商，评审专家所有成员应当集中与单一供应商分别进行磋商，并给予所有参加磋商的供应商平等的磋商机会。评审专家要求所有实质性响应的供应商在规定时间内提交最后报价（提交最后报价的供应商不得少于3家），最后报价是供应商响应文件的有效组成部分，经磋商确定最终采购需求和提交最后报价的供应商后，由评审专家采用综合评分法对提交最后报价的供应商的响应文件进行综合评分。</w:t>
      </w:r>
    </w:p>
    <w:p w14:paraId="424E939E">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8.5</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按</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规定的评审方法和评审标准，依法独立对</w:t>
      </w:r>
      <w:r>
        <w:rPr>
          <w:rFonts w:hint="eastAsia" w:ascii="微软雅黑" w:hAnsi="微软雅黑" w:eastAsia="微软雅黑" w:cs="微软雅黑"/>
          <w:color w:val="auto"/>
          <w:sz w:val="24"/>
          <w:szCs w:val="24"/>
          <w:highlight w:val="none"/>
          <w:lang w:eastAsia="zh-CN"/>
        </w:rPr>
        <w:t>供应商响应文件</w:t>
      </w:r>
      <w:r>
        <w:rPr>
          <w:rFonts w:hint="eastAsia" w:ascii="微软雅黑" w:hAnsi="微软雅黑" w:eastAsia="微软雅黑" w:cs="微软雅黑"/>
          <w:color w:val="auto"/>
          <w:sz w:val="24"/>
          <w:szCs w:val="24"/>
          <w:highlight w:val="none"/>
        </w:rPr>
        <w:t>进行评估、比较，并给予评价或打分，不受任何单位和个人的干预。</w:t>
      </w:r>
    </w:p>
    <w:p w14:paraId="5D5BC142">
      <w:pPr>
        <w:keepNext w:val="0"/>
        <w:keepLines w:val="0"/>
        <w:pageBreakBefore w:val="0"/>
        <w:widowControl/>
        <w:shd w:val="clear" w:color="auto" w:fill="auto"/>
        <w:kinsoku/>
        <w:wordWrap/>
        <w:overflowPunct/>
        <w:topLinePunct w:val="0"/>
        <w:bidi w:val="0"/>
        <w:spacing w:line="520" w:lineRule="exact"/>
        <w:ind w:firstLine="48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本项目采用：</w:t>
      </w:r>
      <w:r>
        <w:rPr>
          <w:rFonts w:hint="eastAsia" w:ascii="微软雅黑" w:hAnsi="微软雅黑" w:eastAsia="微软雅黑" w:cs="微软雅黑"/>
          <w:b/>
          <w:bCs/>
          <w:color w:val="auto"/>
          <w:kern w:val="0"/>
          <w:sz w:val="24"/>
          <w:szCs w:val="24"/>
          <w:highlight w:val="none"/>
        </w:rPr>
        <w:t>综合评分法</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是指响应文件满足磋商文件全部实质性要求且按评审因素的量化指标评审得分最高的</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为成交候选</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的评审方法。</w:t>
      </w:r>
    </w:p>
    <w:p w14:paraId="5874426D">
      <w:pPr>
        <w:keepNext w:val="0"/>
        <w:keepLines w:val="0"/>
        <w:pageBreakBefore w:val="0"/>
        <w:widowControl/>
        <w:shd w:val="clear" w:color="auto" w:fill="auto"/>
        <w:kinsoku/>
        <w:wordWrap/>
        <w:overflowPunct/>
        <w:topLinePunct w:val="0"/>
        <w:bidi w:val="0"/>
        <w:spacing w:line="520" w:lineRule="exact"/>
        <w:ind w:firstLine="48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综合评分法中的价格分统一采用低价优先法计算，即满足</w:t>
      </w:r>
      <w:r>
        <w:rPr>
          <w:rFonts w:hint="eastAsia" w:ascii="微软雅黑" w:hAnsi="微软雅黑" w:eastAsia="微软雅黑" w:cs="微软雅黑"/>
          <w:color w:val="auto"/>
          <w:kern w:val="0"/>
          <w:sz w:val="24"/>
          <w:szCs w:val="24"/>
          <w:highlight w:val="none"/>
          <w:lang w:eastAsia="zh-CN"/>
        </w:rPr>
        <w:t>磋商文件</w:t>
      </w:r>
      <w:r>
        <w:rPr>
          <w:rFonts w:hint="eastAsia" w:ascii="微软雅黑" w:hAnsi="微软雅黑" w:eastAsia="微软雅黑" w:cs="微软雅黑"/>
          <w:color w:val="auto"/>
          <w:kern w:val="0"/>
          <w:sz w:val="24"/>
          <w:szCs w:val="24"/>
          <w:highlight w:val="none"/>
        </w:rPr>
        <w:t>要求且最后报价最低的</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的价格为</w:t>
      </w:r>
      <w:r>
        <w:rPr>
          <w:rFonts w:hint="eastAsia" w:ascii="微软雅黑" w:hAnsi="微软雅黑" w:eastAsia="微软雅黑" w:cs="微软雅黑"/>
          <w:color w:val="auto"/>
          <w:kern w:val="0"/>
          <w:sz w:val="24"/>
          <w:szCs w:val="24"/>
          <w:highlight w:val="none"/>
          <w:lang w:eastAsia="zh-CN"/>
        </w:rPr>
        <w:t>招标</w:t>
      </w:r>
      <w:r>
        <w:rPr>
          <w:rFonts w:hint="eastAsia" w:ascii="微软雅黑" w:hAnsi="微软雅黑" w:eastAsia="微软雅黑" w:cs="微软雅黑"/>
          <w:color w:val="auto"/>
          <w:kern w:val="0"/>
          <w:sz w:val="24"/>
          <w:szCs w:val="24"/>
          <w:highlight w:val="none"/>
        </w:rPr>
        <w:t>基准价，其价格分为满分。其他</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的价格分统一按照下列公式计算：</w:t>
      </w:r>
    </w:p>
    <w:p w14:paraId="47F8C801">
      <w:pPr>
        <w:keepNext w:val="0"/>
        <w:keepLines w:val="0"/>
        <w:pageBreakBefore w:val="0"/>
        <w:widowControl/>
        <w:shd w:val="clear" w:color="auto" w:fill="auto"/>
        <w:kinsoku/>
        <w:wordWrap/>
        <w:overflowPunct/>
        <w:topLinePunct w:val="0"/>
        <w:bidi w:val="0"/>
        <w:spacing w:line="520" w:lineRule="exact"/>
        <w:ind w:firstLine="480"/>
        <w:rPr>
          <w:rFonts w:hint="eastAsia" w:ascii="微软雅黑" w:hAnsi="微软雅黑" w:eastAsia="微软雅黑" w:cs="微软雅黑"/>
          <w:color w:val="auto"/>
          <w:kern w:val="0"/>
          <w:sz w:val="24"/>
          <w:szCs w:val="24"/>
          <w:highlight w:val="none"/>
          <w:lang w:val="en-US"/>
        </w:rPr>
      </w:pPr>
      <w:r>
        <w:rPr>
          <w:rFonts w:hint="eastAsia" w:ascii="微软雅黑" w:hAnsi="微软雅黑" w:eastAsia="微软雅黑" w:cs="微软雅黑"/>
          <w:color w:val="auto"/>
          <w:kern w:val="0"/>
          <w:sz w:val="24"/>
          <w:szCs w:val="24"/>
          <w:highlight w:val="none"/>
          <w:lang w:eastAsia="zh-CN"/>
        </w:rPr>
        <w:t>投标</w:t>
      </w:r>
      <w:r>
        <w:rPr>
          <w:rFonts w:hint="eastAsia" w:ascii="微软雅黑" w:hAnsi="微软雅黑" w:eastAsia="微软雅黑" w:cs="微软雅黑"/>
          <w:color w:val="auto"/>
          <w:kern w:val="0"/>
          <w:sz w:val="24"/>
          <w:szCs w:val="24"/>
          <w:highlight w:val="none"/>
        </w:rPr>
        <w:t>报价得分=（基准价/</w:t>
      </w:r>
      <w:r>
        <w:rPr>
          <w:rFonts w:hint="eastAsia" w:ascii="微软雅黑" w:hAnsi="微软雅黑" w:eastAsia="微软雅黑" w:cs="微软雅黑"/>
          <w:color w:val="auto"/>
          <w:kern w:val="0"/>
          <w:sz w:val="24"/>
          <w:szCs w:val="24"/>
          <w:highlight w:val="none"/>
          <w:lang w:eastAsia="zh-CN"/>
        </w:rPr>
        <w:t>投标</w:t>
      </w:r>
      <w:r>
        <w:rPr>
          <w:rFonts w:hint="eastAsia" w:ascii="微软雅黑" w:hAnsi="微软雅黑" w:eastAsia="微软雅黑" w:cs="微软雅黑"/>
          <w:color w:val="auto"/>
          <w:kern w:val="0"/>
          <w:sz w:val="24"/>
          <w:szCs w:val="24"/>
          <w:highlight w:val="none"/>
        </w:rPr>
        <w:t>报价）×</w:t>
      </w:r>
      <w:r>
        <w:rPr>
          <w:rFonts w:hint="eastAsia" w:ascii="微软雅黑" w:hAnsi="微软雅黑" w:eastAsia="微软雅黑" w:cs="微软雅黑"/>
          <w:color w:val="auto"/>
          <w:kern w:val="0"/>
          <w:sz w:val="24"/>
          <w:szCs w:val="24"/>
          <w:highlight w:val="none"/>
          <w:lang w:val="en-US" w:eastAsia="zh-CN"/>
        </w:rPr>
        <w:t>价格分</w:t>
      </w:r>
    </w:p>
    <w:p w14:paraId="1F4E7586">
      <w:pPr>
        <w:keepNext w:val="0"/>
        <w:keepLines w:val="0"/>
        <w:pageBreakBefore w:val="0"/>
        <w:widowControl/>
        <w:shd w:val="clear" w:color="auto" w:fill="auto"/>
        <w:kinsoku/>
        <w:wordWrap/>
        <w:overflowPunct/>
        <w:topLinePunct w:val="0"/>
        <w:bidi w:val="0"/>
        <w:spacing w:line="520" w:lineRule="exact"/>
        <w:ind w:firstLine="48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0"/>
          <w:sz w:val="24"/>
          <w:szCs w:val="24"/>
          <w:highlight w:val="none"/>
        </w:rPr>
        <w:t>项目评审过程中，不得去掉最后报价中的最高报价和最低报价。</w:t>
      </w:r>
    </w:p>
    <w:p w14:paraId="1BE21756">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8.6</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对各</w:t>
      </w:r>
      <w:r>
        <w:rPr>
          <w:rFonts w:hint="eastAsia" w:ascii="微软雅黑" w:hAnsi="微软雅黑" w:eastAsia="微软雅黑" w:cs="微软雅黑"/>
          <w:color w:val="auto"/>
          <w:sz w:val="24"/>
          <w:szCs w:val="24"/>
          <w:highlight w:val="none"/>
          <w:lang w:eastAsia="zh-CN"/>
        </w:rPr>
        <w:t>供应商响应文件</w:t>
      </w:r>
      <w:r>
        <w:rPr>
          <w:rFonts w:hint="eastAsia" w:ascii="微软雅黑" w:hAnsi="微软雅黑" w:eastAsia="微软雅黑" w:cs="微软雅黑"/>
          <w:color w:val="auto"/>
          <w:sz w:val="24"/>
          <w:szCs w:val="24"/>
          <w:highlight w:val="none"/>
        </w:rPr>
        <w:t>非实质性内容有疑议或异议，或者审查发现明显的文字或计算错误等，及时向评标委员会组长提出。经评标委员会商议认为需要</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作出必要澄清、说明或者补正的，应当以在线询标形式要求</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作出必要的澄清、说明或者补正。澄清、说明或者补正的内容应作为政府采购项目档案归档留存。</w:t>
      </w:r>
    </w:p>
    <w:p w14:paraId="204F38A6">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8.7</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需对采购方工作人员唱票或统计的评审结果进行确认，现场监督员应对评审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0AA997E5">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8.8</w:t>
      </w:r>
      <w:r>
        <w:rPr>
          <w:rFonts w:hint="eastAsia" w:ascii="微软雅黑" w:hAnsi="微软雅黑" w:eastAsia="微软雅黑" w:cs="微软雅黑"/>
          <w:color w:val="auto"/>
          <w:sz w:val="24"/>
          <w:szCs w:val="24"/>
          <w:highlight w:val="none"/>
        </w:rPr>
        <w:t xml:space="preserve"> 评标委员会根据评审汇总情况和</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w:t>
      </w:r>
      <w:r>
        <w:rPr>
          <w:rFonts w:hint="eastAsia" w:ascii="微软雅黑" w:hAnsi="微软雅黑" w:eastAsia="微软雅黑" w:cs="微软雅黑"/>
          <w:color w:val="auto"/>
          <w:sz w:val="24"/>
          <w:szCs w:val="24"/>
          <w:highlight w:val="none"/>
          <w:lang w:eastAsia="zh-CN"/>
        </w:rPr>
        <w:t>推荐</w:t>
      </w:r>
      <w:r>
        <w:rPr>
          <w:rFonts w:hint="eastAsia" w:ascii="微软雅黑" w:hAnsi="微软雅黑" w:eastAsia="微软雅黑" w:cs="微软雅黑"/>
          <w:color w:val="auto"/>
          <w:sz w:val="24"/>
          <w:szCs w:val="24"/>
          <w:highlight w:val="none"/>
        </w:rPr>
        <w:t>中标中标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排序名单。</w:t>
      </w:r>
    </w:p>
    <w:p w14:paraId="757AF329">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8.9</w:t>
      </w:r>
      <w:r>
        <w:rPr>
          <w:rFonts w:hint="eastAsia" w:ascii="微软雅黑" w:hAnsi="微软雅黑" w:eastAsia="微软雅黑" w:cs="微软雅黑"/>
          <w:color w:val="auto"/>
          <w:sz w:val="24"/>
          <w:szCs w:val="24"/>
          <w:highlight w:val="none"/>
        </w:rPr>
        <w:t xml:space="preserve"> 起草评审报告，所有</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 xml:space="preserve">须在评审报告上签字确认，对自己的评审意见承担法律责任。 </w:t>
      </w:r>
    </w:p>
    <w:p w14:paraId="2753FF9D">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8.10</w:t>
      </w:r>
      <w:r>
        <w:rPr>
          <w:rFonts w:hint="eastAsia" w:ascii="微软雅黑" w:hAnsi="微软雅黑" w:eastAsia="微软雅黑" w:cs="微软雅黑"/>
          <w:color w:val="auto"/>
          <w:sz w:val="24"/>
          <w:szCs w:val="24"/>
          <w:highlight w:val="none"/>
        </w:rPr>
        <w:t xml:space="preserve"> 采购组织机构对评标委员会评审专家进行评价。</w:t>
      </w:r>
    </w:p>
    <w:p w14:paraId="7FEA5A31">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8.11</w:t>
      </w:r>
      <w:r>
        <w:rPr>
          <w:rFonts w:hint="eastAsia" w:ascii="微软雅黑" w:hAnsi="微软雅黑" w:eastAsia="微软雅黑" w:cs="微软雅黑"/>
          <w:color w:val="auto"/>
          <w:sz w:val="24"/>
          <w:szCs w:val="24"/>
          <w:highlight w:val="none"/>
        </w:rPr>
        <w:t>修改评审结果</w:t>
      </w:r>
    </w:p>
    <w:p w14:paraId="7F77A072">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评标结果汇总完成后，除下列情形外，任何人不得修改评标结果：</w:t>
      </w:r>
    </w:p>
    <w:p w14:paraId="1F9658B8">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（1）分值汇总计算错误的；</w:t>
      </w:r>
    </w:p>
    <w:p w14:paraId="7D49D6AA">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（2）分项评分超出评分标准范围的；</w:t>
      </w:r>
    </w:p>
    <w:p w14:paraId="647A9F48">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（3）评标委员会成员对客观评审因素评分不一致的；</w:t>
      </w:r>
    </w:p>
    <w:p w14:paraId="3541B9A0">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（4）经评标委员会认定评分畸高、畸低的。</w:t>
      </w:r>
    </w:p>
    <w:p w14:paraId="2DF272DC">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评标报告签署前，经复核发现存在以上情形之一的，评标委员会应当当场修改评标结果，并在评标报告中记载；评标报告签署后，</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或者</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color w:val="auto"/>
          <w:sz w:val="24"/>
          <w:szCs w:val="24"/>
          <w:highlight w:val="none"/>
        </w:rPr>
        <w:t>发现存在以上情形之一的，应当组织原评标委员会进行重新评审，重新评审改变评标结果的，书面报告本级财政部门。</w:t>
      </w:r>
    </w:p>
    <w:p w14:paraId="3FC8C899">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9、澄清、说明或补正的形式</w:t>
      </w:r>
    </w:p>
    <w:p w14:paraId="3FF39A11">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9.1对于响应文件中含义不明确、同类问题表述不一致或者有明显文字和计算错误的内容，评标委员会将通过“政府采购云平台”在线询标的方式要求供应商在规定的时间内作出必要的澄清、说明或者补正，</w:t>
      </w:r>
      <w:r>
        <w:rPr>
          <w:rFonts w:hint="eastAsia" w:ascii="微软雅黑" w:hAnsi="微软雅黑" w:eastAsia="微软雅黑" w:cs="微软雅黑"/>
          <w:b/>
          <w:bCs/>
          <w:color w:val="auto"/>
          <w:sz w:val="24"/>
          <w:szCs w:val="24"/>
          <w:highlight w:val="none"/>
          <w:lang w:val="en-US" w:eastAsia="zh-CN"/>
        </w:rPr>
        <w:t>供应商澄清、说明或补正时间为20分钟</w:t>
      </w:r>
      <w:r>
        <w:rPr>
          <w:rFonts w:hint="eastAsia" w:ascii="微软雅黑" w:hAnsi="微软雅黑" w:eastAsia="微软雅黑" w:cs="微软雅黑"/>
          <w:b w:val="0"/>
          <w:bCs w:val="0"/>
          <w:color w:val="auto"/>
          <w:sz w:val="24"/>
          <w:szCs w:val="24"/>
          <w:highlight w:val="none"/>
          <w:lang w:val="en-US" w:eastAsia="zh-CN"/>
        </w:rPr>
        <w:t>。</w:t>
      </w:r>
    </w:p>
    <w:p w14:paraId="3D9259B8">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9.2供应商的澄清、说明或者补正应当通过“政府采购云平台”在线答复的方式提交，并加盖公章（电子印章），或者由法定代表人（负责人）或其授权的代表签字。供应商的澄清、说明或者补正不得超出响应文件的范围或者改变响应文件的实质性内容，不接受供应商主动对响应文件的澄清、说明或者补正。</w:t>
      </w:r>
    </w:p>
    <w:p w14:paraId="22E1F803">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85217E4">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10、错误修正的原则</w:t>
      </w:r>
    </w:p>
    <w:p w14:paraId="7E3BD27E">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10.1电子交易平台客户端里开标一览表录入的投标报价或优惠率与扫描上传的报价文件信息不一致的，以扫描上传的报价文件信息为准进行修正。</w:t>
      </w:r>
    </w:p>
    <w:p w14:paraId="1B2E84F4">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10.2响应文件报价出现前后不一致的，除竞争性磋商文件另有规定外，按照下列规定修正：</w:t>
      </w:r>
    </w:p>
    <w:p w14:paraId="7964950A">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10.3 投标函中表述的内容与报价表中不一致的，以报价表为准；报价表中的内容与报价明细表不一致的，以报价表为准；</w:t>
      </w:r>
    </w:p>
    <w:p w14:paraId="07F6321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10.4响应文件中的大写金额和小写金额不一致的，以大写金额为准；</w:t>
      </w:r>
    </w:p>
    <w:p w14:paraId="20FCC47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10.5 单价金额小数点或者百分比有明显错位的，以开标一览表的总价为准，并修改单价；</w:t>
      </w:r>
    </w:p>
    <w:p w14:paraId="42D14C14">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10.6 总价金额与按单价汇总金额不一致的，以单价金额计算结果为准；</w:t>
      </w:r>
    </w:p>
    <w:p w14:paraId="4EC58C35">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10.7若用文字表示的数值与用数字表示的数值不一致，以文字表示的数值为准；</w:t>
      </w:r>
    </w:p>
    <w:p w14:paraId="33E584E1">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10.8 如有多报（指数量超出竞争性磋商文件需求）、重报（指同一货物重复报价），其投标总价在评标过程中不予调整，如其中标，其合同价按其投标单价予以调整；</w:t>
      </w:r>
    </w:p>
    <w:p w14:paraId="5DA3837C">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10.9对不同文字文本响应文件的解释发生异议的，以中文文本为准；</w:t>
      </w:r>
    </w:p>
    <w:p w14:paraId="61054F52">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w:t>
      </w:r>
      <w:r>
        <w:rPr>
          <w:rFonts w:hint="eastAsia" w:ascii="微软雅黑" w:hAnsi="微软雅黑" w:eastAsia="微软雅黑" w:cs="微软雅黑"/>
          <w:b/>
          <w:bCs/>
          <w:color w:val="auto"/>
          <w:sz w:val="24"/>
          <w:szCs w:val="24"/>
          <w:highlight w:val="none"/>
          <w:lang w:val="en-US" w:eastAsia="zh-CN"/>
        </w:rPr>
        <w:t>修正应当采用电子标的形式，并加盖公章（电子印章）。</w:t>
      </w:r>
    </w:p>
    <w:p w14:paraId="0EA20750">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11、有下列情形之一的，响应文件按无效标处理：</w:t>
      </w:r>
    </w:p>
    <w:p w14:paraId="4E5990E8">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 报名的供应商与参加投标的供应商发生实质性变更的且未提供有效证明的；</w:t>
      </w:r>
    </w:p>
    <w:p w14:paraId="751AFCD7">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11.2供应商提交两份或两份以上内容不同的响应文件，未声明哪一份有效的；</w:t>
      </w:r>
    </w:p>
    <w:p w14:paraId="381D4D0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11.3 响应文件非供应商法定代表人签署的，未提供或提供无效的法定代表人授权书的；</w:t>
      </w:r>
    </w:p>
    <w:p w14:paraId="54E7CB6C">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11.4响应文件内容未按</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磋商文件规定签字或盖章的；</w:t>
      </w:r>
    </w:p>
    <w:p w14:paraId="6AF86A07">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11.5 响应文件组成漏项或未按规定的格式编制或上传的响应文件内容不全或内容字迹模糊辨认不清的而导致评标活动无法正常进行；</w:t>
      </w:r>
    </w:p>
    <w:p w14:paraId="5B3EDA6C">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11.6供应商未按</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磋商文件变更通知更改响应文件的；</w:t>
      </w:r>
    </w:p>
    <w:p w14:paraId="2A5D12D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11.7《开标一览表》和《投标分项报价表》内容不完整且不接受修正意见或字迹不能辨认的或未提供的；</w:t>
      </w:r>
    </w:p>
    <w:p w14:paraId="21D5E693">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11.8标项投标报价超过</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磋商文件规定的预算金额或最高限价；</w:t>
      </w:r>
    </w:p>
    <w:p w14:paraId="24436C08">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11.9 因供应商原因编制错误造成经评标委员会修正后的报价达到或超过投标报价的0.5%；</w:t>
      </w:r>
    </w:p>
    <w:p w14:paraId="5262647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11.10供应商的报价明显低于其他通过符合性审查供应商的报价，有可能影响产品质量或者不能诚信履约的，且在规定时间内不能合理说明原因并提供证明材料的；</w:t>
      </w:r>
    </w:p>
    <w:p w14:paraId="70C90589">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11.11 未实质性响应</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磋商文件中条款要求的响应文件；</w:t>
      </w:r>
    </w:p>
    <w:p w14:paraId="4AA053B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11.12 不符合招标范围、技术规格、技术标准的要求无法满足采购人使用要求；</w:t>
      </w:r>
    </w:p>
    <w:p w14:paraId="2949E3E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11.13 响应文件附有采购人不能接受的条款；</w:t>
      </w:r>
    </w:p>
    <w:p w14:paraId="10AE1ABA">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11.14 响应文件中提供了赠品或者与本项目采购无关的其他商品、服务；</w:t>
      </w:r>
    </w:p>
    <w:p w14:paraId="0376DB48">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11.15响应文件中承诺的投标有效期少于磋商文件中载明的投标有效期；</w:t>
      </w:r>
    </w:p>
    <w:p w14:paraId="4DE9BBFA">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11.16供应商串通投标，妨碍其他供应商的竞争行为，损害采购人或者其他供应商的合法权益；</w:t>
      </w:r>
    </w:p>
    <w:p w14:paraId="0D36531B">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11.17违反国家及政府部门相关法律、法规、文件规定或经评标委员会认定的其他属于重大偏离；</w:t>
      </w:r>
    </w:p>
    <w:p w14:paraId="0D7965F1">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12、废标</w:t>
      </w:r>
    </w:p>
    <w:p w14:paraId="59AB8D66">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12.1 符合</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磋商文件规定废标情形的；</w:t>
      </w:r>
    </w:p>
    <w:p w14:paraId="748D4FBE">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12.2出现影响采购公正的违法、违规行为的；</w:t>
      </w:r>
    </w:p>
    <w:p w14:paraId="701C5785">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12.3供应商的报价均超过了采购预算（或最高限价），采购人不能支付的;</w:t>
      </w:r>
    </w:p>
    <w:p w14:paraId="631BEFA3">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12.4因重大变故，采购任务取消的。</w:t>
      </w:r>
    </w:p>
    <w:p w14:paraId="615991B0">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13、突发情况处理</w:t>
      </w:r>
    </w:p>
    <w:p w14:paraId="24AEAC5C">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13.1 采购过程中出现以下情形，导致电子交易平台无法正常运行，或者无法保证电子交易的公平、公正和安全时，采购组织机构可中止电子交易活动：</w:t>
      </w:r>
    </w:p>
    <w:p w14:paraId="78BFAEC3">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（1）电子交易平台发生故障而无法登录访问的； </w:t>
      </w:r>
    </w:p>
    <w:p w14:paraId="0FCEA861">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（2）电子交易平台应用或数据库出现错误，不能进行正常操作的；</w:t>
      </w:r>
    </w:p>
    <w:p w14:paraId="784F1447">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（3）电子交易平台发现严重安全漏洞，有潜在泄密危险的；</w:t>
      </w:r>
    </w:p>
    <w:p w14:paraId="19350E5F">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（4）病毒发作导致不能进行正常操作的； </w:t>
      </w:r>
    </w:p>
    <w:p w14:paraId="393FD530">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（5）其他无法保证电子交易的公平、公正和安全的情况。</w:t>
      </w:r>
    </w:p>
    <w:p w14:paraId="2972BA7A">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9BD5268">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13.2 代理机构或评审小组因不可抗力（不可抗力包括但不限于自然灾害、断电、传播疫病等）原因造成电子交易活动无法正常运行的，将采取以下措施：</w:t>
      </w:r>
    </w:p>
    <w:p w14:paraId="1CD76E9A">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（1）短时间内能消除不可抗力因素的，代理机构或评审小组在消除不可抗力因素后继续组织电子交易活动； </w:t>
      </w:r>
    </w:p>
    <w:p w14:paraId="5F4A4BC7">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（2）长时间内无法消除不可抗力因素的，代理机构或评审小组将中止电子交易活动。中止电子交易活动的，采购人应当重新组织政府采购活动。</w:t>
      </w:r>
    </w:p>
    <w:p w14:paraId="49E6B7A9">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480" w:firstLineChars="200"/>
        <w:jc w:val="both"/>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14.保密要求：</w:t>
      </w:r>
    </w:p>
    <w:p w14:paraId="696E207C">
      <w:pPr>
        <w:keepNext w:val="0"/>
        <w:keepLines w:val="0"/>
        <w:pageBreakBefore w:val="0"/>
        <w:widowControl/>
        <w:kinsoku/>
        <w:wordWrap/>
        <w:overflowPunct/>
        <w:topLinePunct w:val="0"/>
        <w:autoSpaceDE/>
        <w:autoSpaceDN/>
        <w:bidi w:val="0"/>
        <w:adjustRightInd/>
        <w:snapToGrid/>
        <w:spacing w:line="520" w:lineRule="exact"/>
        <w:ind w:firstLine="240" w:firstLineChars="100"/>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eastAsia="zh-CN"/>
        </w:rPr>
        <w:t>采购人</w:t>
      </w: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color w:val="000000"/>
          <w:kern w:val="0"/>
          <w:sz w:val="24"/>
          <w:szCs w:val="24"/>
          <w:lang w:eastAsia="zh-CN"/>
        </w:rPr>
        <w:t>代理机构</w:t>
      </w:r>
      <w:r>
        <w:rPr>
          <w:rFonts w:hint="eastAsia" w:ascii="微软雅黑" w:hAnsi="微软雅黑" w:eastAsia="微软雅黑" w:cs="微软雅黑"/>
          <w:color w:val="000000"/>
          <w:kern w:val="0"/>
          <w:sz w:val="24"/>
          <w:szCs w:val="24"/>
        </w:rPr>
        <w:t>确保</w:t>
      </w:r>
      <w:r>
        <w:rPr>
          <w:rFonts w:hint="eastAsia" w:ascii="微软雅黑" w:hAnsi="微软雅黑" w:eastAsia="微软雅黑" w:cs="微软雅黑"/>
          <w:color w:val="000000"/>
          <w:kern w:val="0"/>
          <w:sz w:val="24"/>
          <w:szCs w:val="24"/>
          <w:lang w:val="en-US" w:eastAsia="zh-CN"/>
        </w:rPr>
        <w:t>评标</w:t>
      </w:r>
      <w:r>
        <w:rPr>
          <w:rFonts w:hint="eastAsia" w:ascii="微软雅黑" w:hAnsi="微软雅黑" w:eastAsia="微软雅黑" w:cs="微软雅黑"/>
          <w:color w:val="000000"/>
          <w:kern w:val="0"/>
          <w:sz w:val="24"/>
          <w:szCs w:val="24"/>
        </w:rPr>
        <w:t>活动在严格保密的情况下进行。在采购结果确定前，</w:t>
      </w:r>
      <w:r>
        <w:rPr>
          <w:rFonts w:hint="eastAsia" w:ascii="微软雅黑" w:hAnsi="微软雅黑" w:eastAsia="微软雅黑" w:cs="微软雅黑"/>
          <w:color w:val="000000"/>
          <w:kern w:val="0"/>
          <w:sz w:val="24"/>
          <w:szCs w:val="24"/>
          <w:lang w:eastAsia="zh-CN"/>
        </w:rPr>
        <w:t>采购人</w:t>
      </w: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color w:val="000000"/>
          <w:kern w:val="0"/>
          <w:sz w:val="24"/>
          <w:szCs w:val="24"/>
          <w:lang w:eastAsia="zh-CN"/>
        </w:rPr>
        <w:t>代理机构</w:t>
      </w:r>
      <w:r>
        <w:rPr>
          <w:rFonts w:hint="eastAsia" w:ascii="微软雅黑" w:hAnsi="微软雅黑" w:eastAsia="微软雅黑" w:cs="微软雅黑"/>
          <w:color w:val="000000"/>
          <w:kern w:val="0"/>
          <w:sz w:val="24"/>
          <w:szCs w:val="24"/>
        </w:rPr>
        <w:t>对</w:t>
      </w:r>
      <w:r>
        <w:rPr>
          <w:rFonts w:hint="eastAsia" w:ascii="微软雅黑" w:hAnsi="微软雅黑" w:eastAsia="微软雅黑" w:cs="微软雅黑"/>
          <w:color w:val="000000"/>
          <w:kern w:val="0"/>
          <w:sz w:val="24"/>
          <w:szCs w:val="24"/>
          <w:lang w:val="en-US" w:eastAsia="zh-CN"/>
        </w:rPr>
        <w:t>评审专家</w:t>
      </w:r>
      <w:r>
        <w:rPr>
          <w:rFonts w:hint="eastAsia" w:ascii="微软雅黑" w:hAnsi="微软雅黑" w:eastAsia="微软雅黑" w:cs="微软雅黑"/>
          <w:color w:val="000000"/>
          <w:kern w:val="0"/>
          <w:sz w:val="24"/>
          <w:szCs w:val="24"/>
        </w:rPr>
        <w:t>名单保密。</w:t>
      </w:r>
      <w:r>
        <w:rPr>
          <w:rFonts w:hint="eastAsia" w:ascii="微软雅黑" w:hAnsi="微软雅黑" w:eastAsia="微软雅黑" w:cs="微软雅黑"/>
          <w:sz w:val="24"/>
          <w:szCs w:val="24"/>
        </w:rPr>
        <w:t>与</w:t>
      </w:r>
      <w:r>
        <w:rPr>
          <w:rFonts w:hint="eastAsia" w:ascii="微软雅黑" w:hAnsi="微软雅黑" w:eastAsia="微软雅黑" w:cs="微软雅黑"/>
          <w:sz w:val="24"/>
          <w:szCs w:val="24"/>
          <w:lang w:eastAsia="zh-CN"/>
        </w:rPr>
        <w:t>评审</w:t>
      </w:r>
      <w:r>
        <w:rPr>
          <w:rFonts w:hint="eastAsia" w:ascii="微软雅黑" w:hAnsi="微软雅黑" w:eastAsia="微软雅黑" w:cs="微软雅黑"/>
          <w:sz w:val="24"/>
          <w:szCs w:val="24"/>
        </w:rPr>
        <w:t>工作无关的人员不得进入现场</w:t>
      </w:r>
      <w:r>
        <w:rPr>
          <w:rFonts w:hint="eastAsia" w:ascii="微软雅黑" w:hAnsi="微软雅黑" w:eastAsia="微软雅黑" w:cs="微软雅黑"/>
          <w:color w:val="000000"/>
          <w:kern w:val="0"/>
          <w:sz w:val="24"/>
          <w:szCs w:val="24"/>
          <w:lang w:val="en-US" w:eastAsia="zh-CN"/>
        </w:rPr>
        <w:t>。有关人员须对评审情况以及在评审过程中获悉的国家秘密、商业秘密负有保密责任</w:t>
      </w:r>
      <w:r>
        <w:rPr>
          <w:rFonts w:hint="eastAsia" w:ascii="微软雅黑" w:hAnsi="微软雅黑" w:eastAsia="微软雅黑" w:cs="微软雅黑"/>
          <w:color w:val="000000"/>
          <w:kern w:val="0"/>
          <w:sz w:val="24"/>
          <w:szCs w:val="24"/>
        </w:rPr>
        <w:t>。</w:t>
      </w:r>
    </w:p>
    <w:p w14:paraId="42F6DEF2">
      <w:pPr>
        <w:keepNext w:val="0"/>
        <w:keepLines w:val="0"/>
        <w:pageBreakBefore w:val="0"/>
        <w:shd w:val="clear" w:color="auto" w:fill="auto"/>
        <w:kinsoku/>
        <w:wordWrap/>
        <w:overflowPunct/>
        <w:topLinePunct w:val="0"/>
        <w:bidi w:val="0"/>
        <w:snapToGrid w:val="0"/>
        <w:spacing w:line="520" w:lineRule="exact"/>
        <w:ind w:firstLine="421"/>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val="en-US" w:eastAsia="zh-CN"/>
        </w:rPr>
        <w:t>15、</w:t>
      </w:r>
      <w:r>
        <w:rPr>
          <w:rFonts w:hint="eastAsia" w:ascii="微软雅黑" w:hAnsi="微软雅黑" w:eastAsia="微软雅黑" w:cs="微软雅黑"/>
          <w:b/>
          <w:color w:val="auto"/>
          <w:sz w:val="24"/>
          <w:szCs w:val="24"/>
          <w:highlight w:val="none"/>
        </w:rPr>
        <w:t xml:space="preserve"> 定标</w:t>
      </w:r>
    </w:p>
    <w:p w14:paraId="1E23BC9B">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b w:val="0"/>
          <w:bCs w:val="0"/>
          <w:color w:val="auto"/>
          <w:sz w:val="24"/>
          <w:szCs w:val="24"/>
          <w:highlight w:val="none"/>
          <w:lang w:val="en-US" w:eastAsia="zh-CN"/>
        </w:rPr>
        <w:t>15.1采购结果确认（确定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w:t>
      </w:r>
    </w:p>
    <w:p w14:paraId="05ECBD16">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采购结果确认（确定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供应商）：本项目由采购人根据评审专家提交的《评审报告》，通过“政府采购云平台”依法确认采购结果、确定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供应商。具体流程如下：</w:t>
      </w:r>
    </w:p>
    <w:p w14:paraId="4E882B14">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（1）代理机构将在评审结束后2个工作日内将评审报告送采购人，同时在政采云平台提交采购结果至采购人确认。</w:t>
      </w:r>
    </w:p>
    <w:p w14:paraId="1EA1BC97">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（2）采购人将在收到评审报告之日起5个工作日内，在评审报告推荐的</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候选供应商名单中按顺序确定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 xml:space="preserve">供应商，并将确认意见以书面形式回复代理机构，同时在政采云平台线上确认采购结果。 </w:t>
      </w:r>
    </w:p>
    <w:p w14:paraId="286E43DA">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15.2采购结果经采购人确认后2个工作日内，代理机构将在</w:t>
      </w:r>
      <w:r>
        <w:rPr>
          <w:rFonts w:hint="eastAsia" w:ascii="微软雅黑" w:hAnsi="微软雅黑" w:eastAsia="微软雅黑" w:cs="微软雅黑"/>
          <w:b/>
          <w:bCs/>
          <w:color w:val="auto"/>
          <w:sz w:val="24"/>
          <w:szCs w:val="24"/>
          <w:highlight w:val="none"/>
          <w:lang w:val="en-US" w:eastAsia="zh-CN"/>
        </w:rPr>
        <w:t>新疆政府采购网（www.zjzfcg.gov.cn）上公示采购结果，中标（成交）公示期限为1个工作日。</w:t>
      </w:r>
    </w:p>
    <w:p w14:paraId="60797A30">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16、 中标（成交）通知书</w:t>
      </w:r>
    </w:p>
    <w:p w14:paraId="20E5501E">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16.1</w:t>
      </w:r>
      <w:r>
        <w:rPr>
          <w:rFonts w:hint="eastAsia" w:ascii="微软雅黑" w:hAnsi="微软雅黑" w:eastAsia="微软雅黑" w:cs="微软雅黑"/>
          <w:color w:val="auto"/>
          <w:sz w:val="24"/>
          <w:szCs w:val="24"/>
          <w:highlight w:val="none"/>
        </w:rPr>
        <w:t>在</w:t>
      </w:r>
      <w:r>
        <w:rPr>
          <w:rFonts w:hint="eastAsia" w:ascii="微软雅黑" w:hAnsi="微软雅黑" w:eastAsia="微软雅黑" w:cs="微软雅黑"/>
          <w:color w:val="auto"/>
          <w:sz w:val="24"/>
          <w:szCs w:val="24"/>
          <w:highlight w:val="none"/>
          <w:lang w:val="en-US" w:eastAsia="zh-CN"/>
        </w:rPr>
        <w:t>中标（成交）</w:t>
      </w:r>
      <w:r>
        <w:rPr>
          <w:rFonts w:hint="eastAsia" w:ascii="微软雅黑" w:hAnsi="微软雅黑" w:eastAsia="微软雅黑" w:cs="微软雅黑"/>
          <w:color w:val="auto"/>
          <w:sz w:val="24"/>
          <w:szCs w:val="24"/>
          <w:highlight w:val="none"/>
        </w:rPr>
        <w:t>通知书发出前，</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将</w:t>
      </w:r>
      <w:r>
        <w:rPr>
          <w:rFonts w:hint="eastAsia" w:ascii="微软雅黑" w:hAnsi="微软雅黑" w:eastAsia="微软雅黑" w:cs="微软雅黑"/>
          <w:color w:val="auto"/>
          <w:sz w:val="24"/>
          <w:szCs w:val="24"/>
          <w:highlight w:val="none"/>
          <w:lang w:eastAsia="zh-CN"/>
        </w:rPr>
        <w:t>中标（成交）供应商</w:t>
      </w:r>
      <w:r>
        <w:rPr>
          <w:rFonts w:hint="eastAsia" w:ascii="微软雅黑" w:hAnsi="微软雅黑" w:eastAsia="微软雅黑" w:cs="微软雅黑"/>
          <w:color w:val="auto"/>
          <w:sz w:val="24"/>
          <w:szCs w:val="24"/>
          <w:highlight w:val="none"/>
        </w:rPr>
        <w:t>的情况在</w:t>
      </w:r>
      <w:r>
        <w:rPr>
          <w:rFonts w:hint="eastAsia" w:ascii="微软雅黑" w:hAnsi="微软雅黑" w:eastAsia="微软雅黑" w:cs="微软雅黑"/>
          <w:color w:val="auto"/>
          <w:sz w:val="24"/>
          <w:szCs w:val="24"/>
          <w:highlight w:val="none"/>
          <w:lang w:eastAsia="zh-CN"/>
        </w:rPr>
        <w:t>新疆政府采购网</w:t>
      </w:r>
      <w:r>
        <w:rPr>
          <w:rFonts w:hint="eastAsia" w:ascii="微软雅黑" w:hAnsi="微软雅黑" w:eastAsia="微软雅黑" w:cs="微软雅黑"/>
          <w:color w:val="auto"/>
          <w:sz w:val="24"/>
          <w:szCs w:val="24"/>
          <w:highlight w:val="none"/>
        </w:rPr>
        <w:t>予以公示，</w:t>
      </w:r>
      <w:r>
        <w:rPr>
          <w:rFonts w:hint="eastAsia" w:ascii="微软雅黑" w:hAnsi="微软雅黑" w:eastAsia="微软雅黑" w:cs="微软雅黑"/>
          <w:b/>
          <w:bCs/>
          <w:color w:val="auto"/>
          <w:sz w:val="24"/>
          <w:szCs w:val="24"/>
          <w:highlight w:val="none"/>
        </w:rPr>
        <w:t>公示期为</w:t>
      </w:r>
      <w:r>
        <w:rPr>
          <w:rFonts w:hint="eastAsia" w:ascii="微软雅黑" w:hAnsi="微软雅黑" w:eastAsia="微软雅黑" w:cs="微软雅黑"/>
          <w:b/>
          <w:bCs/>
          <w:color w:val="auto"/>
          <w:sz w:val="24"/>
          <w:szCs w:val="24"/>
          <w:highlight w:val="none"/>
          <w:lang w:eastAsia="zh-CN"/>
        </w:rPr>
        <w:t>一</w:t>
      </w:r>
      <w:r>
        <w:rPr>
          <w:rFonts w:hint="eastAsia" w:ascii="微软雅黑" w:hAnsi="微软雅黑" w:eastAsia="微软雅黑" w:cs="微软雅黑"/>
          <w:b/>
          <w:bCs/>
          <w:color w:val="auto"/>
          <w:sz w:val="24"/>
          <w:szCs w:val="24"/>
          <w:highlight w:val="none"/>
        </w:rPr>
        <w:t>个工作日。</w:t>
      </w:r>
      <w:r>
        <w:rPr>
          <w:rFonts w:hint="eastAsia" w:ascii="微软雅黑" w:hAnsi="微软雅黑" w:eastAsia="微软雅黑" w:cs="微软雅黑"/>
          <w:b/>
          <w:bCs/>
          <w:color w:val="auto"/>
          <w:sz w:val="24"/>
          <w:szCs w:val="24"/>
          <w:highlight w:val="none"/>
          <w:lang w:eastAsia="zh-CN"/>
        </w:rPr>
        <w:t>待公示期结束后，</w:t>
      </w:r>
      <w:r>
        <w:rPr>
          <w:rFonts w:hint="eastAsia" w:ascii="微软雅黑" w:hAnsi="微软雅黑" w:eastAsia="微软雅黑" w:cs="微软雅黑"/>
          <w:b w:val="0"/>
          <w:bCs w:val="0"/>
          <w:color w:val="auto"/>
          <w:sz w:val="24"/>
          <w:szCs w:val="24"/>
          <w:highlight w:val="none"/>
          <w:lang w:val="en-US" w:eastAsia="zh-CN"/>
        </w:rPr>
        <w:t>采购组织机构向</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(成交)供应商</w:t>
      </w:r>
      <w:r>
        <w:rPr>
          <w:rFonts w:hint="eastAsia" w:ascii="微软雅黑" w:hAnsi="微软雅黑" w:eastAsia="微软雅黑" w:cs="微软雅黑"/>
          <w:b w:val="0"/>
          <w:bCs w:val="0"/>
          <w:color w:val="auto"/>
          <w:sz w:val="24"/>
          <w:szCs w:val="24"/>
          <w:highlight w:val="none"/>
          <w:lang w:val="en-US" w:eastAsia="zh-CN"/>
        </w:rPr>
        <w:t>发出中标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通知书。</w:t>
      </w:r>
    </w:p>
    <w:p w14:paraId="57BA51F4">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480" w:firstLineChars="200"/>
        <w:jc w:val="left"/>
        <w:textAlignment w:val="baseline"/>
        <w:rPr>
          <w:rFonts w:hint="eastAsia" w:ascii="微软雅黑" w:hAnsi="微软雅黑" w:eastAsia="微软雅黑" w:cs="微软雅黑"/>
          <w:b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0BA686C5">
      <w:pPr>
        <w:pStyle w:val="37"/>
        <w:keepNext w:val="0"/>
        <w:keepLines w:val="0"/>
        <w:pageBreakBefore w:val="0"/>
        <w:kinsoku/>
        <w:wordWrap/>
        <w:overflowPunct/>
        <w:topLinePunct w:val="0"/>
        <w:bidi w:val="0"/>
        <w:spacing w:line="520" w:lineRule="exact"/>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17、磋商小组推荐成交供应商的数量</w:t>
      </w:r>
      <w:r>
        <w:rPr>
          <w:rFonts w:hint="eastAsia" w:ascii="微软雅黑" w:hAnsi="微软雅黑" w:eastAsia="微软雅黑" w:cs="微软雅黑"/>
          <w:b/>
          <w:bCs/>
          <w:color w:val="auto"/>
          <w:kern w:val="2"/>
          <w:sz w:val="24"/>
          <w:szCs w:val="24"/>
          <w:highlight w:val="none"/>
          <w:u w:val="single"/>
          <w:lang w:val="en-US" w:eastAsia="zh-CN" w:bidi="ar-SA"/>
        </w:rPr>
        <w:t>：1</w:t>
      </w:r>
      <w:r>
        <w:rPr>
          <w:rFonts w:hint="eastAsia" w:ascii="微软雅黑" w:hAnsi="微软雅黑" w:eastAsia="微软雅黑" w:cs="微软雅黑"/>
          <w:b/>
          <w:bCs/>
          <w:color w:val="auto"/>
          <w:kern w:val="2"/>
          <w:sz w:val="24"/>
          <w:szCs w:val="24"/>
          <w:highlight w:val="none"/>
          <w:lang w:val="en-US" w:eastAsia="zh-CN" w:bidi="ar-SA"/>
        </w:rPr>
        <w:t xml:space="preserve">。 </w:t>
      </w:r>
    </w:p>
    <w:p w14:paraId="2E79F842">
      <w:pPr>
        <w:pStyle w:val="8"/>
        <w:pageBreakBefore w:val="0"/>
        <w:kinsoku/>
        <w:wordWrap/>
        <w:overflowPunct/>
        <w:topLinePunct w:val="0"/>
        <w:bidi w:val="0"/>
        <w:spacing w:line="520" w:lineRule="exact"/>
      </w:pPr>
    </w:p>
    <w:p w14:paraId="185C589B"/>
    <w:p w14:paraId="6ADFFFA3">
      <w:pPr>
        <w:pageBreakBefore w:val="0"/>
        <w:kinsoku/>
        <w:wordWrap/>
        <w:overflowPunct/>
        <w:topLinePunct w:val="0"/>
        <w:bidi w:val="0"/>
        <w:snapToGrid w:val="0"/>
        <w:spacing w:line="520" w:lineRule="exact"/>
        <w:jc w:val="center"/>
        <w:textAlignment w:val="baseline"/>
        <w:outlineLvl w:val="1"/>
        <w:rPr>
          <w:rFonts w:ascii="微软雅黑" w:hAnsi="微软雅黑" w:eastAsia="微软雅黑" w:cs="微软雅黑"/>
          <w:b/>
          <w:bCs/>
          <w:sz w:val="24"/>
        </w:rPr>
      </w:pPr>
      <w:bookmarkStart w:id="765" w:name="_Toc1826"/>
      <w:bookmarkStart w:id="766" w:name="_Toc10077"/>
      <w:bookmarkStart w:id="767" w:name="_Toc18832"/>
      <w:bookmarkStart w:id="768" w:name="_Toc30239"/>
      <w:r>
        <w:rPr>
          <w:rFonts w:hint="eastAsia" w:ascii="微软雅黑" w:hAnsi="微软雅黑" w:eastAsia="微软雅黑" w:cs="微软雅黑"/>
          <w:b/>
          <w:bCs/>
          <w:sz w:val="24"/>
        </w:rPr>
        <w:t>初步评审—资格性审查表</w:t>
      </w:r>
      <w:bookmarkEnd w:id="748"/>
      <w:bookmarkEnd w:id="749"/>
      <w:bookmarkEnd w:id="750"/>
      <w:bookmarkEnd w:id="751"/>
      <w:bookmarkEnd w:id="752"/>
      <w:bookmarkEnd w:id="753"/>
      <w:bookmarkEnd w:id="754"/>
      <w:bookmarkEnd w:id="755"/>
      <w:bookmarkEnd w:id="756"/>
      <w:bookmarkEnd w:id="757"/>
      <w:bookmarkEnd w:id="765"/>
      <w:bookmarkEnd w:id="766"/>
      <w:bookmarkEnd w:id="767"/>
      <w:bookmarkEnd w:id="768"/>
    </w:p>
    <w:tbl>
      <w:tblPr>
        <w:tblStyle w:val="38"/>
        <w:tblpPr w:leftFromText="180" w:rightFromText="180" w:vertAnchor="text" w:horzAnchor="page" w:tblpXSpec="center" w:tblpY="116"/>
        <w:tblOverlap w:val="never"/>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225"/>
        <w:gridCol w:w="912"/>
        <w:gridCol w:w="750"/>
        <w:gridCol w:w="727"/>
      </w:tblGrid>
      <w:tr w14:paraId="0082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53" w:type="dxa"/>
            <w:vMerge w:val="restart"/>
            <w:vAlign w:val="center"/>
          </w:tcPr>
          <w:p w14:paraId="72C3F5FA">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r>
              <w:rPr>
                <w:rFonts w:hint="eastAsia" w:ascii="微软雅黑" w:hAnsi="微软雅黑" w:eastAsia="微软雅黑" w:cs="微软雅黑"/>
                <w:bCs/>
                <w:sz w:val="21"/>
                <w:szCs w:val="21"/>
              </w:rPr>
              <w:t>序号</w:t>
            </w:r>
          </w:p>
        </w:tc>
        <w:tc>
          <w:tcPr>
            <w:tcW w:w="7225" w:type="dxa"/>
            <w:vMerge w:val="restart"/>
            <w:vAlign w:val="center"/>
          </w:tcPr>
          <w:p w14:paraId="4FCD33A8">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r>
              <w:rPr>
                <w:rFonts w:hint="eastAsia" w:ascii="微软雅黑" w:hAnsi="微软雅黑" w:eastAsia="微软雅黑" w:cs="微软雅黑"/>
                <w:bCs/>
                <w:sz w:val="21"/>
                <w:szCs w:val="21"/>
              </w:rPr>
              <w:t>评审内容</w:t>
            </w:r>
          </w:p>
        </w:tc>
        <w:tc>
          <w:tcPr>
            <w:tcW w:w="2389" w:type="dxa"/>
            <w:gridSpan w:val="3"/>
            <w:vAlign w:val="center"/>
          </w:tcPr>
          <w:p w14:paraId="6AE5FBB4">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b/>
                <w:sz w:val="21"/>
                <w:szCs w:val="21"/>
                <w:lang w:eastAsia="zh-CN"/>
              </w:rPr>
            </w:pPr>
            <w:r>
              <w:rPr>
                <w:rFonts w:hint="eastAsia" w:ascii="微软雅黑" w:hAnsi="微软雅黑" w:eastAsia="微软雅黑" w:cs="微软雅黑"/>
                <w:b/>
                <w:sz w:val="21"/>
                <w:szCs w:val="21"/>
                <w:lang w:eastAsia="zh-CN"/>
              </w:rPr>
              <w:t>供应商</w:t>
            </w:r>
          </w:p>
        </w:tc>
      </w:tr>
      <w:tr w14:paraId="1AC1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53" w:type="dxa"/>
            <w:vMerge w:val="continue"/>
            <w:vAlign w:val="center"/>
          </w:tcPr>
          <w:p w14:paraId="1455936B">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p>
        </w:tc>
        <w:tc>
          <w:tcPr>
            <w:tcW w:w="7225" w:type="dxa"/>
            <w:vMerge w:val="continue"/>
            <w:vAlign w:val="center"/>
          </w:tcPr>
          <w:p w14:paraId="3A5F446B">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p>
        </w:tc>
        <w:tc>
          <w:tcPr>
            <w:tcW w:w="912" w:type="dxa"/>
            <w:vAlign w:val="center"/>
          </w:tcPr>
          <w:p w14:paraId="132E7C71">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sz w:val="21"/>
                <w:szCs w:val="21"/>
              </w:rPr>
            </w:pPr>
            <w:r>
              <w:rPr>
                <w:rFonts w:hint="eastAsia" w:ascii="微软雅黑" w:hAnsi="微软雅黑" w:eastAsia="微软雅黑" w:cs="微软雅黑"/>
                <w:sz w:val="21"/>
                <w:szCs w:val="21"/>
              </w:rPr>
              <w:t>是否合格</w:t>
            </w:r>
          </w:p>
        </w:tc>
        <w:tc>
          <w:tcPr>
            <w:tcW w:w="750" w:type="dxa"/>
            <w:vAlign w:val="center"/>
          </w:tcPr>
          <w:p w14:paraId="04803154">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sz w:val="21"/>
                <w:szCs w:val="21"/>
              </w:rPr>
            </w:pPr>
            <w:r>
              <w:rPr>
                <w:rFonts w:hint="eastAsia" w:ascii="微软雅黑" w:hAnsi="微软雅黑" w:eastAsia="微软雅黑" w:cs="微软雅黑"/>
                <w:sz w:val="21"/>
                <w:szCs w:val="21"/>
              </w:rPr>
              <w:t>是否合格</w:t>
            </w:r>
          </w:p>
        </w:tc>
        <w:tc>
          <w:tcPr>
            <w:tcW w:w="727" w:type="dxa"/>
            <w:vAlign w:val="center"/>
          </w:tcPr>
          <w:p w14:paraId="511A8FD1">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sz w:val="21"/>
                <w:szCs w:val="21"/>
              </w:rPr>
            </w:pPr>
            <w:r>
              <w:rPr>
                <w:rFonts w:hint="eastAsia" w:ascii="微软雅黑" w:hAnsi="微软雅黑" w:eastAsia="微软雅黑" w:cs="微软雅黑"/>
                <w:sz w:val="21"/>
                <w:szCs w:val="21"/>
              </w:rPr>
              <w:t>是否合格</w:t>
            </w:r>
          </w:p>
        </w:tc>
      </w:tr>
      <w:tr w14:paraId="5C60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3" w:type="dxa"/>
            <w:vAlign w:val="center"/>
          </w:tcPr>
          <w:p w14:paraId="20108319">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p>
        </w:tc>
        <w:tc>
          <w:tcPr>
            <w:tcW w:w="7225" w:type="dxa"/>
            <w:vAlign w:val="center"/>
          </w:tcPr>
          <w:p w14:paraId="5A0C2379">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val="en-US" w:eastAsia="zh-CN"/>
              </w:rPr>
              <w:t>具有独立承担民事责任的能力；（投标时，提供在中华人民共和国境内注册的法人或其他组织的营业执照或事业单位法人证书或社会团体法人登记证书）</w:t>
            </w:r>
          </w:p>
        </w:tc>
        <w:tc>
          <w:tcPr>
            <w:tcW w:w="912" w:type="dxa"/>
          </w:tcPr>
          <w:p w14:paraId="433B209B">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0753DA04">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59CFDB8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7C98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53" w:type="dxa"/>
            <w:vAlign w:val="center"/>
          </w:tcPr>
          <w:p w14:paraId="54A99F07">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p>
        </w:tc>
        <w:tc>
          <w:tcPr>
            <w:tcW w:w="7225" w:type="dxa"/>
            <w:vAlign w:val="center"/>
          </w:tcPr>
          <w:p w14:paraId="3355B3D2">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提供法定代表人资格证明及授权书、被授权人身份证；(法定代表人投标需提供法定代表人身份证)；</w:t>
            </w:r>
          </w:p>
        </w:tc>
        <w:tc>
          <w:tcPr>
            <w:tcW w:w="912" w:type="dxa"/>
          </w:tcPr>
          <w:p w14:paraId="2DBC41F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00F76B53">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5DA96D08">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1599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3" w:type="dxa"/>
            <w:vAlign w:val="center"/>
          </w:tcPr>
          <w:p w14:paraId="117AB163">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25" w:type="dxa"/>
            <w:vAlign w:val="center"/>
          </w:tcPr>
          <w:p w14:paraId="7B47AFD3">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提供本单位依法缴纳近4个月内任意一个月的社会保险证明及法定代表人或授权委托人在本单位依法缴纳近4个月内任意一个月的社会保险明细（新成立公司提供相关证明文件）；</w:t>
            </w:r>
          </w:p>
        </w:tc>
        <w:tc>
          <w:tcPr>
            <w:tcW w:w="912" w:type="dxa"/>
          </w:tcPr>
          <w:p w14:paraId="3D1EC907">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19C1AE3B">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4DE96C4F">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54FD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53" w:type="dxa"/>
            <w:vAlign w:val="center"/>
          </w:tcPr>
          <w:p w14:paraId="5751FF18">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r>
              <w:rPr>
                <w:rFonts w:hint="eastAsia" w:ascii="微软雅黑" w:hAnsi="微软雅黑" w:eastAsia="微软雅黑" w:cs="微软雅黑"/>
                <w:bCs/>
                <w:sz w:val="21"/>
                <w:szCs w:val="21"/>
              </w:rPr>
              <w:t>4</w:t>
            </w:r>
          </w:p>
        </w:tc>
        <w:tc>
          <w:tcPr>
            <w:tcW w:w="7225" w:type="dxa"/>
            <w:vAlign w:val="center"/>
          </w:tcPr>
          <w:p w14:paraId="76751DD5">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提供税务部门出具的本单位近6个月内任意一个月的完税证明（依法免缴的应提供依法免缴的相关证明文件或零申报报表）；</w:t>
            </w:r>
          </w:p>
        </w:tc>
        <w:tc>
          <w:tcPr>
            <w:tcW w:w="912" w:type="dxa"/>
          </w:tcPr>
          <w:p w14:paraId="0C943D55">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69EC5EAF">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08E7F1E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4842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3" w:type="dxa"/>
            <w:vAlign w:val="center"/>
          </w:tcPr>
          <w:p w14:paraId="4FE46BA2">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r>
              <w:rPr>
                <w:rFonts w:hint="eastAsia" w:ascii="微软雅黑" w:hAnsi="微软雅黑" w:eastAsia="微软雅黑" w:cs="微软雅黑"/>
                <w:kern w:val="0"/>
                <w:sz w:val="21"/>
                <w:szCs w:val="21"/>
              </w:rPr>
              <w:t>5</w:t>
            </w:r>
          </w:p>
        </w:tc>
        <w:tc>
          <w:tcPr>
            <w:tcW w:w="7225" w:type="dxa"/>
            <w:vAlign w:val="center"/>
          </w:tcPr>
          <w:p w14:paraId="09BCE5A2">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提供近两年任意一年完整的财务审计报告（或近一个月的银行资信证明）；</w:t>
            </w:r>
          </w:p>
        </w:tc>
        <w:tc>
          <w:tcPr>
            <w:tcW w:w="912" w:type="dxa"/>
          </w:tcPr>
          <w:p w14:paraId="5EC96A0D">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1C4B21CD">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3056BDE6">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2498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53" w:type="dxa"/>
            <w:vAlign w:val="center"/>
          </w:tcPr>
          <w:p w14:paraId="1A0AD4FF">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6</w:t>
            </w:r>
          </w:p>
        </w:tc>
        <w:tc>
          <w:tcPr>
            <w:tcW w:w="7225" w:type="dxa"/>
            <w:vAlign w:val="center"/>
          </w:tcPr>
          <w:p w14:paraId="6CF3C5D1">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ascii="微软雅黑" w:hAnsi="微软雅黑" w:eastAsia="微软雅黑" w:cs="微软雅黑"/>
                <w:kern w:val="0"/>
                <w:sz w:val="21"/>
                <w:szCs w:val="21"/>
                <w:highlight w:val="none"/>
                <w:lang w:val="en-US" w:eastAsia="zh-CN" w:bidi="ar-SA"/>
              </w:rPr>
            </w:pPr>
            <w:r>
              <w:rPr>
                <w:rFonts w:hint="eastAsia" w:ascii="微软雅黑" w:hAnsi="微软雅黑" w:eastAsia="微软雅黑" w:cs="微软雅黑"/>
                <w:kern w:val="0"/>
                <w:sz w:val="21"/>
                <w:szCs w:val="21"/>
                <w:highlight w:val="none"/>
                <w:lang w:val="en-US" w:eastAsia="zh-CN" w:bidi="ar-SA"/>
              </w:rPr>
              <w:t>参与政府采购活动前3年内未被列入失信、重大税收违法案件、财政部门禁止参加政府采购活动的承诺书；</w:t>
            </w:r>
          </w:p>
        </w:tc>
        <w:tc>
          <w:tcPr>
            <w:tcW w:w="912" w:type="dxa"/>
          </w:tcPr>
          <w:p w14:paraId="275ED8CB">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275A7306">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5C23BE98">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0BF1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3B5CFEF4">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7</w:t>
            </w:r>
          </w:p>
        </w:tc>
        <w:tc>
          <w:tcPr>
            <w:tcW w:w="7225" w:type="dxa"/>
            <w:vAlign w:val="center"/>
          </w:tcPr>
          <w:p w14:paraId="55ADEAFC">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提供针对本次项目的反商业贿赂承诺书。</w:t>
            </w:r>
          </w:p>
        </w:tc>
        <w:tc>
          <w:tcPr>
            <w:tcW w:w="912" w:type="dxa"/>
          </w:tcPr>
          <w:p w14:paraId="30E6BB62">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3BA9A42A">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1F2A7C2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0A48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51A95304">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8</w:t>
            </w:r>
          </w:p>
        </w:tc>
        <w:tc>
          <w:tcPr>
            <w:tcW w:w="7225" w:type="dxa"/>
            <w:vAlign w:val="center"/>
          </w:tcPr>
          <w:p w14:paraId="456DDD26">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tc>
        <w:tc>
          <w:tcPr>
            <w:tcW w:w="912" w:type="dxa"/>
          </w:tcPr>
          <w:p w14:paraId="5DA8FB58">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3A1D6F8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0A906AD7">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650F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696EDFB5">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9</w:t>
            </w:r>
          </w:p>
        </w:tc>
        <w:tc>
          <w:tcPr>
            <w:tcW w:w="7225" w:type="dxa"/>
            <w:vAlign w:val="center"/>
          </w:tcPr>
          <w:p w14:paraId="73974D93">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企业资质要求：企业资质要求：[公路工程施工总承包三级]（含）及以上资质，并在人员、设备、资金等方面具有相应的施工能力。</w:t>
            </w:r>
          </w:p>
        </w:tc>
        <w:tc>
          <w:tcPr>
            <w:tcW w:w="912" w:type="dxa"/>
          </w:tcPr>
          <w:p w14:paraId="1BEF3433">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5C3A32F3">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2B1DE6A7">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4BE5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0C499F53">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10</w:t>
            </w:r>
          </w:p>
        </w:tc>
        <w:tc>
          <w:tcPr>
            <w:tcW w:w="7225" w:type="dxa"/>
            <w:vAlign w:val="center"/>
          </w:tcPr>
          <w:p w14:paraId="02FD2FC8">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lang w:val="en-US" w:eastAsia="zh-CN"/>
              </w:rPr>
              <w:t>项目负责人资质要求：【公路工程专业二级】（含）及二级以上注册建造师执业资格，具备交通运输主管部门颁发的有效的B类安全生产考核合格证书，且不得担任其他在建工程的项目负责人；</w:t>
            </w:r>
          </w:p>
        </w:tc>
        <w:tc>
          <w:tcPr>
            <w:tcW w:w="912" w:type="dxa"/>
          </w:tcPr>
          <w:p w14:paraId="1234713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2DA9E8B1">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0926E716">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52E7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5CD8F68C">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11</w:t>
            </w:r>
          </w:p>
        </w:tc>
        <w:tc>
          <w:tcPr>
            <w:tcW w:w="7225" w:type="dxa"/>
            <w:vAlign w:val="center"/>
          </w:tcPr>
          <w:p w14:paraId="0B103A0A">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磋商保证金有效凭证。</w:t>
            </w:r>
          </w:p>
        </w:tc>
        <w:tc>
          <w:tcPr>
            <w:tcW w:w="912" w:type="dxa"/>
          </w:tcPr>
          <w:p w14:paraId="65396E16">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0271F8E3">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64AE8AF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5DAB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7D427EDD">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12</w:t>
            </w:r>
          </w:p>
        </w:tc>
        <w:tc>
          <w:tcPr>
            <w:tcW w:w="7225" w:type="dxa"/>
            <w:vAlign w:val="center"/>
          </w:tcPr>
          <w:p w14:paraId="22DA16C4">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本项目为专门面向中小企业（供应商须根据招标文件中的法定格式提供中小企业声明函）。</w:t>
            </w:r>
          </w:p>
        </w:tc>
        <w:tc>
          <w:tcPr>
            <w:tcW w:w="912" w:type="dxa"/>
          </w:tcPr>
          <w:p w14:paraId="649ACABF">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524433C7">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1DB02F6E">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5A6D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08F72639">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sz w:val="21"/>
                <w:szCs w:val="21"/>
              </w:rPr>
            </w:pPr>
          </w:p>
        </w:tc>
        <w:tc>
          <w:tcPr>
            <w:tcW w:w="7225" w:type="dxa"/>
            <w:vAlign w:val="center"/>
          </w:tcPr>
          <w:p w14:paraId="02819EA3">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r>
              <w:rPr>
                <w:rFonts w:hint="eastAsia" w:ascii="微软雅黑" w:hAnsi="微软雅黑" w:eastAsia="微软雅黑" w:cs="微软雅黑"/>
                <w:sz w:val="21"/>
                <w:szCs w:val="21"/>
              </w:rPr>
              <w:t>结论</w:t>
            </w:r>
          </w:p>
        </w:tc>
        <w:tc>
          <w:tcPr>
            <w:tcW w:w="912" w:type="dxa"/>
          </w:tcPr>
          <w:p w14:paraId="6D0A55B7">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6F0FD3BC">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40023320">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bl>
    <w:p w14:paraId="3DA53989">
      <w:pPr>
        <w:pageBreakBefore w:val="0"/>
        <w:kinsoku/>
        <w:wordWrap/>
        <w:overflowPunct/>
        <w:topLinePunct w:val="0"/>
        <w:bidi w:val="0"/>
        <w:snapToGrid w:val="0"/>
        <w:spacing w:line="520" w:lineRule="exact"/>
        <w:textAlignment w:val="baseline"/>
        <w:rPr>
          <w:rFonts w:ascii="微软雅黑" w:hAnsi="微软雅黑" w:eastAsia="微软雅黑" w:cs="微软雅黑"/>
          <w:color w:val="D8EDEE"/>
          <w:sz w:val="24"/>
        </w:rPr>
      </w:pPr>
      <w:r>
        <w:rPr>
          <w:rFonts w:hint="eastAsia" w:ascii="微软雅黑" w:hAnsi="微软雅黑" w:eastAsia="微软雅黑" w:cs="微软雅黑"/>
          <w:sz w:val="24"/>
        </w:rPr>
        <w:t>说明：（1）上述各项中用“√”表示通过，“×”表示不通过；</w:t>
      </w:r>
    </w:p>
    <w:p w14:paraId="25F18F99">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（2）上述各项中如有一项为“×”，则结论为“×”，表示该磋商文件中存在重大偏差，不能通过初步评审；评委对某一分项评审认为不合格时，必须要写明原因。</w:t>
      </w:r>
    </w:p>
    <w:p w14:paraId="14CB8000">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（3）磋商文件最终合格与否，以所有评委的评审意见中少数服从多数为原则定论。</w:t>
      </w:r>
    </w:p>
    <w:p w14:paraId="2EFC8F1F">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bCs/>
          <w:sz w:val="24"/>
        </w:rPr>
      </w:pPr>
      <w:r>
        <w:rPr>
          <w:rFonts w:hint="eastAsia" w:ascii="微软雅黑" w:hAnsi="微软雅黑" w:eastAsia="微软雅黑" w:cs="微软雅黑"/>
          <w:b/>
          <w:bCs/>
          <w:sz w:val="24"/>
        </w:rPr>
        <w:t>备注：如果磋商文件中有一项未通过上述审查标准，评审委员会将认定整个磋商文件未响应磋商文件而予以废标处理。</w:t>
      </w:r>
      <w:bookmarkStart w:id="769" w:name="_Toc19552"/>
      <w:bookmarkStart w:id="770" w:name="_Toc22896"/>
    </w:p>
    <w:p w14:paraId="3186CE0B">
      <w:pPr>
        <w:pStyle w:val="27"/>
        <w:pageBreakBefore w:val="0"/>
        <w:kinsoku/>
        <w:wordWrap/>
        <w:overflowPunct/>
        <w:topLinePunct w:val="0"/>
        <w:bidi w:val="0"/>
        <w:spacing w:line="520" w:lineRule="exact"/>
        <w:rPr>
          <w:rFonts w:hint="eastAsia" w:ascii="微软雅黑" w:hAnsi="微软雅黑" w:eastAsia="微软雅黑" w:cs="微软雅黑"/>
          <w:b/>
          <w:bCs/>
          <w:sz w:val="24"/>
        </w:rPr>
      </w:pPr>
    </w:p>
    <w:p w14:paraId="04EEBF82">
      <w:pPr>
        <w:pStyle w:val="27"/>
        <w:pageBreakBefore w:val="0"/>
        <w:kinsoku/>
        <w:wordWrap/>
        <w:overflowPunct/>
        <w:topLinePunct w:val="0"/>
        <w:bidi w:val="0"/>
        <w:spacing w:line="520" w:lineRule="exact"/>
        <w:rPr>
          <w:rFonts w:hint="eastAsia" w:ascii="微软雅黑" w:hAnsi="微软雅黑" w:eastAsia="微软雅黑" w:cs="微软雅黑"/>
          <w:b/>
          <w:bCs/>
          <w:sz w:val="24"/>
        </w:rPr>
      </w:pPr>
    </w:p>
    <w:p w14:paraId="7C1B1AB5">
      <w:pPr>
        <w:pStyle w:val="11"/>
        <w:rPr>
          <w:rFonts w:hint="eastAsia" w:ascii="微软雅黑" w:hAnsi="微软雅黑" w:eastAsia="微软雅黑" w:cs="微软雅黑"/>
          <w:b/>
          <w:bCs/>
          <w:sz w:val="24"/>
        </w:rPr>
      </w:pPr>
    </w:p>
    <w:p w14:paraId="12E6A036">
      <w:pPr>
        <w:pStyle w:val="11"/>
        <w:rPr>
          <w:rFonts w:hint="eastAsia" w:ascii="微软雅黑" w:hAnsi="微软雅黑" w:eastAsia="微软雅黑" w:cs="微软雅黑"/>
          <w:b/>
          <w:bCs/>
          <w:sz w:val="24"/>
        </w:rPr>
      </w:pPr>
    </w:p>
    <w:p w14:paraId="3360F1E0">
      <w:pPr>
        <w:pStyle w:val="11"/>
        <w:rPr>
          <w:rFonts w:hint="eastAsia" w:ascii="微软雅黑" w:hAnsi="微软雅黑" w:eastAsia="微软雅黑" w:cs="微软雅黑"/>
          <w:b/>
          <w:bCs/>
          <w:sz w:val="24"/>
        </w:rPr>
      </w:pPr>
    </w:p>
    <w:p w14:paraId="23322B23">
      <w:pPr>
        <w:pStyle w:val="11"/>
        <w:rPr>
          <w:rFonts w:hint="eastAsia" w:ascii="微软雅黑" w:hAnsi="微软雅黑" w:eastAsia="微软雅黑" w:cs="微软雅黑"/>
          <w:b/>
          <w:bCs/>
          <w:sz w:val="24"/>
        </w:rPr>
      </w:pPr>
    </w:p>
    <w:p w14:paraId="54D72203">
      <w:pPr>
        <w:pStyle w:val="11"/>
        <w:rPr>
          <w:rFonts w:hint="eastAsia" w:ascii="微软雅黑" w:hAnsi="微软雅黑" w:eastAsia="微软雅黑" w:cs="微软雅黑"/>
          <w:b/>
          <w:bCs/>
          <w:sz w:val="24"/>
        </w:rPr>
      </w:pPr>
    </w:p>
    <w:p w14:paraId="68E6B476">
      <w:pPr>
        <w:pStyle w:val="11"/>
        <w:rPr>
          <w:rFonts w:hint="eastAsia" w:ascii="微软雅黑" w:hAnsi="微软雅黑" w:eastAsia="微软雅黑" w:cs="微软雅黑"/>
          <w:b/>
          <w:bCs/>
          <w:sz w:val="24"/>
        </w:rPr>
      </w:pPr>
    </w:p>
    <w:p w14:paraId="6A3C1183">
      <w:pPr>
        <w:pStyle w:val="11"/>
        <w:rPr>
          <w:rFonts w:hint="eastAsia" w:ascii="微软雅黑" w:hAnsi="微软雅黑" w:eastAsia="微软雅黑" w:cs="微软雅黑"/>
          <w:b/>
          <w:bCs/>
          <w:sz w:val="24"/>
        </w:rPr>
      </w:pPr>
    </w:p>
    <w:p w14:paraId="3F560330">
      <w:pPr>
        <w:pStyle w:val="11"/>
        <w:rPr>
          <w:rFonts w:hint="eastAsia" w:ascii="微软雅黑" w:hAnsi="微软雅黑" w:eastAsia="微软雅黑" w:cs="微软雅黑"/>
          <w:b/>
          <w:bCs/>
          <w:sz w:val="24"/>
        </w:rPr>
      </w:pPr>
    </w:p>
    <w:p w14:paraId="3BAE05D0">
      <w:pPr>
        <w:pStyle w:val="11"/>
        <w:rPr>
          <w:rFonts w:hint="eastAsia" w:ascii="微软雅黑" w:hAnsi="微软雅黑" w:eastAsia="微软雅黑" w:cs="微软雅黑"/>
          <w:b/>
          <w:bCs/>
          <w:sz w:val="24"/>
        </w:rPr>
      </w:pPr>
    </w:p>
    <w:p w14:paraId="06F1196F">
      <w:pPr>
        <w:pStyle w:val="7"/>
        <w:pageBreakBefore w:val="0"/>
        <w:kinsoku/>
        <w:wordWrap/>
        <w:overflowPunct/>
        <w:topLinePunct w:val="0"/>
        <w:bidi w:val="0"/>
        <w:snapToGrid w:val="0"/>
        <w:spacing w:line="520" w:lineRule="exact"/>
        <w:ind w:firstLine="0"/>
        <w:jc w:val="center"/>
        <w:textAlignment w:val="baseline"/>
        <w:outlineLvl w:val="1"/>
        <w:rPr>
          <w:rFonts w:ascii="微软雅黑" w:hAnsi="微软雅黑" w:eastAsia="微软雅黑" w:cs="微软雅黑"/>
          <w:b/>
          <w:sz w:val="28"/>
          <w:szCs w:val="28"/>
        </w:rPr>
      </w:pPr>
      <w:bookmarkStart w:id="771" w:name="_Toc17652"/>
      <w:bookmarkStart w:id="772" w:name="_Toc13650"/>
      <w:bookmarkStart w:id="773" w:name="_Toc347"/>
      <w:bookmarkStart w:id="774" w:name="_Toc10503"/>
      <w:bookmarkStart w:id="775" w:name="_Toc23517"/>
      <w:bookmarkStart w:id="776" w:name="_Toc17473"/>
      <w:bookmarkStart w:id="777" w:name="_Toc11623"/>
      <w:bookmarkStart w:id="778" w:name="_Toc29597"/>
      <w:bookmarkStart w:id="779" w:name="_Toc13208"/>
      <w:bookmarkStart w:id="780" w:name="_Toc22949"/>
      <w:bookmarkStart w:id="781" w:name="_Toc25729"/>
      <w:bookmarkStart w:id="782" w:name="_Toc24641"/>
      <w:r>
        <w:rPr>
          <w:rFonts w:hint="eastAsia" w:ascii="微软雅黑" w:hAnsi="微软雅黑" w:eastAsia="微软雅黑" w:cs="微软雅黑"/>
          <w:b/>
          <w:sz w:val="28"/>
          <w:szCs w:val="28"/>
        </w:rPr>
        <w:t>初步评审—符合性审查表</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tbl>
      <w:tblPr>
        <w:tblStyle w:val="38"/>
        <w:tblpPr w:leftFromText="180" w:rightFromText="180" w:vertAnchor="text" w:horzAnchor="page" w:tblpXSpec="center" w:tblpY="262"/>
        <w:tblOverlap w:val="never"/>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887"/>
        <w:gridCol w:w="1668"/>
      </w:tblGrid>
      <w:tr w14:paraId="2B71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51" w:type="dxa"/>
            <w:gridSpan w:val="2"/>
            <w:vAlign w:val="center"/>
          </w:tcPr>
          <w:p w14:paraId="17802D68">
            <w:pPr>
              <w:pageBreakBefore w:val="0"/>
              <w:kinsoku/>
              <w:wordWrap/>
              <w:overflowPunct/>
              <w:topLinePunct w:val="0"/>
              <w:bidi w:val="0"/>
              <w:spacing w:line="520" w:lineRule="exact"/>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评审内容</w:t>
            </w:r>
          </w:p>
        </w:tc>
        <w:tc>
          <w:tcPr>
            <w:tcW w:w="1668" w:type="dxa"/>
            <w:vAlign w:val="center"/>
          </w:tcPr>
          <w:p w14:paraId="45B61D7F">
            <w:pPr>
              <w:pageBreakBefore w:val="0"/>
              <w:kinsoku/>
              <w:wordWrap/>
              <w:overflowPunct/>
              <w:topLinePunct w:val="0"/>
              <w:bidi w:val="0"/>
              <w:spacing w:line="520" w:lineRule="exact"/>
              <w:jc w:val="center"/>
              <w:rPr>
                <w:rFonts w:ascii="微软雅黑" w:hAnsi="微软雅黑" w:eastAsia="微软雅黑" w:cs="微软雅黑"/>
                <w:spacing w:val="-2"/>
                <w:sz w:val="24"/>
              </w:rPr>
            </w:pPr>
            <w:r>
              <w:rPr>
                <w:rFonts w:hint="eastAsia" w:ascii="微软雅黑" w:hAnsi="微软雅黑" w:eastAsia="微软雅黑" w:cs="微软雅黑"/>
                <w:b/>
                <w:sz w:val="24"/>
              </w:rPr>
              <w:t>评审意见</w:t>
            </w:r>
          </w:p>
        </w:tc>
      </w:tr>
      <w:tr w14:paraId="0A00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vAlign w:val="center"/>
          </w:tcPr>
          <w:p w14:paraId="269BEEED">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6887" w:type="dxa"/>
            <w:vAlign w:val="center"/>
          </w:tcPr>
          <w:p w14:paraId="2872C795">
            <w:pPr>
              <w:pageBreakBefore w:val="0"/>
              <w:kinsoku/>
              <w:wordWrap/>
              <w:overflowPunct/>
              <w:topLinePunct w:val="0"/>
              <w:bidi w:val="0"/>
              <w:spacing w:line="520" w:lineRule="exact"/>
              <w:rPr>
                <w:rFonts w:ascii="微软雅黑" w:hAnsi="微软雅黑" w:eastAsia="微软雅黑" w:cs="微软雅黑"/>
                <w:spacing w:val="-2"/>
                <w:sz w:val="24"/>
              </w:rPr>
            </w:pPr>
          </w:p>
        </w:tc>
        <w:tc>
          <w:tcPr>
            <w:tcW w:w="1668" w:type="dxa"/>
            <w:vAlign w:val="center"/>
          </w:tcPr>
          <w:p w14:paraId="4959DE34">
            <w:pPr>
              <w:pageBreakBefore w:val="0"/>
              <w:kinsoku/>
              <w:wordWrap/>
              <w:overflowPunct/>
              <w:topLinePunct w:val="0"/>
              <w:bidi w:val="0"/>
              <w:spacing w:line="520" w:lineRule="exact"/>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是否合格</w:t>
            </w:r>
          </w:p>
        </w:tc>
      </w:tr>
      <w:tr w14:paraId="2B9F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7A232A10">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1</w:t>
            </w:r>
          </w:p>
        </w:tc>
        <w:tc>
          <w:tcPr>
            <w:tcW w:w="6887" w:type="dxa"/>
            <w:vAlign w:val="center"/>
          </w:tcPr>
          <w:p w14:paraId="52B43E2A">
            <w:pPr>
              <w:pageBreakBefore w:val="0"/>
              <w:kinsoku/>
              <w:wordWrap/>
              <w:overflowPunct/>
              <w:topLinePunct w:val="0"/>
              <w:bidi w:val="0"/>
              <w:spacing w:line="520" w:lineRule="exact"/>
              <w:jc w:val="left"/>
              <w:rPr>
                <w:rFonts w:hint="default" w:ascii="微软雅黑" w:hAnsi="微软雅黑" w:eastAsia="微软雅黑" w:cs="微软雅黑"/>
                <w:spacing w:val="-2"/>
                <w:sz w:val="24"/>
                <w:lang w:val="en-US" w:eastAsia="zh-CN"/>
              </w:rPr>
            </w:pPr>
            <w:r>
              <w:rPr>
                <w:rFonts w:hint="eastAsia" w:ascii="微软雅黑" w:hAnsi="微软雅黑" w:eastAsia="微软雅黑" w:cs="微软雅黑"/>
                <w:spacing w:val="-2"/>
                <w:sz w:val="24"/>
              </w:rPr>
              <w:t>各</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lang w:val="en-US" w:eastAsia="zh-CN"/>
              </w:rPr>
              <w:t>磋商</w:t>
            </w:r>
            <w:r>
              <w:rPr>
                <w:rFonts w:hint="eastAsia" w:ascii="微软雅黑" w:hAnsi="微软雅黑" w:eastAsia="微软雅黑" w:cs="微软雅黑"/>
                <w:spacing w:val="-2"/>
                <w:sz w:val="24"/>
              </w:rPr>
              <w:t>报价未高于</w:t>
            </w:r>
            <w:r>
              <w:rPr>
                <w:rFonts w:hint="eastAsia" w:ascii="微软雅黑" w:hAnsi="微软雅黑" w:eastAsia="微软雅黑" w:cs="微软雅黑"/>
                <w:spacing w:val="-2"/>
                <w:sz w:val="24"/>
                <w:lang w:eastAsia="zh-CN"/>
              </w:rPr>
              <w:t>招标控制价。</w:t>
            </w:r>
          </w:p>
        </w:tc>
        <w:tc>
          <w:tcPr>
            <w:tcW w:w="1668" w:type="dxa"/>
            <w:vAlign w:val="center"/>
          </w:tcPr>
          <w:p w14:paraId="3BECBF5E">
            <w:pPr>
              <w:pageBreakBefore w:val="0"/>
              <w:kinsoku/>
              <w:wordWrap/>
              <w:overflowPunct/>
              <w:topLinePunct w:val="0"/>
              <w:bidi w:val="0"/>
              <w:spacing w:line="520" w:lineRule="exact"/>
              <w:rPr>
                <w:rFonts w:ascii="微软雅黑" w:hAnsi="微软雅黑" w:eastAsia="微软雅黑" w:cs="微软雅黑"/>
                <w:spacing w:val="-2"/>
                <w:sz w:val="24"/>
              </w:rPr>
            </w:pPr>
          </w:p>
        </w:tc>
      </w:tr>
      <w:tr w14:paraId="4A70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14:paraId="49BE0A04">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2</w:t>
            </w:r>
          </w:p>
        </w:tc>
        <w:tc>
          <w:tcPr>
            <w:tcW w:w="6887" w:type="dxa"/>
            <w:vAlign w:val="center"/>
          </w:tcPr>
          <w:p w14:paraId="74B77363">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rPr>
              <w:t>磋商小组认为</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的报价无明显低于其他通过资格性审查</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的报价的，</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的报价不存在异常一致并成规律性的，其报价合理</w:t>
            </w:r>
            <w:r>
              <w:rPr>
                <w:rFonts w:hint="eastAsia" w:ascii="微软雅黑" w:hAnsi="微软雅黑" w:eastAsia="微软雅黑" w:cs="微软雅黑"/>
                <w:spacing w:val="-2"/>
                <w:sz w:val="24"/>
                <w:lang w:eastAsia="zh-CN"/>
              </w:rPr>
              <w:t>。</w:t>
            </w:r>
          </w:p>
        </w:tc>
        <w:tc>
          <w:tcPr>
            <w:tcW w:w="1668" w:type="dxa"/>
            <w:vAlign w:val="center"/>
          </w:tcPr>
          <w:p w14:paraId="48560B0A">
            <w:pPr>
              <w:pageBreakBefore w:val="0"/>
              <w:kinsoku/>
              <w:wordWrap/>
              <w:overflowPunct/>
              <w:topLinePunct w:val="0"/>
              <w:bidi w:val="0"/>
              <w:spacing w:line="520" w:lineRule="exact"/>
              <w:rPr>
                <w:rFonts w:ascii="微软雅黑" w:hAnsi="微软雅黑" w:eastAsia="微软雅黑" w:cs="微软雅黑"/>
                <w:spacing w:val="-2"/>
                <w:sz w:val="24"/>
              </w:rPr>
            </w:pPr>
          </w:p>
        </w:tc>
      </w:tr>
      <w:tr w14:paraId="0A1F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14:paraId="72081D62">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3</w:t>
            </w:r>
          </w:p>
        </w:tc>
        <w:tc>
          <w:tcPr>
            <w:tcW w:w="6887" w:type="dxa"/>
            <w:vAlign w:val="center"/>
          </w:tcPr>
          <w:p w14:paraId="094C505F">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lang w:val="en-US" w:eastAsia="zh-CN"/>
              </w:rPr>
              <w:t>响应</w:t>
            </w:r>
            <w:r>
              <w:rPr>
                <w:rFonts w:hint="eastAsia" w:ascii="微软雅黑" w:hAnsi="微软雅黑" w:eastAsia="微软雅黑" w:cs="微软雅黑"/>
                <w:spacing w:val="-2"/>
                <w:sz w:val="24"/>
              </w:rPr>
              <w:t>文件按照磋商文件的规定编制、标记及签署盖章的，法定代表人或其授权代表签字（章）和加盖</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公章的（</w:t>
            </w:r>
            <w:r>
              <w:rPr>
                <w:rFonts w:hint="eastAsia" w:ascii="微软雅黑" w:hAnsi="微软雅黑" w:eastAsia="微软雅黑" w:cs="微软雅黑"/>
                <w:spacing w:val="-2"/>
                <w:sz w:val="24"/>
                <w:lang w:eastAsia="zh-CN"/>
              </w:rPr>
              <w:t>所上传的响应</w:t>
            </w:r>
            <w:r>
              <w:rPr>
                <w:rFonts w:hint="eastAsia" w:ascii="微软雅黑" w:hAnsi="微软雅黑" w:eastAsia="微软雅黑" w:cs="微软雅黑"/>
                <w:spacing w:val="-2"/>
                <w:sz w:val="24"/>
              </w:rPr>
              <w:t>文件印章和签字不能为复印件）</w:t>
            </w:r>
            <w:r>
              <w:rPr>
                <w:rFonts w:hint="eastAsia" w:ascii="微软雅黑" w:hAnsi="微软雅黑" w:eastAsia="微软雅黑" w:cs="微软雅黑"/>
                <w:spacing w:val="-2"/>
                <w:sz w:val="24"/>
                <w:lang w:eastAsia="zh-CN"/>
              </w:rPr>
              <w:t>。</w:t>
            </w:r>
          </w:p>
        </w:tc>
        <w:tc>
          <w:tcPr>
            <w:tcW w:w="1668" w:type="dxa"/>
            <w:vAlign w:val="center"/>
          </w:tcPr>
          <w:p w14:paraId="0223216C">
            <w:pPr>
              <w:pageBreakBefore w:val="0"/>
              <w:kinsoku/>
              <w:wordWrap/>
              <w:overflowPunct/>
              <w:topLinePunct w:val="0"/>
              <w:bidi w:val="0"/>
              <w:spacing w:line="520" w:lineRule="exact"/>
              <w:rPr>
                <w:rFonts w:ascii="微软雅黑" w:hAnsi="微软雅黑" w:eastAsia="微软雅黑" w:cs="微软雅黑"/>
                <w:spacing w:val="-2"/>
                <w:sz w:val="24"/>
              </w:rPr>
            </w:pPr>
          </w:p>
        </w:tc>
      </w:tr>
      <w:tr w14:paraId="3278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14:paraId="0B791B59">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4</w:t>
            </w:r>
          </w:p>
        </w:tc>
        <w:tc>
          <w:tcPr>
            <w:tcW w:w="6887" w:type="dxa"/>
            <w:vAlign w:val="center"/>
          </w:tcPr>
          <w:p w14:paraId="141BC301">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rPr>
              <w:t>按磋商文件规定的格式填写，内容全或关键字迹清晰等</w:t>
            </w:r>
            <w:r>
              <w:rPr>
                <w:rFonts w:hint="eastAsia" w:ascii="微软雅黑" w:hAnsi="微软雅黑" w:eastAsia="微软雅黑" w:cs="微软雅黑"/>
                <w:spacing w:val="-2"/>
                <w:sz w:val="24"/>
                <w:lang w:eastAsia="zh-CN"/>
              </w:rPr>
              <w:t>。</w:t>
            </w:r>
          </w:p>
        </w:tc>
        <w:tc>
          <w:tcPr>
            <w:tcW w:w="1668" w:type="dxa"/>
            <w:vAlign w:val="center"/>
          </w:tcPr>
          <w:p w14:paraId="27A29449">
            <w:pPr>
              <w:pageBreakBefore w:val="0"/>
              <w:kinsoku/>
              <w:wordWrap/>
              <w:overflowPunct/>
              <w:topLinePunct w:val="0"/>
              <w:bidi w:val="0"/>
              <w:spacing w:line="520" w:lineRule="exact"/>
              <w:rPr>
                <w:rFonts w:ascii="微软雅黑" w:hAnsi="微软雅黑" w:eastAsia="微软雅黑" w:cs="微软雅黑"/>
                <w:spacing w:val="-2"/>
                <w:sz w:val="24"/>
              </w:rPr>
            </w:pPr>
          </w:p>
        </w:tc>
      </w:tr>
      <w:tr w14:paraId="2BF1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0EDDEDAA">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5</w:t>
            </w:r>
          </w:p>
        </w:tc>
        <w:tc>
          <w:tcPr>
            <w:tcW w:w="6887" w:type="dxa"/>
            <w:vAlign w:val="center"/>
          </w:tcPr>
          <w:p w14:paraId="70EBCAB4">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rPr>
              <w:t>符合磋商文件中规定的其他实质性要求</w:t>
            </w:r>
            <w:r>
              <w:rPr>
                <w:rFonts w:hint="eastAsia" w:ascii="微软雅黑" w:hAnsi="微软雅黑" w:eastAsia="微软雅黑" w:cs="微软雅黑"/>
                <w:spacing w:val="-2"/>
                <w:sz w:val="24"/>
                <w:lang w:eastAsia="zh-CN"/>
              </w:rPr>
              <w:t>（工程量清单完整，没有缺项漏项，工期及人员满足磋商文件要求）。</w:t>
            </w:r>
          </w:p>
        </w:tc>
        <w:tc>
          <w:tcPr>
            <w:tcW w:w="1668" w:type="dxa"/>
            <w:vAlign w:val="center"/>
          </w:tcPr>
          <w:p w14:paraId="1EEECB92">
            <w:pPr>
              <w:pageBreakBefore w:val="0"/>
              <w:kinsoku/>
              <w:wordWrap/>
              <w:overflowPunct/>
              <w:topLinePunct w:val="0"/>
              <w:bidi w:val="0"/>
              <w:spacing w:line="520" w:lineRule="exact"/>
              <w:rPr>
                <w:rFonts w:ascii="微软雅黑" w:hAnsi="微软雅黑" w:eastAsia="微软雅黑" w:cs="微软雅黑"/>
                <w:spacing w:val="-2"/>
                <w:sz w:val="24"/>
              </w:rPr>
            </w:pPr>
          </w:p>
        </w:tc>
      </w:tr>
      <w:tr w14:paraId="2117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2983034B">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6</w:t>
            </w:r>
          </w:p>
        </w:tc>
        <w:tc>
          <w:tcPr>
            <w:tcW w:w="6887" w:type="dxa"/>
            <w:vAlign w:val="center"/>
          </w:tcPr>
          <w:p w14:paraId="50AC799D">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rPr>
              <w:t>没有</w:t>
            </w:r>
            <w:r>
              <w:rPr>
                <w:rFonts w:hint="eastAsia" w:ascii="微软雅黑" w:hAnsi="微软雅黑" w:eastAsia="微软雅黑" w:cs="微软雅黑"/>
                <w:spacing w:val="-2"/>
                <w:sz w:val="24"/>
                <w:lang w:eastAsia="zh-CN"/>
              </w:rPr>
              <w:t>采购人</w:t>
            </w:r>
            <w:r>
              <w:rPr>
                <w:rFonts w:hint="eastAsia" w:ascii="微软雅黑" w:hAnsi="微软雅黑" w:eastAsia="微软雅黑" w:cs="微软雅黑"/>
                <w:spacing w:val="-2"/>
                <w:sz w:val="24"/>
              </w:rPr>
              <w:t>不能接受的附加条件的</w:t>
            </w:r>
            <w:r>
              <w:rPr>
                <w:rFonts w:hint="eastAsia" w:ascii="微软雅黑" w:hAnsi="微软雅黑" w:eastAsia="微软雅黑" w:cs="微软雅黑"/>
                <w:spacing w:val="-2"/>
                <w:sz w:val="24"/>
                <w:lang w:eastAsia="zh-CN"/>
              </w:rPr>
              <w:t>。</w:t>
            </w:r>
          </w:p>
        </w:tc>
        <w:tc>
          <w:tcPr>
            <w:tcW w:w="1668" w:type="dxa"/>
            <w:vAlign w:val="center"/>
          </w:tcPr>
          <w:p w14:paraId="0D849676">
            <w:pPr>
              <w:pageBreakBefore w:val="0"/>
              <w:kinsoku/>
              <w:wordWrap/>
              <w:overflowPunct/>
              <w:topLinePunct w:val="0"/>
              <w:bidi w:val="0"/>
              <w:spacing w:line="520" w:lineRule="exact"/>
              <w:rPr>
                <w:rFonts w:ascii="微软雅黑" w:hAnsi="微软雅黑" w:eastAsia="微软雅黑" w:cs="微软雅黑"/>
                <w:spacing w:val="-2"/>
                <w:sz w:val="24"/>
              </w:rPr>
            </w:pPr>
          </w:p>
        </w:tc>
      </w:tr>
      <w:tr w14:paraId="6F31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27FBF371">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7</w:t>
            </w:r>
          </w:p>
        </w:tc>
        <w:tc>
          <w:tcPr>
            <w:tcW w:w="6887" w:type="dxa"/>
            <w:vAlign w:val="center"/>
          </w:tcPr>
          <w:p w14:paraId="3E8EAADB">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rPr>
              <w:t>不同</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的响应文件没有错漏一致的情况</w:t>
            </w:r>
            <w:r>
              <w:rPr>
                <w:rFonts w:hint="eastAsia" w:ascii="微软雅黑" w:hAnsi="微软雅黑" w:eastAsia="微软雅黑" w:cs="微软雅黑"/>
                <w:spacing w:val="-2"/>
                <w:sz w:val="24"/>
                <w:lang w:eastAsia="zh-CN"/>
              </w:rPr>
              <w:t>。</w:t>
            </w:r>
          </w:p>
        </w:tc>
        <w:tc>
          <w:tcPr>
            <w:tcW w:w="1668" w:type="dxa"/>
            <w:vAlign w:val="center"/>
          </w:tcPr>
          <w:p w14:paraId="12EB4881">
            <w:pPr>
              <w:pageBreakBefore w:val="0"/>
              <w:kinsoku/>
              <w:wordWrap/>
              <w:overflowPunct/>
              <w:topLinePunct w:val="0"/>
              <w:bidi w:val="0"/>
              <w:spacing w:line="520" w:lineRule="exact"/>
              <w:rPr>
                <w:rFonts w:ascii="微软雅黑" w:hAnsi="微软雅黑" w:eastAsia="微软雅黑" w:cs="微软雅黑"/>
                <w:spacing w:val="-2"/>
                <w:sz w:val="24"/>
              </w:rPr>
            </w:pPr>
          </w:p>
        </w:tc>
      </w:tr>
      <w:tr w14:paraId="6EDE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65A7C0D5">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8</w:t>
            </w:r>
          </w:p>
        </w:tc>
        <w:tc>
          <w:tcPr>
            <w:tcW w:w="6887" w:type="dxa"/>
            <w:vAlign w:val="center"/>
          </w:tcPr>
          <w:p w14:paraId="403FC102">
            <w:pPr>
              <w:pageBreakBefore w:val="0"/>
              <w:kinsoku/>
              <w:wordWrap/>
              <w:overflowPunct/>
              <w:topLinePunct w:val="0"/>
              <w:bidi w:val="0"/>
              <w:spacing w:line="520" w:lineRule="exact"/>
              <w:jc w:val="left"/>
              <w:rPr>
                <w:rFonts w:ascii="微软雅黑" w:hAnsi="微软雅黑" w:eastAsia="微软雅黑" w:cs="微软雅黑"/>
                <w:spacing w:val="-2"/>
                <w:sz w:val="24"/>
              </w:rPr>
            </w:pP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附有详细地址、联系人、电话标明的。</w:t>
            </w:r>
          </w:p>
        </w:tc>
        <w:tc>
          <w:tcPr>
            <w:tcW w:w="1668" w:type="dxa"/>
            <w:vAlign w:val="center"/>
          </w:tcPr>
          <w:p w14:paraId="26480AE9">
            <w:pPr>
              <w:pageBreakBefore w:val="0"/>
              <w:kinsoku/>
              <w:wordWrap/>
              <w:overflowPunct/>
              <w:topLinePunct w:val="0"/>
              <w:bidi w:val="0"/>
              <w:spacing w:line="520" w:lineRule="exact"/>
              <w:rPr>
                <w:rFonts w:ascii="微软雅黑" w:hAnsi="微软雅黑" w:eastAsia="微软雅黑" w:cs="微软雅黑"/>
                <w:spacing w:val="-2"/>
                <w:sz w:val="24"/>
              </w:rPr>
            </w:pPr>
          </w:p>
        </w:tc>
      </w:tr>
      <w:tr w14:paraId="1C5D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751" w:type="dxa"/>
            <w:gridSpan w:val="2"/>
            <w:vAlign w:val="center"/>
          </w:tcPr>
          <w:p w14:paraId="7ADB57BD">
            <w:pPr>
              <w:pageBreakBefore w:val="0"/>
              <w:kinsoku/>
              <w:wordWrap/>
              <w:overflowPunct/>
              <w:topLinePunct w:val="0"/>
              <w:bidi w:val="0"/>
              <w:spacing w:line="520" w:lineRule="exact"/>
              <w:ind w:firstLine="424" w:firstLineChars="180"/>
              <w:rPr>
                <w:rFonts w:ascii="微软雅黑" w:hAnsi="微软雅黑" w:eastAsia="微软雅黑" w:cs="微软雅黑"/>
                <w:spacing w:val="-2"/>
                <w:sz w:val="24"/>
              </w:rPr>
            </w:pPr>
            <w:r>
              <w:rPr>
                <w:rFonts w:hint="eastAsia" w:ascii="微软雅黑" w:hAnsi="微软雅黑" w:eastAsia="微软雅黑" w:cs="微软雅黑"/>
                <w:spacing w:val="-2"/>
                <w:sz w:val="24"/>
              </w:rPr>
              <w:t>结论：通过评审打“√”，未通过评审打“×”</w:t>
            </w:r>
          </w:p>
        </w:tc>
        <w:tc>
          <w:tcPr>
            <w:tcW w:w="1668" w:type="dxa"/>
            <w:vAlign w:val="center"/>
          </w:tcPr>
          <w:p w14:paraId="50A68A89">
            <w:pPr>
              <w:pageBreakBefore w:val="0"/>
              <w:kinsoku/>
              <w:wordWrap/>
              <w:overflowPunct/>
              <w:topLinePunct w:val="0"/>
              <w:bidi w:val="0"/>
              <w:spacing w:line="520" w:lineRule="exact"/>
              <w:ind w:firstLine="424" w:firstLineChars="180"/>
              <w:rPr>
                <w:rFonts w:ascii="微软雅黑" w:hAnsi="微软雅黑" w:eastAsia="微软雅黑" w:cs="微软雅黑"/>
                <w:spacing w:val="-2"/>
                <w:sz w:val="24"/>
              </w:rPr>
            </w:pPr>
          </w:p>
        </w:tc>
      </w:tr>
    </w:tbl>
    <w:p w14:paraId="1E13D933">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p>
    <w:p w14:paraId="0B81ED6D">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说明：</w:t>
      </w:r>
    </w:p>
    <w:p w14:paraId="41E4B1B7">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（1）上述各项中用“√”表示通过，“×”表示不通过；</w:t>
      </w:r>
    </w:p>
    <w:p w14:paraId="2BBACBFC">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（2）上述各项中如有一项为“×”，则结论为“×”，表示该磋商文件中存在重大偏差，不能通过初步评审；评委对某一分项评审认为不合格时，必须要写明原因。</w:t>
      </w:r>
    </w:p>
    <w:p w14:paraId="552CAF77">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（3）磋商文件最终合格与否，以所有评委的评审意见中少数服从多数为原则定论。</w:t>
      </w:r>
    </w:p>
    <w:p w14:paraId="038B1A76">
      <w:pPr>
        <w:pageBreakBefore w:val="0"/>
        <w:kinsoku/>
        <w:wordWrap/>
        <w:overflowPunct/>
        <w:topLinePunct w:val="0"/>
        <w:bidi w:val="0"/>
        <w:snapToGrid w:val="0"/>
        <w:spacing w:line="520" w:lineRule="exact"/>
        <w:ind w:left="1080" w:leftChars="257" w:hanging="540"/>
        <w:jc w:val="left"/>
        <w:textAlignment w:val="baseline"/>
        <w:rPr>
          <w:rFonts w:ascii="微软雅黑" w:hAnsi="微软雅黑" w:eastAsia="微软雅黑" w:cs="微软雅黑"/>
          <w:b/>
          <w:sz w:val="28"/>
          <w:szCs w:val="28"/>
        </w:rPr>
      </w:pPr>
      <w:r>
        <w:rPr>
          <w:rFonts w:hint="eastAsia" w:ascii="微软雅黑" w:hAnsi="微软雅黑" w:eastAsia="微软雅黑" w:cs="微软雅黑"/>
          <w:b/>
          <w:bCs/>
          <w:sz w:val="24"/>
        </w:rPr>
        <w:t>备注：如果磋商文件中有一项未通过上述审查标准，评审委员会将认定整个磋商文件未响应磋商文件而予以废标处理。</w:t>
      </w:r>
      <w:bookmarkStart w:id="783" w:name="_Toc20930"/>
      <w:bookmarkStart w:id="784" w:name="_Toc25310"/>
      <w:bookmarkStart w:id="785" w:name="_Toc507399904"/>
    </w:p>
    <w:p w14:paraId="61E1CED3">
      <w:pPr>
        <w:pStyle w:val="7"/>
        <w:pageBreakBefore w:val="0"/>
        <w:kinsoku/>
        <w:wordWrap/>
        <w:overflowPunct/>
        <w:topLinePunct w:val="0"/>
        <w:bidi w:val="0"/>
        <w:spacing w:line="520" w:lineRule="exact"/>
        <w:ind w:firstLine="0"/>
        <w:rPr>
          <w:rFonts w:ascii="微软雅黑" w:hAnsi="微软雅黑" w:eastAsia="微软雅黑" w:cs="微软雅黑"/>
        </w:rPr>
      </w:pPr>
    </w:p>
    <w:tbl>
      <w:tblPr>
        <w:tblStyle w:val="38"/>
        <w:tblW w:w="10035" w:type="dxa"/>
        <w:jc w:val="center"/>
        <w:tblLayout w:type="fixed"/>
        <w:tblCellMar>
          <w:top w:w="0" w:type="dxa"/>
          <w:left w:w="108" w:type="dxa"/>
          <w:bottom w:w="0" w:type="dxa"/>
          <w:right w:w="108" w:type="dxa"/>
        </w:tblCellMar>
      </w:tblPr>
      <w:tblGrid>
        <w:gridCol w:w="2790"/>
        <w:gridCol w:w="4470"/>
        <w:gridCol w:w="930"/>
        <w:gridCol w:w="855"/>
        <w:gridCol w:w="990"/>
      </w:tblGrid>
      <w:tr w14:paraId="282C689B">
        <w:tblPrEx>
          <w:tblCellMar>
            <w:top w:w="0" w:type="dxa"/>
            <w:left w:w="108" w:type="dxa"/>
            <w:bottom w:w="0" w:type="dxa"/>
            <w:right w:w="108" w:type="dxa"/>
          </w:tblCellMar>
        </w:tblPrEx>
        <w:trPr>
          <w:trHeight w:val="368" w:hRule="atLeast"/>
          <w:jc w:val="center"/>
        </w:trPr>
        <w:tc>
          <w:tcPr>
            <w:tcW w:w="10035" w:type="dxa"/>
            <w:gridSpan w:val="5"/>
            <w:tcBorders>
              <w:top w:val="nil"/>
              <w:left w:val="nil"/>
              <w:bottom w:val="single" w:color="auto" w:sz="4" w:space="0"/>
              <w:right w:val="nil"/>
            </w:tcBorders>
            <w:vAlign w:val="center"/>
          </w:tcPr>
          <w:p w14:paraId="5D2DAF08">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b/>
                <w:bCs/>
                <w:kern w:val="0"/>
                <w:sz w:val="24"/>
              </w:rPr>
            </w:pPr>
            <w:r>
              <w:rPr>
                <w:rFonts w:hint="eastAsia" w:ascii="微软雅黑" w:hAnsi="微软雅黑" w:eastAsia="微软雅黑" w:cs="微软雅黑"/>
                <w:b/>
                <w:bCs/>
                <w:kern w:val="0"/>
                <w:sz w:val="24"/>
              </w:rPr>
              <w:t>一、商务符合性审查表</w:t>
            </w:r>
          </w:p>
        </w:tc>
      </w:tr>
      <w:tr w14:paraId="17D06370">
        <w:tblPrEx>
          <w:tblCellMar>
            <w:top w:w="0" w:type="dxa"/>
            <w:left w:w="108" w:type="dxa"/>
            <w:bottom w:w="0" w:type="dxa"/>
            <w:right w:w="108" w:type="dxa"/>
          </w:tblCellMar>
        </w:tblPrEx>
        <w:trPr>
          <w:trHeight w:val="90" w:hRule="atLeast"/>
          <w:jc w:val="center"/>
        </w:trPr>
        <w:tc>
          <w:tcPr>
            <w:tcW w:w="7260" w:type="dxa"/>
            <w:gridSpan w:val="2"/>
            <w:tcBorders>
              <w:top w:val="single" w:color="auto" w:sz="4" w:space="0"/>
              <w:left w:val="single" w:color="auto" w:sz="4" w:space="0"/>
              <w:bottom w:val="single" w:color="auto" w:sz="4" w:space="0"/>
              <w:right w:val="single" w:color="auto" w:sz="4" w:space="0"/>
            </w:tcBorders>
            <w:vAlign w:val="center"/>
          </w:tcPr>
          <w:p w14:paraId="0B8B010E">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b/>
                <w:kern w:val="0"/>
                <w:sz w:val="24"/>
              </w:rPr>
            </w:pPr>
            <w:r>
              <w:rPr>
                <w:rFonts w:hint="eastAsia" w:ascii="微软雅黑" w:hAnsi="微软雅黑" w:eastAsia="微软雅黑" w:cs="微软雅黑"/>
                <w:b/>
                <w:kern w:val="0"/>
                <w:sz w:val="24"/>
              </w:rPr>
              <w:t>审查事项</w:t>
            </w:r>
          </w:p>
        </w:tc>
        <w:tc>
          <w:tcPr>
            <w:tcW w:w="2775" w:type="dxa"/>
            <w:gridSpan w:val="3"/>
            <w:tcBorders>
              <w:top w:val="single" w:color="auto" w:sz="4" w:space="0"/>
              <w:left w:val="single" w:color="auto" w:sz="4" w:space="0"/>
              <w:bottom w:val="single" w:color="auto" w:sz="4" w:space="0"/>
              <w:right w:val="single" w:color="auto" w:sz="4" w:space="0"/>
            </w:tcBorders>
            <w:vAlign w:val="center"/>
          </w:tcPr>
          <w:p w14:paraId="7D93DE55">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b/>
                <w:kern w:val="0"/>
                <w:sz w:val="24"/>
              </w:rPr>
            </w:pPr>
            <w:r>
              <w:rPr>
                <w:rFonts w:hint="eastAsia" w:ascii="微软雅黑" w:hAnsi="微软雅黑" w:eastAsia="微软雅黑" w:cs="微软雅黑"/>
                <w:b/>
                <w:kern w:val="0"/>
                <w:sz w:val="24"/>
                <w:lang w:eastAsia="zh-CN"/>
              </w:rPr>
              <w:t>供应商</w:t>
            </w:r>
            <w:r>
              <w:rPr>
                <w:rFonts w:hint="eastAsia" w:ascii="微软雅黑" w:hAnsi="微软雅黑" w:eastAsia="微软雅黑" w:cs="微软雅黑"/>
                <w:b/>
                <w:kern w:val="0"/>
                <w:sz w:val="24"/>
              </w:rPr>
              <w:t>名称及审查情况</w:t>
            </w:r>
          </w:p>
        </w:tc>
      </w:tr>
      <w:tr w14:paraId="49A4F479">
        <w:tblPrEx>
          <w:tblCellMar>
            <w:top w:w="0" w:type="dxa"/>
            <w:left w:w="108" w:type="dxa"/>
            <w:bottom w:w="0" w:type="dxa"/>
            <w:right w:w="108" w:type="dxa"/>
          </w:tblCellMar>
        </w:tblPrEx>
        <w:trPr>
          <w:trHeight w:val="57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0FE707AF">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b/>
                <w:kern w:val="0"/>
                <w:sz w:val="24"/>
              </w:rPr>
            </w:pPr>
            <w:r>
              <w:rPr>
                <w:rFonts w:hint="eastAsia" w:ascii="微软雅黑" w:hAnsi="微软雅黑" w:eastAsia="微软雅黑" w:cs="微软雅黑"/>
                <w:b/>
                <w:kern w:val="0"/>
                <w:sz w:val="24"/>
              </w:rPr>
              <w:t>磋商文件条款（</w:t>
            </w:r>
            <w:r>
              <w:rPr>
                <w:rFonts w:hint="eastAsia" w:ascii="微软雅黑" w:hAnsi="微软雅黑" w:eastAsia="微软雅黑" w:cs="微软雅黑"/>
                <w:b/>
                <w:kern w:val="0"/>
                <w:sz w:val="24"/>
                <w:lang w:eastAsia="zh-CN"/>
              </w:rPr>
              <w:t>供应商</w:t>
            </w:r>
            <w:r>
              <w:rPr>
                <w:rFonts w:hint="eastAsia" w:ascii="微软雅黑" w:hAnsi="微软雅黑" w:eastAsia="微软雅黑" w:cs="微软雅黑"/>
                <w:b/>
                <w:kern w:val="0"/>
                <w:sz w:val="24"/>
              </w:rPr>
              <w:t>须知、</w:t>
            </w:r>
            <w:r>
              <w:rPr>
                <w:rFonts w:hint="eastAsia" w:ascii="微软雅黑" w:hAnsi="微软雅黑" w:eastAsia="微软雅黑" w:cs="微软雅黑"/>
                <w:b/>
                <w:kern w:val="0"/>
                <w:sz w:val="24"/>
                <w:lang w:eastAsia="zh-CN"/>
              </w:rPr>
              <w:t>供应商</w:t>
            </w:r>
            <w:r>
              <w:rPr>
                <w:rFonts w:hint="eastAsia" w:ascii="微软雅黑" w:hAnsi="微软雅黑" w:eastAsia="微软雅黑" w:cs="微软雅黑"/>
                <w:b/>
                <w:kern w:val="0"/>
                <w:sz w:val="24"/>
              </w:rPr>
              <w:t>须知资料表条款号）</w:t>
            </w:r>
          </w:p>
        </w:tc>
        <w:tc>
          <w:tcPr>
            <w:tcW w:w="4470" w:type="dxa"/>
            <w:tcBorders>
              <w:top w:val="single" w:color="auto" w:sz="4" w:space="0"/>
              <w:left w:val="single" w:color="auto" w:sz="4" w:space="0"/>
              <w:bottom w:val="single" w:color="auto" w:sz="4" w:space="0"/>
              <w:right w:val="single" w:color="auto" w:sz="4" w:space="0"/>
            </w:tcBorders>
            <w:vAlign w:val="center"/>
          </w:tcPr>
          <w:p w14:paraId="4A99BED2">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b/>
                <w:kern w:val="0"/>
                <w:sz w:val="24"/>
              </w:rPr>
            </w:pPr>
            <w:r>
              <w:rPr>
                <w:rFonts w:hint="eastAsia" w:ascii="微软雅黑" w:hAnsi="微软雅黑" w:eastAsia="微软雅黑" w:cs="微软雅黑"/>
                <w:b/>
                <w:kern w:val="0"/>
                <w:sz w:val="24"/>
              </w:rPr>
              <w:t>本项目要求</w:t>
            </w:r>
          </w:p>
        </w:tc>
        <w:tc>
          <w:tcPr>
            <w:tcW w:w="930" w:type="dxa"/>
            <w:tcBorders>
              <w:top w:val="single" w:color="auto" w:sz="4" w:space="0"/>
              <w:left w:val="single" w:color="auto" w:sz="4" w:space="0"/>
              <w:bottom w:val="single" w:color="auto" w:sz="4" w:space="0"/>
              <w:right w:val="single" w:color="auto" w:sz="4" w:space="0"/>
            </w:tcBorders>
            <w:vAlign w:val="center"/>
          </w:tcPr>
          <w:p w14:paraId="10C8BD87">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855" w:type="dxa"/>
            <w:tcBorders>
              <w:top w:val="single" w:color="auto" w:sz="4" w:space="0"/>
              <w:left w:val="nil"/>
              <w:bottom w:val="single" w:color="auto" w:sz="4" w:space="0"/>
              <w:right w:val="single" w:color="auto" w:sz="4" w:space="0"/>
            </w:tcBorders>
            <w:vAlign w:val="center"/>
          </w:tcPr>
          <w:p w14:paraId="7FB1490D">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990" w:type="dxa"/>
            <w:tcBorders>
              <w:top w:val="single" w:color="auto" w:sz="4" w:space="0"/>
              <w:left w:val="nil"/>
              <w:bottom w:val="single" w:color="auto" w:sz="4" w:space="0"/>
              <w:right w:val="single" w:color="auto" w:sz="4" w:space="0"/>
            </w:tcBorders>
            <w:vAlign w:val="center"/>
          </w:tcPr>
          <w:p w14:paraId="28C446B6">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r>
      <w:tr w14:paraId="0E037F66">
        <w:tblPrEx>
          <w:tblCellMar>
            <w:top w:w="0" w:type="dxa"/>
            <w:left w:w="108" w:type="dxa"/>
            <w:bottom w:w="0" w:type="dxa"/>
            <w:right w:w="108" w:type="dxa"/>
          </w:tblCellMar>
        </w:tblPrEx>
        <w:trPr>
          <w:trHeight w:val="9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7CF83A4B">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中小企业投标要求（1.3.6）</w:t>
            </w:r>
          </w:p>
        </w:tc>
        <w:tc>
          <w:tcPr>
            <w:tcW w:w="4470" w:type="dxa"/>
            <w:tcBorders>
              <w:top w:val="single" w:color="auto" w:sz="4" w:space="0"/>
              <w:left w:val="nil"/>
              <w:bottom w:val="single" w:color="auto" w:sz="4" w:space="0"/>
              <w:right w:val="single" w:color="auto" w:sz="4" w:space="0"/>
            </w:tcBorders>
            <w:vAlign w:val="center"/>
          </w:tcPr>
          <w:p w14:paraId="57D8CBDF">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本项目</w:t>
            </w:r>
            <w:r>
              <w:rPr>
                <w:rFonts w:hint="eastAsia" w:ascii="微软雅黑" w:hAnsi="微软雅黑" w:eastAsia="微软雅黑" w:cs="微软雅黑"/>
                <w:i/>
                <w:iCs/>
                <w:kern w:val="0"/>
                <w:sz w:val="24"/>
                <w:u w:val="single" w:color="000000"/>
              </w:rPr>
              <w:t>适用</w:t>
            </w:r>
          </w:p>
        </w:tc>
        <w:tc>
          <w:tcPr>
            <w:tcW w:w="930" w:type="dxa"/>
            <w:tcBorders>
              <w:top w:val="single" w:color="auto" w:sz="4" w:space="0"/>
              <w:left w:val="nil"/>
              <w:bottom w:val="single" w:color="auto" w:sz="4" w:space="0"/>
              <w:right w:val="single" w:color="auto" w:sz="4" w:space="0"/>
            </w:tcBorders>
            <w:vAlign w:val="center"/>
          </w:tcPr>
          <w:p w14:paraId="2BB602F3">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c>
          <w:tcPr>
            <w:tcW w:w="855" w:type="dxa"/>
            <w:tcBorders>
              <w:top w:val="single" w:color="auto" w:sz="4" w:space="0"/>
              <w:left w:val="nil"/>
              <w:bottom w:val="single" w:color="auto" w:sz="4" w:space="0"/>
              <w:right w:val="single" w:color="auto" w:sz="4" w:space="0"/>
            </w:tcBorders>
            <w:vAlign w:val="center"/>
          </w:tcPr>
          <w:p w14:paraId="6A27779C">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c>
          <w:tcPr>
            <w:tcW w:w="990" w:type="dxa"/>
            <w:tcBorders>
              <w:top w:val="single" w:color="auto" w:sz="4" w:space="0"/>
              <w:left w:val="nil"/>
              <w:bottom w:val="single" w:color="auto" w:sz="4" w:space="0"/>
              <w:right w:val="single" w:color="auto" w:sz="4" w:space="0"/>
            </w:tcBorders>
            <w:vAlign w:val="center"/>
          </w:tcPr>
          <w:p w14:paraId="06606365">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r>
      <w:tr w14:paraId="69614963">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089B0C6D">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联合体投标规定</w:t>
            </w:r>
          </w:p>
          <w:p w14:paraId="3D6DC539">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（1.4）</w:t>
            </w:r>
          </w:p>
        </w:tc>
        <w:tc>
          <w:tcPr>
            <w:tcW w:w="4470" w:type="dxa"/>
            <w:tcBorders>
              <w:top w:val="single" w:color="auto" w:sz="4" w:space="0"/>
              <w:left w:val="nil"/>
              <w:bottom w:val="single" w:color="auto" w:sz="4" w:space="0"/>
              <w:right w:val="single" w:color="auto" w:sz="4" w:space="0"/>
            </w:tcBorders>
            <w:vAlign w:val="center"/>
          </w:tcPr>
          <w:p w14:paraId="25E03337">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本项目</w:t>
            </w:r>
            <w:r>
              <w:rPr>
                <w:rFonts w:hint="eastAsia" w:ascii="微软雅黑" w:hAnsi="微软雅黑" w:eastAsia="微软雅黑" w:cs="微软雅黑"/>
                <w:i/>
                <w:iCs/>
                <w:kern w:val="0"/>
                <w:sz w:val="24"/>
                <w:u w:val="single" w:color="000000"/>
              </w:rPr>
              <w:t>不接受</w:t>
            </w:r>
            <w:r>
              <w:rPr>
                <w:rFonts w:hint="eastAsia" w:ascii="微软雅黑" w:hAnsi="微软雅黑" w:eastAsia="微软雅黑" w:cs="微软雅黑"/>
                <w:kern w:val="0"/>
                <w:sz w:val="24"/>
              </w:rPr>
              <w:t>联合体投标</w:t>
            </w:r>
          </w:p>
        </w:tc>
        <w:tc>
          <w:tcPr>
            <w:tcW w:w="930" w:type="dxa"/>
            <w:tcBorders>
              <w:top w:val="single" w:color="auto" w:sz="4" w:space="0"/>
              <w:left w:val="nil"/>
              <w:bottom w:val="single" w:color="auto" w:sz="4" w:space="0"/>
              <w:right w:val="single" w:color="auto" w:sz="4" w:space="0"/>
            </w:tcBorders>
            <w:vAlign w:val="center"/>
          </w:tcPr>
          <w:p w14:paraId="7D2922F8">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855" w:type="dxa"/>
            <w:tcBorders>
              <w:top w:val="single" w:color="auto" w:sz="4" w:space="0"/>
              <w:left w:val="nil"/>
              <w:bottom w:val="single" w:color="auto" w:sz="4" w:space="0"/>
              <w:right w:val="single" w:color="auto" w:sz="4" w:space="0"/>
            </w:tcBorders>
            <w:vAlign w:val="center"/>
          </w:tcPr>
          <w:p w14:paraId="07EE6FB1">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990" w:type="dxa"/>
            <w:tcBorders>
              <w:top w:val="single" w:color="auto" w:sz="4" w:space="0"/>
              <w:left w:val="nil"/>
              <w:bottom w:val="single" w:color="auto" w:sz="4" w:space="0"/>
              <w:right w:val="single" w:color="auto" w:sz="4" w:space="0"/>
            </w:tcBorders>
            <w:vAlign w:val="center"/>
          </w:tcPr>
          <w:p w14:paraId="5FF5E690">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r>
      <w:tr w14:paraId="09BD7694">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53E76FAD">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lang w:eastAsia="zh-CN"/>
              </w:rPr>
              <w:t>供应商</w:t>
            </w:r>
            <w:r>
              <w:rPr>
                <w:rFonts w:hint="eastAsia" w:ascii="微软雅黑" w:hAnsi="微软雅黑" w:eastAsia="微软雅黑" w:cs="微软雅黑"/>
                <w:kern w:val="0"/>
                <w:sz w:val="24"/>
              </w:rPr>
              <w:t>的关联性</w:t>
            </w:r>
          </w:p>
          <w:p w14:paraId="0914E1F2">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（1.5）</w:t>
            </w:r>
          </w:p>
        </w:tc>
        <w:tc>
          <w:tcPr>
            <w:tcW w:w="4470" w:type="dxa"/>
            <w:tcBorders>
              <w:top w:val="single" w:color="auto" w:sz="4" w:space="0"/>
              <w:left w:val="nil"/>
              <w:bottom w:val="single" w:color="auto" w:sz="4" w:space="0"/>
              <w:right w:val="single" w:color="auto" w:sz="4" w:space="0"/>
            </w:tcBorders>
            <w:vAlign w:val="center"/>
          </w:tcPr>
          <w:p w14:paraId="0592CF6A">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在同一标包内，单位负责人为非同一人或者不存在直接控股、管理关系的不同</w:t>
            </w:r>
            <w:r>
              <w:rPr>
                <w:rFonts w:hint="eastAsia" w:ascii="微软雅黑" w:hAnsi="微软雅黑" w:eastAsia="微软雅黑" w:cs="微软雅黑"/>
                <w:kern w:val="0"/>
                <w:sz w:val="24"/>
                <w:lang w:eastAsia="zh-CN"/>
              </w:rPr>
              <w:t>供应商</w:t>
            </w:r>
            <w:r>
              <w:rPr>
                <w:rFonts w:hint="eastAsia" w:ascii="微软雅黑" w:hAnsi="微软雅黑" w:eastAsia="微软雅黑" w:cs="微软雅黑"/>
                <w:kern w:val="0"/>
                <w:sz w:val="24"/>
              </w:rPr>
              <w:t>。</w:t>
            </w:r>
          </w:p>
        </w:tc>
        <w:tc>
          <w:tcPr>
            <w:tcW w:w="930" w:type="dxa"/>
            <w:tcBorders>
              <w:top w:val="single" w:color="auto" w:sz="4" w:space="0"/>
              <w:left w:val="nil"/>
              <w:bottom w:val="single" w:color="auto" w:sz="4" w:space="0"/>
              <w:right w:val="single" w:color="auto" w:sz="4" w:space="0"/>
            </w:tcBorders>
            <w:vAlign w:val="center"/>
          </w:tcPr>
          <w:p w14:paraId="3EA9A37B">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855" w:type="dxa"/>
            <w:tcBorders>
              <w:top w:val="single" w:color="auto" w:sz="4" w:space="0"/>
              <w:left w:val="nil"/>
              <w:bottom w:val="single" w:color="auto" w:sz="4" w:space="0"/>
              <w:right w:val="single" w:color="auto" w:sz="4" w:space="0"/>
            </w:tcBorders>
            <w:vAlign w:val="center"/>
          </w:tcPr>
          <w:p w14:paraId="5D19307A">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990" w:type="dxa"/>
            <w:tcBorders>
              <w:top w:val="single" w:color="auto" w:sz="4" w:space="0"/>
              <w:left w:val="nil"/>
              <w:bottom w:val="single" w:color="auto" w:sz="4" w:space="0"/>
              <w:right w:val="single" w:color="auto" w:sz="4" w:space="0"/>
            </w:tcBorders>
            <w:vAlign w:val="center"/>
          </w:tcPr>
          <w:p w14:paraId="66DD619A">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r>
      <w:tr w14:paraId="722EA0F8">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3ED97A86">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未发现影响</w:t>
            </w:r>
            <w:r>
              <w:rPr>
                <w:rFonts w:hint="eastAsia" w:ascii="微软雅黑" w:hAnsi="微软雅黑" w:eastAsia="微软雅黑" w:cs="微软雅黑"/>
                <w:kern w:val="0"/>
                <w:sz w:val="24"/>
                <w:lang w:eastAsia="zh-CN"/>
              </w:rPr>
              <w:t>采购人</w:t>
            </w:r>
            <w:r>
              <w:rPr>
                <w:rFonts w:hint="eastAsia" w:ascii="微软雅黑" w:hAnsi="微软雅黑" w:eastAsia="微软雅黑" w:cs="微软雅黑"/>
                <w:kern w:val="0"/>
                <w:sz w:val="24"/>
              </w:rPr>
              <w:t>决策行为（1.5）</w:t>
            </w:r>
          </w:p>
        </w:tc>
        <w:tc>
          <w:tcPr>
            <w:tcW w:w="4470" w:type="dxa"/>
            <w:tcBorders>
              <w:top w:val="single" w:color="auto" w:sz="4" w:space="0"/>
              <w:left w:val="nil"/>
              <w:bottom w:val="single" w:color="auto" w:sz="4" w:space="0"/>
              <w:right w:val="single" w:color="auto" w:sz="4" w:space="0"/>
            </w:tcBorders>
            <w:vAlign w:val="center"/>
          </w:tcPr>
          <w:p w14:paraId="1E74E13A">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sz w:val="24"/>
                <w:lang w:eastAsia="zh-CN"/>
              </w:rPr>
              <w:t>供应商</w:t>
            </w:r>
            <w:r>
              <w:rPr>
                <w:rFonts w:hint="eastAsia" w:ascii="微软雅黑" w:hAnsi="微软雅黑" w:eastAsia="微软雅黑" w:cs="微软雅黑"/>
                <w:sz w:val="24"/>
              </w:rPr>
              <w:t>在投标过程中未向</w:t>
            </w:r>
            <w:r>
              <w:rPr>
                <w:rFonts w:hint="eastAsia" w:ascii="微软雅黑" w:hAnsi="微软雅黑" w:eastAsia="微软雅黑" w:cs="微软雅黑"/>
                <w:sz w:val="24"/>
                <w:lang w:eastAsia="zh-CN"/>
              </w:rPr>
              <w:t>采购人</w:t>
            </w:r>
            <w:r>
              <w:rPr>
                <w:rFonts w:hint="eastAsia" w:ascii="微软雅黑" w:hAnsi="微软雅黑" w:eastAsia="微软雅黑" w:cs="微软雅黑"/>
                <w:sz w:val="24"/>
              </w:rPr>
              <w:t>提供、给予任何有价值的物品，影响其正常决策行为。</w:t>
            </w:r>
          </w:p>
        </w:tc>
        <w:tc>
          <w:tcPr>
            <w:tcW w:w="930" w:type="dxa"/>
            <w:tcBorders>
              <w:top w:val="single" w:color="auto" w:sz="4" w:space="0"/>
              <w:left w:val="nil"/>
              <w:bottom w:val="single" w:color="auto" w:sz="4" w:space="0"/>
              <w:right w:val="single" w:color="auto" w:sz="4" w:space="0"/>
            </w:tcBorders>
            <w:vAlign w:val="center"/>
          </w:tcPr>
          <w:p w14:paraId="5181E665">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c>
          <w:tcPr>
            <w:tcW w:w="855" w:type="dxa"/>
            <w:tcBorders>
              <w:top w:val="single" w:color="auto" w:sz="4" w:space="0"/>
              <w:left w:val="nil"/>
              <w:bottom w:val="single" w:color="auto" w:sz="4" w:space="0"/>
              <w:right w:val="single" w:color="auto" w:sz="4" w:space="0"/>
            </w:tcBorders>
            <w:vAlign w:val="center"/>
          </w:tcPr>
          <w:p w14:paraId="34C9D07A">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c>
          <w:tcPr>
            <w:tcW w:w="990" w:type="dxa"/>
            <w:tcBorders>
              <w:top w:val="single" w:color="auto" w:sz="4" w:space="0"/>
              <w:left w:val="nil"/>
              <w:bottom w:val="single" w:color="auto" w:sz="4" w:space="0"/>
              <w:right w:val="single" w:color="auto" w:sz="4" w:space="0"/>
            </w:tcBorders>
            <w:vAlign w:val="center"/>
          </w:tcPr>
          <w:p w14:paraId="422E38E9">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r>
      <w:tr w14:paraId="7F534672">
        <w:tblPrEx>
          <w:tblCellMar>
            <w:top w:w="0" w:type="dxa"/>
            <w:left w:w="108" w:type="dxa"/>
            <w:bottom w:w="0" w:type="dxa"/>
            <w:right w:w="108" w:type="dxa"/>
          </w:tblCellMar>
        </w:tblPrEx>
        <w:trPr>
          <w:trHeight w:val="9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2B93420A">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满足投标范围的完整性要求（8.1）</w:t>
            </w:r>
          </w:p>
        </w:tc>
        <w:tc>
          <w:tcPr>
            <w:tcW w:w="4470" w:type="dxa"/>
            <w:tcBorders>
              <w:top w:val="single" w:color="auto" w:sz="4" w:space="0"/>
              <w:left w:val="nil"/>
              <w:bottom w:val="single" w:color="auto" w:sz="4" w:space="0"/>
              <w:right w:val="single" w:color="auto" w:sz="4" w:space="0"/>
            </w:tcBorders>
            <w:vAlign w:val="center"/>
          </w:tcPr>
          <w:p w14:paraId="38BAA713">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sz w:val="24"/>
                <w:lang w:eastAsia="zh-CN"/>
              </w:rPr>
              <w:t>供应商</w:t>
            </w:r>
            <w:r>
              <w:rPr>
                <w:rFonts w:hint="eastAsia" w:ascii="微软雅黑" w:hAnsi="微软雅黑" w:eastAsia="微软雅黑" w:cs="微软雅黑"/>
                <w:sz w:val="24"/>
              </w:rPr>
              <w:t>对所投分包磋商文件中所列的所有内容进行投标。</w:t>
            </w:r>
          </w:p>
        </w:tc>
        <w:tc>
          <w:tcPr>
            <w:tcW w:w="930" w:type="dxa"/>
            <w:tcBorders>
              <w:top w:val="single" w:color="auto" w:sz="4" w:space="0"/>
              <w:left w:val="nil"/>
              <w:bottom w:val="single" w:color="auto" w:sz="4" w:space="0"/>
              <w:right w:val="single" w:color="auto" w:sz="4" w:space="0"/>
            </w:tcBorders>
            <w:vAlign w:val="center"/>
          </w:tcPr>
          <w:p w14:paraId="35D293C6">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c>
          <w:tcPr>
            <w:tcW w:w="855" w:type="dxa"/>
            <w:tcBorders>
              <w:top w:val="single" w:color="auto" w:sz="4" w:space="0"/>
              <w:left w:val="nil"/>
              <w:bottom w:val="single" w:color="auto" w:sz="4" w:space="0"/>
              <w:right w:val="single" w:color="auto" w:sz="4" w:space="0"/>
            </w:tcBorders>
            <w:vAlign w:val="center"/>
          </w:tcPr>
          <w:p w14:paraId="34B601DE">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c>
          <w:tcPr>
            <w:tcW w:w="990" w:type="dxa"/>
            <w:tcBorders>
              <w:top w:val="single" w:color="auto" w:sz="4" w:space="0"/>
              <w:left w:val="nil"/>
              <w:bottom w:val="single" w:color="auto" w:sz="4" w:space="0"/>
              <w:right w:val="single" w:color="auto" w:sz="4" w:space="0"/>
            </w:tcBorders>
            <w:vAlign w:val="center"/>
          </w:tcPr>
          <w:p w14:paraId="1902F9A7">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r>
      <w:tr w14:paraId="2EA7AE9A">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01588842">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未包含价格调整要求（11.4）</w:t>
            </w:r>
          </w:p>
        </w:tc>
        <w:tc>
          <w:tcPr>
            <w:tcW w:w="4470" w:type="dxa"/>
            <w:tcBorders>
              <w:top w:val="single" w:color="auto" w:sz="4" w:space="0"/>
              <w:left w:val="nil"/>
              <w:bottom w:val="single" w:color="auto" w:sz="4" w:space="0"/>
              <w:right w:val="single" w:color="auto" w:sz="4" w:space="0"/>
            </w:tcBorders>
            <w:vAlign w:val="center"/>
          </w:tcPr>
          <w:p w14:paraId="62AFB413">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sz w:val="24"/>
                <w:lang w:eastAsia="zh-CN"/>
              </w:rPr>
              <w:t>供应商</w:t>
            </w:r>
            <w:r>
              <w:rPr>
                <w:rFonts w:hint="eastAsia" w:ascii="微软雅黑" w:hAnsi="微软雅黑" w:eastAsia="微软雅黑" w:cs="微软雅黑"/>
                <w:sz w:val="24"/>
              </w:rPr>
              <w:t>所报的各分项投标报价在合同履行过程中是固定不变的，不得以任何理由予以变更。</w:t>
            </w:r>
          </w:p>
        </w:tc>
        <w:tc>
          <w:tcPr>
            <w:tcW w:w="930" w:type="dxa"/>
            <w:tcBorders>
              <w:top w:val="single" w:color="auto" w:sz="4" w:space="0"/>
              <w:left w:val="nil"/>
              <w:bottom w:val="single" w:color="auto" w:sz="4" w:space="0"/>
              <w:right w:val="single" w:color="auto" w:sz="4" w:space="0"/>
            </w:tcBorders>
            <w:vAlign w:val="center"/>
          </w:tcPr>
          <w:p w14:paraId="756D16BB">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855" w:type="dxa"/>
            <w:tcBorders>
              <w:top w:val="single" w:color="auto" w:sz="4" w:space="0"/>
              <w:left w:val="nil"/>
              <w:bottom w:val="single" w:color="auto" w:sz="4" w:space="0"/>
              <w:right w:val="single" w:color="auto" w:sz="4" w:space="0"/>
            </w:tcBorders>
            <w:vAlign w:val="center"/>
          </w:tcPr>
          <w:p w14:paraId="4AA9CABE">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990" w:type="dxa"/>
            <w:tcBorders>
              <w:top w:val="single" w:color="auto" w:sz="4" w:space="0"/>
              <w:left w:val="nil"/>
              <w:bottom w:val="single" w:color="auto" w:sz="4" w:space="0"/>
              <w:right w:val="single" w:color="auto" w:sz="4" w:space="0"/>
            </w:tcBorders>
            <w:vAlign w:val="center"/>
          </w:tcPr>
          <w:p w14:paraId="2D44269C">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r>
      <w:tr w14:paraId="41C3580C">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311E9133">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投标保证金（12.1）</w:t>
            </w:r>
          </w:p>
        </w:tc>
        <w:tc>
          <w:tcPr>
            <w:tcW w:w="4470" w:type="dxa"/>
            <w:tcBorders>
              <w:top w:val="single" w:color="auto" w:sz="4" w:space="0"/>
              <w:left w:val="nil"/>
              <w:bottom w:val="single" w:color="auto" w:sz="4" w:space="0"/>
              <w:right w:val="single" w:color="auto" w:sz="4" w:space="0"/>
            </w:tcBorders>
            <w:vAlign w:val="center"/>
          </w:tcPr>
          <w:p w14:paraId="4BC2373C">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符合磋商文件要求</w:t>
            </w:r>
          </w:p>
        </w:tc>
        <w:tc>
          <w:tcPr>
            <w:tcW w:w="930" w:type="dxa"/>
            <w:tcBorders>
              <w:top w:val="single" w:color="auto" w:sz="4" w:space="0"/>
              <w:left w:val="nil"/>
              <w:bottom w:val="single" w:color="auto" w:sz="4" w:space="0"/>
              <w:right w:val="single" w:color="auto" w:sz="4" w:space="0"/>
            </w:tcBorders>
            <w:vAlign w:val="center"/>
          </w:tcPr>
          <w:p w14:paraId="4569DAF1">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c>
          <w:tcPr>
            <w:tcW w:w="855" w:type="dxa"/>
            <w:tcBorders>
              <w:top w:val="single" w:color="auto" w:sz="4" w:space="0"/>
              <w:left w:val="nil"/>
              <w:bottom w:val="single" w:color="auto" w:sz="4" w:space="0"/>
              <w:right w:val="single" w:color="auto" w:sz="4" w:space="0"/>
            </w:tcBorders>
            <w:vAlign w:val="center"/>
          </w:tcPr>
          <w:p w14:paraId="7C09C5AA">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c>
          <w:tcPr>
            <w:tcW w:w="990" w:type="dxa"/>
            <w:tcBorders>
              <w:top w:val="single" w:color="auto" w:sz="4" w:space="0"/>
              <w:left w:val="nil"/>
              <w:bottom w:val="single" w:color="auto" w:sz="4" w:space="0"/>
              <w:right w:val="single" w:color="auto" w:sz="4" w:space="0"/>
            </w:tcBorders>
            <w:vAlign w:val="center"/>
          </w:tcPr>
          <w:p w14:paraId="79F90E49">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r>
      <w:tr w14:paraId="1C4FC41D">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6285CFE4">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投标有效期满足要求（13.1）</w:t>
            </w:r>
          </w:p>
        </w:tc>
        <w:tc>
          <w:tcPr>
            <w:tcW w:w="4470" w:type="dxa"/>
            <w:tcBorders>
              <w:top w:val="single" w:color="auto" w:sz="4" w:space="0"/>
              <w:left w:val="nil"/>
              <w:bottom w:val="single" w:color="auto" w:sz="4" w:space="0"/>
              <w:right w:val="single" w:color="auto" w:sz="4" w:space="0"/>
            </w:tcBorders>
            <w:vAlign w:val="center"/>
          </w:tcPr>
          <w:p w14:paraId="2191B197">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sz w:val="24"/>
              </w:rPr>
              <w:t>自提交响应文件截止之日起</w:t>
            </w:r>
            <w:r>
              <w:rPr>
                <w:rFonts w:hint="eastAsia" w:ascii="微软雅黑" w:hAnsi="微软雅黑" w:eastAsia="微软雅黑" w:cs="微软雅黑"/>
                <w:sz w:val="24"/>
                <w:u w:val="single" w:color="000000"/>
                <w:lang w:val="en-US" w:eastAsia="zh-CN"/>
              </w:rPr>
              <w:t>90</w:t>
            </w:r>
            <w:r>
              <w:rPr>
                <w:rFonts w:hint="eastAsia" w:ascii="微软雅黑" w:hAnsi="微软雅黑" w:eastAsia="微软雅黑" w:cs="微软雅黑"/>
                <w:sz w:val="24"/>
                <w:u w:val="single" w:color="000000"/>
              </w:rPr>
              <w:t>日</w:t>
            </w:r>
            <w:r>
              <w:rPr>
                <w:rFonts w:hint="eastAsia" w:ascii="微软雅黑" w:hAnsi="微软雅黑" w:eastAsia="微软雅黑" w:cs="微软雅黑"/>
                <w:sz w:val="24"/>
              </w:rPr>
              <w:t>历日</w:t>
            </w:r>
          </w:p>
        </w:tc>
        <w:tc>
          <w:tcPr>
            <w:tcW w:w="930" w:type="dxa"/>
            <w:tcBorders>
              <w:top w:val="single" w:color="auto" w:sz="4" w:space="0"/>
              <w:left w:val="nil"/>
              <w:bottom w:val="single" w:color="auto" w:sz="4" w:space="0"/>
              <w:right w:val="single" w:color="auto" w:sz="4" w:space="0"/>
            </w:tcBorders>
            <w:vAlign w:val="center"/>
          </w:tcPr>
          <w:p w14:paraId="21018B09">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855" w:type="dxa"/>
            <w:tcBorders>
              <w:top w:val="single" w:color="auto" w:sz="4" w:space="0"/>
              <w:left w:val="nil"/>
              <w:bottom w:val="single" w:color="auto" w:sz="4" w:space="0"/>
              <w:right w:val="single" w:color="auto" w:sz="4" w:space="0"/>
            </w:tcBorders>
            <w:vAlign w:val="center"/>
          </w:tcPr>
          <w:p w14:paraId="0281D4D2">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990" w:type="dxa"/>
            <w:tcBorders>
              <w:top w:val="single" w:color="auto" w:sz="4" w:space="0"/>
              <w:left w:val="nil"/>
              <w:bottom w:val="single" w:color="auto" w:sz="4" w:space="0"/>
              <w:right w:val="single" w:color="auto" w:sz="4" w:space="0"/>
            </w:tcBorders>
            <w:vAlign w:val="center"/>
          </w:tcPr>
          <w:p w14:paraId="03C8BC33">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r>
      <w:tr w14:paraId="2C4A577E">
        <w:tblPrEx>
          <w:tblCellMar>
            <w:top w:w="0" w:type="dxa"/>
            <w:left w:w="108" w:type="dxa"/>
            <w:bottom w:w="0" w:type="dxa"/>
            <w:right w:w="108" w:type="dxa"/>
          </w:tblCellMar>
        </w:tblPrEx>
        <w:trPr>
          <w:trHeight w:val="57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532AD068">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响应文件的签署和盖章符合要求</w:t>
            </w:r>
          </w:p>
          <w:p w14:paraId="0515501A">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（14.2、14.4）</w:t>
            </w:r>
          </w:p>
        </w:tc>
        <w:tc>
          <w:tcPr>
            <w:tcW w:w="4470" w:type="dxa"/>
            <w:tcBorders>
              <w:top w:val="single" w:color="auto" w:sz="4" w:space="0"/>
              <w:left w:val="nil"/>
              <w:bottom w:val="single" w:color="auto" w:sz="4" w:space="0"/>
              <w:right w:val="single" w:color="auto" w:sz="4" w:space="0"/>
            </w:tcBorders>
            <w:vAlign w:val="center"/>
          </w:tcPr>
          <w:p w14:paraId="65724D27">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按照磋商文件规定要求签署、盖章。</w:t>
            </w:r>
          </w:p>
        </w:tc>
        <w:tc>
          <w:tcPr>
            <w:tcW w:w="930" w:type="dxa"/>
            <w:tcBorders>
              <w:top w:val="single" w:color="auto" w:sz="4" w:space="0"/>
              <w:left w:val="nil"/>
              <w:bottom w:val="single" w:color="auto" w:sz="4" w:space="0"/>
              <w:right w:val="single" w:color="auto" w:sz="4" w:space="0"/>
            </w:tcBorders>
            <w:vAlign w:val="center"/>
          </w:tcPr>
          <w:p w14:paraId="5277802A">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c>
          <w:tcPr>
            <w:tcW w:w="855" w:type="dxa"/>
            <w:tcBorders>
              <w:top w:val="single" w:color="auto" w:sz="4" w:space="0"/>
              <w:left w:val="nil"/>
              <w:bottom w:val="single" w:color="auto" w:sz="4" w:space="0"/>
              <w:right w:val="single" w:color="auto" w:sz="4" w:space="0"/>
            </w:tcBorders>
            <w:vAlign w:val="center"/>
          </w:tcPr>
          <w:p w14:paraId="1D9DF64A">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c>
          <w:tcPr>
            <w:tcW w:w="990" w:type="dxa"/>
            <w:tcBorders>
              <w:top w:val="single" w:color="auto" w:sz="4" w:space="0"/>
              <w:left w:val="nil"/>
              <w:bottom w:val="single" w:color="auto" w:sz="4" w:space="0"/>
              <w:right w:val="single" w:color="auto" w:sz="4" w:space="0"/>
            </w:tcBorders>
            <w:vAlign w:val="center"/>
          </w:tcPr>
          <w:p w14:paraId="0B51BE9D">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r>
      <w:tr w14:paraId="47FAFEB5">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21B7C2AF">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接受价格的算术修正（20.3）</w:t>
            </w:r>
          </w:p>
        </w:tc>
        <w:tc>
          <w:tcPr>
            <w:tcW w:w="4470" w:type="dxa"/>
            <w:tcBorders>
              <w:top w:val="single" w:color="auto" w:sz="4" w:space="0"/>
              <w:left w:val="nil"/>
              <w:bottom w:val="single" w:color="auto" w:sz="4" w:space="0"/>
              <w:right w:val="single" w:color="auto" w:sz="4" w:space="0"/>
            </w:tcBorders>
            <w:vAlign w:val="center"/>
          </w:tcPr>
          <w:p w14:paraId="41914231">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sz w:val="24"/>
              </w:rPr>
              <w:t>响应文件报价出现前后不一致的，应按照磋商文件规定的顺序修正。修正后的报价经</w:t>
            </w:r>
            <w:r>
              <w:rPr>
                <w:rFonts w:hint="eastAsia" w:ascii="微软雅黑" w:hAnsi="微软雅黑" w:eastAsia="微软雅黑" w:cs="微软雅黑"/>
                <w:sz w:val="24"/>
                <w:lang w:eastAsia="zh-CN"/>
              </w:rPr>
              <w:t>供应商</w:t>
            </w:r>
            <w:r>
              <w:rPr>
                <w:rFonts w:hint="eastAsia" w:ascii="微软雅黑" w:hAnsi="微软雅黑" w:eastAsia="微软雅黑" w:cs="微软雅黑"/>
                <w:sz w:val="24"/>
              </w:rPr>
              <w:t>确认后产生约束力。</w:t>
            </w:r>
          </w:p>
        </w:tc>
        <w:tc>
          <w:tcPr>
            <w:tcW w:w="930" w:type="dxa"/>
            <w:tcBorders>
              <w:top w:val="single" w:color="auto" w:sz="4" w:space="0"/>
              <w:left w:val="nil"/>
              <w:bottom w:val="single" w:color="auto" w:sz="4" w:space="0"/>
              <w:right w:val="single" w:color="auto" w:sz="4" w:space="0"/>
            </w:tcBorders>
            <w:vAlign w:val="center"/>
          </w:tcPr>
          <w:p w14:paraId="155E59E9">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855" w:type="dxa"/>
            <w:tcBorders>
              <w:top w:val="single" w:color="auto" w:sz="4" w:space="0"/>
              <w:left w:val="nil"/>
              <w:bottom w:val="single" w:color="auto" w:sz="4" w:space="0"/>
              <w:right w:val="single" w:color="auto" w:sz="4" w:space="0"/>
            </w:tcBorders>
            <w:vAlign w:val="center"/>
          </w:tcPr>
          <w:p w14:paraId="240DD4E1">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990" w:type="dxa"/>
            <w:tcBorders>
              <w:top w:val="single" w:color="auto" w:sz="4" w:space="0"/>
              <w:left w:val="nil"/>
              <w:bottom w:val="single" w:color="auto" w:sz="4" w:space="0"/>
              <w:right w:val="single" w:color="auto" w:sz="4" w:space="0"/>
            </w:tcBorders>
            <w:vAlign w:val="center"/>
          </w:tcPr>
          <w:p w14:paraId="13D5A3C6">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r>
      <w:tr w14:paraId="263777E7">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7A9E5DFC">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符合强制采购节能产品要求（20.6）</w:t>
            </w:r>
          </w:p>
        </w:tc>
        <w:tc>
          <w:tcPr>
            <w:tcW w:w="4470" w:type="dxa"/>
            <w:tcBorders>
              <w:top w:val="single" w:color="auto" w:sz="4" w:space="0"/>
              <w:left w:val="nil"/>
              <w:bottom w:val="single" w:color="auto" w:sz="4" w:space="0"/>
              <w:right w:val="single" w:color="auto" w:sz="4" w:space="0"/>
            </w:tcBorders>
            <w:vAlign w:val="center"/>
          </w:tcPr>
          <w:p w14:paraId="78496DB5">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本项目</w:t>
            </w:r>
            <w:r>
              <w:rPr>
                <w:rFonts w:hint="eastAsia" w:ascii="微软雅黑" w:hAnsi="微软雅黑" w:eastAsia="微软雅黑" w:cs="微软雅黑"/>
                <w:i/>
                <w:iCs/>
                <w:kern w:val="0"/>
                <w:sz w:val="24"/>
                <w:u w:val="single" w:color="000000"/>
              </w:rPr>
              <w:t>适用</w:t>
            </w:r>
          </w:p>
        </w:tc>
        <w:tc>
          <w:tcPr>
            <w:tcW w:w="930" w:type="dxa"/>
            <w:tcBorders>
              <w:top w:val="single" w:color="auto" w:sz="4" w:space="0"/>
              <w:left w:val="nil"/>
              <w:bottom w:val="single" w:color="auto" w:sz="4" w:space="0"/>
              <w:right w:val="single" w:color="auto" w:sz="4" w:space="0"/>
            </w:tcBorders>
            <w:vAlign w:val="center"/>
          </w:tcPr>
          <w:p w14:paraId="602CE6B9">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855" w:type="dxa"/>
            <w:tcBorders>
              <w:top w:val="single" w:color="auto" w:sz="4" w:space="0"/>
              <w:left w:val="nil"/>
              <w:bottom w:val="single" w:color="auto" w:sz="4" w:space="0"/>
              <w:right w:val="single" w:color="auto" w:sz="4" w:space="0"/>
            </w:tcBorders>
            <w:vAlign w:val="center"/>
          </w:tcPr>
          <w:p w14:paraId="1B7E7903">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990" w:type="dxa"/>
            <w:tcBorders>
              <w:top w:val="single" w:color="auto" w:sz="4" w:space="0"/>
              <w:left w:val="nil"/>
              <w:bottom w:val="single" w:color="auto" w:sz="4" w:space="0"/>
              <w:right w:val="single" w:color="auto" w:sz="4" w:space="0"/>
            </w:tcBorders>
            <w:vAlign w:val="center"/>
          </w:tcPr>
          <w:p w14:paraId="4DCE4CE0">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r>
      <w:tr w14:paraId="0765E76E">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387F0603">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未发现串通投标（22.2）</w:t>
            </w:r>
          </w:p>
        </w:tc>
        <w:tc>
          <w:tcPr>
            <w:tcW w:w="4470" w:type="dxa"/>
            <w:tcBorders>
              <w:top w:val="single" w:color="auto" w:sz="4" w:space="0"/>
              <w:left w:val="nil"/>
              <w:bottom w:val="single" w:color="auto" w:sz="4" w:space="0"/>
              <w:right w:val="single" w:color="auto" w:sz="4" w:space="0"/>
            </w:tcBorders>
            <w:vAlign w:val="center"/>
          </w:tcPr>
          <w:p w14:paraId="59CAD094">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sz w:val="24"/>
              </w:rPr>
              <w:t>未与其他</w:t>
            </w:r>
            <w:r>
              <w:rPr>
                <w:rFonts w:hint="eastAsia" w:ascii="微软雅黑" w:hAnsi="微软雅黑" w:eastAsia="微软雅黑" w:cs="微软雅黑"/>
                <w:sz w:val="24"/>
                <w:lang w:eastAsia="zh-CN"/>
              </w:rPr>
              <w:t>供应商</w:t>
            </w:r>
            <w:r>
              <w:rPr>
                <w:rFonts w:hint="eastAsia" w:ascii="微软雅黑" w:hAnsi="微软雅黑" w:eastAsia="微软雅黑" w:cs="微软雅黑"/>
                <w:sz w:val="24"/>
              </w:rPr>
              <w:t>串通投标，或者与</w:t>
            </w:r>
            <w:r>
              <w:rPr>
                <w:rFonts w:hint="eastAsia" w:ascii="微软雅黑" w:hAnsi="微软雅黑" w:eastAsia="微软雅黑" w:cs="微软雅黑"/>
                <w:sz w:val="24"/>
                <w:lang w:eastAsia="zh-CN"/>
              </w:rPr>
              <w:t>采购人</w:t>
            </w:r>
            <w:r>
              <w:rPr>
                <w:rFonts w:hint="eastAsia" w:ascii="微软雅黑" w:hAnsi="微软雅黑" w:eastAsia="微软雅黑" w:cs="微软雅黑"/>
                <w:sz w:val="24"/>
              </w:rPr>
              <w:t>串通投标。</w:t>
            </w:r>
          </w:p>
        </w:tc>
        <w:tc>
          <w:tcPr>
            <w:tcW w:w="930" w:type="dxa"/>
            <w:tcBorders>
              <w:top w:val="single" w:color="auto" w:sz="4" w:space="0"/>
              <w:left w:val="nil"/>
              <w:bottom w:val="single" w:color="auto" w:sz="4" w:space="0"/>
              <w:right w:val="single" w:color="auto" w:sz="4" w:space="0"/>
            </w:tcBorders>
            <w:vAlign w:val="center"/>
          </w:tcPr>
          <w:p w14:paraId="49FE4CAC">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855" w:type="dxa"/>
            <w:tcBorders>
              <w:top w:val="single" w:color="auto" w:sz="4" w:space="0"/>
              <w:left w:val="nil"/>
              <w:bottom w:val="single" w:color="auto" w:sz="4" w:space="0"/>
              <w:right w:val="single" w:color="auto" w:sz="4" w:space="0"/>
            </w:tcBorders>
            <w:vAlign w:val="center"/>
          </w:tcPr>
          <w:p w14:paraId="06351FFE">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990" w:type="dxa"/>
            <w:tcBorders>
              <w:top w:val="single" w:color="auto" w:sz="4" w:space="0"/>
              <w:left w:val="nil"/>
              <w:bottom w:val="single" w:color="auto" w:sz="4" w:space="0"/>
              <w:right w:val="single" w:color="auto" w:sz="4" w:space="0"/>
            </w:tcBorders>
            <w:vAlign w:val="center"/>
          </w:tcPr>
          <w:p w14:paraId="330CBB7C">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r>
      <w:tr w14:paraId="560B9A71">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545B7FBA">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报价说明可以接受（22.2）</w:t>
            </w:r>
          </w:p>
        </w:tc>
        <w:tc>
          <w:tcPr>
            <w:tcW w:w="4470" w:type="dxa"/>
            <w:tcBorders>
              <w:top w:val="single" w:color="auto" w:sz="4" w:space="0"/>
              <w:left w:val="nil"/>
              <w:bottom w:val="single" w:color="auto" w:sz="4" w:space="0"/>
              <w:right w:val="single" w:color="auto" w:sz="4" w:space="0"/>
            </w:tcBorders>
            <w:vAlign w:val="center"/>
          </w:tcPr>
          <w:p w14:paraId="0BF880B7">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sz w:val="24"/>
                <w:lang w:eastAsia="zh-CN"/>
              </w:rPr>
              <w:t>供应商</w:t>
            </w:r>
            <w:r>
              <w:rPr>
                <w:rFonts w:hint="eastAsia" w:ascii="微软雅黑" w:hAnsi="微软雅黑" w:eastAsia="微软雅黑" w:cs="微软雅黑"/>
                <w:sz w:val="24"/>
              </w:rPr>
              <w:t>的报价明显低于其他通过符合性检查</w:t>
            </w:r>
            <w:r>
              <w:rPr>
                <w:rFonts w:hint="eastAsia" w:ascii="微软雅黑" w:hAnsi="微软雅黑" w:eastAsia="微软雅黑" w:cs="微软雅黑"/>
                <w:sz w:val="24"/>
                <w:lang w:eastAsia="zh-CN"/>
              </w:rPr>
              <w:t>供应商</w:t>
            </w:r>
            <w:r>
              <w:rPr>
                <w:rFonts w:hint="eastAsia" w:ascii="微软雅黑" w:hAnsi="微软雅黑" w:eastAsia="微软雅黑" w:cs="微软雅黑"/>
                <w:sz w:val="24"/>
              </w:rPr>
              <w:t>的报价，有可能影响履约的，</w:t>
            </w:r>
            <w:r>
              <w:rPr>
                <w:rFonts w:hint="eastAsia" w:ascii="微软雅黑" w:hAnsi="微软雅黑" w:eastAsia="微软雅黑" w:cs="微软雅黑"/>
                <w:sz w:val="24"/>
                <w:lang w:eastAsia="zh-CN"/>
              </w:rPr>
              <w:t>供应商</w:t>
            </w:r>
            <w:r>
              <w:rPr>
                <w:rFonts w:hint="eastAsia" w:ascii="微软雅黑" w:hAnsi="微软雅黑" w:eastAsia="微软雅黑" w:cs="微软雅黑"/>
                <w:sz w:val="24"/>
              </w:rPr>
              <w:t>能按照规定证明其报价合理性。</w:t>
            </w:r>
          </w:p>
        </w:tc>
        <w:tc>
          <w:tcPr>
            <w:tcW w:w="930" w:type="dxa"/>
            <w:tcBorders>
              <w:top w:val="single" w:color="auto" w:sz="4" w:space="0"/>
              <w:left w:val="nil"/>
              <w:bottom w:val="single" w:color="auto" w:sz="4" w:space="0"/>
              <w:right w:val="single" w:color="auto" w:sz="4" w:space="0"/>
            </w:tcBorders>
            <w:vAlign w:val="center"/>
          </w:tcPr>
          <w:p w14:paraId="2205C8E4">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855" w:type="dxa"/>
            <w:tcBorders>
              <w:top w:val="single" w:color="auto" w:sz="4" w:space="0"/>
              <w:left w:val="nil"/>
              <w:bottom w:val="single" w:color="auto" w:sz="4" w:space="0"/>
              <w:right w:val="single" w:color="auto" w:sz="4" w:space="0"/>
            </w:tcBorders>
            <w:vAlign w:val="center"/>
          </w:tcPr>
          <w:p w14:paraId="37999813">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c>
          <w:tcPr>
            <w:tcW w:w="990" w:type="dxa"/>
            <w:tcBorders>
              <w:top w:val="single" w:color="auto" w:sz="4" w:space="0"/>
              <w:left w:val="nil"/>
              <w:bottom w:val="single" w:color="auto" w:sz="4" w:space="0"/>
              <w:right w:val="single" w:color="auto" w:sz="4" w:space="0"/>
            </w:tcBorders>
            <w:vAlign w:val="center"/>
          </w:tcPr>
          <w:p w14:paraId="48193F38">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w:t>
            </w:r>
          </w:p>
        </w:tc>
      </w:tr>
      <w:tr w14:paraId="3805ACE1">
        <w:tblPrEx>
          <w:tblCellMar>
            <w:top w:w="0" w:type="dxa"/>
            <w:left w:w="108" w:type="dxa"/>
            <w:bottom w:w="0" w:type="dxa"/>
            <w:right w:w="108" w:type="dxa"/>
          </w:tblCellMar>
        </w:tblPrEx>
        <w:trPr>
          <w:trHeight w:val="510"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14:paraId="748AD71C">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sz w:val="24"/>
              </w:rPr>
              <w:t>无</w:t>
            </w:r>
            <w:r>
              <w:rPr>
                <w:rFonts w:hint="eastAsia" w:ascii="微软雅黑" w:hAnsi="微软雅黑" w:eastAsia="微软雅黑" w:cs="微软雅黑"/>
                <w:sz w:val="24"/>
                <w:lang w:eastAsia="zh-CN"/>
              </w:rPr>
              <w:t>采购人</w:t>
            </w:r>
            <w:r>
              <w:rPr>
                <w:rFonts w:hint="eastAsia" w:ascii="微软雅黑" w:hAnsi="微软雅黑" w:eastAsia="微软雅黑" w:cs="微软雅黑"/>
                <w:sz w:val="24"/>
              </w:rPr>
              <w:t>不能接受的附加条件（22.2）</w:t>
            </w:r>
          </w:p>
        </w:tc>
        <w:tc>
          <w:tcPr>
            <w:tcW w:w="4470" w:type="dxa"/>
            <w:tcBorders>
              <w:top w:val="single" w:color="auto" w:sz="4" w:space="0"/>
              <w:left w:val="nil"/>
              <w:bottom w:val="single" w:color="auto" w:sz="4" w:space="0"/>
              <w:right w:val="single" w:color="auto" w:sz="4" w:space="0"/>
            </w:tcBorders>
            <w:vAlign w:val="center"/>
          </w:tcPr>
          <w:p w14:paraId="4E1979B5">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sz w:val="24"/>
              </w:rPr>
              <w:t>响应文件未含有</w:t>
            </w:r>
            <w:r>
              <w:rPr>
                <w:rFonts w:hint="eastAsia" w:ascii="微软雅黑" w:hAnsi="微软雅黑" w:eastAsia="微软雅黑" w:cs="微软雅黑"/>
                <w:sz w:val="24"/>
                <w:lang w:eastAsia="zh-CN"/>
              </w:rPr>
              <w:t>采购人</w:t>
            </w:r>
            <w:r>
              <w:rPr>
                <w:rFonts w:hint="eastAsia" w:ascii="微软雅黑" w:hAnsi="微软雅黑" w:eastAsia="微软雅黑" w:cs="微软雅黑"/>
                <w:sz w:val="24"/>
              </w:rPr>
              <w:t>不能接受的附加条件。</w:t>
            </w:r>
          </w:p>
        </w:tc>
        <w:tc>
          <w:tcPr>
            <w:tcW w:w="930" w:type="dxa"/>
            <w:tcBorders>
              <w:top w:val="single" w:color="auto" w:sz="4" w:space="0"/>
              <w:left w:val="nil"/>
              <w:bottom w:val="single" w:color="auto" w:sz="4" w:space="0"/>
              <w:right w:val="single" w:color="auto" w:sz="4" w:space="0"/>
            </w:tcBorders>
            <w:vAlign w:val="center"/>
          </w:tcPr>
          <w:p w14:paraId="2FD6EB8A">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c>
          <w:tcPr>
            <w:tcW w:w="855" w:type="dxa"/>
            <w:tcBorders>
              <w:top w:val="single" w:color="auto" w:sz="4" w:space="0"/>
              <w:left w:val="nil"/>
              <w:bottom w:val="single" w:color="auto" w:sz="4" w:space="0"/>
              <w:right w:val="single" w:color="auto" w:sz="4" w:space="0"/>
            </w:tcBorders>
            <w:vAlign w:val="center"/>
          </w:tcPr>
          <w:p w14:paraId="66935BCC">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c>
          <w:tcPr>
            <w:tcW w:w="990" w:type="dxa"/>
            <w:tcBorders>
              <w:top w:val="single" w:color="auto" w:sz="4" w:space="0"/>
              <w:left w:val="nil"/>
              <w:bottom w:val="single" w:color="auto" w:sz="4" w:space="0"/>
              <w:right w:val="single" w:color="auto" w:sz="4" w:space="0"/>
            </w:tcBorders>
            <w:vAlign w:val="center"/>
          </w:tcPr>
          <w:p w14:paraId="25425EA3">
            <w:pPr>
              <w:pageBreakBefore w:val="0"/>
              <w:widowControl/>
              <w:kinsoku/>
              <w:wordWrap/>
              <w:overflowPunct/>
              <w:topLinePunct w:val="0"/>
              <w:bidi w:val="0"/>
              <w:snapToGrid w:val="0"/>
              <w:spacing w:line="520" w:lineRule="exact"/>
              <w:jc w:val="left"/>
              <w:textAlignment w:val="baseline"/>
              <w:rPr>
                <w:rFonts w:ascii="微软雅黑" w:hAnsi="微软雅黑" w:eastAsia="微软雅黑" w:cs="微软雅黑"/>
                <w:kern w:val="0"/>
                <w:sz w:val="24"/>
              </w:rPr>
            </w:pPr>
          </w:p>
        </w:tc>
      </w:tr>
      <w:tr w14:paraId="0F2F8735">
        <w:tblPrEx>
          <w:tblCellMar>
            <w:top w:w="0" w:type="dxa"/>
            <w:left w:w="108" w:type="dxa"/>
            <w:bottom w:w="0" w:type="dxa"/>
            <w:right w:w="108" w:type="dxa"/>
          </w:tblCellMar>
        </w:tblPrEx>
        <w:trPr>
          <w:trHeight w:val="774" w:hRule="atLeast"/>
          <w:jc w:val="center"/>
        </w:trPr>
        <w:tc>
          <w:tcPr>
            <w:tcW w:w="7260" w:type="dxa"/>
            <w:gridSpan w:val="2"/>
            <w:tcBorders>
              <w:top w:val="single" w:color="auto" w:sz="4" w:space="0"/>
              <w:left w:val="single" w:color="auto" w:sz="4" w:space="0"/>
              <w:bottom w:val="single" w:color="auto" w:sz="4" w:space="0"/>
              <w:right w:val="single" w:color="auto" w:sz="4" w:space="0"/>
            </w:tcBorders>
            <w:vAlign w:val="center"/>
          </w:tcPr>
          <w:p w14:paraId="0523BBDB">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b/>
                <w:sz w:val="24"/>
              </w:rPr>
            </w:pPr>
            <w:r>
              <w:rPr>
                <w:rFonts w:hint="eastAsia" w:ascii="微软雅黑" w:hAnsi="微软雅黑" w:eastAsia="微软雅黑" w:cs="微软雅黑"/>
                <w:b/>
                <w:kern w:val="0"/>
                <w:sz w:val="24"/>
              </w:rPr>
              <w:t>结论</w:t>
            </w:r>
          </w:p>
        </w:tc>
        <w:tc>
          <w:tcPr>
            <w:tcW w:w="930" w:type="dxa"/>
            <w:tcBorders>
              <w:top w:val="single" w:color="auto" w:sz="4" w:space="0"/>
              <w:left w:val="nil"/>
              <w:bottom w:val="single" w:color="auto" w:sz="4" w:space="0"/>
              <w:right w:val="single" w:color="auto" w:sz="4" w:space="0"/>
            </w:tcBorders>
            <w:vAlign w:val="center"/>
          </w:tcPr>
          <w:p w14:paraId="6F1E235A">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p>
        </w:tc>
        <w:tc>
          <w:tcPr>
            <w:tcW w:w="855" w:type="dxa"/>
            <w:tcBorders>
              <w:top w:val="single" w:color="auto" w:sz="4" w:space="0"/>
              <w:left w:val="nil"/>
              <w:bottom w:val="single" w:color="auto" w:sz="4" w:space="0"/>
              <w:right w:val="single" w:color="auto" w:sz="4" w:space="0"/>
            </w:tcBorders>
            <w:vAlign w:val="center"/>
          </w:tcPr>
          <w:p w14:paraId="63FEBD63">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p>
        </w:tc>
        <w:tc>
          <w:tcPr>
            <w:tcW w:w="990" w:type="dxa"/>
            <w:tcBorders>
              <w:top w:val="single" w:color="auto" w:sz="4" w:space="0"/>
              <w:left w:val="nil"/>
              <w:bottom w:val="single" w:color="auto" w:sz="4" w:space="0"/>
              <w:right w:val="single" w:color="auto" w:sz="4" w:space="0"/>
            </w:tcBorders>
            <w:vAlign w:val="center"/>
          </w:tcPr>
          <w:p w14:paraId="359CB786">
            <w:pPr>
              <w:pageBreakBefore w:val="0"/>
              <w:widowControl/>
              <w:kinsoku/>
              <w:wordWrap/>
              <w:overflowPunct/>
              <w:topLinePunct w:val="0"/>
              <w:bidi w:val="0"/>
              <w:snapToGrid w:val="0"/>
              <w:spacing w:line="520" w:lineRule="exact"/>
              <w:jc w:val="center"/>
              <w:textAlignment w:val="baseline"/>
              <w:rPr>
                <w:rFonts w:ascii="微软雅黑" w:hAnsi="微软雅黑" w:eastAsia="微软雅黑" w:cs="微软雅黑"/>
                <w:kern w:val="0"/>
                <w:sz w:val="24"/>
              </w:rPr>
            </w:pPr>
          </w:p>
        </w:tc>
      </w:tr>
    </w:tbl>
    <w:p w14:paraId="7E68BEEC">
      <w:pPr>
        <w:pStyle w:val="11"/>
        <w:pageBreakBefore w:val="0"/>
        <w:kinsoku/>
        <w:wordWrap/>
        <w:overflowPunct/>
        <w:topLinePunct w:val="0"/>
        <w:bidi w:val="0"/>
        <w:snapToGrid w:val="0"/>
        <w:spacing w:before="0" w:line="520" w:lineRule="exact"/>
        <w:ind w:left="-181" w:leftChars="-86" w:firstLine="660" w:firstLineChars="275"/>
        <w:textAlignment w:val="baseline"/>
        <w:rPr>
          <w:rFonts w:ascii="微软雅黑" w:hAnsi="微软雅黑" w:eastAsia="微软雅黑" w:cs="微软雅黑"/>
        </w:rPr>
      </w:pPr>
      <w:r>
        <w:rPr>
          <w:rFonts w:hint="eastAsia" w:ascii="微软雅黑" w:hAnsi="微软雅黑" w:eastAsia="微软雅黑" w:cs="微软雅黑"/>
        </w:rPr>
        <w:br w:type="page"/>
      </w:r>
    </w:p>
    <w:p w14:paraId="606733C8">
      <w:pPr>
        <w:pageBreakBefore w:val="0"/>
        <w:kinsoku/>
        <w:wordWrap/>
        <w:overflowPunct/>
        <w:topLinePunct w:val="0"/>
        <w:bidi w:val="0"/>
        <w:snapToGrid w:val="0"/>
        <w:spacing w:line="520" w:lineRule="exact"/>
        <w:ind w:left="1080" w:leftChars="257" w:hanging="540"/>
        <w:jc w:val="center"/>
        <w:textAlignment w:val="baseline"/>
        <w:outlineLvl w:val="9"/>
        <w:rPr>
          <w:rFonts w:hint="eastAsia" w:ascii="微软雅黑" w:hAnsi="微软雅黑" w:eastAsia="微软雅黑" w:cs="微软雅黑"/>
          <w:b/>
          <w:sz w:val="28"/>
          <w:szCs w:val="28"/>
        </w:rPr>
      </w:pPr>
      <w:bookmarkStart w:id="786" w:name="_Toc19042"/>
      <w:bookmarkStart w:id="787" w:name="_Toc9113"/>
      <w:bookmarkStart w:id="788" w:name="_Toc20034"/>
      <w:bookmarkStart w:id="789" w:name="_Toc27185"/>
      <w:bookmarkStart w:id="790" w:name="_Toc20547"/>
      <w:bookmarkStart w:id="791" w:name="_Toc29461"/>
      <w:bookmarkStart w:id="792" w:name="_Toc10809"/>
      <w:bookmarkStart w:id="793" w:name="_Toc21660"/>
      <w:bookmarkStart w:id="794" w:name="_Toc11236"/>
      <w:bookmarkStart w:id="795" w:name="_Toc26098"/>
    </w:p>
    <w:p w14:paraId="4496E2B3">
      <w:pPr>
        <w:pageBreakBefore w:val="0"/>
        <w:kinsoku/>
        <w:wordWrap/>
        <w:overflowPunct/>
        <w:topLinePunct w:val="0"/>
        <w:bidi w:val="0"/>
        <w:snapToGrid w:val="0"/>
        <w:spacing w:line="520" w:lineRule="exact"/>
        <w:ind w:left="1080" w:leftChars="257" w:hanging="540"/>
        <w:jc w:val="center"/>
        <w:textAlignment w:val="baseline"/>
        <w:outlineLvl w:val="1"/>
        <w:rPr>
          <w:rFonts w:ascii="微软雅黑" w:hAnsi="微软雅黑" w:eastAsia="微软雅黑" w:cs="微软雅黑"/>
          <w:b/>
          <w:sz w:val="28"/>
          <w:szCs w:val="28"/>
        </w:rPr>
      </w:pPr>
      <w:bookmarkStart w:id="796" w:name="_Toc9102"/>
      <w:bookmarkStart w:id="797" w:name="_Toc15320"/>
      <w:r>
        <w:rPr>
          <w:rFonts w:hint="eastAsia" w:ascii="微软雅黑" w:hAnsi="微软雅黑" w:eastAsia="微软雅黑" w:cs="微软雅黑"/>
          <w:b/>
          <w:sz w:val="28"/>
          <w:szCs w:val="28"/>
        </w:rPr>
        <w:t>综合评分表</w:t>
      </w:r>
      <w:bookmarkEnd w:id="783"/>
      <w:bookmarkEnd w:id="784"/>
      <w:bookmarkEnd w:id="786"/>
      <w:bookmarkEnd w:id="787"/>
      <w:bookmarkEnd w:id="788"/>
      <w:bookmarkEnd w:id="789"/>
      <w:bookmarkEnd w:id="790"/>
      <w:bookmarkEnd w:id="791"/>
      <w:bookmarkEnd w:id="792"/>
      <w:bookmarkEnd w:id="793"/>
      <w:bookmarkEnd w:id="794"/>
      <w:bookmarkEnd w:id="795"/>
      <w:bookmarkEnd w:id="796"/>
      <w:bookmarkEnd w:id="797"/>
      <w:r>
        <w:rPr>
          <w:rFonts w:hint="eastAsia" w:ascii="微软雅黑" w:hAnsi="微软雅黑" w:eastAsia="微软雅黑" w:cs="微软雅黑"/>
          <w:b/>
          <w:sz w:val="28"/>
          <w:szCs w:val="28"/>
        </w:rPr>
        <w:t xml:space="preserve"> </w:t>
      </w:r>
    </w:p>
    <w:tbl>
      <w:tblPr>
        <w:tblStyle w:val="38"/>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53"/>
        <w:gridCol w:w="965"/>
        <w:gridCol w:w="6689"/>
        <w:gridCol w:w="762"/>
      </w:tblGrid>
      <w:tr w14:paraId="1EB5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0" w:type="dxa"/>
            <w:noWrap w:val="0"/>
            <w:vAlign w:val="center"/>
          </w:tcPr>
          <w:p w14:paraId="6745BDAE">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b/>
                <w:color w:val="auto"/>
                <w:kern w:val="2"/>
                <w:sz w:val="21"/>
                <w:szCs w:val="21"/>
              </w:rPr>
            </w:pPr>
            <w:r>
              <w:rPr>
                <w:rFonts w:hint="eastAsia" w:ascii="微软雅黑" w:hAnsi="微软雅黑" w:eastAsia="微软雅黑" w:cs="微软雅黑"/>
                <w:b/>
                <w:color w:val="auto"/>
                <w:sz w:val="21"/>
                <w:szCs w:val="21"/>
              </w:rPr>
              <w:t>序号</w:t>
            </w:r>
          </w:p>
        </w:tc>
        <w:tc>
          <w:tcPr>
            <w:tcW w:w="1718" w:type="dxa"/>
            <w:gridSpan w:val="2"/>
            <w:noWrap w:val="0"/>
            <w:vAlign w:val="center"/>
          </w:tcPr>
          <w:p w14:paraId="3C26DF09">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评审项目</w:t>
            </w:r>
          </w:p>
        </w:tc>
        <w:tc>
          <w:tcPr>
            <w:tcW w:w="6689" w:type="dxa"/>
            <w:noWrap w:val="0"/>
            <w:vAlign w:val="center"/>
          </w:tcPr>
          <w:p w14:paraId="6C05DB63">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b/>
                <w:color w:val="auto"/>
                <w:kern w:val="2"/>
                <w:sz w:val="21"/>
                <w:szCs w:val="21"/>
              </w:rPr>
            </w:pPr>
            <w:r>
              <w:rPr>
                <w:rFonts w:hint="eastAsia" w:ascii="微软雅黑" w:hAnsi="微软雅黑" w:eastAsia="微软雅黑" w:cs="微软雅黑"/>
                <w:b/>
                <w:color w:val="auto"/>
                <w:sz w:val="21"/>
                <w:szCs w:val="21"/>
              </w:rPr>
              <w:t>评审内容及规则</w:t>
            </w:r>
          </w:p>
        </w:tc>
        <w:tc>
          <w:tcPr>
            <w:tcW w:w="762" w:type="dxa"/>
            <w:noWrap w:val="0"/>
            <w:vAlign w:val="center"/>
          </w:tcPr>
          <w:p w14:paraId="18016858">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标准分值</w:t>
            </w:r>
          </w:p>
        </w:tc>
      </w:tr>
      <w:tr w14:paraId="6F30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0" w:type="dxa"/>
            <w:noWrap w:val="0"/>
            <w:vAlign w:val="center"/>
          </w:tcPr>
          <w:p w14:paraId="3F38D870">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sz w:val="21"/>
                <w:szCs w:val="21"/>
              </w:rPr>
              <w:t>1</w:t>
            </w:r>
          </w:p>
        </w:tc>
        <w:tc>
          <w:tcPr>
            <w:tcW w:w="753" w:type="dxa"/>
            <w:noWrap w:val="0"/>
            <w:vAlign w:val="center"/>
          </w:tcPr>
          <w:p w14:paraId="6177F767">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价格评审</w:t>
            </w:r>
          </w:p>
        </w:tc>
        <w:tc>
          <w:tcPr>
            <w:tcW w:w="965" w:type="dxa"/>
            <w:noWrap w:val="0"/>
            <w:vAlign w:val="center"/>
          </w:tcPr>
          <w:p w14:paraId="788DFA60">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价格</w:t>
            </w:r>
          </w:p>
        </w:tc>
        <w:tc>
          <w:tcPr>
            <w:tcW w:w="6689" w:type="dxa"/>
            <w:noWrap w:val="0"/>
            <w:vAlign w:val="center"/>
          </w:tcPr>
          <w:p w14:paraId="2430FFC6">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满足招标文件要求且报价最低的为评审基准价，价格得分=（评审基准价/报价）×标准分值</w:t>
            </w:r>
          </w:p>
        </w:tc>
        <w:tc>
          <w:tcPr>
            <w:tcW w:w="762" w:type="dxa"/>
            <w:noWrap w:val="0"/>
            <w:vAlign w:val="center"/>
          </w:tcPr>
          <w:p w14:paraId="5F28BC4A">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w:t>
            </w:r>
          </w:p>
        </w:tc>
      </w:tr>
      <w:tr w14:paraId="1D60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0" w:type="dxa"/>
            <w:noWrap w:val="0"/>
            <w:vAlign w:val="center"/>
          </w:tcPr>
          <w:p w14:paraId="6D269352">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sz w:val="21"/>
                <w:szCs w:val="21"/>
              </w:rPr>
              <w:t>2</w:t>
            </w:r>
          </w:p>
        </w:tc>
        <w:tc>
          <w:tcPr>
            <w:tcW w:w="753" w:type="dxa"/>
            <w:vMerge w:val="restart"/>
            <w:noWrap w:val="0"/>
            <w:vAlign w:val="center"/>
          </w:tcPr>
          <w:p w14:paraId="7D5DC039">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商务评审</w:t>
            </w:r>
          </w:p>
        </w:tc>
        <w:tc>
          <w:tcPr>
            <w:tcW w:w="965" w:type="dxa"/>
            <w:noWrap w:val="0"/>
            <w:vAlign w:val="center"/>
          </w:tcPr>
          <w:p w14:paraId="131CA60C">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业绩</w:t>
            </w:r>
          </w:p>
          <w:p w14:paraId="1DF0E596">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p>
        </w:tc>
        <w:tc>
          <w:tcPr>
            <w:tcW w:w="6689" w:type="dxa"/>
            <w:noWrap w:val="0"/>
            <w:vAlign w:val="center"/>
          </w:tcPr>
          <w:p w14:paraId="5539C3C8">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1、投标人近三年（ 2022 年 1 月 1 日至今）类似项目业绩（，需提供中标（成交）通知书和合同协议书、工程接收证书或工程竣工验收证书（表），以工程接收证书或工程竣工验收证书（表）时间为准。每提供一个类似业绩得 2分，最高得 4分，不提供不得分。</w:t>
            </w:r>
          </w:p>
          <w:p w14:paraId="072B3245">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 xml:space="preserve">2、项目经理类似项目业绩，需提供中标（成交）通知书和合同协议书、工程接收证书或工程竣工验收证书（表），以工程接收证书或工程竣工验收证书（表）时间为准。 每提供一个类似业绩得 2 分，最高得 4分，不提供不得分。 </w:t>
            </w:r>
          </w:p>
        </w:tc>
        <w:tc>
          <w:tcPr>
            <w:tcW w:w="762" w:type="dxa"/>
            <w:noWrap w:val="0"/>
            <w:vAlign w:val="center"/>
          </w:tcPr>
          <w:p w14:paraId="23FE9584">
            <w:pPr>
              <w:keepNext w:val="0"/>
              <w:keepLines w:val="0"/>
              <w:pageBreakBefore w:val="0"/>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8</w:t>
            </w:r>
          </w:p>
        </w:tc>
      </w:tr>
      <w:tr w14:paraId="1CB8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0" w:type="dxa"/>
            <w:noWrap w:val="0"/>
            <w:vAlign w:val="center"/>
          </w:tcPr>
          <w:p w14:paraId="2B1BCE9D">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lang w:eastAsia="zh-CN"/>
              </w:rPr>
            </w:pPr>
            <w:r>
              <w:rPr>
                <w:rFonts w:hint="eastAsia" w:ascii="微软雅黑" w:hAnsi="微软雅黑" w:eastAsia="微软雅黑" w:cs="微软雅黑"/>
                <w:color w:val="auto"/>
                <w:sz w:val="21"/>
                <w:szCs w:val="21"/>
                <w:lang w:val="en-US" w:eastAsia="zh-CN"/>
              </w:rPr>
              <w:t>3</w:t>
            </w:r>
          </w:p>
        </w:tc>
        <w:tc>
          <w:tcPr>
            <w:tcW w:w="753" w:type="dxa"/>
            <w:vMerge w:val="continue"/>
            <w:noWrap w:val="0"/>
            <w:vAlign w:val="center"/>
          </w:tcPr>
          <w:p w14:paraId="669F9E2E">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p>
        </w:tc>
        <w:tc>
          <w:tcPr>
            <w:tcW w:w="965" w:type="dxa"/>
            <w:noWrap w:val="0"/>
            <w:vAlign w:val="center"/>
          </w:tcPr>
          <w:p w14:paraId="1A022736">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项目管理团队</w:t>
            </w:r>
          </w:p>
          <w:p w14:paraId="3DED9817">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p>
        </w:tc>
        <w:tc>
          <w:tcPr>
            <w:tcW w:w="6689" w:type="dxa"/>
            <w:noWrap w:val="0"/>
            <w:vAlign w:val="center"/>
          </w:tcPr>
          <w:p w14:paraId="160D99C2">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项目管理人员：供应商针对本项目拟派项目班子成员，（包括项目经理、技术负责人、施工员、安全员、质量员、资料员、材料员、造价人员岗位）， 人员配备齐全合理 ，满足需要得 8 分；在满足配备需要的基础上 ，每增加一名岗位人员得 1 分 ，本项最多得 12 分。</w:t>
            </w:r>
          </w:p>
        </w:tc>
        <w:tc>
          <w:tcPr>
            <w:tcW w:w="762" w:type="dxa"/>
            <w:noWrap w:val="0"/>
            <w:vAlign w:val="center"/>
          </w:tcPr>
          <w:p w14:paraId="3DE82AD4">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12</w:t>
            </w:r>
          </w:p>
        </w:tc>
      </w:tr>
      <w:tr w14:paraId="790D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70" w:type="dxa"/>
            <w:noWrap w:val="0"/>
            <w:vAlign w:val="center"/>
          </w:tcPr>
          <w:p w14:paraId="4460EBF6">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4</w:t>
            </w:r>
          </w:p>
        </w:tc>
        <w:tc>
          <w:tcPr>
            <w:tcW w:w="753" w:type="dxa"/>
            <w:vMerge w:val="continue"/>
            <w:noWrap w:val="0"/>
            <w:vAlign w:val="center"/>
          </w:tcPr>
          <w:p w14:paraId="533CCB67">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p>
        </w:tc>
        <w:tc>
          <w:tcPr>
            <w:tcW w:w="965" w:type="dxa"/>
            <w:noWrap w:val="0"/>
            <w:vAlign w:val="center"/>
          </w:tcPr>
          <w:p w14:paraId="4BDFA4F8">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w:t>
            </w:r>
            <w:r>
              <w:rPr>
                <w:rFonts w:hint="eastAsia" w:ascii="微软雅黑" w:hAnsi="微软雅黑" w:eastAsia="微软雅黑" w:cs="微软雅黑"/>
                <w:color w:val="auto"/>
                <w:sz w:val="21"/>
                <w:szCs w:val="21"/>
                <w:lang w:eastAsia="zh-CN"/>
              </w:rPr>
              <w:t>经理</w:t>
            </w:r>
            <w:r>
              <w:rPr>
                <w:rFonts w:hint="eastAsia" w:ascii="微软雅黑" w:hAnsi="微软雅黑" w:eastAsia="微软雅黑" w:cs="微软雅黑"/>
                <w:color w:val="auto"/>
                <w:sz w:val="21"/>
                <w:szCs w:val="21"/>
              </w:rPr>
              <w:t>职称</w:t>
            </w:r>
          </w:p>
        </w:tc>
        <w:tc>
          <w:tcPr>
            <w:tcW w:w="6689" w:type="dxa"/>
            <w:noWrap w:val="0"/>
            <w:vAlign w:val="center"/>
          </w:tcPr>
          <w:p w14:paraId="34980D02">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具备相关专业高级及以上职称 (高级工程师)得5分；</w:t>
            </w:r>
          </w:p>
          <w:p w14:paraId="2401B379">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具备相关专业中级职称(工程师)得3分；</w:t>
            </w:r>
          </w:p>
          <w:p w14:paraId="486CBA60">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具备相关专业初级职称(助理工程师)得 1 分。</w:t>
            </w:r>
          </w:p>
          <w:p w14:paraId="1F8AD0C1">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注：提供相关职称证书扫描件，未提供的此项不得分。</w:t>
            </w:r>
          </w:p>
        </w:tc>
        <w:tc>
          <w:tcPr>
            <w:tcW w:w="762" w:type="dxa"/>
            <w:noWrap w:val="0"/>
            <w:vAlign w:val="center"/>
          </w:tcPr>
          <w:p w14:paraId="22F01260">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5</w:t>
            </w:r>
          </w:p>
        </w:tc>
      </w:tr>
      <w:tr w14:paraId="1E48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0" w:type="dxa"/>
            <w:noWrap w:val="0"/>
            <w:vAlign w:val="center"/>
          </w:tcPr>
          <w:p w14:paraId="13244292">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5</w:t>
            </w:r>
          </w:p>
        </w:tc>
        <w:tc>
          <w:tcPr>
            <w:tcW w:w="753" w:type="dxa"/>
            <w:vMerge w:val="restart"/>
            <w:noWrap w:val="0"/>
            <w:vAlign w:val="center"/>
          </w:tcPr>
          <w:p w14:paraId="2A226CA0">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技术评审</w:t>
            </w:r>
          </w:p>
        </w:tc>
        <w:tc>
          <w:tcPr>
            <w:tcW w:w="965" w:type="dxa"/>
            <w:noWrap w:val="0"/>
            <w:vAlign w:val="center"/>
          </w:tcPr>
          <w:p w14:paraId="5BB693E2">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全面性</w:t>
            </w:r>
          </w:p>
        </w:tc>
        <w:tc>
          <w:tcPr>
            <w:tcW w:w="6689" w:type="dxa"/>
            <w:noWrap w:val="0"/>
            <w:vAlign w:val="center"/>
          </w:tcPr>
          <w:p w14:paraId="7C715376">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1、保证措施应符合科学的施工规律、国家规定的强制性标准并有针对性，同时要符合实际情况，切实可行的得3分，保证措施较符合科学的施工规律、同时要符合实际可行的得1分 ，不提供不得分 ；</w:t>
            </w:r>
          </w:p>
          <w:p w14:paraId="40B6A285">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2、劳动力安排计划与施工进度计划相呼应，施工技术、现场、物资与机械、队伍准备计划能充分保证工程需要的得3分 ，劳动力安排计划与施工进度计划不呼应，施工技术、现场、物资与机械、队伍准备计划不全面的得1分，未体现施工设备、施工技术、劳动力计划此项不得分 ；</w:t>
            </w:r>
          </w:p>
          <w:p w14:paraId="15D4575D">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3、确保工程质量、工期、安全措施得力得3分 ，措施不够全面但部分可行得1分 ，未体现确保工程质量、工期、安全措施此项不得分；</w:t>
            </w:r>
          </w:p>
          <w:p w14:paraId="683893F3">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 xml:space="preserve">4、文明施工措施可信度高得1分 ，未体现文明施工措施此项不得分； </w:t>
            </w:r>
          </w:p>
          <w:p w14:paraId="6FF4A1E7">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 xml:space="preserve">5、施工总进度计划合理得1分，未体现施工总进度计划此项不得分； </w:t>
            </w:r>
          </w:p>
          <w:p w14:paraId="6DDC46CD">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6、平面布置合理得 1 分（ 附图 ），未体现平面布置此项不得分。</w:t>
            </w:r>
          </w:p>
        </w:tc>
        <w:tc>
          <w:tcPr>
            <w:tcW w:w="762" w:type="dxa"/>
            <w:noWrap w:val="0"/>
            <w:vAlign w:val="center"/>
          </w:tcPr>
          <w:p w14:paraId="225FD945">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12</w:t>
            </w:r>
          </w:p>
        </w:tc>
      </w:tr>
      <w:tr w14:paraId="0049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770" w:type="dxa"/>
            <w:noWrap w:val="0"/>
            <w:vAlign w:val="center"/>
          </w:tcPr>
          <w:p w14:paraId="1BE02A0B">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6</w:t>
            </w:r>
          </w:p>
        </w:tc>
        <w:tc>
          <w:tcPr>
            <w:tcW w:w="753" w:type="dxa"/>
            <w:vMerge w:val="continue"/>
            <w:noWrap w:val="0"/>
            <w:vAlign w:val="top"/>
          </w:tcPr>
          <w:p w14:paraId="5750229F">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sz w:val="21"/>
                <w:szCs w:val="21"/>
              </w:rPr>
            </w:pPr>
          </w:p>
        </w:tc>
        <w:tc>
          <w:tcPr>
            <w:tcW w:w="965" w:type="dxa"/>
            <w:noWrap w:val="0"/>
            <w:vAlign w:val="center"/>
          </w:tcPr>
          <w:p w14:paraId="3956141D">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lang w:val="en-US"/>
              </w:rPr>
            </w:pPr>
            <w:r>
              <w:rPr>
                <w:rFonts w:hint="eastAsia" w:ascii="微软雅黑" w:hAnsi="微软雅黑" w:eastAsia="微软雅黑" w:cs="微软雅黑"/>
                <w:color w:val="auto"/>
                <w:kern w:val="2"/>
                <w:sz w:val="21"/>
                <w:szCs w:val="21"/>
                <w:lang w:val="en-US"/>
              </w:rPr>
              <w:t>可行性</w:t>
            </w:r>
          </w:p>
        </w:tc>
        <w:tc>
          <w:tcPr>
            <w:tcW w:w="6689" w:type="dxa"/>
            <w:noWrap w:val="0"/>
            <w:vAlign w:val="center"/>
          </w:tcPr>
          <w:p w14:paraId="31E6AD01">
            <w:pPr>
              <w:pStyle w:val="105"/>
              <w:keepNext w:val="0"/>
              <w:keepLines w:val="0"/>
              <w:pageBreakBefore w:val="0"/>
              <w:kinsoku/>
              <w:wordWrap/>
              <w:overflowPunct/>
              <w:topLinePunct w:val="0"/>
              <w:autoSpaceDE/>
              <w:autoSpaceDN/>
              <w:bidi w:val="0"/>
              <w:adjustRightInd/>
              <w:spacing w:before="220" w:line="480" w:lineRule="exact"/>
              <w:ind w:left="11" w:right="11" w:firstLine="18"/>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3"/>
                <w:sz w:val="21"/>
                <w:szCs w:val="21"/>
              </w:rPr>
              <w:t>1</w:t>
            </w:r>
            <w:r>
              <w:rPr>
                <w:rFonts w:hint="eastAsia" w:ascii="微软雅黑" w:hAnsi="微软雅黑" w:eastAsia="微软雅黑" w:cs="微软雅黑"/>
                <w:spacing w:val="-3"/>
                <w:sz w:val="21"/>
                <w:szCs w:val="21"/>
                <w:lang w:eastAsia="zh-CN"/>
              </w:rPr>
              <w:t>、</w:t>
            </w:r>
            <w:r>
              <w:rPr>
                <w:rFonts w:hint="eastAsia" w:ascii="微软雅黑" w:hAnsi="微软雅黑" w:eastAsia="微软雅黑" w:cs="微软雅黑"/>
                <w:spacing w:val="-3"/>
                <w:sz w:val="21"/>
                <w:szCs w:val="21"/>
              </w:rPr>
              <w:t>涉及主要内容齐全措施计划详尽，符合工程实际情况、提高生产率、提</w:t>
            </w:r>
            <w:r>
              <w:rPr>
                <w:rFonts w:hint="eastAsia" w:ascii="微软雅黑" w:hAnsi="微软雅黑" w:eastAsia="微软雅黑" w:cs="微软雅黑"/>
                <w:spacing w:val="9"/>
                <w:sz w:val="21"/>
                <w:szCs w:val="21"/>
              </w:rPr>
              <w:t xml:space="preserve"> </w:t>
            </w:r>
            <w:r>
              <w:rPr>
                <w:rFonts w:hint="eastAsia" w:ascii="微软雅黑" w:hAnsi="微软雅黑" w:eastAsia="微软雅黑" w:cs="微软雅黑"/>
                <w:spacing w:val="-6"/>
                <w:sz w:val="21"/>
                <w:szCs w:val="21"/>
              </w:rPr>
              <w:t>高质量、降低消耗的得3分，涉及主要内容齐全措施较好</w:t>
            </w:r>
            <w:r>
              <w:rPr>
                <w:rFonts w:hint="eastAsia" w:ascii="微软雅黑" w:hAnsi="微软雅黑" w:eastAsia="微软雅黑" w:cs="微软雅黑"/>
                <w:spacing w:val="-6"/>
                <w:sz w:val="21"/>
                <w:szCs w:val="21"/>
                <w:lang w:eastAsia="zh-CN"/>
              </w:rPr>
              <w:t>，</w:t>
            </w:r>
            <w:r>
              <w:rPr>
                <w:rFonts w:hint="eastAsia" w:ascii="微软雅黑" w:hAnsi="微软雅黑" w:eastAsia="微软雅黑" w:cs="微软雅黑"/>
                <w:spacing w:val="-6"/>
                <w:sz w:val="21"/>
                <w:szCs w:val="21"/>
              </w:rPr>
              <w:t>能符合工程实</w:t>
            </w:r>
            <w:r>
              <w:rPr>
                <w:rFonts w:hint="eastAsia" w:ascii="微软雅黑" w:hAnsi="微软雅黑" w:eastAsia="微软雅黑" w:cs="微软雅黑"/>
                <w:spacing w:val="-4"/>
                <w:sz w:val="21"/>
                <w:szCs w:val="21"/>
              </w:rPr>
              <w:t>际情况、能提高生产率或提高质量的得1分，未体现主要内容齐全措施计</w:t>
            </w:r>
            <w:r>
              <w:rPr>
                <w:rFonts w:hint="eastAsia" w:ascii="微软雅黑" w:hAnsi="微软雅黑" w:eastAsia="微软雅黑" w:cs="微软雅黑"/>
                <w:spacing w:val="-2"/>
                <w:sz w:val="21"/>
                <w:szCs w:val="21"/>
              </w:rPr>
              <w:t>划此项不得分 ；</w:t>
            </w:r>
          </w:p>
          <w:p w14:paraId="1F616332">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rPr>
            </w:pPr>
            <w:r>
              <w:rPr>
                <w:rFonts w:hint="eastAsia" w:ascii="微软雅黑" w:hAnsi="微软雅黑" w:eastAsia="微软雅黑" w:cs="微软雅黑"/>
                <w:spacing w:val="-3"/>
                <w:sz w:val="21"/>
                <w:szCs w:val="21"/>
              </w:rPr>
              <w:t>2</w:t>
            </w:r>
            <w:r>
              <w:rPr>
                <w:rFonts w:hint="eastAsia" w:ascii="微软雅黑" w:hAnsi="微软雅黑" w:eastAsia="微软雅黑" w:cs="微软雅黑"/>
                <w:spacing w:val="-3"/>
                <w:sz w:val="21"/>
                <w:szCs w:val="21"/>
                <w:lang w:eastAsia="zh-CN"/>
              </w:rPr>
              <w:t>、</w:t>
            </w:r>
            <w:r>
              <w:rPr>
                <w:rFonts w:hint="eastAsia" w:ascii="微软雅黑" w:hAnsi="微软雅黑" w:eastAsia="微软雅黑" w:cs="微软雅黑"/>
                <w:spacing w:val="-3"/>
                <w:sz w:val="21"/>
                <w:szCs w:val="21"/>
              </w:rPr>
              <w:t>流水段的划分合理明确、切实可行性强得3分，流水段的划分一般</w:t>
            </w:r>
            <w:r>
              <w:rPr>
                <w:rFonts w:hint="eastAsia" w:ascii="微软雅黑" w:hAnsi="微软雅黑" w:eastAsia="微软雅黑" w:cs="微软雅黑"/>
                <w:spacing w:val="-3"/>
                <w:sz w:val="21"/>
                <w:szCs w:val="21"/>
                <w:lang w:eastAsia="zh-CN"/>
              </w:rPr>
              <w:t>、</w:t>
            </w:r>
            <w:r>
              <w:rPr>
                <w:rFonts w:hint="eastAsia" w:ascii="微软雅黑" w:hAnsi="微软雅黑" w:eastAsia="微软雅黑" w:cs="微软雅黑"/>
                <w:spacing w:val="-3"/>
                <w:sz w:val="21"/>
                <w:szCs w:val="21"/>
              </w:rPr>
              <w:t>可行性一般好得1分，未体现流水段的划分此项不得分 ；</w:t>
            </w:r>
          </w:p>
          <w:p w14:paraId="6F8CFE97">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rPr>
            </w:pPr>
            <w:r>
              <w:rPr>
                <w:rFonts w:hint="eastAsia" w:ascii="微软雅黑" w:hAnsi="微软雅黑" w:eastAsia="微软雅黑" w:cs="微软雅黑"/>
                <w:spacing w:val="-3"/>
                <w:sz w:val="21"/>
                <w:szCs w:val="21"/>
              </w:rPr>
              <w:t>3</w:t>
            </w:r>
            <w:r>
              <w:rPr>
                <w:rFonts w:hint="eastAsia" w:ascii="微软雅黑" w:hAnsi="微软雅黑" w:eastAsia="微软雅黑" w:cs="微软雅黑"/>
                <w:spacing w:val="-3"/>
                <w:sz w:val="21"/>
                <w:szCs w:val="21"/>
                <w:lang w:eastAsia="zh-CN"/>
              </w:rPr>
              <w:t>、</w:t>
            </w:r>
            <w:r>
              <w:rPr>
                <w:rFonts w:hint="eastAsia" w:ascii="微软雅黑" w:hAnsi="微软雅黑" w:eastAsia="微软雅黑" w:cs="微软雅黑"/>
                <w:spacing w:val="-3"/>
                <w:sz w:val="21"/>
                <w:szCs w:val="21"/>
              </w:rPr>
              <w:t>流水作业的合理性好得2分，未体现流水作业此项不得分 ；</w:t>
            </w:r>
          </w:p>
          <w:p w14:paraId="34E9F5EB">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rPr>
            </w:pPr>
            <w:r>
              <w:rPr>
                <w:rFonts w:hint="eastAsia" w:ascii="微软雅黑" w:hAnsi="微软雅黑" w:eastAsia="微软雅黑" w:cs="微软雅黑"/>
                <w:spacing w:val="-3"/>
                <w:sz w:val="21"/>
                <w:szCs w:val="21"/>
              </w:rPr>
              <w:t>4</w:t>
            </w:r>
            <w:r>
              <w:rPr>
                <w:rFonts w:hint="eastAsia" w:ascii="微软雅黑" w:hAnsi="微软雅黑" w:eastAsia="微软雅黑" w:cs="微软雅黑"/>
                <w:spacing w:val="-3"/>
                <w:sz w:val="21"/>
                <w:szCs w:val="21"/>
                <w:lang w:eastAsia="zh-CN"/>
              </w:rPr>
              <w:t>、</w:t>
            </w:r>
            <w:r>
              <w:rPr>
                <w:rFonts w:hint="eastAsia" w:ascii="微软雅黑" w:hAnsi="微软雅黑" w:eastAsia="微软雅黑" w:cs="微软雅黑"/>
                <w:spacing w:val="-3"/>
                <w:sz w:val="21"/>
                <w:szCs w:val="21"/>
              </w:rPr>
              <w:t xml:space="preserve">各项交叉作业切合实际得 2 分，未体现各项交叉作业此项不得分； </w:t>
            </w:r>
          </w:p>
          <w:p w14:paraId="49764529">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spacing w:val="-3"/>
                <w:sz w:val="21"/>
                <w:szCs w:val="21"/>
              </w:rPr>
              <w:t>5</w:t>
            </w:r>
            <w:r>
              <w:rPr>
                <w:rFonts w:hint="eastAsia" w:ascii="微软雅黑" w:hAnsi="微软雅黑" w:eastAsia="微软雅黑" w:cs="微软雅黑"/>
                <w:spacing w:val="-3"/>
                <w:sz w:val="21"/>
                <w:szCs w:val="21"/>
                <w:lang w:eastAsia="zh-CN"/>
              </w:rPr>
              <w:t>、</w:t>
            </w:r>
            <w:r>
              <w:rPr>
                <w:rFonts w:hint="eastAsia" w:ascii="微软雅黑" w:hAnsi="微软雅黑" w:eastAsia="微软雅黑" w:cs="微软雅黑"/>
                <w:spacing w:val="-3"/>
                <w:sz w:val="21"/>
                <w:szCs w:val="21"/>
              </w:rPr>
              <w:t>机具合理可行得2分，未体现机具的此项不得分。</w:t>
            </w:r>
          </w:p>
        </w:tc>
        <w:tc>
          <w:tcPr>
            <w:tcW w:w="762" w:type="dxa"/>
            <w:noWrap w:val="0"/>
            <w:vAlign w:val="center"/>
          </w:tcPr>
          <w:p w14:paraId="6CF0C83D">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12</w:t>
            </w:r>
          </w:p>
        </w:tc>
      </w:tr>
      <w:tr w14:paraId="30CC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70" w:type="dxa"/>
            <w:noWrap w:val="0"/>
            <w:vAlign w:val="center"/>
          </w:tcPr>
          <w:p w14:paraId="0D078F8B">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7</w:t>
            </w:r>
          </w:p>
        </w:tc>
        <w:tc>
          <w:tcPr>
            <w:tcW w:w="753" w:type="dxa"/>
            <w:vMerge w:val="continue"/>
            <w:noWrap w:val="0"/>
            <w:vAlign w:val="top"/>
          </w:tcPr>
          <w:p w14:paraId="7CFE62A3">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sz w:val="21"/>
                <w:szCs w:val="21"/>
              </w:rPr>
            </w:pPr>
          </w:p>
        </w:tc>
        <w:tc>
          <w:tcPr>
            <w:tcW w:w="965" w:type="dxa"/>
            <w:noWrap w:val="0"/>
            <w:vAlign w:val="center"/>
          </w:tcPr>
          <w:p w14:paraId="75A381C7">
            <w:pPr>
              <w:pStyle w:val="105"/>
              <w:keepNext w:val="0"/>
              <w:keepLines w:val="0"/>
              <w:pageBreakBefore w:val="0"/>
              <w:kinsoku/>
              <w:wordWrap/>
              <w:overflowPunct/>
              <w:topLinePunct w:val="0"/>
              <w:autoSpaceDE/>
              <w:autoSpaceDN/>
              <w:bidi w:val="0"/>
              <w:adjustRightInd/>
              <w:spacing w:before="2" w:line="480" w:lineRule="exact"/>
              <w:ind w:left="12" w:right="11" w:firstLine="8"/>
              <w:jc w:val="center"/>
              <w:textAlignment w:val="auto"/>
              <w:rPr>
                <w:rFonts w:hint="eastAsia" w:ascii="微软雅黑" w:hAnsi="微软雅黑" w:eastAsia="微软雅黑" w:cs="微软雅黑"/>
                <w:spacing w:val="-3"/>
                <w:sz w:val="21"/>
                <w:szCs w:val="21"/>
                <w:lang w:val="en-US" w:eastAsia="zh-CN"/>
              </w:rPr>
            </w:pPr>
            <w:r>
              <w:rPr>
                <w:rFonts w:hint="eastAsia" w:ascii="微软雅黑" w:hAnsi="微软雅黑" w:eastAsia="微软雅黑" w:cs="微软雅黑"/>
                <w:spacing w:val="-3"/>
                <w:sz w:val="21"/>
                <w:szCs w:val="21"/>
                <w:lang w:val="en-US"/>
              </w:rPr>
              <w:t>针对性</w:t>
            </w:r>
          </w:p>
        </w:tc>
        <w:tc>
          <w:tcPr>
            <w:tcW w:w="6689" w:type="dxa"/>
            <w:noWrap w:val="0"/>
            <w:vAlign w:val="center"/>
          </w:tcPr>
          <w:p w14:paraId="655475F8">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lang w:val="en-US" w:eastAsia="zh-CN"/>
              </w:rPr>
            </w:pPr>
            <w:r>
              <w:rPr>
                <w:rFonts w:hint="eastAsia" w:ascii="微软雅黑" w:hAnsi="微软雅黑" w:eastAsia="微软雅黑" w:cs="微软雅黑"/>
                <w:spacing w:val="-3"/>
                <w:sz w:val="21"/>
                <w:szCs w:val="21"/>
                <w:lang w:val="en-US" w:eastAsia="zh-CN"/>
              </w:rPr>
              <w:t>1、涉及重点内容突出，可行性强得3分；重点内容不够突出，可行性不强得1分；不提供不得分；</w:t>
            </w:r>
          </w:p>
          <w:p w14:paraId="0DAF7B68">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lang w:val="en-US" w:eastAsia="zh-CN"/>
              </w:rPr>
            </w:pPr>
            <w:r>
              <w:rPr>
                <w:rFonts w:hint="eastAsia" w:ascii="微软雅黑" w:hAnsi="微软雅黑" w:eastAsia="微软雅黑" w:cs="微软雅黑"/>
                <w:spacing w:val="-3"/>
                <w:sz w:val="21"/>
                <w:szCs w:val="21"/>
                <w:lang w:val="en-US" w:eastAsia="zh-CN"/>
              </w:rPr>
              <w:t>2、工程项目的质保体系健全得3分；质保体系不全面得 1 分，未体现工程项目的质保体系此项不得分 ；</w:t>
            </w:r>
          </w:p>
          <w:p w14:paraId="0BCE96C8">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lang w:val="en-US" w:eastAsia="zh-CN"/>
              </w:rPr>
            </w:pPr>
            <w:r>
              <w:rPr>
                <w:rFonts w:hint="eastAsia" w:ascii="微软雅黑" w:hAnsi="微软雅黑" w:eastAsia="微软雅黑" w:cs="微软雅黑"/>
                <w:spacing w:val="-3"/>
                <w:sz w:val="21"/>
                <w:szCs w:val="21"/>
                <w:lang w:val="en-US" w:eastAsia="zh-CN"/>
              </w:rPr>
              <w:t>3、安保体系健全有效得2分 ，未体现安保体系的此项不得分 ；</w:t>
            </w:r>
          </w:p>
          <w:p w14:paraId="050636F4">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lang w:val="en-US" w:eastAsia="zh-CN"/>
              </w:rPr>
            </w:pPr>
            <w:r>
              <w:rPr>
                <w:rFonts w:hint="eastAsia" w:ascii="微软雅黑" w:hAnsi="微软雅黑" w:eastAsia="微软雅黑" w:cs="微软雅黑"/>
                <w:spacing w:val="-3"/>
                <w:sz w:val="21"/>
                <w:szCs w:val="21"/>
                <w:lang w:val="en-US" w:eastAsia="zh-CN"/>
              </w:rPr>
              <w:t xml:space="preserve">4、创优措施切实可行得2分，一般得1分，未体现创优措施的此项不得分； </w:t>
            </w:r>
          </w:p>
          <w:p w14:paraId="431FAA41">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lang w:val="en-US" w:eastAsia="zh-CN"/>
              </w:rPr>
            </w:pPr>
            <w:r>
              <w:rPr>
                <w:rFonts w:hint="eastAsia" w:ascii="微软雅黑" w:hAnsi="微软雅黑" w:eastAsia="微软雅黑" w:cs="微软雅黑"/>
                <w:spacing w:val="-3"/>
                <w:sz w:val="21"/>
                <w:szCs w:val="21"/>
                <w:lang w:val="en-US" w:eastAsia="zh-CN"/>
              </w:rPr>
              <w:t>5、工程的安全措施有具体可行，有具体的违约责任2分，未体现工程的安全措施此项不得分。</w:t>
            </w:r>
          </w:p>
          <w:p w14:paraId="151BE11C">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lang w:val="en-US" w:eastAsia="zh-CN"/>
              </w:rPr>
            </w:pPr>
            <w:r>
              <w:rPr>
                <w:rFonts w:hint="eastAsia" w:ascii="微软雅黑" w:hAnsi="微软雅黑" w:eastAsia="微软雅黑" w:cs="微软雅黑"/>
                <w:spacing w:val="-3"/>
                <w:sz w:val="21"/>
                <w:szCs w:val="21"/>
                <w:lang w:val="en-US" w:eastAsia="zh-CN"/>
              </w:rPr>
              <w:t>6、文明施工措施得力得2分，未体现文明施工措施此项不得分。</w:t>
            </w:r>
          </w:p>
        </w:tc>
        <w:tc>
          <w:tcPr>
            <w:tcW w:w="762" w:type="dxa"/>
            <w:noWrap w:val="0"/>
            <w:vAlign w:val="center"/>
          </w:tcPr>
          <w:p w14:paraId="52085D86">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14</w:t>
            </w:r>
          </w:p>
        </w:tc>
      </w:tr>
      <w:tr w14:paraId="0843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70" w:type="dxa"/>
            <w:noWrap w:val="0"/>
            <w:vAlign w:val="center"/>
          </w:tcPr>
          <w:p w14:paraId="629D3945">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8</w:t>
            </w:r>
          </w:p>
        </w:tc>
        <w:tc>
          <w:tcPr>
            <w:tcW w:w="753" w:type="dxa"/>
            <w:vMerge w:val="continue"/>
            <w:noWrap w:val="0"/>
            <w:vAlign w:val="top"/>
          </w:tcPr>
          <w:p w14:paraId="1909695A">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sz w:val="21"/>
                <w:szCs w:val="21"/>
              </w:rPr>
            </w:pPr>
          </w:p>
        </w:tc>
        <w:tc>
          <w:tcPr>
            <w:tcW w:w="965" w:type="dxa"/>
            <w:noWrap w:val="0"/>
            <w:vAlign w:val="center"/>
          </w:tcPr>
          <w:p w14:paraId="4A95E273">
            <w:pPr>
              <w:keepNext w:val="0"/>
              <w:keepLines w:val="0"/>
              <w:pageBreakBefore w:val="0"/>
              <w:numPr>
                <w:ilvl w:val="0"/>
                <w:numId w:val="0"/>
              </w:numPr>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spacing w:val="-1"/>
                <w:sz w:val="21"/>
                <w:szCs w:val="21"/>
              </w:rPr>
              <w:t>先进性</w:t>
            </w:r>
          </w:p>
        </w:tc>
        <w:tc>
          <w:tcPr>
            <w:tcW w:w="6689" w:type="dxa"/>
            <w:noWrap w:val="0"/>
            <w:vAlign w:val="center"/>
          </w:tcPr>
          <w:p w14:paraId="276B352A">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1、采用新工艺、新技术、新设备得4分，有采用新工艺或新技术或新设备得1分，未体现采用新工艺、新技术、新设备此项不得分 ；</w:t>
            </w:r>
          </w:p>
          <w:p w14:paraId="1C70996A">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2、在确保工程质量前提下，有降低成本、缩短工期、减轻劳动强度、提高进度提案者得4分，上述内容不全的得2分，未体现上述内容的此项不得分 ；</w:t>
            </w:r>
          </w:p>
          <w:p w14:paraId="343D10A7">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3、执行国家标准的得4分，有切实可行的保证措施各得2分、未体现执行国家标准的、有切实可行的保证措施此项不得分。</w:t>
            </w:r>
          </w:p>
        </w:tc>
        <w:tc>
          <w:tcPr>
            <w:tcW w:w="762" w:type="dxa"/>
            <w:noWrap w:val="0"/>
            <w:vAlign w:val="center"/>
          </w:tcPr>
          <w:p w14:paraId="3929D60C">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12</w:t>
            </w:r>
          </w:p>
        </w:tc>
      </w:tr>
      <w:tr w14:paraId="4654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770" w:type="dxa"/>
            <w:noWrap w:val="0"/>
            <w:vAlign w:val="center"/>
          </w:tcPr>
          <w:p w14:paraId="002DE029">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9</w:t>
            </w:r>
          </w:p>
        </w:tc>
        <w:tc>
          <w:tcPr>
            <w:tcW w:w="753" w:type="dxa"/>
            <w:vMerge w:val="continue"/>
            <w:noWrap w:val="0"/>
            <w:vAlign w:val="top"/>
          </w:tcPr>
          <w:p w14:paraId="5AC4A087">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sz w:val="21"/>
                <w:szCs w:val="21"/>
              </w:rPr>
            </w:pPr>
          </w:p>
        </w:tc>
        <w:tc>
          <w:tcPr>
            <w:tcW w:w="965" w:type="dxa"/>
            <w:noWrap w:val="0"/>
            <w:vAlign w:val="center"/>
          </w:tcPr>
          <w:p w14:paraId="2C98C61E">
            <w:pPr>
              <w:keepNext w:val="0"/>
              <w:keepLines w:val="0"/>
              <w:pageBreakBefore w:val="0"/>
              <w:numPr>
                <w:ilvl w:val="0"/>
                <w:numId w:val="0"/>
              </w:numPr>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spacing w:val="-3"/>
                <w:sz w:val="21"/>
                <w:szCs w:val="21"/>
              </w:rPr>
              <w:t>强制性</w:t>
            </w:r>
          </w:p>
        </w:tc>
        <w:tc>
          <w:tcPr>
            <w:tcW w:w="6689" w:type="dxa"/>
            <w:noWrap w:val="0"/>
            <w:vAlign w:val="center"/>
          </w:tcPr>
          <w:p w14:paraId="6B70BA65">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质量通病的防治措施较好的得7分；质量通病的防治措施可行的得5分；质量通病的防治措施一般得3分；质量通病的防治措施较差，不完整，不贴合本项目的得1分；未制作质量通病的防治措施此项不得分。</w:t>
            </w:r>
          </w:p>
        </w:tc>
        <w:tc>
          <w:tcPr>
            <w:tcW w:w="762" w:type="dxa"/>
            <w:noWrap w:val="0"/>
            <w:vAlign w:val="center"/>
          </w:tcPr>
          <w:p w14:paraId="0B30B76B">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7</w:t>
            </w:r>
          </w:p>
        </w:tc>
      </w:tr>
      <w:tr w14:paraId="13EC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70" w:type="dxa"/>
            <w:noWrap w:val="0"/>
            <w:vAlign w:val="center"/>
          </w:tcPr>
          <w:p w14:paraId="3DCB423B">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w:t>
            </w:r>
          </w:p>
        </w:tc>
        <w:tc>
          <w:tcPr>
            <w:tcW w:w="753" w:type="dxa"/>
            <w:vMerge w:val="continue"/>
            <w:noWrap w:val="0"/>
            <w:vAlign w:val="top"/>
          </w:tcPr>
          <w:p w14:paraId="041D1A1F">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sz w:val="21"/>
                <w:szCs w:val="21"/>
              </w:rPr>
            </w:pPr>
          </w:p>
        </w:tc>
        <w:tc>
          <w:tcPr>
            <w:tcW w:w="965" w:type="dxa"/>
            <w:noWrap w:val="0"/>
            <w:vAlign w:val="center"/>
          </w:tcPr>
          <w:p w14:paraId="02F3FCBC">
            <w:pPr>
              <w:keepNext w:val="0"/>
              <w:keepLines w:val="0"/>
              <w:pageBreakBefore w:val="0"/>
              <w:numPr>
                <w:ilvl w:val="0"/>
                <w:numId w:val="0"/>
              </w:numPr>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spacing w:val="-2"/>
                <w:sz w:val="21"/>
                <w:szCs w:val="21"/>
              </w:rPr>
              <w:t>承诺</w:t>
            </w:r>
          </w:p>
        </w:tc>
        <w:tc>
          <w:tcPr>
            <w:tcW w:w="6689" w:type="dxa"/>
            <w:noWrap w:val="0"/>
            <w:vAlign w:val="center"/>
          </w:tcPr>
          <w:p w14:paraId="23D0B78E">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1、保修有承诺、有违约经济处罚且措施可行的得4分，上述内容不全的得2分，未体现保修承诺、无违约经济处罚此项不得分 ；</w:t>
            </w:r>
          </w:p>
          <w:p w14:paraId="2D365D6D">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2、承诺达到优质质量标准、并有切实可行质量保证措施的得4分，未体现承诺达到优质质量标准并有切实可行质量保证措施此条不得分。</w:t>
            </w:r>
          </w:p>
        </w:tc>
        <w:tc>
          <w:tcPr>
            <w:tcW w:w="762" w:type="dxa"/>
            <w:noWrap w:val="0"/>
            <w:vAlign w:val="center"/>
          </w:tcPr>
          <w:p w14:paraId="31056932">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8</w:t>
            </w:r>
          </w:p>
        </w:tc>
      </w:tr>
      <w:tr w14:paraId="45C6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77" w:type="dxa"/>
            <w:gridSpan w:val="4"/>
            <w:noWrap w:val="0"/>
            <w:vAlign w:val="center"/>
          </w:tcPr>
          <w:p w14:paraId="2069F87F">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sz w:val="21"/>
                <w:szCs w:val="21"/>
              </w:rPr>
              <w:t>合    计</w:t>
            </w:r>
          </w:p>
        </w:tc>
        <w:tc>
          <w:tcPr>
            <w:tcW w:w="762" w:type="dxa"/>
            <w:noWrap w:val="0"/>
            <w:vAlign w:val="center"/>
          </w:tcPr>
          <w:p w14:paraId="75522D42">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rPr>
            </w:pPr>
          </w:p>
        </w:tc>
      </w:tr>
      <w:tr w14:paraId="0283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939" w:type="dxa"/>
            <w:gridSpan w:val="5"/>
            <w:noWrap w:val="0"/>
            <w:vAlign w:val="center"/>
          </w:tcPr>
          <w:p w14:paraId="392E818B">
            <w:pPr>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价格评审：10分</w:t>
            </w:r>
          </w:p>
          <w:p w14:paraId="33567504">
            <w:pPr>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微软雅黑" w:hAnsi="微软雅黑" w:eastAsia="微软雅黑" w:cs="微软雅黑"/>
                <w:i/>
                <w:color w:val="auto"/>
                <w:sz w:val="21"/>
                <w:szCs w:val="21"/>
                <w:lang w:val="en-US" w:eastAsia="zh-CN"/>
              </w:rPr>
            </w:pPr>
            <w:r>
              <w:rPr>
                <w:rFonts w:hint="eastAsia" w:ascii="微软雅黑" w:hAnsi="微软雅黑" w:eastAsia="微软雅黑" w:cs="微软雅黑"/>
                <w:color w:val="auto"/>
                <w:kern w:val="2"/>
                <w:sz w:val="21"/>
                <w:szCs w:val="21"/>
                <w:lang w:val="en-US" w:eastAsia="zh-CN"/>
              </w:rPr>
              <w:t>商务及技术评审：90分</w:t>
            </w:r>
          </w:p>
        </w:tc>
      </w:tr>
    </w:tbl>
    <w:p w14:paraId="2675143F">
      <w:pPr>
        <w:pStyle w:val="27"/>
        <w:pageBreakBefore w:val="0"/>
        <w:kinsoku/>
        <w:wordWrap/>
        <w:overflowPunct/>
        <w:topLinePunct w:val="0"/>
        <w:bidi w:val="0"/>
        <w:spacing w:line="520" w:lineRule="exact"/>
        <w:rPr>
          <w:rFonts w:ascii="微软雅黑" w:hAnsi="微软雅黑" w:eastAsia="微软雅黑" w:cs="微软雅黑"/>
        </w:rPr>
      </w:pPr>
    </w:p>
    <w:p w14:paraId="0E3A6DEA">
      <w:pPr>
        <w:pStyle w:val="27"/>
        <w:pageBreakBefore w:val="0"/>
        <w:kinsoku/>
        <w:wordWrap/>
        <w:overflowPunct/>
        <w:topLinePunct w:val="0"/>
        <w:bidi w:val="0"/>
        <w:spacing w:line="520" w:lineRule="exact"/>
        <w:rPr>
          <w:rFonts w:ascii="微软雅黑" w:hAnsi="微软雅黑" w:eastAsia="微软雅黑" w:cs="微软雅黑"/>
        </w:rPr>
      </w:pPr>
    </w:p>
    <w:p w14:paraId="795D5DAB">
      <w:pPr>
        <w:pStyle w:val="27"/>
        <w:pageBreakBefore w:val="0"/>
        <w:kinsoku/>
        <w:wordWrap/>
        <w:overflowPunct/>
        <w:topLinePunct w:val="0"/>
        <w:bidi w:val="0"/>
        <w:spacing w:line="520" w:lineRule="exact"/>
        <w:rPr>
          <w:rFonts w:ascii="微软雅黑" w:hAnsi="微软雅黑" w:eastAsia="微软雅黑" w:cs="微软雅黑"/>
        </w:rPr>
      </w:pPr>
    </w:p>
    <w:p w14:paraId="299F294A">
      <w:pPr>
        <w:pStyle w:val="27"/>
        <w:pageBreakBefore w:val="0"/>
        <w:kinsoku/>
        <w:wordWrap/>
        <w:overflowPunct/>
        <w:topLinePunct w:val="0"/>
        <w:bidi w:val="0"/>
        <w:spacing w:line="520" w:lineRule="exact"/>
        <w:rPr>
          <w:rFonts w:ascii="微软雅黑" w:hAnsi="微软雅黑" w:eastAsia="微软雅黑" w:cs="微软雅黑"/>
        </w:rPr>
      </w:pPr>
    </w:p>
    <w:p w14:paraId="5A4E9BF2">
      <w:pPr>
        <w:pStyle w:val="27"/>
        <w:pageBreakBefore w:val="0"/>
        <w:kinsoku/>
        <w:wordWrap/>
        <w:overflowPunct/>
        <w:topLinePunct w:val="0"/>
        <w:bidi w:val="0"/>
        <w:spacing w:line="520" w:lineRule="exact"/>
        <w:rPr>
          <w:rFonts w:ascii="微软雅黑" w:hAnsi="微软雅黑" w:eastAsia="微软雅黑" w:cs="微软雅黑"/>
        </w:rPr>
      </w:pPr>
    </w:p>
    <w:p w14:paraId="2CC6D518">
      <w:pPr>
        <w:pStyle w:val="27"/>
        <w:pageBreakBefore w:val="0"/>
        <w:kinsoku/>
        <w:wordWrap/>
        <w:overflowPunct/>
        <w:topLinePunct w:val="0"/>
        <w:bidi w:val="0"/>
        <w:spacing w:line="520" w:lineRule="exact"/>
        <w:rPr>
          <w:rFonts w:ascii="微软雅黑" w:hAnsi="微软雅黑" w:eastAsia="微软雅黑" w:cs="微软雅黑"/>
        </w:rPr>
      </w:pPr>
    </w:p>
    <w:p w14:paraId="1B87663B">
      <w:pPr>
        <w:pStyle w:val="27"/>
        <w:pageBreakBefore w:val="0"/>
        <w:kinsoku/>
        <w:wordWrap/>
        <w:overflowPunct/>
        <w:topLinePunct w:val="0"/>
        <w:bidi w:val="0"/>
        <w:spacing w:line="520" w:lineRule="exact"/>
        <w:rPr>
          <w:rFonts w:ascii="微软雅黑" w:hAnsi="微软雅黑" w:eastAsia="微软雅黑" w:cs="微软雅黑"/>
        </w:rPr>
      </w:pPr>
    </w:p>
    <w:p w14:paraId="1D77D6B8">
      <w:pPr>
        <w:pStyle w:val="27"/>
        <w:pageBreakBefore w:val="0"/>
        <w:kinsoku/>
        <w:wordWrap/>
        <w:overflowPunct/>
        <w:topLinePunct w:val="0"/>
        <w:bidi w:val="0"/>
        <w:spacing w:line="520" w:lineRule="exact"/>
        <w:rPr>
          <w:rFonts w:ascii="微软雅黑" w:hAnsi="微软雅黑" w:eastAsia="微软雅黑" w:cs="微软雅黑"/>
        </w:rPr>
      </w:pPr>
    </w:p>
    <w:p w14:paraId="76E8A8CF">
      <w:pPr>
        <w:pStyle w:val="27"/>
        <w:pageBreakBefore w:val="0"/>
        <w:kinsoku/>
        <w:wordWrap/>
        <w:overflowPunct/>
        <w:topLinePunct w:val="0"/>
        <w:bidi w:val="0"/>
        <w:spacing w:line="520" w:lineRule="exact"/>
        <w:rPr>
          <w:rFonts w:ascii="微软雅黑" w:hAnsi="微软雅黑" w:eastAsia="微软雅黑" w:cs="微软雅黑"/>
        </w:rPr>
      </w:pPr>
    </w:p>
    <w:p w14:paraId="6CE68ADB">
      <w:pPr>
        <w:pStyle w:val="27"/>
        <w:pageBreakBefore w:val="0"/>
        <w:kinsoku/>
        <w:wordWrap/>
        <w:overflowPunct/>
        <w:topLinePunct w:val="0"/>
        <w:bidi w:val="0"/>
        <w:spacing w:line="520" w:lineRule="exact"/>
        <w:rPr>
          <w:rFonts w:ascii="微软雅黑" w:hAnsi="微软雅黑" w:eastAsia="微软雅黑" w:cs="微软雅黑"/>
        </w:rPr>
      </w:pPr>
    </w:p>
    <w:p w14:paraId="20C0D805">
      <w:pPr>
        <w:pStyle w:val="27"/>
        <w:pageBreakBefore w:val="0"/>
        <w:kinsoku/>
        <w:wordWrap/>
        <w:overflowPunct/>
        <w:topLinePunct w:val="0"/>
        <w:bidi w:val="0"/>
        <w:spacing w:line="520" w:lineRule="exact"/>
        <w:rPr>
          <w:rFonts w:ascii="微软雅黑" w:hAnsi="微软雅黑" w:eastAsia="微软雅黑" w:cs="微软雅黑"/>
        </w:rPr>
      </w:pPr>
    </w:p>
    <w:p w14:paraId="7C1D94A0">
      <w:pPr>
        <w:pStyle w:val="27"/>
        <w:pageBreakBefore w:val="0"/>
        <w:kinsoku/>
        <w:wordWrap/>
        <w:overflowPunct/>
        <w:topLinePunct w:val="0"/>
        <w:bidi w:val="0"/>
        <w:spacing w:line="520" w:lineRule="exact"/>
        <w:rPr>
          <w:rFonts w:ascii="微软雅黑" w:hAnsi="微软雅黑" w:eastAsia="微软雅黑" w:cs="微软雅黑"/>
        </w:rPr>
      </w:pPr>
    </w:p>
    <w:p w14:paraId="68C739DF">
      <w:pPr>
        <w:pStyle w:val="27"/>
        <w:pageBreakBefore w:val="0"/>
        <w:kinsoku/>
        <w:wordWrap/>
        <w:overflowPunct/>
        <w:topLinePunct w:val="0"/>
        <w:bidi w:val="0"/>
        <w:spacing w:line="520" w:lineRule="exact"/>
        <w:rPr>
          <w:rFonts w:ascii="微软雅黑" w:hAnsi="微软雅黑" w:eastAsia="微软雅黑" w:cs="微软雅黑"/>
        </w:rPr>
      </w:pPr>
    </w:p>
    <w:p w14:paraId="4CAE14CF">
      <w:pPr>
        <w:pStyle w:val="27"/>
        <w:pageBreakBefore w:val="0"/>
        <w:kinsoku/>
        <w:wordWrap/>
        <w:overflowPunct/>
        <w:topLinePunct w:val="0"/>
        <w:bidi w:val="0"/>
        <w:spacing w:line="520" w:lineRule="exact"/>
        <w:rPr>
          <w:rFonts w:ascii="微软雅黑" w:hAnsi="微软雅黑" w:eastAsia="微软雅黑" w:cs="微软雅黑"/>
        </w:rPr>
      </w:pPr>
    </w:p>
    <w:p w14:paraId="18F0A2C3">
      <w:pPr>
        <w:pStyle w:val="27"/>
        <w:pageBreakBefore w:val="0"/>
        <w:kinsoku/>
        <w:wordWrap/>
        <w:overflowPunct/>
        <w:topLinePunct w:val="0"/>
        <w:bidi w:val="0"/>
        <w:spacing w:line="520" w:lineRule="exact"/>
        <w:rPr>
          <w:rFonts w:ascii="微软雅黑" w:hAnsi="微软雅黑" w:eastAsia="微软雅黑" w:cs="微软雅黑"/>
        </w:rPr>
      </w:pPr>
    </w:p>
    <w:p w14:paraId="559BC936">
      <w:pPr>
        <w:pStyle w:val="27"/>
        <w:pageBreakBefore w:val="0"/>
        <w:kinsoku/>
        <w:wordWrap/>
        <w:overflowPunct/>
        <w:topLinePunct w:val="0"/>
        <w:bidi w:val="0"/>
        <w:spacing w:line="520" w:lineRule="exact"/>
        <w:rPr>
          <w:rFonts w:ascii="微软雅黑" w:hAnsi="微软雅黑" w:eastAsia="微软雅黑" w:cs="微软雅黑"/>
        </w:rPr>
      </w:pPr>
    </w:p>
    <w:p w14:paraId="103B4644">
      <w:pPr>
        <w:pStyle w:val="27"/>
        <w:pageBreakBefore w:val="0"/>
        <w:kinsoku/>
        <w:wordWrap/>
        <w:overflowPunct/>
        <w:topLinePunct w:val="0"/>
        <w:bidi w:val="0"/>
        <w:spacing w:line="520" w:lineRule="exact"/>
        <w:rPr>
          <w:rFonts w:ascii="微软雅黑" w:hAnsi="微软雅黑" w:eastAsia="微软雅黑" w:cs="微软雅黑"/>
        </w:rPr>
      </w:pPr>
    </w:p>
    <w:p w14:paraId="693EC1BF">
      <w:pPr>
        <w:pStyle w:val="27"/>
        <w:pageBreakBefore w:val="0"/>
        <w:kinsoku/>
        <w:wordWrap/>
        <w:overflowPunct/>
        <w:topLinePunct w:val="0"/>
        <w:bidi w:val="0"/>
        <w:spacing w:line="520" w:lineRule="exact"/>
        <w:rPr>
          <w:rFonts w:ascii="微软雅黑" w:hAnsi="微软雅黑" w:eastAsia="微软雅黑" w:cs="微软雅黑"/>
        </w:rPr>
      </w:pPr>
    </w:p>
    <w:p w14:paraId="1088DA44">
      <w:pPr>
        <w:pStyle w:val="27"/>
        <w:pageBreakBefore w:val="0"/>
        <w:kinsoku/>
        <w:wordWrap/>
        <w:overflowPunct/>
        <w:topLinePunct w:val="0"/>
        <w:bidi w:val="0"/>
        <w:spacing w:line="520" w:lineRule="exact"/>
        <w:rPr>
          <w:rFonts w:ascii="微软雅黑" w:hAnsi="微软雅黑" w:eastAsia="微软雅黑" w:cs="微软雅黑"/>
        </w:rPr>
      </w:pPr>
    </w:p>
    <w:p w14:paraId="78BADBC4">
      <w:pPr>
        <w:pStyle w:val="27"/>
        <w:pageBreakBefore w:val="0"/>
        <w:kinsoku/>
        <w:wordWrap/>
        <w:overflowPunct/>
        <w:topLinePunct w:val="0"/>
        <w:bidi w:val="0"/>
        <w:spacing w:line="520" w:lineRule="exact"/>
        <w:rPr>
          <w:rFonts w:ascii="微软雅黑" w:hAnsi="微软雅黑" w:eastAsia="微软雅黑" w:cs="微软雅黑"/>
        </w:rPr>
      </w:pPr>
    </w:p>
    <w:p w14:paraId="279C2FFF">
      <w:pPr>
        <w:pStyle w:val="27"/>
        <w:pageBreakBefore w:val="0"/>
        <w:kinsoku/>
        <w:wordWrap/>
        <w:overflowPunct/>
        <w:topLinePunct w:val="0"/>
        <w:bidi w:val="0"/>
        <w:spacing w:line="520" w:lineRule="exact"/>
        <w:rPr>
          <w:rFonts w:ascii="微软雅黑" w:hAnsi="微软雅黑" w:eastAsia="微软雅黑" w:cs="微软雅黑"/>
        </w:rPr>
      </w:pPr>
    </w:p>
    <w:p w14:paraId="4E8CD4D4">
      <w:pPr>
        <w:pStyle w:val="27"/>
        <w:pageBreakBefore w:val="0"/>
        <w:kinsoku/>
        <w:wordWrap/>
        <w:overflowPunct/>
        <w:topLinePunct w:val="0"/>
        <w:bidi w:val="0"/>
        <w:spacing w:line="520" w:lineRule="exact"/>
        <w:rPr>
          <w:rFonts w:ascii="微软雅黑" w:hAnsi="微软雅黑" w:eastAsia="微软雅黑" w:cs="微软雅黑"/>
        </w:rPr>
      </w:pPr>
    </w:p>
    <w:p w14:paraId="2CE950F8">
      <w:pPr>
        <w:pStyle w:val="27"/>
        <w:pageBreakBefore w:val="0"/>
        <w:kinsoku/>
        <w:wordWrap/>
        <w:overflowPunct/>
        <w:topLinePunct w:val="0"/>
        <w:bidi w:val="0"/>
        <w:spacing w:line="520" w:lineRule="exact"/>
        <w:rPr>
          <w:rFonts w:ascii="微软雅黑" w:hAnsi="微软雅黑" w:eastAsia="微软雅黑" w:cs="微软雅黑"/>
        </w:rPr>
      </w:pPr>
    </w:p>
    <w:p w14:paraId="4D3FDF61">
      <w:pPr>
        <w:pageBreakBefore w:val="0"/>
        <w:kinsoku/>
        <w:wordWrap/>
        <w:overflowPunct/>
        <w:topLinePunct w:val="0"/>
        <w:bidi w:val="0"/>
        <w:spacing w:line="520" w:lineRule="exact"/>
        <w:rPr>
          <w:rFonts w:ascii="微软雅黑" w:hAnsi="微软雅黑" w:eastAsia="微软雅黑" w:cs="微软雅黑"/>
        </w:rPr>
      </w:pPr>
    </w:p>
    <w:p w14:paraId="35D1E4A4">
      <w:pPr>
        <w:pageBreakBefore w:val="0"/>
        <w:kinsoku/>
        <w:wordWrap/>
        <w:overflowPunct/>
        <w:topLinePunct w:val="0"/>
        <w:bidi w:val="0"/>
        <w:snapToGrid w:val="0"/>
        <w:spacing w:line="520" w:lineRule="exact"/>
        <w:jc w:val="center"/>
        <w:textAlignment w:val="baseline"/>
        <w:rPr>
          <w:rFonts w:ascii="微软雅黑" w:hAnsi="微软雅黑" w:eastAsia="微软雅黑" w:cs="微软雅黑"/>
          <w:b/>
          <w:sz w:val="48"/>
          <w:szCs w:val="48"/>
        </w:rPr>
      </w:pPr>
      <w:r>
        <w:rPr>
          <w:rFonts w:hint="eastAsia" w:ascii="微软雅黑" w:hAnsi="微软雅黑" w:eastAsia="微软雅黑" w:cs="微软雅黑"/>
          <w:b/>
          <w:sz w:val="48"/>
          <w:szCs w:val="48"/>
        </w:rPr>
        <w:t>竞争性磋商文件</w:t>
      </w:r>
    </w:p>
    <w:p w14:paraId="63635853">
      <w:pPr>
        <w:pageBreakBefore w:val="0"/>
        <w:kinsoku/>
        <w:wordWrap/>
        <w:overflowPunct/>
        <w:topLinePunct w:val="0"/>
        <w:bidi w:val="0"/>
        <w:snapToGrid w:val="0"/>
        <w:spacing w:line="520" w:lineRule="exact"/>
        <w:jc w:val="both"/>
        <w:textAlignment w:val="baseline"/>
        <w:rPr>
          <w:rFonts w:ascii="微软雅黑" w:hAnsi="微软雅黑" w:eastAsia="微软雅黑" w:cs="微软雅黑"/>
          <w:b/>
          <w:sz w:val="48"/>
          <w:szCs w:val="48"/>
        </w:rPr>
      </w:pPr>
    </w:p>
    <w:p w14:paraId="49E71D69">
      <w:pPr>
        <w:pageBreakBefore w:val="0"/>
        <w:kinsoku/>
        <w:wordWrap/>
        <w:overflowPunct/>
        <w:topLinePunct w:val="0"/>
        <w:bidi w:val="0"/>
        <w:snapToGrid w:val="0"/>
        <w:spacing w:line="520" w:lineRule="exact"/>
        <w:textAlignment w:val="baseline"/>
        <w:rPr>
          <w:rFonts w:ascii="微软雅黑" w:hAnsi="微软雅黑" w:eastAsia="微软雅黑" w:cs="微软雅黑"/>
          <w:b/>
          <w:sz w:val="28"/>
        </w:rPr>
      </w:pPr>
    </w:p>
    <w:p w14:paraId="5B630E4D">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r>
        <w:rPr>
          <w:rFonts w:hint="eastAsia" w:ascii="微软雅黑" w:hAnsi="微软雅黑" w:eastAsia="微软雅黑" w:cs="微软雅黑"/>
          <w:b/>
          <w:sz w:val="48"/>
          <w:szCs w:val="48"/>
        </w:rPr>
        <w:t>第三册</w:t>
      </w:r>
    </w:p>
    <w:p w14:paraId="5A4DF250">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432EB11B">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1583CD4C">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63C27854">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50698F92">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7FFEF010">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3FB46345">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66CB7803">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68715F18">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48982D58">
      <w:pPr>
        <w:pStyle w:val="13"/>
        <w:pageBreakBefore w:val="0"/>
        <w:kinsoku/>
        <w:wordWrap/>
        <w:overflowPunct/>
        <w:topLinePunct w:val="0"/>
        <w:bidi w:val="0"/>
        <w:spacing w:line="520" w:lineRule="exact"/>
        <w:ind w:firstLine="960"/>
        <w:rPr>
          <w:rFonts w:ascii="微软雅黑" w:hAnsi="微软雅黑" w:eastAsia="微软雅黑" w:cs="微软雅黑"/>
          <w:b/>
          <w:sz w:val="48"/>
          <w:szCs w:val="48"/>
        </w:rPr>
      </w:pPr>
    </w:p>
    <w:bookmarkEnd w:id="785"/>
    <w:p w14:paraId="72B372F8">
      <w:pPr>
        <w:pStyle w:val="7"/>
        <w:pageBreakBefore w:val="0"/>
        <w:kinsoku/>
        <w:wordWrap/>
        <w:overflowPunct/>
        <w:topLinePunct w:val="0"/>
        <w:bidi w:val="0"/>
        <w:spacing w:line="520" w:lineRule="exact"/>
        <w:ind w:left="0" w:leftChars="0" w:firstLine="0" w:firstLineChars="0"/>
        <w:rPr>
          <w:rFonts w:ascii="微软雅黑" w:hAnsi="微软雅黑" w:eastAsia="微软雅黑" w:cs="微软雅黑"/>
        </w:rPr>
      </w:pPr>
      <w:bookmarkStart w:id="798" w:name="_Toc5754"/>
      <w:bookmarkStart w:id="799" w:name="_Toc514"/>
    </w:p>
    <w:p w14:paraId="151BAAB5">
      <w:pPr>
        <w:pStyle w:val="2"/>
        <w:pageBreakBefore w:val="0"/>
        <w:tabs>
          <w:tab w:val="left" w:pos="0"/>
        </w:tabs>
        <w:kinsoku/>
        <w:wordWrap/>
        <w:overflowPunct/>
        <w:topLinePunct w:val="0"/>
        <w:bidi w:val="0"/>
        <w:spacing w:before="0" w:after="0" w:line="520" w:lineRule="exact"/>
        <w:jc w:val="center"/>
        <w:rPr>
          <w:rFonts w:ascii="微软雅黑" w:hAnsi="微软雅黑" w:eastAsia="微软雅黑" w:cs="微软雅黑"/>
        </w:rPr>
      </w:pPr>
      <w:bookmarkStart w:id="800" w:name="_Toc10709"/>
      <w:bookmarkStart w:id="801" w:name="_Toc2625"/>
      <w:r>
        <w:rPr>
          <w:rFonts w:hint="eastAsia" w:ascii="微软雅黑" w:hAnsi="微软雅黑" w:eastAsia="微软雅黑" w:cs="微软雅黑"/>
        </w:rPr>
        <w:t>第7章  政府采购合同</w:t>
      </w:r>
      <w:bookmarkEnd w:id="798"/>
      <w:bookmarkEnd w:id="799"/>
      <w:bookmarkEnd w:id="800"/>
      <w:bookmarkEnd w:id="801"/>
    </w:p>
    <w:p w14:paraId="7334D02D">
      <w:pPr>
        <w:pageBreakBefore w:val="0"/>
        <w:kinsoku/>
        <w:wordWrap/>
        <w:overflowPunct/>
        <w:topLinePunct w:val="0"/>
        <w:bidi w:val="0"/>
        <w:spacing w:line="520" w:lineRule="exact"/>
        <w:rPr>
          <w:rFonts w:hint="eastAsia" w:ascii="微软雅黑" w:hAnsi="微软雅黑" w:eastAsia="微软雅黑" w:cs="微软雅黑"/>
          <w:color w:val="auto"/>
          <w:sz w:val="24"/>
        </w:rPr>
      </w:pPr>
    </w:p>
    <w:p w14:paraId="0F3D44E3">
      <w:pPr>
        <w:pageBreakBefore w:val="0"/>
        <w:kinsoku/>
        <w:wordWrap/>
        <w:overflowPunct/>
        <w:topLinePunct w:val="0"/>
        <w:bidi w:val="0"/>
        <w:spacing w:line="520" w:lineRule="exact"/>
        <w:rPr>
          <w:rFonts w:hint="eastAsia" w:ascii="微软雅黑" w:hAnsi="微软雅黑" w:eastAsia="微软雅黑" w:cs="微软雅黑"/>
          <w:color w:val="auto"/>
          <w:sz w:val="24"/>
        </w:rPr>
      </w:pPr>
    </w:p>
    <w:p w14:paraId="32B1B826">
      <w:pPr>
        <w:pageBreakBefore w:val="0"/>
        <w:kinsoku/>
        <w:wordWrap/>
        <w:overflowPunct/>
        <w:topLinePunct w:val="0"/>
        <w:bidi w:val="0"/>
        <w:spacing w:line="52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参考：《建设工程施工合同 (示范文本) 》  (GF-2017-0201)</w:t>
      </w:r>
    </w:p>
    <w:p w14:paraId="54DD0E54">
      <w:pPr>
        <w:pageBreakBefore w:val="0"/>
        <w:kinsoku/>
        <w:wordWrap/>
        <w:overflowPunct/>
        <w:topLinePunct w:val="0"/>
        <w:bidi w:val="0"/>
        <w:spacing w:line="520" w:lineRule="exact"/>
        <w:rPr>
          <w:rFonts w:hint="eastAsia" w:ascii="微软雅黑" w:hAnsi="微软雅黑" w:eastAsia="微软雅黑" w:cs="微软雅黑"/>
          <w:color w:val="auto"/>
          <w:sz w:val="24"/>
        </w:rPr>
      </w:pPr>
    </w:p>
    <w:p w14:paraId="6B8346A3">
      <w:pPr>
        <w:pageBreakBefore w:val="0"/>
        <w:kinsoku/>
        <w:wordWrap/>
        <w:overflowPunct/>
        <w:topLinePunct w:val="0"/>
        <w:bidi w:val="0"/>
        <w:spacing w:before="293"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6"/>
          <w:sz w:val="24"/>
          <w:szCs w:val="24"/>
        </w:rPr>
        <w:t>(</w:t>
      </w:r>
      <w:r>
        <w:rPr>
          <w:rFonts w:hint="eastAsia" w:ascii="微软雅黑" w:hAnsi="微软雅黑" w:eastAsia="微软雅黑" w:cs="微软雅黑"/>
          <w:color w:val="auto"/>
          <w:spacing w:val="-3"/>
          <w:sz w:val="24"/>
          <w:szCs w:val="24"/>
        </w:rPr>
        <w:t>GF</w:t>
      </w:r>
      <w:r>
        <w:rPr>
          <w:rFonts w:hint="eastAsia" w:ascii="微软雅黑" w:hAnsi="微软雅黑" w:eastAsia="微软雅黑" w:cs="微软雅黑"/>
          <w:color w:val="auto"/>
          <w:spacing w:val="-6"/>
          <w:sz w:val="24"/>
          <w:szCs w:val="24"/>
        </w:rPr>
        <w:t xml:space="preserve">— </w:t>
      </w:r>
      <w:r>
        <w:rPr>
          <w:rFonts w:hint="eastAsia" w:ascii="微软雅黑" w:hAnsi="微软雅黑" w:eastAsia="微软雅黑" w:cs="微软雅黑"/>
          <w:color w:val="auto"/>
          <w:spacing w:val="-5"/>
          <w:sz w:val="24"/>
          <w:szCs w:val="24"/>
        </w:rPr>
        <w:t>2</w:t>
      </w:r>
      <w:r>
        <w:rPr>
          <w:rFonts w:hint="eastAsia" w:ascii="微软雅黑" w:hAnsi="微软雅黑" w:eastAsia="微软雅黑" w:cs="微软雅黑"/>
          <w:color w:val="auto"/>
          <w:spacing w:val="-3"/>
          <w:sz w:val="24"/>
          <w:szCs w:val="24"/>
        </w:rPr>
        <w:t>017— 0201)</w:t>
      </w:r>
    </w:p>
    <w:p w14:paraId="3A61CBDD">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27689D3A">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3DBA8D7D">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41F4CAFB">
      <w:pPr>
        <w:pageBreakBefore w:val="0"/>
        <w:kinsoku/>
        <w:wordWrap/>
        <w:overflowPunct/>
        <w:topLinePunct w:val="0"/>
        <w:bidi w:val="0"/>
        <w:spacing w:line="520" w:lineRule="exact"/>
        <w:rPr>
          <w:rFonts w:hint="eastAsia" w:ascii="微软雅黑" w:hAnsi="微软雅黑" w:eastAsia="微软雅黑" w:cs="微软雅黑"/>
          <w:color w:val="auto"/>
          <w:sz w:val="40"/>
          <w:szCs w:val="40"/>
        </w:rPr>
      </w:pPr>
    </w:p>
    <w:p w14:paraId="168642C6">
      <w:pPr>
        <w:pStyle w:val="37"/>
        <w:pageBreakBefore w:val="0"/>
        <w:kinsoku/>
        <w:wordWrap/>
        <w:overflowPunct/>
        <w:topLinePunct w:val="0"/>
        <w:bidi w:val="0"/>
        <w:spacing w:line="520" w:lineRule="exact"/>
        <w:rPr>
          <w:rFonts w:hint="eastAsia" w:ascii="微软雅黑" w:hAnsi="微软雅黑" w:eastAsia="微软雅黑" w:cs="微软雅黑"/>
          <w:color w:val="auto"/>
          <w:sz w:val="40"/>
          <w:szCs w:val="40"/>
        </w:rPr>
      </w:pPr>
    </w:p>
    <w:p w14:paraId="5384840F">
      <w:pPr>
        <w:pageBreakBefore w:val="0"/>
        <w:kinsoku/>
        <w:wordWrap/>
        <w:overflowPunct/>
        <w:topLinePunct w:val="0"/>
        <w:bidi w:val="0"/>
        <w:spacing w:line="520" w:lineRule="exact"/>
        <w:rPr>
          <w:rFonts w:hint="eastAsia"/>
        </w:rPr>
      </w:pPr>
    </w:p>
    <w:p w14:paraId="064265A1">
      <w:pPr>
        <w:pStyle w:val="37"/>
        <w:pageBreakBefore w:val="0"/>
        <w:kinsoku/>
        <w:wordWrap/>
        <w:overflowPunct/>
        <w:topLinePunct w:val="0"/>
        <w:bidi w:val="0"/>
        <w:spacing w:line="520" w:lineRule="exact"/>
        <w:ind w:left="0" w:leftChars="0" w:firstLine="0" w:firstLineChars="0"/>
        <w:rPr>
          <w:rFonts w:hint="eastAsia"/>
        </w:rPr>
      </w:pPr>
    </w:p>
    <w:p w14:paraId="023C540C">
      <w:pPr>
        <w:pageBreakBefore w:val="0"/>
        <w:kinsoku/>
        <w:wordWrap/>
        <w:overflowPunct/>
        <w:topLinePunct w:val="0"/>
        <w:bidi w:val="0"/>
        <w:spacing w:before="114" w:line="520" w:lineRule="exact"/>
        <w:ind w:left="3092"/>
        <w:rPr>
          <w:rFonts w:hint="eastAsia" w:ascii="微软雅黑" w:hAnsi="微软雅黑" w:eastAsia="微软雅黑" w:cs="微软雅黑"/>
          <w:color w:val="auto"/>
          <w:sz w:val="40"/>
          <w:szCs w:val="40"/>
        </w:rPr>
      </w:pPr>
      <w:r>
        <w:rPr>
          <w:rFonts w:hint="eastAsia" w:ascii="微软雅黑" w:hAnsi="微软雅黑" w:eastAsia="微软雅黑" w:cs="微软雅黑"/>
          <w:color w:val="auto"/>
          <w:spacing w:val="7"/>
          <w:sz w:val="40"/>
          <w:szCs w:val="40"/>
        </w:rPr>
        <w:t>建设工程施工合同</w:t>
      </w:r>
    </w:p>
    <w:p w14:paraId="4536C365">
      <w:pPr>
        <w:pageBreakBefore w:val="0"/>
        <w:kinsoku/>
        <w:wordWrap/>
        <w:overflowPunct/>
        <w:topLinePunct w:val="0"/>
        <w:bidi w:val="0"/>
        <w:spacing w:line="520" w:lineRule="exact"/>
        <w:rPr>
          <w:rFonts w:hint="eastAsia" w:ascii="微软雅黑" w:hAnsi="微软雅黑" w:eastAsia="微软雅黑" w:cs="微软雅黑"/>
          <w:color w:val="auto"/>
          <w:sz w:val="40"/>
          <w:szCs w:val="40"/>
        </w:rPr>
      </w:pPr>
    </w:p>
    <w:p w14:paraId="69CC0CB1">
      <w:pPr>
        <w:pageBreakBefore w:val="0"/>
        <w:kinsoku/>
        <w:wordWrap/>
        <w:overflowPunct/>
        <w:topLinePunct w:val="0"/>
        <w:bidi w:val="0"/>
        <w:spacing w:line="520" w:lineRule="exact"/>
        <w:outlineLvl w:val="9"/>
        <w:rPr>
          <w:rFonts w:hint="eastAsia" w:ascii="微软雅黑" w:hAnsi="微软雅黑" w:eastAsia="微软雅黑" w:cs="微软雅黑"/>
          <w:color w:val="auto"/>
          <w:sz w:val="40"/>
          <w:szCs w:val="40"/>
        </w:rPr>
      </w:pPr>
    </w:p>
    <w:p w14:paraId="0E1A5C88">
      <w:pPr>
        <w:pageBreakBefore w:val="0"/>
        <w:kinsoku/>
        <w:wordWrap/>
        <w:overflowPunct/>
        <w:topLinePunct w:val="0"/>
        <w:bidi w:val="0"/>
        <w:spacing w:line="520" w:lineRule="exact"/>
        <w:rPr>
          <w:rFonts w:hint="eastAsia" w:ascii="微软雅黑" w:hAnsi="微软雅黑" w:eastAsia="微软雅黑" w:cs="微软雅黑"/>
          <w:color w:val="auto"/>
          <w:sz w:val="40"/>
          <w:szCs w:val="40"/>
        </w:rPr>
      </w:pPr>
    </w:p>
    <w:p w14:paraId="1C9CAF31">
      <w:pPr>
        <w:pageBreakBefore w:val="0"/>
        <w:kinsoku/>
        <w:wordWrap/>
        <w:overflowPunct/>
        <w:topLinePunct w:val="0"/>
        <w:bidi w:val="0"/>
        <w:spacing w:before="113" w:line="520" w:lineRule="exact"/>
        <w:ind w:left="3451"/>
        <w:rPr>
          <w:rFonts w:hint="eastAsia" w:ascii="微软雅黑" w:hAnsi="微软雅黑" w:eastAsia="微软雅黑" w:cs="微软雅黑"/>
          <w:color w:val="auto"/>
          <w:sz w:val="40"/>
          <w:szCs w:val="40"/>
        </w:rPr>
      </w:pPr>
      <w:r>
        <w:rPr>
          <w:rFonts w:hint="eastAsia" w:ascii="微软雅黑" w:hAnsi="微软雅黑" w:eastAsia="微软雅黑" w:cs="微软雅黑"/>
          <w:color w:val="auto"/>
          <w:spacing w:val="-41"/>
          <w:sz w:val="40"/>
          <w:szCs w:val="40"/>
        </w:rPr>
        <w:t>(</w:t>
      </w:r>
      <w:r>
        <w:rPr>
          <w:rFonts w:hint="eastAsia" w:ascii="微软雅黑" w:hAnsi="微软雅黑" w:eastAsia="微软雅黑" w:cs="微软雅黑"/>
          <w:color w:val="auto"/>
          <w:spacing w:val="-40"/>
          <w:sz w:val="40"/>
          <w:szCs w:val="40"/>
        </w:rPr>
        <w:t>示 范 文 本 )</w:t>
      </w:r>
    </w:p>
    <w:p w14:paraId="3D844FA1">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1A643B9B">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295AD6A7">
      <w:pPr>
        <w:pStyle w:val="37"/>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79CBD5EF">
      <w:pPr>
        <w:pageBreakBefore w:val="0"/>
        <w:kinsoku/>
        <w:wordWrap/>
        <w:overflowPunct/>
        <w:topLinePunct w:val="0"/>
        <w:bidi w:val="0"/>
        <w:spacing w:line="520" w:lineRule="exact"/>
        <w:rPr>
          <w:rFonts w:hint="eastAsia"/>
          <w:color w:val="auto"/>
        </w:rPr>
      </w:pPr>
    </w:p>
    <w:p w14:paraId="3C27D606">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4A022CCD">
      <w:pPr>
        <w:pStyle w:val="37"/>
        <w:pageBreakBefore w:val="0"/>
        <w:kinsoku/>
        <w:wordWrap/>
        <w:overflowPunct/>
        <w:topLinePunct w:val="0"/>
        <w:bidi w:val="0"/>
        <w:spacing w:line="520" w:lineRule="exact"/>
        <w:rPr>
          <w:rFonts w:hint="eastAsia" w:ascii="微软雅黑" w:hAnsi="微软雅黑" w:eastAsia="微软雅黑" w:cs="微软雅黑"/>
          <w:color w:val="auto"/>
          <w:sz w:val="24"/>
        </w:rPr>
      </w:pPr>
    </w:p>
    <w:p w14:paraId="28D3B1BC">
      <w:pPr>
        <w:pageBreakBefore w:val="0"/>
        <w:kinsoku/>
        <w:wordWrap/>
        <w:overflowPunct/>
        <w:topLinePunct w:val="0"/>
        <w:bidi w:val="0"/>
        <w:spacing w:line="520" w:lineRule="exact"/>
        <w:rPr>
          <w:rFonts w:hint="eastAsia" w:ascii="微软雅黑" w:hAnsi="微软雅黑" w:eastAsia="微软雅黑" w:cs="微软雅黑"/>
          <w:color w:val="auto"/>
          <w:sz w:val="24"/>
        </w:rPr>
      </w:pPr>
    </w:p>
    <w:p w14:paraId="75C523AC">
      <w:pPr>
        <w:pageBreakBefore w:val="0"/>
        <w:kinsoku/>
        <w:wordWrap/>
        <w:overflowPunct/>
        <w:topLinePunct w:val="0"/>
        <w:bidi w:val="0"/>
        <w:spacing w:line="520" w:lineRule="exact"/>
        <w:rPr>
          <w:rFonts w:hint="eastAsia" w:ascii="微软雅黑" w:hAnsi="微软雅黑" w:eastAsia="微软雅黑" w:cs="微软雅黑"/>
          <w:color w:val="auto"/>
          <w:sz w:val="24"/>
        </w:rPr>
      </w:pPr>
    </w:p>
    <w:p w14:paraId="33187404">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val="0"/>
          <w:color w:val="auto"/>
          <w:sz w:val="24"/>
          <w:szCs w:val="24"/>
          <w:highlight w:val="none"/>
        </w:rPr>
        <w:t xml:space="preserve"> </w:t>
      </w:r>
      <w:bookmarkStart w:id="802" w:name="_Toc351203480"/>
      <w:r>
        <w:rPr>
          <w:rFonts w:hint="eastAsia" w:ascii="微软雅黑" w:hAnsi="微软雅黑" w:eastAsia="微软雅黑" w:cs="微软雅黑"/>
          <w:color w:val="auto"/>
          <w:sz w:val="24"/>
          <w:szCs w:val="24"/>
          <w:highlight w:val="none"/>
        </w:rPr>
        <w:t>第一部分 合同协议书</w:t>
      </w:r>
      <w:bookmarkEnd w:id="802"/>
    </w:p>
    <w:p w14:paraId="7F2404D3">
      <w:pPr>
        <w:keepLines w:val="0"/>
        <w:pageBreakBefore w:val="0"/>
        <w:kinsoku/>
        <w:wordWrap/>
        <w:overflowPunct/>
        <w:topLinePunct w:val="0"/>
        <w:bidi w:val="0"/>
        <w:spacing w:line="520" w:lineRule="exact"/>
        <w:ind w:right="-19" w:rightChars="-9" w:firstLine="475" w:firstLineChars="198"/>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发包人（全称）：</w:t>
      </w:r>
      <w:r>
        <w:rPr>
          <w:rFonts w:hint="eastAsia" w:ascii="微软雅黑" w:hAnsi="微软雅黑" w:eastAsia="微软雅黑" w:cs="微软雅黑"/>
          <w:b/>
          <w:color w:val="auto"/>
          <w:sz w:val="24"/>
          <w:szCs w:val="24"/>
          <w:highlight w:val="none"/>
          <w:u w:val="single"/>
        </w:rPr>
        <w:t xml:space="preserve">                   </w:t>
      </w:r>
    </w:p>
    <w:p w14:paraId="69157E64">
      <w:pPr>
        <w:keepLines w:val="0"/>
        <w:pageBreakBefore w:val="0"/>
        <w:kinsoku/>
        <w:wordWrap/>
        <w:overflowPunct/>
        <w:topLinePunct w:val="0"/>
        <w:bidi w:val="0"/>
        <w:spacing w:line="520" w:lineRule="exact"/>
        <w:ind w:right="-19" w:rightChars="-9" w:firstLine="475" w:firstLineChars="198"/>
        <w:outlineLvl w:val="9"/>
        <w:rPr>
          <w:rFonts w:hint="eastAsia" w:ascii="微软雅黑" w:hAnsi="微软雅黑" w:eastAsia="微软雅黑" w:cs="微软雅黑"/>
          <w:b/>
          <w:color w:val="auto"/>
          <w:sz w:val="24"/>
          <w:szCs w:val="24"/>
          <w:highlight w:val="none"/>
          <w:u w:val="single"/>
        </w:rPr>
      </w:pPr>
      <w:r>
        <w:rPr>
          <w:rFonts w:hint="eastAsia" w:ascii="微软雅黑" w:hAnsi="微软雅黑" w:eastAsia="微软雅黑" w:cs="微软雅黑"/>
          <w:b/>
          <w:color w:val="auto"/>
          <w:sz w:val="24"/>
          <w:szCs w:val="24"/>
          <w:highlight w:val="none"/>
        </w:rPr>
        <w:t>承包人（全称）：</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
          <w:color w:val="auto"/>
          <w:sz w:val="24"/>
          <w:szCs w:val="24"/>
          <w:highlight w:val="none"/>
          <w:u w:val="single"/>
        </w:rPr>
        <w:t xml:space="preserve">                    </w:t>
      </w:r>
    </w:p>
    <w:p w14:paraId="1E31E6EB">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根据《中华人民共和国合同法》、《中华人民共和国建筑法》及有关法律规定，遵循平等、自愿、公平和诚实信用的原则，双方就</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工程施工及有关事项协商一致，共同达成如下协议：</w:t>
      </w:r>
    </w:p>
    <w:p w14:paraId="26BA2D1B">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
          <w:color w:val="auto"/>
          <w:sz w:val="24"/>
          <w:szCs w:val="24"/>
          <w:highlight w:val="none"/>
        </w:rPr>
      </w:pPr>
      <w:bookmarkStart w:id="803" w:name="_Toc351203481"/>
      <w:r>
        <w:rPr>
          <w:rFonts w:hint="eastAsia" w:ascii="微软雅黑" w:hAnsi="微软雅黑" w:eastAsia="微软雅黑" w:cs="微软雅黑"/>
          <w:b/>
          <w:color w:val="auto"/>
          <w:sz w:val="24"/>
          <w:szCs w:val="24"/>
          <w:highlight w:val="none"/>
        </w:rPr>
        <w:t>一、工程概况</w:t>
      </w:r>
      <w:bookmarkEnd w:id="803"/>
    </w:p>
    <w:p w14:paraId="6F4D732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bCs/>
          <w:color w:val="auto"/>
          <w:sz w:val="24"/>
          <w:szCs w:val="24"/>
          <w:highlight w:val="none"/>
        </w:rPr>
        <w:t xml:space="preserve">    1.工程名称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F24B862">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2.工程地点：</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2B9687E0">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3.工程立项批准文号：</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bCs/>
          <w:color w:val="auto"/>
          <w:sz w:val="24"/>
          <w:szCs w:val="24"/>
          <w:highlight w:val="none"/>
        </w:rPr>
        <w:t>。</w:t>
      </w:r>
    </w:p>
    <w:p w14:paraId="65822524">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4.资金来源：</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bCs/>
          <w:color w:val="auto"/>
          <w:sz w:val="24"/>
          <w:szCs w:val="24"/>
          <w:highlight w:val="none"/>
        </w:rPr>
        <w:t>。</w:t>
      </w:r>
    </w:p>
    <w:p w14:paraId="111C516C">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5.工程内容：</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bCs/>
          <w:color w:val="auto"/>
          <w:sz w:val="24"/>
          <w:szCs w:val="24"/>
          <w:highlight w:val="none"/>
        </w:rPr>
        <w:t>。</w:t>
      </w:r>
    </w:p>
    <w:p w14:paraId="5D02924C">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群体工程应附《承包人承揽工程项目一览表》（附件1）。</w:t>
      </w:r>
    </w:p>
    <w:p w14:paraId="75E91885">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6.工程承包范围：</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w:t>
      </w:r>
    </w:p>
    <w:p w14:paraId="5E72CDB2">
      <w:pPr>
        <w:keepLines w:val="0"/>
        <w:pageBreakBefore w:val="0"/>
        <w:kinsoku/>
        <w:wordWrap/>
        <w:overflowPunct/>
        <w:topLinePunct w:val="0"/>
        <w:bidi w:val="0"/>
        <w:spacing w:line="520" w:lineRule="exact"/>
        <w:ind w:right="-19" w:rightChars="-9" w:firstLine="360" w:firstLineChars="150"/>
        <w:outlineLvl w:val="9"/>
        <w:rPr>
          <w:rFonts w:hint="eastAsia" w:ascii="微软雅黑" w:hAnsi="微软雅黑" w:eastAsia="微软雅黑" w:cs="微软雅黑"/>
          <w:b/>
          <w:color w:val="auto"/>
          <w:sz w:val="24"/>
          <w:szCs w:val="24"/>
          <w:highlight w:val="none"/>
        </w:rPr>
      </w:pPr>
      <w:bookmarkStart w:id="804" w:name="_Toc351203482"/>
      <w:r>
        <w:rPr>
          <w:rFonts w:hint="eastAsia" w:ascii="微软雅黑" w:hAnsi="微软雅黑" w:eastAsia="微软雅黑" w:cs="微软雅黑"/>
          <w:b/>
          <w:color w:val="auto"/>
          <w:sz w:val="24"/>
          <w:szCs w:val="24"/>
          <w:highlight w:val="none"/>
        </w:rPr>
        <w:t>二、合同工期</w:t>
      </w:r>
      <w:bookmarkEnd w:id="804"/>
    </w:p>
    <w:p w14:paraId="17494BE0">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计划开工日期：</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日</w:t>
      </w:r>
      <w:r>
        <w:rPr>
          <w:rFonts w:hint="eastAsia" w:ascii="微软雅黑" w:hAnsi="微软雅黑" w:eastAsia="微软雅黑" w:cs="微软雅黑"/>
          <w:color w:val="auto"/>
          <w:sz w:val="24"/>
          <w:szCs w:val="24"/>
          <w:highlight w:val="none"/>
        </w:rPr>
        <w:t>。</w:t>
      </w:r>
    </w:p>
    <w:p w14:paraId="615025D3">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计划竣工日期：</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日</w:t>
      </w:r>
      <w:r>
        <w:rPr>
          <w:rFonts w:hint="eastAsia" w:ascii="微软雅黑" w:hAnsi="微软雅黑" w:eastAsia="微软雅黑" w:cs="微软雅黑"/>
          <w:color w:val="auto"/>
          <w:sz w:val="24"/>
          <w:szCs w:val="24"/>
          <w:highlight w:val="none"/>
        </w:rPr>
        <w:t>。</w:t>
      </w:r>
    </w:p>
    <w:p w14:paraId="314A1B34">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工期总日历天数：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天。工期总日历天数与根据前述计划开竣工日期计算的工期天数不一致的，以工期总日历天数为准。</w:t>
      </w:r>
    </w:p>
    <w:p w14:paraId="117E4DEC">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b/>
          <w:color w:val="auto"/>
          <w:sz w:val="24"/>
          <w:szCs w:val="24"/>
          <w:highlight w:val="none"/>
        </w:rPr>
      </w:pPr>
      <w:bookmarkStart w:id="805" w:name="_Toc351203483"/>
      <w:r>
        <w:rPr>
          <w:rFonts w:hint="eastAsia" w:ascii="微软雅黑" w:hAnsi="微软雅黑" w:eastAsia="微软雅黑" w:cs="微软雅黑"/>
          <w:b/>
          <w:color w:val="auto"/>
          <w:sz w:val="24"/>
          <w:szCs w:val="24"/>
          <w:highlight w:val="none"/>
        </w:rPr>
        <w:t>三、质量标准</w:t>
      </w:r>
      <w:bookmarkEnd w:id="805"/>
    </w:p>
    <w:p w14:paraId="7A639D4A">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工程质量符合</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b/>
          <w:color w:val="auto"/>
          <w:sz w:val="24"/>
          <w:szCs w:val="24"/>
          <w:highlight w:val="none"/>
          <w:u w:val="single"/>
        </w:rPr>
        <w:t>合格</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标准。</w:t>
      </w:r>
    </w:p>
    <w:p w14:paraId="361AC886">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b/>
          <w:color w:val="auto"/>
          <w:sz w:val="24"/>
          <w:szCs w:val="24"/>
          <w:highlight w:val="none"/>
        </w:rPr>
      </w:pPr>
      <w:bookmarkStart w:id="806" w:name="_Toc351203484"/>
      <w:r>
        <w:rPr>
          <w:rFonts w:hint="eastAsia" w:ascii="微软雅黑" w:hAnsi="微软雅黑" w:eastAsia="微软雅黑" w:cs="微软雅黑"/>
          <w:b/>
          <w:color w:val="auto"/>
          <w:sz w:val="24"/>
          <w:szCs w:val="24"/>
          <w:highlight w:val="none"/>
        </w:rPr>
        <w:t>四、签约合同价与合同价格形式</w:t>
      </w:r>
      <w:bookmarkEnd w:id="806"/>
      <w:r>
        <w:rPr>
          <w:rFonts w:hint="eastAsia" w:ascii="微软雅黑" w:hAnsi="微软雅黑" w:eastAsia="微软雅黑" w:cs="微软雅黑"/>
          <w:b/>
          <w:color w:val="auto"/>
          <w:sz w:val="24"/>
          <w:szCs w:val="24"/>
          <w:highlight w:val="none"/>
        </w:rPr>
        <w:tab/>
      </w:r>
    </w:p>
    <w:p w14:paraId="7E98E5A0">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1.签约合同价为：</w:t>
      </w:r>
    </w:p>
    <w:p w14:paraId="511A8F91">
      <w:pPr>
        <w:keepLines w:val="0"/>
        <w:pageBreakBefore w:val="0"/>
        <w:kinsoku/>
        <w:wordWrap/>
        <w:overflowPunct/>
        <w:topLinePunct w:val="0"/>
        <w:bidi w:val="0"/>
        <w:spacing w:line="520" w:lineRule="exact"/>
        <w:ind w:right="-19" w:rightChars="-9" w:firstLine="600" w:firstLineChars="2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人民币（大写）</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b/>
          <w:color w:val="auto"/>
          <w:spacing w:val="-6"/>
          <w:sz w:val="24"/>
          <w:szCs w:val="24"/>
          <w:highlight w:val="none"/>
          <w:u w:val="single"/>
        </w:rPr>
        <w:t>元</w:t>
      </w:r>
      <w:r>
        <w:rPr>
          <w:rFonts w:hint="eastAsia" w:ascii="微软雅黑" w:hAnsi="微软雅黑" w:eastAsia="微软雅黑" w:cs="微软雅黑"/>
          <w:color w:val="auto"/>
          <w:sz w:val="24"/>
          <w:szCs w:val="24"/>
          <w:highlight w:val="none"/>
        </w:rPr>
        <w:t>)；</w:t>
      </w:r>
    </w:p>
    <w:p w14:paraId="3D2E54F4">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其中：</w:t>
      </w:r>
    </w:p>
    <w:p w14:paraId="7FEBE219">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（1）安全文明施工费：</w:t>
      </w:r>
    </w:p>
    <w:p w14:paraId="2BC3D21A">
      <w:pPr>
        <w:keepLines w:val="0"/>
        <w:pageBreakBefore w:val="0"/>
        <w:kinsoku/>
        <w:wordWrap/>
        <w:overflowPunct/>
        <w:topLinePunct w:val="0"/>
        <w:bidi w:val="0"/>
        <w:spacing w:line="520" w:lineRule="exact"/>
        <w:ind w:right="-19" w:rightChars="-9" w:firstLine="1080" w:firstLineChars="4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人民币（大写）</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元)；</w:t>
      </w:r>
    </w:p>
    <w:p w14:paraId="3BF189D4">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（2）材料和工程设备暂估价金额：</w:t>
      </w:r>
    </w:p>
    <w:p w14:paraId="149930BD">
      <w:pPr>
        <w:keepLines w:val="0"/>
        <w:pageBreakBefore w:val="0"/>
        <w:kinsoku/>
        <w:wordWrap/>
        <w:overflowPunct/>
        <w:topLinePunct w:val="0"/>
        <w:bidi w:val="0"/>
        <w:spacing w:line="520" w:lineRule="exact"/>
        <w:ind w:right="-19" w:rightChars="-9" w:firstLine="1080" w:firstLineChars="4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人民币（大写）</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元)；</w:t>
      </w:r>
    </w:p>
    <w:p w14:paraId="0F036C09">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（3）专业工程暂估价金额：</w:t>
      </w:r>
    </w:p>
    <w:p w14:paraId="0B9E4380">
      <w:pPr>
        <w:keepLines w:val="0"/>
        <w:pageBreakBefore w:val="0"/>
        <w:kinsoku/>
        <w:wordWrap/>
        <w:overflowPunct/>
        <w:topLinePunct w:val="0"/>
        <w:bidi w:val="0"/>
        <w:spacing w:line="520" w:lineRule="exact"/>
        <w:ind w:right="-19" w:rightChars="-9" w:firstLine="1080" w:firstLineChars="4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人民币（大写）</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元)；</w:t>
      </w:r>
    </w:p>
    <w:p w14:paraId="79FE5894">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（4）暂列金额：</w:t>
      </w:r>
    </w:p>
    <w:p w14:paraId="2A99E36F">
      <w:pPr>
        <w:keepLines w:val="0"/>
        <w:pageBreakBefore w:val="0"/>
        <w:kinsoku/>
        <w:wordWrap/>
        <w:overflowPunct/>
        <w:topLinePunct w:val="0"/>
        <w:bidi w:val="0"/>
        <w:spacing w:line="520" w:lineRule="exact"/>
        <w:ind w:right="-19" w:rightChars="-9" w:firstLine="1080" w:firstLineChars="4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人民币（大写）</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元)。</w:t>
      </w:r>
    </w:p>
    <w:p w14:paraId="7C39D3D1">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2.合同价格形式：</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b/>
          <w:color w:val="auto"/>
          <w:spacing w:val="-6"/>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225D3152">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807" w:name="_Toc351203485"/>
      <w:r>
        <w:rPr>
          <w:rFonts w:hint="eastAsia" w:ascii="微软雅黑" w:hAnsi="微软雅黑" w:eastAsia="微软雅黑" w:cs="微软雅黑"/>
          <w:color w:val="auto"/>
          <w:sz w:val="24"/>
          <w:szCs w:val="24"/>
          <w:highlight w:val="none"/>
        </w:rPr>
        <w:t>五、</w:t>
      </w:r>
      <w:bookmarkEnd w:id="807"/>
      <w:r>
        <w:rPr>
          <w:rFonts w:hint="eastAsia" w:ascii="微软雅黑" w:hAnsi="微软雅黑" w:eastAsia="微软雅黑" w:cs="微软雅黑"/>
          <w:color w:val="auto"/>
          <w:sz w:val="24"/>
          <w:szCs w:val="24"/>
          <w:highlight w:val="none"/>
        </w:rPr>
        <w:t>项目经理</w:t>
      </w:r>
    </w:p>
    <w:p w14:paraId="4DF88662">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承包人项目经理：</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7B057EAF">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808" w:name="_Toc351203486"/>
      <w:r>
        <w:rPr>
          <w:rFonts w:hint="eastAsia" w:ascii="微软雅黑" w:hAnsi="微软雅黑" w:eastAsia="微软雅黑" w:cs="微软雅黑"/>
          <w:color w:val="auto"/>
          <w:sz w:val="24"/>
          <w:szCs w:val="24"/>
          <w:highlight w:val="none"/>
        </w:rPr>
        <w:t>六、合同文件构成</w:t>
      </w:r>
      <w:bookmarkEnd w:id="808"/>
    </w:p>
    <w:p w14:paraId="4744063A">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本协议书与下列文件一起构成合同文件：</w:t>
      </w:r>
    </w:p>
    <w:p w14:paraId="33FC786B">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（1）中标通知书（如果有）；</w:t>
      </w:r>
    </w:p>
    <w:p w14:paraId="4A90A406">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（2）资格审查文件及其附录（如果有）； </w:t>
      </w:r>
    </w:p>
    <w:p w14:paraId="22B179E7">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（3）专用合同条款及其附件；</w:t>
      </w:r>
    </w:p>
    <w:p w14:paraId="5FF23210">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（4）通用合同条款；</w:t>
      </w:r>
    </w:p>
    <w:p w14:paraId="3326A289">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（5）技术标准和要求；</w:t>
      </w:r>
    </w:p>
    <w:p w14:paraId="54846CD2">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（6）图纸；</w:t>
      </w:r>
    </w:p>
    <w:p w14:paraId="52F94706">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（7）已标价工程量清单或预算书；</w:t>
      </w:r>
    </w:p>
    <w:p w14:paraId="52E87929">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（8）其他合同文件。</w:t>
      </w:r>
    </w:p>
    <w:p w14:paraId="5FD159B9">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在合同订立及履行过程中形成的与合同有关的文件均构成合同文件组成部分。</w:t>
      </w:r>
    </w:p>
    <w:p w14:paraId="38EA7621">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5216962B">
      <w:pPr>
        <w:keepLines w:val="0"/>
        <w:pageBreakBefore w:val="0"/>
        <w:kinsoku/>
        <w:wordWrap/>
        <w:overflowPunct/>
        <w:topLinePunct w:val="0"/>
        <w:bidi w:val="0"/>
        <w:spacing w:before="0" w:after="0" w:line="520" w:lineRule="exact"/>
        <w:ind w:right="-19" w:rightChars="-9"/>
        <w:outlineLvl w:val="9"/>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 xml:space="preserve">   </w:t>
      </w:r>
      <w:r>
        <w:rPr>
          <w:rFonts w:hint="eastAsia" w:ascii="微软雅黑" w:hAnsi="微软雅黑" w:eastAsia="微软雅黑" w:cs="微软雅黑"/>
          <w:b w:val="0"/>
          <w:color w:val="auto"/>
          <w:sz w:val="24"/>
          <w:szCs w:val="24"/>
          <w:highlight w:val="none"/>
        </w:rPr>
        <w:t xml:space="preserve"> </w:t>
      </w:r>
      <w:bookmarkStart w:id="809" w:name="_Toc351203487"/>
      <w:r>
        <w:rPr>
          <w:rFonts w:hint="eastAsia" w:ascii="微软雅黑" w:hAnsi="微软雅黑" w:eastAsia="微软雅黑" w:cs="微软雅黑"/>
          <w:b w:val="0"/>
          <w:color w:val="auto"/>
          <w:sz w:val="24"/>
          <w:szCs w:val="24"/>
          <w:highlight w:val="none"/>
        </w:rPr>
        <w:t>七、承诺</w:t>
      </w:r>
      <w:bookmarkEnd w:id="809"/>
    </w:p>
    <w:p w14:paraId="57F4AB2B">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1.发包人承诺按照法律规定履行项目审批手续、筹集工程建设资金并按照合同约定的期限和方式支付合同价款。</w:t>
      </w:r>
    </w:p>
    <w:p w14:paraId="68AF5EB3">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13703372">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3.发包人和承包人通过招投标形式签订合同的，双方理解并承诺不再就同一工程另行签订与合同实质性内容相背离的协议。</w:t>
      </w:r>
    </w:p>
    <w:p w14:paraId="3B652D1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Cs/>
          <w:color w:val="auto"/>
          <w:sz w:val="24"/>
          <w:szCs w:val="24"/>
          <w:highlight w:val="none"/>
        </w:rPr>
      </w:pPr>
      <w:bookmarkStart w:id="810" w:name="_Toc351203488"/>
      <w:r>
        <w:rPr>
          <w:rFonts w:hint="eastAsia" w:ascii="微软雅黑" w:hAnsi="微软雅黑" w:eastAsia="微软雅黑" w:cs="微软雅黑"/>
          <w:b/>
          <w:color w:val="auto"/>
          <w:sz w:val="24"/>
          <w:szCs w:val="24"/>
          <w:highlight w:val="none"/>
        </w:rPr>
        <w:t xml:space="preserve">    八、词语含义</w:t>
      </w:r>
      <w:bookmarkEnd w:id="810"/>
    </w:p>
    <w:p w14:paraId="576A73A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本协议书中词语含义与第二部分通用合同条款中赋予的含义相同。</w:t>
      </w:r>
    </w:p>
    <w:p w14:paraId="3669D50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 xml:space="preserve">  </w:t>
      </w:r>
      <w:r>
        <w:rPr>
          <w:rFonts w:hint="eastAsia" w:ascii="微软雅黑" w:hAnsi="微软雅黑" w:eastAsia="微软雅黑" w:cs="微软雅黑"/>
          <w:b/>
          <w:color w:val="auto"/>
          <w:sz w:val="24"/>
          <w:szCs w:val="24"/>
          <w:highlight w:val="none"/>
        </w:rPr>
        <w:t xml:space="preserve">  </w:t>
      </w:r>
      <w:bookmarkStart w:id="811" w:name="_Toc351203489"/>
      <w:r>
        <w:rPr>
          <w:rFonts w:hint="eastAsia" w:ascii="微软雅黑" w:hAnsi="微软雅黑" w:eastAsia="微软雅黑" w:cs="微软雅黑"/>
          <w:b/>
          <w:color w:val="auto"/>
          <w:sz w:val="24"/>
          <w:szCs w:val="24"/>
          <w:highlight w:val="none"/>
        </w:rPr>
        <w:t>九、签订时间</w:t>
      </w:r>
      <w:bookmarkEnd w:id="811"/>
    </w:p>
    <w:p w14:paraId="671745C5">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本合同于</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rPr>
        <w:t>年</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rPr>
        <w:t>月</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日签订。</w:t>
      </w:r>
    </w:p>
    <w:p w14:paraId="7CD555E8">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bookmarkStart w:id="812" w:name="_Toc351203490"/>
      <w:r>
        <w:rPr>
          <w:rFonts w:hint="eastAsia" w:ascii="微软雅黑" w:hAnsi="微软雅黑" w:eastAsia="微软雅黑" w:cs="微软雅黑"/>
          <w:b/>
          <w:color w:val="auto"/>
          <w:sz w:val="24"/>
          <w:szCs w:val="24"/>
          <w:highlight w:val="none"/>
        </w:rPr>
        <w:t>十、签订地点</w:t>
      </w:r>
      <w:bookmarkEnd w:id="812"/>
    </w:p>
    <w:p w14:paraId="769AA623">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本合同在</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签订。</w:t>
      </w:r>
    </w:p>
    <w:p w14:paraId="5741406C">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bookmarkStart w:id="813" w:name="_Toc351203491"/>
      <w:r>
        <w:rPr>
          <w:rFonts w:hint="eastAsia" w:ascii="微软雅黑" w:hAnsi="微软雅黑" w:eastAsia="微软雅黑" w:cs="微软雅黑"/>
          <w:b/>
          <w:color w:val="auto"/>
          <w:sz w:val="24"/>
          <w:szCs w:val="24"/>
          <w:highlight w:val="none"/>
        </w:rPr>
        <w:t>十一、补充协议</w:t>
      </w:r>
      <w:bookmarkEnd w:id="813"/>
    </w:p>
    <w:p w14:paraId="1F25A207">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合同未尽事宜，合同当事人另行签订补充协议，补充协议是合同的组成部分。</w:t>
      </w:r>
    </w:p>
    <w:p w14:paraId="26296478">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
          <w:bCs/>
          <w:color w:val="auto"/>
          <w:sz w:val="24"/>
          <w:szCs w:val="24"/>
          <w:highlight w:val="none"/>
        </w:rPr>
      </w:pPr>
      <w:bookmarkStart w:id="814" w:name="_Toc351203492"/>
      <w:r>
        <w:rPr>
          <w:rFonts w:hint="eastAsia" w:ascii="微软雅黑" w:hAnsi="微软雅黑" w:eastAsia="微软雅黑" w:cs="微软雅黑"/>
          <w:b/>
          <w:color w:val="auto"/>
          <w:sz w:val="24"/>
          <w:szCs w:val="24"/>
          <w:highlight w:val="none"/>
        </w:rPr>
        <w:t>十二、合同生效</w:t>
      </w:r>
      <w:bookmarkEnd w:id="814"/>
    </w:p>
    <w:p w14:paraId="10EC5BC9">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本合同自</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生效。</w:t>
      </w:r>
    </w:p>
    <w:p w14:paraId="56AA31C1">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bookmarkStart w:id="815" w:name="_Toc351203493"/>
      <w:r>
        <w:rPr>
          <w:rFonts w:hint="eastAsia" w:ascii="微软雅黑" w:hAnsi="微软雅黑" w:eastAsia="微软雅黑" w:cs="微软雅黑"/>
          <w:b/>
          <w:color w:val="auto"/>
          <w:sz w:val="24"/>
          <w:szCs w:val="24"/>
          <w:highlight w:val="none"/>
        </w:rPr>
        <w:t>十三、合同份数</w:t>
      </w:r>
      <w:bookmarkEnd w:id="815"/>
    </w:p>
    <w:p w14:paraId="09011313">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本合同一式</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份，均具有同等法律效力，发包人执</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份，承包人执</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份。</w:t>
      </w:r>
    </w:p>
    <w:tbl>
      <w:tblPr>
        <w:tblStyle w:val="38"/>
        <w:tblW w:w="9962" w:type="dxa"/>
        <w:tblInd w:w="0" w:type="dxa"/>
        <w:tblLayout w:type="fixed"/>
        <w:tblCellMar>
          <w:top w:w="0" w:type="dxa"/>
          <w:left w:w="108" w:type="dxa"/>
          <w:bottom w:w="0" w:type="dxa"/>
          <w:right w:w="108" w:type="dxa"/>
        </w:tblCellMar>
      </w:tblPr>
      <w:tblGrid>
        <w:gridCol w:w="4981"/>
        <w:gridCol w:w="4981"/>
      </w:tblGrid>
      <w:tr w14:paraId="7756040C">
        <w:tblPrEx>
          <w:tblCellMar>
            <w:top w:w="0" w:type="dxa"/>
            <w:left w:w="108" w:type="dxa"/>
            <w:bottom w:w="0" w:type="dxa"/>
            <w:right w:w="108" w:type="dxa"/>
          </w:tblCellMar>
        </w:tblPrEx>
        <w:trPr>
          <w:trHeight w:val="1085" w:hRule="atLeast"/>
        </w:trPr>
        <w:tc>
          <w:tcPr>
            <w:tcW w:w="4981" w:type="dxa"/>
            <w:noWrap w:val="0"/>
            <w:vAlign w:val="top"/>
          </w:tcPr>
          <w:p w14:paraId="66492B7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bookmarkStart w:id="816" w:name="_Toc351203494"/>
            <w:r>
              <w:rPr>
                <w:rFonts w:hint="eastAsia" w:ascii="微软雅黑" w:hAnsi="微软雅黑" w:eastAsia="微软雅黑" w:cs="微软雅黑"/>
                <w:color w:val="auto"/>
                <w:sz w:val="24"/>
                <w:szCs w:val="24"/>
                <w:highlight w:val="none"/>
              </w:rPr>
              <w:t>发包人：（公章）</w:t>
            </w:r>
          </w:p>
          <w:p w14:paraId="70E7686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w:t>
            </w:r>
          </w:p>
          <w:p w14:paraId="7B160E06">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组织机构代码：</w:t>
            </w:r>
            <w:r>
              <w:rPr>
                <w:rFonts w:hint="eastAsia" w:ascii="微软雅黑" w:hAnsi="微软雅黑" w:eastAsia="微软雅黑" w:cs="微软雅黑"/>
                <w:color w:val="auto"/>
                <w:sz w:val="24"/>
                <w:szCs w:val="24"/>
                <w:highlight w:val="none"/>
                <w:u w:val="single"/>
              </w:rPr>
              <w:t xml:space="preserve">                   </w:t>
            </w:r>
          </w:p>
          <w:p w14:paraId="4382FD1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p>
          <w:p w14:paraId="0FE5292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邮政编码：</w:t>
            </w:r>
            <w:r>
              <w:rPr>
                <w:rFonts w:hint="eastAsia" w:ascii="微软雅黑" w:hAnsi="微软雅黑" w:eastAsia="微软雅黑" w:cs="微软雅黑"/>
                <w:color w:val="auto"/>
                <w:sz w:val="24"/>
                <w:szCs w:val="24"/>
                <w:highlight w:val="none"/>
                <w:u w:val="single"/>
              </w:rPr>
              <w:t xml:space="preserve">                       </w:t>
            </w:r>
          </w:p>
          <w:p w14:paraId="6393B2D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w:t>
            </w:r>
            <w:r>
              <w:rPr>
                <w:rFonts w:hint="eastAsia" w:ascii="微软雅黑" w:hAnsi="微软雅黑" w:eastAsia="微软雅黑" w:cs="微软雅黑"/>
                <w:color w:val="auto"/>
                <w:sz w:val="24"/>
                <w:szCs w:val="24"/>
                <w:highlight w:val="none"/>
                <w:u w:val="single"/>
              </w:rPr>
              <w:t xml:space="preserve">                     </w:t>
            </w:r>
          </w:p>
          <w:p w14:paraId="3B2EF3E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委托代理人：</w:t>
            </w:r>
            <w:r>
              <w:rPr>
                <w:rFonts w:hint="eastAsia" w:ascii="微软雅黑" w:hAnsi="微软雅黑" w:eastAsia="微软雅黑" w:cs="微软雅黑"/>
                <w:color w:val="auto"/>
                <w:sz w:val="24"/>
                <w:szCs w:val="24"/>
                <w:highlight w:val="none"/>
                <w:u w:val="single"/>
              </w:rPr>
              <w:t xml:space="preserve">                     </w:t>
            </w:r>
          </w:p>
          <w:p w14:paraId="271EE5E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color w:val="auto"/>
                <w:sz w:val="24"/>
                <w:szCs w:val="24"/>
                <w:highlight w:val="none"/>
                <w:u w:val="single"/>
              </w:rPr>
              <w:t xml:space="preserve">                           </w:t>
            </w:r>
          </w:p>
          <w:p w14:paraId="451B22A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传真：</w:t>
            </w:r>
            <w:r>
              <w:rPr>
                <w:rFonts w:hint="eastAsia" w:ascii="微软雅黑" w:hAnsi="微软雅黑" w:eastAsia="微软雅黑" w:cs="微软雅黑"/>
                <w:color w:val="auto"/>
                <w:sz w:val="24"/>
                <w:szCs w:val="24"/>
                <w:highlight w:val="none"/>
                <w:u w:val="single"/>
              </w:rPr>
              <w:t xml:space="preserve">                           </w:t>
            </w:r>
          </w:p>
          <w:p w14:paraId="654A4286">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xml:space="preserve">                       </w:t>
            </w:r>
          </w:p>
          <w:p w14:paraId="3D3A4E0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开户银行：</w:t>
            </w:r>
            <w:r>
              <w:rPr>
                <w:rFonts w:hint="eastAsia" w:ascii="微软雅黑" w:hAnsi="微软雅黑" w:eastAsia="微软雅黑" w:cs="微软雅黑"/>
                <w:color w:val="auto"/>
                <w:sz w:val="24"/>
                <w:szCs w:val="24"/>
                <w:highlight w:val="none"/>
                <w:u w:val="single"/>
              </w:rPr>
              <w:t xml:space="preserve">                       </w:t>
            </w:r>
          </w:p>
          <w:p w14:paraId="0DD8C86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账号：</w:t>
            </w:r>
            <w:r>
              <w:rPr>
                <w:rFonts w:hint="eastAsia" w:ascii="微软雅黑" w:hAnsi="微软雅黑" w:eastAsia="微软雅黑" w:cs="微软雅黑"/>
                <w:color w:val="auto"/>
                <w:sz w:val="24"/>
                <w:szCs w:val="24"/>
                <w:highlight w:val="none"/>
                <w:u w:val="single"/>
              </w:rPr>
              <w:t xml:space="preserve">                           </w:t>
            </w:r>
          </w:p>
        </w:tc>
        <w:tc>
          <w:tcPr>
            <w:tcW w:w="4981" w:type="dxa"/>
            <w:noWrap w:val="0"/>
            <w:vAlign w:val="top"/>
          </w:tcPr>
          <w:p w14:paraId="6281BE31">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承包人：（公章）</w:t>
            </w:r>
          </w:p>
          <w:p w14:paraId="4B08B95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w:t>
            </w:r>
          </w:p>
          <w:p w14:paraId="680B9CE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
                <w:color w:val="auto"/>
                <w:sz w:val="24"/>
                <w:szCs w:val="24"/>
                <w:highlight w:val="none"/>
                <w:u w:val="single"/>
              </w:rPr>
            </w:pPr>
            <w:r>
              <w:rPr>
                <w:rFonts w:hint="eastAsia" w:ascii="微软雅黑" w:hAnsi="微软雅黑" w:eastAsia="微软雅黑" w:cs="微软雅黑"/>
                <w:color w:val="auto"/>
                <w:sz w:val="24"/>
                <w:szCs w:val="24"/>
                <w:highlight w:val="none"/>
              </w:rPr>
              <w:t>组织机构代码：</w:t>
            </w:r>
            <w:r>
              <w:rPr>
                <w:rFonts w:hint="eastAsia" w:ascii="微软雅黑" w:hAnsi="微软雅黑" w:eastAsia="微软雅黑" w:cs="微软雅黑"/>
                <w:b/>
                <w:color w:val="auto"/>
                <w:sz w:val="24"/>
                <w:szCs w:val="24"/>
                <w:highlight w:val="none"/>
                <w:u w:val="single"/>
              </w:rPr>
              <w:t xml:space="preserve">                </w:t>
            </w:r>
          </w:p>
          <w:p w14:paraId="05D6BC2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b/>
                <w:color w:val="auto"/>
                <w:sz w:val="24"/>
                <w:szCs w:val="24"/>
                <w:highlight w:val="none"/>
                <w:u w:val="single"/>
              </w:rPr>
              <w:t xml:space="preserve">                        </w:t>
            </w:r>
          </w:p>
          <w:p w14:paraId="4CE3428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
                <w:color w:val="auto"/>
                <w:sz w:val="24"/>
                <w:szCs w:val="24"/>
                <w:highlight w:val="none"/>
                <w:u w:val="single"/>
              </w:rPr>
            </w:pPr>
            <w:r>
              <w:rPr>
                <w:rFonts w:hint="eastAsia" w:ascii="微软雅黑" w:hAnsi="微软雅黑" w:eastAsia="微软雅黑" w:cs="微软雅黑"/>
                <w:color w:val="auto"/>
                <w:sz w:val="24"/>
                <w:szCs w:val="24"/>
                <w:highlight w:val="none"/>
              </w:rPr>
              <w:t>邮政编码：</w:t>
            </w:r>
            <w:r>
              <w:rPr>
                <w:rFonts w:hint="eastAsia" w:ascii="微软雅黑" w:hAnsi="微软雅黑" w:eastAsia="微软雅黑" w:cs="微软雅黑"/>
                <w:b/>
                <w:color w:val="auto"/>
                <w:sz w:val="24"/>
                <w:szCs w:val="24"/>
                <w:highlight w:val="none"/>
                <w:u w:val="single"/>
              </w:rPr>
              <w:t xml:space="preserve">                    </w:t>
            </w:r>
          </w:p>
          <w:p w14:paraId="6A52DD8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w:t>
            </w:r>
            <w:r>
              <w:rPr>
                <w:rFonts w:hint="eastAsia" w:ascii="微软雅黑" w:hAnsi="微软雅黑" w:eastAsia="微软雅黑" w:cs="微软雅黑"/>
                <w:b/>
                <w:color w:val="auto"/>
                <w:sz w:val="24"/>
                <w:szCs w:val="24"/>
                <w:highlight w:val="none"/>
                <w:u w:val="single"/>
              </w:rPr>
              <w:t xml:space="preserve">                  </w:t>
            </w:r>
          </w:p>
          <w:p w14:paraId="38D90BD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委托代理人：</w:t>
            </w:r>
            <w:r>
              <w:rPr>
                <w:rFonts w:hint="eastAsia" w:ascii="微软雅黑" w:hAnsi="微软雅黑" w:eastAsia="微软雅黑" w:cs="微软雅黑"/>
                <w:color w:val="auto"/>
                <w:sz w:val="24"/>
                <w:szCs w:val="24"/>
                <w:highlight w:val="none"/>
                <w:u w:val="single"/>
              </w:rPr>
              <w:t xml:space="preserve">                  </w:t>
            </w:r>
          </w:p>
          <w:p w14:paraId="7DBE55D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b/>
                <w:color w:val="auto"/>
                <w:sz w:val="24"/>
                <w:szCs w:val="24"/>
                <w:highlight w:val="none"/>
                <w:u w:val="single"/>
              </w:rPr>
              <w:t xml:space="preserve">                        </w:t>
            </w:r>
          </w:p>
          <w:p w14:paraId="39B9A18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传真：</w:t>
            </w:r>
            <w:r>
              <w:rPr>
                <w:rFonts w:hint="eastAsia" w:ascii="微软雅黑" w:hAnsi="微软雅黑" w:eastAsia="微软雅黑" w:cs="微软雅黑"/>
                <w:b/>
                <w:color w:val="auto"/>
                <w:sz w:val="24"/>
                <w:szCs w:val="24"/>
                <w:highlight w:val="none"/>
                <w:u w:val="single"/>
              </w:rPr>
              <w:t xml:space="preserve">                        </w:t>
            </w:r>
          </w:p>
          <w:p w14:paraId="2E76D37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b/>
                <w:color w:val="auto"/>
                <w:sz w:val="24"/>
                <w:szCs w:val="24"/>
                <w:highlight w:val="none"/>
                <w:u w:val="single"/>
              </w:rPr>
              <w:t xml:space="preserve">                    </w:t>
            </w:r>
          </w:p>
          <w:p w14:paraId="3E22619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
                <w:color w:val="auto"/>
                <w:sz w:val="24"/>
                <w:szCs w:val="24"/>
                <w:highlight w:val="none"/>
                <w:u w:val="single"/>
              </w:rPr>
            </w:pPr>
            <w:r>
              <w:rPr>
                <w:rFonts w:hint="eastAsia" w:ascii="微软雅黑" w:hAnsi="微软雅黑" w:eastAsia="微软雅黑" w:cs="微软雅黑"/>
                <w:color w:val="auto"/>
                <w:sz w:val="24"/>
                <w:szCs w:val="24"/>
                <w:highlight w:val="none"/>
              </w:rPr>
              <w:t>开户银行：</w:t>
            </w:r>
            <w:r>
              <w:rPr>
                <w:rFonts w:hint="eastAsia" w:ascii="微软雅黑" w:hAnsi="微软雅黑" w:eastAsia="微软雅黑" w:cs="微软雅黑"/>
                <w:b/>
                <w:color w:val="auto"/>
                <w:sz w:val="24"/>
                <w:szCs w:val="24"/>
                <w:highlight w:val="none"/>
                <w:u w:val="single"/>
              </w:rPr>
              <w:t xml:space="preserve">                    </w:t>
            </w:r>
          </w:p>
          <w:p w14:paraId="4F2EE24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账号：</w:t>
            </w:r>
            <w:r>
              <w:rPr>
                <w:rFonts w:hint="eastAsia" w:ascii="微软雅黑" w:hAnsi="微软雅黑" w:eastAsia="微软雅黑" w:cs="微软雅黑"/>
                <w:b/>
                <w:color w:val="auto"/>
                <w:sz w:val="24"/>
                <w:szCs w:val="24"/>
                <w:highlight w:val="none"/>
                <w:u w:val="single"/>
              </w:rPr>
              <w:t xml:space="preserve">                        </w:t>
            </w:r>
          </w:p>
        </w:tc>
      </w:tr>
    </w:tbl>
    <w:p w14:paraId="5B5AFE7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p w14:paraId="5A00BDB9">
      <w:pPr>
        <w:keepLines w:val="0"/>
        <w:pageBreakBefore w:val="0"/>
        <w:kinsoku/>
        <w:wordWrap/>
        <w:overflowPunct/>
        <w:topLinePunct w:val="0"/>
        <w:bidi w:val="0"/>
        <w:spacing w:line="520" w:lineRule="exact"/>
        <w:jc w:val="center"/>
        <w:outlineLvl w:val="9"/>
        <w:rPr>
          <w:rFonts w:hint="eastAsia" w:ascii="微软雅黑" w:hAnsi="微软雅黑" w:eastAsia="微软雅黑" w:cs="微软雅黑"/>
          <w:color w:val="auto"/>
          <w:sz w:val="24"/>
          <w:szCs w:val="24"/>
          <w:highlight w:val="none"/>
        </w:rPr>
      </w:pPr>
      <w:bookmarkStart w:id="817" w:name="_Toc4216"/>
      <w:bookmarkStart w:id="818" w:name="_Toc17781_WPSOffice_Level1"/>
      <w:r>
        <w:rPr>
          <w:rFonts w:hint="eastAsia" w:ascii="微软雅黑" w:hAnsi="微软雅黑" w:eastAsia="微软雅黑" w:cs="微软雅黑"/>
          <w:color w:val="auto"/>
          <w:sz w:val="24"/>
          <w:szCs w:val="24"/>
          <w:highlight w:val="none"/>
        </w:rPr>
        <w:t>第二节 通用合同条款</w:t>
      </w:r>
      <w:bookmarkEnd w:id="817"/>
      <w:bookmarkEnd w:id="818"/>
    </w:p>
    <w:p w14:paraId="18602084">
      <w:pPr>
        <w:keepLines w:val="0"/>
        <w:pageBreakBefore w:val="0"/>
        <w:kinsoku/>
        <w:wordWrap/>
        <w:overflowPunct/>
        <w:topLinePunct w:val="0"/>
        <w:bidi w:val="0"/>
        <w:spacing w:line="520" w:lineRule="exact"/>
        <w:ind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使用住房城乡建设部、国家工商行政管理局2017年9月22日联合印发的《建设工程施工合同（GF-2017-0201示范文本）》第二部分通用条款。</w:t>
      </w:r>
    </w:p>
    <w:p w14:paraId="1E9BE51C">
      <w:pPr>
        <w:keepLines w:val="0"/>
        <w:pageBreakBefore w:val="0"/>
        <w:tabs>
          <w:tab w:val="center" w:pos="4479"/>
        </w:tabs>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bookmarkEnd w:id="816"/>
    <w:p w14:paraId="2AEE1678">
      <w:pPr>
        <w:keepLines w:val="0"/>
        <w:pageBreakBefore w:val="0"/>
        <w:tabs>
          <w:tab w:val="left" w:pos="2324"/>
          <w:tab w:val="center" w:pos="4214"/>
        </w:tabs>
        <w:kinsoku/>
        <w:wordWrap/>
        <w:overflowPunct/>
        <w:topLinePunct w:val="0"/>
        <w:bidi w:val="0"/>
        <w:adjustRightInd w:val="0"/>
        <w:snapToGrid w:val="0"/>
        <w:spacing w:line="520" w:lineRule="exact"/>
        <w:ind w:right="-19" w:rightChars="-9"/>
        <w:jc w:val="left"/>
        <w:outlineLvl w:val="9"/>
        <w:rPr>
          <w:rFonts w:hint="eastAsia" w:ascii="微软雅黑" w:hAnsi="微软雅黑" w:eastAsia="微软雅黑" w:cs="微软雅黑"/>
          <w:color w:val="auto"/>
          <w:sz w:val="24"/>
          <w:szCs w:val="24"/>
          <w:highlight w:val="none"/>
        </w:rPr>
      </w:pPr>
      <w:bookmarkStart w:id="819" w:name="_Toc351203632"/>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第三部分 专用合同条款</w:t>
      </w:r>
      <w:bookmarkEnd w:id="819"/>
    </w:p>
    <w:p w14:paraId="0CD13A0A">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820" w:name="_Toc351203633"/>
      <w:r>
        <w:rPr>
          <w:rFonts w:hint="eastAsia" w:ascii="微软雅黑" w:hAnsi="微软雅黑" w:eastAsia="微软雅黑" w:cs="微软雅黑"/>
          <w:b w:val="0"/>
          <w:color w:val="auto"/>
          <w:sz w:val="24"/>
          <w:szCs w:val="24"/>
          <w:highlight w:val="none"/>
        </w:rPr>
        <w:t>1</w:t>
      </w:r>
      <w:bookmarkStart w:id="821" w:name="_Toc296503156"/>
      <w:bookmarkStart w:id="822" w:name="_Toc296891196"/>
      <w:bookmarkStart w:id="823" w:name="_Toc296890984"/>
      <w:bookmarkStart w:id="824" w:name="_Toc292559866"/>
      <w:bookmarkStart w:id="825" w:name="_Toc296346657"/>
      <w:bookmarkStart w:id="826" w:name="_Toc297048342"/>
      <w:bookmarkStart w:id="827" w:name="_Toc296944495"/>
      <w:bookmarkStart w:id="828" w:name="_Toc292559361"/>
      <w:bookmarkStart w:id="829" w:name="_Toc296347155"/>
      <w:bookmarkStart w:id="830" w:name="_Toc297120456"/>
      <w:r>
        <w:rPr>
          <w:rFonts w:hint="eastAsia" w:ascii="微软雅黑" w:hAnsi="微软雅黑" w:eastAsia="微软雅黑" w:cs="微软雅黑"/>
          <w:b w:val="0"/>
          <w:color w:val="auto"/>
          <w:sz w:val="24"/>
          <w:szCs w:val="24"/>
          <w:highlight w:val="none"/>
        </w:rPr>
        <w:t>. 一般约定</w:t>
      </w:r>
      <w:bookmarkEnd w:id="820"/>
    </w:p>
    <w:bookmarkEnd w:id="821"/>
    <w:bookmarkEnd w:id="822"/>
    <w:bookmarkEnd w:id="823"/>
    <w:bookmarkEnd w:id="824"/>
    <w:bookmarkEnd w:id="825"/>
    <w:bookmarkEnd w:id="826"/>
    <w:bookmarkEnd w:id="827"/>
    <w:bookmarkEnd w:id="828"/>
    <w:bookmarkEnd w:id="829"/>
    <w:bookmarkEnd w:id="830"/>
    <w:p w14:paraId="2E2C0477">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 词语定义</w:t>
      </w:r>
    </w:p>
    <w:p w14:paraId="2D00D18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1.1.1合同</w:t>
      </w:r>
    </w:p>
    <w:p w14:paraId="46768219">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1.1.1.10其他合同文件包括：</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2B48A1B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 合同当事人及其他相关方</w:t>
      </w:r>
    </w:p>
    <w:p w14:paraId="1E8833C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1.1.2.4监理人：</w:t>
      </w:r>
    </w:p>
    <w:p w14:paraId="54D67D9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名    称：</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74329D8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资质类别和等级：</w:t>
      </w:r>
      <w:r>
        <w:rPr>
          <w:rFonts w:hint="eastAsia" w:ascii="微软雅黑" w:hAnsi="微软雅黑" w:eastAsia="微软雅黑" w:cs="微软雅黑"/>
          <w:color w:val="auto"/>
          <w:sz w:val="24"/>
          <w:szCs w:val="24"/>
          <w:highlight w:val="none"/>
          <w:u w:val="single"/>
        </w:rPr>
        <w:t xml:space="preserve">                       </w:t>
      </w:r>
      <w:r>
        <w:rPr>
          <w:rFonts w:hint="eastAsia" w:ascii="微软雅黑" w:hAnsi="微软雅黑" w:eastAsia="微软雅黑" w:cs="微软雅黑"/>
          <w:color w:val="auto"/>
          <w:sz w:val="24"/>
          <w:szCs w:val="24"/>
          <w:highlight w:val="none"/>
        </w:rPr>
        <w:t>；</w:t>
      </w:r>
    </w:p>
    <w:p w14:paraId="33F93CD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6774942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468D387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通信地址：</w:t>
      </w:r>
      <w:r>
        <w:rPr>
          <w:rFonts w:hint="eastAsia" w:ascii="微软雅黑" w:hAnsi="微软雅黑" w:eastAsia="微软雅黑" w:cs="微软雅黑"/>
          <w:color w:val="auto"/>
          <w:sz w:val="24"/>
          <w:szCs w:val="24"/>
          <w:highlight w:val="none"/>
          <w:u w:val="single"/>
        </w:rPr>
        <w:t>                 </w:t>
      </w:r>
      <w:r>
        <w:rPr>
          <w:rFonts w:hint="eastAsia" w:ascii="微软雅黑" w:hAnsi="微软雅黑" w:eastAsia="微软雅黑" w:cs="微软雅黑"/>
          <w:color w:val="auto"/>
          <w:sz w:val="24"/>
          <w:szCs w:val="24"/>
          <w:highlight w:val="none"/>
        </w:rPr>
        <w:t>。</w:t>
      </w:r>
    </w:p>
    <w:p w14:paraId="67C72E6A">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1.1.2.5 设计人：</w:t>
      </w:r>
    </w:p>
    <w:p w14:paraId="11A57FE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名    称：</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6B9CFAF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资质类别和等级：</w:t>
      </w:r>
      <w:r>
        <w:rPr>
          <w:rFonts w:hint="eastAsia" w:ascii="微软雅黑" w:hAnsi="微软雅黑" w:eastAsia="微软雅黑" w:cs="微软雅黑"/>
          <w:color w:val="auto"/>
          <w:sz w:val="24"/>
          <w:szCs w:val="24"/>
          <w:highlight w:val="none"/>
          <w:u w:val="single"/>
        </w:rPr>
        <w:t>                       </w:t>
      </w:r>
      <w:r>
        <w:rPr>
          <w:rFonts w:hint="eastAsia" w:ascii="微软雅黑" w:hAnsi="微软雅黑" w:eastAsia="微软雅黑" w:cs="微软雅黑"/>
          <w:color w:val="auto"/>
          <w:sz w:val="24"/>
          <w:szCs w:val="24"/>
          <w:highlight w:val="none"/>
        </w:rPr>
        <w:t>；</w:t>
      </w:r>
    </w:p>
    <w:p w14:paraId="48B132A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             </w:t>
      </w:r>
      <w:r>
        <w:rPr>
          <w:rFonts w:hint="eastAsia" w:ascii="微软雅黑" w:hAnsi="微软雅黑" w:eastAsia="微软雅黑" w:cs="微软雅黑"/>
          <w:color w:val="auto"/>
          <w:sz w:val="24"/>
          <w:szCs w:val="24"/>
          <w:highlight w:val="none"/>
        </w:rPr>
        <w:t>；</w:t>
      </w:r>
    </w:p>
    <w:p w14:paraId="717F379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563CF14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通信地址：</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7B5AC000">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 工程和设备</w:t>
      </w:r>
    </w:p>
    <w:p w14:paraId="127B51E0">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1.1.3.7 作为施工现场组成部分的其他场所包括：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1EAA16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1.1.3.9 永久占地包括：</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05795FB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1.1.3.10 临时占地包括：</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C3058E0">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1.3法律 </w:t>
      </w:r>
    </w:p>
    <w:p w14:paraId="3EDC8BC6">
      <w:pPr>
        <w:keepLines w:val="0"/>
        <w:pageBreakBefore w:val="0"/>
        <w:kinsoku/>
        <w:wordWrap/>
        <w:overflowPunct/>
        <w:topLinePunct w:val="0"/>
        <w:autoSpaceDE w:val="0"/>
        <w:autoSpaceDN w:val="0"/>
        <w:bidi w:val="0"/>
        <w:adjustRightInd w:val="0"/>
        <w:snapToGrid w:val="0"/>
        <w:spacing w:line="520" w:lineRule="exact"/>
        <w:ind w:left="596" w:leftChars="284" w:right="-19" w:rightChars="-9"/>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适用于合同的其他规范性文件：</w:t>
      </w:r>
      <w:r>
        <w:rPr>
          <w:rFonts w:hint="eastAsia" w:ascii="微软雅黑" w:hAnsi="微软雅黑" w:eastAsia="微软雅黑" w:cs="微软雅黑"/>
          <w:color w:val="auto"/>
          <w:sz w:val="24"/>
          <w:szCs w:val="24"/>
          <w:highlight w:val="none"/>
          <w:u w:val="single"/>
        </w:rPr>
        <w:t xml:space="preserve">                 。</w:t>
      </w:r>
    </w:p>
    <w:p w14:paraId="08C6A100">
      <w:pPr>
        <w:keepLines w:val="0"/>
        <w:pageBreakBefore w:val="0"/>
        <w:kinsoku/>
        <w:wordWrap/>
        <w:overflowPunct/>
        <w:topLinePunct w:val="0"/>
        <w:autoSpaceDE w:val="0"/>
        <w:autoSpaceDN w:val="0"/>
        <w:bidi w:val="0"/>
        <w:adjustRightInd w:val="0"/>
        <w:snapToGrid w:val="0"/>
        <w:spacing w:line="520" w:lineRule="exact"/>
        <w:ind w:left="596" w:leftChars="284"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 标准和规范</w:t>
      </w:r>
    </w:p>
    <w:p w14:paraId="5CE7E41A">
      <w:pPr>
        <w:keepLines w:val="0"/>
        <w:pageBreakBefore w:val="0"/>
        <w:kinsoku/>
        <w:wordWrap/>
        <w:overflowPunct/>
        <w:topLinePunct w:val="0"/>
        <w:bidi w:val="0"/>
        <w:adjustRightInd w:val="0"/>
        <w:snapToGrid w:val="0"/>
        <w:spacing w:line="520" w:lineRule="exact"/>
        <w:ind w:left="596" w:leftChars="284"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1.4.1适用于工程的标准规范包括：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7D619B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1.4.2 发包人提供国外标准、规范的名称：</w:t>
      </w:r>
      <w:r>
        <w:rPr>
          <w:rFonts w:hint="eastAsia" w:ascii="微软雅黑" w:hAnsi="微软雅黑" w:eastAsia="微软雅黑" w:cs="微软雅黑"/>
          <w:color w:val="auto"/>
          <w:kern w:val="0"/>
          <w:sz w:val="24"/>
          <w:szCs w:val="24"/>
          <w:highlight w:val="none"/>
          <w:u w:val="single"/>
        </w:rPr>
        <w:t xml:space="preserve">        /         </w:t>
      </w:r>
    </w:p>
    <w:p w14:paraId="70AD3646">
      <w:pPr>
        <w:keepLines w:val="0"/>
        <w:pageBreakBefore w:val="0"/>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65F291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发包人提供国外标准、规范的份数：</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7DB6EA9A">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发包人提供国外标准、规范的名称：</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56A2D750">
      <w:pPr>
        <w:keepLines w:val="0"/>
        <w:pageBreakBefore w:val="0"/>
        <w:kinsoku/>
        <w:wordWrap/>
        <w:overflowPunct/>
        <w:topLinePunct w:val="0"/>
        <w:bidi w:val="0"/>
        <w:adjustRightInd w:val="0"/>
        <w:snapToGrid w:val="0"/>
        <w:spacing w:line="520" w:lineRule="exact"/>
        <w:ind w:left="596" w:leftChars="284"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1.4.3发包人对工程的技术标准和功能要求的特殊要求：</w:t>
      </w:r>
    </w:p>
    <w:p w14:paraId="71D230F2">
      <w:pPr>
        <w:keepLines w:val="0"/>
        <w:pageBreakBefore w:val="0"/>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3347A08">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 合同文件的优先顺序</w:t>
      </w:r>
    </w:p>
    <w:p w14:paraId="65E0C8F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合同文件组成及优先顺序为：</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4C6C1817">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 图纸和承包人文件</w:t>
      </w:r>
      <w:r>
        <w:rPr>
          <w:rFonts w:hint="eastAsia" w:ascii="微软雅黑" w:hAnsi="微软雅黑" w:eastAsia="微软雅黑" w:cs="微软雅黑"/>
          <w:color w:val="auto"/>
          <w:sz w:val="24"/>
          <w:szCs w:val="24"/>
          <w:highlight w:val="none"/>
        </w:rPr>
        <w:tab/>
      </w:r>
    </w:p>
    <w:p w14:paraId="0559428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 图纸的提供</w:t>
      </w:r>
    </w:p>
    <w:p w14:paraId="593AE78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发包人向承包人提供图纸的期限：</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728A879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发包人向承包人提供图纸的数量：</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2577EA2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发包人向承包人提供图纸的内容：</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0F1BEF69">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1.6.4 承包人文件</w:t>
      </w:r>
    </w:p>
    <w:p w14:paraId="4CAD2ED3">
      <w:pPr>
        <w:keepLines w:val="0"/>
        <w:pageBreakBefore w:val="0"/>
        <w:kinsoku/>
        <w:wordWrap/>
        <w:overflowPunct/>
        <w:topLinePunct w:val="0"/>
        <w:bidi w:val="0"/>
        <w:adjustRightInd w:val="0"/>
        <w:snapToGrid w:val="0"/>
        <w:spacing w:line="520" w:lineRule="exact"/>
        <w:ind w:left="596" w:leftChars="284" w:right="-19" w:rightChars="-9"/>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需要由承包人提供的文件，包括：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2EED84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承包人提供的文件的期限为：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0F0CF0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承包人提供的文件的数量为：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58D22DD">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承包人提供的文件的形式为：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44730A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发包人审批承包人文件的期限：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7C132F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1.6.5 现场图纸准备</w:t>
      </w:r>
    </w:p>
    <w:p w14:paraId="586C8C9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关于现场图纸准备的约定：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02F5E7B">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 联络</w:t>
      </w:r>
    </w:p>
    <w:p w14:paraId="58EC9E0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1.7.1发包人和承包人应当在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天内将与合同有关的通知、批准、证明、证书、指示、指令、要求、请求、同意、意见、确定和决定等书面函件送达对方当事人。</w:t>
      </w:r>
    </w:p>
    <w:p w14:paraId="2947AC7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1.7.2 发包人接收文件的地点：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94119F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发包人指定的接收人为：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68F500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承包人接收文件的地点：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6CEF79D0">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承包人指定的接收人为：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00C98EE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监理人接收文件的地点：</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63592FC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监理人指定的接收人为：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978F88F">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1.10 交通运输</w:t>
      </w:r>
    </w:p>
    <w:p w14:paraId="59C95E9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Start w:id="831" w:name="_Toc304295521"/>
      <w:bookmarkStart w:id="832" w:name="_Toc300934943"/>
      <w:bookmarkStart w:id="833" w:name="_Toc318581155"/>
      <w:bookmarkStart w:id="834" w:name="_Toc312677986"/>
      <w:bookmarkStart w:id="835" w:name="_Toc303539100"/>
      <w:r>
        <w:rPr>
          <w:rFonts w:hint="eastAsia" w:ascii="微软雅黑" w:hAnsi="微软雅黑" w:eastAsia="微软雅黑" w:cs="微软雅黑"/>
          <w:color w:val="auto"/>
          <w:sz w:val="24"/>
          <w:szCs w:val="24"/>
          <w:highlight w:val="none"/>
        </w:rPr>
        <w:t>.10.1 出入现场的权利</w:t>
      </w:r>
    </w:p>
    <w:p w14:paraId="4453173F">
      <w:pPr>
        <w:keepLines w:val="0"/>
        <w:pageBreakBefore w:val="0"/>
        <w:kinsoku/>
        <w:wordWrap/>
        <w:overflowPunct/>
        <w:topLinePunct w:val="0"/>
        <w:bidi w:val="0"/>
        <w:adjustRightInd w:val="0"/>
        <w:snapToGrid w:val="0"/>
        <w:spacing w:line="520" w:lineRule="exact"/>
        <w:ind w:left="596" w:leftChars="284"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关于出入现场的权利的约定：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831"/>
    <w:bookmarkEnd w:id="832"/>
    <w:bookmarkEnd w:id="833"/>
    <w:bookmarkEnd w:id="834"/>
    <w:bookmarkEnd w:id="835"/>
    <w:p w14:paraId="572DAD9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Start w:id="836" w:name="_Toc312677987"/>
      <w:bookmarkStart w:id="837" w:name="_Toc303539101"/>
      <w:bookmarkStart w:id="838" w:name="_Toc318581156"/>
      <w:bookmarkStart w:id="839" w:name="_Toc300934944"/>
      <w:bookmarkStart w:id="840" w:name="_Toc304295522"/>
      <w:r>
        <w:rPr>
          <w:rFonts w:hint="eastAsia" w:ascii="微软雅黑" w:hAnsi="微软雅黑" w:eastAsia="微软雅黑" w:cs="微软雅黑"/>
          <w:color w:val="auto"/>
          <w:sz w:val="24"/>
          <w:szCs w:val="24"/>
          <w:highlight w:val="none"/>
        </w:rPr>
        <w:t>.10.3 场内交通</w:t>
      </w:r>
    </w:p>
    <w:p w14:paraId="1850B6A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关于场外交通和场内交通的边界的约定：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17A93C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关于发包人向承包人免费提供满足工程施工需要的场内道路和交通设施的约定：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bookmarkEnd w:id="836"/>
      <w:bookmarkEnd w:id="837"/>
      <w:bookmarkEnd w:id="838"/>
      <w:bookmarkEnd w:id="839"/>
      <w:bookmarkEnd w:id="840"/>
      <w:r>
        <w:rPr>
          <w:rFonts w:hint="eastAsia" w:ascii="微软雅黑" w:hAnsi="微软雅黑" w:eastAsia="微软雅黑" w:cs="微软雅黑"/>
          <w:color w:val="auto"/>
          <w:sz w:val="24"/>
          <w:szCs w:val="24"/>
          <w:highlight w:val="none"/>
        </w:rPr>
        <w:t xml:space="preserve">  </w:t>
      </w:r>
      <w:bookmarkStart w:id="841" w:name="_Toc318581157"/>
    </w:p>
    <w:p w14:paraId="70C8AB9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1.10.4超大件和超重件的运输</w:t>
      </w:r>
    </w:p>
    <w:p w14:paraId="45C5892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运输超大件或超重件所需的道路和桥梁临时加固改造费用和其他有关费用由</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承担。</w:t>
      </w:r>
    </w:p>
    <w:bookmarkEnd w:id="841"/>
    <w:p w14:paraId="4E4A7D9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 知识产权</w:t>
      </w:r>
    </w:p>
    <w:p w14:paraId="67DCC33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7CC51F0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关于发包人提供的上述文件的使用限制的要求：</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89D35B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1.11.2 关于承包人为实施工程所编制文件的著作权的归属：</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189A4F4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关于承包人提供的上述文件的使用限制的要求：</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8AEB48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1.11.4 承包人在施工过程中所采用的专利、专有技术、技术秘密的使用费的承担方式：</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5674F5B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1.13工程量清单错误的修正</w:t>
      </w:r>
    </w:p>
    <w:p w14:paraId="2987D4F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出现工程量清单错误时，是否调整合同价格：</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57F8462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允许调整合同价格的工程量偏差范围：</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76148C1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bookmarkStart w:id="842" w:name="_Toc351203634"/>
      <w:r>
        <w:rPr>
          <w:rFonts w:hint="eastAsia" w:ascii="微软雅黑" w:hAnsi="微软雅黑" w:eastAsia="微软雅黑" w:cs="微软雅黑"/>
          <w:color w:val="auto"/>
          <w:kern w:val="0"/>
          <w:sz w:val="24"/>
          <w:szCs w:val="24"/>
          <w:highlight w:val="none"/>
        </w:rPr>
        <w:t>2</w:t>
      </w:r>
      <w:bookmarkStart w:id="843" w:name="_Toc296503157"/>
      <w:bookmarkStart w:id="844" w:name="_Toc297120457"/>
      <w:bookmarkStart w:id="845" w:name="_Toc296944496"/>
      <w:bookmarkStart w:id="846" w:name="_Toc296890985"/>
      <w:bookmarkStart w:id="847" w:name="_Toc296891197"/>
      <w:bookmarkStart w:id="848" w:name="_Toc296346658"/>
      <w:bookmarkStart w:id="849" w:name="_Toc297048343"/>
      <w:bookmarkStart w:id="850" w:name="_Toc292559362"/>
      <w:bookmarkStart w:id="851" w:name="_Toc292559867"/>
      <w:bookmarkStart w:id="852" w:name="_Toc296347156"/>
      <w:r>
        <w:rPr>
          <w:rFonts w:hint="eastAsia" w:ascii="微软雅黑" w:hAnsi="微软雅黑" w:eastAsia="微软雅黑" w:cs="微软雅黑"/>
          <w:color w:val="auto"/>
          <w:kern w:val="0"/>
          <w:sz w:val="24"/>
          <w:szCs w:val="24"/>
          <w:highlight w:val="none"/>
        </w:rPr>
        <w:t>. 发包人</w:t>
      </w:r>
      <w:bookmarkEnd w:id="842"/>
    </w:p>
    <w:bookmarkEnd w:id="843"/>
    <w:bookmarkEnd w:id="844"/>
    <w:bookmarkEnd w:id="845"/>
    <w:bookmarkEnd w:id="846"/>
    <w:bookmarkEnd w:id="847"/>
    <w:bookmarkEnd w:id="848"/>
    <w:bookmarkEnd w:id="849"/>
    <w:bookmarkEnd w:id="850"/>
    <w:bookmarkEnd w:id="851"/>
    <w:bookmarkEnd w:id="852"/>
    <w:p w14:paraId="5BED849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2.2 发包人代表</w:t>
      </w:r>
    </w:p>
    <w:p w14:paraId="4CC4E4F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发包人代表：</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D11DD6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姓    名：</w:t>
      </w:r>
      <w:r>
        <w:rPr>
          <w:rFonts w:hint="eastAsia" w:ascii="微软雅黑" w:hAnsi="微软雅黑" w:eastAsia="微软雅黑" w:cs="微软雅黑"/>
          <w:color w:val="auto"/>
          <w:kern w:val="0"/>
          <w:sz w:val="24"/>
          <w:szCs w:val="24"/>
          <w:highlight w:val="none"/>
          <w:u w:val="single"/>
        </w:rPr>
        <w:t>           </w:t>
      </w:r>
      <w:r>
        <w:rPr>
          <w:rFonts w:hint="eastAsia" w:ascii="微软雅黑" w:hAnsi="微软雅黑" w:eastAsia="微软雅黑" w:cs="微软雅黑"/>
          <w:color w:val="auto"/>
          <w:kern w:val="0"/>
          <w:sz w:val="24"/>
          <w:szCs w:val="24"/>
          <w:highlight w:val="none"/>
        </w:rPr>
        <w:t>；</w:t>
      </w:r>
    </w:p>
    <w:p w14:paraId="429B4CC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身份证号</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                     </w:t>
      </w:r>
      <w:r>
        <w:rPr>
          <w:rFonts w:hint="eastAsia" w:ascii="微软雅黑" w:hAnsi="微软雅黑" w:eastAsia="微软雅黑" w:cs="微软雅黑"/>
          <w:color w:val="auto"/>
          <w:sz w:val="24"/>
          <w:szCs w:val="24"/>
          <w:highlight w:val="none"/>
        </w:rPr>
        <w:t>；</w:t>
      </w:r>
    </w:p>
    <w:p w14:paraId="7022501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职    务：</w:t>
      </w:r>
      <w:r>
        <w:rPr>
          <w:rFonts w:hint="eastAsia" w:ascii="微软雅黑" w:hAnsi="微软雅黑" w:eastAsia="微软雅黑" w:cs="微软雅黑"/>
          <w:color w:val="auto"/>
          <w:sz w:val="24"/>
          <w:szCs w:val="24"/>
          <w:highlight w:val="none"/>
          <w:u w:val="single"/>
        </w:rPr>
        <w:t>               </w:t>
      </w:r>
      <w:r>
        <w:rPr>
          <w:rFonts w:hint="eastAsia" w:ascii="微软雅黑" w:hAnsi="微软雅黑" w:eastAsia="微软雅黑" w:cs="微软雅黑"/>
          <w:color w:val="auto"/>
          <w:sz w:val="24"/>
          <w:szCs w:val="24"/>
          <w:highlight w:val="none"/>
        </w:rPr>
        <w:t>；</w:t>
      </w:r>
    </w:p>
    <w:p w14:paraId="76D60C6D">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   </w:t>
      </w:r>
      <w:r>
        <w:rPr>
          <w:rFonts w:hint="eastAsia" w:ascii="微软雅黑" w:hAnsi="微软雅黑" w:eastAsia="微软雅黑" w:cs="微软雅黑"/>
          <w:color w:val="auto"/>
          <w:sz w:val="24"/>
          <w:szCs w:val="24"/>
          <w:highlight w:val="none"/>
        </w:rPr>
        <w:t>；</w:t>
      </w:r>
    </w:p>
    <w:p w14:paraId="0769C2D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   </w:t>
      </w:r>
      <w:r>
        <w:rPr>
          <w:rFonts w:hint="eastAsia" w:ascii="微软雅黑" w:hAnsi="微软雅黑" w:eastAsia="微软雅黑" w:cs="微软雅黑"/>
          <w:color w:val="auto"/>
          <w:sz w:val="24"/>
          <w:szCs w:val="24"/>
          <w:highlight w:val="none"/>
        </w:rPr>
        <w:t>；</w:t>
      </w:r>
    </w:p>
    <w:p w14:paraId="4EF2CED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通信地址：</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5C58126A">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发包人对发包人代表的授权范围如下：</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9F5C141">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 施工现场、施工条件和基础资料的提供</w:t>
      </w:r>
    </w:p>
    <w:p w14:paraId="5ECBB528">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2.4.1 提供施工现场</w:t>
      </w:r>
    </w:p>
    <w:p w14:paraId="57B9019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关于发包人移交施工现场的期限要求：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6FDA1F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2.4.2 提供施工条件</w:t>
      </w:r>
    </w:p>
    <w:p w14:paraId="69F5C2C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关于发包人应负责提供施工所需要的条件，包括：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708C747">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 资金来源证明及支付担保</w:t>
      </w:r>
    </w:p>
    <w:p w14:paraId="14CE04D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发包人提供资金来源证明的期限要求：</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p>
    <w:p w14:paraId="4DC5E3C8">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发包人是否提供支付担保：</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71D1D2F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发包人提供支付担保的形式：</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50FE0E0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853" w:name="_Toc351203635"/>
      <w:r>
        <w:rPr>
          <w:rFonts w:hint="eastAsia" w:ascii="微软雅黑" w:hAnsi="微软雅黑" w:eastAsia="微软雅黑" w:cs="微软雅黑"/>
          <w:color w:val="auto"/>
          <w:sz w:val="24"/>
          <w:szCs w:val="24"/>
          <w:highlight w:val="none"/>
        </w:rPr>
        <w:t>3</w:t>
      </w:r>
      <w:bookmarkStart w:id="854" w:name="_Toc292559868"/>
      <w:bookmarkStart w:id="855" w:name="_Toc297120458"/>
      <w:bookmarkStart w:id="856" w:name="_Toc296891198"/>
      <w:bookmarkStart w:id="857" w:name="_Toc296944497"/>
      <w:bookmarkStart w:id="858" w:name="_Toc297048344"/>
      <w:bookmarkStart w:id="859" w:name="_Toc296346659"/>
      <w:bookmarkStart w:id="860" w:name="_Toc296347157"/>
      <w:bookmarkStart w:id="861" w:name="_Toc292559363"/>
      <w:bookmarkStart w:id="862" w:name="_Toc296503158"/>
      <w:bookmarkStart w:id="863" w:name="_Toc296890986"/>
      <w:r>
        <w:rPr>
          <w:rFonts w:hint="eastAsia" w:ascii="微软雅黑" w:hAnsi="微软雅黑" w:eastAsia="微软雅黑" w:cs="微软雅黑"/>
          <w:color w:val="auto"/>
          <w:sz w:val="24"/>
          <w:szCs w:val="24"/>
          <w:highlight w:val="none"/>
        </w:rPr>
        <w:t>. 承包人</w:t>
      </w:r>
      <w:bookmarkEnd w:id="853"/>
    </w:p>
    <w:bookmarkEnd w:id="854"/>
    <w:bookmarkEnd w:id="855"/>
    <w:bookmarkEnd w:id="856"/>
    <w:bookmarkEnd w:id="857"/>
    <w:bookmarkEnd w:id="858"/>
    <w:bookmarkEnd w:id="859"/>
    <w:bookmarkEnd w:id="860"/>
    <w:bookmarkEnd w:id="861"/>
    <w:bookmarkEnd w:id="862"/>
    <w:bookmarkEnd w:id="863"/>
    <w:p w14:paraId="20649BC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 承包人的一般义务</w:t>
      </w:r>
    </w:p>
    <w:p w14:paraId="5A588D1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（5）</w:t>
      </w:r>
      <w:r>
        <w:rPr>
          <w:rFonts w:hint="eastAsia" w:ascii="微软雅黑" w:hAnsi="微软雅黑" w:eastAsia="微软雅黑" w:cs="微软雅黑"/>
          <w:color w:val="auto"/>
          <w:sz w:val="24"/>
          <w:szCs w:val="24"/>
          <w:highlight w:val="none"/>
        </w:rPr>
        <w:t>承包人提交的竣工资料的内容：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11C39E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承包人需要提交的竣工资料套数：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E7AE469">
      <w:pPr>
        <w:keepLines w:val="0"/>
        <w:pageBreakBefore w:val="0"/>
        <w:kinsoku/>
        <w:wordWrap/>
        <w:overflowPunct/>
        <w:topLinePunct w:val="0"/>
        <w:bidi w:val="0"/>
        <w:adjustRightInd w:val="0"/>
        <w:snapToGrid w:val="0"/>
        <w:spacing w:line="520" w:lineRule="exact"/>
        <w:ind w:left="638" w:leftChars="304"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承包人提交的竣工资料的费用承担：</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A776319">
      <w:pPr>
        <w:keepLines w:val="0"/>
        <w:pageBreakBefore w:val="0"/>
        <w:kinsoku/>
        <w:wordWrap/>
        <w:overflowPunct/>
        <w:topLinePunct w:val="0"/>
        <w:bidi w:val="0"/>
        <w:adjustRightInd w:val="0"/>
        <w:snapToGrid w:val="0"/>
        <w:spacing w:line="520" w:lineRule="exact"/>
        <w:ind w:left="638" w:leftChars="304"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承包人提交的竣工资料移交时间：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10456B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承包人提交的竣工资料形式要求：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091DB3C">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（6）承包人应履行的其他义务：</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78B00146">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p>
    <w:p w14:paraId="1C07D0FF">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 项目经理</w:t>
      </w:r>
    </w:p>
    <w:p w14:paraId="6BDDC1A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 xml:space="preserve">3.2.1 </w:t>
      </w:r>
      <w:r>
        <w:rPr>
          <w:rFonts w:hint="eastAsia" w:ascii="微软雅黑" w:hAnsi="微软雅黑" w:eastAsia="微软雅黑" w:cs="微软雅黑"/>
          <w:color w:val="auto"/>
          <w:sz w:val="24"/>
          <w:szCs w:val="24"/>
          <w:highlight w:val="none"/>
        </w:rPr>
        <w:t>项目经理：</w:t>
      </w:r>
    </w:p>
    <w:p w14:paraId="585A6F1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姓    名：</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04B65D3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身份证号：</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1CB76AF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建造师执业资格等级：</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23C4377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建造师注册证书号：</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3EED6B2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建造师执业印章号：</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201C7910">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安全生产考核合格证书号：</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003CE7C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037A7DB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02D43B0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通信地址：</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41F085B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承包人对项目经理的授权范围如下：</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B99819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关于项目经理每月在施工现场的时间要求：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54C230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承包人未提交劳动合同，以及没有为项目经理缴纳社会保险证明的违约责任：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7650B8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kern w:val="0"/>
          <w:sz w:val="24"/>
          <w:szCs w:val="24"/>
          <w:highlight w:val="none"/>
        </w:rPr>
        <w:t>项目经理未经批准，擅自离开施工现场的违约责任：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D2C991D">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3.2.3 承包人擅自更换项目经理的违约责任：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497FC10">
      <w:pPr>
        <w:keepLines w:val="0"/>
        <w:pageBreakBefore w:val="0"/>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3.2.4 承包人无正当理由拒绝更换项目经理的违约责任：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53088F8">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 承包人人员</w:t>
      </w:r>
    </w:p>
    <w:p w14:paraId="5A3F280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3.3.1 承包人提交项目管理机构及施工现场管理人员安排报告的期限：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A465C9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3.3.3 承包人无正当理由拒绝撤换主要施工管理人员的违约责任：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0BD00DE">
      <w:pPr>
        <w:keepLines w:val="0"/>
        <w:pageBreakBefore w:val="0"/>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 xml:space="preserve">    3.3.4 承包人主要施工管理人员离开施工现场的批准要求：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B4646C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3.3.5承包人擅自更换主要施工管理人员的违约责任：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B65E1EA">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承包人主要施工管理人员擅自离开施工现场的违约责任：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D18517B">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bookmarkStart w:id="864" w:name="_Toc312677988"/>
      <w:bookmarkStart w:id="865" w:name="_Toc296890987"/>
      <w:bookmarkStart w:id="866" w:name="_Toc292559869"/>
      <w:bookmarkStart w:id="867" w:name="_Toc303539102"/>
      <w:bookmarkStart w:id="868" w:name="_Toc292559364"/>
      <w:bookmarkStart w:id="869" w:name="_Toc296346660"/>
      <w:bookmarkStart w:id="870" w:name="_Toc296891199"/>
      <w:bookmarkStart w:id="871" w:name="_Toc297216151"/>
      <w:bookmarkStart w:id="872" w:name="_Toc297123492"/>
      <w:bookmarkStart w:id="873" w:name="_Toc297120459"/>
      <w:bookmarkStart w:id="874" w:name="_Toc296347158"/>
      <w:bookmarkStart w:id="875" w:name="_Toc296944498"/>
      <w:bookmarkStart w:id="876" w:name="_Toc304295523"/>
      <w:bookmarkStart w:id="877" w:name="_Toc300934945"/>
      <w:bookmarkStart w:id="878" w:name="_Toc297048345"/>
      <w:bookmarkStart w:id="879" w:name="_Toc296503159"/>
      <w:r>
        <w:rPr>
          <w:rFonts w:hint="eastAsia" w:ascii="微软雅黑" w:hAnsi="微软雅黑" w:eastAsia="微软雅黑" w:cs="微软雅黑"/>
          <w:color w:val="auto"/>
          <w:sz w:val="24"/>
          <w:szCs w:val="24"/>
          <w:highlight w:val="none"/>
        </w:rPr>
        <w:t>.5 分包</w:t>
      </w:r>
    </w:p>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14:paraId="13A36FB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bookmarkStart w:id="880" w:name="_Toc296890988"/>
      <w:bookmarkStart w:id="881" w:name="_Toc296347159"/>
      <w:bookmarkStart w:id="882" w:name="_Toc300934946"/>
      <w:bookmarkStart w:id="883" w:name="_Toc292559365"/>
      <w:bookmarkStart w:id="884" w:name="_Toc297123493"/>
      <w:bookmarkStart w:id="885" w:name="_Toc296346661"/>
      <w:bookmarkStart w:id="886" w:name="_Toc297120460"/>
      <w:bookmarkStart w:id="887" w:name="_Toc304295524"/>
      <w:bookmarkStart w:id="888" w:name="_Toc292559870"/>
      <w:bookmarkStart w:id="889" w:name="_Toc297048346"/>
      <w:bookmarkStart w:id="890" w:name="_Toc296944499"/>
      <w:bookmarkStart w:id="891" w:name="_Toc303539103"/>
      <w:bookmarkStart w:id="892" w:name="_Toc296891200"/>
      <w:bookmarkStart w:id="893" w:name="_Toc296503160"/>
      <w:bookmarkStart w:id="894" w:name="_Toc297216152"/>
      <w:bookmarkStart w:id="895" w:name="_Toc318581158"/>
      <w:bookmarkStart w:id="896" w:name="_Toc312677989"/>
      <w:r>
        <w:rPr>
          <w:rFonts w:hint="eastAsia" w:ascii="微软雅黑" w:hAnsi="微软雅黑" w:eastAsia="微软雅黑" w:cs="微软雅黑"/>
          <w:color w:val="auto"/>
          <w:sz w:val="24"/>
          <w:szCs w:val="24"/>
          <w:highlight w:val="none"/>
        </w:rPr>
        <w:t>.5.1 分包的一般约定</w:t>
      </w:r>
    </w:p>
    <w:p w14:paraId="52AB9BB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禁止分包的工程包括：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968154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主体结构、关键性工作的范围：</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Start w:id="897" w:name="_Toc297048347"/>
      <w:bookmarkStart w:id="898" w:name="_Toc296347160"/>
      <w:bookmarkStart w:id="899" w:name="_Toc303539104"/>
      <w:bookmarkStart w:id="900" w:name="_Toc296346662"/>
      <w:bookmarkStart w:id="901" w:name="_Toc296503161"/>
      <w:bookmarkStart w:id="902" w:name="_Toc296891201"/>
      <w:bookmarkStart w:id="903" w:name="_Toc296944500"/>
      <w:bookmarkStart w:id="904" w:name="_Toc297123494"/>
      <w:bookmarkStart w:id="905" w:name="_Toc297120461"/>
      <w:bookmarkStart w:id="906" w:name="_Toc297216153"/>
      <w:bookmarkStart w:id="907" w:name="_Toc300934947"/>
      <w:bookmarkStart w:id="908" w:name="_Toc304295525"/>
      <w:bookmarkStart w:id="909" w:name="_Toc296890989"/>
    </w:p>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14:paraId="107782F7">
      <w:pPr>
        <w:keepLines w:val="0"/>
        <w:pageBreakBefore w:val="0"/>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3</w:t>
      </w:r>
      <w:bookmarkStart w:id="910" w:name="_Toc318581159"/>
      <w:bookmarkStart w:id="911" w:name="_Toc312677990"/>
      <w:r>
        <w:rPr>
          <w:rFonts w:hint="eastAsia" w:ascii="微软雅黑" w:hAnsi="微软雅黑" w:eastAsia="微软雅黑" w:cs="微软雅黑"/>
          <w:color w:val="auto"/>
          <w:sz w:val="24"/>
          <w:szCs w:val="24"/>
          <w:highlight w:val="none"/>
        </w:rPr>
        <w:t>.5.2分包的确定</w:t>
      </w:r>
    </w:p>
    <w:p w14:paraId="6136E2D9">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允许分包的专业工程包括：</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w:t>
      </w:r>
    </w:p>
    <w:p w14:paraId="5BBAC4A0">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其他关于分包的约定：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2668122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3.5.4 分包合同价款</w:t>
      </w:r>
    </w:p>
    <w:p w14:paraId="17FA356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关于分包合同价款支付的约定：</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w:t>
      </w:r>
    </w:p>
    <w:bookmarkEnd w:id="910"/>
    <w:bookmarkEnd w:id="911"/>
    <w:p w14:paraId="170BAAC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 工程照管与成品、半成品保护</w:t>
      </w:r>
    </w:p>
    <w:p w14:paraId="1D99B61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承包人负责照管工程及工程相关的材料、工程设备的起始时间：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CD850D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3.7 履约担保</w:t>
      </w:r>
    </w:p>
    <w:p w14:paraId="54B9B05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承包人是否提供履约担保：</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w:t>
      </w:r>
    </w:p>
    <w:p w14:paraId="04521FC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承包人提供履约担保的形式、金额及期限的：</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w:t>
      </w:r>
    </w:p>
    <w:p w14:paraId="0EF6FDCD">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912" w:name="_Toc351203636"/>
      <w:r>
        <w:rPr>
          <w:rFonts w:hint="eastAsia" w:ascii="微软雅黑" w:hAnsi="微软雅黑" w:eastAsia="微软雅黑" w:cs="微软雅黑"/>
          <w:b w:val="0"/>
          <w:color w:val="auto"/>
          <w:sz w:val="24"/>
          <w:szCs w:val="24"/>
          <w:highlight w:val="none"/>
        </w:rPr>
        <w:t>4</w:t>
      </w:r>
      <w:bookmarkStart w:id="913" w:name="_Toc296891202"/>
      <w:bookmarkStart w:id="914" w:name="_Toc296346663"/>
      <w:bookmarkStart w:id="915" w:name="_Toc267251413"/>
      <w:bookmarkStart w:id="916" w:name="_Toc297120462"/>
      <w:bookmarkStart w:id="917" w:name="_Toc296944501"/>
      <w:bookmarkStart w:id="918" w:name="_Toc297048348"/>
      <w:bookmarkStart w:id="919" w:name="_Toc296347161"/>
      <w:bookmarkStart w:id="920" w:name="_Toc292559366"/>
      <w:bookmarkStart w:id="921" w:name="_Toc296890990"/>
      <w:bookmarkStart w:id="922" w:name="_Toc296503162"/>
      <w:bookmarkStart w:id="923" w:name="_Toc292559871"/>
      <w:r>
        <w:rPr>
          <w:rFonts w:hint="eastAsia" w:ascii="微软雅黑" w:hAnsi="微软雅黑" w:eastAsia="微软雅黑" w:cs="微软雅黑"/>
          <w:b w:val="0"/>
          <w:color w:val="auto"/>
          <w:sz w:val="24"/>
          <w:szCs w:val="24"/>
          <w:highlight w:val="none"/>
        </w:rPr>
        <w:t>. 监</w:t>
      </w:r>
      <w:bookmarkEnd w:id="913"/>
      <w:bookmarkEnd w:id="914"/>
      <w:bookmarkEnd w:id="915"/>
      <w:bookmarkEnd w:id="916"/>
      <w:bookmarkEnd w:id="917"/>
      <w:bookmarkEnd w:id="918"/>
      <w:bookmarkEnd w:id="919"/>
      <w:bookmarkEnd w:id="920"/>
      <w:bookmarkEnd w:id="921"/>
      <w:bookmarkEnd w:id="922"/>
      <w:bookmarkEnd w:id="923"/>
      <w:r>
        <w:rPr>
          <w:rFonts w:hint="eastAsia" w:ascii="微软雅黑" w:hAnsi="微软雅黑" w:eastAsia="微软雅黑" w:cs="微软雅黑"/>
          <w:b w:val="0"/>
          <w:color w:val="auto"/>
          <w:sz w:val="24"/>
          <w:szCs w:val="24"/>
          <w:highlight w:val="none"/>
        </w:rPr>
        <w:t>理人</w:t>
      </w:r>
      <w:bookmarkEnd w:id="912"/>
    </w:p>
    <w:p w14:paraId="40B963BF">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4.1监理人的一般规定</w:t>
      </w:r>
    </w:p>
    <w:p w14:paraId="577A1D6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关于监理人的监理内容：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E0513F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关于监理人的监理权限：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61F0859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关于监理人在施工现场的办公场所、生活场所的提供和费用承担的约定：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EEEF7B4">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4.2 监理人员</w:t>
      </w:r>
    </w:p>
    <w:p w14:paraId="5D2D9D08">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总监理工程师：</w:t>
      </w:r>
    </w:p>
    <w:p w14:paraId="736068D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姓    名：</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2E918299">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职    务：</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1813350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监理工程师执业资格证书号：</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w:t>
      </w:r>
    </w:p>
    <w:p w14:paraId="7A81D6B5">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221BA31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3D59193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通信地址：</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4E20DE58">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关于监理人的其他约定：</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69A7ED7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4.4 商定或确定</w:t>
      </w:r>
    </w:p>
    <w:p w14:paraId="2F66511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924" w:name="_Toc267251418"/>
      <w:r>
        <w:rPr>
          <w:rFonts w:hint="eastAsia" w:ascii="微软雅黑" w:hAnsi="微软雅黑" w:eastAsia="微软雅黑" w:cs="微软雅黑"/>
          <w:color w:val="auto"/>
          <w:sz w:val="24"/>
          <w:szCs w:val="24"/>
          <w:highlight w:val="none"/>
        </w:rPr>
        <w:t>在发包人和承包人不能通过协商达成一致意见时，发包人授权监理人对以下事项进行确定：</w:t>
      </w:r>
    </w:p>
    <w:p w14:paraId="2B805439">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C4D00BA">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2AE3B2EA">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1E0C9C8F">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925" w:name="_Toc351203637"/>
      <w:r>
        <w:rPr>
          <w:rFonts w:hint="eastAsia" w:ascii="微软雅黑" w:hAnsi="微软雅黑" w:eastAsia="微软雅黑" w:cs="微软雅黑"/>
          <w:b w:val="0"/>
          <w:color w:val="auto"/>
          <w:sz w:val="24"/>
          <w:szCs w:val="24"/>
          <w:highlight w:val="none"/>
        </w:rPr>
        <w:t>5</w:t>
      </w:r>
      <w:bookmarkEnd w:id="924"/>
      <w:bookmarkStart w:id="926" w:name="_Toc296503163"/>
      <w:bookmarkStart w:id="927" w:name="_Toc292559872"/>
      <w:bookmarkStart w:id="928" w:name="_Toc297120463"/>
      <w:bookmarkStart w:id="929" w:name="_Toc296891203"/>
      <w:bookmarkStart w:id="930" w:name="_Toc292559367"/>
      <w:bookmarkStart w:id="931" w:name="_Toc296346664"/>
      <w:bookmarkStart w:id="932" w:name="_Toc296890991"/>
      <w:bookmarkStart w:id="933" w:name="_Toc296347162"/>
      <w:bookmarkStart w:id="934" w:name="_Toc296944502"/>
      <w:bookmarkStart w:id="935" w:name="_Toc297048349"/>
      <w:r>
        <w:rPr>
          <w:rFonts w:hint="eastAsia" w:ascii="微软雅黑" w:hAnsi="微软雅黑" w:eastAsia="微软雅黑" w:cs="微软雅黑"/>
          <w:b w:val="0"/>
          <w:color w:val="auto"/>
          <w:sz w:val="24"/>
          <w:szCs w:val="24"/>
          <w:highlight w:val="none"/>
        </w:rPr>
        <w:t>. 工程质量</w:t>
      </w:r>
      <w:bookmarkEnd w:id="925"/>
    </w:p>
    <w:p w14:paraId="523C310E">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5.1 质量要求</w:t>
      </w:r>
    </w:p>
    <w:p w14:paraId="4368384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w:t>
      </w:r>
      <w:bookmarkStart w:id="936" w:name="_Toc312677997"/>
      <w:bookmarkStart w:id="937" w:name="_Toc297216155"/>
      <w:bookmarkStart w:id="938" w:name="_Toc304295527"/>
      <w:bookmarkStart w:id="939" w:name="_Toc300934949"/>
      <w:bookmarkStart w:id="940" w:name="_Toc297123496"/>
      <w:bookmarkStart w:id="941" w:name="_Toc303539106"/>
      <w:bookmarkStart w:id="942" w:name="_Toc318581164"/>
      <w:r>
        <w:rPr>
          <w:rFonts w:hint="eastAsia" w:ascii="微软雅黑" w:hAnsi="微软雅黑" w:eastAsia="微软雅黑" w:cs="微软雅黑"/>
          <w:color w:val="auto"/>
          <w:sz w:val="24"/>
          <w:szCs w:val="24"/>
          <w:highlight w:val="none"/>
        </w:rPr>
        <w:t>.1.1 特殊质量标准和要求：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D46E95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关于工程奖项的约定：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350068F7">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5.3 隐蔽工程检查</w:t>
      </w:r>
    </w:p>
    <w:p w14:paraId="11E21B5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5.3.2承包人提前通知监理人隐蔽工程检查的期限的约定：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5CE631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监理人不能按时进行检查时，应提前</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小时提交书面延期要求。</w:t>
      </w:r>
    </w:p>
    <w:p w14:paraId="6F4F372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关于延期最长不得超过：</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小时。</w:t>
      </w:r>
    </w:p>
    <w:p w14:paraId="79F44909">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943" w:name="_Toc351203638"/>
      <w:r>
        <w:rPr>
          <w:rFonts w:hint="eastAsia" w:ascii="微软雅黑" w:hAnsi="微软雅黑" w:eastAsia="微软雅黑" w:cs="微软雅黑"/>
          <w:b w:val="0"/>
          <w:color w:val="auto"/>
          <w:sz w:val="24"/>
          <w:szCs w:val="24"/>
          <w:highlight w:val="none"/>
        </w:rPr>
        <w:t>6. 安全文明施工与环境保护</w:t>
      </w:r>
      <w:bookmarkEnd w:id="943"/>
    </w:p>
    <w:p w14:paraId="1B5656E2">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6.1安全文明施工</w:t>
      </w:r>
    </w:p>
    <w:p w14:paraId="01CD2C6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6.1.1 项目安全生产的达标目标及相应事项的约定：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9DBCB7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6.1.4 关于治安保卫的特别约定：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51CA86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关于编制施工场地治安管理计划的约定：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EFBDCE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6.1.5 文明施工</w:t>
      </w:r>
    </w:p>
    <w:p w14:paraId="30E3667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合同当事人对文明施工的要求：</w:t>
      </w:r>
      <w:r>
        <w:rPr>
          <w:rFonts w:hint="eastAsia" w:ascii="微软雅黑" w:hAnsi="微软雅黑" w:eastAsia="微软雅黑" w:cs="微软雅黑"/>
          <w:color w:val="auto"/>
          <w:kern w:val="0"/>
          <w:sz w:val="24"/>
          <w:szCs w:val="24"/>
          <w:highlight w:val="none"/>
          <w:u w:val="single"/>
        </w:rPr>
        <w:t xml:space="preserve">            。</w:t>
      </w:r>
    </w:p>
    <w:p w14:paraId="05705C1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6.1.6 关于安全文明施工费支付比例和支付期限的约定：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bookmarkEnd w:id="936"/>
    <w:bookmarkEnd w:id="937"/>
    <w:bookmarkEnd w:id="938"/>
    <w:bookmarkEnd w:id="939"/>
    <w:bookmarkEnd w:id="940"/>
    <w:bookmarkEnd w:id="941"/>
    <w:bookmarkEnd w:id="942"/>
    <w:p w14:paraId="6099D1A1">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944" w:name="_Toc351203639"/>
      <w:r>
        <w:rPr>
          <w:rFonts w:hint="eastAsia" w:ascii="微软雅黑" w:hAnsi="微软雅黑" w:eastAsia="微软雅黑" w:cs="微软雅黑"/>
          <w:b w:val="0"/>
          <w:color w:val="auto"/>
          <w:sz w:val="24"/>
          <w:szCs w:val="24"/>
          <w:highlight w:val="none"/>
        </w:rPr>
        <w:t>7. 工期和进度</w:t>
      </w:r>
      <w:bookmarkEnd w:id="944"/>
    </w:p>
    <w:p w14:paraId="6DE827D4">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7.1 施工组织设计</w:t>
      </w:r>
    </w:p>
    <w:p w14:paraId="0F782D4F">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7.1.1 合</w:t>
      </w:r>
      <w:r>
        <w:rPr>
          <w:rFonts w:hint="eastAsia" w:ascii="微软雅黑" w:hAnsi="微软雅黑" w:eastAsia="微软雅黑" w:cs="微软雅黑"/>
          <w:color w:val="auto"/>
          <w:kern w:val="0"/>
          <w:sz w:val="24"/>
          <w:szCs w:val="24"/>
          <w:highlight w:val="none"/>
        </w:rPr>
        <w:t>同当事人约定的施工组织设计应包括的其他内容：</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71F2139">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 xml:space="preserve">7.1.2 </w:t>
      </w:r>
      <w:r>
        <w:rPr>
          <w:rFonts w:hint="eastAsia" w:ascii="微软雅黑" w:hAnsi="微软雅黑" w:eastAsia="微软雅黑" w:cs="微软雅黑"/>
          <w:color w:val="auto"/>
          <w:kern w:val="0"/>
          <w:sz w:val="24"/>
          <w:szCs w:val="24"/>
          <w:highlight w:val="none"/>
        </w:rPr>
        <w:t>施工组织设计的提交和修改</w:t>
      </w:r>
    </w:p>
    <w:p w14:paraId="249F6590">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承包人提交详细施工组织设计的期限的约定：</w:t>
      </w:r>
      <w:r>
        <w:rPr>
          <w:rFonts w:hint="eastAsia" w:ascii="微软雅黑" w:hAnsi="微软雅黑" w:eastAsia="微软雅黑" w:cs="微软雅黑"/>
          <w:color w:val="auto"/>
          <w:sz w:val="24"/>
          <w:szCs w:val="24"/>
          <w:highlight w:val="none"/>
          <w:u w:val="single"/>
        </w:rPr>
        <w:t xml:space="preserve">                     。</w:t>
      </w:r>
    </w:p>
    <w:p w14:paraId="5CCB228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发包人和监理人在收到详细的施工组织设计后确认或提出修改意见的期限：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67AA6C5">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bookmarkStart w:id="945" w:name="_Toc297216173"/>
      <w:bookmarkStart w:id="946" w:name="_Toc300934966"/>
      <w:bookmarkStart w:id="947" w:name="_Toc303539123"/>
      <w:bookmarkStart w:id="948" w:name="_Toc312677479"/>
      <w:bookmarkStart w:id="949" w:name="_Toc304295541"/>
      <w:bookmarkStart w:id="950" w:name="_Toc297123514"/>
      <w:bookmarkStart w:id="951" w:name="_Toc312678005"/>
      <w:r>
        <w:rPr>
          <w:rFonts w:hint="eastAsia" w:ascii="微软雅黑" w:hAnsi="微软雅黑" w:eastAsia="微软雅黑" w:cs="微软雅黑"/>
          <w:color w:val="auto"/>
          <w:sz w:val="24"/>
          <w:szCs w:val="24"/>
          <w:highlight w:val="none"/>
        </w:rPr>
        <w:t>.2 施工进度计划</w:t>
      </w:r>
    </w:p>
    <w:p w14:paraId="2BDAC11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7.2.2 施工进度计划的修订</w:t>
      </w:r>
    </w:p>
    <w:p w14:paraId="167ED00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发包人和监理人在收到修订的施工进度计划后确认或提出修改意见的期限：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7BDD70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7.3 开工</w:t>
      </w:r>
    </w:p>
    <w:p w14:paraId="0449AE3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7.3.1 开工准备</w:t>
      </w:r>
    </w:p>
    <w:p w14:paraId="3ADD8129">
      <w:pPr>
        <w:keepLines w:val="0"/>
        <w:pageBreakBefore w:val="0"/>
        <w:kinsoku/>
        <w:wordWrap/>
        <w:overflowPunct/>
        <w:topLinePunct w:val="0"/>
        <w:bidi w:val="0"/>
        <w:adjustRightInd w:val="0"/>
        <w:snapToGrid w:val="0"/>
        <w:spacing w:line="520" w:lineRule="exact"/>
        <w:ind w:right="-19" w:rightChars="-9" w:firstLine="645"/>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关于承包人提交</w:t>
      </w:r>
      <w:r>
        <w:rPr>
          <w:rFonts w:hint="eastAsia" w:ascii="微软雅黑" w:hAnsi="微软雅黑" w:eastAsia="微软雅黑" w:cs="微软雅黑"/>
          <w:color w:val="auto"/>
          <w:kern w:val="0"/>
          <w:sz w:val="24"/>
          <w:szCs w:val="24"/>
          <w:highlight w:val="none"/>
        </w:rPr>
        <w:t>工程开工报审表的期限：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E2D30F2">
      <w:pPr>
        <w:keepLines w:val="0"/>
        <w:pageBreakBefore w:val="0"/>
        <w:kinsoku/>
        <w:wordWrap/>
        <w:overflowPunct/>
        <w:topLinePunct w:val="0"/>
        <w:bidi w:val="0"/>
        <w:adjustRightInd w:val="0"/>
        <w:snapToGrid w:val="0"/>
        <w:spacing w:line="520" w:lineRule="exact"/>
        <w:ind w:right="-19" w:rightChars="-9" w:firstLine="645"/>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关于发包人应完成的其他开工准备工作及期限：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C7BA4A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关于承包人应完成的其他开工准备工作及期限：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6D41CA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7.3.2开工通知</w:t>
      </w:r>
    </w:p>
    <w:p w14:paraId="7DF75A0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因发包人原因造成监理人未能在计划开工日期之日起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天内发出开工通知的，承包人有权提出价格调整要求，或者解除合同。</w:t>
      </w:r>
    </w:p>
    <w:bookmarkEnd w:id="945"/>
    <w:bookmarkEnd w:id="946"/>
    <w:bookmarkEnd w:id="947"/>
    <w:bookmarkEnd w:id="948"/>
    <w:bookmarkEnd w:id="949"/>
    <w:bookmarkEnd w:id="950"/>
    <w:bookmarkEnd w:id="951"/>
    <w:p w14:paraId="128E7EF2">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7.4 测量放线</w:t>
      </w:r>
    </w:p>
    <w:p w14:paraId="57C2B89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7.4.1发包人通过监理人向承包人提供测量基准点、基准线和水准点及其书面资料的期限：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C156796">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bookmarkStart w:id="952" w:name="_Toc303539125"/>
      <w:bookmarkStart w:id="953" w:name="_Toc312677484"/>
      <w:bookmarkStart w:id="954" w:name="_Toc297216175"/>
      <w:bookmarkStart w:id="955" w:name="_Toc300934968"/>
      <w:bookmarkStart w:id="956" w:name="_Toc297123516"/>
      <w:bookmarkStart w:id="957" w:name="_Toc304295546"/>
      <w:bookmarkStart w:id="958" w:name="_Toc312678010"/>
      <w:r>
        <w:rPr>
          <w:rFonts w:hint="eastAsia" w:ascii="微软雅黑" w:hAnsi="微软雅黑" w:eastAsia="微软雅黑" w:cs="微软雅黑"/>
          <w:color w:val="auto"/>
          <w:sz w:val="24"/>
          <w:szCs w:val="24"/>
          <w:highlight w:val="none"/>
        </w:rPr>
        <w:t>.5 工期延误</w:t>
      </w:r>
    </w:p>
    <w:bookmarkEnd w:id="952"/>
    <w:bookmarkEnd w:id="953"/>
    <w:bookmarkEnd w:id="954"/>
    <w:bookmarkEnd w:id="955"/>
    <w:bookmarkEnd w:id="956"/>
    <w:bookmarkEnd w:id="957"/>
    <w:bookmarkEnd w:id="958"/>
    <w:p w14:paraId="1AF513B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7.5.1 因发包人原因导致工期延误</w:t>
      </w:r>
    </w:p>
    <w:p w14:paraId="70847A7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（7）因发包人原因导致工期延误的其他情形：</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1D922EF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bookmarkStart w:id="959" w:name="_Toc318581169"/>
      <w:bookmarkStart w:id="960" w:name="_Toc312677486"/>
      <w:bookmarkStart w:id="961" w:name="_Toc312678012"/>
      <w:bookmarkStart w:id="962" w:name="_Toc303539127"/>
      <w:bookmarkStart w:id="963" w:name="_Toc304295548"/>
      <w:bookmarkStart w:id="964" w:name="_Toc297216177"/>
      <w:bookmarkStart w:id="965" w:name="_Toc300934970"/>
      <w:bookmarkStart w:id="966" w:name="_Toc297123518"/>
      <w:r>
        <w:rPr>
          <w:rFonts w:hint="eastAsia" w:ascii="微软雅黑" w:hAnsi="微软雅黑" w:eastAsia="微软雅黑" w:cs="微软雅黑"/>
          <w:color w:val="auto"/>
          <w:sz w:val="24"/>
          <w:szCs w:val="24"/>
          <w:highlight w:val="none"/>
        </w:rPr>
        <w:t>.5.2 因承包人原因导致工期延误</w:t>
      </w:r>
    </w:p>
    <w:bookmarkEnd w:id="959"/>
    <w:bookmarkEnd w:id="960"/>
    <w:bookmarkEnd w:id="961"/>
    <w:p w14:paraId="0CC9606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因</w:t>
      </w:r>
      <w:bookmarkStart w:id="967" w:name="_Toc312677487"/>
      <w:bookmarkStart w:id="968" w:name="_Toc312678013"/>
      <w:bookmarkStart w:id="969" w:name="_Toc318581170"/>
      <w:r>
        <w:rPr>
          <w:rFonts w:hint="eastAsia" w:ascii="微软雅黑" w:hAnsi="微软雅黑" w:eastAsia="微软雅黑" w:cs="微软雅黑"/>
          <w:color w:val="auto"/>
          <w:sz w:val="24"/>
          <w:szCs w:val="24"/>
          <w:highlight w:val="none"/>
        </w:rPr>
        <w:t>承包人原因造成工期延误，逾期竣工违约金的计算方法为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bookmarkEnd w:id="962"/>
      <w:bookmarkEnd w:id="963"/>
      <w:bookmarkEnd w:id="964"/>
      <w:bookmarkEnd w:id="965"/>
      <w:bookmarkEnd w:id="966"/>
      <w:bookmarkEnd w:id="967"/>
      <w:bookmarkEnd w:id="968"/>
    </w:p>
    <w:bookmarkEnd w:id="969"/>
    <w:p w14:paraId="6F28F59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因承包人原因造成工期延误，逾</w:t>
      </w:r>
      <w:bookmarkStart w:id="970" w:name="_Toc318581171"/>
      <w:bookmarkStart w:id="971" w:name="_Toc312678014"/>
      <w:r>
        <w:rPr>
          <w:rFonts w:hint="eastAsia" w:ascii="微软雅黑" w:hAnsi="微软雅黑" w:eastAsia="微软雅黑" w:cs="微软雅黑"/>
          <w:color w:val="auto"/>
          <w:sz w:val="24"/>
          <w:szCs w:val="24"/>
          <w:highlight w:val="none"/>
        </w:rPr>
        <w:t>期竣工违约金的上限：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82CC2E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7.5.3双方约定工程顺延的其他情</w:t>
      </w:r>
      <w:bookmarkEnd w:id="970"/>
      <w:bookmarkEnd w:id="971"/>
      <w:bookmarkStart w:id="972" w:name="_Toc300934972"/>
      <w:bookmarkStart w:id="973" w:name="_Toc318581172"/>
      <w:bookmarkStart w:id="974" w:name="_Toc304295550"/>
      <w:bookmarkStart w:id="975" w:name="_Toc297216179"/>
      <w:bookmarkStart w:id="976" w:name="_Toc312678016"/>
      <w:bookmarkStart w:id="977" w:name="_Toc297123520"/>
      <w:bookmarkStart w:id="978" w:name="_Toc303539129"/>
      <w:r>
        <w:rPr>
          <w:rFonts w:hint="eastAsia" w:ascii="微软雅黑" w:hAnsi="微软雅黑" w:eastAsia="微软雅黑" w:cs="微软雅黑"/>
          <w:color w:val="auto"/>
          <w:sz w:val="24"/>
          <w:szCs w:val="24"/>
          <w:highlight w:val="none"/>
        </w:rPr>
        <w:t>。</w:t>
      </w:r>
    </w:p>
    <w:p w14:paraId="4157F0E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bookmarkStart w:id="979" w:name="_Toc300934971"/>
      <w:bookmarkStart w:id="980" w:name="_Toc312678015"/>
      <w:bookmarkStart w:id="981" w:name="_Toc304295549"/>
      <w:bookmarkStart w:id="982" w:name="_Toc297216178"/>
      <w:bookmarkStart w:id="983" w:name="_Toc297123519"/>
      <w:bookmarkStart w:id="984" w:name="_Toc303539128"/>
      <w:r>
        <w:rPr>
          <w:rFonts w:hint="eastAsia" w:ascii="微软雅黑" w:hAnsi="微软雅黑" w:eastAsia="微软雅黑" w:cs="微软雅黑"/>
          <w:color w:val="auto"/>
          <w:sz w:val="24"/>
          <w:szCs w:val="24"/>
          <w:highlight w:val="none"/>
        </w:rPr>
        <w:t>.6 不</w:t>
      </w:r>
      <w:bookmarkEnd w:id="979"/>
      <w:bookmarkEnd w:id="980"/>
      <w:bookmarkEnd w:id="981"/>
      <w:bookmarkEnd w:id="982"/>
      <w:bookmarkEnd w:id="983"/>
      <w:bookmarkEnd w:id="984"/>
      <w:r>
        <w:rPr>
          <w:rFonts w:hint="eastAsia" w:ascii="微软雅黑" w:hAnsi="微软雅黑" w:eastAsia="微软雅黑" w:cs="微软雅黑"/>
          <w:color w:val="auto"/>
          <w:sz w:val="24"/>
          <w:szCs w:val="24"/>
          <w:highlight w:val="none"/>
        </w:rPr>
        <w:t>利物质条件</w:t>
      </w:r>
    </w:p>
    <w:p w14:paraId="42819920">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不利物质条件的其他情形和有关约定：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972"/>
    <w:bookmarkEnd w:id="973"/>
    <w:bookmarkEnd w:id="974"/>
    <w:bookmarkEnd w:id="975"/>
    <w:bookmarkEnd w:id="976"/>
    <w:bookmarkEnd w:id="977"/>
    <w:bookmarkEnd w:id="978"/>
    <w:p w14:paraId="2ED6A181">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bookmarkStart w:id="985" w:name="_Toc300934973"/>
      <w:bookmarkStart w:id="986" w:name="_Toc297216180"/>
      <w:bookmarkStart w:id="987" w:name="_Toc312678017"/>
      <w:bookmarkStart w:id="988" w:name="_Toc304295551"/>
      <w:bookmarkStart w:id="989" w:name="_Toc297123521"/>
      <w:bookmarkStart w:id="990" w:name="_Toc303539130"/>
      <w:r>
        <w:rPr>
          <w:rFonts w:hint="eastAsia" w:ascii="微软雅黑" w:hAnsi="微软雅黑" w:eastAsia="微软雅黑" w:cs="微软雅黑"/>
          <w:color w:val="auto"/>
          <w:sz w:val="24"/>
          <w:szCs w:val="24"/>
          <w:highlight w:val="none"/>
        </w:rPr>
        <w:t>.7异常恶劣的气候条件</w:t>
      </w:r>
    </w:p>
    <w:bookmarkEnd w:id="985"/>
    <w:bookmarkEnd w:id="986"/>
    <w:bookmarkEnd w:id="987"/>
    <w:bookmarkEnd w:id="988"/>
    <w:bookmarkEnd w:id="989"/>
    <w:bookmarkEnd w:id="990"/>
    <w:p w14:paraId="3C49B66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发包人和承包人同意以下情形视为异常恶劣的气候条件：</w:t>
      </w:r>
    </w:p>
    <w:p w14:paraId="08E9AE5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B0B2A3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E4FE5C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7F0E2C6">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7.9 提前竣工的奖励</w:t>
      </w:r>
    </w:p>
    <w:p w14:paraId="3CD34F2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7.9.2提前竣工的奖励：</w:t>
      </w:r>
      <w:r>
        <w:rPr>
          <w:rFonts w:hint="eastAsia" w:ascii="微软雅黑" w:hAnsi="微软雅黑" w:eastAsia="微软雅黑" w:cs="微软雅黑"/>
          <w:color w:val="auto"/>
          <w:sz w:val="24"/>
          <w:szCs w:val="24"/>
          <w:highlight w:val="none"/>
          <w:u w:val="single"/>
        </w:rPr>
        <w:t>无</w:t>
      </w:r>
      <w:r>
        <w:rPr>
          <w:rFonts w:hint="eastAsia" w:ascii="微软雅黑" w:hAnsi="微软雅黑" w:eastAsia="微软雅黑" w:cs="微软雅黑"/>
          <w:color w:val="auto"/>
          <w:sz w:val="24"/>
          <w:szCs w:val="24"/>
          <w:highlight w:val="none"/>
        </w:rPr>
        <w:t>。</w:t>
      </w:r>
    </w:p>
    <w:p w14:paraId="14FA051B">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991" w:name="_Toc351203640"/>
      <w:r>
        <w:rPr>
          <w:rFonts w:hint="eastAsia" w:ascii="微软雅黑" w:hAnsi="微软雅黑" w:eastAsia="微软雅黑" w:cs="微软雅黑"/>
          <w:b w:val="0"/>
          <w:color w:val="auto"/>
          <w:sz w:val="24"/>
          <w:szCs w:val="24"/>
          <w:highlight w:val="none"/>
        </w:rPr>
        <w:t>8. 材料与设备</w:t>
      </w:r>
      <w:bookmarkEnd w:id="991"/>
    </w:p>
    <w:bookmarkEnd w:id="926"/>
    <w:bookmarkEnd w:id="927"/>
    <w:bookmarkEnd w:id="928"/>
    <w:bookmarkEnd w:id="929"/>
    <w:bookmarkEnd w:id="930"/>
    <w:bookmarkEnd w:id="931"/>
    <w:bookmarkEnd w:id="932"/>
    <w:bookmarkEnd w:id="933"/>
    <w:bookmarkEnd w:id="934"/>
    <w:bookmarkEnd w:id="935"/>
    <w:p w14:paraId="16DFEE7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w:t>
      </w:r>
      <w:bookmarkStart w:id="992" w:name="_Toc296347166"/>
      <w:bookmarkStart w:id="993" w:name="_Toc292559372"/>
      <w:bookmarkStart w:id="994" w:name="_Toc297048353"/>
      <w:bookmarkStart w:id="995" w:name="_Toc297123527"/>
      <w:bookmarkStart w:id="996" w:name="_Toc297216186"/>
      <w:bookmarkStart w:id="997" w:name="_Toc300934979"/>
      <w:bookmarkStart w:id="998" w:name="_Toc312677493"/>
      <w:bookmarkStart w:id="999" w:name="_Toc297120467"/>
      <w:bookmarkStart w:id="1000" w:name="_Toc296944506"/>
      <w:bookmarkStart w:id="1001" w:name="_Toc280868654"/>
      <w:bookmarkStart w:id="1002" w:name="_Toc296890995"/>
      <w:bookmarkStart w:id="1003" w:name="_Toc296891207"/>
      <w:bookmarkStart w:id="1004" w:name="_Toc296346668"/>
      <w:bookmarkStart w:id="1005" w:name="_Toc303539136"/>
      <w:bookmarkStart w:id="1006" w:name="_Toc312678019"/>
      <w:bookmarkStart w:id="1007" w:name="_Toc304295556"/>
      <w:bookmarkStart w:id="1008" w:name="_Toc292559877"/>
      <w:bookmarkStart w:id="1009" w:name="_Toc296503167"/>
      <w:bookmarkStart w:id="1010" w:name="_Toc267251424"/>
      <w:bookmarkStart w:id="1011" w:name="_Toc280868655"/>
      <w:bookmarkStart w:id="1012" w:name="_Toc280868656"/>
      <w:r>
        <w:rPr>
          <w:rFonts w:hint="eastAsia" w:ascii="微软雅黑" w:hAnsi="微软雅黑" w:eastAsia="微软雅黑" w:cs="微软雅黑"/>
          <w:color w:val="auto"/>
          <w:sz w:val="24"/>
          <w:szCs w:val="24"/>
          <w:highlight w:val="none"/>
        </w:rPr>
        <w:t>.4材料与工程设备的保管与使用</w:t>
      </w:r>
    </w:p>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14:paraId="3D71428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pacing w:val="-20"/>
          <w:sz w:val="24"/>
          <w:szCs w:val="24"/>
          <w:highlight w:val="none"/>
          <w:u w:val="single"/>
        </w:rPr>
      </w:pPr>
      <w:r>
        <w:rPr>
          <w:rFonts w:hint="eastAsia" w:ascii="微软雅黑" w:hAnsi="微软雅黑" w:eastAsia="微软雅黑" w:cs="微软雅黑"/>
          <w:color w:val="auto"/>
          <w:sz w:val="24"/>
          <w:szCs w:val="24"/>
          <w:highlight w:val="none"/>
        </w:rPr>
        <w:t>8</w:t>
      </w:r>
      <w:bookmarkStart w:id="1013" w:name="_Toc292559878"/>
      <w:bookmarkStart w:id="1014" w:name="_Toc292559373"/>
      <w:bookmarkStart w:id="1015" w:name="_Toc296347167"/>
      <w:bookmarkStart w:id="1016" w:name="_Toc296944507"/>
      <w:bookmarkStart w:id="1017" w:name="_Toc296890996"/>
      <w:bookmarkStart w:id="1018" w:name="_Toc318581173"/>
      <w:bookmarkStart w:id="1019" w:name="_Toc303539137"/>
      <w:bookmarkStart w:id="1020" w:name="_Toc297123528"/>
      <w:bookmarkStart w:id="1021" w:name="_Toc297120468"/>
      <w:bookmarkStart w:id="1022" w:name="_Toc297216187"/>
      <w:bookmarkStart w:id="1023" w:name="_Toc296503168"/>
      <w:bookmarkStart w:id="1024" w:name="_Toc312677494"/>
      <w:bookmarkStart w:id="1025" w:name="_Toc296891208"/>
      <w:bookmarkStart w:id="1026" w:name="_Toc297048354"/>
      <w:bookmarkStart w:id="1027" w:name="_Toc300934980"/>
      <w:bookmarkStart w:id="1028" w:name="_Toc304295557"/>
      <w:bookmarkStart w:id="1029" w:name="_Toc312678020"/>
      <w:bookmarkStart w:id="1030" w:name="_Toc296346669"/>
      <w:r>
        <w:rPr>
          <w:rFonts w:hint="eastAsia" w:ascii="微软雅黑" w:hAnsi="微软雅黑" w:eastAsia="微软雅黑" w:cs="微软雅黑"/>
          <w:color w:val="auto"/>
          <w:sz w:val="24"/>
          <w:szCs w:val="24"/>
          <w:highlight w:val="none"/>
        </w:rPr>
        <w:t>.4.1发包人供应的材料设备的保管费用的承担：</w:t>
      </w:r>
      <w:bookmarkEnd w:id="1013"/>
      <w:bookmarkEnd w:id="1014"/>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pacing w:val="-20"/>
          <w:sz w:val="24"/>
          <w:szCs w:val="24"/>
          <w:highlight w:val="none"/>
          <w:u w:val="single"/>
        </w:rPr>
        <w:t>。</w:t>
      </w:r>
    </w:p>
    <w:p w14:paraId="23905FC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8.6 样品</w:t>
      </w:r>
    </w:p>
    <w:p w14:paraId="59423B9A">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8.6.1</w:t>
      </w:r>
      <w:r>
        <w:rPr>
          <w:rFonts w:hint="eastAsia" w:ascii="微软雅黑" w:hAnsi="微软雅黑" w:eastAsia="微软雅黑" w:cs="微软雅黑"/>
          <w:color w:val="auto"/>
          <w:kern w:val="0"/>
          <w:sz w:val="24"/>
          <w:szCs w:val="24"/>
          <w:highlight w:val="none"/>
        </w:rPr>
        <w:tab/>
      </w:r>
      <w:r>
        <w:rPr>
          <w:rFonts w:hint="eastAsia" w:ascii="微软雅黑" w:hAnsi="微软雅黑" w:eastAsia="微软雅黑" w:cs="微软雅黑"/>
          <w:color w:val="auto"/>
          <w:kern w:val="0"/>
          <w:sz w:val="24"/>
          <w:szCs w:val="24"/>
          <w:highlight w:val="none"/>
        </w:rPr>
        <w:t>样品的报送与封存</w:t>
      </w:r>
    </w:p>
    <w:p w14:paraId="19EEB5F5">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kern w:val="0"/>
          <w:sz w:val="24"/>
          <w:szCs w:val="24"/>
          <w:highlight w:val="none"/>
        </w:rPr>
        <w:t>需要承包人报送样品的材料或工程设备，样品的种类、名称、规格、数量要求：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527BFAF">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8.8 施工设备和临时设施</w:t>
      </w:r>
    </w:p>
    <w:p w14:paraId="1D836313">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8.8.1 承包人提供的施工设备和临时设施</w:t>
      </w:r>
    </w:p>
    <w:p w14:paraId="03112CB6">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关于修建临时设施费用承担的约定：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14:paraId="30E253CC">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031" w:name="_Toc351203641"/>
      <w:r>
        <w:rPr>
          <w:rFonts w:hint="eastAsia" w:ascii="微软雅黑" w:hAnsi="微软雅黑" w:eastAsia="微软雅黑" w:cs="微软雅黑"/>
          <w:b w:val="0"/>
          <w:color w:val="auto"/>
          <w:sz w:val="24"/>
          <w:szCs w:val="24"/>
          <w:highlight w:val="none"/>
        </w:rPr>
        <w:t>9</w:t>
      </w:r>
      <w:bookmarkEnd w:id="1010"/>
      <w:bookmarkEnd w:id="1011"/>
      <w:bookmarkEnd w:id="1012"/>
      <w:bookmarkStart w:id="1032" w:name="_Toc297216192"/>
      <w:bookmarkStart w:id="1033" w:name="_Toc300934982"/>
      <w:bookmarkStart w:id="1034" w:name="_Toc304295559"/>
      <w:bookmarkStart w:id="1035" w:name="_Toc297123533"/>
      <w:bookmarkStart w:id="1036" w:name="_Toc312678021"/>
      <w:bookmarkStart w:id="1037" w:name="_Toc312677495"/>
      <w:bookmarkStart w:id="1038" w:name="_Toc303539139"/>
      <w:bookmarkStart w:id="1039" w:name="_Toc296944512"/>
      <w:bookmarkStart w:id="1040" w:name="_Toc292559883"/>
      <w:bookmarkStart w:id="1041" w:name="_Toc296503173"/>
      <w:bookmarkStart w:id="1042" w:name="_Toc296347172"/>
      <w:bookmarkStart w:id="1043" w:name="_Toc292559378"/>
      <w:bookmarkStart w:id="1044" w:name="_Toc296346674"/>
      <w:bookmarkStart w:id="1045" w:name="_Toc297120473"/>
      <w:bookmarkStart w:id="1046" w:name="_Toc296891001"/>
      <w:bookmarkStart w:id="1047" w:name="_Toc297048359"/>
      <w:bookmarkStart w:id="1048" w:name="_Toc267251428"/>
      <w:bookmarkStart w:id="1049" w:name="_Toc296891213"/>
      <w:bookmarkStart w:id="1050" w:name="_Toc267251427"/>
      <w:r>
        <w:rPr>
          <w:rFonts w:hint="eastAsia" w:ascii="微软雅黑" w:hAnsi="微软雅黑" w:eastAsia="微软雅黑" w:cs="微软雅黑"/>
          <w:b w:val="0"/>
          <w:color w:val="auto"/>
          <w:sz w:val="24"/>
          <w:szCs w:val="24"/>
          <w:highlight w:val="none"/>
        </w:rPr>
        <w:t>. 试验与检验</w:t>
      </w:r>
      <w:bookmarkEnd w:id="1031"/>
    </w:p>
    <w:bookmarkEnd w:id="1032"/>
    <w:bookmarkEnd w:id="1033"/>
    <w:bookmarkEnd w:id="1034"/>
    <w:bookmarkEnd w:id="1035"/>
    <w:bookmarkEnd w:id="1036"/>
    <w:bookmarkEnd w:id="1037"/>
    <w:bookmarkEnd w:id="1038"/>
    <w:p w14:paraId="5EB056C5">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w:t>
      </w:r>
      <w:bookmarkStart w:id="1051" w:name="_Toc297216193"/>
      <w:bookmarkStart w:id="1052" w:name="_Toc303539140"/>
      <w:bookmarkStart w:id="1053" w:name="_Toc312678022"/>
      <w:bookmarkStart w:id="1054" w:name="_Toc304295560"/>
      <w:bookmarkStart w:id="1055" w:name="_Toc300934983"/>
      <w:bookmarkStart w:id="1056" w:name="_Toc297123534"/>
      <w:bookmarkStart w:id="1057" w:name="_Toc312677496"/>
      <w:r>
        <w:rPr>
          <w:rFonts w:hint="eastAsia" w:ascii="微软雅黑" w:hAnsi="微软雅黑" w:eastAsia="微软雅黑" w:cs="微软雅黑"/>
          <w:color w:val="auto"/>
          <w:sz w:val="24"/>
          <w:szCs w:val="24"/>
          <w:highlight w:val="none"/>
        </w:rPr>
        <w:t>.1试验设备与试验人员</w:t>
      </w:r>
    </w:p>
    <w:bookmarkEnd w:id="1051"/>
    <w:bookmarkEnd w:id="1052"/>
    <w:bookmarkEnd w:id="1053"/>
    <w:bookmarkEnd w:id="1054"/>
    <w:bookmarkEnd w:id="1055"/>
    <w:bookmarkEnd w:id="1056"/>
    <w:bookmarkEnd w:id="1057"/>
    <w:p w14:paraId="19B3E53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w:t>
      </w:r>
      <w:bookmarkStart w:id="1058" w:name="_Toc312677497"/>
      <w:bookmarkStart w:id="1059" w:name="_Toc300934984"/>
      <w:bookmarkStart w:id="1060" w:name="_Toc297123535"/>
      <w:bookmarkStart w:id="1061" w:name="_Toc303539141"/>
      <w:bookmarkStart w:id="1062" w:name="_Toc297216194"/>
      <w:bookmarkStart w:id="1063" w:name="_Toc304295561"/>
      <w:bookmarkStart w:id="1064" w:name="_Toc312678023"/>
      <w:bookmarkStart w:id="1065" w:name="_Toc318581174"/>
      <w:r>
        <w:rPr>
          <w:rFonts w:hint="eastAsia" w:ascii="微软雅黑" w:hAnsi="微软雅黑" w:eastAsia="微软雅黑" w:cs="微软雅黑"/>
          <w:color w:val="auto"/>
          <w:sz w:val="24"/>
          <w:szCs w:val="24"/>
          <w:highlight w:val="none"/>
        </w:rPr>
        <w:t>.1.2 试验设备</w:t>
      </w:r>
    </w:p>
    <w:p w14:paraId="2049E7F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施工现场需要配置的试验场所：</w:t>
      </w:r>
      <w:bookmarkEnd w:id="1058"/>
      <w:bookmarkEnd w:id="1059"/>
      <w:bookmarkEnd w:id="1060"/>
      <w:bookmarkEnd w:id="1061"/>
      <w:bookmarkEnd w:id="1062"/>
      <w:bookmarkEnd w:id="1063"/>
      <w:bookmarkEnd w:id="1064"/>
      <w:bookmarkStart w:id="1066" w:name="_Toc304295562"/>
      <w:bookmarkStart w:id="1067" w:name="_Toc297216195"/>
      <w:bookmarkStart w:id="1068" w:name="_Toc303539142"/>
      <w:bookmarkStart w:id="1069" w:name="_Toc312677498"/>
      <w:bookmarkStart w:id="1070" w:name="_Toc312678024"/>
      <w:bookmarkStart w:id="1071" w:name="_Toc297123536"/>
      <w:bookmarkStart w:id="1072" w:name="_Toc300934985"/>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p>
    <w:p w14:paraId="6D8A1B4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施工现场需要配备的试验设备：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355278F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施工现场需要具备的其他试验条件：</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17362034">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9.4 现场工艺试验 </w:t>
      </w:r>
    </w:p>
    <w:p w14:paraId="2A2267E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现场工艺试验的有关约定：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065"/>
    <w:bookmarkEnd w:id="1066"/>
    <w:bookmarkEnd w:id="1067"/>
    <w:bookmarkEnd w:id="1068"/>
    <w:bookmarkEnd w:id="1069"/>
    <w:bookmarkEnd w:id="1070"/>
    <w:bookmarkEnd w:id="1071"/>
    <w:bookmarkEnd w:id="1072"/>
    <w:p w14:paraId="41FD3159">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073" w:name="_Toc351203642"/>
      <w:r>
        <w:rPr>
          <w:rFonts w:hint="eastAsia" w:ascii="微软雅黑" w:hAnsi="微软雅黑" w:eastAsia="微软雅黑" w:cs="微软雅黑"/>
          <w:b w:val="0"/>
          <w:color w:val="auto"/>
          <w:sz w:val="24"/>
          <w:szCs w:val="24"/>
          <w:highlight w:val="none"/>
        </w:rPr>
        <w:t>1</w:t>
      </w:r>
      <w:bookmarkEnd w:id="1039"/>
      <w:bookmarkEnd w:id="1040"/>
      <w:bookmarkEnd w:id="1041"/>
      <w:bookmarkEnd w:id="1042"/>
      <w:bookmarkEnd w:id="1043"/>
      <w:bookmarkEnd w:id="1044"/>
      <w:bookmarkEnd w:id="1045"/>
      <w:bookmarkEnd w:id="1046"/>
      <w:bookmarkEnd w:id="1047"/>
      <w:bookmarkEnd w:id="1048"/>
      <w:bookmarkEnd w:id="1049"/>
      <w:bookmarkEnd w:id="1050"/>
      <w:bookmarkStart w:id="1074" w:name="_Toc303539146"/>
      <w:bookmarkStart w:id="1075" w:name="_Toc296503193"/>
      <w:bookmarkStart w:id="1076" w:name="_Toc296891233"/>
      <w:bookmarkStart w:id="1077" w:name="_Toc296944532"/>
      <w:bookmarkStart w:id="1078" w:name="_Toc296347192"/>
      <w:bookmarkStart w:id="1079" w:name="_Toc297120493"/>
      <w:bookmarkStart w:id="1080" w:name="_Toc292559903"/>
      <w:bookmarkStart w:id="1081" w:name="_Toc296891021"/>
      <w:bookmarkStart w:id="1082" w:name="_Toc297123540"/>
      <w:bookmarkStart w:id="1083" w:name="_Toc300934989"/>
      <w:bookmarkStart w:id="1084" w:name="_Toc297048379"/>
      <w:bookmarkStart w:id="1085" w:name="_Toc304295566"/>
      <w:bookmarkStart w:id="1086" w:name="_Toc297216199"/>
      <w:bookmarkStart w:id="1087" w:name="_Toc296346694"/>
      <w:bookmarkStart w:id="1088" w:name="_Toc292559398"/>
      <w:bookmarkStart w:id="1089" w:name="_Toc312677499"/>
      <w:bookmarkStart w:id="1090" w:name="_Toc312678025"/>
      <w:bookmarkStart w:id="1091" w:name="_Toc267251437"/>
      <w:bookmarkStart w:id="1092" w:name="_Toc267251433"/>
      <w:bookmarkStart w:id="1093" w:name="_Toc267251435"/>
      <w:bookmarkStart w:id="1094" w:name="_Toc267251440"/>
      <w:bookmarkStart w:id="1095" w:name="_Toc267251441"/>
      <w:bookmarkStart w:id="1096" w:name="_Toc267251439"/>
      <w:bookmarkStart w:id="1097" w:name="_Toc267251442"/>
      <w:r>
        <w:rPr>
          <w:rFonts w:hint="eastAsia" w:ascii="微软雅黑" w:hAnsi="微软雅黑" w:eastAsia="微软雅黑" w:cs="微软雅黑"/>
          <w:b w:val="0"/>
          <w:color w:val="auto"/>
          <w:sz w:val="24"/>
          <w:szCs w:val="24"/>
          <w:highlight w:val="none"/>
        </w:rPr>
        <w:t>0. 变更</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bookmarkEnd w:id="1089"/>
    <w:bookmarkEnd w:id="1090"/>
    <w:p w14:paraId="2FE16EDD">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Start w:id="1098" w:name="_Toc296503194"/>
      <w:bookmarkStart w:id="1099" w:name="_Toc312677500"/>
      <w:bookmarkStart w:id="1100" w:name="_Toc292559904"/>
      <w:bookmarkStart w:id="1101" w:name="_Toc296944533"/>
      <w:bookmarkStart w:id="1102" w:name="_Toc297216200"/>
      <w:bookmarkStart w:id="1103" w:name="_Toc296891022"/>
      <w:bookmarkStart w:id="1104" w:name="_Toc296346695"/>
      <w:bookmarkStart w:id="1105" w:name="_Toc297120494"/>
      <w:bookmarkStart w:id="1106" w:name="_Toc296891234"/>
      <w:bookmarkStart w:id="1107" w:name="_Toc297048380"/>
      <w:bookmarkStart w:id="1108" w:name="_Toc312678026"/>
      <w:bookmarkStart w:id="1109" w:name="_Toc296347193"/>
      <w:bookmarkStart w:id="1110" w:name="_Toc304295567"/>
      <w:bookmarkStart w:id="1111" w:name="_Toc300934990"/>
      <w:bookmarkStart w:id="1112" w:name="_Toc303539147"/>
      <w:bookmarkStart w:id="1113" w:name="_Toc297123541"/>
      <w:bookmarkStart w:id="1114" w:name="_Toc292559399"/>
      <w:r>
        <w:rPr>
          <w:rFonts w:hint="eastAsia" w:ascii="微软雅黑" w:hAnsi="微软雅黑" w:eastAsia="微软雅黑" w:cs="微软雅黑"/>
          <w:color w:val="auto"/>
          <w:sz w:val="24"/>
          <w:szCs w:val="24"/>
          <w:highlight w:val="none"/>
        </w:rPr>
        <w:t>0.1变更的范围</w:t>
      </w:r>
    </w:p>
    <w:p w14:paraId="72144859">
      <w:pPr>
        <w:keepLines w:val="0"/>
        <w:pageBreakBefore w:val="0"/>
        <w:kinsoku/>
        <w:wordWrap/>
        <w:overflowPunct/>
        <w:topLinePunct w:val="0"/>
        <w:bidi w:val="0"/>
        <w:adjustRightInd w:val="0"/>
        <w:snapToGrid w:val="0"/>
        <w:spacing w:line="520" w:lineRule="exact"/>
        <w:ind w:right="-19" w:rightChars="-9" w:firstLine="6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关于变更的范围的约定：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133C855">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10.4 变更估价</w:t>
      </w:r>
    </w:p>
    <w:p w14:paraId="247F8E4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10.4.1 变更估价原则</w:t>
      </w:r>
    </w:p>
    <w:p w14:paraId="003A808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关于变更估价的约定: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FD1F01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Start w:id="1115" w:name="_Toc297120497"/>
      <w:bookmarkStart w:id="1116" w:name="_Toc296347196"/>
      <w:bookmarkStart w:id="1117" w:name="_Toc297216203"/>
      <w:bookmarkStart w:id="1118" w:name="_Toc296891025"/>
      <w:bookmarkStart w:id="1119" w:name="_Toc292559907"/>
      <w:bookmarkStart w:id="1120" w:name="_Toc297048383"/>
      <w:bookmarkStart w:id="1121" w:name="_Toc296503197"/>
      <w:bookmarkStart w:id="1122" w:name="_Toc300934993"/>
      <w:bookmarkStart w:id="1123" w:name="_Toc296891237"/>
      <w:bookmarkStart w:id="1124" w:name="_Toc292559402"/>
      <w:bookmarkStart w:id="1125" w:name="_Toc296346698"/>
      <w:bookmarkStart w:id="1126" w:name="_Toc303539150"/>
      <w:bookmarkStart w:id="1127" w:name="_Toc297123544"/>
      <w:bookmarkStart w:id="1128" w:name="_Toc296944536"/>
      <w:bookmarkStart w:id="1129" w:name="_Toc304295570"/>
      <w:bookmarkStart w:id="1130" w:name="_Toc312677503"/>
      <w:bookmarkStart w:id="1131" w:name="_Toc312678029"/>
      <w:r>
        <w:rPr>
          <w:rFonts w:hint="eastAsia" w:ascii="微软雅黑" w:hAnsi="微软雅黑" w:eastAsia="微软雅黑" w:cs="微软雅黑"/>
          <w:color w:val="auto"/>
          <w:sz w:val="24"/>
          <w:szCs w:val="24"/>
          <w:highlight w:val="none"/>
        </w:rPr>
        <w:t>0.5承</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Start w:id="1132" w:name="_Toc292559408"/>
      <w:bookmarkStart w:id="1133" w:name="_Toc292559913"/>
      <w:bookmarkStart w:id="1134" w:name="_Toc296347202"/>
      <w:bookmarkStart w:id="1135" w:name="_Toc296891031"/>
      <w:bookmarkStart w:id="1136" w:name="_Toc296944542"/>
      <w:bookmarkStart w:id="1137" w:name="_Toc297216204"/>
      <w:bookmarkStart w:id="1138" w:name="_Toc300934994"/>
      <w:bookmarkStart w:id="1139" w:name="_Toc297048389"/>
      <w:bookmarkStart w:id="1140" w:name="_Toc297120503"/>
      <w:bookmarkStart w:id="1141" w:name="_Toc297123545"/>
      <w:bookmarkStart w:id="1142" w:name="_Toc296503203"/>
      <w:bookmarkStart w:id="1143" w:name="_Toc296891243"/>
      <w:bookmarkStart w:id="1144" w:name="_Toc303539151"/>
      <w:bookmarkStart w:id="1145" w:name="_Toc296346704"/>
      <w:r>
        <w:rPr>
          <w:rFonts w:hint="eastAsia" w:ascii="微软雅黑" w:hAnsi="微软雅黑" w:eastAsia="微软雅黑" w:cs="微软雅黑"/>
          <w:color w:val="auto"/>
          <w:sz w:val="24"/>
          <w:szCs w:val="24"/>
          <w:highlight w:val="none"/>
        </w:rPr>
        <w:t>包人的合理化建议</w:t>
      </w:r>
    </w:p>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14:paraId="0E946EA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监理人审查承包人合理化建议的期限：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30A120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发包人审批承包人合理化建议的期限：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29490E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承</w:t>
      </w:r>
      <w:bookmarkStart w:id="1146" w:name="_Toc296346705"/>
      <w:bookmarkStart w:id="1147" w:name="_Toc297120504"/>
      <w:bookmarkStart w:id="1148" w:name="_Toc296944543"/>
      <w:bookmarkStart w:id="1149" w:name="_Toc296503204"/>
      <w:bookmarkStart w:id="1150" w:name="_Toc297048390"/>
      <w:bookmarkStart w:id="1151" w:name="_Toc292559914"/>
      <w:bookmarkStart w:id="1152" w:name="_Toc318581175"/>
      <w:bookmarkStart w:id="1153" w:name="_Toc292559409"/>
      <w:bookmarkStart w:id="1154" w:name="_Toc304295571"/>
      <w:bookmarkStart w:id="1155" w:name="_Toc312678030"/>
      <w:bookmarkStart w:id="1156" w:name="_Toc296347203"/>
      <w:bookmarkStart w:id="1157" w:name="_Toc297216205"/>
      <w:bookmarkStart w:id="1158" w:name="_Toc300934995"/>
      <w:bookmarkStart w:id="1159" w:name="_Toc296891032"/>
      <w:bookmarkStart w:id="1160" w:name="_Toc297123546"/>
      <w:bookmarkStart w:id="1161" w:name="_Toc312677504"/>
      <w:bookmarkStart w:id="1162" w:name="_Toc296891244"/>
      <w:bookmarkStart w:id="1163" w:name="_Toc303539152"/>
      <w:r>
        <w:rPr>
          <w:rFonts w:hint="eastAsia" w:ascii="微软雅黑" w:hAnsi="微软雅黑" w:eastAsia="微软雅黑" w:cs="微软雅黑"/>
          <w:color w:val="auto"/>
          <w:sz w:val="24"/>
          <w:szCs w:val="24"/>
          <w:highlight w:val="none"/>
        </w:rPr>
        <w:t>包人提出的合理化建议降低了合同价格或者提高了工程经济效益的奖励的方法和金额为：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14:paraId="1A9A6BEC">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Start w:id="1164" w:name="_Toc296944538"/>
      <w:bookmarkStart w:id="1165" w:name="_Toc296347198"/>
      <w:bookmarkStart w:id="1166" w:name="_Toc312677507"/>
      <w:bookmarkStart w:id="1167" w:name="_Toc297123548"/>
      <w:bookmarkStart w:id="1168" w:name="_Toc297216207"/>
      <w:bookmarkStart w:id="1169" w:name="_Toc300934997"/>
      <w:bookmarkStart w:id="1170" w:name="_Toc296891239"/>
      <w:bookmarkStart w:id="1171" w:name="_Toc297048385"/>
      <w:bookmarkStart w:id="1172" w:name="_Toc296891027"/>
      <w:bookmarkStart w:id="1173" w:name="_Toc292559909"/>
      <w:bookmarkStart w:id="1174" w:name="_Toc312678033"/>
      <w:bookmarkStart w:id="1175" w:name="_Toc292559404"/>
      <w:bookmarkStart w:id="1176" w:name="_Toc296503199"/>
      <w:bookmarkStart w:id="1177" w:name="_Toc304295574"/>
      <w:bookmarkStart w:id="1178" w:name="_Toc296346700"/>
      <w:bookmarkStart w:id="1179" w:name="_Toc303539154"/>
      <w:bookmarkStart w:id="1180" w:name="_Toc297120499"/>
      <w:r>
        <w:rPr>
          <w:rFonts w:hint="eastAsia" w:ascii="微软雅黑" w:hAnsi="微软雅黑" w:eastAsia="微软雅黑" w:cs="微软雅黑"/>
          <w:color w:val="auto"/>
          <w:sz w:val="24"/>
          <w:szCs w:val="24"/>
          <w:highlight w:val="none"/>
        </w:rPr>
        <w:t>0.7 暂估价</w:t>
      </w:r>
    </w:p>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14:paraId="21F98B4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暂</w:t>
      </w:r>
      <w:bookmarkStart w:id="1181" w:name="_Toc312677508"/>
      <w:bookmarkStart w:id="1182" w:name="_Toc318581176"/>
      <w:bookmarkStart w:id="1183" w:name="_Toc312678034"/>
      <w:r>
        <w:rPr>
          <w:rFonts w:hint="eastAsia" w:ascii="微软雅黑" w:hAnsi="微软雅黑" w:eastAsia="微软雅黑" w:cs="微软雅黑"/>
          <w:color w:val="auto"/>
          <w:kern w:val="0"/>
          <w:sz w:val="24"/>
          <w:szCs w:val="24"/>
          <w:highlight w:val="none"/>
        </w:rPr>
        <w:t>估价材料和工程设备的明细详见附件11：《</w:t>
      </w:r>
      <w:r>
        <w:rPr>
          <w:rFonts w:hint="eastAsia" w:ascii="微软雅黑" w:hAnsi="微软雅黑" w:eastAsia="微软雅黑" w:cs="微软雅黑"/>
          <w:color w:val="auto"/>
          <w:sz w:val="24"/>
          <w:szCs w:val="24"/>
          <w:highlight w:val="none"/>
        </w:rPr>
        <w:t>暂估价一览表》</w:t>
      </w:r>
      <w:r>
        <w:rPr>
          <w:rFonts w:hint="eastAsia" w:ascii="微软雅黑" w:hAnsi="微软雅黑" w:eastAsia="微软雅黑" w:cs="微软雅黑"/>
          <w:color w:val="auto"/>
          <w:kern w:val="0"/>
          <w:sz w:val="24"/>
          <w:szCs w:val="24"/>
          <w:highlight w:val="none"/>
        </w:rPr>
        <w:t>。</w:t>
      </w:r>
    </w:p>
    <w:bookmarkEnd w:id="1181"/>
    <w:bookmarkEnd w:id="1182"/>
    <w:bookmarkEnd w:id="1183"/>
    <w:p w14:paraId="2F889E3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Start w:id="1184" w:name="_Toc312678035"/>
      <w:bookmarkStart w:id="1185" w:name="_Toc318581177"/>
      <w:bookmarkStart w:id="1186" w:name="_Toc312677509"/>
      <w:r>
        <w:rPr>
          <w:rFonts w:hint="eastAsia" w:ascii="微软雅黑" w:hAnsi="微软雅黑" w:eastAsia="微软雅黑" w:cs="微软雅黑"/>
          <w:color w:val="auto"/>
          <w:sz w:val="24"/>
          <w:szCs w:val="24"/>
          <w:highlight w:val="none"/>
        </w:rPr>
        <w:t>0.7.1 依法必须招标的暂估价项目</w:t>
      </w:r>
    </w:p>
    <w:bookmarkEnd w:id="1184"/>
    <w:bookmarkEnd w:id="1185"/>
    <w:bookmarkEnd w:id="1186"/>
    <w:p w14:paraId="3903D66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对于依法必须招标的暂估价项目的确认和批准采取第</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种方式确定。</w:t>
      </w:r>
    </w:p>
    <w:p w14:paraId="174D9C5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10.7.2 不属于依法必须招标的暂估价项目</w:t>
      </w:r>
    </w:p>
    <w:p w14:paraId="11BA473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对于不属于依法必须招标的暂估价项目的确认和批准采取第</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种方式确定。</w:t>
      </w:r>
    </w:p>
    <w:p w14:paraId="080B610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第3种方式：</w:t>
      </w:r>
      <w:r>
        <w:rPr>
          <w:rFonts w:hint="eastAsia" w:ascii="微软雅黑" w:hAnsi="微软雅黑" w:eastAsia="微软雅黑" w:cs="微软雅黑"/>
          <w:color w:val="auto"/>
          <w:kern w:val="0"/>
          <w:sz w:val="24"/>
          <w:szCs w:val="24"/>
          <w:highlight w:val="none"/>
        </w:rPr>
        <w:t>承包人直接实施的暂估价项目</w:t>
      </w:r>
    </w:p>
    <w:p w14:paraId="185588FF">
      <w:pPr>
        <w:keepLines w:val="0"/>
        <w:pageBreakBefore w:val="0"/>
        <w:kinsoku/>
        <w:wordWrap/>
        <w:overflowPunct/>
        <w:topLinePunct w:val="0"/>
        <w:bidi w:val="0"/>
        <w:adjustRightInd w:val="0"/>
        <w:snapToGrid w:val="0"/>
        <w:spacing w:line="520" w:lineRule="exact"/>
        <w:ind w:left="315" w:leftChars="150" w:right="-19" w:rightChars="-9" w:firstLine="360" w:firstLineChars="15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承包人直接实施的暂估价项目的约定：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266751F9">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10.8 暂列金额</w:t>
      </w:r>
    </w:p>
    <w:p w14:paraId="2D8BCFA2">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kern w:val="0"/>
          <w:sz w:val="24"/>
          <w:szCs w:val="24"/>
          <w:highlight w:val="none"/>
        </w:rPr>
        <w:t>合同当事人关于暂列金额使用的约定：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7FB63145">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187" w:name="_Toc351203643"/>
      <w:r>
        <w:rPr>
          <w:rFonts w:hint="eastAsia" w:ascii="微软雅黑" w:hAnsi="微软雅黑" w:eastAsia="微软雅黑" w:cs="微软雅黑"/>
          <w:b w:val="0"/>
          <w:color w:val="auto"/>
          <w:sz w:val="24"/>
          <w:szCs w:val="24"/>
          <w:highlight w:val="none"/>
        </w:rPr>
        <w:t>11. 价格调整</w:t>
      </w:r>
      <w:bookmarkEnd w:id="1187"/>
    </w:p>
    <w:p w14:paraId="3D936D8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1188" w:name="_Toc297216209"/>
      <w:bookmarkStart w:id="1189" w:name="_Toc296346702"/>
      <w:bookmarkStart w:id="1190" w:name="_Toc296347200"/>
      <w:bookmarkStart w:id="1191" w:name="_Toc297048387"/>
      <w:bookmarkStart w:id="1192" w:name="_Toc312678039"/>
      <w:bookmarkStart w:id="1193" w:name="_Toc292559911"/>
      <w:bookmarkStart w:id="1194" w:name="_Toc300935000"/>
      <w:bookmarkStart w:id="1195" w:name="_Toc296891029"/>
      <w:bookmarkStart w:id="1196" w:name="_Toc296944540"/>
      <w:bookmarkStart w:id="1197" w:name="_Toc297120501"/>
      <w:bookmarkStart w:id="1198" w:name="_Toc296503201"/>
      <w:bookmarkStart w:id="1199" w:name="_Toc292559406"/>
      <w:bookmarkStart w:id="1200" w:name="_Toc297123550"/>
      <w:bookmarkStart w:id="1201" w:name="_Toc304295577"/>
      <w:bookmarkStart w:id="1202" w:name="_Toc296891241"/>
      <w:bookmarkStart w:id="1203" w:name="_Toc303539157"/>
      <w:r>
        <w:rPr>
          <w:rFonts w:hint="eastAsia" w:ascii="微软雅黑" w:hAnsi="微软雅黑" w:eastAsia="微软雅黑" w:cs="微软雅黑"/>
          <w:color w:val="auto"/>
          <w:sz w:val="24"/>
          <w:szCs w:val="24"/>
          <w:highlight w:val="none"/>
        </w:rPr>
        <w:t>11.1 市场价格波动引起的调整</w:t>
      </w:r>
    </w:p>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14:paraId="2CA7960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市场价格波动是否调整合同价格的约定：</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w:t>
      </w:r>
    </w:p>
    <w:p w14:paraId="00F2388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因市场价格波动调整合同价格，采用以下第</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种方式对合同价格进行调整：</w:t>
      </w:r>
    </w:p>
    <w:p w14:paraId="750B1EC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第1种方式：采用价格指数进行价格调整。</w:t>
      </w:r>
    </w:p>
    <w:p w14:paraId="5D42C98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关于各可调因子、定值和变值权重，以及基本价格指数及其来源的约定：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p>
    <w:p w14:paraId="0200C60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第2种方式：采用造价信息进行价格调整。</w:t>
      </w:r>
    </w:p>
    <w:p w14:paraId="72608AD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（2）关于基准价格的约定：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3908CED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%时，或材料单价跌幅以已标价工程量清单或预算书中载明材料单价为基础超过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%时，其超过部分据实调整。</w:t>
      </w:r>
    </w:p>
    <w:p w14:paraId="2A4E7E6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%时，材料单价涨幅以已标价工程量清单或预算书中载明材料单价为基础超过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%时，其超过部分据实调整。</w:t>
      </w:r>
    </w:p>
    <w:p w14:paraId="39472F21">
      <w:pPr>
        <w:keepLines w:val="0"/>
        <w:pageBreakBefore w:val="0"/>
        <w:kinsoku/>
        <w:wordWrap/>
        <w:overflowPunct/>
        <w:topLinePunct w:val="0"/>
        <w:bidi w:val="0"/>
        <w:adjustRightInd w:val="0"/>
        <w:snapToGrid w:val="0"/>
        <w:spacing w:line="520" w:lineRule="exact"/>
        <w:ind w:right="-19" w:rightChars="-9" w:firstLine="645"/>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%时，其超过部分据实调整。</w:t>
      </w:r>
    </w:p>
    <w:p w14:paraId="3447C743">
      <w:pPr>
        <w:keepLines w:val="0"/>
        <w:pageBreakBefore w:val="0"/>
        <w:kinsoku/>
        <w:wordWrap/>
        <w:overflowPunct/>
        <w:topLinePunct w:val="0"/>
        <w:bidi w:val="0"/>
        <w:adjustRightInd w:val="0"/>
        <w:snapToGrid w:val="0"/>
        <w:spacing w:line="520" w:lineRule="exact"/>
        <w:ind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第3种方式：其他价格调整方式：</w:t>
      </w:r>
      <w:r>
        <w:rPr>
          <w:rFonts w:hint="eastAsia" w:ascii="微软雅黑" w:hAnsi="微软雅黑" w:eastAsia="微软雅黑" w:cs="微软雅黑"/>
          <w:color w:val="auto"/>
          <w:sz w:val="24"/>
          <w:szCs w:val="24"/>
          <w:highlight w:val="none"/>
          <w:u w:val="single"/>
        </w:rPr>
        <w:t xml:space="preserve">       /       </w:t>
      </w:r>
    </w:p>
    <w:bookmarkEnd w:id="1091"/>
    <w:bookmarkEnd w:id="1092"/>
    <w:bookmarkEnd w:id="1093"/>
    <w:bookmarkEnd w:id="1094"/>
    <w:bookmarkEnd w:id="1095"/>
    <w:bookmarkEnd w:id="1096"/>
    <w:p w14:paraId="30BC5264">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204" w:name="_Toc292559915"/>
      <w:bookmarkStart w:id="1205" w:name="_Toc296503205"/>
      <w:bookmarkStart w:id="1206" w:name="_Toc296346706"/>
      <w:bookmarkStart w:id="1207" w:name="_Toc296891245"/>
      <w:bookmarkStart w:id="1208" w:name="_Toc296944544"/>
      <w:bookmarkStart w:id="1209" w:name="_Toc292559410"/>
      <w:bookmarkStart w:id="1210" w:name="_Toc296891033"/>
      <w:bookmarkStart w:id="1211" w:name="_Toc297048391"/>
      <w:bookmarkStart w:id="1212" w:name="_Toc297120505"/>
      <w:bookmarkStart w:id="1213" w:name="_Toc296347204"/>
      <w:bookmarkStart w:id="1214" w:name="_Toc351203644"/>
      <w:bookmarkStart w:id="1215" w:name="_Toc303539159"/>
      <w:bookmarkStart w:id="1216" w:name="_Toc297216211"/>
      <w:bookmarkStart w:id="1217" w:name="_Toc312678040"/>
      <w:bookmarkStart w:id="1218" w:name="_Toc297123552"/>
      <w:bookmarkStart w:id="1219" w:name="_Toc304295579"/>
      <w:bookmarkStart w:id="1220" w:name="_Toc300935002"/>
      <w:r>
        <w:rPr>
          <w:rFonts w:hint="eastAsia" w:ascii="微软雅黑" w:hAnsi="微软雅黑" w:eastAsia="微软雅黑" w:cs="微软雅黑"/>
          <w:b w:val="0"/>
          <w:color w:val="auto"/>
          <w:sz w:val="24"/>
          <w:szCs w:val="24"/>
          <w:highlight w:val="none"/>
        </w:rPr>
        <w:t xml:space="preserve">12. </w:t>
      </w:r>
      <w:bookmarkEnd w:id="1204"/>
      <w:bookmarkEnd w:id="1205"/>
      <w:bookmarkEnd w:id="1206"/>
      <w:bookmarkEnd w:id="1207"/>
      <w:bookmarkEnd w:id="1208"/>
      <w:bookmarkEnd w:id="1209"/>
      <w:bookmarkEnd w:id="1210"/>
      <w:bookmarkEnd w:id="1211"/>
      <w:bookmarkEnd w:id="1212"/>
      <w:bookmarkEnd w:id="1213"/>
      <w:r>
        <w:rPr>
          <w:rFonts w:hint="eastAsia" w:ascii="微软雅黑" w:hAnsi="微软雅黑" w:eastAsia="微软雅黑" w:cs="微软雅黑"/>
          <w:b w:val="0"/>
          <w:color w:val="auto"/>
          <w:sz w:val="24"/>
          <w:szCs w:val="24"/>
          <w:highlight w:val="none"/>
        </w:rPr>
        <w:t>合同价格、计量与支付</w:t>
      </w:r>
      <w:bookmarkEnd w:id="1214"/>
    </w:p>
    <w:bookmarkEnd w:id="1215"/>
    <w:bookmarkEnd w:id="1216"/>
    <w:bookmarkEnd w:id="1217"/>
    <w:bookmarkEnd w:id="1218"/>
    <w:bookmarkEnd w:id="1219"/>
    <w:bookmarkEnd w:id="1220"/>
    <w:p w14:paraId="0D864498">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1221" w:name="_Toc267251461"/>
      <w:bookmarkStart w:id="1222" w:name="_Toc292559411"/>
      <w:bookmarkStart w:id="1223" w:name="_Toc292559916"/>
      <w:bookmarkStart w:id="1224" w:name="_Toc296347205"/>
      <w:bookmarkStart w:id="1225" w:name="_Toc296503206"/>
      <w:bookmarkStart w:id="1226" w:name="_Toc296346707"/>
      <w:bookmarkStart w:id="1227" w:name="_Toc296891034"/>
      <w:bookmarkStart w:id="1228" w:name="_Toc296944545"/>
      <w:bookmarkStart w:id="1229" w:name="_Toc296891246"/>
      <w:bookmarkStart w:id="1230" w:name="_Toc297120506"/>
      <w:bookmarkStart w:id="1231" w:name="_Toc297048392"/>
      <w:bookmarkStart w:id="1232" w:name="_Toc312678041"/>
      <w:bookmarkStart w:id="1233" w:name="_Toc297123553"/>
      <w:bookmarkStart w:id="1234" w:name="_Toc303539160"/>
      <w:bookmarkStart w:id="1235" w:name="_Toc300935003"/>
      <w:bookmarkStart w:id="1236" w:name="_Toc297216212"/>
      <w:bookmarkStart w:id="1237" w:name="_Toc304295580"/>
      <w:r>
        <w:rPr>
          <w:rFonts w:hint="eastAsia" w:ascii="微软雅黑" w:hAnsi="微软雅黑" w:eastAsia="微软雅黑" w:cs="微软雅黑"/>
          <w:color w:val="auto"/>
          <w:sz w:val="24"/>
          <w:szCs w:val="24"/>
          <w:highlight w:val="none"/>
        </w:rPr>
        <w:t>12.1 合</w:t>
      </w:r>
      <w:bookmarkEnd w:id="1221"/>
      <w:bookmarkEnd w:id="1222"/>
      <w:bookmarkEnd w:id="1223"/>
      <w:r>
        <w:rPr>
          <w:rFonts w:hint="eastAsia" w:ascii="微软雅黑" w:hAnsi="微软雅黑" w:eastAsia="微软雅黑" w:cs="微软雅黑"/>
          <w:color w:val="auto"/>
          <w:sz w:val="24"/>
          <w:szCs w:val="24"/>
          <w:highlight w:val="none"/>
        </w:rPr>
        <w:t>同价</w:t>
      </w:r>
      <w:bookmarkEnd w:id="1224"/>
      <w:bookmarkEnd w:id="1225"/>
      <w:bookmarkEnd w:id="1226"/>
      <w:bookmarkEnd w:id="1227"/>
      <w:bookmarkEnd w:id="1228"/>
      <w:bookmarkEnd w:id="1229"/>
      <w:bookmarkEnd w:id="1230"/>
      <w:bookmarkEnd w:id="1231"/>
      <w:r>
        <w:rPr>
          <w:rFonts w:hint="eastAsia" w:ascii="微软雅黑" w:hAnsi="微软雅黑" w:eastAsia="微软雅黑" w:cs="微软雅黑"/>
          <w:color w:val="auto"/>
          <w:sz w:val="24"/>
          <w:szCs w:val="24"/>
          <w:highlight w:val="none"/>
        </w:rPr>
        <w:t>格形式</w:t>
      </w:r>
    </w:p>
    <w:bookmarkEnd w:id="1232"/>
    <w:bookmarkEnd w:id="1233"/>
    <w:bookmarkEnd w:id="1234"/>
    <w:bookmarkEnd w:id="1235"/>
    <w:bookmarkEnd w:id="1236"/>
    <w:bookmarkEnd w:id="1237"/>
    <w:p w14:paraId="6739201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1、单价合同。</w:t>
      </w:r>
    </w:p>
    <w:p w14:paraId="5D43F58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综合单价包含的风险范围：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08D523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风险费用的计算方法：</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51DCDB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风险范围以外合同价格的调整方法：</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A33853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2、总价合同。</w:t>
      </w:r>
    </w:p>
    <w:p w14:paraId="2F5E2A0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总价包含的风险范围：</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5F5EA05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风险费用的计算方法：</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5656548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风险范围以外合同价格的调整方法：</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72DCA8A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3、其他价格方式：</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1D5190A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1238" w:name="_Toc297123554"/>
      <w:bookmarkStart w:id="1239" w:name="_Toc300935004"/>
      <w:bookmarkStart w:id="1240" w:name="_Toc303539161"/>
      <w:bookmarkStart w:id="1241" w:name="_Toc312678042"/>
      <w:bookmarkStart w:id="1242" w:name="_Toc297216213"/>
      <w:bookmarkStart w:id="1243" w:name="_Toc304295581"/>
      <w:bookmarkStart w:id="1244" w:name="_Toc296346708"/>
      <w:bookmarkStart w:id="1245" w:name="_Toc292559917"/>
      <w:bookmarkStart w:id="1246" w:name="_Toc296891247"/>
      <w:bookmarkStart w:id="1247" w:name="_Toc297120507"/>
      <w:bookmarkStart w:id="1248" w:name="_Toc296347206"/>
      <w:bookmarkStart w:id="1249" w:name="_Toc296944546"/>
      <w:bookmarkStart w:id="1250" w:name="_Toc296891035"/>
      <w:bookmarkStart w:id="1251" w:name="_Toc296503207"/>
      <w:bookmarkStart w:id="1252" w:name="_Toc292559412"/>
      <w:bookmarkStart w:id="1253" w:name="_Toc297048393"/>
      <w:r>
        <w:rPr>
          <w:rFonts w:hint="eastAsia" w:ascii="微软雅黑" w:hAnsi="微软雅黑" w:eastAsia="微软雅黑" w:cs="微软雅黑"/>
          <w:color w:val="auto"/>
          <w:sz w:val="24"/>
          <w:szCs w:val="24"/>
          <w:highlight w:val="none"/>
        </w:rPr>
        <w:t>12.2 预付款</w:t>
      </w:r>
    </w:p>
    <w:bookmarkEnd w:id="1238"/>
    <w:bookmarkEnd w:id="1239"/>
    <w:bookmarkEnd w:id="1240"/>
    <w:bookmarkEnd w:id="1241"/>
    <w:bookmarkEnd w:id="1242"/>
    <w:bookmarkEnd w:id="1243"/>
    <w:p w14:paraId="2DF39B7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12.2.1 预付款的支付</w:t>
      </w:r>
    </w:p>
    <w:p w14:paraId="250D879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b/>
          <w:color w:val="auto"/>
          <w:sz w:val="24"/>
          <w:szCs w:val="24"/>
          <w:highlight w:val="none"/>
          <w:u w:val="single"/>
        </w:rPr>
      </w:pPr>
      <w:r>
        <w:rPr>
          <w:rFonts w:hint="eastAsia" w:ascii="微软雅黑" w:hAnsi="微软雅黑" w:eastAsia="微软雅黑" w:cs="微软雅黑"/>
          <w:b/>
          <w:color w:val="auto"/>
          <w:sz w:val="24"/>
          <w:szCs w:val="24"/>
          <w:highlight w:val="none"/>
        </w:rPr>
        <w:t>预付款支付比例或金额：</w:t>
      </w: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u w:val="single"/>
          <w:lang w:val="en-US" w:eastAsia="zh-CN"/>
        </w:rPr>
        <w:t xml:space="preserve">                      </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w:t>
      </w:r>
    </w:p>
    <w:p w14:paraId="6DA69D4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预付款支付期限：</w:t>
      </w:r>
      <w:r>
        <w:rPr>
          <w:rFonts w:hint="eastAsia" w:ascii="微软雅黑" w:hAnsi="微软雅黑" w:eastAsia="微软雅黑" w:cs="微软雅黑"/>
          <w:b/>
          <w:color w:val="auto"/>
          <w:sz w:val="24"/>
          <w:szCs w:val="24"/>
          <w:highlight w:val="none"/>
          <w:u w:val="single"/>
          <w:lang w:val="en-US" w:eastAsia="zh-CN"/>
        </w:rPr>
        <w:t xml:space="preserve">                           </w:t>
      </w: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rPr>
        <w:t>。</w:t>
      </w:r>
    </w:p>
    <w:p w14:paraId="26208F8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预付款扣回的方式：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7BFBF3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12.2.2 预付款担保</w:t>
      </w:r>
    </w:p>
    <w:p w14:paraId="47DD0B5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承包人提交预付款担保的期限：</w:t>
      </w:r>
      <w:r>
        <w:rPr>
          <w:rFonts w:hint="eastAsia" w:ascii="微软雅黑" w:hAnsi="微软雅黑" w:eastAsia="微软雅黑" w:cs="微软雅黑"/>
          <w:color w:val="auto"/>
          <w:sz w:val="24"/>
          <w:szCs w:val="24"/>
          <w:highlight w:val="none"/>
          <w:u w:val="single"/>
        </w:rPr>
        <w:t xml:space="preserve">       无            </w:t>
      </w:r>
      <w:r>
        <w:rPr>
          <w:rFonts w:hint="eastAsia" w:ascii="微软雅黑" w:hAnsi="微软雅黑" w:eastAsia="微软雅黑" w:cs="微软雅黑"/>
          <w:color w:val="auto"/>
          <w:sz w:val="24"/>
          <w:szCs w:val="24"/>
          <w:highlight w:val="none"/>
        </w:rPr>
        <w:t>。</w:t>
      </w:r>
    </w:p>
    <w:p w14:paraId="4DFD38D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预付款担保的形式为：</w:t>
      </w:r>
      <w:r>
        <w:rPr>
          <w:rFonts w:hint="eastAsia" w:ascii="微软雅黑" w:hAnsi="微软雅黑" w:eastAsia="微软雅黑" w:cs="微软雅黑"/>
          <w:color w:val="auto"/>
          <w:sz w:val="24"/>
          <w:szCs w:val="24"/>
          <w:highlight w:val="none"/>
          <w:u w:val="single"/>
        </w:rPr>
        <w:t xml:space="preserve">               无            </w:t>
      </w:r>
      <w:r>
        <w:rPr>
          <w:rFonts w:hint="eastAsia" w:ascii="微软雅黑" w:hAnsi="微软雅黑" w:eastAsia="微软雅黑" w:cs="微软雅黑"/>
          <w:color w:val="auto"/>
          <w:sz w:val="24"/>
          <w:szCs w:val="24"/>
          <w:highlight w:val="none"/>
        </w:rPr>
        <w:t>。</w:t>
      </w:r>
    </w:p>
    <w:bookmarkEnd w:id="1244"/>
    <w:bookmarkEnd w:id="1245"/>
    <w:bookmarkEnd w:id="1246"/>
    <w:bookmarkEnd w:id="1247"/>
    <w:bookmarkEnd w:id="1248"/>
    <w:bookmarkEnd w:id="1249"/>
    <w:bookmarkEnd w:id="1250"/>
    <w:bookmarkEnd w:id="1251"/>
    <w:bookmarkEnd w:id="1252"/>
    <w:bookmarkEnd w:id="1253"/>
    <w:p w14:paraId="2C456428">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 计量</w:t>
      </w:r>
    </w:p>
    <w:p w14:paraId="78162CD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12.3.1 计量原则</w:t>
      </w:r>
    </w:p>
    <w:p w14:paraId="2FDB40E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工程量计算规则：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ABCD4F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12.3.2 计量周期</w:t>
      </w:r>
    </w:p>
    <w:p w14:paraId="22904D7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关于计量周期的约定：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2B0011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12.3.3 单价合同的计量</w:t>
      </w:r>
    </w:p>
    <w:p w14:paraId="0184279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关于单价合同计量的约定：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0EDB0C5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12.3.4 总价合同的计量</w:t>
      </w:r>
    </w:p>
    <w:p w14:paraId="7F19022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关于总价合同计量的约定：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427EA6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12.3.5总价合同采用支付分解表计量支付的，是否适用第</w:t>
      </w:r>
      <w:r>
        <w:rPr>
          <w:rFonts w:hint="eastAsia" w:ascii="微软雅黑" w:hAnsi="微软雅黑" w:eastAsia="微软雅黑" w:cs="微软雅黑"/>
          <w:color w:val="auto"/>
          <w:kern w:val="0"/>
          <w:sz w:val="24"/>
          <w:szCs w:val="24"/>
          <w:highlight w:val="none"/>
        </w:rPr>
        <w:t xml:space="preserve">12.3.4 </w:t>
      </w:r>
      <w:r>
        <w:rPr>
          <w:rFonts w:hint="eastAsia" w:ascii="微软雅黑" w:hAnsi="微软雅黑" w:eastAsia="微软雅黑" w:cs="微软雅黑"/>
          <w:color w:val="auto"/>
          <w:sz w:val="24"/>
          <w:szCs w:val="24"/>
          <w:highlight w:val="none"/>
        </w:rPr>
        <w:t>项</w:t>
      </w:r>
      <w:r>
        <w:rPr>
          <w:rFonts w:hint="eastAsia" w:ascii="微软雅黑" w:hAnsi="微软雅黑" w:eastAsia="微软雅黑" w:cs="微软雅黑"/>
          <w:color w:val="auto"/>
          <w:kern w:val="0"/>
          <w:sz w:val="24"/>
          <w:szCs w:val="24"/>
          <w:highlight w:val="none"/>
        </w:rPr>
        <w:t>〔总价合同的计量〕</w:t>
      </w:r>
      <w:r>
        <w:rPr>
          <w:rFonts w:hint="eastAsia" w:ascii="微软雅黑" w:hAnsi="微软雅黑" w:eastAsia="微软雅黑" w:cs="微软雅黑"/>
          <w:color w:val="auto"/>
          <w:sz w:val="24"/>
          <w:szCs w:val="24"/>
          <w:highlight w:val="none"/>
        </w:rPr>
        <w:t>约定进行计量：</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p>
    <w:p w14:paraId="7B9C379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12.3.6 其他价格形式合同的计量</w:t>
      </w:r>
    </w:p>
    <w:p w14:paraId="2E9C1A1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其他价格形式的计量方式和程序：</w:t>
      </w:r>
      <w:r>
        <w:rPr>
          <w:rFonts w:hint="eastAsia" w:ascii="微软雅黑" w:hAnsi="微软雅黑" w:eastAsia="微软雅黑" w:cs="微软雅黑"/>
          <w:color w:val="auto"/>
          <w:sz w:val="24"/>
          <w:szCs w:val="24"/>
          <w:highlight w:val="none"/>
          <w:u w:val="single"/>
        </w:rPr>
        <w:t xml:space="preserve">   /          </w:t>
      </w:r>
    </w:p>
    <w:p w14:paraId="5A837A6E">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 工程进度款支付</w:t>
      </w:r>
    </w:p>
    <w:p w14:paraId="0A464AD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bookmarkStart w:id="1254" w:name="_Toc300935006"/>
      <w:bookmarkStart w:id="1255" w:name="_Toc297216215"/>
      <w:bookmarkStart w:id="1256" w:name="_Toc292559921"/>
      <w:bookmarkStart w:id="1257" w:name="_Toc296503211"/>
      <w:bookmarkStart w:id="1258" w:name="_Toc296891251"/>
      <w:bookmarkStart w:id="1259" w:name="_Toc296891039"/>
      <w:bookmarkStart w:id="1260" w:name="_Toc296944550"/>
      <w:bookmarkStart w:id="1261" w:name="_Toc292559416"/>
      <w:bookmarkStart w:id="1262" w:name="_Toc296346712"/>
      <w:bookmarkStart w:id="1263" w:name="_Toc297120511"/>
      <w:bookmarkStart w:id="1264" w:name="_Toc297048397"/>
      <w:bookmarkStart w:id="1265" w:name="_Toc303539163"/>
      <w:bookmarkStart w:id="1266" w:name="_Toc296347210"/>
      <w:bookmarkStart w:id="1267" w:name="_Toc297123556"/>
      <w:r>
        <w:rPr>
          <w:rFonts w:hint="eastAsia" w:ascii="微软雅黑" w:hAnsi="微软雅黑" w:eastAsia="微软雅黑" w:cs="微软雅黑"/>
          <w:color w:val="auto"/>
          <w:sz w:val="24"/>
          <w:szCs w:val="24"/>
          <w:highlight w:val="none"/>
        </w:rPr>
        <w:t>12.4.1 付款周期</w:t>
      </w:r>
    </w:p>
    <w:p w14:paraId="1A738655">
      <w:pPr>
        <w:keepLines w:val="0"/>
        <w:pageBreakBefore w:val="0"/>
        <w:kinsoku/>
        <w:wordWrap/>
        <w:overflowPunct/>
        <w:topLinePunct w:val="0"/>
        <w:bidi w:val="0"/>
        <w:spacing w:line="520" w:lineRule="exact"/>
        <w:ind w:firstLine="480" w:firstLineChars="200"/>
        <w:jc w:val="left"/>
        <w:outlineLvl w:val="9"/>
        <w:rPr>
          <w:rFonts w:hint="eastAsia" w:ascii="微软雅黑" w:hAnsi="微软雅黑" w:eastAsia="微软雅黑" w:cs="微软雅黑"/>
          <w:b/>
          <w:color w:val="auto"/>
          <w:sz w:val="24"/>
          <w:szCs w:val="24"/>
          <w:highlight w:val="none"/>
          <w:u w:val="single"/>
          <w:lang w:eastAsia="zh-CN"/>
        </w:rPr>
      </w:pPr>
      <w:r>
        <w:rPr>
          <w:rFonts w:hint="eastAsia" w:ascii="微软雅黑" w:hAnsi="微软雅黑" w:eastAsia="微软雅黑" w:cs="微软雅黑"/>
          <w:b/>
          <w:color w:val="auto"/>
          <w:sz w:val="24"/>
          <w:szCs w:val="24"/>
          <w:highlight w:val="none"/>
        </w:rPr>
        <w:t>关于付款周期的约定：</w:t>
      </w:r>
      <w:r>
        <w:rPr>
          <w:rFonts w:hint="eastAsia" w:ascii="微软雅黑" w:hAnsi="微软雅黑" w:eastAsia="微软雅黑" w:cs="微软雅黑"/>
          <w:b/>
          <w:color w:val="auto"/>
          <w:sz w:val="24"/>
          <w:szCs w:val="24"/>
          <w:highlight w:val="none"/>
          <w:u w:val="single"/>
          <w:lang w:val="en-US" w:eastAsia="zh-CN"/>
        </w:rPr>
        <w:t xml:space="preserve">                      </w:t>
      </w:r>
      <w:r>
        <w:rPr>
          <w:rFonts w:hint="eastAsia" w:ascii="微软雅黑" w:hAnsi="微软雅黑" w:eastAsia="微软雅黑" w:cs="微软雅黑"/>
          <w:b/>
          <w:color w:val="auto"/>
          <w:sz w:val="24"/>
          <w:szCs w:val="24"/>
          <w:highlight w:val="none"/>
          <w:u w:val="single"/>
          <w:lang w:eastAsia="zh-CN"/>
        </w:rPr>
        <w:t>。</w:t>
      </w:r>
    </w:p>
    <w:p w14:paraId="741F0DD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12.4.2 进度付款申请单的编制</w:t>
      </w:r>
    </w:p>
    <w:p w14:paraId="0796A79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关于进度付款申请单编制的约定：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9FB7FF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r>
        <w:rPr>
          <w:rFonts w:hint="eastAsia" w:ascii="微软雅黑" w:hAnsi="微软雅黑" w:eastAsia="微软雅黑" w:cs="微软雅黑"/>
          <w:color w:val="auto"/>
          <w:sz w:val="24"/>
          <w:szCs w:val="24"/>
          <w:highlight w:val="none"/>
        </w:rPr>
        <w:t>2.4.3 进度付款申请单的提交</w:t>
      </w:r>
    </w:p>
    <w:p w14:paraId="27E9F37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（1）单价合同进度付款申请单提交的约定：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3429386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（2）总价合同进度付款申请单提交的约定：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D0AFCB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（3）其他价格形式合同进度付款申请单提交的约定：</w:t>
      </w:r>
      <w:r>
        <w:rPr>
          <w:rFonts w:hint="eastAsia" w:ascii="微软雅黑" w:hAnsi="微软雅黑" w:eastAsia="微软雅黑" w:cs="微软雅黑"/>
          <w:color w:val="auto"/>
          <w:sz w:val="24"/>
          <w:szCs w:val="24"/>
          <w:highlight w:val="none"/>
          <w:u w:val="single"/>
        </w:rPr>
        <w:t xml:space="preserve">   /    </w:t>
      </w:r>
    </w:p>
    <w:p w14:paraId="6F3827D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12.4.4 进度款审核和支付</w:t>
      </w:r>
    </w:p>
    <w:p w14:paraId="24D6C99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（1）监理人审查并报送发包人的期限：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6C7705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发包人完成审批并签发进度款支付证书的期限：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BA0084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（2）发包人支付进度款的期限：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8C212D8">
      <w:pPr>
        <w:keepLines w:val="0"/>
        <w:pageBreakBefore w:val="0"/>
        <w:kinsoku/>
        <w:wordWrap/>
        <w:overflowPunct/>
        <w:topLinePunct w:val="0"/>
        <w:bidi w:val="0"/>
        <w:adjustRightInd w:val="0"/>
        <w:snapToGrid w:val="0"/>
        <w:spacing w:line="520" w:lineRule="exact"/>
        <w:ind w:right="-19" w:rightChars="-9" w:firstLine="600" w:firstLineChars="25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发包人逾期支付进度款的违约金的计算方式：</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4455A859">
      <w:pPr>
        <w:keepLines w:val="0"/>
        <w:pageBreakBefore w:val="0"/>
        <w:kinsoku/>
        <w:wordWrap/>
        <w:overflowPunct/>
        <w:topLinePunct w:val="0"/>
        <w:bidi w:val="0"/>
        <w:adjustRightInd w:val="0"/>
        <w:snapToGrid w:val="0"/>
        <w:spacing w:line="520" w:lineRule="exact"/>
        <w:ind w:right="-19" w:rightChars="-9" w:firstLine="600" w:firstLineChars="25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12.4.6 支付分解表的编制</w:t>
      </w:r>
    </w:p>
    <w:p w14:paraId="1800608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2、总价合同支付分解表的编制与审批：</w:t>
      </w:r>
      <w:r>
        <w:rPr>
          <w:rFonts w:hint="eastAsia" w:ascii="微软雅黑" w:hAnsi="微软雅黑" w:eastAsia="微软雅黑" w:cs="微软雅黑"/>
          <w:color w:val="auto"/>
          <w:sz w:val="24"/>
          <w:szCs w:val="24"/>
          <w:highlight w:val="none"/>
          <w:u w:val="single"/>
        </w:rPr>
        <w:t xml:space="preserve">       /          </w:t>
      </w:r>
    </w:p>
    <w:p w14:paraId="148006C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3、单价合同的总价项目支付分解表的编制与审批：</w:t>
      </w:r>
      <w:r>
        <w:rPr>
          <w:rFonts w:hint="eastAsia" w:ascii="微软雅黑" w:hAnsi="微软雅黑" w:eastAsia="微软雅黑" w:cs="微软雅黑"/>
          <w:color w:val="auto"/>
          <w:sz w:val="24"/>
          <w:szCs w:val="24"/>
          <w:highlight w:val="none"/>
          <w:u w:val="single"/>
        </w:rPr>
        <w:t xml:space="preserve">     /  </w:t>
      </w:r>
    </w:p>
    <w:bookmarkEnd w:id="1097"/>
    <w:p w14:paraId="124E6E87">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268" w:name="_Toc351203645"/>
      <w:bookmarkStart w:id="1269" w:name="_Toc296346720"/>
      <w:bookmarkStart w:id="1270" w:name="_Toc296503219"/>
      <w:bookmarkStart w:id="1271" w:name="_Toc296944558"/>
      <w:bookmarkStart w:id="1272" w:name="_Toc297048405"/>
      <w:bookmarkStart w:id="1273" w:name="_Toc297123564"/>
      <w:bookmarkStart w:id="1274" w:name="_Toc296891259"/>
      <w:bookmarkStart w:id="1275" w:name="_Toc303539172"/>
      <w:bookmarkStart w:id="1276" w:name="_Toc297216223"/>
      <w:bookmarkStart w:id="1277" w:name="_Toc297120519"/>
      <w:bookmarkStart w:id="1278" w:name="_Toc304295593"/>
      <w:bookmarkStart w:id="1279" w:name="_Toc296347218"/>
      <w:bookmarkStart w:id="1280" w:name="_Toc296891047"/>
      <w:bookmarkStart w:id="1281" w:name="_Toc300935015"/>
      <w:bookmarkStart w:id="1282" w:name="_Toc292559929"/>
      <w:bookmarkStart w:id="1283" w:name="_Toc292559424"/>
      <w:bookmarkStart w:id="1284" w:name="_Toc312678053"/>
      <w:r>
        <w:rPr>
          <w:rFonts w:hint="eastAsia" w:ascii="微软雅黑" w:hAnsi="微软雅黑" w:eastAsia="微软雅黑" w:cs="微软雅黑"/>
          <w:b w:val="0"/>
          <w:color w:val="auto"/>
          <w:sz w:val="24"/>
          <w:szCs w:val="24"/>
          <w:highlight w:val="none"/>
        </w:rPr>
        <w:t>13. 验收和工程试车</w:t>
      </w:r>
      <w:bookmarkEnd w:id="1268"/>
    </w:p>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14:paraId="4A2CC8C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 分部分项工程验收</w:t>
      </w:r>
    </w:p>
    <w:p w14:paraId="1F7D8F7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13.1.2监理人不能按时进行验收时，应提前</w:t>
      </w:r>
      <w:r>
        <w:rPr>
          <w:rFonts w:hint="eastAsia" w:ascii="微软雅黑" w:hAnsi="微软雅黑" w:eastAsia="微软雅黑" w:cs="微软雅黑"/>
          <w:color w:val="auto"/>
          <w:sz w:val="24"/>
          <w:szCs w:val="24"/>
          <w:highlight w:val="none"/>
          <w:u w:val="single"/>
        </w:rPr>
        <w:t xml:space="preserve"> 24 </w:t>
      </w:r>
      <w:r>
        <w:rPr>
          <w:rFonts w:hint="eastAsia" w:ascii="微软雅黑" w:hAnsi="微软雅黑" w:eastAsia="微软雅黑" w:cs="微软雅黑"/>
          <w:color w:val="auto"/>
          <w:sz w:val="24"/>
          <w:szCs w:val="24"/>
          <w:highlight w:val="none"/>
        </w:rPr>
        <w:t>时提交书面延期要求。</w:t>
      </w:r>
    </w:p>
    <w:p w14:paraId="718B8F6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关于延期最长不得超过：</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小时。</w:t>
      </w:r>
    </w:p>
    <w:p w14:paraId="2EAFB66C">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1285" w:name="_Toc303539173"/>
      <w:bookmarkStart w:id="1286" w:name="_Toc296944562"/>
      <w:bookmarkStart w:id="1287" w:name="_Toc312678056"/>
      <w:bookmarkStart w:id="1288" w:name="_Toc297120523"/>
      <w:bookmarkStart w:id="1289" w:name="_Toc296891051"/>
      <w:bookmarkStart w:id="1290" w:name="_Toc292559933"/>
      <w:bookmarkStart w:id="1291" w:name="_Toc296891263"/>
      <w:bookmarkStart w:id="1292" w:name="_Toc296503223"/>
      <w:bookmarkStart w:id="1293" w:name="_Toc297123565"/>
      <w:bookmarkStart w:id="1294" w:name="_Toc292559428"/>
      <w:bookmarkStart w:id="1295" w:name="_Toc300935016"/>
      <w:bookmarkStart w:id="1296" w:name="_Toc304295596"/>
      <w:bookmarkStart w:id="1297" w:name="_Toc297216224"/>
      <w:bookmarkStart w:id="1298" w:name="_Toc296346724"/>
      <w:bookmarkStart w:id="1299" w:name="_Toc296347222"/>
      <w:bookmarkStart w:id="1300" w:name="_Toc297048409"/>
      <w:bookmarkStart w:id="1301" w:name="_Toc267251470"/>
      <w:bookmarkStart w:id="1302" w:name="_Toc267251472"/>
      <w:bookmarkStart w:id="1303" w:name="_Toc267251475"/>
      <w:bookmarkStart w:id="1304" w:name="_Toc267251471"/>
      <w:bookmarkStart w:id="1305" w:name="_Toc267251473"/>
      <w:bookmarkStart w:id="1306" w:name="_Toc267251474"/>
      <w:bookmarkStart w:id="1307" w:name="_Toc267251476"/>
      <w:r>
        <w:rPr>
          <w:rFonts w:hint="eastAsia" w:ascii="微软雅黑" w:hAnsi="微软雅黑" w:eastAsia="微软雅黑" w:cs="微软雅黑"/>
          <w:color w:val="auto"/>
          <w:sz w:val="24"/>
          <w:szCs w:val="24"/>
          <w:highlight w:val="none"/>
        </w:rPr>
        <w:t>13.2 竣工验收</w:t>
      </w:r>
    </w:p>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14:paraId="1B5C7AE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bookmarkStart w:id="1308" w:name="_Toc280868704"/>
      <w:bookmarkStart w:id="1309" w:name="_Toc280868705"/>
      <w:bookmarkStart w:id="1310" w:name="_Toc280868706"/>
      <w:bookmarkStart w:id="1311" w:name="_Toc280868707"/>
      <w:bookmarkStart w:id="1312" w:name="_Toc280868708"/>
      <w:bookmarkStart w:id="1313" w:name="_Toc280868709"/>
      <w:r>
        <w:rPr>
          <w:rFonts w:hint="eastAsia" w:ascii="微软雅黑" w:hAnsi="微软雅黑" w:eastAsia="微软雅黑" w:cs="微软雅黑"/>
          <w:color w:val="auto"/>
          <w:sz w:val="24"/>
          <w:szCs w:val="24"/>
          <w:highlight w:val="none"/>
        </w:rPr>
        <w:t>13.2.2竣工验收程序</w:t>
      </w:r>
    </w:p>
    <w:bookmarkEnd w:id="1308"/>
    <w:p w14:paraId="54E50AA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关于竣工验收程序的约定：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B253AB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发包人不按照本项约定组织竣工验收、颁发工程接收证书的违约金的计算方法：</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309"/>
    <w:p w14:paraId="2750E17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13.2.5移交、接收全部与部分工程</w:t>
      </w:r>
    </w:p>
    <w:bookmarkEnd w:id="1310"/>
    <w:p w14:paraId="2746F9D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承包人向发包人移交工程的期限：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FE32BB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承包人提交的竣工资料的内容：</w:t>
      </w:r>
      <w:r>
        <w:rPr>
          <w:rFonts w:hint="eastAsia" w:ascii="微软雅黑" w:hAnsi="微软雅黑" w:eastAsia="微软雅黑" w:cs="微软雅黑"/>
          <w:color w:val="auto"/>
          <w:kern w:val="0"/>
          <w:sz w:val="24"/>
          <w:szCs w:val="24"/>
          <w:highlight w:val="none"/>
          <w:u w:val="single"/>
        </w:rPr>
        <w:t xml:space="preserve">                    。</w:t>
      </w:r>
    </w:p>
    <w:p w14:paraId="3623ECE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kern w:val="0"/>
          <w:sz w:val="24"/>
          <w:szCs w:val="24"/>
          <w:highlight w:val="none"/>
        </w:rPr>
        <w:t>发包人未按本合同约定接收全部或部分工程的，违约金的计算方法为：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311"/>
    <w:p w14:paraId="12CD805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承包人未按时移交工程的，违约金的计算方法为：</w:t>
      </w:r>
      <w:r>
        <w:rPr>
          <w:rFonts w:hint="eastAsia" w:ascii="微软雅黑" w:hAnsi="微软雅黑" w:eastAsia="微软雅黑" w:cs="微软雅黑"/>
          <w:color w:val="auto"/>
          <w:sz w:val="24"/>
          <w:szCs w:val="24"/>
          <w:highlight w:val="none"/>
          <w:u w:val="single"/>
        </w:rPr>
        <w:t xml:space="preserve">             。</w:t>
      </w:r>
    </w:p>
    <w:p w14:paraId="20B58167">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13.3 工程试车</w:t>
      </w:r>
    </w:p>
    <w:bookmarkEnd w:id="1312"/>
    <w:p w14:paraId="4220CFB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13.3.1 试车程序</w:t>
      </w:r>
    </w:p>
    <w:p w14:paraId="6D94A02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工程试车内容：</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w:t>
      </w:r>
    </w:p>
    <w:p w14:paraId="398F6F9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（1）单机无负荷试车费用由</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承担；</w:t>
      </w:r>
    </w:p>
    <w:p w14:paraId="7937C8C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（2）无负荷联动试车费用由</w:t>
      </w:r>
      <w:r>
        <w:rPr>
          <w:rFonts w:hint="eastAsia" w:ascii="微软雅黑" w:hAnsi="微软雅黑" w:eastAsia="微软雅黑" w:cs="微软雅黑"/>
          <w:color w:val="auto"/>
          <w:sz w:val="24"/>
          <w:szCs w:val="24"/>
          <w:highlight w:val="none"/>
          <w:u w:val="single"/>
        </w:rPr>
        <w:t xml:space="preserve">          无          </w:t>
      </w:r>
      <w:r>
        <w:rPr>
          <w:rFonts w:hint="eastAsia" w:ascii="微软雅黑" w:hAnsi="微软雅黑" w:eastAsia="微软雅黑" w:cs="微软雅黑"/>
          <w:color w:val="auto"/>
          <w:kern w:val="0"/>
          <w:sz w:val="24"/>
          <w:szCs w:val="24"/>
          <w:highlight w:val="none"/>
        </w:rPr>
        <w:t>承担。</w:t>
      </w:r>
    </w:p>
    <w:p w14:paraId="1A4F766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13.3.3 投料试车</w:t>
      </w:r>
    </w:p>
    <w:p w14:paraId="0588CF8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关于投料试车相关事项的约定：</w:t>
      </w:r>
      <w:r>
        <w:rPr>
          <w:rFonts w:hint="eastAsia" w:ascii="微软雅黑" w:hAnsi="微软雅黑" w:eastAsia="微软雅黑" w:cs="微软雅黑"/>
          <w:color w:val="auto"/>
          <w:sz w:val="24"/>
          <w:szCs w:val="24"/>
          <w:highlight w:val="none"/>
          <w:u w:val="single"/>
        </w:rPr>
        <w:t xml:space="preserve">        /      </w:t>
      </w:r>
    </w:p>
    <w:p w14:paraId="702884E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13.6 竣工退场</w:t>
      </w:r>
    </w:p>
    <w:p w14:paraId="22266FF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13.6.1 竣工退场</w:t>
      </w:r>
    </w:p>
    <w:p w14:paraId="27536CF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承包人完成竣工退场的期限：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DD73C4A">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314" w:name="_Toc351203646"/>
      <w:r>
        <w:rPr>
          <w:rFonts w:hint="eastAsia" w:ascii="微软雅黑" w:hAnsi="微软雅黑" w:eastAsia="微软雅黑" w:cs="微软雅黑"/>
          <w:b w:val="0"/>
          <w:color w:val="auto"/>
          <w:sz w:val="24"/>
          <w:szCs w:val="24"/>
          <w:highlight w:val="none"/>
        </w:rPr>
        <w:t>14. 竣工结算</w:t>
      </w:r>
      <w:bookmarkEnd w:id="1314"/>
    </w:p>
    <w:p w14:paraId="702ACD55">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 竣工付款申请</w:t>
      </w:r>
    </w:p>
    <w:p w14:paraId="76156D6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承包人提交竣工付款申请单的期限：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581317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竣工付款申请单应包括的内容：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929C959">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14.2 竣工结算审核</w:t>
      </w:r>
    </w:p>
    <w:p w14:paraId="0DAFCFE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发包人审批竣工付款申请单的期限：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6F2E9F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发包人完成竣工付款的期限：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8A8776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关于竣工付款证书异议部分复核的方式和程序：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1969B76">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14.4 最终结清</w:t>
      </w:r>
    </w:p>
    <w:p w14:paraId="1F9D0D0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14.4.1 最终结清申请单</w:t>
      </w:r>
    </w:p>
    <w:p w14:paraId="34CABC7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承包人提交最终结清申请单的份数：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E8E2ED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承包人提交最终结算申请单的期限：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23C0BE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14.4.2 最终结清证书和支付</w:t>
      </w:r>
    </w:p>
    <w:p w14:paraId="5AC02AD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（1）发包人完成最终结清申请单的审批并颁发最终结清证书的期限：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5CF4FC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（2）发包人完成支付的期限：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301"/>
    <w:bookmarkEnd w:id="1302"/>
    <w:bookmarkEnd w:id="1303"/>
    <w:bookmarkEnd w:id="1304"/>
    <w:bookmarkEnd w:id="1305"/>
    <w:bookmarkEnd w:id="1306"/>
    <w:bookmarkEnd w:id="1307"/>
    <w:bookmarkEnd w:id="1313"/>
    <w:p w14:paraId="0D3E8B7B">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315" w:name="_Toc351203647"/>
      <w:bookmarkStart w:id="1316" w:name="_Toc267251483"/>
      <w:bookmarkStart w:id="1317" w:name="_Toc267251482"/>
      <w:bookmarkStart w:id="1318" w:name="_Toc267251484"/>
      <w:bookmarkStart w:id="1319" w:name="_Toc267251485"/>
      <w:bookmarkStart w:id="1320" w:name="_Toc267251486"/>
      <w:bookmarkStart w:id="1321" w:name="_Toc267251488"/>
      <w:bookmarkStart w:id="1322" w:name="_Toc267251490"/>
      <w:bookmarkStart w:id="1323" w:name="_Toc267251489"/>
      <w:bookmarkStart w:id="1324" w:name="_Toc267251496"/>
      <w:bookmarkStart w:id="1325" w:name="_Toc267251503"/>
      <w:bookmarkStart w:id="1326" w:name="_Toc267251492"/>
      <w:bookmarkStart w:id="1327" w:name="_Toc267251491"/>
      <w:bookmarkStart w:id="1328" w:name="_Toc267251493"/>
      <w:bookmarkStart w:id="1329" w:name="_Toc267251495"/>
      <w:bookmarkStart w:id="1330" w:name="_Toc267251494"/>
      <w:bookmarkStart w:id="1331" w:name="_Toc267251498"/>
      <w:bookmarkStart w:id="1332" w:name="_Toc267251497"/>
      <w:bookmarkStart w:id="1333" w:name="_Toc267251501"/>
      <w:bookmarkStart w:id="1334" w:name="_Toc267251499"/>
      <w:bookmarkStart w:id="1335" w:name="_Toc267251502"/>
      <w:bookmarkStart w:id="1336" w:name="_Toc267251504"/>
      <w:bookmarkStart w:id="1337" w:name="_Toc267251506"/>
      <w:bookmarkStart w:id="1338" w:name="_Toc267251507"/>
      <w:bookmarkStart w:id="1339" w:name="_Toc267251508"/>
      <w:bookmarkStart w:id="1340" w:name="_Toc267251514"/>
      <w:bookmarkStart w:id="1341" w:name="_Toc267251515"/>
      <w:bookmarkStart w:id="1342" w:name="_Toc267251509"/>
      <w:bookmarkStart w:id="1343" w:name="_Toc267251513"/>
      <w:bookmarkStart w:id="1344" w:name="_Toc267251510"/>
      <w:bookmarkStart w:id="1345" w:name="_Toc267251511"/>
      <w:r>
        <w:rPr>
          <w:rFonts w:hint="eastAsia" w:ascii="微软雅黑" w:hAnsi="微软雅黑" w:eastAsia="微软雅黑" w:cs="微软雅黑"/>
          <w:b w:val="0"/>
          <w:color w:val="auto"/>
          <w:sz w:val="24"/>
          <w:szCs w:val="24"/>
          <w:highlight w:val="none"/>
        </w:rPr>
        <w:t>15. 缺陷责任期与保修</w:t>
      </w:r>
      <w:bookmarkEnd w:id="1315"/>
    </w:p>
    <w:p w14:paraId="55491BD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15.2缺陷责任期</w:t>
      </w:r>
      <w:bookmarkEnd w:id="1316"/>
    </w:p>
    <w:p w14:paraId="769CBE9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缺陷责任期的具体期限：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53B78FF">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15.3 质量保证金</w:t>
      </w:r>
    </w:p>
    <w:p w14:paraId="1FBCBBF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关于是否扣留质量保证金的约定：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43906D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15.3.1 承包人提供质量保证金的方式</w:t>
      </w:r>
    </w:p>
    <w:p w14:paraId="2958D41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质量保证金采用以下第</w:t>
      </w:r>
      <w:r>
        <w:rPr>
          <w:rFonts w:hint="eastAsia" w:ascii="微软雅黑" w:hAnsi="微软雅黑" w:eastAsia="微软雅黑" w:cs="微软雅黑"/>
          <w:color w:val="auto"/>
          <w:sz w:val="24"/>
          <w:szCs w:val="24"/>
          <w:highlight w:val="none"/>
          <w:u w:val="single"/>
        </w:rPr>
        <w:t xml:space="preserve"> 2 </w:t>
      </w:r>
      <w:r>
        <w:rPr>
          <w:rFonts w:hint="eastAsia" w:ascii="微软雅黑" w:hAnsi="微软雅黑" w:eastAsia="微软雅黑" w:cs="微软雅黑"/>
          <w:color w:val="auto"/>
          <w:sz w:val="24"/>
          <w:szCs w:val="24"/>
          <w:highlight w:val="none"/>
        </w:rPr>
        <w:t>种方式：</w:t>
      </w:r>
    </w:p>
    <w:p w14:paraId="6BE13562">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（1）质量保证金保函，保证金额为：</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77424067">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（2）工程决算价的 </w:t>
      </w:r>
      <w:r>
        <w:rPr>
          <w:rFonts w:hint="eastAsia" w:ascii="微软雅黑" w:hAnsi="微软雅黑" w:eastAsia="微软雅黑" w:cs="微软雅黑"/>
          <w:color w:val="auto"/>
          <w:kern w:val="0"/>
          <w:sz w:val="24"/>
          <w:szCs w:val="24"/>
          <w:highlight w:val="none"/>
          <w:u w:val="single"/>
        </w:rPr>
        <w:t xml:space="preserve"> 3 </w:t>
      </w:r>
      <w:r>
        <w:rPr>
          <w:rFonts w:hint="eastAsia" w:ascii="微软雅黑" w:hAnsi="微软雅黑" w:eastAsia="微软雅黑" w:cs="微软雅黑"/>
          <w:color w:val="auto"/>
          <w:kern w:val="0"/>
          <w:sz w:val="24"/>
          <w:szCs w:val="24"/>
          <w:highlight w:val="none"/>
        </w:rPr>
        <w:t xml:space="preserve"> %；</w:t>
      </w:r>
    </w:p>
    <w:p w14:paraId="5BBEACE7">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（3）其他方式:</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11643FD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15.3.2 质量保证金的扣留 </w:t>
      </w:r>
    </w:p>
    <w:p w14:paraId="02A662A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质量保证金的扣留采取以下第</w:t>
      </w:r>
      <w:r>
        <w:rPr>
          <w:rFonts w:hint="eastAsia" w:ascii="微软雅黑" w:hAnsi="微软雅黑" w:eastAsia="微软雅黑" w:cs="微软雅黑"/>
          <w:color w:val="auto"/>
          <w:sz w:val="24"/>
          <w:szCs w:val="24"/>
          <w:highlight w:val="none"/>
          <w:u w:val="single"/>
        </w:rPr>
        <w:t xml:space="preserve">  2  </w:t>
      </w:r>
      <w:r>
        <w:rPr>
          <w:rFonts w:hint="eastAsia" w:ascii="微软雅黑" w:hAnsi="微软雅黑" w:eastAsia="微软雅黑" w:cs="微软雅黑"/>
          <w:color w:val="auto"/>
          <w:sz w:val="24"/>
          <w:szCs w:val="24"/>
          <w:highlight w:val="none"/>
        </w:rPr>
        <w:t>种方式：</w:t>
      </w:r>
    </w:p>
    <w:p w14:paraId="15B58346">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（1）在支付工程进度款时逐次扣留，在此情形下，质量保证金的计算基数不包括预付款的支付、扣回以及价格调整的金额；</w:t>
      </w:r>
    </w:p>
    <w:p w14:paraId="7353890A">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（2）工程竣工结算时一次性扣留质量保证金；</w:t>
      </w:r>
    </w:p>
    <w:p w14:paraId="335BA9AA">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（3）其他扣留方式:</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731CED4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关于质量保证金的补充约定：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bookmarkEnd w:id="1317"/>
    <w:bookmarkEnd w:id="1318"/>
    <w:p w14:paraId="772ED010">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15.4保修</w:t>
      </w:r>
    </w:p>
    <w:bookmarkEnd w:id="1319"/>
    <w:p w14:paraId="552A386F">
      <w:pPr>
        <w:keepLines w:val="0"/>
        <w:pageBreakBefore w:val="0"/>
        <w:kinsoku/>
        <w:wordWrap/>
        <w:overflowPunct/>
        <w:topLinePunct w:val="0"/>
        <w:bidi w:val="0"/>
        <w:adjustRightInd w:val="0"/>
        <w:snapToGrid w:val="0"/>
        <w:spacing w:line="520" w:lineRule="exact"/>
        <w:ind w:right="-19" w:rightChars="-9" w:firstLine="468" w:firstLineChars="195"/>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15.4.1 保修责任</w:t>
      </w:r>
    </w:p>
    <w:p w14:paraId="148F3D85">
      <w:pPr>
        <w:keepLines w:val="0"/>
        <w:pageBreakBefore w:val="0"/>
        <w:kinsoku/>
        <w:wordWrap/>
        <w:overflowPunct/>
        <w:topLinePunct w:val="0"/>
        <w:bidi w:val="0"/>
        <w:adjustRightInd w:val="0"/>
        <w:snapToGrid w:val="0"/>
        <w:spacing w:line="520" w:lineRule="exact"/>
        <w:ind w:right="-19" w:rightChars="-9" w:firstLine="468" w:firstLineChars="195"/>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工程保修期为：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47822153">
      <w:pPr>
        <w:keepLines w:val="0"/>
        <w:pageBreakBefore w:val="0"/>
        <w:kinsoku/>
        <w:wordWrap/>
        <w:overflowPunct/>
        <w:topLinePunct w:val="0"/>
        <w:bidi w:val="0"/>
        <w:adjustRightInd w:val="0"/>
        <w:snapToGrid w:val="0"/>
        <w:spacing w:line="520" w:lineRule="exact"/>
        <w:ind w:right="-19" w:rightChars="-9" w:firstLine="468" w:firstLineChars="195"/>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15.4.3 修复通知</w:t>
      </w:r>
    </w:p>
    <w:p w14:paraId="7733F8B1">
      <w:pPr>
        <w:keepLines w:val="0"/>
        <w:pageBreakBefore w:val="0"/>
        <w:kinsoku/>
        <w:wordWrap/>
        <w:overflowPunct/>
        <w:topLinePunct w:val="0"/>
        <w:bidi w:val="0"/>
        <w:adjustRightInd w:val="0"/>
        <w:snapToGrid w:val="0"/>
        <w:spacing w:line="520" w:lineRule="exact"/>
        <w:ind w:right="-19" w:rightChars="-9" w:firstLine="468" w:firstLineChars="195"/>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承包人收到保修通知并到达工程现场的合理时间：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bookmarkEnd w:id="1320"/>
    <w:bookmarkEnd w:id="1321"/>
    <w:bookmarkEnd w:id="1322"/>
    <w:bookmarkEnd w:id="1323"/>
    <w:p w14:paraId="4BB6BD02">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346" w:name="_Toc351203648"/>
      <w:bookmarkStart w:id="1347" w:name="_Toc280868717"/>
      <w:bookmarkStart w:id="1348" w:name="_Toc280868718"/>
      <w:r>
        <w:rPr>
          <w:rFonts w:hint="eastAsia" w:ascii="微软雅黑" w:hAnsi="微软雅黑" w:eastAsia="微软雅黑" w:cs="微软雅黑"/>
          <w:b w:val="0"/>
          <w:color w:val="auto"/>
          <w:sz w:val="24"/>
          <w:szCs w:val="24"/>
          <w:highlight w:val="none"/>
        </w:rPr>
        <w:t>16. 违约</w:t>
      </w:r>
      <w:bookmarkEnd w:id="1346"/>
    </w:p>
    <w:p w14:paraId="4416CE6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 发包人违约</w:t>
      </w:r>
    </w:p>
    <w:p w14:paraId="7B57ABE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16.1.1发包人违约的情形</w:t>
      </w:r>
    </w:p>
    <w:p w14:paraId="236CB58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发包人违约的其他情形：</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5EC0EB2F">
      <w:pPr>
        <w:keepLines w:val="0"/>
        <w:pageBreakBefore w:val="0"/>
        <w:kinsoku/>
        <w:wordWrap/>
        <w:overflowPunct/>
        <w:topLinePunct w:val="0"/>
        <w:bidi w:val="0"/>
        <w:adjustRightInd w:val="0"/>
        <w:snapToGrid w:val="0"/>
        <w:spacing w:line="520" w:lineRule="exact"/>
        <w:ind w:left="1050" w:right="-19" w:rightChars="-9" w:hanging="1200" w:hangingChars="5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16.1.2 发包人违约的责任</w:t>
      </w:r>
    </w:p>
    <w:p w14:paraId="2BD8BF4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发包人违约责任的承担方式和计算方法：</w:t>
      </w:r>
    </w:p>
    <w:p w14:paraId="4767762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（1）因发包人原因未能在计划开工日期前7天内下达开工通知的违约责任：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E02A34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（2）因发包人原因未能按合同约定支付合同价款的违约责任：</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627247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（3）发包人违反第10.1款〔变更的范围〕第（2）项约定，自行实施被取消的工作或转由他人实施的违约责任：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018614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322AE2D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（5）因发包人违反合同约定造成暂停施工的违约责任：</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1D3E208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（6）发包人无正当理由没有在约定期限内发出复工指示，导致承包人无法复工的违约责任：</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4597A24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（7）其他：</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36665FC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16.1.3 因发包人违约解除合同</w:t>
      </w:r>
    </w:p>
    <w:p w14:paraId="3BABA4B2">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承包人按16.1.1项〔发包人违约的情形〕约定暂停施工满</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天后发包人仍不纠正其违约行为并致使合同目的不能实现的，承包人有权解除合同。</w:t>
      </w:r>
    </w:p>
    <w:p w14:paraId="109C09D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16.2 承包人违约</w:t>
      </w:r>
    </w:p>
    <w:p w14:paraId="100DB4C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16.2.1 承包人违约的情形</w:t>
      </w:r>
    </w:p>
    <w:p w14:paraId="64D6CDA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承包人违约的其他情形：</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2B6F22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16.2.2承包人违约的责任</w:t>
      </w:r>
    </w:p>
    <w:p w14:paraId="4C0BF5C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承包人违约责任的承担方式和计算方法：</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8E9DFA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16.2.3 因承包人违约解除合同</w:t>
      </w:r>
    </w:p>
    <w:p w14:paraId="42037AC1">
      <w:pPr>
        <w:keepLines w:val="0"/>
        <w:pageBreakBefore w:val="0"/>
        <w:kinsoku/>
        <w:wordWrap/>
        <w:overflowPunct/>
        <w:topLinePunct w:val="0"/>
        <w:bidi w:val="0"/>
        <w:adjustRightInd w:val="0"/>
        <w:snapToGrid w:val="0"/>
        <w:spacing w:before="120" w:after="120"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关于承包人违约解除合同的特别约定：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8C8C762">
      <w:pPr>
        <w:keepLines w:val="0"/>
        <w:pageBreakBefore w:val="0"/>
        <w:kinsoku/>
        <w:wordWrap/>
        <w:overflowPunct/>
        <w:topLinePunct w:val="0"/>
        <w:bidi w:val="0"/>
        <w:adjustRightInd w:val="0"/>
        <w:snapToGrid w:val="0"/>
        <w:spacing w:before="120" w:after="120"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11E03349">
      <w:pPr>
        <w:keepNext w:val="0"/>
        <w:keepLines w:val="0"/>
        <w:pageBreakBefore w:val="0"/>
        <w:widowControl w:val="0"/>
        <w:kinsoku/>
        <w:wordWrap/>
        <w:overflowPunct/>
        <w:topLinePunct w:val="0"/>
        <w:bidi w:val="0"/>
        <w:snapToGrid w:val="0"/>
        <w:spacing w:before="120" w:after="120" w:line="520" w:lineRule="exact"/>
        <w:ind w:right="-19" w:rightChars="-9" w:firstLine="480" w:firstLineChars="200"/>
        <w:textAlignment w:val="auto"/>
        <w:outlineLvl w:val="9"/>
        <w:rPr>
          <w:rFonts w:hint="eastAsia" w:ascii="微软雅黑" w:hAnsi="微软雅黑" w:eastAsia="微软雅黑" w:cs="微软雅黑"/>
          <w:b w:val="0"/>
          <w:color w:val="auto"/>
          <w:sz w:val="24"/>
          <w:szCs w:val="24"/>
          <w:highlight w:val="none"/>
        </w:rPr>
      </w:pPr>
      <w:bookmarkStart w:id="1349" w:name="_Toc351203649"/>
      <w:r>
        <w:rPr>
          <w:rFonts w:hint="eastAsia" w:ascii="微软雅黑" w:hAnsi="微软雅黑" w:eastAsia="微软雅黑" w:cs="微软雅黑"/>
          <w:b w:val="0"/>
          <w:color w:val="auto"/>
          <w:sz w:val="24"/>
          <w:szCs w:val="24"/>
          <w:highlight w:val="none"/>
        </w:rPr>
        <w:t>17. 不可抗力</w:t>
      </w:r>
      <w:bookmarkEnd w:id="1349"/>
      <w:r>
        <w:rPr>
          <w:rFonts w:hint="eastAsia" w:ascii="微软雅黑" w:hAnsi="微软雅黑" w:eastAsia="微软雅黑" w:cs="微软雅黑"/>
          <w:b w:val="0"/>
          <w:color w:val="auto"/>
          <w:sz w:val="24"/>
          <w:szCs w:val="24"/>
          <w:highlight w:val="none"/>
        </w:rPr>
        <w:t xml:space="preserve"> </w:t>
      </w:r>
      <w:bookmarkEnd w:id="1347"/>
    </w:p>
    <w:p w14:paraId="4E7395EF">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17.1 不可抗力的确认</w:t>
      </w:r>
    </w:p>
    <w:p w14:paraId="3C7EA76B">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 xml:space="preserve">除通用合同条款约定的不可抗力事件之外，视为不可抗力的其他情形： </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06C7B104">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17.4 因不可抗力解除合同</w:t>
      </w:r>
    </w:p>
    <w:p w14:paraId="768887CC">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合同解除后，发包人应在商定或确定发包人应支付款项后</w:t>
      </w:r>
      <w:r>
        <w:rPr>
          <w:rFonts w:hint="eastAsia" w:ascii="微软雅黑" w:hAnsi="微软雅黑" w:eastAsia="微软雅黑" w:cs="微软雅黑"/>
          <w:color w:val="auto"/>
          <w:sz w:val="24"/>
          <w:szCs w:val="24"/>
          <w:highlight w:val="none"/>
          <w:u w:val="single"/>
        </w:rPr>
        <w:t xml:space="preserve"> 28</w:t>
      </w:r>
      <w:r>
        <w:rPr>
          <w:rFonts w:hint="eastAsia" w:ascii="微软雅黑" w:hAnsi="微软雅黑" w:eastAsia="微软雅黑" w:cs="微软雅黑"/>
          <w:color w:val="auto"/>
          <w:sz w:val="24"/>
          <w:szCs w:val="24"/>
          <w:highlight w:val="none"/>
        </w:rPr>
        <w:t>天内完成款项的支付。</w:t>
      </w:r>
    </w:p>
    <w:p w14:paraId="7986DE6D">
      <w:pPr>
        <w:keepNext w:val="0"/>
        <w:keepLines w:val="0"/>
        <w:pageBreakBefore w:val="0"/>
        <w:widowControl w:val="0"/>
        <w:kinsoku/>
        <w:wordWrap/>
        <w:overflowPunct/>
        <w:topLinePunct w:val="0"/>
        <w:bidi w:val="0"/>
        <w:snapToGrid w:val="0"/>
        <w:spacing w:before="120" w:after="120" w:line="520" w:lineRule="exact"/>
        <w:ind w:right="-19" w:rightChars="-9" w:firstLine="480" w:firstLineChars="200"/>
        <w:textAlignment w:val="auto"/>
        <w:outlineLvl w:val="9"/>
        <w:rPr>
          <w:rFonts w:hint="eastAsia" w:ascii="微软雅黑" w:hAnsi="微软雅黑" w:eastAsia="微软雅黑" w:cs="微软雅黑"/>
          <w:b w:val="0"/>
          <w:color w:val="auto"/>
          <w:sz w:val="24"/>
          <w:szCs w:val="24"/>
          <w:highlight w:val="none"/>
        </w:rPr>
      </w:pPr>
      <w:bookmarkStart w:id="1350" w:name="_Toc351203650"/>
      <w:r>
        <w:rPr>
          <w:rFonts w:hint="eastAsia" w:ascii="微软雅黑" w:hAnsi="微软雅黑" w:eastAsia="微软雅黑" w:cs="微软雅黑"/>
          <w:b w:val="0"/>
          <w:color w:val="auto"/>
          <w:sz w:val="24"/>
          <w:szCs w:val="24"/>
          <w:highlight w:val="none"/>
        </w:rPr>
        <w:t>18. 保险</w:t>
      </w:r>
      <w:bookmarkEnd w:id="1350"/>
    </w:p>
    <w:bookmarkEnd w:id="1348"/>
    <w:p w14:paraId="46541590">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18.1 工程保险</w:t>
      </w:r>
    </w:p>
    <w:p w14:paraId="295D7575">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关于工程保险的特别约定：</w:t>
      </w:r>
      <w:r>
        <w:rPr>
          <w:rFonts w:hint="eastAsia" w:ascii="微软雅黑" w:hAnsi="微软雅黑" w:eastAsia="微软雅黑" w:cs="微软雅黑"/>
          <w:color w:val="auto"/>
          <w:kern w:val="0"/>
          <w:sz w:val="24"/>
          <w:szCs w:val="24"/>
          <w:highlight w:val="none"/>
          <w:u w:val="single"/>
        </w:rPr>
        <w:t xml:space="preserve">                。</w:t>
      </w:r>
    </w:p>
    <w:p w14:paraId="1D3CB189">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18.3 其他保险</w:t>
      </w:r>
    </w:p>
    <w:p w14:paraId="6E846568">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关于其他保险的约定：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5A962F27">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承包人是否应为其施工设备等办理财产保险：</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DC9487A">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18.7 通知义务</w:t>
      </w:r>
    </w:p>
    <w:p w14:paraId="26BCA3BA">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关于变更保险合同时的通知义务的约定：</w:t>
      </w:r>
      <w:r>
        <w:rPr>
          <w:rFonts w:hint="eastAsia" w:ascii="微软雅黑" w:hAnsi="微软雅黑" w:eastAsia="微软雅黑" w:cs="微软雅黑"/>
          <w:color w:val="auto"/>
          <w:sz w:val="24"/>
          <w:szCs w:val="24"/>
          <w:highlight w:val="none"/>
          <w:u w:val="single"/>
        </w:rPr>
        <w:t>无</w:t>
      </w:r>
      <w:r>
        <w:rPr>
          <w:rFonts w:hint="eastAsia" w:ascii="微软雅黑" w:hAnsi="微软雅黑" w:eastAsia="微软雅黑" w:cs="微软雅黑"/>
          <w:color w:val="auto"/>
          <w:sz w:val="24"/>
          <w:szCs w:val="24"/>
          <w:highlight w:val="none"/>
        </w:rPr>
        <w:t>。</w:t>
      </w:r>
    </w:p>
    <w:bookmarkEnd w:id="1324"/>
    <w:bookmarkEnd w:id="1325"/>
    <w:bookmarkEnd w:id="1326"/>
    <w:bookmarkEnd w:id="1327"/>
    <w:bookmarkEnd w:id="1328"/>
    <w:bookmarkEnd w:id="1329"/>
    <w:bookmarkEnd w:id="1330"/>
    <w:bookmarkEnd w:id="1331"/>
    <w:bookmarkEnd w:id="1332"/>
    <w:bookmarkEnd w:id="1333"/>
    <w:bookmarkEnd w:id="1334"/>
    <w:bookmarkEnd w:id="1335"/>
    <w:p w14:paraId="159343F8">
      <w:pPr>
        <w:keepNext w:val="0"/>
        <w:keepLines w:val="0"/>
        <w:pageBreakBefore w:val="0"/>
        <w:widowControl w:val="0"/>
        <w:kinsoku/>
        <w:wordWrap/>
        <w:overflowPunct/>
        <w:topLinePunct w:val="0"/>
        <w:bidi w:val="0"/>
        <w:snapToGrid w:val="0"/>
        <w:spacing w:before="120" w:after="120" w:line="520" w:lineRule="exact"/>
        <w:ind w:right="-19" w:rightChars="-9" w:firstLine="480" w:firstLineChars="200"/>
        <w:textAlignment w:val="auto"/>
        <w:outlineLvl w:val="9"/>
        <w:rPr>
          <w:rFonts w:hint="eastAsia" w:ascii="微软雅黑" w:hAnsi="微软雅黑" w:eastAsia="微软雅黑" w:cs="微软雅黑"/>
          <w:b w:val="0"/>
          <w:color w:val="auto"/>
          <w:sz w:val="24"/>
          <w:szCs w:val="24"/>
          <w:highlight w:val="none"/>
        </w:rPr>
      </w:pPr>
      <w:bookmarkStart w:id="1351" w:name="_Toc351203651"/>
      <w:r>
        <w:rPr>
          <w:rFonts w:hint="eastAsia" w:ascii="微软雅黑" w:hAnsi="微软雅黑" w:eastAsia="微软雅黑" w:cs="微软雅黑"/>
          <w:b w:val="0"/>
          <w:color w:val="auto"/>
          <w:sz w:val="24"/>
          <w:szCs w:val="24"/>
          <w:highlight w:val="none"/>
        </w:rPr>
        <w:t>20. 争议解决</w:t>
      </w:r>
      <w:bookmarkEnd w:id="1351"/>
    </w:p>
    <w:bookmarkEnd w:id="1336"/>
    <w:bookmarkEnd w:id="1337"/>
    <w:p w14:paraId="43358336">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20.3 争</w:t>
      </w:r>
      <w:bookmarkEnd w:id="1338"/>
      <w:r>
        <w:rPr>
          <w:rFonts w:hint="eastAsia" w:ascii="微软雅黑" w:hAnsi="微软雅黑" w:eastAsia="微软雅黑" w:cs="微软雅黑"/>
          <w:color w:val="auto"/>
          <w:sz w:val="24"/>
          <w:szCs w:val="24"/>
          <w:highlight w:val="none"/>
        </w:rPr>
        <w:t>议评审</w:t>
      </w:r>
    </w:p>
    <w:p w14:paraId="7CD27B82">
      <w:pPr>
        <w:keepNext w:val="0"/>
        <w:keepLines w:val="0"/>
        <w:pageBreakBefore w:val="0"/>
        <w:widowControl w:val="0"/>
        <w:kinsoku/>
        <w:wordWrap/>
        <w:overflowPunct/>
        <w:topLinePunct w:val="0"/>
        <w:bidi w:val="0"/>
        <w:adjustRightInd w:val="0"/>
        <w:snapToGrid w:val="0"/>
        <w:spacing w:line="520" w:lineRule="exact"/>
        <w:ind w:left="149" w:leftChars="71" w:right="-19" w:rightChars="-9" w:firstLine="360" w:firstLineChars="15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合同当事人是否同意将工程争议提交争议评审小组决定：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694B4A14">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20.3.1 争议评审小组的确定</w:t>
      </w:r>
    </w:p>
    <w:p w14:paraId="2515EA8E">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争议评审小组成员的确定：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CD759B2">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组成争议评审小组选定争议评审员的期限：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4EFF945">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争议评审小组成员的报酬承担方式：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6B63CCC">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其他事项的约定：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A3CFCEC">
      <w:pPr>
        <w:keepNext w:val="0"/>
        <w:keepLines w:val="0"/>
        <w:pageBreakBefore w:val="0"/>
        <w:widowControl w:val="0"/>
        <w:kinsoku/>
        <w:wordWrap/>
        <w:overflowPunct/>
        <w:topLinePunct w:val="0"/>
        <w:autoSpaceDE w:val="0"/>
        <w:autoSpaceDN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20.3.2 争议评审小组的决定</w:t>
      </w:r>
    </w:p>
    <w:p w14:paraId="359877C7">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合同当事人关于本项的约定：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081091C">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20.4仲裁或诉讼</w:t>
      </w:r>
      <w:bookmarkEnd w:id="1339"/>
    </w:p>
    <w:p w14:paraId="591E2624">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因合同及合同有关事项发生的争议，按下列第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种方式解决：</w:t>
      </w:r>
    </w:p>
    <w:p w14:paraId="22A016B3">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（1）向</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仲裁委员会申请仲裁；</w:t>
      </w:r>
    </w:p>
    <w:p w14:paraId="559D186C">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（2）向</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人民法院</w:t>
      </w:r>
      <w:bookmarkEnd w:id="1340"/>
      <w:bookmarkEnd w:id="1341"/>
      <w:bookmarkEnd w:id="1342"/>
      <w:bookmarkEnd w:id="1343"/>
      <w:bookmarkEnd w:id="1344"/>
      <w:bookmarkEnd w:id="1345"/>
      <w:r>
        <w:rPr>
          <w:rFonts w:hint="eastAsia" w:ascii="微软雅黑" w:hAnsi="微软雅黑" w:eastAsia="微软雅黑" w:cs="微软雅黑"/>
          <w:color w:val="auto"/>
          <w:sz w:val="24"/>
          <w:szCs w:val="24"/>
          <w:highlight w:val="none"/>
        </w:rPr>
        <w:t>起诉。</w:t>
      </w:r>
    </w:p>
    <w:p w14:paraId="4DFDE530">
      <w:pPr>
        <w:keepLines w:val="0"/>
        <w:pageBreakBefore w:val="0"/>
        <w:kinsoku/>
        <w:wordWrap/>
        <w:overflowPunct/>
        <w:topLinePunct w:val="0"/>
        <w:bidi w:val="0"/>
        <w:adjustRightInd w:val="0"/>
        <w:snapToGrid w:val="0"/>
        <w:spacing w:line="520" w:lineRule="exact"/>
        <w:ind w:right="-19" w:rightChars="-9"/>
        <w:jc w:val="left"/>
        <w:outlineLvl w:val="9"/>
        <w:rPr>
          <w:rFonts w:hint="eastAsia" w:ascii="微软雅黑" w:hAnsi="微软雅黑" w:eastAsia="微软雅黑" w:cs="微软雅黑"/>
          <w:color w:val="auto"/>
          <w:sz w:val="24"/>
          <w:szCs w:val="24"/>
          <w:highlight w:val="none"/>
        </w:rPr>
        <w:sectPr>
          <w:footerReference r:id="rId9" w:type="first"/>
          <w:footerReference r:id="rId8" w:type="default"/>
          <w:pgSz w:w="11905" w:h="16838"/>
          <w:pgMar w:top="1440" w:right="1083" w:bottom="1440" w:left="1083" w:header="851" w:footer="992" w:gutter="0"/>
          <w:pgNumType w:fmt="decimal"/>
          <w:cols w:space="0" w:num="1"/>
          <w:rtlGutter w:val="0"/>
          <w:docGrid w:linePitch="312" w:charSpace="0"/>
        </w:sectPr>
      </w:pPr>
    </w:p>
    <w:p w14:paraId="65150A25">
      <w:pPr>
        <w:keepLines w:val="0"/>
        <w:pageBreakBefore w:val="0"/>
        <w:kinsoku/>
        <w:wordWrap/>
        <w:overflowPunct/>
        <w:topLinePunct w:val="0"/>
        <w:bidi w:val="0"/>
        <w:spacing w:before="156" w:beforeLines="50" w:after="156" w:afterLines="50" w:line="520" w:lineRule="exact"/>
        <w:ind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附件1：</w:t>
      </w:r>
    </w:p>
    <w:p w14:paraId="7DD20396">
      <w:pPr>
        <w:keepLines w:val="0"/>
        <w:pageBreakBefore w:val="0"/>
        <w:kinsoku/>
        <w:wordWrap/>
        <w:overflowPunct/>
        <w:topLinePunct w:val="0"/>
        <w:bidi w:val="0"/>
        <w:spacing w:before="156" w:beforeLines="50" w:after="156" w:afterLines="50" w:line="520" w:lineRule="exact"/>
        <w:ind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承包人承揽工程项目一览表</w:t>
      </w:r>
    </w:p>
    <w:p w14:paraId="42168434">
      <w:pPr>
        <w:keepLines w:val="0"/>
        <w:pageBreakBefore w:val="0"/>
        <w:kinsoku/>
        <w:wordWrap/>
        <w:overflowPunct/>
        <w:topLinePunct w:val="0"/>
        <w:bidi w:val="0"/>
        <w:spacing w:before="156" w:beforeLines="50" w:after="156" w:afterLines="50" w:line="520" w:lineRule="exact"/>
        <w:ind w:right="-19" w:rightChars="-9"/>
        <w:jc w:val="center"/>
        <w:outlineLvl w:val="9"/>
        <w:rPr>
          <w:rFonts w:hint="eastAsia" w:ascii="微软雅黑" w:hAnsi="微软雅黑" w:eastAsia="微软雅黑" w:cs="微软雅黑"/>
          <w:color w:val="auto"/>
          <w:sz w:val="24"/>
          <w:szCs w:val="24"/>
          <w:highlight w:val="none"/>
        </w:rPr>
      </w:pPr>
    </w:p>
    <w:tbl>
      <w:tblPr>
        <w:tblStyle w:val="38"/>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120"/>
        <w:gridCol w:w="850"/>
        <w:gridCol w:w="1559"/>
        <w:gridCol w:w="851"/>
        <w:gridCol w:w="850"/>
        <w:gridCol w:w="1276"/>
        <w:gridCol w:w="1276"/>
        <w:gridCol w:w="1984"/>
        <w:gridCol w:w="1418"/>
        <w:gridCol w:w="1417"/>
      </w:tblGrid>
      <w:tr w14:paraId="2F686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120" w:type="dxa"/>
            <w:tcBorders>
              <w:top w:val="single" w:color="auto" w:sz="12" w:space="0"/>
              <w:bottom w:val="double" w:color="auto" w:sz="6" w:space="0"/>
            </w:tcBorders>
            <w:noWrap w:val="0"/>
            <w:vAlign w:val="center"/>
          </w:tcPr>
          <w:p w14:paraId="4BE83F6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单位工程名称</w:t>
            </w:r>
          </w:p>
        </w:tc>
        <w:tc>
          <w:tcPr>
            <w:tcW w:w="850" w:type="dxa"/>
            <w:tcBorders>
              <w:top w:val="single" w:color="auto" w:sz="12" w:space="0"/>
              <w:bottom w:val="double" w:color="auto" w:sz="6" w:space="0"/>
            </w:tcBorders>
            <w:noWrap w:val="0"/>
            <w:vAlign w:val="center"/>
          </w:tcPr>
          <w:p w14:paraId="4D54505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建设规模</w:t>
            </w:r>
          </w:p>
        </w:tc>
        <w:tc>
          <w:tcPr>
            <w:tcW w:w="1559" w:type="dxa"/>
            <w:tcBorders>
              <w:top w:val="single" w:color="auto" w:sz="12" w:space="0"/>
              <w:bottom w:val="double" w:color="auto" w:sz="6" w:space="0"/>
            </w:tcBorders>
            <w:noWrap w:val="0"/>
            <w:vAlign w:val="center"/>
          </w:tcPr>
          <w:p w14:paraId="52F041C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建筑面积</w:t>
            </w:r>
          </w:p>
          <w:p w14:paraId="79C2866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(平方米)</w:t>
            </w:r>
          </w:p>
        </w:tc>
        <w:tc>
          <w:tcPr>
            <w:tcW w:w="851" w:type="dxa"/>
            <w:tcBorders>
              <w:top w:val="single" w:color="auto" w:sz="12" w:space="0"/>
              <w:bottom w:val="double" w:color="auto" w:sz="6" w:space="0"/>
            </w:tcBorders>
            <w:noWrap w:val="0"/>
            <w:vAlign w:val="center"/>
          </w:tcPr>
          <w:p w14:paraId="08E5A5F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结构形式</w:t>
            </w:r>
          </w:p>
        </w:tc>
        <w:tc>
          <w:tcPr>
            <w:tcW w:w="850" w:type="dxa"/>
            <w:tcBorders>
              <w:top w:val="single" w:color="auto" w:sz="12" w:space="0"/>
              <w:bottom w:val="double" w:color="auto" w:sz="6" w:space="0"/>
            </w:tcBorders>
            <w:noWrap w:val="0"/>
            <w:vAlign w:val="center"/>
          </w:tcPr>
          <w:p w14:paraId="190A527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层数</w:t>
            </w:r>
          </w:p>
        </w:tc>
        <w:tc>
          <w:tcPr>
            <w:tcW w:w="1276" w:type="dxa"/>
            <w:tcBorders>
              <w:top w:val="single" w:color="auto" w:sz="12" w:space="0"/>
              <w:bottom w:val="double" w:color="auto" w:sz="6" w:space="0"/>
            </w:tcBorders>
            <w:noWrap w:val="0"/>
            <w:vAlign w:val="center"/>
          </w:tcPr>
          <w:p w14:paraId="6EA76F6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生产</w:t>
            </w:r>
          </w:p>
          <w:p w14:paraId="7B81EE7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能力</w:t>
            </w:r>
          </w:p>
        </w:tc>
        <w:tc>
          <w:tcPr>
            <w:tcW w:w="1276" w:type="dxa"/>
            <w:tcBorders>
              <w:top w:val="single" w:color="auto" w:sz="12" w:space="0"/>
              <w:bottom w:val="double" w:color="auto" w:sz="6" w:space="0"/>
            </w:tcBorders>
            <w:noWrap w:val="0"/>
            <w:vAlign w:val="center"/>
          </w:tcPr>
          <w:p w14:paraId="4B5C0DB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设备安装内容</w:t>
            </w:r>
          </w:p>
        </w:tc>
        <w:tc>
          <w:tcPr>
            <w:tcW w:w="1984" w:type="dxa"/>
            <w:tcBorders>
              <w:top w:val="single" w:color="auto" w:sz="12" w:space="0"/>
              <w:bottom w:val="double" w:color="auto" w:sz="6" w:space="0"/>
            </w:tcBorders>
            <w:noWrap w:val="0"/>
            <w:vAlign w:val="center"/>
          </w:tcPr>
          <w:p w14:paraId="041D38E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合同价格（元）</w:t>
            </w:r>
          </w:p>
        </w:tc>
        <w:tc>
          <w:tcPr>
            <w:tcW w:w="1418" w:type="dxa"/>
            <w:tcBorders>
              <w:top w:val="single" w:color="auto" w:sz="12" w:space="0"/>
              <w:bottom w:val="double" w:color="auto" w:sz="6" w:space="0"/>
            </w:tcBorders>
            <w:noWrap w:val="0"/>
            <w:vAlign w:val="center"/>
          </w:tcPr>
          <w:p w14:paraId="024651A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开工日期</w:t>
            </w:r>
          </w:p>
        </w:tc>
        <w:tc>
          <w:tcPr>
            <w:tcW w:w="1417" w:type="dxa"/>
            <w:tcBorders>
              <w:top w:val="single" w:color="auto" w:sz="12" w:space="0"/>
              <w:bottom w:val="double" w:color="auto" w:sz="6" w:space="0"/>
            </w:tcBorders>
            <w:noWrap w:val="0"/>
            <w:vAlign w:val="center"/>
          </w:tcPr>
          <w:p w14:paraId="4CF9F4F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竣工日期</w:t>
            </w:r>
          </w:p>
        </w:tc>
      </w:tr>
      <w:tr w14:paraId="2BBDC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2" w:hRule="atLeast"/>
        </w:trPr>
        <w:tc>
          <w:tcPr>
            <w:tcW w:w="3120" w:type="dxa"/>
            <w:tcBorders>
              <w:top w:val="double" w:color="auto" w:sz="6" w:space="0"/>
              <w:bottom w:val="single" w:color="auto" w:sz="6" w:space="0"/>
            </w:tcBorders>
            <w:noWrap w:val="0"/>
            <w:vAlign w:val="center"/>
          </w:tcPr>
          <w:p w14:paraId="5321BE4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double" w:color="auto" w:sz="6" w:space="0"/>
              <w:bottom w:val="single" w:color="auto" w:sz="6" w:space="0"/>
            </w:tcBorders>
            <w:noWrap w:val="0"/>
            <w:vAlign w:val="center"/>
          </w:tcPr>
          <w:p w14:paraId="0802195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tcBorders>
              <w:top w:val="double" w:color="auto" w:sz="6" w:space="0"/>
              <w:bottom w:val="single" w:color="auto" w:sz="6" w:space="0"/>
            </w:tcBorders>
            <w:noWrap w:val="0"/>
            <w:vAlign w:val="center"/>
          </w:tcPr>
          <w:p w14:paraId="26E1334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double" w:color="auto" w:sz="6" w:space="0"/>
              <w:bottom w:val="single" w:color="auto" w:sz="6" w:space="0"/>
            </w:tcBorders>
            <w:noWrap w:val="0"/>
            <w:vAlign w:val="center"/>
          </w:tcPr>
          <w:p w14:paraId="459C1DD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double" w:color="auto" w:sz="6" w:space="0"/>
              <w:bottom w:val="single" w:color="auto" w:sz="6" w:space="0"/>
            </w:tcBorders>
            <w:noWrap w:val="0"/>
            <w:vAlign w:val="center"/>
          </w:tcPr>
          <w:p w14:paraId="50D5866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double" w:color="auto" w:sz="6" w:space="0"/>
              <w:bottom w:val="single" w:color="auto" w:sz="6" w:space="0"/>
            </w:tcBorders>
            <w:noWrap w:val="0"/>
            <w:vAlign w:val="center"/>
          </w:tcPr>
          <w:p w14:paraId="0F8B519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double" w:color="auto" w:sz="6" w:space="0"/>
              <w:bottom w:val="single" w:color="auto" w:sz="6" w:space="0"/>
            </w:tcBorders>
            <w:noWrap w:val="0"/>
            <w:vAlign w:val="center"/>
          </w:tcPr>
          <w:p w14:paraId="2502CFD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tcBorders>
              <w:top w:val="double" w:color="auto" w:sz="6" w:space="0"/>
              <w:bottom w:val="single" w:color="auto" w:sz="6" w:space="0"/>
            </w:tcBorders>
            <w:noWrap w:val="0"/>
            <w:vAlign w:val="center"/>
          </w:tcPr>
          <w:p w14:paraId="0305405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double" w:color="auto" w:sz="6" w:space="0"/>
              <w:bottom w:val="single" w:color="auto" w:sz="6" w:space="0"/>
            </w:tcBorders>
            <w:noWrap w:val="0"/>
            <w:vAlign w:val="center"/>
          </w:tcPr>
          <w:p w14:paraId="359AB09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tcBorders>
              <w:top w:val="double" w:color="auto" w:sz="6" w:space="0"/>
              <w:bottom w:val="single" w:color="auto" w:sz="6" w:space="0"/>
            </w:tcBorders>
            <w:noWrap w:val="0"/>
            <w:vAlign w:val="center"/>
          </w:tcPr>
          <w:p w14:paraId="3AD2ABD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7047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tcBorders>
              <w:top w:val="nil"/>
            </w:tcBorders>
            <w:noWrap w:val="0"/>
            <w:vAlign w:val="center"/>
          </w:tcPr>
          <w:p w14:paraId="6267A9B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7A47DFB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tcBorders>
              <w:top w:val="nil"/>
            </w:tcBorders>
            <w:noWrap w:val="0"/>
            <w:vAlign w:val="center"/>
          </w:tcPr>
          <w:p w14:paraId="6003386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273259A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1BD3E28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09EFD4E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2A170FF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tcBorders>
              <w:top w:val="nil"/>
            </w:tcBorders>
            <w:noWrap w:val="0"/>
            <w:vAlign w:val="center"/>
          </w:tcPr>
          <w:p w14:paraId="69ED507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37C39BA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tcBorders>
              <w:top w:val="nil"/>
            </w:tcBorders>
            <w:noWrap w:val="0"/>
            <w:vAlign w:val="center"/>
          </w:tcPr>
          <w:p w14:paraId="31667F4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5E6C6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noWrap w:val="0"/>
            <w:vAlign w:val="center"/>
          </w:tcPr>
          <w:p w14:paraId="2D913A5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2EC2843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noWrap w:val="0"/>
            <w:vAlign w:val="center"/>
          </w:tcPr>
          <w:p w14:paraId="228088F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010A1E6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40530C6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3104A5C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5AD39A1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noWrap w:val="0"/>
            <w:vAlign w:val="center"/>
          </w:tcPr>
          <w:p w14:paraId="00FEF19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5856FC0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noWrap w:val="0"/>
            <w:vAlign w:val="center"/>
          </w:tcPr>
          <w:p w14:paraId="3836A71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7571C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tcBorders>
              <w:top w:val="nil"/>
            </w:tcBorders>
            <w:noWrap w:val="0"/>
            <w:vAlign w:val="center"/>
          </w:tcPr>
          <w:p w14:paraId="7F76C8E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1B45997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tcBorders>
              <w:top w:val="nil"/>
            </w:tcBorders>
            <w:noWrap w:val="0"/>
            <w:vAlign w:val="center"/>
          </w:tcPr>
          <w:p w14:paraId="7EF4417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7B92BC7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7865B91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6C484C4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0538250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tcBorders>
              <w:top w:val="nil"/>
            </w:tcBorders>
            <w:noWrap w:val="0"/>
            <w:vAlign w:val="center"/>
          </w:tcPr>
          <w:p w14:paraId="627C12E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4365B1C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tcBorders>
              <w:top w:val="nil"/>
            </w:tcBorders>
            <w:noWrap w:val="0"/>
            <w:vAlign w:val="center"/>
          </w:tcPr>
          <w:p w14:paraId="3F70353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80A8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noWrap w:val="0"/>
            <w:vAlign w:val="center"/>
          </w:tcPr>
          <w:p w14:paraId="34EC81E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5969A50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noWrap w:val="0"/>
            <w:vAlign w:val="center"/>
          </w:tcPr>
          <w:p w14:paraId="7BD986C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55632C8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3C19837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0C89EDE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17FD50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noWrap w:val="0"/>
            <w:vAlign w:val="center"/>
          </w:tcPr>
          <w:p w14:paraId="4ADFD5D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6925EF4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noWrap w:val="0"/>
            <w:vAlign w:val="center"/>
          </w:tcPr>
          <w:p w14:paraId="343FF38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4B4D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tcBorders>
              <w:top w:val="nil"/>
            </w:tcBorders>
            <w:noWrap w:val="0"/>
            <w:vAlign w:val="center"/>
          </w:tcPr>
          <w:p w14:paraId="2FF626D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3ABD602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tcBorders>
              <w:top w:val="nil"/>
            </w:tcBorders>
            <w:noWrap w:val="0"/>
            <w:vAlign w:val="center"/>
          </w:tcPr>
          <w:p w14:paraId="2FE5A51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7A1D6FE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1822D42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2CCE581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64D713C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tcBorders>
              <w:top w:val="nil"/>
            </w:tcBorders>
            <w:noWrap w:val="0"/>
            <w:vAlign w:val="center"/>
          </w:tcPr>
          <w:p w14:paraId="16752A3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061DC23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tcBorders>
              <w:top w:val="nil"/>
            </w:tcBorders>
            <w:noWrap w:val="0"/>
            <w:vAlign w:val="center"/>
          </w:tcPr>
          <w:p w14:paraId="339F458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52F98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tcBorders>
              <w:top w:val="nil"/>
            </w:tcBorders>
            <w:noWrap w:val="0"/>
            <w:vAlign w:val="center"/>
          </w:tcPr>
          <w:p w14:paraId="67289C3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76F45D5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tcBorders>
              <w:top w:val="nil"/>
            </w:tcBorders>
            <w:noWrap w:val="0"/>
            <w:vAlign w:val="center"/>
          </w:tcPr>
          <w:p w14:paraId="74951E0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3FD022D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73D2980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792427C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0B3B629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tcBorders>
              <w:top w:val="nil"/>
            </w:tcBorders>
            <w:noWrap w:val="0"/>
            <w:vAlign w:val="center"/>
          </w:tcPr>
          <w:p w14:paraId="351842B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4EE0E3D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tcBorders>
              <w:top w:val="nil"/>
            </w:tcBorders>
            <w:noWrap w:val="0"/>
            <w:vAlign w:val="center"/>
          </w:tcPr>
          <w:p w14:paraId="7753FCB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bl>
    <w:p w14:paraId="4BD79FF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
          <w:color w:val="auto"/>
          <w:sz w:val="24"/>
          <w:szCs w:val="24"/>
          <w:highlight w:val="none"/>
        </w:rPr>
        <w:sectPr>
          <w:pgSz w:w="16838" w:h="11905" w:orient="landscape"/>
          <w:pgMar w:top="1083" w:right="1440" w:bottom="1083" w:left="1440" w:header="851" w:footer="992" w:gutter="0"/>
          <w:pgNumType w:fmt="decimal"/>
          <w:cols w:space="0" w:num="1"/>
          <w:rtlGutter w:val="0"/>
          <w:docGrid w:linePitch="312" w:charSpace="0"/>
        </w:sectPr>
      </w:pPr>
    </w:p>
    <w:p w14:paraId="6AC0455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w:t>
      </w:r>
      <w:bookmarkStart w:id="1352" w:name="_Toc296891053"/>
      <w:bookmarkStart w:id="1353" w:name="_Toc267261692"/>
      <w:bookmarkStart w:id="1354" w:name="_Toc296503225"/>
      <w:bookmarkStart w:id="1355" w:name="_Toc296944564"/>
      <w:bookmarkStart w:id="1356" w:name="_Toc296891265"/>
      <w:bookmarkStart w:id="1357" w:name="_Toc296346726"/>
      <w:bookmarkStart w:id="1358" w:name="_Toc296347224"/>
      <w:r>
        <w:rPr>
          <w:rFonts w:hint="eastAsia" w:ascii="微软雅黑" w:hAnsi="微软雅黑" w:eastAsia="微软雅黑" w:cs="微软雅黑"/>
          <w:color w:val="auto"/>
          <w:sz w:val="24"/>
          <w:szCs w:val="24"/>
          <w:highlight w:val="none"/>
        </w:rPr>
        <w:t>件2：</w:t>
      </w:r>
    </w:p>
    <w:bookmarkEnd w:id="1352"/>
    <w:bookmarkEnd w:id="1353"/>
    <w:bookmarkEnd w:id="1354"/>
    <w:bookmarkEnd w:id="1355"/>
    <w:bookmarkEnd w:id="1356"/>
    <w:bookmarkEnd w:id="1357"/>
    <w:bookmarkEnd w:id="1358"/>
    <w:p w14:paraId="152A4057">
      <w:pPr>
        <w:keepLines w:val="0"/>
        <w:pageBreakBefore w:val="0"/>
        <w:kinsoku/>
        <w:wordWrap/>
        <w:overflowPunct/>
        <w:topLinePunct w:val="0"/>
        <w:bidi w:val="0"/>
        <w:spacing w:before="156" w:beforeLines="50" w:after="156" w:afterLines="50" w:line="520" w:lineRule="exact"/>
        <w:ind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发包人供应材料设备一览表</w:t>
      </w:r>
    </w:p>
    <w:tbl>
      <w:tblPr>
        <w:tblStyle w:val="38"/>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0C014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65F37AB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276" w:type="dxa"/>
            <w:tcBorders>
              <w:top w:val="single" w:color="auto" w:sz="12" w:space="0"/>
              <w:bottom w:val="double" w:color="auto" w:sz="6" w:space="0"/>
            </w:tcBorders>
            <w:noWrap w:val="0"/>
            <w:vAlign w:val="center"/>
          </w:tcPr>
          <w:p w14:paraId="086D40A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材料、</w:t>
            </w:r>
          </w:p>
          <w:p w14:paraId="6C3D6159">
            <w:pPr>
              <w:pStyle w:val="11"/>
              <w:keepNext/>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设备品种</w:t>
            </w:r>
          </w:p>
        </w:tc>
        <w:tc>
          <w:tcPr>
            <w:tcW w:w="1418" w:type="dxa"/>
            <w:tcBorders>
              <w:top w:val="single" w:color="auto" w:sz="12" w:space="0"/>
              <w:bottom w:val="double" w:color="auto" w:sz="6" w:space="0"/>
            </w:tcBorders>
            <w:noWrap w:val="0"/>
            <w:vAlign w:val="center"/>
          </w:tcPr>
          <w:p w14:paraId="015E08E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规格型号</w:t>
            </w:r>
          </w:p>
        </w:tc>
        <w:tc>
          <w:tcPr>
            <w:tcW w:w="940" w:type="dxa"/>
            <w:tcBorders>
              <w:top w:val="single" w:color="auto" w:sz="12" w:space="0"/>
              <w:bottom w:val="double" w:color="auto" w:sz="6" w:space="0"/>
            </w:tcBorders>
            <w:noWrap w:val="0"/>
            <w:vAlign w:val="center"/>
          </w:tcPr>
          <w:p w14:paraId="67959AE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单位</w:t>
            </w:r>
          </w:p>
        </w:tc>
        <w:tc>
          <w:tcPr>
            <w:tcW w:w="851" w:type="dxa"/>
            <w:tcBorders>
              <w:top w:val="single" w:color="auto" w:sz="12" w:space="0"/>
              <w:bottom w:val="double" w:color="auto" w:sz="6" w:space="0"/>
            </w:tcBorders>
            <w:noWrap w:val="0"/>
            <w:vAlign w:val="center"/>
          </w:tcPr>
          <w:p w14:paraId="7DFF50A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1044" w:type="dxa"/>
            <w:tcBorders>
              <w:top w:val="single" w:color="auto" w:sz="12" w:space="0"/>
              <w:bottom w:val="double" w:color="auto" w:sz="6" w:space="0"/>
            </w:tcBorders>
            <w:noWrap w:val="0"/>
            <w:vAlign w:val="center"/>
          </w:tcPr>
          <w:p w14:paraId="6F86041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单价（元）</w:t>
            </w:r>
          </w:p>
        </w:tc>
        <w:tc>
          <w:tcPr>
            <w:tcW w:w="992" w:type="dxa"/>
            <w:tcBorders>
              <w:top w:val="single" w:color="auto" w:sz="12" w:space="0"/>
              <w:bottom w:val="double" w:color="auto" w:sz="6" w:space="0"/>
            </w:tcBorders>
            <w:noWrap w:val="0"/>
            <w:vAlign w:val="center"/>
          </w:tcPr>
          <w:p w14:paraId="71D662F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质量等级</w:t>
            </w:r>
          </w:p>
        </w:tc>
        <w:tc>
          <w:tcPr>
            <w:tcW w:w="851" w:type="dxa"/>
            <w:tcBorders>
              <w:top w:val="single" w:color="auto" w:sz="12" w:space="0"/>
              <w:bottom w:val="double" w:color="auto" w:sz="6" w:space="0"/>
            </w:tcBorders>
            <w:noWrap w:val="0"/>
            <w:vAlign w:val="center"/>
          </w:tcPr>
          <w:p w14:paraId="314A7C3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供应时间</w:t>
            </w:r>
          </w:p>
        </w:tc>
        <w:tc>
          <w:tcPr>
            <w:tcW w:w="1487" w:type="dxa"/>
            <w:tcBorders>
              <w:top w:val="single" w:color="auto" w:sz="12" w:space="0"/>
              <w:bottom w:val="double" w:color="auto" w:sz="6" w:space="0"/>
            </w:tcBorders>
            <w:noWrap w:val="0"/>
            <w:vAlign w:val="center"/>
          </w:tcPr>
          <w:p w14:paraId="1FE8316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送达地点</w:t>
            </w:r>
          </w:p>
        </w:tc>
        <w:tc>
          <w:tcPr>
            <w:tcW w:w="992" w:type="dxa"/>
            <w:tcBorders>
              <w:top w:val="single" w:color="auto" w:sz="12" w:space="0"/>
              <w:bottom w:val="double" w:color="auto" w:sz="6" w:space="0"/>
            </w:tcBorders>
            <w:noWrap w:val="0"/>
            <w:vAlign w:val="center"/>
          </w:tcPr>
          <w:p w14:paraId="2DDBB70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31D45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507FD8D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double" w:color="auto" w:sz="6" w:space="0"/>
              <w:bottom w:val="single" w:color="auto" w:sz="6" w:space="0"/>
            </w:tcBorders>
            <w:noWrap w:val="0"/>
            <w:vAlign w:val="center"/>
          </w:tcPr>
          <w:p w14:paraId="2B68D46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double" w:color="auto" w:sz="6" w:space="0"/>
              <w:bottom w:val="single" w:color="auto" w:sz="6" w:space="0"/>
            </w:tcBorders>
            <w:noWrap w:val="0"/>
            <w:vAlign w:val="center"/>
          </w:tcPr>
          <w:p w14:paraId="49AA743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tcBorders>
              <w:top w:val="double" w:color="auto" w:sz="6" w:space="0"/>
              <w:bottom w:val="single" w:color="auto" w:sz="6" w:space="0"/>
            </w:tcBorders>
            <w:noWrap w:val="0"/>
            <w:vAlign w:val="center"/>
          </w:tcPr>
          <w:p w14:paraId="7773640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double" w:color="auto" w:sz="6" w:space="0"/>
              <w:bottom w:val="single" w:color="auto" w:sz="6" w:space="0"/>
            </w:tcBorders>
            <w:noWrap w:val="0"/>
            <w:vAlign w:val="center"/>
          </w:tcPr>
          <w:p w14:paraId="68453AA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tcBorders>
              <w:top w:val="double" w:color="auto" w:sz="6" w:space="0"/>
              <w:bottom w:val="single" w:color="auto" w:sz="6" w:space="0"/>
            </w:tcBorders>
            <w:noWrap w:val="0"/>
            <w:vAlign w:val="center"/>
          </w:tcPr>
          <w:p w14:paraId="03C3615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tcBorders>
              <w:top w:val="double" w:color="auto" w:sz="6" w:space="0"/>
              <w:bottom w:val="single" w:color="auto" w:sz="6" w:space="0"/>
            </w:tcBorders>
            <w:noWrap w:val="0"/>
            <w:vAlign w:val="center"/>
          </w:tcPr>
          <w:p w14:paraId="546E046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double" w:color="auto" w:sz="6" w:space="0"/>
              <w:bottom w:val="single" w:color="auto" w:sz="6" w:space="0"/>
            </w:tcBorders>
            <w:noWrap w:val="0"/>
            <w:vAlign w:val="center"/>
          </w:tcPr>
          <w:p w14:paraId="224E801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tcBorders>
              <w:top w:val="double" w:color="auto" w:sz="6" w:space="0"/>
              <w:bottom w:val="single" w:color="auto" w:sz="6" w:space="0"/>
            </w:tcBorders>
            <w:noWrap w:val="0"/>
            <w:vAlign w:val="center"/>
          </w:tcPr>
          <w:p w14:paraId="4DD8C93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tcBorders>
              <w:top w:val="double" w:color="auto" w:sz="6" w:space="0"/>
              <w:bottom w:val="single" w:color="auto" w:sz="6" w:space="0"/>
            </w:tcBorders>
            <w:noWrap w:val="0"/>
            <w:vAlign w:val="center"/>
          </w:tcPr>
          <w:p w14:paraId="10EAFC1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47A86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618CF63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4012C30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22AE608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tcBorders>
              <w:top w:val="nil"/>
            </w:tcBorders>
            <w:noWrap w:val="0"/>
            <w:vAlign w:val="center"/>
          </w:tcPr>
          <w:p w14:paraId="0E65AF9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66D98A9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tcBorders>
              <w:top w:val="nil"/>
            </w:tcBorders>
            <w:noWrap w:val="0"/>
            <w:vAlign w:val="center"/>
          </w:tcPr>
          <w:p w14:paraId="6D6465C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tcBorders>
              <w:top w:val="nil"/>
            </w:tcBorders>
            <w:noWrap w:val="0"/>
            <w:vAlign w:val="center"/>
          </w:tcPr>
          <w:p w14:paraId="200808C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7DB9DE5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tcBorders>
              <w:top w:val="nil"/>
            </w:tcBorders>
            <w:noWrap w:val="0"/>
            <w:vAlign w:val="center"/>
          </w:tcPr>
          <w:p w14:paraId="26082D6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tcBorders>
              <w:top w:val="nil"/>
            </w:tcBorders>
            <w:noWrap w:val="0"/>
            <w:vAlign w:val="center"/>
          </w:tcPr>
          <w:p w14:paraId="3C6877A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2CC0E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7C2DCE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5F4CEAC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20E25E9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6AA867B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2D369C4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6FF3F45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7107A77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2BF044C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2EF0298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1A08598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5E36E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EB4054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4FBF2D4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5E84CC8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7BF2A14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6C85B4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1AD3CB0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0E99B6F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2ABFA92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38E6E40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6C53948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16BD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CF8CE4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3C808E8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464F200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1494380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52A5D2F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37B748D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534AAA5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34DC0A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7685005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62CA1E7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0EFB5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D10E83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14CD8C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436DC3C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6D724BF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B52412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76A669B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338C581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C701F1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79FEA90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10DF2C3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5F37D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CAC53B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BC190C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1A72D87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3BBF09B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276E46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5AD5FEE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52E5F1B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A4DA28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365EED4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742451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1492E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D190BC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383559F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0F58651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507751B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DDB88B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5F1B54F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883DDF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A56C3A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097BFAA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39024E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57F62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83357AB">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1369F19">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67292ECA">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0051E334">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06AC213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5AE055C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2E9FD687">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476C4A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61A0935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303367C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38A54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BB3604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867F14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0F97FEE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40F8E73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3D8707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3C74537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845880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7CD2B12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0108984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2DD899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69A49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036F03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734E800B">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71F4BD8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619CFFF4">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0E8E96EA">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09230E1B">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20B9A317">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FD14F0B">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794F826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3C2DBFA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6A3D0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B2F2AF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5EC6A43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6551E879">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1B3CDAD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938AA77">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605E2DC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B7A0DC5">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03573C5">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1375D627">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52FB079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218DB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187B47F">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4AAA3E9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00D176F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3EAC686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230DDC0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3A4A2FF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7CE713E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2116294A">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4CAD61F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C13BCF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028C5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D157E9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7EF67006">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24077EC9">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03E8B7A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9926EDD">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6E88BEF5">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0E3A8F0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C5AC52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1CADA34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5A8D54B4">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4EB95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E84D02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6436C32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1BDDE38D">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60DA7F0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61A3BAC4">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6A0E7F6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967417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DC25CC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23D74A8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1404410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2B8E9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D1B897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4FD0A766">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7849747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6D09316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523DCE6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7ED7A67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1CD13FCF">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08F683A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4E22072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547DA06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24656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553752D">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6CF5603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3862D0B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30CD7C6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AD82C5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5B0DFDBF">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C517A46">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812AC4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3B5FB92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0096FA2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47D16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3CC7DD5">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D5447F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2CD86416">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0B9EB66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4D8301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5CD45B5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16C732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6B08F3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6A3ABB9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2AF830A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bl>
    <w:p w14:paraId="3C9FFC2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p w14:paraId="61919CF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p w14:paraId="2D2DA0E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w:t>
      </w:r>
      <w:bookmarkStart w:id="1359" w:name="_Toc296503226"/>
      <w:bookmarkStart w:id="1360" w:name="_Toc296346727"/>
      <w:bookmarkStart w:id="1361" w:name="_Toc296891266"/>
      <w:bookmarkStart w:id="1362" w:name="_Toc296891054"/>
      <w:bookmarkStart w:id="1363" w:name="_Toc267261693"/>
      <w:bookmarkStart w:id="1364" w:name="_Toc296347225"/>
      <w:bookmarkStart w:id="1365" w:name="_Toc296944565"/>
      <w:r>
        <w:rPr>
          <w:rFonts w:hint="eastAsia" w:ascii="微软雅黑" w:hAnsi="微软雅黑" w:eastAsia="微软雅黑" w:cs="微软雅黑"/>
          <w:color w:val="auto"/>
          <w:sz w:val="24"/>
          <w:szCs w:val="24"/>
          <w:highlight w:val="none"/>
        </w:rPr>
        <w:t>件3：</w:t>
      </w:r>
      <w:bookmarkEnd w:id="1359"/>
      <w:bookmarkEnd w:id="1360"/>
      <w:bookmarkEnd w:id="1361"/>
      <w:bookmarkEnd w:id="1362"/>
      <w:bookmarkEnd w:id="1363"/>
      <w:bookmarkEnd w:id="1364"/>
      <w:bookmarkEnd w:id="1365"/>
      <w:r>
        <w:rPr>
          <w:rFonts w:hint="eastAsia" w:ascii="微软雅黑" w:hAnsi="微软雅黑" w:eastAsia="微软雅黑" w:cs="微软雅黑"/>
          <w:color w:val="auto"/>
          <w:sz w:val="24"/>
          <w:szCs w:val="24"/>
          <w:highlight w:val="none"/>
        </w:rPr>
        <w:t xml:space="preserve">    </w:t>
      </w:r>
    </w:p>
    <w:p w14:paraId="3EB0224E">
      <w:pPr>
        <w:keepLines w:val="0"/>
        <w:pageBreakBefore w:val="0"/>
        <w:kinsoku/>
        <w:wordWrap/>
        <w:overflowPunct/>
        <w:topLinePunct w:val="0"/>
        <w:bidi w:val="0"/>
        <w:spacing w:before="156" w:beforeLines="50" w:after="156" w:afterLines="50" w:line="520" w:lineRule="exact"/>
        <w:ind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工程质量保修书</w:t>
      </w:r>
    </w:p>
    <w:p w14:paraId="0B7FBD6E">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发包人（全称）：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3C4FF8AE">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承包人（全称）：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0C52E83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发包人和承包人根据《中华人民共和国建筑法》和《建设工程质量管理条例》，经协商一致就</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（工程全称）签订工程质量保修书。</w:t>
      </w:r>
    </w:p>
    <w:p w14:paraId="156D37A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一、工程质量保修范围和内容</w:t>
      </w:r>
    </w:p>
    <w:p w14:paraId="17CF60F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承包人在质量保修期内，按照有关法律规定和合同约定，承担工程质量保修责任。</w:t>
      </w:r>
    </w:p>
    <w:p w14:paraId="539108E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1C3334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　　</w:t>
      </w:r>
      <w:r>
        <w:rPr>
          <w:rFonts w:hint="eastAsia" w:ascii="微软雅黑" w:hAnsi="微软雅黑" w:eastAsia="微软雅黑" w:cs="微软雅黑"/>
          <w:color w:val="auto"/>
          <w:sz w:val="24"/>
          <w:szCs w:val="24"/>
          <w:highlight w:val="none"/>
        </w:rPr>
        <w:t>二、质量保修期</w:t>
      </w:r>
    </w:p>
    <w:p w14:paraId="18A2C545">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根据《建设工程质量管理条例》及有关规定，工程的质量保修期如下：</w:t>
      </w:r>
    </w:p>
    <w:p w14:paraId="3A997B4A">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1．地基基础工程和主体结构工程为设计文件规定的工程合理使用年限；</w:t>
      </w:r>
    </w:p>
    <w:p w14:paraId="17052D09">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2．屋面防水工程、有防水要求的卫生间、房间和外墙面的防渗为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p>
    <w:p w14:paraId="664CF0F6">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3．装修工程为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p>
    <w:p w14:paraId="6D7C82E7">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4．电气管线、给排水管道、设备安装工程为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p>
    <w:p w14:paraId="5567E4D3">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5．供热与供冷系统为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个采暖期、供冷期；</w:t>
      </w:r>
    </w:p>
    <w:p w14:paraId="00CC688C">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6．住宅小区内的给排水设施、道路等配套工程为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p>
    <w:p w14:paraId="2D30F3E0">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7．其他项目保修期限约定如下：</w:t>
      </w:r>
      <w:r>
        <w:rPr>
          <w:rFonts w:hint="eastAsia" w:ascii="微软雅黑" w:hAnsi="微软雅黑" w:eastAsia="微软雅黑" w:cs="微软雅黑"/>
          <w:color w:val="auto"/>
          <w:sz w:val="24"/>
          <w:szCs w:val="24"/>
          <w:highlight w:val="none"/>
          <w:u w:val="single"/>
        </w:rPr>
        <w:t xml:space="preserve">           。</w:t>
      </w:r>
    </w:p>
    <w:p w14:paraId="68F7F98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质量保修期自工程竣工验收合格之日起计算。</w:t>
      </w:r>
    </w:p>
    <w:p w14:paraId="59E52198">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三、缺陷责任期</w:t>
      </w:r>
    </w:p>
    <w:p w14:paraId="474894AC">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工程缺陷责任期为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个月，缺陷责任期自工程竣工验收合格之日起计算。单位工程先于全部工程进行验收，单位工程缺陷责任期自单位工程验收合格之日起算。</w:t>
      </w:r>
    </w:p>
    <w:p w14:paraId="341CBA74">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缺陷责任期终止后，发包人应退还剩余的质量保证金。</w:t>
      </w:r>
    </w:p>
    <w:p w14:paraId="1BE1232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四、质量保修责任</w:t>
      </w:r>
    </w:p>
    <w:p w14:paraId="092ACF47">
      <w:pPr>
        <w:keepLines w:val="0"/>
        <w:pageBreakBefore w:val="0"/>
        <w:kinsoku/>
        <w:wordWrap/>
        <w:overflowPunct/>
        <w:topLinePunct w:val="0"/>
        <w:bidi w:val="0"/>
        <w:spacing w:line="520" w:lineRule="exact"/>
        <w:ind w:left="105" w:leftChars="50" w:right="-19" w:rightChars="-9" w:firstLine="491" w:firstLineChars="205"/>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1．属于保修范围、内容的项目，承包人应当在接到保修通知之日起7天内派人保修。承包人不在约定期限内派人保修的，发包人可以委托他人修理。</w:t>
      </w:r>
    </w:p>
    <w:p w14:paraId="6E968C7E">
      <w:pPr>
        <w:keepLines w:val="0"/>
        <w:pageBreakBefore w:val="0"/>
        <w:kinsoku/>
        <w:wordWrap/>
        <w:overflowPunct/>
        <w:topLinePunct w:val="0"/>
        <w:bidi w:val="0"/>
        <w:spacing w:line="520" w:lineRule="exact"/>
        <w:ind w:left="105" w:leftChars="50" w:right="-19" w:rightChars="-9" w:firstLine="491" w:firstLineChars="205"/>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2．发生紧急事故需抢修的，承包人在接到事故通知后，应当立即到达事故现场抢修。</w:t>
      </w:r>
    </w:p>
    <w:p w14:paraId="57A2B192">
      <w:pPr>
        <w:keepLines w:val="0"/>
        <w:pageBreakBefore w:val="0"/>
        <w:kinsoku/>
        <w:wordWrap/>
        <w:overflowPunct/>
        <w:topLinePunct w:val="0"/>
        <w:bidi w:val="0"/>
        <w:spacing w:line="520" w:lineRule="exact"/>
        <w:ind w:left="105" w:leftChars="50" w:right="-19" w:rightChars="-9" w:firstLine="491" w:firstLineChars="205"/>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A554F8A">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4．质量保修完成后，由发包人组织验收。</w:t>
      </w:r>
    </w:p>
    <w:p w14:paraId="74B962A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五、保修费用</w:t>
      </w:r>
    </w:p>
    <w:p w14:paraId="4DA2EF0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保修费用由造成质量缺陷的责任方承担。</w:t>
      </w:r>
    </w:p>
    <w:p w14:paraId="441E07F5">
      <w:pPr>
        <w:keepLines w:val="0"/>
        <w:pageBreakBefore w:val="0"/>
        <w:kinsoku/>
        <w:wordWrap/>
        <w:overflowPunct/>
        <w:topLinePunct w:val="0"/>
        <w:bidi w:val="0"/>
        <w:spacing w:line="520" w:lineRule="exact"/>
        <w:ind w:right="-19" w:rightChars="-9" w:firstLine="6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六</w:t>
      </w:r>
      <w:r>
        <w:rPr>
          <w:rFonts w:hint="eastAsia" w:ascii="微软雅黑" w:hAnsi="微软雅黑" w:eastAsia="微软雅黑" w:cs="微软雅黑"/>
          <w:color w:val="auto"/>
          <w:sz w:val="24"/>
          <w:szCs w:val="24"/>
          <w:highlight w:val="none"/>
        </w:rPr>
        <w:t>、双方约定的其他工程质量保修事项：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909341C">
      <w:pPr>
        <w:keepLines w:val="0"/>
        <w:pageBreakBefore w:val="0"/>
        <w:kinsoku/>
        <w:wordWrap/>
        <w:overflowPunct/>
        <w:topLinePunct w:val="0"/>
        <w:bidi w:val="0"/>
        <w:spacing w:line="520" w:lineRule="exact"/>
        <w:ind w:right="-19" w:rightChars="-9" w:firstLine="456" w:firstLineChars="19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工程质量保修书由发包人、承包人在工程竣工验收前共同签署，作为施工合同附件，其有效期限至保修期满。</w:t>
      </w:r>
    </w:p>
    <w:p w14:paraId="2457B045">
      <w:pPr>
        <w:keepLines w:val="0"/>
        <w:pageBreakBefore w:val="0"/>
        <w:kinsoku/>
        <w:wordWrap/>
        <w:overflowPunct/>
        <w:topLinePunct w:val="0"/>
        <w:bidi w:val="0"/>
        <w:spacing w:line="520" w:lineRule="exact"/>
        <w:ind w:right="-19" w:rightChars="-9" w:firstLine="420"/>
        <w:outlineLvl w:val="9"/>
        <w:rPr>
          <w:rFonts w:hint="eastAsia" w:ascii="微软雅黑" w:hAnsi="微软雅黑" w:eastAsia="微软雅黑" w:cs="微软雅黑"/>
          <w:color w:val="auto"/>
          <w:sz w:val="24"/>
          <w:szCs w:val="24"/>
          <w:highlight w:val="none"/>
        </w:rPr>
      </w:pPr>
    </w:p>
    <w:p w14:paraId="213657E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发包人(公章)：</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 xml:space="preserve">        承包人(公章)：</w:t>
      </w:r>
      <w:r>
        <w:rPr>
          <w:rFonts w:hint="eastAsia" w:ascii="微软雅黑" w:hAnsi="微软雅黑" w:eastAsia="微软雅黑" w:cs="微软雅黑"/>
          <w:color w:val="auto"/>
          <w:sz w:val="24"/>
          <w:szCs w:val="24"/>
          <w:highlight w:val="none"/>
          <w:u w:val="single"/>
        </w:rPr>
        <w:t xml:space="preserve">             </w:t>
      </w:r>
    </w:p>
    <w:p w14:paraId="0FD9DAB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地  址：</w:t>
      </w:r>
      <w:r>
        <w:rPr>
          <w:rFonts w:hint="eastAsia" w:ascii="微软雅黑" w:hAnsi="微软雅黑" w:eastAsia="微软雅黑" w:cs="微软雅黑"/>
          <w:color w:val="auto"/>
          <w:sz w:val="24"/>
          <w:szCs w:val="24"/>
          <w:highlight w:val="none"/>
          <w:u w:val="single"/>
        </w:rPr>
        <w:t xml:space="preserve">                       </w:t>
      </w:r>
    </w:p>
    <w:p w14:paraId="03347A0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法定代表人(签字)：</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法定代表人(签字)：</w:t>
      </w:r>
      <w:r>
        <w:rPr>
          <w:rFonts w:hint="eastAsia" w:ascii="微软雅黑" w:hAnsi="微软雅黑" w:eastAsia="微软雅黑" w:cs="微软雅黑"/>
          <w:color w:val="auto"/>
          <w:sz w:val="24"/>
          <w:szCs w:val="24"/>
          <w:highlight w:val="none"/>
          <w:u w:val="single"/>
        </w:rPr>
        <w:t xml:space="preserve">         </w:t>
      </w:r>
    </w:p>
    <w:p w14:paraId="3D393AB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委托代理人(签字)：</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委托代理人(签字)：</w:t>
      </w:r>
      <w:r>
        <w:rPr>
          <w:rFonts w:hint="eastAsia" w:ascii="微软雅黑" w:hAnsi="微软雅黑" w:eastAsia="微软雅黑" w:cs="微软雅黑"/>
          <w:color w:val="auto"/>
          <w:sz w:val="24"/>
          <w:szCs w:val="24"/>
          <w:highlight w:val="none"/>
          <w:u w:val="single"/>
        </w:rPr>
        <w:t xml:space="preserve">         </w:t>
      </w:r>
    </w:p>
    <w:p w14:paraId="7D3CC8B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  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电  话：</w:t>
      </w:r>
      <w:r>
        <w:rPr>
          <w:rFonts w:hint="eastAsia" w:ascii="微软雅黑" w:hAnsi="微软雅黑" w:eastAsia="微软雅黑" w:cs="微软雅黑"/>
          <w:color w:val="auto"/>
          <w:sz w:val="24"/>
          <w:szCs w:val="24"/>
          <w:highlight w:val="none"/>
          <w:u w:val="single"/>
        </w:rPr>
        <w:t xml:space="preserve">                   </w:t>
      </w:r>
    </w:p>
    <w:p w14:paraId="1F8A8B5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传  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传  真：</w:t>
      </w:r>
      <w:r>
        <w:rPr>
          <w:rFonts w:hint="eastAsia" w:ascii="微软雅黑" w:hAnsi="微软雅黑" w:eastAsia="微软雅黑" w:cs="微软雅黑"/>
          <w:color w:val="auto"/>
          <w:sz w:val="24"/>
          <w:szCs w:val="24"/>
          <w:highlight w:val="none"/>
          <w:u w:val="single"/>
        </w:rPr>
        <w:t xml:space="preserve">                   </w:t>
      </w:r>
    </w:p>
    <w:p w14:paraId="4FFA6F8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pacing w:val="-20"/>
          <w:sz w:val="24"/>
          <w:szCs w:val="24"/>
          <w:highlight w:val="none"/>
        </w:rPr>
      </w:pPr>
      <w:r>
        <w:rPr>
          <w:rFonts w:hint="eastAsia" w:ascii="微软雅黑" w:hAnsi="微软雅黑" w:eastAsia="微软雅黑" w:cs="微软雅黑"/>
          <w:color w:val="auto"/>
          <w:sz w:val="24"/>
          <w:szCs w:val="24"/>
          <w:highlight w:val="none"/>
        </w:rPr>
        <w:t>开户银行：</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开户银行：</w:t>
      </w:r>
      <w:r>
        <w:rPr>
          <w:rFonts w:hint="eastAsia" w:ascii="微软雅黑" w:hAnsi="微软雅黑" w:eastAsia="微软雅黑" w:cs="微软雅黑"/>
          <w:color w:val="auto"/>
          <w:spacing w:val="-20"/>
          <w:sz w:val="24"/>
          <w:szCs w:val="24"/>
          <w:highlight w:val="none"/>
          <w:u w:val="single"/>
        </w:rPr>
        <w:t xml:space="preserve">                               </w:t>
      </w:r>
    </w:p>
    <w:p w14:paraId="76ED15A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账  号：</w:t>
      </w:r>
      <w:r>
        <w:rPr>
          <w:rFonts w:hint="eastAsia" w:ascii="微软雅黑" w:hAnsi="微软雅黑" w:eastAsia="微软雅黑" w:cs="微软雅黑"/>
          <w:color w:val="auto"/>
          <w:sz w:val="24"/>
          <w:szCs w:val="24"/>
          <w:highlight w:val="none"/>
          <w:u w:val="single"/>
        </w:rPr>
        <w:t xml:space="preserve">                       </w:t>
      </w:r>
    </w:p>
    <w:p w14:paraId="2F787B43">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邮政编码：</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邮政编码：</w:t>
      </w:r>
      <w:r>
        <w:rPr>
          <w:rFonts w:hint="eastAsia" w:ascii="微软雅黑" w:hAnsi="微软雅黑" w:eastAsia="微软雅黑" w:cs="微软雅黑"/>
          <w:color w:val="auto"/>
          <w:sz w:val="24"/>
          <w:szCs w:val="24"/>
          <w:highlight w:val="none"/>
          <w:u w:val="single"/>
        </w:rPr>
        <w:t xml:space="preserve">       </w:t>
      </w:r>
    </w:p>
    <w:p w14:paraId="645B69B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br w:type="page"/>
      </w:r>
      <w:r>
        <w:rPr>
          <w:rFonts w:hint="eastAsia" w:ascii="微软雅黑" w:hAnsi="微软雅黑" w:eastAsia="微软雅黑" w:cs="微软雅黑"/>
          <w:color w:val="auto"/>
          <w:sz w:val="24"/>
          <w:szCs w:val="24"/>
          <w:highlight w:val="none"/>
        </w:rPr>
        <w:t>附件4：</w:t>
      </w:r>
    </w:p>
    <w:p w14:paraId="658E9F60">
      <w:pPr>
        <w:keepLines w:val="0"/>
        <w:pageBreakBefore w:val="0"/>
        <w:kinsoku/>
        <w:wordWrap/>
        <w:overflowPunct/>
        <w:topLinePunct w:val="0"/>
        <w:bidi w:val="0"/>
        <w:spacing w:before="156" w:beforeLines="50" w:after="156" w:afterLines="50" w:line="520" w:lineRule="exact"/>
        <w:ind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承包人用于本工程施工的机械设备表</w:t>
      </w:r>
    </w:p>
    <w:tbl>
      <w:tblPr>
        <w:tblStyle w:val="3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628A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443F4F3B">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418" w:type="dxa"/>
            <w:tcBorders>
              <w:top w:val="single" w:color="auto" w:sz="12" w:space="0"/>
              <w:bottom w:val="double" w:color="auto" w:sz="6" w:space="0"/>
            </w:tcBorders>
            <w:noWrap w:val="0"/>
            <w:vAlign w:val="center"/>
          </w:tcPr>
          <w:p w14:paraId="3F93AD4A">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机械或设备名称</w:t>
            </w:r>
          </w:p>
        </w:tc>
        <w:tc>
          <w:tcPr>
            <w:tcW w:w="850" w:type="dxa"/>
            <w:tcBorders>
              <w:top w:val="single" w:color="auto" w:sz="12" w:space="0"/>
              <w:bottom w:val="double" w:color="auto" w:sz="6" w:space="0"/>
            </w:tcBorders>
            <w:noWrap w:val="0"/>
            <w:vAlign w:val="center"/>
          </w:tcPr>
          <w:p w14:paraId="3CBBFC18">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规格型号</w:t>
            </w:r>
          </w:p>
        </w:tc>
        <w:tc>
          <w:tcPr>
            <w:tcW w:w="1058" w:type="dxa"/>
            <w:tcBorders>
              <w:top w:val="single" w:color="auto" w:sz="12" w:space="0"/>
              <w:bottom w:val="double" w:color="auto" w:sz="6" w:space="0"/>
            </w:tcBorders>
            <w:noWrap w:val="0"/>
            <w:vAlign w:val="center"/>
          </w:tcPr>
          <w:p w14:paraId="24A71953">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880" w:type="dxa"/>
            <w:tcBorders>
              <w:top w:val="single" w:color="auto" w:sz="12" w:space="0"/>
              <w:bottom w:val="double" w:color="auto" w:sz="6" w:space="0"/>
            </w:tcBorders>
            <w:noWrap w:val="0"/>
            <w:vAlign w:val="center"/>
          </w:tcPr>
          <w:p w14:paraId="0D90ABB5">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产地</w:t>
            </w:r>
          </w:p>
        </w:tc>
        <w:tc>
          <w:tcPr>
            <w:tcW w:w="1020" w:type="dxa"/>
            <w:tcBorders>
              <w:top w:val="single" w:color="auto" w:sz="12" w:space="0"/>
              <w:bottom w:val="double" w:color="auto" w:sz="6" w:space="0"/>
            </w:tcBorders>
            <w:noWrap w:val="0"/>
            <w:vAlign w:val="center"/>
          </w:tcPr>
          <w:p w14:paraId="4600A9A8">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制造年份</w:t>
            </w:r>
          </w:p>
        </w:tc>
        <w:tc>
          <w:tcPr>
            <w:tcW w:w="1480" w:type="dxa"/>
            <w:tcBorders>
              <w:top w:val="single" w:color="auto" w:sz="12" w:space="0"/>
              <w:bottom w:val="double" w:color="auto" w:sz="6" w:space="0"/>
            </w:tcBorders>
            <w:noWrap w:val="0"/>
            <w:vAlign w:val="center"/>
          </w:tcPr>
          <w:p w14:paraId="60211643">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额定功率(kW)</w:t>
            </w:r>
          </w:p>
        </w:tc>
        <w:tc>
          <w:tcPr>
            <w:tcW w:w="1020" w:type="dxa"/>
            <w:tcBorders>
              <w:top w:val="single" w:color="auto" w:sz="12" w:space="0"/>
              <w:bottom w:val="double" w:color="auto" w:sz="6" w:space="0"/>
            </w:tcBorders>
            <w:noWrap w:val="0"/>
            <w:vAlign w:val="center"/>
          </w:tcPr>
          <w:p w14:paraId="78B40408">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生产能力</w:t>
            </w:r>
          </w:p>
        </w:tc>
        <w:tc>
          <w:tcPr>
            <w:tcW w:w="921" w:type="dxa"/>
            <w:tcBorders>
              <w:top w:val="single" w:color="auto" w:sz="12" w:space="0"/>
              <w:bottom w:val="double" w:color="auto" w:sz="6" w:space="0"/>
            </w:tcBorders>
            <w:noWrap w:val="0"/>
            <w:vAlign w:val="center"/>
          </w:tcPr>
          <w:p w14:paraId="1320886D">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0B32C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412288F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double" w:color="auto" w:sz="6" w:space="0"/>
              <w:bottom w:val="single" w:color="auto" w:sz="6" w:space="0"/>
            </w:tcBorders>
            <w:noWrap w:val="0"/>
            <w:vAlign w:val="center"/>
          </w:tcPr>
          <w:p w14:paraId="482D3CB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double" w:color="auto" w:sz="6" w:space="0"/>
              <w:bottom w:val="single" w:color="auto" w:sz="6" w:space="0"/>
            </w:tcBorders>
            <w:noWrap w:val="0"/>
            <w:vAlign w:val="center"/>
          </w:tcPr>
          <w:p w14:paraId="3582762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tcBorders>
              <w:top w:val="double" w:color="auto" w:sz="6" w:space="0"/>
              <w:bottom w:val="single" w:color="auto" w:sz="6" w:space="0"/>
            </w:tcBorders>
            <w:noWrap w:val="0"/>
            <w:vAlign w:val="center"/>
          </w:tcPr>
          <w:p w14:paraId="47BF30F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tcBorders>
              <w:top w:val="double" w:color="auto" w:sz="6" w:space="0"/>
              <w:bottom w:val="single" w:color="auto" w:sz="6" w:space="0"/>
            </w:tcBorders>
            <w:noWrap w:val="0"/>
            <w:vAlign w:val="center"/>
          </w:tcPr>
          <w:p w14:paraId="0660A8F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tcBorders>
              <w:top w:val="double" w:color="auto" w:sz="6" w:space="0"/>
              <w:bottom w:val="single" w:color="auto" w:sz="6" w:space="0"/>
            </w:tcBorders>
            <w:noWrap w:val="0"/>
            <w:vAlign w:val="center"/>
          </w:tcPr>
          <w:p w14:paraId="297CF9A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tcBorders>
              <w:top w:val="double" w:color="auto" w:sz="6" w:space="0"/>
              <w:bottom w:val="single" w:color="auto" w:sz="6" w:space="0"/>
            </w:tcBorders>
            <w:noWrap w:val="0"/>
            <w:vAlign w:val="center"/>
          </w:tcPr>
          <w:p w14:paraId="7C3BFF9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tcBorders>
              <w:top w:val="double" w:color="auto" w:sz="6" w:space="0"/>
              <w:bottom w:val="single" w:color="auto" w:sz="6" w:space="0"/>
            </w:tcBorders>
            <w:noWrap w:val="0"/>
            <w:vAlign w:val="center"/>
          </w:tcPr>
          <w:p w14:paraId="313A240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tcBorders>
              <w:top w:val="double" w:color="auto" w:sz="6" w:space="0"/>
              <w:bottom w:val="single" w:color="auto" w:sz="6" w:space="0"/>
            </w:tcBorders>
            <w:noWrap w:val="0"/>
            <w:vAlign w:val="center"/>
          </w:tcPr>
          <w:p w14:paraId="4ED430F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233FB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250E148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04956E8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77F2756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tcBorders>
              <w:top w:val="nil"/>
            </w:tcBorders>
            <w:noWrap w:val="0"/>
            <w:vAlign w:val="center"/>
          </w:tcPr>
          <w:p w14:paraId="3A26253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tcBorders>
              <w:top w:val="nil"/>
            </w:tcBorders>
            <w:noWrap w:val="0"/>
            <w:vAlign w:val="center"/>
          </w:tcPr>
          <w:p w14:paraId="7DF6305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tcBorders>
              <w:top w:val="nil"/>
            </w:tcBorders>
            <w:noWrap w:val="0"/>
            <w:vAlign w:val="center"/>
          </w:tcPr>
          <w:p w14:paraId="2224491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tcBorders>
              <w:top w:val="nil"/>
            </w:tcBorders>
            <w:noWrap w:val="0"/>
            <w:vAlign w:val="center"/>
          </w:tcPr>
          <w:p w14:paraId="63448EA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tcBorders>
              <w:top w:val="nil"/>
            </w:tcBorders>
            <w:noWrap w:val="0"/>
            <w:vAlign w:val="center"/>
          </w:tcPr>
          <w:p w14:paraId="7A53CD8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tcBorders>
              <w:top w:val="nil"/>
            </w:tcBorders>
            <w:noWrap w:val="0"/>
            <w:vAlign w:val="center"/>
          </w:tcPr>
          <w:p w14:paraId="10DEC2B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69E48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3013A8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6BF3EEF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50E8C57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04BF195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00D023F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132E071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725AD14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02D127E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0A05CAD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DD91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E2AACF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1877FA5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1763940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526DD81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0715908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03CA7FF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756B8C7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120D7B5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1410A09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1F78F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C9326F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32FAC49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66C1234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0345456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223FBF8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1F533CE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1EA317B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29211E3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756FF50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2204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6917BD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6737FAE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7E092EB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57112AB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55AB75F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4284B16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248E83A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49F7358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324AB65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1F055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79269E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0411C38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1A851E6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3593F7E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5D32166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739D92C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6F800C3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14F3116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4053F51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46757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A5D8D9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152C8ED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2CA2794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06A14AB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42451EF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0B9F0A9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062984D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13007F5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67D20FD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7CE09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7CEBAB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302D951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4A276FD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309E9D3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4C492EA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3DCEC64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36142F83">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1C2B5B9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03469D31">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51EE0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50FBF2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3502330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7158ED3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5D77D1F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43C2DD2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2019302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660089C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6B2880A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2038AFD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7502F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A1C81D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779C7AE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490E586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4490BB7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76A7521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22C13B0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3CD2FCF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53A32D0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0870D89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02507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BB26B6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09A7051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5362FE4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1854A3B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4E3F584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6B183C5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51D7F9E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7213C27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35C508E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535EF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490E59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676A823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6D05D7C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0D397A66">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2704A05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58EC3BD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349B57E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3FDEB0D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5B34880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6F857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6DAADC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4985A5F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553736E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7439560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559F52F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71994506">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42C1420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76449B3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5F49FE8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5C892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445876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49CF175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017AC4B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665A21F3">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5D3E601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22C94DA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2C2C8E0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132434A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149DBE8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7D418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B66A2DE">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6E823E6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7CCD2F7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55ABE0D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2D03038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68BE661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44D3153E">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1BDB2B7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065AC9D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794D1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DFEA64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6CDDF5D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6528D98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272CB63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7FA12401">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7EE8E77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0FAF117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3C5C797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0D98305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59B44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75730A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5C1A7101">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7E76407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3F9C8BB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6B1350A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0003EEB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6027554E">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584799B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3548068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166CC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281579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5F860FF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2C70DB31">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48D97261">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691B4B6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0A3AD496">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6708D92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51BE1C6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53E330C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bl>
    <w:p w14:paraId="0D2C8AD9">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Cs/>
          <w:color w:val="auto"/>
          <w:sz w:val="24"/>
          <w:szCs w:val="24"/>
          <w:highlight w:val="none"/>
        </w:rPr>
        <w:t xml:space="preserve">      </w:t>
      </w:r>
      <w:r>
        <w:rPr>
          <w:rFonts w:hint="eastAsia" w:ascii="微软雅黑" w:hAnsi="微软雅黑" w:eastAsia="微软雅黑" w:cs="微软雅黑"/>
          <w:b/>
          <w:bCs/>
          <w:color w:val="auto"/>
          <w:sz w:val="24"/>
          <w:szCs w:val="24"/>
          <w:highlight w:val="none"/>
        </w:rPr>
        <w:t xml:space="preserve">       </w:t>
      </w:r>
    </w:p>
    <w:p w14:paraId="3E735149">
      <w:pPr>
        <w:keepLines w:val="0"/>
        <w:pageBreakBefore w:val="0"/>
        <w:kinsoku/>
        <w:wordWrap/>
        <w:overflowPunct/>
        <w:topLinePunct w:val="0"/>
        <w:bidi w:val="0"/>
        <w:spacing w:line="520" w:lineRule="exact"/>
        <w:ind w:right="-19" w:rightChars="-9" w:firstLine="2159" w:firstLineChars="899"/>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第五章  工程量清单</w:t>
      </w:r>
    </w:p>
    <w:p w14:paraId="72DFC88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kern w:val="0"/>
          <w:sz w:val="24"/>
          <w:szCs w:val="24"/>
          <w:highlight w:val="none"/>
        </w:rPr>
        <w:t>一、 工程量清单说明部分</w:t>
      </w:r>
    </w:p>
    <w:p w14:paraId="31066889">
      <w:pPr>
        <w:keepLines w:val="0"/>
        <w:pageBreakBefore w:val="0"/>
        <w:widowControl/>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1. 工程量清单说明</w:t>
      </w:r>
    </w:p>
    <w:p w14:paraId="360A79CF">
      <w:pPr>
        <w:keepLines w:val="0"/>
        <w:pageBreakBefore w:val="0"/>
        <w:widowControl/>
        <w:kinsoku/>
        <w:wordWrap/>
        <w:overflowPunct/>
        <w:topLinePunct w:val="0"/>
        <w:bidi w:val="0"/>
        <w:adjustRightInd w:val="0"/>
        <w:snapToGrid w:val="0"/>
        <w:spacing w:line="520" w:lineRule="exact"/>
        <w:ind w:right="-19" w:rightChars="-9" w:firstLine="41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77DB5C2A">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1.2 本工程量清单应与招标文件中的投标人须知、通用合同条款、专用合同条款、技术标准和要求及图纸等一起阅读和理解。</w:t>
      </w:r>
    </w:p>
    <w:p w14:paraId="1286806B">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1.3 本工程量清单仅是投标报价的共同基础，实际工程计量和工程价款的支付应遵循合同条款的约定和第七章“技术标准和要求”的有关规定。</w:t>
      </w:r>
    </w:p>
    <w:p w14:paraId="001D1321">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1.4 补充子目工程量计算规则及子目工作内容说明：</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17E91EFB">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1.5本条第1.1款中约定的计量和计价规则适用于合同履约过程中工程量计量与价款支付、工程变更、索赔和工程结算。</w:t>
      </w:r>
    </w:p>
    <w:p w14:paraId="69609483">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1.6 本条与下述第2条和第3条的说明内容是构成合同文件的已标价工程量清单的组成部分。</w:t>
      </w:r>
    </w:p>
    <w:p w14:paraId="206E0410">
      <w:pPr>
        <w:keepLines w:val="0"/>
        <w:pageBreakBefore w:val="0"/>
        <w:widowControl/>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2. 投标报价说明</w:t>
      </w:r>
    </w:p>
    <w:p w14:paraId="49163F75">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2.1投标报价应根据招标文件中的有关计价要求，并按照下列依据自主报价。</w:t>
      </w:r>
    </w:p>
    <w:p w14:paraId="02DA51D4">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  本招标文件；</w:t>
      </w:r>
    </w:p>
    <w:p w14:paraId="6DE5D02F">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 《建设工程工程量清单计价规范》；</w:t>
      </w:r>
    </w:p>
    <w:p w14:paraId="79ECA679">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  国家或省级、行业建设主管部门颁发的计价办法；</w:t>
      </w:r>
    </w:p>
    <w:p w14:paraId="30D10154">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  企业定额，国家或省级、行业建设主管部门颁发的计价定额；</w:t>
      </w:r>
    </w:p>
    <w:p w14:paraId="6F196114">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  招标文件(包括工程量清单)的澄清、补充和修改文件；</w:t>
      </w:r>
    </w:p>
    <w:p w14:paraId="0968701A">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  建设工程设计文件及相关资料；</w:t>
      </w:r>
    </w:p>
    <w:p w14:paraId="5BADFCC9">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(7)  施工现场情况、工程特点及拟定的投标施工组织设计或施工方案；</w:t>
      </w:r>
    </w:p>
    <w:p w14:paraId="4827BC4F">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(8)  与建设项目相关的标准、规定等技术资料；</w:t>
      </w:r>
    </w:p>
    <w:p w14:paraId="1B64A447">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(9)  市场价格信息或工程造价管理机构发布的工程造价信息；</w:t>
      </w:r>
    </w:p>
    <w:p w14:paraId="7CCBD36E">
      <w:pPr>
        <w:keepLines w:val="0"/>
        <w:pageBreakBefore w:val="0"/>
        <w:widowControl/>
        <w:kinsoku/>
        <w:wordWrap/>
        <w:overflowPunct/>
        <w:topLinePunct w:val="0"/>
        <w:bidi w:val="0"/>
        <w:adjustRightInd w:val="0"/>
        <w:snapToGrid w:val="0"/>
        <w:spacing w:line="520" w:lineRule="exact"/>
        <w:ind w:right="-19" w:rightChars="-9" w:firstLine="720" w:firstLineChars="3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(10) 其他的相关资料。</w:t>
      </w:r>
    </w:p>
    <w:p w14:paraId="60D6F335">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2.2 工程量清单中的每一子目须填入单价或价格，且只允许有一个报价。工程量清单中投标人没有填入单价或价格的子目，其费用视为已分摊在工程量清单中其他相关子目的单价或价格之中。</w:t>
      </w:r>
    </w:p>
    <w:p w14:paraId="23281BB7">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2.3工程量清单中标价的单价或金额，应包括所需人工费、材料费、施工机械使用费和管理费及利润，以及一定范围内的风险费用。所谓“一定范围内的风险”是指合同约定的风险。</w:t>
      </w:r>
    </w:p>
    <w:p w14:paraId="17EC3AB9">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2.4 投标总报价为投标人完成招标范围所述的全部工程内容的体现和完成该工程项目的成本、管理费、技术措施费、利润、风险费及政策性文件规定的不可竞争费用、规费和税金等所有费用，以及所有根据合同或其它原因由投标人支付的税金和其它应缴纳的费用。</w:t>
      </w:r>
    </w:p>
    <w:p w14:paraId="3BDC58F4">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spacing w:val="-8"/>
          <w:kern w:val="0"/>
          <w:sz w:val="24"/>
          <w:szCs w:val="24"/>
          <w:highlight w:val="none"/>
        </w:rPr>
      </w:pPr>
      <w:r>
        <w:rPr>
          <w:rFonts w:hint="eastAsia" w:ascii="微软雅黑" w:hAnsi="微软雅黑" w:eastAsia="微软雅黑" w:cs="微软雅黑"/>
          <w:color w:val="auto"/>
          <w:kern w:val="0"/>
          <w:sz w:val="24"/>
          <w:szCs w:val="24"/>
          <w:highlight w:val="none"/>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r>
        <w:rPr>
          <w:rFonts w:hint="eastAsia" w:ascii="微软雅黑" w:hAnsi="微软雅黑" w:eastAsia="微软雅黑" w:cs="微软雅黑"/>
          <w:color w:val="auto"/>
          <w:spacing w:val="-8"/>
          <w:kern w:val="0"/>
          <w:sz w:val="24"/>
          <w:szCs w:val="24"/>
          <w:highlight w:val="none"/>
        </w:rPr>
        <w:t>投标人应</w:t>
      </w:r>
      <w:r>
        <w:rPr>
          <w:rFonts w:hint="eastAsia" w:ascii="微软雅黑" w:hAnsi="微软雅黑" w:eastAsia="微软雅黑" w:cs="微软雅黑"/>
          <w:color w:val="auto"/>
          <w:kern w:val="0"/>
          <w:sz w:val="24"/>
          <w:szCs w:val="24"/>
          <w:highlight w:val="none"/>
        </w:rPr>
        <w:t>依据</w:t>
      </w:r>
      <w:r>
        <w:rPr>
          <w:rFonts w:hint="eastAsia" w:ascii="微软雅黑" w:hAnsi="微软雅黑" w:eastAsia="微软雅黑" w:cs="微软雅黑"/>
          <w:color w:val="auto"/>
          <w:spacing w:val="-8"/>
          <w:kern w:val="0"/>
          <w:sz w:val="24"/>
          <w:szCs w:val="24"/>
          <w:highlight w:val="none"/>
        </w:rPr>
        <w:t>《 建设工程工程量清单计价规范》（GB50500—2013）、企业定额及当地市场因素及工程特点等报出综合单价。</w:t>
      </w:r>
    </w:p>
    <w:p w14:paraId="1BBC0E84">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2.5.1除非</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对招标文件予以修改，投标人必须按照</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提供的分部分项工程量清单，列出分部分项工程量的综合单价和合价。</w:t>
      </w:r>
    </w:p>
    <w:p w14:paraId="3FFCDB4C">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2.5.2 投标人在进行工程量清单单价合同方式招标的投标报价时，不能进行投标总价优惠（或降价、让利），投标人对投标报价的任何优惠（或降价、让利）均应反映在相应清单项目的综合单价中。不得出现任意一项单价重大让利，低于成本报价。投标人不得以自有机械闲置、自有材料等不计成本为由进行投标报价。</w:t>
      </w:r>
    </w:p>
    <w:p w14:paraId="1E68041B">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2.5.3 每一分项只允许有一个报价，任何有选择的报价将不予接受。投标人未填列综合单价或合价的分项工程，在实施后，</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将不予以支付，并视为该项费用已包括在其他有价款的综合单价或合价内。由于承包人自行计算错误或漏报的，将不再给予调整。</w:t>
      </w:r>
    </w:p>
    <w:p w14:paraId="5B50C4B9">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2.5.4 分部分项工程量清单已包括本投标人须知前附表第1.3.1条确定的本项目招标范围内施工图全部内容，并须在招标过程中经投标人提出质询，</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以答疑的形式确认，结算工程量以完成的实体量为准。中标人由于自身原因造成工程量的增加不以任何形式调增。分部分项工程量调整按照以下方法调整：</w:t>
      </w:r>
    </w:p>
    <w:p w14:paraId="6BA7C3D9">
      <w:pPr>
        <w:keepLines w:val="0"/>
        <w:pageBreakBefore w:val="0"/>
        <w:widowControl/>
        <w:kinsoku/>
        <w:wordWrap/>
        <w:overflowPunct/>
        <w:topLinePunct w:val="0"/>
        <w:bidi w:val="0"/>
        <w:adjustRightInd w:val="0"/>
        <w:snapToGrid w:val="0"/>
        <w:spacing w:line="520" w:lineRule="exact"/>
        <w:ind w:right="-19" w:rightChars="-9" w:firstLine="48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已标价工程量清单中有适用于变更工作的子目的，采用该子目的单价。</w:t>
      </w:r>
    </w:p>
    <w:p w14:paraId="240D4D52">
      <w:pPr>
        <w:keepLines w:val="0"/>
        <w:pageBreakBefore w:val="0"/>
        <w:widowControl/>
        <w:kinsoku/>
        <w:wordWrap/>
        <w:overflowPunct/>
        <w:topLinePunct w:val="0"/>
        <w:bidi w:val="0"/>
        <w:adjustRightInd w:val="0"/>
        <w:snapToGrid w:val="0"/>
        <w:spacing w:line="520" w:lineRule="exact"/>
        <w:ind w:right="-19" w:rightChars="-9" w:firstLine="48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已标价工程量清单中无适用于变更工作的子目，但有类似子目的，可在合理范围内参照类似子目的单价，由监理人按第3.5 款商定或确定变更工作的单价。</w:t>
      </w:r>
    </w:p>
    <w:p w14:paraId="2AB6281A">
      <w:pPr>
        <w:keepLines w:val="0"/>
        <w:pageBreakBefore w:val="0"/>
        <w:widowControl/>
        <w:kinsoku/>
        <w:wordWrap/>
        <w:overflowPunct/>
        <w:topLinePunct w:val="0"/>
        <w:bidi w:val="0"/>
        <w:adjustRightInd w:val="0"/>
        <w:snapToGrid w:val="0"/>
        <w:spacing w:line="520" w:lineRule="exact"/>
        <w:ind w:right="-19" w:rightChars="-9" w:firstLine="48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已标价工程量清单中无适用或类似子目的单价，可按照成本加利润的原则，由监理人按通用条款第3.5 款商定或确定变更工作的单价。</w:t>
      </w:r>
    </w:p>
    <w:p w14:paraId="3AF6D324">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2.6分部分项工程项目按下列要求报价：</w:t>
      </w:r>
    </w:p>
    <w:p w14:paraId="032EC40D">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2.6.1  分部分项工程量清单计价应依据计价规范中关于综合单价的组成内容确定报价。</w:t>
      </w:r>
    </w:p>
    <w:p w14:paraId="71206724">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2.6.2  如果分部分项工程量清单中涉及“材料和工程设备暂估单价表”中列出的材料和工程设备，则应将该类材料和工程设备的暂估单价本身以及除对应的规费及税金以外的费用计入分部分项工程量清单相应子目的综合单价。</w:t>
      </w:r>
    </w:p>
    <w:p w14:paraId="29671F10">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2.6.3  如果分部分项工程量清单中涉及“发包人提供的材料和工程设备一览表”(见第四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14:paraId="45A93FFC">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2.6.4  “分部分项工程量清单与计价表”所列各子目的综合单价组成中，各子目的人工、材料和机械台班消耗量由投标人按照其自身情况做充分的、竞争性考虑。材料消耗量包括损耗量。</w:t>
      </w:r>
    </w:p>
    <w:p w14:paraId="4B26387B">
      <w:pPr>
        <w:keepLines w:val="0"/>
        <w:pageBreakBefore w:val="0"/>
        <w:widowControl/>
        <w:kinsoku/>
        <w:wordWrap/>
        <w:overflowPunct/>
        <w:topLinePunct w:val="0"/>
        <w:bidi w:val="0"/>
        <w:adjustRightInd w:val="0"/>
        <w:snapToGrid w:val="0"/>
        <w:spacing w:line="520" w:lineRule="exact"/>
        <w:ind w:right="-19" w:rightChars="-9" w:firstLine="408"/>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14:paraId="64EEE53E">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2.7    措施项目按下列要求报价：</w:t>
      </w:r>
    </w:p>
    <w:p w14:paraId="712FCAE2">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14:paraId="776FDD80">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color w:val="auto"/>
          <w:kern w:val="0"/>
          <w:sz w:val="24"/>
          <w:szCs w:val="24"/>
          <w:highlight w:val="none"/>
        </w:rPr>
        <w:t>2.7.2  措施项目清单中的安全文明施工费应按其中安全文明施工费应按照</w:t>
      </w:r>
      <w:r>
        <w:rPr>
          <w:rFonts w:hint="eastAsia" w:ascii="微软雅黑" w:hAnsi="微软雅黑" w:eastAsia="微软雅黑" w:cs="微软雅黑"/>
          <w:color w:val="auto"/>
          <w:kern w:val="0"/>
          <w:sz w:val="24"/>
          <w:szCs w:val="24"/>
          <w:highlight w:val="none"/>
          <w:u w:val="single"/>
        </w:rPr>
        <w:t>新建标【2016】2号、新建标[2019]4号、喀地造字【2018】5文</w:t>
      </w:r>
      <w:r>
        <w:rPr>
          <w:rFonts w:hint="eastAsia" w:ascii="微软雅黑" w:hAnsi="微软雅黑" w:eastAsia="微软雅黑" w:cs="微软雅黑"/>
          <w:color w:val="auto"/>
          <w:kern w:val="0"/>
          <w:sz w:val="24"/>
          <w:szCs w:val="24"/>
          <w:highlight w:val="none"/>
        </w:rPr>
        <w:t>的规定计算，不得作为竞争性费用。</w:t>
      </w:r>
    </w:p>
    <w:p w14:paraId="07BFE164">
      <w:pPr>
        <w:keepLines w:val="0"/>
        <w:pageBreakBefore w:val="0"/>
        <w:widowControl/>
        <w:kinsoku/>
        <w:wordWrap/>
        <w:overflowPunct/>
        <w:topLinePunct w:val="0"/>
        <w:bidi w:val="0"/>
        <w:adjustRightInd w:val="0"/>
        <w:snapToGrid w:val="0"/>
        <w:spacing w:line="520" w:lineRule="exact"/>
        <w:ind w:right="-19" w:rightChars="-9" w:firstLine="41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2.7.3  </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给出的措施项目清单的内容进行细化或增减。</w:t>
      </w:r>
    </w:p>
    <w:p w14:paraId="0503057F">
      <w:pPr>
        <w:keepLines w:val="0"/>
        <w:pageBreakBefore w:val="0"/>
        <w:widowControl/>
        <w:kinsoku/>
        <w:wordWrap/>
        <w:overflowPunct/>
        <w:topLinePunct w:val="0"/>
        <w:bidi w:val="0"/>
        <w:adjustRightInd w:val="0"/>
        <w:snapToGrid w:val="0"/>
        <w:spacing w:line="520" w:lineRule="exact"/>
        <w:ind w:right="-19" w:rightChars="-9" w:firstLine="41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2.7.4  “措施项目清单与计价表”中所填写的报价金额，应全面涵盖招标文件约定的投标人中标后施工、竣工、交付本工程并维修其任何缺陷所需要履行的责任和义务的全部费用。</w:t>
      </w:r>
    </w:p>
    <w:p w14:paraId="5DBA240D">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2.8．其他项目清单费应按下列规定报价：</w:t>
      </w:r>
    </w:p>
    <w:p w14:paraId="717C0240">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2.8.1  暂列金额按“暂列金额明细表”中列出的金额报价，此处的暂列金额是</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在招标文件中统一给定的，并不包括本章第2.8.3项的计日工金额。</w:t>
      </w:r>
    </w:p>
    <w:p w14:paraId="682AC189">
      <w:pPr>
        <w:keepLines w:val="0"/>
        <w:pageBreakBefore w:val="0"/>
        <w:widowControl/>
        <w:kinsoku/>
        <w:wordWrap/>
        <w:overflowPunct/>
        <w:topLinePunct w:val="0"/>
        <w:bidi w:val="0"/>
        <w:adjustRightInd w:val="0"/>
        <w:snapToGrid w:val="0"/>
        <w:spacing w:line="520" w:lineRule="exact"/>
        <w:ind w:right="-19" w:rightChars="-9" w:firstLine="482"/>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2.8.2  暂估价分为材料和工程设备暂估单价和专业工程暂估价两类。其中的材料和工程设备暂估单价进入分部分项工程量清单之综合单价，不在其他项目清单中汇总；专业工程暂估价直接按“专业工程暂估价表”中列出的金额计入其他项目清单报价。</w:t>
      </w:r>
    </w:p>
    <w:p w14:paraId="790DADE4">
      <w:pPr>
        <w:keepLines w:val="0"/>
        <w:pageBreakBefore w:val="0"/>
        <w:widowControl/>
        <w:kinsoku/>
        <w:wordWrap/>
        <w:overflowPunct/>
        <w:topLinePunct w:val="0"/>
        <w:bidi w:val="0"/>
        <w:adjustRightInd w:val="0"/>
        <w:snapToGrid w:val="0"/>
        <w:spacing w:line="520" w:lineRule="exact"/>
        <w:ind w:right="-19" w:rightChars="-9" w:firstLine="617"/>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2.8.3  计日工按“计日工表”中列出的子目和估算数量，自主确定综合单价并计算计日工金额。计日工综合单价均不包括规费和税金，其中：</w:t>
      </w:r>
    </w:p>
    <w:p w14:paraId="5455C2BC">
      <w:pPr>
        <w:keepLines w:val="0"/>
        <w:pageBreakBefore w:val="0"/>
        <w:widowControl/>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 劳务单价应当包括工人工资、交通费用、各种补贴、劳动安全保护、社保费用、手提手动和电动工器具、施工场地内已经搭设的脚手架、水电和低值易耗品费用、现场管理费用、企业管理费和利润；</w:t>
      </w:r>
    </w:p>
    <w:p w14:paraId="44F00CC2">
      <w:pPr>
        <w:keepLines w:val="0"/>
        <w:pageBreakBefore w:val="0"/>
        <w:widowControl/>
        <w:kinsoku/>
        <w:wordWrap/>
        <w:overflowPunct/>
        <w:topLinePunct w:val="0"/>
        <w:bidi w:val="0"/>
        <w:adjustRightInd w:val="0"/>
        <w:snapToGrid w:val="0"/>
        <w:spacing w:line="520" w:lineRule="exact"/>
        <w:ind w:left="2" w:leftChars="1" w:right="-19" w:rightChars="-9" w:firstLine="477" w:firstLineChars="199"/>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 材料价格包括材料运到现场的价格以及现场搬运、仓储、二次搬运、损耗、保险、企业管理费和利润，但不包括规费和税金。</w:t>
      </w:r>
    </w:p>
    <w:p w14:paraId="652D3792">
      <w:pPr>
        <w:keepLines w:val="0"/>
        <w:pageBreakBefore w:val="0"/>
        <w:widowControl/>
        <w:kinsoku/>
        <w:wordWrap/>
        <w:overflowPunct/>
        <w:topLinePunct w:val="0"/>
        <w:bidi w:val="0"/>
        <w:adjustRightInd w:val="0"/>
        <w:snapToGrid w:val="0"/>
        <w:spacing w:line="520" w:lineRule="exact"/>
        <w:ind w:left="2" w:leftChars="1" w:right="-19" w:rightChars="-9" w:firstLine="528" w:firstLineChars="22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14:paraId="340F2068">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2.8.4 总承包服务费各投标人根据招标文件中列出的内容和要求，按本招标文件的“总承包服务费计价表”中自报费率并计算金额。</w:t>
      </w:r>
    </w:p>
    <w:p w14:paraId="2E44130D">
      <w:pPr>
        <w:keepLines w:val="0"/>
        <w:pageBreakBefore w:val="0"/>
        <w:widowControl/>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2.9 税金应按“税金项目清单与计价表”所列项目，按规定计算，不得作为竞争性费用。</w:t>
      </w:r>
    </w:p>
    <w:p w14:paraId="662C2844">
      <w:pPr>
        <w:keepLines w:val="0"/>
        <w:pageBreakBefore w:val="0"/>
        <w:widowControl/>
        <w:kinsoku/>
        <w:wordWrap/>
        <w:overflowPunct/>
        <w:topLinePunct w:val="0"/>
        <w:bidi w:val="0"/>
        <w:adjustRightInd w:val="0"/>
        <w:snapToGrid w:val="0"/>
        <w:spacing w:line="520" w:lineRule="exact"/>
        <w:ind w:left="2"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2.10  除招标文件有强制性规定以及不可竞争部分以外，投标报价由投标人自主确定，但不得低于其成本。</w:t>
      </w:r>
    </w:p>
    <w:p w14:paraId="375D35D7">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721C2B72">
      <w:pPr>
        <w:keepLines w:val="0"/>
        <w:pageBreakBefore w:val="0"/>
        <w:widowControl/>
        <w:kinsoku/>
        <w:wordWrap/>
        <w:overflowPunct/>
        <w:topLinePunct w:val="0"/>
        <w:bidi w:val="0"/>
        <w:adjustRightInd w:val="0"/>
        <w:snapToGrid w:val="0"/>
        <w:spacing w:line="520" w:lineRule="exact"/>
        <w:ind w:left="2"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2.12  管理费应由投标人在保证不低于其成本的基础上做竞争性考虑；利润由投标人根据自身情况和综合实力做竞争性考虑。</w:t>
      </w:r>
    </w:p>
    <w:p w14:paraId="52C9B2BC">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2.13  投标报价中应考虑招标文件中要求投标人承担的风险范围以及相关的费用。</w:t>
      </w:r>
    </w:p>
    <w:p w14:paraId="2225B038">
      <w:pPr>
        <w:keepLines w:val="0"/>
        <w:pageBreakBefore w:val="0"/>
        <w:widowControl/>
        <w:kinsoku/>
        <w:wordWrap/>
        <w:overflowPunct/>
        <w:topLinePunct w:val="0"/>
        <w:bidi w:val="0"/>
        <w:adjustRightInd w:val="0"/>
        <w:snapToGrid w:val="0"/>
        <w:spacing w:line="520" w:lineRule="exact"/>
        <w:ind w:left="2"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2.14  投标总价为投标人在投标文件中提出的各项支付金额的总和，为实施、完成招标工程并修补缺陷以及履行招标文件中约定的风险范围内的所有责任和义务所发生的全部费用。</w:t>
      </w:r>
    </w:p>
    <w:p w14:paraId="22BBC3FD">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2.15  有关投标报价的其他说明：</w:t>
      </w:r>
    </w:p>
    <w:p w14:paraId="54045244">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u w:val="single"/>
        </w:rPr>
        <w:t xml:space="preserve">      /                                               </w:t>
      </w:r>
    </w:p>
    <w:p w14:paraId="698C983F">
      <w:pPr>
        <w:keepLines w:val="0"/>
        <w:pageBreakBefore w:val="0"/>
        <w:widowControl/>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3. 其他说明</w:t>
      </w:r>
    </w:p>
    <w:p w14:paraId="1ADD323D">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投标人应先到工地踏勘以及充分了解工地位置、情况、道路、储存空间、装卸限制及任何其他足以影响承包价的情况，任何因忽视或误解工地情况而导致的索赔或工期延长申请将不被批准。</w:t>
      </w:r>
    </w:p>
    <w:p w14:paraId="5B2163FD">
      <w:pPr>
        <w:pStyle w:val="37"/>
        <w:keepLines w:val="0"/>
        <w:pageBreakBefore w:val="0"/>
        <w:kinsoku/>
        <w:wordWrap/>
        <w:overflowPunct/>
        <w:topLinePunct w:val="0"/>
        <w:bidi w:val="0"/>
        <w:spacing w:line="520" w:lineRule="exact"/>
        <w:outlineLvl w:val="9"/>
        <w:rPr>
          <w:rFonts w:hint="eastAsia" w:ascii="微软雅黑" w:hAnsi="微软雅黑" w:eastAsia="微软雅黑" w:cs="微软雅黑"/>
          <w:color w:val="auto"/>
          <w:sz w:val="24"/>
          <w:szCs w:val="24"/>
        </w:rPr>
      </w:pPr>
    </w:p>
    <w:p w14:paraId="4BA25884">
      <w:pPr>
        <w:pStyle w:val="7"/>
        <w:pageBreakBefore w:val="0"/>
        <w:kinsoku/>
        <w:wordWrap/>
        <w:overflowPunct/>
        <w:topLinePunct w:val="0"/>
        <w:bidi w:val="0"/>
        <w:snapToGrid w:val="0"/>
        <w:spacing w:line="520" w:lineRule="exact"/>
        <w:ind w:firstLine="0"/>
        <w:textAlignment w:val="baseline"/>
        <w:rPr>
          <w:rFonts w:ascii="微软雅黑" w:hAnsi="微软雅黑" w:eastAsia="微软雅黑" w:cs="微软雅黑"/>
          <w:szCs w:val="24"/>
        </w:rPr>
      </w:pPr>
    </w:p>
    <w:sectPr>
      <w:headerReference r:id="rId10" w:type="default"/>
      <w:footerReference r:id="rId11" w:type="default"/>
      <w:pgSz w:w="11905" w:h="16838"/>
      <w:pgMar w:top="1440" w:right="1083" w:bottom="1440" w:left="1083" w:header="851" w:footer="992" w:gutter="0"/>
      <w:pgNumType w:fmt="decimal"/>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38DC">
    <w:pPr>
      <w:spacing w:line="172" w:lineRule="auto"/>
      <w:ind w:left="4837"/>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FD65">
    <w:pPr>
      <w:spacing w:line="172" w:lineRule="auto"/>
      <w:ind w:left="4837"/>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2BEA1">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82BEA1">
                    <w:pPr>
                      <w:pStyle w:val="2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2BAD3">
    <w:pPr>
      <w:pStyle w:val="2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4617D">
                          <w:pPr>
                            <w:pStyle w:val="2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B4617D">
                    <w:pPr>
                      <w:pStyle w:val="23"/>
                    </w:pPr>
                    <w:r>
                      <w:fldChar w:fldCharType="begin"/>
                    </w:r>
                    <w:r>
                      <w:instrText xml:space="preserve"> PAGE  \* MERGEFORMAT </w:instrText>
                    </w:r>
                    <w:r>
                      <w:fldChar w:fldCharType="separate"/>
                    </w:r>
                    <w:r>
                      <w:t>43</w:t>
                    </w:r>
                    <w:r>
                      <w:fldChar w:fldCharType="end"/>
                    </w:r>
                  </w:p>
                </w:txbxContent>
              </v:textbox>
            </v:shape>
          </w:pict>
        </mc:Fallback>
      </mc:AlternateContent>
    </w:r>
  </w:p>
  <w:p w14:paraId="1C61BEA5">
    <w:pPr>
      <w:pStyle w:val="2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C7A73">
    <w:pPr>
      <w:pStyle w:val="2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E788E">
                          <w:pPr>
                            <w:pStyle w:val="2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8E788E">
                    <w:pPr>
                      <w:pStyle w:val="23"/>
                    </w:pPr>
                    <w:r>
                      <w:fldChar w:fldCharType="begin"/>
                    </w:r>
                    <w:r>
                      <w:instrText xml:space="preserve"> PAGE  \* MERGEFORMAT </w:instrText>
                    </w:r>
                    <w:r>
                      <w:fldChar w:fldCharType="separate"/>
                    </w:r>
                    <w:r>
                      <w:t>55</w:t>
                    </w:r>
                    <w:r>
                      <w:fldChar w:fldCharType="end"/>
                    </w:r>
                  </w:p>
                </w:txbxContent>
              </v:textbox>
            </v:shape>
          </w:pict>
        </mc:Fallback>
      </mc:AlternateContent>
    </w:r>
  </w:p>
  <w:p w14:paraId="34C9F685">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BD046">
    <w:pPr>
      <w:pStyle w:val="2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1E0E8">
                          <w:pPr>
                            <w:pStyle w:val="2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61E0E8">
                    <w:pPr>
                      <w:pStyle w:val="23"/>
                    </w:pPr>
                    <w:r>
                      <w:fldChar w:fldCharType="begin"/>
                    </w:r>
                    <w:r>
                      <w:instrText xml:space="preserve"> PAGE  \* MERGEFORMAT </w:instrText>
                    </w:r>
                    <w:r>
                      <w:fldChar w:fldCharType="separate"/>
                    </w:r>
                    <w:r>
                      <w:t>50</w:t>
                    </w:r>
                    <w:r>
                      <w:fldChar w:fldCharType="end"/>
                    </w:r>
                  </w:p>
                </w:txbxContent>
              </v:textbox>
            </v:shape>
          </w:pict>
        </mc:Fallback>
      </mc:AlternateContent>
    </w:r>
  </w:p>
  <w:p w14:paraId="05BCC1A9">
    <w:pPr>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75DD">
    <w:pPr>
      <w:pStyle w:val="2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43470">
                          <w:pPr>
                            <w:pStyle w:val="2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BE43470">
                    <w:pPr>
                      <w:pStyle w:val="2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E4B04">
    <w:pPr>
      <w:pStyle w:val="24"/>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0B523">
    <w:pPr>
      <w:pStyle w:val="24"/>
      <w:pBdr>
        <w:bottom w:val="none" w:color="auto" w:sz="0" w:space="1"/>
      </w:pBdr>
      <w:jc w:val="left"/>
    </w:pPr>
    <w:r>
      <w:rPr>
        <w:rFonts w:ascii="Cambria" w:hAnsi="Cambria"/>
        <w:vanish/>
        <w:sz w:val="32"/>
        <w:szCs w:val="32"/>
        <w:highlight w:val="yellow"/>
      </w:rPr>
      <w:t>&lt;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96E6">
    <w:pPr>
      <w:pStyle w:val="24"/>
      <w:pBdr>
        <w:bottom w:val="none" w:color="auto" w:sz="0" w:space="1"/>
      </w:pBdr>
      <w:tabs>
        <w:tab w:val="clear"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D7A73"/>
    <w:multiLevelType w:val="singleLevel"/>
    <w:tmpl w:val="F62D7A73"/>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00000003"/>
    <w:multiLevelType w:val="multilevel"/>
    <w:tmpl w:val="00000003"/>
    <w:lvl w:ilvl="0" w:tentative="0">
      <w:start w:val="1"/>
      <w:numFmt w:val="decimal"/>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rPr>
        <w:rFonts w:ascii="宋体" w:hAnsi="宋体" w:eastAsia="宋体"/>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3">
    <w:nsid w:val="0053208E"/>
    <w:multiLevelType w:val="multilevel"/>
    <w:tmpl w:val="0053208E"/>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21DE2C61"/>
    <w:multiLevelType w:val="singleLevel"/>
    <w:tmpl w:val="21DE2C61"/>
    <w:lvl w:ilvl="0" w:tentative="0">
      <w:start w:val="2"/>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NjY4YjY3OTNjNmE2NWU1ZTg2MjFkYmI5YzNiZTkifQ=="/>
  </w:docVars>
  <w:rsids>
    <w:rsidRoot w:val="00A2385F"/>
    <w:rsid w:val="000F38AC"/>
    <w:rsid w:val="00542A63"/>
    <w:rsid w:val="008D138C"/>
    <w:rsid w:val="0095072D"/>
    <w:rsid w:val="00A2385F"/>
    <w:rsid w:val="01802C9E"/>
    <w:rsid w:val="019118C8"/>
    <w:rsid w:val="038F46AF"/>
    <w:rsid w:val="03A154BC"/>
    <w:rsid w:val="04025BED"/>
    <w:rsid w:val="056362EC"/>
    <w:rsid w:val="08A62997"/>
    <w:rsid w:val="0B451313"/>
    <w:rsid w:val="0B592C39"/>
    <w:rsid w:val="0C4C7C7F"/>
    <w:rsid w:val="0CB36C08"/>
    <w:rsid w:val="0CDA1CD4"/>
    <w:rsid w:val="0D53200A"/>
    <w:rsid w:val="0E425B3F"/>
    <w:rsid w:val="11F37853"/>
    <w:rsid w:val="122E68A4"/>
    <w:rsid w:val="141F2E5D"/>
    <w:rsid w:val="14C13805"/>
    <w:rsid w:val="15131A1A"/>
    <w:rsid w:val="16585A26"/>
    <w:rsid w:val="179067B7"/>
    <w:rsid w:val="1835197D"/>
    <w:rsid w:val="1A6659FF"/>
    <w:rsid w:val="1C23072A"/>
    <w:rsid w:val="1C3E1334"/>
    <w:rsid w:val="1C66296E"/>
    <w:rsid w:val="1EEE3414"/>
    <w:rsid w:val="2133386C"/>
    <w:rsid w:val="21AE305D"/>
    <w:rsid w:val="21CD7F24"/>
    <w:rsid w:val="228A7C41"/>
    <w:rsid w:val="23C02704"/>
    <w:rsid w:val="242225F0"/>
    <w:rsid w:val="255E41AA"/>
    <w:rsid w:val="262D58A1"/>
    <w:rsid w:val="264041AA"/>
    <w:rsid w:val="282D0BDB"/>
    <w:rsid w:val="29B72037"/>
    <w:rsid w:val="2B642A38"/>
    <w:rsid w:val="2DAF3E40"/>
    <w:rsid w:val="2E030C16"/>
    <w:rsid w:val="2E0332AF"/>
    <w:rsid w:val="2E162111"/>
    <w:rsid w:val="2FA73ABD"/>
    <w:rsid w:val="32FA4B9F"/>
    <w:rsid w:val="33686F6B"/>
    <w:rsid w:val="39A44E6F"/>
    <w:rsid w:val="3AF24ACF"/>
    <w:rsid w:val="3B1456DF"/>
    <w:rsid w:val="3CF338D7"/>
    <w:rsid w:val="3DB27889"/>
    <w:rsid w:val="3E232DD9"/>
    <w:rsid w:val="3EC15781"/>
    <w:rsid w:val="3ECF5E94"/>
    <w:rsid w:val="3FF957B0"/>
    <w:rsid w:val="40D559E0"/>
    <w:rsid w:val="4291742C"/>
    <w:rsid w:val="42DE5CB0"/>
    <w:rsid w:val="469D6AD4"/>
    <w:rsid w:val="48546054"/>
    <w:rsid w:val="49EA64D4"/>
    <w:rsid w:val="4CE832CA"/>
    <w:rsid w:val="4D212F41"/>
    <w:rsid w:val="4DF429A8"/>
    <w:rsid w:val="4E141D71"/>
    <w:rsid w:val="4F960564"/>
    <w:rsid w:val="50BB0282"/>
    <w:rsid w:val="50F1648E"/>
    <w:rsid w:val="535D11F1"/>
    <w:rsid w:val="54C947B5"/>
    <w:rsid w:val="54EC3D45"/>
    <w:rsid w:val="558071F9"/>
    <w:rsid w:val="57A829DB"/>
    <w:rsid w:val="57C40364"/>
    <w:rsid w:val="590E6D76"/>
    <w:rsid w:val="5BFE7106"/>
    <w:rsid w:val="613A73B9"/>
    <w:rsid w:val="623202AC"/>
    <w:rsid w:val="62AA56C6"/>
    <w:rsid w:val="62F3173B"/>
    <w:rsid w:val="64807EBA"/>
    <w:rsid w:val="6489776B"/>
    <w:rsid w:val="648E7C00"/>
    <w:rsid w:val="66243C8B"/>
    <w:rsid w:val="66AE299B"/>
    <w:rsid w:val="67596FAF"/>
    <w:rsid w:val="68881887"/>
    <w:rsid w:val="688834AF"/>
    <w:rsid w:val="693D63AD"/>
    <w:rsid w:val="6A6D6639"/>
    <w:rsid w:val="6E806D72"/>
    <w:rsid w:val="712C780C"/>
    <w:rsid w:val="71AA3CCF"/>
    <w:rsid w:val="71BE59CD"/>
    <w:rsid w:val="7218332F"/>
    <w:rsid w:val="72B15162"/>
    <w:rsid w:val="735A138C"/>
    <w:rsid w:val="750E120F"/>
    <w:rsid w:val="76900590"/>
    <w:rsid w:val="76DD68F5"/>
    <w:rsid w:val="775C50B8"/>
    <w:rsid w:val="77927AB5"/>
    <w:rsid w:val="7969789B"/>
    <w:rsid w:val="7BF344C5"/>
    <w:rsid w:val="7CAE4477"/>
    <w:rsid w:val="7D0D7966"/>
    <w:rsid w:val="7D6E7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2"/>
    <w:autoRedefine/>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79"/>
    <w:autoRedefine/>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91"/>
    <w:autoRedefine/>
    <w:unhideWhenUsed/>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semiHidden/>
    <w:unhideWhenUsed/>
    <w:qFormat/>
    <w:uiPriority w:val="9"/>
    <w:pPr>
      <w:keepNext/>
      <w:keepLines/>
      <w:numPr>
        <w:ilvl w:val="3"/>
        <w:numId w:val="1"/>
      </w:numPr>
      <w:spacing w:before="260" w:after="260"/>
      <w:ind w:firstLine="482" w:firstLineChars="200"/>
      <w:jc w:val="left"/>
      <w:outlineLvl w:val="3"/>
    </w:pPr>
    <w:rPr>
      <w:rFonts w:ascii="Arial" w:hAnsi="Arial"/>
      <w:b/>
      <w:sz w:val="18"/>
    </w:rPr>
  </w:style>
  <w:style w:type="character" w:default="1" w:styleId="40">
    <w:name w:val="Default Paragraph Font"/>
    <w:autoRedefine/>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39"/>
    <w:pPr>
      <w:ind w:left="2520" w:leftChars="1200"/>
    </w:pPr>
  </w:style>
  <w:style w:type="paragraph" w:styleId="7">
    <w:name w:val="Normal Indent"/>
    <w:basedOn w:val="1"/>
    <w:next w:val="8"/>
    <w:autoRedefine/>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autoRedefine/>
    <w:qFormat/>
    <w:uiPriority w:val="0"/>
    <w:pPr>
      <w:spacing w:before="120"/>
    </w:pPr>
    <w:rPr>
      <w:rFonts w:ascii="Cambria" w:hAnsi="Cambria"/>
      <w:sz w:val="24"/>
    </w:rPr>
  </w:style>
  <w:style w:type="paragraph" w:styleId="9">
    <w:name w:val="Document Map"/>
    <w:basedOn w:val="1"/>
    <w:link w:val="83"/>
    <w:autoRedefine/>
    <w:qFormat/>
    <w:uiPriority w:val="0"/>
    <w:rPr>
      <w:rFonts w:ascii="宋体"/>
      <w:sz w:val="18"/>
      <w:szCs w:val="18"/>
    </w:rPr>
  </w:style>
  <w:style w:type="paragraph" w:styleId="10">
    <w:name w:val="annotation text"/>
    <w:basedOn w:val="1"/>
    <w:link w:val="89"/>
    <w:autoRedefine/>
    <w:qFormat/>
    <w:uiPriority w:val="99"/>
    <w:pPr>
      <w:jc w:val="left"/>
    </w:pPr>
  </w:style>
  <w:style w:type="paragraph" w:styleId="11">
    <w:name w:val="Body Text"/>
    <w:basedOn w:val="1"/>
    <w:link w:val="88"/>
    <w:autoRedefine/>
    <w:qFormat/>
    <w:uiPriority w:val="0"/>
    <w:pPr>
      <w:tabs>
        <w:tab w:val="left" w:pos="567"/>
      </w:tabs>
      <w:spacing w:before="120" w:line="22" w:lineRule="atLeast"/>
    </w:pPr>
    <w:rPr>
      <w:rFonts w:ascii="宋体" w:hAnsi="宋体"/>
      <w:sz w:val="24"/>
    </w:rPr>
  </w:style>
  <w:style w:type="paragraph" w:styleId="12">
    <w:name w:val="Body Text Indent"/>
    <w:basedOn w:val="1"/>
    <w:next w:val="13"/>
    <w:autoRedefine/>
    <w:qFormat/>
    <w:uiPriority w:val="0"/>
    <w:pPr>
      <w:spacing w:line="360" w:lineRule="auto"/>
      <w:ind w:firstLine="570"/>
    </w:pPr>
    <w:rPr>
      <w:sz w:val="24"/>
    </w:rPr>
  </w:style>
  <w:style w:type="paragraph" w:styleId="13">
    <w:name w:val="Body Text First Indent 2"/>
    <w:basedOn w:val="12"/>
    <w:next w:val="7"/>
    <w:autoRedefine/>
    <w:qFormat/>
    <w:uiPriority w:val="0"/>
    <w:pPr>
      <w:ind w:firstLine="420" w:firstLineChars="200"/>
    </w:pPr>
  </w:style>
  <w:style w:type="paragraph" w:styleId="14">
    <w:name w:val="Block Text"/>
    <w:basedOn w:val="1"/>
    <w:autoRedefine/>
    <w:qFormat/>
    <w:uiPriority w:val="99"/>
    <w:pPr>
      <w:spacing w:after="120"/>
      <w:ind w:left="1440" w:leftChars="700" w:right="1440" w:rightChars="700"/>
    </w:pPr>
  </w:style>
  <w:style w:type="paragraph" w:styleId="15">
    <w:name w:val="toc 5"/>
    <w:basedOn w:val="1"/>
    <w:next w:val="1"/>
    <w:autoRedefine/>
    <w:qFormat/>
    <w:uiPriority w:val="39"/>
    <w:pPr>
      <w:ind w:left="1680" w:leftChars="800"/>
    </w:pPr>
  </w:style>
  <w:style w:type="paragraph" w:styleId="16">
    <w:name w:val="toc 3"/>
    <w:basedOn w:val="1"/>
    <w:next w:val="1"/>
    <w:autoRedefine/>
    <w:qFormat/>
    <w:uiPriority w:val="39"/>
    <w:pPr>
      <w:tabs>
        <w:tab w:val="left" w:pos="1260"/>
        <w:tab w:val="right" w:leader="dot" w:pos="8630"/>
      </w:tabs>
      <w:ind w:left="840" w:leftChars="400"/>
    </w:pPr>
  </w:style>
  <w:style w:type="paragraph" w:styleId="17">
    <w:name w:val="Plain Text"/>
    <w:basedOn w:val="1"/>
    <w:next w:val="18"/>
    <w:link w:val="87"/>
    <w:autoRedefine/>
    <w:qFormat/>
    <w:uiPriority w:val="0"/>
    <w:rPr>
      <w:rFonts w:ascii="宋体" w:hAnsi="Courier New"/>
      <w:szCs w:val="20"/>
    </w:rPr>
  </w:style>
  <w:style w:type="paragraph" w:styleId="18">
    <w:name w:val="index 7"/>
    <w:basedOn w:val="1"/>
    <w:next w:val="1"/>
    <w:autoRedefine/>
    <w:qFormat/>
    <w:uiPriority w:val="0"/>
    <w:pPr>
      <w:autoSpaceDE/>
      <w:autoSpaceDN/>
      <w:adjustRightInd/>
      <w:ind w:left="1200" w:leftChars="1200"/>
    </w:pPr>
    <w:rPr>
      <w:color w:val="auto"/>
      <w:kern w:val="2"/>
      <w:szCs w:val="24"/>
    </w:rPr>
  </w:style>
  <w:style w:type="paragraph" w:styleId="19">
    <w:name w:val="toc 8"/>
    <w:basedOn w:val="1"/>
    <w:next w:val="1"/>
    <w:autoRedefine/>
    <w:qFormat/>
    <w:uiPriority w:val="39"/>
    <w:pPr>
      <w:ind w:left="2940" w:leftChars="1400"/>
    </w:pPr>
  </w:style>
  <w:style w:type="paragraph" w:styleId="20">
    <w:name w:val="Date"/>
    <w:basedOn w:val="1"/>
    <w:next w:val="1"/>
    <w:link w:val="84"/>
    <w:autoRedefine/>
    <w:qFormat/>
    <w:uiPriority w:val="0"/>
    <w:pPr>
      <w:ind w:left="100" w:leftChars="2500"/>
    </w:pPr>
    <w:rPr>
      <w:rFonts w:ascii="仿宋_GB2312" w:hAnsi="宋体" w:eastAsia="仿宋_GB2312"/>
      <w:color w:val="000000"/>
      <w:sz w:val="24"/>
    </w:rPr>
  </w:style>
  <w:style w:type="paragraph" w:styleId="21">
    <w:name w:val="Body Text Indent 2"/>
    <w:basedOn w:val="1"/>
    <w:autoRedefine/>
    <w:qFormat/>
    <w:uiPriority w:val="0"/>
    <w:pPr>
      <w:ind w:firstLine="480" w:firstLineChars="200"/>
    </w:pPr>
    <w:rPr>
      <w:rFonts w:ascii="仿宋_GB2312" w:eastAsia="仿宋_GB2312"/>
      <w:sz w:val="24"/>
    </w:rPr>
  </w:style>
  <w:style w:type="paragraph" w:styleId="22">
    <w:name w:val="Balloon Text"/>
    <w:basedOn w:val="1"/>
    <w:link w:val="80"/>
    <w:autoRedefine/>
    <w:qFormat/>
    <w:uiPriority w:val="0"/>
    <w:rPr>
      <w:sz w:val="18"/>
      <w:szCs w:val="18"/>
    </w:rPr>
  </w:style>
  <w:style w:type="paragraph" w:styleId="23">
    <w:name w:val="footer"/>
    <w:basedOn w:val="1"/>
    <w:link w:val="77"/>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4">
    <w:name w:val="header"/>
    <w:basedOn w:val="1"/>
    <w:link w:val="74"/>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style>
  <w:style w:type="paragraph" w:styleId="26">
    <w:name w:val="toc 4"/>
    <w:basedOn w:val="1"/>
    <w:next w:val="1"/>
    <w:autoRedefine/>
    <w:qFormat/>
    <w:uiPriority w:val="39"/>
    <w:pPr>
      <w:ind w:left="1260" w:leftChars="600"/>
    </w:pPr>
  </w:style>
  <w:style w:type="paragraph" w:styleId="27">
    <w:name w:val="footnote text"/>
    <w:basedOn w:val="1"/>
    <w:next w:val="11"/>
    <w:autoRedefine/>
    <w:qFormat/>
    <w:uiPriority w:val="0"/>
    <w:pPr>
      <w:snapToGrid w:val="0"/>
      <w:jc w:val="left"/>
    </w:pPr>
    <w:rPr>
      <w:sz w:val="18"/>
    </w:rPr>
  </w:style>
  <w:style w:type="paragraph" w:styleId="28">
    <w:name w:val="toc 6"/>
    <w:basedOn w:val="1"/>
    <w:next w:val="1"/>
    <w:autoRedefine/>
    <w:qFormat/>
    <w:uiPriority w:val="39"/>
    <w:pPr>
      <w:ind w:left="2100" w:leftChars="1000"/>
    </w:pPr>
  </w:style>
  <w:style w:type="paragraph" w:styleId="29">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39"/>
    <w:pPr>
      <w:ind w:left="3360" w:leftChars="1600"/>
    </w:pPr>
  </w:style>
  <w:style w:type="paragraph" w:styleId="32">
    <w:name w:val="Normal (Web)"/>
    <w:basedOn w:val="1"/>
    <w:next w:val="33"/>
    <w:autoRedefine/>
    <w:qFormat/>
    <w:uiPriority w:val="99"/>
    <w:pPr>
      <w:spacing w:before="75" w:after="75"/>
      <w:jc w:val="left"/>
    </w:pPr>
    <w:rPr>
      <w:kern w:val="0"/>
      <w:sz w:val="24"/>
    </w:rPr>
  </w:style>
  <w:style w:type="paragraph" w:customStyle="1" w:styleId="33">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34">
    <w:name w:val="index 1"/>
    <w:basedOn w:val="1"/>
    <w:next w:val="1"/>
    <w:autoRedefine/>
    <w:qFormat/>
    <w:uiPriority w:val="0"/>
    <w:rPr>
      <w:szCs w:val="20"/>
    </w:rPr>
  </w:style>
  <w:style w:type="paragraph" w:styleId="35">
    <w:name w:val="Title"/>
    <w:basedOn w:val="1"/>
    <w:next w:val="1"/>
    <w:autoRedefine/>
    <w:qFormat/>
    <w:uiPriority w:val="0"/>
    <w:pPr>
      <w:spacing w:before="240" w:after="60"/>
      <w:jc w:val="center"/>
      <w:outlineLvl w:val="0"/>
    </w:pPr>
    <w:rPr>
      <w:rFonts w:ascii="Cambria" w:hAnsi="Cambria"/>
      <w:b/>
      <w:bCs/>
      <w:sz w:val="32"/>
      <w:szCs w:val="32"/>
    </w:rPr>
  </w:style>
  <w:style w:type="paragraph" w:styleId="36">
    <w:name w:val="annotation subject"/>
    <w:basedOn w:val="10"/>
    <w:next w:val="10"/>
    <w:link w:val="90"/>
    <w:autoRedefine/>
    <w:qFormat/>
    <w:uiPriority w:val="0"/>
    <w:rPr>
      <w:b/>
      <w:bCs/>
    </w:rPr>
  </w:style>
  <w:style w:type="paragraph" w:styleId="37">
    <w:name w:val="Body Text First Indent"/>
    <w:basedOn w:val="11"/>
    <w:next w:val="1"/>
    <w:autoRedefine/>
    <w:qFormat/>
    <w:uiPriority w:val="0"/>
    <w:pPr>
      <w:ind w:firstLine="420" w:firstLineChars="100"/>
    </w:p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autoRedefine/>
    <w:qFormat/>
    <w:uiPriority w:val="0"/>
  </w:style>
  <w:style w:type="character" w:styleId="43">
    <w:name w:val="FollowedHyperlink"/>
    <w:basedOn w:val="40"/>
    <w:semiHidden/>
    <w:unhideWhenUsed/>
    <w:qFormat/>
    <w:uiPriority w:val="99"/>
    <w:rPr>
      <w:color w:val="800080"/>
      <w:u w:val="none"/>
    </w:rPr>
  </w:style>
  <w:style w:type="character" w:styleId="44">
    <w:name w:val="Emphasis"/>
    <w:basedOn w:val="40"/>
    <w:qFormat/>
    <w:uiPriority w:val="20"/>
  </w:style>
  <w:style w:type="character" w:styleId="45">
    <w:name w:val="HTML Definition"/>
    <w:basedOn w:val="40"/>
    <w:semiHidden/>
    <w:unhideWhenUsed/>
    <w:qFormat/>
    <w:uiPriority w:val="99"/>
  </w:style>
  <w:style w:type="character" w:styleId="46">
    <w:name w:val="HTML Typewriter"/>
    <w:basedOn w:val="40"/>
    <w:semiHidden/>
    <w:unhideWhenUsed/>
    <w:qFormat/>
    <w:uiPriority w:val="99"/>
    <w:rPr>
      <w:rFonts w:ascii="monospace" w:hAnsi="monospace" w:eastAsia="monospace" w:cs="monospace"/>
      <w:sz w:val="20"/>
    </w:rPr>
  </w:style>
  <w:style w:type="character" w:styleId="47">
    <w:name w:val="HTML Acronym"/>
    <w:basedOn w:val="40"/>
    <w:semiHidden/>
    <w:unhideWhenUsed/>
    <w:qFormat/>
    <w:uiPriority w:val="99"/>
  </w:style>
  <w:style w:type="character" w:styleId="48">
    <w:name w:val="HTML Variable"/>
    <w:basedOn w:val="40"/>
    <w:semiHidden/>
    <w:unhideWhenUsed/>
    <w:qFormat/>
    <w:uiPriority w:val="99"/>
  </w:style>
  <w:style w:type="character" w:styleId="49">
    <w:name w:val="Hyperlink"/>
    <w:autoRedefine/>
    <w:qFormat/>
    <w:uiPriority w:val="99"/>
    <w:rPr>
      <w:color w:val="0000FF"/>
      <w:u w:val="single"/>
    </w:rPr>
  </w:style>
  <w:style w:type="character" w:styleId="50">
    <w:name w:val="HTML Code"/>
    <w:basedOn w:val="40"/>
    <w:semiHidden/>
    <w:unhideWhenUsed/>
    <w:qFormat/>
    <w:uiPriority w:val="99"/>
    <w:rPr>
      <w:rFonts w:hint="default" w:ascii="monospace" w:hAnsi="monospace" w:eastAsia="monospace" w:cs="monospace"/>
      <w:sz w:val="20"/>
    </w:rPr>
  </w:style>
  <w:style w:type="character" w:styleId="51">
    <w:name w:val="annotation reference"/>
    <w:autoRedefine/>
    <w:qFormat/>
    <w:uiPriority w:val="99"/>
    <w:rPr>
      <w:sz w:val="21"/>
      <w:szCs w:val="21"/>
    </w:rPr>
  </w:style>
  <w:style w:type="character" w:styleId="52">
    <w:name w:val="HTML Cite"/>
    <w:basedOn w:val="40"/>
    <w:semiHidden/>
    <w:unhideWhenUsed/>
    <w:uiPriority w:val="99"/>
  </w:style>
  <w:style w:type="character" w:styleId="53">
    <w:name w:val="HTML Keyboard"/>
    <w:basedOn w:val="40"/>
    <w:semiHidden/>
    <w:unhideWhenUsed/>
    <w:uiPriority w:val="99"/>
    <w:rPr>
      <w:rFonts w:hint="default" w:ascii="monospace" w:hAnsi="monospace" w:eastAsia="monospace" w:cs="monospace"/>
      <w:sz w:val="20"/>
    </w:rPr>
  </w:style>
  <w:style w:type="character" w:styleId="54">
    <w:name w:val="HTML Sample"/>
    <w:basedOn w:val="40"/>
    <w:semiHidden/>
    <w:unhideWhenUsed/>
    <w:uiPriority w:val="99"/>
    <w:rPr>
      <w:rFonts w:hint="default" w:ascii="monospace" w:hAnsi="monospace" w:eastAsia="monospace" w:cs="monospace"/>
    </w:rPr>
  </w:style>
  <w:style w:type="paragraph" w:customStyle="1" w:styleId="55">
    <w:name w:val="索引 11"/>
    <w:basedOn w:val="1"/>
    <w:next w:val="1"/>
    <w:autoRedefine/>
    <w:qFormat/>
    <w:uiPriority w:val="0"/>
    <w:pPr>
      <w:spacing w:line="360" w:lineRule="auto"/>
    </w:pPr>
    <w:rPr>
      <w:rFonts w:ascii="仿宋_GB2312" w:eastAsia="仿宋_GB2312"/>
      <w:sz w:val="24"/>
      <w:szCs w:val="20"/>
    </w:rPr>
  </w:style>
  <w:style w:type="paragraph" w:customStyle="1" w:styleId="56">
    <w:name w:val="列出段落1"/>
    <w:basedOn w:val="1"/>
    <w:autoRedefine/>
    <w:qFormat/>
    <w:uiPriority w:val="34"/>
    <w:pPr>
      <w:widowControl/>
      <w:ind w:firstLine="420" w:firstLineChars="200"/>
      <w:jc w:val="left"/>
    </w:pPr>
    <w:rPr>
      <w:kern w:val="0"/>
      <w:sz w:val="24"/>
    </w:rPr>
  </w:style>
  <w:style w:type="paragraph" w:customStyle="1" w:styleId="57">
    <w:name w:val="列出段落11"/>
    <w:basedOn w:val="1"/>
    <w:next w:val="56"/>
    <w:autoRedefine/>
    <w:qFormat/>
    <w:uiPriority w:val="34"/>
    <w:pPr>
      <w:widowControl/>
      <w:ind w:firstLine="420" w:firstLineChars="200"/>
      <w:jc w:val="left"/>
    </w:pPr>
    <w:rPr>
      <w:rFonts w:ascii="宋体" w:hAnsi="宋体" w:cs="宋体"/>
      <w:kern w:val="0"/>
      <w:sz w:val="24"/>
    </w:rPr>
  </w:style>
  <w:style w:type="paragraph" w:customStyle="1" w:styleId="58">
    <w:name w:val="List Paragraph1"/>
    <w:basedOn w:val="1"/>
    <w:autoRedefine/>
    <w:qFormat/>
    <w:uiPriority w:val="34"/>
    <w:pPr>
      <w:ind w:firstLine="420" w:firstLineChars="200"/>
    </w:pPr>
  </w:style>
  <w:style w:type="paragraph" w:customStyle="1" w:styleId="59">
    <w:name w:val="Table Paragraph"/>
    <w:basedOn w:val="1"/>
    <w:qFormat/>
    <w:uiPriority w:val="1"/>
    <w:pPr>
      <w:widowControl/>
      <w:jc w:val="left"/>
    </w:pPr>
    <w:rPr>
      <w:rFonts w:ascii="宋体" w:hAnsi="宋体" w:cs="宋体"/>
      <w:kern w:val="0"/>
      <w:szCs w:val="20"/>
      <w:lang w:val="zh-CN" w:bidi="zh-CN"/>
    </w:rPr>
  </w:style>
  <w:style w:type="paragraph" w:customStyle="1" w:styleId="60">
    <w:name w:val="p0"/>
    <w:basedOn w:val="1"/>
    <w:autoRedefine/>
    <w:qFormat/>
    <w:uiPriority w:val="0"/>
    <w:pPr>
      <w:widowControl/>
    </w:pPr>
    <w:rPr>
      <w:kern w:val="0"/>
      <w:szCs w:val="21"/>
    </w:rPr>
  </w:style>
  <w:style w:type="paragraph" w:customStyle="1" w:styleId="61">
    <w:name w:val="图例"/>
    <w:basedOn w:val="1"/>
    <w:autoRedefine/>
    <w:qFormat/>
    <w:uiPriority w:val="0"/>
    <w:pPr>
      <w:spacing w:before="120" w:after="120" w:line="360" w:lineRule="auto"/>
      <w:jc w:val="center"/>
    </w:pPr>
    <w:rPr>
      <w:rFonts w:eastAsia="仿宋_GB2312"/>
      <w:b/>
      <w:sz w:val="24"/>
    </w:rPr>
  </w:style>
  <w:style w:type="paragraph" w:customStyle="1" w:styleId="62">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63">
    <w:name w:val="正文段"/>
    <w:basedOn w:val="1"/>
    <w:autoRedefine/>
    <w:qFormat/>
    <w:uiPriority w:val="0"/>
    <w:pPr>
      <w:widowControl/>
      <w:snapToGrid w:val="0"/>
      <w:spacing w:afterLines="50"/>
      <w:ind w:firstLine="200" w:firstLineChars="200"/>
    </w:pPr>
    <w:rPr>
      <w:kern w:val="0"/>
      <w:sz w:val="24"/>
    </w:rPr>
  </w:style>
  <w:style w:type="paragraph" w:customStyle="1" w:styleId="64">
    <w:name w:val="首行缩进"/>
    <w:basedOn w:val="1"/>
    <w:autoRedefine/>
    <w:qFormat/>
    <w:uiPriority w:val="0"/>
    <w:pPr>
      <w:ind w:firstLine="480" w:firstLineChars="200"/>
    </w:pPr>
    <w:rPr>
      <w:lang w:val="zh-CN"/>
    </w:rPr>
  </w:style>
  <w:style w:type="paragraph" w:customStyle="1" w:styleId="65">
    <w:name w:val="纯文本1"/>
    <w:basedOn w:val="1"/>
    <w:link w:val="81"/>
    <w:qFormat/>
    <w:uiPriority w:val="0"/>
    <w:rPr>
      <w:rFonts w:ascii="宋体" w:hAnsi="Courier New"/>
      <w:kern w:val="0"/>
      <w:sz w:val="20"/>
      <w:szCs w:val="20"/>
    </w:rPr>
  </w:style>
  <w:style w:type="paragraph" w:customStyle="1" w:styleId="66">
    <w:name w:val="Char"/>
    <w:basedOn w:val="1"/>
    <w:autoRedefine/>
    <w:qFormat/>
    <w:uiPriority w:val="0"/>
    <w:pPr>
      <w:tabs>
        <w:tab w:val="left" w:pos="360"/>
      </w:tabs>
    </w:pPr>
    <w:rPr>
      <w:sz w:val="24"/>
    </w:rPr>
  </w:style>
  <w:style w:type="paragraph" w:customStyle="1" w:styleId="67">
    <w:name w:val="正文缩进1"/>
    <w:basedOn w:val="1"/>
    <w:link w:val="70"/>
    <w:qFormat/>
    <w:uiPriority w:val="0"/>
    <w:pPr>
      <w:autoSpaceDE w:val="0"/>
      <w:autoSpaceDN w:val="0"/>
      <w:adjustRightInd w:val="0"/>
      <w:ind w:firstLine="420"/>
      <w:jc w:val="left"/>
    </w:pPr>
    <w:rPr>
      <w:rFonts w:ascii="宋体"/>
      <w:kern w:val="0"/>
      <w:sz w:val="24"/>
      <w:szCs w:val="20"/>
    </w:rPr>
  </w:style>
  <w:style w:type="paragraph" w:customStyle="1" w:styleId="68">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character" w:customStyle="1" w:styleId="69">
    <w:name w:val="font91"/>
    <w:basedOn w:val="40"/>
    <w:autoRedefine/>
    <w:qFormat/>
    <w:uiPriority w:val="0"/>
    <w:rPr>
      <w:rFonts w:hint="eastAsia" w:ascii="宋体" w:hAnsi="宋体" w:eastAsia="宋体" w:cs="宋体"/>
      <w:color w:val="000000"/>
      <w:sz w:val="20"/>
      <w:szCs w:val="20"/>
      <w:u w:val="none"/>
      <w:vertAlign w:val="subscript"/>
    </w:rPr>
  </w:style>
  <w:style w:type="character" w:customStyle="1" w:styleId="70">
    <w:name w:val="正文缩进 Char1"/>
    <w:link w:val="67"/>
    <w:autoRedefine/>
    <w:qFormat/>
    <w:uiPriority w:val="0"/>
    <w:rPr>
      <w:rFonts w:ascii="宋体"/>
      <w:sz w:val="24"/>
    </w:rPr>
  </w:style>
  <w:style w:type="character" w:customStyle="1" w:styleId="71">
    <w:name w:val="批注主题 Char1"/>
    <w:autoRedefine/>
    <w:qFormat/>
    <w:uiPriority w:val="99"/>
    <w:rPr>
      <w:b/>
      <w:bCs/>
      <w:kern w:val="2"/>
      <w:sz w:val="21"/>
      <w:szCs w:val="24"/>
    </w:rPr>
  </w:style>
  <w:style w:type="character" w:customStyle="1" w:styleId="72">
    <w:name w:val="font31"/>
    <w:basedOn w:val="40"/>
    <w:autoRedefine/>
    <w:qFormat/>
    <w:uiPriority w:val="0"/>
    <w:rPr>
      <w:rFonts w:hint="eastAsia" w:ascii="宋体" w:hAnsi="宋体" w:eastAsia="宋体" w:cs="宋体"/>
      <w:color w:val="404040"/>
      <w:sz w:val="20"/>
      <w:szCs w:val="20"/>
      <w:u w:val="none"/>
    </w:rPr>
  </w:style>
  <w:style w:type="character" w:customStyle="1" w:styleId="73">
    <w:name w:val="font61"/>
    <w:basedOn w:val="40"/>
    <w:autoRedefine/>
    <w:qFormat/>
    <w:uiPriority w:val="0"/>
    <w:rPr>
      <w:rFonts w:hint="eastAsia" w:ascii="宋体" w:hAnsi="宋体" w:eastAsia="宋体" w:cs="宋体"/>
      <w:color w:val="333333"/>
      <w:sz w:val="20"/>
      <w:szCs w:val="20"/>
      <w:u w:val="none"/>
    </w:rPr>
  </w:style>
  <w:style w:type="character" w:customStyle="1" w:styleId="74">
    <w:name w:val="页眉 字符"/>
    <w:link w:val="24"/>
    <w:autoRedefine/>
    <w:qFormat/>
    <w:uiPriority w:val="99"/>
    <w:rPr>
      <w:kern w:val="2"/>
      <w:sz w:val="18"/>
      <w:szCs w:val="18"/>
    </w:rPr>
  </w:style>
  <w:style w:type="character" w:customStyle="1" w:styleId="75">
    <w:name w:val="批注文字 Char1"/>
    <w:autoRedefine/>
    <w:qFormat/>
    <w:uiPriority w:val="99"/>
    <w:rPr>
      <w:kern w:val="2"/>
      <w:sz w:val="21"/>
      <w:szCs w:val="24"/>
    </w:rPr>
  </w:style>
  <w:style w:type="character" w:customStyle="1" w:styleId="76">
    <w:name w:val="font41"/>
    <w:basedOn w:val="40"/>
    <w:autoRedefine/>
    <w:qFormat/>
    <w:uiPriority w:val="0"/>
    <w:rPr>
      <w:rFonts w:hint="eastAsia" w:ascii="宋体" w:hAnsi="宋体" w:eastAsia="宋体" w:cs="宋体"/>
      <w:color w:val="000000"/>
      <w:sz w:val="20"/>
      <w:szCs w:val="20"/>
      <w:u w:val="none"/>
    </w:rPr>
  </w:style>
  <w:style w:type="character" w:customStyle="1" w:styleId="77">
    <w:name w:val="页脚 字符"/>
    <w:link w:val="23"/>
    <w:autoRedefine/>
    <w:qFormat/>
    <w:uiPriority w:val="99"/>
    <w:rPr>
      <w:rFonts w:ascii="宋体"/>
      <w:sz w:val="18"/>
    </w:rPr>
  </w:style>
  <w:style w:type="character" w:customStyle="1" w:styleId="78">
    <w:name w:val="font101"/>
    <w:basedOn w:val="40"/>
    <w:autoRedefine/>
    <w:qFormat/>
    <w:uiPriority w:val="0"/>
    <w:rPr>
      <w:rFonts w:hint="eastAsia" w:ascii="宋体" w:hAnsi="宋体" w:eastAsia="宋体" w:cs="宋体"/>
      <w:color w:val="000000"/>
      <w:sz w:val="20"/>
      <w:szCs w:val="20"/>
      <w:u w:val="none"/>
    </w:rPr>
  </w:style>
  <w:style w:type="character" w:customStyle="1" w:styleId="79">
    <w:name w:val="标题 2 字符"/>
    <w:link w:val="3"/>
    <w:autoRedefine/>
    <w:qFormat/>
    <w:uiPriority w:val="0"/>
    <w:rPr>
      <w:rFonts w:ascii="Arial" w:hAnsi="Arial" w:eastAsia="黑体"/>
      <w:b/>
      <w:sz w:val="30"/>
    </w:rPr>
  </w:style>
  <w:style w:type="character" w:customStyle="1" w:styleId="80">
    <w:name w:val="批注框文本 字符"/>
    <w:link w:val="22"/>
    <w:qFormat/>
    <w:uiPriority w:val="0"/>
    <w:rPr>
      <w:kern w:val="2"/>
      <w:sz w:val="18"/>
      <w:szCs w:val="18"/>
    </w:rPr>
  </w:style>
  <w:style w:type="character" w:customStyle="1" w:styleId="81">
    <w:name w:val="纯文本 Char1"/>
    <w:link w:val="65"/>
    <w:qFormat/>
    <w:uiPriority w:val="0"/>
    <w:rPr>
      <w:rFonts w:ascii="宋体" w:hAnsi="Courier New"/>
    </w:rPr>
  </w:style>
  <w:style w:type="character" w:customStyle="1" w:styleId="82">
    <w:name w:val="font81"/>
    <w:basedOn w:val="40"/>
    <w:autoRedefine/>
    <w:qFormat/>
    <w:uiPriority w:val="0"/>
    <w:rPr>
      <w:rFonts w:hint="eastAsia" w:ascii="宋体" w:hAnsi="宋体" w:eastAsia="宋体" w:cs="宋体"/>
      <w:color w:val="404040"/>
      <w:sz w:val="20"/>
      <w:szCs w:val="20"/>
      <w:u w:val="none"/>
    </w:rPr>
  </w:style>
  <w:style w:type="character" w:customStyle="1" w:styleId="83">
    <w:name w:val="文档结构图 字符"/>
    <w:basedOn w:val="40"/>
    <w:link w:val="9"/>
    <w:autoRedefine/>
    <w:qFormat/>
    <w:uiPriority w:val="0"/>
    <w:rPr>
      <w:rFonts w:ascii="宋体"/>
      <w:kern w:val="2"/>
      <w:sz w:val="18"/>
      <w:szCs w:val="18"/>
    </w:rPr>
  </w:style>
  <w:style w:type="character" w:customStyle="1" w:styleId="84">
    <w:name w:val="日期 字符"/>
    <w:link w:val="20"/>
    <w:autoRedefine/>
    <w:qFormat/>
    <w:uiPriority w:val="0"/>
    <w:rPr>
      <w:rFonts w:ascii="仿宋_GB2312" w:hAnsi="宋体" w:eastAsia="仿宋_GB2312"/>
      <w:color w:val="000000"/>
      <w:kern w:val="2"/>
      <w:sz w:val="24"/>
      <w:szCs w:val="24"/>
    </w:rPr>
  </w:style>
  <w:style w:type="character" w:customStyle="1" w:styleId="85">
    <w:name w:val="页眉 Char1"/>
    <w:autoRedefine/>
    <w:qFormat/>
    <w:uiPriority w:val="99"/>
    <w:rPr>
      <w:kern w:val="2"/>
      <w:sz w:val="18"/>
      <w:szCs w:val="18"/>
    </w:rPr>
  </w:style>
  <w:style w:type="character" w:customStyle="1" w:styleId="86">
    <w:name w:val="批注框文本 Char1"/>
    <w:autoRedefine/>
    <w:qFormat/>
    <w:uiPriority w:val="99"/>
    <w:rPr>
      <w:kern w:val="2"/>
      <w:sz w:val="18"/>
      <w:szCs w:val="18"/>
    </w:rPr>
  </w:style>
  <w:style w:type="character" w:customStyle="1" w:styleId="87">
    <w:name w:val="纯文本 字符"/>
    <w:link w:val="17"/>
    <w:autoRedefine/>
    <w:qFormat/>
    <w:uiPriority w:val="0"/>
    <w:rPr>
      <w:rFonts w:ascii="宋体" w:hAnsi="Courier New"/>
      <w:kern w:val="2"/>
      <w:sz w:val="21"/>
    </w:rPr>
  </w:style>
  <w:style w:type="character" w:customStyle="1" w:styleId="88">
    <w:name w:val="正文文本 字符"/>
    <w:link w:val="11"/>
    <w:autoRedefine/>
    <w:qFormat/>
    <w:uiPriority w:val="0"/>
    <w:rPr>
      <w:rFonts w:ascii="宋体" w:hAnsi="宋体"/>
      <w:kern w:val="2"/>
      <w:sz w:val="24"/>
      <w:szCs w:val="24"/>
    </w:rPr>
  </w:style>
  <w:style w:type="character" w:customStyle="1" w:styleId="89">
    <w:name w:val="批注文字 字符"/>
    <w:link w:val="10"/>
    <w:autoRedefine/>
    <w:qFormat/>
    <w:uiPriority w:val="99"/>
    <w:rPr>
      <w:kern w:val="2"/>
      <w:sz w:val="21"/>
      <w:szCs w:val="24"/>
    </w:rPr>
  </w:style>
  <w:style w:type="character" w:customStyle="1" w:styleId="90">
    <w:name w:val="批注主题 字符"/>
    <w:link w:val="36"/>
    <w:autoRedefine/>
    <w:qFormat/>
    <w:uiPriority w:val="0"/>
    <w:rPr>
      <w:b/>
      <w:bCs/>
      <w:kern w:val="2"/>
      <w:sz w:val="21"/>
      <w:szCs w:val="24"/>
    </w:rPr>
  </w:style>
  <w:style w:type="character" w:customStyle="1" w:styleId="91">
    <w:name w:val="标题 3 字符"/>
    <w:link w:val="4"/>
    <w:qFormat/>
    <w:uiPriority w:val="0"/>
    <w:rPr>
      <w:rFonts w:ascii="宋体"/>
      <w:b/>
      <w:sz w:val="24"/>
      <w:u w:val="single"/>
    </w:rPr>
  </w:style>
  <w:style w:type="character" w:customStyle="1" w:styleId="92">
    <w:name w:val="标题 1 字符"/>
    <w:link w:val="2"/>
    <w:autoRedefine/>
    <w:qFormat/>
    <w:uiPriority w:val="0"/>
    <w:rPr>
      <w:rFonts w:ascii="宋体"/>
      <w:b/>
      <w:kern w:val="44"/>
      <w:sz w:val="32"/>
    </w:rPr>
  </w:style>
  <w:style w:type="paragraph" w:styleId="93">
    <w:name w:val="List Paragraph"/>
    <w:basedOn w:val="1"/>
    <w:autoRedefine/>
    <w:qFormat/>
    <w:uiPriority w:val="34"/>
    <w:pPr>
      <w:ind w:firstLine="420" w:firstLineChars="200"/>
    </w:pPr>
    <w:rPr>
      <w:rFonts w:ascii="Calibri" w:hAnsi="Calibri"/>
      <w:szCs w:val="22"/>
    </w:rPr>
  </w:style>
  <w:style w:type="paragraph" w:customStyle="1" w:styleId="94">
    <w:name w:val="样式 正文（首行缩进两字） + 首行缩进:  2 字符2"/>
    <w:basedOn w:val="7"/>
    <w:autoRedefine/>
    <w:qFormat/>
    <w:uiPriority w:val="0"/>
    <w:pPr>
      <w:spacing w:line="360" w:lineRule="auto"/>
      <w:ind w:firstLine="0"/>
      <w:textAlignment w:val="baseline"/>
    </w:pPr>
    <w:rPr>
      <w:rFonts w:hAnsi="宋体" w:eastAsia="楷体_GB2312" w:cs="宋体"/>
      <w:bCs/>
      <w:kern w:val="2"/>
      <w:sz w:val="21"/>
      <w:szCs w:val="21"/>
    </w:rPr>
  </w:style>
  <w:style w:type="paragraph" w:customStyle="1" w:styleId="95">
    <w:name w:val="PlainText"/>
    <w:basedOn w:val="1"/>
    <w:autoRedefine/>
    <w:qFormat/>
    <w:uiPriority w:val="0"/>
    <w:pPr>
      <w:textAlignment w:val="baseline"/>
    </w:pPr>
    <w:rPr>
      <w:rFonts w:ascii="宋体" w:hAnsi="Courier New"/>
      <w:szCs w:val="20"/>
    </w:rPr>
  </w:style>
  <w:style w:type="character" w:customStyle="1" w:styleId="96">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97">
    <w:name w:val="fontstyle01"/>
    <w:autoRedefine/>
    <w:qFormat/>
    <w:uiPriority w:val="0"/>
    <w:rPr>
      <w:rFonts w:hint="eastAsia" w:ascii="宋体" w:hAnsi="宋体" w:eastAsia="宋体"/>
      <w:color w:val="000000"/>
      <w:sz w:val="22"/>
      <w:szCs w:val="22"/>
    </w:rPr>
  </w:style>
  <w:style w:type="paragraph" w:customStyle="1" w:styleId="98">
    <w:name w:val="正文1"/>
    <w:autoRedefine/>
    <w:qFormat/>
    <w:uiPriority w:val="0"/>
    <w:pPr>
      <w:jc w:val="both"/>
    </w:pPr>
    <w:rPr>
      <w:rFonts w:ascii="Calibri" w:hAnsi="Calibri" w:eastAsia="宋体" w:cs="宋体"/>
      <w:kern w:val="2"/>
      <w:sz w:val="21"/>
      <w:szCs w:val="21"/>
      <w:lang w:val="en-US" w:eastAsia="zh-CN" w:bidi="ar-SA"/>
    </w:rPr>
  </w:style>
  <w:style w:type="character" w:customStyle="1" w:styleId="99">
    <w:name w:val="font11"/>
    <w:basedOn w:val="40"/>
    <w:autoRedefine/>
    <w:qFormat/>
    <w:uiPriority w:val="0"/>
    <w:rPr>
      <w:rFonts w:hint="eastAsia" w:ascii="宋体" w:hAnsi="宋体" w:eastAsia="宋体" w:cs="宋体"/>
      <w:color w:val="000000"/>
      <w:sz w:val="18"/>
      <w:szCs w:val="18"/>
      <w:u w:val="none"/>
    </w:rPr>
  </w:style>
  <w:style w:type="character" w:customStyle="1" w:styleId="100">
    <w:name w:val="font71"/>
    <w:basedOn w:val="40"/>
    <w:autoRedefine/>
    <w:qFormat/>
    <w:uiPriority w:val="0"/>
    <w:rPr>
      <w:rFonts w:hint="eastAsia" w:ascii="宋体" w:hAnsi="宋体" w:eastAsia="宋体" w:cs="宋体"/>
      <w:color w:val="000000"/>
      <w:sz w:val="18"/>
      <w:szCs w:val="18"/>
      <w:u w:val="none"/>
    </w:rPr>
  </w:style>
  <w:style w:type="character" w:customStyle="1" w:styleId="101">
    <w:name w:val="font112"/>
    <w:basedOn w:val="40"/>
    <w:autoRedefine/>
    <w:qFormat/>
    <w:uiPriority w:val="0"/>
    <w:rPr>
      <w:rFonts w:hint="default" w:ascii="Calibri" w:hAnsi="Calibri" w:cs="Calibri"/>
      <w:color w:val="000000"/>
      <w:sz w:val="18"/>
      <w:szCs w:val="18"/>
      <w:u w:val="none"/>
    </w:rPr>
  </w:style>
  <w:style w:type="character" w:customStyle="1" w:styleId="102">
    <w:name w:val="font21"/>
    <w:basedOn w:val="40"/>
    <w:autoRedefine/>
    <w:qFormat/>
    <w:uiPriority w:val="0"/>
    <w:rPr>
      <w:rFonts w:hint="eastAsia" w:ascii="宋体" w:hAnsi="宋体" w:eastAsia="宋体" w:cs="宋体"/>
      <w:color w:val="000000"/>
      <w:sz w:val="12"/>
      <w:szCs w:val="12"/>
      <w:u w:val="none"/>
    </w:rPr>
  </w:style>
  <w:style w:type="table" w:customStyle="1" w:styleId="103">
    <w:name w:val="Table Normal"/>
    <w:autoRedefine/>
    <w:semiHidden/>
    <w:unhideWhenUsed/>
    <w:qFormat/>
    <w:uiPriority w:val="0"/>
    <w:tblPr>
      <w:tblCellMar>
        <w:top w:w="0" w:type="dxa"/>
        <w:left w:w="0" w:type="dxa"/>
        <w:bottom w:w="0" w:type="dxa"/>
        <w:right w:w="0" w:type="dxa"/>
      </w:tblCellMar>
    </w:tblPr>
  </w:style>
  <w:style w:type="paragraph" w:customStyle="1" w:styleId="104">
    <w:name w:val="正文首行缩进1"/>
    <w:basedOn w:val="11"/>
    <w:autoRedefine/>
    <w:qFormat/>
    <w:uiPriority w:val="0"/>
    <w:pPr>
      <w:spacing w:after="0"/>
      <w:ind w:right="-349" w:rightChars="-166" w:firstLine="420" w:firstLineChars="100"/>
    </w:pPr>
    <w:rPr>
      <w:rFonts w:eastAsia="仿宋_GB2312"/>
      <w:sz w:val="32"/>
    </w:rPr>
  </w:style>
  <w:style w:type="paragraph" w:customStyle="1" w:styleId="105">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13701</Words>
  <Characters>14501</Characters>
  <Lines>434</Lines>
  <Paragraphs>122</Paragraphs>
  <TotalTime>3</TotalTime>
  <ScaleCrop>false</ScaleCrop>
  <LinksUpToDate>false</LinksUpToDate>
  <CharactersWithSpaces>15907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2018-11-17T02:05:00Z</dcterms:created>
  <dc:creator>USER-</dc:creator>
  <cp:lastModifiedBy>0℃</cp:lastModifiedBy>
  <cp:lastPrinted>2024-05-10T03:58:00Z</cp:lastPrinted>
  <dcterms:modified xsi:type="dcterms:W3CDTF">2025-03-12T06:23:00Z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6356414BBCD34DF484431A3E5F042F9F_13</vt:lpwstr>
  </property>
  <property fmtid="{D5CDD505-2E9C-101B-9397-08002B2CF9AE}" pid="4" name="KSOTemplateDocerSaveRecord">
    <vt:lpwstr>eyJoZGlkIjoiNDg2NjY4YjY3OTNjNmE2NWU1ZTg2MjFkYmI5YzNiZTkiLCJ1c2VySWQiOiIzNTIxMjU2MjEifQ==</vt:lpwstr>
  </property>
</Properties>
</file>