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1687" w:firstLineChars="200"/>
        <w:jc w:val="both"/>
        <w:rPr>
          <w:rFonts w:hint="eastAsia" w:eastAsia="黑体"/>
          <w:b/>
          <w:bCs/>
          <w:sz w:val="84"/>
        </w:rPr>
      </w:pPr>
    </w:p>
    <w:p>
      <w:pPr>
        <w:pStyle w:val="29"/>
        <w:ind w:firstLine="1687" w:firstLineChars="200"/>
        <w:jc w:val="both"/>
        <w:rPr>
          <w:rFonts w:hint="eastAsia" w:eastAsia="黑体"/>
          <w:b/>
          <w:bCs/>
          <w:sz w:val="84"/>
        </w:rPr>
      </w:pPr>
    </w:p>
    <w:p>
      <w:pPr>
        <w:pStyle w:val="29"/>
        <w:ind w:firstLine="1687" w:firstLineChars="200"/>
        <w:jc w:val="both"/>
        <w:rPr>
          <w:rFonts w:hint="eastAsia" w:eastAsia="黑体"/>
          <w:b/>
          <w:bCs/>
          <w:sz w:val="84"/>
        </w:rPr>
      </w:pPr>
      <w:r>
        <w:rPr>
          <w:rFonts w:hint="eastAsia" w:eastAsia="黑体"/>
          <w:b/>
          <w:bCs/>
          <w:sz w:val="84"/>
        </w:rPr>
        <w:t>招　标　文　件</w:t>
      </w:r>
    </w:p>
    <w:p>
      <w:pPr>
        <w:pStyle w:val="29"/>
        <w:ind w:firstLine="0"/>
        <w:rPr>
          <w:b/>
          <w:bCs/>
          <w:sz w:val="32"/>
        </w:rPr>
      </w:pPr>
    </w:p>
    <w:p>
      <w:pPr>
        <w:pStyle w:val="29"/>
        <w:ind w:left="1606" w:hanging="1606" w:hangingChars="500"/>
        <w:jc w:val="both"/>
        <w:rPr>
          <w:rFonts w:hint="default" w:ascii="Arial" w:hAnsi="Arial" w:eastAsia="宋体" w:cs="Times New Roman"/>
          <w:b/>
          <w:bCs/>
          <w:sz w:val="32"/>
          <w:lang w:val="en-US" w:eastAsia="zh-CN"/>
        </w:rPr>
      </w:pPr>
      <w:r>
        <w:rPr>
          <w:rFonts w:hint="eastAsia"/>
          <w:b/>
          <w:bCs/>
          <w:sz w:val="32"/>
        </w:rPr>
        <w:t>项</w:t>
      </w:r>
      <w:r>
        <w:rPr>
          <w:rFonts w:hint="eastAsia" w:ascii="Arial" w:hAnsi="Arial"/>
          <w:b/>
          <w:bCs/>
          <w:sz w:val="32"/>
        </w:rPr>
        <w:t>目名称：</w:t>
      </w:r>
      <w:r>
        <w:rPr>
          <w:rFonts w:hint="eastAsia" w:ascii="Arial" w:hAnsi="Arial" w:eastAsia="宋体" w:cs="Times New Roman"/>
          <w:b/>
          <w:bCs/>
          <w:sz w:val="32"/>
          <w:lang w:eastAsia="zh-CN"/>
        </w:rPr>
        <w:t>昌吉州博物馆可移动文物数字化保护利用项目</w:t>
      </w:r>
    </w:p>
    <w:p>
      <w:pPr>
        <w:pStyle w:val="29"/>
        <w:ind w:firstLine="0"/>
        <w:jc w:val="both"/>
        <w:rPr>
          <w:rFonts w:hint="default" w:ascii="Arial" w:hAnsi="Arial" w:eastAsia="宋体" w:cs="Times New Roman"/>
          <w:b/>
          <w:bCs/>
          <w:sz w:val="32"/>
          <w:lang w:val="en-US" w:eastAsia="zh-CN"/>
        </w:rPr>
      </w:pPr>
      <w:r>
        <w:rPr>
          <w:rFonts w:hint="eastAsia"/>
          <w:b/>
          <w:bCs/>
          <w:sz w:val="32"/>
        </w:rPr>
        <w:t>项目编号：</w:t>
      </w:r>
      <w:r>
        <w:rPr>
          <w:rFonts w:hint="eastAsia" w:ascii="Arial" w:hAnsi="Arial" w:eastAsia="宋体" w:cs="Times New Roman"/>
          <w:b/>
          <w:bCs/>
          <w:sz w:val="32"/>
          <w:highlight w:val="yellow"/>
          <w:lang w:val="en-US" w:eastAsia="zh-CN"/>
        </w:rPr>
        <w:t>CJZFCG－GK-202</w:t>
      </w:r>
      <w:r>
        <w:rPr>
          <w:rFonts w:hint="eastAsia" w:cs="Times New Roman"/>
          <w:b/>
          <w:bCs/>
          <w:sz w:val="32"/>
          <w:highlight w:val="yellow"/>
          <w:lang w:val="en-US" w:eastAsia="zh-CN"/>
        </w:rPr>
        <w:t>5</w:t>
      </w:r>
      <w:r>
        <w:rPr>
          <w:rFonts w:hint="eastAsia" w:ascii="Arial" w:hAnsi="Arial" w:eastAsia="宋体" w:cs="Times New Roman"/>
          <w:b/>
          <w:bCs/>
          <w:sz w:val="32"/>
          <w:highlight w:val="yellow"/>
          <w:lang w:val="en-US" w:eastAsia="zh-CN"/>
        </w:rPr>
        <w:t>0</w:t>
      </w:r>
      <w:r>
        <w:rPr>
          <w:rFonts w:hint="eastAsia" w:cs="Times New Roman"/>
          <w:b/>
          <w:bCs/>
          <w:sz w:val="32"/>
          <w:highlight w:val="yellow"/>
          <w:lang w:val="en-US" w:eastAsia="zh-CN"/>
        </w:rPr>
        <w:t>04</w:t>
      </w:r>
    </w:p>
    <w:p>
      <w:pPr>
        <w:pStyle w:val="29"/>
        <w:spacing w:before="0" w:after="0"/>
        <w:ind w:firstLine="0"/>
        <w:rPr>
          <w:rFonts w:hint="eastAsia" w:ascii="宋体" w:hAnsi="宋体"/>
        </w:rPr>
      </w:pPr>
      <w:r>
        <w:rPr>
          <w:rFonts w:hint="eastAsia" w:ascii="宋体" w:hAnsi="宋体"/>
        </w:rPr>
        <w:t xml:space="preserve">                     </w:t>
      </w:r>
    </w:p>
    <w:p>
      <w:pPr>
        <w:pStyle w:val="29"/>
        <w:ind w:firstLine="0"/>
        <w:jc w:val="center"/>
        <w:rPr>
          <w:rFonts w:hint="eastAsia"/>
          <w:b/>
          <w:bCs/>
          <w:sz w:val="32"/>
        </w:rPr>
      </w:pPr>
    </w:p>
    <w:p>
      <w:pPr>
        <w:pStyle w:val="29"/>
        <w:tabs>
          <w:tab w:val="left" w:pos="1090"/>
        </w:tabs>
        <w:ind w:firstLine="0"/>
        <w:jc w:val="left"/>
        <w:rPr>
          <w:rFonts w:hint="default" w:eastAsia="宋体"/>
          <w:b/>
          <w:bCs/>
          <w:sz w:val="32"/>
          <w:lang w:val="en-US" w:eastAsia="zh-CN"/>
        </w:rPr>
      </w:pPr>
      <w:r>
        <w:rPr>
          <w:rFonts w:hint="eastAsia"/>
          <w:b/>
          <w:bCs/>
          <w:sz w:val="32"/>
          <w:lang w:eastAsia="zh-CN"/>
        </w:rPr>
        <w:tab/>
      </w:r>
      <w:r>
        <w:rPr>
          <w:rFonts w:hint="eastAsia"/>
          <w:b/>
          <w:bCs/>
          <w:sz w:val="32"/>
          <w:lang w:val="en-US" w:eastAsia="zh-CN"/>
        </w:rPr>
        <w:t xml:space="preserve"> 采购人审核意见：</w:t>
      </w:r>
    </w:p>
    <w:p>
      <w:pPr>
        <w:pStyle w:val="29"/>
        <w:tabs>
          <w:tab w:val="left" w:pos="1131"/>
        </w:tabs>
        <w:ind w:firstLine="0"/>
        <w:jc w:val="left"/>
        <w:rPr>
          <w:rFonts w:hint="eastAsia"/>
          <w:b/>
          <w:bCs/>
          <w:sz w:val="32"/>
          <w:lang w:eastAsia="zh-CN"/>
        </w:rPr>
      </w:pPr>
      <w:r>
        <w:rPr>
          <w:rFonts w:hint="eastAsia"/>
          <w:b/>
          <w:bCs/>
          <w:sz w:val="32"/>
          <w:lang w:eastAsia="zh-CN"/>
        </w:rPr>
        <w:tab/>
      </w:r>
    </w:p>
    <w:p>
      <w:pPr>
        <w:pStyle w:val="29"/>
        <w:tabs>
          <w:tab w:val="left" w:pos="1131"/>
        </w:tabs>
        <w:ind w:left="0" w:leftChars="0" w:firstLine="1285" w:firstLineChars="400"/>
        <w:jc w:val="left"/>
        <w:rPr>
          <w:rFonts w:hint="default" w:eastAsia="宋体"/>
          <w:b/>
          <w:bCs/>
          <w:sz w:val="32"/>
          <w:lang w:val="en-US" w:eastAsia="zh-CN"/>
        </w:rPr>
      </w:pPr>
      <w:r>
        <w:rPr>
          <w:rFonts w:hint="eastAsia"/>
          <w:b/>
          <w:bCs/>
          <w:sz w:val="32"/>
          <w:lang w:val="en-US" w:eastAsia="zh-CN"/>
        </w:rPr>
        <w:t>采 购 人 签 章：</w:t>
      </w:r>
    </w:p>
    <w:p>
      <w:pPr>
        <w:pStyle w:val="29"/>
        <w:ind w:firstLine="0"/>
        <w:jc w:val="center"/>
        <w:rPr>
          <w:rFonts w:hint="eastAsia"/>
          <w:b/>
          <w:bCs/>
          <w:sz w:val="32"/>
        </w:rPr>
      </w:pPr>
    </w:p>
    <w:p>
      <w:pPr>
        <w:pStyle w:val="29"/>
        <w:ind w:firstLine="0"/>
        <w:jc w:val="center"/>
        <w:rPr>
          <w:rFonts w:hint="eastAsia"/>
          <w:b/>
          <w:bCs/>
          <w:sz w:val="32"/>
        </w:rPr>
      </w:pPr>
    </w:p>
    <w:p>
      <w:pPr>
        <w:pStyle w:val="29"/>
        <w:ind w:firstLine="0"/>
        <w:jc w:val="center"/>
        <w:rPr>
          <w:rFonts w:hint="eastAsia"/>
          <w:b/>
          <w:bCs/>
          <w:sz w:val="32"/>
        </w:rPr>
      </w:pPr>
    </w:p>
    <w:p>
      <w:pPr>
        <w:pStyle w:val="29"/>
        <w:ind w:firstLine="1606" w:firstLineChars="500"/>
        <w:jc w:val="both"/>
        <w:rPr>
          <w:rFonts w:hint="eastAsia" w:eastAsia="宋体"/>
          <w:b/>
          <w:bCs/>
          <w:sz w:val="32"/>
          <w:lang w:eastAsia="zh-CN"/>
        </w:rPr>
      </w:pPr>
      <w:r>
        <w:rPr>
          <w:rFonts w:hint="eastAsia"/>
          <w:b/>
          <w:bCs/>
          <w:sz w:val="32"/>
          <w:lang w:val="en-US" w:eastAsia="zh-CN"/>
        </w:rPr>
        <w:t>昌吉回族自治州政务服务和公共资源交易中心</w:t>
      </w:r>
    </w:p>
    <w:p>
      <w:pPr>
        <w:pStyle w:val="29"/>
        <w:ind w:firstLine="0"/>
        <w:jc w:val="center"/>
        <w:rPr>
          <w:rFonts w:hint="eastAsia"/>
        </w:rPr>
      </w:pPr>
      <w:r>
        <w:rPr>
          <w:rFonts w:hint="eastAsia" w:cs="Times New Roman"/>
          <w:b/>
          <w:bCs/>
          <w:sz w:val="32"/>
          <w:lang w:val="en-US" w:eastAsia="zh-CN"/>
        </w:rPr>
        <w:t>2025</w:t>
      </w:r>
      <w:r>
        <w:rPr>
          <w:rFonts w:hint="eastAsia" w:ascii="Arial" w:hAnsi="Arial" w:eastAsia="宋体" w:cs="Times New Roman"/>
          <w:b/>
          <w:bCs/>
          <w:sz w:val="32"/>
        </w:rPr>
        <w:t>年</w:t>
      </w:r>
      <w:r>
        <w:rPr>
          <w:rFonts w:hint="eastAsia" w:cs="Times New Roman"/>
          <w:b/>
          <w:bCs/>
          <w:sz w:val="32"/>
          <w:lang w:val="en-US" w:eastAsia="zh-CN"/>
        </w:rPr>
        <w:t>2</w:t>
      </w:r>
      <w:r>
        <w:rPr>
          <w:rFonts w:hint="eastAsia" w:ascii="Arial" w:hAnsi="Arial" w:eastAsia="宋体" w:cs="Times New Roman"/>
          <w:b/>
          <w:bCs/>
          <w:sz w:val="32"/>
        </w:rPr>
        <w:t>月</w:t>
      </w:r>
      <w:r>
        <w:rPr>
          <w:rFonts w:hint="eastAsia" w:cs="Times New Roman"/>
          <w:b/>
          <w:bCs/>
          <w:sz w:val="32"/>
          <w:lang w:val="en-US" w:eastAsia="zh-CN"/>
        </w:rPr>
        <w:t>17</w:t>
      </w:r>
      <w:r>
        <w:rPr>
          <w:b/>
          <w:bCs/>
          <w:sz w:val="32"/>
        </w:rPr>
        <w:t>日</w:t>
      </w:r>
    </w:p>
    <w:p>
      <w:pPr>
        <w:rPr>
          <w:rFonts w:hint="eastAsia"/>
        </w:rPr>
      </w:pPr>
      <w:r>
        <w:br w:type="page"/>
      </w:r>
      <w:bookmarkStart w:id="0" w:name="_Toc120614210"/>
      <w:bookmarkStart w:id="1" w:name="_Toc494375077"/>
      <w:bookmarkStart w:id="2" w:name="_Toc513029200"/>
      <w:bookmarkStart w:id="3" w:name="_Toc523127445"/>
      <w:bookmarkStart w:id="4" w:name="_Toc20823272"/>
      <w:bookmarkStart w:id="5" w:name="_Toc16938516"/>
      <w:bookmarkStart w:id="6" w:name="_Toc479757206"/>
    </w:p>
    <w:p>
      <w:pPr>
        <w:pStyle w:val="30"/>
        <w:jc w:val="center"/>
        <w:rPr>
          <w:rFonts w:hint="eastAsia" w:ascii="黑体" w:hAnsi="Arial" w:eastAsia="黑体"/>
          <w:b w:val="0"/>
          <w:color w:val="auto"/>
          <w:sz w:val="44"/>
        </w:rPr>
      </w:pPr>
      <w:r>
        <w:rPr>
          <w:rFonts w:hint="eastAsia" w:ascii="黑体" w:hAnsi="Arial" w:eastAsia="黑体"/>
          <w:b w:val="0"/>
          <w:color w:val="auto"/>
          <w:sz w:val="44"/>
        </w:rPr>
        <w:t>总  目  录</w:t>
      </w:r>
    </w:p>
    <w:p>
      <w:pPr>
        <w:rPr>
          <w:rFonts w:ascii="仿宋" w:hAnsi="仿宋" w:eastAsia="仿宋"/>
          <w:sz w:val="28"/>
          <w:szCs w:val="28"/>
        </w:rPr>
      </w:pPr>
    </w:p>
    <w:p>
      <w:pPr>
        <w:pStyle w:val="20"/>
        <w:tabs>
          <w:tab w:val="right" w:leader="dot" w:pos="8943"/>
        </w:tabs>
        <w:rPr>
          <w:rFonts w:ascii="黑体" w:hAnsi="黑体" w:eastAsia="黑体"/>
          <w:smallCaps w:val="0"/>
          <w:sz w:val="36"/>
          <w:szCs w:val="36"/>
        </w:rPr>
      </w:pPr>
      <w:r>
        <w:rPr>
          <w:rFonts w:ascii="黑体" w:hAnsi="黑体" w:eastAsia="黑体"/>
          <w:sz w:val="32"/>
          <w:szCs w:val="32"/>
        </w:rPr>
        <w:fldChar w:fldCharType="begin"/>
      </w:r>
      <w:r>
        <w:rPr>
          <w:rFonts w:ascii="黑体" w:hAnsi="黑体" w:eastAsia="黑体"/>
          <w:sz w:val="32"/>
          <w:szCs w:val="32"/>
        </w:rPr>
        <w:instrText xml:space="preserve"> TOC \o "1-3" \h \z \u </w:instrText>
      </w:r>
      <w:r>
        <w:rPr>
          <w:rFonts w:ascii="黑体" w:hAnsi="黑体" w:eastAsia="黑体"/>
          <w:sz w:val="32"/>
          <w:szCs w:val="32"/>
        </w:rPr>
        <w:fldChar w:fldCharType="separate"/>
      </w:r>
      <w:r>
        <w:rPr>
          <w:rFonts w:ascii="黑体" w:hAnsi="黑体" w:eastAsia="黑体"/>
          <w:sz w:val="36"/>
          <w:szCs w:val="36"/>
        </w:rPr>
        <w:fldChar w:fldCharType="begin"/>
      </w:r>
      <w:r>
        <w:rPr>
          <w:rStyle w:val="27"/>
          <w:rFonts w:ascii="黑体" w:hAnsi="黑体" w:eastAsia="黑体"/>
          <w:color w:val="auto"/>
          <w:sz w:val="36"/>
          <w:szCs w:val="36"/>
        </w:rPr>
        <w:instrText xml:space="preserve"> </w:instrText>
      </w:r>
      <w:r>
        <w:rPr>
          <w:rFonts w:ascii="黑体" w:hAnsi="黑体" w:eastAsia="黑体"/>
          <w:sz w:val="36"/>
          <w:szCs w:val="36"/>
        </w:rPr>
        <w:instrText xml:space="preserve">HYPERLINK \l "_Toc534816625"</w:instrText>
      </w:r>
      <w:r>
        <w:rPr>
          <w:rStyle w:val="27"/>
          <w:rFonts w:ascii="黑体" w:hAnsi="黑体" w:eastAsia="黑体"/>
          <w:color w:val="auto"/>
          <w:sz w:val="36"/>
          <w:szCs w:val="36"/>
        </w:rPr>
        <w:instrText xml:space="preserve"> </w:instrText>
      </w:r>
      <w:r>
        <w:rPr>
          <w:rFonts w:ascii="黑体" w:hAnsi="黑体" w:eastAsia="黑体"/>
          <w:sz w:val="36"/>
          <w:szCs w:val="36"/>
        </w:rPr>
        <w:fldChar w:fldCharType="separate"/>
      </w:r>
      <w:r>
        <w:rPr>
          <w:rStyle w:val="27"/>
          <w:rFonts w:hint="eastAsia" w:ascii="黑体" w:hAnsi="黑体" w:eastAsia="黑体"/>
          <w:color w:val="auto"/>
          <w:sz w:val="36"/>
          <w:szCs w:val="36"/>
        </w:rPr>
        <w:t>第一章</w:t>
      </w:r>
      <w:r>
        <w:rPr>
          <w:rStyle w:val="27"/>
          <w:rFonts w:ascii="黑体" w:hAnsi="黑体" w:eastAsia="黑体"/>
          <w:color w:val="auto"/>
          <w:sz w:val="36"/>
          <w:szCs w:val="36"/>
        </w:rPr>
        <w:t xml:space="preserve">  </w:t>
      </w:r>
      <w:r>
        <w:rPr>
          <w:rStyle w:val="27"/>
          <w:rFonts w:hint="eastAsia" w:ascii="黑体" w:hAnsi="黑体" w:eastAsia="黑体"/>
          <w:color w:val="auto"/>
          <w:sz w:val="36"/>
          <w:szCs w:val="36"/>
        </w:rPr>
        <w:t>投标邀请</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_Toc534816625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pPr>
        <w:pStyle w:val="20"/>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7"/>
          <w:rFonts w:ascii="黑体" w:hAnsi="黑体" w:eastAsia="黑体"/>
          <w:color w:val="auto"/>
          <w:sz w:val="36"/>
          <w:szCs w:val="36"/>
        </w:rPr>
        <w:instrText xml:space="preserve"> </w:instrText>
      </w:r>
      <w:r>
        <w:rPr>
          <w:rFonts w:ascii="黑体" w:hAnsi="黑体" w:eastAsia="黑体"/>
          <w:sz w:val="36"/>
          <w:szCs w:val="36"/>
        </w:rPr>
        <w:instrText xml:space="preserve">HYPERLINK \l "_Toc534816626"</w:instrText>
      </w:r>
      <w:r>
        <w:rPr>
          <w:rStyle w:val="27"/>
          <w:rFonts w:ascii="黑体" w:hAnsi="黑体" w:eastAsia="黑体"/>
          <w:color w:val="auto"/>
          <w:sz w:val="36"/>
          <w:szCs w:val="36"/>
        </w:rPr>
        <w:instrText xml:space="preserve"> </w:instrText>
      </w:r>
      <w:r>
        <w:rPr>
          <w:rFonts w:ascii="黑体" w:hAnsi="黑体" w:eastAsia="黑体"/>
          <w:sz w:val="36"/>
          <w:szCs w:val="36"/>
        </w:rPr>
        <w:fldChar w:fldCharType="separate"/>
      </w:r>
      <w:r>
        <w:rPr>
          <w:rStyle w:val="27"/>
          <w:rFonts w:hint="eastAsia" w:ascii="黑体" w:hAnsi="黑体" w:eastAsia="黑体"/>
          <w:color w:val="auto"/>
          <w:sz w:val="36"/>
          <w:szCs w:val="36"/>
        </w:rPr>
        <w:t>第二章</w:t>
      </w:r>
      <w:r>
        <w:rPr>
          <w:rStyle w:val="27"/>
          <w:rFonts w:ascii="黑体" w:hAnsi="黑体" w:eastAsia="黑体"/>
          <w:color w:val="auto"/>
          <w:sz w:val="36"/>
          <w:szCs w:val="36"/>
        </w:rPr>
        <w:t xml:space="preserve">  </w:t>
      </w:r>
      <w:r>
        <w:rPr>
          <w:rStyle w:val="27"/>
          <w:rFonts w:hint="eastAsia" w:ascii="黑体" w:hAnsi="黑体" w:eastAsia="黑体"/>
          <w:color w:val="auto"/>
          <w:sz w:val="36"/>
          <w:szCs w:val="36"/>
        </w:rPr>
        <w:t>投标人须知</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_Toc534816626 \h </w:instrText>
      </w:r>
      <w:r>
        <w:rPr>
          <w:rFonts w:ascii="黑体" w:hAnsi="黑体" w:eastAsia="黑体"/>
          <w:sz w:val="36"/>
          <w:szCs w:val="36"/>
        </w:rPr>
        <w:fldChar w:fldCharType="separate"/>
      </w:r>
      <w:r>
        <w:rPr>
          <w:rFonts w:ascii="黑体" w:hAnsi="黑体" w:eastAsia="黑体"/>
          <w:sz w:val="36"/>
          <w:szCs w:val="36"/>
        </w:rPr>
        <w:t>8</w:t>
      </w:r>
      <w:r>
        <w:rPr>
          <w:rFonts w:ascii="黑体" w:hAnsi="黑体" w:eastAsia="黑体"/>
          <w:sz w:val="36"/>
          <w:szCs w:val="36"/>
        </w:rPr>
        <w:fldChar w:fldCharType="end"/>
      </w:r>
      <w:r>
        <w:rPr>
          <w:rFonts w:ascii="黑体" w:hAnsi="黑体" w:eastAsia="黑体"/>
          <w:sz w:val="36"/>
          <w:szCs w:val="36"/>
        </w:rPr>
        <w:fldChar w:fldCharType="end"/>
      </w:r>
    </w:p>
    <w:p>
      <w:pPr>
        <w:pStyle w:val="20"/>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7"/>
          <w:rFonts w:ascii="黑体" w:hAnsi="黑体" w:eastAsia="黑体"/>
          <w:color w:val="auto"/>
          <w:sz w:val="36"/>
          <w:szCs w:val="36"/>
        </w:rPr>
        <w:instrText xml:space="preserve"> </w:instrText>
      </w:r>
      <w:r>
        <w:rPr>
          <w:rFonts w:ascii="黑体" w:hAnsi="黑体" w:eastAsia="黑体"/>
          <w:sz w:val="36"/>
          <w:szCs w:val="36"/>
        </w:rPr>
        <w:instrText xml:space="preserve">HYPERLINK \l "_Toc534816635"</w:instrText>
      </w:r>
      <w:r>
        <w:rPr>
          <w:rStyle w:val="27"/>
          <w:rFonts w:ascii="黑体" w:hAnsi="黑体" w:eastAsia="黑体"/>
          <w:color w:val="auto"/>
          <w:sz w:val="36"/>
          <w:szCs w:val="36"/>
        </w:rPr>
        <w:instrText xml:space="preserve"> </w:instrText>
      </w:r>
      <w:r>
        <w:rPr>
          <w:rFonts w:ascii="黑体" w:hAnsi="黑体" w:eastAsia="黑体"/>
          <w:sz w:val="36"/>
          <w:szCs w:val="36"/>
        </w:rPr>
        <w:fldChar w:fldCharType="separate"/>
      </w:r>
      <w:r>
        <w:rPr>
          <w:rStyle w:val="27"/>
          <w:rFonts w:hint="eastAsia" w:ascii="黑体" w:hAnsi="黑体" w:eastAsia="黑体"/>
          <w:color w:val="auto"/>
          <w:sz w:val="36"/>
          <w:szCs w:val="36"/>
        </w:rPr>
        <w:t>第三章</w:t>
      </w:r>
      <w:r>
        <w:rPr>
          <w:rStyle w:val="27"/>
          <w:rFonts w:ascii="黑体" w:hAnsi="黑体" w:eastAsia="黑体"/>
          <w:color w:val="auto"/>
          <w:sz w:val="36"/>
          <w:szCs w:val="36"/>
        </w:rPr>
        <w:t xml:space="preserve">  </w:t>
      </w:r>
      <w:r>
        <w:rPr>
          <w:rFonts w:hint="eastAsia" w:ascii="黑体" w:hAnsi="宋体" w:eastAsia="黑体"/>
          <w:sz w:val="36"/>
          <w:szCs w:val="36"/>
        </w:rPr>
        <w:t>合同条款及格式</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_Toc534816635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pPr>
        <w:pStyle w:val="20"/>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7"/>
          <w:rFonts w:ascii="黑体" w:hAnsi="黑体" w:eastAsia="黑体"/>
          <w:color w:val="auto"/>
          <w:sz w:val="36"/>
          <w:szCs w:val="36"/>
        </w:rPr>
        <w:instrText xml:space="preserve"> </w:instrText>
      </w:r>
      <w:r>
        <w:rPr>
          <w:rFonts w:ascii="黑体" w:hAnsi="黑体" w:eastAsia="黑体"/>
          <w:sz w:val="36"/>
          <w:szCs w:val="36"/>
        </w:rPr>
        <w:instrText xml:space="preserve">HYPERLINK \l "_Toc534816636"</w:instrText>
      </w:r>
      <w:r>
        <w:rPr>
          <w:rStyle w:val="27"/>
          <w:rFonts w:ascii="黑体" w:hAnsi="黑体" w:eastAsia="黑体"/>
          <w:color w:val="auto"/>
          <w:sz w:val="36"/>
          <w:szCs w:val="36"/>
        </w:rPr>
        <w:instrText xml:space="preserve"> </w:instrText>
      </w:r>
      <w:r>
        <w:rPr>
          <w:rFonts w:ascii="黑体" w:hAnsi="黑体" w:eastAsia="黑体"/>
          <w:sz w:val="36"/>
          <w:szCs w:val="36"/>
        </w:rPr>
        <w:fldChar w:fldCharType="separate"/>
      </w:r>
      <w:r>
        <w:rPr>
          <w:rStyle w:val="27"/>
          <w:rFonts w:hint="eastAsia" w:ascii="黑体" w:hAnsi="黑体" w:eastAsia="黑体"/>
          <w:color w:val="auto"/>
          <w:sz w:val="36"/>
          <w:szCs w:val="36"/>
        </w:rPr>
        <w:t>第四章</w:t>
      </w:r>
      <w:r>
        <w:rPr>
          <w:rStyle w:val="27"/>
          <w:rFonts w:ascii="黑体" w:hAnsi="黑体" w:eastAsia="黑体"/>
          <w:color w:val="auto"/>
          <w:sz w:val="36"/>
          <w:szCs w:val="36"/>
        </w:rPr>
        <w:t xml:space="preserve">  </w:t>
      </w:r>
      <w:r>
        <w:rPr>
          <w:rStyle w:val="27"/>
          <w:rFonts w:hint="eastAsia" w:ascii="黑体" w:hAnsi="黑体" w:eastAsia="黑体"/>
          <w:color w:val="auto"/>
          <w:sz w:val="36"/>
          <w:szCs w:val="36"/>
        </w:rPr>
        <w:t>项目需求</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_Toc534816636 \h </w:instrText>
      </w:r>
      <w:r>
        <w:rPr>
          <w:rFonts w:ascii="黑体" w:hAnsi="黑体" w:eastAsia="黑体"/>
          <w:sz w:val="36"/>
          <w:szCs w:val="36"/>
        </w:rPr>
        <w:fldChar w:fldCharType="separate"/>
      </w:r>
      <w:r>
        <w:rPr>
          <w:rFonts w:ascii="黑体" w:hAnsi="黑体" w:eastAsia="黑体"/>
          <w:sz w:val="36"/>
          <w:szCs w:val="36"/>
        </w:rPr>
        <w:t>25</w:t>
      </w:r>
      <w:r>
        <w:rPr>
          <w:rFonts w:ascii="黑体" w:hAnsi="黑体" w:eastAsia="黑体"/>
          <w:sz w:val="36"/>
          <w:szCs w:val="36"/>
        </w:rPr>
        <w:fldChar w:fldCharType="end"/>
      </w:r>
      <w:r>
        <w:rPr>
          <w:rFonts w:ascii="黑体" w:hAnsi="黑体" w:eastAsia="黑体"/>
          <w:sz w:val="36"/>
          <w:szCs w:val="36"/>
        </w:rPr>
        <w:fldChar w:fldCharType="end"/>
      </w:r>
    </w:p>
    <w:p>
      <w:pPr>
        <w:pStyle w:val="20"/>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7"/>
          <w:rFonts w:ascii="黑体" w:hAnsi="黑体" w:eastAsia="黑体"/>
          <w:color w:val="auto"/>
          <w:sz w:val="36"/>
          <w:szCs w:val="36"/>
        </w:rPr>
        <w:instrText xml:space="preserve"> </w:instrText>
      </w:r>
      <w:r>
        <w:rPr>
          <w:rFonts w:ascii="黑体" w:hAnsi="黑体" w:eastAsia="黑体"/>
          <w:sz w:val="36"/>
          <w:szCs w:val="36"/>
        </w:rPr>
        <w:instrText xml:space="preserve">HYPERLINK \l "_Toc534816639"</w:instrText>
      </w:r>
      <w:r>
        <w:rPr>
          <w:rStyle w:val="27"/>
          <w:rFonts w:ascii="黑体" w:hAnsi="黑体" w:eastAsia="黑体"/>
          <w:color w:val="auto"/>
          <w:sz w:val="36"/>
          <w:szCs w:val="36"/>
        </w:rPr>
        <w:instrText xml:space="preserve"> </w:instrText>
      </w:r>
      <w:r>
        <w:rPr>
          <w:rFonts w:ascii="黑体" w:hAnsi="黑体" w:eastAsia="黑体"/>
          <w:sz w:val="36"/>
          <w:szCs w:val="36"/>
        </w:rPr>
        <w:fldChar w:fldCharType="separate"/>
      </w:r>
      <w:r>
        <w:rPr>
          <w:rStyle w:val="27"/>
          <w:rFonts w:hint="eastAsia" w:ascii="黑体" w:hAnsi="黑体" w:eastAsia="黑体"/>
          <w:color w:val="auto"/>
          <w:sz w:val="36"/>
          <w:szCs w:val="36"/>
        </w:rPr>
        <w:t>第五章</w:t>
      </w:r>
      <w:r>
        <w:rPr>
          <w:rStyle w:val="27"/>
          <w:rFonts w:ascii="黑体" w:hAnsi="黑体" w:eastAsia="黑体"/>
          <w:color w:val="auto"/>
          <w:sz w:val="36"/>
          <w:szCs w:val="36"/>
        </w:rPr>
        <w:t xml:space="preserve">  </w:t>
      </w:r>
      <w:r>
        <w:rPr>
          <w:rStyle w:val="27"/>
          <w:rFonts w:hint="eastAsia" w:ascii="黑体" w:hAnsi="黑体" w:eastAsia="黑体"/>
          <w:color w:val="auto"/>
          <w:sz w:val="36"/>
          <w:szCs w:val="36"/>
        </w:rPr>
        <w:t>评标方法与评标标准</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_Toc534816639 \h </w:instrText>
      </w:r>
      <w:r>
        <w:rPr>
          <w:rFonts w:ascii="黑体" w:hAnsi="黑体" w:eastAsia="黑体"/>
          <w:sz w:val="36"/>
          <w:szCs w:val="36"/>
        </w:rPr>
        <w:fldChar w:fldCharType="separate"/>
      </w:r>
      <w:r>
        <w:rPr>
          <w:rFonts w:ascii="黑体" w:hAnsi="黑体" w:eastAsia="黑体"/>
          <w:sz w:val="36"/>
          <w:szCs w:val="36"/>
        </w:rPr>
        <w:t>26</w:t>
      </w:r>
      <w:r>
        <w:rPr>
          <w:rFonts w:ascii="黑体" w:hAnsi="黑体" w:eastAsia="黑体"/>
          <w:sz w:val="36"/>
          <w:szCs w:val="36"/>
        </w:rPr>
        <w:fldChar w:fldCharType="end"/>
      </w:r>
      <w:r>
        <w:rPr>
          <w:rFonts w:ascii="黑体" w:hAnsi="黑体" w:eastAsia="黑体"/>
          <w:sz w:val="36"/>
          <w:szCs w:val="36"/>
        </w:rPr>
        <w:fldChar w:fldCharType="end"/>
      </w:r>
    </w:p>
    <w:p>
      <w:pPr>
        <w:pStyle w:val="20"/>
        <w:tabs>
          <w:tab w:val="right" w:leader="dot" w:pos="8943"/>
        </w:tabs>
        <w:rPr>
          <w:rFonts w:hint="default" w:ascii="黑体" w:hAnsi="黑体" w:eastAsia="黑体"/>
          <w:smallCaps w:val="0"/>
          <w:sz w:val="32"/>
          <w:szCs w:val="32"/>
          <w:lang w:val="en-US" w:eastAsia="zh-CN"/>
        </w:rPr>
      </w:pPr>
      <w:r>
        <w:rPr>
          <w:rFonts w:ascii="黑体" w:hAnsi="黑体" w:eastAsia="黑体"/>
          <w:sz w:val="36"/>
          <w:szCs w:val="36"/>
        </w:rPr>
        <w:fldChar w:fldCharType="begin"/>
      </w:r>
      <w:r>
        <w:rPr>
          <w:rStyle w:val="27"/>
          <w:rFonts w:ascii="黑体" w:hAnsi="黑体" w:eastAsia="黑体"/>
          <w:color w:val="auto"/>
          <w:sz w:val="36"/>
          <w:szCs w:val="36"/>
        </w:rPr>
        <w:instrText xml:space="preserve"> </w:instrText>
      </w:r>
      <w:r>
        <w:rPr>
          <w:rFonts w:ascii="黑体" w:hAnsi="黑体" w:eastAsia="黑体"/>
          <w:sz w:val="36"/>
          <w:szCs w:val="36"/>
        </w:rPr>
        <w:instrText xml:space="preserve">HYPERLINK \l "_Toc534816640"</w:instrText>
      </w:r>
      <w:r>
        <w:rPr>
          <w:rStyle w:val="27"/>
          <w:rFonts w:ascii="黑体" w:hAnsi="黑体" w:eastAsia="黑体"/>
          <w:color w:val="auto"/>
          <w:sz w:val="36"/>
          <w:szCs w:val="36"/>
        </w:rPr>
        <w:instrText xml:space="preserve"> </w:instrText>
      </w:r>
      <w:r>
        <w:rPr>
          <w:rFonts w:ascii="黑体" w:hAnsi="黑体" w:eastAsia="黑体"/>
          <w:sz w:val="36"/>
          <w:szCs w:val="36"/>
        </w:rPr>
        <w:fldChar w:fldCharType="separate"/>
      </w:r>
      <w:r>
        <w:rPr>
          <w:rStyle w:val="27"/>
          <w:rFonts w:hint="eastAsia" w:ascii="黑体" w:hAnsi="黑体" w:eastAsia="黑体"/>
          <w:color w:val="auto"/>
          <w:sz w:val="36"/>
          <w:szCs w:val="36"/>
        </w:rPr>
        <w:t>第六章</w:t>
      </w:r>
      <w:r>
        <w:rPr>
          <w:rStyle w:val="27"/>
          <w:rFonts w:ascii="黑体" w:hAnsi="黑体" w:eastAsia="黑体"/>
          <w:color w:val="auto"/>
          <w:sz w:val="36"/>
          <w:szCs w:val="36"/>
        </w:rPr>
        <w:t xml:space="preserve">  </w:t>
      </w:r>
      <w:r>
        <w:rPr>
          <w:rStyle w:val="27"/>
          <w:rFonts w:hint="eastAsia" w:ascii="黑体" w:hAnsi="黑体" w:eastAsia="黑体"/>
          <w:color w:val="auto"/>
          <w:sz w:val="36"/>
          <w:szCs w:val="36"/>
        </w:rPr>
        <w:t>投标文件格式</w:t>
      </w:r>
      <w:r>
        <w:rPr>
          <w:rFonts w:hint="eastAsia" w:ascii="黑体" w:hAnsi="Showcard Gothic" w:eastAsia="黑体"/>
          <w:sz w:val="36"/>
        </w:rPr>
        <w:t>………………………………</w:t>
      </w:r>
      <w:r>
        <w:rPr>
          <w:rFonts w:ascii="黑体" w:hAnsi="黑体" w:eastAsia="黑体"/>
          <w:sz w:val="36"/>
          <w:szCs w:val="36"/>
        </w:rPr>
        <w:fldChar w:fldCharType="end"/>
      </w:r>
      <w:r>
        <w:rPr>
          <w:rFonts w:hint="eastAsia" w:ascii="黑体" w:hAnsi="黑体" w:eastAsia="黑体"/>
          <w:sz w:val="36"/>
          <w:szCs w:val="36"/>
          <w:lang w:val="en-US" w:eastAsia="zh-CN"/>
        </w:rPr>
        <w:t>28</w:t>
      </w:r>
    </w:p>
    <w:p>
      <w:r>
        <w:rPr>
          <w:rFonts w:ascii="黑体" w:hAnsi="黑体" w:eastAsia="黑体"/>
          <w:b/>
          <w:bCs/>
          <w:sz w:val="32"/>
          <w:szCs w:val="32"/>
          <w:lang w:val="zh-CN"/>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8"/>
        <w:rPr>
          <w:rFonts w:hint="eastAsia"/>
        </w:rPr>
      </w:pPr>
      <w:bookmarkStart w:id="7" w:name="_Toc534816625"/>
      <w:bookmarkStart w:id="8" w:name="_Toc534725596"/>
      <w:r>
        <w:rPr>
          <w:rFonts w:hint="eastAsia"/>
        </w:rPr>
        <w:t xml:space="preserve">第一章  </w:t>
      </w:r>
      <w:bookmarkEnd w:id="0"/>
      <w:r>
        <w:rPr>
          <w:rFonts w:hint="eastAsia"/>
        </w:rPr>
        <w:t>投标邀请</w:t>
      </w:r>
      <w:bookmarkEnd w:id="1"/>
      <w:bookmarkEnd w:id="7"/>
      <w:bookmarkEnd w:id="8"/>
    </w:p>
    <w:p>
      <w:pPr>
        <w:pStyle w:val="29"/>
        <w:ind w:firstLine="480" w:firstLineChars="200"/>
        <w:jc w:val="both"/>
        <w:rPr>
          <w:rFonts w:hint="eastAsia" w:hAnsi="宋体"/>
        </w:rPr>
      </w:pPr>
      <w:r>
        <w:rPr>
          <w:rFonts w:hint="eastAsia" w:hAnsi="宋体" w:cs="Times New Roman"/>
          <w:lang w:val="en-US" w:eastAsia="zh-CN"/>
        </w:rPr>
        <w:t>昌吉回族自治州政务服务和公共资源交易中心</w:t>
      </w:r>
      <w:r>
        <w:rPr>
          <w:rFonts w:hint="eastAsia" w:hAnsi="宋体" w:eastAsia="宋体" w:cs="Times New Roman"/>
          <w:lang w:eastAsia="zh-CN"/>
        </w:rPr>
        <w:t>现就</w:t>
      </w:r>
      <w:r>
        <w:rPr>
          <w:rFonts w:hint="eastAsia" w:hAnsi="宋体" w:eastAsia="宋体" w:cs="Times New Roman"/>
          <w:color w:val="0000FF"/>
          <w:highlight w:val="yellow"/>
          <w:u w:val="single"/>
          <w:lang w:eastAsia="zh-CN"/>
        </w:rPr>
        <w:t>（</w:t>
      </w:r>
      <w:r>
        <w:rPr>
          <w:rFonts w:hint="eastAsia" w:hAnsi="宋体" w:eastAsia="宋体" w:cs="Times New Roman"/>
          <w:color w:val="0000FF"/>
          <w:highlight w:val="yellow"/>
          <w:u w:val="single"/>
          <w:lang w:val="en-US" w:eastAsia="zh-CN"/>
        </w:rPr>
        <w:t>CJZFCG－GK-202</w:t>
      </w:r>
      <w:r>
        <w:rPr>
          <w:rFonts w:hint="eastAsia" w:hAnsi="宋体" w:cs="Times New Roman"/>
          <w:color w:val="0000FF"/>
          <w:highlight w:val="yellow"/>
          <w:u w:val="single"/>
          <w:lang w:val="en-US" w:eastAsia="zh-CN"/>
        </w:rPr>
        <w:t>5004</w:t>
      </w:r>
      <w:r>
        <w:rPr>
          <w:rFonts w:hint="eastAsia" w:hAnsi="宋体" w:eastAsia="宋体" w:cs="Times New Roman"/>
          <w:color w:val="0000FF"/>
          <w:highlight w:val="yellow"/>
          <w:u w:val="single"/>
          <w:lang w:val="en-US" w:eastAsia="zh-CN"/>
        </w:rPr>
        <w:t>）</w:t>
      </w:r>
      <w:r>
        <w:rPr>
          <w:rFonts w:hint="eastAsia" w:hAnsi="宋体" w:eastAsia="宋体" w:cs="Times New Roman"/>
          <w:color w:val="0000FF"/>
          <w:u w:val="single"/>
          <w:lang w:eastAsia="zh-CN"/>
        </w:rPr>
        <w:t>昌吉州博物馆可移动文物数字化保护利用项目</w:t>
      </w:r>
      <w:r>
        <w:rPr>
          <w:rFonts w:hint="eastAsia" w:hAnsi="宋体"/>
          <w:u w:val="single"/>
        </w:rPr>
        <w:t>进行公开招标采购，</w:t>
      </w:r>
      <w:r>
        <w:rPr>
          <w:rFonts w:hint="eastAsia" w:hAnsi="宋体"/>
        </w:rPr>
        <w:t>欢迎符合条件的供应商投标。</w:t>
      </w:r>
    </w:p>
    <w:p>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sz w:val="24"/>
          <w:szCs w:val="24"/>
          <w:highlight w:val="yellow"/>
        </w:rPr>
      </w:pPr>
      <w:r>
        <w:rPr>
          <w:rFonts w:hint="eastAsia" w:ascii="宋体" w:hAnsi="宋体"/>
          <w:color w:val="0000FF"/>
          <w:sz w:val="24"/>
          <w:szCs w:val="24"/>
          <w:u w:val="single"/>
          <w:lang w:val="en-US" w:eastAsia="zh-CN"/>
        </w:rPr>
        <w:t xml:space="preserve"> </w:t>
      </w:r>
      <w:r>
        <w:rPr>
          <w:rFonts w:hint="eastAsia" w:ascii="宋体" w:hAnsi="宋体"/>
          <w:color w:val="0000FF"/>
          <w:sz w:val="24"/>
          <w:szCs w:val="24"/>
          <w:u w:val="single"/>
          <w:lang w:eastAsia="zh-CN"/>
        </w:rPr>
        <w:t>昌吉州博物馆可移动文物数字化保护利用项目</w:t>
      </w:r>
      <w:r>
        <w:rPr>
          <w:rFonts w:hint="eastAsia" w:ascii="宋体" w:hAnsi="宋体"/>
          <w:sz w:val="24"/>
          <w:szCs w:val="24"/>
          <w:u w:val="single"/>
        </w:rPr>
        <w:t>的潜在投标人可在“新疆政府采购网”或“</w:t>
      </w:r>
      <w:r>
        <w:rPr>
          <w:rFonts w:hint="eastAsia" w:ascii="宋体" w:hAnsi="宋体"/>
          <w:sz w:val="24"/>
          <w:szCs w:val="24"/>
          <w:u w:val="single"/>
          <w:lang w:val="en-US" w:eastAsia="zh-CN"/>
        </w:rPr>
        <w:t>昌吉州</w:t>
      </w:r>
      <w:r>
        <w:rPr>
          <w:rFonts w:hint="eastAsia" w:ascii="宋体" w:hAnsi="宋体"/>
          <w:sz w:val="24"/>
          <w:szCs w:val="24"/>
          <w:u w:val="single"/>
        </w:rPr>
        <w:t>公共资源交易网</w:t>
      </w:r>
      <w:r>
        <w:rPr>
          <w:rFonts w:hint="eastAsia" w:ascii="宋体" w:hAnsi="宋体"/>
          <w:sz w:val="24"/>
          <w:szCs w:val="24"/>
          <w:u w:val="single"/>
          <w:lang w:eastAsia="zh-CN"/>
        </w:rPr>
        <w:t>”</w:t>
      </w:r>
      <w:r>
        <w:rPr>
          <w:rFonts w:hint="eastAsia" w:ascii="宋体" w:hAnsi="宋体"/>
          <w:sz w:val="24"/>
          <w:szCs w:val="24"/>
          <w:u w:val="single"/>
        </w:rPr>
        <w:t>自行</w:t>
      </w:r>
      <w:r>
        <w:rPr>
          <w:rFonts w:hint="eastAsia" w:ascii="宋体" w:hAnsi="宋体"/>
          <w:sz w:val="24"/>
          <w:szCs w:val="24"/>
          <w:u w:val="single"/>
          <w:lang w:val="en-US" w:eastAsia="zh-CN"/>
        </w:rPr>
        <w:t>查看项目公告</w:t>
      </w:r>
      <w:r>
        <w:rPr>
          <w:rFonts w:hint="eastAsia" w:ascii="宋体" w:hAnsi="宋体"/>
          <w:sz w:val="24"/>
          <w:szCs w:val="24"/>
          <w:u w:val="single"/>
        </w:rPr>
        <w:t>，</w:t>
      </w:r>
      <w:r>
        <w:rPr>
          <w:rFonts w:hint="eastAsia" w:ascii="宋体" w:hAnsi="宋体"/>
          <w:sz w:val="24"/>
          <w:szCs w:val="24"/>
          <w:u w:val="single"/>
          <w:lang w:val="en-US" w:eastAsia="zh-CN"/>
        </w:rPr>
        <w:t>本项目开标时间：</w:t>
      </w:r>
      <w:r>
        <w:rPr>
          <w:rFonts w:hint="eastAsia" w:ascii="宋体" w:hAnsi="宋体"/>
          <w:color w:val="0000FF"/>
          <w:sz w:val="24"/>
          <w:szCs w:val="24"/>
          <w:highlight w:val="yellow"/>
          <w:u w:val="single"/>
          <w:lang w:eastAsia="zh-CN"/>
        </w:rPr>
        <w:t>202</w:t>
      </w:r>
      <w:r>
        <w:rPr>
          <w:rFonts w:hint="eastAsia" w:ascii="宋体" w:hAnsi="宋体"/>
          <w:color w:val="0000FF"/>
          <w:sz w:val="24"/>
          <w:szCs w:val="24"/>
          <w:highlight w:val="yellow"/>
          <w:u w:val="single"/>
          <w:lang w:val="en-US" w:eastAsia="zh-CN"/>
        </w:rPr>
        <w:t>5</w:t>
      </w:r>
      <w:r>
        <w:rPr>
          <w:rFonts w:hint="eastAsia" w:ascii="宋体" w:hAnsi="宋体"/>
          <w:bCs/>
          <w:color w:val="0000FF"/>
          <w:sz w:val="24"/>
          <w:szCs w:val="24"/>
          <w:highlight w:val="yellow"/>
          <w:u w:val="single"/>
        </w:rPr>
        <w:t xml:space="preserve">年 </w:t>
      </w:r>
      <w:r>
        <w:rPr>
          <w:rFonts w:hint="eastAsia" w:ascii="宋体" w:hAnsi="宋体"/>
          <w:bCs/>
          <w:color w:val="0000FF"/>
          <w:sz w:val="24"/>
          <w:szCs w:val="24"/>
          <w:highlight w:val="yellow"/>
          <w:u w:val="single"/>
          <w:lang w:val="en-US" w:eastAsia="zh-CN"/>
        </w:rPr>
        <w:t>03</w:t>
      </w:r>
      <w:r>
        <w:rPr>
          <w:rFonts w:hint="eastAsia" w:ascii="宋体" w:hAnsi="宋体"/>
          <w:bCs/>
          <w:color w:val="0000FF"/>
          <w:sz w:val="24"/>
          <w:szCs w:val="24"/>
          <w:highlight w:val="yellow"/>
          <w:u w:val="single"/>
        </w:rPr>
        <w:t>月</w:t>
      </w:r>
      <w:r>
        <w:rPr>
          <w:rFonts w:hint="eastAsia" w:ascii="宋体" w:hAnsi="宋体"/>
          <w:bCs/>
          <w:color w:val="0000FF"/>
          <w:sz w:val="24"/>
          <w:szCs w:val="24"/>
          <w:highlight w:val="yellow"/>
          <w:u w:val="single"/>
          <w:lang w:val="en-US" w:eastAsia="zh-CN"/>
        </w:rPr>
        <w:t>12</w:t>
      </w:r>
      <w:r>
        <w:rPr>
          <w:rFonts w:hint="eastAsia" w:ascii="宋体" w:hAnsi="宋体"/>
          <w:bCs/>
          <w:color w:val="0000FF"/>
          <w:sz w:val="24"/>
          <w:szCs w:val="24"/>
          <w:highlight w:val="yellow"/>
          <w:u w:val="single"/>
        </w:rPr>
        <w:t xml:space="preserve">日 </w:t>
      </w:r>
      <w:r>
        <w:rPr>
          <w:rFonts w:hint="eastAsia" w:ascii="宋体" w:hAnsi="宋体"/>
          <w:bCs/>
          <w:color w:val="0000FF"/>
          <w:sz w:val="24"/>
          <w:szCs w:val="24"/>
          <w:highlight w:val="yellow"/>
          <w:u w:val="single"/>
          <w:lang w:val="en-US" w:eastAsia="zh-CN"/>
        </w:rPr>
        <w:t>10</w:t>
      </w:r>
      <w:r>
        <w:rPr>
          <w:rFonts w:hint="eastAsia" w:ascii="宋体" w:hAnsi="宋体"/>
          <w:bCs/>
          <w:color w:val="0000FF"/>
          <w:sz w:val="24"/>
          <w:szCs w:val="24"/>
          <w:highlight w:val="yellow"/>
          <w:u w:val="single"/>
        </w:rPr>
        <w:t xml:space="preserve">点 </w:t>
      </w:r>
      <w:r>
        <w:rPr>
          <w:rFonts w:hint="eastAsia" w:ascii="宋体" w:hAnsi="宋体"/>
          <w:bCs/>
          <w:color w:val="0000FF"/>
          <w:sz w:val="24"/>
          <w:szCs w:val="24"/>
          <w:highlight w:val="yellow"/>
          <w:u w:val="single"/>
          <w:lang w:val="en-US" w:eastAsia="zh-CN"/>
        </w:rPr>
        <w:t>30</w:t>
      </w:r>
      <w:r>
        <w:rPr>
          <w:rFonts w:hint="eastAsia" w:ascii="宋体" w:hAnsi="宋体"/>
          <w:bCs/>
          <w:color w:val="0000FF"/>
          <w:sz w:val="24"/>
          <w:szCs w:val="24"/>
          <w:highlight w:val="yellow"/>
          <w:u w:val="single"/>
        </w:rPr>
        <w:t>分</w:t>
      </w:r>
      <w:r>
        <w:rPr>
          <w:rFonts w:hint="eastAsia" w:ascii="宋体" w:hAnsi="宋体"/>
          <w:bCs/>
          <w:sz w:val="24"/>
          <w:szCs w:val="24"/>
          <w:highlight w:val="yellow"/>
          <w:u w:val="single"/>
        </w:rPr>
        <w:t>（北京时间）</w:t>
      </w:r>
      <w:r>
        <w:rPr>
          <w:rFonts w:hint="eastAsia" w:ascii="宋体" w:hAnsi="宋体"/>
          <w:bCs/>
          <w:sz w:val="24"/>
          <w:szCs w:val="24"/>
          <w:highlight w:val="yellow"/>
          <w:lang w:eastAsia="zh-CN"/>
        </w:rPr>
        <w:t>；</w:t>
      </w:r>
    </w:p>
    <w:p>
      <w:pPr>
        <w:pStyle w:val="29"/>
        <w:rPr>
          <w:rFonts w:hint="eastAsia" w:hAnsi="宋体"/>
        </w:rPr>
      </w:pPr>
    </w:p>
    <w:p>
      <w:pPr>
        <w:pStyle w:val="9"/>
        <w:ind w:firstLine="482" w:firstLineChars="150"/>
        <w:rPr>
          <w:rFonts w:hint="eastAsia"/>
        </w:rPr>
      </w:pPr>
      <w:r>
        <w:rPr>
          <w:rFonts w:hint="eastAsia"/>
        </w:rPr>
        <w:t>一、项目基本情况</w:t>
      </w:r>
    </w:p>
    <w:p>
      <w:pPr>
        <w:tabs>
          <w:tab w:val="left" w:pos="900"/>
        </w:tabs>
        <w:spacing w:line="560" w:lineRule="exact"/>
        <w:ind w:firstLine="480" w:firstLineChars="200"/>
        <w:rPr>
          <w:rFonts w:hint="eastAsia" w:hAnsi="宋体"/>
          <w:color w:val="0000FF"/>
          <w:sz w:val="24"/>
          <w:szCs w:val="24"/>
        </w:rPr>
      </w:pPr>
      <w:r>
        <w:rPr>
          <w:rFonts w:hint="eastAsia" w:ascii="宋体" w:hAnsi="宋体"/>
          <w:sz w:val="24"/>
          <w:szCs w:val="24"/>
        </w:rPr>
        <w:t>1.</w:t>
      </w:r>
      <w:r>
        <w:rPr>
          <w:rFonts w:hint="eastAsia" w:hAnsi="宋体"/>
          <w:color w:val="0000FF"/>
          <w:sz w:val="24"/>
          <w:szCs w:val="24"/>
        </w:rPr>
        <w:t>项目名称：昌吉州博物馆可移动文物数字化保护利用项目</w:t>
      </w:r>
    </w:p>
    <w:p>
      <w:pPr>
        <w:tabs>
          <w:tab w:val="left" w:pos="900"/>
        </w:tabs>
        <w:spacing w:line="560" w:lineRule="exact"/>
        <w:ind w:firstLine="480" w:firstLineChars="200"/>
        <w:rPr>
          <w:rFonts w:hint="default" w:ascii="宋体" w:hAnsi="宋体" w:eastAsia="宋体"/>
          <w:sz w:val="24"/>
          <w:lang w:val="en-US" w:eastAsia="zh-CN"/>
        </w:rPr>
      </w:pPr>
      <w:r>
        <w:rPr>
          <w:rFonts w:hint="eastAsia" w:ascii="宋体" w:hAnsi="宋体"/>
          <w:sz w:val="24"/>
          <w:szCs w:val="24"/>
        </w:rPr>
        <w:t>2.</w:t>
      </w:r>
      <w:r>
        <w:rPr>
          <w:rFonts w:hint="eastAsia" w:hAnsi="宋体"/>
          <w:color w:val="0000FF"/>
          <w:sz w:val="24"/>
          <w:szCs w:val="24"/>
        </w:rPr>
        <w:t>项目</w:t>
      </w:r>
      <w:r>
        <w:rPr>
          <w:rFonts w:hint="eastAsia" w:ascii="宋体" w:hAnsi="宋体"/>
          <w:color w:val="0000FF"/>
          <w:sz w:val="24"/>
        </w:rPr>
        <w:t>编号：</w:t>
      </w:r>
      <w:r>
        <w:rPr>
          <w:rFonts w:hint="eastAsia" w:hAnsi="宋体"/>
          <w:color w:val="0000FF"/>
          <w:sz w:val="24"/>
          <w:szCs w:val="24"/>
          <w:highlight w:val="yellow"/>
        </w:rPr>
        <w:t>CJZFCG－GK－202</w:t>
      </w:r>
      <w:r>
        <w:rPr>
          <w:rFonts w:hint="eastAsia" w:hAnsi="宋体"/>
          <w:color w:val="0000FF"/>
          <w:sz w:val="24"/>
          <w:szCs w:val="24"/>
          <w:highlight w:val="yellow"/>
          <w:lang w:val="en-US" w:eastAsia="zh-CN"/>
        </w:rPr>
        <w:t>5004</w:t>
      </w:r>
    </w:p>
    <w:p>
      <w:pPr>
        <w:ind w:firstLine="480" w:firstLineChars="200"/>
        <w:rPr>
          <w:rFonts w:hint="eastAsia" w:ascii="宋体" w:hAnsi="宋体"/>
          <w:color w:val="0000FF"/>
          <w:sz w:val="24"/>
          <w:szCs w:val="24"/>
          <w:highlight w:val="none"/>
          <w:u w:val="single"/>
        </w:rPr>
      </w:pPr>
      <w:r>
        <w:rPr>
          <w:rFonts w:hint="eastAsia" w:ascii="宋体" w:hAnsi="宋体"/>
          <w:sz w:val="24"/>
          <w:szCs w:val="24"/>
        </w:rPr>
        <w:t>3.</w:t>
      </w:r>
      <w:r>
        <w:rPr>
          <w:rFonts w:hint="eastAsia" w:ascii="宋体" w:hAnsi="宋体"/>
          <w:color w:val="0000FF"/>
          <w:sz w:val="24"/>
          <w:szCs w:val="24"/>
        </w:rPr>
        <w:t>预算金额</w:t>
      </w:r>
      <w:r>
        <w:rPr>
          <w:rFonts w:hint="eastAsia" w:ascii="宋体" w:hAnsi="宋体"/>
          <w:color w:val="0000FF"/>
          <w:sz w:val="24"/>
          <w:szCs w:val="24"/>
          <w:highlight w:val="none"/>
        </w:rPr>
        <w:t>：</w:t>
      </w:r>
      <w:r>
        <w:rPr>
          <w:rFonts w:hint="eastAsia" w:ascii="宋体" w:hAnsi="宋体"/>
          <w:color w:val="0000FF"/>
          <w:sz w:val="24"/>
          <w:szCs w:val="24"/>
          <w:highlight w:val="none"/>
          <w:u w:val="single"/>
          <w:lang w:val="en-US" w:eastAsia="zh-CN"/>
        </w:rPr>
        <w:t>3000000</w:t>
      </w:r>
      <w:r>
        <w:rPr>
          <w:rFonts w:hint="eastAsia" w:ascii="宋体" w:hAnsi="宋体"/>
          <w:color w:val="0000FF"/>
          <w:sz w:val="24"/>
          <w:szCs w:val="24"/>
          <w:highlight w:val="none"/>
          <w:u w:val="single"/>
        </w:rPr>
        <w:t>元</w:t>
      </w:r>
    </w:p>
    <w:p>
      <w:pPr>
        <w:tabs>
          <w:tab w:val="left" w:pos="90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4.本项目</w:t>
      </w:r>
      <w:r>
        <w:rPr>
          <w:rFonts w:hint="eastAsia" w:ascii="宋体" w:hAnsi="宋体" w:eastAsia="宋体" w:cs="宋体"/>
          <w:sz w:val="24"/>
          <w:szCs w:val="24"/>
          <w:u w:val="single"/>
        </w:rPr>
        <w:t>设定</w:t>
      </w:r>
      <w:r>
        <w:rPr>
          <w:rFonts w:hint="eastAsia" w:ascii="宋体" w:hAnsi="宋体" w:eastAsia="宋体" w:cs="宋体"/>
          <w:sz w:val="24"/>
          <w:szCs w:val="24"/>
        </w:rPr>
        <w:t>最高限价，最高限价为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FF"/>
          <w:sz w:val="24"/>
          <w:szCs w:val="24"/>
          <w:highlight w:val="none"/>
          <w:u w:val="single"/>
          <w:lang w:val="en-US" w:eastAsia="zh-CN"/>
        </w:rPr>
        <w:t>3000000</w:t>
      </w:r>
      <w:r>
        <w:rPr>
          <w:rFonts w:hint="eastAsia" w:ascii="宋体" w:hAnsi="宋体"/>
          <w:color w:val="0000FF"/>
          <w:sz w:val="24"/>
          <w:szCs w:val="24"/>
          <w:highlight w:val="none"/>
          <w:u w:val="single"/>
        </w:rPr>
        <w:t>元</w:t>
      </w:r>
      <w:r>
        <w:rPr>
          <w:rFonts w:hint="eastAsia" w:ascii="宋体" w:hAnsi="宋体" w:eastAsia="宋体" w:cs="宋体"/>
          <w:sz w:val="24"/>
          <w:szCs w:val="24"/>
        </w:rPr>
        <w:t>。</w:t>
      </w:r>
    </w:p>
    <w:p>
      <w:pPr>
        <w:pStyle w:val="2"/>
        <w:rPr>
          <w:rFonts w:hint="eastAsia"/>
        </w:rPr>
      </w:pPr>
    </w:p>
    <w:p>
      <w:pPr>
        <w:pStyle w:val="10"/>
        <w:numPr>
          <w:ilvl w:val="3"/>
          <w:numId w:val="0"/>
        </w:numPr>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0000FF"/>
          <w:sz w:val="24"/>
          <w:szCs w:val="24"/>
          <w:highlight w:val="none"/>
        </w:rPr>
        <w:t>支付</w:t>
      </w:r>
      <w:r>
        <w:rPr>
          <w:rFonts w:hint="eastAsia" w:ascii="宋体" w:hAnsi="宋体" w:cs="宋体"/>
          <w:b w:val="0"/>
          <w:bCs w:val="0"/>
          <w:color w:val="0000FF"/>
          <w:sz w:val="24"/>
          <w:szCs w:val="24"/>
          <w:highlight w:val="none"/>
          <w:lang w:eastAsia="zh-CN"/>
        </w:rPr>
        <w:t>方式：</w:t>
      </w:r>
    </w:p>
    <w:p>
      <w:pPr>
        <w:tabs>
          <w:tab w:val="left" w:pos="900"/>
        </w:tabs>
        <w:spacing w:line="560" w:lineRule="exact"/>
        <w:ind w:firstLine="480" w:firstLineChars="200"/>
        <w:rPr>
          <w:rFonts w:hint="eastAsia" w:ascii="宋体" w:hAnsi="宋体" w:eastAsia="宋体" w:cs="Times New Roman"/>
          <w:sz w:val="24"/>
          <w:szCs w:val="24"/>
          <w:u w:val="single"/>
          <w:lang w:val="en-US" w:eastAsia="zh-CN"/>
        </w:rPr>
      </w:pPr>
      <w:r>
        <w:rPr>
          <w:rFonts w:hint="eastAsia" w:ascii="宋体" w:hAnsi="宋体" w:eastAsia="宋体" w:cs="Times New Roman"/>
          <w:color w:val="0000FF"/>
          <w:sz w:val="24"/>
          <w:szCs w:val="24"/>
          <w:u w:val="single"/>
          <w:lang w:val="en-US" w:eastAsia="zh-CN"/>
        </w:rPr>
        <w:t>签订合同之日起7日内，采购方支付首付款，即合同金额的40%；文物三维数据采集制作完成，项目硬件设备进场并签收后，采购方支付第二笔款项，即合同金额的30%；项目交付完毕且采购方验收通过经结算审计后，按照审计结果支付项目尾款。</w:t>
      </w:r>
    </w:p>
    <w:p>
      <w:pPr>
        <w:tabs>
          <w:tab w:val="left" w:pos="900"/>
        </w:tabs>
        <w:spacing w:line="560" w:lineRule="exact"/>
        <w:ind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 xml:space="preserve">. </w:t>
      </w:r>
      <w:r>
        <w:rPr>
          <w:rFonts w:hint="eastAsia" w:ascii="宋体" w:hAnsi="宋体"/>
          <w:color w:val="0000FF"/>
          <w:sz w:val="24"/>
          <w:szCs w:val="24"/>
        </w:rPr>
        <w:t>采购需求：</w:t>
      </w:r>
    </w:p>
    <w:p>
      <w:pPr>
        <w:ind w:firstLine="480" w:firstLineChars="20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本项目综合应用图像与点云扫描技术，以获取文物高清晰度的二维影像和精确的三维数据模型，并录入珍贵文物三维资源库，进行数据加工、内容编辑、素材分析、信息发布和检索利用等。结合数字展示技术、交互体验设计，以及移动互联网的传播途径，使珍贵文物得到多维度的深入诠释，既实现馆内文物数字资源的共享，又向公众展示出文物蕴藏的历史文化，由此提升昌吉州博物馆馆藏文物资源利用内涵与质量，推动博物馆教育功能创新升级，为繁荣发展昌吉州文化文物事业起到积极的推动作用。</w:t>
      </w:r>
    </w:p>
    <w:p>
      <w:pPr>
        <w:numPr>
          <w:ilvl w:val="0"/>
          <w:numId w:val="1"/>
        </w:numPr>
        <w:ind w:firstLine="480" w:firstLineChars="200"/>
        <w:rPr>
          <w:rFonts w:hint="eastAsia" w:ascii="宋体" w:hAnsi="宋体" w:cs="Times New Roman"/>
          <w:sz w:val="24"/>
          <w:szCs w:val="24"/>
          <w:lang w:val="en-US" w:eastAsia="zh-CN"/>
        </w:rPr>
      </w:pPr>
      <w:r>
        <w:rPr>
          <w:rFonts w:hint="eastAsia" w:ascii="宋体" w:hAnsi="宋体"/>
          <w:color w:val="0000FF"/>
          <w:sz w:val="24"/>
          <w:szCs w:val="24"/>
        </w:rPr>
        <w:t>合同履行期限：</w:t>
      </w:r>
      <w:r>
        <w:rPr>
          <w:rFonts w:hint="eastAsia" w:ascii="宋体" w:hAnsi="宋体" w:eastAsia="宋体" w:cs="Times New Roman"/>
          <w:sz w:val="24"/>
          <w:szCs w:val="24"/>
          <w:lang w:val="en-US" w:eastAsia="zh-CN"/>
        </w:rPr>
        <w:t>合同签订后12个月内。</w:t>
      </w:r>
      <w:r>
        <w:rPr>
          <w:rFonts w:hint="eastAsia" w:ascii="宋体" w:hAnsi="宋体" w:cs="Times New Roman"/>
          <w:sz w:val="24"/>
          <w:szCs w:val="24"/>
          <w:lang w:val="en-US" w:eastAsia="zh-CN"/>
        </w:rPr>
        <w:t xml:space="preserve">   </w:t>
      </w:r>
    </w:p>
    <w:p>
      <w:pPr>
        <w:numPr>
          <w:numId w:val="0"/>
        </w:numPr>
        <w:ind w:firstLine="480" w:firstLineChars="200"/>
        <w:rPr>
          <w:rFonts w:ascii="宋体" w:hAnsi="宋体" w:cs="宋体"/>
          <w:color w:val="FF0000"/>
          <w:kern w:val="0"/>
          <w:sz w:val="24"/>
          <w:szCs w:val="24"/>
        </w:rPr>
      </w:pPr>
      <w:r>
        <w:rPr>
          <w:rFonts w:hint="eastAsia" w:ascii="宋体" w:hAnsi="宋体"/>
          <w:sz w:val="24"/>
          <w:szCs w:val="24"/>
          <w:lang w:val="en-US" w:eastAsia="zh-CN"/>
        </w:rPr>
        <w:t>7</w:t>
      </w:r>
      <w:r>
        <w:rPr>
          <w:rFonts w:hint="eastAsia" w:ascii="宋体" w:hAnsi="宋体"/>
          <w:sz w:val="24"/>
          <w:szCs w:val="24"/>
        </w:rPr>
        <w:t>.本项目</w:t>
      </w:r>
      <w:r>
        <w:rPr>
          <w:rFonts w:hint="eastAsia" w:ascii="宋体" w:hAnsi="宋体"/>
          <w:sz w:val="24"/>
          <w:szCs w:val="24"/>
          <w:u w:val="single"/>
        </w:rPr>
        <w:t>不接受</w:t>
      </w:r>
      <w:r>
        <w:rPr>
          <w:rFonts w:hint="eastAsia" w:ascii="宋体" w:hAnsi="宋体"/>
          <w:sz w:val="24"/>
          <w:szCs w:val="24"/>
        </w:rPr>
        <w:t>联合体投标。</w:t>
      </w:r>
    </w:p>
    <w:p>
      <w:pPr>
        <w:spacing w:line="360" w:lineRule="auto"/>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.本项目</w:t>
      </w:r>
      <w:r>
        <w:rPr>
          <w:rFonts w:hint="eastAsia" w:ascii="宋体" w:hAnsi="宋体"/>
          <w:sz w:val="24"/>
          <w:szCs w:val="24"/>
          <w:u w:val="single"/>
        </w:rPr>
        <w:t>不接受</w:t>
      </w:r>
      <w:r>
        <w:rPr>
          <w:rFonts w:hint="eastAsia" w:ascii="宋体" w:hAnsi="宋体"/>
          <w:sz w:val="24"/>
          <w:szCs w:val="24"/>
        </w:rPr>
        <w:t>进口产品投标。</w:t>
      </w:r>
    </w:p>
    <w:p>
      <w:pPr>
        <w:tabs>
          <w:tab w:val="left" w:pos="900"/>
        </w:tabs>
        <w:spacing w:line="560" w:lineRule="exact"/>
        <w:ind w:firstLine="480" w:firstLineChars="200"/>
        <w:rPr>
          <w:rFonts w:hint="default" w:ascii="宋体" w:hAnsi="宋体"/>
          <w:sz w:val="24"/>
          <w:szCs w:val="24"/>
          <w:u w:val="single"/>
          <w:lang w:val="en-US" w:eastAsia="zh-CN"/>
        </w:rPr>
      </w:pPr>
      <w:r>
        <w:rPr>
          <w:rFonts w:hint="eastAsia" w:ascii="宋体" w:hAnsi="宋体"/>
          <w:sz w:val="24"/>
          <w:szCs w:val="24"/>
          <w:lang w:val="en-US" w:eastAsia="zh-CN"/>
        </w:rPr>
        <w:t>9.本项目属于</w:t>
      </w:r>
      <w:r>
        <w:rPr>
          <w:rFonts w:hint="eastAsia" w:ascii="宋体" w:hAnsi="宋体"/>
          <w:color w:val="FF0000"/>
          <w:sz w:val="24"/>
          <w:szCs w:val="24"/>
          <w:u w:val="single"/>
          <w:lang w:val="en-US" w:eastAsia="zh-CN"/>
        </w:rPr>
        <w:t xml:space="preserve"> 服务类 </w:t>
      </w:r>
      <w:r>
        <w:rPr>
          <w:rFonts w:hint="eastAsia" w:ascii="宋体" w:hAnsi="宋体"/>
          <w:sz w:val="24"/>
          <w:szCs w:val="24"/>
          <w:u w:val="single"/>
          <w:lang w:val="en-US" w:eastAsia="zh-CN"/>
        </w:rPr>
        <w:t xml:space="preserve">     </w:t>
      </w:r>
    </w:p>
    <w:p>
      <w:pPr>
        <w:tabs>
          <w:tab w:val="left" w:pos="900"/>
        </w:tabs>
        <w:spacing w:line="560" w:lineRule="exact"/>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10.本项目采购标的对应的中小企业划分标准所属行业为</w:t>
      </w:r>
      <w:r>
        <w:rPr>
          <w:rFonts w:hint="eastAsia" w:ascii="宋体" w:hAnsi="宋体"/>
          <w:color w:val="FF0000"/>
          <w:sz w:val="24"/>
          <w:szCs w:val="24"/>
          <w:highlight w:val="yellow"/>
          <w:lang w:val="en-US" w:eastAsia="zh-CN"/>
        </w:rPr>
        <w:t>“</w:t>
      </w:r>
      <w:r>
        <w:rPr>
          <w:rFonts w:hint="eastAsia" w:ascii="宋体" w:hAnsi="宋体" w:eastAsia="宋体" w:cs="Times New Roman"/>
          <w:color w:val="FF0000"/>
          <w:sz w:val="24"/>
          <w:szCs w:val="24"/>
          <w:highlight w:val="yellow"/>
          <w:u w:val="single"/>
          <w:lang w:val="en-US" w:eastAsia="zh-CN"/>
        </w:rPr>
        <w:t xml:space="preserve"> </w:t>
      </w:r>
      <w:r>
        <w:rPr>
          <w:rFonts w:hint="eastAsia" w:ascii="宋体" w:hAnsi="宋体" w:cs="Times New Roman"/>
          <w:color w:val="FF0000"/>
          <w:sz w:val="24"/>
          <w:szCs w:val="24"/>
          <w:highlight w:val="yellow"/>
          <w:u w:val="single"/>
          <w:lang w:val="en-US" w:eastAsia="zh-CN"/>
        </w:rPr>
        <w:t>软件和信息技术服务业</w:t>
      </w:r>
      <w:r>
        <w:rPr>
          <w:rFonts w:hint="eastAsia" w:ascii="宋体" w:hAnsi="宋体"/>
          <w:color w:val="FF0000"/>
          <w:sz w:val="24"/>
          <w:szCs w:val="24"/>
          <w:highlight w:val="yellow"/>
          <w:lang w:val="en-US" w:eastAsia="zh-CN"/>
        </w:rPr>
        <w:t>”</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sz w:val="24"/>
          <w:szCs w:val="24"/>
          <w:lang w:val="en-US" w:eastAsia="zh-CN"/>
        </w:rPr>
        <w:t>行业划分标准按《国民经济行业分类》执行。中小企业划分标准按《中小企业划型标准规定》（工信部联企业[2011]300号）文件规定执行。</w:t>
      </w:r>
    </w:p>
    <w:p>
      <w:pPr>
        <w:pStyle w:val="9"/>
        <w:spacing w:before="145" w:beforeLines="50" w:after="145" w:afterLines="50" w:line="360" w:lineRule="auto"/>
        <w:ind w:firstLine="498" w:firstLineChars="155"/>
        <w:rPr>
          <w:rFonts w:hint="eastAsia"/>
        </w:rPr>
      </w:pPr>
      <w:r>
        <w:rPr>
          <w:rFonts w:hint="eastAsia"/>
        </w:rPr>
        <w:t>二、申请人的资格要求：</w:t>
      </w:r>
    </w:p>
    <w:p>
      <w:pPr>
        <w:ind w:firstLine="480" w:firstLineChars="200"/>
        <w:rPr>
          <w:rFonts w:ascii="宋体" w:hAnsi="宋体"/>
          <w:sz w:val="24"/>
          <w:szCs w:val="24"/>
        </w:rPr>
      </w:pPr>
      <w:r>
        <w:rPr>
          <w:rFonts w:hint="eastAsia" w:ascii="宋体" w:hAnsi="宋体"/>
          <w:sz w:val="24"/>
          <w:szCs w:val="24"/>
        </w:rPr>
        <w:t>1.满足《中华人民共和国政府采购法》第二十二条规定，并提供下列材料：</w:t>
      </w:r>
    </w:p>
    <w:p>
      <w:pPr>
        <w:ind w:firstLine="480" w:firstLineChars="200"/>
        <w:rPr>
          <w:rFonts w:ascii="宋体" w:hAnsi="宋体"/>
          <w:sz w:val="24"/>
          <w:szCs w:val="24"/>
        </w:rPr>
      </w:pPr>
      <w:r>
        <w:rPr>
          <w:rFonts w:hint="eastAsia" w:ascii="宋体" w:hAnsi="宋体"/>
          <w:sz w:val="24"/>
          <w:szCs w:val="24"/>
        </w:rPr>
        <w:t>1.1法人或者其他组织的营业执照等证明文件，自然人的身份证明；</w:t>
      </w:r>
    </w:p>
    <w:p>
      <w:pPr>
        <w:ind w:firstLine="480" w:firstLineChars="200"/>
        <w:rPr>
          <w:rFonts w:ascii="宋体" w:hAnsi="宋体"/>
          <w:sz w:val="24"/>
          <w:szCs w:val="24"/>
        </w:rPr>
      </w:pPr>
      <w:r>
        <w:rPr>
          <w:rFonts w:hint="eastAsia" w:ascii="宋体" w:hAnsi="宋体"/>
          <w:sz w:val="24"/>
          <w:szCs w:val="24"/>
        </w:rPr>
        <w:t>1.2最近一个年度的财务状况报告（成立不满一年不需提供）；</w:t>
      </w:r>
    </w:p>
    <w:p>
      <w:pPr>
        <w:ind w:firstLine="480" w:firstLineChars="200"/>
        <w:rPr>
          <w:rFonts w:ascii="宋体" w:hAnsi="宋体"/>
          <w:sz w:val="24"/>
          <w:szCs w:val="24"/>
        </w:rPr>
      </w:pPr>
      <w:r>
        <w:rPr>
          <w:rFonts w:hint="eastAsia" w:ascii="宋体" w:hAnsi="宋体"/>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ind w:firstLine="480" w:firstLineChars="200"/>
        <w:rPr>
          <w:rFonts w:ascii="宋体" w:hAnsi="宋体"/>
          <w:sz w:val="24"/>
          <w:szCs w:val="24"/>
        </w:rPr>
      </w:pPr>
      <w:r>
        <w:rPr>
          <w:rFonts w:hint="eastAsia" w:ascii="宋体" w:hAnsi="宋体"/>
          <w:sz w:val="24"/>
          <w:szCs w:val="24"/>
        </w:rPr>
        <w:t>1.4具备履行合同所必需的设备和专业技术能力的证明材料；</w:t>
      </w:r>
    </w:p>
    <w:p>
      <w:pPr>
        <w:ind w:firstLine="480" w:firstLineChars="200"/>
        <w:rPr>
          <w:rFonts w:ascii="宋体" w:hAnsi="宋体"/>
          <w:sz w:val="24"/>
          <w:szCs w:val="24"/>
        </w:rPr>
      </w:pPr>
      <w:r>
        <w:rPr>
          <w:rFonts w:hint="eastAsia" w:ascii="宋体" w:hAnsi="宋体"/>
          <w:sz w:val="24"/>
          <w:szCs w:val="24"/>
        </w:rPr>
        <w:t>1.5参加政府采购活动前3年内在经营活动中没有重大违法记录的书面声明；</w:t>
      </w:r>
    </w:p>
    <w:p>
      <w:pPr>
        <w:ind w:firstLine="480" w:firstLineChars="200"/>
        <w:rPr>
          <w:rFonts w:hint="eastAsia" w:ascii="宋体" w:hAnsi="宋体"/>
          <w:sz w:val="24"/>
          <w:szCs w:val="24"/>
        </w:rPr>
      </w:pPr>
      <w:r>
        <w:rPr>
          <w:rFonts w:hint="eastAsia" w:ascii="宋体" w:hAnsi="宋体"/>
          <w:sz w:val="24"/>
          <w:szCs w:val="24"/>
        </w:rPr>
        <w:t>1.6未被“信用中国”网站（www.creditchina.gov.cn）</w:t>
      </w:r>
      <w:r>
        <w:rPr>
          <w:rFonts w:hint="eastAsia" w:ascii="宋体" w:hAnsi="宋体"/>
          <w:sz w:val="24"/>
          <w:szCs w:val="24"/>
          <w:lang w:eastAsia="zh-CN"/>
        </w:rPr>
        <w:t>、“中国政府采购网”(www.ccgp.gov.cn)</w:t>
      </w:r>
      <w:r>
        <w:rPr>
          <w:rFonts w:hint="eastAsia" w:ascii="宋体" w:hAnsi="宋体"/>
          <w:sz w:val="24"/>
          <w:szCs w:val="24"/>
        </w:rPr>
        <w:t>列入失信被执行人、重大税收违法案件当事人名单、政府采购严重失信行为记录名单。（提供网页截图</w:t>
      </w:r>
      <w:r>
        <w:rPr>
          <w:rFonts w:hint="eastAsia" w:ascii="宋体" w:hAnsi="宋体"/>
          <w:sz w:val="24"/>
          <w:szCs w:val="24"/>
          <w:lang w:val="en-US" w:eastAsia="zh-CN"/>
        </w:rPr>
        <w:t>或承诺函</w:t>
      </w:r>
      <w:r>
        <w:rPr>
          <w:rFonts w:hint="eastAsia" w:ascii="宋体" w:hAnsi="宋体"/>
          <w:sz w:val="24"/>
          <w:szCs w:val="24"/>
        </w:rPr>
        <w:t>）</w:t>
      </w:r>
    </w:p>
    <w:p>
      <w:pPr>
        <w:pStyle w:val="22"/>
        <w:rPr>
          <w:rFonts w:hint="eastAsia" w:ascii="宋体" w:hAnsi="宋体" w:eastAsia="宋体" w:cs="宋体"/>
          <w:kern w:val="2"/>
          <w:sz w:val="24"/>
          <w:szCs w:val="24"/>
          <w:lang w:val="en-US" w:eastAsia="zh-CN" w:bidi="ar"/>
        </w:rPr>
      </w:pPr>
      <w:r>
        <w:rPr>
          <w:rFonts w:hint="eastAsia" w:hAnsi="宋体"/>
          <w:sz w:val="24"/>
          <w:szCs w:val="24"/>
          <w:lang w:val="en-US" w:eastAsia="zh-CN"/>
        </w:rPr>
        <w:t>1.7</w:t>
      </w:r>
      <w:r>
        <w:rPr>
          <w:rFonts w:hint="eastAsia" w:ascii="宋体" w:hAnsi="宋体" w:eastAsia="宋体" w:cs="宋体"/>
          <w:iCs/>
          <w:color w:val="auto"/>
          <w:sz w:val="24"/>
          <w:szCs w:val="24"/>
          <w:highlight w:val="none"/>
        </w:rPr>
        <w:t>法定代表人授权委托书(法定代表人本人投标时除外)及被授权人（或法定代表人）《居民身份证》或具有同等法律效力的证明文件（发证机关或公证机关出具的证明材料）</w:t>
      </w:r>
      <w:r>
        <w:rPr>
          <w:rFonts w:hint="eastAsia"/>
          <w:color w:val="0000FF"/>
          <w:sz w:val="24"/>
          <w:szCs w:val="24"/>
          <w:lang w:val="en-US" w:eastAsia="zh-CN"/>
        </w:rPr>
        <w:t>请按招标文件中提供的模版格式</w:t>
      </w:r>
      <w:bookmarkStart w:id="259" w:name="_GoBack"/>
      <w:bookmarkEnd w:id="259"/>
      <w:r>
        <w:rPr>
          <w:rFonts w:hint="eastAsia"/>
          <w:color w:val="0000FF"/>
          <w:sz w:val="24"/>
          <w:szCs w:val="24"/>
          <w:lang w:val="en-US" w:eastAsia="zh-CN"/>
        </w:rPr>
        <w:t>进行填写，否则视为不响应；</w:t>
      </w:r>
    </w:p>
    <w:p>
      <w:pPr>
        <w:numPr>
          <w:ilvl w:val="0"/>
          <w:numId w:val="0"/>
        </w:numPr>
        <w:bidi w:val="0"/>
        <w:ind w:firstLine="480" w:firstLineChars="200"/>
        <w:jc w:val="left"/>
        <w:rPr>
          <w:rFonts w:hint="default" w:eastAsia="宋体"/>
          <w:lang w:val="en-US" w:eastAsia="zh-CN"/>
        </w:rPr>
      </w:pPr>
      <w:r>
        <w:rPr>
          <w:rFonts w:hint="eastAsia" w:ascii="宋体" w:hAnsi="宋体" w:eastAsia="宋体" w:cs="宋体"/>
          <w:kern w:val="2"/>
          <w:sz w:val="24"/>
          <w:szCs w:val="24"/>
          <w:lang w:val="en-US" w:eastAsia="zh-CN" w:bidi="ar"/>
        </w:rPr>
        <w:t>1.8</w:t>
      </w:r>
      <w:r>
        <w:rPr>
          <w:rFonts w:hint="eastAsia" w:ascii="宋体" w:hAnsi="宋体"/>
          <w:sz w:val="24"/>
          <w:szCs w:val="24"/>
        </w:rPr>
        <w:t>投标保证金缴纳：</w:t>
      </w:r>
      <w:r>
        <w:rPr>
          <w:rFonts w:hint="eastAsia" w:ascii="宋体" w:hAnsi="宋体"/>
          <w:sz w:val="24"/>
          <w:szCs w:val="24"/>
          <w:lang w:val="en-US" w:eastAsia="zh-CN"/>
        </w:rPr>
        <w:t>本项目不收取投标保证金；</w:t>
      </w:r>
    </w:p>
    <w:p>
      <w:pPr>
        <w:numPr>
          <w:ilvl w:val="0"/>
          <w:numId w:val="0"/>
        </w:numPr>
        <w:bidi w:val="0"/>
        <w:ind w:firstLine="480" w:firstLineChars="200"/>
        <w:jc w:val="left"/>
        <w:rPr>
          <w:rFonts w:hint="eastAsia" w:ascii="宋体" w:hAnsi="宋体" w:eastAsia="宋体" w:cs="宋体"/>
          <w:sz w:val="24"/>
          <w:szCs w:val="24"/>
          <w:highlight w:val="yellow"/>
          <w:lang w:val="en-US" w:eastAsia="zh-CN"/>
        </w:rPr>
      </w:pPr>
      <w:r>
        <w:rPr>
          <w:rFonts w:hint="eastAsia" w:ascii="宋体" w:hAnsi="宋体"/>
          <w:sz w:val="24"/>
          <w:szCs w:val="24"/>
          <w:lang w:val="en-US" w:eastAsia="zh-CN"/>
        </w:rPr>
        <w:t>2.</w:t>
      </w:r>
      <w:r>
        <w:rPr>
          <w:rFonts w:hint="eastAsia" w:ascii="宋体" w:hAnsi="宋体"/>
          <w:sz w:val="24"/>
          <w:szCs w:val="24"/>
        </w:rPr>
        <w:t>落实政府采购政策需满足的资格要求：</w:t>
      </w:r>
      <w:r>
        <w:rPr>
          <w:rFonts w:hint="eastAsia" w:ascii="仿宋" w:hAnsi="仿宋" w:eastAsia="仿宋" w:cs="仿宋"/>
          <w:i w:val="0"/>
          <w:iCs w:val="0"/>
          <w:caps w:val="0"/>
          <w:color w:val="000000"/>
          <w:spacing w:val="0"/>
          <w:sz w:val="27"/>
          <w:szCs w:val="27"/>
          <w:highlight w:val="yellow"/>
          <w:lang w:val="en-US" w:eastAsia="zh-CN"/>
        </w:rPr>
        <w:t>本项目不专门面向中小企业，给予小型、微型企业享受价格20%扣除，用扣除后的价格参与评审。即：提供的服务全部由符合政策要求的中小/小微企业承接。投标时须提交《中小企业声明函》。</w:t>
      </w:r>
    </w:p>
    <w:p>
      <w:pPr>
        <w:pStyle w:val="11"/>
        <w:rPr>
          <w:rFonts w:hint="eastAsia" w:ascii="宋体" w:hAnsi="宋体" w:eastAsia="宋体" w:cs="Times New Roman"/>
          <w:color w:val="0000FF"/>
          <w:sz w:val="24"/>
          <w:szCs w:val="24"/>
          <w:highlight w:val="none"/>
          <w:lang w:val="en-US" w:eastAsia="zh-CN"/>
        </w:rPr>
      </w:pPr>
      <w:r>
        <w:rPr>
          <w:rFonts w:hint="eastAsia"/>
          <w:lang w:val="en-US" w:eastAsia="zh-CN"/>
        </w:rPr>
        <w:t xml:space="preserve"> 3</w:t>
      </w:r>
      <w:r>
        <w:rPr>
          <w:rFonts w:hint="eastAsia" w:ascii="宋体" w:hAnsi="宋体" w:eastAsia="宋体" w:cs="Times New Roman"/>
          <w:kern w:val="2"/>
          <w:sz w:val="24"/>
          <w:szCs w:val="24"/>
          <w:lang w:val="en-US" w:eastAsia="zh-CN" w:bidi="ar-SA"/>
        </w:rPr>
        <w:t>.本项目的特定资格要求：</w:t>
      </w:r>
      <w:r>
        <w:rPr>
          <w:rFonts w:hint="eastAsia" w:ascii="宋体" w:hAnsi="宋体"/>
          <w:color w:val="0000FF"/>
          <w:sz w:val="24"/>
          <w:szCs w:val="24"/>
          <w:lang w:val="en-US" w:eastAsia="zh-CN"/>
        </w:rPr>
        <w:t>无</w:t>
      </w:r>
    </w:p>
    <w:p>
      <w:pPr>
        <w:pStyle w:val="9"/>
        <w:spacing w:before="145" w:beforeLines="50" w:after="145" w:afterLines="50" w:line="360" w:lineRule="auto"/>
        <w:ind w:firstLine="643" w:firstLineChars="200"/>
      </w:pPr>
      <w:r>
        <w:rPr>
          <w:rFonts w:hint="eastAsia"/>
        </w:rPr>
        <w:t>三、获取招标文件</w:t>
      </w:r>
    </w:p>
    <w:p>
      <w:pPr>
        <w:spacing w:line="360" w:lineRule="auto"/>
        <w:ind w:firstLine="540"/>
        <w:rPr>
          <w:rFonts w:ascii="宋体" w:hAnsi="宋体" w:cs="宋体"/>
          <w:sz w:val="24"/>
          <w:szCs w:val="24"/>
        </w:rPr>
      </w:pPr>
      <w:r>
        <w:rPr>
          <w:rFonts w:hint="eastAsia" w:ascii="宋体" w:hAnsi="宋体" w:cs="宋体"/>
          <w:sz w:val="24"/>
          <w:szCs w:val="24"/>
        </w:rPr>
        <w:t>1.时间：自招标文件公告发布之日起5个工作日。</w:t>
      </w:r>
    </w:p>
    <w:p>
      <w:pPr>
        <w:spacing w:before="240" w:line="300" w:lineRule="auto"/>
        <w:ind w:left="43" w:right="118" w:firstLine="507"/>
        <w:rPr>
          <w:rFonts w:ascii="仿宋" w:hAnsi="仿宋" w:eastAsia="仿宋" w:cs="仿宋"/>
          <w:sz w:val="24"/>
          <w:szCs w:val="24"/>
        </w:rPr>
      </w:pPr>
      <w:r>
        <w:rPr>
          <w:rFonts w:hint="eastAsia" w:ascii="宋体" w:hAnsi="宋体" w:cs="宋体"/>
          <w:sz w:val="24"/>
          <w:szCs w:val="24"/>
        </w:rPr>
        <w:t>2.方式：在</w:t>
      </w:r>
      <w:r>
        <w:rPr>
          <w:rFonts w:hint="eastAsia" w:ascii="宋体" w:hAnsi="宋体" w:cs="宋体"/>
          <w:sz w:val="24"/>
          <w:szCs w:val="24"/>
          <w:lang w:eastAsia="zh-CN"/>
        </w:rPr>
        <w:t>“</w:t>
      </w:r>
      <w:r>
        <w:rPr>
          <w:rFonts w:hint="eastAsia" w:ascii="宋体" w:hAnsi="宋体" w:cs="宋体"/>
          <w:sz w:val="24"/>
          <w:szCs w:val="24"/>
          <w:lang w:val="en-US" w:eastAsia="zh-CN"/>
        </w:rPr>
        <w:t>政采云平台</w:t>
      </w:r>
      <w:r>
        <w:rPr>
          <w:rFonts w:hint="eastAsia" w:ascii="宋体" w:hAnsi="宋体" w:cs="宋体"/>
          <w:sz w:val="24"/>
          <w:szCs w:val="24"/>
          <w:lang w:eastAsia="zh-CN"/>
        </w:rPr>
        <w:t>”</w:t>
      </w:r>
      <w:r>
        <w:rPr>
          <w:rFonts w:hint="eastAsia" w:ascii="宋体" w:hAnsi="宋体" w:cs="宋体"/>
          <w:sz w:val="24"/>
          <w:szCs w:val="24"/>
          <w:lang w:val="en-US" w:eastAsia="zh-CN"/>
        </w:rPr>
        <w:t>-“项目采购”-“获取采购文件”中</w:t>
      </w:r>
      <w:r>
        <w:rPr>
          <w:rFonts w:hint="eastAsia" w:ascii="宋体" w:hAnsi="宋体" w:cs="宋体"/>
          <w:sz w:val="24"/>
          <w:szCs w:val="24"/>
        </w:rPr>
        <w:t>自行免费下载招标文件</w:t>
      </w:r>
      <w:r>
        <w:rPr>
          <w:rFonts w:hint="eastAsia" w:ascii="宋体" w:hAnsi="宋体" w:cs="宋体"/>
          <w:sz w:val="24"/>
          <w:szCs w:val="24"/>
          <w:lang w:eastAsia="zh-CN"/>
        </w:rPr>
        <w:t>，</w:t>
      </w:r>
      <w:r>
        <w:rPr>
          <w:rFonts w:hint="eastAsia" w:ascii="仿宋" w:hAnsi="仿宋" w:eastAsia="仿宋"/>
          <w:b/>
          <w:color w:val="auto"/>
          <w:kern w:val="2"/>
          <w:sz w:val="24"/>
          <w:szCs w:val="24"/>
          <w:highlight w:val="none"/>
          <w:lang w:val="en-US" w:eastAsia="zh-CN"/>
        </w:rPr>
        <w:t>（https://www.zcygov.cn）。</w:t>
      </w:r>
    </w:p>
    <w:p>
      <w:pPr>
        <w:pStyle w:val="9"/>
        <w:ind w:firstLine="482" w:firstLineChars="150"/>
        <w:rPr>
          <w:rFonts w:hint="eastAsia"/>
        </w:rPr>
      </w:pPr>
      <w:r>
        <w:rPr>
          <w:rFonts w:hint="eastAsia"/>
        </w:rPr>
        <w:t>四、提交投标文件截止时间、开标时间和地点</w:t>
      </w:r>
    </w:p>
    <w:p>
      <w:pPr>
        <w:ind w:left="479" w:leftChars="228" w:firstLine="0" w:firstLineChars="0"/>
        <w:rPr>
          <w:rFonts w:hint="eastAsia" w:ascii="宋体" w:hAnsi="宋体" w:cs="宋体"/>
          <w:sz w:val="24"/>
          <w:szCs w:val="24"/>
          <w:lang w:eastAsia="zh-CN"/>
        </w:rPr>
      </w:pPr>
      <w:r>
        <w:rPr>
          <w:rFonts w:hint="eastAsia" w:ascii="宋体" w:hAnsi="宋体" w:cs="宋体"/>
          <w:sz w:val="24"/>
          <w:szCs w:val="24"/>
        </w:rPr>
        <w:t>1.</w:t>
      </w:r>
      <w:r>
        <w:rPr>
          <w:rFonts w:hint="eastAsia" w:ascii="宋体" w:hAnsi="宋体" w:cs="宋体"/>
          <w:color w:val="FF0000"/>
          <w:sz w:val="24"/>
          <w:szCs w:val="24"/>
          <w:lang w:val="en-US" w:eastAsia="zh-CN"/>
        </w:rPr>
        <w:t>本项目</w:t>
      </w:r>
      <w:r>
        <w:rPr>
          <w:rFonts w:hint="eastAsia" w:ascii="宋体" w:hAnsi="宋体" w:cs="宋体"/>
          <w:color w:val="FF0000"/>
          <w:sz w:val="24"/>
          <w:szCs w:val="24"/>
        </w:rPr>
        <w:t>提交投标文件截止时间、开标时间：</w:t>
      </w:r>
      <w:r>
        <w:rPr>
          <w:rFonts w:hint="eastAsia" w:ascii="宋体" w:hAnsi="宋体" w:cs="宋体"/>
          <w:color w:val="FF0000"/>
          <w:sz w:val="24"/>
          <w:szCs w:val="24"/>
          <w:highlight w:val="yellow"/>
          <w:u w:val="single"/>
          <w:lang w:eastAsia="zh-CN"/>
        </w:rPr>
        <w:t>202</w:t>
      </w:r>
      <w:r>
        <w:rPr>
          <w:rFonts w:hint="eastAsia" w:ascii="宋体" w:hAnsi="宋体" w:cs="宋体"/>
          <w:color w:val="FF0000"/>
          <w:sz w:val="24"/>
          <w:szCs w:val="24"/>
          <w:highlight w:val="yellow"/>
          <w:u w:val="single"/>
          <w:lang w:val="en-US" w:eastAsia="zh-CN"/>
        </w:rPr>
        <w:t>5</w:t>
      </w:r>
      <w:r>
        <w:rPr>
          <w:rFonts w:hint="eastAsia" w:ascii="宋体" w:hAnsi="宋体" w:cs="宋体"/>
          <w:color w:val="FF0000"/>
          <w:sz w:val="24"/>
          <w:szCs w:val="24"/>
          <w:highlight w:val="yellow"/>
          <w:u w:val="single"/>
        </w:rPr>
        <w:t>年</w:t>
      </w:r>
      <w:r>
        <w:rPr>
          <w:rFonts w:hint="eastAsia" w:ascii="宋体" w:hAnsi="宋体" w:cs="宋体"/>
          <w:color w:val="FF0000"/>
          <w:sz w:val="24"/>
          <w:szCs w:val="24"/>
          <w:highlight w:val="yellow"/>
          <w:u w:val="single"/>
          <w:lang w:val="en-US" w:eastAsia="zh-CN"/>
        </w:rPr>
        <w:t>3</w:t>
      </w:r>
      <w:r>
        <w:rPr>
          <w:rFonts w:hint="eastAsia" w:ascii="宋体" w:hAnsi="宋体" w:cs="宋体"/>
          <w:color w:val="FF0000"/>
          <w:sz w:val="24"/>
          <w:szCs w:val="24"/>
          <w:highlight w:val="yellow"/>
          <w:u w:val="single"/>
        </w:rPr>
        <w:t>月</w:t>
      </w:r>
      <w:r>
        <w:rPr>
          <w:rFonts w:hint="eastAsia" w:ascii="宋体" w:hAnsi="宋体" w:cs="宋体"/>
          <w:color w:val="FF0000"/>
          <w:sz w:val="24"/>
          <w:szCs w:val="24"/>
          <w:highlight w:val="yellow"/>
          <w:u w:val="single"/>
          <w:lang w:val="en-US" w:eastAsia="zh-CN"/>
        </w:rPr>
        <w:t>12</w:t>
      </w:r>
      <w:r>
        <w:rPr>
          <w:rFonts w:hint="eastAsia" w:ascii="宋体" w:hAnsi="宋体" w:cs="宋体"/>
          <w:color w:val="FF0000"/>
          <w:sz w:val="24"/>
          <w:szCs w:val="24"/>
          <w:highlight w:val="yellow"/>
          <w:u w:val="single"/>
        </w:rPr>
        <w:t>日</w:t>
      </w:r>
      <w:r>
        <w:rPr>
          <w:rFonts w:hint="eastAsia" w:ascii="宋体" w:hAnsi="宋体" w:cs="宋体"/>
          <w:color w:val="FF0000"/>
          <w:sz w:val="24"/>
          <w:szCs w:val="24"/>
          <w:highlight w:val="yellow"/>
          <w:u w:val="single"/>
          <w:lang w:val="en-US" w:eastAsia="zh-CN"/>
        </w:rPr>
        <w:t>10</w:t>
      </w:r>
      <w:r>
        <w:rPr>
          <w:rFonts w:hint="eastAsia" w:ascii="宋体" w:hAnsi="宋体" w:cs="宋体"/>
          <w:color w:val="FF0000"/>
          <w:sz w:val="24"/>
          <w:szCs w:val="24"/>
          <w:highlight w:val="yellow"/>
          <w:u w:val="single"/>
        </w:rPr>
        <w:t>点</w:t>
      </w:r>
      <w:r>
        <w:rPr>
          <w:rFonts w:hint="eastAsia" w:ascii="宋体" w:hAnsi="宋体" w:cs="宋体"/>
          <w:color w:val="FF0000"/>
          <w:sz w:val="24"/>
          <w:szCs w:val="24"/>
          <w:highlight w:val="yellow"/>
          <w:u w:val="single"/>
          <w:lang w:val="en-US" w:eastAsia="zh-CN"/>
        </w:rPr>
        <w:t>30</w:t>
      </w:r>
      <w:r>
        <w:rPr>
          <w:rFonts w:hint="eastAsia" w:ascii="宋体" w:hAnsi="宋体" w:cs="宋体"/>
          <w:color w:val="FF0000"/>
          <w:sz w:val="24"/>
          <w:szCs w:val="24"/>
          <w:highlight w:val="yellow"/>
          <w:u w:val="single"/>
        </w:rPr>
        <w:t>分</w:t>
      </w:r>
      <w:r>
        <w:rPr>
          <w:rFonts w:hint="eastAsia" w:ascii="宋体" w:hAnsi="宋体" w:cs="宋体"/>
          <w:sz w:val="24"/>
          <w:szCs w:val="24"/>
          <w:highlight w:val="yellow"/>
        </w:rPr>
        <w:t>（</w:t>
      </w:r>
      <w:r>
        <w:rPr>
          <w:rFonts w:hint="eastAsia" w:ascii="宋体" w:hAnsi="宋体" w:cs="宋体"/>
          <w:sz w:val="24"/>
          <w:szCs w:val="24"/>
        </w:rPr>
        <w:t>北京时间）</w:t>
      </w:r>
      <w:r>
        <w:rPr>
          <w:rFonts w:hint="eastAsia" w:ascii="宋体" w:hAnsi="宋体" w:cs="宋体"/>
          <w:sz w:val="24"/>
          <w:szCs w:val="24"/>
          <w:lang w:eastAsia="zh-CN"/>
        </w:rPr>
        <w:t>；</w:t>
      </w:r>
    </w:p>
    <w:p>
      <w:pPr>
        <w:ind w:left="479" w:leftChars="228" w:firstLine="0" w:firstLineChars="0"/>
        <w:rPr>
          <w:rFonts w:ascii="宋体" w:hAnsi="宋体" w:cs="宋体"/>
          <w:sz w:val="24"/>
          <w:szCs w:val="24"/>
        </w:rPr>
      </w:pPr>
      <w:r>
        <w:rPr>
          <w:rFonts w:hint="eastAsia" w:ascii="宋体" w:hAnsi="宋体" w:cs="宋体"/>
          <w:sz w:val="24"/>
          <w:szCs w:val="24"/>
        </w:rPr>
        <w:t>2.地点：</w:t>
      </w:r>
      <w:r>
        <w:rPr>
          <w:rFonts w:hint="eastAsia" w:ascii="宋体" w:hAnsi="宋体" w:eastAsia="宋体" w:cs="宋体"/>
          <w:color w:val="0000FF"/>
          <w:sz w:val="24"/>
          <w:szCs w:val="24"/>
          <w:lang w:val="en-US" w:eastAsia="zh-CN"/>
        </w:rPr>
        <w:t>新疆政府采购网</w:t>
      </w:r>
      <w:r>
        <w:rPr>
          <w:rFonts w:hint="eastAsia" w:ascii="宋体" w:hAnsi="宋体" w:eastAsia="宋体" w:cs="宋体"/>
          <w:color w:val="0000FF"/>
          <w:sz w:val="24"/>
          <w:szCs w:val="24"/>
        </w:rPr>
        <w:t>。</w:t>
      </w:r>
    </w:p>
    <w:p>
      <w:pPr>
        <w:pStyle w:val="9"/>
        <w:spacing w:before="145" w:beforeLines="50" w:after="145" w:afterLines="50" w:line="360" w:lineRule="auto"/>
        <w:ind w:firstLine="498" w:firstLineChars="155"/>
      </w:pPr>
      <w:bookmarkStart w:id="9" w:name="_Toc38985267"/>
      <w:bookmarkStart w:id="10" w:name="_Toc28359084"/>
      <w:bookmarkStart w:id="11" w:name="_Toc35393794"/>
      <w:bookmarkStart w:id="12" w:name="_Toc35393625"/>
      <w:bookmarkStart w:id="13" w:name="_Toc28359007"/>
      <w:r>
        <w:rPr>
          <w:rFonts w:hint="eastAsia"/>
        </w:rPr>
        <w:t>五、公告期限</w:t>
      </w:r>
      <w:bookmarkEnd w:id="9"/>
      <w:bookmarkEnd w:id="10"/>
      <w:bookmarkEnd w:id="11"/>
      <w:bookmarkEnd w:id="12"/>
      <w:bookmarkEnd w:id="13"/>
    </w:p>
    <w:p>
      <w:pPr>
        <w:tabs>
          <w:tab w:val="left" w:pos="900"/>
        </w:tabs>
        <w:spacing w:line="560" w:lineRule="exact"/>
        <w:ind w:firstLine="480" w:firstLineChars="200"/>
        <w:rPr>
          <w:rFonts w:hint="eastAsia" w:ascii="宋体" w:hAnsi="宋体"/>
          <w:b/>
          <w:bCs/>
          <w:sz w:val="24"/>
          <w:szCs w:val="24"/>
        </w:rPr>
      </w:pPr>
      <w:r>
        <w:rPr>
          <w:rFonts w:hint="eastAsia" w:ascii="宋体" w:hAnsi="宋体" w:cs="宋体"/>
          <w:kern w:val="0"/>
          <w:sz w:val="24"/>
          <w:szCs w:val="24"/>
        </w:rPr>
        <w:t>招标公告及招标文件公告期限为自本公告发布之日起5个工作日。</w:t>
      </w:r>
    </w:p>
    <w:p>
      <w:pPr>
        <w:pStyle w:val="9"/>
        <w:spacing w:before="145" w:beforeLines="50" w:after="145" w:afterLines="50" w:line="360" w:lineRule="auto"/>
        <w:ind w:firstLine="498" w:firstLineChars="155"/>
      </w:pPr>
      <w:r>
        <w:rPr>
          <w:rFonts w:hint="eastAsia"/>
        </w:rPr>
        <w:t>六、其他补充事宜</w:t>
      </w:r>
    </w:p>
    <w:p>
      <w:pPr>
        <w:adjustRightInd w:val="0"/>
        <w:snapToGrid w:val="0"/>
        <w:spacing w:before="145" w:beforeLines="50" w:after="145" w:afterLines="50" w:line="293" w:lineRule="auto"/>
        <w:ind w:firstLine="480" w:firstLineChars="200"/>
        <w:rPr>
          <w:rFonts w:hint="eastAsia" w:ascii="宋体" w:hAnsi="宋体" w:eastAsia="宋体" w:cs="宋体"/>
          <w:kern w:val="0"/>
          <w:sz w:val="24"/>
          <w:szCs w:val="24"/>
        </w:rPr>
      </w:pPr>
      <w:bookmarkStart w:id="14" w:name="_Toc35393627"/>
      <w:bookmarkStart w:id="15" w:name="_Toc35393796"/>
      <w:bookmarkStart w:id="16" w:name="_Toc28359008"/>
      <w:bookmarkStart w:id="17" w:name="_Toc28359085"/>
      <w:bookmarkStart w:id="18" w:name="_Toc38985269"/>
      <w:r>
        <w:rPr>
          <w:rFonts w:hint="eastAsia" w:ascii="宋体" w:hAnsi="宋体" w:eastAsia="宋体" w:cs="宋体"/>
          <w:kern w:val="0"/>
          <w:sz w:val="24"/>
          <w:szCs w:val="24"/>
        </w:rPr>
        <w:t>评标委员会如要求投标人对投标文件内容进行澄清</w:t>
      </w:r>
      <w:r>
        <w:rPr>
          <w:rFonts w:hint="eastAsia" w:ascii="宋体" w:hAnsi="宋体" w:eastAsia="宋体" w:cs="宋体"/>
          <w:color w:val="0000FF"/>
          <w:kern w:val="0"/>
          <w:sz w:val="24"/>
          <w:szCs w:val="24"/>
        </w:rPr>
        <w:t>，将通过视频会议</w:t>
      </w:r>
      <w:r>
        <w:rPr>
          <w:rFonts w:hint="eastAsia" w:ascii="宋体" w:hAnsi="宋体" w:eastAsia="宋体" w:cs="宋体"/>
          <w:kern w:val="0"/>
          <w:sz w:val="24"/>
          <w:szCs w:val="24"/>
        </w:rPr>
        <w:t>方式进行，请各投标人在开标前做好人员、网络、设备准备工作，视频会议房间信息将适时告知投标授权代表，投标代表务必于开标当日保持手机联系畅通。</w:t>
      </w:r>
    </w:p>
    <w:p>
      <w:pPr>
        <w:pStyle w:val="9"/>
        <w:spacing w:before="145" w:beforeLines="50" w:after="145" w:afterLines="50" w:line="360" w:lineRule="auto"/>
        <w:ind w:firstLine="498" w:firstLineChars="155"/>
      </w:pPr>
      <w:r>
        <w:rPr>
          <w:rFonts w:hint="eastAsia"/>
        </w:rPr>
        <w:t>七、联系</w:t>
      </w:r>
      <w:bookmarkEnd w:id="14"/>
      <w:bookmarkEnd w:id="15"/>
      <w:bookmarkEnd w:id="16"/>
      <w:bookmarkEnd w:id="17"/>
      <w:bookmarkEnd w:id="18"/>
      <w:r>
        <w:rPr>
          <w:rFonts w:hint="eastAsia"/>
        </w:rPr>
        <w:t>事项</w:t>
      </w:r>
    </w:p>
    <w:p>
      <w:pPr>
        <w:adjustRightInd w:val="0"/>
        <w:snapToGrid w:val="0"/>
        <w:spacing w:before="145" w:beforeLines="50" w:after="145" w:afterLines="50" w:line="293" w:lineRule="auto"/>
        <w:ind w:firstLine="480" w:firstLineChars="200"/>
        <w:rPr>
          <w:rFonts w:hint="eastAsia" w:ascii="宋体" w:hAnsi="宋体" w:cs="宋体"/>
          <w:sz w:val="24"/>
          <w:szCs w:val="24"/>
        </w:rPr>
      </w:pPr>
      <w:r>
        <w:rPr>
          <w:rFonts w:hint="eastAsia" w:ascii="宋体" w:hAnsi="宋体" w:cs="宋体"/>
          <w:sz w:val="24"/>
          <w:szCs w:val="24"/>
        </w:rPr>
        <w:t>1.采购人信息</w:t>
      </w:r>
    </w:p>
    <w:p>
      <w:pPr>
        <w:spacing w:line="360" w:lineRule="auto"/>
        <w:ind w:firstLine="480" w:firstLineChars="200"/>
        <w:jc w:val="left"/>
        <w:rPr>
          <w:rFonts w:hint="default" w:ascii="宋体" w:hAnsi="宋体"/>
          <w:sz w:val="24"/>
          <w:szCs w:val="24"/>
          <w:highlight w:val="none"/>
          <w:lang w:val="en-US"/>
        </w:rPr>
      </w:pPr>
      <w:r>
        <w:rPr>
          <w:rFonts w:hint="eastAsia" w:ascii="宋体" w:hAnsi="宋体"/>
          <w:color w:val="0000FF"/>
          <w:sz w:val="24"/>
          <w:szCs w:val="24"/>
          <w:highlight w:val="none"/>
        </w:rPr>
        <w:t>名 称：</w:t>
      </w:r>
      <w:r>
        <w:rPr>
          <w:rFonts w:hint="eastAsia" w:ascii="宋体" w:hAnsi="宋体"/>
          <w:sz w:val="24"/>
          <w:szCs w:val="24"/>
          <w:highlight w:val="none"/>
          <w:lang w:val="en-US" w:eastAsia="zh-CN"/>
        </w:rPr>
        <w:t>昌吉州博物馆</w:t>
      </w:r>
    </w:p>
    <w:p>
      <w:pPr>
        <w:spacing w:line="360" w:lineRule="auto"/>
        <w:ind w:firstLine="480" w:firstLineChars="200"/>
        <w:jc w:val="left"/>
        <w:rPr>
          <w:rFonts w:hint="default" w:ascii="宋体" w:hAnsi="宋体" w:eastAsia="宋体"/>
          <w:sz w:val="24"/>
          <w:szCs w:val="24"/>
          <w:highlight w:val="none"/>
          <w:lang w:val="en-US" w:eastAsia="zh-CN"/>
        </w:rPr>
      </w:pPr>
      <w:r>
        <w:rPr>
          <w:rFonts w:hint="eastAsia" w:ascii="宋体" w:hAnsi="宋体"/>
          <w:color w:val="0000FF"/>
          <w:sz w:val="24"/>
          <w:szCs w:val="24"/>
          <w:highlight w:val="none"/>
        </w:rPr>
        <w:t>地址：</w:t>
      </w:r>
      <w:r>
        <w:rPr>
          <w:rFonts w:hint="eastAsia" w:ascii="宋体" w:hAnsi="宋体"/>
          <w:sz w:val="24"/>
          <w:szCs w:val="24"/>
          <w:highlight w:val="none"/>
        </w:rPr>
        <w:t>昌吉市南公园西路127号</w:t>
      </w:r>
    </w:p>
    <w:p>
      <w:pPr>
        <w:spacing w:line="360" w:lineRule="auto"/>
        <w:ind w:firstLine="480" w:firstLineChars="200"/>
        <w:jc w:val="left"/>
        <w:rPr>
          <w:rFonts w:hint="default" w:ascii="宋体" w:hAnsi="宋体" w:eastAsia="宋体"/>
          <w:sz w:val="24"/>
          <w:szCs w:val="24"/>
          <w:highlight w:val="none"/>
          <w:lang w:val="en-US" w:eastAsia="zh-CN"/>
        </w:rPr>
      </w:pPr>
      <w:r>
        <w:rPr>
          <w:rFonts w:hint="eastAsia" w:ascii="宋体" w:hAnsi="宋体"/>
          <w:color w:val="0000FF"/>
          <w:sz w:val="24"/>
          <w:szCs w:val="24"/>
          <w:highlight w:val="none"/>
        </w:rPr>
        <w:t>联系人：</w:t>
      </w:r>
      <w:r>
        <w:rPr>
          <w:rFonts w:hint="eastAsia" w:ascii="宋体" w:hAnsi="宋体"/>
          <w:color w:val="0000FF"/>
          <w:sz w:val="24"/>
          <w:szCs w:val="24"/>
          <w:highlight w:val="none"/>
          <w:lang w:val="en-US" w:eastAsia="zh-CN"/>
        </w:rPr>
        <w:t>高老师</w:t>
      </w:r>
    </w:p>
    <w:p>
      <w:pPr>
        <w:adjustRightInd w:val="0"/>
        <w:snapToGrid w:val="0"/>
        <w:spacing w:before="145" w:beforeLines="50" w:after="145" w:afterLines="50" w:line="293" w:lineRule="auto"/>
        <w:ind w:firstLine="480" w:firstLineChars="200"/>
        <w:rPr>
          <w:rFonts w:hint="default" w:ascii="宋体" w:hAnsi="宋体" w:eastAsia="宋体"/>
          <w:sz w:val="24"/>
          <w:szCs w:val="24"/>
          <w:highlight w:val="none"/>
          <w:lang w:val="en-US" w:eastAsia="zh-CN"/>
        </w:rPr>
      </w:pPr>
      <w:r>
        <w:rPr>
          <w:rFonts w:hint="eastAsia" w:ascii="宋体" w:hAnsi="宋体"/>
          <w:color w:val="0000FF"/>
          <w:sz w:val="24"/>
          <w:szCs w:val="24"/>
          <w:highlight w:val="none"/>
        </w:rPr>
        <w:t>联系电话</w:t>
      </w:r>
      <w:r>
        <w:rPr>
          <w:rFonts w:hint="eastAsia" w:ascii="宋体" w:hAnsi="宋体"/>
          <w:sz w:val="24"/>
          <w:szCs w:val="24"/>
          <w:highlight w:val="none"/>
        </w:rPr>
        <w:t>：</w:t>
      </w:r>
      <w:r>
        <w:rPr>
          <w:rFonts w:hint="eastAsia" w:ascii="宋体" w:hAnsi="宋体"/>
          <w:sz w:val="24"/>
          <w:szCs w:val="24"/>
          <w:highlight w:val="none"/>
          <w:lang w:val="en-US" w:eastAsia="zh-CN"/>
        </w:rPr>
        <w:t>0994-2721963</w:t>
      </w:r>
    </w:p>
    <w:p>
      <w:pPr>
        <w:spacing w:line="360" w:lineRule="auto"/>
        <w:ind w:firstLine="480" w:firstLineChars="200"/>
        <w:jc w:val="left"/>
        <w:rPr>
          <w:rFonts w:hint="eastAsia" w:ascii="宋体" w:hAnsi="宋体" w:eastAsia="宋体" w:cs="Times New Roman"/>
          <w:sz w:val="24"/>
        </w:rPr>
      </w:pPr>
      <w:r>
        <w:rPr>
          <w:rFonts w:hint="eastAsia" w:ascii="宋体" w:hAnsi="宋体" w:cs="宋体"/>
          <w:sz w:val="24"/>
          <w:szCs w:val="24"/>
        </w:rPr>
        <w:t>2.</w:t>
      </w:r>
      <w:r>
        <w:rPr>
          <w:rFonts w:hint="eastAsia" w:ascii="宋体" w:hAnsi="宋体"/>
          <w:sz w:val="24"/>
        </w:rPr>
        <w:t xml:space="preserve"> </w:t>
      </w:r>
      <w:r>
        <w:rPr>
          <w:rFonts w:hint="eastAsia" w:ascii="宋体" w:hAnsi="宋体" w:cs="Times New Roman"/>
          <w:sz w:val="24"/>
          <w:lang w:val="en-US" w:eastAsia="zh-CN"/>
        </w:rPr>
        <w:t>昌吉回族自治州政务服务和公共资源交易中心</w:t>
      </w:r>
    </w:p>
    <w:p>
      <w:pPr>
        <w:spacing w:before="238" w:line="306" w:lineRule="auto"/>
        <w:ind w:left="50" w:right="29" w:firstLine="508"/>
        <w:rPr>
          <w:rFonts w:hint="eastAsia" w:ascii="宋体" w:hAnsi="宋体" w:eastAsia="宋体" w:cs="Times New Roman"/>
          <w:sz w:val="24"/>
          <w:lang w:val="en-US" w:eastAsia="zh-CN"/>
        </w:rPr>
      </w:pPr>
      <w:r>
        <w:rPr>
          <w:rFonts w:hint="eastAsia" w:ascii="宋体" w:hAnsi="宋体"/>
          <w:sz w:val="24"/>
          <w:szCs w:val="24"/>
        </w:rPr>
        <w:t>地　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w:t>
      </w:r>
      <w:r>
        <w:rPr>
          <w:rFonts w:hint="eastAsia" w:ascii="宋体" w:hAnsi="宋体" w:cs="Times New Roman"/>
          <w:sz w:val="24"/>
          <w:lang w:val="en-US" w:eastAsia="zh-CN"/>
        </w:rPr>
        <w:t>昌吉回族自治州政务服务和公共资源交易中心五楼政府采购交易服务科</w:t>
      </w:r>
      <w:r>
        <w:rPr>
          <w:rFonts w:hint="eastAsia" w:ascii="宋体" w:hAnsi="宋体" w:eastAsia="宋体" w:cs="Times New Roman"/>
          <w:sz w:val="24"/>
          <w:lang w:val="en-US" w:eastAsia="zh-CN"/>
        </w:rPr>
        <w:t>(509室)</w:t>
      </w:r>
    </w:p>
    <w:p>
      <w:pPr>
        <w:spacing w:line="360" w:lineRule="auto"/>
        <w:ind w:firstLine="480" w:firstLineChars="200"/>
        <w:jc w:val="left"/>
        <w:rPr>
          <w:rFonts w:hint="default" w:ascii="宋体" w:hAnsi="宋体" w:eastAsia="宋体" w:cs="Times New Roman"/>
          <w:sz w:val="24"/>
          <w:highlight w:val="none"/>
          <w:lang w:val="en-US" w:eastAsia="zh-CN"/>
        </w:rPr>
      </w:pPr>
      <w:r>
        <w:rPr>
          <w:rFonts w:hint="eastAsia" w:ascii="宋体" w:hAnsi="宋体" w:eastAsia="宋体" w:cs="Times New Roman"/>
          <w:color w:val="0000FF"/>
          <w:sz w:val="24"/>
          <w:szCs w:val="24"/>
          <w:highlight w:val="none"/>
        </w:rPr>
        <w:t>联系人</w:t>
      </w:r>
      <w:r>
        <w:rPr>
          <w:rFonts w:hint="eastAsia" w:ascii="宋体" w:hAnsi="宋体" w:eastAsia="宋体" w:cs="Times New Roman"/>
          <w:sz w:val="24"/>
          <w:szCs w:val="24"/>
          <w:highlight w:val="none"/>
        </w:rPr>
        <w:t>：</w:t>
      </w:r>
      <w:r>
        <w:rPr>
          <w:rFonts w:hint="eastAsia" w:ascii="宋体" w:hAnsi="宋体" w:cs="Times New Roman"/>
          <w:sz w:val="24"/>
          <w:szCs w:val="24"/>
          <w:highlight w:val="none"/>
          <w:lang w:val="en-US" w:eastAsia="zh-CN"/>
        </w:rPr>
        <w:t>毛</w:t>
      </w:r>
      <w:r>
        <w:rPr>
          <w:rFonts w:hint="eastAsia" w:ascii="宋体" w:hAnsi="宋体" w:eastAsia="宋体" w:cs="Times New Roman"/>
          <w:sz w:val="24"/>
          <w:highlight w:val="none"/>
          <w:lang w:val="en-US" w:eastAsia="zh-CN"/>
        </w:rPr>
        <w:t>老师</w:t>
      </w:r>
    </w:p>
    <w:p>
      <w:pPr>
        <w:spacing w:line="360" w:lineRule="auto"/>
        <w:ind w:firstLine="480" w:firstLineChars="200"/>
        <w:jc w:val="left"/>
        <w:rPr>
          <w:rFonts w:hint="default"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rPr>
        <w:t>联系电话：</w:t>
      </w:r>
      <w:r>
        <w:rPr>
          <w:rFonts w:hint="eastAsia" w:ascii="宋体" w:hAnsi="宋体" w:eastAsia="宋体" w:cs="Times New Roman"/>
          <w:sz w:val="24"/>
          <w:szCs w:val="24"/>
          <w:highlight w:val="none"/>
          <w:lang w:val="en-US" w:eastAsia="zh-CN"/>
        </w:rPr>
        <w:t>099</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2267807</w:t>
      </w:r>
    </w:p>
    <w:p>
      <w:pPr>
        <w:pStyle w:val="9"/>
        <w:ind w:firstLine="482" w:firstLineChars="150"/>
        <w:rPr>
          <w:rFonts w:hint="eastAsia"/>
        </w:rPr>
      </w:pPr>
      <w:r>
        <w:rPr>
          <w:rFonts w:hint="eastAsia"/>
        </w:rPr>
        <w:t>八、其他</w:t>
      </w:r>
    </w:p>
    <w:bookmarkEnd w:id="2"/>
    <w:bookmarkEnd w:id="3"/>
    <w:bookmarkEnd w:id="4"/>
    <w:bookmarkEnd w:id="5"/>
    <w:bookmarkEnd w:id="6"/>
    <w:p>
      <w:pPr>
        <w:tabs>
          <w:tab w:val="left" w:pos="900"/>
        </w:tabs>
        <w:wordWrap w:val="0"/>
        <w:spacing w:line="560" w:lineRule="exact"/>
        <w:ind w:firstLine="480" w:firstLineChars="200"/>
        <w:jc w:val="left"/>
        <w:rPr>
          <w:rFonts w:hint="eastAsia" w:ascii="宋体" w:hAnsi="宋体" w:eastAsia="宋体" w:cs="宋体"/>
          <w:bCs/>
          <w:sz w:val="24"/>
          <w:szCs w:val="24"/>
        </w:rPr>
      </w:pPr>
      <w:bookmarkStart w:id="19" w:name="_Toc120614211"/>
      <w:bookmarkStart w:id="20" w:name="_Toc534816626"/>
      <w:bookmarkStart w:id="21" w:name="_Toc534725597"/>
      <w:bookmarkStart w:id="22" w:name="_Toc479757207"/>
      <w:bookmarkStart w:id="23" w:name="_Toc513029242"/>
      <w:bookmarkStart w:id="24" w:name="_Toc16938558"/>
      <w:bookmarkStart w:id="25" w:name="_Toc20823314"/>
      <w:bookmarkStart w:id="26" w:name="_Toc120614221"/>
      <w:bookmarkStart w:id="27" w:name="_Toc494375079"/>
      <w:r>
        <w:rPr>
          <w:rFonts w:hint="eastAsia" w:ascii="宋体" w:hAnsi="宋体" w:eastAsia="宋体" w:cs="宋体"/>
          <w:sz w:val="24"/>
          <w:szCs w:val="24"/>
          <w:lang w:val="en-US" w:eastAsia="zh-CN"/>
        </w:rPr>
        <w:t>1.本项目实行电子招投标，供应商须登录新疆政府采购云平台申请获取招标文件，并通过新疆政府采购云平台电子投标客户端制作投标文件。</w:t>
      </w:r>
      <w:r>
        <w:rPr>
          <w:rFonts w:hint="eastAsia" w:ascii="宋体" w:hAnsi="宋体" w:eastAsia="宋体" w:cs="宋体"/>
          <w:bCs/>
          <w:sz w:val="24"/>
          <w:szCs w:val="24"/>
        </w:rPr>
        <w:t>有关本次招标的事项若存在变动或修改，敬请及时关注“新疆政府采购</w:t>
      </w:r>
      <w:r>
        <w:rPr>
          <w:rFonts w:hint="eastAsia" w:ascii="宋体" w:hAnsi="宋体" w:eastAsia="宋体" w:cs="宋体"/>
          <w:bCs/>
          <w:sz w:val="24"/>
          <w:szCs w:val="24"/>
          <w:lang w:val="en-US" w:eastAsia="zh-CN"/>
        </w:rPr>
        <w:t>云平台</w:t>
      </w:r>
      <w:r>
        <w:rPr>
          <w:rFonts w:hint="eastAsia" w:ascii="宋体" w:hAnsi="宋体" w:eastAsia="宋体" w:cs="宋体"/>
          <w:bCs/>
          <w:sz w:val="24"/>
          <w:szCs w:val="24"/>
        </w:rPr>
        <w:t>”发布的澄清变更公告，网址</w:t>
      </w:r>
      <w:r>
        <w:rPr>
          <w:rFonts w:hint="eastAsia" w:ascii="宋体" w:hAnsi="宋体" w:eastAsia="宋体" w:cs="宋体"/>
          <w:bCs/>
          <w:sz w:val="24"/>
          <w:szCs w:val="24"/>
          <w:lang w:val="en-US" w:eastAsia="zh-CN"/>
        </w:rPr>
        <w:t>为</w:t>
      </w:r>
      <w:r>
        <w:rPr>
          <w:rFonts w:hint="eastAsia" w:ascii="宋体" w:hAnsi="宋体" w:eastAsia="宋体" w:cs="宋体"/>
          <w:bCs/>
          <w:sz w:val="24"/>
          <w:szCs w:val="24"/>
        </w:rPr>
        <w:t>“http://www.ccgp-xinjiang.gov.cn”。</w:t>
      </w:r>
    </w:p>
    <w:p>
      <w:pPr>
        <w:tabs>
          <w:tab w:val="left" w:pos="900"/>
        </w:tabs>
        <w:wordWrap w:val="0"/>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2.各供应商应在开标前确保成为新疆政府采购网正式供应商，并完成CA数字证书（符合国密标准）申领。因未注册入库、未办理CA数字证书等原因造成无法投标或投标失败等后果由供应商自行承担。</w:t>
      </w:r>
    </w:p>
    <w:p>
      <w:pPr>
        <w:tabs>
          <w:tab w:val="left" w:pos="900"/>
        </w:tabs>
        <w:wordWrap w:val="0"/>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云平台（http://www.ccgp-xinjiang.gov.cn/）下载专区，下载电子投标客户端，安装完成后，可通过账号密码或CA登录客户端进行响应文件制作。在使用政采云电子投标客户端时，建议使用WIN7及以上操作系统。如有问题可拨打客户服务热线95763进行咨询。</w:t>
      </w:r>
    </w:p>
    <w:p>
      <w:pPr>
        <w:tabs>
          <w:tab w:val="left" w:pos="900"/>
        </w:tabs>
        <w:wordWrap w:val="0"/>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4.本项目采用不见面开标，供应商须在投标截止时间前通过CA上传加密的电子响应文件。</w:t>
      </w:r>
    </w:p>
    <w:p>
      <w:pPr>
        <w:tabs>
          <w:tab w:val="left" w:pos="900"/>
        </w:tabs>
        <w:wordWrap w:val="0"/>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在线客服获取服务支持。</w:t>
      </w:r>
    </w:p>
    <w:p>
      <w:pPr>
        <w:tabs>
          <w:tab w:val="left" w:pos="900"/>
        </w:tabs>
        <w:wordWrap w:val="0"/>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5、供应商应当在递交截止时间前,将生成的“电子加密响应文件”上传递交至“政府采购云平台”,递交截止时间以后上传递交的响应文件将被“政府采购云平台”拒收。</w:t>
      </w:r>
    </w:p>
    <w:p>
      <w:pPr>
        <w:tabs>
          <w:tab w:val="left" w:pos="900"/>
        </w:tabs>
        <w:wordWrap w:val="0"/>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pStyle w:val="2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val="en-US" w:eastAsia="zh-CN"/>
        </w:rPr>
        <w:t>不</w:t>
      </w:r>
      <w:r>
        <w:rPr>
          <w:rFonts w:hint="eastAsia" w:ascii="宋体" w:hAnsi="宋体" w:eastAsia="宋体" w:cs="宋体"/>
          <w:bCs/>
          <w:color w:val="auto"/>
          <w:sz w:val="24"/>
          <w:szCs w:val="24"/>
          <w:highlight w:val="none"/>
        </w:rPr>
        <w:t>收取投标保证金</w:t>
      </w:r>
      <w:r>
        <w:rPr>
          <w:rFonts w:hint="eastAsia" w:ascii="宋体" w:hAnsi="宋体" w:eastAsia="宋体" w:cs="宋体"/>
          <w:color w:val="auto"/>
          <w:sz w:val="24"/>
          <w:szCs w:val="24"/>
          <w:highlight w:val="none"/>
          <w:lang w:val="en-US" w:eastAsia="zh-CN"/>
        </w:rPr>
        <w:t>。</w:t>
      </w:r>
    </w:p>
    <w:p>
      <w:pPr>
        <w:tabs>
          <w:tab w:val="left" w:pos="900"/>
        </w:tabs>
        <w:wordWrap w:val="0"/>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8、本项目的中标供应商可以登陆新疆政府采购网,进入“项目采购” 自行打印中标通知书。通过新疆政府采购网下载打印的中标通知书与现场开具的中标通知书具有同等法律效力。</w:t>
      </w:r>
    </w:p>
    <w:p>
      <w:pPr>
        <w:adjustRightInd w:val="0"/>
        <w:snapToGrid w:val="0"/>
        <w:spacing w:before="145" w:beforeLines="50" w:after="145" w:afterLines="50" w:line="293"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9、系统技术支持电话：95763。</w:t>
      </w:r>
    </w:p>
    <w:p>
      <w:pPr>
        <w:pStyle w:val="8"/>
        <w:ind w:firstLine="2429" w:firstLineChars="550"/>
        <w:jc w:val="both"/>
        <w:rPr>
          <w:rFonts w:hint="eastAsia" w:ascii="黑体"/>
        </w:rPr>
      </w:pPr>
    </w:p>
    <w:p>
      <w:pPr>
        <w:rPr>
          <w:rFonts w:hint="eastAsia" w:ascii="黑体"/>
        </w:rPr>
      </w:pPr>
    </w:p>
    <w:p>
      <w:pPr>
        <w:pStyle w:val="22"/>
        <w:rPr>
          <w:rFonts w:hint="eastAsia"/>
        </w:rPr>
      </w:pPr>
    </w:p>
    <w:p>
      <w:pPr>
        <w:pStyle w:val="8"/>
        <w:ind w:firstLine="2429" w:firstLineChars="550"/>
        <w:jc w:val="both"/>
        <w:rPr>
          <w:rFonts w:ascii="黑体"/>
          <w:b w:val="0"/>
          <w:bCs w:val="0"/>
        </w:rPr>
      </w:pPr>
      <w:r>
        <w:rPr>
          <w:rFonts w:hint="eastAsia" w:ascii="黑体"/>
        </w:rPr>
        <w:t xml:space="preserve">第二章  </w:t>
      </w:r>
      <w:bookmarkEnd w:id="19"/>
      <w:bookmarkStart w:id="28" w:name="_Toc20823274"/>
      <w:bookmarkStart w:id="29" w:name="_Toc120614213"/>
      <w:bookmarkStart w:id="30" w:name="_Toc16938518"/>
      <w:bookmarkStart w:id="31" w:name="_Toc513029202"/>
      <w:r>
        <w:rPr>
          <w:rFonts w:hint="eastAsia" w:ascii="黑体"/>
        </w:rPr>
        <w:t>投标人须知</w:t>
      </w:r>
      <w:bookmarkEnd w:id="20"/>
      <w:bookmarkEnd w:id="21"/>
      <w:bookmarkEnd w:id="28"/>
      <w:bookmarkEnd w:id="29"/>
      <w:bookmarkEnd w:id="30"/>
      <w:bookmarkEnd w:id="31"/>
    </w:p>
    <w:p>
      <w:pPr>
        <w:pStyle w:val="9"/>
        <w:spacing w:before="145" w:beforeLines="50" w:after="145" w:afterLines="50" w:line="360" w:lineRule="auto"/>
        <w:ind w:firstLine="498" w:firstLineChars="155"/>
        <w:rPr>
          <w:rFonts w:hint="eastAsia"/>
        </w:rPr>
      </w:pPr>
      <w:bookmarkStart w:id="32" w:name="_Toc534725598"/>
      <w:bookmarkStart w:id="33" w:name="_Toc120614214"/>
      <w:bookmarkStart w:id="34" w:name="_Toc16938519"/>
      <w:bookmarkStart w:id="35" w:name="_Toc513029203"/>
      <w:bookmarkStart w:id="36" w:name="_Toc534816627"/>
      <w:bookmarkStart w:id="37" w:name="_Toc20823275"/>
      <w:r>
        <w:rPr>
          <w:rFonts w:hint="eastAsia"/>
        </w:rPr>
        <w:t>一、总则</w:t>
      </w:r>
      <w:bookmarkEnd w:id="32"/>
      <w:bookmarkEnd w:id="33"/>
      <w:bookmarkEnd w:id="34"/>
      <w:bookmarkEnd w:id="35"/>
      <w:bookmarkEnd w:id="36"/>
      <w:bookmarkEnd w:id="37"/>
    </w:p>
    <w:p>
      <w:pPr>
        <w:pStyle w:val="10"/>
        <w:rPr>
          <w:b w:val="0"/>
        </w:rPr>
      </w:pPr>
      <w:bookmarkStart w:id="38" w:name="_Hlt16619475"/>
      <w:bookmarkEnd w:id="38"/>
      <w:bookmarkStart w:id="39" w:name="_Toc458694821"/>
      <w:bookmarkStart w:id="40" w:name="_Toc513029204"/>
      <w:bookmarkStart w:id="41" w:name="_Toc20823276"/>
      <w:bookmarkStart w:id="42" w:name="_Toc16938520"/>
      <w:r>
        <w:rPr>
          <w:b w:val="0"/>
          <w:bCs/>
        </w:rPr>
        <w:t>1</w:t>
      </w:r>
      <w:bookmarkEnd w:id="39"/>
      <w:r>
        <w:rPr>
          <w:rFonts w:hint="eastAsia"/>
          <w:b w:val="0"/>
          <w:bCs/>
        </w:rPr>
        <w:t>、招标方式</w:t>
      </w:r>
      <w:bookmarkEnd w:id="40"/>
      <w:bookmarkEnd w:id="41"/>
      <w:bookmarkEnd w:id="42"/>
    </w:p>
    <w:p>
      <w:pPr>
        <w:spacing w:line="500" w:lineRule="exact"/>
        <w:ind w:firstLine="480" w:firstLineChars="200"/>
        <w:rPr>
          <w:rFonts w:ascii="宋体" w:hAnsi="宋体"/>
          <w:sz w:val="24"/>
        </w:rPr>
      </w:pPr>
      <w:r>
        <w:rPr>
          <w:rFonts w:hint="eastAsia" w:ascii="宋体" w:hAnsi="宋体"/>
          <w:sz w:val="24"/>
        </w:rPr>
        <w:t>1.1 本次招标采取公开招标方式，本招标文件仅适用于招标公告中所述项目。</w:t>
      </w:r>
    </w:p>
    <w:p>
      <w:pPr>
        <w:pStyle w:val="10"/>
        <w:rPr>
          <w:rFonts w:hint="eastAsia"/>
          <w:b w:val="0"/>
        </w:rPr>
      </w:pPr>
      <w:bookmarkStart w:id="43" w:name="_Toc513029205"/>
      <w:bookmarkStart w:id="44" w:name="_Toc20823277"/>
      <w:bookmarkStart w:id="45" w:name="_Toc16938521"/>
      <w:r>
        <w:rPr>
          <w:b w:val="0"/>
          <w:bCs/>
        </w:rPr>
        <w:t>2</w:t>
      </w:r>
      <w:r>
        <w:rPr>
          <w:rFonts w:hint="eastAsia"/>
          <w:b w:val="0"/>
          <w:bCs/>
        </w:rPr>
        <w:t>、合格的投标人</w:t>
      </w:r>
      <w:bookmarkEnd w:id="43"/>
      <w:bookmarkEnd w:id="44"/>
      <w:bookmarkEnd w:id="45"/>
    </w:p>
    <w:p>
      <w:pPr>
        <w:spacing w:line="400" w:lineRule="exact"/>
        <w:ind w:firstLine="480" w:firstLineChars="200"/>
        <w:rPr>
          <w:rFonts w:ascii="宋体" w:hAnsi="宋体"/>
          <w:sz w:val="24"/>
          <w:szCs w:val="24"/>
        </w:rPr>
      </w:pPr>
      <w:r>
        <w:rPr>
          <w:rFonts w:hint="eastAsia" w:ascii="宋体" w:hAnsi="宋体"/>
          <w:sz w:val="24"/>
          <w:szCs w:val="24"/>
        </w:rPr>
        <w:t>2.1满足招标公告中供应商的资格要求的规定。</w:t>
      </w:r>
    </w:p>
    <w:p>
      <w:pPr>
        <w:spacing w:line="400" w:lineRule="exact"/>
        <w:ind w:firstLine="480" w:firstLineChars="200"/>
        <w:rPr>
          <w:rFonts w:hint="eastAsia" w:ascii="宋体" w:hAnsi="宋体"/>
          <w:sz w:val="24"/>
          <w:szCs w:val="24"/>
        </w:rPr>
      </w:pPr>
      <w:r>
        <w:rPr>
          <w:rFonts w:hint="eastAsia" w:ascii="宋体" w:hAnsi="宋体"/>
          <w:sz w:val="24"/>
          <w:szCs w:val="24"/>
        </w:rPr>
        <w:t>2.2 满足本文件实质性条款的规定。</w:t>
      </w:r>
    </w:p>
    <w:p>
      <w:pPr>
        <w:pStyle w:val="10"/>
        <w:rPr>
          <w:rFonts w:hint="eastAsia"/>
          <w:b w:val="0"/>
        </w:rPr>
      </w:pPr>
      <w:bookmarkStart w:id="46" w:name="_Toc20823278"/>
      <w:bookmarkStart w:id="47" w:name="_Toc513029206"/>
      <w:bookmarkStart w:id="48" w:name="_Toc16938522"/>
      <w:r>
        <w:rPr>
          <w:b w:val="0"/>
          <w:bCs/>
        </w:rPr>
        <w:t>3</w:t>
      </w:r>
      <w:r>
        <w:rPr>
          <w:rFonts w:hint="eastAsia"/>
          <w:b w:val="0"/>
          <w:bCs/>
        </w:rPr>
        <w:t>、适用法律</w:t>
      </w:r>
      <w:bookmarkEnd w:id="46"/>
      <w:bookmarkEnd w:id="47"/>
      <w:bookmarkEnd w:id="48"/>
    </w:p>
    <w:p>
      <w:pPr>
        <w:spacing w:line="400" w:lineRule="exact"/>
        <w:ind w:firstLine="420" w:firstLineChars="175"/>
        <w:rPr>
          <w:rFonts w:ascii="宋体" w:hAnsi="宋体"/>
          <w:sz w:val="24"/>
        </w:rPr>
      </w:pPr>
      <w:r>
        <w:rPr>
          <w:rFonts w:hint="eastAsia" w:ascii="宋体" w:hAnsi="宋体"/>
          <w:sz w:val="24"/>
        </w:rPr>
        <w:t>3.1 本次招标及由此产生的合同受中华人民共和国有关的法律法规制约和保护。</w:t>
      </w:r>
    </w:p>
    <w:p>
      <w:pPr>
        <w:pStyle w:val="10"/>
        <w:rPr>
          <w:rFonts w:hint="eastAsia"/>
          <w:b w:val="0"/>
        </w:rPr>
      </w:pPr>
      <w:bookmarkStart w:id="49" w:name="_Toc462564067"/>
      <w:bookmarkStart w:id="50" w:name="_Toc513029207"/>
      <w:bookmarkStart w:id="51" w:name="_Toc16938523"/>
      <w:bookmarkStart w:id="52" w:name="_Toc20823279"/>
      <w:r>
        <w:rPr>
          <w:b w:val="0"/>
          <w:bCs/>
        </w:rPr>
        <w:t>4</w:t>
      </w:r>
      <w:r>
        <w:rPr>
          <w:rFonts w:hint="eastAsia"/>
          <w:b w:val="0"/>
          <w:bCs/>
        </w:rPr>
        <w:t>、投标费用</w:t>
      </w:r>
      <w:bookmarkEnd w:id="49"/>
      <w:bookmarkEnd w:id="50"/>
      <w:bookmarkEnd w:id="51"/>
      <w:bookmarkEnd w:id="52"/>
    </w:p>
    <w:p>
      <w:pPr>
        <w:spacing w:line="500" w:lineRule="exact"/>
        <w:ind w:firstLine="480" w:firstLineChars="200"/>
        <w:rPr>
          <w:rFonts w:ascii="宋体" w:hAnsi="宋体"/>
          <w:color w:val="auto"/>
          <w:sz w:val="24"/>
        </w:rPr>
      </w:pPr>
      <w:r>
        <w:rPr>
          <w:rFonts w:hint="eastAsia" w:ascii="宋体" w:hAnsi="宋体"/>
          <w:bCs/>
          <w:sz w:val="24"/>
        </w:rPr>
        <w:t>4.1</w:t>
      </w:r>
      <w:r>
        <w:rPr>
          <w:rFonts w:hint="eastAsia" w:ascii="宋体" w:hAnsi="宋体"/>
          <w:sz w:val="24"/>
        </w:rPr>
        <w:t xml:space="preserve"> 投标人应自行承担所有与参加投标有关的费用，无论投标过程中的做法和结果如何，</w:t>
      </w:r>
      <w:r>
        <w:rPr>
          <w:rFonts w:hint="eastAsia" w:ascii="宋体" w:hAnsi="宋体" w:cs="Times New Roman"/>
          <w:color w:val="auto"/>
          <w:sz w:val="24"/>
          <w:lang w:val="en-US" w:eastAsia="zh-CN"/>
        </w:rPr>
        <w:t>昌吉回族自治州政务服务和公共资源交易中心</w:t>
      </w:r>
      <w:r>
        <w:rPr>
          <w:rFonts w:hint="eastAsia" w:ascii="宋体" w:hAnsi="宋体"/>
          <w:color w:val="auto"/>
          <w:sz w:val="24"/>
        </w:rPr>
        <w:t>（以下简称“</w:t>
      </w:r>
      <w:r>
        <w:rPr>
          <w:rFonts w:hint="eastAsia" w:ascii="宋体" w:hAnsi="宋体"/>
          <w:color w:val="auto"/>
          <w:sz w:val="24"/>
          <w:lang w:eastAsia="zh-CN"/>
        </w:rPr>
        <w:t>政资</w:t>
      </w:r>
      <w:r>
        <w:rPr>
          <w:rFonts w:hint="eastAsia" w:ascii="宋体" w:hAnsi="宋体"/>
          <w:color w:val="auto"/>
          <w:sz w:val="24"/>
        </w:rPr>
        <w:t>中心”）在任何情况下均无义务和责任承担这些费用。</w:t>
      </w:r>
    </w:p>
    <w:p>
      <w:pPr>
        <w:spacing w:line="500" w:lineRule="exact"/>
        <w:ind w:firstLine="480" w:firstLineChars="200"/>
        <w:rPr>
          <w:rFonts w:hint="eastAsia" w:ascii="宋体" w:hAnsi="宋体"/>
          <w:sz w:val="24"/>
        </w:rPr>
      </w:pPr>
      <w:r>
        <w:rPr>
          <w:rFonts w:hint="eastAsia" w:ascii="宋体" w:hAnsi="宋体"/>
          <w:color w:val="auto"/>
          <w:sz w:val="24"/>
        </w:rPr>
        <w:t>4.2本次招标</w:t>
      </w:r>
      <w:r>
        <w:rPr>
          <w:rFonts w:hint="eastAsia" w:ascii="宋体" w:hAnsi="宋体"/>
          <w:color w:val="auto"/>
          <w:sz w:val="24"/>
          <w:lang w:eastAsia="zh-CN"/>
        </w:rPr>
        <w:t>政资</w:t>
      </w:r>
      <w:r>
        <w:rPr>
          <w:rFonts w:hint="eastAsia" w:ascii="宋体" w:hAnsi="宋体"/>
          <w:color w:val="auto"/>
          <w:sz w:val="24"/>
        </w:rPr>
        <w:t>中心和采购人</w:t>
      </w:r>
      <w:r>
        <w:rPr>
          <w:rFonts w:hint="eastAsia" w:ascii="宋体" w:hAnsi="宋体"/>
          <w:sz w:val="24"/>
        </w:rPr>
        <w:t>不收取标书工本费与中标服务费。</w:t>
      </w:r>
    </w:p>
    <w:p>
      <w:pPr>
        <w:pStyle w:val="10"/>
        <w:spacing w:line="480" w:lineRule="exact"/>
        <w:ind w:firstLine="419" w:firstLineChars="139"/>
        <w:rPr>
          <w:rFonts w:hint="eastAsia" w:ascii="黑体" w:hAnsi="宋体"/>
          <w:b w:val="0"/>
        </w:rPr>
      </w:pPr>
      <w:r>
        <w:rPr>
          <w:rFonts w:hint="eastAsia" w:ascii="宋体" w:hAnsi="宋体"/>
          <w:sz w:val="30"/>
        </w:rPr>
        <w:t>5、</w:t>
      </w:r>
      <w:r>
        <w:rPr>
          <w:rFonts w:hint="eastAsia" w:ascii="黑体" w:hAnsi="宋体"/>
          <w:b w:val="0"/>
          <w:bCs/>
        </w:rPr>
        <w:t>招标文件的约束力</w:t>
      </w:r>
    </w:p>
    <w:p>
      <w:pPr>
        <w:spacing w:line="48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 xml:space="preserve"> 投标人一旦参加本项目采购活动，即被认为接受了本招标文件的规定和约束。</w:t>
      </w:r>
    </w:p>
    <w:p>
      <w:pPr>
        <w:pStyle w:val="9"/>
        <w:spacing w:before="145" w:beforeLines="50" w:after="145" w:afterLines="50" w:line="360" w:lineRule="auto"/>
        <w:ind w:firstLine="321" w:firstLineChars="100"/>
        <w:rPr>
          <w:rFonts w:hint="eastAsia"/>
        </w:rPr>
      </w:pPr>
      <w:bookmarkStart w:id="53" w:name="_Toc513029209"/>
      <w:bookmarkStart w:id="54" w:name="_Toc120614215"/>
      <w:bookmarkStart w:id="55" w:name="_Toc16938525"/>
      <w:bookmarkStart w:id="56" w:name="_Toc534816628"/>
      <w:bookmarkStart w:id="57" w:name="_Toc534725599"/>
      <w:bookmarkStart w:id="58" w:name="_Toc20823281"/>
      <w:r>
        <w:rPr>
          <w:rFonts w:hint="eastAsia"/>
        </w:rPr>
        <w:t>二、招标文件</w:t>
      </w:r>
      <w:bookmarkEnd w:id="53"/>
      <w:bookmarkEnd w:id="54"/>
      <w:bookmarkEnd w:id="55"/>
      <w:bookmarkEnd w:id="56"/>
      <w:bookmarkEnd w:id="57"/>
      <w:bookmarkEnd w:id="58"/>
    </w:p>
    <w:p>
      <w:pPr>
        <w:pStyle w:val="10"/>
        <w:rPr>
          <w:b w:val="0"/>
        </w:rPr>
      </w:pPr>
      <w:bookmarkStart w:id="59" w:name="_Toc16938526"/>
      <w:bookmarkStart w:id="60" w:name="_Toc20823282"/>
      <w:bookmarkStart w:id="61" w:name="_Toc513029210"/>
      <w:r>
        <w:rPr>
          <w:b w:val="0"/>
          <w:bCs/>
        </w:rPr>
        <w:t>6</w:t>
      </w:r>
      <w:r>
        <w:rPr>
          <w:rFonts w:hint="eastAsia"/>
          <w:b w:val="0"/>
          <w:bCs/>
        </w:rPr>
        <w:t>、招标文件构成</w:t>
      </w:r>
      <w:bookmarkEnd w:id="59"/>
      <w:bookmarkEnd w:id="60"/>
      <w:bookmarkEnd w:id="61"/>
    </w:p>
    <w:p>
      <w:pPr>
        <w:spacing w:line="500" w:lineRule="exact"/>
        <w:ind w:firstLine="480" w:firstLineChars="200"/>
        <w:rPr>
          <w:rFonts w:ascii="宋体" w:hAnsi="宋体"/>
          <w:sz w:val="24"/>
        </w:rPr>
      </w:pPr>
      <w:r>
        <w:rPr>
          <w:rFonts w:hint="eastAsia" w:ascii="宋体" w:hAnsi="宋体"/>
          <w:bCs/>
          <w:sz w:val="24"/>
        </w:rPr>
        <w:t>6.1</w:t>
      </w:r>
      <w:r>
        <w:rPr>
          <w:rFonts w:hint="eastAsia" w:ascii="宋体" w:hAnsi="宋体"/>
          <w:sz w:val="24"/>
        </w:rPr>
        <w:t xml:space="preserve"> 招标文件由以下部分组成：</w:t>
      </w:r>
    </w:p>
    <w:p>
      <w:pPr>
        <w:spacing w:line="400" w:lineRule="exact"/>
        <w:ind w:firstLine="360" w:firstLineChars="150"/>
        <w:rPr>
          <w:rFonts w:hint="eastAsia" w:ascii="宋体" w:hAnsi="宋体"/>
          <w:sz w:val="24"/>
          <w:szCs w:val="24"/>
        </w:rPr>
      </w:pPr>
      <w:r>
        <w:rPr>
          <w:rFonts w:hint="eastAsia" w:ascii="宋体" w:hAnsi="宋体"/>
          <w:sz w:val="24"/>
          <w:szCs w:val="24"/>
        </w:rPr>
        <w:t>（1）投标</w:t>
      </w:r>
      <w:r>
        <w:rPr>
          <w:rFonts w:ascii="宋体" w:hAnsi="宋体"/>
          <w:sz w:val="24"/>
          <w:szCs w:val="24"/>
        </w:rPr>
        <w:t>邀请</w:t>
      </w:r>
    </w:p>
    <w:p>
      <w:pPr>
        <w:spacing w:line="400" w:lineRule="exact"/>
        <w:ind w:firstLine="360" w:firstLineChars="150"/>
        <w:rPr>
          <w:rFonts w:hint="eastAsia" w:ascii="宋体" w:hAnsi="宋体"/>
          <w:sz w:val="24"/>
          <w:szCs w:val="24"/>
        </w:rPr>
      </w:pPr>
      <w:r>
        <w:rPr>
          <w:rFonts w:hint="eastAsia" w:ascii="宋体" w:hAnsi="宋体"/>
          <w:sz w:val="24"/>
          <w:szCs w:val="24"/>
        </w:rPr>
        <w:t>（2）投标人须知</w:t>
      </w:r>
    </w:p>
    <w:p>
      <w:pPr>
        <w:spacing w:line="400" w:lineRule="exact"/>
        <w:ind w:firstLine="360" w:firstLineChars="150"/>
        <w:rPr>
          <w:rFonts w:hint="eastAsia" w:ascii="宋体" w:hAnsi="宋体"/>
          <w:sz w:val="24"/>
          <w:szCs w:val="24"/>
        </w:rPr>
      </w:pPr>
      <w:r>
        <w:rPr>
          <w:rFonts w:hint="eastAsia" w:ascii="宋体" w:hAnsi="宋体"/>
          <w:sz w:val="24"/>
          <w:szCs w:val="24"/>
        </w:rPr>
        <w:t>（3）合同条款及格式</w:t>
      </w:r>
    </w:p>
    <w:p>
      <w:pPr>
        <w:spacing w:line="400" w:lineRule="exact"/>
        <w:ind w:firstLine="360" w:firstLineChars="150"/>
        <w:rPr>
          <w:rFonts w:hint="eastAsia" w:ascii="宋体" w:hAnsi="宋体"/>
          <w:sz w:val="24"/>
          <w:szCs w:val="24"/>
        </w:rPr>
      </w:pPr>
      <w:r>
        <w:rPr>
          <w:rFonts w:hint="eastAsia" w:ascii="宋体" w:hAnsi="宋体"/>
          <w:sz w:val="24"/>
          <w:szCs w:val="24"/>
        </w:rPr>
        <w:t>（4）项目需求</w:t>
      </w:r>
    </w:p>
    <w:p>
      <w:pPr>
        <w:ind w:firstLine="360" w:firstLineChars="150"/>
        <w:rPr>
          <w:rFonts w:hint="eastAsia"/>
          <w:sz w:val="24"/>
          <w:szCs w:val="24"/>
        </w:rPr>
      </w:pPr>
      <w:r>
        <w:rPr>
          <w:rFonts w:hint="eastAsia" w:ascii="宋体" w:hAnsi="宋体"/>
          <w:sz w:val="24"/>
          <w:szCs w:val="24"/>
        </w:rPr>
        <w:t>（5）</w:t>
      </w:r>
      <w:r>
        <w:rPr>
          <w:rFonts w:hint="eastAsia" w:hAnsi="宋体"/>
          <w:sz w:val="24"/>
          <w:szCs w:val="24"/>
        </w:rPr>
        <w:t>评标方法与评标标准</w:t>
      </w:r>
    </w:p>
    <w:p>
      <w:pPr>
        <w:spacing w:line="400" w:lineRule="exact"/>
        <w:ind w:firstLine="360" w:firstLineChars="150"/>
        <w:rPr>
          <w:rFonts w:ascii="宋体" w:hAnsi="宋体"/>
          <w:sz w:val="24"/>
          <w:szCs w:val="24"/>
        </w:rPr>
      </w:pPr>
      <w:r>
        <w:rPr>
          <w:rFonts w:hint="eastAsia" w:ascii="宋体" w:hAnsi="宋体"/>
          <w:sz w:val="24"/>
          <w:szCs w:val="24"/>
        </w:rPr>
        <w:t>（6）投标文件格式</w:t>
      </w:r>
    </w:p>
    <w:p>
      <w:pPr>
        <w:spacing w:line="500" w:lineRule="exact"/>
        <w:ind w:firstLine="480" w:firstLineChars="200"/>
        <w:rPr>
          <w:rFonts w:hint="eastAsia" w:ascii="宋体" w:hAnsi="宋体"/>
          <w:sz w:val="24"/>
        </w:rPr>
      </w:pPr>
      <w:r>
        <w:rPr>
          <w:rFonts w:hint="eastAsia" w:ascii="宋体" w:hAnsi="宋体"/>
          <w:sz w:val="24"/>
        </w:rPr>
        <w:t>请仔细检查招标文件是否齐全，如有缺漏请立即与</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sz w:val="24"/>
        </w:rPr>
        <w:t>联系解决。</w:t>
      </w:r>
    </w:p>
    <w:p>
      <w:pPr>
        <w:spacing w:line="500" w:lineRule="exact"/>
        <w:ind w:firstLine="480" w:firstLineChars="200"/>
        <w:rPr>
          <w:rFonts w:hint="eastAsia" w:ascii="宋体" w:hAnsi="宋体"/>
          <w:sz w:val="24"/>
        </w:rPr>
      </w:pPr>
      <w:r>
        <w:rPr>
          <w:rFonts w:hint="eastAsia" w:ascii="宋体" w:hAnsi="宋体"/>
          <w:bCs/>
          <w:sz w:val="24"/>
        </w:rPr>
        <w:t>6.2</w:t>
      </w:r>
      <w:r>
        <w:rPr>
          <w:rFonts w:hint="eastAsia" w:ascii="宋体" w:hAnsi="宋体"/>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10"/>
        <w:ind w:firstLine="560" w:firstLineChars="200"/>
        <w:rPr>
          <w:rFonts w:hint="eastAsia"/>
          <w:b w:val="0"/>
        </w:rPr>
      </w:pPr>
      <w:bookmarkStart w:id="62" w:name="_Toc462564070"/>
      <w:bookmarkStart w:id="63" w:name="_Toc20823283"/>
      <w:bookmarkStart w:id="64" w:name="_Toc16938527"/>
      <w:bookmarkStart w:id="65" w:name="_Toc513029211"/>
      <w:r>
        <w:rPr>
          <w:b w:val="0"/>
          <w:bCs/>
        </w:rPr>
        <w:t>7</w:t>
      </w:r>
      <w:r>
        <w:rPr>
          <w:rFonts w:hint="eastAsia"/>
          <w:b w:val="0"/>
          <w:bCs/>
        </w:rPr>
        <w:t>、招标文件的澄清</w:t>
      </w:r>
      <w:bookmarkEnd w:id="62"/>
      <w:bookmarkEnd w:id="63"/>
      <w:bookmarkEnd w:id="64"/>
      <w:bookmarkEnd w:id="65"/>
    </w:p>
    <w:p>
      <w:pPr>
        <w:spacing w:line="480" w:lineRule="exact"/>
        <w:ind w:firstLine="480" w:firstLineChars="200"/>
        <w:rPr>
          <w:rFonts w:ascii="宋体" w:hAnsi="宋体"/>
          <w:sz w:val="24"/>
          <w:szCs w:val="24"/>
        </w:rPr>
      </w:pPr>
      <w:r>
        <w:rPr>
          <w:rFonts w:hint="eastAsia" w:ascii="宋体" w:hAnsi="宋体"/>
          <w:bCs/>
          <w:sz w:val="24"/>
        </w:rPr>
        <w:t>7.1</w:t>
      </w:r>
      <w:r>
        <w:rPr>
          <w:rFonts w:hint="eastAsia" w:ascii="宋体" w:hAnsi="宋体"/>
          <w:sz w:val="24"/>
        </w:rPr>
        <w:t xml:space="preserve"> 任何要求对招标文件进行澄清的投标人，应在投标截止期</w:t>
      </w:r>
      <w:r>
        <w:rPr>
          <w:rFonts w:hint="eastAsia" w:ascii="仿宋_GB2312" w:hAnsi="仿宋_GB2312"/>
          <w:b/>
          <w:sz w:val="24"/>
          <w:szCs w:val="24"/>
          <w:lang w:val="en-US" w:eastAsia="zh-Hans"/>
        </w:rPr>
        <w:t>七</w:t>
      </w:r>
      <w:r>
        <w:rPr>
          <w:rFonts w:hint="eastAsia" w:ascii="仿宋_GB2312" w:hAnsi="仿宋_GB2312"/>
          <w:b/>
          <w:sz w:val="24"/>
          <w:szCs w:val="24"/>
        </w:rPr>
        <w:t>日</w:t>
      </w:r>
      <w:r>
        <w:rPr>
          <w:rFonts w:hint="eastAsia" w:ascii="仿宋_GB2312" w:hAnsi="仿宋_GB2312"/>
          <w:sz w:val="24"/>
          <w:szCs w:val="24"/>
        </w:rPr>
        <w:t>前</w:t>
      </w:r>
      <w:r>
        <w:rPr>
          <w:rFonts w:hint="eastAsia" w:ascii="宋体" w:hAnsi="宋体"/>
          <w:sz w:val="24"/>
        </w:rPr>
        <w:t>按招标公告中的通讯地址，以书面形式通知</w:t>
      </w:r>
      <w:r>
        <w:rPr>
          <w:rFonts w:hint="eastAsia" w:ascii="宋体" w:hAnsi="宋体"/>
          <w:sz w:val="24"/>
          <w:lang w:eastAsia="zh-CN"/>
        </w:rPr>
        <w:t>政资</w:t>
      </w:r>
      <w:r>
        <w:rPr>
          <w:rFonts w:hint="eastAsia" w:ascii="宋体" w:hAnsi="宋体"/>
          <w:sz w:val="24"/>
        </w:rPr>
        <w:t>中心。</w:t>
      </w:r>
    </w:p>
    <w:p>
      <w:pPr>
        <w:pStyle w:val="10"/>
        <w:ind w:firstLine="560" w:firstLineChars="200"/>
        <w:rPr>
          <w:rFonts w:hint="eastAsia"/>
          <w:b w:val="0"/>
        </w:rPr>
      </w:pPr>
      <w:bookmarkStart w:id="66" w:name="_Toc462564071"/>
      <w:bookmarkStart w:id="67" w:name="_Toc16938528"/>
      <w:bookmarkStart w:id="68" w:name="_Toc513029212"/>
      <w:bookmarkStart w:id="69" w:name="_Toc20823284"/>
      <w:r>
        <w:rPr>
          <w:b w:val="0"/>
          <w:bCs/>
        </w:rPr>
        <w:t>8</w:t>
      </w:r>
      <w:r>
        <w:rPr>
          <w:rFonts w:hint="eastAsia"/>
          <w:b w:val="0"/>
          <w:bCs/>
        </w:rPr>
        <w:t>、招标文件的修改</w:t>
      </w:r>
      <w:bookmarkEnd w:id="66"/>
      <w:bookmarkEnd w:id="67"/>
      <w:bookmarkEnd w:id="68"/>
      <w:bookmarkEnd w:id="69"/>
    </w:p>
    <w:p>
      <w:pPr>
        <w:spacing w:line="500" w:lineRule="exact"/>
        <w:ind w:firstLine="480" w:firstLineChars="200"/>
        <w:rPr>
          <w:rFonts w:ascii="宋体" w:hAnsi="宋体"/>
          <w:sz w:val="24"/>
        </w:rPr>
      </w:pPr>
      <w:r>
        <w:rPr>
          <w:rFonts w:hint="eastAsia" w:ascii="宋体" w:hAnsi="宋体"/>
          <w:bCs/>
          <w:sz w:val="24"/>
        </w:rPr>
        <w:t>8.1</w:t>
      </w:r>
      <w:r>
        <w:rPr>
          <w:rFonts w:hint="eastAsia" w:ascii="宋体" w:hAnsi="宋体"/>
          <w:sz w:val="24"/>
        </w:rPr>
        <w:t xml:space="preserve"> 在投标截止时间</w:t>
      </w:r>
      <w:r>
        <w:rPr>
          <w:rFonts w:hint="eastAsia" w:ascii="宋体" w:hAnsi="宋体"/>
          <w:sz w:val="24"/>
          <w:lang w:val="en-US" w:eastAsia="zh-Hans"/>
        </w:rPr>
        <w:t>至少十五日</w:t>
      </w:r>
      <w:r>
        <w:rPr>
          <w:rFonts w:hint="eastAsia" w:ascii="仿宋_GB2312" w:hAnsi="仿宋_GB2312"/>
          <w:sz w:val="24"/>
        </w:rPr>
        <w:t>前</w:t>
      </w:r>
      <w:r>
        <w:rPr>
          <w:rFonts w:hint="eastAsia" w:ascii="宋体" w:hAnsi="宋体"/>
          <w:sz w:val="24"/>
        </w:rPr>
        <w:t>，</w:t>
      </w:r>
      <w:r>
        <w:rPr>
          <w:rFonts w:hint="eastAsia" w:ascii="宋体" w:hAnsi="宋体"/>
          <w:sz w:val="24"/>
          <w:lang w:eastAsia="zh-CN"/>
        </w:rPr>
        <w:t>政资中心</w:t>
      </w:r>
      <w:r>
        <w:rPr>
          <w:rFonts w:hint="eastAsia" w:ascii="宋体" w:hAnsi="宋体"/>
          <w:sz w:val="24"/>
        </w:rPr>
        <w:t>可以对招标文件进行修改。</w:t>
      </w:r>
    </w:p>
    <w:p>
      <w:pPr>
        <w:spacing w:line="500" w:lineRule="exact"/>
        <w:ind w:firstLine="480" w:firstLineChars="200"/>
        <w:rPr>
          <w:rFonts w:hint="eastAsia" w:ascii="宋体" w:hAnsi="Arial"/>
          <w:sz w:val="28"/>
        </w:rPr>
      </w:pPr>
      <w:r>
        <w:rPr>
          <w:rFonts w:hint="eastAsia" w:ascii="宋体" w:hAnsi="宋体"/>
          <w:bCs/>
          <w:sz w:val="24"/>
        </w:rPr>
        <w:t xml:space="preserve">8.2 </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sz w:val="24"/>
          <w:szCs w:val="24"/>
        </w:rPr>
        <w:t>有权按照法定的要求</w:t>
      </w:r>
      <w:r>
        <w:rPr>
          <w:rFonts w:hint="eastAsia" w:ascii="宋体" w:hAnsi="宋体"/>
          <w:sz w:val="24"/>
        </w:rPr>
        <w:t>推迟投标截止日期和开标日期。</w:t>
      </w:r>
    </w:p>
    <w:p>
      <w:pPr>
        <w:spacing w:line="500" w:lineRule="exact"/>
        <w:ind w:firstLine="480" w:firstLineChars="200"/>
        <w:rPr>
          <w:rFonts w:hint="eastAsia" w:ascii="宋体" w:hAnsi="宋体"/>
          <w:sz w:val="24"/>
        </w:rPr>
      </w:pPr>
      <w:r>
        <w:rPr>
          <w:rFonts w:hint="eastAsia" w:ascii="宋体" w:hAnsi="宋体"/>
          <w:bCs/>
          <w:sz w:val="24"/>
        </w:rPr>
        <w:t xml:space="preserve">8.3 </w:t>
      </w:r>
      <w:r>
        <w:rPr>
          <w:rFonts w:hint="eastAsia" w:ascii="宋体" w:hAnsi="宋体"/>
          <w:sz w:val="24"/>
        </w:rPr>
        <w:t>招标文件的修改将在“新疆政府采购网”公布，</w:t>
      </w:r>
      <w:r>
        <w:rPr>
          <w:rFonts w:hint="eastAsia" w:ascii="宋体" w:hAnsi="宋体"/>
          <w:sz w:val="24"/>
          <w:szCs w:val="24"/>
        </w:rPr>
        <w:t>补充文件将作为招标文件的组成部分，</w:t>
      </w:r>
      <w:r>
        <w:rPr>
          <w:rFonts w:hint="eastAsia" w:ascii="宋体" w:hAnsi="宋体"/>
          <w:sz w:val="24"/>
        </w:rPr>
        <w:t>并对投标人具有约束力。</w:t>
      </w:r>
    </w:p>
    <w:p>
      <w:pPr>
        <w:pStyle w:val="9"/>
        <w:spacing w:before="145" w:beforeLines="50" w:after="145" w:afterLines="50" w:line="360" w:lineRule="auto"/>
        <w:ind w:firstLine="482" w:firstLineChars="150"/>
        <w:rPr>
          <w:rFonts w:hint="eastAsia"/>
        </w:rPr>
      </w:pPr>
      <w:bookmarkStart w:id="70" w:name="_Toc534816629"/>
      <w:bookmarkStart w:id="71" w:name="_Toc513029213"/>
      <w:bookmarkStart w:id="72" w:name="_Toc16938529"/>
      <w:bookmarkStart w:id="73" w:name="_Toc534725600"/>
      <w:bookmarkStart w:id="74" w:name="_Toc20823285"/>
      <w:bookmarkStart w:id="75" w:name="_Toc462564072"/>
      <w:bookmarkStart w:id="76" w:name="_Toc120614216"/>
      <w:r>
        <w:rPr>
          <w:rFonts w:hint="eastAsia"/>
        </w:rPr>
        <w:t>三、投标文件的编制</w:t>
      </w:r>
      <w:bookmarkEnd w:id="70"/>
      <w:bookmarkEnd w:id="71"/>
      <w:bookmarkEnd w:id="72"/>
      <w:bookmarkEnd w:id="73"/>
      <w:bookmarkEnd w:id="74"/>
      <w:bookmarkEnd w:id="75"/>
      <w:bookmarkEnd w:id="76"/>
    </w:p>
    <w:p>
      <w:pPr>
        <w:pStyle w:val="10"/>
        <w:ind w:firstLine="560" w:firstLineChars="200"/>
        <w:rPr>
          <w:color w:val="auto"/>
        </w:rPr>
      </w:pPr>
      <w:bookmarkStart w:id="77" w:name="_Toc513029214"/>
      <w:bookmarkStart w:id="78" w:name="_Toc20823286"/>
      <w:bookmarkStart w:id="79" w:name="_Toc16938530"/>
      <w:bookmarkStart w:id="80" w:name="_Toc462564073"/>
      <w:r>
        <w:rPr>
          <w:b w:val="0"/>
          <w:bCs/>
        </w:rPr>
        <w:t>9</w:t>
      </w:r>
      <w:r>
        <w:rPr>
          <w:rFonts w:hint="eastAsia"/>
          <w:b w:val="0"/>
          <w:bCs/>
        </w:rPr>
        <w:t>、投标文件的语言及度量衡单位</w:t>
      </w:r>
      <w:bookmarkEnd w:id="77"/>
      <w:bookmarkEnd w:id="78"/>
      <w:bookmarkEnd w:id="79"/>
      <w:bookmarkEnd w:id="80"/>
    </w:p>
    <w:p>
      <w:pPr>
        <w:spacing w:line="500" w:lineRule="exact"/>
        <w:ind w:firstLine="480" w:firstLineChars="200"/>
        <w:rPr>
          <w:rFonts w:ascii="宋体" w:hAnsi="宋体"/>
          <w:sz w:val="24"/>
        </w:rPr>
      </w:pPr>
      <w:r>
        <w:rPr>
          <w:rFonts w:hint="eastAsia" w:ascii="宋体" w:hAnsi="宋体"/>
          <w:bCs/>
          <w:color w:val="auto"/>
          <w:sz w:val="24"/>
        </w:rPr>
        <w:t>9.1</w:t>
      </w:r>
      <w:r>
        <w:rPr>
          <w:rFonts w:hint="eastAsia" w:ascii="宋体" w:hAnsi="宋体"/>
          <w:color w:val="auto"/>
          <w:sz w:val="24"/>
        </w:rPr>
        <w:t xml:space="preserve"> 投标人提交的投标文件以及投标人与</w:t>
      </w:r>
      <w:r>
        <w:rPr>
          <w:rFonts w:hint="eastAsia" w:ascii="宋体" w:hAnsi="宋体"/>
          <w:color w:val="auto"/>
          <w:sz w:val="24"/>
          <w:lang w:eastAsia="zh-CN"/>
        </w:rPr>
        <w:t>政资</w:t>
      </w:r>
      <w:r>
        <w:rPr>
          <w:rFonts w:hint="eastAsia" w:ascii="宋体" w:hAnsi="宋体"/>
          <w:color w:val="auto"/>
          <w:sz w:val="24"/>
        </w:rPr>
        <w:t>中心就</w:t>
      </w:r>
      <w:r>
        <w:rPr>
          <w:rFonts w:hint="eastAsia" w:ascii="宋体" w:hAnsi="宋体"/>
          <w:sz w:val="24"/>
        </w:rPr>
        <w:t>有关投标的所有来往通知、函件和文件均应使用</w:t>
      </w:r>
      <w:r>
        <w:rPr>
          <w:rFonts w:hint="eastAsia" w:ascii="宋体" w:hAnsi="宋体"/>
          <w:b/>
          <w:bCs/>
          <w:sz w:val="24"/>
        </w:rPr>
        <w:t>简体中文</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bCs/>
          <w:sz w:val="24"/>
        </w:rPr>
        <w:t>9.2</w:t>
      </w:r>
      <w:r>
        <w:rPr>
          <w:rFonts w:hint="eastAsia" w:ascii="宋体" w:hAnsi="宋体"/>
          <w:sz w:val="24"/>
        </w:rPr>
        <w:t xml:space="preserve"> 除技术性能另有规定外，投标文件所使用的度量衡单位，均须采用国家法定计量单位。</w:t>
      </w:r>
    </w:p>
    <w:p>
      <w:pPr>
        <w:pStyle w:val="10"/>
        <w:rPr>
          <w:rFonts w:hint="eastAsia"/>
          <w:b w:val="0"/>
        </w:rPr>
      </w:pPr>
      <w:bookmarkStart w:id="81" w:name="_Toc462564074"/>
      <w:bookmarkStart w:id="82" w:name="_Toc20823287"/>
      <w:bookmarkStart w:id="83" w:name="_Toc16938531"/>
      <w:bookmarkStart w:id="84" w:name="_Toc513029215"/>
      <w:r>
        <w:rPr>
          <w:b w:val="0"/>
          <w:bCs/>
        </w:rPr>
        <w:t>10</w:t>
      </w:r>
      <w:r>
        <w:rPr>
          <w:rFonts w:hint="eastAsia"/>
          <w:b w:val="0"/>
          <w:bCs/>
        </w:rPr>
        <w:t>、投标文件构成</w:t>
      </w:r>
      <w:bookmarkEnd w:id="81"/>
      <w:bookmarkEnd w:id="82"/>
      <w:bookmarkEnd w:id="83"/>
      <w:bookmarkEnd w:id="84"/>
    </w:p>
    <w:p>
      <w:pPr>
        <w:spacing w:line="440" w:lineRule="exact"/>
        <w:ind w:firstLine="480" w:firstLineChars="200"/>
        <w:rPr>
          <w:rFonts w:ascii="宋体" w:hAnsi="宋体"/>
          <w:sz w:val="24"/>
        </w:rPr>
      </w:pPr>
      <w:r>
        <w:rPr>
          <w:rFonts w:hint="eastAsia" w:ascii="宋体" w:hAnsi="宋体"/>
          <w:bCs/>
          <w:sz w:val="24"/>
        </w:rPr>
        <w:t>10.1</w:t>
      </w:r>
      <w:r>
        <w:rPr>
          <w:rFonts w:hint="eastAsia" w:ascii="宋体" w:hAnsi="宋体"/>
          <w:sz w:val="24"/>
        </w:rPr>
        <w:t xml:space="preserve"> 投标人编写的投标文件应包括资信证明文件、投标配置与分项报价表、技术参数响应及偏离表、商务条款响应及偏离表、</w:t>
      </w:r>
      <w:r>
        <w:rPr>
          <w:rFonts w:hint="eastAsia"/>
          <w:sz w:val="24"/>
        </w:rPr>
        <w:t>技术及售后服务承诺书、</w:t>
      </w:r>
      <w:r>
        <w:rPr>
          <w:rFonts w:hint="eastAsia" w:ascii="宋体" w:hAnsi="宋体"/>
          <w:sz w:val="24"/>
        </w:rPr>
        <w:t>投标函、开标一览表等内容。</w:t>
      </w:r>
    </w:p>
    <w:p>
      <w:pPr>
        <w:pStyle w:val="10"/>
        <w:rPr>
          <w:rFonts w:hint="eastAsia" w:eastAsia="黑体"/>
          <w:b w:val="0"/>
        </w:rPr>
      </w:pPr>
      <w:bookmarkStart w:id="85" w:name="_Hlt26668975"/>
      <w:bookmarkEnd w:id="85"/>
      <w:bookmarkStart w:id="86" w:name="_Hlt26670360"/>
      <w:bookmarkEnd w:id="86"/>
      <w:bookmarkStart w:id="87" w:name="_Hlt26954838"/>
      <w:bookmarkEnd w:id="87"/>
      <w:bookmarkStart w:id="88" w:name="_Toc513029219"/>
      <w:bookmarkStart w:id="89" w:name="_Toc49090509"/>
      <w:bookmarkStart w:id="90" w:name="_Toc14577357"/>
      <w:bookmarkStart w:id="91" w:name="_Toc513029216"/>
      <w:bookmarkStart w:id="92" w:name="_Toc14577354"/>
      <w:bookmarkStart w:id="93" w:name="_Toc49090507"/>
      <w:r>
        <w:rPr>
          <w:b w:val="0"/>
          <w:bCs/>
        </w:rPr>
        <w:t>11</w:t>
      </w:r>
      <w:r>
        <w:rPr>
          <w:rFonts w:hint="eastAsia"/>
          <w:b w:val="0"/>
          <w:bCs/>
        </w:rPr>
        <w:t>、证明投标人资格及符合招标文件规定的文件</w:t>
      </w:r>
      <w:bookmarkEnd w:id="88"/>
      <w:bookmarkEnd w:id="89"/>
      <w:bookmarkEnd w:id="90"/>
    </w:p>
    <w:p>
      <w:pPr>
        <w:spacing w:line="500" w:lineRule="exact"/>
        <w:ind w:firstLine="480" w:firstLineChars="200"/>
        <w:rPr>
          <w:rFonts w:ascii="宋体" w:hAnsi="宋体"/>
          <w:sz w:val="24"/>
        </w:rPr>
      </w:pPr>
      <w:r>
        <w:rPr>
          <w:rFonts w:hint="eastAsia" w:ascii="宋体" w:hAnsi="宋体"/>
          <w:sz w:val="24"/>
        </w:rPr>
        <w:t>11.1</w:t>
      </w:r>
      <w:bookmarkStart w:id="94" w:name="_Hlt26668999"/>
      <w:bookmarkEnd w:id="94"/>
      <w:r>
        <w:rPr>
          <w:rFonts w:hint="eastAsia" w:ascii="宋体" w:hAnsi="宋体"/>
          <w:sz w:val="24"/>
        </w:rPr>
        <w:t>投标人应按要求提交资格证明文件及符合招标文件规定的文件。</w:t>
      </w:r>
    </w:p>
    <w:p>
      <w:pPr>
        <w:spacing w:line="500" w:lineRule="exact"/>
        <w:ind w:firstLine="480" w:firstLineChars="200"/>
        <w:rPr>
          <w:rFonts w:hint="eastAsia" w:ascii="宋体" w:hAnsi="宋体"/>
          <w:sz w:val="24"/>
        </w:rPr>
      </w:pPr>
      <w:r>
        <w:rPr>
          <w:rFonts w:hint="eastAsia" w:ascii="宋体" w:hAnsi="宋体"/>
          <w:sz w:val="24"/>
        </w:rPr>
        <w:t>11.2投标人应提交证明其有资格参加投标和中标后有能力独立履行合同的文件。</w:t>
      </w:r>
    </w:p>
    <w:p>
      <w:pPr>
        <w:spacing w:line="500" w:lineRule="exact"/>
        <w:ind w:firstLine="480" w:firstLineChars="200"/>
        <w:rPr>
          <w:rFonts w:hint="eastAsia" w:ascii="宋体" w:hAnsi="宋体"/>
          <w:sz w:val="24"/>
        </w:rPr>
      </w:pPr>
      <w:r>
        <w:rPr>
          <w:rFonts w:hint="eastAsia" w:ascii="宋体" w:hAnsi="宋体"/>
          <w:sz w:val="24"/>
        </w:rPr>
        <w:t>11.3投标人除必须具有履行合同所需提供的货物以及服务的能力外，还必须具备相应的财务、技术方面的能力。</w:t>
      </w:r>
    </w:p>
    <w:p>
      <w:pPr>
        <w:spacing w:line="480" w:lineRule="exact"/>
        <w:rPr>
          <w:rFonts w:hint="eastAsia" w:ascii="宋体" w:hAnsi="宋体"/>
          <w:sz w:val="24"/>
          <w:szCs w:val="24"/>
        </w:rPr>
      </w:pPr>
      <w:r>
        <w:rPr>
          <w:rFonts w:hint="eastAsia" w:ascii="宋体" w:hAnsi="宋体"/>
          <w:sz w:val="24"/>
          <w:szCs w:val="24"/>
        </w:rPr>
        <w:t xml:space="preserve">    11.4投标人应提交根据合同要求提供的证明产品质量合格以及符合招标文件规定的证明文件。</w:t>
      </w:r>
    </w:p>
    <w:p>
      <w:pPr>
        <w:spacing w:line="480" w:lineRule="exact"/>
        <w:rPr>
          <w:rFonts w:hint="eastAsia" w:ascii="宋体" w:hAnsi="宋体"/>
          <w:sz w:val="24"/>
          <w:szCs w:val="24"/>
        </w:rPr>
      </w:pPr>
      <w:r>
        <w:rPr>
          <w:rFonts w:hint="eastAsia" w:ascii="宋体" w:hAnsi="宋体"/>
          <w:sz w:val="24"/>
          <w:szCs w:val="24"/>
        </w:rPr>
        <w:t xml:space="preserve">    11.5证明投标人所提供产品与招标文件的要求相一致的文件可以是手册、图纸、文字资料和数据</w:t>
      </w:r>
      <w:r>
        <w:rPr>
          <w:rFonts w:hint="eastAsia" w:ascii="宋体" w:hAnsi="宋体"/>
          <w:bCs/>
          <w:sz w:val="24"/>
        </w:rPr>
        <w:t>。</w:t>
      </w:r>
    </w:p>
    <w:bookmarkEnd w:id="91"/>
    <w:bookmarkEnd w:id="92"/>
    <w:bookmarkEnd w:id="93"/>
    <w:p>
      <w:pPr>
        <w:pStyle w:val="10"/>
        <w:rPr>
          <w:rFonts w:hint="eastAsia"/>
          <w:b w:val="0"/>
        </w:rPr>
      </w:pPr>
      <w:bookmarkStart w:id="95" w:name="_Toc14577355"/>
      <w:bookmarkStart w:id="96" w:name="_Toc49090508"/>
      <w:r>
        <w:rPr>
          <w:b w:val="0"/>
          <w:bCs/>
        </w:rPr>
        <w:t>12</w:t>
      </w:r>
      <w:r>
        <w:rPr>
          <w:rFonts w:hint="eastAsia"/>
          <w:b w:val="0"/>
          <w:bCs/>
        </w:rPr>
        <w:t>、投标配置与分项报价</w:t>
      </w:r>
      <w:bookmarkEnd w:id="95"/>
      <w:bookmarkStart w:id="97" w:name="_Hlt26670373"/>
      <w:bookmarkEnd w:id="97"/>
      <w:r>
        <w:rPr>
          <w:rFonts w:hint="eastAsia"/>
          <w:b w:val="0"/>
          <w:bCs/>
        </w:rPr>
        <w:t>表</w:t>
      </w:r>
      <w:bookmarkEnd w:id="96"/>
    </w:p>
    <w:p>
      <w:pPr>
        <w:spacing w:line="500" w:lineRule="exact"/>
        <w:ind w:firstLine="480" w:firstLineChars="200"/>
        <w:rPr>
          <w:rFonts w:ascii="宋体" w:hAnsi="宋体"/>
          <w:bCs/>
          <w:sz w:val="24"/>
        </w:rPr>
      </w:pPr>
      <w:r>
        <w:rPr>
          <w:rFonts w:hint="eastAsia" w:ascii="宋体" w:hAnsi="宋体"/>
          <w:bCs/>
          <w:sz w:val="24"/>
        </w:rPr>
        <w:t>12.1</w:t>
      </w:r>
      <w:r>
        <w:rPr>
          <w:rFonts w:hint="eastAsia" w:ascii="宋体" w:hAnsi="宋体"/>
          <w:sz w:val="24"/>
        </w:rPr>
        <w:t>投</w:t>
      </w:r>
      <w:bookmarkStart w:id="98" w:name="_Hlt26954840"/>
      <w:bookmarkEnd w:id="98"/>
      <w:r>
        <w:rPr>
          <w:rFonts w:hint="eastAsia" w:ascii="宋体" w:hAnsi="宋体"/>
          <w:sz w:val="24"/>
        </w:rPr>
        <w:t>标人应按照招标文件规定格式填报投标配置与分项报价表</w:t>
      </w:r>
      <w:bookmarkStart w:id="99" w:name="_Hlt26670399"/>
      <w:bookmarkEnd w:id="99"/>
      <w:r>
        <w:rPr>
          <w:rFonts w:hint="eastAsia" w:ascii="宋体" w:hAnsi="宋体"/>
          <w:sz w:val="24"/>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spacing w:line="500" w:lineRule="exact"/>
        <w:ind w:firstLine="480" w:firstLineChars="200"/>
        <w:rPr>
          <w:rFonts w:hint="eastAsia" w:ascii="宋体" w:hAnsi="宋体"/>
          <w:sz w:val="24"/>
        </w:rPr>
      </w:pPr>
      <w:r>
        <w:rPr>
          <w:rFonts w:hint="eastAsia" w:ascii="宋体" w:hAnsi="宋体"/>
          <w:bCs/>
          <w:sz w:val="24"/>
        </w:rPr>
        <w:t>12.2</w:t>
      </w:r>
      <w:r>
        <w:rPr>
          <w:rFonts w:hint="eastAsia" w:ascii="宋体" w:hAnsi="宋体"/>
          <w:sz w:val="24"/>
        </w:rPr>
        <w:t xml:space="preserve"> 标的物</w:t>
      </w:r>
    </w:p>
    <w:p>
      <w:pPr>
        <w:spacing w:line="500" w:lineRule="exact"/>
        <w:ind w:firstLine="480" w:firstLineChars="200"/>
        <w:rPr>
          <w:rFonts w:hint="eastAsia" w:ascii="宋体" w:hAnsi="宋体"/>
          <w:sz w:val="24"/>
        </w:rPr>
      </w:pPr>
      <w:r>
        <w:rPr>
          <w:rFonts w:hint="eastAsia" w:ascii="宋体" w:hAnsi="宋体"/>
          <w:bCs/>
          <w:sz w:val="24"/>
        </w:rPr>
        <w:t>采购人需求的货物供应、安装，调试及有关技术服务等</w:t>
      </w:r>
      <w:r>
        <w:rPr>
          <w:rFonts w:hint="eastAsia" w:ascii="宋体" w:hAnsi="宋体"/>
          <w:sz w:val="24"/>
        </w:rPr>
        <w:t>。</w:t>
      </w:r>
    </w:p>
    <w:p>
      <w:pPr>
        <w:spacing w:line="500" w:lineRule="exact"/>
        <w:ind w:firstLine="480" w:firstLineChars="200"/>
        <w:rPr>
          <w:rFonts w:hint="eastAsia" w:ascii="宋体" w:hAnsi="宋体"/>
          <w:bCs/>
          <w:sz w:val="24"/>
        </w:rPr>
      </w:pPr>
      <w:r>
        <w:rPr>
          <w:rFonts w:hint="eastAsia" w:ascii="宋体" w:hAnsi="宋体"/>
          <w:sz w:val="24"/>
        </w:rPr>
        <w:t>12.3</w:t>
      </w:r>
      <w:r>
        <w:rPr>
          <w:rFonts w:hint="eastAsia" w:ascii="宋体" w:hAnsi="宋体"/>
          <w:bCs/>
          <w:sz w:val="24"/>
        </w:rPr>
        <w:t>有关费用处理</w:t>
      </w:r>
    </w:p>
    <w:p>
      <w:pPr>
        <w:spacing w:line="500" w:lineRule="exact"/>
        <w:ind w:firstLine="480" w:firstLineChars="200"/>
        <w:rPr>
          <w:rFonts w:hint="eastAsia" w:ascii="宋体" w:hAnsi="宋体"/>
          <w:bCs/>
          <w:sz w:val="24"/>
        </w:rPr>
      </w:pPr>
      <w:r>
        <w:rPr>
          <w:rFonts w:hint="eastAsia" w:ascii="宋体" w:hAnsi="宋体"/>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500" w:lineRule="exact"/>
        <w:ind w:firstLine="480" w:firstLineChars="200"/>
        <w:rPr>
          <w:rFonts w:hint="eastAsia" w:ascii="宋体" w:hAnsi="宋体"/>
          <w:bCs/>
          <w:sz w:val="24"/>
        </w:rPr>
      </w:pPr>
      <w:r>
        <w:rPr>
          <w:rFonts w:hint="eastAsia" w:ascii="宋体" w:hAnsi="宋体"/>
          <w:sz w:val="24"/>
        </w:rPr>
        <w:t>12.4</w:t>
      </w:r>
      <w:r>
        <w:rPr>
          <w:rFonts w:hint="eastAsia" w:ascii="宋体" w:hAnsi="宋体"/>
          <w:bCs/>
          <w:sz w:val="24"/>
        </w:rPr>
        <w:t>其它费用处理</w:t>
      </w:r>
    </w:p>
    <w:p>
      <w:pPr>
        <w:spacing w:line="500" w:lineRule="exact"/>
        <w:ind w:firstLine="480" w:firstLineChars="200"/>
        <w:rPr>
          <w:rFonts w:hint="eastAsia" w:ascii="宋体" w:hAnsi="宋体"/>
          <w:bCs/>
          <w:sz w:val="24"/>
        </w:rPr>
      </w:pPr>
      <w:r>
        <w:rPr>
          <w:rFonts w:hint="eastAsia" w:ascii="宋体" w:hAnsi="宋体"/>
          <w:bCs/>
          <w:sz w:val="24"/>
        </w:rPr>
        <w:t>招标文件未列明，而投标人认为必需的费用也需列入报价。</w:t>
      </w:r>
    </w:p>
    <w:p>
      <w:pPr>
        <w:spacing w:line="500" w:lineRule="exact"/>
        <w:ind w:firstLine="480" w:firstLineChars="200"/>
        <w:rPr>
          <w:rFonts w:hint="eastAsia" w:ascii="宋体" w:hAnsi="宋体"/>
          <w:bCs/>
          <w:sz w:val="24"/>
        </w:rPr>
      </w:pPr>
      <w:r>
        <w:rPr>
          <w:rFonts w:hint="eastAsia" w:ascii="宋体" w:hAnsi="宋体"/>
          <w:sz w:val="24"/>
        </w:rPr>
        <w:t>12.5</w:t>
      </w:r>
      <w:r>
        <w:rPr>
          <w:rFonts w:hint="eastAsia" w:ascii="宋体" w:hAnsi="宋体"/>
          <w:bCs/>
          <w:sz w:val="24"/>
        </w:rPr>
        <w:t>投标货币</w:t>
      </w:r>
    </w:p>
    <w:p>
      <w:pPr>
        <w:spacing w:line="500" w:lineRule="exact"/>
        <w:ind w:firstLine="480" w:firstLineChars="200"/>
        <w:rPr>
          <w:rFonts w:hint="eastAsia" w:ascii="宋体" w:hAnsi="宋体"/>
          <w:bCs/>
          <w:sz w:val="24"/>
        </w:rPr>
      </w:pPr>
      <w:r>
        <w:rPr>
          <w:rFonts w:hint="eastAsia" w:ascii="宋体" w:hAnsi="宋体"/>
          <w:bCs/>
          <w:sz w:val="24"/>
        </w:rPr>
        <w:t>投标文件中的货物单价和总价无特殊规定的采用人民币报价，以元为单位标注。</w:t>
      </w:r>
      <w:r>
        <w:rPr>
          <w:rFonts w:hint="eastAsia" w:ascii="宋体" w:hAnsi="宋体"/>
          <w:sz w:val="24"/>
        </w:rPr>
        <w:t>招标文件中另有规定的按规定执行。</w:t>
      </w:r>
    </w:p>
    <w:p>
      <w:pPr>
        <w:spacing w:line="500" w:lineRule="exact"/>
        <w:ind w:firstLine="480" w:firstLineChars="200"/>
        <w:rPr>
          <w:rFonts w:hint="eastAsia" w:ascii="宋体" w:hAnsi="宋体"/>
          <w:sz w:val="24"/>
        </w:rPr>
      </w:pPr>
      <w:r>
        <w:rPr>
          <w:rFonts w:hint="eastAsia" w:ascii="宋体" w:hAnsi="宋体"/>
          <w:sz w:val="24"/>
        </w:rPr>
        <w:t>12.6</w:t>
      </w:r>
      <w:r>
        <w:rPr>
          <w:rFonts w:hint="eastAsia" w:ascii="宋体" w:hAnsi="宋体"/>
          <w:bCs/>
          <w:sz w:val="24"/>
        </w:rPr>
        <w:t xml:space="preserve"> 投标配置与分项报价表上的价格应按下列方式分开填写</w:t>
      </w:r>
      <w:r>
        <w:rPr>
          <w:rFonts w:hint="eastAsia" w:ascii="宋体" w:hAnsi="宋体"/>
          <w:sz w:val="24"/>
        </w:rPr>
        <w:t>：</w:t>
      </w:r>
    </w:p>
    <w:p>
      <w:pPr>
        <w:spacing w:line="480" w:lineRule="exact"/>
        <w:ind w:firstLine="480" w:firstLineChars="200"/>
        <w:rPr>
          <w:rFonts w:hint="eastAsia" w:ascii="宋体" w:hAnsi="宋体"/>
          <w:bCs/>
          <w:sz w:val="24"/>
        </w:rPr>
      </w:pPr>
      <w:bookmarkStart w:id="100" w:name="_Hlt26954844"/>
      <w:bookmarkEnd w:id="100"/>
      <w:bookmarkStart w:id="101" w:name="_Hlt26668983"/>
      <w:bookmarkEnd w:id="101"/>
      <w:bookmarkStart w:id="102" w:name="_Hlt26954842"/>
      <w:bookmarkEnd w:id="102"/>
      <w:bookmarkStart w:id="103" w:name="_Hlt26670425"/>
      <w:bookmarkEnd w:id="103"/>
      <w:bookmarkStart w:id="104" w:name="_Hlt26670403"/>
      <w:bookmarkEnd w:id="104"/>
      <w:r>
        <w:rPr>
          <w:rFonts w:hint="eastAsia" w:ascii="宋体" w:hAnsi="宋体"/>
          <w:bCs/>
          <w:sz w:val="24"/>
        </w:rPr>
        <w:t>1、</w:t>
      </w:r>
      <w:r>
        <w:rPr>
          <w:rFonts w:hint="eastAsia" w:ascii="宋体" w:hAnsi="宋体"/>
          <w:sz w:val="24"/>
        </w:rPr>
        <w:t>项目总价：包括</w:t>
      </w:r>
      <w:r>
        <w:rPr>
          <w:rFonts w:hint="eastAsia" w:ascii="宋体" w:hAnsi="宋体"/>
          <w:bCs/>
          <w:sz w:val="24"/>
        </w:rPr>
        <w:t>买方需求的产品价格</w:t>
      </w:r>
      <w:r>
        <w:rPr>
          <w:rFonts w:hint="eastAsia" w:ascii="宋体" w:hAnsi="宋体"/>
          <w:sz w:val="24"/>
        </w:rPr>
        <w:t>、</w:t>
      </w:r>
      <w:r>
        <w:rPr>
          <w:rFonts w:hint="eastAsia" w:ascii="宋体" w:hAnsi="宋体"/>
          <w:sz w:val="24"/>
          <w:lang w:val="en-US" w:eastAsia="zh-Hans"/>
        </w:rPr>
        <w:t>培</w:t>
      </w:r>
      <w:r>
        <w:rPr>
          <w:rFonts w:hint="eastAsia" w:ascii="宋体" w:hAnsi="宋体"/>
          <w:bCs/>
          <w:sz w:val="24"/>
        </w:rPr>
        <w:t>训费用及售后服务费用，项目在指定地点、环境交付、安装、调试、验收所需费用和所有</w:t>
      </w:r>
      <w:r>
        <w:rPr>
          <w:rFonts w:hint="eastAsia" w:ascii="宋体" w:hAnsi="宋体"/>
          <w:sz w:val="24"/>
        </w:rPr>
        <w:t>相关税金费用</w:t>
      </w:r>
      <w:r>
        <w:rPr>
          <w:rFonts w:hint="eastAsia" w:ascii="宋体" w:hAnsi="宋体"/>
          <w:bCs/>
          <w:sz w:val="24"/>
        </w:rPr>
        <w:t>及为完成整个项目所产生的其它所有费用。</w:t>
      </w:r>
    </w:p>
    <w:p>
      <w:pPr>
        <w:spacing w:line="480" w:lineRule="exact"/>
        <w:ind w:firstLine="480" w:firstLineChars="200"/>
        <w:rPr>
          <w:rFonts w:hint="eastAsia" w:ascii="宋体" w:hAnsi="宋体"/>
          <w:bCs/>
          <w:sz w:val="24"/>
        </w:rPr>
      </w:pPr>
      <w:r>
        <w:rPr>
          <w:rFonts w:hint="eastAsia" w:ascii="宋体" w:hAnsi="宋体"/>
          <w:sz w:val="24"/>
        </w:rPr>
        <w:t>2、</w:t>
      </w:r>
      <w:r>
        <w:rPr>
          <w:rFonts w:hint="eastAsia" w:ascii="宋体" w:hAnsi="宋体"/>
          <w:bCs/>
          <w:sz w:val="24"/>
        </w:rPr>
        <w:t>项目单价按投标配置及分项报价表中要求填报。</w:t>
      </w:r>
    </w:p>
    <w:p>
      <w:pPr>
        <w:pStyle w:val="10"/>
        <w:rPr>
          <w:rFonts w:hint="eastAsia"/>
          <w:b w:val="0"/>
          <w:bCs/>
        </w:rPr>
      </w:pPr>
      <w:bookmarkStart w:id="105" w:name="_Hlt26670482"/>
      <w:bookmarkEnd w:id="105"/>
      <w:bookmarkStart w:id="106" w:name="_Hlt26670486"/>
      <w:bookmarkEnd w:id="106"/>
      <w:bookmarkStart w:id="107" w:name="_Hlt26954731"/>
      <w:bookmarkEnd w:id="107"/>
      <w:bookmarkStart w:id="108" w:name="_Hlt26954848"/>
      <w:bookmarkEnd w:id="108"/>
      <w:bookmarkStart w:id="109" w:name="_Hlt26954846"/>
      <w:bookmarkEnd w:id="109"/>
      <w:r>
        <w:rPr>
          <w:b w:val="0"/>
          <w:bCs/>
        </w:rPr>
        <w:t>13</w:t>
      </w:r>
      <w:r>
        <w:rPr>
          <w:rFonts w:hint="eastAsia"/>
          <w:b w:val="0"/>
          <w:bCs/>
        </w:rPr>
        <w:t>、技术参数响应及偏离表、商务条款响应及偏离表及投标货物说明</w:t>
      </w:r>
    </w:p>
    <w:p>
      <w:pPr>
        <w:autoSpaceDE w:val="0"/>
        <w:autoSpaceDN w:val="0"/>
        <w:adjustRightInd w:val="0"/>
        <w:spacing w:line="500" w:lineRule="exact"/>
        <w:ind w:firstLine="480"/>
        <w:rPr>
          <w:rFonts w:ascii="宋体" w:hAnsi="Arial" w:cs="宋体"/>
          <w:sz w:val="24"/>
          <w:lang w:val="zh-CN"/>
        </w:rPr>
      </w:pPr>
      <w:r>
        <w:rPr>
          <w:rFonts w:hint="eastAsia" w:ascii="宋体" w:hAnsi="Arial" w:cs="宋体"/>
          <w:bCs/>
          <w:sz w:val="24"/>
          <w:lang w:val="zh-CN"/>
        </w:rPr>
        <w:t>13.1</w:t>
      </w:r>
      <w:r>
        <w:rPr>
          <w:rFonts w:hint="eastAsia" w:ascii="宋体" w:hAnsi="Arial" w:cs="宋体"/>
          <w:sz w:val="24"/>
          <w:lang w:val="zh-CN"/>
        </w:rPr>
        <w:t xml:space="preserve"> 对招标文件中的技术与商务条款要求逐项作出响应或偏离，并说明原因；</w:t>
      </w:r>
    </w:p>
    <w:p>
      <w:pPr>
        <w:tabs>
          <w:tab w:val="left" w:pos="1035"/>
        </w:tabs>
        <w:autoSpaceDE w:val="0"/>
        <w:autoSpaceDN w:val="0"/>
        <w:adjustRightInd w:val="0"/>
        <w:spacing w:line="500" w:lineRule="exact"/>
        <w:ind w:firstLine="480" w:firstLineChars="200"/>
        <w:rPr>
          <w:rFonts w:hint="eastAsia" w:ascii="宋体" w:hAnsi="Arial" w:cs="宋体"/>
          <w:sz w:val="24"/>
          <w:lang w:val="zh-CN"/>
        </w:rPr>
      </w:pPr>
      <w:r>
        <w:rPr>
          <w:rFonts w:hint="eastAsia" w:ascii="宋体" w:hAnsi="Arial" w:cs="宋体"/>
          <w:sz w:val="24"/>
          <w:lang w:val="zh-CN"/>
        </w:rPr>
        <w:t>13.2 提供参加本项目类似案例简介；</w:t>
      </w:r>
    </w:p>
    <w:p>
      <w:pPr>
        <w:tabs>
          <w:tab w:val="left" w:pos="1035"/>
        </w:tabs>
        <w:autoSpaceDE w:val="0"/>
        <w:autoSpaceDN w:val="0"/>
        <w:adjustRightInd w:val="0"/>
        <w:spacing w:line="500" w:lineRule="exact"/>
        <w:ind w:firstLine="480" w:firstLineChars="200"/>
        <w:rPr>
          <w:rFonts w:hint="eastAsia" w:ascii="宋体" w:hAnsi="Arial" w:cs="宋体"/>
          <w:sz w:val="24"/>
          <w:lang w:val="zh-CN"/>
        </w:rPr>
      </w:pPr>
      <w:r>
        <w:rPr>
          <w:rFonts w:hint="eastAsia" w:ascii="宋体" w:hAnsi="Arial" w:cs="宋体"/>
          <w:sz w:val="24"/>
          <w:lang w:val="zh-CN"/>
        </w:rPr>
        <w:t>13.3 培训计划；</w:t>
      </w:r>
    </w:p>
    <w:p>
      <w:pPr>
        <w:tabs>
          <w:tab w:val="left" w:pos="1035"/>
        </w:tabs>
        <w:autoSpaceDE w:val="0"/>
        <w:autoSpaceDN w:val="0"/>
        <w:adjustRightInd w:val="0"/>
        <w:spacing w:line="500" w:lineRule="exact"/>
        <w:ind w:firstLine="480" w:firstLineChars="200"/>
        <w:rPr>
          <w:rFonts w:hint="eastAsia" w:ascii="宋体" w:hAnsi="Arial" w:cs="宋体"/>
          <w:sz w:val="24"/>
          <w:lang w:val="zh-CN"/>
        </w:rPr>
      </w:pPr>
      <w:r>
        <w:rPr>
          <w:rFonts w:hint="eastAsia" w:ascii="宋体" w:hAnsi="Arial" w:cs="宋体"/>
          <w:sz w:val="24"/>
          <w:lang w:val="zh-CN"/>
        </w:rPr>
        <w:t>13.4 详细阐述所投货物的主要组成部分、功能设计、实现思路及关键技术；</w:t>
      </w:r>
    </w:p>
    <w:p>
      <w:pPr>
        <w:tabs>
          <w:tab w:val="left" w:pos="1035"/>
        </w:tabs>
        <w:autoSpaceDE w:val="0"/>
        <w:autoSpaceDN w:val="0"/>
        <w:adjustRightInd w:val="0"/>
        <w:spacing w:line="500" w:lineRule="exact"/>
        <w:ind w:firstLine="480" w:firstLineChars="200"/>
        <w:rPr>
          <w:rFonts w:hint="eastAsia" w:ascii="宋体" w:hAnsi="Arial" w:cs="宋体"/>
          <w:sz w:val="24"/>
          <w:lang w:val="zh-CN"/>
        </w:rPr>
      </w:pPr>
      <w:r>
        <w:rPr>
          <w:rFonts w:hint="eastAsia" w:ascii="宋体" w:hAnsi="Arial" w:cs="宋体"/>
          <w:sz w:val="24"/>
          <w:lang w:val="zh-CN"/>
        </w:rPr>
        <w:t>13.5 投标人认为需要的其他技术文件或说明。</w:t>
      </w:r>
    </w:p>
    <w:p>
      <w:pPr>
        <w:pStyle w:val="10"/>
        <w:rPr>
          <w:rFonts w:hint="eastAsia"/>
          <w:b w:val="0"/>
        </w:rPr>
      </w:pPr>
      <w:r>
        <w:rPr>
          <w:b w:val="0"/>
          <w:bCs/>
        </w:rPr>
        <w:t>14</w:t>
      </w:r>
      <w:r>
        <w:rPr>
          <w:rFonts w:hint="eastAsia"/>
          <w:b w:val="0"/>
          <w:bCs/>
        </w:rPr>
        <w:t>、服务承诺及售后服务机构、人员的情况介绍</w:t>
      </w:r>
    </w:p>
    <w:p>
      <w:pPr>
        <w:spacing w:line="480" w:lineRule="exact"/>
        <w:rPr>
          <w:rFonts w:ascii="宋体" w:hAnsi="宋体"/>
          <w:sz w:val="24"/>
          <w:szCs w:val="24"/>
        </w:rPr>
      </w:pPr>
      <w:r>
        <w:rPr>
          <w:rFonts w:hint="eastAsia" w:ascii="宋体" w:hAnsi="宋体"/>
          <w:sz w:val="24"/>
          <w:szCs w:val="24"/>
        </w:rPr>
        <w:t xml:space="preserve">    </w:t>
      </w: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1</w:t>
      </w:r>
      <w:r>
        <w:rPr>
          <w:rFonts w:hint="eastAsia" w:ascii="宋体" w:hAnsi="宋体"/>
          <w:sz w:val="24"/>
          <w:szCs w:val="24"/>
        </w:rPr>
        <w:t>投标人的服务承诺应按不低于招标文件中商务要求的标准。</w:t>
      </w:r>
    </w:p>
    <w:p>
      <w:pPr>
        <w:spacing w:line="480" w:lineRule="exact"/>
        <w:ind w:firstLine="480"/>
        <w:rPr>
          <w:rFonts w:hint="eastAsia" w:ascii="宋体" w:hAnsi="宋体"/>
          <w:sz w:val="24"/>
          <w:szCs w:val="24"/>
        </w:rPr>
      </w:pP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2</w:t>
      </w:r>
      <w:r>
        <w:rPr>
          <w:rFonts w:hint="eastAsia" w:ascii="宋体" w:hAnsi="宋体"/>
          <w:sz w:val="24"/>
          <w:szCs w:val="24"/>
        </w:rPr>
        <w:t>提供投标人有关售后服务的管理制度、售后服务机构的分布情况、售后服务人员的数量、素质、技术水平及售后服务的反应能力。</w:t>
      </w:r>
    </w:p>
    <w:p>
      <w:pPr>
        <w:pStyle w:val="10"/>
        <w:rPr>
          <w:rFonts w:hint="eastAsia"/>
          <w:b w:val="0"/>
        </w:rPr>
      </w:pPr>
      <w:bookmarkStart w:id="110" w:name="_Toc49090510"/>
      <w:bookmarkStart w:id="111" w:name="_Toc14577359"/>
      <w:r>
        <w:rPr>
          <w:b w:val="0"/>
          <w:bCs/>
        </w:rPr>
        <w:t>15</w:t>
      </w:r>
      <w:r>
        <w:rPr>
          <w:rFonts w:hint="eastAsia"/>
          <w:b w:val="0"/>
          <w:bCs/>
        </w:rPr>
        <w:t>、投标函和开标一览表</w:t>
      </w:r>
    </w:p>
    <w:p>
      <w:pPr>
        <w:spacing w:line="500" w:lineRule="exact"/>
        <w:ind w:firstLine="480" w:firstLineChars="200"/>
        <w:rPr>
          <w:rFonts w:ascii="宋体" w:hAnsi="宋体"/>
          <w:sz w:val="24"/>
        </w:rPr>
      </w:pPr>
      <w:r>
        <w:rPr>
          <w:rFonts w:hint="eastAsia" w:ascii="宋体" w:hAnsi="宋体"/>
          <w:bCs/>
          <w:sz w:val="24"/>
        </w:rPr>
        <w:t>15.1</w:t>
      </w:r>
      <w:r>
        <w:rPr>
          <w:rFonts w:hint="eastAsia" w:ascii="宋体" w:hAnsi="宋体"/>
          <w:sz w:val="24"/>
        </w:rPr>
        <w:t xml:space="preserve"> 投标人应按照招标文件中提供的格式完整、正确填写投标函、开标一览表。</w:t>
      </w:r>
    </w:p>
    <w:p>
      <w:pPr>
        <w:spacing w:line="500" w:lineRule="exact"/>
        <w:ind w:firstLine="480" w:firstLineChars="200"/>
        <w:rPr>
          <w:rFonts w:hint="eastAsia" w:ascii="宋体" w:hAnsi="宋体"/>
          <w:sz w:val="24"/>
        </w:rPr>
      </w:pPr>
      <w:r>
        <w:rPr>
          <w:rFonts w:hint="eastAsia" w:ascii="宋体" w:hAnsi="宋体"/>
          <w:bCs/>
          <w:sz w:val="24"/>
        </w:rPr>
        <w:t>15.2</w:t>
      </w:r>
      <w:r>
        <w:rPr>
          <w:rFonts w:hint="eastAsia" w:ascii="宋体" w:hAnsi="宋体"/>
          <w:sz w:val="24"/>
        </w:rPr>
        <w:t xml:space="preserve"> </w:t>
      </w:r>
      <w:r>
        <w:rPr>
          <w:rFonts w:hint="eastAsia" w:ascii="宋体" w:hAnsi="宋体"/>
          <w:bCs/>
          <w:sz w:val="24"/>
        </w:rPr>
        <w:t>开标一览表中的价格应与投标文件中投标配置与分项报价表中的价格一致，如不一致，</w:t>
      </w:r>
      <w:r>
        <w:rPr>
          <w:rFonts w:hint="eastAsia" w:ascii="宋体" w:hAnsi="宋体"/>
          <w:sz w:val="24"/>
          <w:szCs w:val="24"/>
        </w:rPr>
        <w:t>不作为无效投标处理</w:t>
      </w:r>
      <w:r>
        <w:rPr>
          <w:rFonts w:hint="eastAsia" w:ascii="宋体" w:hAnsi="宋体"/>
          <w:bCs/>
          <w:sz w:val="24"/>
        </w:rPr>
        <w:t>，但评标时按开标一览表中价格为准</w:t>
      </w:r>
      <w:r>
        <w:rPr>
          <w:rFonts w:hint="eastAsia" w:ascii="宋体" w:hAnsi="宋体"/>
          <w:b/>
          <w:bCs/>
          <w:sz w:val="24"/>
        </w:rPr>
        <w:t>。</w:t>
      </w:r>
    </w:p>
    <w:p>
      <w:pPr>
        <w:pStyle w:val="10"/>
        <w:rPr>
          <w:rFonts w:hint="eastAsia"/>
          <w:b w:val="0"/>
        </w:rPr>
      </w:pPr>
      <w:r>
        <w:rPr>
          <w:b w:val="0"/>
          <w:bCs/>
        </w:rPr>
        <w:t>16</w:t>
      </w:r>
      <w:r>
        <w:rPr>
          <w:rFonts w:hint="eastAsia"/>
          <w:b w:val="0"/>
          <w:bCs/>
        </w:rPr>
        <w:t>、投标保证金</w:t>
      </w:r>
      <w:bookmarkEnd w:id="110"/>
      <w:bookmarkEnd w:id="111"/>
      <w:r>
        <w:rPr>
          <w:rFonts w:hint="eastAsia"/>
          <w:b w:val="0"/>
          <w:bCs/>
        </w:rPr>
        <w:t>（如果收取）</w:t>
      </w:r>
    </w:p>
    <w:p>
      <w:pPr>
        <w:spacing w:line="500" w:lineRule="exact"/>
        <w:ind w:firstLine="480" w:firstLineChars="200"/>
        <w:rPr>
          <w:rFonts w:ascii="宋体" w:hAnsi="宋体"/>
          <w:bCs/>
          <w:sz w:val="24"/>
          <w:szCs w:val="24"/>
        </w:rPr>
      </w:pPr>
      <w:r>
        <w:rPr>
          <w:rFonts w:hint="eastAsia" w:ascii="宋体" w:hAnsi="宋体"/>
          <w:sz w:val="24"/>
        </w:rPr>
        <w:t>16.1</w:t>
      </w:r>
      <w:r>
        <w:rPr>
          <w:rFonts w:hint="eastAsia" w:ascii="宋体" w:hAnsi="宋体"/>
          <w:bCs/>
          <w:sz w:val="24"/>
        </w:rPr>
        <w:t>在开标时，未按要求提交投标保证金的投标无效。</w:t>
      </w:r>
    </w:p>
    <w:p>
      <w:pPr>
        <w:spacing w:line="500" w:lineRule="exact"/>
        <w:ind w:firstLine="480" w:firstLineChars="200"/>
        <w:rPr>
          <w:rFonts w:hint="eastAsia" w:ascii="宋体" w:hAnsi="宋体"/>
          <w:bCs/>
          <w:sz w:val="24"/>
        </w:rPr>
      </w:pPr>
      <w:r>
        <w:rPr>
          <w:rFonts w:hint="eastAsia" w:ascii="宋体" w:hAnsi="宋体"/>
          <w:sz w:val="24"/>
        </w:rPr>
        <w:t>16.2</w:t>
      </w:r>
      <w:r>
        <w:rPr>
          <w:rFonts w:hint="eastAsia" w:ascii="宋体" w:hAnsi="宋体"/>
          <w:bCs/>
          <w:sz w:val="24"/>
        </w:rPr>
        <w:t>未中标的投标人的投标保证金，将在中标通知书发出之后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spacing w:line="500" w:lineRule="exact"/>
        <w:ind w:firstLine="480" w:firstLineChars="200"/>
        <w:rPr>
          <w:rFonts w:hint="eastAsia" w:ascii="宋体" w:hAnsi="宋体"/>
          <w:bCs/>
          <w:sz w:val="24"/>
        </w:rPr>
      </w:pPr>
      <w:r>
        <w:rPr>
          <w:rFonts w:hint="eastAsia" w:ascii="宋体" w:hAnsi="宋体"/>
          <w:sz w:val="24"/>
        </w:rPr>
        <w:t>16.3中标人的投标保证金，</w:t>
      </w:r>
      <w:r>
        <w:rPr>
          <w:rFonts w:hint="eastAsia" w:ascii="宋体" w:hAnsi="宋体"/>
          <w:bCs/>
          <w:sz w:val="24"/>
        </w:rPr>
        <w:t>将在采购合同签订之后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spacing w:line="500" w:lineRule="exact"/>
        <w:ind w:firstLine="480" w:firstLineChars="200"/>
        <w:rPr>
          <w:rFonts w:hint="eastAsia" w:ascii="宋体" w:hAnsi="宋体"/>
          <w:bCs/>
          <w:sz w:val="24"/>
        </w:rPr>
      </w:pPr>
      <w:r>
        <w:rPr>
          <w:rFonts w:hint="eastAsia" w:ascii="宋体" w:hAnsi="宋体"/>
          <w:sz w:val="24"/>
        </w:rPr>
        <w:t>16.4</w:t>
      </w:r>
      <w:r>
        <w:rPr>
          <w:rFonts w:hint="eastAsia" w:ascii="宋体" w:hAnsi="宋体"/>
          <w:bCs/>
          <w:sz w:val="24"/>
        </w:rPr>
        <w:t xml:space="preserve"> 下列任何情况发生时，投标保证金将不予退还：</w:t>
      </w:r>
    </w:p>
    <w:p>
      <w:pPr>
        <w:spacing w:line="500" w:lineRule="exact"/>
        <w:ind w:firstLine="480" w:firstLineChars="200"/>
        <w:rPr>
          <w:rFonts w:hint="eastAsia" w:ascii="宋体" w:hAnsi="宋体"/>
          <w:sz w:val="24"/>
        </w:rPr>
      </w:pPr>
      <w:bookmarkStart w:id="112" w:name="_Hlt26954734"/>
      <w:bookmarkEnd w:id="112"/>
      <w:bookmarkStart w:id="113" w:name="_Hlt26670489"/>
      <w:bookmarkEnd w:id="113"/>
      <w:bookmarkStart w:id="114" w:name="_Hlt26954850"/>
      <w:bookmarkEnd w:id="114"/>
      <w:bookmarkStart w:id="115" w:name="_Toc49090511"/>
      <w:bookmarkStart w:id="116" w:name="_Toc14577360"/>
      <w:r>
        <w:rPr>
          <w:rFonts w:hint="eastAsia" w:ascii="宋体" w:hAnsi="宋体"/>
          <w:sz w:val="24"/>
        </w:rPr>
        <w:t>（1）投标人在投标有效期内撤回其投标；</w:t>
      </w:r>
    </w:p>
    <w:p>
      <w:pPr>
        <w:spacing w:line="500" w:lineRule="exact"/>
        <w:ind w:firstLine="480" w:firstLineChars="200"/>
        <w:rPr>
          <w:rFonts w:hint="eastAsia" w:ascii="宋体" w:hAnsi="宋体"/>
          <w:sz w:val="24"/>
        </w:rPr>
      </w:pPr>
      <w:r>
        <w:rPr>
          <w:rFonts w:hint="eastAsia" w:ascii="宋体" w:hAnsi="宋体"/>
          <w:sz w:val="24"/>
        </w:rPr>
        <w:t>（2）提供虚假材料谋取中标、成交的；</w:t>
      </w:r>
    </w:p>
    <w:p>
      <w:pPr>
        <w:spacing w:line="500" w:lineRule="exact"/>
        <w:ind w:firstLine="480" w:firstLineChars="200"/>
        <w:rPr>
          <w:rFonts w:hint="eastAsia" w:ascii="宋体" w:hAnsi="宋体"/>
          <w:sz w:val="24"/>
        </w:rPr>
      </w:pPr>
      <w:r>
        <w:rPr>
          <w:rFonts w:hint="eastAsia" w:ascii="宋体" w:hAnsi="宋体"/>
          <w:sz w:val="24"/>
        </w:rPr>
        <w:t>（3）采取不正当手段诋毁、排挤其他供应商的；</w:t>
      </w:r>
    </w:p>
    <w:p>
      <w:pPr>
        <w:spacing w:line="500" w:lineRule="exact"/>
        <w:ind w:firstLine="480" w:firstLineChars="200"/>
        <w:rPr>
          <w:rFonts w:hint="eastAsia" w:ascii="宋体" w:hAnsi="宋体"/>
          <w:sz w:val="24"/>
        </w:rPr>
      </w:pPr>
      <w:r>
        <w:rPr>
          <w:rFonts w:hint="eastAsia" w:ascii="宋体" w:hAnsi="宋体"/>
          <w:sz w:val="24"/>
        </w:rPr>
        <w:t>（4）与采购人、其他供应商恶意串通的。</w:t>
      </w:r>
    </w:p>
    <w:p>
      <w:pPr>
        <w:pStyle w:val="12"/>
        <w:ind w:left="0" w:firstLine="480" w:firstLineChars="200"/>
        <w:rPr>
          <w:rFonts w:hint="eastAsia" w:ascii="宋体" w:hAnsi="宋体"/>
          <w:sz w:val="24"/>
          <w:szCs w:val="24"/>
        </w:rPr>
      </w:pPr>
      <w:r>
        <w:rPr>
          <w:rFonts w:hint="eastAsia" w:ascii="宋体" w:hAnsi="宋体"/>
          <w:sz w:val="24"/>
          <w:lang w:val="en-US" w:eastAsia="zh-CN"/>
        </w:rPr>
        <w:t xml:space="preserve">16.5 </w:t>
      </w:r>
      <w:r>
        <w:rPr>
          <w:rFonts w:hint="eastAsia" w:ascii="宋体" w:hAnsi="宋体"/>
          <w:sz w:val="24"/>
          <w:szCs w:val="24"/>
        </w:rPr>
        <w:t>供应商缴纳的</w:t>
      </w:r>
      <w:r>
        <w:rPr>
          <w:rFonts w:hint="eastAsia" w:ascii="宋体" w:hAnsi="宋体"/>
          <w:sz w:val="24"/>
          <w:szCs w:val="24"/>
          <w:lang w:val="en-US" w:eastAsia="zh-CN"/>
        </w:rPr>
        <w:t>投标</w:t>
      </w:r>
      <w:r>
        <w:rPr>
          <w:rFonts w:hint="eastAsia" w:ascii="宋体" w:hAnsi="宋体"/>
          <w:sz w:val="24"/>
          <w:szCs w:val="24"/>
        </w:rPr>
        <w:t>保证金必须于投标文件（响应文件）接收截止时间前，以供应商的名称，按本采购文件规定的金额缴纳到指定账户（保证金缴纳方式及账户详见第一章投标邀请—其他）。</w:t>
      </w:r>
    </w:p>
    <w:p>
      <w:pPr>
        <w:pStyle w:val="10"/>
        <w:rPr>
          <w:rFonts w:hint="eastAsia"/>
          <w:b w:val="0"/>
          <w:color w:val="auto"/>
        </w:rPr>
      </w:pPr>
      <w:r>
        <w:rPr>
          <w:b w:val="0"/>
          <w:bCs/>
        </w:rPr>
        <w:t>17</w:t>
      </w:r>
      <w:r>
        <w:rPr>
          <w:rFonts w:hint="eastAsia"/>
          <w:b w:val="0"/>
          <w:bCs/>
        </w:rPr>
        <w:t>、投标有效</w:t>
      </w:r>
      <w:r>
        <w:rPr>
          <w:rFonts w:hint="eastAsia"/>
          <w:b w:val="0"/>
          <w:bCs/>
          <w:color w:val="auto"/>
        </w:rPr>
        <w:t>期</w:t>
      </w:r>
      <w:bookmarkEnd w:id="115"/>
      <w:bookmarkEnd w:id="116"/>
    </w:p>
    <w:p>
      <w:pPr>
        <w:spacing w:line="500" w:lineRule="exact"/>
        <w:ind w:firstLine="480" w:firstLineChars="200"/>
        <w:rPr>
          <w:rFonts w:ascii="宋体" w:hAnsi="宋体"/>
          <w:bCs/>
          <w:color w:val="auto"/>
          <w:sz w:val="24"/>
        </w:rPr>
      </w:pPr>
      <w:r>
        <w:rPr>
          <w:rFonts w:hint="eastAsia" w:ascii="宋体" w:hAnsi="宋体"/>
          <w:color w:val="auto"/>
          <w:sz w:val="24"/>
        </w:rPr>
        <w:t>17.1</w:t>
      </w:r>
      <w:r>
        <w:rPr>
          <w:rFonts w:hint="eastAsia" w:ascii="宋体" w:hAnsi="宋体"/>
          <w:bCs/>
          <w:color w:val="auto"/>
          <w:sz w:val="24"/>
        </w:rPr>
        <w:t xml:space="preserve"> 投标有效期为</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bCs/>
          <w:color w:val="auto"/>
          <w:sz w:val="24"/>
        </w:rPr>
        <w:t>规定的开标之日后</w:t>
      </w:r>
      <w:r>
        <w:rPr>
          <w:rFonts w:hint="eastAsia" w:ascii="仿宋_GB2312" w:hAnsi="仿宋_GB2312"/>
          <w:b/>
          <w:i/>
          <w:iCs/>
          <w:color w:val="auto"/>
          <w:sz w:val="24"/>
          <w:u w:val="single"/>
        </w:rPr>
        <w:t>120天</w:t>
      </w:r>
      <w:r>
        <w:rPr>
          <w:rFonts w:hint="eastAsia" w:ascii="宋体" w:hAnsi="宋体"/>
          <w:bCs/>
          <w:color w:val="auto"/>
          <w:sz w:val="24"/>
        </w:rPr>
        <w:t>。投标有效期比规定短的将被视为非响应性投标而予以拒绝。</w:t>
      </w:r>
    </w:p>
    <w:p>
      <w:pPr>
        <w:pStyle w:val="10"/>
        <w:rPr>
          <w:b w:val="0"/>
          <w:bCs/>
          <w:color w:val="auto"/>
        </w:rPr>
      </w:pPr>
      <w:bookmarkStart w:id="117" w:name="_Hlt26954739"/>
      <w:bookmarkEnd w:id="117"/>
      <w:bookmarkStart w:id="118" w:name="_Hlt26954852"/>
      <w:bookmarkEnd w:id="118"/>
      <w:bookmarkStart w:id="119" w:name="_Toc49090512"/>
      <w:bookmarkStart w:id="120" w:name="_Toc14577361"/>
      <w:r>
        <w:rPr>
          <w:b w:val="0"/>
          <w:bCs/>
          <w:color w:val="auto"/>
        </w:rPr>
        <w:t>18</w:t>
      </w:r>
      <w:r>
        <w:rPr>
          <w:rFonts w:hint="eastAsia"/>
          <w:b w:val="0"/>
          <w:bCs/>
          <w:color w:val="auto"/>
        </w:rPr>
        <w:t>、</w:t>
      </w:r>
      <w:bookmarkEnd w:id="119"/>
      <w:bookmarkEnd w:id="120"/>
      <w:r>
        <w:rPr>
          <w:rFonts w:hint="eastAsia"/>
          <w:b w:val="0"/>
          <w:bCs/>
          <w:color w:val="auto"/>
        </w:rPr>
        <w:t>投标有效期的延长</w:t>
      </w:r>
    </w:p>
    <w:p>
      <w:pPr>
        <w:spacing w:line="500" w:lineRule="exact"/>
        <w:ind w:firstLine="480" w:firstLineChars="200"/>
        <w:rPr>
          <w:rFonts w:ascii="宋体" w:hAnsi="宋体"/>
          <w:bCs/>
          <w:sz w:val="24"/>
        </w:rPr>
      </w:pPr>
      <w:r>
        <w:rPr>
          <w:rFonts w:hint="eastAsia" w:ascii="宋体" w:hAnsi="宋体"/>
          <w:color w:val="auto"/>
          <w:sz w:val="24"/>
        </w:rPr>
        <w:t>18.1</w:t>
      </w:r>
      <w:r>
        <w:rPr>
          <w:rFonts w:hint="eastAsia" w:ascii="宋体" w:hAnsi="宋体"/>
          <w:bCs/>
          <w:color w:val="auto"/>
          <w:sz w:val="24"/>
        </w:rPr>
        <w:t xml:space="preserve"> 在特殊情况下，</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bCs/>
          <w:color w:val="auto"/>
          <w:sz w:val="24"/>
        </w:rPr>
        <w:t>于原投标有效期满之前，可向投标人提出延长投标有效期的要求。这种要求与答复均应采用书面形式。投标人可以拒绝</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bCs/>
          <w:color w:val="auto"/>
          <w:sz w:val="24"/>
        </w:rPr>
        <w:t>的这一要求而放弃投标，</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color w:val="auto"/>
          <w:sz w:val="24"/>
          <w:szCs w:val="24"/>
        </w:rPr>
        <w:t>在接到投标人书面答复后，将在原投标有效期满后</w:t>
      </w:r>
      <w:r>
        <w:rPr>
          <w:rFonts w:hint="eastAsia" w:ascii="宋体" w:hAnsi="宋体"/>
          <w:bCs/>
          <w:color w:val="auto"/>
          <w:sz w:val="24"/>
          <w:szCs w:val="24"/>
        </w:rPr>
        <w:t>退还其投标保证金</w:t>
      </w:r>
      <w:r>
        <w:rPr>
          <w:rFonts w:hint="eastAsia" w:ascii="宋体" w:hAnsi="宋体"/>
          <w:color w:val="auto"/>
          <w:sz w:val="24"/>
          <w:szCs w:val="24"/>
        </w:rPr>
        <w:t>。</w:t>
      </w:r>
      <w:r>
        <w:rPr>
          <w:rFonts w:hint="eastAsia" w:ascii="宋体" w:hAnsi="宋体"/>
          <w:bCs/>
          <w:color w:val="auto"/>
          <w:sz w:val="24"/>
        </w:rPr>
        <w:t>同意延长投标有效期的投标人既不能要求也不允许修改其投标文件。第16条有关投标保证金的规定在延长期内继续有效</w:t>
      </w:r>
      <w:r>
        <w:rPr>
          <w:rFonts w:hint="eastAsia" w:ascii="宋体" w:hAnsi="宋体"/>
          <w:color w:val="auto"/>
          <w:sz w:val="24"/>
          <w:szCs w:val="24"/>
        </w:rPr>
        <w:t>，同时受投标有效期约束的所有权</w:t>
      </w:r>
      <w:r>
        <w:rPr>
          <w:rFonts w:hint="eastAsia" w:ascii="宋体" w:hAnsi="宋体"/>
          <w:sz w:val="24"/>
          <w:szCs w:val="24"/>
        </w:rPr>
        <w:t>利与义务均延长至新的有效期</w:t>
      </w:r>
      <w:r>
        <w:rPr>
          <w:rFonts w:hint="eastAsia" w:ascii="宋体" w:hAnsi="宋体"/>
          <w:bCs/>
          <w:sz w:val="24"/>
        </w:rPr>
        <w:t>。</w:t>
      </w:r>
    </w:p>
    <w:p>
      <w:pPr>
        <w:pStyle w:val="9"/>
        <w:spacing w:before="145" w:beforeLines="50" w:after="145" w:afterLines="50" w:line="360" w:lineRule="auto"/>
        <w:ind w:firstLine="482" w:firstLineChars="150"/>
        <w:rPr>
          <w:rFonts w:hint="eastAsia"/>
        </w:rPr>
      </w:pPr>
      <w:bookmarkStart w:id="121" w:name="_Toc534816630"/>
      <w:bookmarkStart w:id="122" w:name="_Toc20823296"/>
      <w:bookmarkStart w:id="123" w:name="_Toc120614217"/>
      <w:bookmarkStart w:id="124" w:name="_Toc513029224"/>
      <w:bookmarkStart w:id="125" w:name="_Toc534725601"/>
      <w:bookmarkStart w:id="126" w:name="_Toc16938540"/>
      <w:r>
        <w:rPr>
          <w:rFonts w:hint="eastAsia"/>
        </w:rPr>
        <w:t>四、投标文件的递交</w:t>
      </w:r>
      <w:bookmarkEnd w:id="121"/>
      <w:bookmarkEnd w:id="122"/>
      <w:bookmarkEnd w:id="123"/>
      <w:bookmarkEnd w:id="124"/>
      <w:bookmarkEnd w:id="125"/>
      <w:bookmarkEnd w:id="126"/>
    </w:p>
    <w:p>
      <w:pPr>
        <w:pStyle w:val="10"/>
        <w:ind w:firstLine="560" w:firstLineChars="200"/>
        <w:rPr>
          <w:rFonts w:ascii="黑体"/>
          <w:b w:val="0"/>
        </w:rPr>
      </w:pPr>
      <w:bookmarkStart w:id="127" w:name="_Toc20823297"/>
      <w:bookmarkStart w:id="128" w:name="_Toc16938541"/>
      <w:bookmarkStart w:id="129" w:name="_Toc513029225"/>
      <w:bookmarkStart w:id="130" w:name="_Toc462564084"/>
      <w:r>
        <w:rPr>
          <w:rFonts w:hint="eastAsia" w:ascii="黑体"/>
          <w:b w:val="0"/>
          <w:bCs/>
        </w:rPr>
        <w:t>19、</w:t>
      </w:r>
      <w:bookmarkEnd w:id="127"/>
      <w:bookmarkEnd w:id="128"/>
      <w:bookmarkEnd w:id="129"/>
      <w:bookmarkEnd w:id="130"/>
      <w:r>
        <w:rPr>
          <w:rFonts w:hint="eastAsia" w:ascii="黑体"/>
          <w:b w:val="0"/>
          <w:bCs/>
        </w:rPr>
        <w:t>投标文件的递交</w:t>
      </w:r>
    </w:p>
    <w:p>
      <w:pPr>
        <w:spacing w:line="500" w:lineRule="exact"/>
        <w:ind w:firstLine="480" w:firstLineChars="200"/>
        <w:rPr>
          <w:rFonts w:ascii="宋体" w:hAnsi="宋体"/>
          <w:bCs/>
          <w:sz w:val="24"/>
        </w:rPr>
      </w:pPr>
      <w:r>
        <w:rPr>
          <w:rFonts w:hint="eastAsia" w:ascii="宋体" w:hAnsi="宋体"/>
          <w:sz w:val="24"/>
        </w:rPr>
        <w:t>19.1</w:t>
      </w:r>
      <w:r>
        <w:rPr>
          <w:rFonts w:hint="eastAsia" w:ascii="宋体" w:hAnsi="宋体"/>
          <w:bCs/>
          <w:sz w:val="24"/>
        </w:rPr>
        <w:t>电子投标文件的递交</w:t>
      </w:r>
    </w:p>
    <w:p>
      <w:pPr>
        <w:spacing w:line="500" w:lineRule="exact"/>
        <w:ind w:firstLine="480" w:firstLineChars="200"/>
        <w:rPr>
          <w:rFonts w:hint="eastAsia" w:ascii="宋体" w:hAnsi="宋体"/>
          <w:bCs/>
          <w:sz w:val="24"/>
        </w:rPr>
      </w:pPr>
      <w:r>
        <w:rPr>
          <w:rFonts w:hint="eastAsia" w:ascii="宋体" w:hAnsi="宋体"/>
          <w:bCs/>
          <w:sz w:val="24"/>
        </w:rPr>
        <w:t>投标人应当按照</w:t>
      </w:r>
      <w:r>
        <w:rPr>
          <w:rFonts w:hint="eastAsia" w:ascii="宋体" w:hAnsi="宋体"/>
          <w:bCs/>
          <w:sz w:val="24"/>
          <w:lang w:val="en-US" w:eastAsia="zh-CN"/>
        </w:rPr>
        <w:t>采购文件</w:t>
      </w:r>
      <w:r>
        <w:rPr>
          <w:rFonts w:hint="eastAsia" w:ascii="宋体" w:hAnsi="宋体"/>
          <w:bCs/>
          <w:sz w:val="24"/>
        </w:rPr>
        <w:t>规定，在投标截止时间前</w:t>
      </w:r>
      <w:r>
        <w:rPr>
          <w:rFonts w:ascii="宋体" w:hAnsi="宋体"/>
          <w:bCs/>
          <w:sz w:val="24"/>
        </w:rPr>
        <w:t>制作</w:t>
      </w:r>
      <w:r>
        <w:rPr>
          <w:rFonts w:hint="eastAsia" w:ascii="宋体" w:hAnsi="宋体"/>
          <w:bCs/>
          <w:sz w:val="24"/>
        </w:rPr>
        <w:t>并上传电子投标文件。</w:t>
      </w:r>
    </w:p>
    <w:p>
      <w:pPr>
        <w:pStyle w:val="10"/>
        <w:rPr>
          <w:rFonts w:hint="eastAsia"/>
          <w:b w:val="0"/>
          <w:bCs/>
        </w:rPr>
      </w:pPr>
      <w:bookmarkStart w:id="131" w:name="_Toc16938542"/>
      <w:bookmarkStart w:id="132" w:name="_Toc20823298"/>
      <w:bookmarkStart w:id="133" w:name="_Toc513029226"/>
      <w:r>
        <w:rPr>
          <w:b w:val="0"/>
          <w:bCs/>
        </w:rPr>
        <w:t>20</w:t>
      </w:r>
      <w:r>
        <w:rPr>
          <w:rFonts w:hint="eastAsia"/>
          <w:b w:val="0"/>
          <w:bCs/>
        </w:rPr>
        <w:t>、投标截止</w:t>
      </w:r>
      <w:bookmarkEnd w:id="131"/>
      <w:bookmarkEnd w:id="132"/>
      <w:bookmarkEnd w:id="133"/>
      <w:r>
        <w:rPr>
          <w:rFonts w:hint="eastAsia"/>
          <w:b w:val="0"/>
          <w:bCs/>
        </w:rPr>
        <w:t>时间</w:t>
      </w:r>
    </w:p>
    <w:p>
      <w:pPr>
        <w:spacing w:line="500" w:lineRule="exact"/>
        <w:ind w:firstLine="480" w:firstLineChars="200"/>
        <w:rPr>
          <w:rFonts w:hint="eastAsia" w:ascii="宋体" w:hAnsi="宋体"/>
          <w:bCs/>
          <w:i/>
          <w:sz w:val="24"/>
          <w:u w:val="single"/>
        </w:rPr>
      </w:pPr>
      <w:r>
        <w:rPr>
          <w:rFonts w:hint="eastAsia" w:ascii="宋体" w:hAnsi="宋体"/>
          <w:i/>
          <w:sz w:val="24"/>
          <w:u w:val="single"/>
        </w:rPr>
        <w:t>20.1</w:t>
      </w:r>
      <w:r>
        <w:rPr>
          <w:rFonts w:hint="eastAsia" w:ascii="宋体" w:hAnsi="宋体"/>
          <w:bCs/>
          <w:i/>
          <w:sz w:val="24"/>
          <w:u w:val="single"/>
        </w:rPr>
        <w:t xml:space="preserve"> 投标人上传电子投标文件的时间不得迟于招标公告中规定的投标截止时间。</w:t>
      </w:r>
    </w:p>
    <w:p>
      <w:pPr>
        <w:spacing w:line="500" w:lineRule="exact"/>
        <w:ind w:firstLine="480" w:firstLineChars="200"/>
        <w:rPr>
          <w:rFonts w:hint="eastAsia" w:ascii="宋体" w:hAnsi="宋体"/>
          <w:color w:val="auto"/>
          <w:sz w:val="24"/>
        </w:rPr>
      </w:pPr>
      <w:r>
        <w:rPr>
          <w:rFonts w:hint="eastAsia" w:ascii="宋体" w:hAnsi="宋体"/>
          <w:bCs/>
          <w:sz w:val="24"/>
        </w:rPr>
        <w:t>投标人应充分考虑到网络环境、网络带宽等风险因素，如因投标人自身原因造成的电</w:t>
      </w:r>
      <w:r>
        <w:rPr>
          <w:rFonts w:hint="eastAsia" w:ascii="宋体" w:hAnsi="宋体"/>
          <w:bCs/>
          <w:color w:val="auto"/>
          <w:sz w:val="24"/>
        </w:rPr>
        <w:t>子投标文件上传不成功由投标人自行承担全部责任。</w:t>
      </w:r>
    </w:p>
    <w:p>
      <w:pPr>
        <w:spacing w:line="500" w:lineRule="exact"/>
        <w:ind w:firstLine="480" w:firstLineChars="200"/>
        <w:rPr>
          <w:rFonts w:hint="eastAsia" w:ascii="宋体" w:hAnsi="宋体"/>
          <w:bCs/>
          <w:color w:val="auto"/>
          <w:sz w:val="24"/>
        </w:rPr>
      </w:pPr>
      <w:r>
        <w:rPr>
          <w:rFonts w:hint="eastAsia" w:ascii="宋体" w:hAnsi="宋体"/>
          <w:color w:val="auto"/>
          <w:sz w:val="24"/>
        </w:rPr>
        <w:t>20.2</w:t>
      </w:r>
      <w:r>
        <w:rPr>
          <w:rFonts w:hint="eastAsia" w:ascii="宋体" w:hAnsi="宋体"/>
          <w:bCs/>
          <w:color w:val="auto"/>
          <w:sz w:val="24"/>
        </w:rPr>
        <w:t xml:space="preserve"> </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bCs/>
          <w:color w:val="auto"/>
          <w:sz w:val="24"/>
        </w:rPr>
        <w:t>可以按照规定，通过修改招标文件酌情延长投标截止时间，在此情况下，投标人的所有权利和义务以及投标人受制的截止时间均应以延长后新的截止时间为准。</w:t>
      </w:r>
    </w:p>
    <w:p>
      <w:pPr>
        <w:pStyle w:val="10"/>
        <w:rPr>
          <w:rFonts w:hint="eastAsia"/>
          <w:b w:val="0"/>
          <w:bCs/>
          <w:color w:val="auto"/>
        </w:rPr>
      </w:pPr>
      <w:bookmarkStart w:id="134" w:name="_Toc20823299"/>
      <w:bookmarkStart w:id="135" w:name="_Toc513029227"/>
      <w:bookmarkStart w:id="136" w:name="_Toc16938543"/>
      <w:r>
        <w:rPr>
          <w:b w:val="0"/>
          <w:bCs/>
          <w:color w:val="auto"/>
        </w:rPr>
        <w:t>21</w:t>
      </w:r>
      <w:r>
        <w:rPr>
          <w:rFonts w:hint="eastAsia"/>
          <w:b w:val="0"/>
          <w:bCs/>
          <w:color w:val="auto"/>
        </w:rPr>
        <w:t>、</w:t>
      </w:r>
      <w:bookmarkEnd w:id="134"/>
      <w:bookmarkEnd w:id="135"/>
      <w:bookmarkEnd w:id="136"/>
      <w:r>
        <w:rPr>
          <w:rFonts w:hint="eastAsia"/>
          <w:b w:val="0"/>
          <w:bCs/>
          <w:color w:val="auto"/>
        </w:rPr>
        <w:t>投标文件的拒收</w:t>
      </w:r>
    </w:p>
    <w:p>
      <w:pPr>
        <w:spacing w:line="500" w:lineRule="exact"/>
        <w:ind w:firstLine="480" w:firstLineChars="200"/>
        <w:rPr>
          <w:rFonts w:ascii="宋体" w:hAnsi="宋体"/>
          <w:bCs/>
          <w:color w:val="auto"/>
          <w:sz w:val="24"/>
        </w:rPr>
      </w:pPr>
      <w:r>
        <w:rPr>
          <w:rFonts w:hint="eastAsia" w:ascii="宋体" w:hAnsi="宋体"/>
          <w:color w:val="auto"/>
          <w:sz w:val="24"/>
        </w:rPr>
        <w:t>21.1</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bCs/>
          <w:color w:val="auto"/>
          <w:sz w:val="24"/>
        </w:rPr>
        <w:t>拒绝接收在其规定的投标截止时间后上传的任何投标文件。</w:t>
      </w:r>
    </w:p>
    <w:p>
      <w:pPr>
        <w:pStyle w:val="10"/>
        <w:rPr>
          <w:rFonts w:hint="eastAsia"/>
          <w:b w:val="0"/>
          <w:bCs/>
          <w:color w:val="auto"/>
        </w:rPr>
      </w:pPr>
      <w:bookmarkStart w:id="137" w:name="_Toc20823300"/>
      <w:bookmarkStart w:id="138" w:name="_Toc513029228"/>
      <w:bookmarkStart w:id="139" w:name="_Toc16938544"/>
      <w:r>
        <w:rPr>
          <w:b w:val="0"/>
          <w:bCs/>
          <w:color w:val="auto"/>
        </w:rPr>
        <w:t>22</w:t>
      </w:r>
      <w:r>
        <w:rPr>
          <w:rFonts w:hint="eastAsia"/>
          <w:b w:val="0"/>
          <w:bCs/>
          <w:color w:val="auto"/>
        </w:rPr>
        <w:t>、投标文件的修改和撤回</w:t>
      </w:r>
      <w:bookmarkEnd w:id="137"/>
      <w:bookmarkEnd w:id="138"/>
      <w:bookmarkEnd w:id="139"/>
    </w:p>
    <w:p>
      <w:pPr>
        <w:spacing w:line="480" w:lineRule="exact"/>
        <w:ind w:firstLine="480" w:firstLineChars="200"/>
        <w:rPr>
          <w:rFonts w:hint="eastAsia" w:ascii="宋体" w:hAnsi="宋体"/>
          <w:sz w:val="24"/>
        </w:rPr>
      </w:pPr>
      <w:r>
        <w:rPr>
          <w:rFonts w:hint="eastAsia" w:ascii="宋体" w:hAnsi="宋体"/>
          <w:sz w:val="24"/>
        </w:rPr>
        <w:t>22.1投标文件的撤回</w:t>
      </w:r>
    </w:p>
    <w:p>
      <w:pPr>
        <w:spacing w:line="480" w:lineRule="exact"/>
        <w:ind w:firstLine="480" w:firstLineChars="200"/>
        <w:rPr>
          <w:rFonts w:ascii="宋体" w:hAnsi="宋体"/>
          <w:sz w:val="24"/>
        </w:rPr>
      </w:pPr>
      <w:r>
        <w:rPr>
          <w:rFonts w:hint="eastAsia" w:ascii="宋体" w:hAnsi="宋体"/>
          <w:sz w:val="24"/>
        </w:rPr>
        <w:t>22.1.1 电子投标文件的撤回</w:t>
      </w:r>
    </w:p>
    <w:p>
      <w:pPr>
        <w:spacing w:line="480" w:lineRule="exact"/>
        <w:ind w:firstLine="480" w:firstLineChars="200"/>
        <w:rPr>
          <w:rFonts w:ascii="宋体" w:hAnsi="宋体"/>
          <w:sz w:val="24"/>
        </w:rPr>
      </w:pPr>
      <w:r>
        <w:rPr>
          <w:rFonts w:hint="eastAsia" w:ascii="宋体" w:hAnsi="宋体"/>
          <w:sz w:val="24"/>
        </w:rPr>
        <w:t>投标人可在投标截止时间前，撤回其电子投标文件。</w:t>
      </w:r>
    </w:p>
    <w:p>
      <w:pPr>
        <w:spacing w:line="480" w:lineRule="exact"/>
        <w:ind w:firstLine="480" w:firstLineChars="200"/>
        <w:rPr>
          <w:rFonts w:ascii="宋体" w:hAnsi="宋体"/>
          <w:sz w:val="24"/>
          <w:szCs w:val="24"/>
        </w:rPr>
      </w:pPr>
      <w:r>
        <w:rPr>
          <w:rFonts w:hint="eastAsia" w:ascii="宋体" w:hAnsi="宋体"/>
          <w:sz w:val="24"/>
          <w:szCs w:val="24"/>
        </w:rPr>
        <w:t>22.1.</w:t>
      </w:r>
      <w:r>
        <w:rPr>
          <w:rFonts w:ascii="宋体" w:hAnsi="宋体"/>
          <w:sz w:val="24"/>
          <w:szCs w:val="24"/>
        </w:rPr>
        <w:t>2</w:t>
      </w:r>
      <w:r>
        <w:rPr>
          <w:rFonts w:hint="eastAsia" w:ascii="宋体" w:hAnsi="宋体"/>
          <w:sz w:val="24"/>
          <w:szCs w:val="24"/>
        </w:rPr>
        <w:t xml:space="preserve"> 投标人撤回电子投标文件，则认为其不再参与本项目投标活动。</w:t>
      </w:r>
    </w:p>
    <w:p>
      <w:pPr>
        <w:spacing w:line="480" w:lineRule="exact"/>
        <w:ind w:firstLine="480" w:firstLineChars="200"/>
        <w:rPr>
          <w:rFonts w:hint="eastAsia" w:ascii="宋体" w:hAnsi="宋体"/>
          <w:bCs/>
          <w:sz w:val="24"/>
        </w:rPr>
      </w:pPr>
    </w:p>
    <w:p>
      <w:pPr>
        <w:spacing w:line="480" w:lineRule="exact"/>
        <w:ind w:firstLine="480" w:firstLineChars="200"/>
        <w:rPr>
          <w:rFonts w:hint="eastAsia" w:ascii="宋体" w:hAnsi="宋体"/>
          <w:bCs/>
          <w:sz w:val="24"/>
        </w:rPr>
      </w:pPr>
      <w:r>
        <w:rPr>
          <w:rFonts w:hint="eastAsia" w:ascii="宋体" w:hAnsi="宋体"/>
          <w:sz w:val="24"/>
        </w:rPr>
        <w:t>22.2</w:t>
      </w:r>
      <w:r>
        <w:rPr>
          <w:rFonts w:hint="eastAsia" w:ascii="宋体" w:hAnsi="宋体"/>
          <w:sz w:val="24"/>
          <w:szCs w:val="24"/>
        </w:rPr>
        <w:t>投标文件的修改</w:t>
      </w:r>
    </w:p>
    <w:p>
      <w:pPr>
        <w:spacing w:line="480" w:lineRule="exact"/>
        <w:ind w:firstLine="480" w:firstLineChars="200"/>
        <w:rPr>
          <w:rFonts w:ascii="宋体" w:hAnsi="宋体"/>
          <w:sz w:val="24"/>
        </w:rPr>
      </w:pPr>
      <w:r>
        <w:rPr>
          <w:rFonts w:hint="eastAsia" w:ascii="宋体" w:hAnsi="宋体"/>
          <w:sz w:val="24"/>
        </w:rPr>
        <w:t>投标人可在投标截止时间前，对其电子投标文件进行修改。</w:t>
      </w:r>
    </w:p>
    <w:p>
      <w:pPr>
        <w:spacing w:line="500" w:lineRule="exact"/>
        <w:ind w:firstLine="480" w:firstLineChars="200"/>
        <w:rPr>
          <w:rFonts w:hint="eastAsia" w:ascii="宋体" w:hAnsi="宋体"/>
          <w:bCs/>
          <w:sz w:val="24"/>
        </w:rPr>
      </w:pPr>
      <w:r>
        <w:rPr>
          <w:rFonts w:hint="eastAsia" w:ascii="宋体" w:hAnsi="宋体"/>
          <w:sz w:val="24"/>
        </w:rPr>
        <w:t>22.3</w:t>
      </w:r>
      <w:r>
        <w:rPr>
          <w:rFonts w:hint="eastAsia" w:ascii="宋体" w:hAnsi="宋体"/>
          <w:bCs/>
          <w:sz w:val="24"/>
        </w:rPr>
        <w:t>在投标截止时间之后，投标人不得对其电子投标文件作任何修改。</w:t>
      </w:r>
    </w:p>
    <w:p>
      <w:pPr>
        <w:spacing w:line="500" w:lineRule="exact"/>
        <w:ind w:firstLine="480" w:firstLineChars="200"/>
        <w:rPr>
          <w:rFonts w:hint="eastAsia" w:ascii="宋体" w:hAnsi="宋体"/>
          <w:bCs/>
          <w:sz w:val="24"/>
        </w:rPr>
      </w:pPr>
      <w:r>
        <w:rPr>
          <w:rFonts w:hint="eastAsia" w:ascii="宋体" w:hAnsi="宋体"/>
          <w:sz w:val="24"/>
        </w:rPr>
        <w:t>22.4</w:t>
      </w:r>
      <w:r>
        <w:rPr>
          <w:rFonts w:hint="eastAsia" w:ascii="宋体" w:hAnsi="宋体"/>
          <w:bCs/>
          <w:sz w:val="24"/>
        </w:rPr>
        <w:t>在投标截止时间至招标文件中规定的投标有效期满之间的这段时间内，投标人不得撤回其投标，否则其投标保证金将不予退还。</w:t>
      </w:r>
    </w:p>
    <w:p>
      <w:pPr>
        <w:pStyle w:val="9"/>
        <w:spacing w:before="145" w:beforeLines="50" w:after="145" w:afterLines="50" w:line="360" w:lineRule="auto"/>
        <w:ind w:firstLine="482" w:firstLineChars="150"/>
        <w:rPr>
          <w:rFonts w:hint="eastAsia"/>
        </w:rPr>
      </w:pPr>
      <w:bookmarkStart w:id="140" w:name="_Toc534725602"/>
      <w:bookmarkStart w:id="141" w:name="_Toc16938545"/>
      <w:bookmarkStart w:id="142" w:name="_Toc513029229"/>
      <w:bookmarkStart w:id="143" w:name="_Toc534816631"/>
      <w:bookmarkStart w:id="144" w:name="_Toc120614218"/>
      <w:bookmarkStart w:id="145" w:name="_Toc20823301"/>
      <w:r>
        <w:rPr>
          <w:rFonts w:hint="eastAsia"/>
        </w:rPr>
        <w:t>五、开标与评标</w:t>
      </w:r>
      <w:bookmarkEnd w:id="140"/>
      <w:bookmarkEnd w:id="141"/>
      <w:bookmarkEnd w:id="142"/>
      <w:bookmarkEnd w:id="143"/>
      <w:bookmarkEnd w:id="144"/>
      <w:bookmarkEnd w:id="145"/>
    </w:p>
    <w:p>
      <w:pPr>
        <w:pStyle w:val="10"/>
        <w:rPr>
          <w:b w:val="0"/>
        </w:rPr>
      </w:pPr>
      <w:bookmarkStart w:id="146" w:name="_Toc16938546"/>
      <w:bookmarkStart w:id="147" w:name="_Toc20823302"/>
      <w:bookmarkStart w:id="148" w:name="_Toc513029230"/>
      <w:r>
        <w:rPr>
          <w:b w:val="0"/>
          <w:bCs/>
        </w:rPr>
        <w:t>23</w:t>
      </w:r>
      <w:r>
        <w:rPr>
          <w:rFonts w:hint="eastAsia"/>
          <w:b w:val="0"/>
          <w:bCs/>
        </w:rPr>
        <w:t>、开标</w:t>
      </w:r>
      <w:bookmarkEnd w:id="146"/>
      <w:bookmarkEnd w:id="147"/>
      <w:bookmarkEnd w:id="148"/>
    </w:p>
    <w:p>
      <w:pPr>
        <w:spacing w:line="480" w:lineRule="exact"/>
        <w:ind w:firstLine="480" w:firstLineChars="200"/>
        <w:rPr>
          <w:rFonts w:ascii="宋体" w:hAnsi="宋体"/>
          <w:sz w:val="24"/>
          <w:szCs w:val="24"/>
        </w:rPr>
      </w:pPr>
      <w:r>
        <w:rPr>
          <w:rFonts w:hint="eastAsia" w:ascii="宋体" w:hAnsi="宋体"/>
          <w:sz w:val="24"/>
        </w:rPr>
        <w:t>23</w:t>
      </w:r>
      <w:r>
        <w:rPr>
          <w:rFonts w:hint="eastAsia" w:ascii="宋体" w:hAnsi="宋体"/>
          <w:color w:val="auto"/>
          <w:sz w:val="24"/>
        </w:rPr>
        <w:t>.1</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bCs/>
          <w:sz w:val="24"/>
        </w:rPr>
        <w:t>将在招标公告中规定的时间和地点组织</w:t>
      </w:r>
      <w:r>
        <w:rPr>
          <w:rFonts w:hint="eastAsia" w:ascii="宋体" w:hAnsi="宋体"/>
          <w:bCs/>
          <w:sz w:val="24"/>
          <w:lang w:val="en-US" w:eastAsia="zh-CN"/>
        </w:rPr>
        <w:t>线上</w:t>
      </w:r>
      <w:r>
        <w:rPr>
          <w:rFonts w:hint="eastAsia" w:ascii="宋体" w:hAnsi="宋体"/>
          <w:bCs/>
          <w:sz w:val="24"/>
        </w:rPr>
        <w:t>公开开标</w:t>
      </w:r>
      <w:r>
        <w:rPr>
          <w:rFonts w:hint="eastAsia" w:ascii="宋体" w:hAnsi="宋体"/>
          <w:sz w:val="24"/>
          <w:szCs w:val="24"/>
        </w:rPr>
        <w:t>。投标人应当</w:t>
      </w:r>
      <w:r>
        <w:rPr>
          <w:rFonts w:ascii="宋体" w:hAnsi="宋体"/>
          <w:sz w:val="24"/>
          <w:szCs w:val="24"/>
        </w:rPr>
        <w:t>参加开标活动。</w:t>
      </w:r>
    </w:p>
    <w:p>
      <w:pPr>
        <w:spacing w:line="480" w:lineRule="exac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highlight w:val="yellow"/>
        </w:rPr>
        <w:t xml:space="preserve"> </w:t>
      </w:r>
      <w:r>
        <w:rPr>
          <w:rFonts w:hint="eastAsia" w:ascii="宋体" w:hAnsi="宋体"/>
          <w:bCs/>
          <w:sz w:val="24"/>
          <w:szCs w:val="24"/>
          <w:highlight w:val="yellow"/>
        </w:rPr>
        <w:t>23.2</w:t>
      </w:r>
      <w:r>
        <w:rPr>
          <w:rFonts w:hint="eastAsia" w:ascii="宋体" w:hAnsi="宋体"/>
          <w:sz w:val="24"/>
          <w:szCs w:val="24"/>
          <w:highlight w:val="yellow"/>
        </w:rPr>
        <w:t>开标</w:t>
      </w:r>
      <w:r>
        <w:rPr>
          <w:rFonts w:hint="eastAsia" w:ascii="宋体" w:hAnsi="宋体"/>
          <w:sz w:val="24"/>
          <w:szCs w:val="24"/>
          <w:highlight w:val="yellow"/>
          <w:lang w:val="en-US" w:eastAsia="zh-CN"/>
        </w:rPr>
        <w:t>过程</w:t>
      </w:r>
      <w:r>
        <w:rPr>
          <w:rFonts w:hint="eastAsia" w:ascii="宋体" w:hAnsi="宋体"/>
          <w:sz w:val="24"/>
          <w:szCs w:val="24"/>
          <w:highlight w:val="yellow"/>
        </w:rPr>
        <w:t>由</w:t>
      </w:r>
      <w:r>
        <w:rPr>
          <w:rFonts w:hint="eastAsia" w:ascii="宋体" w:hAnsi="宋体"/>
          <w:color w:val="0000FF"/>
          <w:sz w:val="24"/>
          <w:highlight w:val="yellow"/>
          <w:lang w:eastAsia="zh-CN"/>
        </w:rPr>
        <w:t>政资</w:t>
      </w:r>
      <w:r>
        <w:rPr>
          <w:rFonts w:hint="eastAsia" w:ascii="宋体" w:hAnsi="宋体"/>
          <w:color w:val="0000FF"/>
          <w:sz w:val="24"/>
          <w:highlight w:val="yellow"/>
        </w:rPr>
        <w:t>中心</w:t>
      </w:r>
      <w:r>
        <w:rPr>
          <w:rFonts w:hint="eastAsia" w:ascii="宋体" w:hAnsi="宋体"/>
          <w:sz w:val="24"/>
          <w:szCs w:val="24"/>
          <w:highlight w:val="yellow"/>
        </w:rPr>
        <w:t>组织。“</w:t>
      </w:r>
      <w:r>
        <w:rPr>
          <w:rFonts w:hint="eastAsia" w:ascii="宋体" w:hAnsi="宋体" w:cs="宋体"/>
          <w:sz w:val="24"/>
          <w:szCs w:val="24"/>
          <w:highlight w:val="yellow"/>
          <w:lang w:val="en-US" w:eastAsia="zh-CN"/>
        </w:rPr>
        <w:t>政采云</w:t>
      </w:r>
      <w:r>
        <w:rPr>
          <w:rFonts w:hint="eastAsia" w:ascii="宋体" w:hAnsi="宋体" w:cs="宋体"/>
          <w:sz w:val="24"/>
          <w:szCs w:val="24"/>
          <w:highlight w:val="yellow"/>
        </w:rPr>
        <w:t>平台不见面开标</w:t>
      </w:r>
      <w:r>
        <w:rPr>
          <w:rFonts w:hint="eastAsia" w:ascii="宋体" w:hAnsi="宋体"/>
          <w:sz w:val="24"/>
          <w:szCs w:val="24"/>
          <w:highlight w:val="yellow"/>
        </w:rPr>
        <w:t>大厅”系统将自动对</w:t>
      </w:r>
      <w:r>
        <w:rPr>
          <w:rFonts w:ascii="宋体" w:hAnsi="宋体"/>
          <w:sz w:val="24"/>
          <w:szCs w:val="24"/>
          <w:highlight w:val="yellow"/>
        </w:rPr>
        <w:t>项目进行开标，并</w:t>
      </w:r>
      <w:r>
        <w:rPr>
          <w:rFonts w:hint="eastAsia" w:ascii="宋体" w:hAnsi="宋体"/>
          <w:sz w:val="24"/>
          <w:szCs w:val="24"/>
          <w:highlight w:val="yellow"/>
        </w:rPr>
        <w:t>公布各</w:t>
      </w:r>
      <w:r>
        <w:rPr>
          <w:rFonts w:ascii="宋体" w:hAnsi="宋体"/>
          <w:sz w:val="24"/>
          <w:szCs w:val="24"/>
          <w:highlight w:val="yellow"/>
        </w:rPr>
        <w:t>投标人的《</w:t>
      </w:r>
      <w:r>
        <w:rPr>
          <w:rFonts w:hint="eastAsia" w:ascii="宋体" w:hAnsi="宋体"/>
          <w:sz w:val="24"/>
          <w:szCs w:val="24"/>
          <w:highlight w:val="yellow"/>
        </w:rPr>
        <w:t>开标</w:t>
      </w:r>
      <w:r>
        <w:rPr>
          <w:rFonts w:ascii="宋体" w:hAnsi="宋体"/>
          <w:sz w:val="24"/>
          <w:szCs w:val="24"/>
          <w:highlight w:val="yellow"/>
        </w:rPr>
        <w:t>一览表》</w:t>
      </w:r>
      <w:r>
        <w:rPr>
          <w:rFonts w:hint="eastAsia" w:ascii="宋体" w:hAnsi="宋体"/>
          <w:sz w:val="24"/>
          <w:szCs w:val="24"/>
          <w:highlight w:val="yellow"/>
        </w:rPr>
        <w:t>。</w:t>
      </w:r>
    </w:p>
    <w:p>
      <w:pPr>
        <w:spacing w:line="500" w:lineRule="exact"/>
        <w:ind w:firstLine="480" w:firstLineChars="200"/>
        <w:rPr>
          <w:rFonts w:hint="eastAsia" w:ascii="宋体" w:hAnsi="宋体"/>
          <w:b/>
          <w:i/>
          <w:sz w:val="24"/>
          <w:szCs w:val="24"/>
          <w:u w:val="single"/>
        </w:rPr>
      </w:pPr>
      <w:r>
        <w:rPr>
          <w:rFonts w:hint="eastAsia" w:ascii="宋体" w:hAnsi="宋体"/>
          <w:sz w:val="24"/>
        </w:rPr>
        <w:t>23.3</w:t>
      </w:r>
      <w:r>
        <w:rPr>
          <w:rFonts w:hint="eastAsia" w:ascii="宋体" w:hAnsi="宋体"/>
          <w:bCs/>
          <w:sz w:val="24"/>
        </w:rPr>
        <w:t>投标人在开标过程中涉及到的投标文件解密、开标结果确认等工作，应按照</w:t>
      </w:r>
      <w:r>
        <w:rPr>
          <w:rFonts w:hint="eastAsia" w:ascii="宋体" w:hAnsi="宋体"/>
          <w:bCs/>
          <w:sz w:val="24"/>
          <w:lang w:val="en-US" w:eastAsia="zh-CN"/>
        </w:rPr>
        <w:t>采购文件</w:t>
      </w:r>
      <w:r>
        <w:rPr>
          <w:rFonts w:hint="eastAsia" w:ascii="宋体" w:hAnsi="宋体"/>
          <w:bCs/>
          <w:sz w:val="24"/>
        </w:rPr>
        <w:t>规定执行。</w:t>
      </w:r>
      <w:r>
        <w:rPr>
          <w:rFonts w:hint="eastAsia" w:ascii="宋体" w:hAnsi="宋体"/>
          <w:sz w:val="24"/>
          <w:szCs w:val="24"/>
        </w:rPr>
        <w:t xml:space="preserve">    </w:t>
      </w:r>
    </w:p>
    <w:p>
      <w:pPr>
        <w:pStyle w:val="10"/>
        <w:rPr>
          <w:rFonts w:hint="eastAsia"/>
          <w:b w:val="0"/>
        </w:rPr>
      </w:pPr>
      <w:bookmarkStart w:id="149" w:name="_Toc16938547"/>
      <w:bookmarkStart w:id="150" w:name="_Toc513029231"/>
      <w:bookmarkStart w:id="151" w:name="_Toc20823303"/>
      <w:r>
        <w:rPr>
          <w:b w:val="0"/>
          <w:bCs/>
        </w:rPr>
        <w:t>24</w:t>
      </w:r>
      <w:r>
        <w:rPr>
          <w:rFonts w:hint="eastAsia"/>
          <w:b w:val="0"/>
          <w:bCs/>
        </w:rPr>
        <w:t>、评标委员会</w:t>
      </w:r>
    </w:p>
    <w:p>
      <w:pPr>
        <w:spacing w:line="48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24.1</w:t>
      </w:r>
      <w:r>
        <w:rPr>
          <w:rFonts w:hint="eastAsia" w:ascii="宋体" w:hAnsi="宋体"/>
          <w:b/>
          <w:sz w:val="24"/>
          <w:szCs w:val="24"/>
        </w:rPr>
        <w:t xml:space="preserve"> </w:t>
      </w:r>
      <w:r>
        <w:rPr>
          <w:rFonts w:hint="eastAsia" w:ascii="宋体" w:hAnsi="宋体"/>
          <w:sz w:val="24"/>
          <w:szCs w:val="24"/>
        </w:rPr>
        <w:t>开标后，</w:t>
      </w:r>
      <w:r>
        <w:rPr>
          <w:rFonts w:hint="eastAsia" w:ascii="宋体" w:hAnsi="宋体"/>
          <w:sz w:val="24"/>
          <w:szCs w:val="24"/>
          <w:lang w:eastAsia="zh-CN"/>
        </w:rPr>
        <w:t>政资中心</w:t>
      </w:r>
      <w:r>
        <w:rPr>
          <w:rFonts w:hint="eastAsia" w:ascii="宋体" w:hAnsi="宋体"/>
          <w:sz w:val="24"/>
          <w:szCs w:val="24"/>
        </w:rPr>
        <w:t>将立即组织评标委员会（以下简称评委会）进行评标。</w:t>
      </w:r>
    </w:p>
    <w:p>
      <w:pPr>
        <w:spacing w:line="48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24.2 评委会由采购人代表和有关技术、经济等方面的专家组成，且人员构成符合政府采购有关规定。</w:t>
      </w:r>
    </w:p>
    <w:p>
      <w:pPr>
        <w:spacing w:line="48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24.3评委会独立工作，负责评审所有投标文件并确定中标侯选人。</w:t>
      </w:r>
    </w:p>
    <w:p>
      <w:pPr>
        <w:pStyle w:val="10"/>
        <w:rPr>
          <w:rFonts w:hint="eastAsia" w:ascii="黑体"/>
          <w:b w:val="0"/>
        </w:rPr>
      </w:pPr>
      <w:r>
        <w:rPr>
          <w:rFonts w:hint="eastAsia" w:ascii="黑体"/>
          <w:b w:val="0"/>
          <w:bCs/>
        </w:rPr>
        <w:t>25．评标过程的保密与公正</w:t>
      </w:r>
    </w:p>
    <w:bookmarkEnd w:id="149"/>
    <w:bookmarkEnd w:id="150"/>
    <w:bookmarkEnd w:id="151"/>
    <w:p>
      <w:pPr>
        <w:spacing w:line="500" w:lineRule="exact"/>
        <w:ind w:firstLine="480" w:firstLineChars="200"/>
        <w:rPr>
          <w:rFonts w:hint="eastAsia" w:ascii="宋体" w:hAnsi="宋体"/>
          <w:bCs/>
          <w:color w:val="auto"/>
          <w:sz w:val="24"/>
        </w:rPr>
      </w:pPr>
      <w:r>
        <w:rPr>
          <w:rFonts w:hint="eastAsia" w:ascii="宋体" w:hAnsi="宋体"/>
          <w:sz w:val="24"/>
        </w:rPr>
        <w:t>25.1</w:t>
      </w:r>
      <w:r>
        <w:rPr>
          <w:rFonts w:hint="eastAsia" w:ascii="宋体" w:hAnsi="宋体"/>
          <w:bCs/>
          <w:sz w:val="24"/>
        </w:rPr>
        <w:t>公开开标后，直至向中标的投标人授予合同时</w:t>
      </w:r>
      <w:r>
        <w:rPr>
          <w:rFonts w:hint="eastAsia" w:ascii="宋体" w:hAnsi="宋体"/>
          <w:bCs/>
          <w:color w:val="auto"/>
          <w:sz w:val="24"/>
        </w:rPr>
        <w:t>止，凡是与审查、澄清、评价和比较投标的有关资料以及授标建议等，采购人、评委、</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bCs/>
          <w:color w:val="auto"/>
          <w:sz w:val="24"/>
        </w:rPr>
        <w:t>均不得向投标人或与评标无关的其他人员透露。</w:t>
      </w:r>
    </w:p>
    <w:p>
      <w:pPr>
        <w:spacing w:line="480" w:lineRule="exact"/>
        <w:ind w:firstLine="480" w:firstLineChars="200"/>
        <w:rPr>
          <w:rFonts w:hint="eastAsia" w:ascii="宋体" w:hAnsi="宋体"/>
          <w:color w:val="auto"/>
          <w:sz w:val="24"/>
          <w:szCs w:val="24"/>
        </w:rPr>
      </w:pPr>
      <w:r>
        <w:rPr>
          <w:rFonts w:hint="eastAsia" w:ascii="宋体" w:hAnsi="宋体"/>
          <w:color w:val="auto"/>
          <w:sz w:val="24"/>
        </w:rPr>
        <w:t>25.2</w:t>
      </w:r>
      <w:r>
        <w:rPr>
          <w:rFonts w:hint="eastAsia" w:ascii="宋体" w:hAnsi="宋体"/>
          <w:color w:val="auto"/>
          <w:sz w:val="24"/>
          <w:szCs w:val="24"/>
        </w:rPr>
        <w:t>在评标过程中，投标人不得以任何行为影响评标过程，否则其投标文件将被作为无效投标文件。</w:t>
      </w:r>
    </w:p>
    <w:p>
      <w:pPr>
        <w:spacing w:line="480" w:lineRule="exact"/>
        <w:ind w:firstLine="480" w:firstLineChars="200"/>
        <w:rPr>
          <w:rFonts w:hint="eastAsia" w:ascii="宋体" w:hAnsi="宋体"/>
          <w:color w:val="auto"/>
          <w:sz w:val="24"/>
          <w:szCs w:val="24"/>
        </w:rPr>
      </w:pPr>
      <w:r>
        <w:rPr>
          <w:rFonts w:hint="eastAsia" w:ascii="宋体" w:hAnsi="宋体"/>
          <w:color w:val="auto"/>
          <w:sz w:val="24"/>
        </w:rPr>
        <w:t>25.3</w:t>
      </w:r>
      <w:r>
        <w:rPr>
          <w:rFonts w:hint="eastAsia" w:ascii="宋体" w:hAnsi="宋体"/>
          <w:color w:val="auto"/>
          <w:sz w:val="24"/>
          <w:szCs w:val="24"/>
        </w:rPr>
        <w:t>在评标期间，</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color w:val="auto"/>
          <w:sz w:val="24"/>
          <w:szCs w:val="24"/>
        </w:rPr>
        <w:t>将设专门人员与投标人联系。</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25.4</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color w:val="auto"/>
          <w:sz w:val="24"/>
          <w:szCs w:val="24"/>
        </w:rPr>
        <w:t>和评标委员会不向未中标的投标人解释未中标原因，也不公布评标过程中的相关细节。</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25.5 采用综合评分法的项目，未中标的投标人如需了解自己的</w:t>
      </w:r>
      <w:r>
        <w:rPr>
          <w:rFonts w:hint="eastAsia" w:ascii="宋体" w:hAnsi="宋体"/>
          <w:color w:val="auto"/>
          <w:sz w:val="24"/>
          <w:szCs w:val="24"/>
          <w:lang w:val="en-US" w:eastAsia="zh-CN"/>
        </w:rPr>
        <w:t>评标</w:t>
      </w:r>
      <w:r>
        <w:rPr>
          <w:rFonts w:hint="eastAsia" w:ascii="宋体" w:hAnsi="宋体"/>
          <w:color w:val="auto"/>
          <w:sz w:val="24"/>
          <w:szCs w:val="24"/>
        </w:rPr>
        <w:t>得分及排序情况，可于中标结果公告期限届满之日起7个工作日内，由其法定代表人或授权代表携带本人有效身份证件到</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color w:val="auto"/>
          <w:sz w:val="24"/>
          <w:szCs w:val="24"/>
        </w:rPr>
        <w:t>登记查询，逾期将不予受理。</w:t>
      </w:r>
    </w:p>
    <w:p>
      <w:pPr>
        <w:pStyle w:val="10"/>
        <w:rPr>
          <w:rFonts w:hint="eastAsia"/>
          <w:b w:val="0"/>
          <w:color w:val="auto"/>
        </w:rPr>
      </w:pPr>
      <w:bookmarkStart w:id="152" w:name="_Toc16938548"/>
      <w:bookmarkStart w:id="153" w:name="_Toc513029232"/>
      <w:bookmarkStart w:id="154" w:name="_Toc20823304"/>
      <w:r>
        <w:rPr>
          <w:b w:val="0"/>
          <w:bCs/>
          <w:color w:val="auto"/>
        </w:rPr>
        <w:t>26</w:t>
      </w:r>
      <w:r>
        <w:rPr>
          <w:rFonts w:hint="eastAsia"/>
          <w:b w:val="0"/>
          <w:bCs/>
          <w:color w:val="auto"/>
        </w:rPr>
        <w:t>．投标的澄清</w:t>
      </w:r>
      <w:bookmarkEnd w:id="152"/>
      <w:bookmarkEnd w:id="153"/>
      <w:bookmarkEnd w:id="154"/>
    </w:p>
    <w:p>
      <w:pPr>
        <w:spacing w:line="480" w:lineRule="exact"/>
        <w:ind w:firstLine="480" w:firstLineChars="200"/>
        <w:rPr>
          <w:rFonts w:ascii="宋体" w:hAnsi="宋体"/>
          <w:sz w:val="24"/>
          <w:szCs w:val="24"/>
        </w:rPr>
      </w:pPr>
      <w:r>
        <w:rPr>
          <w:rFonts w:hint="eastAsia" w:ascii="宋体" w:hAnsi="宋体"/>
          <w:sz w:val="24"/>
          <w:szCs w:val="24"/>
        </w:rPr>
        <w:t>26.1评标期间，为有助于对投标文件的审查、评价和比较，评委会有权以发送电子函件、召开视频会议或其它适当的方式要求投标人对其投标文件进行澄清，但并非对每个投标人都作澄清要求。</w:t>
      </w:r>
    </w:p>
    <w:p>
      <w:pPr>
        <w:spacing w:line="480" w:lineRule="exact"/>
        <w:rPr>
          <w:rFonts w:hint="eastAsia" w:ascii="宋体" w:hAnsi="宋体"/>
          <w:sz w:val="24"/>
          <w:szCs w:val="24"/>
        </w:rPr>
      </w:pPr>
      <w:r>
        <w:rPr>
          <w:rFonts w:hint="eastAsia" w:ascii="宋体" w:hAnsi="宋体"/>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spacing w:line="480" w:lineRule="exact"/>
        <w:rPr>
          <w:rFonts w:hint="eastAsia" w:ascii="宋体" w:hAnsi="宋体"/>
          <w:sz w:val="24"/>
          <w:szCs w:val="24"/>
        </w:rPr>
      </w:pPr>
      <w:r>
        <w:rPr>
          <w:rFonts w:hint="eastAsia" w:ascii="宋体" w:hAnsi="宋体"/>
          <w:sz w:val="24"/>
          <w:szCs w:val="24"/>
        </w:rPr>
        <w:t xml:space="preserve">    26.3 接到评委会澄清要求的投标人如未按规定做出澄清，其风险由投标人自行承担。</w:t>
      </w:r>
    </w:p>
    <w:p>
      <w:pPr>
        <w:pStyle w:val="10"/>
        <w:rPr>
          <w:rFonts w:hint="eastAsia"/>
          <w:b w:val="0"/>
        </w:rPr>
      </w:pPr>
      <w:bookmarkStart w:id="155" w:name="_Toc513029233"/>
      <w:bookmarkStart w:id="156" w:name="_Toc16938549"/>
      <w:bookmarkStart w:id="157" w:name="_Toc20823305"/>
      <w:r>
        <w:rPr>
          <w:b w:val="0"/>
          <w:bCs/>
        </w:rPr>
        <w:t>27</w:t>
      </w:r>
      <w:r>
        <w:rPr>
          <w:rFonts w:hint="eastAsia"/>
          <w:b w:val="0"/>
          <w:bCs/>
        </w:rPr>
        <w:t>、对投标文件的初审</w:t>
      </w:r>
      <w:bookmarkEnd w:id="155"/>
      <w:bookmarkEnd w:id="156"/>
      <w:bookmarkEnd w:id="157"/>
    </w:p>
    <w:p>
      <w:pPr>
        <w:spacing w:line="460" w:lineRule="exact"/>
        <w:ind w:firstLine="480" w:firstLineChars="200"/>
        <w:rPr>
          <w:rFonts w:ascii="宋体" w:hAnsi="宋体"/>
          <w:bCs/>
          <w:sz w:val="24"/>
        </w:rPr>
      </w:pPr>
      <w:r>
        <w:rPr>
          <w:rFonts w:hint="eastAsia" w:ascii="宋体" w:hAnsi="宋体"/>
          <w:sz w:val="24"/>
        </w:rPr>
        <w:t>27.1</w:t>
      </w:r>
      <w:r>
        <w:rPr>
          <w:rFonts w:hint="eastAsia" w:ascii="宋体" w:hAnsi="宋体"/>
          <w:bCs/>
          <w:sz w:val="24"/>
        </w:rPr>
        <w:t>投标文件初审分为资格审查和符合性审查。</w:t>
      </w:r>
    </w:p>
    <w:p>
      <w:pPr>
        <w:spacing w:line="460" w:lineRule="exact"/>
        <w:ind w:firstLine="480" w:firstLineChars="200"/>
        <w:rPr>
          <w:rFonts w:hint="eastAsia" w:ascii="宋体" w:hAnsi="宋体"/>
          <w:bCs/>
          <w:sz w:val="24"/>
        </w:rPr>
      </w:pPr>
      <w:r>
        <w:rPr>
          <w:rFonts w:hint="eastAsia" w:ascii="宋体" w:hAnsi="宋体"/>
          <w:bCs/>
          <w:sz w:val="24"/>
        </w:rPr>
        <w:t>27.1.1 资格审查：依据法律法规和招标文件的规定，由采购人对投标文件中的资格证明文件进行审查。资格审查的结论，采购人以书面形式向评委会进行反馈。</w:t>
      </w:r>
    </w:p>
    <w:p>
      <w:pPr>
        <w:wordWrap w:val="0"/>
        <w:spacing w:line="460" w:lineRule="exact"/>
        <w:ind w:firstLine="480" w:firstLineChars="200"/>
        <w:rPr>
          <w:rFonts w:hint="eastAsia" w:ascii="宋体" w:hAnsi="宋体"/>
          <w:bCs/>
          <w:sz w:val="24"/>
        </w:rPr>
      </w:pPr>
      <w:r>
        <w:rPr>
          <w:rFonts w:hint="eastAsia" w:ascii="宋体" w:hAnsi="宋体"/>
          <w:bCs/>
          <w:sz w:val="24"/>
        </w:rPr>
        <w:t>采购人在进行资格性审查的同时，将在“信用中国”网站（www.creditchina.gov.cn）</w:t>
      </w:r>
      <w:r>
        <w:rPr>
          <w:rFonts w:hint="eastAsia" w:ascii="宋体" w:hAnsi="宋体"/>
          <w:bCs/>
          <w:sz w:val="24"/>
          <w:lang w:eastAsia="zh-CN"/>
        </w:rPr>
        <w:t>、“中国政府采购网”(www.ccgp.gov.cn)</w:t>
      </w:r>
      <w:r>
        <w:rPr>
          <w:rFonts w:hint="eastAsia" w:ascii="宋体" w:hAnsi="宋体"/>
          <w:bCs/>
          <w:sz w:val="24"/>
        </w:rPr>
        <w:t>对投标人是否被列入失信被执行人、重大税收违法案件当事人名单、政府采购严重失信行为记录名单情况进行查询，以确定投标人是否具备投标资格。查询结果将以网页打印的形式留存并归档。</w:t>
      </w:r>
    </w:p>
    <w:p>
      <w:pPr>
        <w:spacing w:line="460" w:lineRule="exact"/>
        <w:ind w:firstLine="480" w:firstLineChars="200"/>
        <w:rPr>
          <w:rFonts w:hint="eastAsia"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pPr>
        <w:spacing w:line="460" w:lineRule="exact"/>
        <w:ind w:firstLine="480" w:firstLineChars="200"/>
        <w:rPr>
          <w:rFonts w:hint="eastAsia" w:ascii="宋体" w:hAnsi="宋体"/>
          <w:bCs/>
          <w:color w:val="auto"/>
          <w:sz w:val="24"/>
        </w:rPr>
      </w:pPr>
      <w:r>
        <w:rPr>
          <w:rFonts w:hint="eastAsia" w:ascii="宋体" w:hAnsi="宋体"/>
          <w:bCs/>
          <w:sz w:val="24"/>
        </w:rPr>
        <w:t>27.1.2 符合性审查：依据招标文件的规定，由评委会从投标文件的有效性、完整性和对招标文件的响应程度进行审查，以确定是否对招</w:t>
      </w:r>
      <w:r>
        <w:rPr>
          <w:rFonts w:hint="eastAsia" w:ascii="宋体" w:hAnsi="宋体"/>
          <w:bCs/>
          <w:color w:val="auto"/>
          <w:sz w:val="24"/>
        </w:rPr>
        <w:t>标文件的实质性要求作出响应。</w:t>
      </w:r>
    </w:p>
    <w:p>
      <w:pPr>
        <w:spacing w:line="460" w:lineRule="exact"/>
        <w:ind w:firstLine="480" w:firstLineChars="200"/>
        <w:rPr>
          <w:rFonts w:hint="eastAsia" w:ascii="宋体" w:hAnsi="宋体"/>
          <w:bCs/>
          <w:color w:val="auto"/>
          <w:sz w:val="24"/>
        </w:rPr>
      </w:pPr>
      <w:r>
        <w:rPr>
          <w:rFonts w:hint="eastAsia" w:ascii="宋体" w:hAnsi="宋体"/>
          <w:bCs/>
          <w:color w:val="auto"/>
          <w:sz w:val="24"/>
        </w:rPr>
        <w:t>27.1.3 未通过资格审查或符合性审查的投标人，</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bCs/>
          <w:color w:val="auto"/>
          <w:sz w:val="24"/>
          <w:lang w:val="en-US" w:eastAsia="zh-Hans"/>
        </w:rPr>
        <w:t>将</w:t>
      </w:r>
      <w:r>
        <w:rPr>
          <w:rFonts w:hint="eastAsia" w:ascii="宋体" w:hAnsi="宋体"/>
          <w:bCs/>
          <w:color w:val="auto"/>
          <w:sz w:val="24"/>
        </w:rPr>
        <w:t>向其授权代表告知未通过资格审查或符合性审查的原因</w:t>
      </w:r>
      <w:r>
        <w:rPr>
          <w:rFonts w:hint="eastAsia" w:ascii="宋体" w:hAnsi="宋体" w:eastAsia="宋体" w:cs="Times New Roman"/>
          <w:bCs/>
          <w:color w:val="auto"/>
          <w:sz w:val="24"/>
          <w:lang w:eastAsia="zh-Hans"/>
        </w:rPr>
        <w:t>，</w:t>
      </w:r>
      <w:r>
        <w:rPr>
          <w:rFonts w:hint="eastAsia" w:ascii="宋体" w:hAnsi="宋体" w:eastAsia="宋体" w:cs="Times New Roman"/>
          <w:bCs/>
          <w:color w:val="auto"/>
          <w:sz w:val="24"/>
          <w:lang w:val="en-US" w:eastAsia="en-US"/>
        </w:rPr>
        <w:t>采用综合评分法</w:t>
      </w:r>
      <w:r>
        <w:rPr>
          <w:rFonts w:hint="eastAsia" w:ascii="宋体" w:hAnsi="宋体" w:eastAsia="宋体" w:cs="Times New Roman"/>
          <w:bCs/>
          <w:color w:val="auto"/>
          <w:sz w:val="24"/>
          <w:lang w:val="en-US" w:eastAsia="zh-CN"/>
        </w:rPr>
        <w:t>评标</w:t>
      </w:r>
      <w:r>
        <w:rPr>
          <w:rFonts w:hint="eastAsia" w:ascii="宋体" w:hAnsi="宋体" w:eastAsia="宋体" w:cs="Times New Roman"/>
          <w:bCs/>
          <w:color w:val="auto"/>
          <w:sz w:val="24"/>
          <w:lang w:val="en-US" w:eastAsia="en-US"/>
        </w:rPr>
        <w:t>的，还应当告知未中标人本人的</w:t>
      </w:r>
      <w:r>
        <w:rPr>
          <w:rFonts w:hint="eastAsia" w:ascii="宋体" w:hAnsi="宋体" w:eastAsia="宋体" w:cs="Times New Roman"/>
          <w:bCs/>
          <w:color w:val="auto"/>
          <w:sz w:val="24"/>
          <w:lang w:val="en-US" w:eastAsia="zh-CN"/>
        </w:rPr>
        <w:t>评标</w:t>
      </w:r>
      <w:r>
        <w:rPr>
          <w:rFonts w:hint="eastAsia" w:ascii="宋体" w:hAnsi="宋体" w:eastAsia="宋体" w:cs="Times New Roman"/>
          <w:bCs/>
          <w:color w:val="auto"/>
          <w:sz w:val="24"/>
          <w:lang w:val="en-US" w:eastAsia="en-US"/>
        </w:rPr>
        <w:t>得分与排序。</w:t>
      </w:r>
    </w:p>
    <w:p>
      <w:pPr>
        <w:spacing w:line="480" w:lineRule="exact"/>
        <w:ind w:firstLine="480" w:firstLineChars="200"/>
        <w:rPr>
          <w:rFonts w:hint="eastAsia" w:ascii="宋体" w:hAnsi="宋体"/>
          <w:sz w:val="24"/>
          <w:szCs w:val="24"/>
        </w:rPr>
      </w:pPr>
      <w:r>
        <w:rPr>
          <w:rFonts w:hint="eastAsia" w:ascii="宋体" w:hAnsi="宋体"/>
          <w:sz w:val="24"/>
        </w:rPr>
        <w:t>27.2</w:t>
      </w:r>
      <w:r>
        <w:rPr>
          <w:rFonts w:hint="eastAsia" w:ascii="宋体" w:hAnsi="宋体"/>
          <w:sz w:val="24"/>
          <w:szCs w:val="24"/>
        </w:rPr>
        <w:t>在详细评标之前，评委会将首先审查每份投标文件是否实质性响应了招标文件的要求。实质性响应的投标应该是与招标文件要求的全部条款、条件和规格相符，没有重大偏离或保留的投标。</w:t>
      </w:r>
    </w:p>
    <w:p>
      <w:pPr>
        <w:spacing w:line="460" w:lineRule="exact"/>
        <w:ind w:firstLine="480" w:firstLineChars="200"/>
        <w:rPr>
          <w:rFonts w:ascii="宋体" w:hAnsi="宋体"/>
          <w:bCs/>
          <w:sz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bCs/>
          <w:sz w:val="24"/>
        </w:rPr>
        <w:t>评委决定投标文件的响应性只根据投标文件本身的内容，而不寻求外部的证据。</w:t>
      </w:r>
    </w:p>
    <w:p>
      <w:pPr>
        <w:spacing w:line="460" w:lineRule="exact"/>
        <w:ind w:firstLine="480" w:firstLineChars="200"/>
        <w:rPr>
          <w:rFonts w:hint="eastAsia" w:ascii="宋体" w:hAnsi="宋体"/>
          <w:bCs/>
          <w:sz w:val="24"/>
        </w:rPr>
      </w:pPr>
      <w:r>
        <w:rPr>
          <w:rFonts w:hint="eastAsia" w:ascii="宋体" w:hAnsi="宋体"/>
          <w:sz w:val="24"/>
        </w:rPr>
        <w:t>27.3</w:t>
      </w:r>
      <w:r>
        <w:rPr>
          <w:rFonts w:hint="eastAsia" w:ascii="宋体" w:hAnsi="宋体"/>
          <w:bCs/>
          <w:sz w:val="24"/>
        </w:rPr>
        <w:t>如果投标文件实质上没有响应招标文件的要求，评委会将予以拒绝，投标人不得通过修改或撤销不合要求的偏离或保留而使其投标成为实质性响应的投标。</w:t>
      </w:r>
    </w:p>
    <w:p>
      <w:pPr>
        <w:spacing w:line="460" w:lineRule="exact"/>
        <w:ind w:firstLine="480" w:firstLineChars="200"/>
        <w:rPr>
          <w:rFonts w:hint="eastAsia" w:ascii="宋体" w:hAnsi="宋体" w:eastAsia="宋体" w:cs="Times New Roman"/>
          <w:bCs/>
          <w:sz w:val="24"/>
        </w:rPr>
      </w:pPr>
      <w:r>
        <w:rPr>
          <w:rFonts w:hint="eastAsia" w:ascii="宋体" w:hAnsi="宋体"/>
          <w:sz w:val="24"/>
        </w:rPr>
        <w:t>27.4</w:t>
      </w:r>
      <w:r>
        <w:rPr>
          <w:rFonts w:hint="eastAsia" w:ascii="宋体" w:hAnsi="宋体"/>
          <w:bCs/>
          <w:sz w:val="24"/>
        </w:rPr>
        <w:t>评委会将对确定为实质性响应的投标进行进一步审核，</w:t>
      </w:r>
      <w:r>
        <w:rPr>
          <w:rFonts w:hint="eastAsia" w:ascii="宋体" w:hAnsi="宋体" w:eastAsia="宋体" w:cs="Times New Roman"/>
          <w:bCs/>
          <w:sz w:val="24"/>
          <w:lang w:val="en-US" w:eastAsia="en-US"/>
        </w:rPr>
        <w:t>投标文件报价出现前后不一致的，除招标文件另有规定外,按照下列规定修正</w:t>
      </w:r>
      <w:r>
        <w:rPr>
          <w:rFonts w:hint="eastAsia" w:ascii="宋体" w:hAnsi="宋体" w:eastAsia="宋体" w:cs="Times New Roman"/>
          <w:bCs/>
          <w:sz w:val="24"/>
        </w:rPr>
        <w:t>：</w:t>
      </w:r>
    </w:p>
    <w:p>
      <w:pPr>
        <w:spacing w:line="460" w:lineRule="exact"/>
        <w:ind w:firstLine="480" w:firstLineChars="200"/>
        <w:rPr>
          <w:rFonts w:hint="eastAsia" w:ascii="宋体" w:hAnsi="宋体"/>
          <w:bCs/>
          <w:sz w:val="24"/>
        </w:rPr>
      </w:pPr>
      <w:r>
        <w:rPr>
          <w:rFonts w:hint="eastAsia" w:ascii="宋体" w:hAnsi="宋体" w:eastAsia="宋体" w:cs="Times New Roman"/>
          <w:bCs/>
          <w:sz w:val="24"/>
        </w:rPr>
        <w:t>（1）投标文</w:t>
      </w:r>
      <w:r>
        <w:rPr>
          <w:rFonts w:hint="eastAsia" w:ascii="宋体" w:hAnsi="宋体"/>
          <w:bCs/>
          <w:sz w:val="24"/>
        </w:rPr>
        <w:t>件中开标一览表内容与投标文件中相应内容不一致的，以开标一览表为准。</w:t>
      </w:r>
    </w:p>
    <w:p>
      <w:pPr>
        <w:spacing w:line="460" w:lineRule="exact"/>
        <w:ind w:firstLine="480" w:firstLineChars="200"/>
        <w:rPr>
          <w:rFonts w:hint="eastAsia" w:ascii="宋体" w:hAnsi="宋体"/>
          <w:bCs/>
          <w:sz w:val="24"/>
        </w:rPr>
      </w:pPr>
      <w:r>
        <w:rPr>
          <w:rFonts w:hint="eastAsia" w:ascii="宋体" w:hAnsi="宋体"/>
          <w:bCs/>
          <w:sz w:val="24"/>
        </w:rPr>
        <w:t>（2）大写金额和小写金额不一致的，以大写金额为准。</w:t>
      </w:r>
    </w:p>
    <w:p>
      <w:pPr>
        <w:spacing w:line="460" w:lineRule="exact"/>
        <w:ind w:firstLine="480" w:firstLineChars="200"/>
        <w:rPr>
          <w:rFonts w:hint="eastAsia" w:ascii="宋体" w:hAnsi="宋体"/>
          <w:bCs/>
          <w:sz w:val="24"/>
        </w:rPr>
      </w:pPr>
      <w:r>
        <w:rPr>
          <w:rFonts w:hint="eastAsia" w:ascii="宋体" w:hAnsi="宋体"/>
          <w:bCs/>
          <w:sz w:val="24"/>
        </w:rPr>
        <w:t>（3）单价金额小数点或者百分比有明显错位的，以开标一览表的总价为准，并修改单价。</w:t>
      </w:r>
    </w:p>
    <w:p>
      <w:pPr>
        <w:spacing w:line="460" w:lineRule="exact"/>
        <w:ind w:firstLine="480" w:firstLineChars="200"/>
        <w:rPr>
          <w:rFonts w:hint="eastAsia" w:ascii="宋体" w:hAnsi="宋体"/>
          <w:bCs/>
          <w:sz w:val="24"/>
        </w:rPr>
      </w:pPr>
      <w:r>
        <w:rPr>
          <w:rFonts w:hint="eastAsia" w:ascii="宋体" w:hAnsi="宋体"/>
          <w:bCs/>
          <w:sz w:val="24"/>
        </w:rPr>
        <w:t>（4）总价金额与按单价汇总金额不一致的，以单价金额计算结果为准。</w:t>
      </w:r>
    </w:p>
    <w:p>
      <w:pPr>
        <w:spacing w:line="460" w:lineRule="exact"/>
        <w:ind w:firstLine="480" w:firstLineChars="200"/>
        <w:rPr>
          <w:rFonts w:hint="eastAsia" w:ascii="宋体" w:hAnsi="宋体"/>
          <w:bCs/>
          <w:sz w:val="24"/>
        </w:rPr>
      </w:pPr>
      <w:r>
        <w:rPr>
          <w:rFonts w:hint="eastAsia" w:ascii="宋体" w:hAnsi="宋体"/>
          <w:bCs/>
          <w:sz w:val="24"/>
        </w:rPr>
        <w:t>同时出现两种以上错误的，按照前款规定的顺序修正。</w:t>
      </w:r>
    </w:p>
    <w:p>
      <w:pPr>
        <w:spacing w:line="460" w:lineRule="exact"/>
        <w:ind w:firstLine="480" w:firstLineChars="200"/>
        <w:rPr>
          <w:rFonts w:hint="eastAsia" w:ascii="宋体" w:hAnsi="宋体"/>
          <w:bCs/>
          <w:sz w:val="24"/>
        </w:rPr>
      </w:pPr>
      <w:r>
        <w:rPr>
          <w:rFonts w:hint="eastAsia" w:ascii="宋体" w:hAnsi="宋体"/>
          <w:sz w:val="24"/>
        </w:rPr>
        <w:t>27.5</w:t>
      </w:r>
      <w:r>
        <w:rPr>
          <w:rFonts w:hint="eastAsia" w:ascii="宋体" w:hAnsi="宋体"/>
          <w:bCs/>
          <w:sz w:val="24"/>
        </w:rPr>
        <w:t>评委会将按上述修正错误的方法调整投标文件中的投标报价，</w:t>
      </w:r>
      <w:r>
        <w:rPr>
          <w:rFonts w:hint="eastAsia" w:ascii="宋体" w:hAnsi="宋体" w:eastAsia="宋体" w:cs="Times New Roman"/>
          <w:bCs/>
          <w:sz w:val="24"/>
        </w:rPr>
        <w:t>并通过</w:t>
      </w:r>
      <w:r>
        <w:rPr>
          <w:rFonts w:hint="eastAsia" w:ascii="宋体" w:hAnsi="宋体" w:eastAsia="宋体" w:cs="Times New Roman"/>
          <w:bCs/>
          <w:sz w:val="24"/>
          <w:lang w:val="en-US" w:eastAsia="en-US"/>
        </w:rPr>
        <w:t>书面形式</w:t>
      </w:r>
      <w:r>
        <w:rPr>
          <w:rFonts w:hint="eastAsia" w:ascii="宋体" w:hAnsi="宋体" w:eastAsia="宋体" w:cs="Times New Roman"/>
          <w:bCs/>
          <w:sz w:val="24"/>
          <w:lang w:val="en-US" w:eastAsia="zh-Hans"/>
        </w:rPr>
        <w:t>告知投标人</w:t>
      </w:r>
      <w:r>
        <w:rPr>
          <w:rFonts w:hint="eastAsia" w:ascii="宋体" w:hAnsi="宋体" w:eastAsia="宋体" w:cs="Times New Roman"/>
          <w:bCs/>
          <w:sz w:val="24"/>
        </w:rPr>
        <w:t>，调整后的价格应对投标人具有约束力。如果投标人不接受修正后的价格，则其投标</w:t>
      </w:r>
      <w:r>
        <w:rPr>
          <w:rFonts w:hint="eastAsia" w:ascii="宋体" w:hAnsi="宋体"/>
          <w:bCs/>
          <w:sz w:val="24"/>
        </w:rPr>
        <w:t>将被拒绝，其投标保证金不予退还。</w:t>
      </w:r>
    </w:p>
    <w:p>
      <w:pPr>
        <w:spacing w:line="460" w:lineRule="exact"/>
        <w:ind w:firstLine="480" w:firstLineChars="200"/>
        <w:rPr>
          <w:rFonts w:hint="eastAsia" w:ascii="宋体" w:hAnsi="宋体"/>
          <w:bCs/>
          <w:sz w:val="24"/>
        </w:rPr>
      </w:pPr>
      <w:r>
        <w:rPr>
          <w:rFonts w:hint="eastAsia" w:ascii="宋体" w:hAnsi="宋体"/>
          <w:sz w:val="24"/>
        </w:rPr>
        <w:t>27.6</w:t>
      </w:r>
      <w:r>
        <w:rPr>
          <w:rFonts w:hint="eastAsia" w:ascii="宋体" w:hAnsi="宋体"/>
          <w:bCs/>
          <w:sz w:val="24"/>
        </w:rPr>
        <w:t>评委会将允许修正投标文件中不构成重大偏离的、微小的、非正规的、不一致的或不规则的地方，但这些修改不能影响任何投标人相应的名次排列。</w:t>
      </w:r>
    </w:p>
    <w:p>
      <w:pPr>
        <w:spacing w:line="460" w:lineRule="exact"/>
        <w:ind w:firstLine="480" w:firstLineChars="200"/>
        <w:rPr>
          <w:rFonts w:hint="eastAsia" w:ascii="宋体" w:hAnsi="宋体"/>
          <w:sz w:val="24"/>
        </w:rPr>
      </w:pPr>
      <w:bookmarkStart w:id="158" w:name="_Toc20823306"/>
      <w:bookmarkStart w:id="159" w:name="_Toc513029234"/>
      <w:bookmarkStart w:id="160" w:name="_Toc16938550"/>
      <w:r>
        <w:rPr>
          <w:rFonts w:hint="eastAsia" w:ascii="宋体" w:hAnsi="宋体"/>
          <w:sz w:val="24"/>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spacing w:line="46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spacing w:line="460" w:lineRule="exact"/>
        <w:ind w:firstLine="482" w:firstLineChars="200"/>
        <w:rPr>
          <w:rFonts w:hint="eastAsia" w:ascii="宋体" w:hAnsi="宋体"/>
          <w:sz w:val="24"/>
        </w:rPr>
      </w:pPr>
      <w:r>
        <w:rPr>
          <w:rFonts w:hint="eastAsia" w:ascii="宋体" w:hAnsi="宋体"/>
          <w:b/>
          <w:sz w:val="24"/>
        </w:rPr>
        <w:t>非单一产品采购项目</w:t>
      </w:r>
      <w:r>
        <w:rPr>
          <w:rFonts w:hint="eastAsia" w:ascii="宋体" w:hAnsi="宋体"/>
          <w:sz w:val="24"/>
        </w:rPr>
        <w:t>，招标文件中将载明其中的</w:t>
      </w:r>
      <w:r>
        <w:rPr>
          <w:rFonts w:hint="eastAsia" w:ascii="宋体" w:hAnsi="宋体"/>
          <w:b/>
          <w:sz w:val="24"/>
        </w:rPr>
        <w:t>核心产品</w:t>
      </w:r>
      <w:r>
        <w:rPr>
          <w:rFonts w:hint="eastAsia" w:ascii="宋体" w:hAnsi="宋体"/>
          <w:sz w:val="24"/>
        </w:rPr>
        <w:t>。多家投标人提供的核心产品品牌相同的，按前两款规定处理。</w:t>
      </w:r>
    </w:p>
    <w:p>
      <w:pPr>
        <w:pStyle w:val="10"/>
        <w:rPr>
          <w:rFonts w:hint="eastAsia"/>
          <w:b w:val="0"/>
        </w:rPr>
      </w:pPr>
      <w:r>
        <w:rPr>
          <w:b w:val="0"/>
          <w:bCs/>
        </w:rPr>
        <w:t>28</w:t>
      </w:r>
      <w:r>
        <w:rPr>
          <w:rFonts w:hint="eastAsia"/>
          <w:b w:val="0"/>
          <w:bCs/>
        </w:rPr>
        <w:t>、</w:t>
      </w:r>
      <w:bookmarkEnd w:id="158"/>
      <w:bookmarkEnd w:id="159"/>
      <w:bookmarkEnd w:id="160"/>
      <w:r>
        <w:rPr>
          <w:rFonts w:hint="eastAsia"/>
          <w:b w:val="0"/>
          <w:bCs/>
        </w:rPr>
        <w:t>无效投标条款和废标条款</w:t>
      </w:r>
    </w:p>
    <w:p>
      <w:pPr>
        <w:spacing w:line="440" w:lineRule="exact"/>
        <w:ind w:left="479" w:leftChars="228"/>
        <w:rPr>
          <w:rFonts w:ascii="宋体" w:hAnsi="宋体"/>
          <w:bCs/>
          <w:sz w:val="24"/>
        </w:rPr>
      </w:pPr>
      <w:bookmarkStart w:id="161" w:name="_Toc513029235"/>
      <w:bookmarkStart w:id="162" w:name="_Toc20823307"/>
      <w:bookmarkStart w:id="163" w:name="_Toc16938551"/>
      <w:r>
        <w:rPr>
          <w:rFonts w:hint="eastAsia" w:ascii="宋体" w:hAnsi="宋体"/>
          <w:bCs/>
          <w:sz w:val="24"/>
        </w:rPr>
        <w:t>28.1无效投标条款</w:t>
      </w:r>
    </w:p>
    <w:p>
      <w:pPr>
        <w:spacing w:line="440" w:lineRule="exact"/>
        <w:ind w:firstLine="480" w:firstLineChars="200"/>
        <w:rPr>
          <w:rFonts w:hint="eastAsia" w:ascii="宋体" w:hAnsi="宋体"/>
          <w:bCs/>
          <w:sz w:val="24"/>
        </w:rPr>
      </w:pPr>
      <w:r>
        <w:rPr>
          <w:rFonts w:hint="eastAsia" w:ascii="宋体" w:hAnsi="宋体"/>
          <w:bCs/>
          <w:sz w:val="24"/>
        </w:rPr>
        <w:t>28.1.1未按要求交纳投标保证金的。</w:t>
      </w:r>
    </w:p>
    <w:p>
      <w:pPr>
        <w:spacing w:line="440" w:lineRule="exact"/>
        <w:ind w:firstLine="360" w:firstLineChars="150"/>
        <w:rPr>
          <w:rFonts w:hint="eastAsia" w:ascii="宋体" w:hAnsi="宋体"/>
          <w:bCs/>
          <w:sz w:val="24"/>
        </w:rPr>
      </w:pPr>
      <w:r>
        <w:rPr>
          <w:rFonts w:hint="eastAsia" w:ascii="宋体" w:hAnsi="宋体"/>
          <w:bCs/>
          <w:sz w:val="24"/>
        </w:rPr>
        <w:t xml:space="preserve"> 28.1.2投标人未成功解密电子投标文件的。</w:t>
      </w:r>
    </w:p>
    <w:p>
      <w:pPr>
        <w:spacing w:line="440" w:lineRule="exact"/>
        <w:ind w:left="479" w:leftChars="228"/>
        <w:rPr>
          <w:rFonts w:hint="eastAsia" w:ascii="宋体" w:hAnsi="宋体"/>
          <w:bCs/>
          <w:sz w:val="24"/>
        </w:rPr>
      </w:pPr>
      <w:r>
        <w:rPr>
          <w:rFonts w:hint="eastAsia" w:ascii="宋体" w:hAnsi="宋体"/>
          <w:bCs/>
          <w:sz w:val="24"/>
        </w:rPr>
        <w:t>28.1.3投标人未按照招标文件要求上传电子投标文件的。</w:t>
      </w:r>
    </w:p>
    <w:p>
      <w:pPr>
        <w:spacing w:line="440" w:lineRule="exact"/>
        <w:ind w:left="479" w:leftChars="228"/>
        <w:rPr>
          <w:rFonts w:hint="eastAsia" w:ascii="宋体" w:hAnsi="宋体"/>
          <w:bCs/>
          <w:sz w:val="24"/>
        </w:rPr>
      </w:pPr>
      <w:r>
        <w:rPr>
          <w:rFonts w:hint="eastAsia" w:ascii="宋体" w:hAnsi="宋体"/>
          <w:bCs/>
          <w:sz w:val="24"/>
        </w:rPr>
        <w:t>28.1.4投标人在报价时采用选择性报价的。</w:t>
      </w:r>
    </w:p>
    <w:p>
      <w:pPr>
        <w:spacing w:line="440" w:lineRule="exact"/>
        <w:ind w:firstLine="480" w:firstLineChars="200"/>
        <w:rPr>
          <w:rFonts w:hint="eastAsia" w:ascii="宋体" w:hAnsi="宋体"/>
          <w:bCs/>
          <w:sz w:val="24"/>
        </w:rPr>
      </w:pPr>
      <w:r>
        <w:rPr>
          <w:rFonts w:hint="eastAsia" w:ascii="宋体" w:hAnsi="宋体"/>
          <w:bCs/>
          <w:sz w:val="24"/>
        </w:rPr>
        <w:t>28.1.5投标人不具备招标文件中规定资格要求的。</w:t>
      </w:r>
    </w:p>
    <w:p>
      <w:pPr>
        <w:spacing w:line="440" w:lineRule="exact"/>
        <w:ind w:firstLine="480" w:firstLineChars="200"/>
        <w:rPr>
          <w:rFonts w:hint="eastAsia" w:ascii="宋体" w:hAnsi="宋体"/>
          <w:bCs/>
          <w:i/>
          <w:sz w:val="24"/>
          <w:u w:val="single"/>
        </w:rPr>
      </w:pPr>
      <w:r>
        <w:rPr>
          <w:rFonts w:hint="eastAsia" w:ascii="宋体" w:hAnsi="宋体"/>
          <w:bCs/>
          <w:sz w:val="24"/>
        </w:rPr>
        <w:t>28.1.6投标人的报价超过了采购预算或最高限价的。</w:t>
      </w:r>
    </w:p>
    <w:p>
      <w:pPr>
        <w:spacing w:line="440" w:lineRule="exact"/>
        <w:ind w:firstLine="360" w:firstLineChars="150"/>
        <w:rPr>
          <w:rFonts w:hint="eastAsia" w:ascii="宋体" w:hAnsi="宋体"/>
          <w:bCs/>
          <w:i/>
          <w:sz w:val="24"/>
          <w:u w:val="single"/>
        </w:rPr>
      </w:pPr>
      <w:r>
        <w:rPr>
          <w:rFonts w:hint="eastAsia" w:ascii="宋体" w:hAnsi="宋体"/>
          <w:bCs/>
          <w:sz w:val="24"/>
        </w:rPr>
        <w:t xml:space="preserve"> 28.1.7未通过符合性检查的。</w:t>
      </w:r>
    </w:p>
    <w:p>
      <w:pPr>
        <w:spacing w:line="440" w:lineRule="exact"/>
        <w:ind w:firstLine="480" w:firstLineChars="200"/>
        <w:rPr>
          <w:rFonts w:hint="eastAsia" w:ascii="宋体" w:hAnsi="宋体"/>
          <w:bCs/>
          <w:i/>
          <w:sz w:val="24"/>
          <w:u w:val="single"/>
        </w:rPr>
      </w:pPr>
      <w:r>
        <w:rPr>
          <w:rFonts w:hint="eastAsia" w:ascii="宋体" w:hAnsi="宋体"/>
          <w:bCs/>
          <w:sz w:val="24"/>
        </w:rPr>
        <w:t>28.1.8不符合招标文件中规定的其他实质性要求和条件的（</w:t>
      </w:r>
      <w:r>
        <w:rPr>
          <w:rFonts w:hint="eastAsia" w:ascii="宋体" w:hAnsi="宋体"/>
          <w:bCs/>
          <w:i/>
          <w:sz w:val="24"/>
          <w:u w:val="single"/>
        </w:rPr>
        <w:t>本招标文件中斜体且有下划线部分为实质性要求和条件）。</w:t>
      </w:r>
    </w:p>
    <w:p>
      <w:pPr>
        <w:spacing w:line="440" w:lineRule="exact"/>
        <w:ind w:firstLine="480" w:firstLineChars="200"/>
        <w:rPr>
          <w:rFonts w:hint="eastAsia" w:ascii="宋体" w:hAnsi="宋体"/>
          <w:bCs/>
          <w:sz w:val="24"/>
        </w:rPr>
      </w:pPr>
      <w:r>
        <w:rPr>
          <w:rFonts w:hint="eastAsia" w:ascii="宋体" w:hAnsi="宋体"/>
          <w:bCs/>
          <w:sz w:val="24"/>
        </w:rPr>
        <w:t>28.1.9投标人被 “信用中国”网站（www.creditchina.gov.cn）</w:t>
      </w:r>
      <w:r>
        <w:rPr>
          <w:rFonts w:hint="eastAsia" w:ascii="宋体" w:hAnsi="宋体"/>
          <w:bCs/>
          <w:sz w:val="24"/>
          <w:lang w:eastAsia="zh-CN"/>
        </w:rPr>
        <w:t>、“中国政府采购网”(www.ccgp.gov.cn)</w:t>
      </w:r>
      <w:r>
        <w:rPr>
          <w:rFonts w:hint="eastAsia" w:ascii="宋体" w:hAnsi="宋体"/>
          <w:bCs/>
          <w:sz w:val="24"/>
        </w:rPr>
        <w:t>列入失信被执行人或重大税收违法案件当事人名单或政府采购严重失信行为记录名单。</w:t>
      </w:r>
    </w:p>
    <w:p>
      <w:pPr>
        <w:spacing w:line="440" w:lineRule="exact"/>
        <w:ind w:firstLine="480" w:firstLineChars="200"/>
        <w:rPr>
          <w:rFonts w:hint="eastAsia" w:ascii="宋体" w:hAnsi="宋体"/>
          <w:bCs/>
          <w:sz w:val="24"/>
        </w:rPr>
      </w:pPr>
      <w:r>
        <w:rPr>
          <w:rFonts w:hint="eastAsia" w:ascii="宋体" w:hAnsi="宋体"/>
          <w:bCs/>
          <w:sz w:val="24"/>
        </w:rPr>
        <w:t>28.1.10  投标文件含有采购人不能接受的附加条件的。</w:t>
      </w:r>
    </w:p>
    <w:p>
      <w:pPr>
        <w:spacing w:line="440" w:lineRule="exact"/>
        <w:ind w:firstLine="480" w:firstLineChars="200"/>
        <w:rPr>
          <w:rFonts w:hint="eastAsia" w:ascii="宋体" w:hAnsi="宋体"/>
          <w:bCs/>
          <w:sz w:val="24"/>
        </w:rPr>
      </w:pPr>
      <w:r>
        <w:rPr>
          <w:rFonts w:hint="eastAsia" w:ascii="宋体" w:hAnsi="宋体"/>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spacing w:line="440" w:lineRule="exact"/>
        <w:ind w:firstLine="480" w:firstLineChars="200"/>
        <w:rPr>
          <w:rFonts w:ascii="宋体" w:hAnsi="宋体"/>
          <w:bCs/>
          <w:sz w:val="24"/>
        </w:rPr>
      </w:pPr>
      <w:r>
        <w:rPr>
          <w:rFonts w:hint="eastAsia" w:ascii="宋体" w:hAnsi="宋体"/>
          <w:bCs/>
          <w:sz w:val="24"/>
        </w:rPr>
        <w:t>28.1.12 本项目采购产品被财政部、国家发改委、生态环境部等列入“节能产品品目清单”、“环境标志产品品目清单”强制采购范围，而投标人所投标产品不在强制采购范围内的。</w:t>
      </w:r>
    </w:p>
    <w:p>
      <w:pPr>
        <w:spacing w:line="440" w:lineRule="exact"/>
        <w:ind w:firstLine="480" w:firstLineChars="200"/>
        <w:rPr>
          <w:rFonts w:ascii="宋体" w:hAnsi="宋体"/>
          <w:bCs/>
          <w:sz w:val="24"/>
        </w:rPr>
      </w:pPr>
      <w:r>
        <w:rPr>
          <w:rFonts w:hint="eastAsia" w:ascii="宋体" w:hAnsi="宋体"/>
          <w:bCs/>
          <w:sz w:val="24"/>
        </w:rPr>
        <w:t>28.1.13 投标文件未按照招标文件要求加盖电子签章。</w:t>
      </w:r>
    </w:p>
    <w:p>
      <w:pPr>
        <w:spacing w:line="440" w:lineRule="exact"/>
        <w:ind w:firstLine="480" w:firstLineChars="200"/>
        <w:rPr>
          <w:rFonts w:ascii="宋体" w:hAnsi="宋体"/>
          <w:bCs/>
          <w:sz w:val="24"/>
        </w:rPr>
      </w:pPr>
      <w:r>
        <w:rPr>
          <w:rFonts w:hint="eastAsia" w:ascii="宋体" w:hAnsi="宋体"/>
          <w:bCs/>
          <w:sz w:val="24"/>
        </w:rPr>
        <w:t>28.1.14其他法律、法规及本招标文件规定的属无效投标的情形。</w:t>
      </w:r>
    </w:p>
    <w:p>
      <w:pPr>
        <w:spacing w:line="440" w:lineRule="exact"/>
        <w:ind w:firstLine="480" w:firstLineChars="200"/>
        <w:rPr>
          <w:rFonts w:hint="eastAsia" w:ascii="宋体" w:hAnsi="宋体"/>
          <w:bCs/>
          <w:sz w:val="24"/>
        </w:rPr>
      </w:pPr>
    </w:p>
    <w:p>
      <w:pPr>
        <w:spacing w:line="440" w:lineRule="exact"/>
        <w:ind w:left="479" w:leftChars="228"/>
        <w:rPr>
          <w:rFonts w:hint="eastAsia" w:ascii="宋体" w:hAnsi="宋体"/>
          <w:bCs/>
          <w:sz w:val="24"/>
        </w:rPr>
      </w:pPr>
      <w:r>
        <w:rPr>
          <w:rFonts w:hint="eastAsia" w:ascii="宋体" w:hAnsi="宋体"/>
          <w:bCs/>
          <w:sz w:val="24"/>
        </w:rPr>
        <w:t>28.2废标条款：</w:t>
      </w:r>
    </w:p>
    <w:p>
      <w:pPr>
        <w:spacing w:line="440" w:lineRule="exact"/>
        <w:ind w:left="479" w:leftChars="228"/>
        <w:rPr>
          <w:rFonts w:hint="eastAsia" w:ascii="宋体" w:hAnsi="宋体"/>
          <w:bCs/>
          <w:sz w:val="24"/>
        </w:rPr>
      </w:pPr>
      <w:r>
        <w:rPr>
          <w:rFonts w:hint="eastAsia" w:ascii="宋体" w:hAnsi="宋体"/>
          <w:bCs/>
          <w:sz w:val="24"/>
        </w:rPr>
        <w:t>28.2.1符合专业条件的供应商或者对招标文件作实质响应的供应商不足三家的。28.2.2出现影响采购公正的违法、违规行为的。</w:t>
      </w:r>
    </w:p>
    <w:p>
      <w:pPr>
        <w:spacing w:line="440" w:lineRule="exact"/>
        <w:ind w:left="479" w:leftChars="228"/>
        <w:rPr>
          <w:rFonts w:hint="eastAsia" w:ascii="宋体" w:hAnsi="宋体"/>
          <w:bCs/>
          <w:sz w:val="24"/>
        </w:rPr>
      </w:pPr>
      <w:r>
        <w:rPr>
          <w:rFonts w:hint="eastAsia" w:ascii="宋体" w:hAnsi="宋体"/>
          <w:bCs/>
          <w:sz w:val="24"/>
        </w:rPr>
        <w:t>28.2.3因重大变故，采购任务取消的。</w:t>
      </w:r>
    </w:p>
    <w:p>
      <w:pPr>
        <w:spacing w:line="440" w:lineRule="exact"/>
        <w:ind w:left="479" w:leftChars="228"/>
        <w:rPr>
          <w:rFonts w:hint="eastAsia" w:ascii="宋体" w:hAnsi="宋体"/>
          <w:bCs/>
          <w:sz w:val="24"/>
        </w:rPr>
      </w:pPr>
      <w:r>
        <w:rPr>
          <w:rFonts w:hint="eastAsia" w:ascii="宋体" w:hAnsi="宋体"/>
          <w:bCs/>
          <w:sz w:val="24"/>
        </w:rPr>
        <w:t>28.2.4评标委员会认定招标文件存在歧义、重大缺陷导致评审工作无法进行。</w:t>
      </w:r>
    </w:p>
    <w:p>
      <w:pPr>
        <w:spacing w:line="440" w:lineRule="exact"/>
        <w:ind w:left="479" w:leftChars="228"/>
        <w:rPr>
          <w:rFonts w:hint="eastAsia" w:ascii="宋体" w:hAnsi="宋体"/>
          <w:bCs/>
          <w:sz w:val="24"/>
        </w:rPr>
      </w:pPr>
      <w:r>
        <w:rPr>
          <w:rFonts w:hint="eastAsia" w:ascii="宋体" w:hAnsi="宋体"/>
          <w:bCs/>
          <w:sz w:val="24"/>
        </w:rPr>
        <w:t>28.2.5 因</w:t>
      </w:r>
      <w:r>
        <w:rPr>
          <w:rFonts w:hint="eastAsia" w:ascii="宋体" w:hAnsi="宋体"/>
          <w:sz w:val="24"/>
          <w:szCs w:val="24"/>
        </w:rPr>
        <w:t>“</w:t>
      </w:r>
      <w:r>
        <w:rPr>
          <w:rFonts w:hint="eastAsia" w:ascii="宋体" w:hAnsi="宋体"/>
          <w:sz w:val="24"/>
          <w:szCs w:val="24"/>
          <w:lang w:val="en-US" w:eastAsia="zh-CN"/>
        </w:rPr>
        <w:t>新疆政采云</w:t>
      </w:r>
      <w:r>
        <w:rPr>
          <w:rFonts w:hint="eastAsia" w:ascii="宋体" w:hAnsi="宋体" w:cs="宋体"/>
          <w:sz w:val="24"/>
          <w:szCs w:val="24"/>
        </w:rPr>
        <w:t>交易平台不见面开标</w:t>
      </w:r>
      <w:r>
        <w:rPr>
          <w:rFonts w:hint="eastAsia" w:ascii="宋体" w:hAnsi="宋体"/>
          <w:sz w:val="24"/>
          <w:szCs w:val="24"/>
        </w:rPr>
        <w:t>大厅”系统</w:t>
      </w:r>
      <w:r>
        <w:rPr>
          <w:rFonts w:ascii="宋体" w:hAnsi="宋体"/>
          <w:bCs/>
          <w:sz w:val="24"/>
        </w:rPr>
        <w:t>故障原因造成开标不成功</w:t>
      </w:r>
      <w:r>
        <w:rPr>
          <w:rFonts w:hint="eastAsia" w:ascii="宋体" w:hAnsi="宋体"/>
          <w:bCs/>
          <w:sz w:val="24"/>
        </w:rPr>
        <w:t>的</w:t>
      </w:r>
      <w:r>
        <w:rPr>
          <w:rFonts w:ascii="宋体" w:hAnsi="宋体"/>
          <w:bCs/>
          <w:sz w:val="24"/>
        </w:rPr>
        <w:t>。</w:t>
      </w:r>
    </w:p>
    <w:p>
      <w:pPr>
        <w:spacing w:line="440" w:lineRule="exact"/>
        <w:ind w:left="479" w:leftChars="228"/>
        <w:rPr>
          <w:rFonts w:hint="eastAsia" w:ascii="宋体" w:hAnsi="宋体"/>
          <w:bCs/>
          <w:sz w:val="24"/>
        </w:rPr>
      </w:pPr>
      <w:r>
        <w:rPr>
          <w:rFonts w:hint="eastAsia" w:ascii="宋体" w:hAnsi="宋体"/>
          <w:bCs/>
          <w:sz w:val="24"/>
        </w:rPr>
        <w:t>28.3 投标截止时间后参加投标的供应商不足三家的处理：</w:t>
      </w:r>
    </w:p>
    <w:p>
      <w:pPr>
        <w:spacing w:line="440" w:lineRule="exact"/>
        <w:ind w:firstLine="480" w:firstLineChars="200"/>
        <w:rPr>
          <w:rFonts w:hint="eastAsia" w:ascii="宋体" w:hAnsi="宋体"/>
          <w:bCs/>
          <w:sz w:val="24"/>
        </w:rPr>
      </w:pPr>
      <w:r>
        <w:rPr>
          <w:rFonts w:hint="eastAsia" w:ascii="宋体" w:hAnsi="宋体"/>
          <w:bCs/>
          <w:sz w:val="24"/>
        </w:rPr>
        <w:t>28.3.1如出现投标截止时间结束后参加投标的供应商或者在评标期间对招标文件做出实质响应的供应商不足三家情况，按政府采购相关规定执行。</w:t>
      </w:r>
    </w:p>
    <w:p>
      <w:pPr>
        <w:pStyle w:val="9"/>
        <w:spacing w:before="145" w:beforeLines="50" w:after="145" w:afterLines="50" w:line="360" w:lineRule="auto"/>
        <w:ind w:firstLine="482" w:firstLineChars="150"/>
        <w:rPr>
          <w:rFonts w:hint="eastAsia"/>
          <w:color w:val="0000FF"/>
        </w:rPr>
      </w:pPr>
      <w:bookmarkStart w:id="164" w:name="_Toc120614219"/>
      <w:bookmarkStart w:id="165" w:name="_Toc534816632"/>
      <w:bookmarkStart w:id="166" w:name="_Toc534725603"/>
      <w:r>
        <w:rPr>
          <w:rFonts w:hint="eastAsia"/>
          <w:color w:val="0000FF"/>
        </w:rPr>
        <w:t>六、</w:t>
      </w:r>
      <w:bookmarkEnd w:id="161"/>
      <w:bookmarkEnd w:id="162"/>
      <w:bookmarkEnd w:id="163"/>
      <w:r>
        <w:rPr>
          <w:rFonts w:hint="eastAsia"/>
          <w:color w:val="0000FF"/>
        </w:rPr>
        <w:t>定标</w:t>
      </w:r>
      <w:bookmarkEnd w:id="164"/>
      <w:bookmarkEnd w:id="165"/>
      <w:bookmarkEnd w:id="166"/>
    </w:p>
    <w:p>
      <w:pPr>
        <w:pStyle w:val="10"/>
        <w:ind w:firstLine="600" w:firstLineChars="200"/>
        <w:rPr>
          <w:rFonts w:ascii="黑体" w:hAnsi="宋体" w:cs="Times New Roman"/>
          <w:b w:val="0"/>
          <w:sz w:val="30"/>
          <w:szCs w:val="30"/>
        </w:rPr>
      </w:pPr>
      <w:bookmarkStart w:id="167" w:name="_Toc513029238"/>
      <w:bookmarkStart w:id="168" w:name="_Toc20823310"/>
      <w:bookmarkStart w:id="169" w:name="_Toc16938554"/>
      <w:r>
        <w:rPr>
          <w:rFonts w:hint="eastAsia" w:ascii="黑体" w:hAnsi="宋体" w:cs="Times New Roman"/>
          <w:b w:val="0"/>
          <w:sz w:val="30"/>
          <w:szCs w:val="30"/>
        </w:rPr>
        <w:t>29、</w:t>
      </w:r>
      <w:bookmarkEnd w:id="167"/>
      <w:r>
        <w:rPr>
          <w:rFonts w:hint="eastAsia" w:ascii="黑体" w:hAnsi="宋体" w:cs="Times New Roman"/>
          <w:b w:val="0"/>
          <w:sz w:val="30"/>
          <w:szCs w:val="30"/>
        </w:rPr>
        <w:t>确定</w:t>
      </w:r>
      <w:bookmarkEnd w:id="168"/>
      <w:bookmarkEnd w:id="169"/>
      <w:r>
        <w:rPr>
          <w:rFonts w:hint="eastAsia" w:ascii="黑体" w:hAnsi="宋体" w:cs="Times New Roman"/>
          <w:b w:val="0"/>
          <w:sz w:val="30"/>
          <w:szCs w:val="30"/>
        </w:rPr>
        <w:t>中标单位</w:t>
      </w:r>
    </w:p>
    <w:p>
      <w:pPr>
        <w:spacing w:line="440" w:lineRule="exact"/>
        <w:ind w:firstLine="480" w:firstLineChars="200"/>
        <w:rPr>
          <w:rFonts w:hint="eastAsia" w:ascii="宋体" w:hAnsi="宋体"/>
          <w:bCs/>
          <w:color w:val="auto"/>
          <w:sz w:val="24"/>
        </w:rPr>
      </w:pPr>
      <w:r>
        <w:rPr>
          <w:rFonts w:hint="eastAsia" w:ascii="宋体" w:hAnsi="宋体"/>
          <w:bCs/>
          <w:sz w:val="24"/>
        </w:rPr>
        <w:t>29.1中标候</w:t>
      </w:r>
      <w:r>
        <w:rPr>
          <w:rFonts w:hint="eastAsia" w:ascii="宋体" w:hAnsi="宋体"/>
          <w:bCs/>
          <w:color w:val="auto"/>
          <w:sz w:val="24"/>
        </w:rPr>
        <w:t>选人的选取原则和数量见招标文件第五章规定。</w:t>
      </w:r>
    </w:p>
    <w:p>
      <w:pPr>
        <w:spacing w:line="480" w:lineRule="exact"/>
        <w:ind w:firstLine="480" w:firstLineChars="200"/>
        <w:rPr>
          <w:rFonts w:hint="eastAsia" w:ascii="宋体" w:hAnsi="宋体"/>
          <w:bCs/>
          <w:color w:val="auto"/>
          <w:sz w:val="24"/>
        </w:rPr>
      </w:pPr>
      <w:r>
        <w:rPr>
          <w:rFonts w:hint="eastAsia" w:ascii="宋体" w:hAnsi="宋体"/>
          <w:bCs/>
          <w:color w:val="auto"/>
          <w:sz w:val="24"/>
        </w:rPr>
        <w:t>29.2 采购人应根据评委会推荐的中标候选人确定中标人。</w:t>
      </w:r>
    </w:p>
    <w:p>
      <w:pPr>
        <w:spacing w:line="480" w:lineRule="exact"/>
        <w:ind w:firstLine="480" w:firstLineChars="200"/>
        <w:rPr>
          <w:rFonts w:hint="eastAsia" w:ascii="宋体" w:hAnsi="宋体"/>
          <w:color w:val="auto"/>
          <w:sz w:val="24"/>
          <w:szCs w:val="24"/>
        </w:rPr>
      </w:pPr>
      <w:r>
        <w:rPr>
          <w:rFonts w:hint="eastAsia" w:ascii="宋体" w:hAnsi="宋体"/>
          <w:bCs/>
          <w:color w:val="auto"/>
          <w:sz w:val="24"/>
          <w:szCs w:val="24"/>
        </w:rPr>
        <w:t xml:space="preserve">29.3 </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color w:val="auto"/>
          <w:sz w:val="24"/>
          <w:szCs w:val="24"/>
        </w:rPr>
        <w:t>将在“新疆政府采购网”和“</w:t>
      </w:r>
      <w:r>
        <w:rPr>
          <w:rFonts w:hint="eastAsia" w:ascii="宋体" w:hAnsi="宋体"/>
          <w:color w:val="auto"/>
          <w:sz w:val="24"/>
          <w:szCs w:val="24"/>
          <w:lang w:val="en-US" w:eastAsia="zh-CN"/>
        </w:rPr>
        <w:t>昌吉州</w:t>
      </w:r>
      <w:r>
        <w:rPr>
          <w:rFonts w:hint="eastAsia" w:ascii="宋体" w:hAnsi="宋体"/>
          <w:color w:val="auto"/>
          <w:sz w:val="24"/>
          <w:szCs w:val="24"/>
        </w:rPr>
        <w:t>公共资源交易网”发布中标公告，公告期限为1个工作日。</w:t>
      </w:r>
    </w:p>
    <w:p>
      <w:pPr>
        <w:snapToGrid w:val="0"/>
        <w:spacing w:line="480" w:lineRule="exact"/>
        <w:ind w:firstLine="480" w:firstLineChars="200"/>
        <w:rPr>
          <w:rFonts w:hint="eastAsia" w:ascii="宋体" w:hAnsi="宋体"/>
          <w:color w:val="auto"/>
          <w:sz w:val="24"/>
          <w:szCs w:val="24"/>
        </w:rPr>
      </w:pPr>
      <w:r>
        <w:rPr>
          <w:rFonts w:hint="eastAsia" w:ascii="宋体" w:hAnsi="宋体"/>
          <w:color w:val="auto"/>
          <w:sz w:val="24"/>
          <w:szCs w:val="24"/>
        </w:rPr>
        <w:t>29.4  若有充分证据证明，中标人出现下列情况之一的，一经查实，将被取消中标资格：</w:t>
      </w:r>
    </w:p>
    <w:p>
      <w:pPr>
        <w:snapToGrid w:val="0"/>
        <w:spacing w:line="480" w:lineRule="exact"/>
        <w:ind w:firstLine="480" w:firstLineChars="200"/>
        <w:rPr>
          <w:rFonts w:hint="eastAsia" w:ascii="宋体" w:hAnsi="宋体"/>
          <w:color w:val="auto"/>
          <w:sz w:val="24"/>
          <w:szCs w:val="24"/>
        </w:rPr>
      </w:pPr>
      <w:r>
        <w:rPr>
          <w:rFonts w:hint="eastAsia" w:ascii="宋体" w:hAnsi="宋体"/>
          <w:color w:val="auto"/>
          <w:sz w:val="24"/>
          <w:szCs w:val="24"/>
        </w:rPr>
        <w:t>29.4.1提供虚假材料谋取中标的。</w:t>
      </w:r>
    </w:p>
    <w:p>
      <w:pPr>
        <w:snapToGrid w:val="0"/>
        <w:spacing w:line="480" w:lineRule="exact"/>
        <w:ind w:firstLine="480" w:firstLineChars="200"/>
        <w:rPr>
          <w:rFonts w:hint="eastAsia" w:ascii="宋体" w:hAnsi="宋体"/>
          <w:sz w:val="24"/>
          <w:szCs w:val="24"/>
        </w:rPr>
      </w:pPr>
      <w:r>
        <w:rPr>
          <w:rFonts w:hint="eastAsia" w:ascii="宋体" w:hAnsi="宋体"/>
          <w:color w:val="auto"/>
          <w:sz w:val="24"/>
          <w:szCs w:val="24"/>
        </w:rPr>
        <w:t>29.4.2向采购人、</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color w:val="auto"/>
          <w:sz w:val="24"/>
          <w:szCs w:val="24"/>
        </w:rPr>
        <w:t>行贿或者提供其他不正当利益的</w:t>
      </w:r>
      <w:r>
        <w:rPr>
          <w:rFonts w:hint="eastAsia" w:ascii="宋体" w:hAnsi="宋体"/>
          <w:sz w:val="24"/>
          <w:szCs w:val="24"/>
        </w:rPr>
        <w:t>。</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29.4.3恶意竞争，投标总报价明显低于其自身合理成本且又无法提供证明的。</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29.4.4属于本文件规定的无效条件，但在评标过程中又未被评委会发现的。</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29.4.5与采购人或者其他供应商恶意串通的。</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29.4.6采取不正当手段诋毁、排挤其他供应商的。</w:t>
      </w:r>
    </w:p>
    <w:p>
      <w:pPr>
        <w:snapToGrid w:val="0"/>
        <w:spacing w:line="480" w:lineRule="exact"/>
        <w:ind w:firstLine="480" w:firstLineChars="200"/>
        <w:rPr>
          <w:rFonts w:hint="eastAsia" w:ascii="宋体" w:hAnsi="宋体"/>
          <w:sz w:val="24"/>
          <w:szCs w:val="24"/>
        </w:rPr>
      </w:pPr>
      <w:bookmarkStart w:id="170" w:name="_Toc200451960"/>
      <w:r>
        <w:rPr>
          <w:rFonts w:hint="eastAsia" w:ascii="宋体" w:hAnsi="宋体"/>
          <w:sz w:val="24"/>
          <w:szCs w:val="24"/>
        </w:rPr>
        <w:t>29.5</w:t>
      </w:r>
      <w:r>
        <w:t xml:space="preserve"> </w:t>
      </w:r>
      <w:r>
        <w:rPr>
          <w:rFonts w:hint="eastAsia" w:hAnsi="宋体" w:cs="宋体"/>
          <w:kern w:val="0"/>
          <w:sz w:val="24"/>
          <w:szCs w:val="24"/>
        </w:rPr>
        <w:t>有下列情形之一的，视为投标人串通投标，投标无效：</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29.5.1不同投标人的投标文件由同一单位或者个人编制；</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29.5.2不同投标人委托同一单位或者个人办理投标事宜；</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29.5.3 不同投标人的投标文件载明的项目管理成员或者联系人员为同一人；</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29.5.4不同投标人的投标文件异常一致或者投标报价呈规律性差异；</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29.5.5不同投标人的投标文件相互混装；</w:t>
      </w:r>
    </w:p>
    <w:p>
      <w:pPr>
        <w:snapToGrid w:val="0"/>
        <w:spacing w:line="480" w:lineRule="exact"/>
        <w:ind w:firstLine="480" w:firstLineChars="200"/>
        <w:rPr>
          <w:rFonts w:hint="eastAsia" w:ascii="宋体" w:hAnsi="宋体"/>
          <w:sz w:val="24"/>
          <w:szCs w:val="24"/>
        </w:rPr>
      </w:pPr>
      <w:r>
        <w:rPr>
          <w:rFonts w:hint="eastAsia" w:ascii="宋体" w:hAnsi="宋体"/>
          <w:sz w:val="24"/>
          <w:szCs w:val="24"/>
        </w:rPr>
        <w:t>29.5.6不同投标人的投标保证金从同一单位或者个人的账户转出。</w:t>
      </w:r>
    </w:p>
    <w:bookmarkEnd w:id="170"/>
    <w:p>
      <w:pPr>
        <w:pStyle w:val="10"/>
        <w:ind w:firstLine="600" w:firstLineChars="200"/>
        <w:rPr>
          <w:rFonts w:hint="eastAsia" w:ascii="黑体" w:hAnsi="宋体" w:cs="Times New Roman"/>
          <w:b w:val="0"/>
          <w:color w:val="auto"/>
          <w:sz w:val="30"/>
          <w:szCs w:val="30"/>
          <w:highlight w:val="none"/>
        </w:rPr>
      </w:pPr>
      <w:bookmarkStart w:id="171" w:name="_Toc534816633"/>
      <w:bookmarkStart w:id="172" w:name="_Toc120614220"/>
      <w:bookmarkStart w:id="173" w:name="_Toc534725604"/>
      <w:bookmarkStart w:id="174" w:name="_Toc513029236"/>
      <w:bookmarkStart w:id="175" w:name="_Toc20823308"/>
      <w:bookmarkStart w:id="176" w:name="_Toc16938552"/>
      <w:r>
        <w:rPr>
          <w:rFonts w:hint="eastAsia" w:ascii="黑体" w:hAnsi="宋体" w:cs="Times New Roman"/>
          <w:b w:val="0"/>
          <w:color w:val="auto"/>
          <w:sz w:val="30"/>
          <w:szCs w:val="30"/>
          <w:highlight w:val="none"/>
        </w:rPr>
        <w:t>30、质疑处理</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30.1 提出质疑的供应商应当是参与所质疑项目采购活动的供应商。潜在供应商依法获取其可质疑的采购文件的，可以对采购文件提出质疑。</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30.2供应商认为采购文件、采购过程和采购结果使自己的权益受到损害的，可以在知道或应知其权益受到损害之日起七个工作日内，以书面形式向</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color w:val="auto"/>
          <w:sz w:val="24"/>
          <w:szCs w:val="24"/>
          <w:highlight w:val="none"/>
        </w:rPr>
        <w:t>及采购人提出质疑。上述应知其权益受到损害之日，是指：</w:t>
      </w:r>
    </w:p>
    <w:p>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30.2.1</w:t>
      </w:r>
      <w:r>
        <w:rPr>
          <w:rFonts w:hint="eastAsia" w:hAnsi="宋体" w:cs="宋体"/>
          <w:color w:val="auto"/>
          <w:kern w:val="0"/>
          <w:sz w:val="24"/>
          <w:szCs w:val="24"/>
          <w:highlight w:val="none"/>
        </w:rPr>
        <w:t>对可以质疑的采购文件提出质疑的，为收到采购文件之日或者采购文件公告期限届满之日；</w:t>
      </w:r>
    </w:p>
    <w:p>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30.2.2</w:t>
      </w:r>
      <w:r>
        <w:rPr>
          <w:rFonts w:hint="eastAsia" w:hAnsi="宋体" w:cs="宋体"/>
          <w:color w:val="auto"/>
          <w:kern w:val="0"/>
          <w:sz w:val="24"/>
          <w:szCs w:val="24"/>
          <w:highlight w:val="none"/>
        </w:rPr>
        <w:t>对采购过程提出质疑的，为各采购程序环节结束之日；</w:t>
      </w:r>
    </w:p>
    <w:p>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30.2.3</w:t>
      </w:r>
      <w:r>
        <w:rPr>
          <w:rFonts w:hint="eastAsia" w:hAnsi="宋体" w:cs="宋体"/>
          <w:color w:val="auto"/>
          <w:kern w:val="0"/>
          <w:sz w:val="24"/>
          <w:szCs w:val="24"/>
          <w:highlight w:val="none"/>
        </w:rPr>
        <w:t>对中标或者成交结果提出质疑的，为中标或者成交结果公告期限届满之日。</w:t>
      </w:r>
    </w:p>
    <w:p>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b/>
          <w:bCs/>
          <w:color w:val="auto"/>
          <w:sz w:val="24"/>
          <w:lang w:eastAsia="zh-CN"/>
        </w:rPr>
        <w:t>政资</w:t>
      </w:r>
      <w:r>
        <w:rPr>
          <w:rFonts w:hint="eastAsia" w:ascii="宋体" w:hAnsi="宋体"/>
          <w:b/>
          <w:bCs/>
          <w:color w:val="auto"/>
          <w:sz w:val="24"/>
        </w:rPr>
        <w:t>中心</w:t>
      </w:r>
      <w:r>
        <w:rPr>
          <w:rFonts w:hint="eastAsia" w:hAnsi="宋体" w:cs="宋体"/>
          <w:b/>
          <w:color w:val="auto"/>
          <w:kern w:val="0"/>
          <w:sz w:val="24"/>
          <w:szCs w:val="24"/>
          <w:highlight w:val="none"/>
        </w:rPr>
        <w:t>、采购人将只对供应商第一次质疑作出答复。</w:t>
      </w:r>
    </w:p>
    <w:p>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30.4 </w:t>
      </w:r>
      <w:r>
        <w:rPr>
          <w:rFonts w:hint="eastAsia" w:ascii="宋体" w:hAnsi="宋体"/>
          <w:color w:val="auto"/>
          <w:sz w:val="24"/>
          <w:lang w:eastAsia="zh-CN"/>
        </w:rPr>
        <w:t>政资</w:t>
      </w:r>
      <w:r>
        <w:rPr>
          <w:rFonts w:hint="eastAsia" w:ascii="宋体" w:hAnsi="宋体"/>
          <w:color w:val="auto"/>
          <w:sz w:val="24"/>
        </w:rPr>
        <w:t>中心</w:t>
      </w:r>
      <w:r>
        <w:rPr>
          <w:rFonts w:hint="eastAsia" w:ascii="宋体" w:hAnsi="宋体"/>
          <w:color w:val="auto"/>
          <w:sz w:val="24"/>
          <w:szCs w:val="24"/>
          <w:highlight w:val="none"/>
        </w:rPr>
        <w:t>及采购人只接收以纸质原件形式送达的质疑。</w:t>
      </w:r>
    </w:p>
    <w:p>
      <w:pPr>
        <w:snapToGrid w:val="0"/>
        <w:spacing w:line="480" w:lineRule="exact"/>
        <w:ind w:firstLine="480" w:firstLineChars="200"/>
        <w:rPr>
          <w:rFonts w:hint="default" w:hAnsi="宋体" w:eastAsia="宋体"/>
          <w:color w:val="auto"/>
          <w:lang w:val="en-US" w:eastAsia="zh-CN"/>
        </w:rPr>
      </w:pPr>
      <w:r>
        <w:rPr>
          <w:rFonts w:hint="eastAsia" w:ascii="宋体" w:hAnsi="宋体"/>
          <w:color w:val="auto"/>
          <w:sz w:val="24"/>
          <w:szCs w:val="24"/>
          <w:highlight w:val="none"/>
        </w:rPr>
        <w:t>质疑接收人：</w:t>
      </w:r>
      <w:r>
        <w:rPr>
          <w:rFonts w:hint="eastAsia" w:ascii="宋体" w:hAnsi="宋体" w:cs="Times New Roman"/>
          <w:color w:val="auto"/>
          <w:sz w:val="24"/>
          <w:szCs w:val="24"/>
          <w:highlight w:val="none"/>
          <w:lang w:val="en-US" w:eastAsia="zh-CN"/>
        </w:rPr>
        <w:t>昌吉回族自治州政务服务和公共资源交易中心</w:t>
      </w:r>
      <w:r>
        <w:rPr>
          <w:rFonts w:hint="eastAsia" w:ascii="宋体" w:hAnsi="宋体" w:eastAsia="宋体" w:cs="Times New Roman"/>
          <w:color w:val="auto"/>
          <w:sz w:val="24"/>
          <w:szCs w:val="24"/>
          <w:highlight w:val="none"/>
          <w:lang w:val="en-US" w:eastAsia="zh-CN"/>
        </w:rPr>
        <w:t>政府采购交易服务科（509室）</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 以下情形的质疑不予受理</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30.5.1 内容不符合《政府采购质疑和投诉办法》第十二条规定的质疑。</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30.5.2 超出政府采购法定期限的质疑。</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30.5.3 以传真、电子邮件等方式递交的非原件形式的质疑。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30.5.4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30.5.5供应商组成联合体参加投标，联合体中任何一方或多方未按要求签字、盖章、加盖公章的质疑。</w:t>
      </w:r>
    </w:p>
    <w:p>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30.5.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30.5.7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30.5.8不属于本中心管辖范围的质疑。</w:t>
      </w:r>
    </w:p>
    <w:p>
      <w:pPr>
        <w:snapToGrid w:val="0"/>
        <w:spacing w:line="480" w:lineRule="exact"/>
        <w:ind w:firstLine="480" w:firstLineChars="200"/>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lang w:eastAsia="zh-CN"/>
        </w:rPr>
        <w:t>30.6  供应商提出书面质疑必须有理、有据，不得捏造事实、提供虚假材料进行恶意质疑。否则，一经查实，政资中心有权依据政府采购的有关规定，报请政府采购监管部门对该供应商进行相应的行政处罚和记录该供应商的失信信息。</w:t>
      </w:r>
    </w:p>
    <w:p>
      <w:pPr>
        <w:spacing w:line="440" w:lineRule="exact"/>
        <w:ind w:firstLine="480" w:firstLineChars="200"/>
        <w:rPr>
          <w:rFonts w:hint="eastAsia"/>
          <w:sz w:val="24"/>
          <w:szCs w:val="24"/>
        </w:rPr>
      </w:pPr>
      <w:r>
        <w:rPr>
          <w:rFonts w:hint="eastAsia"/>
          <w:sz w:val="24"/>
          <w:szCs w:val="24"/>
          <w:lang w:val="en-US" w:eastAsia="zh-CN"/>
        </w:rPr>
        <w:t>30</w:t>
      </w:r>
      <w:r>
        <w:rPr>
          <w:rFonts w:hint="eastAsia"/>
          <w:sz w:val="24"/>
          <w:szCs w:val="24"/>
          <w:lang w:val="en-US"/>
        </w:rPr>
        <w:t>.</w:t>
      </w:r>
      <w:r>
        <w:rPr>
          <w:rFonts w:hint="eastAsia"/>
          <w:sz w:val="24"/>
          <w:szCs w:val="24"/>
          <w:lang w:val="en-US" w:eastAsia="zh-CN"/>
        </w:rPr>
        <w:t>7</w:t>
      </w:r>
      <w:r>
        <w:rPr>
          <w:rFonts w:hint="eastAsia"/>
          <w:sz w:val="24"/>
          <w:szCs w:val="24"/>
          <w:lang w:val="en-US"/>
        </w:rPr>
        <w:t xml:space="preserve"> </w:t>
      </w:r>
      <w:r>
        <w:rPr>
          <w:rFonts w:hint="eastAsia"/>
          <w:sz w:val="24"/>
          <w:szCs w:val="24"/>
        </w:rPr>
        <w:t xml:space="preserve">投诉 </w:t>
      </w:r>
    </w:p>
    <w:p>
      <w:pPr>
        <w:spacing w:line="440" w:lineRule="exact"/>
        <w:ind w:firstLine="480" w:firstLineChars="200"/>
        <w:rPr>
          <w:rFonts w:hint="eastAsia"/>
          <w:sz w:val="24"/>
          <w:szCs w:val="24"/>
        </w:rPr>
      </w:pPr>
      <w:r>
        <w:rPr>
          <w:rFonts w:hint="eastAsia"/>
          <w:sz w:val="24"/>
          <w:szCs w:val="24"/>
          <w:lang w:val="en-US" w:eastAsia="zh-CN"/>
        </w:rPr>
        <w:t>30</w:t>
      </w:r>
      <w:r>
        <w:rPr>
          <w:rFonts w:hint="eastAsia"/>
          <w:sz w:val="24"/>
          <w:szCs w:val="24"/>
          <w:lang w:val="en-US"/>
        </w:rPr>
        <w:t>.</w:t>
      </w:r>
      <w:r>
        <w:rPr>
          <w:rFonts w:hint="eastAsia"/>
          <w:sz w:val="24"/>
          <w:szCs w:val="24"/>
          <w:lang w:val="en-US" w:eastAsia="zh-CN"/>
        </w:rPr>
        <w:t>7</w:t>
      </w:r>
      <w:r>
        <w:rPr>
          <w:rFonts w:hint="eastAsia"/>
          <w:sz w:val="24"/>
          <w:szCs w:val="24"/>
          <w:lang w:val="en-US"/>
        </w:rPr>
        <w:t xml:space="preserve">.1 </w:t>
      </w:r>
      <w:r>
        <w:rPr>
          <w:rFonts w:hint="eastAsia"/>
          <w:sz w:val="24"/>
          <w:szCs w:val="24"/>
        </w:rPr>
        <w:t>质疑供应商对</w:t>
      </w:r>
      <w:r>
        <w:rPr>
          <w:rFonts w:hint="eastAsia"/>
          <w:sz w:val="24"/>
          <w:szCs w:val="24"/>
          <w:lang w:val="en-US" w:eastAsia="zh-CN"/>
        </w:rPr>
        <w:t>昌吉州</w:t>
      </w:r>
      <w:r>
        <w:rPr>
          <w:rFonts w:hint="eastAsia"/>
          <w:sz w:val="24"/>
          <w:szCs w:val="24"/>
        </w:rPr>
        <w:t>政务服务和公共资源</w:t>
      </w:r>
      <w:r>
        <w:rPr>
          <w:rFonts w:hint="eastAsia"/>
          <w:sz w:val="24"/>
          <w:szCs w:val="24"/>
          <w:lang w:val="en-US" w:eastAsia="zh-CN"/>
        </w:rPr>
        <w:t>交易</w:t>
      </w:r>
      <w:r>
        <w:rPr>
          <w:rFonts w:hint="eastAsia"/>
          <w:sz w:val="24"/>
          <w:szCs w:val="24"/>
          <w:lang w:eastAsia="zh-CN"/>
        </w:rPr>
        <w:t>中心</w:t>
      </w:r>
      <w:r>
        <w:rPr>
          <w:rFonts w:hint="eastAsia"/>
          <w:sz w:val="24"/>
          <w:szCs w:val="24"/>
        </w:rPr>
        <w:t>的答复不满意，或者</w:t>
      </w:r>
      <w:r>
        <w:rPr>
          <w:rFonts w:hint="eastAsia"/>
          <w:sz w:val="24"/>
          <w:szCs w:val="24"/>
          <w:lang w:val="en-US" w:eastAsia="zh-CN"/>
        </w:rPr>
        <w:t>昌吉州</w:t>
      </w:r>
      <w:r>
        <w:rPr>
          <w:rFonts w:hint="eastAsia"/>
          <w:sz w:val="24"/>
          <w:szCs w:val="24"/>
        </w:rPr>
        <w:t>政务服务和公共资源</w:t>
      </w:r>
      <w:r>
        <w:rPr>
          <w:rFonts w:hint="eastAsia"/>
          <w:sz w:val="24"/>
          <w:szCs w:val="24"/>
          <w:lang w:val="en-US" w:eastAsia="zh-CN"/>
        </w:rPr>
        <w:t>交易</w:t>
      </w:r>
      <w:r>
        <w:rPr>
          <w:rFonts w:hint="eastAsia"/>
          <w:sz w:val="24"/>
          <w:szCs w:val="24"/>
          <w:lang w:eastAsia="zh-CN"/>
        </w:rPr>
        <w:t>中心</w:t>
      </w:r>
      <w:r>
        <w:rPr>
          <w:rFonts w:hint="eastAsia"/>
          <w:sz w:val="24"/>
          <w:szCs w:val="24"/>
        </w:rPr>
        <w:t xml:space="preserve">未在规定时间内作出答复的，可以在答复期满后十五个工作日内向同级财政部门提起投诉。 </w:t>
      </w:r>
    </w:p>
    <w:p>
      <w:pPr>
        <w:spacing w:line="440" w:lineRule="exact"/>
        <w:ind w:firstLine="480" w:firstLineChars="200"/>
        <w:rPr>
          <w:rFonts w:hint="eastAsia"/>
          <w:sz w:val="24"/>
          <w:szCs w:val="24"/>
        </w:rPr>
      </w:pPr>
      <w:r>
        <w:rPr>
          <w:rFonts w:hint="eastAsia"/>
          <w:sz w:val="24"/>
          <w:szCs w:val="24"/>
          <w:lang w:val="en-US" w:eastAsia="zh-CN"/>
        </w:rPr>
        <w:t>30</w:t>
      </w:r>
      <w:r>
        <w:rPr>
          <w:rFonts w:hint="eastAsia"/>
          <w:sz w:val="24"/>
          <w:szCs w:val="24"/>
          <w:lang w:val="en-US"/>
        </w:rPr>
        <w:t>.</w:t>
      </w:r>
      <w:r>
        <w:rPr>
          <w:rFonts w:hint="eastAsia"/>
          <w:sz w:val="24"/>
          <w:szCs w:val="24"/>
          <w:lang w:val="en-US" w:eastAsia="zh-CN"/>
        </w:rPr>
        <w:t>7</w:t>
      </w:r>
      <w:r>
        <w:rPr>
          <w:rFonts w:hint="eastAsia"/>
          <w:sz w:val="24"/>
          <w:szCs w:val="24"/>
          <w:lang w:val="en-US"/>
        </w:rPr>
        <w:t xml:space="preserve">.2 </w:t>
      </w:r>
      <w:r>
        <w:rPr>
          <w:rFonts w:hint="eastAsia"/>
          <w:sz w:val="24"/>
          <w:szCs w:val="24"/>
        </w:rPr>
        <w:t xml:space="preserve">投诉人在全国范围12个月内三次以上投诉查无实据的，由财政部门列入不良行为记录名单。 </w:t>
      </w:r>
    </w:p>
    <w:p>
      <w:pPr>
        <w:spacing w:line="440" w:lineRule="exact"/>
        <w:ind w:firstLine="480" w:firstLineChars="200"/>
        <w:rPr>
          <w:rFonts w:hint="eastAsia"/>
          <w:sz w:val="24"/>
          <w:szCs w:val="24"/>
        </w:rPr>
      </w:pPr>
      <w:r>
        <w:rPr>
          <w:rFonts w:hint="eastAsia"/>
          <w:sz w:val="24"/>
          <w:szCs w:val="24"/>
          <w:lang w:val="en-US" w:eastAsia="zh-CN"/>
        </w:rPr>
        <w:t>30</w:t>
      </w:r>
      <w:r>
        <w:rPr>
          <w:rFonts w:hint="eastAsia"/>
          <w:sz w:val="24"/>
          <w:szCs w:val="24"/>
          <w:lang w:val="en-US"/>
        </w:rPr>
        <w:t>.</w:t>
      </w:r>
      <w:r>
        <w:rPr>
          <w:rFonts w:hint="eastAsia"/>
          <w:sz w:val="24"/>
          <w:szCs w:val="24"/>
          <w:lang w:val="en-US" w:eastAsia="zh-CN"/>
        </w:rPr>
        <w:t>7</w:t>
      </w:r>
      <w:r>
        <w:rPr>
          <w:rFonts w:hint="eastAsia"/>
          <w:sz w:val="24"/>
          <w:szCs w:val="24"/>
          <w:lang w:val="en-US"/>
        </w:rPr>
        <w:t xml:space="preserve">.3 </w:t>
      </w:r>
      <w:r>
        <w:rPr>
          <w:rFonts w:hint="eastAsia"/>
          <w:sz w:val="24"/>
          <w:szCs w:val="24"/>
        </w:rPr>
        <w:t xml:space="preserve">投诉人有下列行为之一的，属于虚假、恶意投诉，由财政部门列入不良行为记录名单，禁止其1至3年内参加政府采购活动： </w:t>
      </w:r>
    </w:p>
    <w:p>
      <w:pPr>
        <w:spacing w:line="440" w:lineRule="exact"/>
        <w:ind w:firstLine="480" w:firstLineChars="200"/>
        <w:rPr>
          <w:rFonts w:hint="eastAsia"/>
          <w:sz w:val="24"/>
          <w:szCs w:val="24"/>
        </w:rPr>
      </w:pPr>
      <w:r>
        <w:rPr>
          <w:rFonts w:hint="eastAsia"/>
          <w:sz w:val="24"/>
          <w:szCs w:val="24"/>
          <w:lang w:val="en-US" w:eastAsia="zh-CN"/>
        </w:rPr>
        <w:t>30</w:t>
      </w:r>
      <w:r>
        <w:rPr>
          <w:rFonts w:hint="eastAsia"/>
          <w:sz w:val="24"/>
          <w:szCs w:val="24"/>
          <w:lang w:val="en-US"/>
        </w:rPr>
        <w:t>.</w:t>
      </w:r>
      <w:r>
        <w:rPr>
          <w:rFonts w:hint="eastAsia"/>
          <w:sz w:val="24"/>
          <w:szCs w:val="24"/>
          <w:lang w:val="en-US" w:eastAsia="zh-CN"/>
        </w:rPr>
        <w:t>7</w:t>
      </w:r>
      <w:r>
        <w:rPr>
          <w:rFonts w:hint="eastAsia"/>
          <w:sz w:val="24"/>
          <w:szCs w:val="24"/>
          <w:lang w:val="en-US"/>
        </w:rPr>
        <w:t xml:space="preserve">.3.1 </w:t>
      </w:r>
      <w:r>
        <w:rPr>
          <w:rFonts w:hint="eastAsia"/>
          <w:sz w:val="24"/>
          <w:szCs w:val="24"/>
        </w:rPr>
        <w:t xml:space="preserve">捏造事实； </w:t>
      </w:r>
    </w:p>
    <w:p>
      <w:pPr>
        <w:spacing w:line="440" w:lineRule="exact"/>
        <w:ind w:firstLine="480" w:firstLineChars="200"/>
        <w:rPr>
          <w:rFonts w:hint="eastAsia"/>
          <w:sz w:val="24"/>
          <w:szCs w:val="24"/>
        </w:rPr>
      </w:pPr>
      <w:r>
        <w:rPr>
          <w:rFonts w:hint="eastAsia"/>
          <w:sz w:val="24"/>
          <w:szCs w:val="24"/>
          <w:lang w:val="en-US" w:eastAsia="zh-CN"/>
        </w:rPr>
        <w:t>30</w:t>
      </w:r>
      <w:r>
        <w:rPr>
          <w:rFonts w:hint="eastAsia"/>
          <w:sz w:val="24"/>
          <w:szCs w:val="24"/>
          <w:lang w:val="en-US"/>
        </w:rPr>
        <w:t>.</w:t>
      </w:r>
      <w:r>
        <w:rPr>
          <w:rFonts w:hint="eastAsia"/>
          <w:sz w:val="24"/>
          <w:szCs w:val="24"/>
          <w:lang w:val="en-US" w:eastAsia="zh-CN"/>
        </w:rPr>
        <w:t>7</w:t>
      </w:r>
      <w:r>
        <w:rPr>
          <w:rFonts w:hint="eastAsia"/>
          <w:sz w:val="24"/>
          <w:szCs w:val="24"/>
          <w:lang w:val="en-US"/>
        </w:rPr>
        <w:t xml:space="preserve">.3.2 </w:t>
      </w:r>
      <w:r>
        <w:rPr>
          <w:rFonts w:hint="eastAsia"/>
          <w:sz w:val="24"/>
          <w:szCs w:val="24"/>
        </w:rPr>
        <w:t xml:space="preserve">提供虚假材料； </w:t>
      </w:r>
    </w:p>
    <w:p>
      <w:pPr>
        <w:pStyle w:val="10"/>
        <w:ind w:left="0" w:leftChars="0" w:firstLine="573" w:firstLineChars="238"/>
        <w:rPr>
          <w:rFonts w:hint="eastAsia" w:ascii="宋体" w:hAnsi="宋体" w:eastAsia="宋体" w:cs="宋体"/>
          <w:b w:val="0"/>
          <w:color w:val="auto"/>
          <w:sz w:val="30"/>
          <w:szCs w:val="30"/>
          <w:highlight w:val="none"/>
        </w:rPr>
      </w:pPr>
      <w:r>
        <w:rPr>
          <w:rFonts w:hint="eastAsia"/>
          <w:sz w:val="24"/>
          <w:szCs w:val="24"/>
          <w:lang w:val="en-US" w:eastAsia="zh-CN"/>
        </w:rPr>
        <w:t>30</w:t>
      </w:r>
      <w:r>
        <w:rPr>
          <w:rFonts w:hint="eastAsia"/>
          <w:sz w:val="24"/>
          <w:szCs w:val="24"/>
          <w:lang w:val="en-US"/>
        </w:rPr>
        <w:t>.</w:t>
      </w:r>
      <w:r>
        <w:rPr>
          <w:rFonts w:hint="eastAsia"/>
          <w:sz w:val="24"/>
          <w:szCs w:val="24"/>
          <w:lang w:val="en-US" w:eastAsia="zh-CN"/>
        </w:rPr>
        <w:t>7</w:t>
      </w:r>
      <w:r>
        <w:rPr>
          <w:rFonts w:hint="eastAsia"/>
          <w:sz w:val="24"/>
          <w:szCs w:val="24"/>
          <w:lang w:val="en-US"/>
        </w:rPr>
        <w:t xml:space="preserve">.3.3 </w:t>
      </w:r>
      <w:r>
        <w:rPr>
          <w:rFonts w:hint="eastAsia"/>
          <w:sz w:val="24"/>
          <w:szCs w:val="24"/>
        </w:rPr>
        <w:t>以非法手段取得证明材料。证据来源的合法性存在明显疑问，投诉人无法证明其取得方式合法的，视为以非法手段取得证明材料。</w:t>
      </w:r>
    </w:p>
    <w:p>
      <w:pPr>
        <w:pStyle w:val="2"/>
        <w:rPr>
          <w:rFonts w:hint="eastAsia"/>
          <w:lang w:eastAsia="zh-CN"/>
        </w:rPr>
      </w:pPr>
    </w:p>
    <w:p>
      <w:pPr>
        <w:pStyle w:val="9"/>
        <w:spacing w:before="145" w:beforeLines="50" w:after="145" w:afterLines="50" w:line="360" w:lineRule="auto"/>
        <w:ind w:firstLine="643" w:firstLineChars="200"/>
        <w:rPr>
          <w:rFonts w:hint="eastAsia"/>
        </w:rPr>
      </w:pPr>
      <w:r>
        <w:rPr>
          <w:rFonts w:hint="eastAsia"/>
        </w:rPr>
        <w:t>七、授予合同</w:t>
      </w:r>
      <w:bookmarkEnd w:id="171"/>
      <w:bookmarkEnd w:id="172"/>
      <w:bookmarkEnd w:id="173"/>
    </w:p>
    <w:bookmarkEnd w:id="174"/>
    <w:bookmarkEnd w:id="175"/>
    <w:bookmarkEnd w:id="176"/>
    <w:p>
      <w:pPr>
        <w:pStyle w:val="10"/>
        <w:ind w:firstLine="600" w:firstLineChars="200"/>
        <w:rPr>
          <w:rFonts w:ascii="黑体" w:hAnsi="宋体" w:cs="Times New Roman"/>
          <w:b w:val="0"/>
          <w:sz w:val="30"/>
          <w:szCs w:val="30"/>
        </w:rPr>
      </w:pPr>
      <w:bookmarkStart w:id="177" w:name="_Toc16938553"/>
      <w:bookmarkStart w:id="178" w:name="_Toc20823309"/>
      <w:bookmarkStart w:id="179" w:name="_Toc513029237"/>
      <w:r>
        <w:rPr>
          <w:rFonts w:hint="eastAsia" w:ascii="黑体" w:hAnsi="宋体" w:cs="Times New Roman"/>
          <w:b w:val="0"/>
          <w:sz w:val="30"/>
          <w:szCs w:val="30"/>
        </w:rPr>
        <w:t>3</w:t>
      </w:r>
      <w:r>
        <w:rPr>
          <w:rFonts w:hint="eastAsia" w:ascii="黑体" w:hAnsi="宋体" w:cs="Times New Roman"/>
          <w:b w:val="0"/>
          <w:sz w:val="30"/>
          <w:szCs w:val="30"/>
          <w:lang w:val="en-US" w:eastAsia="zh-CN"/>
        </w:rPr>
        <w:t>1</w:t>
      </w:r>
      <w:r>
        <w:rPr>
          <w:rFonts w:hint="eastAsia" w:ascii="黑体" w:hAnsi="宋体" w:cs="Times New Roman"/>
          <w:b w:val="0"/>
          <w:sz w:val="30"/>
          <w:szCs w:val="30"/>
        </w:rPr>
        <w:t>. 签订合同</w:t>
      </w:r>
    </w:p>
    <w:p>
      <w:pPr>
        <w:snapToGrid w:val="0"/>
        <w:spacing w:line="480" w:lineRule="exact"/>
        <w:ind w:firstLine="600" w:firstLineChars="250"/>
        <w:rPr>
          <w:rFonts w:hint="eastAsia" w:ascii="宋体" w:hAnsi="宋体"/>
          <w:sz w:val="24"/>
          <w:szCs w:val="24"/>
        </w:rPr>
      </w:pPr>
      <w:r>
        <w:rPr>
          <w:rFonts w:hint="eastAsia" w:ascii="宋体" w:hAnsi="宋体"/>
          <w:bCs/>
          <w:sz w:val="24"/>
          <w:szCs w:val="24"/>
        </w:rPr>
        <w:t>3</w:t>
      </w:r>
      <w:r>
        <w:rPr>
          <w:rFonts w:hint="eastAsia" w:ascii="宋体" w:hAnsi="宋体"/>
          <w:bCs/>
          <w:sz w:val="24"/>
          <w:szCs w:val="24"/>
          <w:lang w:val="en-US" w:eastAsia="zh-CN"/>
        </w:rPr>
        <w:t>1</w:t>
      </w:r>
      <w:r>
        <w:rPr>
          <w:rFonts w:hint="eastAsia" w:ascii="宋体" w:hAnsi="宋体"/>
          <w:sz w:val="24"/>
          <w:szCs w:val="24"/>
        </w:rPr>
        <w:t>.l中标人应当在中标通知书发出之日起三十日内，按照招标文件确定的事项与采购人签订政府采购合同。</w:t>
      </w:r>
    </w:p>
    <w:p>
      <w:pPr>
        <w:snapToGrid w:val="0"/>
        <w:spacing w:line="48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.2</w:t>
      </w:r>
      <w:r>
        <w:rPr>
          <w:rFonts w:hint="eastAsia" w:ascii="宋体" w:hAnsi="宋体"/>
          <w:b/>
          <w:sz w:val="24"/>
          <w:szCs w:val="24"/>
        </w:rPr>
        <w:t xml:space="preserve"> </w:t>
      </w:r>
      <w:r>
        <w:rPr>
          <w:rFonts w:hint="eastAsia" w:ascii="宋体" w:hAnsi="宋体"/>
          <w:sz w:val="24"/>
          <w:szCs w:val="24"/>
        </w:rPr>
        <w:t>招标文件、中标人的投标文件及招标过程中有关澄清、承诺文件均应作为合同附件。</w:t>
      </w:r>
    </w:p>
    <w:p>
      <w:pPr>
        <w:snapToGrid w:val="0"/>
        <w:spacing w:line="480" w:lineRule="exact"/>
        <w:ind w:firstLine="600" w:firstLineChars="250"/>
        <w:rPr>
          <w:rFonts w:hint="eastAsia" w:ascii="宋体" w:hAnsi="宋体"/>
          <w:color w:val="0000FF"/>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 xml:space="preserve">.3 </w:t>
      </w:r>
      <w:r>
        <w:rPr>
          <w:rFonts w:hint="eastAsia" w:ascii="宋体" w:hAnsi="宋体" w:eastAsia="宋体" w:cs="宋体"/>
          <w:sz w:val="24"/>
          <w:szCs w:val="24"/>
        </w:rPr>
        <w:t>签订合同后，</w:t>
      </w:r>
      <w:r>
        <w:rPr>
          <w:rFonts w:hint="eastAsia" w:ascii="宋体" w:hAnsi="宋体" w:eastAsia="宋体" w:cs="宋体"/>
          <w:i/>
          <w:sz w:val="24"/>
          <w:szCs w:val="24"/>
          <w:u w:val="single"/>
        </w:rPr>
        <w:t>中标人不得将货物及其他相关服务进行转包</w:t>
      </w:r>
      <w:r>
        <w:rPr>
          <w:rFonts w:hint="eastAsia" w:ascii="宋体" w:hAnsi="宋体" w:eastAsia="宋体" w:cs="宋体"/>
          <w:sz w:val="24"/>
          <w:szCs w:val="24"/>
        </w:rPr>
        <w:t>。未经采购人同意，中标人也不得采用分包的形式履行合同，否则采购人有权终止合同。转包或分包造成采购人损失的，中标人应承担相应赔偿责任。</w:t>
      </w:r>
    </w:p>
    <w:p>
      <w:pPr>
        <w:pStyle w:val="10"/>
        <w:ind w:firstLine="600" w:firstLineChars="200"/>
        <w:rPr>
          <w:rFonts w:hint="eastAsia" w:ascii="黑体" w:hAnsi="宋体" w:cs="Times New Roman"/>
          <w:b w:val="0"/>
          <w:sz w:val="30"/>
          <w:szCs w:val="30"/>
        </w:rPr>
      </w:pPr>
      <w:r>
        <w:rPr>
          <w:rFonts w:hint="eastAsia" w:ascii="黑体" w:hAnsi="宋体" w:cs="Times New Roman"/>
          <w:b w:val="0"/>
          <w:sz w:val="30"/>
          <w:szCs w:val="30"/>
        </w:rPr>
        <w:t>3</w:t>
      </w:r>
      <w:r>
        <w:rPr>
          <w:rFonts w:hint="eastAsia" w:ascii="黑体" w:hAnsi="宋体" w:cs="Times New Roman"/>
          <w:b w:val="0"/>
          <w:sz w:val="30"/>
          <w:szCs w:val="30"/>
          <w:lang w:val="en-US" w:eastAsia="zh-CN"/>
        </w:rPr>
        <w:t>2</w:t>
      </w:r>
      <w:r>
        <w:rPr>
          <w:rFonts w:hint="eastAsia" w:ascii="黑体" w:hAnsi="宋体" w:cs="Times New Roman"/>
          <w:b w:val="0"/>
          <w:sz w:val="30"/>
          <w:szCs w:val="30"/>
        </w:rPr>
        <w:t>、货物和服务的追加、减少和添购。</w:t>
      </w:r>
    </w:p>
    <w:p>
      <w:pPr>
        <w:spacing w:line="48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spacing w:line="48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
      <w:pPr>
        <w:spacing w:line="500" w:lineRule="exact"/>
        <w:ind w:firstLine="555"/>
        <w:rPr>
          <w:rFonts w:hint="eastAsia" w:ascii="宋体" w:hAnsi="宋体"/>
          <w:bCs/>
          <w:sz w:val="24"/>
          <w:szCs w:val="24"/>
        </w:rPr>
      </w:pPr>
      <w:r>
        <w:br w:type="page"/>
      </w:r>
    </w:p>
    <w:p>
      <w:pPr>
        <w:pStyle w:val="8"/>
        <w:rPr>
          <w:rFonts w:hint="eastAsia" w:eastAsia="黑体"/>
          <w:lang w:eastAsia="zh-CN"/>
        </w:rPr>
      </w:pPr>
      <w:bookmarkStart w:id="180" w:name="_Toc534725606"/>
      <w:bookmarkStart w:id="181" w:name="_Toc534816635"/>
      <w:r>
        <w:rPr>
          <w:rFonts w:hint="eastAsia"/>
        </w:rPr>
        <w:t>第三章  合同</w:t>
      </w:r>
      <w:bookmarkEnd w:id="22"/>
      <w:bookmarkEnd w:id="23"/>
      <w:bookmarkEnd w:id="24"/>
      <w:bookmarkEnd w:id="25"/>
      <w:bookmarkEnd w:id="26"/>
      <w:r>
        <w:rPr>
          <w:rFonts w:hint="eastAsia"/>
        </w:rPr>
        <w:t>文本</w:t>
      </w:r>
      <w:bookmarkEnd w:id="27"/>
      <w:bookmarkEnd w:id="180"/>
      <w:bookmarkEnd w:id="181"/>
      <w:r>
        <w:rPr>
          <w:rFonts w:hint="eastAsia"/>
          <w:color w:val="0000FF"/>
          <w:lang w:eastAsia="zh-CN"/>
        </w:rPr>
        <w:t>（参考）</w:t>
      </w:r>
    </w:p>
    <w:p>
      <w:pPr>
        <w:spacing w:line="500" w:lineRule="exact"/>
        <w:ind w:firstLine="480" w:firstLineChars="200"/>
        <w:rPr>
          <w:rFonts w:hint="eastAsia" w:ascii="宋体" w:hAnsi="宋体"/>
          <w:bCs/>
          <w:sz w:val="24"/>
        </w:rPr>
      </w:pPr>
      <w:bookmarkStart w:id="182" w:name="_Toc20823315"/>
      <w:bookmarkStart w:id="183" w:name="_Toc16938559"/>
      <w:bookmarkStart w:id="184" w:name="_Toc513029243"/>
      <w:r>
        <w:rPr>
          <w:rFonts w:hint="eastAsia" w:ascii="宋体" w:hAnsi="宋体"/>
          <w:bCs/>
          <w:sz w:val="24"/>
        </w:rPr>
        <w:t>以下为中标后签定本项目合同的通用条款，中标人不得提出实质性的修改，关于专用条款将由采购人与中标人结合本项目具体情况协商后签订。</w:t>
      </w:r>
    </w:p>
    <w:p>
      <w:pPr>
        <w:jc w:val="center"/>
        <w:rPr>
          <w:b/>
          <w:bCs/>
          <w:sz w:val="30"/>
          <w:szCs w:val="30"/>
        </w:rPr>
      </w:pPr>
      <w:r>
        <w:rPr>
          <w:rFonts w:hint="eastAsia"/>
          <w:b/>
          <w:sz w:val="30"/>
          <w:szCs w:val="30"/>
          <w:lang w:val="en-US" w:eastAsia="zh-CN"/>
        </w:rPr>
        <w:t>昌吉回族自治州</w:t>
      </w:r>
      <w:r>
        <w:rPr>
          <w:rFonts w:hint="eastAsia"/>
          <w:b/>
          <w:sz w:val="30"/>
          <w:szCs w:val="30"/>
        </w:rPr>
        <w:t>政府采购合同（合同编号）</w:t>
      </w:r>
    </w:p>
    <w:p>
      <w:pPr>
        <w:pStyle w:val="16"/>
        <w:snapToGrid w:val="0"/>
        <w:spacing w:before="120" w:after="120"/>
        <w:rPr>
          <w:rFonts w:hAnsi="宋体"/>
          <w:sz w:val="24"/>
          <w:szCs w:val="24"/>
        </w:rPr>
      </w:pPr>
      <w:r>
        <w:rPr>
          <w:rFonts w:hAnsi="宋体"/>
          <w:sz w:val="24"/>
          <w:szCs w:val="24"/>
        </w:rPr>
        <w:t>项目名称：                                       项目编号：</w:t>
      </w:r>
    </w:p>
    <w:p>
      <w:pPr>
        <w:pStyle w:val="16"/>
        <w:snapToGrid w:val="0"/>
        <w:spacing w:before="120" w:after="120"/>
        <w:rPr>
          <w:rFonts w:hAnsi="宋体"/>
          <w:sz w:val="24"/>
          <w:szCs w:val="24"/>
        </w:rPr>
      </w:pPr>
      <w:r>
        <w:rPr>
          <w:rFonts w:hAnsi="宋体"/>
          <w:sz w:val="24"/>
          <w:szCs w:val="24"/>
        </w:rPr>
        <w:t>甲方：（买方）_________</w:t>
      </w:r>
    </w:p>
    <w:p>
      <w:pPr>
        <w:pStyle w:val="16"/>
        <w:snapToGrid w:val="0"/>
        <w:spacing w:before="120" w:after="120"/>
        <w:rPr>
          <w:rFonts w:hint="eastAsia" w:hAnsi="宋体"/>
          <w:sz w:val="24"/>
          <w:szCs w:val="24"/>
        </w:rPr>
      </w:pPr>
      <w:r>
        <w:rPr>
          <w:rFonts w:hAnsi="宋体"/>
          <w:sz w:val="24"/>
          <w:szCs w:val="24"/>
        </w:rPr>
        <w:t>乙方：（卖方）_________</w:t>
      </w:r>
    </w:p>
    <w:p>
      <w:pPr>
        <w:pStyle w:val="16"/>
        <w:snapToGrid w:val="0"/>
        <w:spacing w:before="120" w:after="120"/>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lang w:val="en-US" w:eastAsia="zh-CN"/>
        </w:rPr>
        <w:t>昌吉回族自治州政务服务和公共资源交易中心</w:t>
      </w:r>
      <w:r>
        <w:rPr>
          <w:rFonts w:hint="eastAsia" w:hAnsi="宋体"/>
          <w:sz w:val="24"/>
          <w:szCs w:val="24"/>
          <w:u w:val="single"/>
        </w:rPr>
        <w:t xml:space="preserve">                          组织的                                   </w:t>
      </w:r>
      <w:r>
        <w:rPr>
          <w:rFonts w:hAnsi="宋体"/>
          <w:sz w:val="24"/>
          <w:szCs w:val="24"/>
        </w:rPr>
        <w:t>项目公开招标的结果，签署本合同。</w:t>
      </w:r>
    </w:p>
    <w:p>
      <w:pPr>
        <w:pStyle w:val="16"/>
        <w:snapToGrid w:val="0"/>
        <w:spacing w:before="120" w:after="120"/>
        <w:rPr>
          <w:rFonts w:hAnsi="宋体"/>
          <w:b/>
          <w:sz w:val="24"/>
          <w:szCs w:val="24"/>
        </w:rPr>
      </w:pPr>
      <w:r>
        <w:rPr>
          <w:rFonts w:hAnsi="宋体"/>
          <w:b/>
          <w:sz w:val="24"/>
          <w:szCs w:val="24"/>
        </w:rPr>
        <w:t>一、产品内容</w:t>
      </w:r>
    </w:p>
    <w:p>
      <w:pPr>
        <w:pStyle w:val="16"/>
        <w:snapToGrid w:val="0"/>
        <w:spacing w:before="120" w:after="120"/>
        <w:rPr>
          <w:rFonts w:hAnsi="宋体"/>
          <w:sz w:val="24"/>
          <w:szCs w:val="24"/>
        </w:rPr>
      </w:pPr>
      <w:r>
        <w:rPr>
          <w:rFonts w:hAnsi="宋体"/>
          <w:sz w:val="24"/>
          <w:szCs w:val="24"/>
        </w:rPr>
        <w:t>1.1 产品名称：</w:t>
      </w:r>
    </w:p>
    <w:p>
      <w:pPr>
        <w:pStyle w:val="16"/>
        <w:snapToGrid w:val="0"/>
        <w:spacing w:before="120" w:after="120"/>
        <w:rPr>
          <w:rFonts w:hAnsi="宋体"/>
          <w:sz w:val="24"/>
          <w:szCs w:val="24"/>
        </w:rPr>
      </w:pPr>
      <w:r>
        <w:rPr>
          <w:rFonts w:hAnsi="宋体"/>
          <w:sz w:val="24"/>
          <w:szCs w:val="24"/>
        </w:rPr>
        <w:t>1.2 型号规格：</w:t>
      </w:r>
    </w:p>
    <w:p>
      <w:pPr>
        <w:pStyle w:val="16"/>
        <w:snapToGrid w:val="0"/>
        <w:spacing w:before="120" w:after="120"/>
        <w:rPr>
          <w:rFonts w:hAnsi="宋体"/>
          <w:sz w:val="24"/>
          <w:szCs w:val="24"/>
        </w:rPr>
      </w:pPr>
      <w:r>
        <w:rPr>
          <w:rFonts w:hAnsi="宋体"/>
          <w:sz w:val="24"/>
          <w:szCs w:val="24"/>
        </w:rPr>
        <w:t>1.3 数量（单位）：</w:t>
      </w:r>
    </w:p>
    <w:p>
      <w:pPr>
        <w:pStyle w:val="16"/>
        <w:snapToGrid w:val="0"/>
        <w:spacing w:before="120" w:after="120"/>
        <w:rPr>
          <w:rFonts w:hAnsi="宋体"/>
          <w:b/>
          <w:sz w:val="24"/>
          <w:szCs w:val="24"/>
        </w:rPr>
      </w:pPr>
      <w:r>
        <w:rPr>
          <w:rFonts w:hAnsi="宋体"/>
          <w:b/>
          <w:sz w:val="24"/>
          <w:szCs w:val="24"/>
        </w:rPr>
        <w:t>二、合同金额</w:t>
      </w:r>
    </w:p>
    <w:p>
      <w:pPr>
        <w:pStyle w:val="16"/>
        <w:snapToGrid w:val="0"/>
        <w:spacing w:before="120" w:after="120"/>
        <w:ind w:left="410" w:hanging="410" w:hangingChars="171"/>
        <w:rPr>
          <w:rFonts w:hAnsi="宋体"/>
          <w:sz w:val="24"/>
          <w:szCs w:val="24"/>
        </w:rPr>
      </w:pPr>
      <w:r>
        <w:rPr>
          <w:rFonts w:hAnsi="宋体"/>
          <w:sz w:val="24"/>
          <w:szCs w:val="24"/>
        </w:rPr>
        <w:t>2.1 本合同金额为（大写）：____________________________________</w:t>
      </w:r>
      <w:r>
        <w:rPr>
          <w:rFonts w:hint="eastAsia" w:hAnsi="宋体"/>
          <w:sz w:val="24"/>
          <w:szCs w:val="24"/>
        </w:rPr>
        <w:t>圆</w:t>
      </w:r>
      <w:r>
        <w:rPr>
          <w:rFonts w:hAnsi="宋体"/>
          <w:sz w:val="24"/>
          <w:szCs w:val="24"/>
        </w:rPr>
        <w:t>（_______________元）人民币</w:t>
      </w:r>
      <w:r>
        <w:rPr>
          <w:rFonts w:hint="eastAsia" w:hAnsi="宋体"/>
          <w:sz w:val="24"/>
          <w:szCs w:val="24"/>
        </w:rPr>
        <w:t>或其他币种</w:t>
      </w:r>
      <w:r>
        <w:rPr>
          <w:rFonts w:hAnsi="宋体"/>
          <w:sz w:val="24"/>
          <w:szCs w:val="24"/>
        </w:rPr>
        <w:t>。</w:t>
      </w:r>
    </w:p>
    <w:p>
      <w:pPr>
        <w:pStyle w:val="16"/>
        <w:snapToGrid w:val="0"/>
        <w:spacing w:before="120" w:after="120"/>
        <w:rPr>
          <w:rFonts w:hAnsi="宋体"/>
          <w:b/>
          <w:sz w:val="24"/>
          <w:szCs w:val="24"/>
        </w:rPr>
      </w:pPr>
      <w:r>
        <w:rPr>
          <w:rFonts w:hAnsi="宋体"/>
          <w:b/>
          <w:sz w:val="24"/>
          <w:szCs w:val="24"/>
        </w:rPr>
        <w:t>三、技术资料</w:t>
      </w:r>
    </w:p>
    <w:p>
      <w:pPr>
        <w:pStyle w:val="16"/>
        <w:snapToGrid w:val="0"/>
        <w:spacing w:before="120" w:after="120"/>
        <w:ind w:left="410" w:hanging="410" w:hangingChars="171"/>
        <w:rPr>
          <w:rFonts w:hint="eastAsia" w:hAnsi="宋体"/>
          <w:sz w:val="24"/>
          <w:szCs w:val="24"/>
        </w:rPr>
      </w:pPr>
      <w:r>
        <w:rPr>
          <w:rFonts w:hAnsi="宋体"/>
          <w:sz w:val="24"/>
          <w:szCs w:val="24"/>
        </w:rPr>
        <w:t>3.1乙方应按招标文件规定的时间向甲方提供使用</w:t>
      </w:r>
      <w:r>
        <w:rPr>
          <w:rFonts w:hint="eastAsia" w:hAnsi="宋体"/>
          <w:sz w:val="24"/>
          <w:szCs w:val="24"/>
        </w:rPr>
        <w:t>货物</w:t>
      </w:r>
      <w:r>
        <w:rPr>
          <w:rFonts w:hAnsi="宋体"/>
          <w:sz w:val="24"/>
          <w:szCs w:val="24"/>
        </w:rPr>
        <w:t>的有关技术资料。</w:t>
      </w:r>
    </w:p>
    <w:p>
      <w:pPr>
        <w:pStyle w:val="16"/>
        <w:snapToGrid w:val="0"/>
        <w:spacing w:before="120" w:after="120"/>
        <w:ind w:left="410" w:hanging="410" w:hangingChars="171"/>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napToGrid w:val="0"/>
        <w:spacing w:before="120" w:after="120"/>
        <w:ind w:left="412" w:hanging="412" w:hangingChars="171"/>
        <w:rPr>
          <w:rFonts w:hAnsi="宋体"/>
          <w:b/>
          <w:sz w:val="24"/>
          <w:szCs w:val="24"/>
        </w:rPr>
      </w:pPr>
      <w:r>
        <w:rPr>
          <w:rFonts w:hAnsi="宋体"/>
          <w:b/>
          <w:sz w:val="24"/>
          <w:szCs w:val="24"/>
        </w:rPr>
        <w:t>四、知识产权</w:t>
      </w:r>
    </w:p>
    <w:p>
      <w:pPr>
        <w:spacing w:line="500" w:lineRule="exact"/>
        <w:rPr>
          <w:rFonts w:hint="eastAsia" w:ascii="宋体" w:hAnsi="宋体"/>
          <w:sz w:val="24"/>
        </w:rPr>
      </w:pPr>
      <w:r>
        <w:rPr>
          <w:rFonts w:hAnsi="宋体"/>
          <w:sz w:val="24"/>
          <w:szCs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16"/>
        <w:snapToGrid w:val="0"/>
        <w:spacing w:before="120" w:after="120"/>
        <w:rPr>
          <w:rFonts w:hAnsi="宋体"/>
          <w:sz w:val="24"/>
          <w:szCs w:val="24"/>
          <w:u w:val="single"/>
        </w:rPr>
      </w:pPr>
      <w:r>
        <w:rPr>
          <w:rFonts w:hAnsi="宋体"/>
          <w:b/>
          <w:sz w:val="24"/>
          <w:szCs w:val="24"/>
        </w:rPr>
        <w:t>五、产权担保</w:t>
      </w:r>
    </w:p>
    <w:p>
      <w:pPr>
        <w:pStyle w:val="16"/>
        <w:snapToGrid w:val="0"/>
        <w:spacing w:before="120" w:after="120"/>
        <w:ind w:left="408" w:hanging="408" w:hangingChars="170"/>
        <w:rPr>
          <w:rFonts w:hAnsi="宋体"/>
          <w:sz w:val="24"/>
          <w:szCs w:val="24"/>
          <w:u w:val="single"/>
        </w:rPr>
      </w:pPr>
      <w:r>
        <w:rPr>
          <w:rFonts w:hAnsi="宋体"/>
          <w:sz w:val="24"/>
          <w:szCs w:val="24"/>
        </w:rPr>
        <w:t>5.1 乙方保证所交付的产品的所有权完全属于乙方且无任何抵押、查封等产权瑕疵。</w:t>
      </w:r>
    </w:p>
    <w:p>
      <w:pPr>
        <w:snapToGrid w:val="0"/>
        <w:spacing w:before="145" w:beforeLines="50" w:after="145" w:afterLines="50"/>
        <w:rPr>
          <w:rFonts w:ascii="宋体" w:hAnsi="宋体" w:eastAsia="仿宋_GB2312"/>
          <w:b/>
          <w:sz w:val="24"/>
          <w:szCs w:val="24"/>
        </w:rPr>
      </w:pPr>
      <w:r>
        <w:rPr>
          <w:rFonts w:hint="eastAsia" w:ascii="宋体" w:hAnsi="宋体"/>
          <w:b/>
          <w:sz w:val="24"/>
          <w:szCs w:val="24"/>
          <w:lang w:val="en-US" w:eastAsia="zh-CN"/>
        </w:rPr>
        <w:t>六</w:t>
      </w:r>
      <w:r>
        <w:rPr>
          <w:rFonts w:hint="eastAsia" w:ascii="宋体" w:hAnsi="宋体"/>
          <w:b/>
          <w:sz w:val="24"/>
          <w:szCs w:val="24"/>
        </w:rPr>
        <w:t>、转包或分包</w:t>
      </w:r>
    </w:p>
    <w:p>
      <w:pPr>
        <w:snapToGrid w:val="0"/>
        <w:spacing w:before="145" w:beforeLines="50" w:after="145" w:afterLines="50"/>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本合同范围的产品，应由乙方直接供应，不得转让他人供应；</w:t>
      </w:r>
    </w:p>
    <w:p>
      <w:pPr>
        <w:snapToGrid w:val="0"/>
        <w:spacing w:before="145" w:beforeLines="50" w:after="145" w:afterLines="50"/>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 xml:space="preserve">.2 </w:t>
      </w:r>
      <w:r>
        <w:rPr>
          <w:rFonts w:hint="eastAsia" w:ascii="宋体" w:hAnsi="宋体"/>
          <w:sz w:val="24"/>
          <w:szCs w:val="24"/>
        </w:rPr>
        <w:t>除非得到甲方的书面同意，乙方不得部分分包给他人供应。</w:t>
      </w:r>
    </w:p>
    <w:p>
      <w:pPr>
        <w:snapToGrid w:val="0"/>
        <w:spacing w:before="145" w:beforeLines="50" w:after="145" w:afterLines="50"/>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如有转让和未经甲方同意的分包行为，甲方有权给予终止合同。</w:t>
      </w:r>
    </w:p>
    <w:p>
      <w:pPr>
        <w:pStyle w:val="16"/>
        <w:snapToGrid w:val="0"/>
        <w:spacing w:before="120" w:after="120"/>
        <w:rPr>
          <w:rFonts w:hint="eastAsia" w:hAnsi="宋体"/>
          <w:sz w:val="24"/>
          <w:szCs w:val="24"/>
        </w:rPr>
      </w:pPr>
      <w:r>
        <w:rPr>
          <w:rFonts w:hint="eastAsia" w:hAnsi="宋体"/>
          <w:b/>
          <w:sz w:val="24"/>
          <w:szCs w:val="24"/>
          <w:lang w:val="en-US" w:eastAsia="zh-CN"/>
        </w:rPr>
        <w:t>七</w:t>
      </w:r>
      <w:r>
        <w:rPr>
          <w:rFonts w:hAnsi="宋体"/>
          <w:b/>
          <w:sz w:val="24"/>
          <w:szCs w:val="24"/>
        </w:rPr>
        <w:t>、</w:t>
      </w:r>
      <w:r>
        <w:rPr>
          <w:rFonts w:hint="eastAsia" w:hAnsi="宋体"/>
          <w:b/>
          <w:sz w:val="24"/>
          <w:szCs w:val="24"/>
        </w:rPr>
        <w:t>质</w:t>
      </w:r>
      <w:r>
        <w:rPr>
          <w:rFonts w:hAnsi="宋体"/>
          <w:b/>
          <w:sz w:val="24"/>
          <w:szCs w:val="24"/>
        </w:rPr>
        <w:t>保期</w:t>
      </w:r>
    </w:p>
    <w:p>
      <w:pPr>
        <w:pStyle w:val="16"/>
        <w:snapToGrid w:val="0"/>
        <w:spacing w:before="120" w:after="120"/>
        <w:rPr>
          <w:rFonts w:hAnsi="宋体"/>
          <w:sz w:val="24"/>
          <w:szCs w:val="24"/>
        </w:rPr>
      </w:pPr>
      <w:r>
        <w:rPr>
          <w:rFonts w:hAnsi="宋体"/>
          <w:sz w:val="24"/>
          <w:szCs w:val="24"/>
        </w:rPr>
        <w:t>8.1</w:t>
      </w:r>
      <w:r>
        <w:rPr>
          <w:rFonts w:hint="eastAsia" w:hAnsi="宋体"/>
          <w:sz w:val="24"/>
          <w:szCs w:val="24"/>
        </w:rPr>
        <w:t xml:space="preserve"> </w:t>
      </w:r>
      <w:r>
        <w:rPr>
          <w:rFonts w:hAnsi="宋体"/>
          <w:sz w:val="24"/>
          <w:szCs w:val="24"/>
        </w:rPr>
        <w:t>质保期</w:t>
      </w:r>
      <w:r>
        <w:rPr>
          <w:rFonts w:hAnsi="宋体"/>
          <w:sz w:val="24"/>
          <w:szCs w:val="24"/>
          <w:u w:val="single"/>
        </w:rPr>
        <w:t xml:space="preserve">      </w:t>
      </w:r>
      <w:r>
        <w:rPr>
          <w:rFonts w:hAnsi="宋体"/>
          <w:sz w:val="24"/>
          <w:szCs w:val="24"/>
        </w:rPr>
        <w:t>年。（自交货验收合格之日起计）</w:t>
      </w:r>
    </w:p>
    <w:p>
      <w:pPr>
        <w:pStyle w:val="16"/>
        <w:snapToGrid w:val="0"/>
        <w:spacing w:before="120" w:after="120"/>
        <w:rPr>
          <w:rFonts w:hAnsi="宋体"/>
          <w:b/>
          <w:sz w:val="24"/>
          <w:szCs w:val="24"/>
        </w:rPr>
      </w:pPr>
      <w:r>
        <w:rPr>
          <w:rFonts w:hint="eastAsia" w:hAnsi="宋体"/>
          <w:b/>
          <w:sz w:val="24"/>
          <w:szCs w:val="24"/>
          <w:lang w:val="en-US" w:eastAsia="zh-CN"/>
        </w:rPr>
        <w:t>八</w:t>
      </w:r>
      <w:r>
        <w:rPr>
          <w:rFonts w:hAnsi="宋体"/>
          <w:b/>
          <w:sz w:val="24"/>
          <w:szCs w:val="24"/>
        </w:rPr>
        <w:t>、交货期、交货方式及交货地点</w:t>
      </w:r>
    </w:p>
    <w:p>
      <w:pPr>
        <w:pStyle w:val="16"/>
        <w:snapToGrid w:val="0"/>
        <w:spacing w:before="120" w:after="120"/>
        <w:rPr>
          <w:rFonts w:hAnsi="宋体"/>
          <w:bCs/>
          <w:sz w:val="24"/>
          <w:szCs w:val="24"/>
        </w:rPr>
      </w:pPr>
      <w:r>
        <w:rPr>
          <w:rFonts w:hint="eastAsia" w:hAnsi="宋体"/>
          <w:bCs/>
          <w:sz w:val="24"/>
          <w:szCs w:val="24"/>
          <w:lang w:val="en-US" w:eastAsia="zh-CN"/>
        </w:rPr>
        <w:t>8</w:t>
      </w:r>
      <w:r>
        <w:rPr>
          <w:rFonts w:hAnsi="宋体"/>
          <w:bCs/>
          <w:sz w:val="24"/>
          <w:szCs w:val="24"/>
        </w:rPr>
        <w:t>.1 交货期：</w:t>
      </w:r>
      <w:r>
        <w:rPr>
          <w:rFonts w:hAnsi="宋体"/>
          <w:sz w:val="24"/>
          <w:szCs w:val="24"/>
        </w:rPr>
        <w:t>__</w:t>
      </w:r>
      <w:r>
        <w:rPr>
          <w:rFonts w:hint="eastAsia" w:hAnsi="宋体"/>
          <w:sz w:val="24"/>
          <w:szCs w:val="24"/>
          <w:u w:val="single"/>
        </w:rPr>
        <w:t xml:space="preserve">    </w:t>
      </w:r>
      <w:r>
        <w:rPr>
          <w:rFonts w:hAnsi="宋体"/>
          <w:sz w:val="24"/>
          <w:szCs w:val="24"/>
        </w:rPr>
        <w:t>____</w:t>
      </w:r>
    </w:p>
    <w:p>
      <w:pPr>
        <w:pStyle w:val="16"/>
        <w:snapToGrid w:val="0"/>
        <w:spacing w:before="120" w:after="120"/>
        <w:rPr>
          <w:rFonts w:hAnsi="宋体"/>
          <w:bCs/>
          <w:sz w:val="24"/>
          <w:szCs w:val="24"/>
        </w:rPr>
      </w:pPr>
      <w:r>
        <w:rPr>
          <w:rFonts w:hint="eastAsia" w:hAnsi="宋体"/>
          <w:bCs/>
          <w:sz w:val="24"/>
          <w:szCs w:val="24"/>
          <w:lang w:val="en-US" w:eastAsia="zh-CN"/>
        </w:rPr>
        <w:t>8</w:t>
      </w:r>
      <w:r>
        <w:rPr>
          <w:rFonts w:hAnsi="宋体"/>
          <w:bCs/>
          <w:sz w:val="24"/>
          <w:szCs w:val="24"/>
        </w:rPr>
        <w:t>.2 交货方式：</w:t>
      </w:r>
      <w:r>
        <w:rPr>
          <w:rFonts w:hAnsi="宋体"/>
          <w:sz w:val="24"/>
          <w:szCs w:val="24"/>
        </w:rPr>
        <w:t>___________</w:t>
      </w:r>
    </w:p>
    <w:p>
      <w:pPr>
        <w:pStyle w:val="16"/>
        <w:snapToGrid w:val="0"/>
        <w:spacing w:before="120" w:after="120"/>
        <w:rPr>
          <w:rFonts w:hAnsi="宋体"/>
          <w:b/>
          <w:sz w:val="24"/>
          <w:szCs w:val="24"/>
        </w:rPr>
      </w:pPr>
      <w:r>
        <w:rPr>
          <w:rFonts w:hint="eastAsia" w:hAnsi="宋体"/>
          <w:bCs/>
          <w:sz w:val="24"/>
          <w:szCs w:val="24"/>
          <w:lang w:val="en-US" w:eastAsia="zh-CN"/>
        </w:rPr>
        <w:t>8</w:t>
      </w:r>
      <w:r>
        <w:rPr>
          <w:rFonts w:hAnsi="宋体"/>
          <w:bCs/>
          <w:sz w:val="24"/>
          <w:szCs w:val="24"/>
        </w:rPr>
        <w:t>.3 交货地点：</w:t>
      </w:r>
      <w:r>
        <w:rPr>
          <w:rFonts w:hAnsi="宋体"/>
          <w:sz w:val="24"/>
          <w:szCs w:val="24"/>
        </w:rPr>
        <w:t>__</w:t>
      </w:r>
      <w:r>
        <w:rPr>
          <w:rFonts w:hint="eastAsia" w:hAnsi="宋体"/>
          <w:sz w:val="24"/>
          <w:szCs w:val="24"/>
          <w:u w:val="single"/>
        </w:rPr>
        <w:t xml:space="preserve">       </w:t>
      </w:r>
      <w:r>
        <w:rPr>
          <w:rFonts w:hAnsi="宋体"/>
          <w:sz w:val="24"/>
          <w:szCs w:val="24"/>
        </w:rPr>
        <w:t>___</w:t>
      </w:r>
    </w:p>
    <w:p>
      <w:pPr>
        <w:pStyle w:val="16"/>
        <w:snapToGrid w:val="0"/>
        <w:spacing w:before="120" w:after="120"/>
        <w:rPr>
          <w:rFonts w:hint="eastAsia" w:hAnsi="宋体"/>
          <w:bCs/>
          <w:sz w:val="24"/>
          <w:szCs w:val="24"/>
        </w:rPr>
      </w:pPr>
      <w:r>
        <w:rPr>
          <w:rFonts w:hint="eastAsia" w:hAnsi="宋体"/>
          <w:b/>
          <w:sz w:val="24"/>
          <w:szCs w:val="24"/>
          <w:lang w:val="en-US" w:eastAsia="zh-CN"/>
        </w:rPr>
        <w:t>九</w:t>
      </w:r>
      <w:r>
        <w:rPr>
          <w:rFonts w:hAnsi="宋体"/>
          <w:b/>
          <w:sz w:val="24"/>
          <w:szCs w:val="24"/>
        </w:rPr>
        <w:t>、货款支付</w:t>
      </w:r>
    </w:p>
    <w:p>
      <w:pPr>
        <w:pStyle w:val="16"/>
        <w:snapToGrid w:val="0"/>
        <w:spacing w:before="120" w:after="120"/>
        <w:rPr>
          <w:rFonts w:hAnsi="宋体"/>
          <w:bCs/>
          <w:sz w:val="24"/>
          <w:szCs w:val="24"/>
        </w:rPr>
      </w:pPr>
      <w:r>
        <w:rPr>
          <w:rFonts w:hint="eastAsia" w:hAnsi="宋体"/>
          <w:bCs/>
          <w:sz w:val="24"/>
          <w:szCs w:val="24"/>
          <w:lang w:val="en-US" w:eastAsia="zh-CN"/>
        </w:rPr>
        <w:t>9</w:t>
      </w:r>
      <w:r>
        <w:rPr>
          <w:rFonts w:hAnsi="宋体"/>
          <w:bCs/>
          <w:sz w:val="24"/>
          <w:szCs w:val="24"/>
        </w:rPr>
        <w:t xml:space="preserve">.1 </w:t>
      </w:r>
      <w:r>
        <w:rPr>
          <w:rFonts w:hint="eastAsia" w:hAnsi="宋体"/>
          <w:bCs/>
          <w:sz w:val="24"/>
          <w:szCs w:val="24"/>
        </w:rPr>
        <w:t>采购资金的支付方式、时间及条件</w:t>
      </w:r>
      <w:r>
        <w:rPr>
          <w:rFonts w:hAnsi="宋体"/>
          <w:bCs/>
          <w:sz w:val="24"/>
          <w:szCs w:val="24"/>
        </w:rPr>
        <w:t>：</w:t>
      </w:r>
      <w:r>
        <w:rPr>
          <w:rFonts w:hAnsi="宋体"/>
          <w:sz w:val="24"/>
          <w:szCs w:val="24"/>
        </w:rPr>
        <w:t>_________</w:t>
      </w:r>
    </w:p>
    <w:p>
      <w:pPr>
        <w:pStyle w:val="16"/>
        <w:snapToGrid w:val="0"/>
        <w:spacing w:before="120" w:after="120"/>
        <w:ind w:left="480" w:hanging="480" w:hangingChars="200"/>
        <w:rPr>
          <w:rFonts w:hAnsi="宋体"/>
          <w:bCs/>
          <w:sz w:val="24"/>
          <w:szCs w:val="24"/>
        </w:rPr>
      </w:pPr>
      <w:r>
        <w:rPr>
          <w:rFonts w:hint="eastAsia" w:hAnsi="宋体"/>
          <w:bCs/>
          <w:sz w:val="24"/>
          <w:szCs w:val="24"/>
          <w:lang w:val="en-US" w:eastAsia="zh-CN"/>
        </w:rPr>
        <w:t>9</w:t>
      </w:r>
      <w:r>
        <w:rPr>
          <w:rFonts w:hAnsi="宋体"/>
          <w:bCs/>
          <w:sz w:val="24"/>
          <w:szCs w:val="24"/>
        </w:rPr>
        <w:t>.2</w:t>
      </w:r>
      <w:r>
        <w:rPr>
          <w:rFonts w:hAnsi="宋体"/>
          <w:sz w:val="24"/>
          <w:szCs w:val="24"/>
        </w:rPr>
        <w:t>当采购数量与实际使用数量不一致时，</w:t>
      </w:r>
      <w:r>
        <w:rPr>
          <w:rFonts w:hint="eastAsia" w:hAnsi="宋体"/>
          <w:sz w:val="24"/>
          <w:szCs w:val="24"/>
        </w:rPr>
        <w:t>乙方</w:t>
      </w:r>
      <w:r>
        <w:rPr>
          <w:rFonts w:hAnsi="宋体"/>
          <w:sz w:val="24"/>
          <w:szCs w:val="24"/>
        </w:rPr>
        <w:t>应根据实际使用量供货，合同的最终结算金额按实际使用量乘以成交单价进行计算。</w:t>
      </w:r>
    </w:p>
    <w:p>
      <w:pPr>
        <w:snapToGrid w:val="0"/>
        <w:spacing w:before="145" w:beforeLines="50" w:after="145" w:afterLines="50"/>
        <w:rPr>
          <w:rFonts w:ascii="宋体" w:hAnsi="宋体" w:eastAsia="仿宋_GB2312"/>
          <w:b/>
          <w:sz w:val="24"/>
          <w:szCs w:val="24"/>
        </w:rPr>
      </w:pPr>
      <w:r>
        <w:rPr>
          <w:rFonts w:hint="eastAsia" w:ascii="宋体" w:hAnsi="宋体"/>
          <w:b/>
          <w:sz w:val="24"/>
          <w:szCs w:val="24"/>
        </w:rPr>
        <w:t>十</w:t>
      </w:r>
      <w:r>
        <w:rPr>
          <w:rFonts w:ascii="宋体" w:hAnsi="宋体"/>
          <w:b/>
          <w:sz w:val="24"/>
          <w:szCs w:val="24"/>
        </w:rPr>
        <w:t>.</w:t>
      </w:r>
      <w:r>
        <w:rPr>
          <w:rFonts w:hint="eastAsia" w:ascii="宋体" w:hAnsi="宋体"/>
          <w:b/>
          <w:sz w:val="24"/>
          <w:szCs w:val="24"/>
        </w:rPr>
        <w:t>税费</w:t>
      </w:r>
    </w:p>
    <w:p>
      <w:pPr>
        <w:snapToGrid w:val="0"/>
        <w:spacing w:before="145" w:beforeLines="50" w:after="145" w:afterLines="50"/>
        <w:rPr>
          <w:rFonts w:ascii="宋体" w:hAnsi="宋体" w:eastAsia="仿宋_GB2312"/>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本合同执行中相关的一切税费均由乙方负担。</w:t>
      </w:r>
    </w:p>
    <w:p>
      <w:pPr>
        <w:pStyle w:val="16"/>
        <w:snapToGrid w:val="0"/>
        <w:spacing w:before="120" w:after="120"/>
        <w:ind w:left="412" w:hanging="412" w:hangingChars="171"/>
        <w:rPr>
          <w:rFonts w:hAnsi="宋体"/>
          <w:sz w:val="24"/>
          <w:szCs w:val="24"/>
        </w:rPr>
      </w:pPr>
      <w:r>
        <w:rPr>
          <w:rFonts w:hAnsi="宋体"/>
          <w:b/>
          <w:sz w:val="24"/>
          <w:szCs w:val="24"/>
        </w:rPr>
        <w:t>十</w:t>
      </w:r>
      <w:r>
        <w:rPr>
          <w:rFonts w:hint="eastAsia" w:hAnsi="宋体"/>
          <w:b/>
          <w:sz w:val="24"/>
          <w:szCs w:val="24"/>
          <w:lang w:val="en-US" w:eastAsia="zh-CN"/>
        </w:rPr>
        <w:t>一</w:t>
      </w:r>
      <w:r>
        <w:rPr>
          <w:rFonts w:hAnsi="宋体"/>
          <w:b/>
          <w:sz w:val="24"/>
          <w:szCs w:val="24"/>
        </w:rPr>
        <w:t>、质量保证及售后服务</w:t>
      </w:r>
    </w:p>
    <w:p>
      <w:pPr>
        <w:pStyle w:val="16"/>
        <w:snapToGrid w:val="0"/>
        <w:spacing w:before="120" w:after="120"/>
        <w:ind w:left="410" w:hanging="410" w:hangingChars="171"/>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.1 乙方应按招标文件规定的</w:t>
      </w:r>
      <w:r>
        <w:rPr>
          <w:rFonts w:hint="eastAsia" w:hAnsi="宋体"/>
          <w:sz w:val="24"/>
          <w:szCs w:val="24"/>
        </w:rPr>
        <w:t>货物</w:t>
      </w:r>
      <w:r>
        <w:rPr>
          <w:rFonts w:hAnsi="宋体"/>
          <w:sz w:val="24"/>
          <w:szCs w:val="24"/>
        </w:rPr>
        <w:t>性能、技术要求、质量标准向甲方提供未经使用的全新产品。</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.2 乙方提供的</w:t>
      </w:r>
      <w:r>
        <w:rPr>
          <w:rFonts w:hint="eastAsia" w:hAnsi="宋体"/>
          <w:sz w:val="24"/>
          <w:szCs w:val="24"/>
        </w:rPr>
        <w:t>货物</w:t>
      </w:r>
      <w:r>
        <w:rPr>
          <w:rFonts w:hAnsi="宋体"/>
          <w:sz w:val="24"/>
          <w:szCs w:val="24"/>
        </w:rPr>
        <w:t>在质</w:t>
      </w:r>
      <w:r>
        <w:rPr>
          <w:rFonts w:hint="eastAsia" w:hAnsi="宋体"/>
          <w:sz w:val="24"/>
          <w:szCs w:val="24"/>
        </w:rPr>
        <w:t>保</w:t>
      </w:r>
      <w:r>
        <w:rPr>
          <w:rFonts w:hAnsi="宋体"/>
          <w:sz w:val="24"/>
          <w:szCs w:val="24"/>
        </w:rPr>
        <w:t>期内因产品本身的质量问题发生故障，乙方应负责免费更换。对达不到技术要求者，根据实际情况，经双方协商，可按以下办法处理：</w:t>
      </w:r>
    </w:p>
    <w:p>
      <w:pPr>
        <w:pStyle w:val="16"/>
        <w:snapToGrid w:val="0"/>
        <w:spacing w:before="120" w:after="120"/>
        <w:ind w:firstLine="420"/>
        <w:rPr>
          <w:rFonts w:hAnsi="宋体"/>
          <w:sz w:val="24"/>
          <w:szCs w:val="24"/>
        </w:rPr>
      </w:pPr>
      <w:r>
        <w:rPr>
          <w:rFonts w:hAnsi="宋体"/>
          <w:sz w:val="24"/>
          <w:szCs w:val="24"/>
        </w:rPr>
        <w:t>⑴更换：由乙方承担所发生的全部费用。</w:t>
      </w:r>
    </w:p>
    <w:p>
      <w:pPr>
        <w:pStyle w:val="16"/>
        <w:snapToGrid w:val="0"/>
        <w:spacing w:before="120" w:after="120"/>
        <w:ind w:firstLine="420"/>
        <w:rPr>
          <w:rFonts w:hAnsi="宋体"/>
          <w:sz w:val="24"/>
          <w:szCs w:val="24"/>
        </w:rPr>
      </w:pPr>
      <w:r>
        <w:rPr>
          <w:rFonts w:hAnsi="宋体"/>
          <w:sz w:val="24"/>
          <w:szCs w:val="24"/>
        </w:rPr>
        <w:t>⑵贬值处理：由甲乙双方合议定价。</w:t>
      </w:r>
    </w:p>
    <w:p>
      <w:pPr>
        <w:pStyle w:val="16"/>
        <w:snapToGrid w:val="0"/>
        <w:spacing w:before="120" w:after="120"/>
        <w:ind w:left="420" w:leftChars="200"/>
        <w:rPr>
          <w:rFonts w:hAnsi="宋体"/>
          <w:sz w:val="24"/>
          <w:szCs w:val="24"/>
        </w:rPr>
      </w:pPr>
      <w:r>
        <w:rPr>
          <w:rFonts w:hAnsi="宋体"/>
          <w:sz w:val="24"/>
          <w:szCs w:val="24"/>
        </w:rPr>
        <w:t>⑶退货处理：乙方应退还甲方支付的合同款，同时应承担该产品的直接费用（运输、保险、检验、货款利息及银行手续费等）。</w:t>
      </w:r>
    </w:p>
    <w:p>
      <w:pPr>
        <w:pStyle w:val="16"/>
        <w:snapToGrid w:val="0"/>
        <w:spacing w:before="120" w:after="12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.3 如在使用过程中发生质量问题，乙方在接到甲方通知后在_____小时内到达甲方现场。</w:t>
      </w:r>
    </w:p>
    <w:p>
      <w:pPr>
        <w:pStyle w:val="16"/>
        <w:snapToGrid w:val="0"/>
        <w:spacing w:before="120" w:after="12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.4 在</w:t>
      </w:r>
      <w:r>
        <w:rPr>
          <w:rFonts w:hint="eastAsia" w:hAnsi="宋体"/>
          <w:sz w:val="24"/>
          <w:szCs w:val="24"/>
        </w:rPr>
        <w:t>质保</w:t>
      </w:r>
      <w:r>
        <w:rPr>
          <w:rFonts w:hAnsi="宋体"/>
          <w:sz w:val="24"/>
          <w:szCs w:val="24"/>
        </w:rPr>
        <w:t>期内，乙方应对产品出现的质量及安全问题负责处理解决并承担一切费用。</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.5上述的</w:t>
      </w:r>
      <w:r>
        <w:rPr>
          <w:rFonts w:hint="eastAsia" w:hAnsi="宋体"/>
          <w:sz w:val="24"/>
          <w:szCs w:val="24"/>
        </w:rPr>
        <w:t>产品的</w:t>
      </w:r>
      <w:r>
        <w:rPr>
          <w:rFonts w:hAnsi="宋体"/>
          <w:sz w:val="24"/>
          <w:szCs w:val="24"/>
        </w:rPr>
        <w:t>免费保修期为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年，因人为因素出现的故障不在免费保修范围内。超过保修期</w:t>
      </w:r>
      <w:r>
        <w:rPr>
          <w:rFonts w:hint="eastAsia" w:hAnsi="宋体"/>
          <w:sz w:val="24"/>
          <w:szCs w:val="24"/>
        </w:rPr>
        <w:t>后</w:t>
      </w:r>
      <w:r>
        <w:rPr>
          <w:rFonts w:hAnsi="宋体"/>
          <w:sz w:val="24"/>
          <w:szCs w:val="24"/>
        </w:rPr>
        <w:t>，终生维修，维修时只收部件成本费。</w:t>
      </w:r>
    </w:p>
    <w:p>
      <w:pPr>
        <w:pStyle w:val="16"/>
        <w:snapToGrid w:val="0"/>
        <w:spacing w:before="120" w:after="120"/>
        <w:rPr>
          <w:rFonts w:hAnsi="宋体"/>
          <w:b/>
          <w:sz w:val="24"/>
          <w:szCs w:val="24"/>
        </w:rPr>
      </w:pPr>
      <w:r>
        <w:rPr>
          <w:rFonts w:hAnsi="宋体"/>
          <w:b/>
          <w:sz w:val="24"/>
          <w:szCs w:val="24"/>
        </w:rPr>
        <w:t>十</w:t>
      </w:r>
      <w:r>
        <w:rPr>
          <w:rFonts w:hint="eastAsia" w:hAnsi="宋体"/>
          <w:b/>
          <w:sz w:val="24"/>
          <w:szCs w:val="24"/>
          <w:lang w:val="en-US" w:eastAsia="zh-CN"/>
        </w:rPr>
        <w:t>二</w:t>
      </w:r>
      <w:r>
        <w:rPr>
          <w:rFonts w:hAnsi="宋体"/>
          <w:b/>
          <w:sz w:val="24"/>
          <w:szCs w:val="24"/>
        </w:rPr>
        <w:t>、调试和验收</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.2 乙方交货前应对产品作出全面检查和对验收文件进行整理，并列出清单，作为甲方收货验收和使用的技术条件依据，检验的结果应随货物交甲方。</w:t>
      </w:r>
    </w:p>
    <w:p>
      <w:pPr>
        <w:pStyle w:val="16"/>
        <w:snapToGrid w:val="0"/>
        <w:spacing w:before="120" w:after="120"/>
        <w:ind w:left="480" w:hanging="480" w:hangingChars="200"/>
        <w:rPr>
          <w:rFonts w:hAnsi="宋体"/>
          <w:sz w:val="24"/>
          <w:szCs w:val="24"/>
          <w:u w:val="single"/>
        </w:rPr>
      </w:pPr>
      <w:r>
        <w:rPr>
          <w:rFonts w:hAnsi="宋体"/>
          <w:sz w:val="24"/>
          <w:szCs w:val="24"/>
        </w:rPr>
        <w:t>1</w:t>
      </w:r>
      <w:r>
        <w:rPr>
          <w:rFonts w:hint="eastAsia" w:hAnsi="宋体"/>
          <w:sz w:val="24"/>
          <w:szCs w:val="24"/>
          <w:lang w:val="en-US" w:eastAsia="zh-CN"/>
        </w:rPr>
        <w:t>2</w:t>
      </w:r>
      <w:r>
        <w:rPr>
          <w:rFonts w:hAnsi="宋体"/>
          <w:sz w:val="24"/>
          <w:szCs w:val="24"/>
        </w:rPr>
        <w:t>.3 甲方对乙方提供的货物在使用前进行调试时，乙方需负责安装并培训甲方的使用操作人员，并协助甲方一起调试，直到符合技术要求，甲方才做最终验收。</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.4 对技术复杂的货物，甲方</w:t>
      </w:r>
      <w:r>
        <w:rPr>
          <w:rFonts w:hint="eastAsia" w:hAnsi="宋体"/>
          <w:sz w:val="24"/>
          <w:szCs w:val="24"/>
        </w:rPr>
        <w:t>可</w:t>
      </w:r>
      <w:r>
        <w:rPr>
          <w:rFonts w:hAnsi="宋体"/>
          <w:sz w:val="24"/>
          <w:szCs w:val="24"/>
        </w:rPr>
        <w:t>请国家认可的专业检测机构参与初步验收及最终验收，并由其出具质量检测报告。</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.5 验收时乙方必须在现场，验收完毕后作出验收结果报告；验收费用由</w:t>
      </w:r>
      <w:r>
        <w:rPr>
          <w:rFonts w:hint="eastAsia" w:hAnsi="宋体"/>
          <w:sz w:val="24"/>
          <w:szCs w:val="24"/>
        </w:rPr>
        <w:t>甲</w:t>
      </w:r>
      <w:r>
        <w:rPr>
          <w:rFonts w:hAnsi="宋体"/>
          <w:sz w:val="24"/>
          <w:szCs w:val="24"/>
        </w:rPr>
        <w:t>乙</w:t>
      </w:r>
      <w:r>
        <w:rPr>
          <w:rFonts w:hint="eastAsia" w:hAnsi="宋体"/>
          <w:sz w:val="24"/>
          <w:szCs w:val="24"/>
        </w:rPr>
        <w:t>双</w:t>
      </w:r>
      <w:r>
        <w:rPr>
          <w:rFonts w:hAnsi="宋体"/>
          <w:sz w:val="24"/>
          <w:szCs w:val="24"/>
        </w:rPr>
        <w:t>方</w:t>
      </w:r>
      <w:r>
        <w:rPr>
          <w:rFonts w:hint="eastAsia" w:hAnsi="宋体"/>
          <w:sz w:val="24"/>
          <w:szCs w:val="24"/>
        </w:rPr>
        <w:t>协商解决</w:t>
      </w:r>
      <w:r>
        <w:rPr>
          <w:rFonts w:hAnsi="宋体"/>
          <w:sz w:val="24"/>
          <w:szCs w:val="24"/>
        </w:rPr>
        <w:t>。</w:t>
      </w:r>
    </w:p>
    <w:p>
      <w:pPr>
        <w:pStyle w:val="16"/>
        <w:snapToGrid w:val="0"/>
        <w:spacing w:before="120" w:after="120"/>
        <w:rPr>
          <w:rFonts w:hAnsi="宋体"/>
          <w:b/>
          <w:sz w:val="24"/>
          <w:szCs w:val="24"/>
        </w:rPr>
      </w:pPr>
      <w:r>
        <w:rPr>
          <w:rFonts w:hAnsi="宋体"/>
          <w:b/>
          <w:sz w:val="24"/>
          <w:szCs w:val="24"/>
        </w:rPr>
        <w:t>十</w:t>
      </w:r>
      <w:r>
        <w:rPr>
          <w:rFonts w:hint="eastAsia" w:hAnsi="宋体"/>
          <w:b/>
          <w:sz w:val="24"/>
          <w:szCs w:val="24"/>
          <w:lang w:val="en-US" w:eastAsia="zh-CN"/>
        </w:rPr>
        <w:t>三</w:t>
      </w:r>
      <w:r>
        <w:rPr>
          <w:rFonts w:hAnsi="宋体"/>
          <w:b/>
          <w:sz w:val="24"/>
          <w:szCs w:val="24"/>
        </w:rPr>
        <w:t>、产品包装、发运及运输</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.1 乙方应在产品发运前对其进行满足运输距离、防潮、防震、防锈和防破损装卸等要求包装，以保证产品安全运达甲方指定地点。</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.2 使用说明书、质量检验证明书、随配附件和工具以及清单一并附于产品内。</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.3 乙方在产品发运手续办理完毕后24小时内或货到甲方48小时前通知甲方，以准备接货。</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.4 产品在交付甲方前发生的风险均由乙方负责。</w:t>
      </w:r>
    </w:p>
    <w:p>
      <w:pPr>
        <w:pStyle w:val="16"/>
        <w:snapToGrid w:val="0"/>
        <w:spacing w:before="156" w:after="156"/>
        <w:ind w:left="480" w:right="26"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.5 产品在规定的交付期限内由乙方送达甲方指定的地点视为交付，乙方同时需通知甲方产品已送达。</w:t>
      </w:r>
    </w:p>
    <w:p>
      <w:pPr>
        <w:pStyle w:val="16"/>
        <w:snapToGrid w:val="0"/>
        <w:spacing w:before="120" w:after="120"/>
        <w:rPr>
          <w:rFonts w:hAnsi="宋体"/>
          <w:b/>
          <w:sz w:val="24"/>
          <w:szCs w:val="24"/>
        </w:rPr>
      </w:pPr>
      <w:r>
        <w:rPr>
          <w:rFonts w:hAnsi="宋体"/>
          <w:b/>
          <w:sz w:val="24"/>
          <w:szCs w:val="24"/>
        </w:rPr>
        <w:t>十</w:t>
      </w:r>
      <w:r>
        <w:rPr>
          <w:rFonts w:hint="eastAsia" w:hAnsi="宋体"/>
          <w:b/>
          <w:sz w:val="24"/>
          <w:szCs w:val="24"/>
          <w:lang w:val="en-US" w:eastAsia="zh-CN"/>
        </w:rPr>
        <w:t>四</w:t>
      </w:r>
      <w:r>
        <w:rPr>
          <w:rFonts w:hAnsi="宋体"/>
          <w:b/>
          <w:sz w:val="24"/>
          <w:szCs w:val="24"/>
        </w:rPr>
        <w:t>、违约责任</w:t>
      </w:r>
    </w:p>
    <w:p>
      <w:pPr>
        <w:pStyle w:val="16"/>
        <w:snapToGrid w:val="0"/>
        <w:spacing w:before="120" w:after="120"/>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.1 甲方无正当理由拒收产品的，甲方向乙方偿付拒收货款总值的百分之五违约金。</w:t>
      </w:r>
    </w:p>
    <w:p>
      <w:pPr>
        <w:pStyle w:val="16"/>
        <w:snapToGrid w:val="0"/>
        <w:spacing w:before="120" w:after="120"/>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.2 甲方无故逾期验收和办理货款支付手续的,甲方应按逾期付款总额每日万分之五向乙方支付违约金。</w:t>
      </w:r>
    </w:p>
    <w:p>
      <w:pPr>
        <w:pStyle w:val="16"/>
        <w:snapToGrid w:val="0"/>
        <w:spacing w:before="120" w:after="120"/>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6"/>
        <w:snapToGrid w:val="0"/>
        <w:spacing w:before="120" w:after="120"/>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.4 乙方所交的</w:t>
      </w:r>
      <w:r>
        <w:rPr>
          <w:rFonts w:hint="eastAsia" w:hAnsi="宋体"/>
          <w:sz w:val="24"/>
          <w:szCs w:val="24"/>
        </w:rPr>
        <w:t>货物</w:t>
      </w:r>
      <w:r>
        <w:rPr>
          <w:rFonts w:hAnsi="宋体"/>
          <w:sz w:val="24"/>
          <w:szCs w:val="24"/>
        </w:rPr>
        <w:t>品种、型号、规格、技术参数、质量不符合合同规定及招标文件规定标准的，甲方有权拒收该</w:t>
      </w:r>
      <w:r>
        <w:rPr>
          <w:rFonts w:hint="eastAsia" w:hAnsi="宋体"/>
          <w:sz w:val="24"/>
          <w:szCs w:val="24"/>
        </w:rPr>
        <w:t>货物</w:t>
      </w:r>
      <w:r>
        <w:rPr>
          <w:rFonts w:hAnsi="宋体"/>
          <w:sz w:val="24"/>
          <w:szCs w:val="24"/>
        </w:rPr>
        <w:t>，乙方愿意更换</w:t>
      </w:r>
      <w:r>
        <w:rPr>
          <w:rFonts w:hint="eastAsia" w:hAnsi="宋体"/>
          <w:sz w:val="24"/>
          <w:szCs w:val="24"/>
        </w:rPr>
        <w:t>货物</w:t>
      </w:r>
      <w:r>
        <w:rPr>
          <w:rFonts w:hAnsi="宋体"/>
          <w:sz w:val="24"/>
          <w:szCs w:val="24"/>
        </w:rPr>
        <w:t>但逾期交货的，按乙方逾期交货处理。乙方拒绝更换产品的，甲方可单方面解除合同。</w:t>
      </w:r>
    </w:p>
    <w:p>
      <w:pPr>
        <w:pStyle w:val="16"/>
        <w:snapToGrid w:val="0"/>
        <w:spacing w:before="120" w:after="120"/>
        <w:rPr>
          <w:rFonts w:hAnsi="宋体"/>
          <w:b/>
          <w:sz w:val="24"/>
          <w:szCs w:val="24"/>
        </w:rPr>
      </w:pPr>
      <w:r>
        <w:rPr>
          <w:rFonts w:hAnsi="宋体"/>
          <w:b/>
          <w:sz w:val="24"/>
          <w:szCs w:val="24"/>
        </w:rPr>
        <w:t>十</w:t>
      </w:r>
      <w:r>
        <w:rPr>
          <w:rFonts w:hint="eastAsia" w:hAnsi="宋体"/>
          <w:b/>
          <w:sz w:val="24"/>
          <w:szCs w:val="24"/>
          <w:lang w:val="en-US" w:eastAsia="zh-CN"/>
        </w:rPr>
        <w:t>五</w:t>
      </w:r>
      <w:r>
        <w:rPr>
          <w:rFonts w:hAnsi="宋体"/>
          <w:b/>
          <w:sz w:val="24"/>
          <w:szCs w:val="24"/>
        </w:rPr>
        <w:t>、不可抗力事件处理</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.1 在合同有效期内，任何一方因不可抗力事件导致不能履行合同，则合同履行期可延长，其延长期与不可抗力影响期相同。</w:t>
      </w:r>
    </w:p>
    <w:p>
      <w:pPr>
        <w:pStyle w:val="16"/>
        <w:snapToGrid w:val="0"/>
        <w:spacing w:before="120" w:after="120"/>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.2 不可抗力事件发生后，应立即通知对方，并寄送有关权威机构出具的证明。</w:t>
      </w:r>
    </w:p>
    <w:p>
      <w:pPr>
        <w:pStyle w:val="16"/>
        <w:snapToGrid w:val="0"/>
        <w:spacing w:before="120" w:after="120"/>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.3 不可抗力事件延续120天以上，双方应通过友好协商，确定是否继续履行合同。</w:t>
      </w:r>
    </w:p>
    <w:p>
      <w:pPr>
        <w:pStyle w:val="16"/>
        <w:snapToGrid w:val="0"/>
        <w:spacing w:before="120" w:after="120"/>
        <w:rPr>
          <w:rFonts w:hAnsi="宋体"/>
          <w:b/>
          <w:sz w:val="24"/>
          <w:szCs w:val="24"/>
        </w:rPr>
      </w:pPr>
      <w:r>
        <w:rPr>
          <w:rFonts w:hAnsi="宋体"/>
          <w:b/>
          <w:sz w:val="24"/>
          <w:szCs w:val="24"/>
        </w:rPr>
        <w:t>十</w:t>
      </w:r>
      <w:r>
        <w:rPr>
          <w:rFonts w:hint="eastAsia" w:hAnsi="宋体"/>
          <w:b/>
          <w:sz w:val="24"/>
          <w:szCs w:val="24"/>
          <w:lang w:val="en-US" w:eastAsia="zh-CN"/>
        </w:rPr>
        <w:t>六</w:t>
      </w:r>
      <w:r>
        <w:rPr>
          <w:rFonts w:hAnsi="宋体"/>
          <w:b/>
          <w:sz w:val="24"/>
          <w:szCs w:val="24"/>
        </w:rPr>
        <w:t>、诉讼</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6</w:t>
      </w:r>
      <w:r>
        <w:rPr>
          <w:rFonts w:hAnsi="宋体"/>
          <w:sz w:val="24"/>
          <w:szCs w:val="24"/>
        </w:rPr>
        <w:t>.1 双方在执行合同中所发生的一切争议，应通过协商解决。如协商不成，可向合同签订地法院起诉，合同签订地在此约定为</w:t>
      </w:r>
      <w:r>
        <w:rPr>
          <w:rFonts w:hint="eastAsia" w:hAnsi="宋体"/>
          <w:sz w:val="24"/>
          <w:szCs w:val="24"/>
          <w:u w:val="single"/>
          <w:lang w:val="en-US" w:eastAsia="zh-CN"/>
        </w:rPr>
        <w:t>昌吉</w:t>
      </w:r>
      <w:r>
        <w:rPr>
          <w:rFonts w:hAnsi="宋体"/>
          <w:sz w:val="24"/>
          <w:szCs w:val="24"/>
          <w:u w:val="single"/>
        </w:rPr>
        <w:t>市</w:t>
      </w:r>
      <w:r>
        <w:rPr>
          <w:rFonts w:hAnsi="宋体"/>
          <w:sz w:val="24"/>
          <w:szCs w:val="24"/>
        </w:rPr>
        <w:t>。</w:t>
      </w:r>
    </w:p>
    <w:p>
      <w:pPr>
        <w:pStyle w:val="16"/>
        <w:snapToGrid w:val="0"/>
        <w:spacing w:before="120" w:after="120"/>
        <w:rPr>
          <w:rFonts w:hAnsi="宋体"/>
          <w:b/>
          <w:sz w:val="24"/>
          <w:szCs w:val="24"/>
        </w:rPr>
      </w:pPr>
      <w:r>
        <w:rPr>
          <w:rFonts w:hAnsi="宋体"/>
          <w:b/>
          <w:sz w:val="24"/>
          <w:szCs w:val="24"/>
        </w:rPr>
        <w:t>十</w:t>
      </w:r>
      <w:r>
        <w:rPr>
          <w:rFonts w:hint="eastAsia" w:hAnsi="宋体"/>
          <w:b/>
          <w:sz w:val="24"/>
          <w:szCs w:val="24"/>
          <w:lang w:val="en-US" w:eastAsia="zh-CN"/>
        </w:rPr>
        <w:t>七</w:t>
      </w:r>
      <w:r>
        <w:rPr>
          <w:rFonts w:hAnsi="宋体"/>
          <w:b/>
          <w:sz w:val="24"/>
          <w:szCs w:val="24"/>
        </w:rPr>
        <w:t>、合同生效及其它</w:t>
      </w:r>
    </w:p>
    <w:p>
      <w:pPr>
        <w:pStyle w:val="16"/>
        <w:snapToGrid w:val="0"/>
        <w:spacing w:before="120" w:after="120"/>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.1合同经双方法定代表人或授权委托代</w:t>
      </w:r>
      <w:r>
        <w:rPr>
          <w:rFonts w:hint="eastAsia" w:hAnsi="宋体"/>
          <w:sz w:val="24"/>
          <w:szCs w:val="24"/>
        </w:rPr>
        <w:t>表</w:t>
      </w:r>
      <w:r>
        <w:rPr>
          <w:rFonts w:hAnsi="宋体"/>
          <w:sz w:val="24"/>
          <w:szCs w:val="24"/>
        </w:rPr>
        <w:t>人签字并加盖单位公章后生效。</w:t>
      </w:r>
    </w:p>
    <w:p>
      <w:pPr>
        <w:pStyle w:val="16"/>
        <w:snapToGrid w:val="0"/>
        <w:spacing w:before="120" w:after="120"/>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.2本合同未尽事宜，遵照《合同法》有关条文执行。</w:t>
      </w:r>
    </w:p>
    <w:p>
      <w:pPr>
        <w:pStyle w:val="16"/>
        <w:snapToGrid w:val="0"/>
        <w:spacing w:before="120" w:after="120"/>
        <w:ind w:left="480" w:hanging="480" w:hangingChars="200"/>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w:t>
      </w:r>
      <w:r>
        <w:rPr>
          <w:rFonts w:hint="eastAsia" w:hAnsi="宋体"/>
          <w:sz w:val="24"/>
          <w:szCs w:val="24"/>
        </w:rPr>
        <w:t>3</w:t>
      </w:r>
      <w:r>
        <w:rPr>
          <w:rFonts w:hAnsi="宋体"/>
          <w:sz w:val="24"/>
          <w:szCs w:val="24"/>
        </w:rPr>
        <w:t>本合同正本一式</w:t>
      </w:r>
      <w:r>
        <w:rPr>
          <w:rFonts w:hint="eastAsia" w:hAnsi="宋体"/>
          <w:sz w:val="24"/>
          <w:szCs w:val="24"/>
        </w:rPr>
        <w:t>三</w:t>
      </w:r>
      <w:r>
        <w:rPr>
          <w:rFonts w:hAnsi="宋体"/>
          <w:sz w:val="24"/>
          <w:szCs w:val="24"/>
        </w:rPr>
        <w:t>份，具有同等法律效力，甲</w:t>
      </w:r>
      <w:r>
        <w:rPr>
          <w:rFonts w:hint="eastAsia" w:hAnsi="宋体"/>
          <w:sz w:val="24"/>
          <w:szCs w:val="24"/>
        </w:rPr>
        <w:t>方、</w:t>
      </w:r>
      <w:r>
        <w:rPr>
          <w:rFonts w:hAnsi="宋体"/>
          <w:sz w:val="24"/>
          <w:szCs w:val="24"/>
        </w:rPr>
        <w:t>乙方</w:t>
      </w:r>
      <w:r>
        <w:rPr>
          <w:rFonts w:hint="eastAsia" w:hAnsi="宋体"/>
          <w:sz w:val="24"/>
          <w:szCs w:val="24"/>
        </w:rPr>
        <w:t>及财政监管部门</w:t>
      </w:r>
      <w:r>
        <w:rPr>
          <w:rFonts w:hAnsi="宋体"/>
          <w:sz w:val="24"/>
          <w:szCs w:val="24"/>
        </w:rPr>
        <w:t>各执一份。</w:t>
      </w:r>
    </w:p>
    <w:p>
      <w:pPr>
        <w:pStyle w:val="16"/>
        <w:snapToGrid w:val="0"/>
        <w:spacing w:before="120" w:after="120"/>
        <w:ind w:left="480" w:hanging="480" w:hangingChars="200"/>
        <w:rPr>
          <w:rFonts w:hAnsi="宋体"/>
          <w:sz w:val="24"/>
          <w:szCs w:val="24"/>
        </w:rPr>
      </w:pPr>
    </w:p>
    <w:p>
      <w:pPr>
        <w:pStyle w:val="16"/>
        <w:snapToGrid w:val="0"/>
        <w:spacing w:before="120" w:after="120" w:line="0" w:lineRule="atLeast"/>
        <w:ind w:left="480" w:hanging="480" w:hangingChars="200"/>
        <w:rPr>
          <w:rFonts w:hAnsi="宋体"/>
          <w:sz w:val="24"/>
          <w:szCs w:val="24"/>
        </w:rPr>
      </w:pPr>
      <w:r>
        <w:rPr>
          <w:rFonts w:hAnsi="宋体"/>
          <w:sz w:val="24"/>
          <w:szCs w:val="24"/>
        </w:rPr>
        <w:t xml:space="preserve">  甲方：                        乙方： </w:t>
      </w:r>
    </w:p>
    <w:p>
      <w:pPr>
        <w:pStyle w:val="16"/>
        <w:snapToGrid w:val="0"/>
        <w:spacing w:before="120" w:after="120" w:line="0" w:lineRule="atLeast"/>
        <w:rPr>
          <w:rFonts w:hAnsi="宋体"/>
          <w:sz w:val="24"/>
          <w:szCs w:val="24"/>
        </w:rPr>
      </w:pPr>
      <w:r>
        <w:rPr>
          <w:rFonts w:hAnsi="宋体"/>
          <w:sz w:val="24"/>
          <w:szCs w:val="24"/>
        </w:rPr>
        <w:t xml:space="preserve">  地址：                       </w:t>
      </w:r>
      <w:r>
        <w:rPr>
          <w:rFonts w:hint="eastAsia" w:hAnsi="宋体"/>
          <w:sz w:val="24"/>
          <w:szCs w:val="24"/>
        </w:rPr>
        <w:t xml:space="preserve"> </w:t>
      </w:r>
      <w:r>
        <w:rPr>
          <w:rFonts w:hAnsi="宋体"/>
          <w:sz w:val="24"/>
          <w:szCs w:val="24"/>
        </w:rPr>
        <w:t xml:space="preserve">地址： </w:t>
      </w:r>
    </w:p>
    <w:p>
      <w:pPr>
        <w:pStyle w:val="16"/>
        <w:snapToGrid w:val="0"/>
        <w:spacing w:before="120" w:after="120" w:line="0" w:lineRule="atLeast"/>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pPr>
        <w:pStyle w:val="16"/>
        <w:snapToGrid w:val="0"/>
        <w:spacing w:before="120" w:after="120" w:line="0" w:lineRule="atLeast"/>
        <w:rPr>
          <w:rFonts w:hint="eastAsia" w:hAnsi="宋体"/>
          <w:sz w:val="24"/>
          <w:szCs w:val="24"/>
        </w:rPr>
      </w:pPr>
      <w:r>
        <w:rPr>
          <w:rFonts w:hint="eastAsia" w:hAnsi="宋体"/>
          <w:sz w:val="24"/>
          <w:szCs w:val="24"/>
        </w:rPr>
        <w:t xml:space="preserve">  联系电话：                    联系电话：          </w:t>
      </w:r>
    </w:p>
    <w:p>
      <w:pPr>
        <w:pStyle w:val="16"/>
        <w:snapToGrid w:val="0"/>
        <w:spacing w:before="120" w:after="120" w:line="0" w:lineRule="atLeast"/>
        <w:jc w:val="center"/>
        <w:rPr>
          <w:rFonts w:hint="eastAsia" w:hAnsi="宋体"/>
          <w:sz w:val="24"/>
          <w:szCs w:val="24"/>
        </w:rPr>
      </w:pPr>
    </w:p>
    <w:p>
      <w:pPr>
        <w:pStyle w:val="16"/>
        <w:snapToGrid w:val="0"/>
        <w:spacing w:before="120" w:after="120" w:line="0" w:lineRule="atLeast"/>
        <w:jc w:val="center"/>
        <w:rPr>
          <w:rFonts w:hint="eastAsia"/>
        </w:rPr>
      </w:pPr>
      <w:r>
        <w:t xml:space="preserve"> 签订日期：      年  月  日</w:t>
      </w:r>
      <w:bookmarkEnd w:id="182"/>
      <w:bookmarkEnd w:id="183"/>
      <w:bookmarkEnd w:id="184"/>
      <w:bookmarkStart w:id="185" w:name="_Hlt16619369"/>
      <w:bookmarkEnd w:id="185"/>
      <w:bookmarkStart w:id="186" w:name="_Hlt16619350"/>
      <w:bookmarkStart w:id="187" w:name="_Toc20823346"/>
      <w:bookmarkStart w:id="188" w:name="_Toc16938590"/>
      <w:bookmarkStart w:id="189" w:name="_Toc120614244"/>
      <w:bookmarkStart w:id="190" w:name="_Toc462564139"/>
      <w:bookmarkStart w:id="191" w:name="_Toc479757211"/>
    </w:p>
    <w:p>
      <w:pPr>
        <w:pStyle w:val="16"/>
        <w:snapToGrid w:val="0"/>
        <w:spacing w:before="120" w:after="120" w:line="0" w:lineRule="atLeast"/>
        <w:jc w:val="center"/>
        <w:rPr>
          <w:rFonts w:hint="eastAsia"/>
        </w:rPr>
      </w:pPr>
    </w:p>
    <w:p>
      <w:pPr>
        <w:pStyle w:val="16"/>
        <w:snapToGrid w:val="0"/>
        <w:spacing w:before="120" w:after="120" w:line="0" w:lineRule="atLeast"/>
        <w:jc w:val="center"/>
        <w:rPr>
          <w:rFonts w:ascii="黑体" w:eastAsia="黑体"/>
          <w:bCs/>
          <w:sz w:val="44"/>
        </w:rPr>
        <w:sectPr>
          <w:pgSz w:w="11906" w:h="16838"/>
          <w:pgMar w:top="1418" w:right="1588" w:bottom="1418" w:left="1365" w:header="851" w:footer="907" w:gutter="0"/>
          <w:cols w:space="720" w:num="1"/>
          <w:titlePg/>
          <w:docGrid w:type="lines" w:linePitch="290" w:charSpace="0"/>
        </w:sectPr>
      </w:pPr>
    </w:p>
    <w:p>
      <w:pPr>
        <w:pStyle w:val="8"/>
        <w:rPr>
          <w:rFonts w:hint="eastAsia"/>
        </w:rPr>
      </w:pPr>
      <w:bookmarkStart w:id="192" w:name="_Toc534816636"/>
      <w:bookmarkStart w:id="193" w:name="_Toc494375080"/>
      <w:bookmarkStart w:id="194" w:name="_Toc534725607"/>
      <w:r>
        <w:rPr>
          <w:rFonts w:hint="eastAsia"/>
        </w:rPr>
        <w:t>第</w:t>
      </w:r>
      <w:bookmarkEnd w:id="186"/>
      <w:r>
        <w:rPr>
          <w:rFonts w:hint="eastAsia"/>
        </w:rPr>
        <w:t>四章  项目需求</w:t>
      </w:r>
      <w:bookmarkEnd w:id="187"/>
      <w:bookmarkEnd w:id="188"/>
      <w:bookmarkEnd w:id="189"/>
      <w:bookmarkEnd w:id="192"/>
      <w:bookmarkEnd w:id="193"/>
      <w:bookmarkEnd w:id="194"/>
    </w:p>
    <w:p>
      <w:pPr>
        <w:pStyle w:val="16"/>
        <w:snapToGrid w:val="0"/>
        <w:spacing w:before="156" w:after="156"/>
        <w:ind w:left="0" w:leftChars="0" w:right="26" w:firstLine="490" w:firstLineChars="175"/>
        <w:jc w:val="center"/>
        <w:rPr>
          <w:rFonts w:hint="eastAsia" w:ascii="宋体" w:hAnsi="宋体" w:eastAsia="宋体" w:cs="宋体"/>
          <w:sz w:val="28"/>
          <w:szCs w:val="28"/>
          <w:highlight w:val="yellow"/>
          <w:lang w:eastAsia="zh-CN"/>
        </w:rPr>
      </w:pPr>
      <w:bookmarkStart w:id="195" w:name="_Toc26554093"/>
      <w:bookmarkStart w:id="196" w:name="_Toc49090575"/>
      <w:r>
        <w:rPr>
          <w:rFonts w:hint="eastAsia" w:hAnsi="宋体" w:eastAsia="宋体" w:cs="宋体"/>
          <w:sz w:val="28"/>
          <w:szCs w:val="28"/>
          <w:highlight w:val="yellow"/>
          <w:lang w:val="en-US" w:eastAsia="zh-CN"/>
        </w:rPr>
        <w:t>一、</w:t>
      </w:r>
      <w:r>
        <w:rPr>
          <w:rFonts w:hint="eastAsia" w:ascii="宋体" w:hAnsi="宋体" w:eastAsia="宋体" w:cs="宋体"/>
          <w:sz w:val="28"/>
          <w:szCs w:val="28"/>
          <w:highlight w:val="yellow"/>
          <w:lang w:eastAsia="zh-CN"/>
        </w:rPr>
        <w:t>项目概述及需求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bookmarkStart w:id="197" w:name="_Toc14788"/>
      <w:bookmarkStart w:id="198" w:name="_Toc7667"/>
      <w:bookmarkStart w:id="199" w:name="_Toc16638"/>
      <w:bookmarkStart w:id="200" w:name="_Toc20023"/>
      <w:bookmarkStart w:id="201" w:name="_Toc23115"/>
      <w:bookmarkStart w:id="202" w:name="_Toc1123"/>
      <w:bookmarkStart w:id="203" w:name="_Toc22914"/>
      <w:bookmarkStart w:id="204" w:name="_Toc20840"/>
      <w:bookmarkStart w:id="205" w:name="_Toc22408"/>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本项目综合应用图像与点云扫描技术，以获取文物高清晰度的二维影像和精确的三维数据模型，并录入珍贵文物三维资源库，进行数据加工、内容编辑、素材分析、信息发布和检索利用等。结合数字展示技术、交互体验设计，以及移动互联网的传播途径，使珍贵文物得到多维度的深入诠释，既实现馆内文物数字资源的共享，又向公众展示出文物蕴藏的历史文化，由此提升昌吉州博物馆馆藏文物资源利用内涵与质量，推动博物馆教育功能创新升级，为繁荣发展昌吉州文化文物事业起到积极的推动作用。</w:t>
      </w:r>
    </w:p>
    <w:p>
      <w:pPr>
        <w:pStyle w:val="7"/>
        <w:bidi w:val="0"/>
        <w:spacing w:line="360" w:lineRule="auto"/>
        <w:rPr>
          <w:rFonts w:hint="eastAsia"/>
          <w:sz w:val="32"/>
          <w:szCs w:val="22"/>
          <w:lang w:val="en-US" w:eastAsia="zh-CN"/>
        </w:rPr>
      </w:pPr>
      <w:r>
        <w:rPr>
          <w:rFonts w:hint="eastAsia"/>
          <w:sz w:val="32"/>
          <w:szCs w:val="22"/>
          <w:lang w:val="en-US" w:eastAsia="zh-CN"/>
        </w:rPr>
        <w:t>采购需求</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noWrap w:val="0"/>
            <w:vAlign w:val="center"/>
          </w:tcPr>
          <w:p>
            <w:pPr>
              <w:bidi w:val="0"/>
              <w:jc w:val="center"/>
              <w:rPr>
                <w:rFonts w:hint="eastAsia"/>
                <w:b/>
                <w:bCs/>
                <w:lang w:val="en-US" w:eastAsia="zh-CN"/>
              </w:rPr>
            </w:pPr>
            <w:r>
              <w:rPr>
                <w:rFonts w:hint="eastAsia"/>
                <w:b/>
                <w:bCs/>
                <w:lang w:val="en-US" w:eastAsia="zh-CN"/>
              </w:rPr>
              <w:t>名称</w:t>
            </w:r>
          </w:p>
        </w:tc>
        <w:tc>
          <w:tcPr>
            <w:tcW w:w="6064" w:type="dxa"/>
            <w:noWrap w:val="0"/>
            <w:vAlign w:val="center"/>
          </w:tcPr>
          <w:p>
            <w:pPr>
              <w:bidi w:val="0"/>
              <w:jc w:val="center"/>
              <w:rPr>
                <w:rFonts w:hint="eastAsia"/>
                <w:b/>
                <w:bCs/>
                <w:lang w:val="en-US" w:eastAsia="zh-CN"/>
              </w:rPr>
            </w:pPr>
            <w:r>
              <w:rPr>
                <w:rFonts w:hint="eastAsia"/>
                <w:b/>
                <w:bCs/>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noWrap w:val="0"/>
            <w:vAlign w:val="center"/>
          </w:tcPr>
          <w:p>
            <w:pPr>
              <w:bidi w:val="0"/>
              <w:jc w:val="center"/>
              <w:rPr>
                <w:rFonts w:hint="eastAsia"/>
                <w:lang w:val="en-US" w:eastAsia="zh-CN"/>
              </w:rPr>
            </w:pPr>
            <w:r>
              <w:rPr>
                <w:rFonts w:hint="eastAsia"/>
                <w:lang w:val="en-US" w:eastAsia="zh-CN"/>
              </w:rPr>
              <w:t>可移动文物数字资源采集与制作</w:t>
            </w:r>
          </w:p>
        </w:tc>
        <w:tc>
          <w:tcPr>
            <w:tcW w:w="6064" w:type="dxa"/>
            <w:noWrap w:val="0"/>
            <w:vAlign w:val="center"/>
          </w:tcPr>
          <w:p>
            <w:pPr>
              <w:bidi w:val="0"/>
              <w:jc w:val="both"/>
              <w:rPr>
                <w:rFonts w:hint="eastAsia"/>
                <w:lang w:val="en-US" w:eastAsia="zh-CN"/>
              </w:rPr>
            </w:pPr>
            <w:r>
              <w:rPr>
                <w:rFonts w:hint="eastAsia"/>
                <w:lang w:val="en-US" w:eastAsia="zh-CN"/>
              </w:rPr>
              <w:t>1、</w:t>
            </w:r>
            <w:r>
              <w:rPr>
                <w:rFonts w:hint="eastAsia"/>
              </w:rPr>
              <w:t>55件珍贵文物三维扫描及纹理色彩高清高保真采集、高精度模型</w:t>
            </w:r>
            <w:r>
              <w:rPr>
                <w:rFonts w:hint="eastAsia"/>
                <w:lang w:eastAsia="zh-CN"/>
              </w:rPr>
              <w:t>、</w:t>
            </w:r>
            <w:r>
              <w:rPr>
                <w:rFonts w:hint="eastAsia"/>
              </w:rPr>
              <w:t>影像成果制作</w:t>
            </w:r>
            <w:r>
              <w:rPr>
                <w:rFonts w:hint="eastAsia"/>
                <w:lang w:val="en-US" w:eastAsia="zh-CN"/>
              </w:rPr>
              <w:t>；</w:t>
            </w:r>
          </w:p>
          <w:p>
            <w:pPr>
              <w:bidi w:val="0"/>
              <w:jc w:val="both"/>
              <w:rPr>
                <w:rFonts w:hint="eastAsia"/>
                <w:lang w:val="en-US" w:eastAsia="zh-CN"/>
              </w:rPr>
            </w:pPr>
            <w:r>
              <w:rPr>
                <w:rFonts w:hint="eastAsia"/>
                <w:lang w:val="en-US" w:eastAsia="zh-CN"/>
              </w:rPr>
              <w:t>2、123件文物高清摄影。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noWrap w:val="0"/>
            <w:vAlign w:val="center"/>
          </w:tcPr>
          <w:p>
            <w:pPr>
              <w:bidi w:val="0"/>
              <w:jc w:val="center"/>
              <w:rPr>
                <w:rFonts w:hint="eastAsia"/>
                <w:lang w:val="en-US" w:eastAsia="zh-CN"/>
              </w:rPr>
            </w:pPr>
            <w:r>
              <w:rPr>
                <w:rFonts w:hint="eastAsia"/>
                <w:lang w:val="en-US" w:eastAsia="zh-CN"/>
              </w:rPr>
              <w:t>昌吉州博物馆数字化服务平台建设</w:t>
            </w:r>
          </w:p>
        </w:tc>
        <w:tc>
          <w:tcPr>
            <w:tcW w:w="6064" w:type="dxa"/>
            <w:noWrap w:val="0"/>
            <w:vAlign w:val="center"/>
          </w:tcPr>
          <w:p>
            <w:pPr>
              <w:bidi w:val="0"/>
              <w:jc w:val="both"/>
              <w:rPr>
                <w:rFonts w:hint="default"/>
                <w:lang w:val="en-US" w:eastAsia="zh-CN"/>
              </w:rPr>
            </w:pPr>
            <w:r>
              <w:rPr>
                <w:rFonts w:hint="eastAsia"/>
                <w:lang w:val="en-US" w:eastAsia="zh-CN"/>
              </w:rPr>
              <w:t>1、自助导览服务驿站建设；</w:t>
            </w:r>
          </w:p>
          <w:p>
            <w:pPr>
              <w:bidi w:val="0"/>
              <w:jc w:val="both"/>
              <w:rPr>
                <w:rFonts w:hint="eastAsia"/>
                <w:lang w:val="en-US" w:eastAsia="zh-CN"/>
              </w:rPr>
            </w:pPr>
            <w:r>
              <w:rPr>
                <w:rFonts w:hint="eastAsia"/>
                <w:lang w:val="en-US" w:eastAsia="zh-CN"/>
              </w:rPr>
              <w:t>2、昌吉州博物馆微信公众号及导览小程序升级。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2458" w:type="dxa"/>
            <w:noWrap w:val="0"/>
            <w:vAlign w:val="center"/>
          </w:tcPr>
          <w:p>
            <w:pPr>
              <w:bidi w:val="0"/>
              <w:jc w:val="center"/>
              <w:rPr>
                <w:rFonts w:hint="eastAsia"/>
                <w:lang w:val="en-US" w:eastAsia="zh-CN"/>
              </w:rPr>
            </w:pPr>
            <w:r>
              <w:rPr>
                <w:rFonts w:hint="eastAsia"/>
                <w:lang w:val="en-US" w:eastAsia="zh-CN"/>
              </w:rPr>
              <w:t>展区陈列文物数字化展示服务制作</w:t>
            </w:r>
          </w:p>
        </w:tc>
        <w:tc>
          <w:tcPr>
            <w:tcW w:w="6064" w:type="dxa"/>
            <w:noWrap w:val="0"/>
            <w:vAlign w:val="center"/>
          </w:tcPr>
          <w:p>
            <w:pPr>
              <w:bidi w:val="0"/>
              <w:jc w:val="both"/>
              <w:rPr>
                <w:rFonts w:hint="eastAsia"/>
                <w:lang w:val="en-US" w:eastAsia="zh-CN"/>
              </w:rPr>
            </w:pPr>
            <w:r>
              <w:rPr>
                <w:rFonts w:hint="eastAsia"/>
                <w:lang w:val="en-US" w:eastAsia="zh-CN"/>
              </w:rPr>
              <w:t>1、清山川祭祀碑数字交互式解读系统1套；</w:t>
            </w:r>
          </w:p>
          <w:p>
            <w:pPr>
              <w:bidi w:val="0"/>
              <w:jc w:val="both"/>
              <w:rPr>
                <w:rFonts w:hint="eastAsia"/>
                <w:lang w:val="en-US" w:eastAsia="zh-CN"/>
              </w:rPr>
            </w:pPr>
            <w:r>
              <w:rPr>
                <w:rFonts w:hint="eastAsia"/>
                <w:lang w:val="en-US" w:eastAsia="zh-CN"/>
              </w:rPr>
              <w:t>2、文物裸眼3D展示系统1套；</w:t>
            </w:r>
          </w:p>
          <w:p>
            <w:pPr>
              <w:bidi w:val="0"/>
              <w:jc w:val="both"/>
              <w:rPr>
                <w:rFonts w:hint="eastAsia"/>
                <w:lang w:val="en-US" w:eastAsia="zh-CN"/>
              </w:rPr>
            </w:pPr>
            <w:r>
              <w:rPr>
                <w:rFonts w:hint="eastAsia"/>
                <w:lang w:val="en-US" w:eastAsia="zh-CN"/>
              </w:rPr>
              <w:t>3、北庭故城数字再现沉浸展示内容1套。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noWrap w:val="0"/>
            <w:vAlign w:val="center"/>
          </w:tcPr>
          <w:p>
            <w:pPr>
              <w:bidi w:val="0"/>
              <w:jc w:val="center"/>
              <w:rPr>
                <w:rFonts w:hint="eastAsia"/>
                <w:lang w:val="en-US" w:eastAsia="zh-CN"/>
              </w:rPr>
            </w:pPr>
            <w:r>
              <w:rPr>
                <w:rFonts w:hint="eastAsia"/>
                <w:lang w:val="en-US" w:eastAsia="zh-CN"/>
              </w:rPr>
              <w:t>博物馆数字化社教体验课程建设</w:t>
            </w:r>
          </w:p>
        </w:tc>
        <w:tc>
          <w:tcPr>
            <w:tcW w:w="6064" w:type="dxa"/>
            <w:noWrap w:val="0"/>
            <w:vAlign w:val="center"/>
          </w:tcPr>
          <w:p>
            <w:pPr>
              <w:bidi w:val="0"/>
              <w:jc w:val="both"/>
              <w:rPr>
                <w:rFonts w:hint="eastAsia" w:cs="Times New Roman"/>
                <w:lang w:val="en-US" w:eastAsia="zh-CN"/>
              </w:rPr>
            </w:pPr>
            <w:r>
              <w:rPr>
                <w:rFonts w:hint="eastAsia" w:cs="Times New Roman"/>
                <w:lang w:val="en-US" w:eastAsia="zh-CN"/>
              </w:rPr>
              <w:t>1、康家石门子岩画历史文化探索体验课程1套；</w:t>
            </w:r>
          </w:p>
          <w:p>
            <w:pPr>
              <w:bidi w:val="0"/>
              <w:jc w:val="both"/>
              <w:rPr>
                <w:rFonts w:hint="eastAsia" w:cs="Times New Roman"/>
                <w:lang w:val="en-US" w:eastAsia="zh-CN"/>
              </w:rPr>
            </w:pPr>
            <w:r>
              <w:rPr>
                <w:rFonts w:hint="eastAsia" w:cs="Times New Roman"/>
                <w:lang w:val="en-US" w:eastAsia="zh-CN"/>
              </w:rPr>
              <w:t>2、考古学家带你游昌吉科普VR体验课程1套。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noWrap w:val="0"/>
            <w:vAlign w:val="center"/>
          </w:tcPr>
          <w:p>
            <w:pPr>
              <w:bidi w:val="0"/>
              <w:jc w:val="center"/>
              <w:rPr>
                <w:rFonts w:hint="eastAsia"/>
                <w:lang w:val="en-US" w:eastAsia="zh-CN"/>
              </w:rPr>
            </w:pPr>
            <w:r>
              <w:rPr>
                <w:rFonts w:hint="eastAsia"/>
                <w:lang w:val="en-US" w:eastAsia="zh-CN"/>
              </w:rPr>
              <w:t>“昌吉流动博物馆”数字服务资源建设</w:t>
            </w:r>
          </w:p>
        </w:tc>
        <w:tc>
          <w:tcPr>
            <w:tcW w:w="6064" w:type="dxa"/>
            <w:noWrap w:val="0"/>
            <w:vAlign w:val="center"/>
          </w:tcPr>
          <w:p>
            <w:pPr>
              <w:bidi w:val="0"/>
              <w:jc w:val="both"/>
              <w:rPr>
                <w:rFonts w:hint="eastAsia" w:cs="Times New Roman"/>
                <w:lang w:val="en-US" w:eastAsia="zh-CN"/>
              </w:rPr>
            </w:pPr>
            <w:r>
              <w:rPr>
                <w:rFonts w:hint="eastAsia" w:cs="Times New Roman"/>
                <w:lang w:val="en-US" w:eastAsia="zh-CN"/>
              </w:rPr>
              <w:t>1、流动展板AR导览与解说系统1套；</w:t>
            </w:r>
          </w:p>
          <w:p>
            <w:pPr>
              <w:bidi w:val="0"/>
              <w:jc w:val="both"/>
              <w:rPr>
                <w:rFonts w:hint="eastAsia" w:cs="Times New Roman"/>
                <w:lang w:val="en-US" w:eastAsia="zh-CN"/>
              </w:rPr>
            </w:pPr>
            <w:r>
              <w:rPr>
                <w:rFonts w:hint="eastAsia" w:cs="Times New Roman"/>
                <w:lang w:val="en-US" w:eastAsia="zh-CN"/>
              </w:rPr>
              <w:t>2、历史展厅VR漫游数字流动博物馆1套。</w:t>
            </w:r>
          </w:p>
        </w:tc>
      </w:tr>
    </w:tbl>
    <w:p>
      <w:pPr>
        <w:pStyle w:val="7"/>
        <w:bidi w:val="0"/>
        <w:spacing w:line="360" w:lineRule="auto"/>
        <w:rPr>
          <w:rFonts w:hint="default"/>
          <w:sz w:val="32"/>
          <w:szCs w:val="22"/>
          <w:lang w:val="en-US" w:eastAsia="zh-CN"/>
        </w:rPr>
      </w:pPr>
      <w:r>
        <w:rPr>
          <w:rFonts w:hint="eastAsia"/>
          <w:sz w:val="32"/>
          <w:szCs w:val="22"/>
          <w:lang w:val="en-US" w:eastAsia="zh-CN"/>
        </w:rPr>
        <w:t>技术要求</w:t>
      </w:r>
    </w:p>
    <w:p>
      <w:pPr>
        <w:pStyle w:val="8"/>
        <w:tabs>
          <w:tab w:val="left" w:pos="0"/>
        </w:tabs>
        <w:bidi w:val="0"/>
        <w:rPr>
          <w:rFonts w:hint="eastAsia"/>
          <w:lang w:val="en-US" w:eastAsia="zh-CN"/>
        </w:rPr>
      </w:pPr>
      <w:r>
        <w:rPr>
          <w:rFonts w:hint="eastAsia"/>
          <w:lang w:val="en-US" w:eastAsia="zh-CN"/>
        </w:rPr>
        <w:t>可移动文物数字资源采集与制作</w:t>
      </w:r>
    </w:p>
    <w:p>
      <w:pPr>
        <w:pStyle w:val="11"/>
        <w:bidi w:val="0"/>
        <w:rPr>
          <w:rFonts w:hint="eastAsia" w:cs="Times New Roman"/>
          <w:lang w:val="en-US" w:eastAsia="zh-CN"/>
        </w:rPr>
      </w:pPr>
      <w:r>
        <w:rPr>
          <w:rFonts w:hint="eastAsia"/>
          <w:lang w:val="en-US" w:eastAsia="zh-CN"/>
        </w:rPr>
        <w:t>对博物馆55件珍贵文物进行三维扫描及纹理色彩高清高保真采集、高精度模型、影像成果制作。</w:t>
      </w:r>
      <w:r>
        <w:rPr>
          <w:rFonts w:hint="eastAsia" w:cs="Times New Roman"/>
          <w:lang w:val="en-US" w:eastAsia="zh-CN"/>
        </w:rPr>
        <w:t>123件文物进行高清照片拍摄，满足展示及出版需求。每件文物高清晰照片不少于4张，并使用色彩管理软件对影像色彩进行真实还原。</w:t>
      </w:r>
    </w:p>
    <w:p>
      <w:pPr>
        <w:pStyle w:val="11"/>
        <w:bidi w:val="0"/>
        <w:rPr>
          <w:rFonts w:hint="eastAsia"/>
          <w:lang w:val="en-US" w:eastAsia="zh-CN"/>
        </w:rPr>
      </w:pPr>
      <w:r>
        <w:rPr>
          <w:rFonts w:hint="eastAsia" w:cs="Times New Roman"/>
          <w:lang w:val="en-US" w:eastAsia="zh-CN"/>
        </w:rPr>
        <w:t>本项目的文物采集处理成果数据录入、汇集至馆藏文物信息及数字资源管理系统之中。此外，以硬盘形式提交本项目采集文物的各类成果数据。</w:t>
      </w:r>
    </w:p>
    <w:p>
      <w:pPr>
        <w:pStyle w:val="9"/>
        <w:bidi w:val="0"/>
        <w:rPr>
          <w:rFonts w:hint="eastAsia"/>
          <w:lang w:val="en-US" w:eastAsia="zh-CN"/>
        </w:rPr>
      </w:pPr>
      <w:r>
        <w:rPr>
          <w:rFonts w:hint="eastAsia"/>
          <w:lang w:val="en-US" w:eastAsia="zh-CN"/>
        </w:rPr>
        <w:t>文物三维数据采集制作</w:t>
      </w:r>
    </w:p>
    <w:tbl>
      <w:tblPr>
        <w:tblStyle w:val="23"/>
        <w:tblW w:w="852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610"/>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right"/>
        </w:trPr>
        <w:tc>
          <w:tcPr>
            <w:tcW w:w="1580" w:type="dxa"/>
            <w:shd w:val="clear" w:color="auto" w:fill="DBDBDB"/>
            <w:noWrap w:val="0"/>
            <w:vAlign w:val="center"/>
          </w:tcPr>
          <w:p>
            <w:pPr>
              <w:bidi w:val="0"/>
              <w:jc w:val="center"/>
            </w:pPr>
            <w:r>
              <w:rPr>
                <w:rFonts w:hint="eastAsia"/>
              </w:rPr>
              <w:t>工作内容</w:t>
            </w:r>
          </w:p>
        </w:tc>
        <w:tc>
          <w:tcPr>
            <w:tcW w:w="2610" w:type="dxa"/>
            <w:shd w:val="clear" w:color="auto" w:fill="DBDBDB"/>
            <w:noWrap w:val="0"/>
            <w:vAlign w:val="center"/>
          </w:tcPr>
          <w:p>
            <w:pPr>
              <w:bidi w:val="0"/>
              <w:jc w:val="center"/>
            </w:pPr>
            <w:r>
              <w:rPr>
                <w:rFonts w:hint="eastAsia"/>
              </w:rPr>
              <w:t>技术指标项</w:t>
            </w:r>
          </w:p>
        </w:tc>
        <w:tc>
          <w:tcPr>
            <w:tcW w:w="4332" w:type="dxa"/>
            <w:shd w:val="clear" w:color="auto" w:fill="DBDBDB"/>
            <w:noWrap w:val="0"/>
            <w:vAlign w:val="center"/>
          </w:tcPr>
          <w:p>
            <w:pPr>
              <w:bidi w:val="0"/>
              <w:jc w:val="center"/>
            </w:pPr>
            <w:r>
              <w:rPr>
                <w:rFonts w:hint="eastAsia"/>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right"/>
        </w:trPr>
        <w:tc>
          <w:tcPr>
            <w:tcW w:w="1580" w:type="dxa"/>
            <w:vMerge w:val="restart"/>
            <w:noWrap w:val="0"/>
            <w:vAlign w:val="center"/>
          </w:tcPr>
          <w:p>
            <w:pPr>
              <w:bidi w:val="0"/>
              <w:jc w:val="center"/>
            </w:pPr>
            <w:r>
              <w:rPr>
                <w:rFonts w:hint="eastAsia"/>
              </w:rPr>
              <w:t>三维数据采集</w:t>
            </w:r>
          </w:p>
        </w:tc>
        <w:tc>
          <w:tcPr>
            <w:tcW w:w="2610" w:type="dxa"/>
            <w:noWrap w:val="0"/>
            <w:vAlign w:val="center"/>
          </w:tcPr>
          <w:p>
            <w:pPr>
              <w:bidi w:val="0"/>
              <w:jc w:val="center"/>
            </w:pPr>
            <w:r>
              <w:rPr>
                <w:rFonts w:hint="eastAsia"/>
              </w:rPr>
              <w:t>三维数据采集模型精度</w:t>
            </w:r>
          </w:p>
        </w:tc>
        <w:tc>
          <w:tcPr>
            <w:tcW w:w="4332" w:type="dxa"/>
            <w:noWrap w:val="0"/>
            <w:vAlign w:val="center"/>
          </w:tcPr>
          <w:p>
            <w:pPr>
              <w:bidi w:val="0"/>
              <w:jc w:val="center"/>
            </w:pPr>
            <w:r>
              <w:rPr>
                <w:rFonts w:hint="eastAsia"/>
              </w:rPr>
              <w:t>≤0</w:t>
            </w:r>
            <w:r>
              <w:t>.075mm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right"/>
        </w:trPr>
        <w:tc>
          <w:tcPr>
            <w:tcW w:w="1580" w:type="dxa"/>
            <w:vMerge w:val="continue"/>
            <w:noWrap w:val="0"/>
            <w:vAlign w:val="center"/>
          </w:tcPr>
          <w:p>
            <w:pPr>
              <w:bidi w:val="0"/>
              <w:jc w:val="center"/>
            </w:pPr>
          </w:p>
        </w:tc>
        <w:tc>
          <w:tcPr>
            <w:tcW w:w="2610" w:type="dxa"/>
            <w:noWrap w:val="0"/>
            <w:vAlign w:val="center"/>
          </w:tcPr>
          <w:p>
            <w:pPr>
              <w:bidi w:val="0"/>
              <w:jc w:val="center"/>
            </w:pPr>
            <w:r>
              <w:rPr>
                <w:rFonts w:hint="eastAsia"/>
              </w:rPr>
              <w:t>数据完整性</w:t>
            </w:r>
          </w:p>
        </w:tc>
        <w:tc>
          <w:tcPr>
            <w:tcW w:w="4332" w:type="dxa"/>
            <w:noWrap w:val="0"/>
            <w:vAlign w:val="center"/>
          </w:tcPr>
          <w:p>
            <w:pPr>
              <w:bidi w:val="0"/>
              <w:jc w:val="center"/>
            </w:pPr>
            <w:r>
              <w:rPr>
                <w:rFonts w:hint="eastAsi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right"/>
        </w:trPr>
        <w:tc>
          <w:tcPr>
            <w:tcW w:w="1580" w:type="dxa"/>
            <w:vMerge w:val="continue"/>
            <w:noWrap w:val="0"/>
            <w:vAlign w:val="center"/>
          </w:tcPr>
          <w:p>
            <w:pPr>
              <w:bidi w:val="0"/>
              <w:jc w:val="center"/>
            </w:pPr>
          </w:p>
        </w:tc>
        <w:tc>
          <w:tcPr>
            <w:tcW w:w="2610" w:type="dxa"/>
            <w:noWrap w:val="0"/>
            <w:vAlign w:val="center"/>
          </w:tcPr>
          <w:p>
            <w:pPr>
              <w:bidi w:val="0"/>
              <w:jc w:val="center"/>
              <w:rPr>
                <w:rFonts w:hint="eastAsia"/>
              </w:rPr>
            </w:pPr>
            <w:r>
              <w:rPr>
                <w:rFonts w:hint="eastAsia"/>
              </w:rPr>
              <w:t>噪点</w:t>
            </w:r>
          </w:p>
        </w:tc>
        <w:tc>
          <w:tcPr>
            <w:tcW w:w="4332" w:type="dxa"/>
            <w:noWrap w:val="0"/>
            <w:vAlign w:val="center"/>
          </w:tcPr>
          <w:p>
            <w:pPr>
              <w:bidi w:val="0"/>
              <w:jc w:val="center"/>
              <w:rPr>
                <w:rFonts w:hint="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right"/>
        </w:trPr>
        <w:tc>
          <w:tcPr>
            <w:tcW w:w="1580" w:type="dxa"/>
            <w:vMerge w:val="continue"/>
            <w:noWrap w:val="0"/>
            <w:vAlign w:val="center"/>
          </w:tcPr>
          <w:p>
            <w:pPr>
              <w:bidi w:val="0"/>
              <w:jc w:val="center"/>
            </w:pPr>
          </w:p>
        </w:tc>
        <w:tc>
          <w:tcPr>
            <w:tcW w:w="2610" w:type="dxa"/>
            <w:noWrap w:val="0"/>
            <w:vAlign w:val="center"/>
          </w:tcPr>
          <w:p>
            <w:pPr>
              <w:bidi w:val="0"/>
              <w:jc w:val="center"/>
            </w:pPr>
            <w:r>
              <w:rPr>
                <w:rFonts w:hint="eastAsia"/>
              </w:rPr>
              <w:t>拼合后物体的形态误差</w:t>
            </w:r>
          </w:p>
        </w:tc>
        <w:tc>
          <w:tcPr>
            <w:tcW w:w="4332" w:type="dxa"/>
            <w:noWrap w:val="0"/>
            <w:vAlign w:val="center"/>
          </w:tcPr>
          <w:p>
            <w:pPr>
              <w:bidi w:val="0"/>
              <w:jc w:val="center"/>
            </w:pPr>
            <w:r>
              <w:rPr>
                <w:rFonts w:hint="eastAsia"/>
              </w:rPr>
              <w:t>≤</w:t>
            </w:r>
            <w:r>
              <w:t>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right"/>
        </w:trPr>
        <w:tc>
          <w:tcPr>
            <w:tcW w:w="1580" w:type="dxa"/>
            <w:vMerge w:val="continue"/>
            <w:noWrap w:val="0"/>
            <w:vAlign w:val="center"/>
          </w:tcPr>
          <w:p>
            <w:pPr>
              <w:bidi w:val="0"/>
              <w:jc w:val="center"/>
            </w:pPr>
          </w:p>
        </w:tc>
        <w:tc>
          <w:tcPr>
            <w:tcW w:w="2610" w:type="dxa"/>
            <w:noWrap w:val="0"/>
            <w:vAlign w:val="center"/>
          </w:tcPr>
          <w:p>
            <w:pPr>
              <w:bidi w:val="0"/>
              <w:jc w:val="center"/>
            </w:pPr>
            <w:r>
              <w:rPr>
                <w:rFonts w:hint="eastAsia"/>
              </w:rPr>
              <w:t>扫描面对物体外表面覆盖率</w:t>
            </w:r>
          </w:p>
        </w:tc>
        <w:tc>
          <w:tcPr>
            <w:tcW w:w="4332" w:type="dxa"/>
            <w:noWrap w:val="0"/>
            <w:vAlign w:val="center"/>
          </w:tcPr>
          <w:p>
            <w:pPr>
              <w:bidi w:val="0"/>
              <w:jc w:val="center"/>
            </w:pPr>
            <w:r>
              <w:rPr>
                <w:rFonts w:hint="eastAsia"/>
              </w:rPr>
              <w:t>≥</w:t>
            </w:r>
            <w: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right"/>
        </w:trPr>
        <w:tc>
          <w:tcPr>
            <w:tcW w:w="1580" w:type="dxa"/>
            <w:vMerge w:val="continue"/>
            <w:noWrap w:val="0"/>
            <w:vAlign w:val="center"/>
          </w:tcPr>
          <w:p>
            <w:pPr>
              <w:bidi w:val="0"/>
              <w:jc w:val="center"/>
            </w:pPr>
          </w:p>
        </w:tc>
        <w:tc>
          <w:tcPr>
            <w:tcW w:w="2610" w:type="dxa"/>
            <w:noWrap w:val="0"/>
            <w:vAlign w:val="center"/>
          </w:tcPr>
          <w:p>
            <w:pPr>
              <w:bidi w:val="0"/>
              <w:jc w:val="center"/>
              <w:rPr>
                <w:rFonts w:hint="eastAsia"/>
              </w:rPr>
            </w:pPr>
            <w:r>
              <w:rPr>
                <w:rFonts w:hint="eastAsia"/>
              </w:rPr>
              <w:t>尺寸误差</w:t>
            </w:r>
          </w:p>
        </w:tc>
        <w:tc>
          <w:tcPr>
            <w:tcW w:w="4332" w:type="dxa"/>
            <w:noWrap w:val="0"/>
            <w:vAlign w:val="center"/>
          </w:tcPr>
          <w:p>
            <w:pPr>
              <w:bidi w:val="0"/>
              <w:jc w:val="center"/>
              <w:rPr>
                <w:rFonts w:hint="eastAsia"/>
              </w:rPr>
            </w:pPr>
            <w:r>
              <w:rPr>
                <w:rFonts w:hint="eastAsia"/>
              </w:rPr>
              <w:t>≤0.05mm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right"/>
        </w:trPr>
        <w:tc>
          <w:tcPr>
            <w:tcW w:w="1580" w:type="dxa"/>
            <w:vMerge w:val="continue"/>
            <w:noWrap w:val="0"/>
            <w:vAlign w:val="center"/>
          </w:tcPr>
          <w:p>
            <w:pPr>
              <w:bidi w:val="0"/>
              <w:jc w:val="center"/>
            </w:pPr>
          </w:p>
        </w:tc>
        <w:tc>
          <w:tcPr>
            <w:tcW w:w="2610" w:type="dxa"/>
            <w:noWrap w:val="0"/>
            <w:vAlign w:val="center"/>
          </w:tcPr>
          <w:p>
            <w:pPr>
              <w:bidi w:val="0"/>
              <w:jc w:val="center"/>
              <w:rPr>
                <w:rFonts w:hint="eastAsia"/>
              </w:rPr>
            </w:pPr>
            <w:r>
              <w:rPr>
                <w:rFonts w:hint="eastAsia"/>
              </w:rPr>
              <w:t>平均点间距</w:t>
            </w:r>
          </w:p>
        </w:tc>
        <w:tc>
          <w:tcPr>
            <w:tcW w:w="4332" w:type="dxa"/>
            <w:noWrap w:val="0"/>
            <w:vAlign w:val="center"/>
          </w:tcPr>
          <w:p>
            <w:pPr>
              <w:bidi w:val="0"/>
              <w:jc w:val="center"/>
              <w:rPr>
                <w:rFonts w:hint="eastAsia"/>
              </w:rPr>
            </w:pPr>
            <w:r>
              <w:rPr>
                <w:rFonts w:hint="eastAsia"/>
              </w:rPr>
              <w:t>≤0.05mm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jc w:val="right"/>
        </w:trPr>
        <w:tc>
          <w:tcPr>
            <w:tcW w:w="1580" w:type="dxa"/>
            <w:vMerge w:val="continue"/>
            <w:noWrap w:val="0"/>
            <w:vAlign w:val="center"/>
          </w:tcPr>
          <w:p>
            <w:pPr>
              <w:bidi w:val="0"/>
              <w:jc w:val="center"/>
            </w:pPr>
          </w:p>
        </w:tc>
        <w:tc>
          <w:tcPr>
            <w:tcW w:w="2610" w:type="dxa"/>
            <w:noWrap w:val="0"/>
            <w:vAlign w:val="center"/>
          </w:tcPr>
          <w:p>
            <w:pPr>
              <w:bidi w:val="0"/>
              <w:jc w:val="center"/>
              <w:rPr>
                <w:rFonts w:hint="eastAsia"/>
              </w:rPr>
            </w:pPr>
            <w:r>
              <w:rPr>
                <w:rFonts w:hint="eastAsia"/>
              </w:rPr>
              <w:t>最大点间距</w:t>
            </w:r>
          </w:p>
        </w:tc>
        <w:tc>
          <w:tcPr>
            <w:tcW w:w="4332" w:type="dxa"/>
            <w:noWrap w:val="0"/>
            <w:vAlign w:val="center"/>
          </w:tcPr>
          <w:p>
            <w:pPr>
              <w:bidi w:val="0"/>
              <w:jc w:val="center"/>
              <w:rPr>
                <w:rFonts w:hint="eastAsia"/>
              </w:rPr>
            </w:pPr>
            <w:r>
              <w:rPr>
                <w:rFonts w:hint="eastAsia"/>
              </w:rPr>
              <w:t>≤0.20mm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right"/>
        </w:trPr>
        <w:tc>
          <w:tcPr>
            <w:tcW w:w="1580" w:type="dxa"/>
            <w:vMerge w:val="restart"/>
            <w:noWrap w:val="0"/>
            <w:vAlign w:val="center"/>
          </w:tcPr>
          <w:p>
            <w:pPr>
              <w:bidi w:val="0"/>
              <w:jc w:val="center"/>
            </w:pPr>
            <w:r>
              <w:rPr>
                <w:rFonts w:hint="eastAsia"/>
              </w:rPr>
              <w:t>色彩和表面纹理采集、纹理贴图</w:t>
            </w:r>
          </w:p>
        </w:tc>
        <w:tc>
          <w:tcPr>
            <w:tcW w:w="2610" w:type="dxa"/>
            <w:noWrap w:val="0"/>
            <w:vAlign w:val="center"/>
          </w:tcPr>
          <w:p>
            <w:pPr>
              <w:bidi w:val="0"/>
              <w:jc w:val="center"/>
            </w:pPr>
            <w:r>
              <w:rPr>
                <w:rFonts w:hint="eastAsia"/>
              </w:rPr>
              <w:t>采集设备</w:t>
            </w:r>
          </w:p>
        </w:tc>
        <w:tc>
          <w:tcPr>
            <w:tcW w:w="4332" w:type="dxa"/>
            <w:noWrap w:val="0"/>
            <w:vAlign w:val="center"/>
          </w:tcPr>
          <w:p>
            <w:pPr>
              <w:bidi w:val="0"/>
              <w:jc w:val="center"/>
            </w:pPr>
            <w:r>
              <w:t>4500万像素以上的</w:t>
            </w:r>
            <w:r>
              <w:rPr>
                <w:rFonts w:hint="eastAsia"/>
              </w:rPr>
              <w:t>数码相机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right"/>
        </w:trPr>
        <w:tc>
          <w:tcPr>
            <w:tcW w:w="1580" w:type="dxa"/>
            <w:vMerge w:val="continue"/>
            <w:noWrap w:val="0"/>
            <w:vAlign w:val="center"/>
          </w:tcPr>
          <w:p>
            <w:pPr>
              <w:bidi w:val="0"/>
              <w:jc w:val="center"/>
            </w:pPr>
          </w:p>
        </w:tc>
        <w:tc>
          <w:tcPr>
            <w:tcW w:w="2610" w:type="dxa"/>
            <w:noWrap w:val="0"/>
            <w:vAlign w:val="center"/>
          </w:tcPr>
          <w:p>
            <w:pPr>
              <w:bidi w:val="0"/>
              <w:jc w:val="center"/>
            </w:pPr>
            <w:r>
              <w:rPr>
                <w:rFonts w:hint="eastAsia"/>
              </w:rPr>
              <w:t>采集要求</w:t>
            </w:r>
          </w:p>
        </w:tc>
        <w:tc>
          <w:tcPr>
            <w:tcW w:w="4332" w:type="dxa"/>
            <w:noWrap w:val="0"/>
            <w:vAlign w:val="center"/>
          </w:tcPr>
          <w:p>
            <w:pPr>
              <w:bidi w:val="0"/>
              <w:jc w:val="center"/>
            </w:pPr>
            <w:r>
              <w:rPr>
                <w:rFonts w:hint="eastAsia"/>
              </w:rPr>
              <w:t>平行光环境下的正交拍摄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right"/>
        </w:trPr>
        <w:tc>
          <w:tcPr>
            <w:tcW w:w="1580" w:type="dxa"/>
            <w:vMerge w:val="continue"/>
            <w:noWrap w:val="0"/>
            <w:vAlign w:val="center"/>
          </w:tcPr>
          <w:p>
            <w:pPr>
              <w:bidi w:val="0"/>
              <w:jc w:val="center"/>
            </w:pPr>
          </w:p>
        </w:tc>
        <w:tc>
          <w:tcPr>
            <w:tcW w:w="2610" w:type="dxa"/>
            <w:noWrap w:val="0"/>
            <w:vAlign w:val="center"/>
          </w:tcPr>
          <w:p>
            <w:pPr>
              <w:bidi w:val="0"/>
              <w:jc w:val="center"/>
            </w:pPr>
            <w:r>
              <w:rPr>
                <w:rFonts w:hint="eastAsia"/>
              </w:rPr>
              <w:t>采集分辨率要求</w:t>
            </w:r>
          </w:p>
        </w:tc>
        <w:tc>
          <w:tcPr>
            <w:tcW w:w="4332" w:type="dxa"/>
            <w:noWrap w:val="0"/>
            <w:vAlign w:val="center"/>
          </w:tcPr>
          <w:p>
            <w:pPr>
              <w:bidi w:val="0"/>
              <w:jc w:val="center"/>
            </w:pPr>
            <w:r>
              <w:rPr>
                <w:rFonts w:hint="eastAsia"/>
              </w:rPr>
              <w:t>≥</w:t>
            </w:r>
            <w:r>
              <w:rPr>
                <w:rFonts w:hint="eastAsia"/>
                <w:lang w:val="en-US" w:eastAsia="zh-CN"/>
              </w:rPr>
              <w:t>35</w:t>
            </w:r>
            <w:r>
              <w:rPr>
                <w:rFonts w:hint="eastAsia"/>
              </w:rPr>
              <w:t>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right"/>
        </w:trPr>
        <w:tc>
          <w:tcPr>
            <w:tcW w:w="1580" w:type="dxa"/>
            <w:vMerge w:val="continue"/>
            <w:noWrap w:val="0"/>
            <w:vAlign w:val="center"/>
          </w:tcPr>
          <w:p>
            <w:pPr>
              <w:bidi w:val="0"/>
              <w:jc w:val="center"/>
            </w:pPr>
          </w:p>
        </w:tc>
        <w:tc>
          <w:tcPr>
            <w:tcW w:w="2610" w:type="dxa"/>
            <w:noWrap w:val="0"/>
            <w:vAlign w:val="center"/>
          </w:tcPr>
          <w:p>
            <w:pPr>
              <w:bidi w:val="0"/>
              <w:jc w:val="center"/>
              <w:rPr>
                <w:rFonts w:hint="eastAsia"/>
              </w:rPr>
            </w:pPr>
            <w:r>
              <w:t>CIEDE2000</w:t>
            </w:r>
            <w:r>
              <w:rPr>
                <w:rFonts w:hint="eastAsia"/>
              </w:rPr>
              <w:t>色差平均值</w:t>
            </w:r>
          </w:p>
        </w:tc>
        <w:tc>
          <w:tcPr>
            <w:tcW w:w="4332" w:type="dxa"/>
            <w:noWrap w:val="0"/>
            <w:vAlign w:val="center"/>
          </w:tcPr>
          <w:p>
            <w:pPr>
              <w:bidi w:val="0"/>
              <w:jc w:val="center"/>
              <w:rPr>
                <w:rFonts w:hint="eastAsia"/>
              </w:rP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2" w:hRule="atLeast"/>
          <w:jc w:val="right"/>
        </w:trPr>
        <w:tc>
          <w:tcPr>
            <w:tcW w:w="1580" w:type="dxa"/>
            <w:vMerge w:val="continue"/>
            <w:noWrap w:val="0"/>
            <w:vAlign w:val="center"/>
          </w:tcPr>
          <w:p>
            <w:pPr>
              <w:bidi w:val="0"/>
              <w:jc w:val="center"/>
            </w:pPr>
          </w:p>
        </w:tc>
        <w:tc>
          <w:tcPr>
            <w:tcW w:w="2610" w:type="dxa"/>
            <w:noWrap w:val="0"/>
            <w:vAlign w:val="center"/>
          </w:tcPr>
          <w:p>
            <w:pPr>
              <w:bidi w:val="0"/>
              <w:jc w:val="center"/>
            </w:pPr>
            <w:r>
              <w:rPr>
                <w:rFonts w:hint="eastAsia"/>
              </w:rPr>
              <w:t>色彩要求</w:t>
            </w:r>
          </w:p>
        </w:tc>
        <w:tc>
          <w:tcPr>
            <w:tcW w:w="4332" w:type="dxa"/>
            <w:noWrap w:val="0"/>
            <w:vAlign w:val="center"/>
          </w:tcPr>
          <w:p>
            <w:pPr>
              <w:bidi w:val="0"/>
              <w:jc w:val="center"/>
            </w:pPr>
            <w:r>
              <w:rPr>
                <w:rFonts w:hint="eastAsia"/>
              </w:rPr>
              <w:t>固定光环境</w:t>
            </w:r>
            <w:r>
              <w:rPr>
                <w:rFonts w:hint="eastAsia"/>
                <w:lang w:eastAsia="zh-CN"/>
              </w:rPr>
              <w:t>（</w:t>
            </w:r>
            <w:r>
              <w:t>标准色温4500K</w:t>
            </w:r>
            <w:r>
              <w:rPr>
                <w:rFonts w:hint="eastAsia"/>
                <w:lang w:eastAsia="zh-CN"/>
              </w:rPr>
              <w:t>）</w:t>
            </w:r>
            <w:r>
              <w:t>；使用色标，灰卡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right"/>
        </w:trPr>
        <w:tc>
          <w:tcPr>
            <w:tcW w:w="1580" w:type="dxa"/>
            <w:vMerge w:val="restart"/>
            <w:noWrap w:val="0"/>
            <w:vAlign w:val="center"/>
          </w:tcPr>
          <w:p>
            <w:pPr>
              <w:bidi w:val="0"/>
              <w:jc w:val="center"/>
            </w:pPr>
            <w:r>
              <w:rPr>
                <w:rFonts w:hint="eastAsia"/>
              </w:rPr>
              <w:t>后期要求</w:t>
            </w:r>
          </w:p>
        </w:tc>
        <w:tc>
          <w:tcPr>
            <w:tcW w:w="2610" w:type="dxa"/>
            <w:noWrap w:val="0"/>
            <w:vAlign w:val="center"/>
          </w:tcPr>
          <w:p>
            <w:pPr>
              <w:bidi w:val="0"/>
              <w:jc w:val="center"/>
            </w:pPr>
            <w:r>
              <w:rPr>
                <w:rFonts w:hint="eastAsia"/>
              </w:rPr>
              <w:t>接缝处理</w:t>
            </w:r>
          </w:p>
        </w:tc>
        <w:tc>
          <w:tcPr>
            <w:tcW w:w="4332" w:type="dxa"/>
            <w:noWrap w:val="0"/>
            <w:vAlign w:val="center"/>
          </w:tcPr>
          <w:p>
            <w:pPr>
              <w:bidi w:val="0"/>
              <w:jc w:val="center"/>
            </w:pPr>
            <w:r>
              <w:rPr>
                <w:rFonts w:hint="eastAsia"/>
              </w:rPr>
              <w:t>主要纹理处无明显接缝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right"/>
        </w:trPr>
        <w:tc>
          <w:tcPr>
            <w:tcW w:w="1580" w:type="dxa"/>
            <w:vMerge w:val="continue"/>
            <w:noWrap w:val="0"/>
            <w:vAlign w:val="center"/>
          </w:tcPr>
          <w:p>
            <w:pPr>
              <w:bidi w:val="0"/>
              <w:jc w:val="center"/>
            </w:pPr>
          </w:p>
        </w:tc>
        <w:tc>
          <w:tcPr>
            <w:tcW w:w="2610" w:type="dxa"/>
            <w:noWrap w:val="0"/>
            <w:vAlign w:val="center"/>
          </w:tcPr>
          <w:p>
            <w:pPr>
              <w:bidi w:val="0"/>
              <w:jc w:val="center"/>
            </w:pPr>
            <w:r>
              <w:rPr>
                <w:rFonts w:hint="eastAsia"/>
              </w:rPr>
              <w:t>尺寸误差</w:t>
            </w:r>
          </w:p>
        </w:tc>
        <w:tc>
          <w:tcPr>
            <w:tcW w:w="4332" w:type="dxa"/>
            <w:noWrap w:val="0"/>
            <w:vAlign w:val="center"/>
          </w:tcPr>
          <w:p>
            <w:pPr>
              <w:bidi w:val="0"/>
              <w:jc w:val="center"/>
            </w:pPr>
            <w:r>
              <w:rPr>
                <w:rFonts w:hint="eastAsia"/>
              </w:rPr>
              <w:t>≤</w:t>
            </w:r>
            <w:r>
              <w:t>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right"/>
        </w:trPr>
        <w:tc>
          <w:tcPr>
            <w:tcW w:w="1580" w:type="dxa"/>
            <w:vMerge w:val="continue"/>
            <w:noWrap w:val="0"/>
            <w:vAlign w:val="center"/>
          </w:tcPr>
          <w:p>
            <w:pPr>
              <w:bidi w:val="0"/>
              <w:jc w:val="center"/>
            </w:pPr>
          </w:p>
        </w:tc>
        <w:tc>
          <w:tcPr>
            <w:tcW w:w="2610" w:type="dxa"/>
            <w:noWrap w:val="0"/>
            <w:vAlign w:val="center"/>
          </w:tcPr>
          <w:p>
            <w:pPr>
              <w:bidi w:val="0"/>
              <w:jc w:val="center"/>
            </w:pPr>
            <w:r>
              <w:rPr>
                <w:rFonts w:hint="eastAsia"/>
              </w:rPr>
              <w:t>色彩还原</w:t>
            </w:r>
          </w:p>
        </w:tc>
        <w:tc>
          <w:tcPr>
            <w:tcW w:w="4332" w:type="dxa"/>
            <w:noWrap w:val="0"/>
            <w:vAlign w:val="center"/>
          </w:tcPr>
          <w:p>
            <w:pPr>
              <w:bidi w:val="0"/>
              <w:jc w:val="center"/>
            </w:pPr>
            <w:r>
              <w:rPr>
                <w:rFonts w:hint="eastAsia"/>
              </w:rPr>
              <w:t>还原为自然光照条件下物体表面色彩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9" w:hRule="atLeast"/>
          <w:jc w:val="right"/>
        </w:trPr>
        <w:tc>
          <w:tcPr>
            <w:tcW w:w="1580" w:type="dxa"/>
            <w:vMerge w:val="restart"/>
            <w:noWrap w:val="0"/>
            <w:vAlign w:val="center"/>
          </w:tcPr>
          <w:p>
            <w:pPr>
              <w:bidi w:val="0"/>
              <w:jc w:val="center"/>
              <w:rPr>
                <w:highlight w:val="none"/>
              </w:rPr>
            </w:pPr>
            <w:r>
              <w:rPr>
                <w:rFonts w:hint="eastAsia"/>
                <w:highlight w:val="none"/>
              </w:rPr>
              <w:t>数据输出</w:t>
            </w:r>
          </w:p>
        </w:tc>
        <w:tc>
          <w:tcPr>
            <w:tcW w:w="2610" w:type="dxa"/>
            <w:noWrap w:val="0"/>
            <w:vAlign w:val="center"/>
          </w:tcPr>
          <w:p>
            <w:pPr>
              <w:bidi w:val="0"/>
              <w:jc w:val="center"/>
              <w:rPr>
                <w:highlight w:val="none"/>
              </w:rPr>
            </w:pPr>
            <w:r>
              <w:rPr>
                <w:highlight w:val="none"/>
              </w:rPr>
              <w:t>研究级数据（高模）</w:t>
            </w:r>
          </w:p>
        </w:tc>
        <w:tc>
          <w:tcPr>
            <w:tcW w:w="4332" w:type="dxa"/>
            <w:noWrap w:val="0"/>
            <w:vAlign w:val="center"/>
          </w:tcPr>
          <w:p>
            <w:pPr>
              <w:bidi w:val="0"/>
              <w:jc w:val="both"/>
              <w:rPr>
                <w:rFonts w:hint="eastAsia" w:cs="Times New Roman"/>
                <w:highlight w:val="none"/>
                <w:lang w:val="en-US" w:eastAsia="zh-CN"/>
              </w:rPr>
            </w:pPr>
            <w:r>
              <w:rPr>
                <w:rFonts w:hint="eastAsia" w:cs="Times New Roman"/>
                <w:highlight w:val="none"/>
                <w:lang w:val="en-US" w:eastAsia="zh-CN"/>
              </w:rPr>
              <w:t>1、单个文物数据大小在100MB到500MB；</w:t>
            </w:r>
          </w:p>
          <w:p>
            <w:pPr>
              <w:bidi w:val="0"/>
              <w:jc w:val="both"/>
              <w:rPr>
                <w:rFonts w:hint="eastAsia" w:cs="Times New Roman"/>
                <w:highlight w:val="none"/>
                <w:lang w:val="en-US" w:eastAsia="zh-CN"/>
              </w:rPr>
            </w:pPr>
            <w:r>
              <w:rPr>
                <w:rFonts w:hint="eastAsia" w:cs="Times New Roman"/>
                <w:highlight w:val="none"/>
                <w:lang w:val="en-US" w:eastAsia="zh-CN"/>
              </w:rPr>
              <w:t>2、模型精度不低于0.075mm；</w:t>
            </w:r>
          </w:p>
          <w:p>
            <w:pPr>
              <w:bidi w:val="0"/>
              <w:jc w:val="both"/>
              <w:rPr>
                <w:rFonts w:hint="eastAsia" w:cs="Times New Roman"/>
                <w:highlight w:val="none"/>
                <w:lang w:val="en-US" w:eastAsia="zh-CN"/>
              </w:rPr>
            </w:pPr>
            <w:r>
              <w:rPr>
                <w:rFonts w:hint="eastAsia" w:cs="Times New Roman"/>
                <w:highlight w:val="none"/>
                <w:lang w:val="en-US" w:eastAsia="zh-CN"/>
              </w:rPr>
              <w:t>3、贴图分辨率≥350dpi。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9" w:hRule="atLeast"/>
          <w:jc w:val="right"/>
        </w:trPr>
        <w:tc>
          <w:tcPr>
            <w:tcW w:w="1580" w:type="dxa"/>
            <w:vMerge w:val="continue"/>
            <w:noWrap w:val="0"/>
            <w:vAlign w:val="center"/>
          </w:tcPr>
          <w:p>
            <w:pPr>
              <w:bidi w:val="0"/>
              <w:jc w:val="center"/>
              <w:rPr>
                <w:rFonts w:hint="eastAsia"/>
                <w:highlight w:val="none"/>
              </w:rPr>
            </w:pPr>
          </w:p>
        </w:tc>
        <w:tc>
          <w:tcPr>
            <w:tcW w:w="2610" w:type="dxa"/>
            <w:noWrap w:val="0"/>
            <w:vAlign w:val="center"/>
          </w:tcPr>
          <w:p>
            <w:pPr>
              <w:bidi w:val="0"/>
              <w:jc w:val="center"/>
              <w:rPr>
                <w:rFonts w:hint="eastAsia"/>
                <w:highlight w:val="none"/>
              </w:rPr>
            </w:pPr>
            <w:r>
              <w:rPr>
                <w:highlight w:val="none"/>
              </w:rPr>
              <w:t>浏览级数据（低模）</w:t>
            </w:r>
          </w:p>
        </w:tc>
        <w:tc>
          <w:tcPr>
            <w:tcW w:w="4332" w:type="dxa"/>
            <w:noWrap w:val="0"/>
            <w:vAlign w:val="center"/>
          </w:tcPr>
          <w:p>
            <w:pPr>
              <w:bidi w:val="0"/>
              <w:jc w:val="both"/>
              <w:rPr>
                <w:rFonts w:hint="eastAsia" w:eastAsia="仿宋" w:cs="Times New Roman"/>
                <w:highlight w:val="none"/>
                <w:lang w:eastAsia="zh-CN"/>
              </w:rPr>
            </w:pPr>
            <w:r>
              <w:rPr>
                <w:rFonts w:hint="eastAsia" w:cs="Times New Roman"/>
                <w:highlight w:val="none"/>
                <w:lang w:val="en-US" w:eastAsia="zh-CN"/>
              </w:rPr>
              <w:t>1、</w:t>
            </w:r>
            <w:r>
              <w:rPr>
                <w:rFonts w:hint="eastAsia" w:cs="Times New Roman"/>
                <w:highlight w:val="none"/>
              </w:rPr>
              <w:t>支持移动端和线下展览</w:t>
            </w:r>
            <w:r>
              <w:rPr>
                <w:rFonts w:hint="eastAsia" w:cs="Times New Roman"/>
                <w:highlight w:val="none"/>
                <w:lang w:eastAsia="zh-CN"/>
              </w:rPr>
              <w:t>；</w:t>
            </w:r>
          </w:p>
          <w:p>
            <w:pPr>
              <w:bidi w:val="0"/>
              <w:jc w:val="both"/>
              <w:rPr>
                <w:rFonts w:hint="eastAsia" w:cs="Times New Roman"/>
                <w:highlight w:val="none"/>
              </w:rPr>
            </w:pPr>
            <w:r>
              <w:rPr>
                <w:rFonts w:hint="eastAsia" w:cs="Times New Roman"/>
                <w:highlight w:val="none"/>
                <w:lang w:val="en-US" w:eastAsia="zh-CN"/>
              </w:rPr>
              <w:t>2、</w:t>
            </w:r>
            <w:r>
              <w:rPr>
                <w:rFonts w:hint="eastAsia" w:cs="Times New Roman"/>
                <w:highlight w:val="none"/>
              </w:rPr>
              <w:t>模型面数≤10万面；</w:t>
            </w:r>
          </w:p>
          <w:p>
            <w:pPr>
              <w:bidi w:val="0"/>
              <w:jc w:val="both"/>
              <w:rPr>
                <w:rFonts w:hint="eastAsia" w:cs="Times New Roman"/>
                <w:highlight w:val="none"/>
              </w:rPr>
            </w:pPr>
            <w:r>
              <w:rPr>
                <w:rFonts w:hint="eastAsia" w:cs="Times New Roman"/>
                <w:highlight w:val="none"/>
                <w:lang w:val="en-US" w:eastAsia="zh-CN"/>
              </w:rPr>
              <w:t>3、</w:t>
            </w:r>
            <w:r>
              <w:rPr>
                <w:rFonts w:hint="eastAsia" w:cs="Times New Roman"/>
                <w:highlight w:val="none"/>
              </w:rPr>
              <w:t>纹理贴图≤8k；</w:t>
            </w:r>
          </w:p>
          <w:p>
            <w:pPr>
              <w:bidi w:val="0"/>
              <w:jc w:val="both"/>
              <w:rPr>
                <w:rFonts w:hint="eastAsia" w:cs="Times New Roman"/>
                <w:highlight w:val="none"/>
              </w:rPr>
            </w:pPr>
            <w:r>
              <w:rPr>
                <w:rFonts w:hint="eastAsia" w:cs="Times New Roman"/>
                <w:highlight w:val="none"/>
                <w:lang w:val="en-US" w:eastAsia="zh-CN"/>
              </w:rPr>
              <w:t>4、</w:t>
            </w:r>
            <w:r>
              <w:rPr>
                <w:rFonts w:hint="eastAsia" w:cs="Times New Roman"/>
                <w:highlight w:val="none"/>
              </w:rPr>
              <w:t>单个文物的数据大小在5-10MB左右。</w:t>
            </w:r>
          </w:p>
        </w:tc>
      </w:tr>
    </w:tbl>
    <w:p>
      <w:pPr>
        <w:pStyle w:val="9"/>
        <w:bidi w:val="0"/>
        <w:rPr>
          <w:rFonts w:hint="eastAsia"/>
          <w:lang w:val="en-US" w:eastAsia="zh-CN"/>
        </w:rPr>
      </w:pPr>
      <w:r>
        <w:rPr>
          <w:rFonts w:hint="eastAsia"/>
          <w:lang w:val="en-US" w:eastAsia="zh-CN"/>
        </w:rPr>
        <w:t>文物二维数据采集制作</w:t>
      </w: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bidi w:val="0"/>
              <w:jc w:val="center"/>
              <w:rPr>
                <w:rFonts w:hint="default"/>
                <w:b/>
                <w:bCs/>
                <w:lang w:val="en-US" w:eastAsia="zh-CN"/>
              </w:rPr>
            </w:pPr>
            <w:r>
              <w:rPr>
                <w:rFonts w:hint="eastAsia"/>
                <w:b/>
                <w:bCs/>
                <w:lang w:val="en-US" w:eastAsia="zh-CN"/>
              </w:rPr>
              <w:t>工作内容</w:t>
            </w:r>
          </w:p>
        </w:tc>
        <w:tc>
          <w:tcPr>
            <w:tcW w:w="5680" w:type="dxa"/>
            <w:noWrap w:val="0"/>
            <w:vAlign w:val="center"/>
          </w:tcPr>
          <w:p>
            <w:pPr>
              <w:bidi w:val="0"/>
              <w:jc w:val="center"/>
              <w:rPr>
                <w:rFonts w:hint="eastAsia"/>
                <w:b/>
                <w:bCs/>
                <w:lang w:val="en-US" w:eastAsia="zh-CN"/>
              </w:rPr>
            </w:pPr>
            <w:r>
              <w:rPr>
                <w:rFonts w:hint="eastAsia"/>
                <w:b/>
                <w:bCs/>
                <w:lang w:val="en-US" w:eastAsia="zh-CN"/>
              </w:rPr>
              <w:t>精度指标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bidi w:val="0"/>
              <w:jc w:val="center"/>
              <w:rPr>
                <w:rFonts w:hint="eastAsia"/>
                <w:lang w:val="en-US" w:eastAsia="zh-CN"/>
              </w:rPr>
            </w:pPr>
            <w:r>
              <w:rPr>
                <w:rFonts w:hint="eastAsia"/>
                <w:lang w:val="en-US" w:eastAsia="en-US"/>
              </w:rPr>
              <w:t>单张纹理像素</w:t>
            </w:r>
          </w:p>
        </w:tc>
        <w:tc>
          <w:tcPr>
            <w:tcW w:w="5680" w:type="dxa"/>
            <w:noWrap w:val="0"/>
            <w:vAlign w:val="center"/>
          </w:tcPr>
          <w:p>
            <w:pPr>
              <w:bidi w:val="0"/>
              <w:jc w:val="center"/>
              <w:rPr>
                <w:rFonts w:hint="eastAsia"/>
                <w:lang w:val="en-US" w:eastAsia="zh-CN"/>
              </w:rPr>
            </w:pPr>
            <w:r>
              <w:rPr>
                <w:rFonts w:hint="eastAsia"/>
                <w:lang w:val="en-US" w:eastAsia="en-US"/>
              </w:rPr>
              <w:t>≥</w:t>
            </w:r>
            <w:r>
              <w:rPr>
                <w:rFonts w:hint="eastAsia"/>
                <w:lang w:val="en-US" w:eastAsia="zh-CN"/>
              </w:rPr>
              <w:t>40</w:t>
            </w:r>
            <w:r>
              <w:rPr>
                <w:rFonts w:hint="eastAsia"/>
                <w:lang w:val="en-US" w:eastAsia="en-US"/>
              </w:rPr>
              <w:t>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bidi w:val="0"/>
              <w:jc w:val="center"/>
              <w:rPr>
                <w:rFonts w:hint="eastAsia"/>
                <w:lang w:val="en-US" w:eastAsia="zh-CN"/>
              </w:rPr>
            </w:pPr>
            <w:r>
              <w:rPr>
                <w:rFonts w:hint="eastAsia"/>
                <w:lang w:val="en-US" w:eastAsia="zh-CN"/>
              </w:rPr>
              <w:t>图片精度</w:t>
            </w:r>
          </w:p>
        </w:tc>
        <w:tc>
          <w:tcPr>
            <w:tcW w:w="5680" w:type="dxa"/>
            <w:noWrap w:val="0"/>
            <w:vAlign w:val="center"/>
          </w:tcPr>
          <w:p>
            <w:pPr>
              <w:bidi w:val="0"/>
              <w:jc w:val="center"/>
              <w:rPr>
                <w:rFonts w:hint="eastAsia"/>
                <w:lang w:val="en-US" w:eastAsia="zh-CN"/>
              </w:rPr>
            </w:pPr>
            <w:r>
              <w:rPr>
                <w:rFonts w:hint="eastAsia"/>
                <w:lang w:val="en-US" w:eastAsia="zh-CN"/>
              </w:rPr>
              <w:t>≥350dpi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bidi w:val="0"/>
              <w:jc w:val="center"/>
              <w:rPr>
                <w:rFonts w:hint="eastAsia"/>
                <w:lang w:val="en-US" w:eastAsia="zh-CN"/>
              </w:rPr>
            </w:pPr>
            <w:r>
              <w:rPr>
                <w:rFonts w:hint="eastAsia"/>
                <w:lang w:val="en-US" w:eastAsia="en-US"/>
              </w:rPr>
              <w:t>纹理数据重叠度</w:t>
            </w:r>
          </w:p>
        </w:tc>
        <w:tc>
          <w:tcPr>
            <w:tcW w:w="5680" w:type="dxa"/>
            <w:noWrap w:val="0"/>
            <w:vAlign w:val="center"/>
          </w:tcPr>
          <w:p>
            <w:pPr>
              <w:bidi w:val="0"/>
              <w:jc w:val="center"/>
              <w:rPr>
                <w:rFonts w:hint="eastAsia"/>
                <w:lang w:val="en-US" w:eastAsia="zh-CN"/>
              </w:rPr>
            </w:pPr>
            <w:r>
              <w:rPr>
                <w:rFonts w:hint="eastAsia"/>
                <w:lang w:val="en-US" w:eastAsia="zh-CN"/>
              </w:rPr>
              <w:t>≥4</w:t>
            </w:r>
            <w:r>
              <w:rPr>
                <w:rFonts w:hint="eastAsia"/>
                <w:lang w:val="en-US"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bidi w:val="0"/>
              <w:jc w:val="center"/>
              <w:rPr>
                <w:rFonts w:hint="default"/>
                <w:lang w:val="en-US" w:eastAsia="zh-CN"/>
              </w:rPr>
            </w:pPr>
            <w:r>
              <w:rPr>
                <w:rFonts w:hint="eastAsia"/>
                <w:lang w:val="en-US" w:eastAsia="zh-CN"/>
              </w:rPr>
              <w:t>纹理映射误差</w:t>
            </w:r>
          </w:p>
        </w:tc>
        <w:tc>
          <w:tcPr>
            <w:tcW w:w="5680" w:type="dxa"/>
            <w:noWrap w:val="0"/>
            <w:vAlign w:val="center"/>
          </w:tcPr>
          <w:p>
            <w:pPr>
              <w:bidi w:val="0"/>
              <w:jc w:val="center"/>
              <w:rPr>
                <w:rFonts w:hint="default"/>
                <w:lang w:val="en-US" w:eastAsia="zh-CN"/>
              </w:rPr>
            </w:pPr>
            <w:r>
              <w:rPr>
                <w:rFonts w:hint="eastAsia"/>
                <w:lang w:val="en-US" w:eastAsia="zh-CN"/>
              </w:rPr>
              <w:t>4个像素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bidi w:val="0"/>
              <w:jc w:val="center"/>
              <w:rPr>
                <w:rFonts w:hint="default"/>
                <w:lang w:val="en-US" w:eastAsia="zh-CN"/>
              </w:rPr>
            </w:pPr>
            <w:r>
              <w:rPr>
                <w:rFonts w:hint="eastAsia"/>
                <w:lang w:val="en-US" w:eastAsia="zh-CN"/>
              </w:rPr>
              <w:t>图像污点</w:t>
            </w:r>
          </w:p>
        </w:tc>
        <w:tc>
          <w:tcPr>
            <w:tcW w:w="5680" w:type="dxa"/>
            <w:noWrap w:val="0"/>
            <w:vAlign w:val="center"/>
          </w:tcPr>
          <w:p>
            <w:pPr>
              <w:bidi w:val="0"/>
              <w:jc w:val="center"/>
              <w:rPr>
                <w:rFonts w:hint="eastAsia"/>
                <w:lang w:val="en-US" w:eastAsia="zh-CN"/>
              </w:rPr>
            </w:pPr>
            <w:r>
              <w:rPr>
                <w:rFonts w:hint="eastAsia"/>
                <w:lang w:val="en-US" w:eastAsia="zh-CN"/>
              </w:rPr>
              <w:t>小于0.01%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bidi w:val="0"/>
              <w:jc w:val="center"/>
              <w:rPr>
                <w:rFonts w:hint="default"/>
                <w:lang w:val="en-US" w:eastAsia="zh-CN"/>
              </w:rPr>
            </w:pPr>
            <w:r>
              <w:rPr>
                <w:rFonts w:hint="eastAsia"/>
                <w:lang w:val="en-US" w:eastAsia="zh-CN"/>
              </w:rPr>
              <w:t>CIEDE2000色差</w:t>
            </w:r>
          </w:p>
        </w:tc>
        <w:tc>
          <w:tcPr>
            <w:tcW w:w="5680" w:type="dxa"/>
            <w:noWrap w:val="0"/>
            <w:vAlign w:val="center"/>
          </w:tcPr>
          <w:p>
            <w:pPr>
              <w:bidi w:val="0"/>
              <w:jc w:val="center"/>
              <w:rPr>
                <w:rFonts w:hint="eastAsia"/>
                <w:lang w:val="en-US" w:eastAsia="zh-CN"/>
              </w:rPr>
            </w:pPr>
            <w:r>
              <w:rPr>
                <w:rFonts w:hint="eastAsia"/>
                <w:lang w:val="en-US" w:eastAsia="zh-CN"/>
              </w:rPr>
              <w:t>小于5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center"/>
          </w:tcPr>
          <w:p>
            <w:pPr>
              <w:bidi w:val="0"/>
              <w:jc w:val="center"/>
              <w:rPr>
                <w:rFonts w:hint="eastAsia"/>
                <w:lang w:val="en-US" w:eastAsia="zh-CN"/>
              </w:rPr>
            </w:pPr>
            <w:r>
              <w:rPr>
                <w:rFonts w:hint="eastAsia"/>
              </w:rPr>
              <w:t>图片格式</w:t>
            </w:r>
          </w:p>
        </w:tc>
        <w:tc>
          <w:tcPr>
            <w:tcW w:w="5680" w:type="dxa"/>
            <w:noWrap w:val="0"/>
            <w:vAlign w:val="center"/>
          </w:tcPr>
          <w:p>
            <w:pPr>
              <w:bidi w:val="0"/>
              <w:jc w:val="center"/>
              <w:rPr>
                <w:rFonts w:hint="eastAsia"/>
                <w:lang w:val="en-US" w:eastAsia="zh-CN"/>
              </w:rPr>
            </w:pPr>
            <w:r>
              <w:rPr>
                <w:rFonts w:hint="eastAsia"/>
              </w:rPr>
              <w:t>PSB（大型文件格式）、TIFF、JPG</w:t>
            </w:r>
          </w:p>
        </w:tc>
      </w:tr>
    </w:tbl>
    <w:p>
      <w:pPr>
        <w:pStyle w:val="8"/>
        <w:tabs>
          <w:tab w:val="left" w:pos="0"/>
        </w:tabs>
        <w:bidi w:val="0"/>
        <w:rPr>
          <w:rFonts w:hint="eastAsia"/>
          <w:lang w:val="en-US" w:eastAsia="zh-CN"/>
        </w:rPr>
      </w:pPr>
      <w:bookmarkStart w:id="206" w:name="_Toc173858807"/>
      <w:bookmarkStart w:id="207" w:name="_Toc23324"/>
      <w:r>
        <w:rPr>
          <w:rFonts w:hint="eastAsia"/>
        </w:rPr>
        <w:t>昌吉州博物馆数字化服务平台建设</w:t>
      </w:r>
      <w:bookmarkEnd w:id="206"/>
      <w:bookmarkEnd w:id="207"/>
    </w:p>
    <w:p>
      <w:pPr>
        <w:pStyle w:val="9"/>
        <w:bidi w:val="0"/>
        <w:rPr>
          <w:rFonts w:hint="eastAsia"/>
          <w:lang w:val="en-US" w:eastAsia="zh-CN"/>
        </w:rPr>
      </w:pPr>
      <w:r>
        <w:rPr>
          <w:rFonts w:hint="eastAsia"/>
          <w:lang w:val="en-US" w:eastAsia="zh-CN"/>
        </w:rPr>
        <w:t>自助导览服务驿站建设</w:t>
      </w:r>
    </w:p>
    <w:p>
      <w:pPr>
        <w:pStyle w:val="11"/>
        <w:bidi w:val="0"/>
        <w:rPr>
          <w:rFonts w:hint="eastAsia" w:cs="Times New Roman"/>
        </w:rPr>
      </w:pPr>
      <w:r>
        <w:rPr>
          <w:rFonts w:hint="eastAsia" w:cs="Times New Roman"/>
        </w:rPr>
        <w:t>建设</w:t>
      </w:r>
      <w:r>
        <w:rPr>
          <w:rFonts w:cs="Times New Roman"/>
        </w:rPr>
        <w:t>昌吉州博物馆语音自助导览系统，</w:t>
      </w:r>
      <w:r>
        <w:rPr>
          <w:rFonts w:hint="eastAsia" w:cs="Times New Roman"/>
        </w:rPr>
        <w:t>包含自助导览终端柜（60位）、智能导览机、</w:t>
      </w:r>
      <w:r>
        <w:rPr>
          <w:rFonts w:hint="eastAsia" w:cs="Times New Roman"/>
          <w:lang w:val="en-US" w:eastAsia="zh-CN"/>
        </w:rPr>
        <w:t>耳机</w:t>
      </w:r>
      <w:r>
        <w:rPr>
          <w:rFonts w:hint="eastAsia" w:cs="Times New Roman"/>
        </w:rPr>
        <w:t>等，</w:t>
      </w:r>
      <w:r>
        <w:rPr>
          <w:rFonts w:cs="Times New Roman"/>
        </w:rPr>
        <w:t>以便携的随身多媒体展示参观辅助设备，为游客提供博物馆及展品</w:t>
      </w:r>
      <w:r>
        <w:rPr>
          <w:rFonts w:hint="eastAsia" w:cs="Times New Roman"/>
        </w:rPr>
        <w:t>参观全流程自助</w:t>
      </w:r>
      <w:r>
        <w:rPr>
          <w:rFonts w:cs="Times New Roman"/>
        </w:rPr>
        <w:t>服务，与馆内人工讲解员相互补充，</w:t>
      </w:r>
      <w:r>
        <w:rPr>
          <w:rFonts w:hint="eastAsia" w:cs="Times New Roman"/>
          <w:lang w:val="en-US" w:eastAsia="zh-CN"/>
        </w:rPr>
        <w:t>给</w:t>
      </w:r>
      <w:r>
        <w:rPr>
          <w:rFonts w:cs="Times New Roman"/>
        </w:rPr>
        <w:t>观众</w:t>
      </w:r>
      <w:r>
        <w:rPr>
          <w:rFonts w:hint="eastAsia" w:cs="Times New Roman"/>
          <w:lang w:val="en-US" w:eastAsia="zh-CN"/>
        </w:rPr>
        <w:t>提供</w:t>
      </w:r>
      <w:r>
        <w:rPr>
          <w:rFonts w:cs="Times New Roman"/>
        </w:rPr>
        <w:t>更高质量</w:t>
      </w:r>
      <w:r>
        <w:rPr>
          <w:rFonts w:hint="eastAsia" w:cs="Times New Roman"/>
          <w:lang w:val="en-US" w:eastAsia="zh-CN"/>
        </w:rPr>
        <w:t>观感</w:t>
      </w:r>
      <w:r>
        <w:rPr>
          <w:rFonts w:hint="eastAsia" w:cs="Times New Roman"/>
        </w:rPr>
        <w:t>。</w:t>
      </w:r>
    </w:p>
    <w:tbl>
      <w:tblPr>
        <w:tblStyle w:val="24"/>
        <w:tblW w:w="8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48"/>
        <w:gridCol w:w="720"/>
        <w:gridCol w:w="720"/>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34" w:type="dxa"/>
            <w:noWrap w:val="0"/>
            <w:vAlign w:val="center"/>
          </w:tcPr>
          <w:p>
            <w:pPr>
              <w:bidi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248" w:type="dxa"/>
            <w:noWrap w:val="0"/>
            <w:vAlign w:val="center"/>
          </w:tcPr>
          <w:p>
            <w:pPr>
              <w:bidi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设备名称</w:t>
            </w:r>
          </w:p>
        </w:tc>
        <w:tc>
          <w:tcPr>
            <w:tcW w:w="720" w:type="dxa"/>
            <w:noWrap w:val="0"/>
            <w:vAlign w:val="center"/>
          </w:tcPr>
          <w:p>
            <w:pPr>
              <w:bidi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c>
          <w:tcPr>
            <w:tcW w:w="720" w:type="dxa"/>
            <w:noWrap w:val="0"/>
            <w:vAlign w:val="center"/>
          </w:tcPr>
          <w:p>
            <w:pPr>
              <w:bidi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5075" w:type="dxa"/>
            <w:noWrap w:val="0"/>
            <w:vAlign w:val="center"/>
          </w:tcPr>
          <w:p>
            <w:pPr>
              <w:bidi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34"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48"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自助导览终端柜</w:t>
            </w:r>
          </w:p>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（60位）</w:t>
            </w:r>
          </w:p>
        </w:tc>
        <w:tc>
          <w:tcPr>
            <w:tcW w:w="720"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20"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5075" w:type="dxa"/>
            <w:noWrap w:val="0"/>
            <w:vAlign w:val="center"/>
          </w:tcPr>
          <w:p>
            <w:pPr>
              <w:keepNext w:val="0"/>
              <w:keepLines w:val="0"/>
              <w:pageBreakBefore w:val="0"/>
              <w:widowControl w:val="0"/>
              <w:numPr>
                <w:ilvl w:val="0"/>
                <w:numId w:val="2"/>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保障箱体防火、防震、防盗、防撬等性能；</w:t>
            </w:r>
          </w:p>
          <w:p>
            <w:pPr>
              <w:keepNext w:val="0"/>
              <w:keepLines w:val="0"/>
              <w:pageBreakBefore w:val="0"/>
              <w:widowControl w:val="0"/>
              <w:numPr>
                <w:ilvl w:val="0"/>
                <w:numId w:val="2"/>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外观坚固、屏幕等均可耐受一定冲击破坏；</w:t>
            </w:r>
          </w:p>
          <w:p>
            <w:pPr>
              <w:keepNext w:val="0"/>
              <w:keepLines w:val="0"/>
              <w:pageBreakBefore w:val="0"/>
              <w:widowControl w:val="0"/>
              <w:numPr>
                <w:ilvl w:val="0"/>
                <w:numId w:val="2"/>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支持现场Wi-Fi无线网或有线网接入，实现与自助导览综合监控平台的数据交互；</w:t>
            </w:r>
          </w:p>
          <w:p>
            <w:pPr>
              <w:keepNext w:val="0"/>
              <w:keepLines w:val="0"/>
              <w:pageBreakBefore w:val="0"/>
              <w:widowControl w:val="0"/>
              <w:numPr>
                <w:ilvl w:val="0"/>
                <w:numId w:val="2"/>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自动检测智能导览机的工作状态，过流、满载保护；</w:t>
            </w:r>
          </w:p>
          <w:p>
            <w:pPr>
              <w:keepNext w:val="0"/>
              <w:keepLines w:val="0"/>
              <w:pageBreakBefore w:val="0"/>
              <w:widowControl w:val="0"/>
              <w:numPr>
                <w:ilvl w:val="0"/>
                <w:numId w:val="2"/>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观众可利用显示屏进行自助租赁及归还导览终端设备；</w:t>
            </w:r>
          </w:p>
          <w:p>
            <w:pPr>
              <w:keepNext w:val="0"/>
              <w:keepLines w:val="0"/>
              <w:pageBreakBefore w:val="0"/>
              <w:widowControl w:val="0"/>
              <w:numPr>
                <w:ilvl w:val="0"/>
                <w:numId w:val="2"/>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支持同时存放不少于60台导览移动终端；</w:t>
            </w:r>
          </w:p>
          <w:p>
            <w:pPr>
              <w:keepNext w:val="0"/>
              <w:keepLines w:val="0"/>
              <w:pageBreakBefore w:val="0"/>
              <w:widowControl w:val="0"/>
              <w:numPr>
                <w:ilvl w:val="0"/>
                <w:numId w:val="2"/>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采用全闭式仓门，仓门打前消毒灯自动关闭，仓门关闭后消毒灯自动开启，保证游客安全；</w:t>
            </w:r>
          </w:p>
          <w:p>
            <w:pPr>
              <w:keepNext w:val="0"/>
              <w:keepLines w:val="0"/>
              <w:pageBreakBefore w:val="0"/>
              <w:widowControl w:val="0"/>
              <w:numPr>
                <w:ilvl w:val="0"/>
                <w:numId w:val="2"/>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支持游客自助租借、归还导览设备，无须工作人员值守；</w:t>
            </w:r>
          </w:p>
          <w:p>
            <w:pPr>
              <w:keepNext w:val="0"/>
              <w:keepLines w:val="0"/>
              <w:pageBreakBefore w:val="0"/>
              <w:widowControl w:val="0"/>
              <w:numPr>
                <w:ilvl w:val="0"/>
                <w:numId w:val="2"/>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支持线上押金、租金支付及结算，押金支付成功后，小仓门自动弹开，游客取走租借的导览机，操作流程简便快捷；</w:t>
            </w:r>
          </w:p>
          <w:p>
            <w:pPr>
              <w:keepNext w:val="0"/>
              <w:keepLines w:val="0"/>
              <w:pageBreakBefore w:val="0"/>
              <w:widowControl w:val="0"/>
              <w:numPr>
                <w:ilvl w:val="0"/>
                <w:numId w:val="2"/>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自助导览租赁柜可读取智能导览机的工作状态；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34"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8"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智能导览机</w:t>
            </w:r>
          </w:p>
        </w:tc>
        <w:tc>
          <w:tcPr>
            <w:tcW w:w="720"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720"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5075" w:type="dxa"/>
            <w:noWrap w:val="0"/>
            <w:vAlign w:val="center"/>
          </w:tcPr>
          <w:p>
            <w:pPr>
              <w:keepNext w:val="0"/>
              <w:keepLines w:val="0"/>
              <w:pageBreakBefore w:val="0"/>
              <w:widowControl w:val="0"/>
              <w:numPr>
                <w:ilvl w:val="0"/>
                <w:numId w:val="3"/>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自助导览终端柜配套同品牌智能导览机。</w:t>
            </w:r>
          </w:p>
          <w:p>
            <w:pPr>
              <w:keepNext w:val="0"/>
              <w:keepLines w:val="0"/>
              <w:pageBreakBefore w:val="0"/>
              <w:widowControl w:val="0"/>
              <w:numPr>
                <w:ilvl w:val="0"/>
                <w:numId w:val="3"/>
              </w:numPr>
              <w:kinsoku/>
              <w:wordWrap w:val="0"/>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具有全自动播放功能，支持多样的讲解方式，如音频、视频等，即观众携带智能导览机进入展区，无须人工干预，导讲机到达指定位置自动播放对应文物导览词。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34"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48"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耳机</w:t>
            </w:r>
          </w:p>
        </w:tc>
        <w:tc>
          <w:tcPr>
            <w:tcW w:w="720"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20"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5075" w:type="dxa"/>
            <w:noWrap w:val="0"/>
            <w:vAlign w:val="center"/>
          </w:tcPr>
          <w:p>
            <w:p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200个有线立体耳机、海绵套等。</w:t>
            </w:r>
          </w:p>
        </w:tc>
      </w:tr>
    </w:tbl>
    <w:p>
      <w:pPr>
        <w:pStyle w:val="9"/>
        <w:bidi w:val="0"/>
        <w:rPr>
          <w:rFonts w:hint="eastAsia"/>
          <w:lang w:val="en-US" w:eastAsia="zh-CN"/>
        </w:rPr>
      </w:pPr>
      <w:r>
        <w:rPr>
          <w:rFonts w:hint="eastAsia"/>
          <w:lang w:val="en-US" w:eastAsia="zh-CN"/>
        </w:rPr>
        <w:t>昌吉州博物馆微信公众号及导览小程序升级</w:t>
      </w:r>
    </w:p>
    <w:p>
      <w:pPr>
        <w:ind w:firstLine="420" w:firstLineChars="200"/>
        <w:rPr>
          <w:rFonts w:hint="eastAsia"/>
          <w:lang w:val="en-US" w:eastAsia="zh-CN"/>
        </w:rPr>
      </w:pPr>
      <w:r>
        <w:rPr>
          <w:rFonts w:hint="eastAsia"/>
          <w:lang w:val="en-US" w:eastAsia="zh-CN"/>
        </w:rPr>
        <w:t>在现有720全景展厅漫游、文物图文模型展示、参观语音讲解推送的基础上，进行包括典藏文物三维解读“微展示”云平台、历史人物信息、不可移动文物信息、票务服务、客流统计、文博活动预约服务、讲解员管理、志愿者管理等微官网功能开发。通过功能升级将使博物馆为游客提供更为综合性互联网信息资源并提供有关信息服务，让游客在不断提升的微信公众号中找到自己喜欢的内容，更好地服务于游客，提高昌吉州博物馆吸引力。</w:t>
      </w: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69"/>
        <w:gridCol w:w="1047"/>
        <w:gridCol w:w="77"/>
        <w:gridCol w:w="4549"/>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noWrap w:val="0"/>
            <w:vAlign w:val="center"/>
          </w:tcPr>
          <w:p>
            <w:pPr>
              <w:bidi w:val="0"/>
              <w:jc w:val="center"/>
              <w:rPr>
                <w:rFonts w:hint="default"/>
                <w:sz w:val="24"/>
                <w:szCs w:val="24"/>
                <w:lang w:val="en-US" w:eastAsia="zh-CN"/>
              </w:rPr>
            </w:pPr>
            <w:r>
              <w:rPr>
                <w:rFonts w:hint="eastAsia"/>
                <w:sz w:val="24"/>
                <w:szCs w:val="24"/>
                <w:lang w:val="en-US" w:eastAsia="zh-CN"/>
              </w:rPr>
              <w:t>内容</w:t>
            </w:r>
          </w:p>
        </w:tc>
        <w:tc>
          <w:tcPr>
            <w:tcW w:w="6142" w:type="dxa"/>
            <w:gridSpan w:val="4"/>
            <w:noWrap w:val="0"/>
            <w:vAlign w:val="center"/>
          </w:tcPr>
          <w:p>
            <w:pPr>
              <w:bidi w:val="0"/>
              <w:jc w:val="center"/>
              <w:rPr>
                <w:rFonts w:hint="eastAsia"/>
                <w:sz w:val="24"/>
                <w:szCs w:val="24"/>
                <w:lang w:val="en-US" w:eastAsia="zh-CN"/>
              </w:rPr>
            </w:pPr>
            <w:r>
              <w:rPr>
                <w:rFonts w:hint="eastAsia"/>
                <w:sz w:val="24"/>
                <w:szCs w:val="24"/>
                <w:lang w:val="en-US" w:eastAsia="zh-CN"/>
              </w:rPr>
              <w:t>要求</w:t>
            </w:r>
          </w:p>
        </w:tc>
        <w:tc>
          <w:tcPr>
            <w:tcW w:w="847" w:type="dxa"/>
            <w:noWrap w:val="0"/>
            <w:vAlign w:val="center"/>
          </w:tcPr>
          <w:p>
            <w:pPr>
              <w:bidi w:val="0"/>
              <w:jc w:val="center"/>
              <w:rPr>
                <w:rFonts w:hint="eastAsia"/>
                <w:sz w:val="24"/>
                <w:szCs w:val="24"/>
                <w:lang w:val="en-US" w:eastAsia="zh-CN"/>
              </w:rPr>
            </w:pPr>
            <w:r>
              <w:rPr>
                <w:rFonts w:hint="eastAsia"/>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Merge w:val="restart"/>
            <w:noWrap w:val="0"/>
            <w:vAlign w:val="center"/>
          </w:tcPr>
          <w:p>
            <w:pPr>
              <w:bidi w:val="0"/>
              <w:jc w:val="center"/>
              <w:rPr>
                <w:rFonts w:hint="eastAsia"/>
                <w:sz w:val="24"/>
                <w:szCs w:val="24"/>
                <w:lang w:val="en-US" w:eastAsia="zh-CN"/>
              </w:rPr>
            </w:pPr>
            <w:r>
              <w:rPr>
                <w:rFonts w:hint="eastAsia"/>
                <w:sz w:val="24"/>
                <w:szCs w:val="24"/>
              </w:rPr>
              <w:t>功能升级及集成、测试</w:t>
            </w:r>
          </w:p>
        </w:tc>
        <w:tc>
          <w:tcPr>
            <w:tcW w:w="6142" w:type="dxa"/>
            <w:gridSpan w:val="4"/>
            <w:noWrap w:val="0"/>
            <w:vAlign w:val="center"/>
          </w:tcPr>
          <w:p>
            <w:pPr>
              <w:bidi w:val="0"/>
              <w:jc w:val="center"/>
              <w:rPr>
                <w:rFonts w:hint="eastAsia"/>
                <w:sz w:val="24"/>
                <w:szCs w:val="24"/>
                <w:lang w:val="en-US" w:eastAsia="zh-CN"/>
              </w:rPr>
            </w:pPr>
            <w:r>
              <w:rPr>
                <w:rFonts w:hint="eastAsia"/>
                <w:sz w:val="24"/>
                <w:szCs w:val="24"/>
              </w:rPr>
              <w:t>页面UI设计</w:t>
            </w:r>
          </w:p>
        </w:tc>
        <w:tc>
          <w:tcPr>
            <w:tcW w:w="847" w:type="dxa"/>
            <w:vMerge w:val="restart"/>
            <w:noWrap w:val="0"/>
            <w:vAlign w:val="center"/>
          </w:tcPr>
          <w:p>
            <w:pPr>
              <w:bidi w:val="0"/>
              <w:jc w:val="center"/>
              <w:rPr>
                <w:rFonts w:hint="default"/>
                <w:sz w:val="24"/>
                <w:szCs w:val="24"/>
                <w:lang w:val="en-US" w:eastAsia="zh-CN"/>
              </w:rPr>
            </w:pPr>
            <w:r>
              <w:rPr>
                <w:rFonts w:hint="eastAsia"/>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Merge w:val="continue"/>
            <w:noWrap w:val="0"/>
            <w:vAlign w:val="center"/>
          </w:tcPr>
          <w:p>
            <w:pPr>
              <w:bidi w:val="0"/>
              <w:jc w:val="center"/>
              <w:rPr>
                <w:rFonts w:hint="eastAsia"/>
                <w:sz w:val="24"/>
                <w:szCs w:val="24"/>
                <w:lang w:val="en-US" w:eastAsia="zh-CN"/>
              </w:rPr>
            </w:pPr>
          </w:p>
        </w:tc>
        <w:tc>
          <w:tcPr>
            <w:tcW w:w="469" w:type="dxa"/>
            <w:vMerge w:val="restart"/>
            <w:noWrap w:val="0"/>
            <w:vAlign w:val="center"/>
          </w:tcPr>
          <w:p>
            <w:pPr>
              <w:bidi w:val="0"/>
              <w:jc w:val="center"/>
              <w:rPr>
                <w:rFonts w:hint="eastAsia"/>
                <w:sz w:val="24"/>
                <w:szCs w:val="24"/>
                <w:lang w:val="en-US" w:eastAsia="zh-CN"/>
              </w:rPr>
            </w:pPr>
            <w:r>
              <w:rPr>
                <w:rFonts w:hint="eastAsia"/>
                <w:sz w:val="24"/>
                <w:szCs w:val="24"/>
              </w:rPr>
              <w:t>功能模块实现</w:t>
            </w:r>
          </w:p>
        </w:tc>
        <w:tc>
          <w:tcPr>
            <w:tcW w:w="1124" w:type="dxa"/>
            <w:gridSpan w:val="2"/>
            <w:noWrap w:val="0"/>
            <w:vAlign w:val="center"/>
          </w:tcPr>
          <w:p>
            <w:pPr>
              <w:bidi w:val="0"/>
              <w:jc w:val="center"/>
              <w:rPr>
                <w:rFonts w:hint="eastAsia"/>
                <w:sz w:val="24"/>
                <w:szCs w:val="24"/>
                <w:lang w:val="en-US" w:eastAsia="zh-CN"/>
              </w:rPr>
            </w:pPr>
            <w:r>
              <w:rPr>
                <w:rFonts w:hint="eastAsia"/>
                <w:sz w:val="24"/>
                <w:szCs w:val="24"/>
              </w:rPr>
              <w:t>历史人物信息</w:t>
            </w:r>
          </w:p>
        </w:tc>
        <w:tc>
          <w:tcPr>
            <w:tcW w:w="4549" w:type="dxa"/>
            <w:noWrap w:val="0"/>
            <w:vAlign w:val="center"/>
          </w:tcPr>
          <w:p>
            <w:pPr>
              <w:bidi w:val="0"/>
              <w:jc w:val="both"/>
              <w:rPr>
                <w:rFonts w:hint="eastAsia"/>
                <w:sz w:val="24"/>
                <w:szCs w:val="24"/>
                <w:lang w:val="en-US" w:eastAsia="zh-CN"/>
              </w:rPr>
            </w:pPr>
            <w:r>
              <w:rPr>
                <w:rFonts w:hint="eastAsia"/>
                <w:sz w:val="24"/>
                <w:szCs w:val="24"/>
                <w:lang w:val="en-US" w:eastAsia="zh-CN"/>
              </w:rPr>
              <w:t>展示昌吉历史人物的相关内容，介绍与昌吉相关的历史人物，通过文字等信息展示记载人物背后的故事。</w:t>
            </w:r>
          </w:p>
        </w:tc>
        <w:tc>
          <w:tcPr>
            <w:tcW w:w="847" w:type="dxa"/>
            <w:vMerge w:val="continue"/>
            <w:noWrap w:val="0"/>
            <w:vAlign w:val="center"/>
          </w:tcPr>
          <w:p>
            <w:pPr>
              <w:bidi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Merge w:val="continue"/>
            <w:noWrap w:val="0"/>
            <w:vAlign w:val="center"/>
          </w:tcPr>
          <w:p>
            <w:pPr>
              <w:bidi w:val="0"/>
              <w:jc w:val="center"/>
              <w:rPr>
                <w:rFonts w:hint="eastAsia"/>
                <w:sz w:val="24"/>
                <w:szCs w:val="24"/>
                <w:lang w:val="en-US" w:eastAsia="zh-CN"/>
              </w:rPr>
            </w:pPr>
          </w:p>
        </w:tc>
        <w:tc>
          <w:tcPr>
            <w:tcW w:w="469" w:type="dxa"/>
            <w:vMerge w:val="continue"/>
            <w:noWrap w:val="0"/>
            <w:vAlign w:val="center"/>
          </w:tcPr>
          <w:p>
            <w:pPr>
              <w:bidi w:val="0"/>
              <w:jc w:val="center"/>
              <w:rPr>
                <w:rFonts w:hint="eastAsia"/>
                <w:sz w:val="24"/>
                <w:szCs w:val="24"/>
                <w:lang w:val="en-US" w:eastAsia="zh-CN"/>
              </w:rPr>
            </w:pPr>
          </w:p>
        </w:tc>
        <w:tc>
          <w:tcPr>
            <w:tcW w:w="1124" w:type="dxa"/>
            <w:gridSpan w:val="2"/>
            <w:noWrap w:val="0"/>
            <w:vAlign w:val="center"/>
          </w:tcPr>
          <w:p>
            <w:pPr>
              <w:bidi w:val="0"/>
              <w:jc w:val="center"/>
              <w:rPr>
                <w:rFonts w:hint="eastAsia"/>
                <w:sz w:val="24"/>
                <w:szCs w:val="24"/>
                <w:lang w:val="en-US" w:eastAsia="zh-CN"/>
              </w:rPr>
            </w:pPr>
            <w:r>
              <w:rPr>
                <w:rFonts w:hint="eastAsia"/>
                <w:sz w:val="24"/>
                <w:szCs w:val="24"/>
              </w:rPr>
              <w:t>不可移动文物信息</w:t>
            </w:r>
          </w:p>
        </w:tc>
        <w:tc>
          <w:tcPr>
            <w:tcW w:w="4549" w:type="dxa"/>
            <w:noWrap w:val="0"/>
            <w:vAlign w:val="center"/>
          </w:tcPr>
          <w:p>
            <w:pPr>
              <w:bidi w:val="0"/>
              <w:jc w:val="both"/>
              <w:rPr>
                <w:rFonts w:hint="eastAsia"/>
                <w:sz w:val="24"/>
                <w:szCs w:val="24"/>
                <w:lang w:val="en-US" w:eastAsia="zh-CN"/>
              </w:rPr>
            </w:pPr>
            <w:r>
              <w:rPr>
                <w:rFonts w:hint="eastAsia"/>
                <w:sz w:val="24"/>
                <w:szCs w:val="24"/>
                <w:lang w:val="en-US" w:eastAsia="zh-CN"/>
              </w:rPr>
              <w:t>展示与昌吉州博物馆周边的文化遗产信息。</w:t>
            </w:r>
          </w:p>
        </w:tc>
        <w:tc>
          <w:tcPr>
            <w:tcW w:w="847" w:type="dxa"/>
            <w:vMerge w:val="continue"/>
            <w:noWrap w:val="0"/>
            <w:vAlign w:val="center"/>
          </w:tcPr>
          <w:p>
            <w:pPr>
              <w:bidi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Merge w:val="continue"/>
            <w:noWrap w:val="0"/>
            <w:vAlign w:val="center"/>
          </w:tcPr>
          <w:p>
            <w:pPr>
              <w:bidi w:val="0"/>
              <w:jc w:val="center"/>
              <w:rPr>
                <w:rFonts w:hint="eastAsia"/>
                <w:sz w:val="24"/>
                <w:szCs w:val="24"/>
                <w:lang w:val="en-US" w:eastAsia="zh-CN"/>
              </w:rPr>
            </w:pPr>
          </w:p>
        </w:tc>
        <w:tc>
          <w:tcPr>
            <w:tcW w:w="469" w:type="dxa"/>
            <w:vMerge w:val="continue"/>
            <w:noWrap w:val="0"/>
            <w:vAlign w:val="center"/>
          </w:tcPr>
          <w:p>
            <w:pPr>
              <w:bidi w:val="0"/>
              <w:jc w:val="center"/>
              <w:rPr>
                <w:rFonts w:hint="eastAsia"/>
                <w:sz w:val="24"/>
                <w:szCs w:val="24"/>
                <w:lang w:val="en-US" w:eastAsia="zh-CN"/>
              </w:rPr>
            </w:pPr>
          </w:p>
        </w:tc>
        <w:tc>
          <w:tcPr>
            <w:tcW w:w="1124" w:type="dxa"/>
            <w:gridSpan w:val="2"/>
            <w:noWrap w:val="0"/>
            <w:vAlign w:val="center"/>
          </w:tcPr>
          <w:p>
            <w:pPr>
              <w:bidi w:val="0"/>
              <w:jc w:val="center"/>
              <w:rPr>
                <w:rFonts w:hint="eastAsia"/>
                <w:sz w:val="24"/>
                <w:szCs w:val="24"/>
                <w:lang w:val="en-US" w:eastAsia="zh-CN"/>
              </w:rPr>
            </w:pPr>
            <w:r>
              <w:rPr>
                <w:rFonts w:hint="eastAsia"/>
                <w:sz w:val="24"/>
                <w:szCs w:val="24"/>
              </w:rPr>
              <w:t>参观票务服务</w:t>
            </w:r>
          </w:p>
        </w:tc>
        <w:tc>
          <w:tcPr>
            <w:tcW w:w="4549" w:type="dxa"/>
            <w:noWrap w:val="0"/>
            <w:vAlign w:val="center"/>
          </w:tcPr>
          <w:p>
            <w:pPr>
              <w:bidi w:val="0"/>
              <w:jc w:val="both"/>
              <w:rPr>
                <w:rFonts w:hint="eastAsia"/>
                <w:sz w:val="24"/>
                <w:szCs w:val="24"/>
                <w:lang w:val="en-US" w:eastAsia="zh-CN"/>
              </w:rPr>
            </w:pPr>
            <w:r>
              <w:rPr>
                <w:rFonts w:hint="eastAsia"/>
                <w:sz w:val="24"/>
                <w:szCs w:val="24"/>
                <w:lang w:val="en-US" w:eastAsia="zh-CN"/>
              </w:rPr>
              <w:t>设立在线票务预约功能，支持游客提前预订门票、选择访问时间段。提供电子票务，通过二维码或数字凭证实现快速入场。</w:t>
            </w:r>
          </w:p>
        </w:tc>
        <w:tc>
          <w:tcPr>
            <w:tcW w:w="847" w:type="dxa"/>
            <w:vMerge w:val="continue"/>
            <w:noWrap w:val="0"/>
            <w:vAlign w:val="center"/>
          </w:tcPr>
          <w:p>
            <w:pPr>
              <w:bidi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Merge w:val="continue"/>
            <w:noWrap w:val="0"/>
            <w:vAlign w:val="center"/>
          </w:tcPr>
          <w:p>
            <w:pPr>
              <w:bidi w:val="0"/>
              <w:jc w:val="center"/>
              <w:rPr>
                <w:rFonts w:hint="eastAsia"/>
                <w:sz w:val="24"/>
                <w:szCs w:val="24"/>
                <w:lang w:val="en-US" w:eastAsia="zh-CN"/>
              </w:rPr>
            </w:pPr>
          </w:p>
        </w:tc>
        <w:tc>
          <w:tcPr>
            <w:tcW w:w="469" w:type="dxa"/>
            <w:vMerge w:val="continue"/>
            <w:noWrap w:val="0"/>
            <w:vAlign w:val="center"/>
          </w:tcPr>
          <w:p>
            <w:pPr>
              <w:bidi w:val="0"/>
              <w:jc w:val="center"/>
              <w:rPr>
                <w:rFonts w:hint="eastAsia"/>
                <w:sz w:val="24"/>
                <w:szCs w:val="24"/>
                <w:lang w:val="en-US" w:eastAsia="zh-CN"/>
              </w:rPr>
            </w:pPr>
          </w:p>
        </w:tc>
        <w:tc>
          <w:tcPr>
            <w:tcW w:w="1124" w:type="dxa"/>
            <w:gridSpan w:val="2"/>
            <w:noWrap w:val="0"/>
            <w:vAlign w:val="center"/>
          </w:tcPr>
          <w:p>
            <w:pPr>
              <w:bidi w:val="0"/>
              <w:jc w:val="center"/>
              <w:rPr>
                <w:rFonts w:hint="eastAsia"/>
                <w:sz w:val="24"/>
                <w:szCs w:val="24"/>
                <w:lang w:val="en-US" w:eastAsia="zh-CN"/>
              </w:rPr>
            </w:pPr>
            <w:r>
              <w:rPr>
                <w:rFonts w:hint="eastAsia"/>
                <w:sz w:val="24"/>
                <w:szCs w:val="24"/>
              </w:rPr>
              <w:t>客流统计</w:t>
            </w:r>
          </w:p>
        </w:tc>
        <w:tc>
          <w:tcPr>
            <w:tcW w:w="4549" w:type="dxa"/>
            <w:noWrap w:val="0"/>
            <w:vAlign w:val="center"/>
          </w:tcPr>
          <w:p>
            <w:pPr>
              <w:bidi w:val="0"/>
              <w:jc w:val="both"/>
              <w:rPr>
                <w:rFonts w:hint="eastAsia"/>
                <w:sz w:val="24"/>
                <w:szCs w:val="24"/>
                <w:lang w:val="en-US" w:eastAsia="zh-CN"/>
              </w:rPr>
            </w:pPr>
            <w:r>
              <w:rPr>
                <w:rFonts w:hint="eastAsia"/>
                <w:sz w:val="24"/>
                <w:szCs w:val="24"/>
                <w:lang w:val="en-US" w:eastAsia="zh-CN"/>
              </w:rPr>
              <w:t>结合入场情况进行后台数据分析处理，统计分析用户数量，为优化展厅管理和游客导览路径提供数据支持。</w:t>
            </w:r>
          </w:p>
        </w:tc>
        <w:tc>
          <w:tcPr>
            <w:tcW w:w="847" w:type="dxa"/>
            <w:vMerge w:val="continue"/>
            <w:noWrap w:val="0"/>
            <w:vAlign w:val="center"/>
          </w:tcPr>
          <w:p>
            <w:pPr>
              <w:bidi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Merge w:val="continue"/>
            <w:noWrap w:val="0"/>
            <w:vAlign w:val="center"/>
          </w:tcPr>
          <w:p>
            <w:pPr>
              <w:bidi w:val="0"/>
              <w:jc w:val="center"/>
              <w:rPr>
                <w:rFonts w:hint="eastAsia"/>
                <w:sz w:val="24"/>
                <w:szCs w:val="24"/>
                <w:lang w:val="en-US" w:eastAsia="zh-CN"/>
              </w:rPr>
            </w:pPr>
          </w:p>
        </w:tc>
        <w:tc>
          <w:tcPr>
            <w:tcW w:w="469" w:type="dxa"/>
            <w:vMerge w:val="continue"/>
            <w:noWrap w:val="0"/>
            <w:vAlign w:val="center"/>
          </w:tcPr>
          <w:p>
            <w:pPr>
              <w:bidi w:val="0"/>
              <w:jc w:val="center"/>
              <w:rPr>
                <w:rFonts w:hint="eastAsia"/>
                <w:sz w:val="24"/>
                <w:szCs w:val="24"/>
                <w:lang w:val="en-US" w:eastAsia="zh-CN"/>
              </w:rPr>
            </w:pPr>
          </w:p>
        </w:tc>
        <w:tc>
          <w:tcPr>
            <w:tcW w:w="1124" w:type="dxa"/>
            <w:gridSpan w:val="2"/>
            <w:noWrap w:val="0"/>
            <w:vAlign w:val="center"/>
          </w:tcPr>
          <w:p>
            <w:pPr>
              <w:bidi w:val="0"/>
              <w:jc w:val="center"/>
              <w:rPr>
                <w:rFonts w:hint="eastAsia"/>
                <w:sz w:val="24"/>
                <w:szCs w:val="24"/>
                <w:lang w:val="en-US" w:eastAsia="zh-CN"/>
              </w:rPr>
            </w:pPr>
            <w:r>
              <w:rPr>
                <w:rFonts w:hint="eastAsia"/>
                <w:sz w:val="24"/>
                <w:szCs w:val="24"/>
              </w:rPr>
              <w:t>文博活动服务</w:t>
            </w:r>
          </w:p>
        </w:tc>
        <w:tc>
          <w:tcPr>
            <w:tcW w:w="4549" w:type="dxa"/>
            <w:noWrap w:val="0"/>
            <w:vAlign w:val="center"/>
          </w:tcPr>
          <w:p>
            <w:pPr>
              <w:bidi w:val="0"/>
              <w:jc w:val="both"/>
              <w:rPr>
                <w:rFonts w:hint="eastAsia"/>
                <w:sz w:val="24"/>
                <w:szCs w:val="24"/>
                <w:lang w:val="en-US" w:eastAsia="zh-CN"/>
              </w:rPr>
            </w:pPr>
            <w:r>
              <w:rPr>
                <w:rFonts w:hint="eastAsia"/>
                <w:sz w:val="24"/>
                <w:szCs w:val="24"/>
                <w:lang w:val="en-US" w:eastAsia="zh-CN"/>
              </w:rPr>
              <w:t>进行社教活动动态发布、预约开发，允许感兴趣的个人或团体通过预约方式在线报名参加。</w:t>
            </w:r>
          </w:p>
        </w:tc>
        <w:tc>
          <w:tcPr>
            <w:tcW w:w="847" w:type="dxa"/>
            <w:vMerge w:val="continue"/>
            <w:noWrap w:val="0"/>
            <w:vAlign w:val="center"/>
          </w:tcPr>
          <w:p>
            <w:pPr>
              <w:bidi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Merge w:val="continue"/>
            <w:noWrap w:val="0"/>
            <w:vAlign w:val="center"/>
          </w:tcPr>
          <w:p>
            <w:pPr>
              <w:bidi w:val="0"/>
              <w:jc w:val="center"/>
              <w:rPr>
                <w:rFonts w:hint="eastAsia"/>
                <w:sz w:val="24"/>
                <w:szCs w:val="24"/>
                <w:lang w:val="en-US" w:eastAsia="zh-CN"/>
              </w:rPr>
            </w:pPr>
          </w:p>
        </w:tc>
        <w:tc>
          <w:tcPr>
            <w:tcW w:w="469" w:type="dxa"/>
            <w:vMerge w:val="continue"/>
            <w:noWrap w:val="0"/>
            <w:vAlign w:val="center"/>
          </w:tcPr>
          <w:p>
            <w:pPr>
              <w:bidi w:val="0"/>
              <w:jc w:val="center"/>
              <w:rPr>
                <w:rFonts w:hint="eastAsia"/>
                <w:sz w:val="24"/>
                <w:szCs w:val="24"/>
                <w:lang w:val="en-US" w:eastAsia="zh-CN"/>
              </w:rPr>
            </w:pPr>
          </w:p>
        </w:tc>
        <w:tc>
          <w:tcPr>
            <w:tcW w:w="1124" w:type="dxa"/>
            <w:gridSpan w:val="2"/>
            <w:noWrap w:val="0"/>
            <w:vAlign w:val="center"/>
          </w:tcPr>
          <w:p>
            <w:pPr>
              <w:bidi w:val="0"/>
              <w:jc w:val="center"/>
              <w:rPr>
                <w:rFonts w:hint="eastAsia"/>
                <w:sz w:val="24"/>
                <w:szCs w:val="24"/>
                <w:lang w:val="en-US" w:eastAsia="zh-CN"/>
              </w:rPr>
            </w:pPr>
            <w:r>
              <w:rPr>
                <w:rFonts w:hint="eastAsia"/>
                <w:sz w:val="24"/>
                <w:szCs w:val="24"/>
              </w:rPr>
              <w:t>讲解员管理</w:t>
            </w:r>
          </w:p>
        </w:tc>
        <w:tc>
          <w:tcPr>
            <w:tcW w:w="4549" w:type="dxa"/>
            <w:noWrap w:val="0"/>
            <w:vAlign w:val="center"/>
          </w:tcPr>
          <w:p>
            <w:pPr>
              <w:bidi w:val="0"/>
              <w:jc w:val="both"/>
              <w:rPr>
                <w:rFonts w:hint="eastAsia"/>
                <w:sz w:val="24"/>
                <w:szCs w:val="24"/>
                <w:lang w:val="en-US" w:eastAsia="zh-CN"/>
              </w:rPr>
            </w:pPr>
            <w:r>
              <w:rPr>
                <w:rFonts w:hint="eastAsia"/>
                <w:sz w:val="24"/>
                <w:szCs w:val="24"/>
                <w:lang w:val="en-US" w:eastAsia="zh-CN"/>
              </w:rPr>
              <w:t>建立讲解员信息页面，包括讲解员的简介、专长领域、服务时间、讲解排班等情况。</w:t>
            </w:r>
          </w:p>
        </w:tc>
        <w:tc>
          <w:tcPr>
            <w:tcW w:w="847" w:type="dxa"/>
            <w:vMerge w:val="continue"/>
            <w:noWrap w:val="0"/>
            <w:vAlign w:val="center"/>
          </w:tcPr>
          <w:p>
            <w:pPr>
              <w:bidi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Merge w:val="continue"/>
            <w:noWrap w:val="0"/>
            <w:vAlign w:val="center"/>
          </w:tcPr>
          <w:p>
            <w:pPr>
              <w:bidi w:val="0"/>
              <w:jc w:val="center"/>
              <w:rPr>
                <w:rFonts w:hint="eastAsia"/>
                <w:sz w:val="24"/>
                <w:szCs w:val="24"/>
                <w:lang w:val="en-US" w:eastAsia="zh-CN"/>
              </w:rPr>
            </w:pPr>
          </w:p>
        </w:tc>
        <w:tc>
          <w:tcPr>
            <w:tcW w:w="469" w:type="dxa"/>
            <w:vMerge w:val="continue"/>
            <w:noWrap w:val="0"/>
            <w:vAlign w:val="center"/>
          </w:tcPr>
          <w:p>
            <w:pPr>
              <w:bidi w:val="0"/>
              <w:jc w:val="center"/>
              <w:rPr>
                <w:rFonts w:hint="eastAsia"/>
                <w:sz w:val="24"/>
                <w:szCs w:val="24"/>
                <w:lang w:val="en-US" w:eastAsia="zh-CN"/>
              </w:rPr>
            </w:pPr>
          </w:p>
        </w:tc>
        <w:tc>
          <w:tcPr>
            <w:tcW w:w="1124" w:type="dxa"/>
            <w:gridSpan w:val="2"/>
            <w:noWrap w:val="0"/>
            <w:vAlign w:val="center"/>
          </w:tcPr>
          <w:p>
            <w:pPr>
              <w:bidi w:val="0"/>
              <w:jc w:val="center"/>
              <w:rPr>
                <w:rFonts w:hint="eastAsia"/>
                <w:sz w:val="24"/>
                <w:szCs w:val="24"/>
                <w:lang w:val="en-US" w:eastAsia="zh-CN"/>
              </w:rPr>
            </w:pPr>
            <w:r>
              <w:rPr>
                <w:rFonts w:hint="eastAsia"/>
                <w:sz w:val="24"/>
                <w:szCs w:val="24"/>
              </w:rPr>
              <w:t>志愿者管理</w:t>
            </w:r>
          </w:p>
        </w:tc>
        <w:tc>
          <w:tcPr>
            <w:tcW w:w="4549" w:type="dxa"/>
            <w:noWrap w:val="0"/>
            <w:vAlign w:val="center"/>
          </w:tcPr>
          <w:p>
            <w:pPr>
              <w:bidi w:val="0"/>
              <w:jc w:val="both"/>
              <w:rPr>
                <w:rFonts w:hint="eastAsia"/>
                <w:sz w:val="24"/>
                <w:szCs w:val="24"/>
                <w:lang w:val="en-US" w:eastAsia="zh-CN"/>
              </w:rPr>
            </w:pPr>
            <w:r>
              <w:rPr>
                <w:rFonts w:hint="eastAsia"/>
                <w:sz w:val="24"/>
                <w:szCs w:val="24"/>
                <w:lang w:val="en-US" w:eastAsia="zh-CN"/>
              </w:rPr>
              <w:t>发布志愿者招募信息，并建立志愿者数据库。</w:t>
            </w:r>
          </w:p>
        </w:tc>
        <w:tc>
          <w:tcPr>
            <w:tcW w:w="847" w:type="dxa"/>
            <w:vMerge w:val="continue"/>
            <w:noWrap w:val="0"/>
            <w:vAlign w:val="center"/>
          </w:tcPr>
          <w:p>
            <w:pPr>
              <w:bidi w:val="0"/>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Merge w:val="continue"/>
            <w:noWrap w:val="0"/>
            <w:vAlign w:val="center"/>
          </w:tcPr>
          <w:p>
            <w:pPr>
              <w:bidi w:val="0"/>
              <w:jc w:val="center"/>
              <w:rPr>
                <w:rFonts w:hint="eastAsia"/>
                <w:sz w:val="24"/>
                <w:szCs w:val="24"/>
                <w:lang w:val="en-US" w:eastAsia="zh-CN"/>
              </w:rPr>
            </w:pPr>
          </w:p>
        </w:tc>
        <w:tc>
          <w:tcPr>
            <w:tcW w:w="6142" w:type="dxa"/>
            <w:gridSpan w:val="4"/>
            <w:noWrap w:val="0"/>
            <w:vAlign w:val="center"/>
          </w:tcPr>
          <w:p>
            <w:pPr>
              <w:bidi w:val="0"/>
              <w:jc w:val="center"/>
              <w:rPr>
                <w:rFonts w:hint="eastAsia"/>
                <w:sz w:val="24"/>
                <w:szCs w:val="24"/>
                <w:lang w:val="en-US" w:eastAsia="zh-CN"/>
              </w:rPr>
            </w:pPr>
            <w:r>
              <w:rPr>
                <w:rFonts w:hint="eastAsia"/>
                <w:sz w:val="24"/>
                <w:szCs w:val="24"/>
              </w:rPr>
              <w:t>系统环境测试，稳定性测试、bug 修复、上线服务</w:t>
            </w:r>
          </w:p>
        </w:tc>
        <w:tc>
          <w:tcPr>
            <w:tcW w:w="847" w:type="dxa"/>
            <w:vMerge w:val="continue"/>
            <w:noWrap w:val="0"/>
            <w:vAlign w:val="center"/>
          </w:tcPr>
          <w:p>
            <w:pPr>
              <w:bidi w:val="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Merge w:val="continue"/>
            <w:noWrap w:val="0"/>
            <w:vAlign w:val="center"/>
          </w:tcPr>
          <w:p>
            <w:pPr>
              <w:bidi w:val="0"/>
              <w:jc w:val="center"/>
              <w:rPr>
                <w:rFonts w:hint="eastAsia"/>
                <w:sz w:val="24"/>
                <w:szCs w:val="24"/>
                <w:lang w:val="en-US" w:eastAsia="zh-CN"/>
              </w:rPr>
            </w:pPr>
          </w:p>
        </w:tc>
        <w:tc>
          <w:tcPr>
            <w:tcW w:w="6142" w:type="dxa"/>
            <w:gridSpan w:val="4"/>
            <w:noWrap w:val="0"/>
            <w:vAlign w:val="center"/>
          </w:tcPr>
          <w:p>
            <w:pPr>
              <w:bidi w:val="0"/>
              <w:jc w:val="center"/>
              <w:rPr>
                <w:rFonts w:hint="eastAsia"/>
                <w:sz w:val="24"/>
                <w:szCs w:val="24"/>
                <w:lang w:val="en-US" w:eastAsia="zh-CN"/>
              </w:rPr>
            </w:pPr>
            <w:r>
              <w:rPr>
                <w:rFonts w:hint="eastAsia"/>
                <w:sz w:val="24"/>
                <w:szCs w:val="24"/>
              </w:rPr>
              <w:t>整体系统软件系统集成、部署、安装、调试和培训</w:t>
            </w:r>
          </w:p>
        </w:tc>
        <w:tc>
          <w:tcPr>
            <w:tcW w:w="847" w:type="dxa"/>
            <w:vMerge w:val="continue"/>
            <w:noWrap w:val="0"/>
            <w:vAlign w:val="center"/>
          </w:tcPr>
          <w:p>
            <w:pPr>
              <w:bidi w:val="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noWrap w:val="0"/>
            <w:vAlign w:val="center"/>
          </w:tcPr>
          <w:p>
            <w:pPr>
              <w:bidi w:val="0"/>
              <w:jc w:val="center"/>
              <w:rPr>
                <w:rFonts w:hint="eastAsia"/>
                <w:sz w:val="24"/>
                <w:szCs w:val="24"/>
                <w:lang w:val="en-US" w:eastAsia="zh-CN"/>
              </w:rPr>
            </w:pPr>
            <w:r>
              <w:rPr>
                <w:rFonts w:hint="eastAsia"/>
                <w:sz w:val="24"/>
                <w:szCs w:val="24"/>
              </w:rPr>
              <w:t>典藏文物三维解读“微展示”云平台</w:t>
            </w:r>
          </w:p>
        </w:tc>
        <w:tc>
          <w:tcPr>
            <w:tcW w:w="1516" w:type="dxa"/>
            <w:gridSpan w:val="2"/>
            <w:noWrap w:val="0"/>
            <w:vAlign w:val="center"/>
          </w:tcPr>
          <w:p>
            <w:pPr>
              <w:bidi w:val="0"/>
              <w:jc w:val="both"/>
              <w:rPr>
                <w:rFonts w:hint="eastAsia" w:cs="Times New Roman"/>
                <w:sz w:val="24"/>
                <w:szCs w:val="24"/>
                <w:lang w:val="en-US" w:eastAsia="zh-CN"/>
              </w:rPr>
            </w:pPr>
            <w:r>
              <w:rPr>
                <w:rFonts w:hint="eastAsia" w:cs="Times New Roman"/>
                <w:sz w:val="24"/>
                <w:szCs w:val="24"/>
              </w:rPr>
              <w:t>典型文物3D互动解读平台开发</w:t>
            </w:r>
          </w:p>
        </w:tc>
        <w:tc>
          <w:tcPr>
            <w:tcW w:w="4626" w:type="dxa"/>
            <w:gridSpan w:val="2"/>
            <w:noWrap w:val="0"/>
            <w:vAlign w:val="center"/>
          </w:tcPr>
          <w:p>
            <w:pPr>
              <w:bidi w:val="0"/>
              <w:ind w:firstLine="480" w:firstLineChars="200"/>
              <w:jc w:val="both"/>
              <w:rPr>
                <w:rFonts w:hint="eastAsia" w:cs="Times New Roman"/>
                <w:sz w:val="24"/>
                <w:szCs w:val="24"/>
                <w:lang w:val="en-US" w:eastAsia="zh-CN"/>
              </w:rPr>
            </w:pPr>
            <w:r>
              <w:rPr>
                <w:rFonts w:hint="eastAsia" w:cs="Times New Roman"/>
                <w:sz w:val="24"/>
                <w:szCs w:val="24"/>
                <w:lang w:val="en-US" w:eastAsia="zh-CN"/>
              </w:rPr>
              <w:t>选取土尔扈特银印、山川祭祀碑、云纹瓦当、陶水管、八王分舍利图等5件典型文物，整合相关的历史背景、文化意义等解读信息，进行“微展示”三维互动程序及数字内容解读制作。</w:t>
            </w:r>
          </w:p>
          <w:p>
            <w:pPr>
              <w:bidi w:val="0"/>
              <w:ind w:firstLine="480" w:firstLineChars="200"/>
              <w:jc w:val="both"/>
              <w:rPr>
                <w:rFonts w:hint="eastAsia" w:cs="Times New Roman"/>
                <w:sz w:val="24"/>
                <w:szCs w:val="24"/>
              </w:rPr>
            </w:pPr>
            <w:r>
              <w:rPr>
                <w:rFonts w:hint="eastAsia" w:cs="Times New Roman"/>
                <w:sz w:val="24"/>
                <w:szCs w:val="24"/>
                <w:lang w:val="en-US" w:eastAsia="zh-CN"/>
              </w:rPr>
              <w:t>在文物3D欣赏互动、跟随讲解的同时，设计简洁直观用户互动页面，包括菜单、按钮等，进行动画式的内涵价值呈现，以多种情境展示方式引导用户探索文物价值，并通过轻量化三维交互体验，辅助串联典藏文物细节、功能、价值等内涵信息获取。此外，设计文物个性化创作模块，观众可根据自己的喜好进行文物特征的个性化元素创作，进一步提升文物资源互动水平。</w:t>
            </w:r>
          </w:p>
        </w:tc>
        <w:tc>
          <w:tcPr>
            <w:tcW w:w="847" w:type="dxa"/>
            <w:noWrap w:val="0"/>
            <w:vAlign w:val="center"/>
          </w:tcPr>
          <w:p>
            <w:pPr>
              <w:bidi w:val="0"/>
              <w:jc w:val="center"/>
              <w:rPr>
                <w:rFonts w:hint="default" w:eastAsia="仿宋"/>
                <w:sz w:val="24"/>
                <w:szCs w:val="24"/>
                <w:lang w:val="en-US" w:eastAsia="zh-CN"/>
              </w:rPr>
            </w:pPr>
            <w:r>
              <w:rPr>
                <w:rFonts w:hint="eastAsia"/>
                <w:sz w:val="24"/>
                <w:szCs w:val="24"/>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noWrap w:val="0"/>
            <w:vAlign w:val="center"/>
          </w:tcPr>
          <w:p>
            <w:pPr>
              <w:bidi w:val="0"/>
              <w:jc w:val="center"/>
              <w:rPr>
                <w:rFonts w:hint="eastAsia" w:eastAsia="仿宋"/>
                <w:color w:val="auto"/>
                <w:sz w:val="24"/>
                <w:szCs w:val="24"/>
                <w:lang w:val="en-US" w:eastAsia="zh-CN"/>
              </w:rPr>
            </w:pPr>
            <w:r>
              <w:rPr>
                <w:rFonts w:hint="eastAsia"/>
                <w:color w:val="auto"/>
                <w:sz w:val="24"/>
                <w:szCs w:val="24"/>
                <w:lang w:val="en-US" w:eastAsia="zh-CN"/>
              </w:rPr>
              <w:t>云服务器</w:t>
            </w:r>
          </w:p>
        </w:tc>
        <w:tc>
          <w:tcPr>
            <w:tcW w:w="1516" w:type="dxa"/>
            <w:gridSpan w:val="2"/>
            <w:noWrap w:val="0"/>
            <w:vAlign w:val="center"/>
          </w:tcPr>
          <w:p>
            <w:pPr>
              <w:bidi w:val="0"/>
              <w:jc w:val="both"/>
              <w:rPr>
                <w:rFonts w:hint="default" w:eastAsia="仿宋" w:cs="Times New Roman"/>
                <w:color w:val="auto"/>
                <w:sz w:val="24"/>
                <w:szCs w:val="24"/>
                <w:lang w:val="en-US" w:eastAsia="zh-CN"/>
              </w:rPr>
            </w:pPr>
            <w:r>
              <w:rPr>
                <w:rFonts w:hint="eastAsia" w:cs="Times New Roman"/>
                <w:color w:val="auto"/>
                <w:sz w:val="24"/>
                <w:szCs w:val="24"/>
                <w:lang w:val="en-US" w:eastAsia="zh-CN"/>
              </w:rPr>
              <w:t>云服务租赁服务</w:t>
            </w:r>
          </w:p>
        </w:tc>
        <w:tc>
          <w:tcPr>
            <w:tcW w:w="4626" w:type="dxa"/>
            <w:gridSpan w:val="2"/>
            <w:noWrap w:val="0"/>
            <w:vAlign w:val="center"/>
          </w:tcPr>
          <w:p>
            <w:pPr>
              <w:bidi w:val="0"/>
              <w:jc w:val="both"/>
              <w:rPr>
                <w:rFonts w:hint="default" w:cs="Times New Roman"/>
                <w:color w:val="auto"/>
                <w:sz w:val="24"/>
                <w:szCs w:val="24"/>
                <w:lang w:val="en-US" w:eastAsia="zh-CN"/>
              </w:rPr>
            </w:pPr>
            <w:r>
              <w:rPr>
                <w:rFonts w:hint="eastAsia" w:cs="Times New Roman"/>
                <w:color w:val="auto"/>
                <w:sz w:val="24"/>
                <w:szCs w:val="24"/>
                <w:lang w:val="en-US" w:eastAsia="zh-CN"/>
              </w:rPr>
              <w:t>CPU核数≥2；内存≥4G；硬盘类型：SAS；硬盘存储不低于80G。（云服务租赁服务由中标供应商提供）</w:t>
            </w:r>
          </w:p>
        </w:tc>
        <w:tc>
          <w:tcPr>
            <w:tcW w:w="847" w:type="dxa"/>
            <w:noWrap w:val="0"/>
            <w:vAlign w:val="center"/>
          </w:tcPr>
          <w:p>
            <w:pPr>
              <w:bidi w:val="0"/>
              <w:jc w:val="center"/>
              <w:rPr>
                <w:rFonts w:hint="default"/>
                <w:color w:val="auto"/>
                <w:sz w:val="24"/>
                <w:szCs w:val="24"/>
                <w:lang w:val="en-US" w:eastAsia="zh-CN"/>
              </w:rPr>
            </w:pPr>
            <w:r>
              <w:rPr>
                <w:rFonts w:hint="eastAsia"/>
                <w:color w:val="auto"/>
                <w:sz w:val="24"/>
                <w:szCs w:val="24"/>
                <w:lang w:val="en-US" w:eastAsia="zh-CN"/>
              </w:rPr>
              <w:t>1项</w:t>
            </w:r>
          </w:p>
        </w:tc>
      </w:tr>
    </w:tbl>
    <w:p>
      <w:pPr>
        <w:pStyle w:val="8"/>
        <w:tabs>
          <w:tab w:val="left" w:pos="0"/>
        </w:tabs>
        <w:bidi w:val="0"/>
        <w:rPr>
          <w:rFonts w:hint="eastAsia"/>
          <w:lang w:val="en-US" w:eastAsia="zh-CN"/>
        </w:rPr>
      </w:pPr>
      <w:r>
        <w:rPr>
          <w:rFonts w:hint="eastAsia"/>
          <w:lang w:val="en-US" w:eastAsia="zh-CN"/>
        </w:rPr>
        <w:t>展区陈列文物数字化展示服务制作</w:t>
      </w:r>
    </w:p>
    <w:p>
      <w:pPr>
        <w:pStyle w:val="9"/>
        <w:bidi w:val="0"/>
        <w:rPr>
          <w:rFonts w:hint="eastAsia" w:cs="Times New Roman"/>
          <w:lang w:val="en-US" w:eastAsia="zh-CN"/>
        </w:rPr>
      </w:pPr>
      <w:r>
        <w:rPr>
          <w:rFonts w:hint="eastAsia" w:cs="Times New Roman"/>
          <w:lang w:val="en-US" w:eastAsia="zh-CN"/>
        </w:rPr>
        <w:t>清山川祭祀碑数字交互式解读系统</w:t>
      </w:r>
    </w:p>
    <w:p>
      <w:pPr>
        <w:ind w:firstLine="420" w:firstLineChars="200"/>
        <w:rPr>
          <w:rFonts w:hint="eastAsia"/>
          <w:lang w:val="en-US" w:eastAsia="zh-CN"/>
        </w:rPr>
      </w:pPr>
      <w:r>
        <w:rPr>
          <w:rFonts w:hint="eastAsia"/>
          <w:lang w:val="en-US" w:eastAsia="zh-CN"/>
        </w:rPr>
        <w:t>利用清山川祭祀碑的三维数据，深入挖掘清代山川祭祀碑的历史意义和文化价值，通过数字技术为公众提供一个全新的解读和体验方式。</w:t>
      </w:r>
    </w:p>
    <w:p>
      <w:pPr>
        <w:pStyle w:val="10"/>
        <w:bidi w:val="0"/>
        <w:rPr>
          <w:rFonts w:hint="eastAsia"/>
          <w:lang w:val="en-US" w:eastAsia="zh-CN"/>
        </w:rPr>
      </w:pPr>
      <w:r>
        <w:rPr>
          <w:rFonts w:hint="eastAsia"/>
          <w:lang w:val="en-US" w:eastAsia="zh-CN"/>
        </w:rPr>
        <w:t>数字内容制作要求</w:t>
      </w:r>
    </w:p>
    <w:tbl>
      <w:tblPr>
        <w:tblStyle w:val="24"/>
        <w:tblW w:w="8437" w:type="dxa"/>
        <w:jc w:val="center"/>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900" w:type="dxa"/>
            <w:noWrap w:val="0"/>
            <w:vAlign w:val="center"/>
          </w:tcPr>
          <w:p>
            <w:pPr>
              <w:bidi w:val="0"/>
              <w:jc w:val="center"/>
              <w:rPr>
                <w:rFonts w:hint="default"/>
                <w:lang w:val="en-US" w:eastAsia="zh-CN"/>
              </w:rPr>
            </w:pPr>
            <w:r>
              <w:rPr>
                <w:rFonts w:hint="eastAsia"/>
                <w:lang w:val="en-US" w:eastAsia="zh-CN"/>
              </w:rPr>
              <w:t>展示内容</w:t>
            </w:r>
          </w:p>
        </w:tc>
        <w:tc>
          <w:tcPr>
            <w:tcW w:w="6537" w:type="dxa"/>
            <w:noWrap w:val="0"/>
            <w:vAlign w:val="center"/>
          </w:tcPr>
          <w:p>
            <w:pPr>
              <w:bidi w:val="0"/>
              <w:jc w:val="center"/>
              <w:rPr>
                <w:rFonts w:hint="eastAsia"/>
                <w:lang w:val="en-US" w:eastAsia="zh-CN"/>
              </w:rPr>
            </w:pPr>
            <w:r>
              <w:rPr>
                <w:rFonts w:hint="eastAsia"/>
                <w:lang w:val="en-US" w:eastAsia="zh-CN"/>
              </w:rPr>
              <w:t>内容制作要求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900" w:type="dxa"/>
            <w:noWrap w:val="0"/>
            <w:vAlign w:val="center"/>
          </w:tcPr>
          <w:p>
            <w:pPr>
              <w:bidi w:val="0"/>
              <w:jc w:val="center"/>
              <w:rPr>
                <w:rFonts w:hint="eastAsia"/>
                <w:lang w:val="en-US" w:eastAsia="zh-CN"/>
              </w:rPr>
            </w:pPr>
            <w:r>
              <w:rPr>
                <w:rFonts w:hint="eastAsia"/>
                <w:lang w:val="en-US" w:eastAsia="zh-CN"/>
              </w:rPr>
              <w:t>石碑细节纹饰展示</w:t>
            </w:r>
          </w:p>
        </w:tc>
        <w:tc>
          <w:tcPr>
            <w:tcW w:w="6537" w:type="dxa"/>
            <w:noWrap w:val="0"/>
            <w:vAlign w:val="center"/>
          </w:tcPr>
          <w:p>
            <w:pPr>
              <w:bidi w:val="0"/>
              <w:ind w:firstLine="420" w:firstLineChars="200"/>
              <w:jc w:val="both"/>
              <w:rPr>
                <w:rFonts w:hint="eastAsia" w:cs="Times New Roman"/>
                <w:lang w:val="en-US" w:eastAsia="zh-CN"/>
              </w:rPr>
            </w:pPr>
            <w:r>
              <w:rPr>
                <w:rFonts w:hint="eastAsia" w:cs="Times New Roman"/>
                <w:lang w:val="en-US" w:eastAsia="zh-CN"/>
              </w:rPr>
              <w:t>利用高清图像展示、数字纹饰线图技术，数字展示石碑正面的二龙戏珠浮雕和阴刻填红颜料篆书的高清细节，让观众可以仔细观察碑文的每一笔划、雕刻的深浅，以及石碑的质感和颜色。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900" w:type="dxa"/>
            <w:noWrap w:val="0"/>
            <w:vAlign w:val="center"/>
          </w:tcPr>
          <w:p>
            <w:pPr>
              <w:bidi w:val="0"/>
              <w:jc w:val="center"/>
              <w:rPr>
                <w:rFonts w:hint="eastAsia"/>
                <w:lang w:val="en-US" w:eastAsia="zh-CN"/>
              </w:rPr>
            </w:pPr>
            <w:r>
              <w:rPr>
                <w:rFonts w:hint="eastAsia"/>
                <w:lang w:val="en-US" w:eastAsia="zh-CN"/>
              </w:rPr>
              <w:t>3D模型交互</w:t>
            </w:r>
          </w:p>
        </w:tc>
        <w:tc>
          <w:tcPr>
            <w:tcW w:w="6537" w:type="dxa"/>
            <w:noWrap w:val="0"/>
            <w:vAlign w:val="center"/>
          </w:tcPr>
          <w:p>
            <w:pPr>
              <w:bidi w:val="0"/>
              <w:ind w:firstLine="420" w:firstLineChars="200"/>
              <w:jc w:val="both"/>
              <w:rPr>
                <w:rFonts w:hint="eastAsia" w:cs="Times New Roman"/>
                <w:lang w:val="en-US" w:eastAsia="zh-CN"/>
              </w:rPr>
            </w:pPr>
            <w:r>
              <w:rPr>
                <w:rFonts w:hint="eastAsia" w:cs="Times New Roman"/>
                <w:lang w:val="en-US" w:eastAsia="zh-CN"/>
              </w:rPr>
              <w:t>提供不同角度、不同距离的石碑观察视角，观众可以选择放大、缩小或旋转模型，以便更好地理解石碑的立体结构和细节。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900" w:type="dxa"/>
            <w:noWrap w:val="0"/>
            <w:vAlign w:val="center"/>
          </w:tcPr>
          <w:p>
            <w:pPr>
              <w:bidi w:val="0"/>
              <w:jc w:val="center"/>
              <w:rPr>
                <w:rFonts w:hint="eastAsia"/>
                <w:lang w:val="en-US" w:eastAsia="zh-CN"/>
              </w:rPr>
            </w:pPr>
            <w:r>
              <w:rPr>
                <w:rFonts w:hint="eastAsia"/>
                <w:lang w:val="en-US" w:eastAsia="zh-CN"/>
              </w:rPr>
              <w:t>铭文与图案动态解读</w:t>
            </w:r>
          </w:p>
        </w:tc>
        <w:tc>
          <w:tcPr>
            <w:tcW w:w="6537" w:type="dxa"/>
            <w:noWrap w:val="0"/>
            <w:vAlign w:val="center"/>
          </w:tcPr>
          <w:p>
            <w:pPr>
              <w:bidi w:val="0"/>
              <w:ind w:firstLine="420" w:firstLineChars="200"/>
              <w:jc w:val="both"/>
              <w:rPr>
                <w:rFonts w:hint="eastAsia" w:cs="Times New Roman"/>
                <w:lang w:val="en-US" w:eastAsia="zh-CN"/>
              </w:rPr>
            </w:pPr>
            <w:r>
              <w:rPr>
                <w:rFonts w:hint="eastAsia" w:cs="Times New Roman"/>
                <w:lang w:val="en-US" w:eastAsia="zh-CN"/>
              </w:rPr>
              <w:t>对石碑上的图案与篆书铭文进行解读、释义，以易于理解的语言解释碑文的内容以及在清代文化历史中的意义。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900" w:type="dxa"/>
            <w:noWrap w:val="0"/>
            <w:vAlign w:val="center"/>
          </w:tcPr>
          <w:p>
            <w:pPr>
              <w:bidi w:val="0"/>
              <w:jc w:val="center"/>
              <w:rPr>
                <w:rFonts w:hint="eastAsia"/>
                <w:lang w:val="en-US" w:eastAsia="zh-CN"/>
              </w:rPr>
            </w:pPr>
            <w:r>
              <w:rPr>
                <w:rFonts w:hint="eastAsia"/>
                <w:lang w:val="en-US" w:eastAsia="zh-CN"/>
              </w:rPr>
              <w:t>互动式科普设计</w:t>
            </w:r>
          </w:p>
        </w:tc>
        <w:tc>
          <w:tcPr>
            <w:tcW w:w="6537" w:type="dxa"/>
            <w:noWrap w:val="0"/>
            <w:vAlign w:val="center"/>
          </w:tcPr>
          <w:p>
            <w:pPr>
              <w:bidi w:val="0"/>
              <w:ind w:firstLine="420" w:firstLineChars="200"/>
              <w:jc w:val="both"/>
              <w:rPr>
                <w:rFonts w:hint="eastAsia" w:cs="Times New Roman"/>
                <w:lang w:val="en-US" w:eastAsia="zh-CN"/>
              </w:rPr>
            </w:pPr>
            <w:r>
              <w:rPr>
                <w:rFonts w:hint="eastAsia" w:cs="Times New Roman"/>
                <w:lang w:val="en-US" w:eastAsia="zh-CN"/>
              </w:rPr>
              <w:t>设计互动式的知识教育游戏，通过互动科普来阐述文物历史记载和考古发现、重建山川祭祀的场景与历史氛围。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900" w:type="dxa"/>
            <w:noWrap w:val="0"/>
            <w:vAlign w:val="center"/>
          </w:tcPr>
          <w:p>
            <w:pPr>
              <w:bidi w:val="0"/>
              <w:jc w:val="center"/>
              <w:rPr>
                <w:rFonts w:hint="eastAsia"/>
                <w:lang w:val="en-US" w:eastAsia="zh-CN"/>
              </w:rPr>
            </w:pPr>
            <w:r>
              <w:rPr>
                <w:rFonts w:hint="eastAsia"/>
                <w:lang w:val="en-US" w:eastAsia="zh-CN"/>
              </w:rPr>
              <w:t>背景资料呈现</w:t>
            </w:r>
          </w:p>
        </w:tc>
        <w:tc>
          <w:tcPr>
            <w:tcW w:w="6537" w:type="dxa"/>
            <w:noWrap w:val="0"/>
            <w:vAlign w:val="center"/>
          </w:tcPr>
          <w:p>
            <w:pPr>
              <w:bidi w:val="0"/>
              <w:ind w:firstLine="420" w:firstLineChars="200"/>
              <w:jc w:val="both"/>
              <w:rPr>
                <w:rFonts w:hint="eastAsia" w:cs="Times New Roman"/>
                <w:lang w:val="en-US" w:eastAsia="zh-CN"/>
              </w:rPr>
            </w:pPr>
            <w:r>
              <w:rPr>
                <w:rFonts w:hint="eastAsia" w:cs="Times New Roman"/>
                <w:lang w:val="en-US" w:eastAsia="zh-CN"/>
              </w:rPr>
              <w:t>整合关于清代山川祭祀的历史背景资料、地图和图片，包括相关的历史事件、地理环境、宗教信仰和文化习俗等，帮助观众理解博克达山庙的建设背景、历史意义、社会状况以及它在清代政治和文化中的地位。</w:t>
            </w:r>
          </w:p>
        </w:tc>
      </w:tr>
    </w:tbl>
    <w:p>
      <w:pPr>
        <w:pStyle w:val="10"/>
        <w:bidi w:val="0"/>
        <w:rPr>
          <w:rFonts w:hint="eastAsia"/>
          <w:lang w:val="en-US" w:eastAsia="zh-CN"/>
        </w:rPr>
      </w:pPr>
      <w:r>
        <w:rPr>
          <w:rFonts w:hint="eastAsia"/>
          <w:lang w:val="en-US" w:eastAsia="zh-CN"/>
        </w:rPr>
        <w:t>硬件配置要求</w:t>
      </w:r>
    </w:p>
    <w:tbl>
      <w:tblPr>
        <w:tblStyle w:val="24"/>
        <w:tblW w:w="8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847"/>
        <w:gridCol w:w="898"/>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noWrap w:val="0"/>
            <w:vAlign w:val="center"/>
          </w:tcPr>
          <w:p>
            <w:pPr>
              <w:bidi w:val="0"/>
              <w:spacing w:line="360" w:lineRule="auto"/>
              <w:jc w:val="center"/>
              <w:rPr>
                <w:rFonts w:hint="default" w:cs="Times New Roman"/>
                <w:sz w:val="24"/>
                <w:szCs w:val="24"/>
                <w:lang w:val="en-US" w:eastAsia="zh-CN"/>
              </w:rPr>
            </w:pPr>
            <w:r>
              <w:rPr>
                <w:rFonts w:hint="eastAsia" w:cs="Times New Roman"/>
                <w:sz w:val="24"/>
                <w:szCs w:val="24"/>
                <w:lang w:val="en-US" w:eastAsia="zh-CN"/>
              </w:rPr>
              <w:t>设备名称</w:t>
            </w:r>
          </w:p>
        </w:tc>
        <w:tc>
          <w:tcPr>
            <w:tcW w:w="847" w:type="dxa"/>
            <w:noWrap w:val="0"/>
            <w:vAlign w:val="center"/>
          </w:tcPr>
          <w:p>
            <w:pPr>
              <w:bidi w:val="0"/>
              <w:spacing w:line="360" w:lineRule="auto"/>
              <w:jc w:val="center"/>
              <w:rPr>
                <w:rFonts w:hint="default" w:cs="Times New Roman"/>
                <w:sz w:val="24"/>
                <w:szCs w:val="24"/>
                <w:lang w:val="en-US" w:eastAsia="zh-CN"/>
              </w:rPr>
            </w:pPr>
            <w:r>
              <w:rPr>
                <w:rFonts w:hint="eastAsia" w:cs="Times New Roman"/>
                <w:sz w:val="24"/>
                <w:szCs w:val="24"/>
                <w:lang w:val="en-US" w:eastAsia="zh-CN"/>
              </w:rPr>
              <w:t>数量</w:t>
            </w:r>
          </w:p>
        </w:tc>
        <w:tc>
          <w:tcPr>
            <w:tcW w:w="898" w:type="dxa"/>
            <w:noWrap w:val="0"/>
            <w:vAlign w:val="center"/>
          </w:tcPr>
          <w:p>
            <w:pPr>
              <w:bidi w:val="0"/>
              <w:spacing w:line="360" w:lineRule="auto"/>
              <w:jc w:val="center"/>
              <w:rPr>
                <w:rFonts w:hint="default" w:cs="Times New Roman"/>
                <w:sz w:val="24"/>
                <w:szCs w:val="24"/>
                <w:lang w:val="en-US" w:eastAsia="zh-CN"/>
              </w:rPr>
            </w:pPr>
            <w:r>
              <w:rPr>
                <w:rFonts w:hint="eastAsia" w:cs="Times New Roman"/>
                <w:sz w:val="24"/>
                <w:szCs w:val="24"/>
                <w:lang w:val="en-US" w:eastAsia="zh-CN"/>
              </w:rPr>
              <w:t>单位</w:t>
            </w:r>
          </w:p>
        </w:tc>
        <w:tc>
          <w:tcPr>
            <w:tcW w:w="5119" w:type="dxa"/>
            <w:noWrap w:val="0"/>
            <w:vAlign w:val="center"/>
          </w:tcPr>
          <w:p>
            <w:pPr>
              <w:bidi w:val="0"/>
              <w:spacing w:line="360" w:lineRule="auto"/>
              <w:jc w:val="center"/>
              <w:rPr>
                <w:rFonts w:hint="default" w:cs="Times New Roman"/>
                <w:sz w:val="24"/>
                <w:szCs w:val="24"/>
                <w:lang w:val="en-US" w:eastAsia="zh-CN"/>
              </w:rPr>
            </w:pPr>
            <w:r>
              <w:rPr>
                <w:rFonts w:hint="eastAsia" w:cs="Times New Roman"/>
                <w:sz w:val="24"/>
                <w:szCs w:val="24"/>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noWrap w:val="0"/>
            <w:vAlign w:val="center"/>
          </w:tcPr>
          <w:p>
            <w:pPr>
              <w:bidi w:val="0"/>
              <w:spacing w:line="360" w:lineRule="auto"/>
              <w:jc w:val="center"/>
              <w:rPr>
                <w:rFonts w:hint="eastAsia" w:cs="Times New Roman"/>
                <w:sz w:val="24"/>
                <w:szCs w:val="24"/>
                <w:lang w:val="en-US" w:eastAsia="zh-CN"/>
              </w:rPr>
            </w:pPr>
            <w:r>
              <w:rPr>
                <w:rFonts w:hint="eastAsia" w:cs="Times New Roman"/>
                <w:sz w:val="24"/>
                <w:szCs w:val="24"/>
                <w:lang w:val="en-US" w:eastAsia="zh-CN"/>
              </w:rPr>
              <w:t>多功能集控互动桌</w:t>
            </w:r>
          </w:p>
        </w:tc>
        <w:tc>
          <w:tcPr>
            <w:tcW w:w="847" w:type="dxa"/>
            <w:noWrap w:val="0"/>
            <w:vAlign w:val="center"/>
          </w:tcPr>
          <w:p>
            <w:pPr>
              <w:bidi w:val="0"/>
              <w:spacing w:line="360" w:lineRule="auto"/>
              <w:jc w:val="center"/>
              <w:rPr>
                <w:rFonts w:hint="default" w:cs="Times New Roman"/>
                <w:sz w:val="24"/>
                <w:szCs w:val="24"/>
                <w:lang w:val="en-US" w:eastAsia="zh-CN"/>
              </w:rPr>
            </w:pPr>
            <w:r>
              <w:rPr>
                <w:rFonts w:hint="eastAsia" w:cs="Times New Roman"/>
                <w:sz w:val="24"/>
                <w:szCs w:val="24"/>
                <w:lang w:val="en-US" w:eastAsia="zh-CN"/>
              </w:rPr>
              <w:t>1</w:t>
            </w:r>
          </w:p>
        </w:tc>
        <w:tc>
          <w:tcPr>
            <w:tcW w:w="898" w:type="dxa"/>
            <w:noWrap w:val="0"/>
            <w:vAlign w:val="center"/>
          </w:tcPr>
          <w:p>
            <w:pPr>
              <w:bidi w:val="0"/>
              <w:spacing w:line="360" w:lineRule="auto"/>
              <w:jc w:val="center"/>
              <w:rPr>
                <w:rFonts w:hint="eastAsia" w:cs="Times New Roman"/>
                <w:sz w:val="24"/>
                <w:szCs w:val="24"/>
                <w:lang w:val="en-US" w:eastAsia="zh-CN"/>
              </w:rPr>
            </w:pPr>
            <w:r>
              <w:rPr>
                <w:rFonts w:hint="eastAsia" w:cs="Times New Roman"/>
                <w:sz w:val="24"/>
                <w:szCs w:val="24"/>
                <w:lang w:val="en-US" w:eastAsia="zh-CN"/>
              </w:rPr>
              <w:t>套</w:t>
            </w:r>
          </w:p>
        </w:tc>
        <w:tc>
          <w:tcPr>
            <w:tcW w:w="5119" w:type="dxa"/>
            <w:noWrap w:val="0"/>
            <w:vAlign w:val="center"/>
          </w:tcPr>
          <w:p>
            <w:pPr>
              <w:keepNext w:val="0"/>
              <w:keepLines w:val="0"/>
              <w:pageBreakBefore w:val="0"/>
              <w:widowControl w:val="0"/>
              <w:numPr>
                <w:ilvl w:val="0"/>
                <w:numId w:val="4"/>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显示模式：16:9</w:t>
            </w:r>
          </w:p>
          <w:p>
            <w:pPr>
              <w:keepNext w:val="0"/>
              <w:keepLines w:val="0"/>
              <w:pageBreakBefore w:val="0"/>
              <w:widowControl w:val="0"/>
              <w:numPr>
                <w:ilvl w:val="0"/>
                <w:numId w:val="4"/>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显示类型：LCD</w:t>
            </w:r>
          </w:p>
          <w:p>
            <w:pPr>
              <w:keepNext w:val="0"/>
              <w:keepLines w:val="0"/>
              <w:pageBreakBefore w:val="0"/>
              <w:widowControl w:val="0"/>
              <w:numPr>
                <w:ilvl w:val="0"/>
                <w:numId w:val="4"/>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分辨率：1920×1080</w:t>
            </w:r>
          </w:p>
          <w:p>
            <w:pPr>
              <w:keepNext w:val="0"/>
              <w:keepLines w:val="0"/>
              <w:pageBreakBefore w:val="0"/>
              <w:widowControl w:val="0"/>
              <w:numPr>
                <w:ilvl w:val="0"/>
                <w:numId w:val="4"/>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亮度：300cd/m²</w:t>
            </w:r>
          </w:p>
          <w:p>
            <w:pPr>
              <w:keepNext w:val="0"/>
              <w:keepLines w:val="0"/>
              <w:pageBreakBefore w:val="0"/>
              <w:widowControl w:val="0"/>
              <w:numPr>
                <w:ilvl w:val="0"/>
                <w:numId w:val="4"/>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对比度：1000:1</w:t>
            </w:r>
          </w:p>
          <w:p>
            <w:pPr>
              <w:keepNext w:val="0"/>
              <w:keepLines w:val="0"/>
              <w:pageBreakBefore w:val="0"/>
              <w:widowControl w:val="0"/>
              <w:numPr>
                <w:ilvl w:val="0"/>
                <w:numId w:val="4"/>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响应时间：≤10毫秒</w:t>
            </w:r>
          </w:p>
          <w:p>
            <w:pPr>
              <w:keepNext w:val="0"/>
              <w:keepLines w:val="0"/>
              <w:pageBreakBefore w:val="0"/>
              <w:widowControl w:val="0"/>
              <w:numPr>
                <w:ilvl w:val="0"/>
                <w:numId w:val="4"/>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场频：60Hz</w:t>
            </w:r>
          </w:p>
          <w:p>
            <w:pPr>
              <w:keepNext w:val="0"/>
              <w:keepLines w:val="0"/>
              <w:pageBreakBefore w:val="0"/>
              <w:widowControl w:val="0"/>
              <w:numPr>
                <w:ilvl w:val="0"/>
                <w:numId w:val="4"/>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触控点：≥10点</w:t>
            </w:r>
          </w:p>
          <w:p>
            <w:pPr>
              <w:keepNext w:val="0"/>
              <w:keepLines w:val="0"/>
              <w:pageBreakBefore w:val="0"/>
              <w:widowControl w:val="0"/>
              <w:numPr>
                <w:ilvl w:val="0"/>
                <w:numId w:val="4"/>
              </w:numPr>
              <w:kinsoku/>
              <w:wordWrap w:val="0"/>
              <w:overflowPunct/>
              <w:topLinePunct/>
              <w:autoSpaceDE/>
              <w:autoSpaceDN/>
              <w:bidi w:val="0"/>
              <w:adjustRightInd/>
              <w:snapToGrid/>
              <w:spacing w:line="360" w:lineRule="auto"/>
              <w:ind w:left="0" w:leftChars="0" w:firstLine="0" w:firstLineChars="0"/>
              <w:jc w:val="both"/>
              <w:textAlignment w:val="auto"/>
              <w:rPr>
                <w:rFonts w:hint="default" w:cs="Times New Roman"/>
                <w:sz w:val="24"/>
                <w:szCs w:val="24"/>
                <w:lang w:val="en-US" w:eastAsia="zh-CN"/>
              </w:rPr>
            </w:pPr>
            <w:r>
              <w:rPr>
                <w:rFonts w:hint="eastAsia" w:cs="Times New Roman"/>
                <w:sz w:val="24"/>
                <w:szCs w:val="24"/>
                <w:lang w:val="en-US" w:eastAsia="zh-CN"/>
              </w:rPr>
              <w:t>触摸精度：90%以上的触摸区域为±2mm</w:t>
            </w:r>
          </w:p>
        </w:tc>
      </w:tr>
    </w:tbl>
    <w:p>
      <w:pPr>
        <w:pStyle w:val="9"/>
        <w:bidi w:val="0"/>
        <w:rPr>
          <w:rFonts w:hint="eastAsia"/>
          <w:lang w:val="en-US" w:eastAsia="zh-CN"/>
        </w:rPr>
      </w:pPr>
      <w:r>
        <w:rPr>
          <w:rFonts w:hint="eastAsia"/>
          <w:lang w:val="en-US" w:eastAsia="zh-CN"/>
        </w:rPr>
        <w:t>文物裸眼3D展示系统</w:t>
      </w:r>
    </w:p>
    <w:p>
      <w:pPr>
        <w:pStyle w:val="11"/>
        <w:bidi w:val="0"/>
        <w:rPr>
          <w:rFonts w:hint="eastAsia" w:cs="Times New Roman"/>
          <w:lang w:val="en-US" w:eastAsia="zh-CN"/>
        </w:rPr>
      </w:pPr>
      <w:r>
        <w:rPr>
          <w:rFonts w:hint="eastAsia" w:cs="Times New Roman"/>
          <w:lang w:val="en-US" w:eastAsia="zh-CN"/>
        </w:rPr>
        <w:t>通过裸眼立体镜框搭建1套文物数字积木台，对土尔扈特银印文物进行数字解读内容展示，弥补因借展、修复、保护等造成的展览文物空缺，并通过二三维影像手段解读文物内涵。使观众无需佩戴任何辅助设备即可看到立体的3D效果、获取文物数字解读内容，为观众提供一种全新的文物解读观看体验。</w:t>
      </w:r>
    </w:p>
    <w:p>
      <w:pPr>
        <w:pStyle w:val="10"/>
        <w:bidi w:val="0"/>
        <w:rPr>
          <w:rFonts w:hint="eastAsia"/>
        </w:rPr>
      </w:pPr>
      <w:r>
        <w:rPr>
          <w:rFonts w:hint="eastAsia"/>
        </w:rPr>
        <w:t>全息数字解读内容制作</w:t>
      </w:r>
      <w:r>
        <w:rPr>
          <w:rFonts w:hint="eastAsia"/>
          <w:lang w:val="en-US" w:eastAsia="zh-CN"/>
        </w:rPr>
        <w:t>要求</w:t>
      </w:r>
    </w:p>
    <w:p>
      <w:pPr>
        <w:pStyle w:val="11"/>
        <w:bidi w:val="0"/>
        <w:rPr>
          <w:rFonts w:hint="eastAsia"/>
          <w:lang w:val="en-US" w:eastAsia="zh-CN"/>
        </w:rPr>
      </w:pPr>
      <w:r>
        <w:rPr>
          <w:rFonts w:hint="eastAsia"/>
          <w:lang w:val="en-US" w:eastAsia="zh-CN"/>
        </w:rPr>
        <w:t>结合已有的三维数字化采集成果，应用裸眼3D展示技术及交互感应手段，对保存藏品进行虚拟还原，观众可以立体地欣赏到铜镜的外形、细节，了解到正常参观无法看到的3D文物结构，清晰地看清文物全貌。</w:t>
      </w:r>
    </w:p>
    <w:p>
      <w:pPr>
        <w:pStyle w:val="11"/>
        <w:bidi w:val="0"/>
        <w:rPr>
          <w:rFonts w:hint="eastAsia"/>
          <w:lang w:val="en-US" w:eastAsia="zh-CN"/>
        </w:rPr>
      </w:pPr>
      <w:r>
        <w:rPr>
          <w:rFonts w:hint="eastAsia"/>
          <w:lang w:val="en-US" w:eastAsia="zh-CN"/>
        </w:rPr>
        <w:t>提取文物大小、形态、纹饰、线图等物理特征要素，通过文字、语音、动画、数字多媒体等方式，从历史渊源、制作、工艺、用途、线图等方面，向观众进行铜镜文化内涵讲解和进行阐释，来增强信息的传递效果。并说明中原地区与西域在文化、经贸、审美上的往来交融，挖掘出昌吉与祖国中原地区融合发展的背后内涵，以实现更高层次的呈现展示。</w:t>
      </w:r>
    </w:p>
    <w:p>
      <w:pPr>
        <w:pStyle w:val="10"/>
        <w:bidi w:val="0"/>
        <w:rPr>
          <w:rFonts w:hint="eastAsia"/>
          <w:lang w:val="en-US" w:eastAsia="zh-CN"/>
        </w:rPr>
      </w:pPr>
      <w:r>
        <w:rPr>
          <w:rFonts w:hint="eastAsia"/>
          <w:lang w:val="en-US" w:eastAsia="zh-CN"/>
        </w:rPr>
        <w:t>硬件配置要求</w:t>
      </w:r>
    </w:p>
    <w:tbl>
      <w:tblPr>
        <w:tblStyle w:val="24"/>
        <w:tblW w:w="8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916"/>
        <w:gridCol w:w="927"/>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5" w:type="dxa"/>
            <w:noWrap w:val="0"/>
            <w:vAlign w:val="center"/>
          </w:tcPr>
          <w:p>
            <w:pPr>
              <w:bidi w:val="0"/>
              <w:spacing w:line="360" w:lineRule="auto"/>
              <w:jc w:val="center"/>
              <w:rPr>
                <w:rFonts w:hint="default"/>
                <w:sz w:val="24"/>
                <w:szCs w:val="24"/>
                <w:lang w:val="en-US" w:eastAsia="zh-CN"/>
              </w:rPr>
            </w:pPr>
            <w:r>
              <w:rPr>
                <w:rFonts w:hint="eastAsia"/>
                <w:sz w:val="24"/>
                <w:szCs w:val="24"/>
                <w:lang w:val="en-US" w:eastAsia="zh-CN"/>
              </w:rPr>
              <w:t>设备名称</w:t>
            </w:r>
          </w:p>
        </w:tc>
        <w:tc>
          <w:tcPr>
            <w:tcW w:w="916" w:type="dxa"/>
            <w:noWrap w:val="0"/>
            <w:vAlign w:val="center"/>
          </w:tcPr>
          <w:p>
            <w:pPr>
              <w:bidi w:val="0"/>
              <w:spacing w:line="360" w:lineRule="auto"/>
              <w:jc w:val="center"/>
              <w:rPr>
                <w:rFonts w:hint="default"/>
                <w:sz w:val="24"/>
                <w:szCs w:val="24"/>
                <w:lang w:val="en-US" w:eastAsia="zh-CN"/>
              </w:rPr>
            </w:pPr>
            <w:r>
              <w:rPr>
                <w:rFonts w:hint="eastAsia"/>
                <w:sz w:val="24"/>
                <w:szCs w:val="24"/>
                <w:lang w:val="en-US" w:eastAsia="zh-CN"/>
              </w:rPr>
              <w:t>数量</w:t>
            </w:r>
          </w:p>
        </w:tc>
        <w:tc>
          <w:tcPr>
            <w:tcW w:w="927" w:type="dxa"/>
            <w:noWrap w:val="0"/>
            <w:vAlign w:val="center"/>
          </w:tcPr>
          <w:p>
            <w:pPr>
              <w:bidi w:val="0"/>
              <w:spacing w:line="360" w:lineRule="auto"/>
              <w:jc w:val="center"/>
              <w:rPr>
                <w:rFonts w:hint="default"/>
                <w:sz w:val="24"/>
                <w:szCs w:val="24"/>
                <w:lang w:val="en-US" w:eastAsia="zh-CN"/>
              </w:rPr>
            </w:pPr>
            <w:r>
              <w:rPr>
                <w:rFonts w:hint="eastAsia"/>
                <w:sz w:val="24"/>
                <w:szCs w:val="24"/>
                <w:lang w:val="en-US" w:eastAsia="zh-CN"/>
              </w:rPr>
              <w:t>单位</w:t>
            </w:r>
          </w:p>
        </w:tc>
        <w:tc>
          <w:tcPr>
            <w:tcW w:w="4500" w:type="dxa"/>
            <w:noWrap w:val="0"/>
            <w:vAlign w:val="center"/>
          </w:tcPr>
          <w:p>
            <w:pPr>
              <w:bidi w:val="0"/>
              <w:spacing w:line="360" w:lineRule="auto"/>
              <w:jc w:val="center"/>
              <w:rPr>
                <w:rFonts w:hint="default"/>
                <w:sz w:val="24"/>
                <w:szCs w:val="24"/>
                <w:lang w:val="en-US" w:eastAsia="zh-CN"/>
              </w:rPr>
            </w:pPr>
            <w:r>
              <w:rPr>
                <w:rFonts w:hint="eastAsia"/>
                <w:sz w:val="24"/>
                <w:szCs w:val="24"/>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5" w:type="dxa"/>
            <w:noWrap w:val="0"/>
            <w:vAlign w:val="center"/>
          </w:tcPr>
          <w:p>
            <w:pPr>
              <w:bidi w:val="0"/>
              <w:spacing w:line="360" w:lineRule="auto"/>
              <w:jc w:val="center"/>
              <w:rPr>
                <w:rFonts w:hint="eastAsia" w:cs="Times New Roman"/>
                <w:sz w:val="24"/>
                <w:szCs w:val="24"/>
                <w:lang w:val="en-US" w:eastAsia="zh-CN"/>
              </w:rPr>
            </w:pPr>
            <w:r>
              <w:rPr>
                <w:rFonts w:hint="eastAsia" w:cs="Times New Roman"/>
                <w:sz w:val="24"/>
                <w:szCs w:val="24"/>
                <w:lang w:val="en-US" w:eastAsia="zh-CN"/>
              </w:rPr>
              <w:t>裸眼3D文物数字积木台</w:t>
            </w:r>
          </w:p>
        </w:tc>
        <w:tc>
          <w:tcPr>
            <w:tcW w:w="916" w:type="dxa"/>
            <w:noWrap w:val="0"/>
            <w:vAlign w:val="center"/>
          </w:tcPr>
          <w:p>
            <w:pPr>
              <w:bidi w:val="0"/>
              <w:spacing w:line="360" w:lineRule="auto"/>
              <w:jc w:val="center"/>
              <w:rPr>
                <w:rFonts w:hint="default" w:cs="Times New Roman"/>
                <w:sz w:val="24"/>
                <w:szCs w:val="24"/>
                <w:lang w:val="en-US" w:eastAsia="zh-CN"/>
              </w:rPr>
            </w:pPr>
            <w:r>
              <w:rPr>
                <w:rFonts w:hint="eastAsia" w:cs="Times New Roman"/>
                <w:sz w:val="24"/>
                <w:szCs w:val="24"/>
                <w:lang w:val="en-US" w:eastAsia="zh-CN"/>
              </w:rPr>
              <w:t>1</w:t>
            </w:r>
          </w:p>
        </w:tc>
        <w:tc>
          <w:tcPr>
            <w:tcW w:w="927" w:type="dxa"/>
            <w:noWrap w:val="0"/>
            <w:vAlign w:val="center"/>
          </w:tcPr>
          <w:p>
            <w:pPr>
              <w:bidi w:val="0"/>
              <w:spacing w:line="360" w:lineRule="auto"/>
              <w:jc w:val="center"/>
              <w:rPr>
                <w:rFonts w:hint="eastAsia" w:cs="Times New Roman"/>
                <w:sz w:val="24"/>
                <w:szCs w:val="24"/>
                <w:lang w:val="en-US" w:eastAsia="zh-CN"/>
              </w:rPr>
            </w:pPr>
            <w:r>
              <w:rPr>
                <w:rFonts w:hint="eastAsia" w:cs="Times New Roman"/>
                <w:sz w:val="24"/>
                <w:szCs w:val="24"/>
                <w:lang w:val="en-US" w:eastAsia="zh-CN"/>
              </w:rPr>
              <w:t>套</w:t>
            </w:r>
          </w:p>
        </w:tc>
        <w:tc>
          <w:tcPr>
            <w:tcW w:w="4500" w:type="dxa"/>
            <w:noWrap w:val="0"/>
            <w:vAlign w:val="center"/>
          </w:tcPr>
          <w:p>
            <w:pPr>
              <w:bidi w:val="0"/>
              <w:spacing w:line="360" w:lineRule="auto"/>
              <w:jc w:val="both"/>
              <w:rPr>
                <w:rFonts w:hint="eastAsia" w:cs="Times New Roman"/>
                <w:sz w:val="24"/>
                <w:szCs w:val="24"/>
                <w:lang w:val="en-US" w:eastAsia="zh-CN"/>
              </w:rPr>
            </w:pPr>
            <w:r>
              <w:rPr>
                <w:rFonts w:hint="eastAsia" w:cs="Times New Roman"/>
                <w:sz w:val="24"/>
                <w:szCs w:val="24"/>
                <w:lang w:val="en-US" w:eastAsia="zh-CN"/>
              </w:rPr>
              <w:t>定制积木台及裸眼全息显示装置、改造等，配置定向音箱。</w:t>
            </w:r>
          </w:p>
        </w:tc>
      </w:tr>
    </w:tbl>
    <w:p>
      <w:pPr>
        <w:pStyle w:val="9"/>
        <w:bidi w:val="0"/>
        <w:rPr>
          <w:rFonts w:hint="eastAsia"/>
          <w:highlight w:val="none"/>
          <w:lang w:val="en-US" w:eastAsia="zh-CN"/>
        </w:rPr>
      </w:pPr>
      <w:r>
        <w:rPr>
          <w:rFonts w:hint="eastAsia"/>
          <w:highlight w:val="none"/>
          <w:lang w:val="en-US" w:eastAsia="zh-CN"/>
        </w:rPr>
        <w:t>北庭故城数字再现沉浸展示</w:t>
      </w:r>
    </w:p>
    <w:p>
      <w:pPr>
        <w:ind w:firstLine="420" w:firstLineChars="200"/>
        <w:rPr>
          <w:rFonts w:hint="eastAsia"/>
          <w:lang w:val="en-US" w:eastAsia="zh-CN"/>
        </w:rPr>
      </w:pPr>
      <w:r>
        <w:rPr>
          <w:rFonts w:hint="eastAsia"/>
          <w:lang w:val="en-US" w:eastAsia="zh-CN"/>
        </w:rPr>
        <w:t>结合北庭故城遗址考古发掘数据，制作北庭故城遗址及出土文物沉浸式数字内容，融合置入到昌吉州博物馆已有五面LED屏沉浸式考古体验中心展示之中。并根据目前的五面体空间展示系统环境，配置融合演绎内容、优化UI界面、调整数据参数等，通过故事讲述、沉浸式互动体验方式，让观众深入了解北庭故城的历史和文化。以保持现有硬件高质量的持续内容更新，以及对重要遗址考古发现和研究成果的及时转化，更好地履行博物馆的文化传播和社会教育职能。</w:t>
      </w:r>
    </w:p>
    <w:p>
      <w:pPr>
        <w:pStyle w:val="11"/>
        <w:bidi w:val="0"/>
        <w:rPr>
          <w:rFonts w:hint="eastAsia" w:eastAsia="仿宋"/>
          <w:lang w:eastAsia="zh-CN"/>
        </w:rPr>
      </w:pPr>
      <w:r>
        <w:rPr>
          <w:rFonts w:hint="eastAsia"/>
        </w:rPr>
        <w:t>内容设计基于北庭故城遗址和文物考古发掘三维实景数据，以考古数字化成果为核心数据进行沉浸式高精度三维互动体验场景开发、数字内容制作。结合连贯的叙述路径与影视化的特效处理，完成动态沉浸式的文物表达与故事呈现，实现北庭故城遗址场景的虚拟穿越、沉浸式深度漫游参观，并予以公众文化遗产研学教育体验。</w:t>
      </w:r>
      <w:r>
        <w:rPr>
          <w:rFonts w:hint="eastAsia"/>
          <w:lang w:eastAsia="zh-CN"/>
        </w:rPr>
        <w:t>（</w:t>
      </w:r>
      <w:r>
        <w:rPr>
          <w:rFonts w:hint="eastAsia"/>
          <w:lang w:val="en-US" w:eastAsia="zh-CN"/>
        </w:rPr>
        <w:t>体验时长不少于4分钟</w:t>
      </w:r>
      <w:r>
        <w:rPr>
          <w:rFonts w:hint="eastAsia"/>
          <w:lang w:eastAsia="zh-CN"/>
        </w:rPr>
        <w:t>）</w:t>
      </w:r>
    </w:p>
    <w:p>
      <w:pPr>
        <w:pStyle w:val="11"/>
        <w:bidi w:val="0"/>
        <w:ind w:left="0" w:leftChars="0" w:firstLine="420" w:firstLineChars="200"/>
        <w:rPr>
          <w:rFonts w:hint="eastAsia"/>
        </w:rPr>
      </w:pPr>
      <w:r>
        <w:rPr>
          <w:rFonts w:hint="eastAsia"/>
        </w:rPr>
        <w:t>三维展示内容</w:t>
      </w:r>
      <w:r>
        <w:rPr>
          <w:rFonts w:hint="eastAsia"/>
          <w:lang w:val="en-US" w:eastAsia="zh-CN"/>
        </w:rPr>
        <w:t>要求如下</w:t>
      </w:r>
      <w:r>
        <w:rPr>
          <w:rFonts w:hint="eastAsia"/>
        </w:rPr>
        <w:t>：</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4" w:type="dxa"/>
            <w:noWrap w:val="0"/>
            <w:vAlign w:val="center"/>
          </w:tcPr>
          <w:p>
            <w:pPr>
              <w:bidi w:val="0"/>
              <w:jc w:val="center"/>
              <w:rPr>
                <w:rFonts w:hint="default"/>
                <w:lang w:val="en-US" w:eastAsia="zh-CN"/>
              </w:rPr>
            </w:pPr>
            <w:r>
              <w:rPr>
                <w:rFonts w:hint="eastAsia"/>
                <w:lang w:val="en-US" w:eastAsia="zh-CN"/>
              </w:rPr>
              <w:t>展示内容</w:t>
            </w:r>
          </w:p>
        </w:tc>
        <w:tc>
          <w:tcPr>
            <w:tcW w:w="5878" w:type="dxa"/>
            <w:noWrap w:val="0"/>
            <w:vAlign w:val="center"/>
          </w:tcPr>
          <w:p>
            <w:pPr>
              <w:bidi w:val="0"/>
              <w:jc w:val="center"/>
              <w:rPr>
                <w:rFonts w:hint="default"/>
                <w:lang w:val="en-US" w:eastAsia="zh-CN"/>
              </w:rPr>
            </w:pPr>
            <w:r>
              <w:rPr>
                <w:rFonts w:hint="eastAsia"/>
                <w:lang w:val="en-US" w:eastAsia="zh-CN"/>
              </w:rPr>
              <w:t>内容制作要求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4" w:type="dxa"/>
            <w:noWrap w:val="0"/>
            <w:vAlign w:val="center"/>
          </w:tcPr>
          <w:p>
            <w:pPr>
              <w:bidi w:val="0"/>
              <w:jc w:val="center"/>
              <w:rPr>
                <w:rFonts w:hint="eastAsia"/>
              </w:rPr>
            </w:pPr>
            <w:bookmarkStart w:id="208" w:name="_Toc162646574"/>
            <w:r>
              <w:rPr>
                <w:rFonts w:hint="eastAsia"/>
              </w:rPr>
              <w:t>北庭故城城址整体空间布局</w:t>
            </w:r>
            <w:bookmarkEnd w:id="208"/>
          </w:p>
        </w:tc>
        <w:tc>
          <w:tcPr>
            <w:tcW w:w="5878" w:type="dxa"/>
            <w:noWrap w:val="0"/>
            <w:vAlign w:val="center"/>
          </w:tcPr>
          <w:p>
            <w:pPr>
              <w:bidi w:val="0"/>
              <w:jc w:val="both"/>
              <w:rPr>
                <w:rFonts w:hint="eastAsia"/>
              </w:rPr>
            </w:pPr>
            <w:r>
              <w:rPr>
                <w:rFonts w:hint="eastAsia"/>
              </w:rPr>
              <w:t>进行北庭故城</w:t>
            </w:r>
            <w:r>
              <w:t>遗址</w:t>
            </w:r>
            <w:r>
              <w:rPr>
                <w:rFonts w:hint="eastAsia"/>
              </w:rPr>
              <w:t>GIS地图、</w:t>
            </w:r>
            <w:r>
              <w:t>大环境鸟瞰数据展示：包括城址范围、空间布局、地理地貌环境及相关介绍等</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4" w:type="dxa"/>
            <w:noWrap w:val="0"/>
            <w:vAlign w:val="center"/>
          </w:tcPr>
          <w:p>
            <w:pPr>
              <w:bidi w:val="0"/>
              <w:jc w:val="center"/>
              <w:rPr>
                <w:rFonts w:hint="eastAsia"/>
              </w:rPr>
            </w:pPr>
            <w:r>
              <w:rPr>
                <w:rFonts w:hint="eastAsia"/>
              </w:rPr>
              <w:t>北庭故城城址整体形制结构</w:t>
            </w:r>
            <w:r>
              <w:t>、</w:t>
            </w:r>
            <w:r>
              <w:rPr>
                <w:rFonts w:hint="eastAsia"/>
              </w:rPr>
              <w:t>建筑技艺、文物遗存呈现</w:t>
            </w:r>
          </w:p>
        </w:tc>
        <w:tc>
          <w:tcPr>
            <w:tcW w:w="5878" w:type="dxa"/>
            <w:noWrap w:val="0"/>
            <w:vAlign w:val="center"/>
          </w:tcPr>
          <w:p>
            <w:pPr>
              <w:bidi w:val="0"/>
              <w:jc w:val="both"/>
              <w:rPr>
                <w:rFonts w:hint="eastAsia"/>
              </w:rPr>
            </w:pPr>
            <w:r>
              <w:rPr>
                <w:rFonts w:hint="eastAsia"/>
              </w:rPr>
              <w:t>根据历史资料和考古发现，对内、外城及水系包括墙体、马面、角楼、敌台、城门、城濠、建筑址、道路等建筑基址或遗存细节进行三维数字内容制作，在三维场景中再现这些建筑的特殊形制结构和建筑技艺。观众跟随漫游视角进入北庭遗址内部，仿佛亲身进入古城，可以近距离互动观看结构形制、建造艺术、内部遗存细节、出土文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4" w:type="dxa"/>
            <w:noWrap w:val="0"/>
            <w:vAlign w:val="center"/>
          </w:tcPr>
          <w:p>
            <w:pPr>
              <w:bidi w:val="0"/>
              <w:jc w:val="center"/>
              <w:rPr>
                <w:rFonts w:hint="eastAsia"/>
              </w:rPr>
            </w:pPr>
            <w:r>
              <w:rPr>
                <w:rFonts w:hint="eastAsia"/>
              </w:rPr>
              <w:t>北庭高昌回鹘佛寺遗址（北庭西寺）塑像及壁画热点漫游</w:t>
            </w:r>
          </w:p>
        </w:tc>
        <w:tc>
          <w:tcPr>
            <w:tcW w:w="5878" w:type="dxa"/>
            <w:noWrap w:val="0"/>
            <w:vAlign w:val="center"/>
          </w:tcPr>
          <w:p>
            <w:pPr>
              <w:bidi w:val="0"/>
              <w:jc w:val="both"/>
              <w:rPr>
                <w:rFonts w:hint="eastAsia"/>
              </w:rPr>
            </w:pPr>
            <w:r>
              <w:rPr>
                <w:rFonts w:hint="eastAsia"/>
              </w:rPr>
              <w:t>基于采集数据及学术研究成果，制作五</w:t>
            </w:r>
            <w:r>
              <w:rPr>
                <w:rFonts w:hint="eastAsia"/>
                <w:lang w:val="en-US" w:eastAsia="zh-CN"/>
              </w:rPr>
              <w:t>面体</w:t>
            </w:r>
            <w:r>
              <w:rPr>
                <w:rFonts w:hint="eastAsia"/>
              </w:rPr>
              <w:t>空间内西寺虚拟复原高精度三维数据互动展示场景，进行西寺遗址高精度三维虚拟复原，包括洞龛、配殿及内部塑像、壁画解读等二三维数字互动热点信息。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4" w:type="dxa"/>
            <w:noWrap w:val="0"/>
            <w:vAlign w:val="center"/>
          </w:tcPr>
          <w:p>
            <w:pPr>
              <w:bidi w:val="0"/>
              <w:jc w:val="center"/>
              <w:rPr>
                <w:rFonts w:hint="eastAsia"/>
              </w:rPr>
            </w:pPr>
            <w:bookmarkStart w:id="209" w:name="_Toc162646575"/>
            <w:r>
              <w:rPr>
                <w:rFonts w:hint="eastAsia"/>
              </w:rPr>
              <w:t>珍贵考古出土文物互动</w:t>
            </w:r>
            <w:bookmarkEnd w:id="209"/>
            <w:r>
              <w:rPr>
                <w:rFonts w:hint="eastAsia"/>
              </w:rPr>
              <w:t>解读</w:t>
            </w:r>
          </w:p>
        </w:tc>
        <w:tc>
          <w:tcPr>
            <w:tcW w:w="5878" w:type="dxa"/>
            <w:noWrap w:val="0"/>
            <w:vAlign w:val="center"/>
          </w:tcPr>
          <w:p>
            <w:pPr>
              <w:bidi w:val="0"/>
              <w:jc w:val="both"/>
              <w:rPr>
                <w:rFonts w:hint="eastAsia"/>
              </w:rPr>
            </w:pPr>
            <w:r>
              <w:rPr>
                <w:rFonts w:hint="eastAsia"/>
              </w:rPr>
              <w:t>利用互动辅助设备，可以互动展示文物模型，形成微距看文物的视觉效果，并进行不少于8件文物特征及内涵的数字解读。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4" w:type="dxa"/>
            <w:noWrap w:val="0"/>
            <w:vAlign w:val="center"/>
          </w:tcPr>
          <w:p>
            <w:pPr>
              <w:bidi w:val="0"/>
              <w:jc w:val="center"/>
              <w:rPr>
                <w:rFonts w:hint="eastAsia"/>
              </w:rPr>
            </w:pPr>
            <w:bookmarkStart w:id="210" w:name="_Toc162646576"/>
            <w:r>
              <w:rPr>
                <w:rFonts w:hint="eastAsia"/>
              </w:rPr>
              <w:t>丝绸之路上的东西方文化交流、交融、传播成果</w:t>
            </w:r>
            <w:bookmarkEnd w:id="210"/>
            <w:r>
              <w:rPr>
                <w:rFonts w:hint="eastAsia"/>
              </w:rPr>
              <w:t>展示</w:t>
            </w:r>
          </w:p>
        </w:tc>
        <w:tc>
          <w:tcPr>
            <w:tcW w:w="5878" w:type="dxa"/>
            <w:noWrap w:val="0"/>
            <w:vAlign w:val="center"/>
          </w:tcPr>
          <w:p>
            <w:pPr>
              <w:bidi w:val="0"/>
              <w:jc w:val="both"/>
              <w:rPr>
                <w:rFonts w:hint="eastAsia"/>
              </w:rPr>
            </w:pPr>
            <w:r>
              <w:rPr>
                <w:rFonts w:hint="eastAsia"/>
              </w:rPr>
              <w:t>通过历史场景重现或互动地图、动画制作，结合音视频、图文等多媒体内容融合，讲述这些遗址的历史故事、文化内涵和艺术价值，强调多民族文化的和谐共生和不同宗教信仰的共存，体现丝绸之路上的文化交流和融合。通过数字沉浸式展示，让观众更好地理解和欣赏北庭故城作为丝绸之路上的重要节点所具有的多元文化价值，以此来达到文化传承展示的目的。</w:t>
            </w:r>
          </w:p>
        </w:tc>
      </w:tr>
    </w:tbl>
    <w:p>
      <w:pPr>
        <w:pStyle w:val="8"/>
        <w:tabs>
          <w:tab w:val="left" w:pos="0"/>
        </w:tabs>
        <w:bidi w:val="0"/>
        <w:rPr>
          <w:rFonts w:hint="eastAsia"/>
          <w:lang w:val="en-US" w:eastAsia="zh-CN"/>
        </w:rPr>
      </w:pPr>
      <w:r>
        <w:rPr>
          <w:rFonts w:hint="eastAsia"/>
          <w:lang w:val="en-US" w:eastAsia="zh-CN"/>
        </w:rPr>
        <w:t>博物馆数字化社教体验课程建设</w:t>
      </w:r>
    </w:p>
    <w:p>
      <w:pPr>
        <w:pStyle w:val="9"/>
        <w:bidi w:val="0"/>
        <w:rPr>
          <w:rFonts w:hint="eastAsia" w:cs="Times New Roman"/>
          <w:lang w:val="en-US" w:eastAsia="zh-CN"/>
        </w:rPr>
      </w:pPr>
      <w:r>
        <w:rPr>
          <w:rFonts w:hint="eastAsia" w:cs="Times New Roman"/>
          <w:lang w:val="en-US" w:eastAsia="zh-CN"/>
        </w:rPr>
        <w:t>康家石门子岩画历史文化探索体验课程</w:t>
      </w:r>
    </w:p>
    <w:p>
      <w:pPr>
        <w:ind w:firstLine="420" w:firstLineChars="200"/>
        <w:rPr>
          <w:rFonts w:hint="eastAsia"/>
          <w:lang w:val="en-US" w:eastAsia="zh-CN"/>
        </w:rPr>
      </w:pPr>
      <w:r>
        <w:rPr>
          <w:rFonts w:hint="eastAsia"/>
          <w:lang w:val="en-US" w:eastAsia="zh-CN"/>
        </w:rPr>
        <w:t>以馆藏岩画资源为元素，结合岩画数字雕刻、虚拟拓印和手工美术，进行跨学科、探究式、实践性的博物馆社教课程制作，增强参与感和体验感的同时，实现青少年对岩画艺术的认识、文化传承和美育教育。</w:t>
      </w:r>
    </w:p>
    <w:p>
      <w:pPr>
        <w:pStyle w:val="10"/>
        <w:bidi w:val="0"/>
        <w:rPr>
          <w:rFonts w:hint="eastAsia"/>
          <w:lang w:val="en-US" w:eastAsia="zh-CN"/>
        </w:rPr>
      </w:pPr>
      <w:r>
        <w:rPr>
          <w:rFonts w:hint="eastAsia"/>
          <w:lang w:val="en-US" w:eastAsia="zh-CN"/>
        </w:rPr>
        <w:t>课程内容制作要求</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noWrap w:val="0"/>
            <w:vAlign w:val="center"/>
          </w:tcPr>
          <w:p>
            <w:pPr>
              <w:bidi w:val="0"/>
              <w:jc w:val="center"/>
              <w:rPr>
                <w:rFonts w:hint="default"/>
                <w:lang w:val="en-US" w:eastAsia="zh-CN"/>
              </w:rPr>
            </w:pPr>
            <w:r>
              <w:rPr>
                <w:rFonts w:hint="eastAsia"/>
                <w:lang w:val="en-US" w:eastAsia="zh-CN"/>
              </w:rPr>
              <w:t>课程内容</w:t>
            </w:r>
          </w:p>
        </w:tc>
        <w:tc>
          <w:tcPr>
            <w:tcW w:w="7111" w:type="dxa"/>
            <w:noWrap w:val="0"/>
            <w:vAlign w:val="center"/>
          </w:tcPr>
          <w:p>
            <w:pPr>
              <w:bidi w:val="0"/>
              <w:jc w:val="center"/>
              <w:rPr>
                <w:rFonts w:hint="default"/>
                <w:lang w:val="en-US" w:eastAsia="zh-CN"/>
              </w:rPr>
            </w:pPr>
            <w:r>
              <w:rPr>
                <w:rFonts w:hint="eastAsia"/>
                <w:lang w:val="en-US" w:eastAsia="zh-CN"/>
              </w:rPr>
              <w:t>课程内容制作要求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noWrap w:val="0"/>
            <w:vAlign w:val="center"/>
          </w:tcPr>
          <w:p>
            <w:pPr>
              <w:bidi w:val="0"/>
              <w:jc w:val="center"/>
              <w:rPr>
                <w:rFonts w:hint="eastAsia"/>
                <w:lang w:val="en-US" w:eastAsia="zh-CN"/>
              </w:rPr>
            </w:pPr>
            <w:r>
              <w:rPr>
                <w:rFonts w:hint="eastAsia"/>
                <w:lang w:val="en-US" w:eastAsia="zh-CN"/>
              </w:rPr>
              <w:t>主题设计</w:t>
            </w:r>
          </w:p>
        </w:tc>
        <w:tc>
          <w:tcPr>
            <w:tcW w:w="7111" w:type="dxa"/>
            <w:noWrap w:val="0"/>
            <w:vAlign w:val="center"/>
          </w:tcPr>
          <w:p>
            <w:pPr>
              <w:bidi w:val="0"/>
              <w:jc w:val="both"/>
              <w:rPr>
                <w:rFonts w:hint="eastAsia"/>
                <w:lang w:val="en-US" w:eastAsia="zh-CN"/>
              </w:rPr>
            </w:pPr>
            <w:r>
              <w:rPr>
                <w:rFonts w:hint="eastAsia"/>
                <w:lang w:val="en-US" w:eastAsia="zh-CN"/>
              </w:rPr>
              <w:t>时光印记·岩画历史文化探索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noWrap w:val="0"/>
            <w:vAlign w:val="center"/>
          </w:tcPr>
          <w:p>
            <w:pPr>
              <w:bidi w:val="0"/>
              <w:jc w:val="center"/>
              <w:rPr>
                <w:rFonts w:hint="eastAsia"/>
                <w:lang w:val="en-US" w:eastAsia="zh-CN"/>
              </w:rPr>
            </w:pPr>
            <w:r>
              <w:rPr>
                <w:rFonts w:hint="eastAsia"/>
                <w:lang w:val="en-US" w:eastAsia="zh-CN"/>
              </w:rPr>
              <w:t>元素应用</w:t>
            </w:r>
          </w:p>
        </w:tc>
        <w:tc>
          <w:tcPr>
            <w:tcW w:w="7111" w:type="dxa"/>
            <w:noWrap w:val="0"/>
            <w:vAlign w:val="center"/>
          </w:tcPr>
          <w:p>
            <w:pPr>
              <w:bidi w:val="0"/>
              <w:jc w:val="both"/>
              <w:rPr>
                <w:rFonts w:hint="eastAsia"/>
                <w:lang w:val="en-US" w:eastAsia="zh-CN"/>
              </w:rPr>
            </w:pPr>
            <w:r>
              <w:rPr>
                <w:rFonts w:hint="eastAsia"/>
                <w:lang w:val="en-US" w:eastAsia="zh-CN"/>
              </w:rPr>
              <w:t>以昌吉典型岩画资源为设计原型，提取人物、动物、文字元素进行课程材料包、数字体验课程内容的设计、制作。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noWrap w:val="0"/>
            <w:vAlign w:val="center"/>
          </w:tcPr>
          <w:p>
            <w:pPr>
              <w:bidi w:val="0"/>
              <w:jc w:val="center"/>
              <w:rPr>
                <w:rFonts w:hint="eastAsia"/>
                <w:lang w:val="en-US" w:eastAsia="zh-CN"/>
              </w:rPr>
            </w:pPr>
            <w:r>
              <w:rPr>
                <w:rFonts w:hint="eastAsia"/>
              </w:rPr>
              <w:t>课程资源包</w:t>
            </w:r>
          </w:p>
        </w:tc>
        <w:tc>
          <w:tcPr>
            <w:tcW w:w="7111" w:type="dxa"/>
            <w:noWrap w:val="0"/>
            <w:vAlign w:val="center"/>
          </w:tcPr>
          <w:p>
            <w:pPr>
              <w:bidi w:val="0"/>
              <w:jc w:val="both"/>
            </w:pPr>
            <w:r>
              <w:t>手绘</w:t>
            </w:r>
            <w:r>
              <w:rPr>
                <w:rFonts w:hint="eastAsia"/>
              </w:rPr>
              <w:t>昌吉</w:t>
            </w:r>
            <w:r>
              <w:t>岩画地理分布地图</w:t>
            </w:r>
            <w:r>
              <w:rPr>
                <w:rFonts w:hint="eastAsia"/>
              </w:rPr>
              <w:t>。</w:t>
            </w:r>
            <w:r>
              <w:t>介绍岩画的历史、地理分布、种类、风格、特点、文化意义等方面的基础知识</w:t>
            </w:r>
            <w:r>
              <w:rPr>
                <w:rFonts w:hint="eastAsia"/>
              </w:rPr>
              <w:t>。</w:t>
            </w:r>
          </w:p>
          <w:p>
            <w:pPr>
              <w:bidi w:val="0"/>
              <w:jc w:val="both"/>
              <w:rPr>
                <w:rFonts w:hint="eastAsia"/>
                <w:lang w:val="en-US" w:eastAsia="zh-CN"/>
              </w:rPr>
            </w:pPr>
            <w:r>
              <w:t>将岩画动物图像、行猎图像、放牧图像、舞蹈图像、</w:t>
            </w:r>
            <w:r>
              <w:rPr>
                <w:rFonts w:hint="eastAsia"/>
                <w:lang w:eastAsia="zh-CN"/>
              </w:rPr>
              <w:t>其他</w:t>
            </w:r>
            <w:r>
              <w:t>图像进行视觉可视化创作设计，形成其相关的绘画技艺、艺术特征、普世价值等艺术价值的课程素材内容</w:t>
            </w:r>
            <w:r>
              <w:rPr>
                <w:rFonts w:hint="eastAsia"/>
              </w:rPr>
              <w:t>，</w:t>
            </w:r>
            <w:r>
              <w:t>配合</w:t>
            </w:r>
            <w:r>
              <w:rPr>
                <w:rFonts w:hint="eastAsia"/>
              </w:rPr>
              <w:t>课程</w:t>
            </w:r>
            <w:r>
              <w:t>材料参与</w:t>
            </w:r>
            <w:r>
              <w:rPr>
                <w:rFonts w:hint="eastAsia"/>
              </w:rPr>
              <w:t>手工创意</w:t>
            </w:r>
            <w:r>
              <w:t>岩画制作</w:t>
            </w:r>
            <w:r>
              <w:rPr>
                <w:rFonts w:hint="eastAsia"/>
              </w:rPr>
              <w:t>，</w:t>
            </w:r>
            <w:r>
              <w:t>如凿刻、涂色、刷画等实践，体会到岩画制作的复杂性。此外，</w:t>
            </w:r>
            <w:r>
              <w:rPr>
                <w:rFonts w:hint="eastAsia"/>
              </w:rPr>
              <w:t>配合虚拟拓印体验材料，完成岩画拓印作品。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noWrap w:val="0"/>
            <w:vAlign w:val="center"/>
          </w:tcPr>
          <w:p>
            <w:pPr>
              <w:bidi w:val="0"/>
              <w:jc w:val="center"/>
              <w:rPr>
                <w:rFonts w:hint="eastAsia"/>
                <w:lang w:val="en-US" w:eastAsia="zh-CN"/>
              </w:rPr>
            </w:pPr>
            <w:r>
              <w:rPr>
                <w:rFonts w:hint="eastAsia"/>
              </w:rPr>
              <w:t>虚拟互动内容制作</w:t>
            </w:r>
          </w:p>
        </w:tc>
        <w:tc>
          <w:tcPr>
            <w:tcW w:w="7111" w:type="dxa"/>
            <w:noWrap w:val="0"/>
            <w:vAlign w:val="center"/>
          </w:tcPr>
          <w:p>
            <w:pPr>
              <w:bidi w:val="0"/>
              <w:jc w:val="both"/>
              <w:rPr>
                <w:rFonts w:hint="eastAsia" w:cs="Times New Roman"/>
              </w:rPr>
            </w:pPr>
            <w:r>
              <w:rPr>
                <w:rFonts w:hint="eastAsia" w:cs="Times New Roman"/>
              </w:rPr>
              <w:t>进行中华传统文化技艺模拟互动体验，包含</w:t>
            </w:r>
            <w:r>
              <w:rPr>
                <w:rFonts w:hint="eastAsia" w:cs="Times New Roman"/>
                <w:lang w:val="en-US" w:eastAsia="zh-CN"/>
              </w:rPr>
              <w:t>以下</w:t>
            </w:r>
            <w:r>
              <w:rPr>
                <w:rFonts w:hint="eastAsia" w:cs="Times New Roman"/>
              </w:rPr>
              <w:t>内容：</w:t>
            </w:r>
          </w:p>
          <w:p>
            <w:pPr>
              <w:bidi w:val="0"/>
              <w:jc w:val="both"/>
              <w:rPr>
                <w:rFonts w:hint="eastAsia" w:cs="Times New Roman"/>
              </w:rPr>
            </w:pPr>
            <w:r>
              <w:rPr>
                <w:rFonts w:hint="eastAsia" w:cs="Times New Roman"/>
                <w:lang w:val="en-US" w:eastAsia="zh-CN"/>
              </w:rPr>
              <w:t>1、</w:t>
            </w:r>
            <w:r>
              <w:rPr>
                <w:rFonts w:hint="eastAsia" w:cs="Times New Roman"/>
              </w:rPr>
              <w:t>岩画雕刻：</w:t>
            </w:r>
          </w:p>
          <w:p>
            <w:pPr>
              <w:numPr>
                <w:ilvl w:val="0"/>
                <w:numId w:val="0"/>
              </w:numPr>
              <w:bidi w:val="0"/>
              <w:ind w:firstLine="420" w:firstLineChars="200"/>
              <w:jc w:val="both"/>
            </w:pPr>
            <w:r>
              <w:t>创作岩画主题文化相关的三维场景，以数字手段模拟岩画制作的过程，让学生可以亲身体验古人制作岩画的工艺和技巧，以及制作岩画所需要的耐心和毅力。同时让用户在虚拟的岩画环境中进行互动式体验，例如模拟在岩石上刻画、用颜料在岩石上绘画、观赏岩画等</w:t>
            </w:r>
            <w:r>
              <w:rPr>
                <w:rFonts w:hint="eastAsia"/>
              </w:rPr>
              <w:t>。</w:t>
            </w:r>
          </w:p>
          <w:p>
            <w:pPr>
              <w:bidi w:val="0"/>
              <w:jc w:val="both"/>
            </w:pPr>
            <w:r>
              <w:rPr>
                <w:rFonts w:hint="eastAsia"/>
              </w:rPr>
              <w:t>设计岩画图案或采用简笔画技巧简化图案，提供不同的虚拟雕刻工具进行岩石表面岩画线条轮廓雕刻，模拟利用不同的雕刻技巧，比如敲、凿、刮、磨等，来创造出不同的纹理和层次，通过不同材质硬度的反馈让青少年感知到中华先民的伟大智慧。</w:t>
            </w:r>
          </w:p>
          <w:p>
            <w:pPr>
              <w:bidi w:val="0"/>
              <w:jc w:val="both"/>
            </w:pPr>
            <w:r>
              <w:rPr>
                <w:rFonts w:hint="eastAsia"/>
                <w:lang w:val="en-US" w:eastAsia="zh-CN"/>
              </w:rPr>
              <w:t>2、</w:t>
            </w:r>
            <w:r>
              <w:rPr>
                <w:rFonts w:hint="eastAsia"/>
              </w:rPr>
              <w:t>虚拟拓印：</w:t>
            </w:r>
          </w:p>
          <w:p>
            <w:pPr>
              <w:bidi w:val="0"/>
              <w:ind w:firstLine="420" w:firstLineChars="200"/>
              <w:jc w:val="both"/>
              <w:rPr>
                <w:rFonts w:hint="eastAsia"/>
                <w:lang w:val="en-US" w:eastAsia="zh-CN"/>
              </w:rPr>
            </w:pPr>
            <w:r>
              <w:t>在理解</w:t>
            </w:r>
            <w:r>
              <w:rPr>
                <w:rFonts w:hint="eastAsia"/>
              </w:rPr>
              <w:t>昌吉</w:t>
            </w:r>
            <w:r>
              <w:t>岩画艺术魅力的同时，结合数字互动拓印，以岩画数据库</w:t>
            </w:r>
            <w:r>
              <w:rPr>
                <w:rFonts w:hint="eastAsia"/>
              </w:rPr>
              <w:t>人物</w:t>
            </w:r>
            <w:r>
              <w:t>或动物图案、纹饰、网格内容为基础，公众可自由选择喜欢的内容进行拓印，模拟传统手工拓印，从实践中体验传统拓印的吸引力，感受中华工艺文化的传承，可进行自由创作和互动，将岩画融入现代元素，在探索传统艺术的魅力的同时，形成个性化、独特的文创产品</w:t>
            </w:r>
            <w:r>
              <w:rPr>
                <w:rFonts w:hint="eastAsia"/>
              </w:rPr>
              <w:t>。</w:t>
            </w:r>
          </w:p>
        </w:tc>
      </w:tr>
    </w:tbl>
    <w:p>
      <w:pPr>
        <w:pStyle w:val="10"/>
        <w:bidi w:val="0"/>
        <w:rPr>
          <w:rFonts w:hint="eastAsia"/>
          <w:lang w:val="en-US" w:eastAsia="zh-CN"/>
        </w:rPr>
      </w:pPr>
      <w:r>
        <w:rPr>
          <w:rFonts w:hint="eastAsia"/>
        </w:rPr>
        <w:t>硬件</w:t>
      </w:r>
      <w:r>
        <w:rPr>
          <w:rFonts w:hint="eastAsia"/>
          <w:lang w:val="en-US" w:eastAsia="zh-CN"/>
        </w:rPr>
        <w:t>配置要求</w:t>
      </w:r>
    </w:p>
    <w:tbl>
      <w:tblPr>
        <w:tblStyle w:val="24"/>
        <w:tblW w:w="8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847"/>
        <w:gridCol w:w="898"/>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noWrap w:val="0"/>
            <w:vAlign w:val="center"/>
          </w:tcPr>
          <w:p>
            <w:pPr>
              <w:bidi w:val="0"/>
              <w:jc w:val="center"/>
              <w:rPr>
                <w:rFonts w:hint="default"/>
                <w:sz w:val="24"/>
                <w:szCs w:val="24"/>
                <w:lang w:val="en-US" w:eastAsia="zh-CN"/>
              </w:rPr>
            </w:pPr>
            <w:r>
              <w:rPr>
                <w:rFonts w:hint="eastAsia" w:cs="Times New Roman"/>
                <w:lang w:val="en-US" w:eastAsia="zh-CN"/>
              </w:rPr>
              <w:t>设备名称</w:t>
            </w:r>
          </w:p>
        </w:tc>
        <w:tc>
          <w:tcPr>
            <w:tcW w:w="847" w:type="dxa"/>
            <w:noWrap w:val="0"/>
            <w:vAlign w:val="center"/>
          </w:tcPr>
          <w:p>
            <w:pPr>
              <w:bidi w:val="0"/>
              <w:jc w:val="center"/>
              <w:rPr>
                <w:rFonts w:hint="default"/>
                <w:sz w:val="24"/>
                <w:szCs w:val="24"/>
                <w:lang w:val="en-US" w:eastAsia="zh-CN"/>
              </w:rPr>
            </w:pPr>
            <w:r>
              <w:rPr>
                <w:rFonts w:hint="eastAsia" w:cs="Times New Roman"/>
                <w:lang w:val="en-US" w:eastAsia="zh-CN"/>
              </w:rPr>
              <w:t>数量</w:t>
            </w:r>
          </w:p>
        </w:tc>
        <w:tc>
          <w:tcPr>
            <w:tcW w:w="898" w:type="dxa"/>
            <w:noWrap w:val="0"/>
            <w:vAlign w:val="center"/>
          </w:tcPr>
          <w:p>
            <w:pPr>
              <w:bidi w:val="0"/>
              <w:jc w:val="center"/>
              <w:rPr>
                <w:rFonts w:hint="default"/>
                <w:sz w:val="24"/>
                <w:szCs w:val="24"/>
                <w:lang w:val="en-US" w:eastAsia="zh-CN"/>
              </w:rPr>
            </w:pPr>
            <w:r>
              <w:rPr>
                <w:rFonts w:hint="eastAsia" w:cs="Times New Roman"/>
                <w:lang w:val="en-US" w:eastAsia="zh-CN"/>
              </w:rPr>
              <w:t>单位</w:t>
            </w:r>
          </w:p>
        </w:tc>
        <w:tc>
          <w:tcPr>
            <w:tcW w:w="5119" w:type="dxa"/>
            <w:noWrap w:val="0"/>
            <w:vAlign w:val="center"/>
          </w:tcPr>
          <w:p>
            <w:pPr>
              <w:bidi w:val="0"/>
              <w:jc w:val="center"/>
              <w:rPr>
                <w:rFonts w:hint="default"/>
                <w:sz w:val="24"/>
                <w:szCs w:val="24"/>
                <w:lang w:val="en-US" w:eastAsia="zh-CN"/>
              </w:rPr>
            </w:pPr>
            <w:r>
              <w:rPr>
                <w:rFonts w:hint="eastAsia" w:cs="Times New Roman"/>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noWrap w:val="0"/>
            <w:vAlign w:val="center"/>
          </w:tcPr>
          <w:p>
            <w:pPr>
              <w:bidi w:val="0"/>
              <w:jc w:val="center"/>
              <w:rPr>
                <w:rFonts w:hint="eastAsia" w:cs="Times New Roman"/>
                <w:sz w:val="24"/>
                <w:szCs w:val="24"/>
                <w:lang w:val="en-US" w:eastAsia="zh-CN"/>
              </w:rPr>
            </w:pPr>
            <w:r>
              <w:rPr>
                <w:rFonts w:hint="eastAsia" w:cs="Times New Roman"/>
                <w:sz w:val="24"/>
                <w:szCs w:val="24"/>
                <w:lang w:val="en-US" w:eastAsia="zh-CN"/>
              </w:rPr>
              <w:t>高清触摸屏互动桌</w:t>
            </w:r>
          </w:p>
        </w:tc>
        <w:tc>
          <w:tcPr>
            <w:tcW w:w="847" w:type="dxa"/>
            <w:noWrap w:val="0"/>
            <w:vAlign w:val="center"/>
          </w:tcPr>
          <w:p>
            <w:pPr>
              <w:bidi w:val="0"/>
              <w:jc w:val="center"/>
              <w:rPr>
                <w:rFonts w:hint="default" w:cs="Times New Roman"/>
                <w:sz w:val="24"/>
                <w:szCs w:val="24"/>
                <w:lang w:val="en-US" w:eastAsia="zh-CN"/>
              </w:rPr>
            </w:pPr>
            <w:r>
              <w:rPr>
                <w:rFonts w:hint="eastAsia" w:cs="Times New Roman"/>
                <w:sz w:val="24"/>
                <w:szCs w:val="24"/>
                <w:lang w:val="en-US" w:eastAsia="zh-CN"/>
              </w:rPr>
              <w:t>1</w:t>
            </w:r>
          </w:p>
        </w:tc>
        <w:tc>
          <w:tcPr>
            <w:tcW w:w="898" w:type="dxa"/>
            <w:noWrap w:val="0"/>
            <w:vAlign w:val="center"/>
          </w:tcPr>
          <w:p>
            <w:pPr>
              <w:bidi w:val="0"/>
              <w:jc w:val="center"/>
              <w:rPr>
                <w:rFonts w:hint="eastAsia" w:cs="Times New Roman"/>
                <w:sz w:val="24"/>
                <w:szCs w:val="24"/>
                <w:lang w:val="en-US" w:eastAsia="zh-CN"/>
              </w:rPr>
            </w:pPr>
            <w:r>
              <w:rPr>
                <w:rFonts w:hint="eastAsia" w:cs="Times New Roman"/>
                <w:sz w:val="24"/>
                <w:szCs w:val="24"/>
                <w:lang w:val="en-US" w:eastAsia="zh-CN"/>
              </w:rPr>
              <w:t>套</w:t>
            </w:r>
          </w:p>
        </w:tc>
        <w:tc>
          <w:tcPr>
            <w:tcW w:w="5119" w:type="dxa"/>
            <w:noWrap w:val="0"/>
            <w:vAlign w:val="center"/>
          </w:tcPr>
          <w:p>
            <w:pPr>
              <w:keepNext w:val="0"/>
              <w:keepLines w:val="0"/>
              <w:pageBreakBefore w:val="0"/>
              <w:widowControl w:val="0"/>
              <w:numPr>
                <w:ilvl w:val="0"/>
                <w:numId w:val="5"/>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显示模式：16:9</w:t>
            </w:r>
          </w:p>
          <w:p>
            <w:pPr>
              <w:keepNext w:val="0"/>
              <w:keepLines w:val="0"/>
              <w:pageBreakBefore w:val="0"/>
              <w:widowControl w:val="0"/>
              <w:numPr>
                <w:ilvl w:val="0"/>
                <w:numId w:val="5"/>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显示类型：LCD</w:t>
            </w:r>
          </w:p>
          <w:p>
            <w:pPr>
              <w:keepNext w:val="0"/>
              <w:keepLines w:val="0"/>
              <w:pageBreakBefore w:val="0"/>
              <w:widowControl w:val="0"/>
              <w:numPr>
                <w:ilvl w:val="0"/>
                <w:numId w:val="5"/>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分辨率：1920×1080</w:t>
            </w:r>
          </w:p>
          <w:p>
            <w:pPr>
              <w:keepNext w:val="0"/>
              <w:keepLines w:val="0"/>
              <w:pageBreakBefore w:val="0"/>
              <w:widowControl w:val="0"/>
              <w:numPr>
                <w:ilvl w:val="0"/>
                <w:numId w:val="5"/>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亮度：300cd/m²</w:t>
            </w:r>
          </w:p>
          <w:p>
            <w:pPr>
              <w:keepNext w:val="0"/>
              <w:keepLines w:val="0"/>
              <w:pageBreakBefore w:val="0"/>
              <w:widowControl w:val="0"/>
              <w:numPr>
                <w:ilvl w:val="0"/>
                <w:numId w:val="5"/>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对比度：1000:1</w:t>
            </w:r>
          </w:p>
          <w:p>
            <w:pPr>
              <w:keepNext w:val="0"/>
              <w:keepLines w:val="0"/>
              <w:pageBreakBefore w:val="0"/>
              <w:widowControl w:val="0"/>
              <w:numPr>
                <w:ilvl w:val="0"/>
                <w:numId w:val="5"/>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响应时间：≤10毫秒</w:t>
            </w:r>
          </w:p>
          <w:p>
            <w:pPr>
              <w:keepNext w:val="0"/>
              <w:keepLines w:val="0"/>
              <w:pageBreakBefore w:val="0"/>
              <w:widowControl w:val="0"/>
              <w:numPr>
                <w:ilvl w:val="0"/>
                <w:numId w:val="5"/>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场频：60Hz</w:t>
            </w:r>
          </w:p>
          <w:p>
            <w:pPr>
              <w:keepNext w:val="0"/>
              <w:keepLines w:val="0"/>
              <w:pageBreakBefore w:val="0"/>
              <w:widowControl w:val="0"/>
              <w:numPr>
                <w:ilvl w:val="0"/>
                <w:numId w:val="5"/>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触控点：≥10点</w:t>
            </w:r>
          </w:p>
          <w:p>
            <w:pPr>
              <w:keepNext w:val="0"/>
              <w:keepLines w:val="0"/>
              <w:pageBreakBefore w:val="0"/>
              <w:widowControl w:val="0"/>
              <w:numPr>
                <w:ilvl w:val="0"/>
                <w:numId w:val="5"/>
              </w:numPr>
              <w:kinsoku/>
              <w:wordWrap w:val="0"/>
              <w:overflowPunct/>
              <w:topLinePunct/>
              <w:autoSpaceDE/>
              <w:autoSpaceDN/>
              <w:bidi w:val="0"/>
              <w:adjustRightInd/>
              <w:snapToGrid/>
              <w:spacing w:line="360" w:lineRule="auto"/>
              <w:ind w:left="0" w:leftChars="0" w:firstLine="0" w:firstLineChars="0"/>
              <w:jc w:val="both"/>
              <w:textAlignment w:val="auto"/>
              <w:rPr>
                <w:rFonts w:hint="eastAsia" w:cs="Times New Roman"/>
                <w:sz w:val="24"/>
                <w:szCs w:val="24"/>
                <w:lang w:val="en-US" w:eastAsia="zh-CN"/>
              </w:rPr>
            </w:pPr>
            <w:r>
              <w:rPr>
                <w:rFonts w:hint="eastAsia" w:cs="Times New Roman"/>
                <w:sz w:val="24"/>
                <w:szCs w:val="24"/>
                <w:lang w:val="en-US" w:eastAsia="zh-CN"/>
              </w:rPr>
              <w:t>触摸精度：90%以上的触摸区域为±2mm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noWrap w:val="0"/>
            <w:vAlign w:val="center"/>
          </w:tcPr>
          <w:p>
            <w:pPr>
              <w:bidi w:val="0"/>
              <w:jc w:val="center"/>
              <w:rPr>
                <w:rFonts w:hint="eastAsia" w:cs="Times New Roman"/>
                <w:sz w:val="24"/>
                <w:szCs w:val="24"/>
                <w:lang w:val="en-US" w:eastAsia="zh-CN"/>
              </w:rPr>
            </w:pPr>
            <w:r>
              <w:rPr>
                <w:rFonts w:hint="eastAsia" w:cs="Times New Roman"/>
                <w:sz w:val="24"/>
                <w:szCs w:val="24"/>
                <w:lang w:val="en-US" w:eastAsia="zh-CN"/>
              </w:rPr>
              <w:t>彩色打印机</w:t>
            </w:r>
          </w:p>
        </w:tc>
        <w:tc>
          <w:tcPr>
            <w:tcW w:w="847" w:type="dxa"/>
            <w:noWrap w:val="0"/>
            <w:vAlign w:val="center"/>
          </w:tcPr>
          <w:p>
            <w:pPr>
              <w:bidi w:val="0"/>
              <w:jc w:val="center"/>
              <w:rPr>
                <w:rFonts w:hint="eastAsia" w:cs="Times New Roman"/>
                <w:sz w:val="24"/>
                <w:szCs w:val="24"/>
                <w:lang w:val="en-US" w:eastAsia="zh-CN"/>
              </w:rPr>
            </w:pPr>
            <w:r>
              <w:rPr>
                <w:rFonts w:hint="eastAsia" w:cs="Times New Roman"/>
                <w:sz w:val="24"/>
                <w:szCs w:val="24"/>
                <w:lang w:val="en-US" w:eastAsia="zh-CN"/>
              </w:rPr>
              <w:t>1</w:t>
            </w:r>
          </w:p>
        </w:tc>
        <w:tc>
          <w:tcPr>
            <w:tcW w:w="898" w:type="dxa"/>
            <w:noWrap w:val="0"/>
            <w:vAlign w:val="center"/>
          </w:tcPr>
          <w:p>
            <w:pPr>
              <w:bidi w:val="0"/>
              <w:jc w:val="center"/>
              <w:rPr>
                <w:rFonts w:hint="default" w:cs="Times New Roman"/>
                <w:sz w:val="24"/>
                <w:szCs w:val="24"/>
                <w:lang w:val="en-US" w:eastAsia="zh-CN"/>
              </w:rPr>
            </w:pPr>
            <w:r>
              <w:rPr>
                <w:rFonts w:hint="eastAsia" w:cs="Times New Roman"/>
                <w:sz w:val="24"/>
                <w:szCs w:val="24"/>
                <w:lang w:val="en-US" w:eastAsia="zh-CN"/>
              </w:rPr>
              <w:t>台</w:t>
            </w:r>
          </w:p>
        </w:tc>
        <w:tc>
          <w:tcPr>
            <w:tcW w:w="5119" w:type="dxa"/>
            <w:noWrap w:val="0"/>
            <w:vAlign w:val="center"/>
          </w:tcPr>
          <w:p>
            <w:pPr>
              <w:numPr>
                <w:ilvl w:val="0"/>
                <w:numId w:val="6"/>
              </w:numPr>
              <w:bidi w:val="0"/>
              <w:ind w:left="425" w:leftChars="0" w:hanging="425" w:firstLineChars="0"/>
              <w:jc w:val="both"/>
              <w:rPr>
                <w:rFonts w:hint="eastAsia" w:cs="Times New Roman"/>
                <w:sz w:val="24"/>
                <w:szCs w:val="24"/>
                <w:lang w:val="en-US" w:eastAsia="zh-CN"/>
              </w:rPr>
            </w:pPr>
            <w:r>
              <w:rPr>
                <w:rFonts w:hint="eastAsia" w:cs="Times New Roman"/>
                <w:sz w:val="24"/>
                <w:szCs w:val="24"/>
                <w:lang w:val="en-US" w:eastAsia="zh-CN"/>
              </w:rPr>
              <w:t>彩色喷墨打印机</w:t>
            </w:r>
          </w:p>
          <w:p>
            <w:pPr>
              <w:numPr>
                <w:ilvl w:val="0"/>
                <w:numId w:val="6"/>
              </w:numPr>
              <w:bidi w:val="0"/>
              <w:ind w:left="425" w:leftChars="0" w:hanging="425" w:firstLineChars="0"/>
              <w:jc w:val="both"/>
              <w:rPr>
                <w:rFonts w:hint="eastAsia" w:cs="Times New Roman"/>
                <w:sz w:val="24"/>
                <w:szCs w:val="24"/>
                <w:lang w:val="en-US" w:eastAsia="zh-CN"/>
              </w:rPr>
            </w:pPr>
            <w:r>
              <w:rPr>
                <w:rFonts w:hint="eastAsia" w:cs="Times New Roman"/>
                <w:sz w:val="24"/>
                <w:szCs w:val="24"/>
                <w:lang w:val="en-US" w:eastAsia="zh-CN"/>
              </w:rPr>
              <w:t>支持打印、复印、扫描</w:t>
            </w:r>
          </w:p>
          <w:p>
            <w:pPr>
              <w:numPr>
                <w:ilvl w:val="0"/>
                <w:numId w:val="6"/>
              </w:numPr>
              <w:bidi w:val="0"/>
              <w:ind w:left="425" w:leftChars="0" w:hanging="425" w:firstLineChars="0"/>
              <w:jc w:val="both"/>
              <w:rPr>
                <w:rFonts w:hint="eastAsia" w:cs="Times New Roman"/>
                <w:sz w:val="24"/>
                <w:szCs w:val="24"/>
                <w:lang w:val="en-US" w:eastAsia="zh-CN"/>
              </w:rPr>
            </w:pPr>
            <w:r>
              <w:rPr>
                <w:rFonts w:hint="eastAsia" w:cs="Times New Roman"/>
                <w:sz w:val="24"/>
                <w:szCs w:val="24"/>
                <w:lang w:val="en-US" w:eastAsia="zh-CN"/>
              </w:rPr>
              <w:t>网络打印：支持有线&amp;无线网络打印</w:t>
            </w:r>
          </w:p>
          <w:p>
            <w:pPr>
              <w:numPr>
                <w:ilvl w:val="0"/>
                <w:numId w:val="6"/>
              </w:numPr>
              <w:bidi w:val="0"/>
              <w:ind w:left="425" w:leftChars="0" w:hanging="425" w:firstLineChars="0"/>
              <w:jc w:val="both"/>
              <w:rPr>
                <w:rFonts w:hint="eastAsia" w:cs="Times New Roman"/>
                <w:sz w:val="24"/>
                <w:szCs w:val="24"/>
                <w:lang w:val="en-US" w:eastAsia="zh-CN"/>
              </w:rPr>
            </w:pPr>
            <w:r>
              <w:rPr>
                <w:rFonts w:hint="eastAsia" w:cs="Times New Roman"/>
                <w:sz w:val="24"/>
                <w:szCs w:val="24"/>
                <w:lang w:val="en-US" w:eastAsia="zh-CN"/>
              </w:rPr>
              <w:t>支持双面打印</w:t>
            </w:r>
          </w:p>
          <w:p>
            <w:pPr>
              <w:numPr>
                <w:ilvl w:val="0"/>
                <w:numId w:val="6"/>
              </w:numPr>
              <w:bidi w:val="0"/>
              <w:ind w:left="425" w:leftChars="0" w:hanging="425" w:firstLineChars="0"/>
              <w:jc w:val="both"/>
              <w:rPr>
                <w:rFonts w:hint="eastAsia" w:cs="Times New Roman"/>
                <w:sz w:val="24"/>
                <w:szCs w:val="24"/>
                <w:lang w:val="en-US" w:eastAsia="zh-CN"/>
              </w:rPr>
            </w:pPr>
            <w:r>
              <w:rPr>
                <w:rFonts w:hint="eastAsia" w:cs="Times New Roman"/>
                <w:sz w:val="24"/>
                <w:szCs w:val="24"/>
                <w:lang w:val="en-US" w:eastAsia="zh-CN"/>
              </w:rPr>
              <w:t>单面支持纸张尺寸：A4；A5；A3+</w:t>
            </w:r>
          </w:p>
          <w:p>
            <w:pPr>
              <w:numPr>
                <w:ilvl w:val="0"/>
                <w:numId w:val="6"/>
              </w:numPr>
              <w:bidi w:val="0"/>
              <w:ind w:left="425" w:leftChars="0" w:hanging="425" w:firstLineChars="0"/>
              <w:jc w:val="both"/>
              <w:rPr>
                <w:rFonts w:hint="eastAsia" w:cs="Times New Roman"/>
                <w:sz w:val="24"/>
                <w:szCs w:val="24"/>
                <w:lang w:val="en-US" w:eastAsia="zh-CN"/>
              </w:rPr>
            </w:pPr>
            <w:r>
              <w:rPr>
                <w:rFonts w:hint="eastAsia" w:cs="Times New Roman"/>
                <w:sz w:val="24"/>
                <w:szCs w:val="24"/>
                <w:lang w:val="en-US" w:eastAsia="zh-CN"/>
              </w:rPr>
              <w:t>打印速度：25页/分钟</w:t>
            </w:r>
          </w:p>
          <w:p>
            <w:pPr>
              <w:numPr>
                <w:ilvl w:val="0"/>
                <w:numId w:val="6"/>
              </w:numPr>
              <w:bidi w:val="0"/>
              <w:ind w:left="425" w:leftChars="0" w:hanging="425" w:firstLineChars="0"/>
              <w:jc w:val="both"/>
              <w:rPr>
                <w:rFonts w:hint="eastAsia" w:cs="Times New Roman"/>
                <w:sz w:val="24"/>
                <w:szCs w:val="24"/>
                <w:lang w:val="en-US" w:eastAsia="zh-CN"/>
              </w:rPr>
            </w:pPr>
            <w:r>
              <w:rPr>
                <w:rFonts w:hint="eastAsia" w:cs="Times New Roman"/>
                <w:sz w:val="24"/>
                <w:szCs w:val="24"/>
                <w:lang w:val="en-US" w:eastAsia="zh-CN"/>
              </w:rPr>
              <w:t>端口：USB；以太网</w:t>
            </w:r>
          </w:p>
          <w:p>
            <w:pPr>
              <w:numPr>
                <w:ilvl w:val="0"/>
                <w:numId w:val="6"/>
              </w:numPr>
              <w:bidi w:val="0"/>
              <w:ind w:left="425" w:leftChars="0" w:hanging="425" w:firstLineChars="0"/>
              <w:jc w:val="both"/>
              <w:rPr>
                <w:rFonts w:hint="eastAsia" w:cs="Times New Roman"/>
                <w:sz w:val="24"/>
                <w:szCs w:val="24"/>
                <w:lang w:val="en-US" w:eastAsia="zh-CN"/>
              </w:rPr>
            </w:pPr>
            <w:r>
              <w:rPr>
                <w:rFonts w:hint="eastAsia" w:cs="Times New Roman"/>
                <w:sz w:val="24"/>
                <w:szCs w:val="24"/>
                <w:lang w:val="en-US" w:eastAsia="zh-CN"/>
              </w:rPr>
              <w:t>支持照片打印</w:t>
            </w:r>
          </w:p>
          <w:p>
            <w:pPr>
              <w:numPr>
                <w:ilvl w:val="0"/>
                <w:numId w:val="6"/>
              </w:numPr>
              <w:bidi w:val="0"/>
              <w:ind w:left="425" w:leftChars="0" w:hanging="425" w:firstLineChars="0"/>
              <w:jc w:val="both"/>
              <w:rPr>
                <w:rFonts w:hint="eastAsia" w:cs="Times New Roman"/>
                <w:sz w:val="24"/>
                <w:szCs w:val="24"/>
                <w:lang w:val="en-US" w:eastAsia="zh-CN"/>
              </w:rPr>
            </w:pPr>
            <w:r>
              <w:rPr>
                <w:rFonts w:hint="eastAsia" w:cs="Times New Roman"/>
                <w:sz w:val="24"/>
                <w:szCs w:val="24"/>
                <w:lang w:val="en-US" w:eastAsia="zh-CN"/>
              </w:rPr>
              <w:t>支持无边框打印</w:t>
            </w:r>
          </w:p>
        </w:tc>
      </w:tr>
    </w:tbl>
    <w:p>
      <w:pPr>
        <w:pStyle w:val="9"/>
        <w:bidi w:val="0"/>
        <w:rPr>
          <w:rFonts w:hint="eastAsia"/>
          <w:lang w:val="en-US" w:eastAsia="zh-CN"/>
        </w:rPr>
      </w:pPr>
      <w:r>
        <w:rPr>
          <w:rFonts w:hint="eastAsia"/>
          <w:lang w:val="en-US" w:eastAsia="zh-CN"/>
        </w:rPr>
        <w:t>考古学家带你游昌吉科普VR体验课程</w:t>
      </w:r>
    </w:p>
    <w:p>
      <w:pPr>
        <w:ind w:firstLine="420" w:firstLineChars="200"/>
        <w:rPr>
          <w:rFonts w:hint="eastAsia"/>
          <w:lang w:val="en-US" w:eastAsia="zh-CN"/>
        </w:rPr>
      </w:pPr>
      <w:r>
        <w:rPr>
          <w:rFonts w:hint="eastAsia"/>
          <w:lang w:val="en-US" w:eastAsia="zh-CN"/>
        </w:rPr>
        <w:t>借助数字技术，活化利用已有的不可移动、考古出土可移动文物采集数据，以特定文化遗产主题为主线，进行故事绘本、文化遗产VR数字科普交互体验设计制作，集中展示昌吉专题历史文化遗产。以第一视角走进北庭故城遗址、石城子遗址、康家石门子岩画等历史文化遗址，加入3D模型、动画、视频、图片、文字等虚拟元素内容，带观众穿越古今、触摸文物，通过数字化方式，让观众身临其境地感受昌吉丰富的文化遗产和悠久璀璨的历史人文，感受其作为中华文明重要组成部分的绚烂多彩，讲好中华民族故事。</w:t>
      </w:r>
    </w:p>
    <w:p>
      <w:pPr>
        <w:ind w:firstLine="420" w:firstLineChars="200"/>
        <w:rPr>
          <w:rFonts w:hint="eastAsia"/>
          <w:lang w:val="en-US" w:eastAsia="zh-CN"/>
        </w:rPr>
      </w:pPr>
      <w:r>
        <w:rPr>
          <w:rFonts w:hint="eastAsia"/>
          <w:lang w:val="en-US" w:eastAsia="zh-CN"/>
        </w:rPr>
        <w:t>相关素材在博物馆开展活动外，可以以进校园课程方式呈现，一个内容多种呈现方式。以尽可能丰富的方式和灵活的手段进行中华传统文化教育。（课程内容至少涉及4个昌吉州历史文化遗产点）</w:t>
      </w:r>
    </w:p>
    <w:p>
      <w:pPr>
        <w:pStyle w:val="10"/>
        <w:bidi w:val="0"/>
        <w:rPr>
          <w:rFonts w:hint="eastAsia"/>
          <w:lang w:val="en-US" w:eastAsia="zh-CN"/>
        </w:rPr>
      </w:pPr>
      <w:r>
        <w:rPr>
          <w:rFonts w:hint="eastAsia"/>
          <w:lang w:val="en-US" w:eastAsia="zh-CN"/>
        </w:rPr>
        <w:t>课程内容制作要求</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noWrap w:val="0"/>
            <w:vAlign w:val="center"/>
          </w:tcPr>
          <w:p>
            <w:pPr>
              <w:bidi w:val="0"/>
              <w:jc w:val="center"/>
              <w:rPr>
                <w:rFonts w:hint="eastAsia"/>
                <w:lang w:val="en-US" w:eastAsia="zh-CN"/>
              </w:rPr>
            </w:pPr>
            <w:r>
              <w:rPr>
                <w:rFonts w:hint="eastAsia"/>
                <w:lang w:val="en-US" w:eastAsia="zh-CN"/>
              </w:rPr>
              <w:t>课程内容</w:t>
            </w:r>
          </w:p>
        </w:tc>
        <w:tc>
          <w:tcPr>
            <w:tcW w:w="6773" w:type="dxa"/>
            <w:noWrap w:val="0"/>
            <w:vAlign w:val="center"/>
          </w:tcPr>
          <w:p>
            <w:pPr>
              <w:bidi w:val="0"/>
              <w:jc w:val="center"/>
              <w:rPr>
                <w:rFonts w:hint="eastAsia"/>
                <w:lang w:val="en-US" w:eastAsia="zh-CN"/>
              </w:rPr>
            </w:pPr>
            <w:r>
              <w:rPr>
                <w:rFonts w:hint="eastAsia"/>
                <w:lang w:val="en-US" w:eastAsia="zh-CN"/>
              </w:rPr>
              <w:t>课程内容制作要求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noWrap w:val="0"/>
            <w:vAlign w:val="center"/>
          </w:tcPr>
          <w:p>
            <w:pPr>
              <w:bidi w:val="0"/>
              <w:jc w:val="center"/>
              <w:rPr>
                <w:rFonts w:hint="eastAsia"/>
                <w:lang w:val="en-US" w:eastAsia="zh-CN"/>
              </w:rPr>
            </w:pPr>
            <w:r>
              <w:rPr>
                <w:rFonts w:hint="eastAsia"/>
                <w:lang w:val="en-US" w:eastAsia="zh-CN"/>
              </w:rPr>
              <w:t>主题设计</w:t>
            </w:r>
          </w:p>
        </w:tc>
        <w:tc>
          <w:tcPr>
            <w:tcW w:w="6773" w:type="dxa"/>
            <w:noWrap w:val="0"/>
            <w:vAlign w:val="center"/>
          </w:tcPr>
          <w:p>
            <w:pPr>
              <w:bidi w:val="0"/>
              <w:jc w:val="both"/>
              <w:rPr>
                <w:rFonts w:hint="eastAsia"/>
                <w:lang w:val="en-US" w:eastAsia="zh-CN"/>
              </w:rPr>
            </w:pPr>
            <w:r>
              <w:rPr>
                <w:rFonts w:hint="eastAsia"/>
                <w:lang w:val="en-US" w:eastAsia="zh-CN"/>
              </w:rPr>
              <w:t>历史再现：考古学家带你游昌吉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noWrap w:val="0"/>
            <w:vAlign w:val="center"/>
          </w:tcPr>
          <w:p>
            <w:pPr>
              <w:bidi w:val="0"/>
              <w:jc w:val="center"/>
              <w:rPr>
                <w:rFonts w:hint="eastAsia"/>
                <w:lang w:val="en-US" w:eastAsia="zh-CN"/>
              </w:rPr>
            </w:pPr>
            <w:r>
              <w:rPr>
                <w:rFonts w:hint="eastAsia"/>
                <w:lang w:val="en-US" w:eastAsia="zh-CN"/>
              </w:rPr>
              <w:t>故事绘本</w:t>
            </w:r>
          </w:p>
        </w:tc>
        <w:tc>
          <w:tcPr>
            <w:tcW w:w="6773" w:type="dxa"/>
            <w:noWrap w:val="0"/>
            <w:vAlign w:val="center"/>
          </w:tcPr>
          <w:p>
            <w:pPr>
              <w:bidi w:val="0"/>
              <w:jc w:val="both"/>
              <w:rPr>
                <w:rFonts w:hint="eastAsia"/>
                <w:lang w:val="en-US" w:eastAsia="zh-CN"/>
              </w:rPr>
            </w:pPr>
            <w:r>
              <w:rPr>
                <w:rFonts w:hint="eastAsia"/>
                <w:lang w:val="en-US" w:eastAsia="zh-CN"/>
              </w:rPr>
              <w:t>结合图文描述、对话、科学小贴士、AI扫描展示真实文物及遗址等多种形式，云游昌吉，章节可按遗址展开，各个章节相互独立又彼此联系，帮助受众了解各个时期的重要特点和变迁。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noWrap w:val="0"/>
            <w:vAlign w:val="center"/>
          </w:tcPr>
          <w:p>
            <w:pPr>
              <w:bidi w:val="0"/>
              <w:jc w:val="center"/>
              <w:rPr>
                <w:rFonts w:hint="eastAsia"/>
                <w:lang w:val="en-US" w:eastAsia="zh-CN"/>
              </w:rPr>
            </w:pPr>
            <w:r>
              <w:rPr>
                <w:rFonts w:hint="eastAsia"/>
                <w:lang w:val="en-US" w:eastAsia="zh-CN"/>
              </w:rPr>
              <w:t>文化遗产VR数字科普体验</w:t>
            </w:r>
          </w:p>
        </w:tc>
        <w:tc>
          <w:tcPr>
            <w:tcW w:w="6773" w:type="dxa"/>
            <w:noWrap w:val="0"/>
            <w:vAlign w:val="center"/>
          </w:tcPr>
          <w:p>
            <w:pPr>
              <w:bidi w:val="0"/>
              <w:jc w:val="both"/>
              <w:rPr>
                <w:rFonts w:hint="eastAsia"/>
                <w:lang w:val="en-US" w:eastAsia="zh-CN"/>
              </w:rPr>
            </w:pPr>
            <w:r>
              <w:rPr>
                <w:rFonts w:hint="eastAsia"/>
                <w:lang w:val="en-US" w:eastAsia="zh-CN"/>
              </w:rPr>
              <w:t>以拟人化的考古发掘工具或者博物馆衍生形象、考古专家卡通人物等为主人公，有机关联、集中展示昌吉专题历史文化遗产。以第一视角走进北庭故城遗址、石城子遗址、康家石门子岩画等历史文化遗址，加入3D模型、动画、视频、图片、文字等虚拟元素内容，带观众穿越古今、触摸文物，可在特色文化遗产路线空间内设置互动式游戏、历史知识、文化兴趣等挑战，使游客体验更丰富、更充实。通过数字化等方式，让观众身临其境地感受昌吉丰富的文化遗产和悠久璀璨的历史人文，感受其作为中华文明重要组成部分的绚烂多彩。深刻感受昌吉州与祖国的紧密联系，以教育厚植中华民族共同体意识，以文化浸润中华民族共同体意识，讲好中华民族故事。</w:t>
            </w:r>
          </w:p>
        </w:tc>
      </w:tr>
    </w:tbl>
    <w:p>
      <w:pPr>
        <w:pStyle w:val="10"/>
        <w:bidi w:val="0"/>
        <w:rPr>
          <w:rFonts w:hint="eastAsia"/>
          <w:lang w:val="en-US" w:eastAsia="zh-CN"/>
        </w:rPr>
      </w:pPr>
      <w:r>
        <w:rPr>
          <w:rFonts w:hint="eastAsia"/>
        </w:rPr>
        <w:t>硬件</w:t>
      </w:r>
      <w:r>
        <w:rPr>
          <w:rFonts w:hint="eastAsia"/>
          <w:lang w:val="en-US" w:eastAsia="zh-CN"/>
        </w:rPr>
        <w:t>配置要求</w:t>
      </w:r>
    </w:p>
    <w:tbl>
      <w:tblPr>
        <w:tblStyle w:val="24"/>
        <w:tblW w:w="8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864"/>
        <w:gridCol w:w="840"/>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2054"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设备名称</w:t>
            </w:r>
          </w:p>
        </w:tc>
        <w:tc>
          <w:tcPr>
            <w:tcW w:w="864"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840"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4379"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2054"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VR眼镜</w:t>
            </w:r>
          </w:p>
          <w:p>
            <w:pPr>
              <w:bidi w:val="0"/>
              <w:spacing w:line="360" w:lineRule="auto"/>
              <w:jc w:val="center"/>
              <w:rPr>
                <w:rFonts w:hint="default" w:ascii="仿宋" w:hAnsi="仿宋" w:eastAsia="仿宋" w:cs="仿宋"/>
                <w:sz w:val="24"/>
                <w:szCs w:val="24"/>
                <w:lang w:val="en-US" w:eastAsia="zh-CN"/>
              </w:rPr>
            </w:pPr>
            <w:r>
              <w:rPr>
                <w:rFonts w:hint="eastAsia" w:ascii="宋体" w:hAnsi="宋体" w:eastAsia="宋体" w:cs="宋体"/>
                <w:color w:val="4F81BD"/>
                <w:kern w:val="0"/>
                <w:sz w:val="24"/>
                <w:szCs w:val="24"/>
                <w:lang w:val="en-US" w:eastAsia="zh-CN" w:bidi="ar"/>
              </w:rPr>
              <w:t>（</w:t>
            </w:r>
            <w:r>
              <w:rPr>
                <w:rFonts w:hint="eastAsia" w:ascii="宋体" w:hAnsi="宋体" w:eastAsia="宋体" w:cs="宋体"/>
                <w:color w:val="4F81BD"/>
                <w:kern w:val="0"/>
                <w:sz w:val="24"/>
                <w:szCs w:val="24"/>
                <w:lang w:bidi="ar"/>
              </w:rPr>
              <w:t>此项为核心</w:t>
            </w:r>
            <w:r>
              <w:rPr>
                <w:rFonts w:hint="eastAsia" w:ascii="宋体" w:hAnsi="宋体" w:eastAsia="宋体" w:cs="宋体"/>
                <w:color w:val="4F81BD"/>
                <w:kern w:val="0"/>
                <w:sz w:val="24"/>
                <w:szCs w:val="24"/>
                <w:lang w:eastAsia="zh-CN" w:bidi="ar"/>
              </w:rPr>
              <w:t>产品</w:t>
            </w:r>
            <w:r>
              <w:rPr>
                <w:rFonts w:hint="eastAsia" w:ascii="宋体" w:hAnsi="宋体" w:eastAsia="宋体" w:cs="宋体"/>
                <w:color w:val="4F81BD"/>
                <w:kern w:val="0"/>
                <w:sz w:val="24"/>
                <w:szCs w:val="24"/>
                <w:lang w:val="en-US" w:eastAsia="zh-CN" w:bidi="ar"/>
              </w:rPr>
              <w:t>）</w:t>
            </w:r>
          </w:p>
        </w:tc>
        <w:tc>
          <w:tcPr>
            <w:tcW w:w="864"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840"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4379" w:type="dxa"/>
            <w:noWrap w:val="0"/>
            <w:vAlign w:val="center"/>
          </w:tcPr>
          <w:p>
            <w:pPr>
              <w:keepNext w:val="0"/>
              <w:keepLines w:val="0"/>
              <w:pageBreakBefore w:val="0"/>
              <w:widowControl w:val="0"/>
              <w:numPr>
                <w:ilvl w:val="0"/>
                <w:numId w:val="7"/>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屏幕尺寸2.56英寸×2</w:t>
            </w:r>
          </w:p>
          <w:p>
            <w:pPr>
              <w:keepNext w:val="0"/>
              <w:keepLines w:val="0"/>
              <w:pageBreakBefore w:val="0"/>
              <w:widowControl w:val="0"/>
              <w:numPr>
                <w:ilvl w:val="0"/>
                <w:numId w:val="7"/>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分辨率2160×2160×2</w:t>
            </w:r>
          </w:p>
          <w:p>
            <w:pPr>
              <w:keepNext w:val="0"/>
              <w:keepLines w:val="0"/>
              <w:pageBreakBefore w:val="0"/>
              <w:widowControl w:val="0"/>
              <w:numPr>
                <w:ilvl w:val="0"/>
                <w:numId w:val="7"/>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刷新率</w:t>
            </w:r>
            <w:r>
              <w:rPr>
                <w:rFonts w:hint="eastAsia" w:cs="仿宋"/>
                <w:sz w:val="24"/>
                <w:szCs w:val="24"/>
                <w:lang w:val="en-US" w:eastAsia="zh-CN"/>
              </w:rPr>
              <w:t>72</w:t>
            </w:r>
            <w:r>
              <w:rPr>
                <w:rFonts w:hint="eastAsia" w:ascii="仿宋" w:hAnsi="仿宋" w:eastAsia="仿宋" w:cs="仿宋"/>
                <w:sz w:val="24"/>
                <w:szCs w:val="24"/>
                <w:lang w:val="en-US" w:eastAsia="zh-CN"/>
              </w:rPr>
              <w:t>Hz</w:t>
            </w:r>
          </w:p>
          <w:p>
            <w:pPr>
              <w:keepNext w:val="0"/>
              <w:keepLines w:val="0"/>
              <w:pageBreakBefore w:val="0"/>
              <w:widowControl w:val="0"/>
              <w:numPr>
                <w:ilvl w:val="0"/>
                <w:numId w:val="7"/>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视场角105°58mm–70mm无级电动瞳距调节</w:t>
            </w:r>
          </w:p>
          <w:p>
            <w:pPr>
              <w:keepNext w:val="0"/>
              <w:keepLines w:val="0"/>
              <w:pageBreakBefore w:val="0"/>
              <w:widowControl w:val="0"/>
              <w:numPr>
                <w:ilvl w:val="0"/>
                <w:numId w:val="7"/>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处理器：高通骁龙XR2</w:t>
            </w:r>
          </w:p>
          <w:p>
            <w:pPr>
              <w:keepNext w:val="0"/>
              <w:keepLines w:val="0"/>
              <w:pageBreakBefore w:val="0"/>
              <w:widowControl w:val="0"/>
              <w:numPr>
                <w:ilvl w:val="0"/>
                <w:numId w:val="7"/>
              </w:numPr>
              <w:kinsoku/>
              <w:wordWrap w:val="0"/>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支持Wi-Fi6</w:t>
            </w:r>
          </w:p>
          <w:p>
            <w:pPr>
              <w:keepNext w:val="0"/>
              <w:keepLines w:val="0"/>
              <w:pageBreakBefore w:val="0"/>
              <w:widowControl w:val="0"/>
              <w:numPr>
                <w:ilvl w:val="0"/>
                <w:numId w:val="7"/>
              </w:numPr>
              <w:kinsoku/>
              <w:wordWrap w:val="0"/>
              <w:overflowPunct/>
              <w:topLinePunct/>
              <w:autoSpaceDE/>
              <w:autoSpaceDN/>
              <w:bidi w:val="0"/>
              <w:adjustRightInd/>
              <w:snapToGrid/>
              <w:spacing w:line="360" w:lineRule="auto"/>
              <w:ind w:left="0" w:leftChars="0" w:firstLine="0" w:firstLineChars="0"/>
              <w:textAlignment w:val="auto"/>
              <w:rPr>
                <w:rFonts w:hint="eastAsia" w:cs="仿宋"/>
                <w:sz w:val="24"/>
                <w:szCs w:val="24"/>
                <w:lang w:val="en-US" w:eastAsia="zh-CN"/>
              </w:rPr>
            </w:pPr>
            <w:r>
              <w:rPr>
                <w:rFonts w:hint="eastAsia" w:ascii="仿宋" w:hAnsi="仿宋" w:eastAsia="仿宋" w:cs="仿宋"/>
                <w:sz w:val="24"/>
                <w:szCs w:val="24"/>
                <w:lang w:val="en-US" w:eastAsia="zh-CN"/>
              </w:rPr>
              <w:t>支持蓝牙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2054" w:type="dxa"/>
            <w:noWrap w:val="0"/>
            <w:vAlign w:val="center"/>
          </w:tcPr>
          <w:p>
            <w:pPr>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大屏</w:t>
            </w:r>
          </w:p>
        </w:tc>
        <w:tc>
          <w:tcPr>
            <w:tcW w:w="864" w:type="dxa"/>
            <w:noWrap w:val="0"/>
            <w:vAlign w:val="center"/>
          </w:tcPr>
          <w:p>
            <w:pPr>
              <w:bidi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840" w:type="dxa"/>
            <w:noWrap w:val="0"/>
            <w:vAlign w:val="center"/>
          </w:tcPr>
          <w:p>
            <w:pPr>
              <w:bidi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台</w:t>
            </w:r>
          </w:p>
        </w:tc>
        <w:tc>
          <w:tcPr>
            <w:tcW w:w="4379" w:type="dxa"/>
            <w:noWrap w:val="0"/>
            <w:vAlign w:val="center"/>
          </w:tcPr>
          <w:p>
            <w:pPr>
              <w:keepNext w:val="0"/>
              <w:keepLines w:val="0"/>
              <w:pageBreakBefore w:val="0"/>
              <w:widowControl w:val="0"/>
              <w:numPr>
                <w:ilvl w:val="0"/>
                <w:numId w:val="8"/>
              </w:numPr>
              <w:kinsoku/>
              <w:wordWrap w:val="0"/>
              <w:overflowPunct/>
              <w:topLinePunct/>
              <w:autoSpaceDE/>
              <w:autoSpaceDN/>
              <w:bidi w:val="0"/>
              <w:adjustRightInd/>
              <w:snapToGrid/>
              <w:spacing w:line="360" w:lineRule="auto"/>
              <w:ind w:left="0" w:leftChars="0" w:firstLine="0" w:firstLineChars="0"/>
              <w:textAlignment w:val="auto"/>
              <w:rPr>
                <w:rFonts w:hint="eastAsia" w:cs="Times New Roman"/>
                <w:sz w:val="24"/>
                <w:szCs w:val="24"/>
                <w:lang w:val="en-US" w:eastAsia="zh-CN"/>
              </w:rPr>
            </w:pPr>
            <w:r>
              <w:rPr>
                <w:rFonts w:hint="eastAsia" w:cs="Times New Roman"/>
                <w:sz w:val="24"/>
                <w:szCs w:val="24"/>
                <w:lang w:val="en-US" w:eastAsia="zh-CN"/>
              </w:rPr>
              <w:t>屏幕尺寸：75英寸</w:t>
            </w:r>
          </w:p>
          <w:p>
            <w:pPr>
              <w:keepNext w:val="0"/>
              <w:keepLines w:val="0"/>
              <w:pageBreakBefore w:val="0"/>
              <w:widowControl w:val="0"/>
              <w:numPr>
                <w:ilvl w:val="0"/>
                <w:numId w:val="8"/>
              </w:numPr>
              <w:kinsoku/>
              <w:wordWrap w:val="0"/>
              <w:overflowPunct/>
              <w:topLinePunct/>
              <w:autoSpaceDE/>
              <w:autoSpaceDN/>
              <w:bidi w:val="0"/>
              <w:adjustRightInd/>
              <w:snapToGrid/>
              <w:spacing w:line="360" w:lineRule="auto"/>
              <w:ind w:left="0" w:leftChars="0" w:firstLine="0" w:firstLineChars="0"/>
              <w:textAlignment w:val="auto"/>
              <w:rPr>
                <w:rFonts w:hint="default" w:cs="Times New Roman"/>
                <w:sz w:val="24"/>
                <w:szCs w:val="24"/>
                <w:lang w:val="en-US" w:eastAsia="zh-CN"/>
              </w:rPr>
            </w:pPr>
            <w:r>
              <w:rPr>
                <w:rFonts w:hint="eastAsia" w:cs="Times New Roman"/>
                <w:sz w:val="24"/>
                <w:szCs w:val="24"/>
                <w:lang w:val="en-US" w:eastAsia="zh-CN"/>
              </w:rPr>
              <w:t>屏幕分辨率：4K</w:t>
            </w:r>
          </w:p>
          <w:p>
            <w:pPr>
              <w:keepNext w:val="0"/>
              <w:keepLines w:val="0"/>
              <w:pageBreakBefore w:val="0"/>
              <w:widowControl w:val="0"/>
              <w:numPr>
                <w:ilvl w:val="0"/>
                <w:numId w:val="8"/>
              </w:numPr>
              <w:kinsoku/>
              <w:wordWrap w:val="0"/>
              <w:overflowPunct/>
              <w:topLinePunct/>
              <w:autoSpaceDE/>
              <w:autoSpaceDN/>
              <w:bidi w:val="0"/>
              <w:adjustRightInd/>
              <w:snapToGrid/>
              <w:spacing w:line="360" w:lineRule="auto"/>
              <w:ind w:left="0" w:leftChars="0" w:firstLine="0" w:firstLineChars="0"/>
              <w:textAlignment w:val="auto"/>
              <w:rPr>
                <w:rFonts w:hint="default" w:cs="Times New Roman"/>
                <w:sz w:val="24"/>
                <w:szCs w:val="24"/>
                <w:lang w:val="en-US" w:eastAsia="zh-CN"/>
              </w:rPr>
            </w:pPr>
            <w:r>
              <w:rPr>
                <w:rFonts w:hint="eastAsia" w:cs="Times New Roman"/>
                <w:sz w:val="24"/>
                <w:szCs w:val="24"/>
                <w:lang w:val="en-US" w:eastAsia="zh-CN"/>
              </w:rPr>
              <w:t>刷屏率：60Hz</w:t>
            </w:r>
          </w:p>
          <w:p>
            <w:pPr>
              <w:keepNext w:val="0"/>
              <w:keepLines w:val="0"/>
              <w:pageBreakBefore w:val="0"/>
              <w:widowControl w:val="0"/>
              <w:numPr>
                <w:ilvl w:val="0"/>
                <w:numId w:val="8"/>
              </w:numPr>
              <w:kinsoku/>
              <w:wordWrap w:val="0"/>
              <w:overflowPunct/>
              <w:topLinePunct/>
              <w:autoSpaceDE/>
              <w:autoSpaceDN/>
              <w:bidi w:val="0"/>
              <w:adjustRightInd/>
              <w:snapToGrid/>
              <w:spacing w:line="360" w:lineRule="auto"/>
              <w:ind w:left="0" w:leftChars="0" w:firstLine="0" w:firstLineChars="0"/>
              <w:textAlignment w:val="auto"/>
              <w:rPr>
                <w:rFonts w:hint="eastAsia"/>
                <w:sz w:val="24"/>
                <w:szCs w:val="24"/>
                <w:highlight w:val="none"/>
                <w:lang w:val="en-US" w:eastAsia="zh-CN"/>
              </w:rPr>
            </w:pPr>
            <w:r>
              <w:rPr>
                <w:rFonts w:hint="eastAsia" w:cs="Times New Roman"/>
                <w:sz w:val="24"/>
                <w:szCs w:val="24"/>
                <w:lang w:val="en-US" w:eastAsia="zh-CN"/>
              </w:rPr>
              <w:t>亮度</w:t>
            </w:r>
            <w:r>
              <w:rPr>
                <w:rFonts w:hint="default" w:cs="Times New Roman"/>
                <w:sz w:val="24"/>
                <w:szCs w:val="24"/>
                <w:lang w:val="en-US" w:eastAsia="zh-CN"/>
              </w:rPr>
              <w:t>≥</w:t>
            </w:r>
            <w:r>
              <w:rPr>
                <w:rFonts w:hint="eastAsia" w:cs="Times New Roman"/>
                <w:sz w:val="24"/>
                <w:szCs w:val="24"/>
                <w:lang w:val="en-US" w:eastAsia="zh-CN"/>
              </w:rPr>
              <w:t>400nits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2054" w:type="dxa"/>
            <w:noWrap w:val="0"/>
            <w:vAlign w:val="center"/>
          </w:tcPr>
          <w:p>
            <w:pPr>
              <w:widowControl/>
              <w:adjustRightInd/>
              <w:snapToGrid/>
              <w:spacing w:before="0" w:beforeAutospacing="0" w:after="0" w:afterLines="0" w:line="360" w:lineRule="auto"/>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充电柜</w:t>
            </w:r>
          </w:p>
        </w:tc>
        <w:tc>
          <w:tcPr>
            <w:tcW w:w="864" w:type="dxa"/>
            <w:noWrap w:val="0"/>
            <w:vAlign w:val="center"/>
          </w:tcPr>
          <w:p>
            <w:pPr>
              <w:widowControl/>
              <w:adjustRightInd/>
              <w:snapToGrid/>
              <w:spacing w:before="0" w:beforeAutospacing="0" w:after="0" w:afterLines="0" w:line="360" w:lineRule="auto"/>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840" w:type="dxa"/>
            <w:noWrap w:val="0"/>
            <w:vAlign w:val="center"/>
          </w:tcPr>
          <w:p>
            <w:pPr>
              <w:widowControl/>
              <w:adjustRightInd/>
              <w:snapToGrid/>
              <w:spacing w:before="0" w:beforeAutospacing="0" w:after="0" w:afterLines="0" w:line="360" w:lineRule="auto"/>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台</w:t>
            </w:r>
          </w:p>
        </w:tc>
        <w:tc>
          <w:tcPr>
            <w:tcW w:w="4379" w:type="dxa"/>
            <w:noWrap w:val="0"/>
            <w:vAlign w:val="center"/>
          </w:tcPr>
          <w:p>
            <w:pPr>
              <w:widowControl/>
              <w:adjustRightInd/>
              <w:snapToGrid/>
              <w:spacing w:before="0" w:beforeAutospacing="0" w:after="0" w:afterLines="0" w:line="360" w:lineRule="auto"/>
              <w:ind w:firstLine="0" w:firstLineChars="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多位VR设备USB供电，5V/2A直接输出，全电源管理芯片式集成电路设计</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2054" w:type="dxa"/>
            <w:noWrap w:val="0"/>
            <w:vAlign w:val="center"/>
          </w:tcPr>
          <w:p>
            <w:pPr>
              <w:widowControl/>
              <w:adjustRightInd/>
              <w:snapToGrid/>
              <w:spacing w:before="0" w:beforeAutospacing="0" w:after="0" w:afterLines="0" w:line="360" w:lineRule="auto"/>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无线充电设备</w:t>
            </w:r>
          </w:p>
        </w:tc>
        <w:tc>
          <w:tcPr>
            <w:tcW w:w="864" w:type="dxa"/>
            <w:noWrap w:val="0"/>
            <w:vAlign w:val="center"/>
          </w:tcPr>
          <w:p>
            <w:pPr>
              <w:widowControl/>
              <w:adjustRightInd/>
              <w:snapToGrid/>
              <w:spacing w:before="0" w:beforeAutospacing="0" w:after="0" w:afterLines="0" w:line="360" w:lineRule="auto"/>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8</w:t>
            </w:r>
          </w:p>
        </w:tc>
        <w:tc>
          <w:tcPr>
            <w:tcW w:w="840" w:type="dxa"/>
            <w:noWrap w:val="0"/>
            <w:vAlign w:val="center"/>
          </w:tcPr>
          <w:p>
            <w:pPr>
              <w:widowControl/>
              <w:adjustRightInd/>
              <w:snapToGrid/>
              <w:spacing w:before="0" w:beforeAutospacing="0" w:after="0" w:afterLines="0" w:line="360" w:lineRule="auto"/>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个</w:t>
            </w:r>
          </w:p>
        </w:tc>
        <w:tc>
          <w:tcPr>
            <w:tcW w:w="4379" w:type="dxa"/>
            <w:noWrap w:val="0"/>
            <w:vAlign w:val="center"/>
          </w:tcPr>
          <w:p>
            <w:pPr>
              <w:keepNext w:val="0"/>
              <w:keepLines w:val="0"/>
              <w:pageBreakBefore w:val="0"/>
              <w:widowControl w:val="0"/>
              <w:numPr>
                <w:ilvl w:val="0"/>
                <w:numId w:val="9"/>
              </w:numPr>
              <w:kinsoku/>
              <w:wordWrap w:val="0"/>
              <w:overflowPunct/>
              <w:topLinePunct/>
              <w:autoSpaceDE/>
              <w:autoSpaceDN/>
              <w:bidi w:val="0"/>
              <w:adjustRightInd/>
              <w:snapToGrid/>
              <w:spacing w:line="360" w:lineRule="auto"/>
              <w:ind w:left="0" w:leftChars="0" w:firstLine="0" w:firstLineChars="0"/>
              <w:textAlignment w:val="auto"/>
              <w:rPr>
                <w:rFonts w:hint="eastAsia" w:cs="Times New Roman"/>
                <w:sz w:val="24"/>
                <w:szCs w:val="24"/>
                <w:lang w:val="en-US" w:eastAsia="zh-CN"/>
              </w:rPr>
            </w:pPr>
            <w:r>
              <w:rPr>
                <w:rFonts w:hint="eastAsia" w:cs="Times New Roman"/>
                <w:sz w:val="24"/>
                <w:szCs w:val="24"/>
                <w:lang w:val="en-US" w:eastAsia="zh-CN"/>
              </w:rPr>
              <w:t>电芯容量5000mAh</w:t>
            </w:r>
          </w:p>
          <w:p>
            <w:pPr>
              <w:keepNext w:val="0"/>
              <w:keepLines w:val="0"/>
              <w:pageBreakBefore w:val="0"/>
              <w:widowControl w:val="0"/>
              <w:numPr>
                <w:ilvl w:val="0"/>
                <w:numId w:val="9"/>
              </w:numPr>
              <w:kinsoku/>
              <w:wordWrap w:val="0"/>
              <w:overflowPunct/>
              <w:topLinePunct/>
              <w:autoSpaceDE/>
              <w:autoSpaceDN/>
              <w:bidi w:val="0"/>
              <w:adjustRightInd/>
              <w:snapToGrid/>
              <w:spacing w:line="360" w:lineRule="auto"/>
              <w:ind w:left="0" w:leftChars="0" w:firstLine="0" w:firstLineChars="0"/>
              <w:textAlignment w:val="auto"/>
              <w:rPr>
                <w:rFonts w:hint="eastAsia" w:cs="Times New Roman"/>
                <w:sz w:val="24"/>
                <w:szCs w:val="24"/>
                <w:lang w:val="en-US" w:eastAsia="zh-CN"/>
              </w:rPr>
            </w:pPr>
            <w:r>
              <w:rPr>
                <w:rFonts w:hint="eastAsia" w:cs="Times New Roman"/>
                <w:sz w:val="24"/>
                <w:szCs w:val="24"/>
                <w:lang w:val="en-US" w:eastAsia="zh-CN"/>
              </w:rPr>
              <w:t>支持TYPE-C快充</w:t>
            </w:r>
          </w:p>
          <w:p>
            <w:pPr>
              <w:keepNext w:val="0"/>
              <w:keepLines w:val="0"/>
              <w:pageBreakBefore w:val="0"/>
              <w:widowControl w:val="0"/>
              <w:numPr>
                <w:ilvl w:val="0"/>
                <w:numId w:val="9"/>
              </w:numPr>
              <w:kinsoku/>
              <w:wordWrap w:val="0"/>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color w:val="000000"/>
                <w:kern w:val="0"/>
                <w:sz w:val="24"/>
                <w:szCs w:val="24"/>
                <w:lang w:val="en-US" w:eastAsia="zh-CN"/>
              </w:rPr>
            </w:pPr>
            <w:r>
              <w:rPr>
                <w:rFonts w:hint="eastAsia" w:cs="Times New Roman"/>
                <w:sz w:val="24"/>
                <w:szCs w:val="24"/>
                <w:lang w:val="en-US" w:eastAsia="zh-CN"/>
              </w:rPr>
              <w:t>无线充电座，磁吸电池。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054" w:type="dxa"/>
            <w:noWrap w:val="0"/>
            <w:vAlign w:val="center"/>
          </w:tcPr>
          <w:p>
            <w:pPr>
              <w:widowControl/>
              <w:adjustRightInd/>
              <w:snapToGrid/>
              <w:spacing w:before="0" w:beforeAutospacing="0" w:after="0" w:afterLines="0" w:line="360" w:lineRule="auto"/>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收纳箱</w:t>
            </w:r>
          </w:p>
        </w:tc>
        <w:tc>
          <w:tcPr>
            <w:tcW w:w="864" w:type="dxa"/>
            <w:noWrap w:val="0"/>
            <w:vAlign w:val="center"/>
          </w:tcPr>
          <w:p>
            <w:pPr>
              <w:widowControl/>
              <w:adjustRightInd/>
              <w:snapToGrid/>
              <w:spacing w:before="0" w:beforeAutospacing="0" w:after="0" w:afterLines="0" w:line="360" w:lineRule="auto"/>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840" w:type="dxa"/>
            <w:noWrap w:val="0"/>
            <w:vAlign w:val="center"/>
          </w:tcPr>
          <w:p>
            <w:pPr>
              <w:widowControl/>
              <w:adjustRightInd/>
              <w:snapToGrid/>
              <w:spacing w:before="0" w:beforeAutospacing="0" w:after="0" w:afterLines="0" w:line="360" w:lineRule="auto"/>
              <w:ind w:firstLine="0" w:firstLine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套</w:t>
            </w:r>
          </w:p>
        </w:tc>
        <w:tc>
          <w:tcPr>
            <w:tcW w:w="4379" w:type="dxa"/>
            <w:noWrap w:val="0"/>
            <w:vAlign w:val="center"/>
          </w:tcPr>
          <w:p>
            <w:pPr>
              <w:widowControl/>
              <w:adjustRightInd/>
              <w:snapToGrid/>
              <w:spacing w:before="0" w:beforeAutospacing="0" w:after="0" w:afterLines="0" w:line="360" w:lineRule="auto"/>
              <w:ind w:firstLine="0" w:firstLineChars="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多位定制</w:t>
            </w:r>
            <w:r>
              <w:rPr>
                <w:rFonts w:hint="eastAsia" w:ascii="仿宋" w:hAnsi="仿宋" w:eastAsia="仿宋" w:cs="仿宋"/>
                <w:color w:val="000000"/>
                <w:kern w:val="0"/>
                <w:sz w:val="24"/>
                <w:szCs w:val="24"/>
                <w:lang w:eastAsia="zh-CN"/>
              </w:rPr>
              <w:t>。</w:t>
            </w:r>
          </w:p>
        </w:tc>
      </w:tr>
    </w:tbl>
    <w:p>
      <w:pPr>
        <w:pStyle w:val="8"/>
        <w:tabs>
          <w:tab w:val="left" w:pos="0"/>
        </w:tabs>
        <w:bidi w:val="0"/>
        <w:rPr>
          <w:rFonts w:hint="eastAsia"/>
          <w:lang w:val="en-US" w:eastAsia="zh-CN"/>
        </w:rPr>
      </w:pPr>
      <w:bookmarkStart w:id="211" w:name="_Toc32017"/>
      <w:bookmarkStart w:id="212" w:name="_Toc173858817"/>
      <w:r>
        <w:rPr>
          <w:rFonts w:hint="eastAsia"/>
        </w:rPr>
        <w:t>“昌吉流动博物馆”数字服务资源建设</w:t>
      </w:r>
      <w:bookmarkEnd w:id="211"/>
      <w:bookmarkEnd w:id="212"/>
    </w:p>
    <w:p>
      <w:pPr>
        <w:pStyle w:val="9"/>
        <w:bidi w:val="0"/>
        <w:rPr>
          <w:rFonts w:hint="eastAsia"/>
          <w:lang w:val="en-US" w:eastAsia="zh-CN"/>
        </w:rPr>
      </w:pPr>
      <w:r>
        <w:rPr>
          <w:rFonts w:hint="eastAsia"/>
          <w:lang w:val="en-US" w:eastAsia="zh-CN"/>
        </w:rPr>
        <w:t>流动展板AR导览与解说系统</w:t>
      </w:r>
    </w:p>
    <w:p>
      <w:pPr>
        <w:ind w:firstLine="420" w:firstLineChars="200"/>
        <w:rPr>
          <w:rFonts w:hint="eastAsia"/>
          <w:lang w:val="en-US" w:eastAsia="zh-CN"/>
        </w:rPr>
      </w:pPr>
      <w:r>
        <w:rPr>
          <w:rFonts w:hint="eastAsia"/>
          <w:lang w:val="en-US" w:eastAsia="zh-CN"/>
        </w:rPr>
        <w:t>通过AR增强现实技术对昌吉州博物馆流动博物馆所展示展板，进行设计改造，使之通过手机、平板等移动端设备、扫描展板图片内容、出现图片上文物三维模型、视频音频解说、体验者可以通过手指旋转缩放、文物三维模型，让游客有从触、感、听、多维方式来体验富有特色的昌吉历史文化，实现个性化、智能化的讲解服务。</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6" w:type="dxa"/>
            <w:noWrap w:val="0"/>
            <w:vAlign w:val="center"/>
          </w:tcPr>
          <w:p>
            <w:pPr>
              <w:bidi w:val="0"/>
              <w:jc w:val="center"/>
              <w:rPr>
                <w:rFonts w:hint="default"/>
                <w:lang w:val="en-US" w:eastAsia="zh-CN"/>
              </w:rPr>
            </w:pPr>
            <w:r>
              <w:rPr>
                <w:rFonts w:hint="eastAsia"/>
                <w:lang w:val="en-US" w:eastAsia="zh-CN"/>
              </w:rPr>
              <w:t>内容</w:t>
            </w:r>
          </w:p>
        </w:tc>
        <w:tc>
          <w:tcPr>
            <w:tcW w:w="6216" w:type="dxa"/>
            <w:noWrap w:val="0"/>
            <w:vAlign w:val="center"/>
          </w:tcPr>
          <w:p>
            <w:pPr>
              <w:bidi w:val="0"/>
              <w:jc w:val="center"/>
              <w:rPr>
                <w:rFonts w:hint="default"/>
                <w:lang w:val="en-US" w:eastAsia="zh-CN"/>
              </w:rPr>
            </w:pPr>
            <w:r>
              <w:rPr>
                <w:rFonts w:hint="eastAsia"/>
                <w:lang w:val="en-US" w:eastAsia="zh-CN"/>
              </w:rPr>
              <w:t>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6" w:type="dxa"/>
            <w:noWrap w:val="0"/>
            <w:vAlign w:val="center"/>
          </w:tcPr>
          <w:p>
            <w:pPr>
              <w:bidi w:val="0"/>
              <w:jc w:val="center"/>
              <w:rPr>
                <w:rFonts w:hint="eastAsia"/>
                <w:lang w:val="en-US" w:eastAsia="zh-CN"/>
              </w:rPr>
            </w:pPr>
            <w:r>
              <w:rPr>
                <w:rFonts w:hint="eastAsia"/>
                <w:lang w:val="en-US" w:eastAsia="zh-CN"/>
              </w:rPr>
              <w:t>展板识别与AR触发</w:t>
            </w:r>
          </w:p>
        </w:tc>
        <w:tc>
          <w:tcPr>
            <w:tcW w:w="6216" w:type="dxa"/>
            <w:noWrap w:val="0"/>
            <w:vAlign w:val="center"/>
          </w:tcPr>
          <w:p>
            <w:pPr>
              <w:bidi w:val="0"/>
              <w:ind w:firstLine="420" w:firstLineChars="200"/>
              <w:jc w:val="both"/>
              <w:rPr>
                <w:rFonts w:hint="eastAsia"/>
                <w:lang w:val="en-US" w:eastAsia="zh-CN"/>
              </w:rPr>
            </w:pPr>
            <w:r>
              <w:rPr>
                <w:rFonts w:hint="eastAsia"/>
                <w:lang w:val="en-US" w:eastAsia="zh-CN"/>
              </w:rPr>
              <w:t>使用专门的标识图案或二维码置于每个展板上，作为AR内容的触发点。</w:t>
            </w:r>
          </w:p>
          <w:p>
            <w:pPr>
              <w:bidi w:val="0"/>
              <w:ind w:firstLine="420" w:firstLineChars="200"/>
              <w:jc w:val="both"/>
              <w:rPr>
                <w:rFonts w:hint="eastAsia"/>
                <w:lang w:val="en-US" w:eastAsia="zh-CN"/>
              </w:rPr>
            </w:pPr>
            <w:r>
              <w:rPr>
                <w:rFonts w:hint="eastAsia"/>
                <w:lang w:val="en-US" w:eastAsia="zh-CN"/>
              </w:rPr>
              <w:t>结合博物馆小程序开发易于使用的移动应用程序，能够快速识别并激活AR内容。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6" w:type="dxa"/>
            <w:noWrap w:val="0"/>
            <w:vAlign w:val="center"/>
          </w:tcPr>
          <w:p>
            <w:pPr>
              <w:bidi w:val="0"/>
              <w:jc w:val="center"/>
              <w:rPr>
                <w:rFonts w:hint="eastAsia"/>
                <w:lang w:val="en-US" w:eastAsia="zh-CN"/>
              </w:rPr>
            </w:pPr>
            <w:r>
              <w:rPr>
                <w:rFonts w:hint="eastAsia"/>
                <w:lang w:val="en-US" w:eastAsia="zh-CN"/>
              </w:rPr>
              <w:t>三维资源交互</w:t>
            </w:r>
          </w:p>
        </w:tc>
        <w:tc>
          <w:tcPr>
            <w:tcW w:w="6216" w:type="dxa"/>
            <w:noWrap w:val="0"/>
            <w:vAlign w:val="center"/>
          </w:tcPr>
          <w:p>
            <w:pPr>
              <w:bidi w:val="0"/>
              <w:ind w:firstLine="420" w:firstLineChars="200"/>
              <w:jc w:val="both"/>
              <w:rPr>
                <w:rFonts w:hint="eastAsia" w:cs="Times New Roman"/>
                <w:lang w:val="en-US" w:eastAsia="zh-CN"/>
              </w:rPr>
            </w:pPr>
            <w:r>
              <w:rPr>
                <w:rFonts w:hint="eastAsia" w:cs="Times New Roman"/>
                <w:lang w:val="en-US" w:eastAsia="zh-CN"/>
              </w:rPr>
              <w:t>利用高质量的三维数字模型，观众可通过手指操作来旋转和缩放文物模型，以便从不同角度和距离欣赏查看文物的细节。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6" w:type="dxa"/>
            <w:noWrap w:val="0"/>
            <w:vAlign w:val="center"/>
          </w:tcPr>
          <w:p>
            <w:pPr>
              <w:bidi w:val="0"/>
              <w:jc w:val="center"/>
              <w:rPr>
                <w:rFonts w:hint="eastAsia"/>
                <w:lang w:val="en-US" w:eastAsia="zh-CN"/>
              </w:rPr>
            </w:pPr>
            <w:r>
              <w:rPr>
                <w:rFonts w:hint="eastAsia"/>
                <w:lang w:val="en-US" w:eastAsia="zh-CN"/>
              </w:rPr>
              <w:t>多媒体解说内容</w:t>
            </w:r>
          </w:p>
        </w:tc>
        <w:tc>
          <w:tcPr>
            <w:tcW w:w="6216" w:type="dxa"/>
            <w:noWrap w:val="0"/>
            <w:vAlign w:val="center"/>
          </w:tcPr>
          <w:p>
            <w:pPr>
              <w:bidi w:val="0"/>
              <w:ind w:firstLine="420" w:firstLineChars="200"/>
              <w:jc w:val="both"/>
              <w:rPr>
                <w:rFonts w:hint="eastAsia" w:cs="Times New Roman"/>
                <w:lang w:val="en-US" w:eastAsia="zh-CN"/>
              </w:rPr>
            </w:pPr>
            <w:r>
              <w:rPr>
                <w:rFonts w:hint="eastAsia" w:cs="Times New Roman"/>
                <w:lang w:val="en-US" w:eastAsia="zh-CN"/>
              </w:rPr>
              <w:t>制作包含专业配音的视频或音频解说，讲述展板图文、文物的历史背景、艺术特征和文化意义，为观众生动讲述文物故事、历史事件。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6" w:type="dxa"/>
            <w:noWrap w:val="0"/>
            <w:vAlign w:val="center"/>
          </w:tcPr>
          <w:p>
            <w:pPr>
              <w:bidi w:val="0"/>
              <w:jc w:val="center"/>
              <w:rPr>
                <w:rFonts w:hint="eastAsia"/>
                <w:lang w:val="en-US" w:eastAsia="zh-CN"/>
              </w:rPr>
            </w:pPr>
            <w:r>
              <w:rPr>
                <w:rFonts w:hint="eastAsia"/>
                <w:lang w:val="en-US" w:eastAsia="zh-CN"/>
              </w:rPr>
              <w:t>个性化推荐</w:t>
            </w:r>
          </w:p>
        </w:tc>
        <w:tc>
          <w:tcPr>
            <w:tcW w:w="6216" w:type="dxa"/>
            <w:noWrap w:val="0"/>
            <w:vAlign w:val="center"/>
          </w:tcPr>
          <w:p>
            <w:pPr>
              <w:bidi w:val="0"/>
              <w:ind w:firstLine="420" w:firstLineChars="200"/>
              <w:jc w:val="both"/>
              <w:rPr>
                <w:rFonts w:hint="eastAsia" w:cs="Times New Roman"/>
                <w:lang w:val="en-US" w:eastAsia="zh-CN"/>
              </w:rPr>
            </w:pPr>
            <w:r>
              <w:rPr>
                <w:rFonts w:hint="eastAsia" w:cs="Times New Roman"/>
                <w:lang w:val="en-US" w:eastAsia="zh-CN"/>
              </w:rPr>
              <w:t>设计互动问答或小游戏，鼓励观众深入了解昌吉历史文化。使观众能够以更积极、主动的方式探索和学习博物馆的内容。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6" w:type="dxa"/>
            <w:noWrap w:val="0"/>
            <w:vAlign w:val="center"/>
          </w:tcPr>
          <w:p>
            <w:pPr>
              <w:bidi w:val="0"/>
              <w:jc w:val="center"/>
              <w:rPr>
                <w:rFonts w:hint="eastAsia"/>
                <w:lang w:val="en-US" w:eastAsia="zh-CN"/>
              </w:rPr>
            </w:pPr>
            <w:r>
              <w:rPr>
                <w:rFonts w:hint="eastAsia"/>
                <w:lang w:val="en-US" w:eastAsia="zh-CN"/>
              </w:rPr>
              <w:t>社交分享</w:t>
            </w:r>
          </w:p>
        </w:tc>
        <w:tc>
          <w:tcPr>
            <w:tcW w:w="6216" w:type="dxa"/>
            <w:noWrap w:val="0"/>
            <w:vAlign w:val="center"/>
          </w:tcPr>
          <w:p>
            <w:pPr>
              <w:bidi w:val="0"/>
              <w:ind w:firstLine="420" w:firstLineChars="200"/>
              <w:jc w:val="both"/>
              <w:rPr>
                <w:rFonts w:hint="eastAsia" w:cs="Times New Roman"/>
                <w:lang w:val="en-US" w:eastAsia="zh-CN"/>
              </w:rPr>
            </w:pPr>
            <w:r>
              <w:rPr>
                <w:rFonts w:hint="eastAsia" w:cs="Times New Roman"/>
                <w:lang w:val="en-US" w:eastAsia="zh-CN"/>
              </w:rPr>
              <w:t>让公众能够轻松地将他们的AR体验分享到社交媒体上，提高博物馆展览参与度。</w:t>
            </w:r>
          </w:p>
        </w:tc>
      </w:tr>
    </w:tbl>
    <w:p>
      <w:pPr>
        <w:pStyle w:val="9"/>
        <w:bidi w:val="0"/>
        <w:rPr>
          <w:rFonts w:hint="eastAsia"/>
          <w:lang w:val="en-US" w:eastAsia="zh-CN"/>
        </w:rPr>
      </w:pPr>
      <w:r>
        <w:rPr>
          <w:rFonts w:hint="eastAsia"/>
          <w:lang w:val="en-US" w:eastAsia="zh-CN"/>
        </w:rPr>
        <w:t>历史展厅VR漫游数字流动博物馆</w:t>
      </w:r>
    </w:p>
    <w:p>
      <w:pPr>
        <w:ind w:firstLine="420" w:firstLineChars="200"/>
        <w:rPr>
          <w:rFonts w:hint="eastAsia"/>
          <w:lang w:val="en-US" w:eastAsia="zh-CN"/>
        </w:rPr>
      </w:pPr>
      <w:r>
        <w:rPr>
          <w:rFonts w:hint="eastAsia"/>
          <w:lang w:val="en-US" w:eastAsia="zh-CN"/>
        </w:rPr>
        <w:t>以昌吉州博物馆《丝绸之路 天山廊道——昌吉历史文物陈列》为基础，建设历史展厅VR漫游数字流动博物馆。</w:t>
      </w:r>
    </w:p>
    <w:p>
      <w:pPr>
        <w:ind w:firstLine="420" w:firstLineChars="200"/>
        <w:rPr>
          <w:rFonts w:hint="eastAsia"/>
          <w:lang w:val="en-US" w:eastAsia="zh-CN"/>
        </w:rPr>
      </w:pPr>
      <w:r>
        <w:rPr>
          <w:rFonts w:hint="eastAsia"/>
          <w:lang w:val="en-US" w:eastAsia="zh-CN"/>
        </w:rPr>
        <w:t>通过制作展厅全景VR视频以及珍贵文物数字展示热点内容，使观众通过VR一体式头盔实现VR展厅环境虚拟漫游、陈列文物欣赏，让更广泛的人群能够通过数字展览认知、了解、喜爱中国历史文化，学习、体验昌吉历史文物的相关知识。</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noWrap w:val="0"/>
            <w:vAlign w:val="center"/>
          </w:tcPr>
          <w:p>
            <w:pPr>
              <w:bidi w:val="0"/>
              <w:jc w:val="center"/>
              <w:rPr>
                <w:rFonts w:hint="eastAsia"/>
                <w:lang w:val="en-US" w:eastAsia="zh-CN"/>
              </w:rPr>
            </w:pPr>
            <w:r>
              <w:rPr>
                <w:rFonts w:hint="eastAsia"/>
                <w:lang w:val="en-US" w:eastAsia="zh-CN"/>
              </w:rPr>
              <w:t>内容</w:t>
            </w:r>
          </w:p>
        </w:tc>
        <w:tc>
          <w:tcPr>
            <w:tcW w:w="6653" w:type="dxa"/>
            <w:noWrap w:val="0"/>
            <w:vAlign w:val="center"/>
          </w:tcPr>
          <w:p>
            <w:pPr>
              <w:bidi w:val="0"/>
              <w:jc w:val="center"/>
              <w:rPr>
                <w:rFonts w:hint="eastAsia"/>
                <w:lang w:val="en-US" w:eastAsia="zh-CN"/>
              </w:rPr>
            </w:pPr>
            <w:r>
              <w:rPr>
                <w:rFonts w:hint="eastAsia"/>
                <w:lang w:val="en-US" w:eastAsia="zh-CN"/>
              </w:rPr>
              <w:t>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noWrap w:val="0"/>
            <w:vAlign w:val="center"/>
          </w:tcPr>
          <w:p>
            <w:pPr>
              <w:bidi w:val="0"/>
              <w:jc w:val="center"/>
              <w:rPr>
                <w:rFonts w:hint="eastAsia"/>
                <w:lang w:val="en-US" w:eastAsia="zh-CN"/>
              </w:rPr>
            </w:pPr>
            <w:r>
              <w:rPr>
                <w:rFonts w:hint="eastAsia"/>
                <w:lang w:val="en-US" w:eastAsia="zh-CN"/>
              </w:rPr>
              <w:t>VR展示功能</w:t>
            </w:r>
          </w:p>
        </w:tc>
        <w:tc>
          <w:tcPr>
            <w:tcW w:w="6653" w:type="dxa"/>
            <w:noWrap w:val="0"/>
            <w:vAlign w:val="center"/>
          </w:tcPr>
          <w:p>
            <w:pPr>
              <w:bidi w:val="0"/>
              <w:jc w:val="both"/>
              <w:rPr>
                <w:rFonts w:hint="eastAsia"/>
                <w:lang w:val="en-US" w:eastAsia="zh-CN"/>
              </w:rPr>
            </w:pPr>
            <w:r>
              <w:rPr>
                <w:rFonts w:hint="eastAsia"/>
                <w:lang w:val="en-US" w:eastAsia="zh-CN"/>
              </w:rPr>
              <w:t>开发包括展厅数据图像投影、跟踪、输入输出等模块，保证VR眼镜准确的视角沉浸。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noWrap w:val="0"/>
            <w:vAlign w:val="center"/>
          </w:tcPr>
          <w:p>
            <w:pPr>
              <w:bidi w:val="0"/>
              <w:jc w:val="center"/>
              <w:rPr>
                <w:rFonts w:hint="eastAsia"/>
                <w:lang w:val="en-US" w:eastAsia="zh-CN"/>
              </w:rPr>
            </w:pPr>
            <w:r>
              <w:rPr>
                <w:rFonts w:hint="eastAsia"/>
                <w:lang w:val="en-US" w:eastAsia="zh-CN"/>
              </w:rPr>
              <w:t>展览结构</w:t>
            </w:r>
          </w:p>
        </w:tc>
        <w:tc>
          <w:tcPr>
            <w:tcW w:w="6653" w:type="dxa"/>
            <w:noWrap w:val="0"/>
            <w:vAlign w:val="center"/>
          </w:tcPr>
          <w:p>
            <w:pPr>
              <w:bidi w:val="0"/>
              <w:jc w:val="both"/>
              <w:rPr>
                <w:rFonts w:hint="eastAsia"/>
                <w:lang w:val="en-US" w:eastAsia="zh-CN"/>
              </w:rPr>
            </w:pPr>
            <w:r>
              <w:rPr>
                <w:rFonts w:hint="eastAsia"/>
                <w:lang w:val="en-US" w:eastAsia="zh-CN"/>
              </w:rPr>
              <w:t>数字流动博物馆展览漫游结构与《丝绸之路 天山廊道——昌吉历史文物陈列》保持一致，完整包含原展览九大单元核心展示主题内容，同时对关键信息加工凝练，转化为交互界面。利用数字化交互操作的体验感、便捷性与趣味性，打造基于展览内容的数字流动博物馆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9" w:type="dxa"/>
            <w:noWrap w:val="0"/>
            <w:vAlign w:val="center"/>
          </w:tcPr>
          <w:p>
            <w:pPr>
              <w:bidi w:val="0"/>
              <w:jc w:val="center"/>
              <w:rPr>
                <w:rFonts w:hint="eastAsia"/>
                <w:lang w:val="en-US" w:eastAsia="zh-CN"/>
              </w:rPr>
            </w:pPr>
            <w:r>
              <w:rPr>
                <w:rFonts w:hint="eastAsia"/>
                <w:lang w:val="en-US" w:eastAsia="zh-CN"/>
              </w:rPr>
              <w:t>多媒体展示内容</w:t>
            </w:r>
          </w:p>
        </w:tc>
        <w:tc>
          <w:tcPr>
            <w:tcW w:w="6653" w:type="dxa"/>
            <w:noWrap w:val="0"/>
            <w:vAlign w:val="center"/>
          </w:tcPr>
          <w:p>
            <w:pPr>
              <w:bidi w:val="0"/>
              <w:jc w:val="both"/>
              <w:rPr>
                <w:rFonts w:hint="eastAsia"/>
                <w:lang w:val="en-US" w:eastAsia="zh-CN"/>
              </w:rPr>
            </w:pPr>
            <w:r>
              <w:rPr>
                <w:rFonts w:hint="eastAsia"/>
                <w:lang w:val="en-US" w:eastAsia="zh-CN"/>
              </w:rPr>
              <w:t>以VR展厅和展览中所展示的文物数字化成果为基础素材，进行选取其中最具有代表性、重要性、独特性的文物展览内容，融入多媒体视频、重点陈列文物三维、影像数据及虚拟讲解员形象等数字体验内容于VR设备中，进行数字展品赏析、文化汲取。以多元、丰富的虚拟世界，使体验者能够在VR环境中得到最佳的体验，引导受众更具沉浸感、真实感的展厅体验之旅，强化博物馆对外临展、交流活动等。</w:t>
            </w:r>
          </w:p>
        </w:tc>
      </w:tr>
    </w:tbl>
    <w:p>
      <w:pPr>
        <w:pStyle w:val="7"/>
        <w:bidi w:val="0"/>
        <w:rPr>
          <w:rFonts w:hint="default"/>
          <w:lang w:val="en-US" w:eastAsia="zh-CN"/>
        </w:rPr>
      </w:pPr>
      <w:r>
        <w:rPr>
          <w:rFonts w:hint="eastAsia"/>
          <w:lang w:val="en-US" w:eastAsia="zh-CN"/>
        </w:rPr>
        <w:br w:type="page"/>
      </w:r>
      <w:r>
        <w:rPr>
          <w:rFonts w:hint="eastAsia"/>
          <w:lang w:val="en-US" w:eastAsia="zh-CN"/>
        </w:rPr>
        <w:t>商务要求</w:t>
      </w:r>
    </w:p>
    <w:p>
      <w:pPr>
        <w:pStyle w:val="8"/>
        <w:tabs>
          <w:tab w:val="left" w:pos="0"/>
        </w:tabs>
        <w:bidi w:val="0"/>
        <w:rPr>
          <w:rFonts w:hint="default" w:ascii="Arial" w:hAnsi="Arial" w:cs="Times New Roman"/>
          <w:lang w:val="en-US" w:eastAsia="zh-CN"/>
        </w:rPr>
      </w:pPr>
      <w:r>
        <w:rPr>
          <w:rFonts w:hint="default" w:ascii="Arial" w:hAnsi="Arial" w:cs="Times New Roman"/>
          <w:lang w:val="en-US" w:eastAsia="zh-CN"/>
        </w:rPr>
        <w:t>合同履约期限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Times New Roman"/>
          <w:lang w:val="en-US" w:eastAsia="zh-CN"/>
        </w:rPr>
      </w:pPr>
      <w:r>
        <w:rPr>
          <w:rFonts w:hint="default" w:cs="Times New Roman"/>
          <w:lang w:val="en-US" w:eastAsia="zh-CN"/>
        </w:rPr>
        <w:t>合同签订</w:t>
      </w:r>
      <w:r>
        <w:rPr>
          <w:rFonts w:hint="eastAsia" w:cs="Times New Roman"/>
          <w:lang w:val="en-US" w:eastAsia="zh-CN"/>
        </w:rPr>
        <w:t>后12个月内。</w:t>
      </w:r>
    </w:p>
    <w:p>
      <w:pPr>
        <w:pStyle w:val="8"/>
        <w:tabs>
          <w:tab w:val="left" w:pos="0"/>
        </w:tabs>
        <w:bidi w:val="0"/>
        <w:rPr>
          <w:rFonts w:hint="default" w:ascii="Arial" w:hAnsi="Arial" w:cs="Times New Roman"/>
          <w:lang w:val="en-US" w:eastAsia="zh-CN"/>
        </w:rPr>
      </w:pPr>
      <w:r>
        <w:rPr>
          <w:rFonts w:hint="default" w:ascii="Arial" w:hAnsi="Arial" w:cs="Times New Roman"/>
          <w:lang w:val="en-US" w:eastAsia="zh-CN"/>
        </w:rPr>
        <w:t>服务地点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Times New Roman"/>
          <w:lang w:val="en-US" w:eastAsia="zh-CN"/>
        </w:rPr>
      </w:pPr>
      <w:r>
        <w:rPr>
          <w:rFonts w:hint="default" w:cs="Times New Roman"/>
          <w:lang w:val="en-US" w:eastAsia="zh-CN"/>
        </w:rPr>
        <w:t>采购人指定地点。</w:t>
      </w:r>
    </w:p>
    <w:p>
      <w:pPr>
        <w:pStyle w:val="8"/>
        <w:tabs>
          <w:tab w:val="left" w:pos="0"/>
        </w:tabs>
        <w:bidi w:val="0"/>
        <w:rPr>
          <w:rFonts w:hint="default" w:ascii="Arial" w:hAnsi="Arial" w:cs="Times New Roman"/>
          <w:lang w:val="en-US" w:eastAsia="zh-CN"/>
        </w:rPr>
      </w:pPr>
      <w:r>
        <w:rPr>
          <w:rFonts w:hint="default" w:ascii="Arial" w:hAnsi="Arial" w:cs="Times New Roman"/>
          <w:lang w:val="en-US" w:eastAsia="zh-CN"/>
        </w:rPr>
        <w:t>技术培训</w:t>
      </w:r>
    </w:p>
    <w:p>
      <w:pPr>
        <w:pStyle w:val="43"/>
        <w:ind w:firstLine="480"/>
        <w:rPr>
          <w:rFonts w:ascii="宋体" w:hAnsi="宋体"/>
        </w:rPr>
      </w:pPr>
      <w:r>
        <w:rPr>
          <w:rFonts w:hint="eastAsia" w:cs="Times New Roman"/>
          <w:lang w:val="en-US" w:eastAsia="zh-CN"/>
        </w:rPr>
        <w:t>项目实施单位</w:t>
      </w:r>
      <w:r>
        <w:rPr>
          <w:rFonts w:ascii="宋体" w:hAnsi="宋体"/>
        </w:rPr>
        <w:t>需向采购人提供免费的技术培训。培训要求如下：</w:t>
      </w:r>
    </w:p>
    <w:p>
      <w:pPr>
        <w:pStyle w:val="43"/>
        <w:ind w:firstLine="480"/>
        <w:rPr>
          <w:rFonts w:ascii="宋体" w:hAnsi="宋体"/>
        </w:rPr>
      </w:pPr>
      <w:r>
        <w:rPr>
          <w:rFonts w:hint="eastAsia" w:ascii="宋体" w:hAnsi="宋体"/>
        </w:rPr>
        <w:t>（1）</w:t>
      </w:r>
      <w:r>
        <w:rPr>
          <w:rFonts w:ascii="宋体" w:hAnsi="宋体"/>
        </w:rPr>
        <w:t>培训目标为使采购人受培训人员能够独立、熟练操作，实现本项目所规定的设备的目标和功能，并能对设备进行简单的维护；</w:t>
      </w:r>
    </w:p>
    <w:p>
      <w:pPr>
        <w:pStyle w:val="43"/>
        <w:ind w:firstLine="480"/>
        <w:rPr>
          <w:rFonts w:ascii="宋体" w:hAnsi="宋体"/>
        </w:rPr>
      </w:pPr>
      <w:r>
        <w:rPr>
          <w:rFonts w:hint="eastAsia" w:ascii="宋体" w:hAnsi="宋体"/>
        </w:rPr>
        <w:t>（2）</w:t>
      </w:r>
      <w:r>
        <w:rPr>
          <w:rFonts w:ascii="宋体" w:hAnsi="宋体"/>
        </w:rPr>
        <w:t>培训形式为现场培训，培训教材由</w:t>
      </w:r>
      <w:r>
        <w:rPr>
          <w:rFonts w:hint="eastAsia" w:cs="Times New Roman"/>
          <w:lang w:val="en-US" w:eastAsia="zh-CN"/>
        </w:rPr>
        <w:t>项目实施单位</w:t>
      </w:r>
      <w:r>
        <w:rPr>
          <w:rFonts w:ascii="宋体" w:hAnsi="宋体"/>
        </w:rPr>
        <w:t>提供，培训的讲师由</w:t>
      </w:r>
      <w:r>
        <w:rPr>
          <w:rFonts w:hint="eastAsia" w:cs="Times New Roman"/>
          <w:lang w:val="en-US" w:eastAsia="zh-CN"/>
        </w:rPr>
        <w:t>项目实施单位</w:t>
      </w:r>
      <w:r>
        <w:rPr>
          <w:rFonts w:ascii="宋体" w:hAnsi="宋体"/>
        </w:rPr>
        <w:t>安排，现场培训的场地由采购人提供，培训人数和天数不限。</w:t>
      </w:r>
    </w:p>
    <w:p>
      <w:pPr>
        <w:pStyle w:val="8"/>
        <w:tabs>
          <w:tab w:val="left" w:pos="0"/>
        </w:tabs>
        <w:bidi w:val="0"/>
        <w:rPr>
          <w:rFonts w:hint="default" w:ascii="Arial" w:hAnsi="Arial" w:cs="Times New Roman"/>
          <w:lang w:val="en-US" w:eastAsia="zh-CN"/>
        </w:rPr>
      </w:pPr>
      <w:r>
        <w:rPr>
          <w:rFonts w:hint="eastAsia" w:ascii="Arial" w:hAnsi="Arial" w:cs="Times New Roman"/>
          <w:lang w:val="en-US" w:eastAsia="zh-CN"/>
        </w:rPr>
        <w:t>项目团队要求</w:t>
      </w:r>
    </w:p>
    <w:p>
      <w:pPr>
        <w:pStyle w:val="43"/>
        <w:ind w:firstLine="480"/>
        <w:rPr>
          <w:rFonts w:hint="default" w:ascii="宋体" w:hAnsi="宋体"/>
          <w:lang w:val="en-US" w:eastAsia="zh-CN"/>
        </w:rPr>
      </w:pPr>
      <w:r>
        <w:rPr>
          <w:rFonts w:hint="eastAsia" w:ascii="宋体" w:hAnsi="宋体"/>
          <w:lang w:val="en-US" w:eastAsia="zh-CN"/>
        </w:rPr>
        <w:t>项目实施团队需至少提供1位项目负责人以及4位技术人员(不包含项目负责人)。</w:t>
      </w:r>
    </w:p>
    <w:p>
      <w:pPr>
        <w:pStyle w:val="8"/>
        <w:tabs>
          <w:tab w:val="left" w:pos="0"/>
        </w:tabs>
        <w:bidi w:val="0"/>
        <w:rPr>
          <w:rFonts w:hint="default" w:ascii="Arial" w:hAnsi="Arial" w:cs="Times New Roman"/>
          <w:lang w:val="en-US" w:eastAsia="zh-CN"/>
        </w:rPr>
      </w:pPr>
      <w:r>
        <w:rPr>
          <w:rFonts w:hint="default" w:ascii="Arial" w:hAnsi="Arial" w:cs="Times New Roman"/>
          <w:lang w:val="en-US" w:eastAsia="zh-CN"/>
        </w:rPr>
        <w:t>售后服务及技术支持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Times New Roman"/>
          <w:lang w:val="en-US" w:eastAsia="zh-CN"/>
        </w:rPr>
      </w:pPr>
      <w:r>
        <w:rPr>
          <w:rFonts w:hint="eastAsia" w:cs="Times New Roman"/>
          <w:lang w:val="en-US" w:eastAsia="zh-CN"/>
        </w:rPr>
        <w:t>1</w:t>
      </w:r>
      <w:r>
        <w:rPr>
          <w:rFonts w:hint="default" w:cs="Times New Roman"/>
          <w:lang w:val="en-US" w:eastAsia="zh-CN"/>
        </w:rPr>
        <w:t>、自履约验收合格之日起</w:t>
      </w:r>
      <w:r>
        <w:rPr>
          <w:rFonts w:hint="eastAsia" w:cs="Times New Roman"/>
          <w:lang w:val="en-US" w:eastAsia="zh-CN"/>
        </w:rPr>
        <w:t>提供1</w:t>
      </w:r>
      <w:r>
        <w:rPr>
          <w:rFonts w:hint="default" w:cs="Times New Roman"/>
          <w:lang w:val="en-US" w:eastAsia="zh-CN"/>
        </w:rPr>
        <w:t>年</w:t>
      </w:r>
      <w:r>
        <w:rPr>
          <w:rFonts w:hint="eastAsia" w:cs="Times New Roman"/>
          <w:lang w:val="en-US" w:eastAsia="zh-CN"/>
        </w:rPr>
        <w:t>质保</w:t>
      </w:r>
      <w:r>
        <w:rPr>
          <w:rFonts w:hint="default" w:cs="Times New Roman"/>
          <w:lang w:val="en-US" w:eastAsia="zh-CN"/>
        </w:rPr>
        <w:t>，在质保期内，涉及软件、硬件等故障或系统平台更新升级等情况，均</w:t>
      </w:r>
      <w:r>
        <w:rPr>
          <w:rFonts w:hint="eastAsia" w:cs="Times New Roman"/>
          <w:lang w:val="en-US" w:eastAsia="zh-CN"/>
        </w:rPr>
        <w:t>由实施单位</w:t>
      </w:r>
      <w:r>
        <w:rPr>
          <w:rFonts w:hint="default" w:cs="Times New Roman"/>
          <w:lang w:val="en-US" w:eastAsia="zh-CN"/>
        </w:rPr>
        <w:t>免费处理。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Times New Roman"/>
          <w:lang w:val="en-US" w:eastAsia="zh-CN"/>
        </w:rPr>
      </w:pPr>
      <w:r>
        <w:rPr>
          <w:rFonts w:hint="eastAsia" w:cs="Times New Roman"/>
          <w:lang w:val="en-US" w:eastAsia="zh-CN"/>
        </w:rPr>
        <w:t>2、</w:t>
      </w:r>
      <w:r>
        <w:rPr>
          <w:rFonts w:hint="default" w:cs="Times New Roman"/>
          <w:lang w:val="en-US" w:eastAsia="zh-CN"/>
        </w:rPr>
        <w:t>提供7*24小时技术服务热线，负责解答用户在使用中遇到的问题，并及时提出解决问题的建议和操作方法，在接到用户故障报告后响应时间不超过3小时。</w:t>
      </w:r>
    </w:p>
    <w:p>
      <w:pPr>
        <w:pStyle w:val="8"/>
        <w:tabs>
          <w:tab w:val="left" w:pos="0"/>
        </w:tabs>
        <w:bidi w:val="0"/>
        <w:rPr>
          <w:rFonts w:hint="default" w:ascii="Arial" w:hAnsi="Arial" w:cs="Times New Roman"/>
          <w:lang w:val="en-US" w:eastAsia="zh-CN"/>
        </w:rPr>
      </w:pPr>
      <w:r>
        <w:rPr>
          <w:rFonts w:hint="eastAsia" w:ascii="Arial" w:hAnsi="Arial" w:cs="Times New Roman"/>
          <w:lang w:val="en-US" w:eastAsia="zh-CN"/>
        </w:rPr>
        <w:t>付款方式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Times New Roman"/>
          <w:lang w:val="en-US" w:eastAsia="zh-CN"/>
        </w:rPr>
      </w:pPr>
      <w:r>
        <w:rPr>
          <w:rFonts w:hint="eastAsia" w:cs="Times New Roman"/>
          <w:lang w:val="en-US" w:eastAsia="zh-CN"/>
        </w:rPr>
        <w:t>签订合同之日起7日内，采购方支付首付款，即合同金额的40%；文物三维数据采集制作完成，项目硬件设备进场并签收后，采购方支付第二笔款项，即合同金额的30%；项目交付完毕且采购方验收通过经结算审计后，按照审计结果支付项目尾款。</w:t>
      </w:r>
    </w:p>
    <w:p>
      <w:pPr>
        <w:pStyle w:val="8"/>
        <w:tabs>
          <w:tab w:val="left" w:pos="0"/>
        </w:tabs>
        <w:bidi w:val="0"/>
        <w:rPr>
          <w:rFonts w:hint="eastAsia" w:ascii="Arial" w:hAnsi="Arial" w:cs="Times New Roman"/>
          <w:lang w:val="en-US" w:eastAsia="zh-CN"/>
        </w:rPr>
      </w:pPr>
      <w:r>
        <w:rPr>
          <w:rFonts w:hint="eastAsia" w:ascii="Arial" w:hAnsi="Arial" w:cs="Times New Roman"/>
          <w:lang w:val="en-US" w:eastAsia="zh-CN"/>
        </w:rPr>
        <w:t>其他要求</w:t>
      </w:r>
    </w:p>
    <w:p>
      <w:pPr>
        <w:pStyle w:val="22"/>
        <w:spacing w:line="360" w:lineRule="auto"/>
        <w:ind w:left="0" w:firstLine="560" w:firstLineChars="200"/>
        <w:rPr>
          <w:rFonts w:hint="eastAsia" w:ascii="仿宋" w:hAnsi="仿宋" w:eastAsia="仿宋" w:cs="Times New Roman"/>
          <w:kern w:val="2"/>
          <w:sz w:val="28"/>
          <w:szCs w:val="24"/>
          <w:lang w:val="en-US" w:eastAsia="zh-CN" w:bidi="ar-SA"/>
        </w:rPr>
      </w:pPr>
      <w:r>
        <w:rPr>
          <w:rFonts w:hint="eastAsia" w:ascii="仿宋" w:hAnsi="仿宋" w:eastAsia="仿宋" w:cs="Times New Roman"/>
          <w:kern w:val="2"/>
          <w:sz w:val="28"/>
          <w:szCs w:val="24"/>
          <w:lang w:val="en-US" w:eastAsia="zh-CN" w:bidi="ar-SA"/>
        </w:rPr>
        <w:t>1、VR眼镜是该项目的核心产品，招标时按照《政府采购和服务招标投标管理办法》第三章第三十一条执行。</w:t>
      </w:r>
    </w:p>
    <w:p>
      <w:pPr>
        <w:pStyle w:val="22"/>
        <w:spacing w:line="360" w:lineRule="auto"/>
        <w:ind w:left="0" w:firstLine="560" w:firstLineChars="200"/>
        <w:rPr>
          <w:rFonts w:hint="eastAsia" w:ascii="仿宋" w:hAnsi="仿宋" w:eastAsia="仿宋" w:cs="Times New Roman"/>
          <w:kern w:val="2"/>
          <w:sz w:val="28"/>
          <w:szCs w:val="24"/>
          <w:lang w:val="en-US" w:eastAsia="zh-CN" w:bidi="ar-SA"/>
        </w:rPr>
      </w:pPr>
      <w:r>
        <w:rPr>
          <w:rFonts w:hint="eastAsia" w:ascii="仿宋" w:hAnsi="仿宋" w:eastAsia="仿宋" w:cs="Times New Roman"/>
          <w:kern w:val="2"/>
          <w:sz w:val="28"/>
          <w:szCs w:val="24"/>
          <w:lang w:val="en-US" w:eastAsia="zh-CN" w:bidi="ar-SA"/>
        </w:rPr>
        <w:t>2、本项目制作的视频、互动程序等成果的版权归昌吉州文博院所有。</w:t>
      </w:r>
    </w:p>
    <w:p>
      <w:pPr>
        <w:pStyle w:val="22"/>
        <w:spacing w:line="360" w:lineRule="auto"/>
        <w:ind w:left="0" w:leftChars="0" w:firstLine="0" w:firstLineChars="0"/>
        <w:rPr>
          <w:rFonts w:hint="default" w:ascii="仿宋" w:hAnsi="仿宋" w:eastAsia="仿宋" w:cs="Times New Roman"/>
          <w:kern w:val="2"/>
          <w:sz w:val="28"/>
          <w:szCs w:val="24"/>
          <w:lang w:val="en-US" w:eastAsia="zh-CN" w:bidi="ar-SA"/>
        </w:rPr>
      </w:pPr>
      <w:r>
        <w:rPr>
          <w:rFonts w:hint="eastAsia" w:ascii="仿宋" w:hAnsi="仿宋" w:eastAsia="仿宋" w:cs="Times New Roman"/>
          <w:kern w:val="2"/>
          <w:sz w:val="28"/>
          <w:szCs w:val="24"/>
          <w:lang w:val="en-US" w:eastAsia="zh-CN" w:bidi="ar-SA"/>
        </w:rPr>
        <w:t xml:space="preserve">    3、本项目不接受联合体投标。</w:t>
      </w:r>
    </w:p>
    <w:p>
      <w:pPr>
        <w:pStyle w:val="7"/>
        <w:bidi w:val="0"/>
        <w:spacing w:line="360" w:lineRule="auto"/>
        <w:rPr>
          <w:rFonts w:hint="default" w:cs="Times New Roman"/>
          <w:b/>
          <w:sz w:val="32"/>
          <w:szCs w:val="22"/>
          <w:lang w:val="en-US" w:eastAsia="zh-CN"/>
        </w:rPr>
      </w:pPr>
      <w:r>
        <w:rPr>
          <w:rFonts w:hint="eastAsia" w:cs="Times New Roman"/>
          <w:b/>
          <w:sz w:val="32"/>
          <w:szCs w:val="22"/>
          <w:lang w:val="en-US" w:eastAsia="zh-CN"/>
        </w:rPr>
        <w:t>评分表</w:t>
      </w:r>
    </w:p>
    <w:tbl>
      <w:tblPr>
        <w:tblStyle w:val="23"/>
        <w:tblW w:w="8519"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7"/>
        <w:gridCol w:w="1297"/>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noWrap w:val="0"/>
            <w:tcMar>
              <w:top w:w="0" w:type="dxa"/>
              <w:left w:w="108" w:type="dxa"/>
              <w:bottom w:w="0" w:type="dxa"/>
              <w:right w:w="108" w:type="dxa"/>
            </w:tcMar>
            <w:vAlign w:val="center"/>
          </w:tcPr>
          <w:p>
            <w:pPr>
              <w:bidi w:val="0"/>
              <w:spacing w:line="360" w:lineRule="auto"/>
              <w:jc w:val="center"/>
              <w:rPr>
                <w:rFonts w:hint="eastAsia"/>
                <w:sz w:val="24"/>
                <w:szCs w:val="24"/>
              </w:rPr>
            </w:pPr>
            <w:r>
              <w:rPr>
                <w:rFonts w:hint="eastAsia"/>
                <w:sz w:val="24"/>
                <w:szCs w:val="24"/>
              </w:rPr>
              <w:t>评分项目</w:t>
            </w:r>
          </w:p>
        </w:tc>
        <w:tc>
          <w:tcPr>
            <w:tcW w:w="7212" w:type="dxa"/>
            <w:gridSpan w:val="2"/>
            <w:noWrap w:val="0"/>
            <w:tcMar>
              <w:top w:w="0" w:type="dxa"/>
              <w:left w:w="108" w:type="dxa"/>
              <w:bottom w:w="0" w:type="dxa"/>
              <w:right w:w="108" w:type="dxa"/>
            </w:tcMar>
            <w:vAlign w:val="center"/>
          </w:tcPr>
          <w:p>
            <w:pPr>
              <w:bidi w:val="0"/>
              <w:spacing w:line="360" w:lineRule="auto"/>
              <w:jc w:val="center"/>
              <w:rPr>
                <w:rFonts w:hint="eastAsia"/>
                <w:sz w:val="24"/>
                <w:szCs w:val="24"/>
              </w:rPr>
            </w:pPr>
            <w:r>
              <w:rPr>
                <w:rFonts w:hint="eastAsia"/>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noWrap w:val="0"/>
            <w:tcMar>
              <w:top w:w="0" w:type="dxa"/>
              <w:left w:w="108" w:type="dxa"/>
              <w:bottom w:w="0" w:type="dxa"/>
              <w:right w:w="108" w:type="dxa"/>
            </w:tcMar>
            <w:vAlign w:val="center"/>
          </w:tcPr>
          <w:p>
            <w:pPr>
              <w:bidi w:val="0"/>
              <w:spacing w:line="360" w:lineRule="auto"/>
              <w:jc w:val="center"/>
              <w:rPr>
                <w:rFonts w:hint="eastAsia"/>
                <w:sz w:val="24"/>
                <w:szCs w:val="24"/>
                <w:lang w:eastAsia="zh-CN"/>
              </w:rPr>
            </w:pPr>
            <w:r>
              <w:rPr>
                <w:rFonts w:hint="eastAsia"/>
                <w:sz w:val="24"/>
                <w:szCs w:val="24"/>
              </w:rPr>
              <w:t>价格因素分</w:t>
            </w:r>
            <w:r>
              <w:rPr>
                <w:rFonts w:hint="eastAsia"/>
                <w:sz w:val="24"/>
                <w:szCs w:val="24"/>
                <w:lang w:eastAsia="zh-CN"/>
              </w:rPr>
              <w:t>（</w:t>
            </w:r>
            <w:r>
              <w:rPr>
                <w:rFonts w:hint="eastAsia"/>
                <w:sz w:val="24"/>
                <w:szCs w:val="24"/>
                <w:lang w:val="en-US" w:eastAsia="zh-CN"/>
              </w:rPr>
              <w:t>20</w:t>
            </w:r>
            <w:r>
              <w:rPr>
                <w:rFonts w:hint="eastAsia"/>
                <w:sz w:val="24"/>
                <w:szCs w:val="24"/>
              </w:rPr>
              <w:t>分</w:t>
            </w:r>
            <w:r>
              <w:rPr>
                <w:rFonts w:hint="eastAsia"/>
                <w:sz w:val="24"/>
                <w:szCs w:val="24"/>
                <w:lang w:eastAsia="zh-CN"/>
              </w:rPr>
              <w:t>）</w:t>
            </w:r>
          </w:p>
        </w:tc>
        <w:tc>
          <w:tcPr>
            <w:tcW w:w="1297" w:type="dxa"/>
            <w:noWrap w:val="0"/>
            <w:tcMar>
              <w:top w:w="0" w:type="dxa"/>
              <w:left w:w="108" w:type="dxa"/>
              <w:bottom w:w="0" w:type="dxa"/>
              <w:right w:w="108" w:type="dxa"/>
            </w:tcMar>
            <w:vAlign w:val="center"/>
          </w:tcPr>
          <w:p>
            <w:pPr>
              <w:bidi w:val="0"/>
              <w:spacing w:line="360" w:lineRule="auto"/>
              <w:jc w:val="center"/>
              <w:rPr>
                <w:rFonts w:hint="eastAsia"/>
                <w:sz w:val="24"/>
                <w:szCs w:val="24"/>
              </w:rPr>
            </w:pPr>
            <w:r>
              <w:rPr>
                <w:rFonts w:hint="eastAsia"/>
                <w:sz w:val="24"/>
                <w:szCs w:val="24"/>
                <w:lang w:val="en-US" w:eastAsia="zh-CN"/>
              </w:rPr>
              <w:t>20</w:t>
            </w:r>
            <w:r>
              <w:rPr>
                <w:rFonts w:hint="eastAsia"/>
                <w:sz w:val="24"/>
                <w:szCs w:val="24"/>
              </w:rPr>
              <w:t>分</w:t>
            </w:r>
          </w:p>
        </w:tc>
        <w:tc>
          <w:tcPr>
            <w:tcW w:w="5915" w:type="dxa"/>
            <w:noWrap w:val="0"/>
            <w:tcMar>
              <w:top w:w="0" w:type="dxa"/>
              <w:left w:w="108" w:type="dxa"/>
              <w:bottom w:w="0" w:type="dxa"/>
              <w:right w:w="108" w:type="dxa"/>
            </w:tcMar>
            <w:vAlign w:val="center"/>
          </w:tcPr>
          <w:p>
            <w:pPr>
              <w:bidi w:val="0"/>
              <w:spacing w:line="360" w:lineRule="auto"/>
              <w:jc w:val="both"/>
              <w:rPr>
                <w:rFonts w:hint="eastAsia"/>
                <w:sz w:val="24"/>
                <w:szCs w:val="24"/>
              </w:rPr>
            </w:pPr>
            <w:r>
              <w:rPr>
                <w:rFonts w:hint="eastAsia"/>
                <w:sz w:val="24"/>
                <w:szCs w:val="24"/>
              </w:rPr>
              <w:t>报价得分：以按照竞争性磋商文件规定修正后的所有合格</w:t>
            </w:r>
            <w:r>
              <w:rPr>
                <w:rFonts w:hint="eastAsia"/>
                <w:sz w:val="24"/>
                <w:szCs w:val="24"/>
                <w:lang w:eastAsia="zh-CN"/>
              </w:rPr>
              <w:t>供应商</w:t>
            </w:r>
            <w:r>
              <w:rPr>
                <w:rFonts w:hint="eastAsia"/>
                <w:sz w:val="24"/>
                <w:szCs w:val="24"/>
              </w:rPr>
              <w:t>的评标价的最低价作为评分基准价。</w:t>
            </w:r>
            <w:r>
              <w:rPr>
                <w:rFonts w:hint="eastAsia"/>
                <w:sz w:val="24"/>
                <w:szCs w:val="24"/>
                <w:lang w:eastAsia="zh-CN"/>
              </w:rPr>
              <w:t>供应商</w:t>
            </w:r>
            <w:r>
              <w:rPr>
                <w:rFonts w:hint="eastAsia"/>
                <w:sz w:val="24"/>
                <w:szCs w:val="24"/>
              </w:rPr>
              <w:t>的价格分按下式计算：价格分=（评分基准价/评标价）×</w:t>
            </w:r>
            <w:r>
              <w:rPr>
                <w:rFonts w:hint="eastAsia"/>
                <w:sz w:val="24"/>
                <w:szCs w:val="24"/>
                <w:lang w:val="en-US" w:eastAsia="zh-CN"/>
              </w:rPr>
              <w:t>20</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restart"/>
            <w:noWrap w:val="0"/>
            <w:tcMar>
              <w:top w:w="0" w:type="dxa"/>
              <w:left w:w="108" w:type="dxa"/>
              <w:bottom w:w="0" w:type="dxa"/>
              <w:right w:w="108" w:type="dxa"/>
            </w:tcMar>
            <w:vAlign w:val="center"/>
          </w:tcPr>
          <w:p>
            <w:pPr>
              <w:bidi w:val="0"/>
              <w:spacing w:line="360" w:lineRule="auto"/>
              <w:jc w:val="center"/>
              <w:rPr>
                <w:rFonts w:hint="eastAsia"/>
                <w:sz w:val="24"/>
                <w:szCs w:val="24"/>
                <w:lang w:eastAsia="zh-CN"/>
              </w:rPr>
            </w:pPr>
            <w:r>
              <w:rPr>
                <w:rFonts w:hint="eastAsia"/>
                <w:sz w:val="24"/>
                <w:szCs w:val="24"/>
              </w:rPr>
              <w:t>商务因素分</w:t>
            </w:r>
            <w:r>
              <w:rPr>
                <w:rFonts w:hint="eastAsia"/>
                <w:sz w:val="24"/>
                <w:szCs w:val="24"/>
                <w:lang w:eastAsia="zh-CN"/>
              </w:rPr>
              <w:t>（</w:t>
            </w:r>
            <w:r>
              <w:rPr>
                <w:rFonts w:hint="eastAsia"/>
                <w:sz w:val="24"/>
                <w:szCs w:val="24"/>
                <w:lang w:val="en-US" w:eastAsia="zh-CN"/>
              </w:rPr>
              <w:t>12</w:t>
            </w:r>
            <w:r>
              <w:rPr>
                <w:rFonts w:hint="eastAsia"/>
                <w:sz w:val="24"/>
                <w:szCs w:val="24"/>
              </w:rPr>
              <w:t>分</w:t>
            </w:r>
            <w:r>
              <w:rPr>
                <w:rFonts w:hint="eastAsia"/>
                <w:sz w:val="24"/>
                <w:szCs w:val="24"/>
                <w:lang w:eastAsia="zh-CN"/>
              </w:rPr>
              <w:t>）</w:t>
            </w:r>
          </w:p>
        </w:tc>
        <w:tc>
          <w:tcPr>
            <w:tcW w:w="1297" w:type="dxa"/>
            <w:noWrap w:val="0"/>
            <w:tcMar>
              <w:top w:w="0" w:type="dxa"/>
              <w:left w:w="108" w:type="dxa"/>
              <w:bottom w:w="0" w:type="dxa"/>
              <w:right w:w="108" w:type="dxa"/>
            </w:tcMar>
            <w:vAlign w:val="center"/>
          </w:tcPr>
          <w:p>
            <w:pPr>
              <w:bidi w:val="0"/>
              <w:spacing w:line="360" w:lineRule="auto"/>
              <w:jc w:val="center"/>
              <w:rPr>
                <w:rFonts w:hint="eastAsia"/>
                <w:sz w:val="24"/>
                <w:szCs w:val="24"/>
              </w:rPr>
            </w:pPr>
            <w:r>
              <w:rPr>
                <w:rFonts w:hint="eastAsia"/>
                <w:sz w:val="24"/>
                <w:szCs w:val="24"/>
                <w:lang w:val="en-US" w:eastAsia="zh-CN"/>
              </w:rPr>
              <w:t>投标人实力（满分2分）</w:t>
            </w:r>
          </w:p>
        </w:tc>
        <w:tc>
          <w:tcPr>
            <w:tcW w:w="5915" w:type="dxa"/>
            <w:noWrap w:val="0"/>
            <w:tcMar>
              <w:top w:w="0" w:type="dxa"/>
              <w:left w:w="108" w:type="dxa"/>
              <w:bottom w:w="0" w:type="dxa"/>
              <w:right w:w="108" w:type="dxa"/>
            </w:tcMar>
            <w:vAlign w:val="center"/>
          </w:tcPr>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en-US" w:eastAsia="zh-CN"/>
              </w:rPr>
              <w:t>投标人具有行业主管部门颁发的电子与智能化工程专业承包二级资质证书得2分；</w:t>
            </w:r>
          </w:p>
          <w:p>
            <w:pPr>
              <w:bidi w:val="0"/>
              <w:spacing w:line="360" w:lineRule="auto"/>
              <w:jc w:val="both"/>
              <w:rPr>
                <w:rFonts w:hint="eastAsia"/>
                <w:color w:val="auto"/>
                <w:sz w:val="24"/>
                <w:szCs w:val="24"/>
                <w:lang w:val="en-US" w:eastAsia="zh-CN"/>
              </w:rPr>
            </w:pPr>
            <w:r>
              <w:rPr>
                <w:rFonts w:hint="eastAsia" w:cs="Times New Roman"/>
                <w:color w:val="auto"/>
                <w:sz w:val="24"/>
                <w:szCs w:val="24"/>
                <w:lang w:val="en-US" w:eastAsia="zh-CN"/>
              </w:rPr>
              <w:t>注：投标人需在投标文件中提供有效期内的证书复印件并加盖投标人公章，不提供不得分。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sz w:val="24"/>
                <w:szCs w:val="24"/>
                <w:lang w:val="en-US" w:eastAsia="zh-CN"/>
              </w:rPr>
            </w:pPr>
            <w:r>
              <w:rPr>
                <w:rFonts w:hint="eastAsia"/>
                <w:sz w:val="24"/>
                <w:szCs w:val="24"/>
                <w:lang w:val="en-US" w:eastAsia="zh-CN"/>
              </w:rPr>
              <w:t>项目人员配备（满分6分）</w:t>
            </w:r>
          </w:p>
        </w:tc>
        <w:tc>
          <w:tcPr>
            <w:tcW w:w="5915" w:type="dxa"/>
            <w:noWrap w:val="0"/>
            <w:tcMar>
              <w:top w:w="0" w:type="dxa"/>
              <w:left w:w="108" w:type="dxa"/>
              <w:bottom w:w="0" w:type="dxa"/>
              <w:right w:w="108" w:type="dxa"/>
            </w:tcMar>
            <w:vAlign w:val="center"/>
          </w:tcPr>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en-US" w:eastAsia="zh-CN"/>
              </w:rPr>
              <w:t>（1）项目负责人具备行业主管部门颁发的系统架构设计师证书、信息系统项目管理师证书复印件，每提供一项证书得1分，满分2分；</w:t>
            </w:r>
          </w:p>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en-US" w:eastAsia="zh-CN"/>
              </w:rPr>
              <w:t>（2）项目团队中的技术人员（不包含项目负责人）具备行政部门颁发的系统架构设计师证书或信息系统项目管理师证书，以上证书每提供1人得1分，最高得4分。</w:t>
            </w:r>
          </w:p>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en-US" w:eastAsia="zh-CN"/>
              </w:rPr>
              <w:t>注：投标人需在投标文件中提供有效期内的证书复印件并加盖投标人公章，不提供不得分。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sz w:val="24"/>
                <w:szCs w:val="24"/>
                <w:lang w:val="en-US" w:eastAsia="zh-CN"/>
              </w:rPr>
            </w:pPr>
            <w:r>
              <w:rPr>
                <w:rFonts w:hint="eastAsia"/>
                <w:sz w:val="24"/>
                <w:szCs w:val="24"/>
                <w:lang w:val="en-US" w:eastAsia="zh-CN"/>
              </w:rPr>
              <w:t>投标人业绩（满分4分）</w:t>
            </w:r>
          </w:p>
        </w:tc>
        <w:tc>
          <w:tcPr>
            <w:tcW w:w="5915" w:type="dxa"/>
            <w:noWrap w:val="0"/>
            <w:tcMar>
              <w:top w:w="0" w:type="dxa"/>
              <w:left w:w="108" w:type="dxa"/>
              <w:bottom w:w="0" w:type="dxa"/>
              <w:right w:w="108" w:type="dxa"/>
            </w:tcMar>
            <w:vAlign w:val="center"/>
          </w:tcPr>
          <w:p>
            <w:pPr>
              <w:bidi w:val="0"/>
              <w:spacing w:line="360" w:lineRule="auto"/>
              <w:jc w:val="both"/>
              <w:rPr>
                <w:rFonts w:hint="eastAsia"/>
                <w:color w:val="auto"/>
                <w:sz w:val="24"/>
                <w:szCs w:val="24"/>
                <w:lang w:eastAsia="zh-CN"/>
              </w:rPr>
            </w:pPr>
            <w:r>
              <w:rPr>
                <w:rFonts w:hint="eastAsia" w:cs="Times New Roman"/>
                <w:color w:val="auto"/>
                <w:sz w:val="24"/>
                <w:szCs w:val="24"/>
                <w:lang w:val="en-US" w:eastAsia="zh-CN"/>
              </w:rPr>
              <w:t>投标人</w:t>
            </w:r>
            <w:r>
              <w:rPr>
                <w:rFonts w:hint="eastAsia"/>
                <w:color w:val="auto"/>
                <w:sz w:val="24"/>
                <w:szCs w:val="24"/>
                <w:lang w:eastAsia="zh-CN"/>
              </w:rPr>
              <w:t>提供202</w:t>
            </w:r>
            <w:r>
              <w:rPr>
                <w:rFonts w:hint="eastAsia"/>
                <w:color w:val="auto"/>
                <w:sz w:val="24"/>
                <w:szCs w:val="24"/>
                <w:lang w:val="en-US" w:eastAsia="zh-CN"/>
              </w:rPr>
              <w:t>0</w:t>
            </w:r>
            <w:r>
              <w:rPr>
                <w:rFonts w:hint="eastAsia"/>
                <w:color w:val="auto"/>
                <w:sz w:val="24"/>
                <w:szCs w:val="24"/>
                <w:lang w:eastAsia="zh-CN"/>
              </w:rPr>
              <w:t>年至今</w:t>
            </w:r>
            <w:r>
              <w:rPr>
                <w:rFonts w:hint="eastAsia"/>
                <w:color w:val="auto"/>
                <w:sz w:val="24"/>
                <w:szCs w:val="24"/>
                <w:lang w:val="en-US" w:eastAsia="zh-CN"/>
              </w:rPr>
              <w:t>承揽</w:t>
            </w:r>
            <w:r>
              <w:rPr>
                <w:rFonts w:hint="eastAsia"/>
                <w:color w:val="auto"/>
                <w:sz w:val="24"/>
                <w:szCs w:val="24"/>
                <w:lang w:eastAsia="zh-CN"/>
              </w:rPr>
              <w:t>过</w:t>
            </w:r>
            <w:r>
              <w:rPr>
                <w:rFonts w:hint="eastAsia"/>
                <w:color w:val="auto"/>
                <w:sz w:val="24"/>
                <w:szCs w:val="24"/>
                <w:lang w:val="en-US" w:eastAsia="zh-CN"/>
              </w:rPr>
              <w:t>的</w:t>
            </w:r>
            <w:r>
              <w:rPr>
                <w:rFonts w:hint="eastAsia"/>
                <w:color w:val="auto"/>
                <w:sz w:val="24"/>
                <w:szCs w:val="24"/>
                <w:lang w:eastAsia="zh-CN"/>
              </w:rPr>
              <w:t>类似</w:t>
            </w:r>
            <w:r>
              <w:rPr>
                <w:rFonts w:hint="eastAsia"/>
                <w:color w:val="auto"/>
                <w:sz w:val="24"/>
                <w:szCs w:val="24"/>
                <w:lang w:val="en-US" w:eastAsia="zh-CN"/>
              </w:rPr>
              <w:t>项目</w:t>
            </w:r>
            <w:r>
              <w:rPr>
                <w:rFonts w:hint="eastAsia"/>
                <w:color w:val="auto"/>
                <w:sz w:val="24"/>
                <w:szCs w:val="24"/>
                <w:lang w:eastAsia="zh-CN"/>
              </w:rPr>
              <w:t>业绩，</w:t>
            </w:r>
            <w:r>
              <w:rPr>
                <w:rFonts w:hint="eastAsia"/>
                <w:color w:val="auto"/>
                <w:sz w:val="24"/>
                <w:szCs w:val="24"/>
                <w:lang w:val="en-US" w:eastAsia="zh-CN"/>
              </w:rPr>
              <w:t>每</w:t>
            </w:r>
            <w:r>
              <w:rPr>
                <w:rFonts w:hint="eastAsia"/>
                <w:color w:val="auto"/>
                <w:sz w:val="24"/>
                <w:szCs w:val="24"/>
                <w:lang w:eastAsia="zh-CN"/>
              </w:rPr>
              <w:t>提供</w:t>
            </w:r>
            <w:r>
              <w:rPr>
                <w:rFonts w:hint="eastAsia"/>
                <w:color w:val="auto"/>
                <w:sz w:val="24"/>
                <w:szCs w:val="24"/>
                <w:lang w:val="en-US" w:eastAsia="zh-CN"/>
              </w:rPr>
              <w:t>1项业绩</w:t>
            </w:r>
            <w:r>
              <w:rPr>
                <w:rFonts w:hint="eastAsia"/>
                <w:color w:val="auto"/>
                <w:sz w:val="24"/>
                <w:szCs w:val="24"/>
                <w:lang w:eastAsia="zh-CN"/>
              </w:rPr>
              <w:t>得</w:t>
            </w:r>
            <w:r>
              <w:rPr>
                <w:rFonts w:hint="eastAsia"/>
                <w:color w:val="auto"/>
                <w:sz w:val="24"/>
                <w:szCs w:val="24"/>
                <w:lang w:val="en-US" w:eastAsia="zh-CN"/>
              </w:rPr>
              <w:t>2</w:t>
            </w:r>
            <w:r>
              <w:rPr>
                <w:rFonts w:hint="eastAsia"/>
                <w:color w:val="auto"/>
                <w:sz w:val="24"/>
                <w:szCs w:val="24"/>
                <w:lang w:eastAsia="zh-CN"/>
              </w:rPr>
              <w:t>分，</w:t>
            </w:r>
            <w:r>
              <w:rPr>
                <w:rFonts w:hint="eastAsia"/>
                <w:color w:val="auto"/>
                <w:sz w:val="24"/>
                <w:szCs w:val="24"/>
                <w:lang w:val="en-US" w:eastAsia="zh-CN"/>
              </w:rPr>
              <w:t>最高得4</w:t>
            </w:r>
            <w:r>
              <w:rPr>
                <w:rFonts w:hint="eastAsia"/>
                <w:color w:val="auto"/>
                <w:sz w:val="24"/>
                <w:szCs w:val="24"/>
                <w:lang w:eastAsia="zh-CN"/>
              </w:rPr>
              <w:t>分。</w:t>
            </w:r>
          </w:p>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en-US" w:eastAsia="zh-CN"/>
              </w:rPr>
              <w:t>注：投标人需在投标文件中</w:t>
            </w:r>
            <w:r>
              <w:rPr>
                <w:rFonts w:hint="eastAsia"/>
                <w:color w:val="auto"/>
                <w:sz w:val="24"/>
                <w:szCs w:val="24"/>
                <w:lang w:val="en-US" w:eastAsia="zh-CN"/>
              </w:rPr>
              <w:t>提供中标（成交）通知书或合同做为业绩</w:t>
            </w:r>
            <w:r>
              <w:rPr>
                <w:rFonts w:hint="eastAsia" w:cs="Times New Roman"/>
                <w:color w:val="auto"/>
                <w:sz w:val="24"/>
                <w:szCs w:val="24"/>
                <w:lang w:val="en-US" w:eastAsia="zh-CN"/>
              </w:rPr>
              <w:t>证明材料并加盖投标人公章，不提供不得分。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restart"/>
            <w:noWrap w:val="0"/>
            <w:tcMar>
              <w:top w:w="0" w:type="dxa"/>
              <w:left w:w="108" w:type="dxa"/>
              <w:bottom w:w="0" w:type="dxa"/>
              <w:right w:w="108" w:type="dxa"/>
            </w:tcMar>
            <w:vAlign w:val="center"/>
          </w:tcPr>
          <w:p>
            <w:pPr>
              <w:bidi w:val="0"/>
              <w:spacing w:line="360" w:lineRule="auto"/>
              <w:jc w:val="center"/>
              <w:rPr>
                <w:rFonts w:hint="eastAsia"/>
                <w:sz w:val="24"/>
                <w:szCs w:val="24"/>
                <w:lang w:eastAsia="zh-CN"/>
              </w:rPr>
            </w:pPr>
            <w:r>
              <w:rPr>
                <w:rFonts w:hint="eastAsia"/>
                <w:sz w:val="24"/>
                <w:szCs w:val="24"/>
              </w:rPr>
              <w:t>技术因素分</w:t>
            </w:r>
            <w:r>
              <w:rPr>
                <w:rFonts w:hint="eastAsia"/>
                <w:sz w:val="24"/>
                <w:szCs w:val="24"/>
                <w:lang w:eastAsia="zh-CN"/>
              </w:rPr>
              <w:t>（</w:t>
            </w:r>
            <w:r>
              <w:rPr>
                <w:rFonts w:hint="eastAsia"/>
                <w:sz w:val="24"/>
                <w:szCs w:val="24"/>
                <w:lang w:val="en-US" w:eastAsia="zh-CN"/>
              </w:rPr>
              <w:t>68</w:t>
            </w:r>
            <w:r>
              <w:rPr>
                <w:rFonts w:hint="eastAsia"/>
                <w:sz w:val="24"/>
                <w:szCs w:val="24"/>
              </w:rPr>
              <w:t>分</w:t>
            </w:r>
            <w:r>
              <w:rPr>
                <w:rFonts w:hint="eastAsia"/>
                <w:sz w:val="24"/>
                <w:szCs w:val="24"/>
                <w:lang w:eastAsia="zh-CN"/>
              </w:rPr>
              <w:t>）</w:t>
            </w:r>
          </w:p>
        </w:tc>
        <w:tc>
          <w:tcPr>
            <w:tcW w:w="1297" w:type="dxa"/>
            <w:noWrap w:val="0"/>
            <w:tcMar>
              <w:top w:w="0" w:type="dxa"/>
              <w:left w:w="108" w:type="dxa"/>
              <w:bottom w:w="0" w:type="dxa"/>
              <w:right w:w="108" w:type="dxa"/>
            </w:tcMar>
            <w:vAlign w:val="center"/>
          </w:tcPr>
          <w:p>
            <w:pPr>
              <w:bidi w:val="0"/>
              <w:spacing w:line="360" w:lineRule="auto"/>
              <w:jc w:val="center"/>
              <w:rPr>
                <w:rFonts w:hint="eastAsia" w:cs="Times New Roman"/>
                <w:sz w:val="24"/>
                <w:szCs w:val="24"/>
                <w:lang w:val="en-US" w:eastAsia="zh-CN"/>
              </w:rPr>
            </w:pPr>
            <w:r>
              <w:rPr>
                <w:rFonts w:hint="eastAsia" w:cs="Times New Roman"/>
                <w:sz w:val="24"/>
                <w:szCs w:val="24"/>
                <w:lang w:val="en-US" w:eastAsia="zh-CN"/>
              </w:rPr>
              <w:t>技术参数响应（满分15分）</w:t>
            </w:r>
          </w:p>
        </w:tc>
        <w:tc>
          <w:tcPr>
            <w:tcW w:w="5915" w:type="dxa"/>
            <w:noWrap w:val="0"/>
            <w:tcMar>
              <w:top w:w="0" w:type="dxa"/>
              <w:left w:w="108" w:type="dxa"/>
              <w:bottom w:w="0" w:type="dxa"/>
              <w:right w:w="108" w:type="dxa"/>
            </w:tcMar>
            <w:vAlign w:val="center"/>
          </w:tcPr>
          <w:p>
            <w:pPr>
              <w:bidi w:val="0"/>
              <w:spacing w:line="360" w:lineRule="auto"/>
              <w:jc w:val="both"/>
              <w:rPr>
                <w:rFonts w:hint="default" w:cs="Times New Roman"/>
                <w:color w:val="auto"/>
                <w:sz w:val="24"/>
                <w:szCs w:val="24"/>
                <w:lang w:val="en-US" w:eastAsia="zh-CN"/>
              </w:rPr>
            </w:pPr>
            <w:r>
              <w:rPr>
                <w:rFonts w:hint="eastAsia" w:cs="Times New Roman"/>
                <w:color w:val="auto"/>
                <w:sz w:val="24"/>
                <w:szCs w:val="24"/>
                <w:lang w:val="en-US" w:eastAsia="zh-CN"/>
              </w:rPr>
              <w:t>根据投标人响应程度进行评审，投标人需对技术要求进行逐项响应，低于或无法按要求提供技术要求规定的相应技术指标、参数、要求的，每项扣0.3分，满分15分，扣完为止。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cs="Times New Roman"/>
                <w:sz w:val="24"/>
                <w:szCs w:val="24"/>
                <w:lang w:val="en-US" w:eastAsia="zh-CN"/>
              </w:rPr>
            </w:pPr>
            <w:r>
              <w:rPr>
                <w:rFonts w:hint="eastAsia" w:cs="Times New Roman"/>
                <w:sz w:val="24"/>
                <w:szCs w:val="24"/>
                <w:lang w:val="en-US" w:eastAsia="zh-CN"/>
              </w:rPr>
              <w:t>技术方案（满分17分）</w:t>
            </w:r>
          </w:p>
        </w:tc>
        <w:tc>
          <w:tcPr>
            <w:tcW w:w="5915" w:type="dxa"/>
            <w:noWrap w:val="0"/>
            <w:tcMar>
              <w:top w:w="0" w:type="dxa"/>
              <w:left w:w="108" w:type="dxa"/>
              <w:bottom w:w="0" w:type="dxa"/>
              <w:right w:w="108" w:type="dxa"/>
            </w:tcMar>
            <w:vAlign w:val="center"/>
          </w:tcPr>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eastAsia="zh-CN"/>
              </w:rPr>
              <w:t>投标人提供</w:t>
            </w:r>
            <w:r>
              <w:rPr>
                <w:rFonts w:hint="eastAsia" w:cs="Times New Roman"/>
                <w:color w:val="auto"/>
                <w:sz w:val="24"/>
                <w:szCs w:val="24"/>
                <w:lang w:val="en-US" w:eastAsia="zh-CN"/>
              </w:rPr>
              <w:t>完善的</w:t>
            </w:r>
            <w:r>
              <w:rPr>
                <w:rFonts w:hint="eastAsia" w:cs="Times New Roman"/>
                <w:color w:val="auto"/>
                <w:sz w:val="24"/>
                <w:szCs w:val="24"/>
                <w:lang w:eastAsia="zh-CN"/>
              </w:rPr>
              <w:t>技术方案，包括但不限于</w:t>
            </w:r>
            <w:r>
              <w:rPr>
                <w:rFonts w:hint="eastAsia" w:cs="Times New Roman"/>
                <w:color w:val="auto"/>
                <w:sz w:val="24"/>
                <w:szCs w:val="24"/>
                <w:lang w:val="en-US" w:eastAsia="zh-CN"/>
              </w:rPr>
              <w:t>项目建设背景及目标、项目建设重点和难点、技术</w:t>
            </w:r>
            <w:r>
              <w:rPr>
                <w:rFonts w:hint="eastAsia" w:cs="Times New Roman"/>
                <w:color w:val="auto"/>
                <w:sz w:val="24"/>
                <w:szCs w:val="24"/>
                <w:lang w:eastAsia="zh-CN"/>
              </w:rPr>
              <w:t>实施</w:t>
            </w:r>
            <w:r>
              <w:rPr>
                <w:rFonts w:hint="eastAsia" w:cs="Times New Roman"/>
                <w:color w:val="auto"/>
                <w:sz w:val="24"/>
                <w:szCs w:val="24"/>
                <w:lang w:val="en-US" w:eastAsia="zh-CN"/>
              </w:rPr>
              <w:t>方案、项目验收</w:t>
            </w:r>
            <w:r>
              <w:rPr>
                <w:rFonts w:hint="eastAsia" w:cs="Times New Roman"/>
                <w:color w:val="auto"/>
                <w:sz w:val="24"/>
                <w:szCs w:val="24"/>
                <w:lang w:eastAsia="zh-CN"/>
              </w:rPr>
              <w:t>等内容。</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eastAsia="zh-CN"/>
              </w:rPr>
              <w:t>（1）</w:t>
            </w:r>
            <w:r>
              <w:rPr>
                <w:rFonts w:hint="eastAsia" w:cs="Times New Roman"/>
                <w:color w:val="auto"/>
                <w:sz w:val="24"/>
                <w:szCs w:val="24"/>
                <w:lang w:val="en-US" w:eastAsia="zh-CN"/>
              </w:rPr>
              <w:t>技术</w:t>
            </w:r>
            <w:r>
              <w:rPr>
                <w:rFonts w:hint="eastAsia" w:cs="Times New Roman"/>
                <w:color w:val="auto"/>
                <w:sz w:val="24"/>
                <w:szCs w:val="24"/>
                <w:lang w:eastAsia="zh-CN"/>
              </w:rPr>
              <w:t>方案非常合理，能完全实现采购人</w:t>
            </w:r>
            <w:r>
              <w:rPr>
                <w:rFonts w:hint="eastAsia" w:cs="Times New Roman"/>
                <w:color w:val="auto"/>
                <w:sz w:val="24"/>
                <w:szCs w:val="24"/>
                <w:lang w:val="en-US" w:eastAsia="zh-CN"/>
              </w:rPr>
              <w:t>的</w:t>
            </w:r>
            <w:r>
              <w:rPr>
                <w:rFonts w:hint="eastAsia" w:cs="Times New Roman"/>
                <w:color w:val="auto"/>
                <w:sz w:val="24"/>
                <w:szCs w:val="24"/>
                <w:lang w:eastAsia="zh-CN"/>
              </w:rPr>
              <w:t>要求并还有进一步的优化，技术成熟领先，设备的先进性、可用性及安全性高，系统和设备的兼容性强、操作便捷、技术方案科学合理得满分1</w:t>
            </w:r>
            <w:r>
              <w:rPr>
                <w:rFonts w:hint="eastAsia" w:cs="Times New Roman"/>
                <w:color w:val="auto"/>
                <w:sz w:val="24"/>
                <w:szCs w:val="24"/>
                <w:lang w:val="en-US" w:eastAsia="zh-CN"/>
              </w:rPr>
              <w:t>7</w:t>
            </w:r>
            <w:r>
              <w:rPr>
                <w:rFonts w:hint="eastAsia" w:cs="Times New Roman"/>
                <w:color w:val="auto"/>
                <w:sz w:val="24"/>
                <w:szCs w:val="24"/>
                <w:lang w:eastAsia="zh-CN"/>
              </w:rPr>
              <w:t>分。</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eastAsia="zh-CN"/>
              </w:rPr>
              <w:t>（2）</w:t>
            </w:r>
            <w:r>
              <w:rPr>
                <w:rFonts w:hint="eastAsia" w:cs="Times New Roman"/>
                <w:color w:val="auto"/>
                <w:sz w:val="24"/>
                <w:szCs w:val="24"/>
                <w:lang w:val="en-US" w:eastAsia="zh-CN"/>
              </w:rPr>
              <w:t>技术</w:t>
            </w:r>
            <w:r>
              <w:rPr>
                <w:rFonts w:hint="eastAsia" w:cs="Times New Roman"/>
                <w:color w:val="auto"/>
                <w:sz w:val="24"/>
                <w:szCs w:val="24"/>
                <w:lang w:eastAsia="zh-CN"/>
              </w:rPr>
              <w:t>方案合理，能完全实现采购人</w:t>
            </w:r>
            <w:r>
              <w:rPr>
                <w:rFonts w:hint="eastAsia" w:cs="Times New Roman"/>
                <w:color w:val="auto"/>
                <w:sz w:val="24"/>
                <w:szCs w:val="24"/>
                <w:lang w:val="en-US" w:eastAsia="zh-CN"/>
              </w:rPr>
              <w:t>的</w:t>
            </w:r>
            <w:r>
              <w:rPr>
                <w:rFonts w:hint="eastAsia" w:cs="Times New Roman"/>
                <w:color w:val="auto"/>
                <w:sz w:val="24"/>
                <w:szCs w:val="24"/>
                <w:lang w:eastAsia="zh-CN"/>
              </w:rPr>
              <w:t>要求，技术成熟、设备的先进性、可用性及安全性较高，系统和设备的兼容性较强、操作便捷、技术方案科学合理得1</w:t>
            </w:r>
            <w:r>
              <w:rPr>
                <w:rFonts w:hint="eastAsia" w:cs="Times New Roman"/>
                <w:color w:val="auto"/>
                <w:sz w:val="24"/>
                <w:szCs w:val="24"/>
                <w:lang w:val="en-US" w:eastAsia="zh-CN"/>
              </w:rPr>
              <w:t>4</w:t>
            </w:r>
            <w:r>
              <w:rPr>
                <w:rFonts w:hint="eastAsia" w:cs="Times New Roman"/>
                <w:color w:val="auto"/>
                <w:sz w:val="24"/>
                <w:szCs w:val="24"/>
                <w:lang w:eastAsia="zh-CN"/>
              </w:rPr>
              <w:t>分。</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eastAsia="zh-CN"/>
              </w:rPr>
              <w:t>（3）</w:t>
            </w:r>
            <w:r>
              <w:rPr>
                <w:rFonts w:hint="eastAsia" w:cs="Times New Roman"/>
                <w:color w:val="auto"/>
                <w:sz w:val="24"/>
                <w:szCs w:val="24"/>
                <w:lang w:val="en-US" w:eastAsia="zh-CN"/>
              </w:rPr>
              <w:t>技术</w:t>
            </w:r>
            <w:r>
              <w:rPr>
                <w:rFonts w:hint="eastAsia" w:cs="Times New Roman"/>
                <w:color w:val="auto"/>
                <w:sz w:val="24"/>
                <w:szCs w:val="24"/>
                <w:lang w:eastAsia="zh-CN"/>
              </w:rPr>
              <w:t>方案满足招标主要要求，能实现采购人</w:t>
            </w:r>
            <w:r>
              <w:rPr>
                <w:rFonts w:hint="eastAsia" w:cs="Times New Roman"/>
                <w:color w:val="auto"/>
                <w:sz w:val="24"/>
                <w:szCs w:val="24"/>
                <w:lang w:val="en-US" w:eastAsia="zh-CN"/>
              </w:rPr>
              <w:t>的</w:t>
            </w:r>
            <w:r>
              <w:rPr>
                <w:rFonts w:hint="eastAsia" w:cs="Times New Roman"/>
                <w:color w:val="auto"/>
                <w:sz w:val="24"/>
                <w:szCs w:val="24"/>
                <w:lang w:eastAsia="zh-CN"/>
              </w:rPr>
              <w:t>要求，系统和设备的兼容性一般，设备的先进性、可用性及安全性一般的得</w:t>
            </w:r>
            <w:r>
              <w:rPr>
                <w:rFonts w:hint="eastAsia" w:cs="Times New Roman"/>
                <w:color w:val="auto"/>
                <w:sz w:val="24"/>
                <w:szCs w:val="24"/>
                <w:lang w:val="en-US" w:eastAsia="zh-CN"/>
              </w:rPr>
              <w:t>11</w:t>
            </w:r>
            <w:r>
              <w:rPr>
                <w:rFonts w:hint="eastAsia" w:cs="Times New Roman"/>
                <w:color w:val="auto"/>
                <w:sz w:val="24"/>
                <w:szCs w:val="24"/>
                <w:lang w:eastAsia="zh-CN"/>
              </w:rPr>
              <w:t>分。</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eastAsia="zh-CN"/>
              </w:rPr>
              <w:t>（4）</w:t>
            </w:r>
            <w:r>
              <w:rPr>
                <w:rFonts w:hint="eastAsia" w:cs="Times New Roman"/>
                <w:color w:val="auto"/>
                <w:sz w:val="24"/>
                <w:szCs w:val="24"/>
                <w:lang w:val="en-US" w:eastAsia="zh-CN"/>
              </w:rPr>
              <w:t>技术</w:t>
            </w:r>
            <w:r>
              <w:rPr>
                <w:rFonts w:hint="eastAsia" w:cs="Times New Roman"/>
                <w:color w:val="auto"/>
                <w:sz w:val="24"/>
                <w:szCs w:val="24"/>
                <w:lang w:eastAsia="zh-CN"/>
              </w:rPr>
              <w:t>方案一般，能基本实现采购人</w:t>
            </w:r>
            <w:r>
              <w:rPr>
                <w:rFonts w:hint="eastAsia" w:cs="Times New Roman"/>
                <w:color w:val="auto"/>
                <w:sz w:val="24"/>
                <w:szCs w:val="24"/>
                <w:lang w:val="en-US" w:eastAsia="zh-CN"/>
              </w:rPr>
              <w:t>的</w:t>
            </w:r>
            <w:r>
              <w:rPr>
                <w:rFonts w:hint="eastAsia" w:cs="Times New Roman"/>
                <w:color w:val="auto"/>
                <w:sz w:val="24"/>
                <w:szCs w:val="24"/>
                <w:lang w:eastAsia="zh-CN"/>
              </w:rPr>
              <w:t>主要要求，少数次要功能实现效果存在差异；系统和设备的兼容性较差，设备的先进性、可用性及安全性较差的得</w:t>
            </w:r>
            <w:r>
              <w:rPr>
                <w:rFonts w:hint="eastAsia" w:cs="Times New Roman"/>
                <w:color w:val="auto"/>
                <w:sz w:val="24"/>
                <w:szCs w:val="24"/>
                <w:lang w:val="en-US" w:eastAsia="zh-CN"/>
              </w:rPr>
              <w:t>8</w:t>
            </w:r>
            <w:r>
              <w:rPr>
                <w:rFonts w:hint="eastAsia" w:cs="Times New Roman"/>
                <w:color w:val="auto"/>
                <w:sz w:val="24"/>
                <w:szCs w:val="24"/>
                <w:lang w:eastAsia="zh-CN"/>
              </w:rPr>
              <w:t>分。</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eastAsia="zh-CN"/>
              </w:rPr>
              <w:t>（5）</w:t>
            </w:r>
            <w:r>
              <w:rPr>
                <w:rFonts w:hint="eastAsia" w:cs="Times New Roman"/>
                <w:color w:val="auto"/>
                <w:sz w:val="24"/>
                <w:szCs w:val="24"/>
                <w:lang w:val="en-US" w:eastAsia="zh-CN"/>
              </w:rPr>
              <w:t>技术</w:t>
            </w:r>
            <w:r>
              <w:rPr>
                <w:rFonts w:hint="eastAsia" w:cs="Times New Roman"/>
                <w:color w:val="auto"/>
                <w:sz w:val="24"/>
                <w:szCs w:val="24"/>
                <w:lang w:eastAsia="zh-CN"/>
              </w:rPr>
              <w:t>方案存在瑕疵，部分主要功能可以实现但效果差；安全性不强，针对性差；可用性差的得</w:t>
            </w:r>
            <w:r>
              <w:rPr>
                <w:rFonts w:hint="eastAsia" w:cs="Times New Roman"/>
                <w:color w:val="auto"/>
                <w:sz w:val="24"/>
                <w:szCs w:val="24"/>
                <w:lang w:val="en-US" w:eastAsia="zh-CN"/>
              </w:rPr>
              <w:t>5</w:t>
            </w:r>
            <w:r>
              <w:rPr>
                <w:rFonts w:hint="eastAsia" w:cs="Times New Roman"/>
                <w:color w:val="auto"/>
                <w:sz w:val="24"/>
                <w:szCs w:val="24"/>
                <w:lang w:eastAsia="zh-CN"/>
              </w:rPr>
              <w:t>分。</w:t>
            </w:r>
          </w:p>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eastAsia="zh-CN"/>
              </w:rPr>
              <w:t>（6）</w:t>
            </w:r>
            <w:r>
              <w:rPr>
                <w:rFonts w:hint="eastAsia" w:cs="Times New Roman"/>
                <w:color w:val="auto"/>
                <w:sz w:val="24"/>
                <w:szCs w:val="24"/>
                <w:lang w:val="en-US" w:eastAsia="zh-CN"/>
              </w:rPr>
              <w:t>技术</w:t>
            </w:r>
            <w:r>
              <w:rPr>
                <w:rFonts w:hint="eastAsia" w:cs="Times New Roman"/>
                <w:color w:val="auto"/>
                <w:sz w:val="24"/>
                <w:szCs w:val="24"/>
                <w:lang w:eastAsia="zh-CN"/>
              </w:rPr>
              <w:t>方案存在问题，大部分主要功能不能实现采购人要求的不得分。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cs="Times New Roman"/>
                <w:sz w:val="24"/>
                <w:szCs w:val="24"/>
                <w:lang w:val="zh-CN" w:eastAsia="zh-CN"/>
              </w:rPr>
            </w:pPr>
            <w:r>
              <w:rPr>
                <w:rFonts w:hint="eastAsia" w:cs="Times New Roman"/>
                <w:sz w:val="24"/>
                <w:szCs w:val="24"/>
                <w:lang w:val="zh-CN" w:eastAsia="zh-CN"/>
              </w:rPr>
              <w:t>保障措施方案</w:t>
            </w:r>
          </w:p>
          <w:p>
            <w:pPr>
              <w:bidi w:val="0"/>
              <w:spacing w:line="360" w:lineRule="auto"/>
              <w:jc w:val="center"/>
              <w:rPr>
                <w:rFonts w:hint="eastAsia" w:cs="Times New Roman"/>
                <w:sz w:val="24"/>
                <w:szCs w:val="24"/>
                <w:lang w:val="en-US" w:eastAsia="zh-CN"/>
              </w:rPr>
            </w:pPr>
            <w:r>
              <w:rPr>
                <w:rFonts w:hint="eastAsia" w:cs="Times New Roman"/>
                <w:sz w:val="24"/>
                <w:szCs w:val="24"/>
                <w:lang w:val="zh-CN" w:eastAsia="zh-CN"/>
              </w:rPr>
              <w:t>（</w:t>
            </w:r>
            <w:r>
              <w:rPr>
                <w:rFonts w:hint="eastAsia" w:cs="Times New Roman"/>
                <w:sz w:val="24"/>
                <w:szCs w:val="24"/>
                <w:lang w:val="en-US" w:eastAsia="zh-CN"/>
              </w:rPr>
              <w:t>满分9分</w:t>
            </w:r>
            <w:r>
              <w:rPr>
                <w:rFonts w:hint="eastAsia" w:cs="Times New Roman"/>
                <w:sz w:val="24"/>
                <w:szCs w:val="24"/>
                <w:lang w:val="zh-CN" w:eastAsia="zh-CN"/>
              </w:rPr>
              <w:t>）</w:t>
            </w:r>
          </w:p>
        </w:tc>
        <w:tc>
          <w:tcPr>
            <w:tcW w:w="5915" w:type="dxa"/>
            <w:noWrap w:val="0"/>
            <w:tcMar>
              <w:top w:w="0" w:type="dxa"/>
              <w:left w:w="108" w:type="dxa"/>
              <w:bottom w:w="0" w:type="dxa"/>
              <w:right w:w="108" w:type="dxa"/>
            </w:tcMar>
            <w:vAlign w:val="center"/>
          </w:tcPr>
          <w:p>
            <w:pPr>
              <w:bidi w:val="0"/>
              <w:spacing w:line="360" w:lineRule="auto"/>
              <w:jc w:val="both"/>
              <w:rPr>
                <w:rFonts w:hint="eastAsia" w:cs="Times New Roman"/>
                <w:color w:val="auto"/>
                <w:sz w:val="24"/>
                <w:szCs w:val="24"/>
                <w:lang w:eastAsia="zh-CN"/>
              </w:rPr>
            </w:pPr>
            <w:r>
              <w:rPr>
                <w:rFonts w:hint="eastAsia" w:cs="Times New Roman"/>
                <w:color w:val="auto"/>
                <w:sz w:val="24"/>
                <w:szCs w:val="24"/>
                <w:lang w:val="zh-CN" w:eastAsia="zh-CN"/>
              </w:rPr>
              <w:t>投标人提供</w:t>
            </w:r>
            <w:r>
              <w:rPr>
                <w:rFonts w:hint="eastAsia" w:cs="Times New Roman"/>
                <w:color w:val="auto"/>
                <w:sz w:val="24"/>
                <w:szCs w:val="24"/>
                <w:lang w:val="en-US" w:eastAsia="zh-CN"/>
              </w:rPr>
              <w:t>完善</w:t>
            </w:r>
            <w:r>
              <w:rPr>
                <w:rFonts w:hint="eastAsia" w:cs="Times New Roman"/>
                <w:color w:val="auto"/>
                <w:sz w:val="24"/>
                <w:szCs w:val="24"/>
                <w:lang w:val="zh-CN" w:eastAsia="zh-CN"/>
              </w:rPr>
              <w:t>的</w:t>
            </w:r>
            <w:r>
              <w:rPr>
                <w:rFonts w:hint="eastAsia" w:cs="Times New Roman"/>
                <w:color w:val="auto"/>
                <w:sz w:val="24"/>
                <w:szCs w:val="24"/>
                <w:lang w:val="en-US" w:eastAsia="zh-CN"/>
              </w:rPr>
              <w:t>项目</w:t>
            </w:r>
            <w:r>
              <w:rPr>
                <w:rFonts w:hint="eastAsia" w:cs="Times New Roman"/>
                <w:color w:val="auto"/>
                <w:sz w:val="24"/>
                <w:szCs w:val="24"/>
                <w:lang w:val="zh-CN" w:eastAsia="zh-CN"/>
              </w:rPr>
              <w:t>保障措施方案，</w:t>
            </w:r>
            <w:r>
              <w:rPr>
                <w:rFonts w:hint="eastAsia" w:cs="Times New Roman"/>
                <w:color w:val="auto"/>
                <w:sz w:val="24"/>
                <w:szCs w:val="24"/>
                <w:lang w:eastAsia="zh-CN"/>
              </w:rPr>
              <w:t>应包括但不限于：</w:t>
            </w:r>
            <w:r>
              <w:rPr>
                <w:rFonts w:hint="eastAsia" w:cs="Times New Roman"/>
                <w:color w:val="auto"/>
                <w:sz w:val="24"/>
                <w:szCs w:val="24"/>
                <w:lang w:val="zh-CN" w:eastAsia="zh-CN"/>
              </w:rPr>
              <w:t>质量保障措施、进度保障措施、安全保障措施</w:t>
            </w:r>
            <w:r>
              <w:rPr>
                <w:rFonts w:hint="eastAsia" w:cs="Times New Roman"/>
                <w:color w:val="auto"/>
                <w:sz w:val="24"/>
                <w:szCs w:val="24"/>
                <w:lang w:val="en-US" w:eastAsia="zh-CN"/>
              </w:rPr>
              <w:t>等内容</w:t>
            </w:r>
            <w:r>
              <w:rPr>
                <w:rFonts w:hint="eastAsia" w:cs="Times New Roman"/>
                <w:color w:val="auto"/>
                <w:sz w:val="24"/>
                <w:szCs w:val="24"/>
                <w:lang w:eastAsia="zh-CN"/>
              </w:rPr>
              <w:t>。</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val="zh-CN" w:eastAsia="zh-CN"/>
              </w:rPr>
              <w:t>（</w:t>
            </w:r>
            <w:r>
              <w:rPr>
                <w:rFonts w:hint="eastAsia" w:cs="Times New Roman"/>
                <w:color w:val="auto"/>
                <w:sz w:val="24"/>
                <w:szCs w:val="24"/>
                <w:lang w:val="en-US" w:eastAsia="zh-CN"/>
              </w:rPr>
              <w:t>1</w:t>
            </w:r>
            <w:r>
              <w:rPr>
                <w:rFonts w:hint="eastAsia" w:cs="Times New Roman"/>
                <w:color w:val="auto"/>
                <w:sz w:val="24"/>
                <w:szCs w:val="24"/>
                <w:lang w:val="zh-CN" w:eastAsia="zh-CN"/>
              </w:rPr>
              <w:t>）保障措施方案</w:t>
            </w:r>
            <w:r>
              <w:rPr>
                <w:rFonts w:hint="eastAsia" w:cs="Times New Roman"/>
                <w:color w:val="auto"/>
                <w:sz w:val="24"/>
                <w:szCs w:val="24"/>
                <w:lang w:val="en-US" w:eastAsia="zh-CN"/>
              </w:rPr>
              <w:t>是专门针对本项目编制的，内容完全满足项目要求、逻辑或原理清晰、涉及的规范及标准内容完整准确的得9分。</w:t>
            </w:r>
          </w:p>
          <w:p>
            <w:pPr>
              <w:numPr>
                <w:ilvl w:val="0"/>
                <w:numId w:val="0"/>
              </w:num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zh-CN" w:eastAsia="zh-CN"/>
              </w:rPr>
              <w:t>（</w:t>
            </w:r>
            <w:r>
              <w:rPr>
                <w:rFonts w:hint="eastAsia" w:cs="Times New Roman"/>
                <w:color w:val="auto"/>
                <w:sz w:val="24"/>
                <w:szCs w:val="24"/>
                <w:lang w:val="en-US" w:eastAsia="zh-CN"/>
              </w:rPr>
              <w:t>2</w:t>
            </w:r>
            <w:r>
              <w:rPr>
                <w:rFonts w:hint="eastAsia" w:cs="Times New Roman"/>
                <w:color w:val="auto"/>
                <w:sz w:val="24"/>
                <w:szCs w:val="24"/>
                <w:lang w:val="zh-CN" w:eastAsia="zh-CN"/>
              </w:rPr>
              <w:t>）保障措施方案</w:t>
            </w:r>
            <w:r>
              <w:rPr>
                <w:rFonts w:hint="eastAsia" w:cs="Times New Roman"/>
                <w:color w:val="auto"/>
                <w:sz w:val="24"/>
                <w:szCs w:val="24"/>
                <w:lang w:val="en-US" w:eastAsia="zh-CN"/>
              </w:rPr>
              <w:t>可行，内容完整、基本满足项目要求、逻辑原理清晰、涉及的规范及标准内容完整的得5分。</w:t>
            </w:r>
          </w:p>
          <w:p>
            <w:pPr>
              <w:numPr>
                <w:ilvl w:val="0"/>
                <w:numId w:val="0"/>
              </w:numPr>
              <w:bidi w:val="0"/>
              <w:spacing w:line="360" w:lineRule="auto"/>
              <w:jc w:val="both"/>
              <w:rPr>
                <w:rFonts w:hint="default" w:cs="Times New Roman"/>
                <w:color w:val="auto"/>
                <w:sz w:val="24"/>
                <w:szCs w:val="24"/>
                <w:lang w:val="en-US" w:eastAsia="zh-CN"/>
              </w:rPr>
            </w:pPr>
            <w:r>
              <w:rPr>
                <w:rFonts w:hint="eastAsia" w:cs="Times New Roman"/>
                <w:color w:val="auto"/>
                <w:sz w:val="24"/>
                <w:szCs w:val="24"/>
                <w:lang w:val="zh-CN" w:eastAsia="zh-CN"/>
              </w:rPr>
              <w:t>（</w:t>
            </w:r>
            <w:r>
              <w:rPr>
                <w:rFonts w:hint="eastAsia" w:cs="Times New Roman"/>
                <w:color w:val="auto"/>
                <w:sz w:val="24"/>
                <w:szCs w:val="24"/>
                <w:lang w:val="en-US" w:eastAsia="zh-CN"/>
              </w:rPr>
              <w:t>3</w:t>
            </w:r>
            <w:r>
              <w:rPr>
                <w:rFonts w:hint="eastAsia" w:cs="Times New Roman"/>
                <w:color w:val="auto"/>
                <w:sz w:val="24"/>
                <w:szCs w:val="24"/>
                <w:lang w:val="zh-CN" w:eastAsia="zh-CN"/>
              </w:rPr>
              <w:t>）保障措施方案</w:t>
            </w:r>
            <w:r>
              <w:rPr>
                <w:rFonts w:hint="eastAsia" w:cs="Times New Roman"/>
                <w:color w:val="auto"/>
                <w:sz w:val="24"/>
                <w:szCs w:val="24"/>
                <w:lang w:val="en-US" w:eastAsia="zh-CN"/>
              </w:rPr>
              <w:t>非专门针对本项目，内容不完全满足项目要求、内容不完整或缺少关键节点、套用其他项目方案、内容前后矛盾、涉及的规范及标准错误等的得2分。</w:t>
            </w:r>
          </w:p>
          <w:p>
            <w:pPr>
              <w:numPr>
                <w:ilvl w:val="0"/>
                <w:numId w:val="0"/>
              </w:numPr>
              <w:bidi w:val="0"/>
              <w:spacing w:line="360" w:lineRule="auto"/>
              <w:jc w:val="both"/>
              <w:rPr>
                <w:rFonts w:hint="eastAsia" w:eastAsia="仿宋" w:cs="Times New Roman"/>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未提供</w:t>
            </w:r>
            <w:r>
              <w:rPr>
                <w:rFonts w:hint="eastAsia"/>
                <w:color w:val="auto"/>
                <w:sz w:val="24"/>
                <w:szCs w:val="24"/>
                <w:lang w:val="en-US" w:eastAsia="zh-CN"/>
              </w:rPr>
              <w:t>保障</w:t>
            </w:r>
            <w:r>
              <w:rPr>
                <w:rFonts w:hint="eastAsia"/>
                <w:color w:val="auto"/>
                <w:sz w:val="24"/>
                <w:szCs w:val="24"/>
              </w:rPr>
              <w:t>方案</w:t>
            </w:r>
            <w:r>
              <w:rPr>
                <w:rFonts w:hint="eastAsia"/>
                <w:color w:val="auto"/>
                <w:sz w:val="24"/>
                <w:szCs w:val="24"/>
                <w:lang w:val="en-US" w:eastAsia="zh-CN"/>
              </w:rPr>
              <w:t>或</w:t>
            </w:r>
            <w:r>
              <w:rPr>
                <w:rFonts w:hint="eastAsia"/>
                <w:color w:val="auto"/>
                <w:sz w:val="24"/>
                <w:szCs w:val="24"/>
              </w:rPr>
              <w:t>不详细、可行性较差，</w:t>
            </w:r>
            <w:r>
              <w:rPr>
                <w:rFonts w:hint="eastAsia"/>
                <w:color w:val="auto"/>
                <w:sz w:val="24"/>
                <w:szCs w:val="24"/>
                <w:lang w:val="en-US" w:eastAsia="zh-CN"/>
              </w:rPr>
              <w:t>逻辑混乱</w:t>
            </w:r>
            <w:r>
              <w:rPr>
                <w:rFonts w:hint="eastAsia"/>
                <w:color w:val="auto"/>
                <w:sz w:val="24"/>
                <w:szCs w:val="24"/>
              </w:rPr>
              <w:t>的不得分</w:t>
            </w:r>
            <w:r>
              <w:rPr>
                <w:rFonts w:hint="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sz w:val="24"/>
                <w:szCs w:val="24"/>
                <w:lang w:val="en-US" w:eastAsia="zh-CN"/>
              </w:rPr>
            </w:pPr>
            <w:r>
              <w:rPr>
                <w:rFonts w:hint="eastAsia"/>
                <w:sz w:val="24"/>
                <w:szCs w:val="24"/>
                <w:lang w:val="en-US" w:eastAsia="zh-CN"/>
              </w:rPr>
              <w:t>项目设备配备</w:t>
            </w:r>
          </w:p>
          <w:p>
            <w:pPr>
              <w:bidi w:val="0"/>
              <w:spacing w:line="360" w:lineRule="auto"/>
              <w:jc w:val="center"/>
              <w:rPr>
                <w:rFonts w:hint="eastAsia"/>
                <w:sz w:val="24"/>
                <w:szCs w:val="24"/>
                <w:lang w:val="en-US"/>
              </w:rPr>
            </w:pPr>
            <w:r>
              <w:rPr>
                <w:rFonts w:hint="eastAsia"/>
                <w:sz w:val="24"/>
                <w:szCs w:val="24"/>
                <w:lang w:val="en-US" w:eastAsia="zh-CN"/>
              </w:rPr>
              <w:t>（满分2分）</w:t>
            </w:r>
          </w:p>
        </w:tc>
        <w:tc>
          <w:tcPr>
            <w:tcW w:w="5915" w:type="dxa"/>
            <w:noWrap w:val="0"/>
            <w:tcMar>
              <w:top w:w="0" w:type="dxa"/>
              <w:left w:w="108" w:type="dxa"/>
              <w:bottom w:w="0" w:type="dxa"/>
              <w:right w:w="108" w:type="dxa"/>
            </w:tcMar>
            <w:vAlign w:val="center"/>
          </w:tcPr>
          <w:p>
            <w:pPr>
              <w:bidi w:val="0"/>
              <w:spacing w:line="360" w:lineRule="auto"/>
              <w:jc w:val="both"/>
              <w:rPr>
                <w:rFonts w:hint="eastAsia" w:cs="Times New Roman"/>
                <w:sz w:val="24"/>
                <w:szCs w:val="24"/>
                <w:lang w:val="zh-CN" w:eastAsia="zh-CN"/>
              </w:rPr>
            </w:pPr>
            <w:r>
              <w:rPr>
                <w:rFonts w:hint="eastAsia" w:cs="Times New Roman"/>
                <w:sz w:val="24"/>
                <w:szCs w:val="24"/>
                <w:lang w:val="en-US" w:eastAsia="zh-CN"/>
              </w:rPr>
              <w:t>根据</w:t>
            </w:r>
            <w:r>
              <w:rPr>
                <w:rFonts w:hint="eastAsia" w:cs="Times New Roman"/>
                <w:sz w:val="24"/>
                <w:szCs w:val="24"/>
                <w:lang w:val="zh-CN" w:eastAsia="zh-CN"/>
              </w:rPr>
              <w:t>项目拟投入的专业</w:t>
            </w:r>
            <w:r>
              <w:rPr>
                <w:rFonts w:hint="eastAsia" w:cs="Times New Roman"/>
                <w:sz w:val="24"/>
                <w:szCs w:val="24"/>
                <w:lang w:val="en-US" w:eastAsia="zh-CN"/>
              </w:rPr>
              <w:t>采集</w:t>
            </w:r>
            <w:r>
              <w:rPr>
                <w:rFonts w:hint="eastAsia" w:cs="Times New Roman"/>
                <w:sz w:val="24"/>
                <w:szCs w:val="24"/>
                <w:lang w:val="zh-CN" w:eastAsia="zh-CN"/>
              </w:rPr>
              <w:t>设备配置情况进行评分，包含但不仅限于：</w:t>
            </w:r>
            <w:r>
              <w:rPr>
                <w:rFonts w:hint="eastAsia" w:cs="Times New Roman"/>
                <w:sz w:val="24"/>
                <w:szCs w:val="24"/>
                <w:lang w:val="en-US" w:eastAsia="zh-CN"/>
              </w:rPr>
              <w:t>满足技术要求的三维激光扫描仪、</w:t>
            </w:r>
            <w:r>
              <w:rPr>
                <w:rFonts w:hint="eastAsia" w:cs="Times New Roman"/>
                <w:sz w:val="24"/>
                <w:szCs w:val="24"/>
                <w:lang w:val="zh-CN" w:eastAsia="zh-CN"/>
              </w:rPr>
              <w:t>彩色扫描臂</w:t>
            </w:r>
            <w:r>
              <w:rPr>
                <w:rFonts w:hint="eastAsia" w:cs="Times New Roman"/>
                <w:sz w:val="24"/>
                <w:szCs w:val="24"/>
                <w:lang w:val="en-US" w:eastAsia="zh-CN"/>
              </w:rPr>
              <w:t>、</w:t>
            </w:r>
            <w:r>
              <w:rPr>
                <w:rFonts w:hint="eastAsia" w:cs="Times New Roman"/>
                <w:sz w:val="24"/>
                <w:szCs w:val="24"/>
                <w:lang w:val="zh-CN" w:eastAsia="zh-CN"/>
              </w:rPr>
              <w:t>中画幅后背相机</w:t>
            </w:r>
            <w:r>
              <w:rPr>
                <w:rFonts w:hint="eastAsia" w:cs="Times New Roman"/>
                <w:sz w:val="24"/>
                <w:szCs w:val="24"/>
                <w:lang w:val="en-US" w:eastAsia="zh-CN"/>
              </w:rPr>
              <w:t>、全画幅相机</w:t>
            </w:r>
            <w:r>
              <w:rPr>
                <w:rFonts w:hint="eastAsia" w:cs="Times New Roman"/>
                <w:sz w:val="24"/>
                <w:szCs w:val="24"/>
                <w:lang w:val="zh-CN" w:eastAsia="zh-CN"/>
              </w:rPr>
              <w:t>等。提供</w:t>
            </w:r>
            <w:r>
              <w:rPr>
                <w:rFonts w:hint="eastAsia" w:cs="Times New Roman"/>
                <w:sz w:val="24"/>
                <w:szCs w:val="24"/>
                <w:lang w:val="en-US" w:eastAsia="zh-CN"/>
              </w:rPr>
              <w:t>满足要求的1项设备</w:t>
            </w:r>
            <w:r>
              <w:rPr>
                <w:rFonts w:hint="eastAsia" w:cs="Times New Roman"/>
                <w:sz w:val="24"/>
                <w:szCs w:val="24"/>
                <w:lang w:val="zh-CN" w:eastAsia="zh-CN"/>
              </w:rPr>
              <w:t>得</w:t>
            </w:r>
            <w:r>
              <w:rPr>
                <w:rFonts w:hint="eastAsia" w:cs="Times New Roman"/>
                <w:sz w:val="24"/>
                <w:szCs w:val="24"/>
                <w:lang w:val="en-US" w:eastAsia="zh-CN"/>
              </w:rPr>
              <w:t>0.5</w:t>
            </w:r>
            <w:r>
              <w:rPr>
                <w:rFonts w:hint="eastAsia" w:cs="Times New Roman"/>
                <w:sz w:val="24"/>
                <w:szCs w:val="24"/>
                <w:lang w:val="zh-CN" w:eastAsia="zh-CN"/>
              </w:rPr>
              <w:t>分，</w:t>
            </w:r>
            <w:r>
              <w:rPr>
                <w:rFonts w:hint="eastAsia" w:cs="Times New Roman"/>
                <w:sz w:val="24"/>
                <w:szCs w:val="24"/>
                <w:lang w:val="en-US" w:eastAsia="zh-CN"/>
              </w:rPr>
              <w:t>最高得2</w:t>
            </w:r>
            <w:r>
              <w:rPr>
                <w:rFonts w:hint="eastAsia" w:cs="Times New Roman"/>
                <w:sz w:val="24"/>
                <w:szCs w:val="24"/>
                <w:lang w:val="zh-CN" w:eastAsia="zh-CN"/>
              </w:rPr>
              <w:t>分。</w:t>
            </w:r>
          </w:p>
          <w:p>
            <w:pPr>
              <w:bidi w:val="0"/>
              <w:spacing w:line="360" w:lineRule="auto"/>
              <w:jc w:val="both"/>
              <w:rPr>
                <w:rFonts w:hint="eastAsia" w:cs="Times New Roman"/>
                <w:sz w:val="24"/>
                <w:szCs w:val="24"/>
              </w:rPr>
            </w:pPr>
            <w:r>
              <w:rPr>
                <w:rFonts w:hint="eastAsia" w:cs="Times New Roman"/>
                <w:sz w:val="24"/>
                <w:szCs w:val="24"/>
                <w:lang w:val="en-US" w:eastAsia="zh-CN"/>
              </w:rPr>
              <w:t>注：投标人需在投标文件中提供</w:t>
            </w:r>
            <w:r>
              <w:rPr>
                <w:rFonts w:hint="eastAsia" w:cs="Times New Roman"/>
                <w:sz w:val="24"/>
                <w:szCs w:val="24"/>
                <w:lang w:val="zh-CN" w:eastAsia="zh-CN"/>
              </w:rPr>
              <w:t>设备清单</w:t>
            </w:r>
            <w:r>
              <w:rPr>
                <w:rFonts w:hint="eastAsia" w:cs="Times New Roman"/>
                <w:sz w:val="24"/>
                <w:szCs w:val="24"/>
                <w:lang w:val="en-US" w:eastAsia="zh-CN"/>
              </w:rPr>
              <w:t>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eastAsia="仿宋"/>
                <w:sz w:val="24"/>
                <w:szCs w:val="24"/>
                <w:lang w:val="en-US" w:eastAsia="zh-CN"/>
              </w:rPr>
            </w:pPr>
            <w:r>
              <w:rPr>
                <w:rFonts w:hint="eastAsia"/>
                <w:sz w:val="24"/>
                <w:szCs w:val="24"/>
                <w:lang w:val="en-US"/>
              </w:rPr>
              <w:t>售后及</w:t>
            </w:r>
            <w:r>
              <w:rPr>
                <w:rFonts w:hint="eastAsia"/>
                <w:sz w:val="24"/>
                <w:szCs w:val="24"/>
                <w:lang w:val="en-US" w:eastAsia="zh-CN"/>
              </w:rPr>
              <w:t>培训</w:t>
            </w:r>
            <w:r>
              <w:rPr>
                <w:rFonts w:hint="eastAsia"/>
                <w:sz w:val="24"/>
                <w:szCs w:val="24"/>
                <w:lang w:val="en-US"/>
              </w:rPr>
              <w:t>服务</w:t>
            </w:r>
          </w:p>
          <w:p>
            <w:pPr>
              <w:bidi w:val="0"/>
              <w:spacing w:line="360" w:lineRule="auto"/>
              <w:jc w:val="center"/>
              <w:rPr>
                <w:rFonts w:hint="eastAsia"/>
                <w:sz w:val="24"/>
                <w:szCs w:val="24"/>
                <w:lang w:val="en-US"/>
              </w:rPr>
            </w:pPr>
            <w:r>
              <w:rPr>
                <w:rFonts w:hint="eastAsia"/>
                <w:sz w:val="24"/>
                <w:szCs w:val="24"/>
                <w:lang w:val="en-US"/>
              </w:rPr>
              <w:t>（</w:t>
            </w:r>
            <w:r>
              <w:rPr>
                <w:rFonts w:hint="eastAsia"/>
                <w:sz w:val="24"/>
                <w:szCs w:val="24"/>
                <w:lang w:val="en-US" w:eastAsia="zh-CN"/>
              </w:rPr>
              <w:t>满分10</w:t>
            </w:r>
            <w:r>
              <w:rPr>
                <w:rFonts w:hint="eastAsia"/>
                <w:sz w:val="24"/>
                <w:szCs w:val="24"/>
                <w:lang w:val="en-US"/>
              </w:rPr>
              <w:t>分）</w:t>
            </w:r>
          </w:p>
        </w:tc>
        <w:tc>
          <w:tcPr>
            <w:tcW w:w="5915" w:type="dxa"/>
            <w:noWrap w:val="0"/>
            <w:tcMar>
              <w:top w:w="0" w:type="dxa"/>
              <w:left w:w="108" w:type="dxa"/>
              <w:bottom w:w="0" w:type="dxa"/>
              <w:right w:w="108" w:type="dxa"/>
            </w:tcMar>
            <w:vAlign w:val="center"/>
          </w:tcPr>
          <w:p>
            <w:pPr>
              <w:bidi w:val="0"/>
              <w:spacing w:line="360" w:lineRule="auto"/>
              <w:jc w:val="both"/>
              <w:rPr>
                <w:rFonts w:hint="eastAsia"/>
                <w:sz w:val="24"/>
                <w:szCs w:val="24"/>
              </w:rPr>
            </w:pPr>
            <w:r>
              <w:rPr>
                <w:rFonts w:hint="eastAsia"/>
                <w:sz w:val="24"/>
                <w:szCs w:val="24"/>
              </w:rPr>
              <w:t>投标人需根据采购需求针对本项目制定详细售后服务</w:t>
            </w:r>
            <w:r>
              <w:rPr>
                <w:rFonts w:hint="eastAsia"/>
                <w:sz w:val="24"/>
                <w:szCs w:val="24"/>
                <w:lang w:val="en-US" w:eastAsia="zh-CN"/>
              </w:rPr>
              <w:t>及培训服务</w:t>
            </w:r>
            <w:r>
              <w:rPr>
                <w:rFonts w:hint="eastAsia"/>
                <w:sz w:val="24"/>
                <w:szCs w:val="24"/>
              </w:rPr>
              <w:t>方案：</w:t>
            </w:r>
          </w:p>
          <w:p>
            <w:pPr>
              <w:bidi w:val="0"/>
              <w:spacing w:line="360" w:lineRule="auto"/>
              <w:jc w:val="both"/>
              <w:rPr>
                <w:rFonts w:hint="eastAsia"/>
                <w:sz w:val="24"/>
                <w:szCs w:val="24"/>
              </w:rPr>
            </w:pPr>
            <w:r>
              <w:rPr>
                <w:rFonts w:hint="eastAsia"/>
                <w:sz w:val="24"/>
                <w:szCs w:val="24"/>
                <w:lang w:val="en-US" w:eastAsia="zh-CN"/>
              </w:rPr>
              <w:t>（1）售后服务</w:t>
            </w:r>
            <w:r>
              <w:rPr>
                <w:rFonts w:hint="eastAsia"/>
                <w:sz w:val="24"/>
                <w:szCs w:val="24"/>
              </w:rPr>
              <w:t>方案能够详实的提供</w:t>
            </w:r>
            <w:r>
              <w:rPr>
                <w:rFonts w:hint="eastAsia"/>
                <w:sz w:val="24"/>
                <w:szCs w:val="24"/>
                <w:lang w:val="en-US" w:eastAsia="zh-CN"/>
              </w:rPr>
              <w:t>服务</w:t>
            </w:r>
            <w:r>
              <w:rPr>
                <w:rFonts w:hint="eastAsia"/>
                <w:sz w:val="24"/>
                <w:szCs w:val="24"/>
              </w:rPr>
              <w:t>保障措施、售后服务响应方式和售后具体服务流程</w:t>
            </w:r>
            <w:r>
              <w:rPr>
                <w:rFonts w:hint="eastAsia"/>
                <w:sz w:val="24"/>
                <w:szCs w:val="24"/>
                <w:lang w:eastAsia="zh-CN"/>
              </w:rPr>
              <w:t>；</w:t>
            </w:r>
            <w:r>
              <w:rPr>
                <w:rFonts w:hint="eastAsia"/>
                <w:sz w:val="24"/>
                <w:szCs w:val="24"/>
                <w:lang w:val="en-US" w:eastAsia="zh-CN"/>
              </w:rPr>
              <w:t>培训</w:t>
            </w:r>
            <w:r>
              <w:rPr>
                <w:rFonts w:hint="eastAsia"/>
                <w:sz w:val="24"/>
                <w:szCs w:val="24"/>
              </w:rPr>
              <w:t>方案完整，内容充分细化，内容充分细化，人员配备齐全，</w:t>
            </w:r>
            <w:r>
              <w:rPr>
                <w:rFonts w:hint="eastAsia"/>
                <w:b/>
                <w:bCs/>
                <w:sz w:val="24"/>
                <w:szCs w:val="24"/>
              </w:rPr>
              <w:t>充分为用户考虑</w:t>
            </w:r>
            <w:r>
              <w:rPr>
                <w:rFonts w:hint="eastAsia"/>
                <w:sz w:val="24"/>
                <w:szCs w:val="24"/>
              </w:rPr>
              <w:t>得</w:t>
            </w:r>
            <w:r>
              <w:rPr>
                <w:rFonts w:hint="eastAsia"/>
                <w:sz w:val="24"/>
                <w:szCs w:val="24"/>
                <w:lang w:val="en-US" w:eastAsia="zh-CN"/>
              </w:rPr>
              <w:t>10</w:t>
            </w:r>
            <w:r>
              <w:rPr>
                <w:rFonts w:hint="eastAsia"/>
                <w:sz w:val="24"/>
                <w:szCs w:val="24"/>
              </w:rPr>
              <w:t>分。</w:t>
            </w:r>
          </w:p>
          <w:p>
            <w:pPr>
              <w:bidi w:val="0"/>
              <w:spacing w:line="360" w:lineRule="auto"/>
              <w:jc w:val="both"/>
              <w:rPr>
                <w:rFonts w:hint="eastAsia" w:cs="Times New Roman"/>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售</w:t>
            </w:r>
            <w:r>
              <w:rPr>
                <w:rFonts w:hint="eastAsia" w:cs="Times New Roman"/>
                <w:sz w:val="24"/>
                <w:szCs w:val="24"/>
                <w:lang w:val="en-US" w:eastAsia="zh-CN"/>
              </w:rPr>
              <w:t>后服务方案比较具体，保障措施比较完善可行；培训方案较完整，内容较细化，人员配备完整，基本满足用户需求的得6分。</w:t>
            </w:r>
          </w:p>
          <w:p>
            <w:pPr>
              <w:bidi w:val="0"/>
              <w:spacing w:line="360" w:lineRule="auto"/>
              <w:jc w:val="both"/>
              <w:rPr>
                <w:rFonts w:hint="eastAsia" w:eastAsia="仿宋"/>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售后服务方案</w:t>
            </w:r>
            <w:r>
              <w:rPr>
                <w:rFonts w:hint="eastAsia" w:cs="Times New Roman"/>
                <w:sz w:val="24"/>
                <w:szCs w:val="24"/>
              </w:rPr>
              <w:t>的细致程度一般，保障措施的可行性一般，</w:t>
            </w:r>
            <w:r>
              <w:rPr>
                <w:rFonts w:hint="eastAsia" w:cs="Times New Roman"/>
                <w:sz w:val="24"/>
                <w:szCs w:val="24"/>
                <w:lang w:val="en-US" w:eastAsia="zh-CN"/>
              </w:rPr>
              <w:t>培训</w:t>
            </w:r>
            <w:r>
              <w:rPr>
                <w:rFonts w:hint="eastAsia" w:cs="Times New Roman"/>
                <w:sz w:val="24"/>
                <w:szCs w:val="24"/>
              </w:rPr>
              <w:t>方案不完整，内容不够细化，人员配备不足，</w:t>
            </w:r>
            <w:r>
              <w:rPr>
                <w:rFonts w:hint="eastAsia" w:cs="Times New Roman"/>
                <w:b/>
                <w:bCs/>
                <w:sz w:val="24"/>
                <w:szCs w:val="24"/>
              </w:rPr>
              <w:t>无法充分满足用户需求</w:t>
            </w:r>
            <w:r>
              <w:rPr>
                <w:rFonts w:hint="eastAsia" w:cs="Times New Roman"/>
                <w:sz w:val="24"/>
                <w:szCs w:val="24"/>
              </w:rPr>
              <w:t>得</w:t>
            </w:r>
            <w:r>
              <w:rPr>
                <w:rFonts w:hint="eastAsia" w:cs="Times New Roman"/>
                <w:sz w:val="24"/>
                <w:szCs w:val="24"/>
                <w:lang w:val="en-US" w:eastAsia="zh-CN"/>
              </w:rPr>
              <w:t>2</w:t>
            </w:r>
            <w:r>
              <w:rPr>
                <w:rFonts w:hint="eastAsia" w:cs="Times New Roman"/>
                <w:sz w:val="24"/>
                <w:szCs w:val="24"/>
              </w:rPr>
              <w:t>分</w:t>
            </w:r>
            <w:r>
              <w:rPr>
                <w:rFonts w:hint="eastAsia" w:cs="Times New Roman"/>
                <w:sz w:val="24"/>
                <w:szCs w:val="24"/>
                <w:lang w:eastAsia="zh-CN"/>
              </w:rPr>
              <w:t>。</w:t>
            </w:r>
          </w:p>
          <w:p>
            <w:pPr>
              <w:bidi w:val="0"/>
              <w:spacing w:line="360" w:lineRule="auto"/>
              <w:jc w:val="both"/>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未提供售后服务方案和</w:t>
            </w:r>
            <w:r>
              <w:rPr>
                <w:rFonts w:hint="eastAsia"/>
                <w:sz w:val="24"/>
                <w:szCs w:val="24"/>
                <w:lang w:val="en-US" w:eastAsia="zh-CN"/>
              </w:rPr>
              <w:t>培训</w:t>
            </w:r>
            <w:r>
              <w:rPr>
                <w:rFonts w:hint="eastAsia"/>
                <w:sz w:val="24"/>
                <w:szCs w:val="24"/>
              </w:rPr>
              <w:t>方案</w:t>
            </w:r>
            <w:r>
              <w:rPr>
                <w:rFonts w:hint="eastAsia"/>
                <w:sz w:val="24"/>
                <w:szCs w:val="24"/>
                <w:lang w:val="en-US" w:eastAsia="zh-CN"/>
              </w:rPr>
              <w:t>或</w:t>
            </w:r>
            <w:r>
              <w:rPr>
                <w:rFonts w:hint="eastAsia"/>
                <w:sz w:val="24"/>
                <w:szCs w:val="24"/>
              </w:rPr>
              <w:t>不详细、可行性较差，无法满足招标文件要求的不得分。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eastAsia="仿宋"/>
                <w:sz w:val="24"/>
                <w:szCs w:val="24"/>
                <w:lang w:val="en-US" w:eastAsia="zh-CN"/>
              </w:rPr>
            </w:pPr>
            <w:r>
              <w:rPr>
                <w:rFonts w:hint="eastAsia"/>
                <w:sz w:val="24"/>
                <w:szCs w:val="24"/>
                <w:lang w:val="en-US" w:eastAsia="zh-CN"/>
              </w:rPr>
              <w:t>演示</w:t>
            </w:r>
            <w:r>
              <w:rPr>
                <w:rFonts w:hint="eastAsia"/>
                <w:lang w:eastAsia="zh-CN"/>
              </w:rPr>
              <w:t>（</w:t>
            </w:r>
            <w:r>
              <w:rPr>
                <w:rFonts w:hint="eastAsia"/>
                <w:sz w:val="24"/>
                <w:szCs w:val="24"/>
                <w:lang w:val="en-US" w:eastAsia="zh-CN"/>
              </w:rPr>
              <w:t>满分15</w:t>
            </w:r>
            <w:r>
              <w:rPr>
                <w:rFonts w:hint="eastAsia"/>
                <w:sz w:val="24"/>
                <w:szCs w:val="24"/>
                <w:lang w:val="en-US"/>
              </w:rPr>
              <w:t>分</w:t>
            </w:r>
            <w:r>
              <w:rPr>
                <w:rFonts w:hint="eastAsia"/>
                <w:lang w:eastAsia="zh-CN"/>
              </w:rPr>
              <w:t>）</w:t>
            </w:r>
          </w:p>
        </w:tc>
        <w:tc>
          <w:tcPr>
            <w:tcW w:w="591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sz w:val="24"/>
                <w:szCs w:val="24"/>
                <w:lang w:val="en-US" w:eastAsia="zh-CN"/>
              </w:rPr>
              <w:t>演示时间：</w:t>
            </w:r>
            <w:r>
              <w:rPr>
                <w:rFonts w:hint="eastAsia" w:ascii="仿宋" w:hAnsi="仿宋" w:eastAsia="仿宋" w:cs="仿宋"/>
                <w:sz w:val="24"/>
                <w:szCs w:val="24"/>
                <w:lang w:val="en-US" w:eastAsia="zh-CN"/>
              </w:rPr>
              <w:t>不超过10分钟</w:t>
            </w:r>
            <w:r>
              <w:rPr>
                <w:rFonts w:hint="eastAsia" w:cs="仿宋"/>
                <w:sz w:val="24"/>
                <w:szCs w:val="24"/>
                <w:lang w:val="en-US" w:eastAsia="zh-CN"/>
              </w:rPr>
              <w:t>，</w:t>
            </w:r>
            <w:r>
              <w:rPr>
                <w:rFonts w:hint="eastAsia" w:cs="仿宋"/>
                <w:b/>
                <w:bCs/>
                <w:sz w:val="24"/>
                <w:szCs w:val="24"/>
                <w:lang w:val="en-US" w:eastAsia="zh-CN"/>
              </w:rPr>
              <w:t>演示形式：</w:t>
            </w:r>
            <w:r>
              <w:rPr>
                <w:rFonts w:hint="eastAsia" w:cs="仿宋"/>
                <w:b w:val="0"/>
                <w:bCs w:val="0"/>
                <w:color w:val="auto"/>
                <w:sz w:val="24"/>
                <w:szCs w:val="24"/>
                <w:lang w:val="en-US" w:eastAsia="zh-CN"/>
              </w:rPr>
              <w:t>只接受线上视频演示，不接受PPT、图片等演示形式。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演示内容包括：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b/>
                <w:bCs/>
                <w:sz w:val="24"/>
                <w:szCs w:val="24"/>
                <w:highlight w:val="none"/>
                <w:lang w:val="zh-CN" w:eastAsia="zh-CN"/>
              </w:rPr>
            </w:pPr>
            <w:r>
              <w:rPr>
                <w:rFonts w:hint="eastAsia" w:ascii="仿宋" w:hAnsi="仿宋" w:cs="仿宋"/>
                <w:b/>
                <w:bCs/>
                <w:sz w:val="24"/>
                <w:szCs w:val="24"/>
                <w:highlight w:val="none"/>
                <w:lang w:val="en-US" w:eastAsia="zh-CN"/>
              </w:rPr>
              <w:t>1、</w:t>
            </w:r>
            <w:r>
              <w:rPr>
                <w:rFonts w:hint="eastAsia" w:cs="仿宋"/>
                <w:b/>
                <w:bCs/>
                <w:sz w:val="24"/>
                <w:szCs w:val="24"/>
                <w:highlight w:val="none"/>
                <w:lang w:val="en-US" w:eastAsia="zh-CN"/>
              </w:rPr>
              <w:t>投标人</w:t>
            </w:r>
            <w:r>
              <w:rPr>
                <w:rFonts w:hint="eastAsia" w:ascii="仿宋" w:hAnsi="仿宋" w:cs="仿宋"/>
                <w:b/>
                <w:bCs/>
                <w:sz w:val="24"/>
                <w:szCs w:val="24"/>
                <w:highlight w:val="none"/>
                <w:lang w:val="en-US" w:eastAsia="zh-CN"/>
              </w:rPr>
              <w:t>演示</w:t>
            </w:r>
            <w:r>
              <w:rPr>
                <w:rFonts w:hint="eastAsia" w:cs="仿宋"/>
                <w:b/>
                <w:bCs/>
                <w:sz w:val="24"/>
                <w:szCs w:val="24"/>
                <w:highlight w:val="none"/>
                <w:lang w:val="en-US" w:eastAsia="zh-CN"/>
              </w:rPr>
              <w:t>可移动</w:t>
            </w:r>
            <w:r>
              <w:rPr>
                <w:rFonts w:hint="eastAsia" w:ascii="仿宋" w:hAnsi="仿宋" w:cs="仿宋"/>
                <w:b/>
                <w:bCs/>
                <w:sz w:val="24"/>
                <w:szCs w:val="24"/>
                <w:highlight w:val="none"/>
                <w:lang w:val="en-US" w:eastAsia="zh-CN"/>
              </w:rPr>
              <w:t>文物</w:t>
            </w:r>
            <w:r>
              <w:rPr>
                <w:rFonts w:hint="eastAsia" w:cs="仿宋"/>
                <w:b/>
                <w:bCs/>
                <w:sz w:val="24"/>
                <w:szCs w:val="24"/>
                <w:highlight w:val="none"/>
                <w:lang w:val="en-US" w:eastAsia="zh-CN"/>
              </w:rPr>
              <w:t>数据采集过程</w:t>
            </w:r>
            <w:r>
              <w:rPr>
                <w:rFonts w:hint="eastAsia" w:ascii="仿宋" w:hAnsi="仿宋" w:cs="仿宋"/>
                <w:b/>
                <w:bCs/>
                <w:sz w:val="24"/>
                <w:szCs w:val="24"/>
                <w:highlight w:val="none"/>
                <w:lang w:val="en-US" w:eastAsia="zh-CN"/>
              </w:rPr>
              <w:t>，要求在扫描过程中实时呈现（在同一画面中）扫描仪采集方向与三维数据同步出现的过程，并要求方向一致，在成果数据中利用放大缩小及旋转操作演示，表现出</w:t>
            </w:r>
            <w:r>
              <w:rPr>
                <w:rFonts w:hint="eastAsia" w:cs="仿宋"/>
                <w:b/>
                <w:bCs/>
                <w:sz w:val="24"/>
                <w:szCs w:val="24"/>
                <w:highlight w:val="none"/>
                <w:lang w:val="en-US" w:eastAsia="zh-CN"/>
              </w:rPr>
              <w:t>文物</w:t>
            </w:r>
            <w:r>
              <w:rPr>
                <w:rFonts w:hint="eastAsia" w:ascii="仿宋" w:hAnsi="仿宋" w:cs="仿宋"/>
                <w:b/>
                <w:bCs/>
                <w:sz w:val="24"/>
                <w:szCs w:val="24"/>
                <w:highlight w:val="none"/>
                <w:lang w:val="en-US" w:eastAsia="zh-CN"/>
              </w:rPr>
              <w:t>材质及放射纹。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（1）</w:t>
            </w:r>
            <w:r>
              <w:rPr>
                <w:rFonts w:hint="eastAsia" w:ascii="仿宋" w:hAnsi="仿宋" w:cs="仿宋"/>
                <w:sz w:val="24"/>
                <w:szCs w:val="24"/>
                <w:lang w:val="en-US" w:eastAsia="zh-CN"/>
              </w:rPr>
              <w:t>演示内容完整、清晰美观、画面丰富，完整符合要求的得</w:t>
            </w:r>
            <w:r>
              <w:rPr>
                <w:rFonts w:hint="eastAsia" w:cs="仿宋"/>
                <w:sz w:val="24"/>
                <w:szCs w:val="24"/>
                <w:lang w:val="en-US" w:eastAsia="zh-CN"/>
              </w:rPr>
              <w:t>5</w:t>
            </w:r>
            <w:r>
              <w:rPr>
                <w:rFonts w:hint="eastAsia" w:ascii="仿宋" w:hAnsi="仿宋" w:cs="仿宋"/>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（2）</w:t>
            </w:r>
            <w:r>
              <w:rPr>
                <w:rFonts w:hint="eastAsia" w:ascii="仿宋" w:hAnsi="仿宋" w:cs="仿宋"/>
                <w:sz w:val="24"/>
                <w:szCs w:val="24"/>
                <w:lang w:val="en-US" w:eastAsia="zh-CN"/>
              </w:rPr>
              <w:t>演示内容完整，画面较清晰美观，符合要求的得</w:t>
            </w:r>
            <w:r>
              <w:rPr>
                <w:rFonts w:hint="eastAsia" w:cs="仿宋"/>
                <w:sz w:val="24"/>
                <w:szCs w:val="24"/>
                <w:lang w:val="en-US" w:eastAsia="zh-CN"/>
              </w:rPr>
              <w:t>3</w:t>
            </w:r>
            <w:r>
              <w:rPr>
                <w:rFonts w:hint="eastAsia" w:ascii="仿宋" w:hAnsi="仿宋" w:cs="仿宋"/>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（3）</w:t>
            </w:r>
            <w:r>
              <w:rPr>
                <w:rFonts w:hint="eastAsia" w:ascii="仿宋" w:hAnsi="仿宋" w:cs="仿宋"/>
                <w:sz w:val="24"/>
                <w:szCs w:val="24"/>
                <w:lang w:val="en-US" w:eastAsia="zh-CN"/>
              </w:rPr>
              <w:t>演示内容不完整或不符合要求得1分；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（4）</w:t>
            </w:r>
            <w:r>
              <w:rPr>
                <w:rFonts w:hint="eastAsia" w:ascii="仿宋" w:hAnsi="仿宋" w:cs="仿宋"/>
                <w:sz w:val="24"/>
                <w:szCs w:val="24"/>
                <w:lang w:val="en-US" w:eastAsia="zh-CN"/>
              </w:rPr>
              <w:t>未</w:t>
            </w:r>
            <w:r>
              <w:rPr>
                <w:rFonts w:hint="eastAsia" w:cs="仿宋"/>
                <w:sz w:val="24"/>
                <w:szCs w:val="24"/>
                <w:lang w:val="en-US" w:eastAsia="zh-CN"/>
              </w:rPr>
              <w:t>提供</w:t>
            </w:r>
            <w:r>
              <w:rPr>
                <w:rFonts w:hint="eastAsia" w:ascii="仿宋" w:hAnsi="仿宋" w:cs="仿宋"/>
                <w:sz w:val="24"/>
                <w:szCs w:val="24"/>
                <w:lang w:val="en-US" w:eastAsia="zh-CN"/>
              </w:rPr>
              <w:t>演示不得分。</w:t>
            </w:r>
          </w:p>
          <w:p>
            <w:pPr>
              <w:keepNext w:val="0"/>
              <w:keepLines w:val="0"/>
              <w:pageBreakBefore w:val="0"/>
              <w:kinsoku/>
              <w:wordWrap/>
              <w:overflowPunct/>
              <w:topLinePunct w:val="0"/>
              <w:autoSpaceDE/>
              <w:autoSpaceDN/>
              <w:bidi w:val="0"/>
              <w:adjustRightInd/>
              <w:snapToGrid/>
              <w:spacing w:beforeAutospacing="0" w:after="0" w:line="400" w:lineRule="exact"/>
              <w:ind w:firstLine="0"/>
              <w:rPr>
                <w:rFonts w:hint="eastAsia" w:cs="Times New Roman"/>
                <w:b/>
                <w:bCs/>
                <w:snapToGrid/>
                <w:color w:val="000000"/>
                <w:kern w:val="2"/>
                <w:sz w:val="24"/>
                <w:szCs w:val="24"/>
                <w:lang w:eastAsia="zh-CN"/>
              </w:rPr>
            </w:pPr>
            <w:r>
              <w:rPr>
                <w:rFonts w:hint="eastAsia" w:cs="Times New Roman"/>
                <w:b/>
                <w:bCs/>
                <w:snapToGrid/>
                <w:color w:val="000000"/>
                <w:kern w:val="2"/>
                <w:sz w:val="24"/>
                <w:szCs w:val="24"/>
              </w:rPr>
              <w:t>2、投标人</w:t>
            </w:r>
            <w:r>
              <w:rPr>
                <w:rFonts w:hint="eastAsia" w:cs="Times New Roman"/>
                <w:b/>
                <w:bCs/>
                <w:snapToGrid/>
                <w:color w:val="000000"/>
                <w:kern w:val="2"/>
                <w:sz w:val="24"/>
                <w:szCs w:val="24"/>
                <w:lang w:val="en-US" w:eastAsia="zh-CN"/>
              </w:rPr>
              <w:t>演示至少3种</w:t>
            </w:r>
            <w:r>
              <w:rPr>
                <w:rFonts w:hint="eastAsia" w:cs="Times New Roman"/>
                <w:b/>
                <w:bCs/>
                <w:snapToGrid/>
                <w:color w:val="000000"/>
                <w:kern w:val="2"/>
                <w:sz w:val="24"/>
                <w:szCs w:val="24"/>
              </w:rPr>
              <w:t>不同类型</w:t>
            </w:r>
            <w:r>
              <w:rPr>
                <w:rFonts w:hint="eastAsia" w:cs="Times New Roman"/>
                <w:b/>
                <w:bCs/>
                <w:snapToGrid/>
                <w:color w:val="000000"/>
                <w:kern w:val="2"/>
                <w:sz w:val="24"/>
                <w:szCs w:val="24"/>
                <w:lang w:val="en-US" w:eastAsia="zh-CN"/>
              </w:rPr>
              <w:t>和</w:t>
            </w:r>
            <w:r>
              <w:rPr>
                <w:rFonts w:hint="eastAsia" w:cs="Times New Roman"/>
                <w:b/>
                <w:bCs/>
                <w:snapToGrid/>
                <w:color w:val="000000"/>
                <w:kern w:val="2"/>
                <w:sz w:val="24"/>
                <w:szCs w:val="24"/>
              </w:rPr>
              <w:t>材质文物的裸眼3D动画</w:t>
            </w:r>
            <w:r>
              <w:rPr>
                <w:rFonts w:hint="eastAsia" w:cs="Times New Roman"/>
                <w:b/>
                <w:bCs/>
                <w:snapToGrid/>
                <w:color w:val="000000"/>
                <w:kern w:val="2"/>
                <w:sz w:val="24"/>
                <w:szCs w:val="24"/>
                <w:lang w:eastAsia="zh-CN"/>
              </w:rPr>
              <w:t>，</w:t>
            </w:r>
            <w:r>
              <w:rPr>
                <w:rFonts w:hint="eastAsia" w:cs="Times New Roman"/>
                <w:b/>
                <w:bCs/>
                <w:snapToGrid/>
                <w:color w:val="000000"/>
                <w:kern w:val="2"/>
                <w:sz w:val="24"/>
                <w:szCs w:val="24"/>
              </w:rPr>
              <w:t>能够以裸眼3D形式凸显文物细节，</w:t>
            </w:r>
            <w:r>
              <w:rPr>
                <w:rFonts w:hint="eastAsia" w:cs="Times New Roman"/>
                <w:b/>
                <w:bCs/>
                <w:snapToGrid/>
                <w:color w:val="000000"/>
                <w:kern w:val="2"/>
                <w:sz w:val="24"/>
                <w:szCs w:val="24"/>
                <w:lang w:val="en-US" w:eastAsia="zh-CN"/>
              </w:rPr>
              <w:t>并且能够与文物完成互动操作</w:t>
            </w:r>
            <w:r>
              <w:rPr>
                <w:rFonts w:hint="eastAsia" w:cs="Times New Roman"/>
                <w:b/>
                <w:bCs/>
                <w:snapToGrid/>
                <w:color w:val="000000"/>
                <w:kern w:val="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（1）</w:t>
            </w:r>
            <w:r>
              <w:rPr>
                <w:rFonts w:hint="eastAsia" w:ascii="仿宋" w:hAnsi="仿宋" w:cs="仿宋"/>
                <w:sz w:val="24"/>
                <w:szCs w:val="24"/>
                <w:lang w:val="en-US" w:eastAsia="zh-CN"/>
              </w:rPr>
              <w:t>演示内容完整、清晰美观、画面丰富，完整符合要求的得</w:t>
            </w:r>
            <w:r>
              <w:rPr>
                <w:rFonts w:hint="eastAsia" w:cs="仿宋"/>
                <w:sz w:val="24"/>
                <w:szCs w:val="24"/>
                <w:lang w:val="en-US" w:eastAsia="zh-CN"/>
              </w:rPr>
              <w:t>5</w:t>
            </w:r>
            <w:r>
              <w:rPr>
                <w:rFonts w:hint="eastAsia" w:ascii="仿宋" w:hAnsi="仿宋" w:cs="仿宋"/>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（2）</w:t>
            </w:r>
            <w:r>
              <w:rPr>
                <w:rFonts w:hint="eastAsia" w:ascii="仿宋" w:hAnsi="仿宋" w:cs="仿宋"/>
                <w:sz w:val="24"/>
                <w:szCs w:val="24"/>
                <w:lang w:val="en-US" w:eastAsia="zh-CN"/>
              </w:rPr>
              <w:t>演示内容完整，画面较清晰美观，符合要求的得</w:t>
            </w:r>
            <w:r>
              <w:rPr>
                <w:rFonts w:hint="eastAsia" w:cs="仿宋"/>
                <w:sz w:val="24"/>
                <w:szCs w:val="24"/>
                <w:lang w:val="en-US" w:eastAsia="zh-CN"/>
              </w:rPr>
              <w:t>3</w:t>
            </w:r>
            <w:r>
              <w:rPr>
                <w:rFonts w:hint="eastAsia" w:ascii="仿宋" w:hAnsi="仿宋" w:cs="仿宋"/>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（3）</w:t>
            </w:r>
            <w:r>
              <w:rPr>
                <w:rFonts w:hint="eastAsia" w:ascii="仿宋" w:hAnsi="仿宋" w:cs="仿宋"/>
                <w:sz w:val="24"/>
                <w:szCs w:val="24"/>
                <w:lang w:val="en-US" w:eastAsia="zh-CN"/>
              </w:rPr>
              <w:t>演示内容不完整或不符合要求得1分；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b/>
                <w:bCs/>
                <w:snapToGrid/>
                <w:color w:val="000000"/>
                <w:kern w:val="2"/>
                <w:sz w:val="24"/>
                <w:szCs w:val="24"/>
                <w:lang w:val="en-US" w:eastAsia="zh-CN"/>
              </w:rPr>
            </w:pPr>
            <w:r>
              <w:rPr>
                <w:rFonts w:hint="eastAsia" w:cs="仿宋"/>
                <w:sz w:val="24"/>
                <w:szCs w:val="24"/>
                <w:lang w:val="en-US" w:eastAsia="zh-CN"/>
              </w:rPr>
              <w:t>（4）</w:t>
            </w:r>
            <w:r>
              <w:rPr>
                <w:rFonts w:hint="eastAsia" w:ascii="仿宋" w:hAnsi="仿宋" w:cs="仿宋"/>
                <w:sz w:val="24"/>
                <w:szCs w:val="24"/>
                <w:lang w:val="en-US" w:eastAsia="zh-CN"/>
              </w:rPr>
              <w:t>未</w:t>
            </w:r>
            <w:r>
              <w:rPr>
                <w:rFonts w:hint="eastAsia" w:cs="仿宋"/>
                <w:sz w:val="24"/>
                <w:szCs w:val="24"/>
                <w:lang w:val="en-US" w:eastAsia="zh-CN"/>
              </w:rPr>
              <w:t>提供</w:t>
            </w:r>
            <w:r>
              <w:rPr>
                <w:rFonts w:hint="eastAsia" w:ascii="仿宋" w:hAnsi="仿宋" w:cs="仿宋"/>
                <w:sz w:val="24"/>
                <w:szCs w:val="24"/>
                <w:lang w:val="en-US" w:eastAsia="zh-CN"/>
              </w:rPr>
              <w:t>演示不得分。</w:t>
            </w:r>
          </w:p>
          <w:p>
            <w:pPr>
              <w:keepNext w:val="0"/>
              <w:keepLines w:val="0"/>
              <w:pageBreakBefore w:val="0"/>
              <w:kinsoku/>
              <w:wordWrap/>
              <w:overflowPunct/>
              <w:topLinePunct w:val="0"/>
              <w:autoSpaceDE/>
              <w:autoSpaceDN/>
              <w:bidi w:val="0"/>
              <w:adjustRightInd/>
              <w:snapToGrid/>
              <w:spacing w:beforeAutospacing="0" w:after="0" w:line="400" w:lineRule="exact"/>
              <w:ind w:firstLine="0"/>
              <w:rPr>
                <w:rFonts w:cs="Times New Roman"/>
                <w:b/>
                <w:bCs/>
                <w:snapToGrid/>
                <w:color w:val="000000"/>
                <w:kern w:val="2"/>
                <w:sz w:val="24"/>
                <w:szCs w:val="24"/>
              </w:rPr>
            </w:pPr>
            <w:r>
              <w:rPr>
                <w:rFonts w:hint="eastAsia" w:cs="Times New Roman"/>
                <w:b/>
                <w:bCs/>
                <w:snapToGrid/>
                <w:color w:val="000000"/>
                <w:kern w:val="2"/>
                <w:sz w:val="24"/>
                <w:szCs w:val="24"/>
                <w:lang w:val="en-US" w:eastAsia="zh-CN"/>
              </w:rPr>
              <w:t>3、</w:t>
            </w:r>
            <w:r>
              <w:rPr>
                <w:rFonts w:hint="eastAsia" w:cs="Times New Roman"/>
                <w:b/>
                <w:bCs/>
                <w:snapToGrid/>
                <w:color w:val="000000"/>
                <w:kern w:val="2"/>
                <w:sz w:val="24"/>
                <w:szCs w:val="24"/>
              </w:rPr>
              <w:t>投标人提供</w:t>
            </w:r>
            <w:r>
              <w:rPr>
                <w:rFonts w:hint="eastAsia" w:cs="Times New Roman"/>
                <w:b/>
                <w:bCs/>
                <w:snapToGrid/>
                <w:color w:val="000000"/>
                <w:kern w:val="2"/>
                <w:sz w:val="24"/>
                <w:szCs w:val="24"/>
                <w:lang w:val="en-US" w:eastAsia="zh-CN"/>
              </w:rPr>
              <w:t>考古类体验课程的</w:t>
            </w:r>
            <w:r>
              <w:rPr>
                <w:rFonts w:hint="eastAsia" w:cs="Times New Roman"/>
                <w:b/>
                <w:bCs/>
                <w:snapToGrid/>
                <w:color w:val="000000"/>
                <w:kern w:val="2"/>
                <w:sz w:val="24"/>
                <w:szCs w:val="24"/>
              </w:rPr>
              <w:t>脚本方案视频讲解，从脚本的策划理念，文本内容，逻辑结构，可执行性四个方面进行阐述。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（1）</w:t>
            </w:r>
            <w:r>
              <w:rPr>
                <w:rFonts w:hint="eastAsia" w:ascii="仿宋" w:hAnsi="仿宋" w:cs="仿宋"/>
                <w:sz w:val="24"/>
                <w:szCs w:val="24"/>
                <w:lang w:val="en-US" w:eastAsia="zh-CN"/>
              </w:rPr>
              <w:t>脚本有很高策划理念，文本内容翔实，逻辑缜密结构清晰，具有很强可执行性，得5分。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（2）</w:t>
            </w:r>
            <w:r>
              <w:rPr>
                <w:rFonts w:hint="eastAsia" w:ascii="仿宋" w:hAnsi="仿宋" w:cs="仿宋"/>
                <w:sz w:val="24"/>
                <w:szCs w:val="24"/>
                <w:lang w:val="en-US" w:eastAsia="zh-CN"/>
              </w:rPr>
              <w:t>脚本有一定策划，文本内容丰富，有逻辑结构，具有可执行，得3分；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（3）</w:t>
            </w:r>
            <w:r>
              <w:rPr>
                <w:rFonts w:hint="eastAsia" w:ascii="仿宋" w:hAnsi="仿宋" w:cs="仿宋"/>
                <w:sz w:val="24"/>
                <w:szCs w:val="24"/>
                <w:lang w:val="en-US" w:eastAsia="zh-CN"/>
              </w:rPr>
              <w:t>脚本策划一般，文本内容简单，没有逻辑结构，可执行性差，得1分；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（4）</w:t>
            </w:r>
            <w:r>
              <w:rPr>
                <w:rFonts w:hint="eastAsia" w:ascii="仿宋" w:hAnsi="仿宋" w:cs="仿宋"/>
                <w:sz w:val="24"/>
                <w:szCs w:val="24"/>
                <w:lang w:val="en-US" w:eastAsia="zh-CN"/>
              </w:rPr>
              <w:t>未</w:t>
            </w:r>
            <w:r>
              <w:rPr>
                <w:rFonts w:hint="eastAsia" w:cs="仿宋"/>
                <w:sz w:val="24"/>
                <w:szCs w:val="24"/>
                <w:lang w:val="en-US" w:eastAsia="zh-CN"/>
              </w:rPr>
              <w:t>提供</w:t>
            </w:r>
            <w:r>
              <w:rPr>
                <w:rFonts w:hint="eastAsia" w:ascii="仿宋" w:hAnsi="仿宋" w:cs="仿宋"/>
                <w:sz w:val="24"/>
                <w:szCs w:val="24"/>
                <w:lang w:val="en-US" w:eastAsia="zh-CN"/>
              </w:rPr>
              <w:t>演示不得分。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演示其他要求：</w:t>
            </w:r>
          </w:p>
          <w:p>
            <w:pPr>
              <w:spacing w:line="360" w:lineRule="auto"/>
              <w:ind w:firstLine="480" w:firstLineChars="200"/>
              <w:jc w:val="both"/>
              <w:rPr>
                <w:rFonts w:hint="eastAsia" w:ascii="仿宋" w:hAnsi="仿宋" w:cs="仿宋"/>
                <w:sz w:val="24"/>
                <w:szCs w:val="24"/>
                <w:lang w:val="en-US" w:eastAsia="zh-CN"/>
              </w:rPr>
            </w:pPr>
            <w:r>
              <w:rPr>
                <w:rFonts w:hint="eastAsia" w:ascii="仿宋" w:hAnsi="仿宋" w:cs="仿宋"/>
                <w:sz w:val="24"/>
                <w:szCs w:val="24"/>
                <w:lang w:val="en-US" w:eastAsia="zh-CN"/>
              </w:rPr>
              <w:t>1、视频文件须具有投标人名称水印，未提供的不得分。</w:t>
            </w:r>
          </w:p>
          <w:p>
            <w:pPr>
              <w:spacing w:line="360" w:lineRule="auto"/>
              <w:ind w:firstLine="480" w:firstLineChars="200"/>
              <w:jc w:val="both"/>
              <w:rPr>
                <w:rFonts w:hint="default" w:ascii="仿宋" w:hAnsi="仿宋" w:cs="仿宋"/>
                <w:sz w:val="24"/>
                <w:szCs w:val="24"/>
                <w:lang w:val="en-US" w:eastAsia="zh-CN"/>
              </w:rPr>
            </w:pPr>
            <w:r>
              <w:rPr>
                <w:rFonts w:hint="eastAsia" w:ascii="仿宋" w:hAnsi="仿宋" w:cs="仿宋"/>
                <w:sz w:val="24"/>
                <w:szCs w:val="24"/>
                <w:lang w:val="en-US" w:eastAsia="zh-CN"/>
              </w:rPr>
              <w:t>2、在投标文件中作出项目最终成果不低于演示效果的承诺，未提供的不得分。</w:t>
            </w:r>
          </w:p>
          <w:p>
            <w:pPr>
              <w:bidi w:val="0"/>
              <w:spacing w:line="360" w:lineRule="auto"/>
              <w:ind w:firstLine="480" w:firstLineChars="200"/>
              <w:jc w:val="both"/>
              <w:rPr>
                <w:rFonts w:hint="eastAsia"/>
                <w:sz w:val="24"/>
                <w:szCs w:val="24"/>
              </w:rPr>
            </w:pPr>
            <w:r>
              <w:rPr>
                <w:rFonts w:hint="eastAsia" w:ascii="仿宋" w:hAnsi="仿宋" w:cs="仿宋"/>
                <w:sz w:val="24"/>
                <w:szCs w:val="24"/>
                <w:lang w:val="en-US" w:eastAsia="zh-CN"/>
              </w:rPr>
              <w:t>3、在投标文件中提供演示视频内容的版权归属投标人且不存在任何版权纠纷的承诺，未提供的不得分。</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Times New Roman"/>
          <w:kern w:val="2"/>
          <w:sz w:val="28"/>
          <w:szCs w:val="24"/>
          <w:lang w:val="en-US" w:eastAsia="zh-CN" w:bidi="ar-SA"/>
        </w:rPr>
      </w:pPr>
    </w:p>
    <w:p>
      <w:pPr>
        <w:bidi w:val="0"/>
        <w:spacing w:line="360" w:lineRule="auto"/>
        <w:rPr>
          <w:rFonts w:hint="eastAsia"/>
          <w:sz w:val="24"/>
          <w:szCs w:val="22"/>
          <w:lang w:val="en-US" w:eastAsia="zh-CN"/>
        </w:rPr>
      </w:pPr>
      <w:r>
        <w:rPr>
          <w:rFonts w:hint="eastAsia" w:cs="Times New Roman"/>
          <w:b/>
          <w:sz w:val="32"/>
          <w:szCs w:val="22"/>
          <w:lang w:val="en-US" w:eastAsia="zh-CN"/>
        </w:rPr>
        <w:br w:type="page"/>
      </w:r>
      <w:bookmarkEnd w:id="197"/>
      <w:bookmarkEnd w:id="198"/>
      <w:bookmarkEnd w:id="199"/>
      <w:bookmarkEnd w:id="200"/>
      <w:bookmarkEnd w:id="201"/>
      <w:bookmarkEnd w:id="202"/>
      <w:bookmarkEnd w:id="203"/>
      <w:bookmarkEnd w:id="204"/>
      <w:bookmarkEnd w:id="205"/>
    </w:p>
    <w:p>
      <w:pPr>
        <w:rPr>
          <w:rFonts w:hint="eastAsia"/>
          <w:color w:val="auto"/>
          <w:highlight w:val="none"/>
          <w:lang w:eastAsia="zh-CN"/>
        </w:rPr>
      </w:pPr>
    </w:p>
    <w:p>
      <w:r>
        <w:rPr>
          <w:rFonts w:hint="eastAsia" w:ascii="黑体" w:hAnsi="黑体" w:eastAsia="黑体" w:cs="仿宋"/>
          <w:sz w:val="32"/>
          <w:szCs w:val="32"/>
          <w:lang w:val="en-US" w:eastAsia="zh-CN"/>
        </w:rPr>
        <w:br w:type="page"/>
      </w:r>
    </w:p>
    <w:p>
      <w:pPr>
        <w:pStyle w:val="8"/>
        <w:rPr>
          <w:rFonts w:hint="eastAsia"/>
        </w:rPr>
      </w:pPr>
      <w:bookmarkStart w:id="213" w:name="_Toc494375081"/>
      <w:bookmarkStart w:id="214" w:name="_Toc534816639"/>
      <w:bookmarkStart w:id="215" w:name="_Toc534725610"/>
      <w:bookmarkStart w:id="216" w:name="_Toc120614281"/>
      <w:r>
        <w:rPr>
          <w:rFonts w:hint="eastAsia"/>
        </w:rPr>
        <w:t>第五章  评标方法与评标标准</w:t>
      </w:r>
      <w:bookmarkEnd w:id="213"/>
      <w:bookmarkEnd w:id="214"/>
      <w:bookmarkEnd w:id="215"/>
    </w:p>
    <w:bookmarkEnd w:id="190"/>
    <w:bookmarkEnd w:id="191"/>
    <w:bookmarkEnd w:id="195"/>
    <w:bookmarkEnd w:id="196"/>
    <w:bookmarkEnd w:id="216"/>
    <w:p>
      <w:pPr>
        <w:pStyle w:val="29"/>
        <w:ind w:firstLine="424" w:firstLineChars="177"/>
        <w:rPr>
          <w:rFonts w:hint="eastAsia" w:ascii="宋体" w:hAnsi="宋体" w:eastAsia="宋体" w:cs="宋体"/>
          <w:color w:val="0000FF"/>
        </w:rPr>
      </w:pPr>
      <w:r>
        <w:rPr>
          <w:rFonts w:hint="eastAsia" w:ascii="宋体" w:hAnsi="宋体" w:eastAsia="宋体" w:cs="宋体"/>
          <w:color w:val="0000FF"/>
        </w:rPr>
        <w:t>本项目采用综合评分法</w:t>
      </w:r>
      <w:r>
        <w:rPr>
          <w:rFonts w:hint="eastAsia" w:ascii="宋体" w:hAnsi="宋体" w:eastAsia="宋体" w:cs="宋体"/>
          <w:lang w:eastAsia="zh-CN"/>
        </w:rPr>
        <w:t>。</w:t>
      </w:r>
      <w:r>
        <w:rPr>
          <w:rFonts w:hint="eastAsia" w:ascii="宋体" w:hAnsi="宋体" w:eastAsia="宋体" w:cs="宋体"/>
          <w:color w:val="0000FF"/>
        </w:rPr>
        <w:t>综合评分法，是指投标文件满足招标文件全部实质性要求，且按照评审因素的量化指标评审得分最高的投标人为中标候选人的评标方法。</w:t>
      </w:r>
    </w:p>
    <w:p>
      <w:pPr>
        <w:pStyle w:val="29"/>
        <w:ind w:firstLine="424" w:firstLineChars="177"/>
        <w:rPr>
          <w:rFonts w:hint="eastAsia" w:ascii="宋体" w:hAnsi="宋体" w:eastAsia="宋体" w:cs="宋体"/>
          <w:color w:val="0000FF"/>
        </w:rPr>
      </w:pPr>
      <w:r>
        <w:rPr>
          <w:rFonts w:hint="eastAsia" w:ascii="宋体" w:hAnsi="宋体" w:eastAsia="宋体" w:cs="宋体"/>
          <w:color w:val="0000FF"/>
        </w:rPr>
        <w:t>评审因素的设定应当与投标人所提供货物服务的质量相关，包括投标报价、技术或者服务水平、履约能力、售后服务等。资格条件不得作为评审因素。评审因素应当在招标文件中规定。</w:t>
      </w:r>
    </w:p>
    <w:p>
      <w:pPr>
        <w:pStyle w:val="29"/>
        <w:ind w:firstLine="424" w:firstLineChars="177"/>
        <w:rPr>
          <w:rFonts w:hint="eastAsia" w:ascii="宋体" w:hAnsi="宋体" w:eastAsia="宋体" w:cs="宋体"/>
          <w:color w:val="0000FF"/>
        </w:rPr>
      </w:pPr>
      <w:r>
        <w:rPr>
          <w:rFonts w:hint="eastAsia" w:ascii="宋体" w:hAnsi="宋体" w:eastAsia="宋体" w:cs="宋体"/>
          <w:color w:val="0000FF"/>
        </w:rPr>
        <w:t>评审因素应当细化和量化，且与相应的商务条件和采购需求对应。商务条件和采购需求指标有区间规定的，评审因素应当量化到相应区间，并设置各区间对应的不同分值。</w:t>
      </w:r>
    </w:p>
    <w:p>
      <w:pPr>
        <w:pStyle w:val="29"/>
        <w:ind w:firstLine="424" w:firstLineChars="177"/>
        <w:rPr>
          <w:rFonts w:hint="eastAsia" w:ascii="宋体" w:hAnsi="宋体" w:eastAsia="宋体" w:cs="宋体"/>
          <w:color w:val="0000FF"/>
        </w:rPr>
      </w:pPr>
      <w:r>
        <w:rPr>
          <w:rFonts w:hint="eastAsia" w:ascii="宋体" w:hAnsi="宋体" w:eastAsia="宋体" w:cs="宋体"/>
          <w:color w:val="0000FF"/>
        </w:rPr>
        <w:t>评标时，评标委员会各成员应当独立对每个投标人的投标文件进行评价，并汇总每个投标人的得分。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pStyle w:val="29"/>
        <w:ind w:firstLine="441" w:firstLineChars="183"/>
        <w:rPr>
          <w:rFonts w:hint="eastAsia" w:ascii="宋体" w:hAnsi="宋体" w:eastAsia="宋体" w:cs="宋体"/>
          <w:b/>
          <w:kern w:val="2"/>
          <w:highlight w:val="yellow"/>
        </w:rPr>
      </w:pPr>
      <w:r>
        <w:rPr>
          <w:rFonts w:hint="eastAsia" w:ascii="宋体" w:hAnsi="宋体" w:eastAsia="宋体" w:cs="宋体"/>
          <w:b/>
          <w:kern w:val="2"/>
          <w:lang w:val="en-US" w:eastAsia="zh-CN"/>
        </w:rPr>
        <w:t>一、</w:t>
      </w:r>
      <w:r>
        <w:rPr>
          <w:rFonts w:hint="eastAsia" w:ascii="宋体" w:hAnsi="宋体" w:eastAsia="宋体" w:cs="宋体"/>
          <w:b/>
          <w:kern w:val="2"/>
        </w:rPr>
        <w:t>政府采购政策功能落实</w:t>
      </w:r>
    </w:p>
    <w:p>
      <w:pPr>
        <w:pStyle w:val="29"/>
        <w:spacing w:line="0" w:lineRule="atLeast"/>
        <w:ind w:firstLineChars="200"/>
        <w:rPr>
          <w:rFonts w:hint="eastAsia" w:ascii="宋体" w:hAnsi="宋体" w:eastAsia="宋体" w:cs="宋体"/>
          <w:kern w:val="2"/>
        </w:rPr>
      </w:pPr>
      <w:r>
        <w:rPr>
          <w:rFonts w:hint="eastAsia" w:ascii="宋体" w:hAnsi="宋体" w:eastAsia="宋体" w:cs="宋体"/>
          <w:kern w:val="2"/>
        </w:rPr>
        <w:t>1、小微型企业价格扣除</w:t>
      </w:r>
    </w:p>
    <w:p>
      <w:pPr>
        <w:pStyle w:val="29"/>
        <w:spacing w:line="0" w:lineRule="atLeast"/>
        <w:ind w:firstLine="360" w:firstLineChars="150"/>
        <w:rPr>
          <w:rFonts w:hint="eastAsia" w:ascii="宋体" w:hAnsi="宋体" w:eastAsia="宋体" w:cs="宋体"/>
          <w:color w:val="C00000"/>
          <w:kern w:val="2"/>
          <w:lang w:val="en-US" w:eastAsia="zh-Hans"/>
        </w:rPr>
      </w:pPr>
      <w:r>
        <w:rPr>
          <w:rFonts w:hint="eastAsia" w:ascii="宋体" w:hAnsi="宋体" w:eastAsia="宋体" w:cs="宋体"/>
          <w:kern w:val="2"/>
        </w:rPr>
        <w:t>（1）本项目对小型和微型企业</w:t>
      </w:r>
      <w:r>
        <w:rPr>
          <w:rFonts w:hint="eastAsia" w:ascii="宋体" w:hAnsi="宋体" w:eastAsia="宋体" w:cs="宋体"/>
          <w:kern w:val="2"/>
          <w:lang w:val="en-US" w:eastAsia="zh-CN"/>
        </w:rPr>
        <w:t>报价</w:t>
      </w:r>
      <w:r>
        <w:rPr>
          <w:rFonts w:hint="eastAsia" w:ascii="宋体" w:hAnsi="宋体" w:eastAsia="宋体" w:cs="宋体"/>
          <w:kern w:val="2"/>
        </w:rPr>
        <w:t>给予</w:t>
      </w:r>
      <w:r>
        <w:rPr>
          <w:rFonts w:hint="eastAsia" w:ascii="宋体" w:hAnsi="宋体" w:eastAsia="宋体" w:cs="宋体"/>
          <w:kern w:val="2"/>
          <w:highlight w:val="yellow"/>
          <w:lang w:val="en-US" w:eastAsia="zh-CN"/>
        </w:rPr>
        <w:t>20</w:t>
      </w:r>
      <w:r>
        <w:rPr>
          <w:rFonts w:hint="eastAsia" w:ascii="宋体" w:hAnsi="宋体" w:eastAsia="宋体" w:cs="宋体"/>
          <w:bCs/>
          <w:kern w:val="2"/>
          <w:sz w:val="24"/>
          <w:szCs w:val="24"/>
          <w:highlight w:val="yellow"/>
          <w:lang w:val="en-US" w:eastAsia="zh-CN" w:bidi="ar-SA"/>
        </w:rPr>
        <w:t>%</w:t>
      </w:r>
      <w:r>
        <w:rPr>
          <w:rFonts w:hint="eastAsia" w:ascii="宋体" w:hAnsi="宋体" w:eastAsia="宋体" w:cs="宋体"/>
          <w:kern w:val="2"/>
        </w:rPr>
        <w:t>的扣除价格，用扣除后的价格参与评审。</w:t>
      </w:r>
    </w:p>
    <w:p>
      <w:pPr>
        <w:pStyle w:val="29"/>
        <w:spacing w:line="0" w:lineRule="atLeast"/>
        <w:ind w:firstLine="360" w:firstLineChars="150"/>
        <w:rPr>
          <w:rFonts w:hint="eastAsia" w:ascii="宋体" w:hAnsi="宋体" w:eastAsia="宋体" w:cs="宋体"/>
          <w:kern w:val="2"/>
        </w:rPr>
      </w:pPr>
      <w:r>
        <w:rPr>
          <w:rFonts w:hint="eastAsia" w:ascii="宋体" w:hAnsi="宋体" w:eastAsia="宋体" w:cs="宋体"/>
          <w:kern w:val="2"/>
        </w:rPr>
        <w:t>（2）供应商需按照采购文件的要求提供相应的《企业声明函》。</w:t>
      </w:r>
    </w:p>
    <w:p>
      <w:pPr>
        <w:pStyle w:val="29"/>
        <w:spacing w:line="0" w:lineRule="atLeast"/>
        <w:ind w:firstLine="360" w:firstLineChars="150"/>
        <w:rPr>
          <w:rFonts w:hint="eastAsia" w:ascii="宋体" w:hAnsi="宋体" w:eastAsia="宋体" w:cs="宋体"/>
          <w:kern w:val="2"/>
        </w:rPr>
      </w:pPr>
      <w:r>
        <w:rPr>
          <w:rFonts w:hint="eastAsia" w:ascii="宋体" w:hAnsi="宋体" w:eastAsia="宋体" w:cs="宋体"/>
          <w:kern w:val="2"/>
        </w:rPr>
        <w:t>（3）企业标准请参照《关于印发中小企业划型标准规定的通知》（工信部联企业[2011]300号）文件规定自行填写。</w:t>
      </w:r>
    </w:p>
    <w:p>
      <w:pPr>
        <w:pStyle w:val="29"/>
        <w:spacing w:line="0" w:lineRule="atLeast"/>
        <w:ind w:firstLineChars="200"/>
        <w:rPr>
          <w:rFonts w:hint="eastAsia" w:ascii="宋体" w:hAnsi="宋体" w:eastAsia="宋体" w:cs="宋体"/>
          <w:kern w:val="2"/>
        </w:rPr>
      </w:pPr>
      <w:r>
        <w:rPr>
          <w:rFonts w:hint="eastAsia" w:ascii="宋体" w:hAnsi="宋体" w:eastAsia="宋体" w:cs="宋体"/>
          <w:kern w:val="2"/>
        </w:rPr>
        <w:t>2、残疾人福利单位价格扣除</w:t>
      </w:r>
    </w:p>
    <w:p>
      <w:pPr>
        <w:pStyle w:val="29"/>
        <w:spacing w:line="0" w:lineRule="atLeast"/>
        <w:ind w:left="120" w:leftChars="57" w:firstLine="360" w:firstLineChars="150"/>
        <w:rPr>
          <w:rFonts w:hint="eastAsia" w:ascii="宋体" w:hAnsi="宋体" w:eastAsia="宋体" w:cs="宋体"/>
          <w:kern w:val="2"/>
        </w:rPr>
      </w:pPr>
      <w:r>
        <w:rPr>
          <w:rFonts w:hint="eastAsia" w:ascii="宋体" w:hAnsi="宋体" w:eastAsia="宋体" w:cs="宋体"/>
          <w:kern w:val="2"/>
        </w:rPr>
        <w:t>（1）本项目对残疾人福利性单位视同小型、微型企业，给予</w:t>
      </w:r>
      <w:r>
        <w:rPr>
          <w:rFonts w:hint="eastAsia" w:ascii="宋体" w:hAnsi="宋体" w:eastAsia="宋体" w:cs="宋体"/>
          <w:kern w:val="2"/>
          <w:highlight w:val="yellow"/>
          <w:lang w:val="en-US" w:eastAsia="zh-CN"/>
        </w:rPr>
        <w:t>20</w:t>
      </w:r>
      <w:r>
        <w:rPr>
          <w:rFonts w:hint="eastAsia" w:ascii="宋体" w:hAnsi="宋体" w:eastAsia="宋体" w:cs="宋体"/>
          <w:kern w:val="2"/>
          <w:highlight w:val="yellow"/>
        </w:rPr>
        <w:t>%</w:t>
      </w:r>
      <w:r>
        <w:rPr>
          <w:rFonts w:hint="eastAsia" w:ascii="宋体" w:hAnsi="宋体" w:eastAsia="宋体" w:cs="宋体"/>
          <w:kern w:val="2"/>
        </w:rPr>
        <w:t>的价格扣除，用扣除后的价格参与评审。</w:t>
      </w:r>
    </w:p>
    <w:p>
      <w:pPr>
        <w:pStyle w:val="29"/>
        <w:spacing w:line="0" w:lineRule="atLeast"/>
        <w:ind w:left="120" w:leftChars="57" w:firstLine="360" w:firstLineChars="150"/>
        <w:rPr>
          <w:rFonts w:hint="eastAsia" w:ascii="宋体" w:hAnsi="宋体" w:eastAsia="宋体" w:cs="宋体"/>
          <w:kern w:val="2"/>
        </w:rPr>
      </w:pPr>
      <w:r>
        <w:rPr>
          <w:rFonts w:hint="eastAsia" w:ascii="宋体" w:hAnsi="宋体" w:eastAsia="宋体" w:cs="宋体"/>
          <w:kern w:val="2"/>
        </w:rPr>
        <w:t>（2）残疾人福利单位需按照采购文件的要求提供《残疾人福利性单位声明函》。</w:t>
      </w:r>
    </w:p>
    <w:p>
      <w:pPr>
        <w:pStyle w:val="29"/>
        <w:spacing w:line="0" w:lineRule="atLeast"/>
        <w:ind w:left="120" w:leftChars="57" w:firstLine="360" w:firstLineChars="150"/>
        <w:rPr>
          <w:rFonts w:hint="eastAsia" w:ascii="宋体" w:hAnsi="宋体" w:eastAsia="宋体" w:cs="宋体"/>
          <w:kern w:val="2"/>
        </w:rPr>
      </w:pPr>
      <w:r>
        <w:rPr>
          <w:rFonts w:hint="eastAsia" w:ascii="宋体" w:hAnsi="宋体" w:eastAsia="宋体" w:cs="宋体"/>
          <w:kern w:val="2"/>
        </w:rPr>
        <w:t>（3）残疾人福利单位标准请参照《关于促进残疾人就业政府采购政策的通知》（财库〔2017〕141号）。</w:t>
      </w:r>
    </w:p>
    <w:p>
      <w:pPr>
        <w:pStyle w:val="29"/>
        <w:spacing w:line="0" w:lineRule="atLeast"/>
        <w:ind w:firstLineChars="200"/>
        <w:rPr>
          <w:rFonts w:hint="eastAsia" w:ascii="宋体" w:hAnsi="宋体" w:eastAsia="宋体" w:cs="宋体"/>
          <w:kern w:val="2"/>
        </w:rPr>
      </w:pPr>
      <w:r>
        <w:rPr>
          <w:rFonts w:hint="eastAsia" w:ascii="宋体" w:hAnsi="宋体" w:eastAsia="宋体" w:cs="宋体"/>
          <w:kern w:val="2"/>
        </w:rPr>
        <w:t>3、监狱和戒毒企业价格扣除</w:t>
      </w:r>
    </w:p>
    <w:p>
      <w:pPr>
        <w:pStyle w:val="29"/>
        <w:spacing w:line="0" w:lineRule="atLeast"/>
        <w:ind w:firstLineChars="200"/>
        <w:rPr>
          <w:rFonts w:hint="eastAsia" w:ascii="宋体" w:hAnsi="宋体" w:eastAsia="宋体" w:cs="宋体"/>
          <w:kern w:val="2"/>
        </w:rPr>
      </w:pPr>
      <w:r>
        <w:rPr>
          <w:rFonts w:hint="eastAsia" w:ascii="宋体" w:hAnsi="宋体" w:eastAsia="宋体" w:cs="宋体"/>
          <w:kern w:val="2"/>
        </w:rPr>
        <w:t>（1）本项目对监狱和戒毒企业（简称监狱企业）视同小型、微型企业，给予</w:t>
      </w:r>
      <w:r>
        <w:rPr>
          <w:rFonts w:hint="eastAsia" w:ascii="宋体" w:hAnsi="宋体" w:eastAsia="宋体" w:cs="宋体"/>
          <w:kern w:val="2"/>
          <w:highlight w:val="yellow"/>
          <w:lang w:val="en-US" w:eastAsia="zh-CN"/>
        </w:rPr>
        <w:t>20</w:t>
      </w:r>
      <w:r>
        <w:rPr>
          <w:rFonts w:hint="eastAsia" w:ascii="宋体" w:hAnsi="宋体" w:eastAsia="宋体" w:cs="宋体"/>
          <w:kern w:val="2"/>
          <w:highlight w:val="yellow"/>
        </w:rPr>
        <w:t>%</w:t>
      </w:r>
      <w:r>
        <w:rPr>
          <w:rFonts w:hint="eastAsia" w:ascii="宋体" w:hAnsi="宋体" w:eastAsia="宋体" w:cs="宋体"/>
          <w:kern w:val="2"/>
        </w:rPr>
        <w:t>的价格扣除，用扣除后的价格参与评审。</w:t>
      </w:r>
    </w:p>
    <w:p>
      <w:pPr>
        <w:pStyle w:val="29"/>
        <w:spacing w:line="0" w:lineRule="atLeast"/>
        <w:ind w:firstLineChars="200"/>
        <w:rPr>
          <w:rFonts w:hint="eastAsia" w:ascii="宋体" w:hAnsi="宋体" w:eastAsia="宋体" w:cs="宋体"/>
          <w:kern w:val="2"/>
        </w:rPr>
      </w:pPr>
      <w:r>
        <w:rPr>
          <w:rFonts w:hint="eastAsia" w:ascii="宋体" w:hAnsi="宋体" w:eastAsia="宋体" w:cs="宋体"/>
          <w:kern w:val="2"/>
        </w:rPr>
        <w:t>（2）监狱企业参加政府采购活动时，需提供由省级以上监狱管理局、戒毒管理局(含新疆生产建设兵团)出具的属于监狱企业的证明文件。</w:t>
      </w:r>
      <w:r>
        <w:rPr>
          <w:rFonts w:hint="eastAsia" w:ascii="宋体" w:hAnsi="宋体" w:eastAsia="宋体" w:cs="宋体"/>
        </w:rPr>
        <w:t>供应商如不提供上述证明文件，价格将不做相应扣除</w:t>
      </w:r>
      <w:r>
        <w:rPr>
          <w:rFonts w:hint="eastAsia" w:ascii="宋体" w:hAnsi="宋体" w:eastAsia="宋体" w:cs="宋体"/>
          <w:kern w:val="2"/>
        </w:rPr>
        <w:t>。</w:t>
      </w:r>
    </w:p>
    <w:p>
      <w:pPr>
        <w:pStyle w:val="29"/>
        <w:spacing w:line="0" w:lineRule="atLeast"/>
        <w:ind w:firstLineChars="200"/>
        <w:rPr>
          <w:rFonts w:hint="eastAsia" w:ascii="宋体" w:hAnsi="宋体" w:eastAsia="宋体" w:cs="宋体"/>
          <w:kern w:val="2"/>
        </w:rPr>
      </w:pPr>
      <w:r>
        <w:rPr>
          <w:rFonts w:hint="eastAsia" w:ascii="宋体" w:hAnsi="宋体" w:eastAsia="宋体" w:cs="宋体"/>
          <w:kern w:val="2"/>
        </w:rPr>
        <w:t>（3）监狱企业标准请参照《关于政府采购支持监狱企业发展有关问题的通知》（财库[2014]68号）。</w:t>
      </w:r>
    </w:p>
    <w:p>
      <w:pPr>
        <w:pStyle w:val="29"/>
        <w:spacing w:line="400" w:lineRule="exact"/>
        <w:ind w:firstLineChars="200"/>
        <w:rPr>
          <w:rFonts w:hint="eastAsia" w:ascii="宋体" w:hAnsi="宋体" w:eastAsia="宋体" w:cs="宋体"/>
          <w:kern w:val="2"/>
        </w:rPr>
      </w:pPr>
      <w:r>
        <w:rPr>
          <w:rFonts w:hint="eastAsia" w:ascii="宋体" w:hAnsi="宋体" w:eastAsia="宋体" w:cs="宋体"/>
          <w:kern w:val="2"/>
        </w:rPr>
        <w:t>4、小微型企业</w:t>
      </w:r>
      <w:r>
        <w:rPr>
          <w:rFonts w:hint="eastAsia" w:ascii="宋体" w:hAnsi="宋体" w:eastAsia="宋体" w:cs="宋体"/>
          <w:kern w:val="2"/>
          <w:lang w:eastAsia="zh-CN"/>
        </w:rPr>
        <w:t>、</w:t>
      </w:r>
      <w:r>
        <w:rPr>
          <w:rFonts w:hint="eastAsia" w:ascii="宋体" w:hAnsi="宋体" w:eastAsia="宋体" w:cs="宋体"/>
          <w:kern w:val="2"/>
        </w:rPr>
        <w:t>残疾人福利单位、监狱企业属于小型、微型企业的，不重复享受政策。</w:t>
      </w:r>
    </w:p>
    <w:p>
      <w:pPr>
        <w:pStyle w:val="29"/>
        <w:spacing w:line="0" w:lineRule="atLeast"/>
        <w:ind w:firstLine="482" w:firstLineChars="200"/>
        <w:rPr>
          <w:rFonts w:hint="eastAsia" w:ascii="宋体" w:hAnsi="宋体" w:eastAsia="宋体" w:cs="宋体"/>
          <w:b/>
          <w:kern w:val="2"/>
          <w:highlight w:val="yellow"/>
        </w:rPr>
      </w:pPr>
      <w:r>
        <w:rPr>
          <w:rFonts w:hint="eastAsia" w:ascii="宋体" w:hAnsi="宋体" w:eastAsia="宋体" w:cs="宋体"/>
          <w:b/>
          <w:kern w:val="2"/>
          <w:lang w:val="en-US" w:eastAsia="zh-CN"/>
        </w:rPr>
        <w:t>二、</w:t>
      </w:r>
      <w:r>
        <w:rPr>
          <w:rFonts w:hint="eastAsia" w:ascii="宋体" w:hAnsi="宋体" w:eastAsia="宋体" w:cs="宋体"/>
          <w:b/>
          <w:kern w:val="2"/>
        </w:rPr>
        <w:t>评标标准</w:t>
      </w:r>
    </w:p>
    <w:p>
      <w:pPr>
        <w:pStyle w:val="7"/>
        <w:bidi w:val="0"/>
        <w:spacing w:line="360" w:lineRule="auto"/>
        <w:rPr>
          <w:rFonts w:hint="default" w:cs="Times New Roman"/>
          <w:b/>
          <w:sz w:val="32"/>
          <w:szCs w:val="22"/>
          <w:lang w:val="en-US" w:eastAsia="zh-CN"/>
        </w:rPr>
      </w:pPr>
      <w:r>
        <w:rPr>
          <w:rFonts w:hint="eastAsia" w:cs="Times New Roman"/>
          <w:b/>
          <w:sz w:val="32"/>
          <w:szCs w:val="22"/>
          <w:lang w:val="en-US" w:eastAsia="zh-CN"/>
        </w:rPr>
        <w:t>评分表</w:t>
      </w:r>
    </w:p>
    <w:tbl>
      <w:tblPr>
        <w:tblStyle w:val="23"/>
        <w:tblW w:w="8519"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7"/>
        <w:gridCol w:w="1297"/>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noWrap w:val="0"/>
            <w:tcMar>
              <w:top w:w="0" w:type="dxa"/>
              <w:left w:w="108" w:type="dxa"/>
              <w:bottom w:w="0" w:type="dxa"/>
              <w:right w:w="108" w:type="dxa"/>
            </w:tcMar>
            <w:vAlign w:val="center"/>
          </w:tcPr>
          <w:p>
            <w:pPr>
              <w:bidi w:val="0"/>
              <w:spacing w:line="360" w:lineRule="auto"/>
              <w:jc w:val="center"/>
              <w:rPr>
                <w:rFonts w:hint="eastAsia"/>
                <w:sz w:val="24"/>
                <w:szCs w:val="24"/>
              </w:rPr>
            </w:pPr>
            <w:r>
              <w:rPr>
                <w:rFonts w:hint="eastAsia"/>
                <w:sz w:val="24"/>
                <w:szCs w:val="24"/>
              </w:rPr>
              <w:t>评分项目</w:t>
            </w:r>
          </w:p>
        </w:tc>
        <w:tc>
          <w:tcPr>
            <w:tcW w:w="7212" w:type="dxa"/>
            <w:gridSpan w:val="2"/>
            <w:noWrap w:val="0"/>
            <w:tcMar>
              <w:top w:w="0" w:type="dxa"/>
              <w:left w:w="108" w:type="dxa"/>
              <w:bottom w:w="0" w:type="dxa"/>
              <w:right w:w="108" w:type="dxa"/>
            </w:tcMar>
            <w:vAlign w:val="center"/>
          </w:tcPr>
          <w:p>
            <w:pPr>
              <w:bidi w:val="0"/>
              <w:spacing w:line="360" w:lineRule="auto"/>
              <w:jc w:val="center"/>
              <w:rPr>
                <w:rFonts w:hint="eastAsia"/>
                <w:sz w:val="24"/>
                <w:szCs w:val="24"/>
              </w:rPr>
            </w:pPr>
            <w:r>
              <w:rPr>
                <w:rFonts w:hint="eastAsia"/>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noWrap w:val="0"/>
            <w:tcMar>
              <w:top w:w="0" w:type="dxa"/>
              <w:left w:w="108" w:type="dxa"/>
              <w:bottom w:w="0" w:type="dxa"/>
              <w:right w:w="108" w:type="dxa"/>
            </w:tcMar>
            <w:vAlign w:val="center"/>
          </w:tcPr>
          <w:p>
            <w:pPr>
              <w:bidi w:val="0"/>
              <w:spacing w:line="360" w:lineRule="auto"/>
              <w:jc w:val="center"/>
              <w:rPr>
                <w:rFonts w:hint="eastAsia"/>
                <w:sz w:val="24"/>
                <w:szCs w:val="24"/>
                <w:lang w:eastAsia="zh-CN"/>
              </w:rPr>
            </w:pPr>
            <w:r>
              <w:rPr>
                <w:rFonts w:hint="eastAsia"/>
                <w:sz w:val="24"/>
                <w:szCs w:val="24"/>
              </w:rPr>
              <w:t>价格因素分</w:t>
            </w:r>
            <w:r>
              <w:rPr>
                <w:rFonts w:hint="eastAsia"/>
                <w:sz w:val="24"/>
                <w:szCs w:val="24"/>
                <w:lang w:eastAsia="zh-CN"/>
              </w:rPr>
              <w:t>（</w:t>
            </w:r>
            <w:r>
              <w:rPr>
                <w:rFonts w:hint="eastAsia"/>
                <w:sz w:val="24"/>
                <w:szCs w:val="24"/>
                <w:lang w:val="en-US" w:eastAsia="zh-CN"/>
              </w:rPr>
              <w:t>20</w:t>
            </w:r>
            <w:r>
              <w:rPr>
                <w:rFonts w:hint="eastAsia"/>
                <w:sz w:val="24"/>
                <w:szCs w:val="24"/>
              </w:rPr>
              <w:t>分</w:t>
            </w:r>
            <w:r>
              <w:rPr>
                <w:rFonts w:hint="eastAsia"/>
                <w:sz w:val="24"/>
                <w:szCs w:val="24"/>
                <w:lang w:eastAsia="zh-CN"/>
              </w:rPr>
              <w:t>）</w:t>
            </w:r>
          </w:p>
        </w:tc>
        <w:tc>
          <w:tcPr>
            <w:tcW w:w="1297" w:type="dxa"/>
            <w:noWrap w:val="0"/>
            <w:tcMar>
              <w:top w:w="0" w:type="dxa"/>
              <w:left w:w="108" w:type="dxa"/>
              <w:bottom w:w="0" w:type="dxa"/>
              <w:right w:w="108" w:type="dxa"/>
            </w:tcMar>
            <w:vAlign w:val="center"/>
          </w:tcPr>
          <w:p>
            <w:pPr>
              <w:bidi w:val="0"/>
              <w:spacing w:line="360" w:lineRule="auto"/>
              <w:jc w:val="center"/>
              <w:rPr>
                <w:rFonts w:hint="eastAsia"/>
                <w:sz w:val="24"/>
                <w:szCs w:val="24"/>
              </w:rPr>
            </w:pPr>
            <w:r>
              <w:rPr>
                <w:rFonts w:hint="eastAsia"/>
                <w:sz w:val="24"/>
                <w:szCs w:val="24"/>
                <w:lang w:val="en-US" w:eastAsia="zh-CN"/>
              </w:rPr>
              <w:t>20</w:t>
            </w:r>
            <w:r>
              <w:rPr>
                <w:rFonts w:hint="eastAsia"/>
                <w:sz w:val="24"/>
                <w:szCs w:val="24"/>
              </w:rPr>
              <w:t>分</w:t>
            </w:r>
          </w:p>
        </w:tc>
        <w:tc>
          <w:tcPr>
            <w:tcW w:w="5915" w:type="dxa"/>
            <w:noWrap w:val="0"/>
            <w:tcMar>
              <w:top w:w="0" w:type="dxa"/>
              <w:left w:w="108" w:type="dxa"/>
              <w:bottom w:w="0" w:type="dxa"/>
              <w:right w:w="108" w:type="dxa"/>
            </w:tcMar>
            <w:vAlign w:val="center"/>
          </w:tcPr>
          <w:p>
            <w:pPr>
              <w:bidi w:val="0"/>
              <w:spacing w:line="360" w:lineRule="auto"/>
              <w:jc w:val="both"/>
              <w:rPr>
                <w:rFonts w:hint="eastAsia"/>
                <w:sz w:val="24"/>
                <w:szCs w:val="24"/>
              </w:rPr>
            </w:pPr>
            <w:r>
              <w:rPr>
                <w:rFonts w:hint="eastAsia"/>
                <w:sz w:val="24"/>
                <w:szCs w:val="24"/>
              </w:rPr>
              <w:t>报价得分：以按照竞争性磋商文件规定修正后的所有合格</w:t>
            </w:r>
            <w:r>
              <w:rPr>
                <w:rFonts w:hint="eastAsia"/>
                <w:sz w:val="24"/>
                <w:szCs w:val="24"/>
                <w:lang w:eastAsia="zh-CN"/>
              </w:rPr>
              <w:t>供应商</w:t>
            </w:r>
            <w:r>
              <w:rPr>
                <w:rFonts w:hint="eastAsia"/>
                <w:sz w:val="24"/>
                <w:szCs w:val="24"/>
              </w:rPr>
              <w:t>的评标价的最低价作为评分基准价。</w:t>
            </w:r>
            <w:r>
              <w:rPr>
                <w:rFonts w:hint="eastAsia"/>
                <w:sz w:val="24"/>
                <w:szCs w:val="24"/>
                <w:lang w:eastAsia="zh-CN"/>
              </w:rPr>
              <w:t>供应商</w:t>
            </w:r>
            <w:r>
              <w:rPr>
                <w:rFonts w:hint="eastAsia"/>
                <w:sz w:val="24"/>
                <w:szCs w:val="24"/>
              </w:rPr>
              <w:t>的价格分按下式计算：价格分=（评分基准价/评标价）×</w:t>
            </w:r>
            <w:r>
              <w:rPr>
                <w:rFonts w:hint="eastAsia"/>
                <w:sz w:val="24"/>
                <w:szCs w:val="24"/>
                <w:lang w:val="en-US" w:eastAsia="zh-CN"/>
              </w:rPr>
              <w:t>20</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restart"/>
            <w:noWrap w:val="0"/>
            <w:tcMar>
              <w:top w:w="0" w:type="dxa"/>
              <w:left w:w="108" w:type="dxa"/>
              <w:bottom w:w="0" w:type="dxa"/>
              <w:right w:w="108" w:type="dxa"/>
            </w:tcMar>
            <w:vAlign w:val="center"/>
          </w:tcPr>
          <w:p>
            <w:pPr>
              <w:bidi w:val="0"/>
              <w:spacing w:line="360" w:lineRule="auto"/>
              <w:jc w:val="center"/>
              <w:rPr>
                <w:rFonts w:hint="eastAsia"/>
                <w:sz w:val="24"/>
                <w:szCs w:val="24"/>
                <w:lang w:eastAsia="zh-CN"/>
              </w:rPr>
            </w:pPr>
            <w:r>
              <w:rPr>
                <w:rFonts w:hint="eastAsia"/>
                <w:sz w:val="24"/>
                <w:szCs w:val="24"/>
              </w:rPr>
              <w:t>商务因素分</w:t>
            </w:r>
            <w:r>
              <w:rPr>
                <w:rFonts w:hint="eastAsia"/>
                <w:sz w:val="24"/>
                <w:szCs w:val="24"/>
                <w:lang w:eastAsia="zh-CN"/>
              </w:rPr>
              <w:t>（</w:t>
            </w:r>
            <w:r>
              <w:rPr>
                <w:rFonts w:hint="eastAsia"/>
                <w:sz w:val="24"/>
                <w:szCs w:val="24"/>
                <w:lang w:val="en-US" w:eastAsia="zh-CN"/>
              </w:rPr>
              <w:t>12</w:t>
            </w:r>
            <w:r>
              <w:rPr>
                <w:rFonts w:hint="eastAsia"/>
                <w:sz w:val="24"/>
                <w:szCs w:val="24"/>
              </w:rPr>
              <w:t>分</w:t>
            </w:r>
            <w:r>
              <w:rPr>
                <w:rFonts w:hint="eastAsia"/>
                <w:sz w:val="24"/>
                <w:szCs w:val="24"/>
                <w:lang w:eastAsia="zh-CN"/>
              </w:rPr>
              <w:t>）</w:t>
            </w:r>
          </w:p>
        </w:tc>
        <w:tc>
          <w:tcPr>
            <w:tcW w:w="1297" w:type="dxa"/>
            <w:noWrap w:val="0"/>
            <w:tcMar>
              <w:top w:w="0" w:type="dxa"/>
              <w:left w:w="108" w:type="dxa"/>
              <w:bottom w:w="0" w:type="dxa"/>
              <w:right w:w="108" w:type="dxa"/>
            </w:tcMar>
            <w:vAlign w:val="center"/>
          </w:tcPr>
          <w:p>
            <w:pPr>
              <w:bidi w:val="0"/>
              <w:spacing w:line="360" w:lineRule="auto"/>
              <w:jc w:val="center"/>
              <w:rPr>
                <w:rFonts w:hint="eastAsia"/>
                <w:sz w:val="24"/>
                <w:szCs w:val="24"/>
              </w:rPr>
            </w:pPr>
            <w:r>
              <w:rPr>
                <w:rFonts w:hint="eastAsia"/>
                <w:sz w:val="24"/>
                <w:szCs w:val="24"/>
                <w:lang w:val="en-US" w:eastAsia="zh-CN"/>
              </w:rPr>
              <w:t>投标人实力（满分2分）</w:t>
            </w:r>
          </w:p>
        </w:tc>
        <w:tc>
          <w:tcPr>
            <w:tcW w:w="5915" w:type="dxa"/>
            <w:noWrap w:val="0"/>
            <w:tcMar>
              <w:top w:w="0" w:type="dxa"/>
              <w:left w:w="108" w:type="dxa"/>
              <w:bottom w:w="0" w:type="dxa"/>
              <w:right w:w="108" w:type="dxa"/>
            </w:tcMar>
            <w:vAlign w:val="center"/>
          </w:tcPr>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en-US" w:eastAsia="zh-CN"/>
              </w:rPr>
              <w:t>投标人具有行业主管部门颁发的电子与智能化工程专业承包二级资质证书得2分；</w:t>
            </w:r>
          </w:p>
          <w:p>
            <w:pPr>
              <w:bidi w:val="0"/>
              <w:spacing w:line="360" w:lineRule="auto"/>
              <w:jc w:val="both"/>
              <w:rPr>
                <w:rFonts w:hint="eastAsia"/>
                <w:color w:val="auto"/>
                <w:sz w:val="24"/>
                <w:szCs w:val="24"/>
                <w:lang w:val="en-US" w:eastAsia="zh-CN"/>
              </w:rPr>
            </w:pPr>
            <w:r>
              <w:rPr>
                <w:rFonts w:hint="eastAsia" w:cs="Times New Roman"/>
                <w:color w:val="auto"/>
                <w:sz w:val="24"/>
                <w:szCs w:val="24"/>
                <w:lang w:val="en-US" w:eastAsia="zh-CN"/>
              </w:rPr>
              <w:t>注：投标人需在投标文件中提供有效期内的证书复印件并加盖投标人公章，不提供不得分。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sz w:val="24"/>
                <w:szCs w:val="24"/>
                <w:lang w:val="en-US" w:eastAsia="zh-CN"/>
              </w:rPr>
            </w:pPr>
            <w:r>
              <w:rPr>
                <w:rFonts w:hint="eastAsia"/>
                <w:sz w:val="24"/>
                <w:szCs w:val="24"/>
                <w:lang w:val="en-US" w:eastAsia="zh-CN"/>
              </w:rPr>
              <w:t>项目人员配备（满分6分）</w:t>
            </w:r>
          </w:p>
        </w:tc>
        <w:tc>
          <w:tcPr>
            <w:tcW w:w="5915" w:type="dxa"/>
            <w:noWrap w:val="0"/>
            <w:tcMar>
              <w:top w:w="0" w:type="dxa"/>
              <w:left w:w="108" w:type="dxa"/>
              <w:bottom w:w="0" w:type="dxa"/>
              <w:right w:w="108" w:type="dxa"/>
            </w:tcMar>
            <w:vAlign w:val="center"/>
          </w:tcPr>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en-US" w:eastAsia="zh-CN"/>
              </w:rPr>
              <w:t>（1）项目负责人具备行业主管部门颁发的系统架构设计师证书、信息系统项目管理师证书复印件，每提供一项证书得1分，满分2分；</w:t>
            </w:r>
          </w:p>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en-US" w:eastAsia="zh-CN"/>
              </w:rPr>
              <w:t>（2）项目团队中的技术人员（不包含项目负责人）具备行政部门颁发的系统架构设计师证书或信息系统项目管理师证书，以上证书每提供1人得1分，最高得4分。</w:t>
            </w:r>
          </w:p>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en-US" w:eastAsia="zh-CN"/>
              </w:rPr>
              <w:t>注：投标人需在投标文件中提供有效期内的证书复印件并加盖投标人公章，不提供不得分。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sz w:val="24"/>
                <w:szCs w:val="24"/>
                <w:lang w:val="en-US" w:eastAsia="zh-CN"/>
              </w:rPr>
            </w:pPr>
            <w:r>
              <w:rPr>
                <w:rFonts w:hint="eastAsia"/>
                <w:sz w:val="24"/>
                <w:szCs w:val="24"/>
                <w:lang w:val="en-US" w:eastAsia="zh-CN"/>
              </w:rPr>
              <w:t>投标人业绩（满分4分）</w:t>
            </w:r>
          </w:p>
        </w:tc>
        <w:tc>
          <w:tcPr>
            <w:tcW w:w="5915" w:type="dxa"/>
            <w:noWrap w:val="0"/>
            <w:tcMar>
              <w:top w:w="0" w:type="dxa"/>
              <w:left w:w="108" w:type="dxa"/>
              <w:bottom w:w="0" w:type="dxa"/>
              <w:right w:w="108" w:type="dxa"/>
            </w:tcMar>
            <w:vAlign w:val="center"/>
          </w:tcPr>
          <w:p>
            <w:pPr>
              <w:bidi w:val="0"/>
              <w:spacing w:line="360" w:lineRule="auto"/>
              <w:jc w:val="both"/>
              <w:rPr>
                <w:rFonts w:hint="eastAsia"/>
                <w:color w:val="auto"/>
                <w:sz w:val="24"/>
                <w:szCs w:val="24"/>
                <w:lang w:eastAsia="zh-CN"/>
              </w:rPr>
            </w:pPr>
            <w:r>
              <w:rPr>
                <w:rFonts w:hint="eastAsia" w:cs="Times New Roman"/>
                <w:color w:val="auto"/>
                <w:sz w:val="24"/>
                <w:szCs w:val="24"/>
                <w:lang w:val="en-US" w:eastAsia="zh-CN"/>
              </w:rPr>
              <w:t>投标人</w:t>
            </w:r>
            <w:r>
              <w:rPr>
                <w:rFonts w:hint="eastAsia"/>
                <w:color w:val="auto"/>
                <w:sz w:val="24"/>
                <w:szCs w:val="24"/>
                <w:lang w:eastAsia="zh-CN"/>
              </w:rPr>
              <w:t>提供202</w:t>
            </w:r>
            <w:r>
              <w:rPr>
                <w:rFonts w:hint="eastAsia"/>
                <w:color w:val="auto"/>
                <w:sz w:val="24"/>
                <w:szCs w:val="24"/>
                <w:lang w:val="en-US" w:eastAsia="zh-CN"/>
              </w:rPr>
              <w:t>0</w:t>
            </w:r>
            <w:r>
              <w:rPr>
                <w:rFonts w:hint="eastAsia"/>
                <w:color w:val="auto"/>
                <w:sz w:val="24"/>
                <w:szCs w:val="24"/>
                <w:lang w:eastAsia="zh-CN"/>
              </w:rPr>
              <w:t>年至今</w:t>
            </w:r>
            <w:r>
              <w:rPr>
                <w:rFonts w:hint="eastAsia"/>
                <w:color w:val="auto"/>
                <w:sz w:val="24"/>
                <w:szCs w:val="24"/>
                <w:lang w:val="en-US" w:eastAsia="zh-CN"/>
              </w:rPr>
              <w:t>承揽</w:t>
            </w:r>
            <w:r>
              <w:rPr>
                <w:rFonts w:hint="eastAsia"/>
                <w:color w:val="auto"/>
                <w:sz w:val="24"/>
                <w:szCs w:val="24"/>
                <w:lang w:eastAsia="zh-CN"/>
              </w:rPr>
              <w:t>过</w:t>
            </w:r>
            <w:r>
              <w:rPr>
                <w:rFonts w:hint="eastAsia"/>
                <w:color w:val="auto"/>
                <w:sz w:val="24"/>
                <w:szCs w:val="24"/>
                <w:lang w:val="en-US" w:eastAsia="zh-CN"/>
              </w:rPr>
              <w:t>的</w:t>
            </w:r>
            <w:r>
              <w:rPr>
                <w:rFonts w:hint="eastAsia"/>
                <w:color w:val="auto"/>
                <w:sz w:val="24"/>
                <w:szCs w:val="24"/>
                <w:lang w:eastAsia="zh-CN"/>
              </w:rPr>
              <w:t>类似</w:t>
            </w:r>
            <w:r>
              <w:rPr>
                <w:rFonts w:hint="eastAsia"/>
                <w:color w:val="auto"/>
                <w:sz w:val="24"/>
                <w:szCs w:val="24"/>
                <w:lang w:val="en-US" w:eastAsia="zh-CN"/>
              </w:rPr>
              <w:t>项目</w:t>
            </w:r>
            <w:r>
              <w:rPr>
                <w:rFonts w:hint="eastAsia"/>
                <w:color w:val="auto"/>
                <w:sz w:val="24"/>
                <w:szCs w:val="24"/>
                <w:lang w:eastAsia="zh-CN"/>
              </w:rPr>
              <w:t>业绩，</w:t>
            </w:r>
            <w:r>
              <w:rPr>
                <w:rFonts w:hint="eastAsia"/>
                <w:color w:val="auto"/>
                <w:sz w:val="24"/>
                <w:szCs w:val="24"/>
                <w:lang w:val="en-US" w:eastAsia="zh-CN"/>
              </w:rPr>
              <w:t>每</w:t>
            </w:r>
            <w:r>
              <w:rPr>
                <w:rFonts w:hint="eastAsia"/>
                <w:color w:val="auto"/>
                <w:sz w:val="24"/>
                <w:szCs w:val="24"/>
                <w:lang w:eastAsia="zh-CN"/>
              </w:rPr>
              <w:t>提供</w:t>
            </w:r>
            <w:r>
              <w:rPr>
                <w:rFonts w:hint="eastAsia"/>
                <w:color w:val="auto"/>
                <w:sz w:val="24"/>
                <w:szCs w:val="24"/>
                <w:lang w:val="en-US" w:eastAsia="zh-CN"/>
              </w:rPr>
              <w:t>1项业绩</w:t>
            </w:r>
            <w:r>
              <w:rPr>
                <w:rFonts w:hint="eastAsia"/>
                <w:color w:val="auto"/>
                <w:sz w:val="24"/>
                <w:szCs w:val="24"/>
                <w:lang w:eastAsia="zh-CN"/>
              </w:rPr>
              <w:t>得</w:t>
            </w:r>
            <w:r>
              <w:rPr>
                <w:rFonts w:hint="eastAsia"/>
                <w:color w:val="auto"/>
                <w:sz w:val="24"/>
                <w:szCs w:val="24"/>
                <w:lang w:val="en-US" w:eastAsia="zh-CN"/>
              </w:rPr>
              <w:t>2</w:t>
            </w:r>
            <w:r>
              <w:rPr>
                <w:rFonts w:hint="eastAsia"/>
                <w:color w:val="auto"/>
                <w:sz w:val="24"/>
                <w:szCs w:val="24"/>
                <w:lang w:eastAsia="zh-CN"/>
              </w:rPr>
              <w:t>分，</w:t>
            </w:r>
            <w:r>
              <w:rPr>
                <w:rFonts w:hint="eastAsia"/>
                <w:color w:val="auto"/>
                <w:sz w:val="24"/>
                <w:szCs w:val="24"/>
                <w:lang w:val="en-US" w:eastAsia="zh-CN"/>
              </w:rPr>
              <w:t>最高得4</w:t>
            </w:r>
            <w:r>
              <w:rPr>
                <w:rFonts w:hint="eastAsia"/>
                <w:color w:val="auto"/>
                <w:sz w:val="24"/>
                <w:szCs w:val="24"/>
                <w:lang w:eastAsia="zh-CN"/>
              </w:rPr>
              <w:t>分。</w:t>
            </w:r>
          </w:p>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en-US" w:eastAsia="zh-CN"/>
              </w:rPr>
              <w:t>注：投标人需在投标文件中</w:t>
            </w:r>
            <w:r>
              <w:rPr>
                <w:rFonts w:hint="eastAsia"/>
                <w:color w:val="auto"/>
                <w:sz w:val="24"/>
                <w:szCs w:val="24"/>
                <w:lang w:val="en-US" w:eastAsia="zh-CN"/>
              </w:rPr>
              <w:t>提供中标（成交）通知书或合同做为业绩</w:t>
            </w:r>
            <w:r>
              <w:rPr>
                <w:rFonts w:hint="eastAsia" w:cs="Times New Roman"/>
                <w:color w:val="auto"/>
                <w:sz w:val="24"/>
                <w:szCs w:val="24"/>
                <w:lang w:val="en-US" w:eastAsia="zh-CN"/>
              </w:rPr>
              <w:t>证明材料并加盖投标人公章，不提供不得分。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restart"/>
            <w:noWrap w:val="0"/>
            <w:tcMar>
              <w:top w:w="0" w:type="dxa"/>
              <w:left w:w="108" w:type="dxa"/>
              <w:bottom w:w="0" w:type="dxa"/>
              <w:right w:w="108" w:type="dxa"/>
            </w:tcMar>
            <w:vAlign w:val="center"/>
          </w:tcPr>
          <w:p>
            <w:pPr>
              <w:bidi w:val="0"/>
              <w:spacing w:line="360" w:lineRule="auto"/>
              <w:jc w:val="center"/>
              <w:rPr>
                <w:rFonts w:hint="eastAsia"/>
                <w:sz w:val="24"/>
                <w:szCs w:val="24"/>
                <w:lang w:eastAsia="zh-CN"/>
              </w:rPr>
            </w:pPr>
            <w:r>
              <w:rPr>
                <w:rFonts w:hint="eastAsia"/>
                <w:sz w:val="24"/>
                <w:szCs w:val="24"/>
              </w:rPr>
              <w:t>技术因素分</w:t>
            </w:r>
            <w:r>
              <w:rPr>
                <w:rFonts w:hint="eastAsia"/>
                <w:sz w:val="24"/>
                <w:szCs w:val="24"/>
                <w:lang w:eastAsia="zh-CN"/>
              </w:rPr>
              <w:t>（</w:t>
            </w:r>
            <w:r>
              <w:rPr>
                <w:rFonts w:hint="eastAsia"/>
                <w:sz w:val="24"/>
                <w:szCs w:val="24"/>
                <w:lang w:val="en-US" w:eastAsia="zh-CN"/>
              </w:rPr>
              <w:t>68</w:t>
            </w:r>
            <w:r>
              <w:rPr>
                <w:rFonts w:hint="eastAsia"/>
                <w:sz w:val="24"/>
                <w:szCs w:val="24"/>
              </w:rPr>
              <w:t>分</w:t>
            </w:r>
            <w:r>
              <w:rPr>
                <w:rFonts w:hint="eastAsia"/>
                <w:sz w:val="24"/>
                <w:szCs w:val="24"/>
                <w:lang w:eastAsia="zh-CN"/>
              </w:rPr>
              <w:t>）</w:t>
            </w:r>
          </w:p>
        </w:tc>
        <w:tc>
          <w:tcPr>
            <w:tcW w:w="1297" w:type="dxa"/>
            <w:noWrap w:val="0"/>
            <w:tcMar>
              <w:top w:w="0" w:type="dxa"/>
              <w:left w:w="108" w:type="dxa"/>
              <w:bottom w:w="0" w:type="dxa"/>
              <w:right w:w="108" w:type="dxa"/>
            </w:tcMar>
            <w:vAlign w:val="center"/>
          </w:tcPr>
          <w:p>
            <w:pPr>
              <w:bidi w:val="0"/>
              <w:spacing w:line="360" w:lineRule="auto"/>
              <w:jc w:val="center"/>
              <w:rPr>
                <w:rFonts w:hint="eastAsia" w:cs="Times New Roman"/>
                <w:sz w:val="24"/>
                <w:szCs w:val="24"/>
                <w:lang w:val="en-US" w:eastAsia="zh-CN"/>
              </w:rPr>
            </w:pPr>
            <w:r>
              <w:rPr>
                <w:rFonts w:hint="eastAsia" w:cs="Times New Roman"/>
                <w:sz w:val="24"/>
                <w:szCs w:val="24"/>
                <w:lang w:val="en-US" w:eastAsia="zh-CN"/>
              </w:rPr>
              <w:t>技术参数响应（满分15分）</w:t>
            </w:r>
          </w:p>
        </w:tc>
        <w:tc>
          <w:tcPr>
            <w:tcW w:w="5915" w:type="dxa"/>
            <w:noWrap w:val="0"/>
            <w:tcMar>
              <w:top w:w="0" w:type="dxa"/>
              <w:left w:w="108" w:type="dxa"/>
              <w:bottom w:w="0" w:type="dxa"/>
              <w:right w:w="108" w:type="dxa"/>
            </w:tcMar>
            <w:vAlign w:val="center"/>
          </w:tcPr>
          <w:p>
            <w:pPr>
              <w:bidi w:val="0"/>
              <w:spacing w:line="360" w:lineRule="auto"/>
              <w:jc w:val="both"/>
              <w:rPr>
                <w:rFonts w:hint="default" w:cs="Times New Roman"/>
                <w:color w:val="auto"/>
                <w:sz w:val="24"/>
                <w:szCs w:val="24"/>
                <w:lang w:val="en-US" w:eastAsia="zh-CN"/>
              </w:rPr>
            </w:pPr>
            <w:r>
              <w:rPr>
                <w:rFonts w:hint="eastAsia" w:cs="Times New Roman"/>
                <w:color w:val="auto"/>
                <w:sz w:val="24"/>
                <w:szCs w:val="24"/>
                <w:lang w:val="en-US" w:eastAsia="zh-CN"/>
              </w:rPr>
              <w:t>根据投标人响应程度进行评审，投标人需对技术要求进行逐项响应，低于或无法按要求提供技术要求规定的相应技术指标、参数、要求的，每项扣0.3分，满分15分，扣完为止。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cs="Times New Roman"/>
                <w:sz w:val="24"/>
                <w:szCs w:val="24"/>
                <w:lang w:val="en-US" w:eastAsia="zh-CN"/>
              </w:rPr>
            </w:pPr>
            <w:r>
              <w:rPr>
                <w:rFonts w:hint="eastAsia" w:cs="Times New Roman"/>
                <w:sz w:val="24"/>
                <w:szCs w:val="24"/>
                <w:lang w:val="en-US" w:eastAsia="zh-CN"/>
              </w:rPr>
              <w:t>技术方案（满分17分）</w:t>
            </w:r>
          </w:p>
        </w:tc>
        <w:tc>
          <w:tcPr>
            <w:tcW w:w="5915" w:type="dxa"/>
            <w:noWrap w:val="0"/>
            <w:tcMar>
              <w:top w:w="0" w:type="dxa"/>
              <w:left w:w="108" w:type="dxa"/>
              <w:bottom w:w="0" w:type="dxa"/>
              <w:right w:w="108" w:type="dxa"/>
            </w:tcMar>
            <w:vAlign w:val="center"/>
          </w:tcPr>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eastAsia="zh-CN"/>
              </w:rPr>
              <w:t>投标人提供</w:t>
            </w:r>
            <w:r>
              <w:rPr>
                <w:rFonts w:hint="eastAsia" w:cs="Times New Roman"/>
                <w:color w:val="auto"/>
                <w:sz w:val="24"/>
                <w:szCs w:val="24"/>
                <w:lang w:val="en-US" w:eastAsia="zh-CN"/>
              </w:rPr>
              <w:t>完善的</w:t>
            </w:r>
            <w:r>
              <w:rPr>
                <w:rFonts w:hint="eastAsia" w:cs="Times New Roman"/>
                <w:color w:val="auto"/>
                <w:sz w:val="24"/>
                <w:szCs w:val="24"/>
                <w:lang w:eastAsia="zh-CN"/>
              </w:rPr>
              <w:t>技术方案，包括但不限于</w:t>
            </w:r>
            <w:r>
              <w:rPr>
                <w:rFonts w:hint="eastAsia" w:cs="Times New Roman"/>
                <w:color w:val="auto"/>
                <w:sz w:val="24"/>
                <w:szCs w:val="24"/>
                <w:lang w:val="en-US" w:eastAsia="zh-CN"/>
              </w:rPr>
              <w:t>项目建设背景及目标、项目建设重点和难点、技术</w:t>
            </w:r>
            <w:r>
              <w:rPr>
                <w:rFonts w:hint="eastAsia" w:cs="Times New Roman"/>
                <w:color w:val="auto"/>
                <w:sz w:val="24"/>
                <w:szCs w:val="24"/>
                <w:lang w:eastAsia="zh-CN"/>
              </w:rPr>
              <w:t>实施</w:t>
            </w:r>
            <w:r>
              <w:rPr>
                <w:rFonts w:hint="eastAsia" w:cs="Times New Roman"/>
                <w:color w:val="auto"/>
                <w:sz w:val="24"/>
                <w:szCs w:val="24"/>
                <w:lang w:val="en-US" w:eastAsia="zh-CN"/>
              </w:rPr>
              <w:t>方案、项目验收</w:t>
            </w:r>
            <w:r>
              <w:rPr>
                <w:rFonts w:hint="eastAsia" w:cs="Times New Roman"/>
                <w:color w:val="auto"/>
                <w:sz w:val="24"/>
                <w:szCs w:val="24"/>
                <w:lang w:eastAsia="zh-CN"/>
              </w:rPr>
              <w:t>等内容。</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eastAsia="zh-CN"/>
              </w:rPr>
              <w:t>（1）</w:t>
            </w:r>
            <w:r>
              <w:rPr>
                <w:rFonts w:hint="eastAsia" w:cs="Times New Roman"/>
                <w:color w:val="auto"/>
                <w:sz w:val="24"/>
                <w:szCs w:val="24"/>
                <w:lang w:val="en-US" w:eastAsia="zh-CN"/>
              </w:rPr>
              <w:t>技术</w:t>
            </w:r>
            <w:r>
              <w:rPr>
                <w:rFonts w:hint="eastAsia" w:cs="Times New Roman"/>
                <w:color w:val="auto"/>
                <w:sz w:val="24"/>
                <w:szCs w:val="24"/>
                <w:lang w:eastAsia="zh-CN"/>
              </w:rPr>
              <w:t>方案非常合理，能完全实现采购人</w:t>
            </w:r>
            <w:r>
              <w:rPr>
                <w:rFonts w:hint="eastAsia" w:cs="Times New Roman"/>
                <w:color w:val="auto"/>
                <w:sz w:val="24"/>
                <w:szCs w:val="24"/>
                <w:lang w:val="en-US" w:eastAsia="zh-CN"/>
              </w:rPr>
              <w:t>的</w:t>
            </w:r>
            <w:r>
              <w:rPr>
                <w:rFonts w:hint="eastAsia" w:cs="Times New Roman"/>
                <w:color w:val="auto"/>
                <w:sz w:val="24"/>
                <w:szCs w:val="24"/>
                <w:lang w:eastAsia="zh-CN"/>
              </w:rPr>
              <w:t>要求并还有进一步的优化，技术成熟领先，设备的先进性、可用性及安全性高，系统和设备的兼容性强、操作便捷、技术方案科学合理得满分1</w:t>
            </w:r>
            <w:r>
              <w:rPr>
                <w:rFonts w:hint="eastAsia" w:cs="Times New Roman"/>
                <w:color w:val="auto"/>
                <w:sz w:val="24"/>
                <w:szCs w:val="24"/>
                <w:lang w:val="en-US" w:eastAsia="zh-CN"/>
              </w:rPr>
              <w:t>7</w:t>
            </w:r>
            <w:r>
              <w:rPr>
                <w:rFonts w:hint="eastAsia" w:cs="Times New Roman"/>
                <w:color w:val="auto"/>
                <w:sz w:val="24"/>
                <w:szCs w:val="24"/>
                <w:lang w:eastAsia="zh-CN"/>
              </w:rPr>
              <w:t>分。</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eastAsia="zh-CN"/>
              </w:rPr>
              <w:t>（2）</w:t>
            </w:r>
            <w:r>
              <w:rPr>
                <w:rFonts w:hint="eastAsia" w:cs="Times New Roman"/>
                <w:color w:val="auto"/>
                <w:sz w:val="24"/>
                <w:szCs w:val="24"/>
                <w:lang w:val="en-US" w:eastAsia="zh-CN"/>
              </w:rPr>
              <w:t>技术</w:t>
            </w:r>
            <w:r>
              <w:rPr>
                <w:rFonts w:hint="eastAsia" w:cs="Times New Roman"/>
                <w:color w:val="auto"/>
                <w:sz w:val="24"/>
                <w:szCs w:val="24"/>
                <w:lang w:eastAsia="zh-CN"/>
              </w:rPr>
              <w:t>方案合理，能完全实现采购人</w:t>
            </w:r>
            <w:r>
              <w:rPr>
                <w:rFonts w:hint="eastAsia" w:cs="Times New Roman"/>
                <w:color w:val="auto"/>
                <w:sz w:val="24"/>
                <w:szCs w:val="24"/>
                <w:lang w:val="en-US" w:eastAsia="zh-CN"/>
              </w:rPr>
              <w:t>的</w:t>
            </w:r>
            <w:r>
              <w:rPr>
                <w:rFonts w:hint="eastAsia" w:cs="Times New Roman"/>
                <w:color w:val="auto"/>
                <w:sz w:val="24"/>
                <w:szCs w:val="24"/>
                <w:lang w:eastAsia="zh-CN"/>
              </w:rPr>
              <w:t>要求，技术成熟、设备的先进性、可用性及安全性较高，系统和设备的兼容性较强、操作便捷、技术方案科学合理得1</w:t>
            </w:r>
            <w:r>
              <w:rPr>
                <w:rFonts w:hint="eastAsia" w:cs="Times New Roman"/>
                <w:color w:val="auto"/>
                <w:sz w:val="24"/>
                <w:szCs w:val="24"/>
                <w:lang w:val="en-US" w:eastAsia="zh-CN"/>
              </w:rPr>
              <w:t>4</w:t>
            </w:r>
            <w:r>
              <w:rPr>
                <w:rFonts w:hint="eastAsia" w:cs="Times New Roman"/>
                <w:color w:val="auto"/>
                <w:sz w:val="24"/>
                <w:szCs w:val="24"/>
                <w:lang w:eastAsia="zh-CN"/>
              </w:rPr>
              <w:t>分。</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eastAsia="zh-CN"/>
              </w:rPr>
              <w:t>（3）</w:t>
            </w:r>
            <w:r>
              <w:rPr>
                <w:rFonts w:hint="eastAsia" w:cs="Times New Roman"/>
                <w:color w:val="auto"/>
                <w:sz w:val="24"/>
                <w:szCs w:val="24"/>
                <w:lang w:val="en-US" w:eastAsia="zh-CN"/>
              </w:rPr>
              <w:t>技术</w:t>
            </w:r>
            <w:r>
              <w:rPr>
                <w:rFonts w:hint="eastAsia" w:cs="Times New Roman"/>
                <w:color w:val="auto"/>
                <w:sz w:val="24"/>
                <w:szCs w:val="24"/>
                <w:lang w:eastAsia="zh-CN"/>
              </w:rPr>
              <w:t>方案满足招标主要要求，能实现采购人</w:t>
            </w:r>
            <w:r>
              <w:rPr>
                <w:rFonts w:hint="eastAsia" w:cs="Times New Roman"/>
                <w:color w:val="auto"/>
                <w:sz w:val="24"/>
                <w:szCs w:val="24"/>
                <w:lang w:val="en-US" w:eastAsia="zh-CN"/>
              </w:rPr>
              <w:t>的</w:t>
            </w:r>
            <w:r>
              <w:rPr>
                <w:rFonts w:hint="eastAsia" w:cs="Times New Roman"/>
                <w:color w:val="auto"/>
                <w:sz w:val="24"/>
                <w:szCs w:val="24"/>
                <w:lang w:eastAsia="zh-CN"/>
              </w:rPr>
              <w:t>要求，系统和设备的兼容性一般，设备的先进性、可用性及安全性一般的得</w:t>
            </w:r>
            <w:r>
              <w:rPr>
                <w:rFonts w:hint="eastAsia" w:cs="Times New Roman"/>
                <w:color w:val="auto"/>
                <w:sz w:val="24"/>
                <w:szCs w:val="24"/>
                <w:lang w:val="en-US" w:eastAsia="zh-CN"/>
              </w:rPr>
              <w:t>11</w:t>
            </w:r>
            <w:r>
              <w:rPr>
                <w:rFonts w:hint="eastAsia" w:cs="Times New Roman"/>
                <w:color w:val="auto"/>
                <w:sz w:val="24"/>
                <w:szCs w:val="24"/>
                <w:lang w:eastAsia="zh-CN"/>
              </w:rPr>
              <w:t>分。</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eastAsia="zh-CN"/>
              </w:rPr>
              <w:t>（4）</w:t>
            </w:r>
            <w:r>
              <w:rPr>
                <w:rFonts w:hint="eastAsia" w:cs="Times New Roman"/>
                <w:color w:val="auto"/>
                <w:sz w:val="24"/>
                <w:szCs w:val="24"/>
                <w:lang w:val="en-US" w:eastAsia="zh-CN"/>
              </w:rPr>
              <w:t>技术</w:t>
            </w:r>
            <w:r>
              <w:rPr>
                <w:rFonts w:hint="eastAsia" w:cs="Times New Roman"/>
                <w:color w:val="auto"/>
                <w:sz w:val="24"/>
                <w:szCs w:val="24"/>
                <w:lang w:eastAsia="zh-CN"/>
              </w:rPr>
              <w:t>方案一般，能基本实现采购人</w:t>
            </w:r>
            <w:r>
              <w:rPr>
                <w:rFonts w:hint="eastAsia" w:cs="Times New Roman"/>
                <w:color w:val="auto"/>
                <w:sz w:val="24"/>
                <w:szCs w:val="24"/>
                <w:lang w:val="en-US" w:eastAsia="zh-CN"/>
              </w:rPr>
              <w:t>的</w:t>
            </w:r>
            <w:r>
              <w:rPr>
                <w:rFonts w:hint="eastAsia" w:cs="Times New Roman"/>
                <w:color w:val="auto"/>
                <w:sz w:val="24"/>
                <w:szCs w:val="24"/>
                <w:lang w:eastAsia="zh-CN"/>
              </w:rPr>
              <w:t>主要要求，少数次要功能实现效果存在差异；系统和设备的兼容性较差，设备的先进性、可用性及安全性较差的得</w:t>
            </w:r>
            <w:r>
              <w:rPr>
                <w:rFonts w:hint="eastAsia" w:cs="Times New Roman"/>
                <w:color w:val="auto"/>
                <w:sz w:val="24"/>
                <w:szCs w:val="24"/>
                <w:lang w:val="en-US" w:eastAsia="zh-CN"/>
              </w:rPr>
              <w:t>8</w:t>
            </w:r>
            <w:r>
              <w:rPr>
                <w:rFonts w:hint="eastAsia" w:cs="Times New Roman"/>
                <w:color w:val="auto"/>
                <w:sz w:val="24"/>
                <w:szCs w:val="24"/>
                <w:lang w:eastAsia="zh-CN"/>
              </w:rPr>
              <w:t>分。</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eastAsia="zh-CN"/>
              </w:rPr>
              <w:t>（5）</w:t>
            </w:r>
            <w:r>
              <w:rPr>
                <w:rFonts w:hint="eastAsia" w:cs="Times New Roman"/>
                <w:color w:val="auto"/>
                <w:sz w:val="24"/>
                <w:szCs w:val="24"/>
                <w:lang w:val="en-US" w:eastAsia="zh-CN"/>
              </w:rPr>
              <w:t>技术</w:t>
            </w:r>
            <w:r>
              <w:rPr>
                <w:rFonts w:hint="eastAsia" w:cs="Times New Roman"/>
                <w:color w:val="auto"/>
                <w:sz w:val="24"/>
                <w:szCs w:val="24"/>
                <w:lang w:eastAsia="zh-CN"/>
              </w:rPr>
              <w:t>方案存在瑕疵，部分主要功能可以实现但效果差；安全性不强，针对性差；可用性差的得</w:t>
            </w:r>
            <w:r>
              <w:rPr>
                <w:rFonts w:hint="eastAsia" w:cs="Times New Roman"/>
                <w:color w:val="auto"/>
                <w:sz w:val="24"/>
                <w:szCs w:val="24"/>
                <w:lang w:val="en-US" w:eastAsia="zh-CN"/>
              </w:rPr>
              <w:t>5</w:t>
            </w:r>
            <w:r>
              <w:rPr>
                <w:rFonts w:hint="eastAsia" w:cs="Times New Roman"/>
                <w:color w:val="auto"/>
                <w:sz w:val="24"/>
                <w:szCs w:val="24"/>
                <w:lang w:eastAsia="zh-CN"/>
              </w:rPr>
              <w:t>分。</w:t>
            </w:r>
          </w:p>
          <w:p>
            <w:p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eastAsia="zh-CN"/>
              </w:rPr>
              <w:t>（6）</w:t>
            </w:r>
            <w:r>
              <w:rPr>
                <w:rFonts w:hint="eastAsia" w:cs="Times New Roman"/>
                <w:color w:val="auto"/>
                <w:sz w:val="24"/>
                <w:szCs w:val="24"/>
                <w:lang w:val="en-US" w:eastAsia="zh-CN"/>
              </w:rPr>
              <w:t>技术</w:t>
            </w:r>
            <w:r>
              <w:rPr>
                <w:rFonts w:hint="eastAsia" w:cs="Times New Roman"/>
                <w:color w:val="auto"/>
                <w:sz w:val="24"/>
                <w:szCs w:val="24"/>
                <w:lang w:eastAsia="zh-CN"/>
              </w:rPr>
              <w:t>方案存在问题，大部分主要功能不能实现采购人要求的不得分。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cs="Times New Roman"/>
                <w:sz w:val="24"/>
                <w:szCs w:val="24"/>
                <w:lang w:val="zh-CN" w:eastAsia="zh-CN"/>
              </w:rPr>
            </w:pPr>
            <w:r>
              <w:rPr>
                <w:rFonts w:hint="eastAsia" w:cs="Times New Roman"/>
                <w:sz w:val="24"/>
                <w:szCs w:val="24"/>
                <w:lang w:val="zh-CN" w:eastAsia="zh-CN"/>
              </w:rPr>
              <w:t>保障措施方案</w:t>
            </w:r>
          </w:p>
          <w:p>
            <w:pPr>
              <w:bidi w:val="0"/>
              <w:spacing w:line="360" w:lineRule="auto"/>
              <w:jc w:val="center"/>
              <w:rPr>
                <w:rFonts w:hint="eastAsia" w:cs="Times New Roman"/>
                <w:sz w:val="24"/>
                <w:szCs w:val="24"/>
                <w:lang w:val="en-US" w:eastAsia="zh-CN"/>
              </w:rPr>
            </w:pPr>
            <w:r>
              <w:rPr>
                <w:rFonts w:hint="eastAsia" w:cs="Times New Roman"/>
                <w:sz w:val="24"/>
                <w:szCs w:val="24"/>
                <w:lang w:val="zh-CN" w:eastAsia="zh-CN"/>
              </w:rPr>
              <w:t>（</w:t>
            </w:r>
            <w:r>
              <w:rPr>
                <w:rFonts w:hint="eastAsia" w:cs="Times New Roman"/>
                <w:sz w:val="24"/>
                <w:szCs w:val="24"/>
                <w:lang w:val="en-US" w:eastAsia="zh-CN"/>
              </w:rPr>
              <w:t>满分9分</w:t>
            </w:r>
            <w:r>
              <w:rPr>
                <w:rFonts w:hint="eastAsia" w:cs="Times New Roman"/>
                <w:sz w:val="24"/>
                <w:szCs w:val="24"/>
                <w:lang w:val="zh-CN" w:eastAsia="zh-CN"/>
              </w:rPr>
              <w:t>）</w:t>
            </w:r>
          </w:p>
        </w:tc>
        <w:tc>
          <w:tcPr>
            <w:tcW w:w="5915" w:type="dxa"/>
            <w:noWrap w:val="0"/>
            <w:tcMar>
              <w:top w:w="0" w:type="dxa"/>
              <w:left w:w="108" w:type="dxa"/>
              <w:bottom w:w="0" w:type="dxa"/>
              <w:right w:w="108" w:type="dxa"/>
            </w:tcMar>
            <w:vAlign w:val="center"/>
          </w:tcPr>
          <w:p>
            <w:pPr>
              <w:bidi w:val="0"/>
              <w:spacing w:line="360" w:lineRule="auto"/>
              <w:jc w:val="both"/>
              <w:rPr>
                <w:rFonts w:hint="eastAsia" w:cs="Times New Roman"/>
                <w:color w:val="auto"/>
                <w:sz w:val="24"/>
                <w:szCs w:val="24"/>
                <w:lang w:eastAsia="zh-CN"/>
              </w:rPr>
            </w:pPr>
            <w:r>
              <w:rPr>
                <w:rFonts w:hint="eastAsia" w:cs="Times New Roman"/>
                <w:color w:val="auto"/>
                <w:sz w:val="24"/>
                <w:szCs w:val="24"/>
                <w:lang w:val="zh-CN" w:eastAsia="zh-CN"/>
              </w:rPr>
              <w:t>投标人提供</w:t>
            </w:r>
            <w:r>
              <w:rPr>
                <w:rFonts w:hint="eastAsia" w:cs="Times New Roman"/>
                <w:color w:val="auto"/>
                <w:sz w:val="24"/>
                <w:szCs w:val="24"/>
                <w:lang w:val="en-US" w:eastAsia="zh-CN"/>
              </w:rPr>
              <w:t>完善</w:t>
            </w:r>
            <w:r>
              <w:rPr>
                <w:rFonts w:hint="eastAsia" w:cs="Times New Roman"/>
                <w:color w:val="auto"/>
                <w:sz w:val="24"/>
                <w:szCs w:val="24"/>
                <w:lang w:val="zh-CN" w:eastAsia="zh-CN"/>
              </w:rPr>
              <w:t>的</w:t>
            </w:r>
            <w:r>
              <w:rPr>
                <w:rFonts w:hint="eastAsia" w:cs="Times New Roman"/>
                <w:color w:val="auto"/>
                <w:sz w:val="24"/>
                <w:szCs w:val="24"/>
                <w:lang w:val="en-US" w:eastAsia="zh-CN"/>
              </w:rPr>
              <w:t>项目</w:t>
            </w:r>
            <w:r>
              <w:rPr>
                <w:rFonts w:hint="eastAsia" w:cs="Times New Roman"/>
                <w:color w:val="auto"/>
                <w:sz w:val="24"/>
                <w:szCs w:val="24"/>
                <w:lang w:val="zh-CN" w:eastAsia="zh-CN"/>
              </w:rPr>
              <w:t>保障措施方案，</w:t>
            </w:r>
            <w:r>
              <w:rPr>
                <w:rFonts w:hint="eastAsia" w:cs="Times New Roman"/>
                <w:color w:val="auto"/>
                <w:sz w:val="24"/>
                <w:szCs w:val="24"/>
                <w:lang w:eastAsia="zh-CN"/>
              </w:rPr>
              <w:t>应包括但不限于：</w:t>
            </w:r>
            <w:r>
              <w:rPr>
                <w:rFonts w:hint="eastAsia" w:cs="Times New Roman"/>
                <w:color w:val="auto"/>
                <w:sz w:val="24"/>
                <w:szCs w:val="24"/>
                <w:lang w:val="zh-CN" w:eastAsia="zh-CN"/>
              </w:rPr>
              <w:t>质量保障措施、进度保障措施、安全保障措施</w:t>
            </w:r>
            <w:r>
              <w:rPr>
                <w:rFonts w:hint="eastAsia" w:cs="Times New Roman"/>
                <w:color w:val="auto"/>
                <w:sz w:val="24"/>
                <w:szCs w:val="24"/>
                <w:lang w:val="en-US" w:eastAsia="zh-CN"/>
              </w:rPr>
              <w:t>等内容</w:t>
            </w:r>
            <w:r>
              <w:rPr>
                <w:rFonts w:hint="eastAsia" w:cs="Times New Roman"/>
                <w:color w:val="auto"/>
                <w:sz w:val="24"/>
                <w:szCs w:val="24"/>
                <w:lang w:eastAsia="zh-CN"/>
              </w:rPr>
              <w:t>。</w:t>
            </w:r>
          </w:p>
          <w:p>
            <w:pPr>
              <w:bidi w:val="0"/>
              <w:spacing w:line="360" w:lineRule="auto"/>
              <w:jc w:val="both"/>
              <w:rPr>
                <w:rFonts w:hint="eastAsia" w:cs="Times New Roman"/>
                <w:color w:val="auto"/>
                <w:sz w:val="24"/>
                <w:szCs w:val="24"/>
                <w:lang w:eastAsia="zh-CN"/>
              </w:rPr>
            </w:pPr>
            <w:r>
              <w:rPr>
                <w:rFonts w:hint="eastAsia" w:cs="Times New Roman"/>
                <w:color w:val="auto"/>
                <w:sz w:val="24"/>
                <w:szCs w:val="24"/>
                <w:lang w:val="zh-CN" w:eastAsia="zh-CN"/>
              </w:rPr>
              <w:t>（</w:t>
            </w:r>
            <w:r>
              <w:rPr>
                <w:rFonts w:hint="eastAsia" w:cs="Times New Roman"/>
                <w:color w:val="auto"/>
                <w:sz w:val="24"/>
                <w:szCs w:val="24"/>
                <w:lang w:val="en-US" w:eastAsia="zh-CN"/>
              </w:rPr>
              <w:t>1</w:t>
            </w:r>
            <w:r>
              <w:rPr>
                <w:rFonts w:hint="eastAsia" w:cs="Times New Roman"/>
                <w:color w:val="auto"/>
                <w:sz w:val="24"/>
                <w:szCs w:val="24"/>
                <w:lang w:val="zh-CN" w:eastAsia="zh-CN"/>
              </w:rPr>
              <w:t>）保障措施方案</w:t>
            </w:r>
            <w:r>
              <w:rPr>
                <w:rFonts w:hint="eastAsia" w:cs="Times New Roman"/>
                <w:color w:val="auto"/>
                <w:sz w:val="24"/>
                <w:szCs w:val="24"/>
                <w:lang w:val="en-US" w:eastAsia="zh-CN"/>
              </w:rPr>
              <w:t>是专门针对本项目编制的，内容完全满足项目要求、逻辑或原理清晰、涉及的规范及标准内容完整准确的得9分。</w:t>
            </w:r>
          </w:p>
          <w:p>
            <w:pPr>
              <w:numPr>
                <w:ilvl w:val="0"/>
                <w:numId w:val="0"/>
              </w:numPr>
              <w:bidi w:val="0"/>
              <w:spacing w:line="360" w:lineRule="auto"/>
              <w:jc w:val="both"/>
              <w:rPr>
                <w:rFonts w:hint="eastAsia" w:cs="Times New Roman"/>
                <w:color w:val="auto"/>
                <w:sz w:val="24"/>
                <w:szCs w:val="24"/>
                <w:lang w:val="en-US" w:eastAsia="zh-CN"/>
              </w:rPr>
            </w:pPr>
            <w:r>
              <w:rPr>
                <w:rFonts w:hint="eastAsia" w:cs="Times New Roman"/>
                <w:color w:val="auto"/>
                <w:sz w:val="24"/>
                <w:szCs w:val="24"/>
                <w:lang w:val="zh-CN" w:eastAsia="zh-CN"/>
              </w:rPr>
              <w:t>（</w:t>
            </w:r>
            <w:r>
              <w:rPr>
                <w:rFonts w:hint="eastAsia" w:cs="Times New Roman"/>
                <w:color w:val="auto"/>
                <w:sz w:val="24"/>
                <w:szCs w:val="24"/>
                <w:lang w:val="en-US" w:eastAsia="zh-CN"/>
              </w:rPr>
              <w:t>2</w:t>
            </w:r>
            <w:r>
              <w:rPr>
                <w:rFonts w:hint="eastAsia" w:cs="Times New Roman"/>
                <w:color w:val="auto"/>
                <w:sz w:val="24"/>
                <w:szCs w:val="24"/>
                <w:lang w:val="zh-CN" w:eastAsia="zh-CN"/>
              </w:rPr>
              <w:t>）保障措施方案</w:t>
            </w:r>
            <w:r>
              <w:rPr>
                <w:rFonts w:hint="eastAsia" w:cs="Times New Roman"/>
                <w:color w:val="auto"/>
                <w:sz w:val="24"/>
                <w:szCs w:val="24"/>
                <w:lang w:val="en-US" w:eastAsia="zh-CN"/>
              </w:rPr>
              <w:t>可行，内容完整、基本满足项目要求、逻辑原理清晰、涉及的规范及标准内容完整的得5分。</w:t>
            </w:r>
          </w:p>
          <w:p>
            <w:pPr>
              <w:numPr>
                <w:ilvl w:val="0"/>
                <w:numId w:val="0"/>
              </w:numPr>
              <w:bidi w:val="0"/>
              <w:spacing w:line="360" w:lineRule="auto"/>
              <w:jc w:val="both"/>
              <w:rPr>
                <w:rFonts w:hint="default" w:cs="Times New Roman"/>
                <w:color w:val="auto"/>
                <w:sz w:val="24"/>
                <w:szCs w:val="24"/>
                <w:lang w:val="en-US" w:eastAsia="zh-CN"/>
              </w:rPr>
            </w:pPr>
            <w:r>
              <w:rPr>
                <w:rFonts w:hint="eastAsia" w:cs="Times New Roman"/>
                <w:color w:val="auto"/>
                <w:sz w:val="24"/>
                <w:szCs w:val="24"/>
                <w:lang w:val="zh-CN" w:eastAsia="zh-CN"/>
              </w:rPr>
              <w:t>（</w:t>
            </w:r>
            <w:r>
              <w:rPr>
                <w:rFonts w:hint="eastAsia" w:cs="Times New Roman"/>
                <w:color w:val="auto"/>
                <w:sz w:val="24"/>
                <w:szCs w:val="24"/>
                <w:lang w:val="en-US" w:eastAsia="zh-CN"/>
              </w:rPr>
              <w:t>3</w:t>
            </w:r>
            <w:r>
              <w:rPr>
                <w:rFonts w:hint="eastAsia" w:cs="Times New Roman"/>
                <w:color w:val="auto"/>
                <w:sz w:val="24"/>
                <w:szCs w:val="24"/>
                <w:lang w:val="zh-CN" w:eastAsia="zh-CN"/>
              </w:rPr>
              <w:t>）保障措施方案</w:t>
            </w:r>
            <w:r>
              <w:rPr>
                <w:rFonts w:hint="eastAsia" w:cs="Times New Roman"/>
                <w:color w:val="auto"/>
                <w:sz w:val="24"/>
                <w:szCs w:val="24"/>
                <w:lang w:val="en-US" w:eastAsia="zh-CN"/>
              </w:rPr>
              <w:t>非专门针对本项目，内容不完全满足项目要求、内容不完整或缺少关键节点、套用其他项目方案、内容前后矛盾、涉及的规范及标准错误等的得2分。</w:t>
            </w:r>
          </w:p>
          <w:p>
            <w:pPr>
              <w:numPr>
                <w:ilvl w:val="0"/>
                <w:numId w:val="0"/>
              </w:numPr>
              <w:bidi w:val="0"/>
              <w:spacing w:line="360" w:lineRule="auto"/>
              <w:jc w:val="both"/>
              <w:rPr>
                <w:rFonts w:hint="eastAsia" w:eastAsia="仿宋" w:cs="Times New Roman"/>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未提供</w:t>
            </w:r>
            <w:r>
              <w:rPr>
                <w:rFonts w:hint="eastAsia"/>
                <w:color w:val="auto"/>
                <w:sz w:val="24"/>
                <w:szCs w:val="24"/>
                <w:lang w:val="en-US" w:eastAsia="zh-CN"/>
              </w:rPr>
              <w:t>保障</w:t>
            </w:r>
            <w:r>
              <w:rPr>
                <w:rFonts w:hint="eastAsia"/>
                <w:color w:val="auto"/>
                <w:sz w:val="24"/>
                <w:szCs w:val="24"/>
              </w:rPr>
              <w:t>方案</w:t>
            </w:r>
            <w:r>
              <w:rPr>
                <w:rFonts w:hint="eastAsia"/>
                <w:color w:val="auto"/>
                <w:sz w:val="24"/>
                <w:szCs w:val="24"/>
                <w:lang w:val="en-US" w:eastAsia="zh-CN"/>
              </w:rPr>
              <w:t>或</w:t>
            </w:r>
            <w:r>
              <w:rPr>
                <w:rFonts w:hint="eastAsia"/>
                <w:color w:val="auto"/>
                <w:sz w:val="24"/>
                <w:szCs w:val="24"/>
              </w:rPr>
              <w:t>不详细、可行性较差，</w:t>
            </w:r>
            <w:r>
              <w:rPr>
                <w:rFonts w:hint="eastAsia"/>
                <w:color w:val="auto"/>
                <w:sz w:val="24"/>
                <w:szCs w:val="24"/>
                <w:lang w:val="en-US" w:eastAsia="zh-CN"/>
              </w:rPr>
              <w:t>逻辑混乱</w:t>
            </w:r>
            <w:r>
              <w:rPr>
                <w:rFonts w:hint="eastAsia"/>
                <w:color w:val="auto"/>
                <w:sz w:val="24"/>
                <w:szCs w:val="24"/>
              </w:rPr>
              <w:t>的不得分</w:t>
            </w:r>
            <w:r>
              <w:rPr>
                <w:rFonts w:hint="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sz w:val="24"/>
                <w:szCs w:val="24"/>
                <w:lang w:val="en-US" w:eastAsia="zh-CN"/>
              </w:rPr>
            </w:pPr>
            <w:r>
              <w:rPr>
                <w:rFonts w:hint="eastAsia"/>
                <w:sz w:val="24"/>
                <w:szCs w:val="24"/>
                <w:lang w:val="en-US" w:eastAsia="zh-CN"/>
              </w:rPr>
              <w:t>项目设备配备</w:t>
            </w:r>
          </w:p>
          <w:p>
            <w:pPr>
              <w:bidi w:val="0"/>
              <w:spacing w:line="360" w:lineRule="auto"/>
              <w:jc w:val="center"/>
              <w:rPr>
                <w:rFonts w:hint="eastAsia"/>
                <w:sz w:val="24"/>
                <w:szCs w:val="24"/>
                <w:lang w:val="en-US"/>
              </w:rPr>
            </w:pPr>
            <w:r>
              <w:rPr>
                <w:rFonts w:hint="eastAsia"/>
                <w:sz w:val="24"/>
                <w:szCs w:val="24"/>
                <w:lang w:val="en-US" w:eastAsia="zh-CN"/>
              </w:rPr>
              <w:t>（满分2分）</w:t>
            </w:r>
          </w:p>
        </w:tc>
        <w:tc>
          <w:tcPr>
            <w:tcW w:w="5915" w:type="dxa"/>
            <w:noWrap w:val="0"/>
            <w:tcMar>
              <w:top w:w="0" w:type="dxa"/>
              <w:left w:w="108" w:type="dxa"/>
              <w:bottom w:w="0" w:type="dxa"/>
              <w:right w:w="108" w:type="dxa"/>
            </w:tcMar>
            <w:vAlign w:val="center"/>
          </w:tcPr>
          <w:p>
            <w:pPr>
              <w:bidi w:val="0"/>
              <w:spacing w:line="360" w:lineRule="auto"/>
              <w:jc w:val="both"/>
              <w:rPr>
                <w:rFonts w:hint="eastAsia" w:cs="Times New Roman"/>
                <w:sz w:val="24"/>
                <w:szCs w:val="24"/>
                <w:lang w:val="zh-CN" w:eastAsia="zh-CN"/>
              </w:rPr>
            </w:pPr>
            <w:r>
              <w:rPr>
                <w:rFonts w:hint="eastAsia" w:cs="Times New Roman"/>
                <w:sz w:val="24"/>
                <w:szCs w:val="24"/>
                <w:lang w:val="en-US" w:eastAsia="zh-CN"/>
              </w:rPr>
              <w:t>根据</w:t>
            </w:r>
            <w:r>
              <w:rPr>
                <w:rFonts w:hint="eastAsia" w:cs="Times New Roman"/>
                <w:sz w:val="24"/>
                <w:szCs w:val="24"/>
                <w:lang w:val="zh-CN" w:eastAsia="zh-CN"/>
              </w:rPr>
              <w:t>项目拟投入的专业</w:t>
            </w:r>
            <w:r>
              <w:rPr>
                <w:rFonts w:hint="eastAsia" w:cs="Times New Roman"/>
                <w:sz w:val="24"/>
                <w:szCs w:val="24"/>
                <w:lang w:val="en-US" w:eastAsia="zh-CN"/>
              </w:rPr>
              <w:t>采集</w:t>
            </w:r>
            <w:r>
              <w:rPr>
                <w:rFonts w:hint="eastAsia" w:cs="Times New Roman"/>
                <w:sz w:val="24"/>
                <w:szCs w:val="24"/>
                <w:lang w:val="zh-CN" w:eastAsia="zh-CN"/>
              </w:rPr>
              <w:t>设备配置情况进行评分，包含但不仅限于：</w:t>
            </w:r>
            <w:r>
              <w:rPr>
                <w:rFonts w:hint="eastAsia" w:cs="Times New Roman"/>
                <w:sz w:val="24"/>
                <w:szCs w:val="24"/>
                <w:lang w:val="en-US" w:eastAsia="zh-CN"/>
              </w:rPr>
              <w:t>满足技术要求的三维激光扫描仪、</w:t>
            </w:r>
            <w:r>
              <w:rPr>
                <w:rFonts w:hint="eastAsia" w:cs="Times New Roman"/>
                <w:sz w:val="24"/>
                <w:szCs w:val="24"/>
                <w:lang w:val="zh-CN" w:eastAsia="zh-CN"/>
              </w:rPr>
              <w:t>彩色扫描臂</w:t>
            </w:r>
            <w:r>
              <w:rPr>
                <w:rFonts w:hint="eastAsia" w:cs="Times New Roman"/>
                <w:sz w:val="24"/>
                <w:szCs w:val="24"/>
                <w:lang w:val="en-US" w:eastAsia="zh-CN"/>
              </w:rPr>
              <w:t>、</w:t>
            </w:r>
            <w:r>
              <w:rPr>
                <w:rFonts w:hint="eastAsia" w:cs="Times New Roman"/>
                <w:sz w:val="24"/>
                <w:szCs w:val="24"/>
                <w:lang w:val="zh-CN" w:eastAsia="zh-CN"/>
              </w:rPr>
              <w:t>中画幅后背相机</w:t>
            </w:r>
            <w:r>
              <w:rPr>
                <w:rFonts w:hint="eastAsia" w:cs="Times New Roman"/>
                <w:sz w:val="24"/>
                <w:szCs w:val="24"/>
                <w:lang w:val="en-US" w:eastAsia="zh-CN"/>
              </w:rPr>
              <w:t>、全画幅相机</w:t>
            </w:r>
            <w:r>
              <w:rPr>
                <w:rFonts w:hint="eastAsia" w:cs="Times New Roman"/>
                <w:sz w:val="24"/>
                <w:szCs w:val="24"/>
                <w:lang w:val="zh-CN" w:eastAsia="zh-CN"/>
              </w:rPr>
              <w:t>等。提供</w:t>
            </w:r>
            <w:r>
              <w:rPr>
                <w:rFonts w:hint="eastAsia" w:cs="Times New Roman"/>
                <w:sz w:val="24"/>
                <w:szCs w:val="24"/>
                <w:lang w:val="en-US" w:eastAsia="zh-CN"/>
              </w:rPr>
              <w:t>满足要求的1项设备</w:t>
            </w:r>
            <w:r>
              <w:rPr>
                <w:rFonts w:hint="eastAsia" w:cs="Times New Roman"/>
                <w:sz w:val="24"/>
                <w:szCs w:val="24"/>
                <w:lang w:val="zh-CN" w:eastAsia="zh-CN"/>
              </w:rPr>
              <w:t>得</w:t>
            </w:r>
            <w:r>
              <w:rPr>
                <w:rFonts w:hint="eastAsia" w:cs="Times New Roman"/>
                <w:sz w:val="24"/>
                <w:szCs w:val="24"/>
                <w:lang w:val="en-US" w:eastAsia="zh-CN"/>
              </w:rPr>
              <w:t>0.5</w:t>
            </w:r>
            <w:r>
              <w:rPr>
                <w:rFonts w:hint="eastAsia" w:cs="Times New Roman"/>
                <w:sz w:val="24"/>
                <w:szCs w:val="24"/>
                <w:lang w:val="zh-CN" w:eastAsia="zh-CN"/>
              </w:rPr>
              <w:t>分，</w:t>
            </w:r>
            <w:r>
              <w:rPr>
                <w:rFonts w:hint="eastAsia" w:cs="Times New Roman"/>
                <w:sz w:val="24"/>
                <w:szCs w:val="24"/>
                <w:lang w:val="en-US" w:eastAsia="zh-CN"/>
              </w:rPr>
              <w:t>最高得2</w:t>
            </w:r>
            <w:r>
              <w:rPr>
                <w:rFonts w:hint="eastAsia" w:cs="Times New Roman"/>
                <w:sz w:val="24"/>
                <w:szCs w:val="24"/>
                <w:lang w:val="zh-CN" w:eastAsia="zh-CN"/>
              </w:rPr>
              <w:t>分。</w:t>
            </w:r>
          </w:p>
          <w:p>
            <w:pPr>
              <w:bidi w:val="0"/>
              <w:spacing w:line="360" w:lineRule="auto"/>
              <w:jc w:val="both"/>
              <w:rPr>
                <w:rFonts w:hint="eastAsia" w:cs="Times New Roman"/>
                <w:sz w:val="24"/>
                <w:szCs w:val="24"/>
              </w:rPr>
            </w:pPr>
            <w:r>
              <w:rPr>
                <w:rFonts w:hint="eastAsia" w:cs="Times New Roman"/>
                <w:sz w:val="24"/>
                <w:szCs w:val="24"/>
                <w:lang w:val="en-US" w:eastAsia="zh-CN"/>
              </w:rPr>
              <w:t>注：投标人需在投标文件中提供</w:t>
            </w:r>
            <w:r>
              <w:rPr>
                <w:rFonts w:hint="eastAsia" w:cs="Times New Roman"/>
                <w:sz w:val="24"/>
                <w:szCs w:val="24"/>
                <w:lang w:val="zh-CN" w:eastAsia="zh-CN"/>
              </w:rPr>
              <w:t>设备清单</w:t>
            </w:r>
            <w:r>
              <w:rPr>
                <w:rFonts w:hint="eastAsia" w:cs="Times New Roman"/>
                <w:sz w:val="24"/>
                <w:szCs w:val="24"/>
                <w:lang w:val="en-US" w:eastAsia="zh-CN"/>
              </w:rPr>
              <w:t>并加盖投标人公章，不提供不得分。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eastAsia="仿宋"/>
                <w:sz w:val="24"/>
                <w:szCs w:val="24"/>
                <w:lang w:val="en-US" w:eastAsia="zh-CN"/>
              </w:rPr>
            </w:pPr>
            <w:r>
              <w:rPr>
                <w:rFonts w:hint="eastAsia"/>
                <w:sz w:val="24"/>
                <w:szCs w:val="24"/>
                <w:lang w:val="en-US"/>
              </w:rPr>
              <w:t>售后及</w:t>
            </w:r>
            <w:r>
              <w:rPr>
                <w:rFonts w:hint="eastAsia"/>
                <w:sz w:val="24"/>
                <w:szCs w:val="24"/>
                <w:lang w:val="en-US" w:eastAsia="zh-CN"/>
              </w:rPr>
              <w:t>培训</w:t>
            </w:r>
            <w:r>
              <w:rPr>
                <w:rFonts w:hint="eastAsia"/>
                <w:sz w:val="24"/>
                <w:szCs w:val="24"/>
                <w:lang w:val="en-US"/>
              </w:rPr>
              <w:t>服务</w:t>
            </w:r>
          </w:p>
          <w:p>
            <w:pPr>
              <w:bidi w:val="0"/>
              <w:spacing w:line="360" w:lineRule="auto"/>
              <w:jc w:val="center"/>
              <w:rPr>
                <w:rFonts w:hint="eastAsia"/>
                <w:sz w:val="24"/>
                <w:szCs w:val="24"/>
                <w:lang w:val="en-US"/>
              </w:rPr>
            </w:pPr>
            <w:r>
              <w:rPr>
                <w:rFonts w:hint="eastAsia"/>
                <w:sz w:val="24"/>
                <w:szCs w:val="24"/>
                <w:lang w:val="en-US"/>
              </w:rPr>
              <w:t>（</w:t>
            </w:r>
            <w:r>
              <w:rPr>
                <w:rFonts w:hint="eastAsia"/>
                <w:sz w:val="24"/>
                <w:szCs w:val="24"/>
                <w:lang w:val="en-US" w:eastAsia="zh-CN"/>
              </w:rPr>
              <w:t>满分10</w:t>
            </w:r>
            <w:r>
              <w:rPr>
                <w:rFonts w:hint="eastAsia"/>
                <w:sz w:val="24"/>
                <w:szCs w:val="24"/>
                <w:lang w:val="en-US"/>
              </w:rPr>
              <w:t>分）</w:t>
            </w:r>
          </w:p>
        </w:tc>
        <w:tc>
          <w:tcPr>
            <w:tcW w:w="5915" w:type="dxa"/>
            <w:noWrap w:val="0"/>
            <w:tcMar>
              <w:top w:w="0" w:type="dxa"/>
              <w:left w:w="108" w:type="dxa"/>
              <w:bottom w:w="0" w:type="dxa"/>
              <w:right w:w="108" w:type="dxa"/>
            </w:tcMar>
            <w:vAlign w:val="center"/>
          </w:tcPr>
          <w:p>
            <w:pPr>
              <w:bidi w:val="0"/>
              <w:spacing w:line="360" w:lineRule="auto"/>
              <w:jc w:val="both"/>
              <w:rPr>
                <w:rFonts w:hint="eastAsia"/>
                <w:sz w:val="24"/>
                <w:szCs w:val="24"/>
              </w:rPr>
            </w:pPr>
            <w:r>
              <w:rPr>
                <w:rFonts w:hint="eastAsia"/>
                <w:sz w:val="24"/>
                <w:szCs w:val="24"/>
              </w:rPr>
              <w:t>投标人需根据采购需求针对本项目制定详细售后服务</w:t>
            </w:r>
            <w:r>
              <w:rPr>
                <w:rFonts w:hint="eastAsia"/>
                <w:sz w:val="24"/>
                <w:szCs w:val="24"/>
                <w:lang w:val="en-US" w:eastAsia="zh-CN"/>
              </w:rPr>
              <w:t>及培训服务</w:t>
            </w:r>
            <w:r>
              <w:rPr>
                <w:rFonts w:hint="eastAsia"/>
                <w:sz w:val="24"/>
                <w:szCs w:val="24"/>
              </w:rPr>
              <w:t>方案：</w:t>
            </w:r>
          </w:p>
          <w:p>
            <w:pPr>
              <w:bidi w:val="0"/>
              <w:spacing w:line="360" w:lineRule="auto"/>
              <w:jc w:val="both"/>
              <w:rPr>
                <w:rFonts w:hint="eastAsia"/>
                <w:sz w:val="24"/>
                <w:szCs w:val="24"/>
              </w:rPr>
            </w:pPr>
            <w:r>
              <w:rPr>
                <w:rFonts w:hint="eastAsia"/>
                <w:sz w:val="24"/>
                <w:szCs w:val="24"/>
                <w:lang w:val="en-US" w:eastAsia="zh-CN"/>
              </w:rPr>
              <w:t>（1）售后服务</w:t>
            </w:r>
            <w:r>
              <w:rPr>
                <w:rFonts w:hint="eastAsia"/>
                <w:sz w:val="24"/>
                <w:szCs w:val="24"/>
              </w:rPr>
              <w:t>方案能够详实的提供</w:t>
            </w:r>
            <w:r>
              <w:rPr>
                <w:rFonts w:hint="eastAsia"/>
                <w:sz w:val="24"/>
                <w:szCs w:val="24"/>
                <w:lang w:val="en-US" w:eastAsia="zh-CN"/>
              </w:rPr>
              <w:t>服务</w:t>
            </w:r>
            <w:r>
              <w:rPr>
                <w:rFonts w:hint="eastAsia"/>
                <w:sz w:val="24"/>
                <w:szCs w:val="24"/>
              </w:rPr>
              <w:t>保障措施、售后服务响应方式和售后具体服务流程</w:t>
            </w:r>
            <w:r>
              <w:rPr>
                <w:rFonts w:hint="eastAsia"/>
                <w:sz w:val="24"/>
                <w:szCs w:val="24"/>
                <w:lang w:eastAsia="zh-CN"/>
              </w:rPr>
              <w:t>；</w:t>
            </w:r>
            <w:r>
              <w:rPr>
                <w:rFonts w:hint="eastAsia"/>
                <w:sz w:val="24"/>
                <w:szCs w:val="24"/>
                <w:lang w:val="en-US" w:eastAsia="zh-CN"/>
              </w:rPr>
              <w:t>培训</w:t>
            </w:r>
            <w:r>
              <w:rPr>
                <w:rFonts w:hint="eastAsia"/>
                <w:sz w:val="24"/>
                <w:szCs w:val="24"/>
              </w:rPr>
              <w:t>方案完整，内容充分细化，内容充分细化，人员配备齐全，</w:t>
            </w:r>
            <w:r>
              <w:rPr>
                <w:rFonts w:hint="eastAsia"/>
                <w:b/>
                <w:bCs/>
                <w:sz w:val="24"/>
                <w:szCs w:val="24"/>
              </w:rPr>
              <w:t>充分为用户考虑</w:t>
            </w:r>
            <w:r>
              <w:rPr>
                <w:rFonts w:hint="eastAsia"/>
                <w:sz w:val="24"/>
                <w:szCs w:val="24"/>
              </w:rPr>
              <w:t>得</w:t>
            </w:r>
            <w:r>
              <w:rPr>
                <w:rFonts w:hint="eastAsia"/>
                <w:sz w:val="24"/>
                <w:szCs w:val="24"/>
                <w:lang w:val="en-US" w:eastAsia="zh-CN"/>
              </w:rPr>
              <w:t>10</w:t>
            </w:r>
            <w:r>
              <w:rPr>
                <w:rFonts w:hint="eastAsia"/>
                <w:sz w:val="24"/>
                <w:szCs w:val="24"/>
              </w:rPr>
              <w:t>分。</w:t>
            </w:r>
          </w:p>
          <w:p>
            <w:pPr>
              <w:bidi w:val="0"/>
              <w:spacing w:line="360" w:lineRule="auto"/>
              <w:jc w:val="both"/>
              <w:rPr>
                <w:rFonts w:hint="eastAsia" w:cs="Times New Roman"/>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售</w:t>
            </w:r>
            <w:r>
              <w:rPr>
                <w:rFonts w:hint="eastAsia" w:cs="Times New Roman"/>
                <w:sz w:val="24"/>
                <w:szCs w:val="24"/>
                <w:lang w:val="en-US" w:eastAsia="zh-CN"/>
              </w:rPr>
              <w:t>后服务方案比较具体，保障措施比较完善可行；培训方案较完整，内容较细化，人员配备完整，基本满足用户需求的得6分。</w:t>
            </w:r>
          </w:p>
          <w:p>
            <w:pPr>
              <w:bidi w:val="0"/>
              <w:spacing w:line="360" w:lineRule="auto"/>
              <w:jc w:val="both"/>
              <w:rPr>
                <w:rFonts w:hint="eastAsia" w:eastAsia="仿宋"/>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售后服务方案</w:t>
            </w:r>
            <w:r>
              <w:rPr>
                <w:rFonts w:hint="eastAsia" w:cs="Times New Roman"/>
                <w:sz w:val="24"/>
                <w:szCs w:val="24"/>
              </w:rPr>
              <w:t>的细致程度一般，保障措施的可行性一般，</w:t>
            </w:r>
            <w:r>
              <w:rPr>
                <w:rFonts w:hint="eastAsia" w:cs="Times New Roman"/>
                <w:sz w:val="24"/>
                <w:szCs w:val="24"/>
                <w:lang w:val="en-US" w:eastAsia="zh-CN"/>
              </w:rPr>
              <w:t>培训</w:t>
            </w:r>
            <w:r>
              <w:rPr>
                <w:rFonts w:hint="eastAsia" w:cs="Times New Roman"/>
                <w:sz w:val="24"/>
                <w:szCs w:val="24"/>
              </w:rPr>
              <w:t>方案不完整，内容不够细化，人员配备不足，</w:t>
            </w:r>
            <w:r>
              <w:rPr>
                <w:rFonts w:hint="eastAsia" w:cs="Times New Roman"/>
                <w:b/>
                <w:bCs/>
                <w:sz w:val="24"/>
                <w:szCs w:val="24"/>
              </w:rPr>
              <w:t>无法充分满足用户需求</w:t>
            </w:r>
            <w:r>
              <w:rPr>
                <w:rFonts w:hint="eastAsia" w:cs="Times New Roman"/>
                <w:sz w:val="24"/>
                <w:szCs w:val="24"/>
              </w:rPr>
              <w:t>得</w:t>
            </w:r>
            <w:r>
              <w:rPr>
                <w:rFonts w:hint="eastAsia" w:cs="Times New Roman"/>
                <w:sz w:val="24"/>
                <w:szCs w:val="24"/>
                <w:lang w:val="en-US" w:eastAsia="zh-CN"/>
              </w:rPr>
              <w:t>2</w:t>
            </w:r>
            <w:r>
              <w:rPr>
                <w:rFonts w:hint="eastAsia" w:cs="Times New Roman"/>
                <w:sz w:val="24"/>
                <w:szCs w:val="24"/>
              </w:rPr>
              <w:t>分</w:t>
            </w:r>
            <w:r>
              <w:rPr>
                <w:rFonts w:hint="eastAsia" w:cs="Times New Roman"/>
                <w:sz w:val="24"/>
                <w:szCs w:val="24"/>
                <w:lang w:eastAsia="zh-CN"/>
              </w:rPr>
              <w:t>。</w:t>
            </w:r>
          </w:p>
          <w:p>
            <w:pPr>
              <w:bidi w:val="0"/>
              <w:spacing w:line="360" w:lineRule="auto"/>
              <w:jc w:val="both"/>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未提供售后服务方案和</w:t>
            </w:r>
            <w:r>
              <w:rPr>
                <w:rFonts w:hint="eastAsia"/>
                <w:sz w:val="24"/>
                <w:szCs w:val="24"/>
                <w:lang w:val="en-US" w:eastAsia="zh-CN"/>
              </w:rPr>
              <w:t>培训</w:t>
            </w:r>
            <w:r>
              <w:rPr>
                <w:rFonts w:hint="eastAsia"/>
                <w:sz w:val="24"/>
                <w:szCs w:val="24"/>
              </w:rPr>
              <w:t>方案</w:t>
            </w:r>
            <w:r>
              <w:rPr>
                <w:rFonts w:hint="eastAsia"/>
                <w:sz w:val="24"/>
                <w:szCs w:val="24"/>
                <w:lang w:val="en-US" w:eastAsia="zh-CN"/>
              </w:rPr>
              <w:t>或</w:t>
            </w:r>
            <w:r>
              <w:rPr>
                <w:rFonts w:hint="eastAsia"/>
                <w:sz w:val="24"/>
                <w:szCs w:val="24"/>
              </w:rPr>
              <w:t>不详细、可行性较差，无法满足招标文件要求的不得分。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307" w:type="dxa"/>
            <w:vMerge w:val="continue"/>
            <w:noWrap w:val="0"/>
            <w:tcMar>
              <w:top w:w="0" w:type="dxa"/>
              <w:left w:w="108" w:type="dxa"/>
              <w:bottom w:w="0" w:type="dxa"/>
              <w:right w:w="108" w:type="dxa"/>
            </w:tcMar>
            <w:vAlign w:val="center"/>
          </w:tcPr>
          <w:p>
            <w:pPr>
              <w:bidi w:val="0"/>
              <w:spacing w:line="360" w:lineRule="auto"/>
              <w:jc w:val="center"/>
              <w:rPr>
                <w:rFonts w:hint="eastAsia"/>
                <w:sz w:val="24"/>
                <w:szCs w:val="24"/>
              </w:rPr>
            </w:pPr>
          </w:p>
        </w:tc>
        <w:tc>
          <w:tcPr>
            <w:tcW w:w="1297" w:type="dxa"/>
            <w:noWrap w:val="0"/>
            <w:tcMar>
              <w:top w:w="0" w:type="dxa"/>
              <w:left w:w="108" w:type="dxa"/>
              <w:bottom w:w="0" w:type="dxa"/>
              <w:right w:w="108" w:type="dxa"/>
            </w:tcMar>
            <w:vAlign w:val="center"/>
          </w:tcPr>
          <w:p>
            <w:pPr>
              <w:bidi w:val="0"/>
              <w:spacing w:line="360" w:lineRule="auto"/>
              <w:jc w:val="center"/>
              <w:rPr>
                <w:rFonts w:hint="eastAsia" w:eastAsia="仿宋"/>
                <w:sz w:val="24"/>
                <w:szCs w:val="24"/>
                <w:lang w:val="en-US" w:eastAsia="zh-CN"/>
              </w:rPr>
            </w:pPr>
            <w:r>
              <w:rPr>
                <w:rFonts w:hint="eastAsia"/>
                <w:sz w:val="24"/>
                <w:szCs w:val="24"/>
                <w:lang w:val="en-US" w:eastAsia="zh-CN"/>
              </w:rPr>
              <w:t>演示</w:t>
            </w:r>
            <w:r>
              <w:rPr>
                <w:rFonts w:hint="eastAsia"/>
                <w:lang w:eastAsia="zh-CN"/>
              </w:rPr>
              <w:t>（</w:t>
            </w:r>
            <w:r>
              <w:rPr>
                <w:rFonts w:hint="eastAsia"/>
                <w:sz w:val="24"/>
                <w:szCs w:val="24"/>
                <w:lang w:val="en-US" w:eastAsia="zh-CN"/>
              </w:rPr>
              <w:t>满分15</w:t>
            </w:r>
            <w:r>
              <w:rPr>
                <w:rFonts w:hint="eastAsia"/>
                <w:sz w:val="24"/>
                <w:szCs w:val="24"/>
                <w:lang w:val="en-US"/>
              </w:rPr>
              <w:t>分</w:t>
            </w:r>
            <w:r>
              <w:rPr>
                <w:rFonts w:hint="eastAsia"/>
                <w:lang w:eastAsia="zh-CN"/>
              </w:rPr>
              <w:t>）</w:t>
            </w:r>
          </w:p>
        </w:tc>
        <w:tc>
          <w:tcPr>
            <w:tcW w:w="591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sz w:val="24"/>
                <w:szCs w:val="24"/>
                <w:lang w:val="en-US" w:eastAsia="zh-CN"/>
              </w:rPr>
              <w:t>演示时间：</w:t>
            </w:r>
            <w:r>
              <w:rPr>
                <w:rFonts w:hint="eastAsia" w:ascii="仿宋" w:hAnsi="仿宋" w:eastAsia="仿宋" w:cs="仿宋"/>
                <w:sz w:val="24"/>
                <w:szCs w:val="24"/>
                <w:lang w:val="en-US" w:eastAsia="zh-CN"/>
              </w:rPr>
              <w:t>不超过10分钟</w:t>
            </w:r>
            <w:r>
              <w:rPr>
                <w:rFonts w:hint="eastAsia" w:cs="仿宋"/>
                <w:sz w:val="24"/>
                <w:szCs w:val="24"/>
                <w:lang w:val="en-US" w:eastAsia="zh-CN"/>
              </w:rPr>
              <w:t>，</w:t>
            </w:r>
            <w:r>
              <w:rPr>
                <w:rFonts w:hint="eastAsia" w:cs="仿宋"/>
                <w:b/>
                <w:bCs/>
                <w:sz w:val="24"/>
                <w:szCs w:val="24"/>
                <w:lang w:val="en-US" w:eastAsia="zh-CN"/>
              </w:rPr>
              <w:t>演示形式：</w:t>
            </w:r>
            <w:r>
              <w:rPr>
                <w:rFonts w:hint="eastAsia" w:cs="仿宋"/>
                <w:b w:val="0"/>
                <w:bCs w:val="0"/>
                <w:color w:val="auto"/>
                <w:sz w:val="24"/>
                <w:szCs w:val="24"/>
                <w:lang w:val="en-US" w:eastAsia="zh-CN"/>
              </w:rPr>
              <w:t>只接受线上视频演示，不接受PPT、图片等演示形式。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演示内容包括：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b/>
                <w:bCs/>
                <w:sz w:val="24"/>
                <w:szCs w:val="24"/>
                <w:highlight w:val="none"/>
                <w:lang w:val="zh-CN" w:eastAsia="zh-CN"/>
              </w:rPr>
            </w:pPr>
            <w:r>
              <w:rPr>
                <w:rFonts w:hint="eastAsia" w:ascii="仿宋" w:hAnsi="仿宋" w:cs="仿宋"/>
                <w:b/>
                <w:bCs/>
                <w:sz w:val="24"/>
                <w:szCs w:val="24"/>
                <w:highlight w:val="none"/>
                <w:lang w:val="en-US" w:eastAsia="zh-CN"/>
              </w:rPr>
              <w:t>1、</w:t>
            </w:r>
            <w:r>
              <w:rPr>
                <w:rFonts w:hint="eastAsia" w:cs="仿宋"/>
                <w:b/>
                <w:bCs/>
                <w:sz w:val="24"/>
                <w:szCs w:val="24"/>
                <w:highlight w:val="none"/>
                <w:lang w:val="en-US" w:eastAsia="zh-CN"/>
              </w:rPr>
              <w:t>投标人</w:t>
            </w:r>
            <w:r>
              <w:rPr>
                <w:rFonts w:hint="eastAsia" w:ascii="仿宋" w:hAnsi="仿宋" w:cs="仿宋"/>
                <w:b/>
                <w:bCs/>
                <w:sz w:val="24"/>
                <w:szCs w:val="24"/>
                <w:highlight w:val="none"/>
                <w:lang w:val="en-US" w:eastAsia="zh-CN"/>
              </w:rPr>
              <w:t>演示</w:t>
            </w:r>
            <w:r>
              <w:rPr>
                <w:rFonts w:hint="eastAsia" w:cs="仿宋"/>
                <w:b/>
                <w:bCs/>
                <w:sz w:val="24"/>
                <w:szCs w:val="24"/>
                <w:highlight w:val="none"/>
                <w:lang w:val="en-US" w:eastAsia="zh-CN"/>
              </w:rPr>
              <w:t>可移动</w:t>
            </w:r>
            <w:r>
              <w:rPr>
                <w:rFonts w:hint="eastAsia" w:ascii="仿宋" w:hAnsi="仿宋" w:cs="仿宋"/>
                <w:b/>
                <w:bCs/>
                <w:sz w:val="24"/>
                <w:szCs w:val="24"/>
                <w:highlight w:val="none"/>
                <w:lang w:val="en-US" w:eastAsia="zh-CN"/>
              </w:rPr>
              <w:t>文物</w:t>
            </w:r>
            <w:r>
              <w:rPr>
                <w:rFonts w:hint="eastAsia" w:cs="仿宋"/>
                <w:b/>
                <w:bCs/>
                <w:sz w:val="24"/>
                <w:szCs w:val="24"/>
                <w:highlight w:val="none"/>
                <w:lang w:val="en-US" w:eastAsia="zh-CN"/>
              </w:rPr>
              <w:t>数据采集过程</w:t>
            </w:r>
            <w:r>
              <w:rPr>
                <w:rFonts w:hint="eastAsia" w:ascii="仿宋" w:hAnsi="仿宋" w:cs="仿宋"/>
                <w:b/>
                <w:bCs/>
                <w:sz w:val="24"/>
                <w:szCs w:val="24"/>
                <w:highlight w:val="none"/>
                <w:lang w:val="en-US" w:eastAsia="zh-CN"/>
              </w:rPr>
              <w:t>，要求在扫描过程中实时呈现（在同一画面中）扫描仪采集方向与三维数据同步出现的过程，并要求方向一致，在成果数据中利用放大缩小及旋转操作演示，表现出</w:t>
            </w:r>
            <w:r>
              <w:rPr>
                <w:rFonts w:hint="eastAsia" w:cs="仿宋"/>
                <w:b/>
                <w:bCs/>
                <w:sz w:val="24"/>
                <w:szCs w:val="24"/>
                <w:highlight w:val="none"/>
                <w:lang w:val="en-US" w:eastAsia="zh-CN"/>
              </w:rPr>
              <w:t>文物</w:t>
            </w:r>
            <w:r>
              <w:rPr>
                <w:rFonts w:hint="eastAsia" w:ascii="仿宋" w:hAnsi="仿宋" w:cs="仿宋"/>
                <w:b/>
                <w:bCs/>
                <w:sz w:val="24"/>
                <w:szCs w:val="24"/>
                <w:highlight w:val="none"/>
                <w:lang w:val="en-US" w:eastAsia="zh-CN"/>
              </w:rPr>
              <w:t>材质及放射纹。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（1）</w:t>
            </w:r>
            <w:r>
              <w:rPr>
                <w:rFonts w:hint="eastAsia" w:ascii="仿宋" w:hAnsi="仿宋" w:cs="仿宋"/>
                <w:sz w:val="24"/>
                <w:szCs w:val="24"/>
                <w:lang w:val="en-US" w:eastAsia="zh-CN"/>
              </w:rPr>
              <w:t>演示内容完整、清晰美观、画面丰富，完整符合要求的得</w:t>
            </w:r>
            <w:r>
              <w:rPr>
                <w:rFonts w:hint="eastAsia" w:cs="仿宋"/>
                <w:sz w:val="24"/>
                <w:szCs w:val="24"/>
                <w:lang w:val="en-US" w:eastAsia="zh-CN"/>
              </w:rPr>
              <w:t>5</w:t>
            </w:r>
            <w:r>
              <w:rPr>
                <w:rFonts w:hint="eastAsia" w:ascii="仿宋" w:hAnsi="仿宋" w:cs="仿宋"/>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（2）</w:t>
            </w:r>
            <w:r>
              <w:rPr>
                <w:rFonts w:hint="eastAsia" w:ascii="仿宋" w:hAnsi="仿宋" w:cs="仿宋"/>
                <w:sz w:val="24"/>
                <w:szCs w:val="24"/>
                <w:lang w:val="en-US" w:eastAsia="zh-CN"/>
              </w:rPr>
              <w:t>演示内容完整，画面较清晰美观，符合要求的得</w:t>
            </w:r>
            <w:r>
              <w:rPr>
                <w:rFonts w:hint="eastAsia" w:cs="仿宋"/>
                <w:sz w:val="24"/>
                <w:szCs w:val="24"/>
                <w:lang w:val="en-US" w:eastAsia="zh-CN"/>
              </w:rPr>
              <w:t>3</w:t>
            </w:r>
            <w:r>
              <w:rPr>
                <w:rFonts w:hint="eastAsia" w:ascii="仿宋" w:hAnsi="仿宋" w:cs="仿宋"/>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（3）</w:t>
            </w:r>
            <w:r>
              <w:rPr>
                <w:rFonts w:hint="eastAsia" w:ascii="仿宋" w:hAnsi="仿宋" w:cs="仿宋"/>
                <w:sz w:val="24"/>
                <w:szCs w:val="24"/>
                <w:lang w:val="en-US" w:eastAsia="zh-CN"/>
              </w:rPr>
              <w:t>演示内容不完整或不符合要求得1分；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（4）</w:t>
            </w:r>
            <w:r>
              <w:rPr>
                <w:rFonts w:hint="eastAsia" w:ascii="仿宋" w:hAnsi="仿宋" w:cs="仿宋"/>
                <w:sz w:val="24"/>
                <w:szCs w:val="24"/>
                <w:lang w:val="en-US" w:eastAsia="zh-CN"/>
              </w:rPr>
              <w:t>未</w:t>
            </w:r>
            <w:r>
              <w:rPr>
                <w:rFonts w:hint="eastAsia" w:cs="仿宋"/>
                <w:sz w:val="24"/>
                <w:szCs w:val="24"/>
                <w:lang w:val="en-US" w:eastAsia="zh-CN"/>
              </w:rPr>
              <w:t>提供</w:t>
            </w:r>
            <w:r>
              <w:rPr>
                <w:rFonts w:hint="eastAsia" w:ascii="仿宋" w:hAnsi="仿宋" w:cs="仿宋"/>
                <w:sz w:val="24"/>
                <w:szCs w:val="24"/>
                <w:lang w:val="en-US" w:eastAsia="zh-CN"/>
              </w:rPr>
              <w:t>演示不得分。</w:t>
            </w:r>
          </w:p>
          <w:p>
            <w:pPr>
              <w:keepNext w:val="0"/>
              <w:keepLines w:val="0"/>
              <w:pageBreakBefore w:val="0"/>
              <w:kinsoku/>
              <w:wordWrap/>
              <w:overflowPunct/>
              <w:topLinePunct w:val="0"/>
              <w:autoSpaceDE/>
              <w:autoSpaceDN/>
              <w:bidi w:val="0"/>
              <w:adjustRightInd/>
              <w:snapToGrid/>
              <w:spacing w:beforeAutospacing="0" w:after="0" w:line="400" w:lineRule="exact"/>
              <w:ind w:firstLine="0"/>
              <w:rPr>
                <w:rFonts w:hint="eastAsia" w:cs="Times New Roman"/>
                <w:b/>
                <w:bCs/>
                <w:snapToGrid/>
                <w:color w:val="000000"/>
                <w:kern w:val="2"/>
                <w:sz w:val="24"/>
                <w:szCs w:val="24"/>
                <w:lang w:eastAsia="zh-CN"/>
              </w:rPr>
            </w:pPr>
            <w:r>
              <w:rPr>
                <w:rFonts w:hint="eastAsia" w:cs="Times New Roman"/>
                <w:b/>
                <w:bCs/>
                <w:snapToGrid/>
                <w:color w:val="000000"/>
                <w:kern w:val="2"/>
                <w:sz w:val="24"/>
                <w:szCs w:val="24"/>
              </w:rPr>
              <w:t>2、投标人</w:t>
            </w:r>
            <w:r>
              <w:rPr>
                <w:rFonts w:hint="eastAsia" w:cs="Times New Roman"/>
                <w:b/>
                <w:bCs/>
                <w:snapToGrid/>
                <w:color w:val="000000"/>
                <w:kern w:val="2"/>
                <w:sz w:val="24"/>
                <w:szCs w:val="24"/>
                <w:lang w:val="en-US" w:eastAsia="zh-CN"/>
              </w:rPr>
              <w:t>演示至少3种</w:t>
            </w:r>
            <w:r>
              <w:rPr>
                <w:rFonts w:hint="eastAsia" w:cs="Times New Roman"/>
                <w:b/>
                <w:bCs/>
                <w:snapToGrid/>
                <w:color w:val="000000"/>
                <w:kern w:val="2"/>
                <w:sz w:val="24"/>
                <w:szCs w:val="24"/>
              </w:rPr>
              <w:t>不同类型</w:t>
            </w:r>
            <w:r>
              <w:rPr>
                <w:rFonts w:hint="eastAsia" w:cs="Times New Roman"/>
                <w:b/>
                <w:bCs/>
                <w:snapToGrid/>
                <w:color w:val="000000"/>
                <w:kern w:val="2"/>
                <w:sz w:val="24"/>
                <w:szCs w:val="24"/>
                <w:lang w:val="en-US" w:eastAsia="zh-CN"/>
              </w:rPr>
              <w:t>和</w:t>
            </w:r>
            <w:r>
              <w:rPr>
                <w:rFonts w:hint="eastAsia" w:cs="Times New Roman"/>
                <w:b/>
                <w:bCs/>
                <w:snapToGrid/>
                <w:color w:val="000000"/>
                <w:kern w:val="2"/>
                <w:sz w:val="24"/>
                <w:szCs w:val="24"/>
              </w:rPr>
              <w:t>材质文物的裸眼3D动画</w:t>
            </w:r>
            <w:r>
              <w:rPr>
                <w:rFonts w:hint="eastAsia" w:cs="Times New Roman"/>
                <w:b/>
                <w:bCs/>
                <w:snapToGrid/>
                <w:color w:val="000000"/>
                <w:kern w:val="2"/>
                <w:sz w:val="24"/>
                <w:szCs w:val="24"/>
                <w:lang w:eastAsia="zh-CN"/>
              </w:rPr>
              <w:t>，</w:t>
            </w:r>
            <w:r>
              <w:rPr>
                <w:rFonts w:hint="eastAsia" w:cs="Times New Roman"/>
                <w:b/>
                <w:bCs/>
                <w:snapToGrid/>
                <w:color w:val="000000"/>
                <w:kern w:val="2"/>
                <w:sz w:val="24"/>
                <w:szCs w:val="24"/>
              </w:rPr>
              <w:t>能够以裸眼3D形式凸显文物细节，</w:t>
            </w:r>
            <w:r>
              <w:rPr>
                <w:rFonts w:hint="eastAsia" w:cs="Times New Roman"/>
                <w:b/>
                <w:bCs/>
                <w:snapToGrid/>
                <w:color w:val="000000"/>
                <w:kern w:val="2"/>
                <w:sz w:val="24"/>
                <w:szCs w:val="24"/>
                <w:lang w:val="en-US" w:eastAsia="zh-CN"/>
              </w:rPr>
              <w:t>并且能够与文物完成互动操作</w:t>
            </w:r>
            <w:r>
              <w:rPr>
                <w:rFonts w:hint="eastAsia" w:cs="Times New Roman"/>
                <w:b/>
                <w:bCs/>
                <w:snapToGrid/>
                <w:color w:val="000000"/>
                <w:kern w:val="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（1）</w:t>
            </w:r>
            <w:r>
              <w:rPr>
                <w:rFonts w:hint="eastAsia" w:ascii="仿宋" w:hAnsi="仿宋" w:cs="仿宋"/>
                <w:sz w:val="24"/>
                <w:szCs w:val="24"/>
                <w:lang w:val="en-US" w:eastAsia="zh-CN"/>
              </w:rPr>
              <w:t>演示内容完整、清晰美观、画面丰富，完整符合要求的得</w:t>
            </w:r>
            <w:r>
              <w:rPr>
                <w:rFonts w:hint="eastAsia" w:cs="仿宋"/>
                <w:sz w:val="24"/>
                <w:szCs w:val="24"/>
                <w:lang w:val="en-US" w:eastAsia="zh-CN"/>
              </w:rPr>
              <w:t>5</w:t>
            </w:r>
            <w:r>
              <w:rPr>
                <w:rFonts w:hint="eastAsia" w:ascii="仿宋" w:hAnsi="仿宋" w:cs="仿宋"/>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（2）</w:t>
            </w:r>
            <w:r>
              <w:rPr>
                <w:rFonts w:hint="eastAsia" w:ascii="仿宋" w:hAnsi="仿宋" w:cs="仿宋"/>
                <w:sz w:val="24"/>
                <w:szCs w:val="24"/>
                <w:lang w:val="en-US" w:eastAsia="zh-CN"/>
              </w:rPr>
              <w:t>演示内容完整，画面较清晰美观，符合要求的得</w:t>
            </w:r>
            <w:r>
              <w:rPr>
                <w:rFonts w:hint="eastAsia" w:cs="仿宋"/>
                <w:sz w:val="24"/>
                <w:szCs w:val="24"/>
                <w:lang w:val="en-US" w:eastAsia="zh-CN"/>
              </w:rPr>
              <w:t>3</w:t>
            </w:r>
            <w:r>
              <w:rPr>
                <w:rFonts w:hint="eastAsia" w:ascii="仿宋" w:hAnsi="仿宋" w:cs="仿宋"/>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（3）</w:t>
            </w:r>
            <w:r>
              <w:rPr>
                <w:rFonts w:hint="eastAsia" w:ascii="仿宋" w:hAnsi="仿宋" w:cs="仿宋"/>
                <w:sz w:val="24"/>
                <w:szCs w:val="24"/>
                <w:lang w:val="en-US" w:eastAsia="zh-CN"/>
              </w:rPr>
              <w:t>演示内容不完整或不符合要求得1分；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b/>
                <w:bCs/>
                <w:snapToGrid/>
                <w:color w:val="000000"/>
                <w:kern w:val="2"/>
                <w:sz w:val="24"/>
                <w:szCs w:val="24"/>
                <w:lang w:val="en-US" w:eastAsia="zh-CN"/>
              </w:rPr>
            </w:pPr>
            <w:r>
              <w:rPr>
                <w:rFonts w:hint="eastAsia" w:cs="仿宋"/>
                <w:sz w:val="24"/>
                <w:szCs w:val="24"/>
                <w:lang w:val="en-US" w:eastAsia="zh-CN"/>
              </w:rPr>
              <w:t>（4）</w:t>
            </w:r>
            <w:r>
              <w:rPr>
                <w:rFonts w:hint="eastAsia" w:ascii="仿宋" w:hAnsi="仿宋" w:cs="仿宋"/>
                <w:sz w:val="24"/>
                <w:szCs w:val="24"/>
                <w:lang w:val="en-US" w:eastAsia="zh-CN"/>
              </w:rPr>
              <w:t>未</w:t>
            </w:r>
            <w:r>
              <w:rPr>
                <w:rFonts w:hint="eastAsia" w:cs="仿宋"/>
                <w:sz w:val="24"/>
                <w:szCs w:val="24"/>
                <w:lang w:val="en-US" w:eastAsia="zh-CN"/>
              </w:rPr>
              <w:t>提供</w:t>
            </w:r>
            <w:r>
              <w:rPr>
                <w:rFonts w:hint="eastAsia" w:ascii="仿宋" w:hAnsi="仿宋" w:cs="仿宋"/>
                <w:sz w:val="24"/>
                <w:szCs w:val="24"/>
                <w:lang w:val="en-US" w:eastAsia="zh-CN"/>
              </w:rPr>
              <w:t>演示不得分。</w:t>
            </w:r>
          </w:p>
          <w:p>
            <w:pPr>
              <w:keepNext w:val="0"/>
              <w:keepLines w:val="0"/>
              <w:pageBreakBefore w:val="0"/>
              <w:kinsoku/>
              <w:wordWrap/>
              <w:overflowPunct/>
              <w:topLinePunct w:val="0"/>
              <w:autoSpaceDE/>
              <w:autoSpaceDN/>
              <w:bidi w:val="0"/>
              <w:adjustRightInd/>
              <w:snapToGrid/>
              <w:spacing w:beforeAutospacing="0" w:after="0" w:line="400" w:lineRule="exact"/>
              <w:ind w:firstLine="0"/>
              <w:rPr>
                <w:rFonts w:cs="Times New Roman"/>
                <w:b/>
                <w:bCs/>
                <w:snapToGrid/>
                <w:color w:val="000000"/>
                <w:kern w:val="2"/>
                <w:sz w:val="24"/>
                <w:szCs w:val="24"/>
              </w:rPr>
            </w:pPr>
            <w:r>
              <w:rPr>
                <w:rFonts w:hint="eastAsia" w:cs="Times New Roman"/>
                <w:b/>
                <w:bCs/>
                <w:snapToGrid/>
                <w:color w:val="000000"/>
                <w:kern w:val="2"/>
                <w:sz w:val="24"/>
                <w:szCs w:val="24"/>
                <w:lang w:val="en-US" w:eastAsia="zh-CN"/>
              </w:rPr>
              <w:t>3、</w:t>
            </w:r>
            <w:r>
              <w:rPr>
                <w:rFonts w:hint="eastAsia" w:cs="Times New Roman"/>
                <w:b/>
                <w:bCs/>
                <w:snapToGrid/>
                <w:color w:val="000000"/>
                <w:kern w:val="2"/>
                <w:sz w:val="24"/>
                <w:szCs w:val="24"/>
              </w:rPr>
              <w:t>投标人提供</w:t>
            </w:r>
            <w:r>
              <w:rPr>
                <w:rFonts w:hint="eastAsia" w:cs="Times New Roman"/>
                <w:b/>
                <w:bCs/>
                <w:snapToGrid/>
                <w:color w:val="000000"/>
                <w:kern w:val="2"/>
                <w:sz w:val="24"/>
                <w:szCs w:val="24"/>
                <w:lang w:val="en-US" w:eastAsia="zh-CN"/>
              </w:rPr>
              <w:t>考古类体验课程的</w:t>
            </w:r>
            <w:r>
              <w:rPr>
                <w:rFonts w:hint="eastAsia" w:cs="Times New Roman"/>
                <w:b/>
                <w:bCs/>
                <w:snapToGrid/>
                <w:color w:val="000000"/>
                <w:kern w:val="2"/>
                <w:sz w:val="24"/>
                <w:szCs w:val="24"/>
              </w:rPr>
              <w:t>脚本方案视频讲解，从脚本的策划理念，文本内容，逻辑结构，可执行性四个方面进行阐述。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（1）</w:t>
            </w:r>
            <w:r>
              <w:rPr>
                <w:rFonts w:hint="eastAsia" w:ascii="仿宋" w:hAnsi="仿宋" w:cs="仿宋"/>
                <w:sz w:val="24"/>
                <w:szCs w:val="24"/>
                <w:lang w:val="en-US" w:eastAsia="zh-CN"/>
              </w:rPr>
              <w:t>脚本有很高策划理念，文本内容翔实，逻辑缜密结构清晰，具有很强可执行性，得5分。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（2）</w:t>
            </w:r>
            <w:r>
              <w:rPr>
                <w:rFonts w:hint="eastAsia" w:ascii="仿宋" w:hAnsi="仿宋" w:cs="仿宋"/>
                <w:sz w:val="24"/>
                <w:szCs w:val="24"/>
                <w:lang w:val="en-US" w:eastAsia="zh-CN"/>
              </w:rPr>
              <w:t>脚本有一定策划，文本内容丰富，有逻辑结构，具有可执行，得3分；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（3）</w:t>
            </w:r>
            <w:r>
              <w:rPr>
                <w:rFonts w:hint="eastAsia" w:ascii="仿宋" w:hAnsi="仿宋" w:cs="仿宋"/>
                <w:sz w:val="24"/>
                <w:szCs w:val="24"/>
                <w:lang w:val="en-US" w:eastAsia="zh-CN"/>
              </w:rPr>
              <w:t>脚本策划一般，文本内容简单，没有逻辑结构，可执行性差，得1分；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cs="仿宋"/>
                <w:sz w:val="24"/>
                <w:szCs w:val="24"/>
                <w:lang w:val="en-US" w:eastAsia="zh-CN"/>
              </w:rPr>
            </w:pPr>
            <w:r>
              <w:rPr>
                <w:rFonts w:hint="eastAsia" w:cs="仿宋"/>
                <w:sz w:val="24"/>
                <w:szCs w:val="24"/>
                <w:lang w:val="en-US" w:eastAsia="zh-CN"/>
              </w:rPr>
              <w:t>（4）</w:t>
            </w:r>
            <w:r>
              <w:rPr>
                <w:rFonts w:hint="eastAsia" w:ascii="仿宋" w:hAnsi="仿宋" w:cs="仿宋"/>
                <w:sz w:val="24"/>
                <w:szCs w:val="24"/>
                <w:lang w:val="en-US" w:eastAsia="zh-CN"/>
              </w:rPr>
              <w:t>未</w:t>
            </w:r>
            <w:r>
              <w:rPr>
                <w:rFonts w:hint="eastAsia" w:cs="仿宋"/>
                <w:sz w:val="24"/>
                <w:szCs w:val="24"/>
                <w:lang w:val="en-US" w:eastAsia="zh-CN"/>
              </w:rPr>
              <w:t>提供</w:t>
            </w:r>
            <w:r>
              <w:rPr>
                <w:rFonts w:hint="eastAsia" w:ascii="仿宋" w:hAnsi="仿宋" w:cs="仿宋"/>
                <w:sz w:val="24"/>
                <w:szCs w:val="24"/>
                <w:lang w:val="en-US" w:eastAsia="zh-CN"/>
              </w:rPr>
              <w:t>演示不得分。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演示其他要求：</w:t>
            </w:r>
          </w:p>
          <w:p>
            <w:pPr>
              <w:spacing w:line="360" w:lineRule="auto"/>
              <w:ind w:firstLine="480" w:firstLineChars="200"/>
              <w:jc w:val="both"/>
              <w:rPr>
                <w:rFonts w:hint="eastAsia" w:ascii="仿宋" w:hAnsi="仿宋" w:cs="仿宋"/>
                <w:sz w:val="24"/>
                <w:szCs w:val="24"/>
                <w:lang w:val="en-US" w:eastAsia="zh-CN"/>
              </w:rPr>
            </w:pPr>
            <w:r>
              <w:rPr>
                <w:rFonts w:hint="eastAsia" w:ascii="仿宋" w:hAnsi="仿宋" w:cs="仿宋"/>
                <w:sz w:val="24"/>
                <w:szCs w:val="24"/>
                <w:lang w:val="en-US" w:eastAsia="zh-CN"/>
              </w:rPr>
              <w:t>1、视频文件须具有投标人名称水印，未提供的不得分。</w:t>
            </w:r>
          </w:p>
          <w:p>
            <w:pPr>
              <w:spacing w:line="360" w:lineRule="auto"/>
              <w:ind w:firstLine="480" w:firstLineChars="200"/>
              <w:jc w:val="both"/>
              <w:rPr>
                <w:rFonts w:hint="default" w:ascii="仿宋" w:hAnsi="仿宋" w:cs="仿宋"/>
                <w:sz w:val="24"/>
                <w:szCs w:val="24"/>
                <w:lang w:val="en-US" w:eastAsia="zh-CN"/>
              </w:rPr>
            </w:pPr>
            <w:r>
              <w:rPr>
                <w:rFonts w:hint="eastAsia" w:ascii="仿宋" w:hAnsi="仿宋" w:cs="仿宋"/>
                <w:sz w:val="24"/>
                <w:szCs w:val="24"/>
                <w:lang w:val="en-US" w:eastAsia="zh-CN"/>
              </w:rPr>
              <w:t>2、在投标文件中作出项目最终成果不低于演示效果的承诺，未提供的不得分。</w:t>
            </w:r>
          </w:p>
          <w:p>
            <w:pPr>
              <w:bidi w:val="0"/>
              <w:spacing w:line="360" w:lineRule="auto"/>
              <w:ind w:firstLine="480" w:firstLineChars="200"/>
              <w:jc w:val="both"/>
              <w:rPr>
                <w:rFonts w:hint="eastAsia"/>
                <w:sz w:val="24"/>
                <w:szCs w:val="24"/>
              </w:rPr>
            </w:pPr>
            <w:r>
              <w:rPr>
                <w:rFonts w:hint="eastAsia" w:ascii="仿宋" w:hAnsi="仿宋" w:cs="仿宋"/>
                <w:sz w:val="24"/>
                <w:szCs w:val="24"/>
                <w:lang w:val="en-US" w:eastAsia="zh-CN"/>
              </w:rPr>
              <w:t>3、在投标文件中提供演示视频内容的版权归属投标人且不存在任何版权纠纷的承诺，未提供的不得分。</w:t>
            </w:r>
          </w:p>
        </w:tc>
      </w:tr>
    </w:tbl>
    <w:p>
      <w:pPr>
        <w:pStyle w:val="8"/>
        <w:rPr>
          <w:rFonts w:hint="eastAsia"/>
        </w:rPr>
      </w:pPr>
    </w:p>
    <w:p>
      <w:pPr>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2"/>
        <w:rPr>
          <w:rFonts w:hint="eastAsia"/>
        </w:rPr>
      </w:pPr>
    </w:p>
    <w:p>
      <w:pPr>
        <w:pStyle w:val="3"/>
        <w:rPr>
          <w:rFonts w:hint="eastAsia"/>
        </w:rPr>
      </w:pPr>
    </w:p>
    <w:p>
      <w:pPr>
        <w:pStyle w:val="8"/>
        <w:rPr>
          <w:rFonts w:hint="eastAsia"/>
        </w:rPr>
      </w:pPr>
    </w:p>
    <w:p>
      <w:pPr>
        <w:pStyle w:val="8"/>
        <w:rPr>
          <w:rFonts w:hint="eastAsia"/>
        </w:rPr>
      </w:pPr>
      <w:r>
        <w:rPr>
          <w:rFonts w:hint="eastAsia"/>
        </w:rPr>
        <w:t xml:space="preserve">第六章  投标文件格式 </w:t>
      </w:r>
    </w:p>
    <w:p>
      <w:pPr>
        <w:jc w:val="center"/>
        <w:rPr>
          <w:rFonts w:hint="eastAsia" w:ascii="宋体" w:hAnsi="宋体"/>
          <w:b/>
          <w:sz w:val="72"/>
        </w:rPr>
      </w:pPr>
      <w:bookmarkStart w:id="217" w:name="_Hlt26671244"/>
      <w:bookmarkEnd w:id="217"/>
      <w:bookmarkStart w:id="218" w:name="_Hlt26955039"/>
      <w:bookmarkEnd w:id="218"/>
      <w:bookmarkStart w:id="219" w:name="_Toc26554094"/>
      <w:bookmarkStart w:id="220" w:name="_Toc120614282"/>
      <w:bookmarkStart w:id="221" w:name="_Toc49090576"/>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jc w:val="center"/>
        <w:rPr>
          <w:rFonts w:hint="eastAsia" w:ascii="宋体" w:hAnsi="宋体"/>
          <w:b/>
          <w:sz w:val="72"/>
        </w:rPr>
      </w:pPr>
    </w:p>
    <w:p>
      <w:pPr>
        <w:jc w:val="center"/>
        <w:rPr>
          <w:rFonts w:hint="eastAsia" w:ascii="宋体" w:hAnsi="宋体"/>
          <w:b/>
          <w:sz w:val="36"/>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color w:val="auto"/>
          <w:sz w:val="36"/>
          <w:u w:val="none"/>
          <w:lang w:val="en-US" w:eastAsia="zh-CN"/>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pPr>
        <w:spacing w:line="440" w:lineRule="exact"/>
        <w:jc w:val="center"/>
        <w:rPr>
          <w:rFonts w:hint="eastAsia" w:ascii="宋体" w:hAnsi="宋体"/>
          <w:b/>
          <w:bCs/>
          <w:sz w:val="32"/>
          <w:szCs w:val="32"/>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rPr>
          <w:rFonts w:hint="eastAsia" w:ascii="宋体" w:hAnsi="宋体"/>
          <w:sz w:val="24"/>
        </w:rPr>
      </w:pPr>
      <w:r>
        <w:rPr>
          <w:rFonts w:ascii="宋体" w:hAnsi="宋体"/>
          <w:sz w:val="24"/>
        </w:rPr>
        <w:br w:type="page"/>
      </w:r>
    </w:p>
    <w:p>
      <w:pPr>
        <w:jc w:val="center"/>
        <w:rPr>
          <w:rFonts w:ascii="宋体" w:hAnsi="宋体"/>
          <w:b/>
          <w:sz w:val="30"/>
          <w:szCs w:val="30"/>
        </w:rPr>
      </w:pPr>
      <w:r>
        <w:rPr>
          <w:rFonts w:hint="eastAsia" w:ascii="宋体" w:hAnsi="宋体"/>
          <w:b/>
          <w:sz w:val="30"/>
          <w:szCs w:val="30"/>
        </w:rPr>
        <w:t>评分索引表</w:t>
      </w:r>
    </w:p>
    <w:tbl>
      <w:tblPr>
        <w:tblStyle w:val="23"/>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33"/>
              <w:shd w:val="clear" w:color="auto" w:fill="FFFFFF"/>
              <w:spacing w:line="265" w:lineRule="atLeast"/>
              <w:ind w:left="420"/>
              <w:jc w:val="center"/>
              <w:rPr>
                <w:rFonts w:ascii="宋体" w:hAnsi="宋体" w:eastAsia="Times New Roman"/>
                <w:b/>
                <w:bCs/>
                <w:lang w:val="en-US" w:eastAsia="zh-CN"/>
              </w:rPr>
            </w:pPr>
            <w:r>
              <w:rPr>
                <w:rFonts w:hint="eastAsia" w:ascii="宋体" w:hAnsi="宋体" w:eastAsia="Times New Roman"/>
                <w:b/>
                <w:lang w:val="en-US"/>
              </w:rPr>
              <w:t>评分项目</w:t>
            </w:r>
          </w:p>
        </w:tc>
        <w:tc>
          <w:tcPr>
            <w:tcW w:w="3711" w:type="dxa"/>
            <w:noWrap w:val="0"/>
            <w:vAlign w:val="top"/>
          </w:tcPr>
          <w:p>
            <w:pPr>
              <w:jc w:val="center"/>
              <w:rPr>
                <w:rFonts w:ascii="宋体" w:hAnsi="宋体"/>
                <w:b/>
              </w:rPr>
            </w:pPr>
            <w:r>
              <w:rPr>
                <w:rFonts w:hint="eastAsia" w:ascii="宋体" w:hAnsi="宋体"/>
                <w:b/>
                <w:kern w:val="0"/>
                <w:sz w:val="24"/>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529" w:type="dxa"/>
            <w:noWrap w:val="0"/>
            <w:vAlign w:val="top"/>
          </w:tcPr>
          <w:p>
            <w:pPr>
              <w:pStyle w:val="33"/>
              <w:shd w:val="clear" w:color="auto" w:fill="FFFFFF"/>
              <w:spacing w:line="265" w:lineRule="atLeast"/>
              <w:ind w:left="420"/>
              <w:jc w:val="both"/>
              <w:rPr>
                <w:rFonts w:ascii="宋体" w:hAnsi="宋体" w:eastAsia="Times New Roman"/>
                <w:b/>
                <w:lang w:val="en-US" w:eastAsia="zh-CN"/>
              </w:rPr>
            </w:pPr>
          </w:p>
        </w:tc>
        <w:tc>
          <w:tcPr>
            <w:tcW w:w="3711" w:type="dxa"/>
            <w:noWrap w:val="0"/>
            <w:vAlign w:val="top"/>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noWrap w:val="0"/>
            <w:vAlign w:val="top"/>
          </w:tcPr>
          <w:p>
            <w:pPr>
              <w:pStyle w:val="33"/>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3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3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3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3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3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33"/>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3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3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29" w:type="dxa"/>
            <w:noWrap w:val="0"/>
            <w:vAlign w:val="top"/>
          </w:tcPr>
          <w:p>
            <w:pPr>
              <w:pStyle w:val="3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3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3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33"/>
              <w:shd w:val="clear" w:color="auto" w:fill="FFFFFF"/>
              <w:spacing w:line="265" w:lineRule="atLeast"/>
              <w:ind w:left="420"/>
              <w:jc w:val="both"/>
              <w:rPr>
                <w:rFonts w:ascii="宋体" w:hAnsi="宋体" w:eastAsia="Times New Roman"/>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33"/>
              <w:shd w:val="clear" w:color="auto" w:fill="FFFFFF"/>
              <w:spacing w:line="265" w:lineRule="atLeast"/>
              <w:ind w:left="420"/>
              <w:rPr>
                <w:rFonts w:ascii="宋体" w:hAnsi="宋体" w:eastAsia="Times New Roman"/>
                <w:b/>
                <w:bCs/>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33"/>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bl>
    <w:p>
      <w:pPr>
        <w:rPr>
          <w:rFonts w:ascii="宋体" w:hAnsi="宋体"/>
        </w:rPr>
      </w:pPr>
    </w:p>
    <w:p>
      <w:pPr>
        <w:ind w:firstLine="1084" w:firstLineChars="300"/>
        <w:jc w:val="center"/>
        <w:rPr>
          <w:rFonts w:hint="eastAsia" w:ascii="宋体" w:hAnsi="宋体"/>
          <w:b/>
          <w:bCs/>
          <w:sz w:val="32"/>
          <w:szCs w:val="32"/>
        </w:rPr>
      </w:pPr>
      <w:r>
        <w:rPr>
          <w:rFonts w:ascii="宋体" w:hAnsi="宋体"/>
          <w:b/>
          <w:sz w:val="36"/>
          <w:u w:val="single"/>
        </w:rPr>
        <w:br w:type="page"/>
      </w:r>
      <w:r>
        <w:rPr>
          <w:rFonts w:hint="eastAsia" w:ascii="宋体" w:hAnsi="宋体"/>
          <w:b/>
          <w:bCs/>
          <w:sz w:val="32"/>
          <w:szCs w:val="32"/>
        </w:rPr>
        <w:t>投标主要文件目录</w:t>
      </w:r>
    </w:p>
    <w:p>
      <w:pPr>
        <w:spacing w:line="440" w:lineRule="exact"/>
        <w:jc w:val="center"/>
        <w:rPr>
          <w:rFonts w:hint="eastAsia" w:ascii="宋体" w:hAnsi="宋体"/>
          <w:b/>
          <w:bCs/>
          <w:sz w:val="32"/>
          <w:szCs w:val="32"/>
        </w:rPr>
      </w:pPr>
    </w:p>
    <w:p>
      <w:pPr>
        <w:ind w:firstLine="480" w:firstLineChars="200"/>
        <w:rPr>
          <w:rFonts w:ascii="宋体" w:hAnsi="宋体"/>
          <w:sz w:val="24"/>
        </w:rPr>
      </w:pPr>
      <w:r>
        <w:rPr>
          <w:rFonts w:hint="eastAsia" w:ascii="宋体" w:hAnsi="宋体"/>
          <w:sz w:val="24"/>
        </w:rPr>
        <w:t>一、资格审查响应对照表</w:t>
      </w:r>
    </w:p>
    <w:p>
      <w:pPr>
        <w:ind w:left="480"/>
        <w:rPr>
          <w:rFonts w:ascii="宋体" w:hAnsi="宋体"/>
          <w:sz w:val="24"/>
        </w:rPr>
      </w:pPr>
      <w:r>
        <w:rPr>
          <w:rFonts w:hint="eastAsia" w:ascii="宋体" w:hAnsi="宋体"/>
          <w:sz w:val="24"/>
        </w:rPr>
        <w:t>二、符合性审查响应对照表</w:t>
      </w:r>
    </w:p>
    <w:p>
      <w:pPr>
        <w:ind w:left="480"/>
        <w:rPr>
          <w:rFonts w:ascii="宋体" w:hAnsi="宋体"/>
          <w:sz w:val="24"/>
        </w:rPr>
      </w:pPr>
      <w:r>
        <w:rPr>
          <w:rFonts w:hint="eastAsia" w:ascii="宋体" w:hAnsi="宋体"/>
          <w:sz w:val="24"/>
        </w:rPr>
        <w:t>三、非实质性响应对照表</w:t>
      </w:r>
    </w:p>
    <w:p>
      <w:pPr>
        <w:ind w:firstLine="480" w:firstLineChars="200"/>
        <w:rPr>
          <w:rFonts w:ascii="宋体" w:hAnsi="宋体"/>
          <w:sz w:val="24"/>
        </w:rPr>
      </w:pPr>
      <w:r>
        <w:rPr>
          <w:rFonts w:hint="eastAsia" w:ascii="宋体" w:hAnsi="宋体"/>
          <w:sz w:val="24"/>
        </w:rPr>
        <w:t>四</w:t>
      </w:r>
      <w:r>
        <w:rPr>
          <w:rFonts w:hint="eastAsia" w:ascii="宋体" w:hAnsi="宋体"/>
          <w:b/>
          <w:bCs/>
          <w:sz w:val="24"/>
        </w:rPr>
        <w:t>、</w:t>
      </w:r>
      <w:r>
        <w:rPr>
          <w:rFonts w:hint="eastAsia" w:ascii="宋体" w:hAnsi="宋体"/>
          <w:sz w:val="24"/>
        </w:rPr>
        <w:t>投标产品配置与分项报价表</w:t>
      </w:r>
    </w:p>
    <w:p>
      <w:pPr>
        <w:ind w:firstLine="480" w:firstLineChars="200"/>
        <w:rPr>
          <w:rFonts w:ascii="宋体" w:hAnsi="宋体"/>
          <w:sz w:val="24"/>
        </w:rPr>
      </w:pPr>
      <w:r>
        <w:rPr>
          <w:rFonts w:hint="eastAsia" w:ascii="宋体" w:hAnsi="宋体"/>
          <w:sz w:val="24"/>
        </w:rPr>
        <w:t>五</w:t>
      </w:r>
      <w:r>
        <w:rPr>
          <w:rFonts w:hint="eastAsia" w:ascii="宋体" w:hAnsi="宋体" w:cs="Courier New"/>
          <w:sz w:val="24"/>
          <w:szCs w:val="24"/>
        </w:rPr>
        <w:t>、</w:t>
      </w:r>
      <w:r>
        <w:rPr>
          <w:rFonts w:hint="eastAsia" w:ascii="宋体" w:hAnsi="宋体"/>
          <w:sz w:val="24"/>
          <w:szCs w:val="24"/>
        </w:rPr>
        <w:t>技术参数响应及偏离表</w:t>
      </w:r>
    </w:p>
    <w:p>
      <w:pPr>
        <w:ind w:firstLine="480" w:firstLineChars="200"/>
        <w:rPr>
          <w:rFonts w:ascii="宋体" w:hAnsi="宋体"/>
          <w:sz w:val="24"/>
        </w:rPr>
      </w:pPr>
      <w:r>
        <w:rPr>
          <w:rFonts w:hint="eastAsia" w:ascii="宋体" w:hAnsi="宋体"/>
          <w:sz w:val="24"/>
        </w:rPr>
        <w:t>六、商务条款响应及偏离表</w:t>
      </w:r>
    </w:p>
    <w:p>
      <w:pPr>
        <w:ind w:firstLine="480" w:firstLineChars="200"/>
        <w:rPr>
          <w:rFonts w:ascii="宋体" w:hAnsi="宋体"/>
          <w:i/>
          <w:sz w:val="24"/>
          <w:u w:val="single"/>
        </w:rPr>
      </w:pPr>
      <w:r>
        <w:rPr>
          <w:rFonts w:hint="eastAsia" w:ascii="宋体" w:hAnsi="宋体"/>
          <w:i/>
          <w:sz w:val="24"/>
          <w:u w:val="single"/>
        </w:rPr>
        <w:t>七、开标一览表</w:t>
      </w:r>
    </w:p>
    <w:p>
      <w:pPr>
        <w:ind w:firstLine="480" w:firstLineChars="200"/>
        <w:rPr>
          <w:rFonts w:hint="default" w:eastAsia="楷体_GB2312"/>
          <w:lang w:val="en-US" w:eastAsia="zh-CN"/>
        </w:rPr>
      </w:pPr>
      <w:r>
        <w:rPr>
          <w:rFonts w:hint="eastAsia" w:ascii="宋体" w:hAnsi="宋体" w:eastAsia="宋体" w:cs="Times New Roman"/>
          <w:kern w:val="2"/>
          <w:sz w:val="24"/>
          <w:szCs w:val="21"/>
          <w:lang w:val="en-US" w:eastAsia="zh-CN" w:bidi="ar-SA"/>
        </w:rPr>
        <w:t>八、供应商认为有必要提供的声明及文件资料</w:t>
      </w:r>
    </w:p>
    <w:p>
      <w:pPr>
        <w:ind w:firstLine="480" w:firstLineChars="200"/>
        <w:rPr>
          <w:color w:val="0000FF"/>
          <w:sz w:val="24"/>
          <w:szCs w:val="24"/>
          <w:u w:val="single"/>
          <w:lang w:val="en-US"/>
        </w:rPr>
      </w:pPr>
      <w:r>
        <w:rPr>
          <w:rFonts w:hint="eastAsia"/>
          <w:color w:val="0000FF"/>
          <w:sz w:val="24"/>
          <w:szCs w:val="24"/>
          <w:u w:val="single"/>
          <w:lang w:val="en-US"/>
        </w:rPr>
        <w:t>请供应商按照以</w:t>
      </w:r>
      <w:r>
        <w:rPr>
          <w:rFonts w:hint="eastAsia"/>
          <w:color w:val="0000FF"/>
          <w:sz w:val="24"/>
          <w:szCs w:val="24"/>
          <w:u w:val="single"/>
          <w:lang w:val="en-US" w:eastAsia="zh-CN"/>
        </w:rPr>
        <w:t>上</w:t>
      </w:r>
      <w:r>
        <w:rPr>
          <w:rFonts w:hint="eastAsia"/>
          <w:color w:val="0000FF"/>
          <w:sz w:val="24"/>
          <w:szCs w:val="24"/>
          <w:u w:val="single"/>
          <w:lang w:val="en-US"/>
        </w:rPr>
        <w:t>的要求格式、内容，顺序制作</w:t>
      </w:r>
      <w:r>
        <w:rPr>
          <w:rFonts w:hint="eastAsia"/>
          <w:color w:val="0000FF"/>
          <w:sz w:val="24"/>
          <w:szCs w:val="24"/>
          <w:u w:val="single"/>
          <w:lang w:val="en-US" w:eastAsia="zh-CN"/>
        </w:rPr>
        <w:t>投标</w:t>
      </w:r>
      <w:r>
        <w:rPr>
          <w:rFonts w:hint="eastAsia"/>
          <w:color w:val="0000FF"/>
          <w:sz w:val="24"/>
          <w:szCs w:val="24"/>
          <w:u w:val="single"/>
          <w:lang w:val="en-US"/>
        </w:rPr>
        <w:t>文件，并请编制目录及页码</w:t>
      </w:r>
      <w:r>
        <w:rPr>
          <w:rFonts w:hint="eastAsia"/>
          <w:color w:val="0000FF"/>
          <w:sz w:val="24"/>
          <w:szCs w:val="24"/>
          <w:u w:val="single"/>
          <w:lang w:val="en-US" w:eastAsia="zh-CN"/>
        </w:rPr>
        <w:t>；上传的相关证件、证书、证明材料等复印件必须真实、清晰可辩，</w:t>
      </w:r>
      <w:r>
        <w:rPr>
          <w:rFonts w:hint="eastAsia"/>
          <w:color w:val="0000FF"/>
          <w:sz w:val="24"/>
          <w:szCs w:val="24"/>
          <w:u w:val="single"/>
          <w:lang w:val="en-US"/>
        </w:rPr>
        <w:t>否则可能将影响对</w:t>
      </w:r>
      <w:r>
        <w:rPr>
          <w:rFonts w:hint="eastAsia"/>
          <w:color w:val="0000FF"/>
          <w:sz w:val="24"/>
          <w:szCs w:val="24"/>
          <w:u w:val="single"/>
          <w:lang w:val="en-US" w:eastAsia="zh-CN"/>
        </w:rPr>
        <w:t>投标</w:t>
      </w:r>
      <w:r>
        <w:rPr>
          <w:rFonts w:hint="eastAsia"/>
          <w:color w:val="0000FF"/>
          <w:sz w:val="24"/>
          <w:szCs w:val="24"/>
          <w:u w:val="single"/>
          <w:lang w:val="en-US"/>
        </w:rPr>
        <w:t>文件的评价。</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9"/>
        <w:jc w:val="center"/>
        <w:rPr>
          <w:rFonts w:hint="eastAsia" w:ascii="黑体" w:eastAsia="黑体"/>
          <w:sz w:val="44"/>
        </w:rPr>
      </w:pPr>
      <w:r>
        <w:rPr>
          <w:sz w:val="24"/>
        </w:rPr>
        <w:br w:type="page"/>
      </w:r>
      <w:bookmarkStart w:id="222" w:name="_Toc534816641"/>
      <w:bookmarkStart w:id="223" w:name="_Toc534725612"/>
      <w:r>
        <w:rPr>
          <w:rFonts w:hint="eastAsia" w:ascii="宋体" w:hAnsi="宋体"/>
          <w:bCs w:val="0"/>
        </w:rPr>
        <w:t>一、</w:t>
      </w:r>
      <w:bookmarkEnd w:id="222"/>
      <w:bookmarkEnd w:id="223"/>
      <w:r>
        <w:rPr>
          <w:rFonts w:hint="eastAsia" w:ascii="宋体" w:hAnsi="宋体"/>
          <w:bCs w:val="0"/>
        </w:rPr>
        <w:t>资格审查响应对照表</w:t>
      </w:r>
      <w:bookmarkEnd w:id="219"/>
      <w:bookmarkEnd w:id="220"/>
      <w:bookmarkEnd w:id="221"/>
    </w:p>
    <w:p>
      <w:pPr>
        <w:snapToGrid w:val="0"/>
        <w:spacing w:before="50" w:after="50"/>
        <w:rPr>
          <w:rFonts w:ascii="黑体" w:eastAsia="黑体"/>
          <w:sz w:val="44"/>
        </w:rPr>
      </w:pPr>
    </w:p>
    <w:tbl>
      <w:tblPr>
        <w:tblStyle w:val="23"/>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序号</w:t>
            </w:r>
          </w:p>
        </w:tc>
        <w:tc>
          <w:tcPr>
            <w:tcW w:w="5447"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资格审查响应内容</w:t>
            </w:r>
          </w:p>
        </w:tc>
        <w:tc>
          <w:tcPr>
            <w:tcW w:w="1103"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是否响应</w:t>
            </w:r>
          </w:p>
          <w:p>
            <w:pPr>
              <w:snapToGrid w:val="0"/>
              <w:spacing w:line="240" w:lineRule="atLeast"/>
              <w:jc w:val="center"/>
              <w:rPr>
                <w:rFonts w:ascii="幼圆" w:eastAsia="幼圆"/>
                <w:b/>
                <w:color w:val="auto"/>
                <w:highlight w:val="none"/>
              </w:rPr>
            </w:pPr>
            <w:r>
              <w:rPr>
                <w:rFonts w:hint="eastAsia" w:ascii="幼圆" w:eastAsia="幼圆"/>
                <w:b/>
                <w:color w:val="auto"/>
                <w:highlight w:val="none"/>
              </w:rPr>
              <w:t>（填是或否）</w:t>
            </w:r>
          </w:p>
        </w:tc>
        <w:tc>
          <w:tcPr>
            <w:tcW w:w="191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4"/>
            <w:noWrap w:val="0"/>
            <w:vAlign w:val="center"/>
          </w:tcPr>
          <w:p>
            <w:pPr>
              <w:rPr>
                <w:rFonts w:ascii="宋体" w:hAnsi="宋体"/>
                <w:b/>
                <w:color w:val="auto"/>
                <w:highlight w:val="none"/>
              </w:rPr>
            </w:pPr>
            <w:r>
              <w:rPr>
                <w:rFonts w:hint="eastAsia" w:ascii="宋体" w:hAnsi="宋体"/>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color w:val="auto"/>
                <w:highlight w:val="none"/>
              </w:rPr>
            </w:pPr>
            <w:r>
              <w:rPr>
                <w:rFonts w:hint="eastAsia" w:ascii="宋体" w:hAnsi="宋体"/>
                <w:b/>
                <w:color w:val="auto"/>
                <w:highlight w:val="none"/>
              </w:rPr>
              <w:t>1</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法人或者其他组织的营业执照等证明文件，自然人的身份证明（身份证为正、反面）</w:t>
            </w:r>
          </w:p>
        </w:tc>
        <w:tc>
          <w:tcPr>
            <w:tcW w:w="1103" w:type="dxa"/>
            <w:noWrap w:val="0"/>
            <w:vAlign w:val="center"/>
          </w:tcPr>
          <w:p>
            <w:pPr>
              <w:rPr>
                <w:rFonts w:ascii="宋体" w:hAnsi="宋体"/>
                <w:b/>
                <w:color w:val="auto"/>
                <w:highlight w:val="none"/>
              </w:rPr>
            </w:pPr>
          </w:p>
        </w:tc>
        <w:tc>
          <w:tcPr>
            <w:tcW w:w="1916" w:type="dxa"/>
            <w:noWrap w:val="0"/>
            <w:vAlign w:val="center"/>
          </w:tcPr>
          <w:p>
            <w:pP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最近一个年度的财务状况报告（成立不满一年不需提供）</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具备履行合同所必需的设备和专业技术能力的书面声明</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5447" w:type="dxa"/>
            <w:noWrap w:val="0"/>
            <w:vAlign w:val="center"/>
          </w:tcPr>
          <w:p>
            <w:pPr>
              <w:snapToGrid w:val="0"/>
              <w:spacing w:line="0" w:lineRule="atLeast"/>
              <w:rPr>
                <w:rFonts w:ascii="宋体" w:hAnsi="宋体"/>
                <w:iCs/>
                <w:color w:val="auto"/>
                <w:sz w:val="24"/>
                <w:szCs w:val="24"/>
                <w:highlight w:val="none"/>
              </w:rPr>
            </w:pPr>
            <w:r>
              <w:rPr>
                <w:rFonts w:hint="eastAsia" w:ascii="宋体" w:hAnsi="宋体"/>
                <w:iCs/>
                <w:color w:val="auto"/>
                <w:sz w:val="24"/>
                <w:szCs w:val="24"/>
                <w:highlight w:val="none"/>
              </w:rPr>
              <w:t>参加政府采购活动前 3 年内在经营活动中没有重大违法记录的书面声明</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5447" w:type="dxa"/>
            <w:noWrap w:val="0"/>
            <w:vAlign w:val="center"/>
          </w:tcPr>
          <w:p>
            <w:pPr>
              <w:snapToGrid w:val="0"/>
              <w:spacing w:line="0" w:lineRule="atLeast"/>
              <w:rPr>
                <w:rFonts w:hint="eastAsia" w:ascii="宋体" w:hAnsi="宋体" w:eastAsia="宋体"/>
                <w:iCs/>
                <w:color w:val="auto"/>
                <w:sz w:val="24"/>
                <w:szCs w:val="24"/>
                <w:highlight w:val="none"/>
                <w:lang w:eastAsia="zh-CN"/>
              </w:rPr>
            </w:pPr>
            <w:r>
              <w:rPr>
                <w:rFonts w:hint="eastAsia" w:ascii="宋体" w:hAnsi="宋体" w:cs="Times New Roman"/>
                <w:iCs/>
                <w:color w:val="auto"/>
                <w:sz w:val="24"/>
                <w:szCs w:val="24"/>
                <w:highlight w:val="none"/>
              </w:rPr>
              <w:t>未被“信用中国”网站（www.creditchina.gov.cn）</w:t>
            </w:r>
            <w:r>
              <w:rPr>
                <w:rFonts w:hint="eastAsia" w:ascii="宋体" w:hAnsi="宋体" w:cs="Times New Roman"/>
                <w:iCs/>
                <w:color w:val="auto"/>
                <w:sz w:val="24"/>
                <w:szCs w:val="24"/>
                <w:highlight w:val="none"/>
                <w:lang w:eastAsia="zh-CN"/>
              </w:rPr>
              <w:t>、“中国政府采购网"(www.ccgp.gov.cn)</w:t>
            </w:r>
            <w:r>
              <w:rPr>
                <w:rFonts w:hint="eastAsia" w:ascii="宋体" w:hAnsi="宋体" w:cs="Times New Roman"/>
                <w:iCs/>
                <w:color w:val="auto"/>
                <w:sz w:val="24"/>
                <w:szCs w:val="24"/>
                <w:highlight w:val="none"/>
              </w:rPr>
              <w:t>列入失信被执行人、重大税收违法案件当事人名单、政府采购严重失信行为记录名单</w:t>
            </w:r>
            <w:r>
              <w:rPr>
                <w:rFonts w:hint="eastAsia" w:ascii="宋体" w:hAnsi="宋体" w:cs="Times New Roman"/>
                <w:color w:val="auto"/>
                <w:sz w:val="24"/>
                <w:szCs w:val="24"/>
                <w:highlight w:val="none"/>
              </w:rPr>
              <w:t>（提供网页截图</w:t>
            </w:r>
            <w:r>
              <w:rPr>
                <w:rFonts w:hint="eastAsia" w:ascii="宋体" w:hAnsi="宋体" w:cs="Times New Roman"/>
                <w:color w:val="auto"/>
                <w:sz w:val="24"/>
                <w:szCs w:val="24"/>
                <w:highlight w:val="none"/>
                <w:lang w:eastAsia="zh-CN"/>
              </w:rPr>
              <w:t>）</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12" w:type="dxa"/>
            <w:gridSpan w:val="4"/>
            <w:noWrap w:val="0"/>
            <w:vAlign w:val="center"/>
          </w:tcPr>
          <w:p>
            <w:pPr>
              <w:rPr>
                <w:rFonts w:ascii="宋体" w:hAnsi="宋体"/>
                <w:color w:val="auto"/>
                <w:highlight w:val="none"/>
              </w:rPr>
            </w:pPr>
            <w:r>
              <w:rPr>
                <w:rFonts w:hint="eastAsia" w:ascii="宋体" w:hAnsi="宋体"/>
                <w:b/>
                <w:color w:val="auto"/>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7</w:t>
            </w:r>
          </w:p>
        </w:tc>
        <w:tc>
          <w:tcPr>
            <w:tcW w:w="5447" w:type="dxa"/>
            <w:noWrap w:val="0"/>
            <w:vAlign w:val="center"/>
          </w:tcPr>
          <w:p>
            <w:pPr>
              <w:pStyle w:val="11"/>
              <w:ind w:left="0" w:leftChars="0" w:firstLine="0" w:firstLineChars="0"/>
              <w:rPr>
                <w:rFonts w:ascii="宋体" w:hAnsi="宋体"/>
                <w:iCs/>
                <w:color w:val="0000FF"/>
                <w:sz w:val="24"/>
                <w:szCs w:val="24"/>
                <w:highlight w:val="none"/>
              </w:rPr>
            </w:pPr>
          </w:p>
        </w:tc>
        <w:tc>
          <w:tcPr>
            <w:tcW w:w="3019" w:type="dxa"/>
            <w:gridSpan w:val="2"/>
            <w:noWrap w:val="0"/>
            <w:vAlign w:val="center"/>
          </w:tcPr>
          <w:p>
            <w:pPr>
              <w:rPr>
                <w:rFonts w:hint="eastAsia" w:ascii="宋体" w:hAnsi="宋体" w:eastAsia="宋体"/>
                <w:color w:val="0000FF"/>
                <w:highlight w:val="none"/>
                <w:lang w:val="en-US" w:eastAsia="zh-CN"/>
              </w:rPr>
            </w:pPr>
            <w:r>
              <w:rPr>
                <w:rFonts w:hint="eastAsia" w:ascii="宋体" w:hAnsi="宋体"/>
                <w:color w:val="0000FF"/>
                <w:highlight w:val="none"/>
                <w:lang w:val="en-US" w:eastAsia="zh-CN"/>
              </w:rPr>
              <w:t>该项目不设定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color w:val="auto"/>
                <w:highlight w:val="none"/>
                <w:lang w:val="en-US" w:eastAsia="zh-CN"/>
              </w:rPr>
            </w:pPr>
            <w:r>
              <w:rPr>
                <w:rFonts w:hint="eastAsia" w:ascii="宋体" w:hAnsi="宋体" w:eastAsia="宋体" w:cs="Times New Roman"/>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c>
          <w:tcPr>
            <w:tcW w:w="5447" w:type="dxa"/>
            <w:noWrap w:val="0"/>
            <w:vAlign w:val="center"/>
          </w:tcPr>
          <w:p>
            <w:pPr>
              <w:snapToGrid w:val="0"/>
              <w:spacing w:line="0" w:lineRule="atLeast"/>
              <w:jc w:val="left"/>
              <w:rPr>
                <w:rFonts w:hint="eastAsia" w:ascii="宋体" w:hAnsi="宋体" w:eastAsia="宋体"/>
                <w:iCs/>
                <w:color w:val="auto"/>
                <w:sz w:val="24"/>
                <w:szCs w:val="24"/>
                <w:highlight w:val="none"/>
                <w:lang w:eastAsia="zh-CN"/>
              </w:rPr>
            </w:pPr>
          </w:p>
        </w:tc>
        <w:tc>
          <w:tcPr>
            <w:tcW w:w="3019" w:type="dxa"/>
            <w:gridSpan w:val="2"/>
            <w:noWrap w:val="0"/>
            <w:vAlign w:val="center"/>
          </w:tcPr>
          <w:p>
            <w:pPr>
              <w:rPr>
                <w:rFonts w:hint="eastAsia" w:ascii="宋体"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ascii="宋体" w:hAnsi="宋体"/>
                <w:color w:val="auto"/>
                <w:highlight w:val="none"/>
              </w:rPr>
            </w:pPr>
            <w:r>
              <w:rPr>
                <w:rFonts w:hint="eastAsia" w:ascii="宋体" w:hAnsi="宋体"/>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646" w:type="dxa"/>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9</w:t>
            </w:r>
          </w:p>
        </w:tc>
        <w:tc>
          <w:tcPr>
            <w:tcW w:w="5447" w:type="dxa"/>
            <w:noWrap w:val="0"/>
            <w:vAlign w:val="center"/>
          </w:tcPr>
          <w:p>
            <w:pPr>
              <w:snapToGrid w:val="0"/>
              <w:spacing w:line="0" w:lineRule="atLeast"/>
              <w:jc w:val="left"/>
              <w:rPr>
                <w:rFonts w:ascii="宋体" w:hAnsi="宋体"/>
                <w:iCs/>
                <w:color w:val="auto"/>
                <w:sz w:val="24"/>
                <w:szCs w:val="24"/>
                <w:highlight w:val="none"/>
              </w:rPr>
            </w:pPr>
            <w:r>
              <w:rPr>
                <w:rFonts w:hint="eastAsia" w:ascii="宋体" w:hAnsi="宋体" w:eastAsia="宋体" w:cs="宋体"/>
                <w:iCs/>
                <w:color w:val="auto"/>
                <w:sz w:val="24"/>
                <w:szCs w:val="24"/>
                <w:highlight w:val="none"/>
              </w:rPr>
              <w:t>法定代表人授权委托书(法定代表人本人投标时除外)及被授权人（或法定代表人）《居民身份证》或具有同等法律效力的证明文件（发证机关或公证机关出具的证明材料）</w:t>
            </w:r>
            <w:r>
              <w:rPr>
                <w:rFonts w:hint="eastAsia"/>
                <w:color w:val="0000FF"/>
                <w:sz w:val="24"/>
                <w:szCs w:val="24"/>
                <w:lang w:val="en-US" w:eastAsia="zh-CN"/>
              </w:rPr>
              <w:t>请按招标文件中提供的模版（正、反面规定格式）进行填写，否则视为不响应。</w:t>
            </w:r>
          </w:p>
        </w:tc>
        <w:tc>
          <w:tcPr>
            <w:tcW w:w="3019"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10</w:t>
            </w:r>
          </w:p>
        </w:tc>
        <w:tc>
          <w:tcPr>
            <w:tcW w:w="5447" w:type="dxa"/>
            <w:noWrap w:val="0"/>
            <w:vAlign w:val="center"/>
          </w:tcPr>
          <w:p>
            <w:pPr>
              <w:snapToGrid w:val="0"/>
              <w:spacing w:line="0" w:lineRule="atLeast"/>
              <w:jc w:val="left"/>
              <w:rPr>
                <w:rFonts w:hint="default" w:ascii="宋体" w:hAnsi="宋体" w:eastAsia="宋体"/>
                <w:iCs/>
                <w:color w:val="auto"/>
                <w:sz w:val="24"/>
                <w:szCs w:val="24"/>
                <w:highlight w:val="none"/>
                <w:lang w:val="en-US" w:eastAsia="zh-CN"/>
              </w:rPr>
            </w:pPr>
          </w:p>
        </w:tc>
        <w:tc>
          <w:tcPr>
            <w:tcW w:w="3019"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ascii="宋体" w:hAnsi="宋体"/>
                <w:color w:val="auto"/>
                <w:highlight w:val="none"/>
              </w:rPr>
            </w:pPr>
            <w:r>
              <w:rPr>
                <w:b/>
                <w:bCs/>
                <w:i/>
                <w:iCs/>
                <w:color w:val="0000FF"/>
                <w:sz w:val="21"/>
                <w:u w:val="single"/>
              </w:rPr>
              <w:t>说明：</w:t>
            </w:r>
            <w:r>
              <w:rPr>
                <w:rFonts w:hint="eastAsia"/>
                <w:b/>
                <w:bCs/>
                <w:i/>
                <w:iCs/>
                <w:color w:val="0000FF"/>
                <w:sz w:val="21"/>
                <w:u w:val="single"/>
                <w:lang w:val="en-US"/>
              </w:rPr>
              <w:t>以上资格证明文件要求</w:t>
            </w:r>
            <w:r>
              <w:rPr>
                <w:rFonts w:hint="eastAsia"/>
                <w:b/>
                <w:bCs/>
                <w:i/>
                <w:iCs/>
                <w:color w:val="0000FF"/>
                <w:sz w:val="21"/>
                <w:u w:val="single"/>
                <w:lang w:val="en-US" w:eastAsia="zh-CN"/>
              </w:rPr>
              <w:t>上传</w:t>
            </w:r>
            <w:r>
              <w:rPr>
                <w:rFonts w:hint="eastAsia"/>
                <w:b/>
                <w:bCs/>
                <w:i/>
                <w:iCs/>
                <w:color w:val="0000FF"/>
                <w:sz w:val="21"/>
                <w:u w:val="single"/>
                <w:lang w:val="en-US"/>
              </w:rPr>
              <w:t>提交，</w:t>
            </w:r>
            <w:r>
              <w:rPr>
                <w:b/>
                <w:bCs/>
                <w:i/>
                <w:iCs/>
                <w:color w:val="0000FF"/>
                <w:sz w:val="21"/>
                <w:u w:val="single"/>
              </w:rPr>
              <w:t>供应商必须满足</w:t>
            </w:r>
            <w:r>
              <w:rPr>
                <w:rFonts w:hint="eastAsia"/>
                <w:b/>
                <w:bCs/>
                <w:i/>
                <w:iCs/>
                <w:color w:val="0000FF"/>
                <w:sz w:val="21"/>
                <w:u w:val="single"/>
              </w:rPr>
              <w:t>资格</w:t>
            </w:r>
            <w:r>
              <w:rPr>
                <w:rFonts w:hint="eastAsia"/>
                <w:b/>
                <w:bCs/>
                <w:i/>
                <w:iCs/>
                <w:color w:val="0000FF"/>
                <w:sz w:val="21"/>
                <w:u w:val="single"/>
                <w:lang w:val="en-US"/>
              </w:rPr>
              <w:t>性</w:t>
            </w:r>
            <w:r>
              <w:rPr>
                <w:rFonts w:hint="eastAsia"/>
                <w:b/>
                <w:bCs/>
                <w:i/>
                <w:iCs/>
                <w:color w:val="0000FF"/>
                <w:sz w:val="21"/>
                <w:u w:val="single"/>
              </w:rPr>
              <w:t>审查表</w:t>
            </w:r>
            <w:r>
              <w:rPr>
                <w:b/>
                <w:bCs/>
                <w:i/>
                <w:iCs/>
                <w:color w:val="0000FF"/>
                <w:sz w:val="21"/>
                <w:u w:val="single"/>
              </w:rPr>
              <w:t xml:space="preserve">内所有条款，否则被认定为无效响应。 </w:t>
            </w:r>
          </w:p>
        </w:tc>
      </w:tr>
    </w:tbl>
    <w:p>
      <w:pPr>
        <w:pStyle w:val="22"/>
        <w:sectPr>
          <w:footerReference r:id="rId3" w:type="first"/>
          <w:pgSz w:w="11906" w:h="16838"/>
          <w:pgMar w:top="1418" w:right="1588" w:bottom="1418" w:left="1365" w:header="851" w:footer="907" w:gutter="0"/>
          <w:cols w:space="720" w:num="1"/>
          <w:titlePg/>
          <w:docGrid w:type="lines" w:linePitch="290" w:charSpace="0"/>
        </w:sectPr>
      </w:pPr>
    </w:p>
    <w:p>
      <w:pPr>
        <w:jc w:val="center"/>
        <w:rPr>
          <w:rFonts w:hint="eastAsia" w:ascii="宋体" w:hAnsi="宋体" w:eastAsia="宋体" w:cs="宋体"/>
          <w:b/>
          <w:sz w:val="32"/>
          <w:szCs w:val="32"/>
        </w:rPr>
      </w:pPr>
      <w:r>
        <w:rPr>
          <w:rFonts w:hint="eastAsia" w:ascii="宋体" w:hAnsi="宋体" w:eastAsia="宋体" w:cs="宋体"/>
          <w:b/>
          <w:sz w:val="32"/>
          <w:szCs w:val="32"/>
        </w:rPr>
        <w:t>二、符合性审查响应对照表</w:t>
      </w:r>
    </w:p>
    <w:tbl>
      <w:tblPr>
        <w:tblStyle w:val="2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sz w:val="21"/>
              </w:rPr>
            </w:pPr>
            <w:r>
              <w:rPr>
                <w:rFonts w:hint="eastAsia" w:ascii="宋体" w:hAnsi="宋体" w:eastAsia="宋体" w:cs="宋体"/>
                <w:b/>
                <w:sz w:val="21"/>
              </w:rPr>
              <w:t>序号</w:t>
            </w:r>
          </w:p>
        </w:tc>
        <w:tc>
          <w:tcPr>
            <w:tcW w:w="5447" w:type="dxa"/>
            <w:noWrap w:val="0"/>
            <w:vAlign w:val="center"/>
          </w:tcPr>
          <w:p>
            <w:pPr>
              <w:snapToGrid w:val="0"/>
              <w:spacing w:line="240" w:lineRule="atLeast"/>
              <w:jc w:val="center"/>
              <w:rPr>
                <w:rFonts w:hint="eastAsia" w:ascii="宋体" w:hAnsi="宋体" w:eastAsia="宋体" w:cs="宋体"/>
                <w:b/>
                <w:sz w:val="21"/>
              </w:rPr>
            </w:pPr>
            <w:r>
              <w:rPr>
                <w:rFonts w:hint="eastAsia" w:ascii="宋体" w:hAnsi="宋体" w:eastAsia="宋体" w:cs="宋体"/>
                <w:b/>
                <w:i/>
                <w:iCs/>
                <w:sz w:val="21"/>
                <w:u w:val="single"/>
              </w:rPr>
              <w:t>符合性审查响应内容</w:t>
            </w:r>
          </w:p>
        </w:tc>
        <w:tc>
          <w:tcPr>
            <w:tcW w:w="1680" w:type="dxa"/>
            <w:noWrap w:val="0"/>
            <w:vAlign w:val="center"/>
          </w:tcPr>
          <w:p>
            <w:pPr>
              <w:snapToGrid w:val="0"/>
              <w:spacing w:line="240" w:lineRule="atLeast"/>
              <w:jc w:val="center"/>
              <w:rPr>
                <w:rFonts w:hint="eastAsia" w:ascii="宋体" w:hAnsi="宋体" w:eastAsia="宋体" w:cs="宋体"/>
                <w:b/>
                <w:sz w:val="21"/>
              </w:rPr>
            </w:pPr>
            <w:r>
              <w:rPr>
                <w:rFonts w:hint="eastAsia" w:ascii="宋体" w:hAnsi="宋体" w:eastAsia="宋体" w:cs="宋体"/>
                <w:b/>
                <w:sz w:val="21"/>
              </w:rPr>
              <w:t>是否响应</w:t>
            </w:r>
          </w:p>
          <w:p>
            <w:pPr>
              <w:snapToGrid w:val="0"/>
              <w:spacing w:line="240" w:lineRule="atLeast"/>
              <w:jc w:val="center"/>
              <w:rPr>
                <w:rFonts w:hint="eastAsia" w:ascii="宋体" w:hAnsi="宋体" w:eastAsia="宋体" w:cs="宋体"/>
                <w:b/>
                <w:sz w:val="21"/>
              </w:rPr>
            </w:pPr>
            <w:r>
              <w:rPr>
                <w:rFonts w:hint="eastAsia" w:ascii="宋体" w:hAnsi="宋体" w:eastAsia="宋体" w:cs="宋体"/>
                <w:b/>
                <w:sz w:val="21"/>
              </w:rPr>
              <w:t>（填是或否）</w:t>
            </w:r>
          </w:p>
        </w:tc>
        <w:tc>
          <w:tcPr>
            <w:tcW w:w="1308" w:type="dxa"/>
            <w:noWrap w:val="0"/>
            <w:vAlign w:val="center"/>
          </w:tcPr>
          <w:p>
            <w:pPr>
              <w:snapToGrid w:val="0"/>
              <w:spacing w:line="240" w:lineRule="auto"/>
              <w:rPr>
                <w:rFonts w:hint="eastAsia" w:ascii="宋体" w:hAnsi="宋体" w:eastAsia="宋体" w:cs="宋体"/>
                <w:b/>
                <w:sz w:val="21"/>
              </w:rPr>
            </w:pPr>
            <w:r>
              <w:rPr>
                <w:rFonts w:hint="eastAsia" w:ascii="宋体" w:hAnsi="宋体" w:eastAsia="宋体" w:cs="宋体"/>
                <w:b/>
                <w:sz w:val="21"/>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sz w:val="21"/>
                <w:lang w:val="en-US" w:eastAsia="zh-CN"/>
              </w:rPr>
            </w:pPr>
            <w:r>
              <w:rPr>
                <w:rFonts w:hint="eastAsia" w:ascii="宋体" w:hAnsi="宋体" w:eastAsia="宋体" w:cs="宋体"/>
                <w:sz w:val="21"/>
                <w:lang w:val="en-US" w:eastAsia="zh-CN"/>
              </w:rPr>
              <w:t>1</w:t>
            </w:r>
          </w:p>
        </w:tc>
        <w:tc>
          <w:tcPr>
            <w:tcW w:w="5447"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报价未超预算</w:t>
            </w:r>
          </w:p>
        </w:tc>
        <w:tc>
          <w:tcPr>
            <w:tcW w:w="1680" w:type="dxa"/>
            <w:noWrap w:val="0"/>
            <w:vAlign w:val="center"/>
          </w:tcPr>
          <w:p>
            <w:pPr>
              <w:spacing w:line="240" w:lineRule="auto"/>
              <w:rPr>
                <w:rFonts w:hint="eastAsia" w:ascii="宋体" w:hAnsi="宋体" w:eastAsia="宋体" w:cs="宋体"/>
                <w:sz w:val="21"/>
              </w:rPr>
            </w:pPr>
          </w:p>
        </w:tc>
        <w:tc>
          <w:tcPr>
            <w:tcW w:w="1308" w:type="dxa"/>
            <w:noWrap w:val="0"/>
            <w:vAlign w:val="center"/>
          </w:tcPr>
          <w:p>
            <w:pPr>
              <w:spacing w:line="240" w:lineRule="auto"/>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sz w:val="21"/>
                <w:lang w:val="en-US" w:eastAsia="zh-CN"/>
              </w:rPr>
            </w:pPr>
            <w:r>
              <w:rPr>
                <w:rFonts w:hint="eastAsia" w:ascii="宋体" w:hAnsi="宋体" w:eastAsia="宋体" w:cs="宋体"/>
                <w:sz w:val="21"/>
                <w:lang w:val="en-US" w:eastAsia="zh-CN"/>
              </w:rPr>
              <w:t>2</w:t>
            </w:r>
          </w:p>
        </w:tc>
        <w:tc>
          <w:tcPr>
            <w:tcW w:w="5447"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按照</w:t>
            </w:r>
            <w:r>
              <w:rPr>
                <w:rFonts w:hint="eastAsia" w:ascii="宋体" w:hAnsi="宋体" w:eastAsia="宋体" w:cs="宋体"/>
                <w:sz w:val="24"/>
                <w:szCs w:val="24"/>
                <w:lang w:val="en-US" w:eastAsia="zh-CN"/>
              </w:rPr>
              <w:t>招标</w:t>
            </w:r>
            <w:r>
              <w:rPr>
                <w:rFonts w:hint="eastAsia" w:ascii="宋体" w:hAnsi="宋体" w:eastAsia="宋体" w:cs="宋体"/>
                <w:sz w:val="24"/>
                <w:szCs w:val="24"/>
              </w:rPr>
              <w:t>文件规定要求签署、盖章</w:t>
            </w:r>
          </w:p>
        </w:tc>
        <w:tc>
          <w:tcPr>
            <w:tcW w:w="1680" w:type="dxa"/>
            <w:noWrap w:val="0"/>
            <w:vAlign w:val="center"/>
          </w:tcPr>
          <w:p>
            <w:pPr>
              <w:spacing w:line="240" w:lineRule="auto"/>
              <w:rPr>
                <w:rFonts w:hint="eastAsia" w:ascii="宋体" w:hAnsi="宋体" w:eastAsia="宋体" w:cs="宋体"/>
                <w:sz w:val="21"/>
              </w:rPr>
            </w:pPr>
          </w:p>
        </w:tc>
        <w:tc>
          <w:tcPr>
            <w:tcW w:w="1308" w:type="dxa"/>
            <w:noWrap w:val="0"/>
            <w:vAlign w:val="center"/>
          </w:tcPr>
          <w:p>
            <w:pPr>
              <w:spacing w:line="240" w:lineRule="auto"/>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sz w:val="21"/>
                <w:lang w:val="en-US" w:eastAsia="zh-CN"/>
              </w:rPr>
            </w:pPr>
            <w:r>
              <w:rPr>
                <w:rFonts w:hint="eastAsia" w:ascii="宋体" w:hAnsi="宋体" w:eastAsia="宋体" w:cs="宋体"/>
                <w:sz w:val="21"/>
                <w:lang w:val="en-US" w:eastAsia="zh-CN"/>
              </w:rPr>
              <w:t>3</w:t>
            </w:r>
          </w:p>
        </w:tc>
        <w:tc>
          <w:tcPr>
            <w:tcW w:w="5447"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供应商在报价时</w:t>
            </w:r>
            <w:r>
              <w:rPr>
                <w:rFonts w:hint="eastAsia" w:ascii="宋体" w:hAnsi="宋体" w:eastAsia="宋体" w:cs="宋体"/>
                <w:sz w:val="24"/>
                <w:szCs w:val="24"/>
                <w:lang w:val="en-US" w:eastAsia="zh-CN"/>
              </w:rPr>
              <w:t>未</w:t>
            </w:r>
            <w:r>
              <w:rPr>
                <w:rFonts w:hint="eastAsia" w:ascii="宋体" w:hAnsi="宋体" w:eastAsia="宋体" w:cs="宋体"/>
                <w:sz w:val="24"/>
                <w:szCs w:val="24"/>
              </w:rPr>
              <w:t>采用选择性报价</w:t>
            </w:r>
          </w:p>
          <w:p>
            <w:pPr>
              <w:spacing w:line="0" w:lineRule="atLeast"/>
              <w:rPr>
                <w:rFonts w:hint="eastAsia" w:ascii="宋体" w:hAnsi="宋体" w:eastAsia="宋体" w:cs="宋体"/>
                <w:sz w:val="24"/>
                <w:szCs w:val="24"/>
              </w:rPr>
            </w:pPr>
          </w:p>
        </w:tc>
        <w:tc>
          <w:tcPr>
            <w:tcW w:w="1680" w:type="dxa"/>
            <w:noWrap w:val="0"/>
            <w:vAlign w:val="center"/>
          </w:tcPr>
          <w:p>
            <w:pPr>
              <w:spacing w:line="240" w:lineRule="auto"/>
              <w:rPr>
                <w:rFonts w:hint="eastAsia" w:ascii="宋体" w:hAnsi="宋体" w:eastAsia="宋体" w:cs="宋体"/>
                <w:sz w:val="21"/>
              </w:rPr>
            </w:pPr>
          </w:p>
        </w:tc>
        <w:tc>
          <w:tcPr>
            <w:tcW w:w="1308" w:type="dxa"/>
            <w:noWrap w:val="0"/>
            <w:vAlign w:val="center"/>
          </w:tcPr>
          <w:p>
            <w:pPr>
              <w:spacing w:line="240" w:lineRule="auto"/>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sz w:val="21"/>
                <w:lang w:val="en-US" w:eastAsia="zh-CN"/>
              </w:rPr>
            </w:pPr>
            <w:r>
              <w:rPr>
                <w:rFonts w:hint="eastAsia" w:ascii="宋体" w:hAnsi="宋体" w:eastAsia="宋体" w:cs="宋体"/>
                <w:sz w:val="21"/>
                <w:lang w:val="en-US" w:eastAsia="zh-CN"/>
              </w:rPr>
              <w:t>4</w:t>
            </w:r>
          </w:p>
        </w:tc>
        <w:tc>
          <w:tcPr>
            <w:tcW w:w="5447"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sz w:val="24"/>
                <w:szCs w:val="24"/>
                <w:lang w:val="en-US" w:eastAsia="zh-CN"/>
              </w:rPr>
              <w:t>招标</w:t>
            </w:r>
            <w:r>
              <w:rPr>
                <w:rFonts w:hint="eastAsia" w:ascii="宋体" w:hAnsi="宋体" w:eastAsia="宋体" w:cs="宋体"/>
                <w:sz w:val="24"/>
                <w:szCs w:val="24"/>
              </w:rPr>
              <w:t>文件中规定的实质性要求和条件的（本</w:t>
            </w:r>
            <w:r>
              <w:rPr>
                <w:rFonts w:hint="eastAsia" w:ascii="宋体" w:hAnsi="宋体" w:eastAsia="宋体" w:cs="宋体"/>
                <w:sz w:val="24"/>
                <w:szCs w:val="24"/>
                <w:lang w:val="en-US" w:eastAsia="zh-CN"/>
              </w:rPr>
              <w:t>招标</w:t>
            </w:r>
            <w:r>
              <w:rPr>
                <w:rFonts w:hint="eastAsia" w:ascii="宋体" w:hAnsi="宋体" w:eastAsia="宋体" w:cs="宋体"/>
                <w:sz w:val="24"/>
                <w:szCs w:val="24"/>
              </w:rPr>
              <w:t>文件中斜体且有下划线部分为实质性要求和条件）</w:t>
            </w:r>
          </w:p>
        </w:tc>
        <w:tc>
          <w:tcPr>
            <w:tcW w:w="1680" w:type="dxa"/>
            <w:noWrap w:val="0"/>
            <w:vAlign w:val="center"/>
          </w:tcPr>
          <w:p>
            <w:pPr>
              <w:spacing w:line="240" w:lineRule="auto"/>
              <w:rPr>
                <w:rFonts w:hint="eastAsia" w:ascii="宋体" w:hAnsi="宋体" w:eastAsia="宋体" w:cs="宋体"/>
                <w:sz w:val="21"/>
              </w:rPr>
            </w:pPr>
          </w:p>
        </w:tc>
        <w:tc>
          <w:tcPr>
            <w:tcW w:w="1308" w:type="dxa"/>
            <w:noWrap w:val="0"/>
            <w:vAlign w:val="center"/>
          </w:tcPr>
          <w:p>
            <w:pPr>
              <w:spacing w:line="240" w:lineRule="auto"/>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sz w:val="21"/>
                <w:lang w:val="en-US" w:eastAsia="zh-CN"/>
              </w:rPr>
            </w:pPr>
            <w:r>
              <w:rPr>
                <w:rFonts w:hint="eastAsia" w:ascii="宋体" w:hAnsi="宋体" w:eastAsia="宋体" w:cs="宋体"/>
                <w:sz w:val="21"/>
                <w:lang w:val="en-US" w:eastAsia="zh-CN"/>
              </w:rPr>
              <w:t>5</w:t>
            </w:r>
          </w:p>
        </w:tc>
        <w:tc>
          <w:tcPr>
            <w:tcW w:w="5447" w:type="dxa"/>
            <w:noWrap w:val="0"/>
            <w:vAlign w:val="center"/>
          </w:tcPr>
          <w:p>
            <w:pPr>
              <w:spacing w:line="0" w:lineRule="atLeast"/>
              <w:rPr>
                <w:rFonts w:hint="eastAsia" w:ascii="宋体" w:hAnsi="宋体" w:eastAsia="宋体" w:cs="宋体"/>
                <w:sz w:val="24"/>
                <w:szCs w:val="24"/>
              </w:rPr>
            </w:pPr>
            <w:r>
              <w:rPr>
                <w:rFonts w:hint="eastAsia" w:ascii="宋体" w:hAnsi="宋体" w:eastAsia="宋体" w:cs="宋体"/>
                <w:sz w:val="24"/>
                <w:szCs w:val="24"/>
              </w:rPr>
              <w:t>未含有采购人不能接受的附加条件的</w:t>
            </w:r>
          </w:p>
        </w:tc>
        <w:tc>
          <w:tcPr>
            <w:tcW w:w="1680" w:type="dxa"/>
            <w:noWrap w:val="0"/>
            <w:vAlign w:val="center"/>
          </w:tcPr>
          <w:p>
            <w:pPr>
              <w:spacing w:line="240" w:lineRule="auto"/>
              <w:rPr>
                <w:rFonts w:hint="eastAsia" w:ascii="宋体" w:hAnsi="宋体" w:eastAsia="宋体" w:cs="宋体"/>
                <w:sz w:val="21"/>
              </w:rPr>
            </w:pPr>
          </w:p>
        </w:tc>
        <w:tc>
          <w:tcPr>
            <w:tcW w:w="1308" w:type="dxa"/>
            <w:noWrap w:val="0"/>
            <w:vAlign w:val="center"/>
          </w:tcPr>
          <w:p>
            <w:pPr>
              <w:spacing w:line="240" w:lineRule="auto"/>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宋体"/>
                <w:color w:val="0000FF"/>
                <w:sz w:val="21"/>
                <w:lang w:val="en-US" w:eastAsia="zh-CN"/>
              </w:rPr>
            </w:pPr>
          </w:p>
        </w:tc>
        <w:tc>
          <w:tcPr>
            <w:tcW w:w="5447" w:type="dxa"/>
            <w:noWrap w:val="0"/>
            <w:vAlign w:val="center"/>
          </w:tcPr>
          <w:p>
            <w:pPr>
              <w:spacing w:line="0" w:lineRule="atLeast"/>
              <w:rPr>
                <w:rFonts w:hint="eastAsia" w:ascii="宋体" w:hAnsi="宋体" w:eastAsia="宋体" w:cs="宋体"/>
                <w:color w:val="0000FF"/>
                <w:sz w:val="24"/>
                <w:szCs w:val="24"/>
                <w:lang w:eastAsia="zh-CN"/>
              </w:rPr>
            </w:pPr>
          </w:p>
        </w:tc>
        <w:tc>
          <w:tcPr>
            <w:tcW w:w="1680" w:type="dxa"/>
            <w:noWrap w:val="0"/>
            <w:vAlign w:val="center"/>
          </w:tcPr>
          <w:p>
            <w:pPr>
              <w:spacing w:line="240" w:lineRule="auto"/>
              <w:rPr>
                <w:rFonts w:hint="eastAsia" w:ascii="宋体" w:hAnsi="宋体" w:eastAsia="宋体" w:cs="宋体"/>
                <w:sz w:val="21"/>
              </w:rPr>
            </w:pPr>
          </w:p>
        </w:tc>
        <w:tc>
          <w:tcPr>
            <w:tcW w:w="1308" w:type="dxa"/>
            <w:noWrap w:val="0"/>
            <w:vAlign w:val="center"/>
          </w:tcPr>
          <w:p>
            <w:pPr>
              <w:spacing w:line="240" w:lineRule="auto"/>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081" w:type="dxa"/>
            <w:gridSpan w:val="4"/>
            <w:noWrap w:val="0"/>
            <w:vAlign w:val="center"/>
          </w:tcPr>
          <w:p>
            <w:pPr>
              <w:spacing w:line="240" w:lineRule="auto"/>
              <w:rPr>
                <w:rFonts w:hint="eastAsia" w:ascii="宋体" w:hAnsi="宋体" w:eastAsia="宋体" w:cs="宋体"/>
                <w:sz w:val="21"/>
              </w:rPr>
            </w:pPr>
            <w:r>
              <w:rPr>
                <w:b/>
                <w:bCs/>
                <w:i/>
                <w:iCs/>
                <w:color w:val="0000FF"/>
                <w:sz w:val="21"/>
                <w:u w:val="single"/>
              </w:rPr>
              <w:t>说明：供应商必须满足符合性审查表内所有条款，否则被认定为无效响应。</w:t>
            </w:r>
            <w:r>
              <w:rPr>
                <w:b/>
                <w:bCs/>
                <w:color w:val="0000FF"/>
                <w:sz w:val="21"/>
              </w:rPr>
              <w:t xml:space="preserve"> </w:t>
            </w:r>
          </w:p>
        </w:tc>
      </w:tr>
    </w:tbl>
    <w:p>
      <w:pPr>
        <w:snapToGrid w:val="0"/>
        <w:spacing w:before="50" w:after="50"/>
        <w:rPr>
          <w:rFonts w:hint="eastAsia" w:ascii="黑体" w:eastAsia="黑体"/>
          <w:sz w:val="32"/>
          <w:szCs w:val="32"/>
        </w:rPr>
      </w:pPr>
    </w:p>
    <w:p>
      <w:pPr>
        <w:snapToGrid w:val="0"/>
        <w:spacing w:before="50" w:after="50"/>
        <w:rPr>
          <w:rFonts w:hint="eastAsia" w:ascii="宋体" w:hAnsi="宋体"/>
          <w:b/>
          <w:sz w:val="24"/>
        </w:rPr>
      </w:pPr>
      <w:r>
        <w:rPr>
          <w:rFonts w:hint="eastAsia" w:ascii="黑体" w:eastAsia="黑体"/>
          <w:sz w:val="44"/>
        </w:rPr>
        <w:t xml:space="preserve"> </w:t>
      </w:r>
    </w:p>
    <w:p>
      <w:pPr>
        <w:jc w:val="center"/>
        <w:rPr>
          <w:rFonts w:ascii="宋体" w:hAnsi="宋体"/>
          <w:b/>
          <w:sz w:val="32"/>
          <w:szCs w:val="32"/>
        </w:rPr>
      </w:pPr>
      <w:r>
        <w:rPr>
          <w:rFonts w:hint="eastAsia" w:ascii="宋体" w:hAnsi="宋体"/>
          <w:b/>
          <w:sz w:val="32"/>
          <w:szCs w:val="32"/>
        </w:rPr>
        <w:t>三、非实质性响应对照表</w:t>
      </w:r>
    </w:p>
    <w:tbl>
      <w:tblPr>
        <w:tblStyle w:val="2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非实质性响应内容</w:t>
            </w:r>
          </w:p>
        </w:tc>
        <w:tc>
          <w:tcPr>
            <w:tcW w:w="1680"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308" w:type="dxa"/>
            <w:noWrap w:val="0"/>
            <w:vAlign w:val="center"/>
          </w:tcPr>
          <w:p>
            <w:pPr>
              <w:snapToGrid w:val="0"/>
              <w:spacing w:line="240" w:lineRule="atLeast"/>
              <w:jc w:val="center"/>
              <w:rPr>
                <w:rFonts w:ascii="幼圆" w:eastAsia="幼圆"/>
                <w:b/>
              </w:rPr>
            </w:pPr>
            <w:r>
              <w:rPr>
                <w:rFonts w:hint="eastAsia" w:ascii="幼圆" w:eastAsia="幼圆"/>
                <w:b/>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rPr>
            </w:pPr>
            <w:r>
              <w:rPr>
                <w:rFonts w:hint="eastAsia" w:ascii="宋体" w:hAnsi="宋体"/>
                <w:b/>
              </w:rPr>
              <w:t>1</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《企业声明函》</w:t>
            </w:r>
          </w:p>
        </w:tc>
        <w:tc>
          <w:tcPr>
            <w:tcW w:w="1680" w:type="dxa"/>
            <w:noWrap w:val="0"/>
            <w:vAlign w:val="center"/>
          </w:tcPr>
          <w:p>
            <w:pPr>
              <w:rPr>
                <w:rFonts w:ascii="宋体" w:hAnsi="宋体"/>
                <w:b/>
              </w:rPr>
            </w:pPr>
          </w:p>
        </w:tc>
        <w:tc>
          <w:tcPr>
            <w:tcW w:w="1308" w:type="dxa"/>
            <w:noWrap w:val="0"/>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《残疾人福利性单位声明函》</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napToGrid w:val="0"/>
              <w:spacing w:line="0" w:lineRule="atLeast"/>
              <w:rPr>
                <w:rFonts w:ascii="宋体" w:hAnsi="宋体"/>
                <w:iCs/>
                <w:sz w:val="24"/>
                <w:szCs w:val="24"/>
              </w:rPr>
            </w:pPr>
            <w:r>
              <w:rPr>
                <w:rFonts w:ascii="宋体" w:hAnsi="宋体"/>
                <w:iCs/>
                <w:sz w:val="24"/>
                <w:szCs w:val="24"/>
              </w:rPr>
              <w:t>……</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bl>
    <w:p>
      <w:pPr>
        <w:snapToGrid w:val="0"/>
        <w:spacing w:before="50" w:after="50"/>
        <w:ind w:firstLine="482" w:firstLineChars="200"/>
        <w:rPr>
          <w:rFonts w:hint="eastAsia" w:ascii="宋体" w:hAnsi="宋体"/>
          <w:b/>
          <w:bCs/>
          <w:sz w:val="24"/>
        </w:rPr>
      </w:pPr>
    </w:p>
    <w:p>
      <w:pPr>
        <w:pStyle w:val="11"/>
        <w:ind w:firstLine="0"/>
        <w:jc w:val="center"/>
        <w:rPr>
          <w:rFonts w:hint="eastAsia" w:ascii="黑体" w:hAnsi="宋体" w:eastAsia="黑体"/>
          <w:b/>
          <w:bCs/>
          <w:sz w:val="30"/>
          <w:szCs w:val="30"/>
          <w:lang w:eastAsia="zh-CN"/>
        </w:rPr>
        <w:sectPr>
          <w:pgSz w:w="11906" w:h="16838"/>
          <w:pgMar w:top="1418" w:right="1588" w:bottom="1418" w:left="1365" w:header="851" w:footer="907" w:gutter="0"/>
          <w:cols w:space="720" w:num="1"/>
          <w:titlePg/>
          <w:docGrid w:type="lines" w:linePitch="290" w:charSpace="0"/>
        </w:sectPr>
      </w:pPr>
      <w:bookmarkStart w:id="224" w:name="_Toc534816643"/>
      <w:bookmarkStart w:id="225" w:name="_Toc534725614"/>
      <w:bookmarkStart w:id="226" w:name="_Toc120614284"/>
    </w:p>
    <w:p>
      <w:pPr>
        <w:pStyle w:val="11"/>
        <w:ind w:firstLine="0"/>
        <w:jc w:val="center"/>
        <w:rPr>
          <w:rFonts w:hint="eastAsia" w:ascii="黑体" w:hAnsi="宋体" w:eastAsia="黑体"/>
          <w:b/>
          <w:bCs/>
          <w:sz w:val="30"/>
          <w:szCs w:val="30"/>
          <w:lang w:eastAsia="zh-CN"/>
        </w:rPr>
      </w:pPr>
    </w:p>
    <w:bookmarkEnd w:id="224"/>
    <w:bookmarkEnd w:id="225"/>
    <w:p>
      <w:pPr>
        <w:pStyle w:val="9"/>
        <w:ind w:firstLine="4498" w:firstLineChars="1400"/>
        <w:jc w:val="both"/>
        <w:rPr>
          <w:rFonts w:hint="eastAsia" w:eastAsia="宋体"/>
          <w:lang w:eastAsia="zh-CN"/>
        </w:rPr>
      </w:pPr>
      <w:r>
        <w:rPr>
          <w:rFonts w:hint="eastAsia"/>
          <w:lang w:val="en-US" w:eastAsia="zh-CN"/>
        </w:rPr>
        <w:t>四</w:t>
      </w:r>
      <w:r>
        <w:rPr>
          <w:rFonts w:hint="eastAsia"/>
        </w:rPr>
        <w:t>、投标产品配置及分项报价表</w:t>
      </w:r>
    </w:p>
    <w:tbl>
      <w:tblPr>
        <w:tblStyle w:val="23"/>
        <w:tblW w:w="14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4032" w:type="dxa"/>
            <w:noWrap w:val="0"/>
            <w:vAlign w:val="center"/>
          </w:tcPr>
          <w:p>
            <w:pPr>
              <w:jc w:val="center"/>
              <w:rPr>
                <w:rFonts w:ascii="宋体" w:hAnsi="宋体"/>
                <w:sz w:val="24"/>
                <w:szCs w:val="24"/>
              </w:rPr>
            </w:pPr>
            <w:r>
              <w:rPr>
                <w:rFonts w:hint="eastAsia" w:ascii="宋体" w:hAnsi="宋体"/>
                <w:sz w:val="24"/>
                <w:szCs w:val="24"/>
              </w:rPr>
              <w:t>标的物名称</w:t>
            </w:r>
          </w:p>
        </w:tc>
        <w:tc>
          <w:tcPr>
            <w:tcW w:w="3217" w:type="dxa"/>
            <w:noWrap w:val="0"/>
            <w:vAlign w:val="center"/>
          </w:tcPr>
          <w:p>
            <w:pPr>
              <w:jc w:val="center"/>
              <w:rPr>
                <w:rFonts w:ascii="宋体" w:hAnsi="宋体"/>
                <w:sz w:val="24"/>
                <w:szCs w:val="24"/>
              </w:rPr>
            </w:pPr>
            <w:r>
              <w:rPr>
                <w:rFonts w:hint="eastAsia" w:ascii="宋体" w:hAnsi="宋体"/>
                <w:sz w:val="24"/>
                <w:szCs w:val="24"/>
              </w:rPr>
              <w:t>品牌、规格、型号</w:t>
            </w:r>
          </w:p>
        </w:tc>
        <w:tc>
          <w:tcPr>
            <w:tcW w:w="993" w:type="dxa"/>
            <w:noWrap w:val="0"/>
            <w:vAlign w:val="center"/>
          </w:tcPr>
          <w:p>
            <w:pPr>
              <w:jc w:val="center"/>
              <w:rPr>
                <w:rFonts w:ascii="宋体" w:hAnsi="宋体"/>
                <w:sz w:val="24"/>
                <w:szCs w:val="24"/>
              </w:rPr>
            </w:pPr>
            <w:r>
              <w:rPr>
                <w:rFonts w:hint="eastAsia" w:ascii="宋体" w:hAnsi="宋体"/>
                <w:sz w:val="24"/>
                <w:szCs w:val="24"/>
              </w:rPr>
              <w:t>数量</w:t>
            </w:r>
          </w:p>
        </w:tc>
        <w:tc>
          <w:tcPr>
            <w:tcW w:w="708" w:type="dxa"/>
            <w:noWrap w:val="0"/>
            <w:vAlign w:val="top"/>
          </w:tcPr>
          <w:p>
            <w:pPr>
              <w:jc w:val="center"/>
              <w:rPr>
                <w:rFonts w:ascii="宋体" w:hAnsi="宋体"/>
                <w:sz w:val="24"/>
                <w:szCs w:val="24"/>
              </w:rPr>
            </w:pPr>
            <w:r>
              <w:rPr>
                <w:rFonts w:hint="eastAsia" w:ascii="宋体" w:hAnsi="宋体"/>
                <w:sz w:val="24"/>
                <w:szCs w:val="24"/>
              </w:rPr>
              <w:t>单位</w:t>
            </w:r>
          </w:p>
        </w:tc>
        <w:tc>
          <w:tcPr>
            <w:tcW w:w="993" w:type="dxa"/>
            <w:noWrap w:val="0"/>
            <w:vAlign w:val="center"/>
          </w:tcPr>
          <w:p>
            <w:pPr>
              <w:jc w:val="center"/>
              <w:rPr>
                <w:rFonts w:ascii="宋体" w:hAnsi="宋体"/>
                <w:sz w:val="24"/>
                <w:szCs w:val="24"/>
              </w:rPr>
            </w:pPr>
            <w:r>
              <w:rPr>
                <w:rFonts w:hint="eastAsia" w:ascii="宋体" w:hAnsi="宋体"/>
                <w:sz w:val="24"/>
                <w:szCs w:val="24"/>
              </w:rPr>
              <w:t>单价</w:t>
            </w:r>
          </w:p>
        </w:tc>
        <w:tc>
          <w:tcPr>
            <w:tcW w:w="1134" w:type="dxa"/>
            <w:noWrap w:val="0"/>
            <w:vAlign w:val="center"/>
          </w:tcPr>
          <w:p>
            <w:pPr>
              <w:jc w:val="center"/>
              <w:rPr>
                <w:rFonts w:hint="eastAsia" w:ascii="宋体" w:hAnsi="宋体" w:eastAsia="仿宋"/>
                <w:sz w:val="24"/>
                <w:szCs w:val="24"/>
                <w:lang w:val="en-US" w:eastAsia="zh-CN"/>
              </w:rPr>
            </w:pPr>
            <w:r>
              <w:rPr>
                <w:rFonts w:hint="eastAsia" w:ascii="宋体" w:hAnsi="宋体" w:eastAsia="仿宋"/>
                <w:sz w:val="24"/>
                <w:szCs w:val="24"/>
                <w:lang w:val="en-US" w:eastAsia="zh-CN"/>
              </w:rPr>
              <w:t>交付期/服务期</w:t>
            </w:r>
          </w:p>
        </w:tc>
        <w:tc>
          <w:tcPr>
            <w:tcW w:w="1134" w:type="dxa"/>
            <w:noWrap w:val="0"/>
            <w:vAlign w:val="center"/>
          </w:tcPr>
          <w:p>
            <w:pPr>
              <w:jc w:val="center"/>
              <w:rPr>
                <w:rFonts w:ascii="宋体" w:hAnsi="宋体"/>
                <w:sz w:val="24"/>
                <w:szCs w:val="24"/>
              </w:rPr>
            </w:pPr>
            <w:r>
              <w:rPr>
                <w:rFonts w:hint="eastAsia" w:ascii="宋体" w:hAnsi="宋体"/>
                <w:sz w:val="24"/>
                <w:szCs w:val="24"/>
              </w:rPr>
              <w:t>产地</w:t>
            </w:r>
          </w:p>
        </w:tc>
        <w:tc>
          <w:tcPr>
            <w:tcW w:w="1387" w:type="dxa"/>
            <w:noWrap w:val="0"/>
            <w:vAlign w:val="center"/>
          </w:tcPr>
          <w:p>
            <w:pPr>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合计</w:t>
            </w:r>
          </w:p>
        </w:tc>
        <w:tc>
          <w:tcPr>
            <w:tcW w:w="6349" w:type="dxa"/>
            <w:gridSpan w:val="6"/>
            <w:noWrap w:val="0"/>
            <w:vAlign w:val="top"/>
          </w:tcPr>
          <w:p>
            <w:pPr>
              <w:rPr>
                <w:rFonts w:ascii="宋体" w:hAnsi="宋体"/>
                <w:sz w:val="24"/>
                <w:szCs w:val="24"/>
              </w:rPr>
            </w:pPr>
            <w:r>
              <w:rPr>
                <w:rFonts w:hint="eastAsia" w:ascii="宋体" w:hAnsi="宋体"/>
                <w:sz w:val="24"/>
                <w:szCs w:val="24"/>
              </w:rPr>
              <w:t xml:space="preserve"> </w:t>
            </w:r>
          </w:p>
        </w:tc>
      </w:tr>
    </w:tbl>
    <w:p>
      <w:pPr>
        <w:rPr>
          <w:rFonts w:hint="eastAsia" w:ascii="宋体" w:hAnsi="宋体" w:eastAsia="宋体" w:cs="宋体"/>
          <w:bCs/>
          <w:color w:val="FF0000"/>
          <w:sz w:val="24"/>
        </w:rPr>
      </w:pPr>
      <w:r>
        <w:rPr>
          <w:rFonts w:hint="eastAsia" w:ascii="宋体" w:hAnsi="宋体"/>
          <w:bCs/>
          <w:sz w:val="24"/>
        </w:rPr>
        <w:t>注：</w:t>
      </w:r>
      <w:r>
        <w:rPr>
          <w:rFonts w:hint="eastAsia" w:ascii="宋体" w:hAnsi="宋体"/>
          <w:bCs/>
          <w:sz w:val="24"/>
          <w:lang w:val="en-US" w:eastAsia="zh-CN"/>
        </w:rPr>
        <w:t>1.</w:t>
      </w:r>
      <w:r>
        <w:rPr>
          <w:rFonts w:hint="eastAsia" w:ascii="宋体" w:hAnsi="宋体" w:eastAsia="宋体" w:cs="宋体"/>
          <w:bCs/>
          <w:color w:val="FF0000"/>
          <w:sz w:val="24"/>
        </w:rPr>
        <w:t>单价和总价采用人民币报价，以元为单位。</w:t>
      </w:r>
    </w:p>
    <w:p>
      <w:pPr>
        <w:numPr>
          <w:ilvl w:val="0"/>
          <w:numId w:val="0"/>
        </w:numPr>
        <w:rPr>
          <w:rFonts w:hint="eastAsia" w:ascii="宋体" w:hAnsi="宋体" w:eastAsia="宋体" w:cs="宋体"/>
          <w:bCs/>
          <w:color w:val="FF0000"/>
          <w:sz w:val="24"/>
          <w:lang w:val="en-US" w:eastAsia="zh-CN"/>
        </w:rPr>
      </w:pPr>
      <w:r>
        <w:rPr>
          <w:rFonts w:hint="eastAsia" w:ascii="宋体" w:hAnsi="宋体" w:eastAsia="宋体" w:cs="宋体"/>
          <w:bCs/>
          <w:color w:val="FF0000"/>
          <w:sz w:val="24"/>
          <w:lang w:val="en-US" w:eastAsia="zh-CN"/>
        </w:rPr>
        <w:t>2.货物项目填写“交付期”，</w:t>
      </w:r>
      <w:r>
        <w:rPr>
          <w:rFonts w:hint="eastAsia" w:ascii="宋体" w:hAnsi="宋体" w:eastAsia="宋体" w:cs="宋体"/>
          <w:bCs/>
          <w:color w:val="FF0000"/>
          <w:sz w:val="24"/>
          <w:highlight w:val="yellow"/>
          <w:lang w:val="en-US" w:eastAsia="zh-CN"/>
        </w:rPr>
        <w:t>服务项目填写“服务期”，只填写一个期限。</w:t>
      </w:r>
    </w:p>
    <w:p>
      <w:pPr>
        <w:rPr>
          <w:rFonts w:hint="eastAsia" w:ascii="宋体" w:hAnsi="宋体"/>
          <w:bCs/>
          <w:sz w:val="24"/>
        </w:rPr>
        <w:sectPr>
          <w:pgSz w:w="16838" w:h="11906" w:orient="landscape"/>
          <w:pgMar w:top="1365" w:right="1418" w:bottom="1588" w:left="1418" w:header="851" w:footer="907" w:gutter="0"/>
          <w:cols w:space="720" w:num="1"/>
          <w:titlePg/>
          <w:docGrid w:type="lines" w:linePitch="290" w:charSpace="0"/>
        </w:sectPr>
      </w:pPr>
      <w:r>
        <w:rPr>
          <w:rFonts w:hint="eastAsia" w:ascii="宋体" w:hAnsi="宋体" w:eastAsia="宋体" w:cs="宋体"/>
          <w:bCs/>
          <w:color w:val="FF0000"/>
          <w:kern w:val="2"/>
          <w:sz w:val="24"/>
          <w:szCs w:val="21"/>
          <w:lang w:val="en-US" w:eastAsia="zh-CN" w:bidi="ar-SA"/>
        </w:rPr>
        <w:t>3.按表格要求的内容填写，内容必须真实、有效</w:t>
      </w:r>
    </w:p>
    <w:p>
      <w:pPr>
        <w:pStyle w:val="9"/>
        <w:jc w:val="center"/>
        <w:rPr>
          <w:rFonts w:hint="eastAsia"/>
        </w:rPr>
      </w:pPr>
      <w:bookmarkStart w:id="227" w:name="_Toc534816648"/>
      <w:bookmarkStart w:id="228" w:name="_Toc534725619"/>
      <w:r>
        <w:rPr>
          <w:rFonts w:hint="eastAsia"/>
          <w:lang w:val="en-US" w:eastAsia="zh-CN"/>
        </w:rPr>
        <w:t>五</w:t>
      </w:r>
      <w:r>
        <w:rPr>
          <w:rFonts w:hint="eastAsia"/>
        </w:rPr>
        <w:t>、技术参数响应及偏离表</w:t>
      </w:r>
      <w:bookmarkEnd w:id="227"/>
      <w:bookmarkEnd w:id="228"/>
    </w:p>
    <w:p>
      <w:pPr>
        <w:jc w:val="center"/>
        <w:rPr>
          <w:rFonts w:hint="eastAsia" w:ascii="宋体" w:hAnsi="宋体"/>
          <w:sz w:val="24"/>
          <w:szCs w:val="24"/>
        </w:rPr>
      </w:pPr>
    </w:p>
    <w:tbl>
      <w:tblPr>
        <w:tblStyle w:val="23"/>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招标要求</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投标响应</w:t>
            </w:r>
          </w:p>
        </w:tc>
        <w:tc>
          <w:tcPr>
            <w:tcW w:w="1308" w:type="dxa"/>
            <w:noWrap w:val="0"/>
            <w:vAlign w:val="center"/>
          </w:tcPr>
          <w:p>
            <w:pPr>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pPr>
              <w:jc w:val="center"/>
              <w:rPr>
                <w:rFonts w:hint="eastAsia"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bl>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rPr>
          <w:rFonts w:ascii="黑体" w:hAnsi="Arial" w:eastAsia="黑体"/>
          <w:sz w:val="32"/>
        </w:rPr>
        <w:sectPr>
          <w:pgSz w:w="11906" w:h="16838"/>
          <w:pgMar w:top="1418" w:right="1588" w:bottom="1418" w:left="1365" w:header="851" w:footer="907" w:gutter="0"/>
          <w:cols w:space="720" w:num="1"/>
          <w:titlePg/>
          <w:docGrid w:type="lines" w:linePitch="290" w:charSpace="0"/>
        </w:sectPr>
      </w:pPr>
    </w:p>
    <w:bookmarkEnd w:id="226"/>
    <w:p>
      <w:pPr>
        <w:pStyle w:val="9"/>
        <w:jc w:val="center"/>
        <w:rPr>
          <w:rFonts w:hint="eastAsia"/>
        </w:rPr>
      </w:pPr>
      <w:bookmarkStart w:id="229" w:name="_Hlt26955054"/>
      <w:bookmarkEnd w:id="229"/>
      <w:bookmarkStart w:id="230" w:name="_Toc534816649"/>
      <w:bookmarkStart w:id="231" w:name="_Toc534725620"/>
      <w:r>
        <w:rPr>
          <w:rFonts w:hint="eastAsia"/>
          <w:lang w:val="en-US" w:eastAsia="zh-CN"/>
        </w:rPr>
        <w:t>六</w:t>
      </w:r>
      <w:r>
        <w:rPr>
          <w:rFonts w:hint="eastAsia"/>
        </w:rPr>
        <w:t>、商务条款响应及偏离表</w:t>
      </w:r>
      <w:bookmarkEnd w:id="230"/>
      <w:bookmarkEnd w:id="231"/>
    </w:p>
    <w:tbl>
      <w:tblPr>
        <w:tblStyle w:val="23"/>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default" w:ascii="仿宋_GB2312" w:hAnsi="宋体" w:eastAsia="仿宋_GB2312"/>
                <w:sz w:val="24"/>
                <w:szCs w:val="20"/>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宋体" w:hAnsi="宋体"/>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ascii="仿宋_GB2312" w:hAnsi="宋体" w:eastAsia="仿宋_GB2312"/>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bl>
    <w:p>
      <w:pPr>
        <w:jc w:val="center"/>
        <w:rPr>
          <w:rFonts w:hint="eastAsia" w:ascii="宋体" w:hAnsi="宋体"/>
          <w:sz w:val="24"/>
          <w:szCs w:val="24"/>
        </w:rPr>
      </w:pPr>
    </w:p>
    <w:p>
      <w:pPr>
        <w:spacing w:line="480" w:lineRule="auto"/>
        <w:rPr>
          <w:rFonts w:hint="eastAsia" w:ascii="宋体" w:hAnsi="宋体"/>
          <w:sz w:val="24"/>
        </w:rPr>
      </w:pPr>
      <w:bookmarkStart w:id="232" w:name="_Hlt26671372"/>
      <w:bookmarkEnd w:id="232"/>
      <w:bookmarkStart w:id="233" w:name="_Hlt24879081"/>
      <w:bookmarkEnd w:id="233"/>
      <w:bookmarkStart w:id="234" w:name="_Hlt26955064"/>
      <w:bookmarkEnd w:id="234"/>
      <w:bookmarkStart w:id="235" w:name="_Hlt26609391"/>
      <w:bookmarkEnd w:id="235"/>
      <w:bookmarkStart w:id="236" w:name="_Hlt26782999"/>
      <w:bookmarkEnd w:id="236"/>
      <w:bookmarkStart w:id="237" w:name="_Hlt26580838"/>
      <w:bookmarkEnd w:id="237"/>
      <w:bookmarkStart w:id="238" w:name="_Hlt26671343"/>
      <w:bookmarkEnd w:id="238"/>
      <w:bookmarkStart w:id="239" w:name="_Hlt26955056"/>
      <w:bookmarkEnd w:id="239"/>
    </w:p>
    <w:p>
      <w:pPr>
        <w:pStyle w:val="11"/>
        <w:ind w:firstLine="0"/>
        <w:rPr>
          <w:rFonts w:ascii="宋体" w:hAnsi="宋体"/>
          <w:sz w:val="24"/>
        </w:rPr>
        <w:sectPr>
          <w:pgSz w:w="11906" w:h="16838"/>
          <w:pgMar w:top="1418" w:right="1588" w:bottom="1418" w:left="1365" w:header="851" w:footer="907" w:gutter="0"/>
          <w:cols w:space="720" w:num="1"/>
          <w:titlePg/>
          <w:docGrid w:type="lines" w:linePitch="290" w:charSpace="0"/>
        </w:sectPr>
      </w:pPr>
      <w:bookmarkStart w:id="240" w:name="_Toc462564146"/>
    </w:p>
    <w:bookmarkEnd w:id="240"/>
    <w:p>
      <w:pPr>
        <w:pStyle w:val="9"/>
        <w:jc w:val="center"/>
        <w:rPr>
          <w:rFonts w:hint="eastAsia" w:eastAsia="仿宋_GB2312"/>
          <w:sz w:val="24"/>
          <w:szCs w:val="20"/>
        </w:rPr>
      </w:pPr>
      <w:bookmarkStart w:id="241" w:name="_格式2__法定代表人授权书"/>
      <w:bookmarkEnd w:id="241"/>
      <w:bookmarkStart w:id="242" w:name="_Toc49090577"/>
      <w:bookmarkStart w:id="243" w:name="_Toc23828478"/>
      <w:bookmarkStart w:id="244" w:name="_Toc22356580"/>
      <w:bookmarkStart w:id="245" w:name="_Toc513029276"/>
      <w:bookmarkStart w:id="246" w:name="_Toc26554095"/>
      <w:bookmarkStart w:id="247" w:name="_Toc120614283"/>
      <w:bookmarkStart w:id="248" w:name="_Toc460901585"/>
      <w:bookmarkStart w:id="249" w:name="_Toc534725621"/>
      <w:bookmarkStart w:id="250" w:name="_Toc534816650"/>
      <w:r>
        <w:rPr>
          <w:rFonts w:hint="eastAsia"/>
          <w:lang w:val="en-US" w:eastAsia="zh-CN"/>
        </w:rPr>
        <w:t>七</w:t>
      </w:r>
      <w:r>
        <w:rPr>
          <w:rFonts w:hint="eastAsia"/>
        </w:rPr>
        <w:t>、</w:t>
      </w:r>
      <w:bookmarkEnd w:id="242"/>
      <w:bookmarkEnd w:id="243"/>
      <w:bookmarkEnd w:id="244"/>
      <w:bookmarkEnd w:id="245"/>
      <w:bookmarkEnd w:id="246"/>
      <w:bookmarkEnd w:id="247"/>
      <w:bookmarkEnd w:id="248"/>
      <w:r>
        <w:rPr>
          <w:rFonts w:hint="eastAsia"/>
        </w:rPr>
        <w:t>开标一览表</w:t>
      </w:r>
      <w:bookmarkEnd w:id="249"/>
      <w:bookmarkEnd w:id="250"/>
    </w:p>
    <w:tbl>
      <w:tblPr>
        <w:tblStyle w:val="23"/>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投标</w:t>
            </w:r>
            <w:r>
              <w:rPr>
                <w:rFonts w:hint="eastAsia" w:ascii="宋体" w:hAnsi="宋体" w:eastAsia="宋体" w:cs="宋体"/>
                <w:sz w:val="24"/>
                <w:szCs w:val="24"/>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tabs>
                <w:tab w:val="left" w:pos="142"/>
              </w:tabs>
              <w:spacing w:line="500" w:lineRule="exact"/>
              <w:jc w:val="left"/>
              <w:rPr>
                <w:rFonts w:hint="eastAsia" w:ascii="宋体" w:hAnsi="宋体" w:eastAsia="宋体" w:cs="宋体"/>
                <w:sz w:val="24"/>
                <w:szCs w:val="24"/>
              </w:rPr>
            </w:pPr>
            <w:r>
              <w:rPr>
                <w:rFonts w:hint="eastAsia" w:ascii="宋体" w:hAnsi="宋体" w:eastAsia="宋体" w:cs="宋体"/>
                <w:sz w:val="24"/>
                <w:szCs w:val="24"/>
              </w:rPr>
              <w:t>人民币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bidi w:val="0"/>
        <w:rPr>
          <w:rFonts w:hint="eastAsia"/>
        </w:rPr>
      </w:pPr>
      <w:r>
        <w:rPr>
          <w:rFonts w:hint="eastAsia"/>
        </w:rPr>
        <w:t>   </w:t>
      </w:r>
    </w:p>
    <w:p>
      <w:pPr>
        <w:bidi w:val="0"/>
        <w:rPr>
          <w:rFonts w:hint="eastAsia"/>
        </w:rPr>
      </w:pPr>
      <w:r>
        <w:rPr>
          <w:rFonts w:hint="eastAsia"/>
        </w:rPr>
        <w:t>注:</w:t>
      </w:r>
    </w:p>
    <w:p>
      <w:pPr>
        <w:bidi w:val="0"/>
        <w:rPr>
          <w:rFonts w:hint="eastAsia" w:ascii="仿宋" w:hAnsi="仿宋" w:eastAsia="仿宋" w:cs="仿宋"/>
          <w:color w:val="000000"/>
          <w:szCs w:val="28"/>
        </w:rPr>
      </w:pPr>
      <w:r>
        <w:rPr>
          <w:rFonts w:hint="eastAsia"/>
          <w:lang w:val="en-US" w:eastAsia="zh-CN"/>
        </w:rPr>
        <w:t>投标</w:t>
      </w:r>
      <w:r>
        <w:rPr>
          <w:rFonts w:hint="eastAsia"/>
        </w:rPr>
        <w:t>总报价应包含本项目实施期间的所有含税费用。</w:t>
      </w:r>
    </w:p>
    <w:p>
      <w:pPr>
        <w:numPr>
          <w:ilvl w:val="0"/>
          <w:numId w:val="10"/>
        </w:numPr>
        <w:ind w:firstLine="480" w:firstLineChars="200"/>
        <w:rPr>
          <w:rFonts w:hint="eastAsia"/>
          <w:b/>
          <w:bCs/>
          <w:kern w:val="2"/>
          <w:sz w:val="32"/>
          <w:szCs w:val="32"/>
          <w:lang w:val="en-US" w:eastAsia="zh-CN" w:bidi="ar-SA"/>
        </w:rPr>
      </w:pPr>
      <w:r>
        <w:rPr>
          <w:rFonts w:ascii="宋体" w:hAnsi="宋体"/>
          <w:sz w:val="24"/>
          <w:szCs w:val="24"/>
        </w:rPr>
        <w:br w:type="page"/>
      </w:r>
      <w:bookmarkStart w:id="251" w:name="_Toc534725623"/>
      <w:bookmarkStart w:id="252" w:name="_Toc534816652"/>
      <w:r>
        <w:rPr>
          <w:rFonts w:hint="eastAsia"/>
          <w:b/>
          <w:bCs/>
          <w:kern w:val="2"/>
          <w:sz w:val="32"/>
          <w:szCs w:val="32"/>
          <w:lang w:val="en-US" w:eastAsia="zh-CN" w:bidi="ar-SA"/>
        </w:rPr>
        <w:t>供应商认为有必要提供的声明及文件资料</w:t>
      </w:r>
    </w:p>
    <w:p>
      <w:pPr>
        <w:pStyle w:val="13"/>
        <w:numPr>
          <w:ilvl w:val="0"/>
          <w:numId w:val="0"/>
        </w:numPr>
        <w:jc w:val="center"/>
        <w:rPr>
          <w:rFonts w:hint="default"/>
          <w:lang w:val="en-US" w:eastAsia="zh-CN"/>
        </w:rPr>
      </w:pPr>
      <w:r>
        <w:rPr>
          <w:rFonts w:hint="eastAsia"/>
          <w:lang w:val="en-US" w:eastAsia="zh-CN"/>
        </w:rPr>
        <w:t>（格式自拟）</w:t>
      </w:r>
    </w:p>
    <w:p>
      <w:pPr>
        <w:pStyle w:val="9"/>
        <w:jc w:val="center"/>
        <w:rPr>
          <w:rFonts w:ascii="宋体" w:hAnsi="宋体"/>
          <w:sz w:val="24"/>
          <w:szCs w:val="24"/>
        </w:rPr>
      </w:pPr>
    </w:p>
    <w:p>
      <w:pPr>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3"/>
        <w:rPr>
          <w:rFonts w:ascii="宋体" w:hAnsi="宋体"/>
          <w:sz w:val="24"/>
          <w:szCs w:val="24"/>
        </w:rPr>
      </w:pPr>
    </w:p>
    <w:p>
      <w:pPr>
        <w:pStyle w:val="11"/>
        <w:ind w:firstLine="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格式一</w:t>
      </w:r>
    </w:p>
    <w:p>
      <w:pPr>
        <w:pStyle w:val="11"/>
        <w:ind w:firstLine="0"/>
        <w:jc w:val="center"/>
        <w:rPr>
          <w:rFonts w:hint="eastAsia" w:ascii="黑体" w:hAnsi="宋体" w:eastAsia="黑体"/>
          <w:b/>
          <w:bCs/>
          <w:sz w:val="30"/>
          <w:szCs w:val="30"/>
        </w:rPr>
      </w:pPr>
    </w:p>
    <w:p>
      <w:pPr>
        <w:pStyle w:val="11"/>
        <w:ind w:firstLine="0"/>
        <w:jc w:val="center"/>
        <w:rPr>
          <w:rFonts w:hint="eastAsia" w:ascii="黑体" w:hAnsi="宋体" w:eastAsia="黑体"/>
          <w:b/>
          <w:bCs/>
          <w:sz w:val="30"/>
          <w:szCs w:val="30"/>
        </w:rPr>
      </w:pPr>
      <w:r>
        <w:rPr>
          <w:rFonts w:hint="eastAsia" w:ascii="黑体" w:hAnsi="宋体" w:eastAsia="黑体"/>
          <w:b/>
          <w:bCs/>
          <w:sz w:val="30"/>
          <w:szCs w:val="30"/>
        </w:rPr>
        <w:t>具备履行合同所必需的设备和专业技术能力的书面声明</w:t>
      </w:r>
    </w:p>
    <w:p>
      <w:pPr>
        <w:pStyle w:val="11"/>
        <w:ind w:firstLine="0"/>
        <w:jc w:val="center"/>
        <w:rPr>
          <w:rFonts w:hint="eastAsia" w:ascii="黑体" w:hAnsi="宋体" w:eastAsia="黑体"/>
          <w:b/>
          <w:bCs/>
          <w:sz w:val="30"/>
          <w:szCs w:val="30"/>
        </w:rPr>
      </w:pPr>
    </w:p>
    <w:p>
      <w:pPr>
        <w:rPr>
          <w:rFonts w:hint="eastAsia"/>
        </w:rPr>
      </w:pPr>
    </w:p>
    <w:p>
      <w:pPr>
        <w:spacing w:before="145" w:beforeLines="50" w:after="145"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29"/>
        <w:spacing w:before="145" w:beforeLines="50" w:after="145"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ascii="宋体" w:hAnsi="宋体"/>
          <w:bCs/>
          <w:sz w:val="24"/>
        </w:rPr>
      </w:pPr>
    </w:p>
    <w:p>
      <w:pPr>
        <w:pStyle w:val="11"/>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53" w:name="_Toc534816644"/>
      <w:bookmarkStart w:id="254" w:name="_Toc534725615"/>
      <w:r>
        <w:rPr>
          <w:rFonts w:hint="eastAsia" w:ascii="宋体" w:hAnsi="宋体" w:eastAsia="宋体" w:cs="宋体"/>
          <w:b w:val="0"/>
          <w:bCs w:val="0"/>
          <w:sz w:val="30"/>
          <w:szCs w:val="30"/>
          <w:lang w:val="en-US" w:eastAsia="zh-CN"/>
        </w:rPr>
        <w:t>格式二</w:t>
      </w:r>
    </w:p>
    <w:p>
      <w:pPr>
        <w:spacing w:before="145" w:beforeLines="50" w:after="145" w:afterLines="50" w:line="300" w:lineRule="auto"/>
        <w:rPr>
          <w:rFonts w:ascii="宋体" w:hAnsi="宋体"/>
          <w:bCs/>
          <w:sz w:val="24"/>
        </w:rPr>
      </w:pP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参加政府采购活动前 3 年内在经营活动中没有重大违法记录的</w:t>
      </w: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书面声明</w:t>
      </w:r>
      <w:bookmarkEnd w:id="253"/>
      <w:bookmarkEnd w:id="254"/>
    </w:p>
    <w:p>
      <w:pPr>
        <w:pStyle w:val="13"/>
        <w:rPr>
          <w:rFonts w:hint="eastAsia"/>
          <w:lang w:val="en-US" w:eastAsia="zh-CN"/>
        </w:rPr>
      </w:pPr>
    </w:p>
    <w:p>
      <w:pPr>
        <w:spacing w:before="145" w:beforeLines="50" w:after="145" w:afterLines="50" w:line="30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bCs/>
          <w:sz w:val="24"/>
        </w:rPr>
      </w:pPr>
    </w:p>
    <w:p>
      <w:pPr>
        <w:pStyle w:val="29"/>
        <w:spacing w:before="145" w:beforeLines="50" w:after="145" w:afterLines="50" w:line="300" w:lineRule="auto"/>
        <w:ind w:left="420" w:leftChars="200" w:firstLine="5280" w:firstLineChars="2200"/>
        <w:rPr>
          <w:rFonts w:hint="eastAsia" w:ascii="宋体" w:hAnsi="宋体"/>
          <w:kern w:val="2"/>
          <w:szCs w:val="21"/>
        </w:rPr>
      </w:pP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hint="eastAsia" w:ascii="宋体" w:hAnsi="宋体"/>
          <w:bCs/>
          <w:sz w:val="24"/>
        </w:rPr>
      </w:pPr>
    </w:p>
    <w:p>
      <w:pPr>
        <w:pStyle w:val="11"/>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55" w:name="_Toc534725616"/>
      <w:bookmarkStart w:id="256" w:name="_Toc534816645"/>
      <w:r>
        <w:rPr>
          <w:rFonts w:hint="eastAsia" w:ascii="宋体" w:hAnsi="宋体" w:eastAsia="宋体" w:cs="宋体"/>
          <w:b w:val="0"/>
          <w:bCs w:val="0"/>
          <w:sz w:val="30"/>
          <w:szCs w:val="30"/>
          <w:lang w:val="en-US" w:eastAsia="zh-CN"/>
        </w:rPr>
        <w:t>格式三</w:t>
      </w:r>
      <w:bookmarkEnd w:id="255"/>
      <w:bookmarkEnd w:id="256"/>
    </w:p>
    <w:p>
      <w:pPr>
        <w:spacing w:line="440" w:lineRule="exact"/>
        <w:ind w:firstLine="602" w:firstLineChars="200"/>
        <w:jc w:val="center"/>
        <w:rPr>
          <w:rFonts w:hint="eastAsia" w:ascii="宋体" w:hAnsi="宋体" w:eastAsia="宋体" w:cs="宋体"/>
          <w:b/>
          <w:bCs/>
          <w:sz w:val="30"/>
          <w:szCs w:val="30"/>
        </w:rPr>
      </w:pPr>
      <w:r>
        <w:rPr>
          <w:rFonts w:hint="eastAsia" w:ascii="宋体" w:hAnsi="宋体" w:eastAsia="宋体" w:cs="宋体"/>
          <w:b/>
          <w:bCs/>
          <w:sz w:val="30"/>
          <w:szCs w:val="30"/>
        </w:rPr>
        <w:t>法定代表人授权委托书</w:t>
      </w:r>
    </w:p>
    <w:p>
      <w:pPr>
        <w:pStyle w:val="22"/>
        <w:rPr>
          <w:rFonts w:hint="eastAsia"/>
        </w:rPr>
      </w:pP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ascii="宋体" w:hAnsi="宋体" w:eastAsia="宋体" w:cs="宋体"/>
          <w:sz w:val="24"/>
          <w:szCs w:val="24"/>
        </w:rPr>
        <w:t xml:space="preserve">）采购活动以我公司的名义处理一切与之有关的事务。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8240"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pStyle w:val="13"/>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8240;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FAy+jZAAAACwEAAA8AAAAAAAAA&#10;AQAgAAAAIgAAAGRycy9kb3ducmV2LnhtbFBLAQIUABQAAAAIAIdO4kDdDVONngEAACIDAAAOAAAA&#10;AAAAAAEAIAAAACgBAABkcnMvZTJvRG9jLnhtbFBLBQYAAAAABgAGAFkBAAA4BQAAAAA=&#10;">
                <v:fill on="f" focussize="0,0"/>
                <v:stroke on="f"/>
                <v:imagedata o:title=""/>
                <o:lock v:ext="edit" aspectratio="f"/>
                <v:textbox inset="0mm,0mm,0mm,0mm">
                  <w:txbxContent>
                    <w:p>
                      <w:pPr>
                        <w:pStyle w:val="13"/>
                        <w:spacing w:line="211" w:lineRule="exact"/>
                      </w:pPr>
                      <w:r>
                        <w:t xml:space="preserve"> </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3" name="文本框 3"/>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pPr>
                              <w:pStyle w:val="13"/>
                              <w:rPr>
                                <w:sz w:val="20"/>
                              </w:rPr>
                            </w:pPr>
                          </w:p>
                          <w:p>
                            <w:pPr>
                              <w:pStyle w:val="13"/>
                              <w:rPr>
                                <w:sz w:val="20"/>
                              </w:rPr>
                            </w:pPr>
                          </w:p>
                          <w:p>
                            <w:pPr>
                              <w:pStyle w:val="13"/>
                              <w:spacing w:line="278" w:lineRule="auto"/>
                              <w:ind w:left="1091" w:right="1498" w:firstLine="314"/>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法定代表人  居民身份证复印件</w:t>
                            </w:r>
                          </w:p>
                          <w:p>
                            <w:pPr>
                              <w:pStyle w:val="13"/>
                              <w:spacing w:before="4"/>
                              <w:rPr>
                                <w:rFonts w:ascii="Times New Roman" w:hAnsi="Times New Roman" w:eastAsia="宋体" w:cs="Times New Roman"/>
                                <w:spacing w:val="-1"/>
                                <w:kern w:val="2"/>
                                <w:sz w:val="21"/>
                                <w:szCs w:val="21"/>
                                <w:lang w:val="en-US" w:eastAsia="zh-CN" w:bidi="ar-SA"/>
                              </w:rPr>
                            </w:pPr>
                          </w:p>
                          <w:p>
                            <w:pPr>
                              <w:pStyle w:val="13"/>
                              <w:spacing w:before="1"/>
                              <w:ind w:left="1405"/>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spacing w:val="-1"/>
                                <w:kern w:val="2"/>
                                <w:sz w:val="21"/>
                                <w:szCs w:val="21"/>
                                <w:lang w:val="en-US" w:eastAsia="zh-CN" w:bidi="ar-SA"/>
                              </w:rPr>
                              <w:t>）</w:t>
                            </w:r>
                          </w:p>
                          <w:p>
                            <w:pPr>
                              <w:pStyle w:val="13"/>
                              <w:spacing w:before="4"/>
                              <w:rPr>
                                <w:sz w:val="24"/>
                              </w:rPr>
                            </w:pPr>
                          </w:p>
                          <w:p>
                            <w:pPr>
                              <w:pStyle w:val="13"/>
                              <w:spacing w:before="1"/>
                              <w:ind w:left="1405"/>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5168;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VQLWXaAAAACgEAAA8AAAAAAAAAAQAgAAAAIgAAAGRycy9kb3ducmV2&#10;LnhtbFBLAQIUABQAAAAIAIdO4kDEHPve+gEAAOQDAAAOAAAAAAAAAAEAIAAAACkBAABkcnMvZTJv&#10;RG9jLnhtbFBLBQYAAAAABgAGAFkBAACVBQAAAAA=&#10;">
                <v:fill on="f" focussize="0,0"/>
                <v:stroke color="#000000" joinstyle="miter"/>
                <v:imagedata o:title=""/>
                <o:lock v:ext="edit" aspectratio="f"/>
                <v:textbox inset="0mm,0mm,0mm,0mm">
                  <w:txbxContent>
                    <w:p>
                      <w:pPr>
                        <w:pStyle w:val="13"/>
                        <w:rPr>
                          <w:sz w:val="20"/>
                        </w:rPr>
                      </w:pPr>
                    </w:p>
                    <w:p>
                      <w:pPr>
                        <w:pStyle w:val="13"/>
                        <w:rPr>
                          <w:sz w:val="20"/>
                        </w:rPr>
                      </w:pPr>
                    </w:p>
                    <w:p>
                      <w:pPr>
                        <w:pStyle w:val="13"/>
                        <w:spacing w:line="278" w:lineRule="auto"/>
                        <w:ind w:left="1091" w:right="1498" w:firstLine="314"/>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法定代表人  居民身份证复印件</w:t>
                      </w:r>
                    </w:p>
                    <w:p>
                      <w:pPr>
                        <w:pStyle w:val="13"/>
                        <w:spacing w:before="4"/>
                        <w:rPr>
                          <w:rFonts w:ascii="Times New Roman" w:hAnsi="Times New Roman" w:eastAsia="宋体" w:cs="Times New Roman"/>
                          <w:spacing w:val="-1"/>
                          <w:kern w:val="2"/>
                          <w:sz w:val="21"/>
                          <w:szCs w:val="21"/>
                          <w:lang w:val="en-US" w:eastAsia="zh-CN" w:bidi="ar-SA"/>
                        </w:rPr>
                      </w:pPr>
                    </w:p>
                    <w:p>
                      <w:pPr>
                        <w:pStyle w:val="13"/>
                        <w:spacing w:before="1"/>
                        <w:ind w:left="1405"/>
                        <w:rPr>
                          <w:rFonts w:ascii="Times New Roman" w:hAnsi="Times New Roman" w:eastAsia="宋体" w:cs="Times New Roman"/>
                          <w:spacing w:val="-1"/>
                          <w:kern w:val="2"/>
                          <w:sz w:val="21"/>
                          <w:szCs w:val="21"/>
                          <w:lang w:val="en-US" w:eastAsia="zh-CN" w:bidi="ar-SA"/>
                        </w:rPr>
                      </w:pPr>
                      <w:r>
                        <w:rPr>
                          <w:rFonts w:ascii="Times New Roman" w:hAnsi="Times New Roman" w:eastAsia="宋体" w:cs="Times New Roman"/>
                          <w:spacing w:val="-1"/>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spacing w:val="-1"/>
                          <w:kern w:val="2"/>
                          <w:sz w:val="21"/>
                          <w:szCs w:val="21"/>
                          <w:lang w:val="en-US" w:eastAsia="zh-CN" w:bidi="ar-SA"/>
                        </w:rPr>
                        <w:t>）</w:t>
                      </w:r>
                    </w:p>
                    <w:p>
                      <w:pPr>
                        <w:pStyle w:val="13"/>
                        <w:spacing w:before="4"/>
                        <w:rPr>
                          <w:sz w:val="24"/>
                        </w:rPr>
                      </w:pPr>
                    </w:p>
                    <w:p>
                      <w:pPr>
                        <w:pStyle w:val="13"/>
                        <w:spacing w:before="1"/>
                        <w:ind w:left="1405"/>
                      </w:pPr>
                    </w:p>
                  </w:txbxContent>
                </v:textbox>
              </v:shape>
            </w:pict>
          </mc:Fallback>
        </mc:AlternateContent>
      </w:r>
      <w:r>
        <w:rPr>
          <w:rFonts w:hint="eastAsia" w:ascii="宋体" w:hAnsi="宋体" w:eastAsia="宋体" w:cs="宋体"/>
          <w:sz w:val="24"/>
          <w:szCs w:val="24"/>
        </w:rPr>
        <w:t>本授权书自法定代表人签字之日起生效，特此声明。</w:t>
      </w:r>
    </w:p>
    <w:p>
      <w:pPr>
        <w:spacing w:line="440" w:lineRule="exact"/>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0288" behindDoc="1" locked="0" layoutInCell="1" allowOverlap="1">
                <wp:simplePos x="0" y="0"/>
                <wp:positionH relativeFrom="page">
                  <wp:posOffset>789940</wp:posOffset>
                </wp:positionH>
                <wp:positionV relativeFrom="paragraph">
                  <wp:posOffset>274955</wp:posOffset>
                </wp:positionV>
                <wp:extent cx="2724150" cy="1539240"/>
                <wp:effectExtent l="0" t="635" r="4445" b="14605"/>
                <wp:wrapNone/>
                <wp:docPr id="12" name="组合 12"/>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10" name="矩形 10"/>
                        <wps:cNvSpPr/>
                        <wps:spPr>
                          <a:xfrm>
                            <a:off x="1222" y="896"/>
                            <a:ext cx="4275" cy="2754"/>
                          </a:xfrm>
                          <a:prstGeom prst="rect">
                            <a:avLst/>
                          </a:prstGeom>
                          <a:solidFill>
                            <a:srgbClr val="FFFFFF"/>
                          </a:solidFill>
                          <a:ln>
                            <a:noFill/>
                          </a:ln>
                        </wps:spPr>
                        <wps:bodyPr upright="1"/>
                      </wps:wsp>
                      <wps:wsp>
                        <wps:cNvPr id="11" name="文本框 11"/>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right="1888"/>
                                <w:jc w:val="center"/>
                                <w:rPr>
                                  <w:sz w:val="21"/>
                                </w:rPr>
                              </w:pPr>
                              <w:r>
                                <w:rPr>
                                  <w:rFonts w:hint="eastAsia"/>
                                  <w:sz w:val="21"/>
                                  <w:lang w:val="en-US" w:eastAsia="zh-CN"/>
                                </w:rPr>
                                <w:t xml:space="preserve">             </w:t>
                              </w:r>
                              <w:r>
                                <w:rPr>
                                  <w:sz w:val="21"/>
                                </w:rPr>
                                <w:t>（</w:t>
                              </w:r>
                              <w:r>
                                <w:rPr>
                                  <w:rFonts w:hint="eastAsia"/>
                                  <w:spacing w:val="-2"/>
                                  <w:sz w:val="21"/>
                                  <w:lang w:val="en-US" w:eastAsia="zh-CN"/>
                                </w:rPr>
                                <w:t>国徽面</w:t>
                              </w:r>
                              <w:r>
                                <w:rPr>
                                  <w:sz w:val="21"/>
                                </w:rPr>
                                <w:t>）</w:t>
                              </w: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6192;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EoTIsHZAAAACgEAAA8AAAAAAAAAAQAgAAAAIgAAAGRycy9k&#10;b3ducmV2LnhtbFBLAQIUABQAAAAIAIdO4kDF9UoZrAIAAJoGAAAOAAAAAAAAAAEAIAAAACgBAABk&#10;cnMvZTJvRG9jLnhtbFBLBQYAAAAABgAGAFkBAABGBgAAAAA=&#10;">
                <o:lock v:ext="edit" aspectratio="f"/>
                <v:rect id="_x0000_s1026" o:spid="_x0000_s1026" o:spt="1" style="position:absolute;left:1222;top:896;height:2754;width:4275;" fillcolor="#FFFFFF" filled="t" stroked="f" coordsize="21600,21600"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taPpubsAAADb&#10;AAAADwAAAGRycy9kb3ducmV2LnhtbEVPS4vCMBC+L/gfwgh7WTSph0Wq0YMoeFhkfaHHoRmb0mZS&#10;mqzVf79ZWPA2H99z5suHa8SdulB51pCNFQjiwpuKSw2n42Y0BREissHGM2l4UoDlYvA2x9z4nvd0&#10;P8RSpBAOOWqwMba5lKGw5DCMfUucuJvvHMYEu1KaDvsU7ho5UepTOqw4NVhsaWWpqA8/TkO9s9/7&#10;y9fqWnxIqsv+rC7T51rr92GmZiAiPeJL/O/emjQ/g79f0gFy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Ppu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right="1888"/>
                          <w:jc w:val="center"/>
                          <w:rPr>
                            <w:sz w:val="21"/>
                          </w:rPr>
                        </w:pPr>
                        <w:r>
                          <w:rPr>
                            <w:rFonts w:hint="eastAsia"/>
                            <w:sz w:val="21"/>
                            <w:lang w:val="en-US" w:eastAsia="zh-CN"/>
                          </w:rPr>
                          <w:t xml:space="preserve">             </w:t>
                        </w:r>
                        <w:r>
                          <w:rPr>
                            <w:sz w:val="21"/>
                          </w:rPr>
                          <w:t>（</w:t>
                        </w:r>
                        <w:r>
                          <w:rPr>
                            <w:rFonts w:hint="eastAsia"/>
                            <w:spacing w:val="-2"/>
                            <w:sz w:val="21"/>
                            <w:lang w:val="en-US" w:eastAsia="zh-CN"/>
                          </w:rPr>
                          <w:t>国徽面</w:t>
                        </w:r>
                        <w:r>
                          <w:rPr>
                            <w:sz w:val="21"/>
                          </w:rPr>
                          <w:t>）</w:t>
                        </w:r>
                      </w:p>
                    </w:txbxContent>
                  </v:textbox>
                </v:shape>
              </v:group>
            </w:pict>
          </mc:Fallback>
        </mc:AlternateContent>
      </w: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2336" behindDoc="1" locked="0" layoutInCell="1" allowOverlap="1">
                <wp:simplePos x="0" y="0"/>
                <wp:positionH relativeFrom="page">
                  <wp:posOffset>695960</wp:posOffset>
                </wp:positionH>
                <wp:positionV relativeFrom="paragraph">
                  <wp:posOffset>293370</wp:posOffset>
                </wp:positionV>
                <wp:extent cx="2834005" cy="1572260"/>
                <wp:effectExtent l="635" t="635" r="0" b="12065"/>
                <wp:wrapTopAndBottom/>
                <wp:docPr id="9" name="组合 9"/>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7" name="矩形 7"/>
                        <wps:cNvSpPr/>
                        <wps:spPr>
                          <a:xfrm>
                            <a:off x="1104" y="469"/>
                            <a:ext cx="4448" cy="2775"/>
                          </a:xfrm>
                          <a:prstGeom prst="rect">
                            <a:avLst/>
                          </a:prstGeom>
                          <a:solidFill>
                            <a:srgbClr val="FFFFFF"/>
                          </a:solidFill>
                          <a:ln>
                            <a:noFill/>
                          </a:ln>
                        </wps:spPr>
                        <wps:bodyPr upright="1"/>
                      </wps:wsp>
                      <wps:wsp>
                        <wps:cNvPr id="8" name="文本框 8"/>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rPr>
                                  <w:rFonts w:ascii="微软雅黑"/>
                                  <w:b/>
                                  <w:sz w:val="20"/>
                                </w:rPr>
                              </w:pPr>
                            </w:p>
                            <w:p>
                              <w:pPr>
                                <w:spacing w:before="1"/>
                                <w:rPr>
                                  <w:rFonts w:ascii="微软雅黑"/>
                                  <w:b/>
                                  <w:sz w:val="19"/>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w:t>
                              </w:r>
                              <w:r>
                                <w:rPr>
                                  <w:rFonts w:hint="eastAsia"/>
                                  <w:spacing w:val="-2"/>
                                  <w:sz w:val="21"/>
                                  <w:lang w:val="en-US" w:eastAsia="zh-CN"/>
                                </w:rPr>
                                <w:t>国徽面</w:t>
                              </w:r>
                              <w:r>
                                <w:rPr>
                                  <w:sz w:val="21"/>
                                </w:rPr>
                                <w:t>）</w:t>
                              </w: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4144;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bevwnaAAAACgEAAA8AAAAAAAAAAQAgAAAAIgAAAGRycy9kb3du&#10;cmV2LnhtbFBLAQIUABQAAAAIAIdO4kCWIxDtqAIAAJQGAAAOAAAAAAAAAAEAIAAAACkBAABkcnMv&#10;ZTJvRG9jLnhtbFBLBQYAAAAABgAGAFkBAABDBgAAAAA=&#10;">
                <o:lock v:ext="edit" aspectratio="f"/>
                <v:rect id="_x0000_s1026" o:spid="_x0000_s1026" o:spt="1" style="position:absolute;left:1104;top:469;height:2775;width:4448;"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cSs84LoAAADa&#10;AAAADwAAAGRycy9kb3ducmV2LnhtbEVPz2vCMBS+D/wfwhvsMmziDkO6Rg8yYQcRqxvu+GieTWnz&#10;UprM2v/eHAYeP77fxfrmOnGlITSeNSwyBYK48qbhWsP3aTtfgggR2WDnmTRMFGC9mj0VmBs/cknX&#10;Y6xFCuGQowYbY59LGSpLDkPme+LEXfzgMCY41NIMOKZw18k3pd6lw4ZTg8WeNpaq9vjnNLR7eyjP&#10;u81v9SqprccfdV5On1q/PC/UB4hIt/gQ/7u/jIa0NV1JN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Kzzg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rPr>
                            <w:rFonts w:ascii="微软雅黑"/>
                            <w:b/>
                            <w:sz w:val="20"/>
                          </w:rPr>
                        </w:pPr>
                      </w:p>
                      <w:p>
                        <w:pPr>
                          <w:spacing w:before="1"/>
                          <w:rPr>
                            <w:rFonts w:ascii="微软雅黑"/>
                            <w:b/>
                            <w:sz w:val="19"/>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w:t>
                        </w:r>
                        <w:r>
                          <w:rPr>
                            <w:rFonts w:hint="eastAsia"/>
                            <w:spacing w:val="-2"/>
                            <w:sz w:val="21"/>
                            <w:lang w:val="en-US" w:eastAsia="zh-CN"/>
                          </w:rPr>
                          <w:t>国徽面</w:t>
                        </w:r>
                        <w:r>
                          <w:rPr>
                            <w:sz w:val="21"/>
                          </w:rPr>
                          <w:t>）</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1" locked="0" layoutInCell="1" allowOverlap="1">
                <wp:simplePos x="0" y="0"/>
                <wp:positionH relativeFrom="page">
                  <wp:posOffset>3603625</wp:posOffset>
                </wp:positionH>
                <wp:positionV relativeFrom="paragraph">
                  <wp:posOffset>297815</wp:posOffset>
                </wp:positionV>
                <wp:extent cx="2824480" cy="1591310"/>
                <wp:effectExtent l="4445" t="4445" r="5715" b="19685"/>
                <wp:wrapTopAndBottom/>
                <wp:docPr id="2" name="文本框 2"/>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pPr>
                              <w:pStyle w:val="13"/>
                              <w:rPr>
                                <w:rFonts w:ascii="微软雅黑"/>
                                <w:b/>
                                <w:sz w:val="20"/>
                              </w:rPr>
                            </w:pPr>
                          </w:p>
                          <w:p>
                            <w:pPr>
                              <w:pStyle w:val="13"/>
                              <w:spacing w:before="1"/>
                              <w:rPr>
                                <w:rFonts w:ascii="微软雅黑"/>
                                <w:b/>
                                <w:sz w:val="19"/>
                              </w:rPr>
                            </w:pPr>
                          </w:p>
                          <w:p>
                            <w:pPr>
                              <w:pStyle w:val="13"/>
                              <w:spacing w:line="278" w:lineRule="auto"/>
                              <w:ind w:left="1168" w:right="1159"/>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被授权人（授权代表） 居民身份证复印件</w:t>
                            </w:r>
                          </w:p>
                          <w:p>
                            <w:pPr>
                              <w:pStyle w:val="13"/>
                              <w:spacing w:before="16"/>
                              <w:rPr>
                                <w:rFonts w:ascii="Times New Roman" w:hAnsi="Times New Roman" w:eastAsia="宋体" w:cs="Times New Roman"/>
                                <w:kern w:val="2"/>
                                <w:sz w:val="21"/>
                                <w:szCs w:val="21"/>
                                <w:lang w:val="en-US" w:eastAsia="zh-CN" w:bidi="ar-SA"/>
                              </w:rPr>
                            </w:pPr>
                          </w:p>
                          <w:p>
                            <w:pPr>
                              <w:pStyle w:val="13"/>
                              <w:spacing w:before="1"/>
                              <w:ind w:left="1165" w:right="1161"/>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kern w:val="2"/>
                                <w:sz w:val="21"/>
                                <w:szCs w:val="21"/>
                                <w:lang w:val="en-US" w:eastAsia="zh-CN" w:bidi="ar-SA"/>
                              </w:rPr>
                              <w:t>）</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3120;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5wacNsAAAALAQAADwAAAAAAAAABACAAAAAiAAAAZHJzL2Rvd25y&#10;ZXYueG1sUEsBAhQAFAAAAAgAh07iQP2spfH7AQAA5AMAAA4AAAAAAAAAAQAgAAAAKgEAAGRycy9l&#10;Mm9Eb2MueG1sUEsFBgAAAAAGAAYAWQEAAJcFAAAAAA==&#10;">
                <v:fill on="f" focussize="0,0"/>
                <v:stroke color="#000000" joinstyle="miter"/>
                <v:imagedata o:title=""/>
                <o:lock v:ext="edit" aspectratio="f"/>
                <v:textbox inset="0mm,0mm,0mm,0mm">
                  <w:txbxContent>
                    <w:p>
                      <w:pPr>
                        <w:pStyle w:val="13"/>
                        <w:rPr>
                          <w:rFonts w:ascii="微软雅黑"/>
                          <w:b/>
                          <w:sz w:val="20"/>
                        </w:rPr>
                      </w:pPr>
                    </w:p>
                    <w:p>
                      <w:pPr>
                        <w:pStyle w:val="13"/>
                        <w:spacing w:before="1"/>
                        <w:rPr>
                          <w:rFonts w:ascii="微软雅黑"/>
                          <w:b/>
                          <w:sz w:val="19"/>
                        </w:rPr>
                      </w:pPr>
                    </w:p>
                    <w:p>
                      <w:pPr>
                        <w:pStyle w:val="13"/>
                        <w:spacing w:line="278" w:lineRule="auto"/>
                        <w:ind w:left="1168" w:right="1159"/>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被授权人（授权代表） 居民身份证复印件</w:t>
                      </w:r>
                    </w:p>
                    <w:p>
                      <w:pPr>
                        <w:pStyle w:val="13"/>
                        <w:spacing w:before="16"/>
                        <w:rPr>
                          <w:rFonts w:ascii="Times New Roman" w:hAnsi="Times New Roman" w:eastAsia="宋体" w:cs="Times New Roman"/>
                          <w:kern w:val="2"/>
                          <w:sz w:val="21"/>
                          <w:szCs w:val="21"/>
                          <w:lang w:val="en-US" w:eastAsia="zh-CN" w:bidi="ar-SA"/>
                        </w:rPr>
                      </w:pPr>
                    </w:p>
                    <w:p>
                      <w:pPr>
                        <w:pStyle w:val="13"/>
                        <w:spacing w:before="1"/>
                        <w:ind w:left="1165" w:right="1161"/>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w:t>
                      </w:r>
                      <w:r>
                        <w:rPr>
                          <w:rFonts w:hint="eastAsia" w:ascii="Times New Roman" w:hAnsi="Times New Roman" w:eastAsia="宋体" w:cs="Times New Roman"/>
                          <w:spacing w:val="-1"/>
                          <w:kern w:val="2"/>
                          <w:sz w:val="21"/>
                          <w:szCs w:val="21"/>
                          <w:lang w:val="en-US" w:eastAsia="zh-CN" w:bidi="ar-SA"/>
                        </w:rPr>
                        <w:t>人像面</w:t>
                      </w:r>
                      <w:r>
                        <w:rPr>
                          <w:rFonts w:ascii="Times New Roman" w:hAnsi="Times New Roman" w:eastAsia="宋体" w:cs="Times New Roman"/>
                          <w:kern w:val="2"/>
                          <w:sz w:val="21"/>
                          <w:szCs w:val="21"/>
                          <w:lang w:val="en-US" w:eastAsia="zh-CN" w:bidi="ar-SA"/>
                        </w:rPr>
                        <w:t>）</w:t>
                      </w: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pPr>
                              <w:pStyle w:val="13"/>
                              <w:spacing w:line="241" w:lineRule="exact"/>
                            </w:pPr>
                            <w:r>
                              <w:t xml:space="preserve"> </w:t>
                            </w:r>
                          </w:p>
                          <w:p>
                            <w:pPr>
                              <w:pStyle w:val="13"/>
                              <w:spacing w:before="6"/>
                              <w:rPr>
                                <w:sz w:val="15"/>
                              </w:rPr>
                            </w:pPr>
                          </w:p>
                          <w:p>
                            <w:pPr>
                              <w:pStyle w:val="13"/>
                            </w:pPr>
                            <w:r>
                              <w:t xml:space="preserve"> </w:t>
                            </w:r>
                          </w:p>
                          <w:p>
                            <w:pPr>
                              <w:pStyle w:val="13"/>
                              <w:spacing w:before="7"/>
                              <w:rPr>
                                <w:sz w:val="15"/>
                              </w:rPr>
                            </w:pPr>
                          </w:p>
                          <w:p>
                            <w:pPr>
                              <w:pStyle w:val="13"/>
                            </w:pPr>
                            <w:r>
                              <w:t xml:space="preserve"> </w:t>
                            </w:r>
                          </w:p>
                          <w:p>
                            <w:pPr>
                              <w:pStyle w:val="13"/>
                              <w:spacing w:before="7"/>
                              <w:rPr>
                                <w:sz w:val="15"/>
                              </w:rPr>
                            </w:pPr>
                          </w:p>
                          <w:p>
                            <w:pPr>
                              <w:pStyle w:val="13"/>
                            </w:pPr>
                            <w:r>
                              <w:t xml:space="preserve"> </w:t>
                            </w:r>
                          </w:p>
                          <w:p>
                            <w:pPr>
                              <w:pStyle w:val="13"/>
                              <w:spacing w:before="7"/>
                              <w:rPr>
                                <w:sz w:val="15"/>
                              </w:rPr>
                            </w:pPr>
                          </w:p>
                          <w:p>
                            <w:pPr>
                              <w:pStyle w:val="13"/>
                            </w:pPr>
                            <w:r>
                              <w:t xml:space="preserve"> </w:t>
                            </w:r>
                          </w:p>
                          <w:p>
                            <w:pPr>
                              <w:pStyle w:val="13"/>
                              <w:spacing w:before="6"/>
                              <w:rPr>
                                <w:sz w:val="15"/>
                              </w:rPr>
                            </w:pPr>
                          </w:p>
                          <w:p>
                            <w:pPr>
                              <w:pStyle w:val="13"/>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7216;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5VDH1wAAAAoBAAAPAAAAAAAAAAEA&#10;IAAAACIAAABkcnMvZG93bnJldi54bWxQSwECFAAUAAAACACHTuJADHjQVp4BAAAjAwAADgAAAAAA&#10;AAABACAAAAAmAQAAZHJzL2Uyb0RvYy54bWxQSwUGAAAAAAYABgBZAQAANgUAAAAA&#10;">
                <v:fill on="f" focussize="0,0"/>
                <v:stroke on="f"/>
                <v:imagedata o:title=""/>
                <o:lock v:ext="edit" aspectratio="f"/>
                <v:textbox inset="0mm,0mm,0mm,0mm">
                  <w:txbxContent>
                    <w:p>
                      <w:pPr>
                        <w:pStyle w:val="13"/>
                        <w:spacing w:line="241" w:lineRule="exact"/>
                      </w:pPr>
                      <w:r>
                        <w:t xml:space="preserve"> </w:t>
                      </w:r>
                    </w:p>
                    <w:p>
                      <w:pPr>
                        <w:pStyle w:val="13"/>
                        <w:spacing w:before="6"/>
                        <w:rPr>
                          <w:sz w:val="15"/>
                        </w:rPr>
                      </w:pPr>
                    </w:p>
                    <w:p>
                      <w:pPr>
                        <w:pStyle w:val="13"/>
                      </w:pPr>
                      <w:r>
                        <w:t xml:space="preserve"> </w:t>
                      </w:r>
                    </w:p>
                    <w:p>
                      <w:pPr>
                        <w:pStyle w:val="13"/>
                        <w:spacing w:before="7"/>
                        <w:rPr>
                          <w:sz w:val="15"/>
                        </w:rPr>
                      </w:pPr>
                    </w:p>
                    <w:p>
                      <w:pPr>
                        <w:pStyle w:val="13"/>
                      </w:pPr>
                      <w:r>
                        <w:t xml:space="preserve"> </w:t>
                      </w:r>
                    </w:p>
                    <w:p>
                      <w:pPr>
                        <w:pStyle w:val="13"/>
                        <w:spacing w:before="7"/>
                        <w:rPr>
                          <w:sz w:val="15"/>
                        </w:rPr>
                      </w:pPr>
                    </w:p>
                    <w:p>
                      <w:pPr>
                        <w:pStyle w:val="13"/>
                      </w:pPr>
                      <w:r>
                        <w:t xml:space="preserve"> </w:t>
                      </w:r>
                    </w:p>
                    <w:p>
                      <w:pPr>
                        <w:pStyle w:val="13"/>
                        <w:spacing w:before="7"/>
                        <w:rPr>
                          <w:sz w:val="15"/>
                        </w:rPr>
                      </w:pPr>
                    </w:p>
                    <w:p>
                      <w:pPr>
                        <w:pStyle w:val="13"/>
                      </w:pPr>
                      <w:r>
                        <w:t xml:space="preserve"> </w:t>
                      </w:r>
                    </w:p>
                    <w:p>
                      <w:pPr>
                        <w:pStyle w:val="13"/>
                        <w:spacing w:before="6"/>
                        <w:rPr>
                          <w:sz w:val="15"/>
                        </w:rPr>
                      </w:pPr>
                    </w:p>
                    <w:p>
                      <w:pPr>
                        <w:pStyle w:val="13"/>
                        <w:spacing w:line="240" w:lineRule="exact"/>
                      </w:pPr>
                      <w: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u w:val="single"/>
          <w:lang w:val="en-US"/>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rPr>
        <w:t xml:space="preserve">   </w:t>
      </w:r>
    </w:p>
    <w:p>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被授权人（签名）：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40" w:lineRule="exact"/>
        <w:ind w:firstLine="480" w:firstLineChars="200"/>
        <w:rPr>
          <w:rFonts w:hint="eastAsia" w:ascii="宋体" w:hAnsi="宋体" w:eastAsia="宋体" w:cs="宋体"/>
          <w:sz w:val="24"/>
          <w:szCs w:val="24"/>
        </w:rPr>
        <w:sectPr>
          <w:headerReference r:id="rId4" w:type="default"/>
          <w:pgSz w:w="11910" w:h="16840"/>
          <w:pgMar w:top="1984" w:right="1531" w:bottom="2098" w:left="1531" w:header="670" w:footer="1041" w:gutter="0"/>
          <w:cols w:space="720" w:num="1"/>
          <w:docGrid w:linePitch="1" w:charSpace="0"/>
        </w:sect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rPr>
        <w:t xml:space="preserve"> </w:t>
      </w:r>
    </w:p>
    <w:p>
      <w:pPr>
        <w:pStyle w:val="8"/>
        <w:spacing w:before="145" w:beforeLines="50" w:after="145" w:afterLines="50" w:line="300" w:lineRule="auto"/>
        <w:jc w:val="left"/>
        <w:rPr>
          <w:rFonts w:hint="eastAsia" w:ascii="宋体" w:hAnsi="宋体" w:eastAsia="宋体" w:cs="Times New Roman"/>
          <w:bCs w:val="0"/>
          <w:sz w:val="32"/>
          <w:szCs w:val="32"/>
        </w:rPr>
      </w:pPr>
      <w:bookmarkStart w:id="257" w:name="_Toc534725617"/>
      <w:bookmarkStart w:id="258" w:name="_Toc534816646"/>
      <w:r>
        <w:rPr>
          <w:rFonts w:hint="eastAsia" w:ascii="宋体" w:hAnsi="宋体" w:eastAsia="宋体" w:cs="宋体"/>
          <w:b w:val="0"/>
          <w:bCs w:val="0"/>
          <w:sz w:val="30"/>
          <w:szCs w:val="30"/>
          <w:lang w:val="en-US" w:eastAsia="zh-CN"/>
        </w:rPr>
        <w:t>格式四</w:t>
      </w:r>
    </w:p>
    <w:p>
      <w:pPr>
        <w:pStyle w:val="8"/>
        <w:spacing w:before="145" w:beforeLines="50" w:after="145" w:afterLines="50" w:line="300" w:lineRule="auto"/>
        <w:ind w:firstLine="3373" w:firstLineChars="1050"/>
        <w:jc w:val="both"/>
        <w:rPr>
          <w:rFonts w:ascii="宋体" w:hAnsi="宋体" w:eastAsia="宋体" w:cs="Times New Roman"/>
          <w:bCs w:val="0"/>
          <w:sz w:val="32"/>
          <w:szCs w:val="32"/>
        </w:rPr>
      </w:pPr>
      <w:r>
        <w:rPr>
          <w:rFonts w:hint="eastAsia" w:ascii="宋体" w:hAnsi="宋体" w:eastAsia="宋体" w:cs="Times New Roman"/>
          <w:bCs w:val="0"/>
          <w:sz w:val="32"/>
          <w:szCs w:val="32"/>
        </w:rPr>
        <w:t>投标函格式</w:t>
      </w:r>
      <w:bookmarkEnd w:id="257"/>
      <w:bookmarkEnd w:id="258"/>
    </w:p>
    <w:p>
      <w:pPr>
        <w:pStyle w:val="29"/>
        <w:spacing w:before="145" w:beforeLines="50" w:after="145" w:afterLines="50" w:line="300" w:lineRule="auto"/>
        <w:ind w:firstLine="0"/>
        <w:rPr>
          <w:rFonts w:hint="eastAsia" w:ascii="宋体" w:hAnsi="宋体" w:eastAsia="宋体"/>
          <w:kern w:val="2"/>
          <w:szCs w:val="21"/>
          <w:lang w:eastAsia="zh-CN"/>
        </w:rPr>
      </w:pPr>
      <w:r>
        <w:rPr>
          <w:rFonts w:hint="eastAsia" w:ascii="宋体" w:hAnsi="宋体"/>
          <w:kern w:val="2"/>
          <w:szCs w:val="21"/>
        </w:rPr>
        <w:t>致：</w:t>
      </w:r>
      <w:r>
        <w:rPr>
          <w:rFonts w:hint="eastAsia" w:ascii="宋体" w:hAnsi="宋体"/>
          <w:kern w:val="2"/>
          <w:szCs w:val="21"/>
          <w:lang w:val="en-US" w:eastAsia="zh-CN"/>
        </w:rPr>
        <w:t>昌吉回族自治州政务服务和公共资源交易中心</w:t>
      </w:r>
    </w:p>
    <w:p>
      <w:pPr>
        <w:pStyle w:val="29"/>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根据贵方的</w:t>
      </w:r>
      <w:r>
        <w:rPr>
          <w:rFonts w:hint="eastAsia" w:ascii="宋体" w:hAnsi="宋体" w:eastAsia="宋体" w:cs="宋体"/>
          <w:color w:val="0000FF"/>
          <w:kern w:val="2"/>
          <w:szCs w:val="21"/>
          <w:u w:val="single"/>
        </w:rPr>
        <w:t>CJZFCG-GK-202</w:t>
      </w:r>
      <w:r>
        <w:rPr>
          <w:rFonts w:hint="eastAsia" w:ascii="宋体" w:hAnsi="宋体" w:eastAsia="宋体" w:cs="宋体"/>
          <w:color w:val="0000FF"/>
          <w:kern w:val="2"/>
          <w:szCs w:val="21"/>
          <w:u w:val="single"/>
          <w:lang w:val="en-US" w:eastAsia="zh-CN"/>
        </w:rPr>
        <w:t>5004</w:t>
      </w:r>
      <w:r>
        <w:rPr>
          <w:rFonts w:hint="eastAsia" w:ascii="宋体" w:hAnsi="宋体"/>
          <w:b/>
          <w:sz w:val="36"/>
          <w:u w:val="single"/>
        </w:rPr>
        <w:t xml:space="preserve">       </w:t>
      </w:r>
      <w:r>
        <w:rPr>
          <w:rFonts w:hint="eastAsia" w:ascii="宋体" w:hAnsi="宋体"/>
          <w:kern w:val="2"/>
          <w:szCs w:val="21"/>
        </w:rPr>
        <w:t>号招标文件，正式授权下述签字人_________________(姓名)代表我方______________（投标人的名称），全权处理本次项目投标的有关事宜。</w:t>
      </w:r>
    </w:p>
    <w:p>
      <w:pPr>
        <w:pStyle w:val="29"/>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据此函，__________签字人兹宣布同意如下：</w:t>
      </w:r>
    </w:p>
    <w:p>
      <w:pPr>
        <w:pStyle w:val="29"/>
        <w:spacing w:before="145" w:beforeLines="50" w:after="145" w:afterLines="50" w:line="300" w:lineRule="auto"/>
        <w:rPr>
          <w:rFonts w:hint="eastAsia" w:ascii="宋体" w:hAnsi="宋体"/>
          <w:kern w:val="2"/>
          <w:szCs w:val="21"/>
        </w:rPr>
      </w:pPr>
      <w:r>
        <w:rPr>
          <w:rFonts w:hint="eastAsia" w:ascii="宋体" w:hAnsi="宋体"/>
          <w:kern w:val="2"/>
          <w:szCs w:val="21"/>
        </w:rPr>
        <w:t>1.按招标文件规定的各项要求，向买方提供所需货物与服务。</w:t>
      </w:r>
    </w:p>
    <w:p>
      <w:pPr>
        <w:pStyle w:val="29"/>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2.我们完全理解贵方不一定将合同授予报价最低的投标人。</w:t>
      </w:r>
    </w:p>
    <w:p>
      <w:pPr>
        <w:pStyle w:val="29"/>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3.我们已详细审核全部招标文件及其有效补充文件，我们知道必须放弃提出含糊不清或误解问题的权利。</w:t>
      </w:r>
    </w:p>
    <w:p>
      <w:pPr>
        <w:pStyle w:val="29"/>
        <w:spacing w:before="145" w:beforeLines="50" w:after="145" w:afterLines="50" w:line="300" w:lineRule="auto"/>
        <w:rPr>
          <w:rFonts w:hint="eastAsia" w:ascii="宋体" w:hAnsi="宋体"/>
          <w:kern w:val="2"/>
          <w:szCs w:val="21"/>
        </w:rPr>
      </w:pPr>
      <w:r>
        <w:rPr>
          <w:rFonts w:hint="eastAsia" w:ascii="宋体" w:hAnsi="宋体"/>
          <w:kern w:val="2"/>
          <w:szCs w:val="21"/>
        </w:rPr>
        <w:t>4.我们同意从规定的开标时间起遵循本投标文件，并在规定的投标有效期期满之前均具有约束力。</w:t>
      </w:r>
    </w:p>
    <w:p>
      <w:pPr>
        <w:pStyle w:val="29"/>
        <w:spacing w:before="145" w:beforeLines="50" w:after="145" w:afterLines="50" w:line="300" w:lineRule="auto"/>
        <w:rPr>
          <w:rFonts w:hint="eastAsia" w:ascii="宋体" w:hAnsi="宋体"/>
          <w:kern w:val="2"/>
          <w:szCs w:val="21"/>
        </w:rPr>
      </w:pPr>
      <w:r>
        <w:rPr>
          <w:rFonts w:hint="eastAsia" w:ascii="宋体" w:hAnsi="宋体"/>
          <w:kern w:val="2"/>
          <w:szCs w:val="21"/>
        </w:rPr>
        <w:t>5.如果在开标后规定的投标有效期内撤回投标或中标后拒绝签订合同，我们的投标保证金可不予退还。</w:t>
      </w:r>
    </w:p>
    <w:p>
      <w:pPr>
        <w:pStyle w:val="29"/>
        <w:spacing w:before="145" w:beforeLines="50" w:after="145" w:afterLines="50" w:line="300" w:lineRule="auto"/>
        <w:rPr>
          <w:rFonts w:hint="eastAsia" w:ascii="宋体" w:hAnsi="宋体"/>
          <w:kern w:val="2"/>
          <w:szCs w:val="21"/>
        </w:rPr>
      </w:pPr>
      <w:r>
        <w:rPr>
          <w:rFonts w:hint="eastAsia" w:ascii="宋体" w:hAnsi="宋体"/>
          <w:kern w:val="2"/>
          <w:szCs w:val="21"/>
        </w:rPr>
        <w:t>6.同意向贵方提供贵方可能另外要求的与投标有关的任何证据或资料，并保证我方已提供和将要提供的文件是真实的、准确的。</w:t>
      </w:r>
    </w:p>
    <w:p>
      <w:pPr>
        <w:pStyle w:val="29"/>
        <w:spacing w:before="145" w:beforeLines="50" w:after="145" w:afterLines="50" w:line="300" w:lineRule="auto"/>
        <w:rPr>
          <w:rFonts w:hint="eastAsia" w:ascii="宋体" w:hAnsi="宋体"/>
          <w:kern w:val="2"/>
          <w:szCs w:val="21"/>
        </w:rPr>
      </w:pPr>
      <w:r>
        <w:rPr>
          <w:rFonts w:hint="eastAsia" w:ascii="宋体" w:hAnsi="宋体"/>
          <w:kern w:val="2"/>
          <w:szCs w:val="21"/>
        </w:rPr>
        <w:t>7.一旦我方中标,我方将根据招标文件的规定，严格履行合同的责任和义务,并保证在招标文件规定的时间完成项目，交付买方验收、使用。</w:t>
      </w:r>
    </w:p>
    <w:p>
      <w:pPr>
        <w:pStyle w:val="29"/>
        <w:spacing w:before="145" w:beforeLines="50" w:after="145" w:afterLines="50" w:line="300" w:lineRule="auto"/>
        <w:ind w:left="425" w:firstLine="0"/>
        <w:rPr>
          <w:rFonts w:hint="eastAsia" w:ascii="宋体" w:hAnsi="宋体"/>
          <w:kern w:val="2"/>
          <w:szCs w:val="21"/>
        </w:rPr>
      </w:pPr>
      <w:r>
        <w:rPr>
          <w:rFonts w:hint="eastAsia" w:ascii="宋体" w:hAnsi="宋体"/>
          <w:kern w:val="2"/>
          <w:szCs w:val="21"/>
        </w:rPr>
        <w:t>8.与本投标有关的正式通讯地址为：</w:t>
      </w:r>
    </w:p>
    <w:p>
      <w:pPr>
        <w:pStyle w:val="29"/>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地          址：</w:t>
      </w:r>
    </w:p>
    <w:p>
      <w:pPr>
        <w:pStyle w:val="29"/>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邮          编：</w:t>
      </w:r>
    </w:p>
    <w:p>
      <w:pPr>
        <w:pStyle w:val="29"/>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电          话：</w:t>
      </w:r>
    </w:p>
    <w:p>
      <w:pPr>
        <w:pStyle w:val="29"/>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传          真：</w:t>
      </w:r>
    </w:p>
    <w:p>
      <w:pPr>
        <w:pStyle w:val="29"/>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投标人开户行：</w:t>
      </w:r>
    </w:p>
    <w:p>
      <w:pPr>
        <w:pStyle w:val="29"/>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 xml:space="preserve">账          户： </w:t>
      </w:r>
    </w:p>
    <w:p>
      <w:pPr>
        <w:pStyle w:val="29"/>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日           期：________年____月____日</w:t>
      </w:r>
    </w:p>
    <w:p>
      <w:pPr>
        <w:keepNext w:val="0"/>
        <w:keepLines w:val="0"/>
        <w:pageBreakBefore w:val="0"/>
        <w:widowControl/>
        <w:numPr>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30"/>
          <w:szCs w:val="30"/>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szCs w:val="22"/>
          <w:lang w:val="en-US" w:eastAsia="zh-CN"/>
        </w:rPr>
      </w:pPr>
      <w:r>
        <w:rPr>
          <w:rFonts w:hint="eastAsia" w:ascii="宋体" w:hAnsi="宋体" w:eastAsia="宋体" w:cs="宋体"/>
          <w:b w:val="0"/>
          <w:bCs w:val="0"/>
          <w:kern w:val="2"/>
          <w:sz w:val="30"/>
          <w:szCs w:val="30"/>
          <w:lang w:val="en-US" w:eastAsia="zh-CN" w:bidi="ar-SA"/>
        </w:rPr>
        <w:t>格式五</w:t>
      </w: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sz w:val="18"/>
        </w:rPr>
      </w:pP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szCs w:val="22"/>
        </w:rPr>
      </w:pPr>
      <w:r>
        <w:rPr>
          <w:rFonts w:hint="eastAsia" w:ascii="方正小标宋_GBK" w:hAnsi="方正小标宋_GBK" w:eastAsia="方正小标宋_GBK" w:cs="方正小标宋_GBK"/>
          <w:sz w:val="36"/>
          <w:szCs w:val="22"/>
        </w:rPr>
        <w:t>中小企业声明函（工程、服务）</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szCs w:val="22"/>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1.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）；承建（承接）企业为（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2.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）；承建（承接）企业为（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320" w:firstLineChars="18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320" w:firstLineChars="1800"/>
        <w:rPr>
          <w:rFonts w:hint="eastAsia" w:ascii="宋体" w:hAnsi="宋体"/>
          <w:bCs/>
          <w:sz w:val="24"/>
        </w:rPr>
      </w:pPr>
      <w:r>
        <w:rPr>
          <w:rFonts w:hint="eastAsia" w:ascii="宋体" w:hAnsi="宋体"/>
          <w:bCs/>
          <w:sz w:val="24"/>
        </w:rPr>
        <w:t>日期：</w:t>
      </w:r>
    </w:p>
    <w:p>
      <w:pPr>
        <w:pStyle w:val="12"/>
        <w:ind w:left="0" w:leftChars="0" w:firstLine="0" w:firstLineChars="0"/>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b/>
          <w:bCs/>
          <w:sz w:val="18"/>
          <w:szCs w:val="22"/>
          <w:lang w:val="en-US" w:eastAsia="zh-CN"/>
        </w:rPr>
        <w:t>2、</w:t>
      </w: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p>
    <w:p>
      <w:pPr>
        <w:spacing w:before="145" w:beforeLines="50" w:after="145" w:afterLines="50" w:line="300" w:lineRule="auto"/>
        <w:ind w:firstLine="300" w:firstLineChars="100"/>
        <w:jc w:val="left"/>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 xml:space="preserve">格式六 </w:t>
      </w:r>
    </w:p>
    <w:p>
      <w:pPr>
        <w:spacing w:before="145" w:beforeLines="50" w:after="145" w:afterLines="50" w:line="300" w:lineRule="auto"/>
        <w:jc w:val="center"/>
        <w:rPr>
          <w:rFonts w:hint="eastAsia" w:ascii="黑体" w:hAnsi="黑体" w:eastAsia="黑体"/>
          <w:b/>
          <w:sz w:val="32"/>
          <w:szCs w:val="32"/>
        </w:rPr>
      </w:pPr>
      <w:r>
        <w:rPr>
          <w:rFonts w:hint="eastAsia" w:ascii="黑体" w:hAnsi="黑体" w:eastAsia="黑体"/>
          <w:b/>
          <w:sz w:val="32"/>
          <w:szCs w:val="32"/>
        </w:rPr>
        <w:t>残疾人福利性单位声明函</w:t>
      </w:r>
    </w:p>
    <w:p>
      <w:pPr>
        <w:spacing w:before="145" w:beforeLines="50" w:after="145" w:afterLines="50" w:line="300" w:lineRule="auto"/>
        <w:ind w:firstLine="624" w:firstLineChars="200"/>
        <w:rPr>
          <w:rFonts w:hint="eastAsia" w:ascii="仿宋_GB2312" w:eastAsia="仿宋_GB2312"/>
          <w:spacing w:val="6"/>
          <w:sz w:val="30"/>
          <w:szCs w:val="30"/>
        </w:rPr>
      </w:pPr>
    </w:p>
    <w:p>
      <w:pPr>
        <w:spacing w:before="145" w:beforeLines="50" w:after="145" w:afterLines="50" w:line="30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 w:val="24"/>
          <w:u w:val="single"/>
        </w:rPr>
        <w:t xml:space="preserve">       </w:t>
      </w:r>
      <w:r>
        <w:rPr>
          <w:rFonts w:hint="eastAsia" w:ascii="宋体" w:hAnsi="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本单位在本次政府采购活动中提供的残疾人福利单位产品报价合计为人民币（大写）</w:t>
      </w:r>
      <w:r>
        <w:rPr>
          <w:rFonts w:hint="eastAsia" w:ascii="宋体" w:hAnsi="宋体"/>
          <w:sz w:val="24"/>
          <w:u w:val="single"/>
        </w:rPr>
        <w:t xml:space="preserve">      </w:t>
      </w:r>
      <w:r>
        <w:rPr>
          <w:rFonts w:hint="eastAsia" w:ascii="宋体" w:hAnsi="宋体"/>
          <w:sz w:val="24"/>
        </w:rPr>
        <w:t>圆整（￥：     ）。</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before="145" w:beforeLines="50" w:after="145" w:afterLines="50" w:line="300" w:lineRule="auto"/>
        <w:ind w:firstLine="480" w:firstLineChars="200"/>
        <w:rPr>
          <w:rFonts w:hint="eastAsia" w:ascii="宋体" w:hAnsi="宋体"/>
          <w:sz w:val="24"/>
        </w:rPr>
      </w:pPr>
    </w:p>
    <w:p>
      <w:pPr>
        <w:spacing w:before="145" w:beforeLines="50" w:after="145" w:afterLines="50" w:line="300" w:lineRule="auto"/>
        <w:ind w:firstLine="480" w:firstLineChars="200"/>
        <w:rPr>
          <w:rFonts w:ascii="宋体" w:hAnsi="宋体"/>
          <w:sz w:val="24"/>
        </w:rPr>
      </w:pPr>
      <w:r>
        <w:rPr>
          <w:rFonts w:hint="eastAsia" w:ascii="宋体" w:hAnsi="宋体"/>
          <w:sz w:val="24"/>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624" w:firstLineChars="200"/>
        <w:rPr>
          <w:rFonts w:ascii="仿宋_GB2312" w:eastAsia="仿宋_GB2312"/>
          <w:spacing w:val="6"/>
          <w:sz w:val="30"/>
          <w:szCs w:val="30"/>
        </w:rPr>
      </w:pPr>
    </w:p>
    <w:p>
      <w:pPr>
        <w:tabs>
          <w:tab w:val="left" w:pos="4860"/>
        </w:tabs>
        <w:spacing w:before="145" w:beforeLines="50" w:after="145" w:afterLines="50" w:line="300" w:lineRule="auto"/>
        <w:ind w:right="1560" w:firstLine="624" w:firstLineChars="200"/>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供应商全称（盖章）：</w:t>
      </w:r>
    </w:p>
    <w:p>
      <w:pPr>
        <w:tabs>
          <w:tab w:val="left" w:pos="4860"/>
        </w:tabs>
        <w:spacing w:before="145" w:beforeLines="50" w:after="145" w:afterLines="50" w:line="300" w:lineRule="auto"/>
        <w:ind w:right="1560" w:firstLine="480" w:firstLineChars="200"/>
        <w:jc w:val="center"/>
        <w:rPr>
          <w:rFonts w:ascii="宋体" w:hAnsi="宋体"/>
          <w:sz w:val="24"/>
        </w:rPr>
      </w:pPr>
      <w:r>
        <w:rPr>
          <w:rFonts w:hint="eastAsia" w:ascii="宋体" w:hAnsi="宋体"/>
          <w:sz w:val="24"/>
        </w:rPr>
        <w:t xml:space="preserve">                              日  期：</w:t>
      </w:r>
    </w:p>
    <w:p>
      <w:pPr>
        <w:spacing w:before="145" w:beforeLines="50" w:after="145" w:afterLines="50" w:line="300" w:lineRule="auto"/>
        <w:rPr>
          <w:rFonts w:hint="eastAsia" w:ascii="宋体" w:hAnsi="宋体"/>
          <w:b/>
          <w:bCs/>
          <w:sz w:val="24"/>
        </w:rPr>
      </w:pPr>
      <w:r>
        <w:rPr>
          <w:rFonts w:hint="eastAsia" w:ascii="宋体" w:hAnsi="宋体"/>
          <w:b/>
          <w:bCs/>
          <w:sz w:val="24"/>
        </w:rPr>
        <w:t>（备注：投标人如未提供此声明函，价格将不做相应扣除，但投标不会被拒绝；如未如实声明，需承担相应法律责任。）</w:t>
      </w:r>
    </w:p>
    <w:p>
      <w:pPr>
        <w:pStyle w:val="13"/>
        <w:rPr>
          <w:rFonts w:hint="eastAsia" w:ascii="宋体" w:hAnsi="宋体" w:eastAsia="楷体_GB2312"/>
          <w:sz w:val="24"/>
          <w:szCs w:val="24"/>
          <w:lang w:eastAsia="zh-CN"/>
        </w:rPr>
      </w:pPr>
    </w:p>
    <w:bookmarkEnd w:id="251"/>
    <w:bookmarkEnd w:id="252"/>
    <w:p>
      <w:pPr>
        <w:jc w:val="left"/>
        <w:rPr>
          <w:rFonts w:hint="eastAsia" w:ascii="宋体" w:hAnsi="宋体" w:eastAsia="宋体" w:cs="宋体"/>
          <w:b w:val="0"/>
          <w:bCs w:val="0"/>
          <w:color w:val="0000FF"/>
          <w:kern w:val="2"/>
          <w:sz w:val="30"/>
          <w:szCs w:val="30"/>
          <w:lang w:val="en-US" w:eastAsia="zh-CN" w:bidi="ar-SA"/>
        </w:rPr>
      </w:pPr>
    </w:p>
    <w:p>
      <w:pPr>
        <w:jc w:val="left"/>
        <w:rPr>
          <w:rFonts w:hint="eastAsia" w:ascii="宋体" w:hAnsi="宋体" w:eastAsia="宋体" w:cs="宋体"/>
          <w:b w:val="0"/>
          <w:bCs w:val="0"/>
          <w:color w:val="0000FF"/>
          <w:kern w:val="2"/>
          <w:sz w:val="30"/>
          <w:szCs w:val="30"/>
          <w:lang w:val="en-US" w:eastAsia="zh-CN" w:bidi="ar-SA"/>
        </w:rPr>
      </w:pPr>
    </w:p>
    <w:p>
      <w:pPr>
        <w:jc w:val="left"/>
        <w:rPr>
          <w:rFonts w:hint="eastAsia" w:ascii="宋体" w:hAnsi="宋体" w:eastAsia="宋体" w:cs="宋体"/>
          <w:b w:val="0"/>
          <w:bCs w:val="0"/>
          <w:color w:val="0000FF"/>
          <w:kern w:val="2"/>
          <w:sz w:val="30"/>
          <w:szCs w:val="30"/>
          <w:lang w:val="en-US" w:eastAsia="zh-CN" w:bidi="ar-SA"/>
        </w:rPr>
      </w:pPr>
    </w:p>
    <w:p>
      <w:pPr>
        <w:jc w:val="left"/>
        <w:rPr>
          <w:rFonts w:hint="eastAsia" w:ascii="宋体" w:hAnsi="宋体" w:cs="宋体"/>
          <w:b w:val="0"/>
          <w:bCs w:val="0"/>
          <w:kern w:val="2"/>
          <w:sz w:val="30"/>
          <w:szCs w:val="30"/>
          <w:lang w:val="en-US" w:eastAsia="zh-CN" w:bidi="ar-SA"/>
        </w:rPr>
      </w:pPr>
      <w:r>
        <w:rPr>
          <w:rFonts w:hint="eastAsia" w:ascii="宋体" w:hAnsi="宋体" w:eastAsia="宋体" w:cs="宋体"/>
          <w:b w:val="0"/>
          <w:bCs w:val="0"/>
          <w:color w:val="0000FF"/>
          <w:kern w:val="2"/>
          <w:sz w:val="30"/>
          <w:szCs w:val="30"/>
          <w:lang w:val="en-US" w:eastAsia="zh-CN" w:bidi="ar-SA"/>
        </w:rPr>
        <w:t>格式七</w:t>
      </w:r>
      <w:r>
        <w:rPr>
          <w:rFonts w:hint="eastAsia" w:ascii="宋体" w:hAnsi="宋体" w:cs="宋体"/>
          <w:b w:val="0"/>
          <w:bCs w:val="0"/>
          <w:color w:val="0000FF"/>
          <w:kern w:val="2"/>
          <w:sz w:val="30"/>
          <w:szCs w:val="30"/>
          <w:lang w:val="en-US" w:eastAsia="zh-CN" w:bidi="ar-SA"/>
        </w:rPr>
        <w:t xml:space="preserve"> </w:t>
      </w:r>
      <w:r>
        <w:rPr>
          <w:rFonts w:hint="eastAsia" w:ascii="宋体" w:hAnsi="宋体" w:cs="宋体"/>
          <w:b w:val="0"/>
          <w:bCs w:val="0"/>
          <w:kern w:val="2"/>
          <w:sz w:val="30"/>
          <w:szCs w:val="30"/>
          <w:lang w:val="en-US" w:eastAsia="zh-CN" w:bidi="ar-SA"/>
        </w:rPr>
        <w:t xml:space="preserve">  </w:t>
      </w:r>
    </w:p>
    <w:p>
      <w:pPr>
        <w:jc w:val="center"/>
        <w:rPr>
          <w:rFonts w:hint="eastAsia"/>
          <w:b/>
          <w:bCs/>
          <w:sz w:val="30"/>
          <w:szCs w:val="30"/>
          <w:lang w:val="en-US"/>
        </w:rPr>
      </w:pPr>
      <w:r>
        <w:rPr>
          <w:rFonts w:hint="eastAsia"/>
          <w:b/>
          <w:bCs/>
          <w:sz w:val="30"/>
          <w:szCs w:val="30"/>
          <w:lang w:val="en-US"/>
        </w:rPr>
        <w:t>项目团队</w:t>
      </w:r>
    </w:p>
    <w:p>
      <w:pPr>
        <w:pStyle w:val="12"/>
      </w:pPr>
    </w:p>
    <w:p>
      <w:pPr>
        <w:pStyle w:val="7"/>
        <w:bidi w:val="0"/>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注：根据招标文件第四章项目需求中“项目团队要求”以及评分表</w:t>
      </w:r>
    </w:p>
    <w:p>
      <w:pPr>
        <w:spacing w:line="440" w:lineRule="exact"/>
        <w:rPr>
          <w:rFonts w:hint="eastAsia"/>
          <w:sz w:val="24"/>
          <w:szCs w:val="24"/>
        </w:rPr>
      </w:pPr>
      <w:r>
        <w:rPr>
          <w:rFonts w:hint="eastAsia" w:ascii="Times New Roman" w:hAnsi="Times New Roman" w:eastAsia="宋体" w:cs="Times New Roman"/>
          <w:kern w:val="2"/>
          <w:sz w:val="24"/>
          <w:szCs w:val="24"/>
          <w:lang w:val="en-US" w:eastAsia="zh-CN" w:bidi="ar-SA"/>
        </w:rPr>
        <w:t>“项目人员配备”评审内容的要求编写及提供相关资料，复印件均要求加盖公章</w:t>
      </w:r>
      <w:r>
        <w:rPr>
          <w:rFonts w:hint="eastAsia"/>
          <w:sz w:val="24"/>
          <w:szCs w:val="24"/>
          <w:lang w:val="en-US"/>
        </w:rPr>
        <w:t xml:space="preserve">。 </w:t>
      </w:r>
    </w:p>
    <w:p>
      <w:pPr>
        <w:spacing w:line="440" w:lineRule="exact"/>
        <w:rPr>
          <w:rFonts w:hint="eastAsia"/>
          <w:sz w:val="24"/>
          <w:szCs w:val="24"/>
        </w:rPr>
      </w:pPr>
      <w:r>
        <w:rPr>
          <w:rFonts w:hint="eastAsia"/>
          <w:sz w:val="24"/>
          <w:szCs w:val="24"/>
          <w:lang w:val="en-US"/>
        </w:rPr>
        <w:t xml:space="preserve">供应商法定代表人（或法定代表人授权代表）签名或签章： </w:t>
      </w:r>
    </w:p>
    <w:p>
      <w:pPr>
        <w:spacing w:line="440" w:lineRule="exact"/>
        <w:rPr>
          <w:rFonts w:hint="eastAsia"/>
          <w:sz w:val="24"/>
          <w:szCs w:val="24"/>
        </w:rPr>
      </w:pPr>
      <w:r>
        <w:rPr>
          <w:rFonts w:hint="eastAsia"/>
          <w:sz w:val="24"/>
          <w:szCs w:val="24"/>
          <w:lang w:val="en-US"/>
        </w:rPr>
        <w:t xml:space="preserve">供应商名称（盖公章）： </w:t>
      </w:r>
    </w:p>
    <w:p>
      <w:pPr>
        <w:spacing w:line="440" w:lineRule="exact"/>
        <w:rPr>
          <w:rFonts w:hint="eastAsia"/>
          <w:sz w:val="24"/>
          <w:szCs w:val="24"/>
        </w:rPr>
      </w:pPr>
      <w:r>
        <w:rPr>
          <w:rFonts w:hint="eastAsia"/>
          <w:sz w:val="24"/>
          <w:szCs w:val="24"/>
          <w:lang w:val="en-US"/>
        </w:rPr>
        <w:t>日 期： 年 月 日</w:t>
      </w:r>
    </w:p>
    <w:p>
      <w:pPr>
        <w:rPr>
          <w:rFonts w:hint="eastAsia"/>
          <w:lang w:val="en-US"/>
        </w:rPr>
      </w:pPr>
    </w:p>
    <w:p>
      <w:pPr>
        <w:jc w:val="left"/>
        <w:rPr>
          <w:rFonts w:hint="eastAsia" w:ascii="宋体" w:hAnsi="宋体" w:cs="宋体"/>
          <w:b w:val="0"/>
          <w:bCs w:val="0"/>
          <w:color w:val="0000FF"/>
          <w:kern w:val="2"/>
          <w:sz w:val="30"/>
          <w:szCs w:val="30"/>
          <w:lang w:val="en-US" w:eastAsia="zh-CN" w:bidi="ar-SA"/>
        </w:rPr>
      </w:pPr>
    </w:p>
    <w:p>
      <w:pPr>
        <w:pStyle w:val="2"/>
        <w:rPr>
          <w:rFonts w:hint="eastAsia" w:ascii="宋体" w:hAnsi="宋体" w:cs="宋体"/>
          <w:b w:val="0"/>
          <w:bCs w:val="0"/>
          <w:color w:val="0000FF"/>
          <w:kern w:val="2"/>
          <w:sz w:val="30"/>
          <w:szCs w:val="30"/>
          <w:lang w:val="en-US" w:eastAsia="zh-CN" w:bidi="ar-SA"/>
        </w:rPr>
      </w:pPr>
    </w:p>
    <w:p>
      <w:pPr>
        <w:pStyle w:val="3"/>
        <w:rPr>
          <w:rFonts w:hint="eastAsia" w:ascii="宋体" w:hAnsi="宋体" w:cs="宋体"/>
          <w:b w:val="0"/>
          <w:bCs w:val="0"/>
          <w:color w:val="0000FF"/>
          <w:kern w:val="2"/>
          <w:sz w:val="30"/>
          <w:szCs w:val="30"/>
          <w:lang w:val="en-US" w:eastAsia="zh-CN" w:bidi="ar-SA"/>
        </w:rPr>
      </w:pPr>
    </w:p>
    <w:p>
      <w:pPr>
        <w:pStyle w:val="2"/>
        <w:rPr>
          <w:rFonts w:hint="eastAsia" w:ascii="宋体" w:hAnsi="宋体" w:cs="宋体"/>
          <w:b w:val="0"/>
          <w:bCs w:val="0"/>
          <w:color w:val="0000FF"/>
          <w:kern w:val="2"/>
          <w:sz w:val="30"/>
          <w:szCs w:val="30"/>
          <w:lang w:val="en-US" w:eastAsia="zh-CN" w:bidi="ar-SA"/>
        </w:rPr>
      </w:pPr>
    </w:p>
    <w:p>
      <w:pPr>
        <w:pStyle w:val="3"/>
        <w:rPr>
          <w:rFonts w:hint="eastAsia" w:ascii="宋体" w:hAnsi="宋体" w:cs="宋体"/>
          <w:b w:val="0"/>
          <w:bCs w:val="0"/>
          <w:color w:val="0000FF"/>
          <w:kern w:val="2"/>
          <w:sz w:val="30"/>
          <w:szCs w:val="30"/>
          <w:lang w:val="en-US" w:eastAsia="zh-CN" w:bidi="ar-SA"/>
        </w:rPr>
      </w:pPr>
    </w:p>
    <w:p>
      <w:pPr>
        <w:pStyle w:val="2"/>
        <w:rPr>
          <w:rFonts w:hint="eastAsia" w:ascii="宋体" w:hAnsi="宋体" w:cs="宋体"/>
          <w:b w:val="0"/>
          <w:bCs w:val="0"/>
          <w:color w:val="0000FF"/>
          <w:kern w:val="2"/>
          <w:sz w:val="30"/>
          <w:szCs w:val="30"/>
          <w:lang w:val="en-US" w:eastAsia="zh-CN" w:bidi="ar-SA"/>
        </w:rPr>
      </w:pPr>
    </w:p>
    <w:p>
      <w:pPr>
        <w:pStyle w:val="3"/>
        <w:rPr>
          <w:rFonts w:hint="eastAsia" w:ascii="宋体" w:hAnsi="宋体" w:cs="宋体"/>
          <w:b w:val="0"/>
          <w:bCs w:val="0"/>
          <w:color w:val="0000FF"/>
          <w:kern w:val="2"/>
          <w:sz w:val="30"/>
          <w:szCs w:val="30"/>
          <w:lang w:val="en-US" w:eastAsia="zh-CN" w:bidi="ar-SA"/>
        </w:rPr>
      </w:pPr>
    </w:p>
    <w:p>
      <w:pPr>
        <w:pStyle w:val="2"/>
        <w:rPr>
          <w:rFonts w:hint="eastAsia" w:ascii="宋体" w:hAnsi="宋体" w:cs="宋体"/>
          <w:b w:val="0"/>
          <w:bCs w:val="0"/>
          <w:color w:val="0000FF"/>
          <w:kern w:val="2"/>
          <w:sz w:val="30"/>
          <w:szCs w:val="30"/>
          <w:lang w:val="en-US" w:eastAsia="zh-CN" w:bidi="ar-SA"/>
        </w:rPr>
      </w:pPr>
    </w:p>
    <w:p>
      <w:pPr>
        <w:pStyle w:val="3"/>
        <w:rPr>
          <w:rFonts w:hint="eastAsia" w:ascii="宋体" w:hAnsi="宋体" w:cs="宋体"/>
          <w:b w:val="0"/>
          <w:bCs w:val="0"/>
          <w:color w:val="0000FF"/>
          <w:kern w:val="2"/>
          <w:sz w:val="30"/>
          <w:szCs w:val="30"/>
          <w:lang w:val="en-US" w:eastAsia="zh-CN" w:bidi="ar-SA"/>
        </w:rPr>
      </w:pPr>
    </w:p>
    <w:p>
      <w:pPr>
        <w:pStyle w:val="2"/>
        <w:rPr>
          <w:rFonts w:hint="eastAsia" w:ascii="宋体" w:hAnsi="宋体" w:cs="宋体"/>
          <w:b w:val="0"/>
          <w:bCs w:val="0"/>
          <w:color w:val="0000FF"/>
          <w:kern w:val="2"/>
          <w:sz w:val="30"/>
          <w:szCs w:val="30"/>
          <w:lang w:val="en-US" w:eastAsia="zh-CN" w:bidi="ar-SA"/>
        </w:rPr>
      </w:pPr>
    </w:p>
    <w:p>
      <w:pPr>
        <w:pStyle w:val="3"/>
        <w:rPr>
          <w:rFonts w:hint="eastAsia" w:ascii="宋体" w:hAnsi="宋体" w:cs="宋体"/>
          <w:b w:val="0"/>
          <w:bCs w:val="0"/>
          <w:color w:val="0000FF"/>
          <w:kern w:val="2"/>
          <w:sz w:val="30"/>
          <w:szCs w:val="30"/>
          <w:lang w:val="en-US" w:eastAsia="zh-CN" w:bidi="ar-SA"/>
        </w:rPr>
      </w:pPr>
    </w:p>
    <w:p>
      <w:pPr>
        <w:pStyle w:val="2"/>
        <w:rPr>
          <w:rFonts w:hint="eastAsia" w:ascii="宋体" w:hAnsi="宋体" w:cs="宋体"/>
          <w:b w:val="0"/>
          <w:bCs w:val="0"/>
          <w:color w:val="0000FF"/>
          <w:kern w:val="2"/>
          <w:sz w:val="30"/>
          <w:szCs w:val="30"/>
          <w:lang w:val="en-US" w:eastAsia="zh-CN" w:bidi="ar-SA"/>
        </w:rPr>
      </w:pPr>
    </w:p>
    <w:p>
      <w:pPr>
        <w:pStyle w:val="3"/>
        <w:rPr>
          <w:rFonts w:hint="eastAsia" w:ascii="宋体" w:hAnsi="宋体" w:cs="宋体"/>
          <w:b w:val="0"/>
          <w:bCs w:val="0"/>
          <w:color w:val="0000FF"/>
          <w:kern w:val="2"/>
          <w:sz w:val="30"/>
          <w:szCs w:val="30"/>
          <w:lang w:val="en-US" w:eastAsia="zh-CN" w:bidi="ar-SA"/>
        </w:rPr>
      </w:pPr>
    </w:p>
    <w:p>
      <w:pPr>
        <w:pStyle w:val="2"/>
        <w:rPr>
          <w:rFonts w:hint="eastAsia"/>
          <w:lang w:val="en-US" w:eastAsia="zh-CN"/>
        </w:rPr>
      </w:pPr>
    </w:p>
    <w:p>
      <w:pPr>
        <w:jc w:val="left"/>
        <w:rPr>
          <w:rFonts w:hint="eastAsia" w:ascii="宋体" w:hAnsi="宋体" w:cs="宋体"/>
          <w:b w:val="0"/>
          <w:bCs w:val="0"/>
          <w:color w:val="0000FF"/>
          <w:kern w:val="2"/>
          <w:sz w:val="30"/>
          <w:szCs w:val="30"/>
          <w:lang w:val="en-US" w:eastAsia="zh-CN" w:bidi="ar-SA"/>
        </w:rPr>
      </w:pPr>
    </w:p>
    <w:p>
      <w:pPr>
        <w:jc w:val="left"/>
        <w:rPr>
          <w:rFonts w:hint="default" w:ascii="宋体" w:hAnsi="宋体" w:cs="宋体"/>
          <w:b w:val="0"/>
          <w:bCs w:val="0"/>
          <w:color w:val="0000FF"/>
          <w:kern w:val="2"/>
          <w:sz w:val="30"/>
          <w:szCs w:val="30"/>
          <w:lang w:val="en-US" w:eastAsia="zh-CN" w:bidi="ar-SA"/>
        </w:rPr>
      </w:pPr>
      <w:r>
        <w:rPr>
          <w:rFonts w:hint="eastAsia" w:ascii="宋体" w:hAnsi="宋体" w:cs="宋体"/>
          <w:b w:val="0"/>
          <w:bCs w:val="0"/>
          <w:color w:val="0000FF"/>
          <w:kern w:val="2"/>
          <w:sz w:val="30"/>
          <w:szCs w:val="30"/>
          <w:lang w:val="en-US" w:eastAsia="zh-CN" w:bidi="ar-SA"/>
        </w:rPr>
        <w:t>格式八</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040" w:firstLineChars="707"/>
        <w:jc w:val="both"/>
        <w:rPr>
          <w:rFonts w:hint="default" w:ascii="宋体" w:hAnsi="宋体" w:eastAsia="宋体" w:cs="宋体"/>
          <w:b/>
          <w:bCs/>
          <w:kern w:val="2"/>
          <w:sz w:val="30"/>
          <w:szCs w:val="30"/>
          <w:lang w:val="en-US" w:eastAsia="zh-CN" w:bidi="ar-SA"/>
        </w:rPr>
      </w:pPr>
      <w:r>
        <w:rPr>
          <w:rFonts w:ascii="方正小标宋简体" w:hAnsi="方正小标宋简体" w:eastAsia="方正小标宋简体" w:cs="方正小标宋简体"/>
          <w:i w:val="0"/>
          <w:iCs w:val="0"/>
          <w:caps w:val="0"/>
          <w:color w:val="333333"/>
          <w:spacing w:val="0"/>
          <w:sz w:val="43"/>
          <w:szCs w:val="43"/>
          <w:shd w:val="clear" w:color="auto" w:fill="FFFFFF"/>
        </w:rPr>
        <w:t>质疑函</w:t>
      </w:r>
      <w:r>
        <w:rPr>
          <w:rFonts w:hint="eastAsia" w:ascii="方正小标宋简体" w:hAnsi="方正小标宋简体" w:eastAsia="方正小标宋简体" w:cs="方正小标宋简体"/>
          <w:i w:val="0"/>
          <w:iCs w:val="0"/>
          <w:caps w:val="0"/>
          <w:color w:val="333333"/>
          <w:spacing w:val="0"/>
          <w:sz w:val="43"/>
          <w:szCs w:val="43"/>
          <w:shd w:val="clear" w:color="auto" w:fill="FFFFFF"/>
          <w:lang w:val="en-US" w:eastAsia="zh-CN"/>
        </w:rPr>
        <w:t>范本</w:t>
      </w:r>
    </w:p>
    <w:tbl>
      <w:tblPr>
        <w:tblStyle w:val="23"/>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9"/>
        <w:gridCol w:w="1196"/>
        <w:gridCol w:w="655"/>
        <w:gridCol w:w="1297"/>
        <w:gridCol w:w="1972"/>
        <w:gridCol w:w="107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仿宋简体" w:hAnsi="方正仿宋简体" w:eastAsia="方正仿宋简体" w:cs="方正仿宋简体"/>
                <w:i w:val="0"/>
                <w:iCs w:val="0"/>
                <w:caps w:val="0"/>
                <w:color w:val="333333"/>
                <w:spacing w:val="0"/>
                <w:sz w:val="21"/>
                <w:szCs w:val="21"/>
              </w:rPr>
              <w:t>质疑项目</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基本情况</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更正公告时间</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（包含采购文件和采购结果更正公告）</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单位名称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地址</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联系人</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授权代表</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分    类</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7667"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签字</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；质疑函存在《</w:t>
            </w:r>
            <w:r>
              <w:rPr>
                <w:rFonts w:hint="eastAsia" w:ascii="方正仿宋简体" w:hAnsi="方正仿宋简体" w:eastAsia="方正仿宋简体" w:cs="方正仿宋简体"/>
                <w:i w:val="0"/>
                <w:iCs w:val="0"/>
                <w:caps w:val="0"/>
                <w:color w:val="333333"/>
                <w:spacing w:val="0"/>
                <w:sz w:val="21"/>
                <w:szCs w:val="21"/>
                <w:lang w:val="en-US" w:eastAsia="zh-CN"/>
              </w:rPr>
              <w:t>自治区政务服务和公共资源政资中心公共资源交易质疑异议投诉举报处理实施细则</w:t>
            </w:r>
            <w:r>
              <w:rPr>
                <w:rFonts w:hint="default" w:ascii="方正仿宋简体" w:hAnsi="方正仿宋简体" w:eastAsia="方正仿宋简体" w:cs="方正仿宋简体"/>
                <w:i w:val="0"/>
                <w:iCs w:val="0"/>
                <w:caps w:val="0"/>
                <w:color w:val="333333"/>
                <w:spacing w:val="0"/>
                <w:sz w:val="21"/>
                <w:szCs w:val="21"/>
                <w:lang w:val="en-US" w:eastAsia="zh-CN"/>
              </w:rPr>
              <w:t>》（新政资内发〔202</w:t>
            </w:r>
            <w:r>
              <w:rPr>
                <w:rFonts w:hint="eastAsia" w:ascii="方正仿宋简体" w:hAnsi="方正仿宋简体" w:eastAsia="方正仿宋简体" w:cs="方正仿宋简体"/>
                <w:i w:val="0"/>
                <w:iCs w:val="0"/>
                <w:caps w:val="0"/>
                <w:color w:val="333333"/>
                <w:spacing w:val="0"/>
                <w:sz w:val="21"/>
                <w:szCs w:val="21"/>
                <w:lang w:val="en-US" w:eastAsia="zh-CN"/>
              </w:rPr>
              <w:t>2</w:t>
            </w:r>
            <w:r>
              <w:rPr>
                <w:rFonts w:hint="default" w:ascii="方正仿宋简体" w:hAnsi="方正仿宋简体" w:eastAsia="方正仿宋简体" w:cs="方正仿宋简体"/>
                <w:i w:val="0"/>
                <w:iCs w:val="0"/>
                <w:caps w:val="0"/>
                <w:color w:val="333333"/>
                <w:spacing w:val="0"/>
                <w:sz w:val="21"/>
                <w:szCs w:val="21"/>
                <w:lang w:val="en-US"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12</w:t>
            </w:r>
            <w:r>
              <w:rPr>
                <w:rFonts w:hint="default" w:ascii="方正仿宋简体" w:hAnsi="方正仿宋简体" w:eastAsia="方正仿宋简体" w:cs="方正仿宋简体"/>
                <w:i w:val="0"/>
                <w:iCs w:val="0"/>
                <w:caps w:val="0"/>
                <w:color w:val="333333"/>
                <w:spacing w:val="0"/>
                <w:sz w:val="21"/>
                <w:szCs w:val="21"/>
                <w:lang w:val="en-US" w:eastAsia="zh-CN"/>
              </w:rPr>
              <w:t>号）第十七条所列情形的，</w:t>
            </w:r>
            <w:r>
              <w:rPr>
                <w:rFonts w:hint="eastAsia" w:ascii="方正仿宋简体" w:hAnsi="方正仿宋简体" w:eastAsia="方正仿宋简体" w:cs="方正仿宋简体"/>
                <w:i w:val="0"/>
                <w:iCs w:val="0"/>
                <w:caps w:val="0"/>
                <w:color w:val="333333"/>
                <w:spacing w:val="0"/>
                <w:sz w:val="21"/>
                <w:szCs w:val="21"/>
                <w:lang w:val="en-US" w:eastAsia="zh-CN"/>
              </w:rPr>
              <w:t>政资中心</w:t>
            </w:r>
            <w:r>
              <w:rPr>
                <w:rFonts w:hint="default" w:ascii="方正仿宋简体" w:hAnsi="方正仿宋简体" w:eastAsia="方正仿宋简体" w:cs="方正仿宋简体"/>
                <w:i w:val="0"/>
                <w:iCs w:val="0"/>
                <w:caps w:val="0"/>
                <w:color w:val="333333"/>
                <w:spacing w:val="0"/>
                <w:sz w:val="21"/>
                <w:szCs w:val="21"/>
                <w:lang w:val="en-US" w:eastAsia="zh-CN"/>
              </w:rPr>
              <w:t>不予受理。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howcard Gothic">
    <w:altName w:val="Gabriola"/>
    <w:panose1 w:val="04020904020102020604"/>
    <w:charset w:val="00"/>
    <w:family w:val="decorative"/>
    <w:pitch w:val="default"/>
    <w:sig w:usb0="00000000" w:usb1="00000000" w:usb2="00000000" w:usb3="00000000" w:csb0="20000001" w:csb1="00000000"/>
  </w:font>
  <w:font w:name="幼圆">
    <w:altName w:val="宋体"/>
    <w:panose1 w:val="0201050906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Gabriola">
    <w:panose1 w:val="04040605051002020D02"/>
    <w:charset w:val="00"/>
    <w:family w:val="auto"/>
    <w:pitch w:val="default"/>
    <w:sig w:usb0="E00002EF" w:usb1="5000204B" w:usb2="00000000" w:usb3="00000000" w:csb0="2000009F" w:csb1="00000000"/>
  </w:font>
  <w:font w:name="华文行楷">
    <w:altName w:val="微软雅黑"/>
    <w:panose1 w:val="0201080004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824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2oeznYAAAACQEAAA8AAAAAAAAA&#10;AQAgAAAAIgAAAGRycy9kb3ducmV2LnhtbFBLAQIUABQAAAAIAIdO4kDori34nwEAACQDAAAOAAAA&#10;AAAAAAEAIAAAACcBAABkcnMvZTJvRG9jLnhtbFBLBQYAAAAABgAGAFkBAAA4BQ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76DCE"/>
    <w:multiLevelType w:val="singleLevel"/>
    <w:tmpl w:val="82A76DCE"/>
    <w:lvl w:ilvl="0" w:tentative="0">
      <w:start w:val="1"/>
      <w:numFmt w:val="decimal"/>
      <w:lvlText w:val="%1."/>
      <w:lvlJc w:val="left"/>
      <w:pPr>
        <w:ind w:left="425" w:hanging="425"/>
      </w:pPr>
      <w:rPr>
        <w:rFonts w:hint="default"/>
      </w:rPr>
    </w:lvl>
  </w:abstractNum>
  <w:abstractNum w:abstractNumId="1">
    <w:nsid w:val="8B8C3B4F"/>
    <w:multiLevelType w:val="singleLevel"/>
    <w:tmpl w:val="8B8C3B4F"/>
    <w:lvl w:ilvl="0" w:tentative="0">
      <w:start w:val="6"/>
      <w:numFmt w:val="decimal"/>
      <w:lvlText w:val="%1."/>
      <w:lvlJc w:val="left"/>
      <w:pPr>
        <w:tabs>
          <w:tab w:val="left" w:pos="312"/>
        </w:tabs>
      </w:pPr>
    </w:lvl>
  </w:abstractNum>
  <w:abstractNum w:abstractNumId="2">
    <w:nsid w:val="AF2D6F8D"/>
    <w:multiLevelType w:val="singleLevel"/>
    <w:tmpl w:val="AF2D6F8D"/>
    <w:lvl w:ilvl="0" w:tentative="0">
      <w:start w:val="1"/>
      <w:numFmt w:val="decimal"/>
      <w:lvlText w:val="%1."/>
      <w:lvlJc w:val="left"/>
      <w:pPr>
        <w:ind w:left="425" w:hanging="425"/>
      </w:pPr>
      <w:rPr>
        <w:rFonts w:hint="default"/>
      </w:rPr>
    </w:lvl>
  </w:abstractNum>
  <w:abstractNum w:abstractNumId="3">
    <w:nsid w:val="C9AB5FE4"/>
    <w:multiLevelType w:val="singleLevel"/>
    <w:tmpl w:val="C9AB5FE4"/>
    <w:lvl w:ilvl="0" w:tentative="0">
      <w:start w:val="1"/>
      <w:numFmt w:val="decimal"/>
      <w:lvlText w:val="%1."/>
      <w:lvlJc w:val="left"/>
      <w:pPr>
        <w:ind w:left="425" w:hanging="425"/>
      </w:pPr>
      <w:rPr>
        <w:rFonts w:hint="default"/>
      </w:rPr>
    </w:lvl>
  </w:abstractNum>
  <w:abstractNum w:abstractNumId="4">
    <w:nsid w:val="00000004"/>
    <w:multiLevelType w:val="singleLevel"/>
    <w:tmpl w:val="00000004"/>
    <w:lvl w:ilvl="0" w:tentative="0">
      <w:start w:val="8"/>
      <w:numFmt w:val="chineseCounting"/>
      <w:suff w:val="nothing"/>
      <w:lvlText w:val="%1、"/>
      <w:lvlJc w:val="left"/>
      <w:rPr>
        <w:rFonts w:hint="eastAsia"/>
      </w:rPr>
    </w:lvl>
  </w:abstractNum>
  <w:abstractNum w:abstractNumId="5">
    <w:nsid w:val="2F7BEFB5"/>
    <w:multiLevelType w:val="singleLevel"/>
    <w:tmpl w:val="2F7BEFB5"/>
    <w:lvl w:ilvl="0" w:tentative="0">
      <w:start w:val="1"/>
      <w:numFmt w:val="decimal"/>
      <w:lvlText w:val="%1."/>
      <w:lvlJc w:val="left"/>
      <w:pPr>
        <w:ind w:left="425" w:hanging="425"/>
      </w:pPr>
      <w:rPr>
        <w:rFonts w:hint="default"/>
      </w:rPr>
    </w:lvl>
  </w:abstractNum>
  <w:abstractNum w:abstractNumId="6">
    <w:nsid w:val="35689671"/>
    <w:multiLevelType w:val="singleLevel"/>
    <w:tmpl w:val="35689671"/>
    <w:lvl w:ilvl="0" w:tentative="0">
      <w:start w:val="1"/>
      <w:numFmt w:val="decimal"/>
      <w:lvlText w:val="%1."/>
      <w:lvlJc w:val="left"/>
      <w:pPr>
        <w:ind w:left="425" w:hanging="425"/>
      </w:pPr>
      <w:rPr>
        <w:rFonts w:hint="default"/>
      </w:rPr>
    </w:lvl>
  </w:abstractNum>
  <w:abstractNum w:abstractNumId="7">
    <w:nsid w:val="3E0827D0"/>
    <w:multiLevelType w:val="singleLevel"/>
    <w:tmpl w:val="3E0827D0"/>
    <w:lvl w:ilvl="0" w:tentative="0">
      <w:start w:val="1"/>
      <w:numFmt w:val="decimal"/>
      <w:lvlText w:val="%1."/>
      <w:lvlJc w:val="left"/>
      <w:pPr>
        <w:ind w:left="425" w:hanging="425"/>
      </w:pPr>
      <w:rPr>
        <w:rFonts w:hint="default"/>
      </w:rPr>
    </w:lvl>
  </w:abstractNum>
  <w:abstractNum w:abstractNumId="8">
    <w:nsid w:val="4C8D57F3"/>
    <w:multiLevelType w:val="singleLevel"/>
    <w:tmpl w:val="4C8D57F3"/>
    <w:lvl w:ilvl="0" w:tentative="0">
      <w:start w:val="1"/>
      <w:numFmt w:val="decimal"/>
      <w:lvlText w:val="%1."/>
      <w:lvlJc w:val="left"/>
      <w:pPr>
        <w:ind w:left="425" w:hanging="425"/>
      </w:pPr>
      <w:rPr>
        <w:rFonts w:hint="default"/>
      </w:rPr>
    </w:lvl>
  </w:abstractNum>
  <w:abstractNum w:abstractNumId="9">
    <w:nsid w:val="7DB32863"/>
    <w:multiLevelType w:val="singleLevel"/>
    <w:tmpl w:val="7DB32863"/>
    <w:lvl w:ilvl="0" w:tentative="0">
      <w:start w:val="1"/>
      <w:numFmt w:val="decimal"/>
      <w:lvlText w:val="%1."/>
      <w:lvlJc w:val="left"/>
      <w:pPr>
        <w:ind w:left="425" w:hanging="425"/>
      </w:pPr>
      <w:rPr>
        <w:rFonts w:hint="default"/>
      </w:rPr>
    </w:lvl>
  </w:abstractNum>
  <w:num w:numId="1">
    <w:abstractNumId w:val="1"/>
  </w:num>
  <w:num w:numId="2">
    <w:abstractNumId w:val="8"/>
  </w:num>
  <w:num w:numId="3">
    <w:abstractNumId w:val="2"/>
  </w:num>
  <w:num w:numId="4">
    <w:abstractNumId w:val="5"/>
  </w:num>
  <w:num w:numId="5">
    <w:abstractNumId w:val="7"/>
  </w:num>
  <w:num w:numId="6">
    <w:abstractNumId w:val="6"/>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NWFmZTNjNjEzZjAzMmE1MDQ2MGNmNDlkOTM4YTIifQ=="/>
  </w:docVars>
  <w:rsids>
    <w:rsidRoot w:val="2A2C722F"/>
    <w:rsid w:val="00B43239"/>
    <w:rsid w:val="00C72C49"/>
    <w:rsid w:val="00E865C2"/>
    <w:rsid w:val="01BD35CD"/>
    <w:rsid w:val="02183724"/>
    <w:rsid w:val="027B61CF"/>
    <w:rsid w:val="02CE3FCB"/>
    <w:rsid w:val="02DF57A3"/>
    <w:rsid w:val="032538DD"/>
    <w:rsid w:val="03BB1D6C"/>
    <w:rsid w:val="03D270B5"/>
    <w:rsid w:val="03EE46AC"/>
    <w:rsid w:val="040F20B8"/>
    <w:rsid w:val="04322093"/>
    <w:rsid w:val="05805ADD"/>
    <w:rsid w:val="066E5792"/>
    <w:rsid w:val="06A42F1C"/>
    <w:rsid w:val="06B331CE"/>
    <w:rsid w:val="06F26E07"/>
    <w:rsid w:val="07D72EEC"/>
    <w:rsid w:val="09E813E1"/>
    <w:rsid w:val="0AB13D90"/>
    <w:rsid w:val="0B8A4DD4"/>
    <w:rsid w:val="0BF37236"/>
    <w:rsid w:val="0C2933C8"/>
    <w:rsid w:val="0C8B0366"/>
    <w:rsid w:val="0D337883"/>
    <w:rsid w:val="0D676AC1"/>
    <w:rsid w:val="0E165A70"/>
    <w:rsid w:val="0EB75826"/>
    <w:rsid w:val="0FE37876"/>
    <w:rsid w:val="10E32902"/>
    <w:rsid w:val="10F23EF2"/>
    <w:rsid w:val="113872CC"/>
    <w:rsid w:val="11D533B0"/>
    <w:rsid w:val="1206590D"/>
    <w:rsid w:val="120E0974"/>
    <w:rsid w:val="12983A14"/>
    <w:rsid w:val="13137E6C"/>
    <w:rsid w:val="13242C91"/>
    <w:rsid w:val="13783BD1"/>
    <w:rsid w:val="14065285"/>
    <w:rsid w:val="147110DB"/>
    <w:rsid w:val="154716B1"/>
    <w:rsid w:val="156927FF"/>
    <w:rsid w:val="163F58A8"/>
    <w:rsid w:val="169A2001"/>
    <w:rsid w:val="16E30B35"/>
    <w:rsid w:val="173A01AE"/>
    <w:rsid w:val="17424826"/>
    <w:rsid w:val="17A728DB"/>
    <w:rsid w:val="18243CDC"/>
    <w:rsid w:val="183B5373"/>
    <w:rsid w:val="18534811"/>
    <w:rsid w:val="18960FCA"/>
    <w:rsid w:val="18D92F68"/>
    <w:rsid w:val="1A6F4727"/>
    <w:rsid w:val="1C0B7FF1"/>
    <w:rsid w:val="1CC64404"/>
    <w:rsid w:val="1DD97567"/>
    <w:rsid w:val="1E651757"/>
    <w:rsid w:val="1EC75611"/>
    <w:rsid w:val="1F0648D0"/>
    <w:rsid w:val="1FC3402A"/>
    <w:rsid w:val="20564A27"/>
    <w:rsid w:val="229C0E5D"/>
    <w:rsid w:val="22EB619E"/>
    <w:rsid w:val="24371097"/>
    <w:rsid w:val="25DC7BF4"/>
    <w:rsid w:val="26B93939"/>
    <w:rsid w:val="27055645"/>
    <w:rsid w:val="280B44CD"/>
    <w:rsid w:val="28790C5B"/>
    <w:rsid w:val="28F65471"/>
    <w:rsid w:val="290851A4"/>
    <w:rsid w:val="2A005E7B"/>
    <w:rsid w:val="2A2C722F"/>
    <w:rsid w:val="2A7040BB"/>
    <w:rsid w:val="2A9F796F"/>
    <w:rsid w:val="2B4D768F"/>
    <w:rsid w:val="2BB86A0D"/>
    <w:rsid w:val="2BDD46C6"/>
    <w:rsid w:val="2C0B23D8"/>
    <w:rsid w:val="2C6F75E6"/>
    <w:rsid w:val="2C7A0167"/>
    <w:rsid w:val="2D9E60D7"/>
    <w:rsid w:val="2DD15077"/>
    <w:rsid w:val="2E42585D"/>
    <w:rsid w:val="2ED33B5E"/>
    <w:rsid w:val="317C5F40"/>
    <w:rsid w:val="32213F41"/>
    <w:rsid w:val="322E233B"/>
    <w:rsid w:val="33756BF1"/>
    <w:rsid w:val="347B4A7C"/>
    <w:rsid w:val="35CF3AD5"/>
    <w:rsid w:val="365E339E"/>
    <w:rsid w:val="36D02C81"/>
    <w:rsid w:val="37B06110"/>
    <w:rsid w:val="37C64421"/>
    <w:rsid w:val="37C8447C"/>
    <w:rsid w:val="380234EF"/>
    <w:rsid w:val="38891B14"/>
    <w:rsid w:val="389849FD"/>
    <w:rsid w:val="38C15DCD"/>
    <w:rsid w:val="38FD1F03"/>
    <w:rsid w:val="391405E5"/>
    <w:rsid w:val="393E57A6"/>
    <w:rsid w:val="39567866"/>
    <w:rsid w:val="3A206B80"/>
    <w:rsid w:val="3BB62E68"/>
    <w:rsid w:val="3CB91C3A"/>
    <w:rsid w:val="3DA374EA"/>
    <w:rsid w:val="3E630A5B"/>
    <w:rsid w:val="3EDF160D"/>
    <w:rsid w:val="3F0F3329"/>
    <w:rsid w:val="3F870779"/>
    <w:rsid w:val="3FA00B85"/>
    <w:rsid w:val="3FA67C1A"/>
    <w:rsid w:val="40C61775"/>
    <w:rsid w:val="415C010E"/>
    <w:rsid w:val="41AA69A0"/>
    <w:rsid w:val="41E86D40"/>
    <w:rsid w:val="42165DE4"/>
    <w:rsid w:val="428471F1"/>
    <w:rsid w:val="44333AF2"/>
    <w:rsid w:val="44A249ED"/>
    <w:rsid w:val="45024D70"/>
    <w:rsid w:val="45B41853"/>
    <w:rsid w:val="45B63E62"/>
    <w:rsid w:val="471274C2"/>
    <w:rsid w:val="47242D51"/>
    <w:rsid w:val="48AF2AEE"/>
    <w:rsid w:val="491C30F2"/>
    <w:rsid w:val="494E2307"/>
    <w:rsid w:val="49D16865"/>
    <w:rsid w:val="49D3203B"/>
    <w:rsid w:val="4A0F7E11"/>
    <w:rsid w:val="4A49084D"/>
    <w:rsid w:val="4A52790B"/>
    <w:rsid w:val="4AB23CF6"/>
    <w:rsid w:val="4AE520BA"/>
    <w:rsid w:val="4AF23E8A"/>
    <w:rsid w:val="4AF3451C"/>
    <w:rsid w:val="4B740E9B"/>
    <w:rsid w:val="4B8B2786"/>
    <w:rsid w:val="4BE53EA4"/>
    <w:rsid w:val="4C9968D0"/>
    <w:rsid w:val="4D76492F"/>
    <w:rsid w:val="4E1706F9"/>
    <w:rsid w:val="4EC24232"/>
    <w:rsid w:val="4F8C7B84"/>
    <w:rsid w:val="4FC866E0"/>
    <w:rsid w:val="500656EA"/>
    <w:rsid w:val="510D0D8C"/>
    <w:rsid w:val="5254103C"/>
    <w:rsid w:val="53133BE9"/>
    <w:rsid w:val="5344784C"/>
    <w:rsid w:val="5378105D"/>
    <w:rsid w:val="54C6369A"/>
    <w:rsid w:val="54D23471"/>
    <w:rsid w:val="54DC110F"/>
    <w:rsid w:val="56465BD1"/>
    <w:rsid w:val="57431C28"/>
    <w:rsid w:val="57833AC4"/>
    <w:rsid w:val="5879400D"/>
    <w:rsid w:val="593125B2"/>
    <w:rsid w:val="5C2448C9"/>
    <w:rsid w:val="5C2D12D2"/>
    <w:rsid w:val="5CC46711"/>
    <w:rsid w:val="5D693779"/>
    <w:rsid w:val="5E1656D5"/>
    <w:rsid w:val="5E3478C6"/>
    <w:rsid w:val="5E407F17"/>
    <w:rsid w:val="5E772F91"/>
    <w:rsid w:val="608346FE"/>
    <w:rsid w:val="61DB663E"/>
    <w:rsid w:val="62D4499A"/>
    <w:rsid w:val="64DE6859"/>
    <w:rsid w:val="64F1505E"/>
    <w:rsid w:val="66171D3A"/>
    <w:rsid w:val="6692787F"/>
    <w:rsid w:val="66C7093C"/>
    <w:rsid w:val="670D7266"/>
    <w:rsid w:val="67474DBD"/>
    <w:rsid w:val="67E56F24"/>
    <w:rsid w:val="691B3B5C"/>
    <w:rsid w:val="697D17B4"/>
    <w:rsid w:val="6A360BC0"/>
    <w:rsid w:val="6A4419AC"/>
    <w:rsid w:val="6CBC7404"/>
    <w:rsid w:val="6CDB724B"/>
    <w:rsid w:val="6CF7043C"/>
    <w:rsid w:val="6EE57784"/>
    <w:rsid w:val="6EF86BB5"/>
    <w:rsid w:val="6F2276EA"/>
    <w:rsid w:val="704C0A9F"/>
    <w:rsid w:val="70BE33B7"/>
    <w:rsid w:val="70F11174"/>
    <w:rsid w:val="732B52E4"/>
    <w:rsid w:val="740F0313"/>
    <w:rsid w:val="741C504D"/>
    <w:rsid w:val="764346F2"/>
    <w:rsid w:val="76487A6F"/>
    <w:rsid w:val="77595D93"/>
    <w:rsid w:val="788A485A"/>
    <w:rsid w:val="78EF26C0"/>
    <w:rsid w:val="7AA858A4"/>
    <w:rsid w:val="7B1E50DF"/>
    <w:rsid w:val="7C482BCB"/>
    <w:rsid w:val="7C741AA9"/>
    <w:rsid w:val="7CAF4890"/>
    <w:rsid w:val="7D106D7F"/>
    <w:rsid w:val="7E636B79"/>
    <w:rsid w:val="7E6E3C65"/>
    <w:rsid w:val="7ECF746B"/>
    <w:rsid w:val="7F072A4B"/>
    <w:rsid w:val="7F92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qFormat/>
    <w:uiPriority w:val="0"/>
    <w:pPr>
      <w:keepNext/>
      <w:jc w:val="center"/>
      <w:outlineLvl w:val="0"/>
    </w:pPr>
    <w:rPr>
      <w:rFonts w:ascii="楷体_GB2312" w:eastAsia="楷体_GB2312"/>
      <w:sz w:val="28"/>
      <w:szCs w:val="28"/>
    </w:rPr>
  </w:style>
  <w:style w:type="paragraph" w:styleId="8">
    <w:name w:val="heading 2"/>
    <w:basedOn w:val="1"/>
    <w:next w:val="1"/>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9">
    <w:name w:val="heading 3"/>
    <w:basedOn w:val="1"/>
    <w:next w:val="1"/>
    <w:qFormat/>
    <w:uiPriority w:val="0"/>
    <w:pPr>
      <w:keepNext/>
      <w:keepLines/>
      <w:spacing w:before="260" w:after="260" w:line="416" w:lineRule="auto"/>
      <w:outlineLvl w:val="2"/>
    </w:pPr>
    <w:rPr>
      <w:b/>
      <w:bCs/>
      <w:sz w:val="32"/>
      <w:szCs w:val="32"/>
    </w:rPr>
  </w:style>
  <w:style w:type="paragraph" w:styleId="10">
    <w:name w:val="heading 4"/>
    <w:basedOn w:val="1"/>
    <w:next w:val="11"/>
    <w:qFormat/>
    <w:uiPriority w:val="0"/>
    <w:pPr>
      <w:keepNext/>
      <w:keepLines/>
      <w:ind w:firstLine="420" w:firstLineChars="150"/>
      <w:outlineLvl w:val="3"/>
    </w:pPr>
    <w:rPr>
      <w:rFonts w:ascii="Arial" w:hAnsi="Arial" w:cs="Arial"/>
      <w:b/>
      <w:sz w:val="28"/>
      <w:szCs w:val="28"/>
    </w:rPr>
  </w:style>
  <w:style w:type="character" w:default="1" w:styleId="25">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2">
    <w:name w:val="toa heading"/>
    <w:basedOn w:val="3"/>
    <w:next w:val="3"/>
    <w:qFormat/>
    <w:uiPriority w:val="0"/>
    <w:pPr>
      <w:spacing w:before="120"/>
    </w:pPr>
    <w:rPr>
      <w:rFonts w:ascii="Arial" w:hAnsi="Arial"/>
      <w:sz w:val="24"/>
    </w:rPr>
  </w:style>
  <w:style w:type="paragraph" w:customStyle="1" w:styleId="3">
    <w:name w:val="正文_2_0_0_0"/>
    <w:basedOn w:val="4"/>
    <w:next w:val="2"/>
    <w:qFormat/>
    <w:uiPriority w:val="0"/>
    <w:rPr>
      <w:rFonts w:ascii="Calibri" w:hAnsi="Calibri"/>
    </w:rPr>
  </w:style>
  <w:style w:type="paragraph" w:customStyle="1" w:styleId="4">
    <w:name w:val="正文_3_0_0_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正文_1"/>
    <w:basedOn w:val="6"/>
    <w:qFormat/>
    <w:uiPriority w:val="0"/>
    <w:rPr>
      <w:rFonts w:ascii="Calibri" w:hAnsi="Calibri" w:cs="宋体"/>
      <w:szCs w:val="21"/>
    </w:rPr>
  </w:style>
  <w:style w:type="paragraph" w:customStyle="1" w:styleId="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Normal Indent"/>
    <w:basedOn w:val="1"/>
    <w:next w:val="1"/>
    <w:qFormat/>
    <w:uiPriority w:val="0"/>
    <w:pPr>
      <w:ind w:firstLine="420"/>
    </w:pPr>
  </w:style>
  <w:style w:type="paragraph" w:styleId="12">
    <w:name w:val="index 6"/>
    <w:basedOn w:val="1"/>
    <w:next w:val="1"/>
    <w:qFormat/>
    <w:uiPriority w:val="99"/>
    <w:pPr>
      <w:ind w:left="2100"/>
    </w:pPr>
  </w:style>
  <w:style w:type="paragraph" w:styleId="13">
    <w:name w:val="Body Text"/>
    <w:basedOn w:val="1"/>
    <w:next w:val="1"/>
    <w:qFormat/>
    <w:uiPriority w:val="0"/>
    <w:rPr>
      <w:rFonts w:ascii="楷体_GB2312" w:hAnsi="Arial" w:eastAsia="楷体_GB2312"/>
      <w:sz w:val="28"/>
      <w:szCs w:val="28"/>
    </w:rPr>
  </w:style>
  <w:style w:type="paragraph" w:styleId="14">
    <w:name w:val="Body Text Indent"/>
    <w:basedOn w:val="1"/>
    <w:next w:val="15"/>
    <w:qFormat/>
    <w:uiPriority w:val="0"/>
    <w:pPr>
      <w:spacing w:after="120" w:afterAutospacing="0"/>
      <w:ind w:left="420" w:leftChars="200"/>
    </w:pPr>
  </w:style>
  <w:style w:type="paragraph" w:styleId="15">
    <w:name w:val="Body Text First Indent 2"/>
    <w:basedOn w:val="14"/>
    <w:next w:val="13"/>
    <w:qFormat/>
    <w:uiPriority w:val="0"/>
    <w:pPr>
      <w:ind w:firstLine="420" w:firstLineChars="200"/>
    </w:pPr>
  </w:style>
  <w:style w:type="paragraph" w:styleId="16">
    <w:name w:val="Plain Text"/>
    <w:basedOn w:val="1"/>
    <w:qFormat/>
    <w:uiPriority w:val="0"/>
    <w:rPr>
      <w:rFonts w:ascii="宋体" w:hAnsi="Courier New" w:cs="Courier New"/>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2"/>
    <w:basedOn w:val="1"/>
    <w:next w:val="1"/>
    <w:qFormat/>
    <w:uiPriority w:val="39"/>
    <w:pPr>
      <w:ind w:left="210"/>
      <w:jc w:val="left"/>
    </w:pPr>
    <w:rPr>
      <w:smallCaps/>
      <w:szCs w:val="24"/>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13"/>
    <w:next w:val="15"/>
    <w:qFormat/>
    <w:uiPriority w:val="0"/>
    <w:pPr>
      <w:spacing w:line="360" w:lineRule="auto"/>
      <w:ind w:firstLine="200" w:firstLineChars="200"/>
    </w:pPr>
    <w:rPr>
      <w:rFonts w:ascii="仿宋_GB2312" w:eastAsia="仿宋_GB2312"/>
      <w:sz w:val="30"/>
      <w:szCs w:val="3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page number"/>
    <w:basedOn w:val="25"/>
    <w:qFormat/>
    <w:uiPriority w:val="99"/>
    <w:rPr>
      <w:rFonts w:cs="Times New Roman"/>
    </w:rPr>
  </w:style>
  <w:style w:type="character" w:styleId="27">
    <w:name w:val="Hyperlink"/>
    <w:qFormat/>
    <w:uiPriority w:val="99"/>
    <w:rPr>
      <w:color w:val="0000FF"/>
      <w:u w:val="single"/>
    </w:rPr>
  </w:style>
  <w:style w:type="paragraph" w:customStyle="1" w:styleId="2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0">
    <w:name w:val="_Style 11"/>
    <w:basedOn w:val="7"/>
    <w:next w:val="1"/>
    <w:qFormat/>
    <w:uiPriority w:val="39"/>
    <w:pPr>
      <w:keepLines/>
      <w:widowControl/>
      <w:spacing w:before="480" w:line="276" w:lineRule="auto"/>
      <w:jc w:val="left"/>
      <w:outlineLvl w:val="9"/>
    </w:pPr>
    <w:rPr>
      <w:rFonts w:ascii="Cambria" w:hAnsi="Cambria" w:eastAsia="宋体"/>
      <w:b/>
      <w:bCs/>
      <w:color w:val="365F91"/>
      <w:kern w:val="0"/>
    </w:rPr>
  </w:style>
  <w:style w:type="character" w:customStyle="1" w:styleId="31">
    <w:name w:val="font51"/>
    <w:basedOn w:val="25"/>
    <w:qFormat/>
    <w:uiPriority w:val="0"/>
    <w:rPr>
      <w:rFonts w:hint="eastAsia" w:ascii="宋体" w:hAnsi="宋体" w:eastAsia="宋体" w:cs="宋体"/>
      <w:color w:val="000000"/>
      <w:sz w:val="20"/>
      <w:szCs w:val="20"/>
      <w:u w:val="none"/>
    </w:rPr>
  </w:style>
  <w:style w:type="paragraph" w:customStyle="1" w:styleId="32">
    <w:name w:val="Table Text"/>
    <w:basedOn w:val="1"/>
    <w:semiHidden/>
    <w:qFormat/>
    <w:uiPriority w:val="0"/>
    <w:rPr>
      <w:rFonts w:ascii="仿宋" w:hAnsi="仿宋" w:eastAsia="仿宋" w:cs="仿宋"/>
      <w:sz w:val="21"/>
      <w:szCs w:val="21"/>
      <w:lang w:val="en-US" w:eastAsia="en-US" w:bidi="ar-SA"/>
    </w:rPr>
  </w:style>
  <w:style w:type="paragraph" w:customStyle="1" w:styleId="33">
    <w:name w:val="列出段落1"/>
    <w:basedOn w:val="1"/>
    <w:qFormat/>
    <w:uiPriority w:val="0"/>
    <w:pPr>
      <w:widowControl/>
      <w:ind w:left="720"/>
      <w:contextualSpacing/>
      <w:jc w:val="left"/>
    </w:pPr>
    <w:rPr>
      <w:kern w:val="0"/>
      <w:sz w:val="24"/>
      <w:szCs w:val="24"/>
      <w:lang w:eastAsia="en-US" w:bidi="en-US"/>
    </w:rPr>
  </w:style>
  <w:style w:type="paragraph" w:customStyle="1" w:styleId="34">
    <w:name w:val="Char"/>
    <w:basedOn w:val="1"/>
    <w:qFormat/>
    <w:uiPriority w:val="0"/>
    <w:pPr>
      <w:tabs>
        <w:tab w:val="left" w:pos="360"/>
      </w:tabs>
      <w:ind w:firstLine="200" w:firstLineChars="200"/>
    </w:pPr>
    <w:rPr>
      <w:sz w:val="28"/>
      <w:szCs w:val="30"/>
    </w:rPr>
  </w:style>
  <w:style w:type="character" w:customStyle="1" w:styleId="35">
    <w:name w:val="font71"/>
    <w:basedOn w:val="25"/>
    <w:qFormat/>
    <w:uiPriority w:val="0"/>
    <w:rPr>
      <w:rFonts w:hint="eastAsia" w:ascii="楷体_GB2312" w:eastAsia="楷体_GB2312" w:cs="楷体_GB2312"/>
      <w:color w:val="000000"/>
      <w:sz w:val="24"/>
      <w:szCs w:val="24"/>
      <w:u w:val="none"/>
    </w:rPr>
  </w:style>
  <w:style w:type="paragraph" w:customStyle="1" w:styleId="3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7">
    <w:name w:val="表格内容"/>
    <w:basedOn w:val="1"/>
    <w:qFormat/>
    <w:uiPriority w:val="0"/>
    <w:pPr>
      <w:jc w:val="left"/>
    </w:pPr>
    <w:rPr>
      <w:rFonts w:ascii="宋体" w:hAnsi="宋体" w:eastAsia="仿宋"/>
      <w:sz w:val="24"/>
      <w:szCs w:val="21"/>
    </w:rPr>
  </w:style>
  <w:style w:type="character" w:customStyle="1" w:styleId="38">
    <w:name w:val="font31"/>
    <w:basedOn w:val="25"/>
    <w:qFormat/>
    <w:uiPriority w:val="0"/>
    <w:rPr>
      <w:rFonts w:hint="eastAsia" w:ascii="宋体" w:hAnsi="宋体" w:eastAsia="宋体" w:cs="宋体"/>
      <w:color w:val="000000"/>
      <w:sz w:val="21"/>
      <w:szCs w:val="21"/>
      <w:u w:val="none"/>
    </w:rPr>
  </w:style>
  <w:style w:type="character" w:customStyle="1" w:styleId="39">
    <w:name w:val="font41"/>
    <w:basedOn w:val="25"/>
    <w:qFormat/>
    <w:uiPriority w:val="0"/>
    <w:rPr>
      <w:rFonts w:hint="default" w:ascii="仿宋_GB2312" w:eastAsia="仿宋_GB2312" w:cs="仿宋_GB2312"/>
      <w:color w:val="FF0000"/>
      <w:sz w:val="28"/>
      <w:szCs w:val="28"/>
      <w:u w:val="none"/>
    </w:rPr>
  </w:style>
  <w:style w:type="character" w:customStyle="1" w:styleId="40">
    <w:name w:val="font01"/>
    <w:basedOn w:val="25"/>
    <w:qFormat/>
    <w:uiPriority w:val="0"/>
    <w:rPr>
      <w:rFonts w:hint="eastAsia" w:ascii="宋体" w:hAnsi="宋体" w:eastAsia="宋体" w:cs="宋体"/>
      <w:color w:val="000000"/>
      <w:sz w:val="24"/>
      <w:szCs w:val="24"/>
      <w:u w:val="none"/>
    </w:rPr>
  </w:style>
  <w:style w:type="character" w:customStyle="1" w:styleId="41">
    <w:name w:val="font61"/>
    <w:basedOn w:val="25"/>
    <w:qFormat/>
    <w:uiPriority w:val="0"/>
    <w:rPr>
      <w:rFonts w:hint="eastAsia" w:ascii="宋体" w:hAnsi="宋体" w:eastAsia="宋体" w:cs="宋体"/>
      <w:color w:val="FF0000"/>
      <w:sz w:val="21"/>
      <w:szCs w:val="21"/>
      <w:u w:val="none"/>
    </w:rPr>
  </w:style>
  <w:style w:type="table" w:customStyle="1" w:styleId="42">
    <w:name w:val="Table Normal"/>
    <w:unhideWhenUsed/>
    <w:qFormat/>
    <w:uiPriority w:val="2"/>
    <w:rPr>
      <w:lang w:val="en-US" w:eastAsia="zh-CN" w:bidi="ar-SA"/>
    </w:rPr>
    <w:tblPr>
      <w:tblLayout w:type="fixed"/>
      <w:tblCellMar>
        <w:top w:w="0" w:type="dxa"/>
        <w:left w:w="0" w:type="dxa"/>
        <w:bottom w:w="0" w:type="dxa"/>
        <w:right w:w="0" w:type="dxa"/>
      </w:tblCellMar>
    </w:tblPr>
  </w:style>
  <w:style w:type="paragraph" w:customStyle="1" w:styleId="43">
    <w:name w:val="本文正文"/>
    <w:basedOn w:val="1"/>
    <w:qFormat/>
    <w:uiPriority w:val="0"/>
    <w:pPr>
      <w:autoSpaceDE/>
      <w:adjustRightInd/>
      <w:snapToGrid/>
      <w:spacing w:after="0"/>
      <w:ind w:firstLine="200" w:firstLineChars="200"/>
    </w:pPr>
    <w:rPr>
      <w:rFonts w:ascii="Times New Roman" w:hAnsi="Times New Roman" w:cs="Times New Roman"/>
      <w:snapToGrid/>
      <w:kern w:val="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2024-02-21T11:26:00Z</dcterms:created>
  <dc:creator>98505</dc:creator>
  <cp:lastModifiedBy>Administrator</cp:lastModifiedBy>
  <dcterms:modified xsi:type="dcterms:W3CDTF">2025-02-17T05:19:55Z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38D75922F191441884D1E3E9731BF4D5_12</vt:lpwstr>
  </property>
</Properties>
</file>