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2B4C0">
      <w:pPr>
        <w:keepNext w:val="0"/>
        <w:keepLines w:val="0"/>
        <w:pageBreakBefore w:val="0"/>
        <w:widowControl w:val="0"/>
        <w:shd w:val="clear"/>
        <w:kinsoku/>
        <w:wordWrap/>
        <w:overflowPunct/>
        <w:topLinePunct w:val="0"/>
        <w:autoSpaceDE/>
        <w:autoSpaceDN/>
        <w:bidi w:val="0"/>
        <w:adjustRightInd/>
        <w:snapToGrid/>
        <w:spacing w:after="0" w:line="600" w:lineRule="auto"/>
        <w:ind w:left="0" w:leftChars="0" w:firstLine="0" w:firstLineChars="0"/>
        <w:jc w:val="center"/>
        <w:textAlignment w:val="auto"/>
        <w:outlineLvl w:val="9"/>
        <w:rPr>
          <w:rFonts w:hint="eastAsia" w:ascii="宋体" w:hAnsi="宋体" w:eastAsia="宋体" w:cs="宋体"/>
          <w:b/>
          <w:bCs/>
          <w:color w:val="auto"/>
          <w:kern w:val="2"/>
          <w:sz w:val="48"/>
          <w:szCs w:val="48"/>
          <w:highlight w:val="none"/>
          <w:lang w:eastAsia="zh-CN"/>
        </w:rPr>
      </w:pPr>
    </w:p>
    <w:p w14:paraId="291AB075">
      <w:pPr>
        <w:keepNext w:val="0"/>
        <w:keepLines w:val="0"/>
        <w:pageBreakBefore w:val="0"/>
        <w:widowControl w:val="0"/>
        <w:shd w:val="clear"/>
        <w:kinsoku/>
        <w:wordWrap/>
        <w:overflowPunct/>
        <w:topLinePunct w:val="0"/>
        <w:autoSpaceDE/>
        <w:autoSpaceDN/>
        <w:bidi w:val="0"/>
        <w:adjustRightInd/>
        <w:snapToGrid/>
        <w:spacing w:after="0" w:line="600" w:lineRule="auto"/>
        <w:ind w:left="0" w:leftChars="0" w:firstLine="0" w:firstLineChars="0"/>
        <w:jc w:val="center"/>
        <w:textAlignment w:val="auto"/>
        <w:outlineLvl w:val="9"/>
        <w:rPr>
          <w:rFonts w:hint="default" w:ascii="宋体" w:hAnsi="宋体" w:eastAsia="宋体" w:cs="宋体"/>
          <w:b/>
          <w:bCs/>
          <w:color w:val="auto"/>
          <w:kern w:val="2"/>
          <w:sz w:val="52"/>
          <w:szCs w:val="52"/>
          <w:highlight w:val="none"/>
          <w:lang w:val="en-US" w:eastAsia="zh-CN"/>
        </w:rPr>
      </w:pPr>
      <w:r>
        <w:rPr>
          <w:rFonts w:hint="eastAsia" w:ascii="宋体" w:hAnsi="宋体" w:cs="宋体"/>
          <w:b/>
          <w:bCs/>
          <w:color w:val="auto"/>
          <w:kern w:val="2"/>
          <w:sz w:val="52"/>
          <w:szCs w:val="52"/>
          <w:highlight w:val="none"/>
          <w:lang w:eastAsia="zh-CN"/>
        </w:rPr>
        <w:t>昌吉市</w:t>
      </w:r>
      <w:r>
        <w:rPr>
          <w:rFonts w:hint="eastAsia" w:ascii="宋体" w:hAnsi="宋体" w:cs="宋体"/>
          <w:b/>
          <w:bCs/>
          <w:color w:val="auto"/>
          <w:kern w:val="2"/>
          <w:sz w:val="52"/>
          <w:szCs w:val="52"/>
          <w:highlight w:val="none"/>
          <w:lang w:val="en-US" w:eastAsia="zh-CN"/>
        </w:rPr>
        <w:t>城市街景节点布置</w:t>
      </w:r>
    </w:p>
    <w:p w14:paraId="15A59FC6">
      <w:pPr>
        <w:keepNext w:val="0"/>
        <w:keepLines w:val="0"/>
        <w:pageBreakBefore w:val="0"/>
        <w:widowControl w:val="0"/>
        <w:shd w:val="clear"/>
        <w:kinsoku/>
        <w:wordWrap/>
        <w:overflowPunct/>
        <w:topLinePunct w:val="0"/>
        <w:bidi w:val="0"/>
        <w:adjustRightInd/>
        <w:snapToGrid/>
        <w:spacing w:after="0" w:line="600" w:lineRule="auto"/>
        <w:ind w:left="0" w:leftChars="0" w:firstLine="0" w:firstLineChars="0"/>
        <w:jc w:val="center"/>
        <w:rPr>
          <w:rFonts w:ascii="宋体" w:hAnsi="宋体" w:eastAsia="宋体" w:cs="宋体"/>
          <w:b/>
          <w:color w:val="auto"/>
          <w:kern w:val="2"/>
          <w:sz w:val="21"/>
          <w:szCs w:val="24"/>
          <w:highlight w:val="none"/>
          <w:lang w:eastAsia="zh-CN"/>
        </w:rPr>
      </w:pPr>
    </w:p>
    <w:p w14:paraId="5ED68D6D">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ascii="宋体" w:hAnsi="宋体" w:eastAsia="宋体" w:cs="宋体"/>
          <w:color w:val="auto"/>
          <w:sz w:val="24"/>
          <w:szCs w:val="24"/>
          <w:highlight w:val="none"/>
          <w:lang w:val="en-US" w:eastAsia="zh-CN" w:bidi="ar-SA"/>
        </w:rPr>
      </w:pPr>
    </w:p>
    <w:p w14:paraId="55BB200E">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ascii="宋体" w:hAnsi="宋体" w:eastAsia="宋体" w:cs="宋体"/>
          <w:color w:val="auto"/>
          <w:sz w:val="24"/>
          <w:szCs w:val="24"/>
          <w:highlight w:val="none"/>
          <w:lang w:val="en-US" w:eastAsia="zh-CN" w:bidi="ar-SA"/>
        </w:rPr>
      </w:pPr>
    </w:p>
    <w:p w14:paraId="3082E882">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ascii="宋体" w:hAnsi="宋体" w:eastAsia="宋体" w:cs="宋体"/>
          <w:color w:val="auto"/>
          <w:sz w:val="24"/>
          <w:szCs w:val="24"/>
          <w:highlight w:val="none"/>
          <w:lang w:val="en-US" w:eastAsia="zh-CN" w:bidi="ar-SA"/>
        </w:rPr>
      </w:pPr>
    </w:p>
    <w:p w14:paraId="5DB9C65C">
      <w:pPr>
        <w:keepNext w:val="0"/>
        <w:keepLines w:val="0"/>
        <w:pageBreakBefore w:val="0"/>
        <w:widowControl w:val="0"/>
        <w:shd w:val="clear"/>
        <w:kinsoku/>
        <w:wordWrap/>
        <w:overflowPunct/>
        <w:topLinePunct w:val="0"/>
        <w:autoSpaceDE w:val="0"/>
        <w:autoSpaceDN w:val="0"/>
        <w:bidi w:val="0"/>
        <w:adjustRightInd/>
        <w:snapToGrid/>
        <w:spacing w:line="480" w:lineRule="exact"/>
        <w:ind w:left="0" w:leftChars="0" w:firstLine="0" w:firstLineChars="0"/>
        <w:jc w:val="center"/>
        <w:rPr>
          <w:rFonts w:hint="default" w:ascii="黑体" w:hAnsi="黑体" w:eastAsia="黑体" w:cs="黑体"/>
          <w:b w:val="0"/>
          <w:bCs w:val="0"/>
          <w:color w:val="auto"/>
          <w:sz w:val="32"/>
          <w:szCs w:val="32"/>
          <w:highlight w:val="none"/>
          <w:shd w:val="clear" w:color="auto" w:fill="auto"/>
          <w:lang w:val="en-US" w:eastAsia="zh-CN" w:bidi="ar-SA"/>
        </w:rPr>
      </w:pPr>
    </w:p>
    <w:p w14:paraId="751EC966">
      <w:pPr>
        <w:keepNext w:val="0"/>
        <w:keepLines w:val="0"/>
        <w:pageBreakBefore w:val="0"/>
        <w:widowControl w:val="0"/>
        <w:shd w:val="clear"/>
        <w:kinsoku/>
        <w:wordWrap/>
        <w:overflowPunct/>
        <w:topLinePunct w:val="0"/>
        <w:autoSpaceDE w:val="0"/>
        <w:autoSpaceDN w:val="0"/>
        <w:bidi w:val="0"/>
        <w:adjustRightInd/>
        <w:snapToGrid/>
        <w:ind w:left="0" w:leftChars="0" w:firstLine="0" w:firstLineChars="0"/>
        <w:jc w:val="center"/>
        <w:textAlignment w:val="auto"/>
        <w:outlineLvl w:val="9"/>
        <w:rPr>
          <w:rFonts w:ascii="宋体" w:hAnsi="宋体" w:eastAsia="宋体" w:cs="宋体"/>
          <w:b/>
          <w:bCs/>
          <w:color w:val="auto"/>
          <w:sz w:val="40"/>
          <w:szCs w:val="40"/>
          <w:highlight w:val="none"/>
          <w:lang w:val="en-US" w:eastAsia="zh-CN" w:bidi="ar-SA"/>
        </w:rPr>
      </w:pPr>
      <w:r>
        <w:rPr>
          <w:rFonts w:hint="eastAsia" w:ascii="黑体" w:hAnsi="黑体" w:eastAsia="黑体" w:cs="黑体"/>
          <w:b w:val="0"/>
          <w:bCs w:val="0"/>
          <w:color w:val="auto"/>
          <w:sz w:val="84"/>
          <w:szCs w:val="84"/>
          <w:highlight w:val="none"/>
          <w:lang w:val="en-US" w:eastAsia="zh-CN" w:bidi="ar-SA"/>
        </w:rPr>
        <w:t>招标文件</w:t>
      </w:r>
    </w:p>
    <w:p w14:paraId="36D97601">
      <w:pPr>
        <w:keepNext w:val="0"/>
        <w:keepLines w:val="0"/>
        <w:pageBreakBefore w:val="0"/>
        <w:widowControl w:val="0"/>
        <w:kinsoku/>
        <w:wordWrap/>
        <w:overflowPunct/>
        <w:topLinePunct w:val="0"/>
        <w:bidi w:val="0"/>
        <w:adjustRightInd/>
        <w:snapToGrid/>
        <w:spacing w:after="0" w:line="240" w:lineRule="auto"/>
        <w:ind w:left="0" w:leftChars="0" w:firstLine="0" w:firstLineChars="0"/>
        <w:jc w:val="center"/>
        <w:textAlignment w:val="baseline"/>
        <w:rPr>
          <w:rFonts w:ascii="Times New Roman" w:hAnsi="Times New Roman" w:eastAsia="宋体" w:cs="Times New Roman"/>
          <w:b/>
          <w:bCs/>
          <w:color w:val="auto"/>
          <w:kern w:val="2"/>
          <w:sz w:val="28"/>
          <w:szCs w:val="28"/>
          <w:lang w:eastAsia="zh-CN"/>
        </w:rPr>
      </w:pPr>
    </w:p>
    <w:p w14:paraId="101F991E">
      <w:pPr>
        <w:keepNext w:val="0"/>
        <w:keepLines w:val="0"/>
        <w:pageBreakBefore w:val="0"/>
        <w:widowControl w:val="0"/>
        <w:kinsoku/>
        <w:wordWrap/>
        <w:overflowPunct/>
        <w:topLinePunct w:val="0"/>
        <w:bidi w:val="0"/>
        <w:adjustRightInd/>
        <w:snapToGrid/>
        <w:spacing w:after="0" w:line="240" w:lineRule="auto"/>
        <w:ind w:left="0" w:leftChars="0" w:firstLine="0" w:firstLineChars="0"/>
        <w:jc w:val="center"/>
        <w:textAlignment w:val="baseline"/>
        <w:rPr>
          <w:rFonts w:ascii="Times New Roman" w:hAnsi="Times New Roman" w:eastAsia="宋体" w:cs="Times New Roman"/>
          <w:b/>
          <w:bCs/>
          <w:color w:val="auto"/>
          <w:kern w:val="2"/>
          <w:sz w:val="32"/>
          <w:szCs w:val="32"/>
          <w:lang w:val="zh-CN" w:eastAsia="zh-CN"/>
        </w:rPr>
      </w:pPr>
    </w:p>
    <w:p w14:paraId="31951AFE">
      <w:pPr>
        <w:widowControl w:val="0"/>
        <w:numPr>
          <w:ilvl w:val="-1"/>
          <w:numId w:val="0"/>
        </w:numPr>
        <w:tabs>
          <w:tab w:val="left" w:pos="775"/>
          <w:tab w:val="left" w:pos="1200"/>
        </w:tabs>
        <w:spacing w:after="0" w:line="360" w:lineRule="auto"/>
        <w:ind w:left="775" w:hanging="360"/>
        <w:jc w:val="both"/>
        <w:rPr>
          <w:rFonts w:ascii="Times New Roman" w:hAnsi="Times New Roman" w:eastAsia="宋体" w:cs="Times New Roman"/>
          <w:b/>
          <w:bCs/>
          <w:color w:val="auto"/>
          <w:kern w:val="0"/>
          <w:sz w:val="32"/>
          <w:szCs w:val="32"/>
          <w:lang w:val="zh-CN" w:eastAsia="zh-CN" w:bidi="ar-SA"/>
        </w:rPr>
      </w:pPr>
    </w:p>
    <w:p w14:paraId="592D8B6B">
      <w:pPr>
        <w:autoSpaceDE w:val="0"/>
        <w:autoSpaceDN w:val="0"/>
        <w:adjustRightInd w:val="0"/>
        <w:snapToGrid w:val="0"/>
        <w:spacing w:after="0" w:afterLines="50" w:line="240" w:lineRule="auto"/>
        <w:jc w:val="center"/>
        <w:rPr>
          <w:rFonts w:ascii="宋体" w:hAnsi="宋体" w:eastAsia="宋体" w:cs="黑体"/>
          <w:color w:val="auto"/>
          <w:kern w:val="0"/>
          <w:sz w:val="32"/>
          <w:szCs w:val="32"/>
          <w:lang w:eastAsia="zh-CN"/>
        </w:rPr>
      </w:pPr>
    </w:p>
    <w:p w14:paraId="0B63D489">
      <w:pPr>
        <w:autoSpaceDE w:val="0"/>
        <w:autoSpaceDN w:val="0"/>
        <w:adjustRightInd w:val="0"/>
        <w:snapToGrid w:val="0"/>
        <w:spacing w:after="0" w:afterLines="50" w:line="240" w:lineRule="auto"/>
        <w:jc w:val="center"/>
        <w:rPr>
          <w:rFonts w:ascii="宋体" w:hAnsi="宋体" w:eastAsia="宋体" w:cs="黑体"/>
          <w:color w:val="auto"/>
          <w:kern w:val="0"/>
          <w:sz w:val="32"/>
          <w:szCs w:val="32"/>
          <w:lang w:eastAsia="zh-CN"/>
        </w:rPr>
      </w:pPr>
    </w:p>
    <w:p w14:paraId="77195E5C">
      <w:pPr>
        <w:autoSpaceDE w:val="0"/>
        <w:autoSpaceDN w:val="0"/>
        <w:adjustRightInd w:val="0"/>
        <w:snapToGrid w:val="0"/>
        <w:spacing w:after="0" w:afterLines="50" w:line="240" w:lineRule="auto"/>
        <w:jc w:val="center"/>
        <w:rPr>
          <w:rFonts w:ascii="宋体" w:hAnsi="宋体" w:eastAsia="宋体" w:cs="黑体"/>
          <w:color w:val="auto"/>
          <w:kern w:val="0"/>
          <w:sz w:val="32"/>
          <w:szCs w:val="32"/>
          <w:lang w:eastAsia="zh-CN"/>
        </w:rPr>
      </w:pPr>
    </w:p>
    <w:tbl>
      <w:tblPr>
        <w:tblStyle w:val="4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6"/>
        <w:gridCol w:w="5896"/>
      </w:tblGrid>
      <w:tr w14:paraId="17B5A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69" w:type="dxa"/>
            <w:vAlign w:val="top"/>
          </w:tcPr>
          <w:p w14:paraId="5DE8018B">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eastAsia="zh-CN"/>
              </w:rPr>
            </w:pPr>
            <w:r>
              <w:rPr>
                <w:rFonts w:hint="eastAsia" w:ascii="宋体" w:hAnsi="宋体" w:eastAsia="宋体" w:cs="黑体"/>
                <w:color w:val="auto"/>
                <w:kern w:val="0"/>
                <w:sz w:val="32"/>
                <w:szCs w:val="32"/>
                <w:lang w:val="en-US" w:eastAsia="zh-CN"/>
              </w:rPr>
              <w:t>采购人</w:t>
            </w:r>
            <w:r>
              <w:rPr>
                <w:rFonts w:hint="eastAsia" w:ascii="宋体" w:hAnsi="宋体" w:eastAsia="宋体" w:cs="黑体"/>
                <w:color w:val="auto"/>
                <w:kern w:val="0"/>
                <w:sz w:val="32"/>
                <w:szCs w:val="32"/>
                <w:lang w:eastAsia="zh-CN"/>
              </w:rPr>
              <w:t>:</w:t>
            </w:r>
          </w:p>
        </w:tc>
        <w:tc>
          <w:tcPr>
            <w:tcW w:w="5999" w:type="dxa"/>
            <w:vAlign w:val="top"/>
          </w:tcPr>
          <w:p w14:paraId="0911691D">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default" w:ascii="宋体" w:hAnsi="宋体" w:eastAsia="宋体" w:cs="黑体"/>
                <w:color w:val="auto"/>
                <w:kern w:val="0"/>
                <w:sz w:val="32"/>
                <w:szCs w:val="32"/>
                <w:u w:val="none"/>
                <w:lang w:eastAsia="zh-CN"/>
              </w:rPr>
            </w:pPr>
            <w:r>
              <w:rPr>
                <w:rFonts w:hint="eastAsia" w:ascii="宋体" w:hAnsi="宋体" w:cs="黑体"/>
                <w:color w:val="auto"/>
                <w:kern w:val="0"/>
                <w:sz w:val="32"/>
                <w:szCs w:val="32"/>
                <w:u w:val="none"/>
                <w:lang w:eastAsia="zh-CN"/>
              </w:rPr>
              <w:t>昌吉市市政养护管理中心</w:t>
            </w:r>
          </w:p>
        </w:tc>
      </w:tr>
      <w:tr w14:paraId="0BE07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69" w:type="dxa"/>
            <w:vAlign w:val="top"/>
          </w:tcPr>
          <w:p w14:paraId="02F970E6">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eastAsia="zh-CN"/>
              </w:rPr>
            </w:pPr>
            <w:r>
              <w:rPr>
                <w:rFonts w:hint="eastAsia" w:ascii="宋体" w:hAnsi="宋体" w:eastAsia="宋体" w:cs="黑体"/>
                <w:color w:val="auto"/>
                <w:kern w:val="0"/>
                <w:sz w:val="32"/>
                <w:szCs w:val="32"/>
                <w:lang w:val="en-US" w:eastAsia="zh-CN"/>
              </w:rPr>
              <w:t>采购</w:t>
            </w:r>
            <w:r>
              <w:rPr>
                <w:rFonts w:hint="eastAsia" w:ascii="宋体" w:hAnsi="宋体" w:eastAsia="宋体" w:cs="黑体"/>
                <w:color w:val="auto"/>
                <w:kern w:val="0"/>
                <w:sz w:val="32"/>
                <w:szCs w:val="32"/>
                <w:lang w:eastAsia="zh-CN"/>
              </w:rPr>
              <w:t>代理机构:</w:t>
            </w:r>
          </w:p>
        </w:tc>
        <w:tc>
          <w:tcPr>
            <w:tcW w:w="5999" w:type="dxa"/>
            <w:vAlign w:val="top"/>
          </w:tcPr>
          <w:p w14:paraId="4C96B672">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eastAsia" w:ascii="宋体" w:hAnsi="宋体" w:eastAsia="宋体" w:cs="黑体"/>
                <w:color w:val="auto"/>
                <w:kern w:val="0"/>
                <w:sz w:val="32"/>
                <w:szCs w:val="32"/>
                <w:u w:val="none"/>
                <w:lang w:eastAsia="zh-CN"/>
              </w:rPr>
            </w:pPr>
            <w:r>
              <w:rPr>
                <w:rFonts w:hint="eastAsia" w:ascii="宋体" w:hAnsi="宋体" w:eastAsia="宋体" w:cs="黑体"/>
                <w:color w:val="auto"/>
                <w:kern w:val="0"/>
                <w:sz w:val="32"/>
                <w:szCs w:val="32"/>
                <w:u w:val="none"/>
                <w:lang w:eastAsia="zh-CN"/>
              </w:rPr>
              <w:t>新疆昌盛方略项目管理有限公司</w:t>
            </w:r>
          </w:p>
        </w:tc>
      </w:tr>
      <w:tr w14:paraId="3903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69" w:type="dxa"/>
            <w:vAlign w:val="top"/>
          </w:tcPr>
          <w:p w14:paraId="110E312C">
            <w:pPr>
              <w:keepNext w:val="0"/>
              <w:keepLines w:val="0"/>
              <w:suppressLineNumbers w:val="0"/>
              <w:autoSpaceDE w:val="0"/>
              <w:autoSpaceDN w:val="0"/>
              <w:adjustRightInd w:val="0"/>
              <w:snapToGrid w:val="0"/>
              <w:spacing w:before="0" w:beforeAutospacing="0" w:after="0" w:afterLines="50" w:afterAutospacing="0" w:line="240" w:lineRule="auto"/>
              <w:ind w:left="0" w:right="0"/>
              <w:jc w:val="distribute"/>
              <w:rPr>
                <w:rFonts w:hint="default" w:ascii="宋体" w:hAnsi="宋体" w:eastAsia="宋体" w:cs="黑体"/>
                <w:color w:val="auto"/>
                <w:kern w:val="0"/>
                <w:sz w:val="32"/>
                <w:szCs w:val="32"/>
                <w:lang w:val="en-US" w:eastAsia="zh-CN"/>
              </w:rPr>
            </w:pPr>
            <w:r>
              <w:rPr>
                <w:rFonts w:hint="eastAsia" w:ascii="宋体" w:hAnsi="宋体" w:eastAsia="宋体" w:cs="黑体"/>
                <w:color w:val="auto"/>
                <w:kern w:val="0"/>
                <w:sz w:val="32"/>
                <w:szCs w:val="32"/>
                <w:lang w:val="en-US" w:eastAsia="zh-CN"/>
              </w:rPr>
              <w:t>项目编号:</w:t>
            </w:r>
          </w:p>
        </w:tc>
        <w:tc>
          <w:tcPr>
            <w:tcW w:w="5999" w:type="dxa"/>
            <w:vAlign w:val="top"/>
          </w:tcPr>
          <w:p w14:paraId="762B5CB4">
            <w:pPr>
              <w:keepNext w:val="0"/>
              <w:keepLines w:val="0"/>
              <w:suppressLineNumbers w:val="0"/>
              <w:autoSpaceDE w:val="0"/>
              <w:autoSpaceDN w:val="0"/>
              <w:adjustRightInd w:val="0"/>
              <w:snapToGrid w:val="0"/>
              <w:spacing w:before="0" w:beforeAutospacing="0" w:after="0" w:afterLines="50" w:afterAutospacing="0" w:line="240" w:lineRule="auto"/>
              <w:ind w:left="0" w:right="0"/>
              <w:jc w:val="left"/>
              <w:rPr>
                <w:rFonts w:hint="eastAsia" w:ascii="宋体" w:hAnsi="宋体" w:eastAsia="宋体" w:cs="黑体"/>
                <w:color w:val="auto"/>
                <w:kern w:val="0"/>
                <w:sz w:val="32"/>
                <w:szCs w:val="32"/>
                <w:u w:val="none"/>
                <w:lang w:eastAsia="zh-CN"/>
              </w:rPr>
            </w:pPr>
            <w:r>
              <w:rPr>
                <w:rFonts w:hint="eastAsia" w:ascii="宋体" w:hAnsi="宋体" w:cs="黑体"/>
                <w:color w:val="auto"/>
                <w:kern w:val="0"/>
                <w:sz w:val="32"/>
                <w:szCs w:val="32"/>
                <w:u w:val="none"/>
                <w:lang w:eastAsia="zh-CN"/>
              </w:rPr>
              <w:t>CSFLZB-2025-010-CG</w:t>
            </w:r>
          </w:p>
        </w:tc>
      </w:tr>
    </w:tbl>
    <w:p w14:paraId="2DAB7A5F">
      <w:pPr>
        <w:autoSpaceDE w:val="0"/>
        <w:autoSpaceDN w:val="0"/>
        <w:adjustRightInd w:val="0"/>
        <w:snapToGrid w:val="0"/>
        <w:spacing w:after="0" w:afterLines="50" w:line="240" w:lineRule="auto"/>
        <w:jc w:val="center"/>
        <w:rPr>
          <w:rFonts w:ascii="宋体" w:hAnsi="宋体" w:eastAsia="宋体" w:cs="黑体"/>
          <w:color w:val="auto"/>
          <w:kern w:val="0"/>
          <w:sz w:val="32"/>
          <w:szCs w:val="32"/>
          <w:lang w:eastAsia="zh-CN"/>
        </w:rPr>
      </w:pPr>
    </w:p>
    <w:p w14:paraId="774E904D">
      <w:pPr>
        <w:autoSpaceDE w:val="0"/>
        <w:autoSpaceDN w:val="0"/>
        <w:adjustRightInd w:val="0"/>
        <w:snapToGrid w:val="0"/>
        <w:spacing w:afterLines="50"/>
        <w:jc w:val="center"/>
        <w:rPr>
          <w:rFonts w:hint="eastAsia" w:ascii="宋体" w:hAnsi="宋体" w:cs="黑体"/>
          <w:color w:val="auto"/>
          <w:kern w:val="0"/>
          <w:sz w:val="32"/>
          <w:szCs w:val="32"/>
        </w:rPr>
        <w:sectPr>
          <w:headerReference r:id="rId3" w:type="default"/>
          <w:headerReference r:id="rId4" w:type="even"/>
          <w:footerReference r:id="rId5" w:type="even"/>
          <w:pgSz w:w="11906" w:h="16838"/>
          <w:pgMar w:top="1440" w:right="1800" w:bottom="1440" w:left="1800" w:header="850" w:footer="992" w:gutter="0"/>
          <w:cols w:space="0" w:num="1"/>
          <w:rtlGutter w:val="0"/>
          <w:docGrid w:type="lines" w:linePitch="317" w:charSpace="0"/>
        </w:sectPr>
      </w:pPr>
      <w:r>
        <w:rPr>
          <w:rFonts w:hint="eastAsia" w:ascii="宋体" w:hAnsi="宋体" w:eastAsia="宋体" w:cs="黑体"/>
          <w:color w:val="auto"/>
          <w:kern w:val="0"/>
          <w:sz w:val="32"/>
          <w:szCs w:val="32"/>
          <w:lang w:val="en-US" w:eastAsia="zh-CN"/>
        </w:rPr>
        <w:t>202</w:t>
      </w:r>
      <w:r>
        <w:rPr>
          <w:rFonts w:hint="eastAsia" w:ascii="宋体" w:hAnsi="宋体" w:cs="黑体"/>
          <w:color w:val="auto"/>
          <w:kern w:val="0"/>
          <w:sz w:val="32"/>
          <w:szCs w:val="32"/>
          <w:lang w:val="en-US" w:eastAsia="zh-CN"/>
        </w:rPr>
        <w:t>5</w:t>
      </w:r>
      <w:r>
        <w:rPr>
          <w:rFonts w:hint="eastAsia" w:ascii="宋体" w:hAnsi="宋体" w:eastAsia="宋体" w:cs="黑体"/>
          <w:color w:val="auto"/>
          <w:kern w:val="0"/>
          <w:sz w:val="32"/>
          <w:szCs w:val="32"/>
          <w:lang w:eastAsia="zh-CN"/>
        </w:rPr>
        <w:t>年</w:t>
      </w:r>
      <w:r>
        <w:rPr>
          <w:rFonts w:hint="eastAsia" w:ascii="宋体" w:hAnsi="宋体" w:cs="黑体"/>
          <w:color w:val="auto"/>
          <w:kern w:val="0"/>
          <w:sz w:val="32"/>
          <w:szCs w:val="32"/>
          <w:lang w:val="en-US" w:eastAsia="zh-CN"/>
        </w:rPr>
        <w:t>01</w:t>
      </w:r>
      <w:r>
        <w:rPr>
          <w:rFonts w:hint="eastAsia" w:ascii="宋体" w:hAnsi="宋体" w:eastAsia="宋体" w:cs="黑体"/>
          <w:color w:val="auto"/>
          <w:kern w:val="0"/>
          <w:sz w:val="32"/>
          <w:szCs w:val="32"/>
          <w:lang w:eastAsia="zh-CN"/>
        </w:rPr>
        <w:t>月</w:t>
      </w:r>
      <w:r>
        <w:rPr>
          <w:rFonts w:hint="eastAsia" w:ascii="宋体" w:hAnsi="宋体" w:cs="黑体"/>
          <w:color w:val="auto"/>
          <w:kern w:val="0"/>
          <w:sz w:val="32"/>
          <w:szCs w:val="32"/>
          <w:lang w:val="en-US" w:eastAsia="zh-CN"/>
        </w:rPr>
        <w:t>22</w:t>
      </w:r>
      <w:r>
        <w:rPr>
          <w:rFonts w:hint="eastAsia" w:ascii="宋体" w:hAnsi="宋体" w:eastAsia="宋体" w:cs="黑体"/>
          <w:color w:val="auto"/>
          <w:kern w:val="0"/>
          <w:sz w:val="32"/>
          <w:szCs w:val="32"/>
          <w:lang w:eastAsia="zh-CN"/>
        </w:rPr>
        <w:t>日</w:t>
      </w:r>
    </w:p>
    <w:p w14:paraId="1C8820B7">
      <w:pPr>
        <w:widowControl w:val="0"/>
        <w:rPr>
          <w:rFonts w:ascii="宋体" w:hAnsi="Times New Roman" w:eastAsia="Times New Roman" w:cs="Times New Roman"/>
          <w:color w:val="auto"/>
          <w:sz w:val="24"/>
          <w:szCs w:val="20"/>
          <w:u w:color="000000"/>
          <w:lang w:val="en-US" w:eastAsia="zh-CN" w:bidi="en-US"/>
        </w:rPr>
      </w:pPr>
    </w:p>
    <w:p w14:paraId="30932137">
      <w:pPr>
        <w:rPr>
          <w:rFonts w:hint="eastAsia" w:ascii="宋体" w:hAnsi="宋体" w:eastAsia="宋体" w:cs="Times New Roman"/>
          <w:b/>
          <w:bCs/>
          <w:color w:val="auto"/>
          <w:kern w:val="2"/>
          <w:sz w:val="44"/>
          <w:szCs w:val="44"/>
          <w:lang w:val="zh-CN" w:eastAsia="zh-CN" w:bidi="ar-SA"/>
        </w:rPr>
      </w:pPr>
      <w:r>
        <w:rPr>
          <w:rFonts w:hint="eastAsia" w:ascii="宋体" w:hAnsi="宋体" w:eastAsia="宋体" w:cs="Times New Roman"/>
          <w:b/>
          <w:bCs/>
          <w:color w:val="auto"/>
          <w:kern w:val="2"/>
          <w:sz w:val="44"/>
          <w:szCs w:val="44"/>
          <w:lang w:val="zh-CN" w:eastAsia="zh-CN" w:bidi="ar-SA"/>
        </w:rPr>
        <w:br w:type="page"/>
      </w:r>
    </w:p>
    <w:p w14:paraId="3BAA5E20">
      <w:pPr>
        <w:jc w:val="center"/>
        <w:rPr>
          <w:rFonts w:hint="eastAsia" w:ascii="宋体" w:hAnsi="宋体" w:eastAsia="宋体" w:cs="Times New Roman"/>
          <w:b/>
          <w:bCs/>
          <w:color w:val="auto"/>
          <w:kern w:val="2"/>
          <w:sz w:val="44"/>
          <w:szCs w:val="44"/>
          <w:lang w:val="zh-CN" w:eastAsia="zh-CN" w:bidi="ar-SA"/>
        </w:rPr>
      </w:pPr>
    </w:p>
    <w:p w14:paraId="4996BF45">
      <w:pPr>
        <w:jc w:val="center"/>
        <w:rPr>
          <w:rFonts w:hint="eastAsia" w:ascii="宋体" w:hAnsi="宋体" w:eastAsia="宋体" w:cs="Times New Roman"/>
          <w:b/>
          <w:bCs/>
          <w:color w:val="auto"/>
          <w:kern w:val="2"/>
          <w:sz w:val="44"/>
          <w:szCs w:val="44"/>
          <w:lang w:eastAsia="zh-CN" w:bidi="ar-SA"/>
        </w:rPr>
      </w:pPr>
      <w:r>
        <w:rPr>
          <w:rFonts w:hint="eastAsia" w:ascii="宋体" w:hAnsi="宋体" w:cs="Times New Roman"/>
          <w:b/>
          <w:bCs/>
          <w:color w:val="auto"/>
          <w:kern w:val="2"/>
          <w:sz w:val="44"/>
          <w:szCs w:val="44"/>
          <w:lang w:val="zh-CN" w:eastAsia="zh-CN" w:bidi="ar-SA"/>
        </w:rPr>
        <w:t>昌吉市城市街景节点布置</w:t>
      </w:r>
    </w:p>
    <w:p w14:paraId="5A2C9658">
      <w:pPr>
        <w:spacing w:line="360" w:lineRule="auto"/>
        <w:ind w:left="991" w:leftChars="472" w:right="105" w:rightChars="50" w:firstLine="274" w:firstLineChars="98"/>
        <w:jc w:val="both"/>
        <w:rPr>
          <w:rFonts w:hint="eastAsia" w:ascii="宋体" w:hAnsi="宋体" w:eastAsia="宋体" w:cs="Times New Roman"/>
          <w:color w:val="auto"/>
          <w:kern w:val="2"/>
          <w:sz w:val="28"/>
          <w:szCs w:val="28"/>
          <w:lang w:eastAsia="zh-CN" w:bidi="ar-SA"/>
        </w:rPr>
      </w:pPr>
    </w:p>
    <w:p w14:paraId="672AA16B">
      <w:pPr>
        <w:pStyle w:val="50"/>
        <w:rPr>
          <w:rFonts w:hint="eastAsia"/>
          <w:lang w:eastAsia="zh-CN"/>
        </w:rPr>
      </w:pPr>
    </w:p>
    <w:p w14:paraId="10882D50">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2" w:firstLineChars="200"/>
        <w:jc w:val="both"/>
        <w:textAlignment w:val="auto"/>
        <w:rPr>
          <w:rFonts w:hint="eastAsia" w:ascii="宋体" w:hAnsi="宋体" w:eastAsia="宋体" w:cs="Times New Roman"/>
          <w:b/>
          <w:color w:val="auto"/>
          <w:kern w:val="2"/>
          <w:sz w:val="28"/>
          <w:szCs w:val="28"/>
          <w:lang w:eastAsia="zh-CN" w:bidi="ar-SA"/>
        </w:rPr>
      </w:pPr>
      <w:r>
        <w:rPr>
          <w:rFonts w:hint="eastAsia" w:ascii="宋体" w:hAnsi="宋体" w:eastAsia="宋体" w:cs="Times New Roman"/>
          <w:b/>
          <w:color w:val="auto"/>
          <w:kern w:val="2"/>
          <w:sz w:val="28"/>
          <w:szCs w:val="28"/>
          <w:lang w:eastAsia="zh-CN" w:bidi="ar-SA"/>
        </w:rPr>
        <w:t>招 标 人：</w:t>
      </w:r>
      <w:r>
        <w:rPr>
          <w:rFonts w:hint="eastAsia" w:ascii="宋体" w:hAnsi="宋体" w:cs="Times New Roman"/>
          <w:b/>
          <w:color w:val="auto"/>
          <w:kern w:val="2"/>
          <w:sz w:val="28"/>
          <w:szCs w:val="28"/>
          <w:lang w:eastAsia="zh-CN" w:bidi="ar-SA"/>
        </w:rPr>
        <w:t>昌吉市市政养护管理中心</w:t>
      </w:r>
      <w:r>
        <w:rPr>
          <w:rFonts w:hint="eastAsia" w:ascii="宋体" w:hAnsi="宋体" w:eastAsia="宋体" w:cs="Times New Roman"/>
          <w:b/>
          <w:color w:val="auto"/>
          <w:kern w:val="2"/>
          <w:sz w:val="28"/>
          <w:szCs w:val="28"/>
          <w:lang w:eastAsia="zh-CN" w:bidi="ar-SA"/>
        </w:rPr>
        <w:t xml:space="preserve"> </w:t>
      </w:r>
    </w:p>
    <w:p w14:paraId="08C2BEB2">
      <w:pPr>
        <w:keepNext w:val="0"/>
        <w:keepLines w:val="0"/>
        <w:pageBreakBefore w:val="0"/>
        <w:widowControl w:val="0"/>
        <w:shd w:val="clear"/>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 系 人：</w:t>
      </w:r>
      <w:r>
        <w:rPr>
          <w:rFonts w:hint="eastAsia" w:ascii="宋体" w:hAnsi="宋体" w:cs="Times New Roman"/>
          <w:color w:val="auto"/>
          <w:kern w:val="2"/>
          <w:sz w:val="28"/>
          <w:szCs w:val="28"/>
          <w:shd w:val="clear" w:color="auto"/>
          <w:lang w:eastAsia="zh-CN" w:bidi="ar-SA"/>
        </w:rPr>
        <w:t>苏先生</w:t>
      </w:r>
    </w:p>
    <w:p w14:paraId="4FE0DD52">
      <w:pPr>
        <w:keepNext w:val="0"/>
        <w:keepLines w:val="0"/>
        <w:pageBreakBefore w:val="0"/>
        <w:widowControl w:val="0"/>
        <w:shd w:val="clear"/>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联系电话：</w:t>
      </w:r>
      <w:r>
        <w:rPr>
          <w:rFonts w:hint="eastAsia" w:ascii="宋体" w:hAnsi="宋体" w:eastAsia="宋体" w:cs="Times New Roman"/>
          <w:color w:val="auto"/>
          <w:kern w:val="2"/>
          <w:sz w:val="28"/>
          <w:szCs w:val="28"/>
          <w:shd w:val="clear" w:color="auto"/>
          <w:lang w:val="en-US" w:eastAsia="zh-CN" w:bidi="ar-SA"/>
        </w:rPr>
        <w:t>0994-2287807</w:t>
      </w:r>
    </w:p>
    <w:p w14:paraId="633B4A7B">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default" w:ascii="宋体" w:hAnsi="宋体" w:eastAsia="宋体" w:cs="Times New Roman"/>
          <w:color w:val="auto"/>
          <w:kern w:val="2"/>
          <w:sz w:val="28"/>
          <w:szCs w:val="28"/>
          <w:lang w:val="en-US" w:eastAsia="zh-CN" w:bidi="ar-SA"/>
        </w:rPr>
      </w:pPr>
      <w:r>
        <w:rPr>
          <w:rFonts w:hint="eastAsia" w:ascii="宋体" w:hAnsi="宋体" w:eastAsia="宋体" w:cs="Times New Roman"/>
          <w:color w:val="auto"/>
          <w:kern w:val="2"/>
          <w:sz w:val="28"/>
          <w:szCs w:val="28"/>
          <w:lang w:eastAsia="zh-CN" w:bidi="ar-SA"/>
        </w:rPr>
        <w:t>联系地址：昌吉市健康西路19号</w:t>
      </w:r>
    </w:p>
    <w:p w14:paraId="22C606B2">
      <w:pPr>
        <w:keepNext w:val="0"/>
        <w:keepLines w:val="0"/>
        <w:pageBreakBefore w:val="0"/>
        <w:widowControl w:val="0"/>
        <w:kinsoku/>
        <w:wordWrap/>
        <w:overflowPunct/>
        <w:topLinePunct w:val="0"/>
        <w:autoSpaceDE/>
        <w:autoSpaceDN/>
        <w:bidi w:val="0"/>
        <w:adjustRightInd/>
        <w:snapToGrid/>
        <w:spacing w:line="360" w:lineRule="auto"/>
        <w:ind w:left="315" w:leftChars="150" w:right="29" w:rightChars="14" w:firstLine="560" w:firstLineChars="200"/>
        <w:jc w:val="both"/>
        <w:textAlignment w:val="auto"/>
        <w:rPr>
          <w:rFonts w:hint="eastAsia" w:ascii="宋体" w:hAnsi="宋体" w:eastAsia="宋体" w:cs="Times New Roman"/>
          <w:color w:val="auto"/>
          <w:kern w:val="2"/>
          <w:sz w:val="28"/>
          <w:szCs w:val="28"/>
          <w:lang w:eastAsia="zh-CN" w:bidi="ar-SA"/>
        </w:rPr>
      </w:pPr>
    </w:p>
    <w:p w14:paraId="42370C0A">
      <w:pPr>
        <w:keepNext w:val="0"/>
        <w:keepLines w:val="0"/>
        <w:pageBreakBefore w:val="0"/>
        <w:widowControl w:val="0"/>
        <w:kinsoku/>
        <w:wordWrap/>
        <w:overflowPunct/>
        <w:topLinePunct w:val="0"/>
        <w:autoSpaceDE/>
        <w:autoSpaceDN/>
        <w:bidi w:val="0"/>
        <w:adjustRightInd/>
        <w:snapToGrid/>
        <w:spacing w:line="360" w:lineRule="auto"/>
        <w:ind w:left="315" w:leftChars="150" w:right="29" w:rightChars="14" w:firstLine="560" w:firstLineChars="200"/>
        <w:jc w:val="both"/>
        <w:textAlignment w:val="auto"/>
        <w:rPr>
          <w:rFonts w:hint="eastAsia" w:ascii="宋体" w:hAnsi="宋体" w:eastAsia="宋体" w:cs="Times New Roman"/>
          <w:color w:val="auto"/>
          <w:kern w:val="2"/>
          <w:sz w:val="28"/>
          <w:szCs w:val="28"/>
          <w:lang w:eastAsia="zh-CN" w:bidi="ar-SA"/>
        </w:rPr>
      </w:pPr>
    </w:p>
    <w:p w14:paraId="04C94F4A">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2" w:firstLineChars="200"/>
        <w:jc w:val="both"/>
        <w:textAlignment w:val="auto"/>
        <w:rPr>
          <w:rFonts w:hint="eastAsia" w:ascii="宋体" w:hAnsi="宋体" w:eastAsia="宋体" w:cs="Times New Roman"/>
          <w:b/>
          <w:color w:val="auto"/>
          <w:kern w:val="2"/>
          <w:sz w:val="28"/>
          <w:szCs w:val="28"/>
          <w:lang w:eastAsia="zh-CN" w:bidi="ar-SA"/>
        </w:rPr>
      </w:pPr>
    </w:p>
    <w:p w14:paraId="26D57A5E">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2" w:firstLineChars="200"/>
        <w:jc w:val="both"/>
        <w:textAlignment w:val="auto"/>
        <w:rPr>
          <w:rFonts w:hint="eastAsia" w:ascii="宋体" w:hAnsi="宋体" w:eastAsia="宋体" w:cs="Times New Roman"/>
          <w:b/>
          <w:color w:val="auto"/>
          <w:kern w:val="2"/>
          <w:sz w:val="28"/>
          <w:szCs w:val="28"/>
          <w:lang w:eastAsia="zh-CN" w:bidi="ar-SA"/>
        </w:rPr>
      </w:pPr>
      <w:r>
        <w:rPr>
          <w:rFonts w:hint="eastAsia" w:ascii="宋体" w:hAnsi="宋体" w:eastAsia="宋体" w:cs="Times New Roman"/>
          <w:b/>
          <w:color w:val="auto"/>
          <w:kern w:val="2"/>
          <w:sz w:val="28"/>
          <w:szCs w:val="28"/>
          <w:lang w:eastAsia="zh-CN" w:bidi="ar-SA"/>
        </w:rPr>
        <w:t>招标代理单位：新疆昌盛方略项目管理有限公司</w:t>
      </w:r>
    </w:p>
    <w:p w14:paraId="4DF084FD">
      <w:pPr>
        <w:keepNext w:val="0"/>
        <w:keepLines w:val="0"/>
        <w:pageBreakBefore w:val="0"/>
        <w:widowControl w:val="0"/>
        <w:tabs>
          <w:tab w:val="left" w:pos="1800"/>
          <w:tab w:val="left" w:pos="1980"/>
        </w:tabs>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 系 人：</w:t>
      </w:r>
      <w:r>
        <w:rPr>
          <w:rFonts w:hint="eastAsia" w:ascii="宋体" w:hAnsi="宋体" w:eastAsia="宋体" w:cs="Times New Roman"/>
          <w:color w:val="auto"/>
          <w:kern w:val="2"/>
          <w:sz w:val="28"/>
          <w:szCs w:val="28"/>
          <w:lang w:val="en-US" w:eastAsia="zh-CN" w:bidi="ar-SA"/>
        </w:rPr>
        <w:t>胡女士、朱先生</w:t>
      </w:r>
    </w:p>
    <w:p w14:paraId="45A6516B">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宋体" w:hAnsi="宋体" w:eastAsia="宋体" w:cs="Times New Roman"/>
          <w:color w:val="auto"/>
          <w:kern w:val="2"/>
          <w:sz w:val="28"/>
          <w:szCs w:val="28"/>
          <w:lang w:eastAsia="zh-CN" w:bidi="ar-SA"/>
        </w:rPr>
      </w:pPr>
      <w:r>
        <w:rPr>
          <w:rFonts w:hint="eastAsia" w:ascii="宋体" w:hAnsi="宋体" w:eastAsia="宋体" w:cs="Times New Roman"/>
          <w:color w:val="auto"/>
          <w:kern w:val="2"/>
          <w:sz w:val="28"/>
          <w:szCs w:val="28"/>
          <w:lang w:eastAsia="zh-CN" w:bidi="ar-SA"/>
        </w:rPr>
        <w:t>联系电话：</w:t>
      </w:r>
      <w:r>
        <w:rPr>
          <w:rFonts w:hint="eastAsia" w:ascii="宋体" w:hAnsi="宋体" w:eastAsia="宋体" w:cs="Times New Roman"/>
          <w:color w:val="auto"/>
          <w:kern w:val="2"/>
          <w:sz w:val="28"/>
          <w:szCs w:val="28"/>
          <w:lang w:val="en-US" w:eastAsia="zh-CN" w:bidi="ar-SA"/>
        </w:rPr>
        <w:t>0994-8165002、</w:t>
      </w:r>
      <w:r>
        <w:rPr>
          <w:rFonts w:hint="eastAsia" w:ascii="宋体" w:hAnsi="宋体" w:cs="Times New Roman"/>
          <w:color w:val="auto"/>
          <w:kern w:val="2"/>
          <w:sz w:val="28"/>
          <w:szCs w:val="28"/>
          <w:lang w:val="en-US" w:eastAsia="zh-CN" w:bidi="ar-SA"/>
        </w:rPr>
        <w:t>18699555509</w:t>
      </w:r>
    </w:p>
    <w:p w14:paraId="33A14683">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560" w:firstLineChars="200"/>
        <w:jc w:val="both"/>
        <w:textAlignment w:val="auto"/>
        <w:rPr>
          <w:rFonts w:hint="eastAsia" w:ascii="Times New Roman" w:hAnsi="Times New Roman" w:eastAsia="宋体" w:cs="Times New Roman"/>
          <w:color w:val="auto"/>
          <w:kern w:val="2"/>
          <w:sz w:val="24"/>
          <w:lang w:eastAsia="zh-CN" w:bidi="ar-SA"/>
        </w:rPr>
      </w:pPr>
      <w:r>
        <w:rPr>
          <w:rFonts w:hint="eastAsia" w:ascii="宋体" w:hAnsi="宋体" w:eastAsia="宋体" w:cs="Times New Roman"/>
          <w:color w:val="auto"/>
          <w:kern w:val="2"/>
          <w:sz w:val="28"/>
          <w:szCs w:val="28"/>
          <w:lang w:eastAsia="zh-CN" w:bidi="ar-SA"/>
        </w:rPr>
        <w:t>联系地址：</w:t>
      </w:r>
      <w:r>
        <w:rPr>
          <w:rFonts w:hint="eastAsia" w:ascii="宋体" w:hAnsi="宋体" w:cs="Times New Roman"/>
          <w:color w:val="auto"/>
          <w:kern w:val="2"/>
          <w:sz w:val="28"/>
          <w:szCs w:val="28"/>
          <w:lang w:eastAsia="zh-CN" w:bidi="ar-SA"/>
        </w:rPr>
        <w:t>新疆昌吉回族自治州昌吉市南公园西路融投小镇1号楼A座14层（昌吉州国投大厦1幢14楼1419）</w:t>
      </w:r>
    </w:p>
    <w:p w14:paraId="71AA22A1">
      <w:pPr>
        <w:rPr>
          <w:rFonts w:ascii="宋体" w:hAnsi="宋体" w:cs="黑体"/>
          <w:color w:val="auto"/>
          <w:kern w:val="0"/>
          <w:sz w:val="32"/>
          <w:szCs w:val="32"/>
        </w:rPr>
      </w:pPr>
      <w:r>
        <w:rPr>
          <w:rFonts w:ascii="宋体" w:hAnsi="宋体" w:cs="黑体"/>
          <w:color w:val="auto"/>
          <w:kern w:val="0"/>
          <w:sz w:val="32"/>
          <w:szCs w:val="32"/>
        </w:rPr>
        <w:br w:type="page"/>
      </w:r>
    </w:p>
    <w:p w14:paraId="1588EC26">
      <w:r>
        <w:br w:type="page"/>
      </w:r>
    </w:p>
    <w:p w14:paraId="1CAC6127">
      <w:pPr>
        <w:pStyle w:val="50"/>
        <w:sectPr>
          <w:headerReference r:id="rId6" w:type="default"/>
          <w:footerReference r:id="rId7" w:type="default"/>
          <w:pgSz w:w="11906" w:h="16838"/>
          <w:pgMar w:top="1440" w:right="1080" w:bottom="1440" w:left="1080" w:header="851" w:footer="992" w:gutter="0"/>
          <w:pgNumType w:fmt="decimal"/>
          <w:cols w:space="720" w:num="1"/>
          <w:docGrid w:type="lines" w:linePitch="312" w:charSpace="0"/>
        </w:sectPr>
      </w:pPr>
    </w:p>
    <w:p w14:paraId="76D51C6E">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目</w:t>
      </w:r>
      <w:r>
        <w:rPr>
          <w:rFonts w:hint="eastAsia" w:ascii="方正小标宋简体" w:hAnsi="方正小标宋简体" w:eastAsia="方正小标宋简体" w:cs="方正小标宋简体"/>
          <w:color w:val="auto"/>
          <w:sz w:val="36"/>
          <w:szCs w:val="36"/>
          <w:lang w:val="en-US" w:eastAsia="zh-CN"/>
        </w:rPr>
        <w:t xml:space="preserve"> </w:t>
      </w:r>
      <w:r>
        <w:rPr>
          <w:rFonts w:hint="eastAsia" w:ascii="方正小标宋简体" w:hAnsi="方正小标宋简体" w:eastAsia="方正小标宋简体" w:cs="方正小标宋简体"/>
          <w:color w:val="auto"/>
          <w:sz w:val="36"/>
          <w:szCs w:val="36"/>
        </w:rPr>
        <w:t>录</w:t>
      </w:r>
    </w:p>
    <w:p w14:paraId="4954D953">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_Toc10631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 xml:space="preserve">第一章 </w:t>
      </w:r>
      <w:r>
        <w:rPr>
          <w:rFonts w:hint="eastAsia" w:ascii="宋体" w:hAnsi="宋体" w:eastAsia="宋体" w:cs="宋体"/>
          <w:kern w:val="0"/>
          <w:sz w:val="24"/>
          <w:szCs w:val="24"/>
          <w:lang w:val="en-US" w:eastAsia="zh-CN"/>
        </w:rPr>
        <w:t>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_Toc10631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1F1D996">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_Toc26992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_Toc26992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DC2FBBF">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_Toc31862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二、申请人的资格要求</w:t>
      </w:r>
      <w:r>
        <w:rPr>
          <w:rFonts w:hint="eastAsia" w:ascii="宋体" w:hAnsi="宋体" w:eastAsia="宋体" w:cs="宋体"/>
          <w:i w:val="0"/>
          <w:caps w:val="0"/>
          <w:spacing w:val="8"/>
          <w:sz w:val="24"/>
          <w:szCs w:val="24"/>
          <w:shd w:val="clear" w:fill="FFFFFF"/>
          <w:lang w:eastAsia="zh-CN"/>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_Toc31862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5808A0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_Toc17935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三、获取招标文件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_Toc17935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38C9E73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_Toc12406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四、提交投标文件截止时间、开标时间和地点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_Toc12406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1E5277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_Toc28188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五、公告期限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_Toc28188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8D68632">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_Toc1866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六、其他补充事宜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F7A5BE3">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_Toc11086 </w:instrText>
      </w:r>
      <w:r>
        <w:rPr>
          <w:rFonts w:hint="eastAsia" w:ascii="宋体" w:hAnsi="宋体" w:eastAsia="宋体" w:cs="宋体"/>
          <w:sz w:val="24"/>
          <w:szCs w:val="24"/>
        </w:rPr>
        <w:fldChar w:fldCharType="separate"/>
      </w:r>
      <w:r>
        <w:rPr>
          <w:rFonts w:hint="eastAsia" w:ascii="宋体" w:hAnsi="宋体" w:eastAsia="宋体" w:cs="宋体"/>
          <w:i w:val="0"/>
          <w:caps w:val="0"/>
          <w:spacing w:val="8"/>
          <w:sz w:val="24"/>
          <w:szCs w:val="24"/>
          <w:shd w:val="clear" w:fill="FFFFFF"/>
        </w:rPr>
        <w:t>七、对本次招标提出询问，请按以下方式联系。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_Toc11086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052514D">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_Toc32458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第二章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_Toc32458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0E3148E7">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_Toc23346 </w:instrText>
      </w:r>
      <w:r>
        <w:rPr>
          <w:rFonts w:hint="eastAsia" w:ascii="宋体" w:hAnsi="宋体" w:eastAsia="宋体" w:cs="宋体"/>
          <w:sz w:val="24"/>
          <w:szCs w:val="24"/>
        </w:rPr>
        <w:fldChar w:fldCharType="separate"/>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一</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_Toc23346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F897781">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_Toc16660 </w:instrText>
      </w:r>
      <w:r>
        <w:rPr>
          <w:rFonts w:hint="eastAsia" w:ascii="宋体" w:hAnsi="宋体" w:eastAsia="宋体" w:cs="宋体"/>
          <w:sz w:val="24"/>
          <w:szCs w:val="24"/>
        </w:rPr>
        <w:fldChar w:fldCharType="separate"/>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二</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_Toc16660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B88D897">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_Toc24333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第三章 资格审查、评标办法和标准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_Toc24333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5D1CA92">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_Toc4984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1 资格审查及标准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_Toc4984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675EFDF">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_Toc5026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2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_Toc5026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B3FB85A">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_Toc8598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3 评审标准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_Toc8598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3CDCCDEC">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_Toc22611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4 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_Toc22611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37C51ED">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_Toc11902 </w:instrText>
      </w:r>
      <w:r>
        <w:rPr>
          <w:rFonts w:hint="eastAsia" w:ascii="宋体" w:hAnsi="宋体" w:eastAsia="宋体" w:cs="宋体"/>
          <w:sz w:val="24"/>
          <w:szCs w:val="24"/>
        </w:rPr>
        <w:fldChar w:fldCharType="separate"/>
      </w:r>
      <w:r>
        <w:rPr>
          <w:rFonts w:hint="eastAsia" w:ascii="宋体" w:hAnsi="宋体" w:eastAsia="宋体" w:cs="宋体"/>
          <w:sz w:val="24"/>
          <w:szCs w:val="24"/>
        </w:rPr>
        <w:t>附表一 资格审查表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_Toc11902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0A7A0983">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_Toc10305 </w:instrText>
      </w:r>
      <w:r>
        <w:rPr>
          <w:rFonts w:hint="eastAsia" w:ascii="宋体" w:hAnsi="宋体" w:eastAsia="宋体" w:cs="宋体"/>
          <w:sz w:val="24"/>
          <w:szCs w:val="24"/>
        </w:rPr>
        <w:fldChar w:fldCharType="separate"/>
      </w:r>
      <w:r>
        <w:rPr>
          <w:rFonts w:hint="eastAsia" w:ascii="宋体" w:hAnsi="宋体" w:eastAsia="宋体" w:cs="宋体"/>
          <w:sz w:val="24"/>
          <w:szCs w:val="24"/>
        </w:rPr>
        <w:t>附表二 符合性审查表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_Toc10305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42443128">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_Toc17374 </w:instrText>
      </w:r>
      <w:r>
        <w:rPr>
          <w:rFonts w:hint="eastAsia" w:ascii="宋体" w:hAnsi="宋体" w:eastAsia="宋体" w:cs="宋体"/>
          <w:sz w:val="24"/>
          <w:szCs w:val="24"/>
        </w:rPr>
        <w:fldChar w:fldCharType="separate"/>
      </w:r>
      <w:r>
        <w:rPr>
          <w:rFonts w:hint="eastAsia" w:ascii="宋体" w:hAnsi="宋体" w:eastAsia="宋体" w:cs="宋体"/>
          <w:sz w:val="24"/>
          <w:szCs w:val="24"/>
        </w:rPr>
        <w:t>附表三 商务</w:t>
      </w:r>
      <w:r>
        <w:rPr>
          <w:rFonts w:hint="eastAsia" w:ascii="宋体" w:hAnsi="宋体" w:eastAsia="宋体" w:cs="宋体"/>
          <w:sz w:val="24"/>
          <w:szCs w:val="24"/>
          <w:lang w:val="en-US" w:eastAsia="zh-CN"/>
        </w:rPr>
        <w:t>技术</w:t>
      </w:r>
      <w:r>
        <w:rPr>
          <w:rFonts w:hint="eastAsia" w:ascii="宋体" w:hAnsi="宋体" w:eastAsia="宋体" w:cs="宋体"/>
          <w:sz w:val="24"/>
          <w:szCs w:val="24"/>
        </w:rPr>
        <w:t>评审因素及分值分配表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_Toc17374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3BEA54F">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_Toc7496 </w:instrText>
      </w:r>
      <w:r>
        <w:rPr>
          <w:rFonts w:hint="eastAsia" w:ascii="宋体" w:hAnsi="宋体" w:eastAsia="宋体" w:cs="宋体"/>
          <w:sz w:val="24"/>
          <w:szCs w:val="24"/>
        </w:rPr>
        <w:fldChar w:fldCharType="separate"/>
      </w:r>
      <w:r>
        <w:rPr>
          <w:rFonts w:hint="eastAsia" w:ascii="宋体" w:hAnsi="宋体" w:eastAsia="宋体" w:cs="宋体"/>
          <w:sz w:val="24"/>
          <w:szCs w:val="24"/>
        </w:rPr>
        <w:t>第四章</w:t>
      </w:r>
      <w:r>
        <w:rPr>
          <w:rFonts w:hint="eastAsia" w:ascii="宋体" w:hAnsi="宋体" w:eastAsia="宋体" w:cs="宋体"/>
          <w:kern w:val="0"/>
          <w:sz w:val="24"/>
          <w:szCs w:val="24"/>
        </w:rPr>
        <w:t xml:space="preserve"> </w:t>
      </w:r>
      <w:r>
        <w:rPr>
          <w:rFonts w:hint="eastAsia" w:ascii="宋体" w:hAnsi="宋体" w:eastAsia="宋体" w:cs="宋体"/>
          <w:sz w:val="24"/>
          <w:szCs w:val="24"/>
        </w:rPr>
        <w:t>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_Toc7496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91AAC44">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_Toc30584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第一部分 合同协议书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_Toc30584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86AE9A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_Toc13329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第二部分 通用合同条款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_Toc13329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DDC2322">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_Toc24953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第三部分 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_Toc24953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8798BB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_Toc8599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承包人承揽工程项目一览表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_Toc8599 \h </w:instrText>
      </w:r>
      <w:r>
        <w:rPr>
          <w:rFonts w:hint="eastAsia" w:ascii="宋体" w:hAnsi="宋体" w:eastAsia="宋体" w:cs="宋体"/>
          <w:sz w:val="24"/>
          <w:szCs w:val="24"/>
        </w:rPr>
        <w:fldChar w:fldCharType="separate"/>
      </w:r>
      <w:r>
        <w:rPr>
          <w:rFonts w:hint="eastAsia" w:ascii="宋体" w:hAnsi="宋体" w:eastAsia="宋体" w:cs="宋体"/>
          <w:sz w:val="24"/>
          <w:szCs w:val="24"/>
        </w:rPr>
        <w:t>165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2A25D8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_Toc29294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发包人供应材料设备一览表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_Toc29294 \h </w:instrText>
      </w:r>
      <w:r>
        <w:rPr>
          <w:rFonts w:hint="eastAsia" w:ascii="宋体" w:hAnsi="宋体" w:eastAsia="宋体" w:cs="宋体"/>
          <w:sz w:val="24"/>
          <w:szCs w:val="24"/>
        </w:rPr>
        <w:fldChar w:fldCharType="separate"/>
      </w:r>
      <w:r>
        <w:rPr>
          <w:rFonts w:hint="eastAsia" w:ascii="宋体" w:hAnsi="宋体" w:eastAsia="宋体" w:cs="宋体"/>
          <w:sz w:val="24"/>
          <w:szCs w:val="24"/>
        </w:rPr>
        <w:t>166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1AB04B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_Toc19907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工程质量保修书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_Toc19907 \h </w:instrText>
      </w:r>
      <w:r>
        <w:rPr>
          <w:rFonts w:hint="eastAsia" w:ascii="宋体" w:hAnsi="宋体" w:eastAsia="宋体" w:cs="宋体"/>
          <w:sz w:val="24"/>
          <w:szCs w:val="24"/>
        </w:rPr>
        <w:fldChar w:fldCharType="separate"/>
      </w:r>
      <w:r>
        <w:rPr>
          <w:rFonts w:hint="eastAsia" w:ascii="宋体" w:hAnsi="宋体" w:eastAsia="宋体" w:cs="宋体"/>
          <w:sz w:val="24"/>
          <w:szCs w:val="24"/>
        </w:rPr>
        <w:t>167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3691091">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_Toc3556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主要建设工程文件目录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_Toc3556 \h </w:instrText>
      </w:r>
      <w:r>
        <w:rPr>
          <w:rFonts w:hint="eastAsia" w:ascii="宋体" w:hAnsi="宋体" w:eastAsia="宋体" w:cs="宋体"/>
          <w:sz w:val="24"/>
          <w:szCs w:val="24"/>
        </w:rPr>
        <w:fldChar w:fldCharType="separate"/>
      </w:r>
      <w:r>
        <w:rPr>
          <w:rFonts w:hint="eastAsia" w:ascii="宋体" w:hAnsi="宋体" w:eastAsia="宋体" w:cs="宋体"/>
          <w:sz w:val="24"/>
          <w:szCs w:val="24"/>
        </w:rPr>
        <w:t>169</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A81858D">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_Toc25622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承包人用于本工程施工的机械设备表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_Toc25622 \h </w:instrText>
      </w:r>
      <w:r>
        <w:rPr>
          <w:rFonts w:hint="eastAsia" w:ascii="宋体" w:hAnsi="宋体" w:eastAsia="宋体" w:cs="宋体"/>
          <w:sz w:val="24"/>
          <w:szCs w:val="24"/>
        </w:rPr>
        <w:fldChar w:fldCharType="separate"/>
      </w:r>
      <w:r>
        <w:rPr>
          <w:rFonts w:hint="eastAsia" w:ascii="宋体" w:hAnsi="宋体" w:eastAsia="宋体" w:cs="宋体"/>
          <w:sz w:val="24"/>
          <w:szCs w:val="24"/>
        </w:rPr>
        <w:t>170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F8FAC4C">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_Toc14065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承包人主要施工管理人员表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_Toc14065 \h </w:instrText>
      </w:r>
      <w:r>
        <w:rPr>
          <w:rFonts w:hint="eastAsia" w:ascii="宋体" w:hAnsi="宋体" w:eastAsia="宋体" w:cs="宋体"/>
          <w:sz w:val="24"/>
          <w:szCs w:val="24"/>
        </w:rPr>
        <w:fldChar w:fldCharType="separate"/>
      </w:r>
      <w:r>
        <w:rPr>
          <w:rFonts w:hint="eastAsia" w:ascii="宋体" w:hAnsi="宋体" w:eastAsia="宋体" w:cs="宋体"/>
          <w:sz w:val="24"/>
          <w:szCs w:val="24"/>
        </w:rPr>
        <w:t>170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48E38DD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_Toc12922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分包人主要施工管理人员表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_Toc12922 \h </w:instrText>
      </w:r>
      <w:r>
        <w:rPr>
          <w:rFonts w:hint="eastAsia" w:ascii="宋体" w:hAnsi="宋体" w:eastAsia="宋体" w:cs="宋体"/>
          <w:sz w:val="24"/>
          <w:szCs w:val="24"/>
        </w:rPr>
        <w:fldChar w:fldCharType="separate"/>
      </w:r>
      <w:r>
        <w:rPr>
          <w:rFonts w:hint="eastAsia" w:ascii="宋体" w:hAnsi="宋体" w:eastAsia="宋体" w:cs="宋体"/>
          <w:sz w:val="24"/>
          <w:szCs w:val="24"/>
        </w:rPr>
        <w:t>172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8D72EF2">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_Toc17987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履约担保</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_Toc17987 \h </w:instrText>
      </w:r>
      <w:r>
        <w:rPr>
          <w:rFonts w:hint="eastAsia" w:ascii="宋体" w:hAnsi="宋体" w:eastAsia="宋体" w:cs="宋体"/>
          <w:sz w:val="24"/>
          <w:szCs w:val="24"/>
        </w:rPr>
        <w:fldChar w:fldCharType="separate"/>
      </w:r>
      <w:r>
        <w:rPr>
          <w:rFonts w:hint="eastAsia" w:ascii="宋体" w:hAnsi="宋体" w:eastAsia="宋体" w:cs="宋体"/>
          <w:sz w:val="24"/>
          <w:szCs w:val="24"/>
        </w:rPr>
        <w:t>173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C3081F4">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_Toc4009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预付款担保</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_Toc4009 \h </w:instrText>
      </w:r>
      <w:r>
        <w:rPr>
          <w:rFonts w:hint="eastAsia" w:ascii="宋体" w:hAnsi="宋体" w:eastAsia="宋体" w:cs="宋体"/>
          <w:sz w:val="24"/>
          <w:szCs w:val="24"/>
        </w:rPr>
        <w:fldChar w:fldCharType="separate"/>
      </w:r>
      <w:r>
        <w:rPr>
          <w:rFonts w:hint="eastAsia" w:ascii="宋体" w:hAnsi="宋体" w:eastAsia="宋体" w:cs="宋体"/>
          <w:sz w:val="24"/>
          <w:szCs w:val="24"/>
        </w:rPr>
        <w:t>175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F4E9FDA">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_Toc7526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支付担保</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_Toc7526 \h </w:instrText>
      </w:r>
      <w:r>
        <w:rPr>
          <w:rFonts w:hint="eastAsia" w:ascii="宋体" w:hAnsi="宋体" w:eastAsia="宋体" w:cs="宋体"/>
          <w:sz w:val="24"/>
          <w:szCs w:val="24"/>
        </w:rPr>
        <w:fldChar w:fldCharType="separate"/>
      </w:r>
      <w:r>
        <w:rPr>
          <w:rFonts w:hint="eastAsia" w:ascii="宋体" w:hAnsi="宋体" w:eastAsia="宋体" w:cs="宋体"/>
          <w:sz w:val="24"/>
          <w:szCs w:val="24"/>
        </w:rPr>
        <w:t>177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236003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_Toc3538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lang w:val="en-US" w:eastAsia="zh-CN" w:bidi="en-US"/>
        </w:rPr>
        <w:t>暂估价一览表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_Toc3538 \h </w:instrText>
      </w:r>
      <w:r>
        <w:rPr>
          <w:rFonts w:hint="eastAsia" w:ascii="宋体" w:hAnsi="宋体" w:eastAsia="宋体" w:cs="宋体"/>
          <w:sz w:val="24"/>
          <w:szCs w:val="24"/>
        </w:rPr>
        <w:fldChar w:fldCharType="separate"/>
      </w:r>
      <w:r>
        <w:rPr>
          <w:rFonts w:hint="eastAsia" w:ascii="宋体" w:hAnsi="宋体" w:eastAsia="宋体" w:cs="宋体"/>
          <w:sz w:val="24"/>
          <w:szCs w:val="24"/>
        </w:rPr>
        <w:t>180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DAC3881">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_Toc10581 </w:instrText>
      </w:r>
      <w:r>
        <w:rPr>
          <w:rFonts w:hint="eastAsia" w:ascii="宋体" w:hAnsi="宋体" w:eastAsia="宋体" w:cs="宋体"/>
          <w:sz w:val="24"/>
          <w:szCs w:val="24"/>
        </w:rPr>
        <w:fldChar w:fldCharType="separate"/>
      </w:r>
      <w:r>
        <w:rPr>
          <w:rFonts w:hint="eastAsia" w:ascii="宋体" w:hAnsi="宋体" w:eastAsia="宋体" w:cs="宋体"/>
          <w:sz w:val="24"/>
          <w:szCs w:val="24"/>
          <w:highlight w:val="none"/>
        </w:rPr>
        <w:t>第五章</w:t>
      </w:r>
      <w:r>
        <w:rPr>
          <w:rFonts w:hint="eastAsia" w:ascii="宋体" w:hAnsi="宋体" w:eastAsia="宋体" w:cs="宋体"/>
          <w:kern w:val="0"/>
          <w:sz w:val="24"/>
          <w:szCs w:val="24"/>
          <w:highlight w:val="none"/>
        </w:rPr>
        <w:t xml:space="preserve"> </w:t>
      </w:r>
      <w:r>
        <w:rPr>
          <w:rFonts w:hint="eastAsia" w:ascii="宋体" w:hAnsi="宋体" w:eastAsia="宋体" w:cs="宋体"/>
          <w:sz w:val="24"/>
          <w:szCs w:val="24"/>
          <w:highlight w:val="none"/>
        </w:rPr>
        <w:t>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_Toc10581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7A5A5BF">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_Toc9060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一</w:t>
      </w:r>
      <w:r>
        <w:rPr>
          <w:rFonts w:hint="eastAsia" w:ascii="宋体" w:hAnsi="宋体" w:eastAsia="宋体" w:cs="宋体"/>
          <w:bCs/>
          <w:kern w:val="0"/>
          <w:sz w:val="24"/>
          <w:szCs w:val="24"/>
          <w:highlight w:val="none"/>
          <w:lang w:eastAsia="zh-CN"/>
        </w:rPr>
        <w:t>)</w:t>
      </w:r>
      <w:r>
        <w:rPr>
          <w:rFonts w:hint="eastAsia" w:ascii="宋体" w:hAnsi="宋体" w:eastAsia="宋体" w:cs="宋体"/>
          <w:bCs/>
          <w:kern w:val="0"/>
          <w:sz w:val="24"/>
          <w:szCs w:val="24"/>
          <w:highlight w:val="none"/>
        </w:rPr>
        <w:t>采购</w:t>
      </w:r>
      <w:r>
        <w:rPr>
          <w:rFonts w:hint="eastAsia" w:ascii="宋体" w:hAnsi="宋体" w:eastAsia="宋体" w:cs="宋体"/>
          <w:bCs/>
          <w:kern w:val="0"/>
          <w:sz w:val="24"/>
          <w:szCs w:val="24"/>
          <w:highlight w:val="none"/>
          <w:lang w:val="en-US" w:eastAsia="zh-CN"/>
        </w:rPr>
        <w:t>服务</w:t>
      </w:r>
      <w:r>
        <w:rPr>
          <w:rFonts w:hint="eastAsia" w:ascii="宋体" w:hAnsi="宋体" w:eastAsia="宋体" w:cs="宋体"/>
          <w:bCs/>
          <w:kern w:val="0"/>
          <w:sz w:val="24"/>
          <w:szCs w:val="24"/>
          <w:highlight w:val="none"/>
        </w:rPr>
        <w:t>需实现的功能或者目标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_Toc9060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E8CE788">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_Toc22177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val="en-US" w:eastAsia="zh-CN" w:bidi="ar-SA"/>
        </w:rPr>
        <w:t>(二)</w:t>
      </w:r>
      <w:r>
        <w:rPr>
          <w:rFonts w:hint="eastAsia" w:ascii="宋体" w:hAnsi="宋体" w:eastAsia="宋体" w:cs="宋体"/>
          <w:bCs/>
          <w:kern w:val="0"/>
          <w:sz w:val="24"/>
          <w:szCs w:val="24"/>
          <w:highlight w:val="none"/>
          <w:lang w:eastAsia="zh-CN"/>
        </w:rPr>
        <w:t>采购</w:t>
      </w:r>
      <w:r>
        <w:rPr>
          <w:rFonts w:hint="eastAsia" w:ascii="宋体" w:hAnsi="宋体" w:eastAsia="宋体" w:cs="宋体"/>
          <w:bCs/>
          <w:kern w:val="0"/>
          <w:sz w:val="24"/>
          <w:szCs w:val="24"/>
          <w:highlight w:val="none"/>
          <w:lang w:val="en-US" w:eastAsia="zh-CN"/>
        </w:rPr>
        <w:t>服务</w:t>
      </w:r>
      <w:r>
        <w:rPr>
          <w:rFonts w:hint="eastAsia" w:ascii="宋体" w:hAnsi="宋体" w:eastAsia="宋体" w:cs="宋体"/>
          <w:bCs/>
          <w:kern w:val="0"/>
          <w:sz w:val="24"/>
          <w:szCs w:val="24"/>
          <w:highlight w:val="none"/>
          <w:lang w:eastAsia="zh-CN"/>
        </w:rPr>
        <w:t>需执行的国家相关标准、行业标准、地方标准或者其他标准、规范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_Toc22177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75DB367">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_Toc801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val="en-US" w:eastAsia="zh-CN" w:bidi="ar-SA"/>
        </w:rPr>
        <w:t>(三)采购服务需满足的要求及验收标准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_Toc801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4307B33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_Toc27560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val="en-US" w:eastAsia="zh-CN" w:bidi="ar-SA"/>
        </w:rPr>
        <w:t>(四)采购范围</w:t>
      </w:r>
      <w:r>
        <w:rPr>
          <w:rFonts w:hint="eastAsia" w:ascii="宋体" w:hAnsi="宋体" w:eastAsia="宋体" w:cs="宋体"/>
          <w:sz w:val="24"/>
          <w:szCs w:val="24"/>
          <w:highlight w:val="none"/>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_Toc27560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0CF0F19">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_Toc26095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val="en-US" w:eastAsia="zh-CN" w:bidi="ar-SA"/>
        </w:rPr>
        <w:t>(五)人员要求</w:t>
      </w:r>
      <w:r>
        <w:rPr>
          <w:rFonts w:hint="eastAsia" w:ascii="宋体" w:hAnsi="宋体" w:eastAsia="宋体" w:cs="宋体"/>
          <w:sz w:val="24"/>
          <w:szCs w:val="24"/>
          <w:highlight w:val="none"/>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_Toc26095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0986047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_Toc8630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highlight w:val="none"/>
          <w:lang w:val="en-US" w:eastAsia="zh-CN" w:bidi="ar-SA"/>
        </w:rPr>
        <w:t>(六)其他特别说明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_Toc8630 \h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1789827">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_Toc23549 </w:instrText>
      </w:r>
      <w:r>
        <w:rPr>
          <w:rFonts w:hint="eastAsia" w:ascii="宋体" w:hAnsi="宋体" w:eastAsia="宋体" w:cs="宋体"/>
          <w:sz w:val="24"/>
          <w:szCs w:val="24"/>
        </w:rPr>
        <w:fldChar w:fldCharType="separate"/>
      </w:r>
      <w:r>
        <w:rPr>
          <w:rFonts w:hint="eastAsia" w:ascii="宋体" w:hAnsi="宋体" w:eastAsia="宋体" w:cs="宋体"/>
          <w:sz w:val="24"/>
          <w:szCs w:val="24"/>
        </w:rPr>
        <w:t>第六章</w:t>
      </w:r>
      <w:r>
        <w:rPr>
          <w:rFonts w:hint="eastAsia" w:ascii="宋体" w:hAnsi="宋体" w:eastAsia="宋体" w:cs="宋体"/>
          <w:kern w:val="0"/>
          <w:sz w:val="24"/>
          <w:szCs w:val="24"/>
        </w:rPr>
        <w:t xml:space="preserve"> </w:t>
      </w:r>
      <w:r>
        <w:rPr>
          <w:rFonts w:hint="eastAsia" w:ascii="宋体" w:hAnsi="宋体" w:eastAsia="宋体" w:cs="宋体"/>
          <w:sz w:val="24"/>
          <w:szCs w:val="24"/>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_Toc23549 \h </w:instrText>
      </w:r>
      <w:r>
        <w:rPr>
          <w:rFonts w:hint="eastAsia" w:ascii="宋体" w:hAnsi="宋体" w:eastAsia="宋体" w:cs="宋体"/>
          <w:sz w:val="24"/>
          <w:szCs w:val="24"/>
        </w:rPr>
        <w:fldChar w:fldCharType="separate"/>
      </w:r>
      <w:r>
        <w:rPr>
          <w:rFonts w:hint="eastAsia" w:ascii="宋体" w:hAnsi="宋体" w:eastAsia="宋体" w:cs="宋体"/>
          <w:sz w:val="24"/>
          <w:szCs w:val="24"/>
        </w:rPr>
        <w:t>185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99AD4E7">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_Toc23561 </w:instrText>
      </w:r>
      <w:r>
        <w:rPr>
          <w:rFonts w:hint="eastAsia" w:ascii="宋体" w:hAnsi="宋体" w:eastAsia="宋体" w:cs="宋体"/>
          <w:sz w:val="24"/>
          <w:szCs w:val="24"/>
        </w:rPr>
        <w:fldChar w:fldCharType="separate"/>
      </w:r>
      <w:r>
        <w:rPr>
          <w:rFonts w:hint="eastAsia" w:ascii="宋体" w:hAnsi="宋体" w:eastAsia="宋体" w:cs="宋体"/>
          <w:sz w:val="24"/>
          <w:szCs w:val="24"/>
        </w:rPr>
        <w:t>评标索引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_Toc23561 \h </w:instrText>
      </w:r>
      <w:r>
        <w:rPr>
          <w:rFonts w:hint="eastAsia" w:ascii="宋体" w:hAnsi="宋体" w:eastAsia="宋体" w:cs="宋体"/>
          <w:sz w:val="24"/>
          <w:szCs w:val="24"/>
        </w:rPr>
        <w:fldChar w:fldCharType="separate"/>
      </w:r>
      <w:r>
        <w:rPr>
          <w:rFonts w:hint="eastAsia" w:ascii="宋体" w:hAnsi="宋体" w:eastAsia="宋体" w:cs="宋体"/>
          <w:sz w:val="24"/>
          <w:szCs w:val="24"/>
        </w:rPr>
        <w:t>186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A437CA2">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_Toc10287 </w:instrText>
      </w:r>
      <w:r>
        <w:rPr>
          <w:rFonts w:hint="eastAsia" w:ascii="宋体" w:hAnsi="宋体" w:eastAsia="宋体" w:cs="宋体"/>
          <w:sz w:val="24"/>
          <w:szCs w:val="24"/>
        </w:rPr>
        <w:fldChar w:fldCharType="separate"/>
      </w:r>
      <w:r>
        <w:rPr>
          <w:rFonts w:hint="eastAsia" w:ascii="宋体" w:hAnsi="宋体" w:eastAsia="宋体" w:cs="宋体"/>
          <w:sz w:val="24"/>
          <w:szCs w:val="24"/>
        </w:rPr>
        <w:t>附件1 投标书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_Toc10287 \h </w:instrText>
      </w:r>
      <w:r>
        <w:rPr>
          <w:rFonts w:hint="eastAsia" w:ascii="宋体" w:hAnsi="宋体" w:eastAsia="宋体" w:cs="宋体"/>
          <w:sz w:val="24"/>
          <w:szCs w:val="24"/>
        </w:rPr>
        <w:fldChar w:fldCharType="separate"/>
      </w:r>
      <w:r>
        <w:rPr>
          <w:rFonts w:hint="eastAsia" w:ascii="宋体" w:hAnsi="宋体" w:eastAsia="宋体" w:cs="宋体"/>
          <w:sz w:val="24"/>
          <w:szCs w:val="24"/>
        </w:rPr>
        <w:t>187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D8B16EE">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_Toc5131 </w:instrText>
      </w:r>
      <w:r>
        <w:rPr>
          <w:rFonts w:hint="eastAsia" w:ascii="宋体" w:hAnsi="宋体" w:eastAsia="宋体" w:cs="宋体"/>
          <w:sz w:val="24"/>
          <w:szCs w:val="24"/>
        </w:rPr>
        <w:fldChar w:fldCharType="separate"/>
      </w:r>
      <w:r>
        <w:rPr>
          <w:rFonts w:hint="eastAsia" w:ascii="宋体" w:hAnsi="宋体" w:eastAsia="宋体" w:cs="宋体"/>
          <w:sz w:val="24"/>
          <w:szCs w:val="24"/>
        </w:rPr>
        <w:t>附件2 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_Toc5131 \h </w:instrText>
      </w:r>
      <w:r>
        <w:rPr>
          <w:rFonts w:hint="eastAsia" w:ascii="宋体" w:hAnsi="宋体" w:eastAsia="宋体" w:cs="宋体"/>
          <w:sz w:val="24"/>
          <w:szCs w:val="24"/>
        </w:rPr>
        <w:fldChar w:fldCharType="separate"/>
      </w:r>
      <w:r>
        <w:rPr>
          <w:rFonts w:hint="eastAsia" w:ascii="宋体" w:hAnsi="宋体" w:eastAsia="宋体" w:cs="宋体"/>
          <w:sz w:val="24"/>
          <w:szCs w:val="24"/>
        </w:rPr>
        <w:t>188</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6180D36">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_Toc32766 </w:instrText>
      </w:r>
      <w:r>
        <w:rPr>
          <w:rFonts w:hint="eastAsia" w:ascii="宋体" w:hAnsi="宋体" w:eastAsia="宋体" w:cs="宋体"/>
          <w:sz w:val="24"/>
          <w:szCs w:val="24"/>
        </w:rPr>
        <w:fldChar w:fldCharType="separate"/>
      </w:r>
      <w:r>
        <w:rPr>
          <w:rFonts w:hint="eastAsia" w:ascii="宋体" w:hAnsi="宋体" w:eastAsia="宋体" w:cs="宋体"/>
          <w:sz w:val="24"/>
          <w:szCs w:val="24"/>
        </w:rPr>
        <w:t>附件3 法定代表人身份证明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_Toc32766 \h </w:instrText>
      </w:r>
      <w:r>
        <w:rPr>
          <w:rFonts w:hint="eastAsia" w:ascii="宋体" w:hAnsi="宋体" w:eastAsia="宋体" w:cs="宋体"/>
          <w:sz w:val="24"/>
          <w:szCs w:val="24"/>
        </w:rPr>
        <w:fldChar w:fldCharType="separate"/>
      </w:r>
      <w:r>
        <w:rPr>
          <w:rFonts w:hint="eastAsia" w:ascii="宋体" w:hAnsi="宋体" w:eastAsia="宋体" w:cs="宋体"/>
          <w:sz w:val="24"/>
          <w:szCs w:val="24"/>
        </w:rPr>
        <w:t>189</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88341E8">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_Toc3135 </w:instrText>
      </w:r>
      <w:r>
        <w:rPr>
          <w:rFonts w:hint="eastAsia" w:ascii="宋体" w:hAnsi="宋体" w:eastAsia="宋体" w:cs="宋体"/>
          <w:sz w:val="24"/>
          <w:szCs w:val="24"/>
        </w:rPr>
        <w:fldChar w:fldCharType="separate"/>
      </w:r>
      <w:r>
        <w:rPr>
          <w:rFonts w:hint="eastAsia" w:ascii="宋体" w:hAnsi="宋体" w:eastAsia="宋体" w:cs="宋体"/>
          <w:sz w:val="24"/>
          <w:szCs w:val="24"/>
        </w:rPr>
        <w:t>附件4 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_Toc3135 \h </w:instrText>
      </w:r>
      <w:r>
        <w:rPr>
          <w:rFonts w:hint="eastAsia" w:ascii="宋体" w:hAnsi="宋体" w:eastAsia="宋体" w:cs="宋体"/>
          <w:sz w:val="24"/>
          <w:szCs w:val="24"/>
        </w:rPr>
        <w:fldChar w:fldCharType="separate"/>
      </w:r>
      <w:r>
        <w:rPr>
          <w:rFonts w:hint="eastAsia" w:ascii="宋体" w:hAnsi="宋体" w:eastAsia="宋体" w:cs="宋体"/>
          <w:sz w:val="24"/>
          <w:szCs w:val="24"/>
        </w:rPr>
        <w:t>190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402BA08C">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_Toc6946 </w:instrText>
      </w:r>
      <w:r>
        <w:rPr>
          <w:rFonts w:hint="eastAsia" w:ascii="宋体" w:hAnsi="宋体" w:eastAsia="宋体" w:cs="宋体"/>
          <w:sz w:val="24"/>
          <w:szCs w:val="24"/>
        </w:rPr>
        <w:fldChar w:fldCharType="separate"/>
      </w:r>
      <w:r>
        <w:rPr>
          <w:rFonts w:hint="eastAsia" w:ascii="宋体" w:hAnsi="宋体" w:eastAsia="宋体" w:cs="宋体"/>
          <w:sz w:val="24"/>
          <w:szCs w:val="24"/>
        </w:rPr>
        <w:t>附件5 投标保证金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_Toc6946 \h </w:instrText>
      </w:r>
      <w:r>
        <w:rPr>
          <w:rFonts w:hint="eastAsia" w:ascii="宋体" w:hAnsi="宋体" w:eastAsia="宋体" w:cs="宋体"/>
          <w:sz w:val="24"/>
          <w:szCs w:val="24"/>
        </w:rPr>
        <w:fldChar w:fldCharType="separate"/>
      </w:r>
      <w:r>
        <w:rPr>
          <w:rFonts w:hint="eastAsia" w:ascii="宋体" w:hAnsi="宋体" w:eastAsia="宋体" w:cs="宋体"/>
          <w:sz w:val="24"/>
          <w:szCs w:val="24"/>
        </w:rPr>
        <w:t>191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22CCAD66">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_Toc10162 </w:instrText>
      </w:r>
      <w:r>
        <w:rPr>
          <w:rFonts w:hint="eastAsia" w:ascii="宋体" w:hAnsi="宋体" w:eastAsia="宋体" w:cs="宋体"/>
          <w:sz w:val="24"/>
          <w:szCs w:val="24"/>
        </w:rPr>
        <w:fldChar w:fldCharType="separate"/>
      </w:r>
      <w:r>
        <w:rPr>
          <w:rFonts w:hint="eastAsia" w:ascii="宋体" w:hAnsi="宋体" w:eastAsia="宋体" w:cs="宋体"/>
          <w:sz w:val="24"/>
          <w:szCs w:val="24"/>
        </w:rPr>
        <w:t>附件6 投标分项报价表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_Toc10162 \h </w:instrText>
      </w:r>
      <w:r>
        <w:rPr>
          <w:rFonts w:hint="eastAsia" w:ascii="宋体" w:hAnsi="宋体" w:eastAsia="宋体" w:cs="宋体"/>
          <w:sz w:val="24"/>
          <w:szCs w:val="24"/>
        </w:rPr>
        <w:fldChar w:fldCharType="separate"/>
      </w:r>
      <w:r>
        <w:rPr>
          <w:rFonts w:hint="eastAsia" w:ascii="宋体" w:hAnsi="宋体" w:eastAsia="宋体" w:cs="宋体"/>
          <w:sz w:val="24"/>
          <w:szCs w:val="24"/>
        </w:rPr>
        <w:t>192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3E997D7F">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_Toc6596 </w:instrText>
      </w:r>
      <w:r>
        <w:rPr>
          <w:rFonts w:hint="eastAsia" w:ascii="宋体" w:hAnsi="宋体" w:eastAsia="宋体" w:cs="宋体"/>
          <w:sz w:val="24"/>
          <w:szCs w:val="24"/>
        </w:rPr>
        <w:fldChar w:fldCharType="separate"/>
      </w:r>
      <w:r>
        <w:rPr>
          <w:rFonts w:hint="eastAsia" w:ascii="宋体" w:hAnsi="宋体" w:eastAsia="宋体" w:cs="宋体"/>
          <w:sz w:val="24"/>
          <w:szCs w:val="24"/>
        </w:rPr>
        <w:t>附件7 商务偏差表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_Toc6596 \h </w:instrText>
      </w:r>
      <w:r>
        <w:rPr>
          <w:rFonts w:hint="eastAsia" w:ascii="宋体" w:hAnsi="宋体" w:eastAsia="宋体" w:cs="宋体"/>
          <w:sz w:val="24"/>
          <w:szCs w:val="24"/>
        </w:rPr>
        <w:fldChar w:fldCharType="separate"/>
      </w:r>
      <w:r>
        <w:rPr>
          <w:rFonts w:hint="eastAsia" w:ascii="宋体" w:hAnsi="宋体" w:eastAsia="宋体" w:cs="宋体"/>
          <w:sz w:val="24"/>
          <w:szCs w:val="24"/>
        </w:rPr>
        <w:t>193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297A2E9">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_Toc29177 </w:instrText>
      </w:r>
      <w:r>
        <w:rPr>
          <w:rFonts w:hint="eastAsia" w:ascii="宋体" w:hAnsi="宋体" w:eastAsia="宋体" w:cs="宋体"/>
          <w:sz w:val="24"/>
          <w:szCs w:val="24"/>
        </w:rPr>
        <w:fldChar w:fldCharType="separate"/>
      </w:r>
      <w:r>
        <w:rPr>
          <w:rFonts w:hint="eastAsia" w:ascii="宋体" w:hAnsi="宋体" w:eastAsia="宋体" w:cs="宋体"/>
          <w:sz w:val="24"/>
          <w:szCs w:val="24"/>
        </w:rPr>
        <w:t>附件8 投标人基本情况表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_Toc29177 \h </w:instrText>
      </w:r>
      <w:r>
        <w:rPr>
          <w:rFonts w:hint="eastAsia" w:ascii="宋体" w:hAnsi="宋体" w:eastAsia="宋体" w:cs="宋体"/>
          <w:sz w:val="24"/>
          <w:szCs w:val="24"/>
        </w:rPr>
        <w:fldChar w:fldCharType="separate"/>
      </w:r>
      <w:r>
        <w:rPr>
          <w:rFonts w:hint="eastAsia" w:ascii="宋体" w:hAnsi="宋体" w:eastAsia="宋体" w:cs="宋体"/>
          <w:sz w:val="24"/>
          <w:szCs w:val="24"/>
        </w:rPr>
        <w:t>194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757F803">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_Toc15627 </w:instrText>
      </w:r>
      <w:r>
        <w:rPr>
          <w:rFonts w:hint="eastAsia" w:ascii="宋体" w:hAnsi="宋体" w:eastAsia="宋体" w:cs="宋体"/>
          <w:sz w:val="24"/>
          <w:szCs w:val="24"/>
        </w:rPr>
        <w:fldChar w:fldCharType="separate"/>
      </w:r>
      <w:r>
        <w:rPr>
          <w:rFonts w:hint="eastAsia" w:ascii="宋体" w:hAnsi="宋体" w:eastAsia="宋体" w:cs="宋体"/>
          <w:sz w:val="24"/>
          <w:szCs w:val="24"/>
        </w:rPr>
        <w:t>附件9 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_Toc15627 \h </w:instrText>
      </w:r>
      <w:r>
        <w:rPr>
          <w:rFonts w:hint="eastAsia" w:ascii="宋体" w:hAnsi="宋体" w:eastAsia="宋体" w:cs="宋体"/>
          <w:sz w:val="24"/>
          <w:szCs w:val="24"/>
        </w:rPr>
        <w:fldChar w:fldCharType="separate"/>
      </w:r>
      <w:r>
        <w:rPr>
          <w:rFonts w:hint="eastAsia" w:ascii="宋体" w:hAnsi="宋体" w:eastAsia="宋体" w:cs="宋体"/>
          <w:sz w:val="24"/>
          <w:szCs w:val="24"/>
        </w:rPr>
        <w:t>195</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08B1C67D">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_Toc1014 </w:instrText>
      </w:r>
      <w:r>
        <w:rPr>
          <w:rFonts w:hint="eastAsia" w:ascii="宋体" w:hAnsi="宋体" w:eastAsia="宋体" w:cs="宋体"/>
          <w:sz w:val="24"/>
          <w:szCs w:val="24"/>
        </w:rPr>
        <w:fldChar w:fldCharType="separate"/>
      </w:r>
      <w:r>
        <w:rPr>
          <w:rFonts w:hint="eastAsia" w:ascii="宋体" w:hAnsi="宋体" w:eastAsia="宋体" w:cs="宋体"/>
          <w:sz w:val="24"/>
          <w:szCs w:val="24"/>
        </w:rPr>
        <w:t>附件10 投标人</w:t>
      </w:r>
      <w:r>
        <w:rPr>
          <w:rFonts w:hint="eastAsia" w:ascii="宋体" w:hAnsi="宋体" w:eastAsia="宋体" w:cs="宋体"/>
          <w:sz w:val="24"/>
          <w:szCs w:val="24"/>
          <w:lang w:val="en-US" w:eastAsia="zh-CN"/>
        </w:rPr>
        <w:t>类似</w:t>
      </w:r>
      <w:r>
        <w:rPr>
          <w:rFonts w:hint="eastAsia" w:ascii="宋体" w:hAnsi="宋体" w:eastAsia="宋体" w:cs="宋体"/>
          <w:sz w:val="24"/>
          <w:szCs w:val="24"/>
        </w:rPr>
        <w:t>业绩一览表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_Toc1014 \h </w:instrText>
      </w:r>
      <w:r>
        <w:rPr>
          <w:rFonts w:hint="eastAsia" w:ascii="宋体" w:hAnsi="宋体" w:eastAsia="宋体" w:cs="宋体"/>
          <w:sz w:val="24"/>
          <w:szCs w:val="24"/>
        </w:rPr>
        <w:fldChar w:fldCharType="separate"/>
      </w:r>
      <w:r>
        <w:rPr>
          <w:rFonts w:hint="eastAsia" w:ascii="宋体" w:hAnsi="宋体" w:eastAsia="宋体" w:cs="宋体"/>
          <w:sz w:val="24"/>
          <w:szCs w:val="24"/>
        </w:rPr>
        <w:t>206</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5874E2FC">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_Toc3388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附件11 </w:t>
      </w:r>
      <w:r>
        <w:rPr>
          <w:rFonts w:hint="eastAsia" w:ascii="宋体" w:hAnsi="宋体" w:eastAsia="宋体" w:cs="宋体"/>
          <w:kern w:val="0"/>
          <w:sz w:val="24"/>
          <w:szCs w:val="24"/>
        </w:rPr>
        <w:t>小微企业、监狱企业、残疾人福利单位的声明函或证明材料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_Toc3388 \h </w:instrText>
      </w:r>
      <w:r>
        <w:rPr>
          <w:rFonts w:hint="eastAsia" w:ascii="宋体" w:hAnsi="宋体" w:eastAsia="宋体" w:cs="宋体"/>
          <w:sz w:val="24"/>
          <w:szCs w:val="24"/>
        </w:rPr>
        <w:fldChar w:fldCharType="separate"/>
      </w:r>
      <w:r>
        <w:rPr>
          <w:rFonts w:hint="eastAsia" w:ascii="宋体" w:hAnsi="宋体" w:eastAsia="宋体" w:cs="宋体"/>
          <w:sz w:val="24"/>
          <w:szCs w:val="24"/>
        </w:rPr>
        <w:t>207</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A32D800">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_Toc5124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附件12</w:t>
      </w:r>
      <w:r>
        <w:rPr>
          <w:rFonts w:hint="eastAsia" w:ascii="宋体" w:hAnsi="宋体" w:eastAsia="宋体" w:cs="宋体"/>
          <w:sz w:val="24"/>
          <w:szCs w:val="24"/>
        </w:rPr>
        <w:t xml:space="preserve"> </w:t>
      </w:r>
      <w:r>
        <w:rPr>
          <w:rFonts w:hint="eastAsia" w:ascii="宋体" w:hAnsi="宋体" w:eastAsia="宋体" w:cs="宋体"/>
          <w:bCs/>
          <w:sz w:val="24"/>
          <w:szCs w:val="24"/>
        </w:rPr>
        <w:t>投标承诺书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_Toc5124 \h </w:instrText>
      </w:r>
      <w:r>
        <w:rPr>
          <w:rFonts w:hint="eastAsia" w:ascii="宋体" w:hAnsi="宋体" w:eastAsia="宋体" w:cs="宋体"/>
          <w:sz w:val="24"/>
          <w:szCs w:val="24"/>
        </w:rPr>
        <w:fldChar w:fldCharType="separate"/>
      </w:r>
      <w:r>
        <w:rPr>
          <w:rFonts w:hint="eastAsia" w:ascii="宋体" w:hAnsi="宋体" w:eastAsia="宋体" w:cs="宋体"/>
          <w:sz w:val="24"/>
          <w:szCs w:val="24"/>
        </w:rPr>
        <w:t>210</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6CD71E49">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_Toc8656 </w:instrText>
      </w:r>
      <w:r>
        <w:rPr>
          <w:rFonts w:hint="eastAsia" w:ascii="宋体" w:hAnsi="宋体" w:eastAsia="宋体" w:cs="宋体"/>
          <w:sz w:val="24"/>
          <w:szCs w:val="24"/>
        </w:rPr>
        <w:fldChar w:fldCharType="separate"/>
      </w:r>
      <w:r>
        <w:rPr>
          <w:rFonts w:hint="eastAsia" w:ascii="宋体" w:hAnsi="宋体" w:eastAsia="宋体" w:cs="宋体"/>
          <w:sz w:val="24"/>
          <w:szCs w:val="24"/>
        </w:rPr>
        <w:t>附件13 技术偏离表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_Toc8656 \h </w:instrText>
      </w:r>
      <w:r>
        <w:rPr>
          <w:rFonts w:hint="eastAsia" w:ascii="宋体" w:hAnsi="宋体" w:eastAsia="宋体" w:cs="宋体"/>
          <w:sz w:val="24"/>
          <w:szCs w:val="24"/>
        </w:rPr>
        <w:fldChar w:fldCharType="separate"/>
      </w:r>
      <w:r>
        <w:rPr>
          <w:rFonts w:hint="eastAsia" w:ascii="宋体" w:hAnsi="宋体" w:eastAsia="宋体" w:cs="宋体"/>
          <w:sz w:val="24"/>
          <w:szCs w:val="24"/>
        </w:rPr>
        <w:t>211</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7E7BFF18">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_Toc13364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附件14</w:t>
      </w:r>
      <w:r>
        <w:rPr>
          <w:rFonts w:hint="eastAsia" w:ascii="宋体" w:hAnsi="宋体" w:eastAsia="宋体" w:cs="宋体"/>
          <w:sz w:val="24"/>
          <w:szCs w:val="24"/>
        </w:rPr>
        <w:t xml:space="preserve"> </w:t>
      </w:r>
      <w:r>
        <w:rPr>
          <w:rFonts w:hint="eastAsia" w:ascii="宋体" w:hAnsi="宋体" w:eastAsia="宋体" w:cs="宋体"/>
          <w:bCs/>
          <w:sz w:val="24"/>
          <w:szCs w:val="24"/>
        </w:rPr>
        <w:t>服务的技术</w:t>
      </w:r>
      <w:r>
        <w:rPr>
          <w:rFonts w:hint="eastAsia" w:ascii="宋体" w:hAnsi="宋体" w:eastAsia="宋体" w:cs="宋体"/>
          <w:bCs/>
          <w:sz w:val="24"/>
          <w:szCs w:val="24"/>
          <w:lang w:val="en-US" w:eastAsia="zh-CN"/>
        </w:rPr>
        <w:t>要求</w:t>
      </w:r>
      <w:r>
        <w:rPr>
          <w:rFonts w:hint="eastAsia" w:ascii="宋体" w:hAnsi="宋体" w:eastAsia="宋体" w:cs="宋体"/>
          <w:bCs/>
          <w:sz w:val="24"/>
          <w:szCs w:val="24"/>
        </w:rPr>
        <w:t>、</w:t>
      </w:r>
      <w:r>
        <w:rPr>
          <w:rFonts w:hint="eastAsia" w:ascii="宋体" w:hAnsi="宋体" w:eastAsia="宋体" w:cs="宋体"/>
          <w:bCs/>
          <w:sz w:val="24"/>
          <w:szCs w:val="24"/>
          <w:lang w:val="en-US" w:eastAsia="zh-CN"/>
        </w:rPr>
        <w:t>服务内容</w:t>
      </w:r>
      <w:r>
        <w:rPr>
          <w:rFonts w:hint="eastAsia" w:ascii="宋体" w:hAnsi="宋体" w:eastAsia="宋体" w:cs="宋体"/>
          <w:bCs/>
          <w:sz w:val="24"/>
          <w:szCs w:val="24"/>
        </w:rPr>
        <w:t>、服务标准、验收等要求</w:t>
      </w:r>
      <w:r>
        <w:rPr>
          <w:rFonts w:hint="eastAsia" w:ascii="宋体" w:hAnsi="宋体" w:eastAsia="宋体" w:cs="宋体"/>
          <w:bCs/>
          <w:kern w:val="0"/>
          <w:sz w:val="24"/>
          <w:szCs w:val="24"/>
        </w:rPr>
        <w:t>的响应</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_Toc13364 \h </w:instrText>
      </w:r>
      <w:r>
        <w:rPr>
          <w:rFonts w:hint="eastAsia" w:ascii="宋体" w:hAnsi="宋体" w:eastAsia="宋体" w:cs="宋体"/>
          <w:sz w:val="24"/>
          <w:szCs w:val="24"/>
        </w:rPr>
        <w:fldChar w:fldCharType="separate"/>
      </w:r>
      <w:r>
        <w:rPr>
          <w:rFonts w:hint="eastAsia" w:ascii="宋体" w:hAnsi="宋体" w:eastAsia="宋体" w:cs="宋体"/>
          <w:sz w:val="24"/>
          <w:szCs w:val="24"/>
        </w:rPr>
        <w:t>212</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1C73F2C">
      <w:pPr>
        <w:pStyle w:val="36"/>
        <w:keepNext w:val="0"/>
        <w:keepLines w:val="0"/>
        <w:pageBreakBefore w:val="0"/>
        <w:widowControl w:val="0"/>
        <w:tabs>
          <w:tab w:val="right" w:leader="dot" w:pos="9746"/>
          <w:tab w:val="clear" w:pos="8778"/>
        </w:tabs>
        <w:kinsoku/>
        <w:wordWrap/>
        <w:overflowPunct/>
        <w:topLinePunct w:val="0"/>
        <w:bidi w:val="0"/>
        <w:adjustRightInd/>
        <w:spacing w:line="288" w:lineRule="auto"/>
        <w:ind w:leftChars="209"/>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_Toc8992 </w:instrText>
      </w:r>
      <w:r>
        <w:rPr>
          <w:rFonts w:hint="eastAsia" w:ascii="宋体" w:hAnsi="宋体" w:eastAsia="宋体" w:cs="宋体"/>
          <w:sz w:val="24"/>
          <w:szCs w:val="24"/>
        </w:rPr>
        <w:fldChar w:fldCharType="separate"/>
      </w:r>
      <w:r>
        <w:rPr>
          <w:rFonts w:hint="eastAsia" w:ascii="宋体" w:hAnsi="宋体" w:eastAsia="宋体" w:cs="宋体"/>
          <w:sz w:val="24"/>
          <w:szCs w:val="24"/>
        </w:rPr>
        <w:t>附件1</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投标人服务承诺</w:t>
      </w:r>
      <w:r>
        <w:rPr>
          <w:rFonts w:hint="eastAsia" w:ascii="宋体" w:hAnsi="宋体" w:eastAsia="宋体" w:cs="宋体"/>
          <w:sz w:val="24"/>
          <w:szCs w:val="24"/>
          <w:lang w:eastAsia="zh-CN"/>
        </w:rPr>
        <w:t>(</w:t>
      </w:r>
      <w:r>
        <w:rPr>
          <w:rFonts w:hint="eastAsia" w:ascii="宋体" w:hAnsi="宋体" w:eastAsia="宋体" w:cs="宋体"/>
          <w:sz w:val="24"/>
          <w:szCs w:val="24"/>
        </w:rPr>
        <w:t>如有</w:t>
      </w:r>
      <w:r>
        <w:rPr>
          <w:rFonts w:hint="eastAsia" w:ascii="宋体" w:hAnsi="宋体" w:eastAsia="宋体" w:cs="宋体"/>
          <w:sz w:val="24"/>
          <w:szCs w:val="24"/>
          <w:lang w:eastAsia="zh-CN"/>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_Toc8992 \h </w:instrText>
      </w:r>
      <w:r>
        <w:rPr>
          <w:rFonts w:hint="eastAsia" w:ascii="宋体" w:hAnsi="宋体" w:eastAsia="宋体" w:cs="宋体"/>
          <w:sz w:val="24"/>
          <w:szCs w:val="24"/>
        </w:rPr>
        <w:fldChar w:fldCharType="separate"/>
      </w:r>
      <w:r>
        <w:rPr>
          <w:rFonts w:hint="eastAsia" w:ascii="宋体" w:hAnsi="宋体" w:eastAsia="宋体" w:cs="宋体"/>
          <w:sz w:val="24"/>
          <w:szCs w:val="24"/>
        </w:rPr>
        <w:t>213</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10FDA581">
      <w:pPr>
        <w:pStyle w:val="32"/>
        <w:keepNext w:val="0"/>
        <w:keepLines w:val="0"/>
        <w:pageBreakBefore w:val="0"/>
        <w:widowControl w:val="0"/>
        <w:tabs>
          <w:tab w:val="right" w:leader="dot" w:pos="9746"/>
          <w:tab w:val="clear" w:pos="8778"/>
        </w:tabs>
        <w:kinsoku/>
        <w:wordWrap/>
        <w:overflowPunct/>
        <w:topLinePunct w:val="0"/>
        <w:bidi w:val="0"/>
        <w:adjustRightInd/>
        <w:spacing w:line="288"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fldChar w:fldCharType="begin"/>
      </w:r>
      <w:r>
        <w:rPr>
          <w:rFonts w:hint="eastAsia" w:ascii="宋体" w:hAnsi="宋体" w:eastAsia="宋体" w:cs="宋体"/>
          <w:sz w:val="24"/>
          <w:szCs w:val="24"/>
        </w:rPr>
        <w:instrText xml:space="preserve"> HYPERLINK \l _Toc6081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第七章 其它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_Toc6081 \h </w:instrText>
      </w:r>
      <w:r>
        <w:rPr>
          <w:rFonts w:hint="eastAsia" w:ascii="宋体" w:hAnsi="宋体" w:eastAsia="宋体" w:cs="宋体"/>
          <w:sz w:val="24"/>
          <w:szCs w:val="24"/>
        </w:rPr>
        <w:fldChar w:fldCharType="separate"/>
      </w:r>
      <w:r>
        <w:rPr>
          <w:rFonts w:hint="eastAsia" w:ascii="宋体" w:hAnsi="宋体" w:eastAsia="宋体" w:cs="宋体"/>
          <w:sz w:val="24"/>
          <w:szCs w:val="24"/>
        </w:rPr>
        <w:t>214</w:t>
      </w:r>
      <w:r>
        <w:rPr>
          <w:rFonts w:hint="eastAsia" w:ascii="宋体" w:hAnsi="宋体" w:eastAsia="宋体" w:cs="宋体"/>
          <w:sz w:val="24"/>
          <w:szCs w:val="24"/>
        </w:rPr>
        <w:fldChar w:fldCharType="end"/>
      </w:r>
      <w:r>
        <w:rPr>
          <w:rFonts w:hint="eastAsia" w:ascii="宋体" w:hAnsi="宋体" w:eastAsia="宋体" w:cs="宋体"/>
          <w:color w:val="auto"/>
          <w:sz w:val="24"/>
          <w:szCs w:val="24"/>
        </w:rPr>
        <w:fldChar w:fldCharType="end"/>
      </w:r>
    </w:p>
    <w:p w14:paraId="01E1A63E">
      <w:pPr>
        <w:keepNext w:val="0"/>
        <w:keepLines w:val="0"/>
        <w:pageBreakBefore w:val="0"/>
        <w:widowControl w:val="0"/>
        <w:kinsoku/>
        <w:wordWrap/>
        <w:overflowPunct/>
        <w:topLinePunct w:val="0"/>
        <w:autoSpaceDE w:val="0"/>
        <w:autoSpaceDN w:val="0"/>
        <w:bidi w:val="0"/>
        <w:adjustRightInd/>
        <w:snapToGrid/>
        <w:spacing w:line="288" w:lineRule="auto"/>
        <w:ind w:left="0" w:leftChars="0"/>
        <w:jc w:val="center"/>
        <w:textAlignment w:val="auto"/>
        <w:outlineLvl w:val="9"/>
        <w:rPr>
          <w:color w:val="auto"/>
        </w:rPr>
        <w:sectPr>
          <w:headerReference r:id="rId8" w:type="default"/>
          <w:footerReference r:id="rId9" w:type="default"/>
          <w:pgSz w:w="11906" w:h="16838"/>
          <w:pgMar w:top="1440" w:right="1080" w:bottom="1440" w:left="1080" w:header="851" w:footer="992" w:gutter="0"/>
          <w:pgNumType w:fmt="decimal" w:start="1"/>
          <w:cols w:space="0" w:num="1"/>
          <w:rtlGutter w:val="0"/>
          <w:docGrid w:type="lines" w:linePitch="312" w:charSpace="0"/>
        </w:sectPr>
      </w:pPr>
      <w:r>
        <w:rPr>
          <w:rFonts w:hint="eastAsia" w:ascii="宋体" w:hAnsi="宋体" w:eastAsia="宋体" w:cs="宋体"/>
          <w:color w:val="auto"/>
          <w:sz w:val="24"/>
          <w:szCs w:val="24"/>
        </w:rPr>
        <w:fldChar w:fldCharType="end"/>
      </w:r>
    </w:p>
    <w:p w14:paraId="6A054E5C">
      <w:pPr>
        <w:autoSpaceDE w:val="0"/>
        <w:autoSpaceDN w:val="0"/>
        <w:adjustRightInd w:val="0"/>
        <w:snapToGrid w:val="0"/>
        <w:spacing w:afterLines="50"/>
        <w:jc w:val="center"/>
        <w:outlineLvl w:val="0"/>
        <w:rPr>
          <w:rFonts w:ascii="宋体" w:hAnsi="宋体" w:cs="黑体"/>
          <w:color w:val="auto"/>
          <w:kern w:val="0"/>
          <w:sz w:val="32"/>
          <w:szCs w:val="32"/>
        </w:rPr>
      </w:pPr>
      <w:bookmarkStart w:id="0" w:name="_Toc32145"/>
      <w:bookmarkStart w:id="1" w:name="_Toc7932"/>
      <w:bookmarkStart w:id="2" w:name="_Toc10631"/>
      <w:r>
        <w:rPr>
          <w:rFonts w:hint="eastAsia" w:ascii="宋体" w:hAnsi="宋体" w:cs="黑体"/>
          <w:color w:val="auto"/>
          <w:kern w:val="0"/>
          <w:sz w:val="32"/>
          <w:szCs w:val="32"/>
        </w:rPr>
        <w:t>第一章</w:t>
      </w:r>
      <w:bookmarkEnd w:id="0"/>
      <w:bookmarkEnd w:id="1"/>
      <w:r>
        <w:rPr>
          <w:rFonts w:ascii="宋体" w:hAnsi="宋体" w:cs="黑体"/>
          <w:color w:val="auto"/>
          <w:kern w:val="0"/>
          <w:sz w:val="32"/>
          <w:szCs w:val="32"/>
        </w:rPr>
        <w:t xml:space="preserve"> </w:t>
      </w:r>
      <w:r>
        <w:rPr>
          <w:rFonts w:hint="eastAsia" w:ascii="宋体" w:hAnsi="宋体" w:cs="黑体"/>
          <w:color w:val="auto"/>
          <w:kern w:val="0"/>
          <w:sz w:val="32"/>
          <w:szCs w:val="32"/>
          <w:lang w:val="en-US" w:eastAsia="zh-CN"/>
        </w:rPr>
        <w:t>招标公告</w:t>
      </w:r>
      <w:bookmarkEnd w:id="2"/>
    </w:p>
    <w:p w14:paraId="4A01DE7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color w:val="auto"/>
        </w:rPr>
      </w:pPr>
      <w:r>
        <w:rPr>
          <w:rFonts w:hint="eastAsia" w:ascii="仿宋" w:hAnsi="仿宋" w:eastAsia="仿宋" w:cs="仿宋"/>
          <w:b w:val="0"/>
          <w:i w:val="0"/>
          <w:caps w:val="0"/>
          <w:color w:val="auto"/>
          <w:spacing w:val="8"/>
          <w:sz w:val="24"/>
          <w:szCs w:val="24"/>
          <w:shd w:val="clear" w:fill="FFFFFF"/>
        </w:rPr>
        <w:t>项目概况</w:t>
      </w:r>
    </w:p>
    <w:p w14:paraId="22D20FE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color w:val="auto"/>
        </w:rPr>
      </w:pPr>
      <w:r>
        <w:rPr>
          <w:rFonts w:hint="eastAsia" w:ascii="仿宋" w:hAnsi="仿宋" w:eastAsia="仿宋" w:cs="仿宋"/>
          <w:b w:val="0"/>
          <w:i w:val="0"/>
          <w:caps w:val="0"/>
          <w:color w:val="auto"/>
          <w:spacing w:val="8"/>
          <w:sz w:val="24"/>
          <w:szCs w:val="24"/>
          <w:u w:val="single"/>
          <w:shd w:val="clear" w:fill="FFFFFF"/>
          <w:lang w:eastAsia="zh-CN"/>
        </w:rPr>
        <w:t>昌吉市城市街景节点布置</w:t>
      </w:r>
      <w:r>
        <w:rPr>
          <w:rFonts w:hint="eastAsia" w:ascii="仿宋" w:hAnsi="仿宋" w:eastAsia="仿宋" w:cs="仿宋"/>
          <w:b w:val="0"/>
          <w:i w:val="0"/>
          <w:caps w:val="0"/>
          <w:color w:val="auto"/>
          <w:spacing w:val="8"/>
          <w:sz w:val="24"/>
          <w:szCs w:val="24"/>
          <w:shd w:val="clear" w:fill="FFFFFF"/>
        </w:rPr>
        <w:t>招标项目的潜在投标人应在</w:t>
      </w:r>
      <w:r>
        <w:rPr>
          <w:rFonts w:hint="eastAsia" w:ascii="仿宋" w:hAnsi="仿宋" w:eastAsia="仿宋" w:cs="仿宋"/>
          <w:b w:val="0"/>
          <w:i w:val="0"/>
          <w:caps w:val="0"/>
          <w:color w:val="auto"/>
          <w:spacing w:val="8"/>
          <w:sz w:val="24"/>
          <w:szCs w:val="24"/>
          <w:u w:val="single"/>
          <w:shd w:val="clear" w:fill="FFFFFF"/>
        </w:rPr>
        <w:t>政采云平台线上</w:t>
      </w:r>
      <w:r>
        <w:rPr>
          <w:rFonts w:hint="eastAsia" w:ascii="仿宋" w:hAnsi="仿宋" w:eastAsia="仿宋" w:cs="仿宋"/>
          <w:b w:val="0"/>
          <w:i w:val="0"/>
          <w:caps w:val="0"/>
          <w:color w:val="auto"/>
          <w:spacing w:val="8"/>
          <w:sz w:val="24"/>
          <w:szCs w:val="24"/>
          <w:shd w:val="clear" w:fill="FFFFFF"/>
        </w:rPr>
        <w:t>获取招标文件，并于</w:t>
      </w:r>
      <w:r>
        <w:rPr>
          <w:rFonts w:hint="eastAsia" w:ascii="仿宋" w:hAnsi="仿宋" w:eastAsia="仿宋" w:cs="仿宋"/>
          <w:b w:val="0"/>
          <w:i w:val="0"/>
          <w:caps w:val="0"/>
          <w:color w:val="auto"/>
          <w:spacing w:val="8"/>
          <w:sz w:val="24"/>
          <w:szCs w:val="24"/>
          <w:u w:val="single"/>
          <w:shd w:val="clear" w:fill="FFFFFF"/>
          <w:lang w:val="en-US" w:eastAsia="zh-CN"/>
        </w:rPr>
        <w:t>2025</w:t>
      </w:r>
      <w:r>
        <w:rPr>
          <w:rFonts w:hint="eastAsia" w:ascii="仿宋" w:hAnsi="仿宋" w:eastAsia="仿宋" w:cs="仿宋"/>
          <w:b w:val="0"/>
          <w:i w:val="0"/>
          <w:caps w:val="0"/>
          <w:color w:val="auto"/>
          <w:spacing w:val="8"/>
          <w:sz w:val="24"/>
          <w:szCs w:val="24"/>
          <w:u w:val="none"/>
          <w:shd w:val="clear" w:fill="FFFFFF"/>
        </w:rPr>
        <w:t>年</w:t>
      </w:r>
      <w:r>
        <w:rPr>
          <w:rFonts w:hint="eastAsia" w:ascii="仿宋" w:hAnsi="仿宋" w:eastAsia="仿宋" w:cs="仿宋"/>
          <w:b w:val="0"/>
          <w:i w:val="0"/>
          <w:caps w:val="0"/>
          <w:color w:val="auto"/>
          <w:spacing w:val="8"/>
          <w:sz w:val="24"/>
          <w:szCs w:val="24"/>
          <w:u w:val="single"/>
          <w:shd w:val="clear" w:fill="FFFFFF"/>
          <w:lang w:val="en-US" w:eastAsia="zh-CN"/>
        </w:rPr>
        <w:t>02</w:t>
      </w:r>
      <w:r>
        <w:rPr>
          <w:rFonts w:hint="eastAsia" w:ascii="仿宋" w:hAnsi="仿宋" w:eastAsia="仿宋" w:cs="仿宋"/>
          <w:b w:val="0"/>
          <w:i w:val="0"/>
          <w:caps w:val="0"/>
          <w:color w:val="auto"/>
          <w:spacing w:val="8"/>
          <w:sz w:val="24"/>
          <w:szCs w:val="24"/>
          <w:u w:val="none"/>
          <w:shd w:val="clear" w:fill="FFFFFF"/>
        </w:rPr>
        <w:t>月</w:t>
      </w:r>
      <w:r>
        <w:rPr>
          <w:rFonts w:hint="eastAsia" w:ascii="仿宋" w:hAnsi="仿宋" w:eastAsia="仿宋" w:cs="仿宋"/>
          <w:b w:val="0"/>
          <w:i w:val="0"/>
          <w:caps w:val="0"/>
          <w:color w:val="auto"/>
          <w:spacing w:val="8"/>
          <w:sz w:val="24"/>
          <w:szCs w:val="24"/>
          <w:u w:val="single"/>
          <w:shd w:val="clear" w:fill="FFFFFF"/>
          <w:lang w:val="en-US" w:eastAsia="zh-CN"/>
        </w:rPr>
        <w:t>11</w:t>
      </w:r>
      <w:r>
        <w:rPr>
          <w:rFonts w:hint="eastAsia" w:ascii="仿宋" w:hAnsi="仿宋" w:eastAsia="仿宋" w:cs="仿宋"/>
          <w:b w:val="0"/>
          <w:i w:val="0"/>
          <w:caps w:val="0"/>
          <w:color w:val="auto"/>
          <w:spacing w:val="8"/>
          <w:sz w:val="24"/>
          <w:szCs w:val="24"/>
          <w:u w:val="none"/>
          <w:shd w:val="clear" w:fill="FFFFFF"/>
        </w:rPr>
        <w:t>日</w:t>
      </w:r>
      <w:r>
        <w:rPr>
          <w:rFonts w:hint="eastAsia" w:ascii="仿宋" w:hAnsi="仿宋" w:eastAsia="仿宋" w:cs="仿宋"/>
          <w:b w:val="0"/>
          <w:i w:val="0"/>
          <w:caps w:val="0"/>
          <w:color w:val="auto"/>
          <w:spacing w:val="8"/>
          <w:sz w:val="24"/>
          <w:szCs w:val="24"/>
          <w:u w:val="none"/>
          <w:shd w:val="clear" w:fill="FFFFFF"/>
          <w:lang w:val="en-US" w:eastAsia="zh-CN"/>
        </w:rPr>
        <w:t>10:30(</w:t>
      </w:r>
      <w:r>
        <w:rPr>
          <w:rFonts w:hint="eastAsia" w:ascii="仿宋" w:hAnsi="仿宋" w:eastAsia="仿宋" w:cs="仿宋"/>
          <w:b w:val="0"/>
          <w:i w:val="0"/>
          <w:caps w:val="0"/>
          <w:color w:val="auto"/>
          <w:spacing w:val="8"/>
          <w:sz w:val="24"/>
          <w:szCs w:val="24"/>
          <w:shd w:val="clear" w:fill="FFFFFF"/>
        </w:rPr>
        <w:t>北京时间</w:t>
      </w:r>
      <w:r>
        <w:rPr>
          <w:rFonts w:hint="eastAsia" w:ascii="仿宋" w:hAnsi="仿宋" w:eastAsia="仿宋" w:cs="仿宋"/>
          <w:b w:val="0"/>
          <w:i w:val="0"/>
          <w:caps w:val="0"/>
          <w:color w:val="auto"/>
          <w:spacing w:val="8"/>
          <w:sz w:val="24"/>
          <w:szCs w:val="24"/>
          <w:shd w:val="clear" w:fill="FFFFFF"/>
          <w:lang w:val="en-US" w:eastAsia="zh-CN"/>
        </w:rPr>
        <w:t>)</w:t>
      </w:r>
      <w:r>
        <w:rPr>
          <w:rFonts w:hint="eastAsia" w:ascii="仿宋" w:hAnsi="仿宋" w:eastAsia="仿宋" w:cs="仿宋"/>
          <w:b w:val="0"/>
          <w:i w:val="0"/>
          <w:caps w:val="0"/>
          <w:color w:val="auto"/>
          <w:spacing w:val="8"/>
          <w:sz w:val="24"/>
          <w:szCs w:val="24"/>
          <w:shd w:val="clear" w:fill="FFFFFF"/>
        </w:rPr>
        <w:t>前递交投标文件。</w:t>
      </w:r>
    </w:p>
    <w:p w14:paraId="7A73903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1"/>
        <w:rPr>
          <w:color w:val="auto"/>
          <w:sz w:val="24"/>
          <w:szCs w:val="24"/>
        </w:rPr>
      </w:pPr>
      <w:bookmarkStart w:id="3" w:name="_Toc21485"/>
      <w:bookmarkStart w:id="4" w:name="_Toc24577"/>
      <w:bookmarkStart w:id="5" w:name="_Toc26992"/>
      <w:r>
        <w:rPr>
          <w:rFonts w:hint="eastAsia" w:ascii="黑体" w:hAnsi="宋体" w:eastAsia="黑体" w:cs="黑体"/>
          <w:b w:val="0"/>
          <w:i w:val="0"/>
          <w:caps w:val="0"/>
          <w:color w:val="auto"/>
          <w:spacing w:val="8"/>
          <w:sz w:val="24"/>
          <w:szCs w:val="24"/>
          <w:shd w:val="clear" w:fill="FFFFFF"/>
        </w:rPr>
        <w:t>一、项目基本情况</w:t>
      </w:r>
      <w:bookmarkEnd w:id="3"/>
      <w:bookmarkEnd w:id="4"/>
      <w:bookmarkEnd w:id="5"/>
    </w:p>
    <w:p w14:paraId="406D202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项目编号</w:t>
      </w:r>
      <w:r>
        <w:rPr>
          <w:rFonts w:hint="eastAsia" w:ascii="仿宋" w:hAnsi="仿宋" w:eastAsia="仿宋" w:cs="仿宋"/>
          <w:b w:val="0"/>
          <w:i w:val="0"/>
          <w:caps w:val="0"/>
          <w:color w:val="auto"/>
          <w:spacing w:val="8"/>
          <w:sz w:val="24"/>
          <w:szCs w:val="24"/>
          <w:shd w:val="clear" w:fill="FFFFFF"/>
          <w:lang w:eastAsia="zh-CN"/>
        </w:rPr>
        <w:t>:CSFLZB-2025-010-CG</w:t>
      </w:r>
    </w:p>
    <w:p w14:paraId="674B6444">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Microsoft YaHei UI" w:hAnsi="Microsoft YaHei UI" w:eastAsia="仿宋" w:cs="Microsoft YaHei UI"/>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项目名称</w:t>
      </w:r>
      <w:r>
        <w:rPr>
          <w:rFonts w:hint="eastAsia" w:ascii="仿宋" w:hAnsi="仿宋" w:eastAsia="仿宋" w:cs="仿宋"/>
          <w:b w:val="0"/>
          <w:i w:val="0"/>
          <w:caps w:val="0"/>
          <w:color w:val="auto"/>
          <w:spacing w:val="8"/>
          <w:sz w:val="24"/>
          <w:szCs w:val="24"/>
          <w:shd w:val="clear" w:fill="FFFFFF"/>
          <w:lang w:eastAsia="zh-CN"/>
        </w:rPr>
        <w:t>:昌吉市城市街景节点布置</w:t>
      </w:r>
    </w:p>
    <w:p w14:paraId="52DD548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rPr>
      </w:pPr>
      <w:r>
        <w:rPr>
          <w:rFonts w:hint="eastAsia" w:ascii="仿宋" w:hAnsi="仿宋" w:eastAsia="仿宋" w:cs="仿宋"/>
          <w:b w:val="0"/>
          <w:i w:val="0"/>
          <w:caps w:val="0"/>
          <w:color w:val="auto"/>
          <w:spacing w:val="8"/>
          <w:sz w:val="24"/>
          <w:szCs w:val="24"/>
          <w:shd w:val="clear" w:fill="FFFFFF"/>
          <w:lang w:val="en-US" w:eastAsia="zh-CN"/>
        </w:rPr>
        <w:t>采购方式</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rPr>
        <w:t>公开招标</w:t>
      </w:r>
    </w:p>
    <w:p w14:paraId="614F00A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eastAsia="仿宋"/>
          <w:color w:val="auto"/>
          <w:lang w:val="en-US" w:eastAsia="zh-CN"/>
        </w:rPr>
      </w:pPr>
      <w:r>
        <w:rPr>
          <w:rFonts w:hint="eastAsia" w:ascii="仿宋" w:hAnsi="仿宋" w:eastAsia="仿宋" w:cs="仿宋"/>
          <w:b w:val="0"/>
          <w:i w:val="0"/>
          <w:caps w:val="0"/>
          <w:color w:val="auto"/>
          <w:spacing w:val="8"/>
          <w:sz w:val="24"/>
          <w:szCs w:val="24"/>
          <w:shd w:val="clear" w:fill="FFFFFF"/>
        </w:rPr>
        <w:t>预算金额</w:t>
      </w:r>
      <w:r>
        <w:rPr>
          <w:rFonts w:hint="eastAsia" w:ascii="仿宋" w:hAnsi="仿宋" w:eastAsia="仿宋" w:cs="仿宋"/>
          <w:b w:val="0"/>
          <w:i w:val="0"/>
          <w:caps w:val="0"/>
          <w:color w:val="auto"/>
          <w:spacing w:val="8"/>
          <w:sz w:val="24"/>
          <w:szCs w:val="24"/>
          <w:shd w:val="clear" w:fill="FFFFFF"/>
          <w:lang w:val="en-US" w:eastAsia="zh-CN"/>
        </w:rPr>
        <w:t>(元)</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lang w:val="en-US" w:eastAsia="zh-CN"/>
        </w:rPr>
        <w:t>2450000</w:t>
      </w:r>
    </w:p>
    <w:p w14:paraId="5C13303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eastAsia="仿宋"/>
          <w:color w:val="auto"/>
          <w:lang w:val="en-US" w:eastAsia="zh-CN"/>
        </w:rPr>
      </w:pPr>
      <w:r>
        <w:rPr>
          <w:rFonts w:hint="eastAsia" w:ascii="仿宋" w:hAnsi="仿宋" w:eastAsia="仿宋" w:cs="仿宋"/>
          <w:b w:val="0"/>
          <w:i w:val="0"/>
          <w:caps w:val="0"/>
          <w:color w:val="auto"/>
          <w:spacing w:val="8"/>
          <w:sz w:val="24"/>
          <w:szCs w:val="24"/>
          <w:shd w:val="clear" w:fill="FFFFFF"/>
        </w:rPr>
        <w:t>最高限价</w:t>
      </w:r>
      <w:r>
        <w:rPr>
          <w:rFonts w:hint="eastAsia" w:ascii="仿宋" w:hAnsi="仿宋" w:eastAsia="仿宋" w:cs="仿宋"/>
          <w:b w:val="0"/>
          <w:i w:val="0"/>
          <w:caps w:val="0"/>
          <w:color w:val="auto"/>
          <w:spacing w:val="8"/>
          <w:sz w:val="24"/>
          <w:szCs w:val="24"/>
          <w:shd w:val="clear" w:fill="FFFFFF"/>
          <w:lang w:val="en-US" w:eastAsia="zh-CN"/>
        </w:rPr>
        <w:t>(元)</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lang w:val="en-US" w:eastAsia="zh-CN"/>
        </w:rPr>
        <w:t>2448000</w:t>
      </w:r>
    </w:p>
    <w:p w14:paraId="34FDBB4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采购需求</w:t>
      </w:r>
      <w:r>
        <w:rPr>
          <w:rFonts w:hint="eastAsia" w:ascii="仿宋" w:hAnsi="仿宋" w:eastAsia="仿宋" w:cs="仿宋"/>
          <w:b w:val="0"/>
          <w:i w:val="0"/>
          <w:caps w:val="0"/>
          <w:color w:val="auto"/>
          <w:spacing w:val="8"/>
          <w:sz w:val="24"/>
          <w:szCs w:val="24"/>
          <w:shd w:val="clear" w:fill="FFFFFF"/>
          <w:lang w:eastAsia="zh-CN"/>
        </w:rPr>
        <w:t>:</w:t>
      </w:r>
    </w:p>
    <w:p w14:paraId="30A8B14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7D7D7" w:themeFill="background1" w:themeFillShade="D8"/>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color="auto" w:fill="auto"/>
          <w:lang w:eastAsia="zh-CN"/>
        </w:rPr>
      </w:pPr>
      <w:r>
        <w:rPr>
          <w:rFonts w:hint="eastAsia" w:ascii="仿宋" w:hAnsi="仿宋" w:eastAsia="仿宋" w:cs="仿宋"/>
          <w:b w:val="0"/>
          <w:i w:val="0"/>
          <w:caps w:val="0"/>
          <w:color w:val="auto"/>
          <w:spacing w:val="8"/>
          <w:sz w:val="24"/>
          <w:szCs w:val="24"/>
          <w:shd w:val="clear" w:color="auto" w:fill="auto"/>
        </w:rPr>
        <w:t>标项名称:</w:t>
      </w:r>
      <w:r>
        <w:rPr>
          <w:rFonts w:hint="eastAsia" w:ascii="仿宋" w:hAnsi="仿宋" w:eastAsia="仿宋" w:cs="仿宋"/>
          <w:b w:val="0"/>
          <w:i w:val="0"/>
          <w:caps w:val="0"/>
          <w:color w:val="auto"/>
          <w:spacing w:val="8"/>
          <w:sz w:val="24"/>
          <w:szCs w:val="24"/>
          <w:shd w:val="clear" w:color="auto" w:fill="auto"/>
          <w:lang w:eastAsia="zh-CN"/>
        </w:rPr>
        <w:t>昌吉市城市街景节点布置</w:t>
      </w:r>
    </w:p>
    <w:p w14:paraId="5C00EC7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7D7D7" w:themeFill="background1" w:themeFillShade="D8"/>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仿宋" w:hAnsi="仿宋" w:eastAsia="仿宋" w:cs="仿宋"/>
          <w:b w:val="0"/>
          <w:i w:val="0"/>
          <w:caps w:val="0"/>
          <w:color w:val="auto"/>
          <w:spacing w:val="8"/>
          <w:sz w:val="24"/>
          <w:szCs w:val="24"/>
          <w:shd w:val="clear" w:color="auto" w:fill="auto"/>
          <w:lang w:val="en-US" w:eastAsia="zh-CN"/>
        </w:rPr>
      </w:pPr>
      <w:r>
        <w:rPr>
          <w:rFonts w:hint="eastAsia" w:ascii="仿宋" w:hAnsi="仿宋" w:eastAsia="仿宋" w:cs="仿宋"/>
          <w:b w:val="0"/>
          <w:i w:val="0"/>
          <w:caps w:val="0"/>
          <w:color w:val="auto"/>
          <w:spacing w:val="8"/>
          <w:sz w:val="24"/>
          <w:szCs w:val="24"/>
          <w:shd w:val="clear" w:color="auto" w:fill="auto"/>
        </w:rPr>
        <w:t>数量:</w:t>
      </w:r>
      <w:r>
        <w:rPr>
          <w:rFonts w:hint="eastAsia" w:ascii="仿宋" w:hAnsi="仿宋" w:eastAsia="仿宋" w:cs="仿宋"/>
          <w:b w:val="0"/>
          <w:i w:val="0"/>
          <w:caps w:val="0"/>
          <w:color w:val="auto"/>
          <w:spacing w:val="8"/>
          <w:sz w:val="24"/>
          <w:szCs w:val="24"/>
          <w:shd w:val="clear" w:color="auto" w:fill="auto"/>
          <w:lang w:val="en-US" w:eastAsia="zh-CN"/>
        </w:rPr>
        <w:t>1批</w:t>
      </w:r>
    </w:p>
    <w:p w14:paraId="66986D5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7D7D7" w:themeFill="background1" w:themeFillShade="D8"/>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仿宋" w:hAnsi="仿宋" w:eastAsia="仿宋" w:cs="仿宋"/>
          <w:b w:val="0"/>
          <w:i w:val="0"/>
          <w:caps w:val="0"/>
          <w:color w:val="auto"/>
          <w:spacing w:val="8"/>
          <w:sz w:val="24"/>
          <w:szCs w:val="24"/>
          <w:shd w:val="clear" w:color="auto" w:fill="auto"/>
          <w:lang w:val="en-US" w:eastAsia="zh-CN"/>
        </w:rPr>
      </w:pPr>
      <w:r>
        <w:rPr>
          <w:rFonts w:hint="eastAsia" w:ascii="仿宋" w:hAnsi="仿宋" w:eastAsia="仿宋" w:cs="仿宋"/>
          <w:b w:val="0"/>
          <w:i w:val="0"/>
          <w:caps w:val="0"/>
          <w:color w:val="auto"/>
          <w:spacing w:val="8"/>
          <w:sz w:val="24"/>
          <w:szCs w:val="24"/>
          <w:shd w:val="clear" w:color="auto" w:fill="auto"/>
        </w:rPr>
        <w:t>预算金额</w:t>
      </w:r>
      <w:r>
        <w:rPr>
          <w:rFonts w:hint="eastAsia" w:ascii="仿宋" w:hAnsi="仿宋" w:eastAsia="仿宋" w:cs="仿宋"/>
          <w:b w:val="0"/>
          <w:i w:val="0"/>
          <w:caps w:val="0"/>
          <w:color w:val="auto"/>
          <w:spacing w:val="8"/>
          <w:sz w:val="24"/>
          <w:szCs w:val="24"/>
          <w:shd w:val="clear" w:color="auto" w:fill="auto"/>
          <w:lang w:eastAsia="zh-CN"/>
        </w:rPr>
        <w:t>(</w:t>
      </w:r>
      <w:r>
        <w:rPr>
          <w:rFonts w:hint="eastAsia" w:ascii="仿宋" w:hAnsi="仿宋" w:eastAsia="仿宋" w:cs="仿宋"/>
          <w:b w:val="0"/>
          <w:i w:val="0"/>
          <w:caps w:val="0"/>
          <w:color w:val="auto"/>
          <w:spacing w:val="8"/>
          <w:sz w:val="24"/>
          <w:szCs w:val="24"/>
          <w:shd w:val="clear" w:color="auto" w:fill="auto"/>
        </w:rPr>
        <w:t>元</w:t>
      </w:r>
      <w:r>
        <w:rPr>
          <w:rFonts w:hint="eastAsia" w:ascii="仿宋" w:hAnsi="仿宋" w:eastAsia="仿宋" w:cs="仿宋"/>
          <w:b w:val="0"/>
          <w:i w:val="0"/>
          <w:caps w:val="0"/>
          <w:color w:val="auto"/>
          <w:spacing w:val="8"/>
          <w:sz w:val="24"/>
          <w:szCs w:val="24"/>
          <w:shd w:val="clear" w:color="auto" w:fill="auto"/>
          <w:lang w:eastAsia="zh-CN"/>
        </w:rPr>
        <w:t>)</w:t>
      </w:r>
      <w:r>
        <w:rPr>
          <w:rFonts w:hint="eastAsia" w:ascii="仿宋" w:hAnsi="仿宋" w:eastAsia="仿宋" w:cs="仿宋"/>
          <w:b w:val="0"/>
          <w:i w:val="0"/>
          <w:caps w:val="0"/>
          <w:color w:val="auto"/>
          <w:spacing w:val="8"/>
          <w:sz w:val="24"/>
          <w:szCs w:val="24"/>
          <w:shd w:val="clear" w:color="auto" w:fill="auto"/>
        </w:rPr>
        <w:t>:</w:t>
      </w:r>
      <w:r>
        <w:rPr>
          <w:rFonts w:hint="eastAsia" w:ascii="仿宋" w:hAnsi="仿宋" w:eastAsia="仿宋" w:cs="仿宋"/>
          <w:b w:val="0"/>
          <w:i w:val="0"/>
          <w:caps w:val="0"/>
          <w:color w:val="auto"/>
          <w:spacing w:val="8"/>
          <w:sz w:val="24"/>
          <w:szCs w:val="24"/>
          <w:shd w:val="clear" w:color="auto" w:fill="auto"/>
          <w:lang w:val="en-US" w:eastAsia="zh-CN"/>
        </w:rPr>
        <w:t>2450000</w:t>
      </w:r>
    </w:p>
    <w:p w14:paraId="36083CD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7D7D7" w:themeFill="background1" w:themeFillShade="D8"/>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仿宋" w:hAnsi="仿宋" w:eastAsia="仿宋" w:cs="仿宋"/>
          <w:b w:val="0"/>
          <w:i w:val="0"/>
          <w:caps w:val="0"/>
          <w:color w:val="auto"/>
          <w:spacing w:val="8"/>
          <w:sz w:val="24"/>
          <w:szCs w:val="24"/>
          <w:shd w:val="clear" w:color="auto" w:fill="auto"/>
          <w:lang w:val="en-US" w:eastAsia="zh-CN"/>
        </w:rPr>
      </w:pPr>
      <w:r>
        <w:rPr>
          <w:rFonts w:hint="eastAsia" w:ascii="仿宋" w:hAnsi="仿宋" w:eastAsia="仿宋" w:cs="仿宋"/>
          <w:b w:val="0"/>
          <w:i w:val="0"/>
          <w:caps w:val="0"/>
          <w:color w:val="auto"/>
          <w:spacing w:val="8"/>
          <w:sz w:val="24"/>
          <w:szCs w:val="24"/>
          <w:shd w:val="clear" w:color="auto" w:fill="auto"/>
        </w:rPr>
        <w:t>简要规格描述或项目基本概况介绍、用途</w:t>
      </w:r>
      <w:r>
        <w:rPr>
          <w:rFonts w:hint="eastAsia" w:ascii="仿宋" w:hAnsi="仿宋" w:eastAsia="仿宋" w:cs="仿宋"/>
          <w:b w:val="0"/>
          <w:i w:val="0"/>
          <w:caps w:val="0"/>
          <w:color w:val="auto"/>
          <w:spacing w:val="8"/>
          <w:sz w:val="24"/>
          <w:szCs w:val="24"/>
          <w:shd w:val="clear" w:color="auto" w:fill="auto"/>
          <w:lang w:eastAsia="zh-CN"/>
        </w:rPr>
        <w:t>:</w:t>
      </w:r>
      <w:r>
        <w:rPr>
          <w:rFonts w:hint="eastAsia" w:ascii="仿宋" w:hAnsi="仿宋" w:eastAsia="仿宋" w:cs="仿宋"/>
          <w:b w:val="0"/>
          <w:i w:val="0"/>
          <w:caps w:val="0"/>
          <w:color w:val="auto"/>
          <w:spacing w:val="8"/>
          <w:sz w:val="24"/>
          <w:szCs w:val="24"/>
          <w:shd w:val="clear" w:color="auto" w:fill="auto"/>
          <w:lang w:val="en-US" w:eastAsia="zh-CN"/>
        </w:rPr>
        <w:t>采购一批昌吉市市区内花灯、庭州生态绿谷花灯（含安装）。</w:t>
      </w:r>
    </w:p>
    <w:p w14:paraId="2D42DEC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D7D7D7" w:themeFill="background1" w:themeFillShade="D8"/>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color="auto" w:fill="auto"/>
        </w:rPr>
      </w:pPr>
      <w:r>
        <w:rPr>
          <w:rFonts w:hint="eastAsia" w:ascii="仿宋" w:hAnsi="仿宋" w:eastAsia="仿宋" w:cs="仿宋"/>
          <w:b w:val="0"/>
          <w:i w:val="0"/>
          <w:caps w:val="0"/>
          <w:color w:val="auto"/>
          <w:spacing w:val="8"/>
          <w:sz w:val="24"/>
          <w:szCs w:val="24"/>
          <w:shd w:val="clear" w:color="auto" w:fill="auto"/>
        </w:rPr>
        <w:t>备注</w:t>
      </w:r>
      <w:r>
        <w:rPr>
          <w:rFonts w:hint="eastAsia" w:ascii="仿宋" w:hAnsi="仿宋" w:eastAsia="仿宋" w:cs="仿宋"/>
          <w:b w:val="0"/>
          <w:i w:val="0"/>
          <w:caps w:val="0"/>
          <w:color w:val="auto"/>
          <w:spacing w:val="8"/>
          <w:sz w:val="24"/>
          <w:szCs w:val="24"/>
          <w:shd w:val="clear" w:color="auto" w:fill="auto"/>
          <w:lang w:eastAsia="zh-CN"/>
        </w:rPr>
        <w:t>:</w:t>
      </w:r>
      <w:r>
        <w:rPr>
          <w:rFonts w:hint="eastAsia" w:ascii="仿宋" w:hAnsi="仿宋" w:eastAsia="仿宋" w:cs="仿宋"/>
          <w:b w:val="0"/>
          <w:i w:val="0"/>
          <w:caps w:val="0"/>
          <w:color w:val="auto"/>
          <w:spacing w:val="8"/>
          <w:sz w:val="24"/>
          <w:szCs w:val="24"/>
          <w:shd w:val="clear" w:color="auto" w:fill="auto"/>
        </w:rPr>
        <w:t>投标人必须对</w:t>
      </w:r>
      <w:r>
        <w:rPr>
          <w:rFonts w:hint="eastAsia" w:ascii="仿宋" w:hAnsi="仿宋" w:eastAsia="仿宋" w:cs="仿宋"/>
          <w:b w:val="0"/>
          <w:i w:val="0"/>
          <w:caps w:val="0"/>
          <w:color w:val="auto"/>
          <w:spacing w:val="8"/>
          <w:sz w:val="24"/>
          <w:szCs w:val="24"/>
          <w:shd w:val="clear" w:color="auto" w:fill="auto"/>
          <w:lang w:val="en-US" w:eastAsia="zh-CN"/>
        </w:rPr>
        <w:t>采购</w:t>
      </w:r>
      <w:r>
        <w:rPr>
          <w:rFonts w:hint="eastAsia" w:ascii="仿宋" w:hAnsi="仿宋" w:eastAsia="仿宋" w:cs="仿宋"/>
          <w:b w:val="0"/>
          <w:i w:val="0"/>
          <w:caps w:val="0"/>
          <w:color w:val="auto"/>
          <w:spacing w:val="8"/>
          <w:sz w:val="24"/>
          <w:szCs w:val="24"/>
          <w:shd w:val="clear" w:color="auto" w:fill="auto"/>
        </w:rPr>
        <w:t>所有</w:t>
      </w:r>
      <w:r>
        <w:rPr>
          <w:rFonts w:hint="eastAsia" w:ascii="仿宋" w:hAnsi="仿宋" w:eastAsia="仿宋" w:cs="仿宋"/>
          <w:b w:val="0"/>
          <w:i w:val="0"/>
          <w:caps w:val="0"/>
          <w:color w:val="auto"/>
          <w:spacing w:val="8"/>
          <w:sz w:val="24"/>
          <w:szCs w:val="24"/>
          <w:shd w:val="clear" w:color="auto" w:fill="auto"/>
          <w:lang w:val="en-US" w:eastAsia="zh-CN"/>
        </w:rPr>
        <w:t>内容</w:t>
      </w:r>
      <w:r>
        <w:rPr>
          <w:rFonts w:hint="eastAsia" w:ascii="仿宋" w:hAnsi="仿宋" w:eastAsia="仿宋" w:cs="仿宋"/>
          <w:b w:val="0"/>
          <w:i w:val="0"/>
          <w:caps w:val="0"/>
          <w:color w:val="auto"/>
          <w:spacing w:val="8"/>
          <w:sz w:val="24"/>
          <w:szCs w:val="24"/>
          <w:shd w:val="clear" w:color="auto" w:fill="auto"/>
        </w:rPr>
        <w:t>进行投标，不允许只投标其中的一部分，否则作为无效标处理。</w:t>
      </w:r>
    </w:p>
    <w:p w14:paraId="64AECFA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eastAsia="仿宋"/>
          <w:color w:val="auto"/>
          <w:lang w:val="en-US" w:eastAsia="zh-CN"/>
        </w:rPr>
      </w:pPr>
      <w:r>
        <w:rPr>
          <w:rFonts w:hint="eastAsia" w:ascii="仿宋" w:hAnsi="仿宋" w:eastAsia="仿宋" w:cs="仿宋"/>
          <w:b w:val="0"/>
          <w:i w:val="0"/>
          <w:caps w:val="0"/>
          <w:color w:val="auto"/>
          <w:spacing w:val="8"/>
          <w:sz w:val="24"/>
          <w:szCs w:val="24"/>
          <w:shd w:val="clear" w:fill="FFFFFF"/>
        </w:rPr>
        <w:t>合同履行期限</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lang w:val="en-US" w:eastAsia="zh-CN"/>
        </w:rPr>
        <w:t>自合同签订之日起10日历天内竣工验收。</w:t>
      </w:r>
    </w:p>
    <w:p w14:paraId="643742B4">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本项目(否)接受联合体投标。</w:t>
      </w:r>
    </w:p>
    <w:p w14:paraId="50D47B1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eastAsia="黑体"/>
          <w:color w:val="auto"/>
          <w:sz w:val="24"/>
          <w:szCs w:val="24"/>
          <w:lang w:eastAsia="zh-CN"/>
        </w:rPr>
      </w:pPr>
      <w:bookmarkStart w:id="6" w:name="_Toc27589"/>
      <w:bookmarkStart w:id="7" w:name="_Toc29591"/>
      <w:bookmarkStart w:id="8" w:name="_Toc31862"/>
      <w:r>
        <w:rPr>
          <w:rFonts w:hint="eastAsia" w:ascii="黑体" w:hAnsi="宋体" w:eastAsia="黑体" w:cs="黑体"/>
          <w:b w:val="0"/>
          <w:i w:val="0"/>
          <w:caps w:val="0"/>
          <w:color w:val="auto"/>
          <w:spacing w:val="8"/>
          <w:sz w:val="24"/>
          <w:szCs w:val="24"/>
          <w:shd w:val="clear" w:fill="FFFFFF"/>
        </w:rPr>
        <w:t>二、申请人的资格要求</w:t>
      </w:r>
      <w:bookmarkEnd w:id="6"/>
      <w:bookmarkEnd w:id="7"/>
      <w:r>
        <w:rPr>
          <w:rFonts w:hint="eastAsia" w:ascii="黑体" w:hAnsi="宋体" w:cs="黑体"/>
          <w:b w:val="0"/>
          <w:i w:val="0"/>
          <w:caps w:val="0"/>
          <w:color w:val="auto"/>
          <w:spacing w:val="8"/>
          <w:sz w:val="24"/>
          <w:szCs w:val="24"/>
          <w:shd w:val="clear" w:fill="FFFFFF"/>
          <w:lang w:eastAsia="zh-CN"/>
        </w:rPr>
        <w:t>:</w:t>
      </w:r>
      <w:bookmarkEnd w:id="8"/>
    </w:p>
    <w:p w14:paraId="3C18757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color w:val="auto"/>
        </w:rPr>
      </w:pPr>
      <w:r>
        <w:rPr>
          <w:rFonts w:hint="eastAsia" w:ascii="仿宋" w:hAnsi="仿宋" w:eastAsia="仿宋" w:cs="仿宋"/>
          <w:b w:val="0"/>
          <w:i w:val="0"/>
          <w:caps w:val="0"/>
          <w:color w:val="auto"/>
          <w:spacing w:val="8"/>
          <w:sz w:val="24"/>
          <w:szCs w:val="24"/>
          <w:shd w:val="clear" w:fill="FFFFFF"/>
        </w:rPr>
        <w:t>1.满足《中华人民共和国政府采购法》第二十二条规定；</w:t>
      </w:r>
    </w:p>
    <w:p w14:paraId="40FC935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color w:val="auto"/>
        </w:rPr>
      </w:pPr>
      <w:r>
        <w:rPr>
          <w:rFonts w:hint="eastAsia" w:ascii="仿宋" w:hAnsi="仿宋" w:eastAsia="仿宋" w:cs="仿宋"/>
          <w:b w:val="0"/>
          <w:i w:val="0"/>
          <w:caps w:val="0"/>
          <w:color w:val="auto"/>
          <w:spacing w:val="8"/>
          <w:sz w:val="24"/>
          <w:szCs w:val="24"/>
          <w:shd w:val="clear" w:fill="FFFFFF"/>
        </w:rPr>
        <w:t>2.落实政府采购政策需满足的资格要求</w:t>
      </w:r>
      <w:r>
        <w:rPr>
          <w:rFonts w:hint="eastAsia" w:ascii="仿宋" w:hAnsi="仿宋" w:eastAsia="仿宋" w:cs="仿宋"/>
          <w:b w:val="0"/>
          <w:i w:val="0"/>
          <w:caps w:val="0"/>
          <w:color w:val="auto"/>
          <w:spacing w:val="8"/>
          <w:sz w:val="24"/>
          <w:szCs w:val="24"/>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rPr>
        <w:t>本项目为专门面向中小企业采购的项目</w:t>
      </w:r>
    </w:p>
    <w:p w14:paraId="249C2BF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3.本项目的特定资格要求</w:t>
      </w:r>
      <w:r>
        <w:rPr>
          <w:rFonts w:hint="eastAsia" w:ascii="仿宋" w:hAnsi="仿宋" w:eastAsia="仿宋" w:cs="仿宋"/>
          <w:b w:val="0"/>
          <w:i w:val="0"/>
          <w:caps w:val="0"/>
          <w:color w:val="auto"/>
          <w:spacing w:val="8"/>
          <w:sz w:val="24"/>
          <w:szCs w:val="24"/>
          <w:shd w:val="clear" w:fill="FFFFFF"/>
          <w:lang w:eastAsia="zh-CN"/>
        </w:rPr>
        <w:t>:</w:t>
      </w:r>
    </w:p>
    <w:p w14:paraId="0677754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7"/>
          <w:rFonts w:hint="eastAsia" w:ascii="仿宋" w:hAnsi="仿宋" w:eastAsia="仿宋" w:cs="仿宋"/>
          <w:b w:val="0"/>
          <w:i w:val="0"/>
          <w:iCs/>
          <w:caps w:val="0"/>
          <w:color w:val="auto"/>
          <w:spacing w:val="8"/>
          <w:sz w:val="24"/>
          <w:szCs w:val="24"/>
          <w:u w:val="single"/>
          <w:shd w:val="clear" w:fill="FFFFFF"/>
        </w:rPr>
      </w:pP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rPr>
        <w:t>1</w:t>
      </w: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供应商具备</w:t>
      </w:r>
      <w:r>
        <w:rPr>
          <w:rStyle w:val="47"/>
          <w:rFonts w:hint="eastAsia" w:ascii="仿宋" w:hAnsi="仿宋" w:eastAsia="仿宋" w:cs="仿宋"/>
          <w:b w:val="0"/>
          <w:i w:val="0"/>
          <w:iCs/>
          <w:caps w:val="0"/>
          <w:color w:val="auto"/>
          <w:spacing w:val="8"/>
          <w:sz w:val="24"/>
          <w:szCs w:val="24"/>
          <w:u w:val="single"/>
          <w:shd w:val="clear" w:fill="FFFFFF"/>
        </w:rPr>
        <w:t>城市及道路照明工程专业承包</w:t>
      </w:r>
      <w:r>
        <w:rPr>
          <w:rStyle w:val="47"/>
          <w:rFonts w:hint="eastAsia" w:ascii="仿宋" w:hAnsi="仿宋" w:eastAsia="仿宋" w:cs="仿宋"/>
          <w:b w:val="0"/>
          <w:i w:val="0"/>
          <w:iCs/>
          <w:caps w:val="0"/>
          <w:color w:val="auto"/>
          <w:spacing w:val="8"/>
          <w:sz w:val="24"/>
          <w:szCs w:val="24"/>
          <w:u w:val="single"/>
          <w:shd w:val="clear" w:fill="FFFFFF"/>
          <w:lang w:val="en-US" w:eastAsia="zh-CN"/>
        </w:rPr>
        <w:t>三级及以上</w:t>
      </w:r>
      <w:r>
        <w:rPr>
          <w:rStyle w:val="47"/>
          <w:rFonts w:hint="eastAsia" w:ascii="仿宋" w:hAnsi="仿宋" w:eastAsia="仿宋" w:cs="仿宋"/>
          <w:b w:val="0"/>
          <w:i w:val="0"/>
          <w:iCs/>
          <w:caps w:val="0"/>
          <w:color w:val="auto"/>
          <w:spacing w:val="8"/>
          <w:sz w:val="24"/>
          <w:szCs w:val="24"/>
          <w:u w:val="single"/>
          <w:shd w:val="clear" w:fill="FFFFFF"/>
        </w:rPr>
        <w:t>资质；</w:t>
      </w:r>
    </w:p>
    <w:p w14:paraId="3BC15C3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7"/>
          <w:rFonts w:hint="eastAsia" w:ascii="仿宋" w:hAnsi="仿宋" w:eastAsia="仿宋" w:cs="仿宋"/>
          <w:b w:val="0"/>
          <w:i w:val="0"/>
          <w:iCs/>
          <w:caps w:val="0"/>
          <w:color w:val="auto"/>
          <w:spacing w:val="8"/>
          <w:sz w:val="24"/>
          <w:szCs w:val="24"/>
          <w:u w:val="single"/>
          <w:shd w:val="clear" w:fill="FFFFFF"/>
        </w:rPr>
      </w:pP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2</w:t>
      </w: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供应商拟派本项目负责人须具备市政公用工程专业二级建造师注册证书，注册单位名称与供应商名称一致，具备有效的安全生产考核合格证书，未在其他建设工程项目任职，并提供项目负责人无在建项目的企业承诺书（无在建承诺书承诺时间须在开标截止时间前）</w:t>
      </w:r>
      <w:r>
        <w:rPr>
          <w:rStyle w:val="47"/>
          <w:rFonts w:hint="eastAsia" w:ascii="仿宋" w:hAnsi="仿宋" w:eastAsia="仿宋" w:cs="仿宋"/>
          <w:b w:val="0"/>
          <w:i w:val="0"/>
          <w:iCs/>
          <w:caps w:val="0"/>
          <w:color w:val="auto"/>
          <w:spacing w:val="8"/>
          <w:sz w:val="24"/>
          <w:szCs w:val="24"/>
          <w:u w:val="single"/>
          <w:shd w:val="clear" w:fill="FFFFFF"/>
        </w:rPr>
        <w:t>；</w:t>
      </w:r>
    </w:p>
    <w:p w14:paraId="02AF015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7"/>
          <w:rFonts w:hint="eastAsia" w:ascii="仿宋" w:hAnsi="仿宋" w:eastAsia="仿宋" w:cs="仿宋"/>
          <w:b w:val="0"/>
          <w:i w:val="0"/>
          <w:iCs/>
          <w:caps w:val="0"/>
          <w:color w:val="auto"/>
          <w:spacing w:val="8"/>
          <w:sz w:val="24"/>
          <w:szCs w:val="24"/>
          <w:u w:val="single"/>
          <w:shd w:val="clear" w:fill="FFFFFF"/>
        </w:rPr>
      </w:pP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3</w:t>
      </w: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供应商拟派本项目主要管理人员要求：拟派主要管理人员须配备技术负责人1名、质检员1名、施工员1名、安全员1名、造价员（或预算员）1名，前述主要管理人员须提供技术负责人职称证、质检员上岗证、施工员证、安全员相关证书或安全生产考核证（C证）、二级注册造价工程师（或预算员证），专职安全员须提供无在建项目的企业承诺书（无在建承诺书承诺时间须在开标截止时间前）</w:t>
      </w:r>
      <w:r>
        <w:rPr>
          <w:rStyle w:val="47"/>
          <w:rFonts w:hint="eastAsia" w:ascii="仿宋" w:hAnsi="仿宋" w:eastAsia="仿宋" w:cs="仿宋"/>
          <w:b w:val="0"/>
          <w:i w:val="0"/>
          <w:iCs/>
          <w:caps w:val="0"/>
          <w:color w:val="auto"/>
          <w:spacing w:val="8"/>
          <w:sz w:val="24"/>
          <w:szCs w:val="24"/>
          <w:u w:val="single"/>
          <w:shd w:val="clear" w:fill="FFFFFF"/>
        </w:rPr>
        <w:t>；</w:t>
      </w:r>
    </w:p>
    <w:p w14:paraId="06CFBCD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7"/>
          <w:rFonts w:hint="eastAsia" w:ascii="仿宋" w:hAnsi="仿宋" w:eastAsia="仿宋" w:cs="仿宋"/>
          <w:b w:val="0"/>
          <w:i w:val="0"/>
          <w:iCs/>
          <w:caps w:val="0"/>
          <w:color w:val="auto"/>
          <w:spacing w:val="8"/>
          <w:sz w:val="24"/>
          <w:szCs w:val="24"/>
          <w:u w:val="single"/>
          <w:shd w:val="clear" w:fill="FFFFFF"/>
        </w:rPr>
      </w:pP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4</w:t>
      </w: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供应商</w:t>
      </w:r>
      <w:r>
        <w:rPr>
          <w:rStyle w:val="47"/>
          <w:rFonts w:hint="eastAsia" w:ascii="仿宋" w:hAnsi="仿宋" w:eastAsia="仿宋" w:cs="仿宋"/>
          <w:b w:val="0"/>
          <w:i w:val="0"/>
          <w:iCs/>
          <w:caps w:val="0"/>
          <w:color w:val="auto"/>
          <w:spacing w:val="8"/>
          <w:sz w:val="24"/>
          <w:szCs w:val="24"/>
          <w:u w:val="single"/>
          <w:shd w:val="clear" w:fill="FFFFFF"/>
        </w:rPr>
        <w:t>未被“信用中国”网站(www.creditchina.gov.cn)中列入失信被执行人或重大税收违法</w:t>
      </w:r>
      <w:r>
        <w:rPr>
          <w:rStyle w:val="47"/>
          <w:rFonts w:hint="eastAsia" w:ascii="仿宋" w:hAnsi="仿宋" w:eastAsia="仿宋" w:cs="仿宋"/>
          <w:b w:val="0"/>
          <w:i w:val="0"/>
          <w:iCs/>
          <w:caps w:val="0"/>
          <w:color w:val="auto"/>
          <w:spacing w:val="8"/>
          <w:sz w:val="24"/>
          <w:szCs w:val="24"/>
          <w:u w:val="single"/>
          <w:shd w:val="clear" w:fill="FFFFFF"/>
          <w:lang w:val="en-US" w:eastAsia="zh-CN"/>
        </w:rPr>
        <w:t>失信主体</w:t>
      </w:r>
      <w:r>
        <w:rPr>
          <w:rStyle w:val="47"/>
          <w:rFonts w:hint="eastAsia" w:ascii="仿宋" w:hAnsi="仿宋" w:eastAsia="仿宋" w:cs="仿宋"/>
          <w:b w:val="0"/>
          <w:i w:val="0"/>
          <w:iCs/>
          <w:caps w:val="0"/>
          <w:color w:val="auto"/>
          <w:spacing w:val="8"/>
          <w:sz w:val="24"/>
          <w:szCs w:val="24"/>
          <w:u w:val="single"/>
          <w:shd w:val="clear" w:fill="FFFFFF"/>
        </w:rPr>
        <w:t>的供应商、未被中国政府采购网(www.ccgp.gov.cn)列入政府采购严重违法失信行为记录名单中被财政部门禁止参加政府采购活动的供应商(处罚决定规定的时间和地域范围内)；</w:t>
      </w:r>
    </w:p>
    <w:p w14:paraId="74B39A5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rStyle w:val="47"/>
          <w:rFonts w:hint="eastAsia" w:ascii="仿宋" w:hAnsi="仿宋" w:eastAsia="仿宋" w:cs="仿宋"/>
          <w:b w:val="0"/>
          <w:i w:val="0"/>
          <w:iCs/>
          <w:caps w:val="0"/>
          <w:color w:val="auto"/>
          <w:spacing w:val="8"/>
          <w:sz w:val="24"/>
          <w:szCs w:val="24"/>
          <w:u w:val="single"/>
          <w:shd w:val="clear" w:fill="FFFFFF"/>
          <w:lang w:eastAsia="zh-CN"/>
        </w:rPr>
      </w:pP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lang w:val="en-US" w:eastAsia="zh-CN"/>
        </w:rPr>
        <w:t>5</w:t>
      </w:r>
      <w:r>
        <w:rPr>
          <w:rStyle w:val="47"/>
          <w:rFonts w:hint="eastAsia" w:ascii="仿宋" w:hAnsi="仿宋" w:eastAsia="仿宋" w:cs="仿宋"/>
          <w:b w:val="0"/>
          <w:i w:val="0"/>
          <w:iCs/>
          <w:caps w:val="0"/>
          <w:color w:val="auto"/>
          <w:spacing w:val="8"/>
          <w:sz w:val="24"/>
          <w:szCs w:val="24"/>
          <w:u w:val="single"/>
          <w:shd w:val="clear" w:fill="FFFFFF"/>
          <w:lang w:eastAsia="zh-CN"/>
        </w:rPr>
        <w:t>)</w:t>
      </w:r>
      <w:r>
        <w:rPr>
          <w:rStyle w:val="47"/>
          <w:rFonts w:hint="eastAsia" w:ascii="仿宋" w:hAnsi="仿宋" w:eastAsia="仿宋" w:cs="仿宋"/>
          <w:b w:val="0"/>
          <w:i w:val="0"/>
          <w:iCs/>
          <w:caps w:val="0"/>
          <w:color w:val="auto"/>
          <w:spacing w:val="8"/>
          <w:sz w:val="24"/>
          <w:szCs w:val="24"/>
          <w:u w:val="single"/>
          <w:shd w:val="clear" w:fill="FFFFFF"/>
        </w:rPr>
        <w:t>单位负责人为同一人或者存在直接控股、管理关系的不同供应商，不得参加同一合同项下的政府采购活动</w:t>
      </w:r>
      <w:r>
        <w:rPr>
          <w:rStyle w:val="47"/>
          <w:rFonts w:hint="eastAsia" w:ascii="仿宋" w:hAnsi="仿宋" w:eastAsia="仿宋" w:cs="仿宋"/>
          <w:b w:val="0"/>
          <w:i w:val="0"/>
          <w:iCs/>
          <w:caps w:val="0"/>
          <w:color w:val="auto"/>
          <w:spacing w:val="8"/>
          <w:sz w:val="24"/>
          <w:szCs w:val="24"/>
          <w:u w:val="single"/>
          <w:shd w:val="clear" w:fill="FFFFFF"/>
          <w:lang w:eastAsia="zh-CN"/>
        </w:rPr>
        <w:t>。</w:t>
      </w:r>
    </w:p>
    <w:p w14:paraId="2EB62A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color w:val="auto"/>
          <w:sz w:val="24"/>
          <w:szCs w:val="24"/>
        </w:rPr>
      </w:pPr>
      <w:bookmarkStart w:id="9" w:name="_Toc17935"/>
      <w:bookmarkStart w:id="10" w:name="_Toc15853"/>
      <w:bookmarkStart w:id="11" w:name="_Toc28789"/>
      <w:r>
        <w:rPr>
          <w:rFonts w:hint="eastAsia" w:ascii="黑体" w:hAnsi="宋体" w:eastAsia="黑体" w:cs="黑体"/>
          <w:b w:val="0"/>
          <w:i w:val="0"/>
          <w:caps w:val="0"/>
          <w:color w:val="auto"/>
          <w:spacing w:val="8"/>
          <w:sz w:val="24"/>
          <w:szCs w:val="24"/>
          <w:shd w:val="clear" w:fill="FFFFFF"/>
        </w:rPr>
        <w:t>三、获取招标文件</w:t>
      </w:r>
      <w:bookmarkEnd w:id="9"/>
      <w:bookmarkEnd w:id="10"/>
      <w:bookmarkEnd w:id="11"/>
    </w:p>
    <w:p w14:paraId="58EC0C3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时间</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u w:val="none"/>
          <w:shd w:val="clear" w:fill="FFFFFF"/>
        </w:rPr>
        <w:t>202</w:t>
      </w:r>
      <w:r>
        <w:rPr>
          <w:rFonts w:hint="eastAsia" w:ascii="仿宋" w:hAnsi="仿宋" w:eastAsia="仿宋" w:cs="仿宋"/>
          <w:b w:val="0"/>
          <w:i w:val="0"/>
          <w:caps w:val="0"/>
          <w:color w:val="auto"/>
          <w:spacing w:val="8"/>
          <w:sz w:val="24"/>
          <w:szCs w:val="24"/>
          <w:u w:val="none"/>
          <w:shd w:val="clear" w:fill="FFFFFF"/>
          <w:lang w:val="en-US" w:eastAsia="zh-CN"/>
        </w:rPr>
        <w:t>5</w:t>
      </w:r>
      <w:r>
        <w:rPr>
          <w:rFonts w:hint="eastAsia" w:ascii="仿宋" w:hAnsi="仿宋" w:eastAsia="仿宋" w:cs="仿宋"/>
          <w:b w:val="0"/>
          <w:i w:val="0"/>
          <w:caps w:val="0"/>
          <w:color w:val="auto"/>
          <w:spacing w:val="8"/>
          <w:sz w:val="24"/>
          <w:szCs w:val="24"/>
          <w:u w:val="none"/>
          <w:shd w:val="clear" w:fill="FFFFFF"/>
        </w:rPr>
        <w:t>年</w:t>
      </w:r>
      <w:r>
        <w:rPr>
          <w:rFonts w:hint="eastAsia" w:ascii="仿宋" w:hAnsi="仿宋" w:eastAsia="仿宋" w:cs="仿宋"/>
          <w:b w:val="0"/>
          <w:i w:val="0"/>
          <w:caps w:val="0"/>
          <w:color w:val="auto"/>
          <w:spacing w:val="8"/>
          <w:sz w:val="24"/>
          <w:szCs w:val="24"/>
          <w:u w:val="none"/>
          <w:shd w:val="clear" w:fill="FFFFFF"/>
          <w:lang w:val="en-US" w:eastAsia="zh-CN"/>
        </w:rPr>
        <w:t>01</w:t>
      </w:r>
      <w:r>
        <w:rPr>
          <w:rFonts w:hint="eastAsia" w:ascii="仿宋" w:hAnsi="仿宋" w:eastAsia="仿宋" w:cs="仿宋"/>
          <w:b w:val="0"/>
          <w:i w:val="0"/>
          <w:caps w:val="0"/>
          <w:color w:val="auto"/>
          <w:spacing w:val="8"/>
          <w:sz w:val="24"/>
          <w:szCs w:val="24"/>
          <w:u w:val="none"/>
          <w:shd w:val="clear" w:fill="FFFFFF"/>
        </w:rPr>
        <w:t>月</w:t>
      </w:r>
      <w:r>
        <w:rPr>
          <w:rFonts w:hint="eastAsia" w:ascii="仿宋" w:hAnsi="仿宋" w:eastAsia="仿宋" w:cs="仿宋"/>
          <w:b w:val="0"/>
          <w:i w:val="0"/>
          <w:caps w:val="0"/>
          <w:color w:val="auto"/>
          <w:spacing w:val="8"/>
          <w:sz w:val="24"/>
          <w:szCs w:val="24"/>
          <w:u w:val="none"/>
          <w:shd w:val="clear" w:fill="FFFFFF"/>
          <w:lang w:val="en-US" w:eastAsia="zh-CN"/>
        </w:rPr>
        <w:t>22</w:t>
      </w:r>
      <w:r>
        <w:rPr>
          <w:rFonts w:hint="eastAsia" w:ascii="仿宋" w:hAnsi="仿宋" w:eastAsia="仿宋" w:cs="仿宋"/>
          <w:b w:val="0"/>
          <w:i w:val="0"/>
          <w:caps w:val="0"/>
          <w:color w:val="auto"/>
          <w:spacing w:val="8"/>
          <w:sz w:val="24"/>
          <w:szCs w:val="24"/>
          <w:u w:val="none"/>
          <w:shd w:val="clear" w:fill="FFFFFF"/>
        </w:rPr>
        <w:t>日至202</w:t>
      </w:r>
      <w:r>
        <w:rPr>
          <w:rFonts w:hint="eastAsia" w:ascii="仿宋" w:hAnsi="仿宋" w:eastAsia="仿宋" w:cs="仿宋"/>
          <w:b w:val="0"/>
          <w:i w:val="0"/>
          <w:caps w:val="0"/>
          <w:color w:val="auto"/>
          <w:spacing w:val="8"/>
          <w:sz w:val="24"/>
          <w:szCs w:val="24"/>
          <w:u w:val="none"/>
          <w:shd w:val="clear" w:fill="FFFFFF"/>
          <w:lang w:val="en-US" w:eastAsia="zh-CN"/>
        </w:rPr>
        <w:t>5</w:t>
      </w:r>
      <w:r>
        <w:rPr>
          <w:rFonts w:hint="eastAsia" w:ascii="仿宋" w:hAnsi="仿宋" w:eastAsia="仿宋" w:cs="仿宋"/>
          <w:b w:val="0"/>
          <w:i w:val="0"/>
          <w:caps w:val="0"/>
          <w:color w:val="auto"/>
          <w:spacing w:val="8"/>
          <w:sz w:val="24"/>
          <w:szCs w:val="24"/>
          <w:u w:val="none"/>
          <w:shd w:val="clear" w:fill="FFFFFF"/>
        </w:rPr>
        <w:t>年0</w:t>
      </w:r>
      <w:r>
        <w:rPr>
          <w:rFonts w:hint="eastAsia" w:ascii="仿宋" w:hAnsi="仿宋" w:eastAsia="仿宋" w:cs="仿宋"/>
          <w:b w:val="0"/>
          <w:i w:val="0"/>
          <w:caps w:val="0"/>
          <w:color w:val="auto"/>
          <w:spacing w:val="8"/>
          <w:sz w:val="24"/>
          <w:szCs w:val="24"/>
          <w:u w:val="none"/>
          <w:shd w:val="clear" w:fill="FFFFFF"/>
          <w:lang w:val="en-US" w:eastAsia="zh-CN"/>
        </w:rPr>
        <w:t>2</w:t>
      </w:r>
      <w:r>
        <w:rPr>
          <w:rFonts w:hint="eastAsia" w:ascii="仿宋" w:hAnsi="仿宋" w:eastAsia="仿宋" w:cs="仿宋"/>
          <w:b w:val="0"/>
          <w:i w:val="0"/>
          <w:caps w:val="0"/>
          <w:color w:val="auto"/>
          <w:spacing w:val="8"/>
          <w:sz w:val="24"/>
          <w:szCs w:val="24"/>
          <w:u w:val="none"/>
          <w:shd w:val="clear" w:fill="FFFFFF"/>
        </w:rPr>
        <w:t>月</w:t>
      </w:r>
      <w:r>
        <w:rPr>
          <w:rFonts w:hint="eastAsia" w:ascii="仿宋" w:hAnsi="仿宋" w:eastAsia="仿宋" w:cs="仿宋"/>
          <w:b w:val="0"/>
          <w:i w:val="0"/>
          <w:caps w:val="0"/>
          <w:color w:val="auto"/>
          <w:spacing w:val="8"/>
          <w:sz w:val="24"/>
          <w:szCs w:val="24"/>
          <w:u w:val="none"/>
          <w:shd w:val="clear" w:fill="FFFFFF"/>
          <w:lang w:val="en-US" w:eastAsia="zh-CN"/>
        </w:rPr>
        <w:t>05</w:t>
      </w:r>
      <w:r>
        <w:rPr>
          <w:rFonts w:hint="eastAsia" w:ascii="仿宋" w:hAnsi="仿宋" w:eastAsia="仿宋" w:cs="仿宋"/>
          <w:b w:val="0"/>
          <w:i w:val="0"/>
          <w:caps w:val="0"/>
          <w:color w:val="auto"/>
          <w:spacing w:val="8"/>
          <w:sz w:val="24"/>
          <w:szCs w:val="24"/>
          <w:u w:val="none"/>
          <w:shd w:val="clear" w:fill="FFFFFF"/>
        </w:rPr>
        <w:t>日，每天上午00</w:t>
      </w:r>
      <w:r>
        <w:rPr>
          <w:rFonts w:hint="eastAsia" w:ascii="仿宋" w:hAnsi="仿宋" w:eastAsia="仿宋" w:cs="仿宋"/>
          <w:b w:val="0"/>
          <w:i w:val="0"/>
          <w:caps w:val="0"/>
          <w:color w:val="auto"/>
          <w:spacing w:val="8"/>
          <w:sz w:val="24"/>
          <w:szCs w:val="24"/>
          <w:u w:val="none"/>
          <w:shd w:val="clear" w:fill="FFFFFF"/>
          <w:lang w:eastAsia="zh-CN"/>
        </w:rPr>
        <w:t>:</w:t>
      </w:r>
      <w:r>
        <w:rPr>
          <w:rFonts w:hint="eastAsia" w:ascii="仿宋" w:hAnsi="仿宋" w:eastAsia="仿宋" w:cs="仿宋"/>
          <w:b w:val="0"/>
          <w:i w:val="0"/>
          <w:caps w:val="0"/>
          <w:color w:val="auto"/>
          <w:spacing w:val="8"/>
          <w:sz w:val="24"/>
          <w:szCs w:val="24"/>
          <w:u w:val="none"/>
          <w:shd w:val="clear" w:fill="FFFFFF"/>
        </w:rPr>
        <w:t>00至1</w:t>
      </w:r>
      <w:r>
        <w:rPr>
          <w:rFonts w:hint="eastAsia" w:ascii="仿宋" w:hAnsi="仿宋" w:eastAsia="仿宋" w:cs="仿宋"/>
          <w:b w:val="0"/>
          <w:i w:val="0"/>
          <w:caps w:val="0"/>
          <w:color w:val="auto"/>
          <w:spacing w:val="8"/>
          <w:sz w:val="24"/>
          <w:szCs w:val="24"/>
          <w:u w:val="none"/>
          <w:shd w:val="clear" w:fill="FFFFFF"/>
          <w:lang w:val="en-US" w:eastAsia="zh-CN"/>
        </w:rPr>
        <w:t>2</w:t>
      </w:r>
      <w:r>
        <w:rPr>
          <w:rFonts w:hint="eastAsia" w:ascii="仿宋" w:hAnsi="仿宋" w:eastAsia="仿宋" w:cs="仿宋"/>
          <w:b w:val="0"/>
          <w:i w:val="0"/>
          <w:caps w:val="0"/>
          <w:color w:val="auto"/>
          <w:spacing w:val="8"/>
          <w:sz w:val="24"/>
          <w:szCs w:val="24"/>
          <w:u w:val="none"/>
          <w:shd w:val="clear" w:fill="FFFFFF"/>
          <w:lang w:eastAsia="zh-CN"/>
        </w:rPr>
        <w:t>:</w:t>
      </w:r>
      <w:r>
        <w:rPr>
          <w:rFonts w:hint="eastAsia" w:ascii="仿宋" w:hAnsi="仿宋" w:eastAsia="仿宋" w:cs="仿宋"/>
          <w:b w:val="0"/>
          <w:i w:val="0"/>
          <w:caps w:val="0"/>
          <w:color w:val="auto"/>
          <w:spacing w:val="8"/>
          <w:sz w:val="24"/>
          <w:szCs w:val="24"/>
          <w:u w:val="none"/>
          <w:shd w:val="clear" w:fill="FFFFFF"/>
        </w:rPr>
        <w:t>00，下午1</w:t>
      </w:r>
      <w:r>
        <w:rPr>
          <w:rFonts w:hint="eastAsia" w:ascii="仿宋" w:hAnsi="仿宋" w:eastAsia="仿宋" w:cs="仿宋"/>
          <w:b w:val="0"/>
          <w:i w:val="0"/>
          <w:caps w:val="0"/>
          <w:color w:val="auto"/>
          <w:spacing w:val="8"/>
          <w:sz w:val="24"/>
          <w:szCs w:val="24"/>
          <w:u w:val="none"/>
          <w:shd w:val="clear" w:fill="FFFFFF"/>
          <w:lang w:val="en-US" w:eastAsia="zh-CN"/>
        </w:rPr>
        <w:t>2</w:t>
      </w:r>
      <w:r>
        <w:rPr>
          <w:rFonts w:hint="eastAsia" w:ascii="仿宋" w:hAnsi="仿宋" w:eastAsia="仿宋" w:cs="仿宋"/>
          <w:b w:val="0"/>
          <w:i w:val="0"/>
          <w:caps w:val="0"/>
          <w:color w:val="auto"/>
          <w:spacing w:val="8"/>
          <w:sz w:val="24"/>
          <w:szCs w:val="24"/>
          <w:u w:val="none"/>
          <w:shd w:val="clear" w:fill="FFFFFF"/>
          <w:lang w:eastAsia="zh-CN"/>
        </w:rPr>
        <w:t>:</w:t>
      </w:r>
      <w:r>
        <w:rPr>
          <w:rFonts w:hint="eastAsia" w:ascii="仿宋" w:hAnsi="仿宋" w:eastAsia="仿宋" w:cs="仿宋"/>
          <w:b w:val="0"/>
          <w:i w:val="0"/>
          <w:caps w:val="0"/>
          <w:color w:val="auto"/>
          <w:spacing w:val="8"/>
          <w:sz w:val="24"/>
          <w:szCs w:val="24"/>
          <w:u w:val="none"/>
          <w:shd w:val="clear" w:fill="FFFFFF"/>
        </w:rPr>
        <w:t>00至23</w:t>
      </w:r>
      <w:r>
        <w:rPr>
          <w:rFonts w:hint="eastAsia" w:ascii="仿宋" w:hAnsi="仿宋" w:eastAsia="仿宋" w:cs="仿宋"/>
          <w:b w:val="0"/>
          <w:i w:val="0"/>
          <w:caps w:val="0"/>
          <w:color w:val="auto"/>
          <w:spacing w:val="8"/>
          <w:sz w:val="24"/>
          <w:szCs w:val="24"/>
          <w:u w:val="none"/>
          <w:shd w:val="clear" w:fill="FFFFFF"/>
          <w:lang w:eastAsia="zh-CN"/>
        </w:rPr>
        <w:t>:</w:t>
      </w:r>
      <w:r>
        <w:rPr>
          <w:rFonts w:hint="eastAsia" w:ascii="仿宋" w:hAnsi="仿宋" w:eastAsia="仿宋" w:cs="仿宋"/>
          <w:b w:val="0"/>
          <w:i w:val="0"/>
          <w:caps w:val="0"/>
          <w:color w:val="auto"/>
          <w:spacing w:val="8"/>
          <w:sz w:val="24"/>
          <w:szCs w:val="24"/>
          <w:u w:val="none"/>
          <w:shd w:val="clear" w:fill="FFFFFF"/>
        </w:rPr>
        <w:t>59</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rPr>
        <w:t>北京时间，法定节假日除外</w:t>
      </w:r>
      <w:r>
        <w:rPr>
          <w:rFonts w:hint="eastAsia" w:ascii="仿宋" w:hAnsi="仿宋" w:eastAsia="仿宋" w:cs="仿宋"/>
          <w:b w:val="0"/>
          <w:i w:val="0"/>
          <w:caps w:val="0"/>
          <w:color w:val="auto"/>
          <w:spacing w:val="8"/>
          <w:sz w:val="24"/>
          <w:szCs w:val="24"/>
          <w:shd w:val="clear" w:fill="FFFFFF"/>
          <w:lang w:eastAsia="zh-CN"/>
        </w:rPr>
        <w:t>)</w:t>
      </w:r>
    </w:p>
    <w:p w14:paraId="48FDE08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地点:政采云平台线上</w:t>
      </w:r>
    </w:p>
    <w:p w14:paraId="2F2E52A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rPr>
      </w:pPr>
      <w:r>
        <w:rPr>
          <w:rFonts w:hint="eastAsia" w:ascii="仿宋" w:hAnsi="仿宋" w:eastAsia="仿宋" w:cs="仿宋"/>
          <w:b w:val="0"/>
          <w:i w:val="0"/>
          <w:caps w:val="0"/>
          <w:color w:val="auto"/>
          <w:spacing w:val="8"/>
          <w:sz w:val="24"/>
          <w:szCs w:val="24"/>
          <w:shd w:val="clear" w:fill="FFFFFF"/>
        </w:rPr>
        <w:t>方式</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lang w:val="en-US" w:eastAsia="zh-CN"/>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供应商获取招标文件前应注册成为政府采购云平台正式供应商。</w:t>
      </w:r>
      <w:r>
        <w:rPr>
          <w:rFonts w:hint="eastAsia" w:ascii="仿宋" w:hAnsi="仿宋" w:eastAsia="仿宋" w:cs="仿宋"/>
          <w:b w:val="0"/>
          <w:i w:val="0"/>
          <w:caps w:val="0"/>
          <w:color w:val="auto"/>
          <w:spacing w:val="8"/>
          <w:sz w:val="24"/>
          <w:szCs w:val="24"/>
          <w:shd w:val="clear" w:fill="FFFFFF"/>
        </w:rPr>
        <w:t>如有操作性问题，可与政采云在线客服进行咨询，咨询电话</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rPr>
        <w:t>95763</w:t>
      </w:r>
      <w:r>
        <w:rPr>
          <w:rFonts w:hint="eastAsia" w:ascii="仿宋" w:hAnsi="仿宋" w:eastAsia="仿宋" w:cs="仿宋"/>
          <w:b w:val="0"/>
          <w:i w:val="0"/>
          <w:caps w:val="0"/>
          <w:color w:val="auto"/>
          <w:spacing w:val="8"/>
          <w:sz w:val="24"/>
          <w:szCs w:val="24"/>
          <w:shd w:val="clear" w:fill="FFFFFF"/>
          <w:lang w:eastAsia="zh-CN"/>
        </w:rPr>
        <w:t>)</w:t>
      </w:r>
    </w:p>
    <w:p w14:paraId="157883CC">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color w:val="auto"/>
        </w:rPr>
      </w:pPr>
      <w:r>
        <w:rPr>
          <w:rFonts w:hint="eastAsia" w:ascii="仿宋" w:hAnsi="仿宋" w:eastAsia="仿宋" w:cs="仿宋"/>
          <w:b w:val="0"/>
          <w:i w:val="0"/>
          <w:caps w:val="0"/>
          <w:color w:val="auto"/>
          <w:spacing w:val="8"/>
          <w:sz w:val="24"/>
          <w:szCs w:val="24"/>
          <w:shd w:val="clear" w:fill="FFFFFF"/>
        </w:rPr>
        <w:t>售价</w:t>
      </w:r>
      <w:r>
        <w:rPr>
          <w:rFonts w:hint="eastAsia" w:ascii="仿宋" w:hAnsi="仿宋" w:eastAsia="仿宋" w:cs="仿宋"/>
          <w:b w:val="0"/>
          <w:i w:val="0"/>
          <w:caps w:val="0"/>
          <w:color w:val="auto"/>
          <w:spacing w:val="8"/>
          <w:sz w:val="24"/>
          <w:szCs w:val="24"/>
          <w:shd w:val="clear" w:fill="FFFFFF"/>
          <w:lang w:val="en-US" w:eastAsia="zh-CN"/>
        </w:rPr>
        <w:t>(元)</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lang w:val="en-US" w:eastAsia="zh-CN"/>
        </w:rPr>
        <w:t>0</w:t>
      </w:r>
    </w:p>
    <w:p w14:paraId="3512944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color w:val="auto"/>
          <w:sz w:val="24"/>
          <w:szCs w:val="24"/>
        </w:rPr>
      </w:pPr>
      <w:bookmarkStart w:id="12" w:name="_Toc10041"/>
      <w:bookmarkStart w:id="13" w:name="_Toc31496"/>
      <w:bookmarkStart w:id="14" w:name="_Toc12406"/>
      <w:r>
        <w:rPr>
          <w:rFonts w:hint="eastAsia" w:ascii="黑体" w:hAnsi="宋体" w:eastAsia="黑体" w:cs="黑体"/>
          <w:b w:val="0"/>
          <w:i w:val="0"/>
          <w:caps w:val="0"/>
          <w:color w:val="auto"/>
          <w:spacing w:val="8"/>
          <w:sz w:val="24"/>
          <w:szCs w:val="24"/>
          <w:shd w:val="clear" w:fill="FFFFFF"/>
        </w:rPr>
        <w:t>四、提交投标文件截止时间、开标时间和地点</w:t>
      </w:r>
      <w:bookmarkEnd w:id="12"/>
      <w:bookmarkEnd w:id="13"/>
      <w:bookmarkEnd w:id="14"/>
    </w:p>
    <w:p w14:paraId="76C30D2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lang w:val="en-US" w:eastAsia="zh-CN"/>
        </w:rPr>
        <w:t>提交投标文件截止时间：</w:t>
      </w:r>
      <w:r>
        <w:rPr>
          <w:rStyle w:val="47"/>
          <w:rFonts w:hint="eastAsia" w:ascii="仿宋" w:hAnsi="仿宋" w:eastAsia="仿宋" w:cs="仿宋"/>
          <w:b w:val="0"/>
          <w:i w:val="0"/>
          <w:iCs/>
          <w:caps w:val="0"/>
          <w:color w:val="auto"/>
          <w:spacing w:val="8"/>
          <w:sz w:val="24"/>
          <w:szCs w:val="24"/>
          <w:u w:val="none"/>
          <w:shd w:val="clear" w:fill="FFFFFF"/>
          <w:lang w:val="en-US" w:eastAsia="zh-CN"/>
        </w:rPr>
        <w:t>2025年02月11日10:30</w:t>
      </w:r>
      <w:r>
        <w:rPr>
          <w:rFonts w:hint="eastAsia" w:ascii="仿宋" w:hAnsi="仿宋" w:eastAsia="仿宋" w:cs="仿宋"/>
          <w:b w:val="0"/>
          <w:i w:val="0"/>
          <w:caps w:val="0"/>
          <w:color w:val="auto"/>
          <w:spacing w:val="8"/>
          <w:sz w:val="24"/>
          <w:szCs w:val="24"/>
          <w:shd w:val="clear" w:fill="FFFFFF"/>
          <w:lang w:val="en-US" w:eastAsia="zh-CN"/>
        </w:rPr>
        <w:t>(北京时间)</w:t>
      </w:r>
    </w:p>
    <w:p w14:paraId="55C2F51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rPr>
      </w:pPr>
      <w:bookmarkStart w:id="15" w:name="_Toc30724"/>
      <w:bookmarkStart w:id="16" w:name="_Toc11567"/>
      <w:r>
        <w:rPr>
          <w:rFonts w:hint="eastAsia" w:ascii="仿宋" w:hAnsi="仿宋" w:eastAsia="仿宋" w:cs="仿宋"/>
          <w:b w:val="0"/>
          <w:i w:val="0"/>
          <w:caps w:val="0"/>
          <w:color w:val="auto"/>
          <w:spacing w:val="8"/>
          <w:sz w:val="24"/>
          <w:szCs w:val="24"/>
          <w:shd w:val="clear" w:fill="FFFFFF"/>
        </w:rPr>
        <w:t>投标地点：请登录政采云投标客户端投标</w:t>
      </w:r>
    </w:p>
    <w:p w14:paraId="2867873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lang w:eastAsia="zh-CN"/>
        </w:rPr>
      </w:pPr>
      <w:r>
        <w:rPr>
          <w:rFonts w:hint="eastAsia" w:ascii="仿宋" w:hAnsi="仿宋" w:eastAsia="仿宋" w:cs="仿宋"/>
          <w:b w:val="0"/>
          <w:i w:val="0"/>
          <w:caps w:val="0"/>
          <w:color w:val="auto"/>
          <w:spacing w:val="8"/>
          <w:sz w:val="24"/>
          <w:szCs w:val="24"/>
          <w:shd w:val="clear" w:fill="FFFFFF"/>
        </w:rPr>
        <w:t>开标时间：</w:t>
      </w:r>
      <w:r>
        <w:rPr>
          <w:rStyle w:val="47"/>
          <w:rFonts w:hint="eastAsia" w:ascii="仿宋" w:hAnsi="仿宋" w:eastAsia="仿宋" w:cs="仿宋"/>
          <w:b w:val="0"/>
          <w:i w:val="0"/>
          <w:iCs/>
          <w:caps w:val="0"/>
          <w:color w:val="auto"/>
          <w:spacing w:val="8"/>
          <w:sz w:val="24"/>
          <w:szCs w:val="24"/>
          <w:u w:val="none"/>
          <w:shd w:val="clear" w:fill="FFFFFF"/>
          <w:lang w:val="en-US" w:eastAsia="zh-CN"/>
        </w:rPr>
        <w:t>2025年02月11日10:30</w:t>
      </w:r>
      <w:r>
        <w:rPr>
          <w:rFonts w:hint="eastAsia" w:ascii="仿宋" w:hAnsi="仿宋" w:eastAsia="仿宋" w:cs="仿宋"/>
          <w:b w:val="0"/>
          <w:i w:val="0"/>
          <w:caps w:val="0"/>
          <w:color w:val="auto"/>
          <w:spacing w:val="8"/>
          <w:sz w:val="24"/>
          <w:szCs w:val="24"/>
          <w:shd w:val="clear" w:fill="FFFFFF"/>
          <w:lang w:eastAsia="zh-CN"/>
        </w:rPr>
        <w:t>(</w:t>
      </w:r>
      <w:r>
        <w:rPr>
          <w:rFonts w:hint="eastAsia" w:ascii="仿宋" w:hAnsi="仿宋" w:eastAsia="仿宋" w:cs="仿宋"/>
          <w:b w:val="0"/>
          <w:i w:val="0"/>
          <w:caps w:val="0"/>
          <w:color w:val="auto"/>
          <w:spacing w:val="8"/>
          <w:sz w:val="24"/>
          <w:szCs w:val="24"/>
          <w:shd w:val="clear" w:fill="FFFFFF"/>
        </w:rPr>
        <w:t>北京时间</w:t>
      </w:r>
      <w:r>
        <w:rPr>
          <w:rFonts w:hint="eastAsia" w:ascii="仿宋" w:hAnsi="仿宋" w:eastAsia="仿宋" w:cs="仿宋"/>
          <w:b w:val="0"/>
          <w:i w:val="0"/>
          <w:caps w:val="0"/>
          <w:color w:val="auto"/>
          <w:spacing w:val="8"/>
          <w:sz w:val="24"/>
          <w:szCs w:val="24"/>
          <w:shd w:val="clear" w:fill="FFFFFF"/>
          <w:lang w:eastAsia="zh-CN"/>
        </w:rPr>
        <w:t>)</w:t>
      </w:r>
    </w:p>
    <w:p w14:paraId="002E2C5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40"/>
        <w:jc w:val="both"/>
        <w:textAlignment w:val="auto"/>
        <w:rPr>
          <w:rFonts w:hint="eastAsia" w:ascii="仿宋" w:hAnsi="仿宋" w:eastAsia="仿宋" w:cs="仿宋"/>
          <w:b w:val="0"/>
          <w:i w:val="0"/>
          <w:caps w:val="0"/>
          <w:color w:val="auto"/>
          <w:spacing w:val="8"/>
          <w:sz w:val="24"/>
          <w:szCs w:val="24"/>
          <w:shd w:val="clear" w:fill="FFFFFF"/>
        </w:rPr>
      </w:pPr>
      <w:r>
        <w:rPr>
          <w:rFonts w:hint="eastAsia" w:ascii="仿宋" w:hAnsi="仿宋" w:eastAsia="仿宋" w:cs="仿宋"/>
          <w:b w:val="0"/>
          <w:i w:val="0"/>
          <w:caps w:val="0"/>
          <w:color w:val="auto"/>
          <w:spacing w:val="8"/>
          <w:sz w:val="24"/>
          <w:szCs w:val="24"/>
          <w:shd w:val="clear" w:fill="FFFFFF"/>
        </w:rPr>
        <w:t>开标地点：投标人登录政采云平台https://www.zcygov.cn/，进入“项目采购-开标评标-右边选择对应项目点击“进入项目”进入开标大厅。</w:t>
      </w:r>
    </w:p>
    <w:p w14:paraId="31D9EC1D">
      <w:pPr>
        <w:pStyle w:val="5"/>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color w:val="auto"/>
          <w:sz w:val="24"/>
          <w:szCs w:val="24"/>
        </w:rPr>
      </w:pPr>
      <w:bookmarkStart w:id="17" w:name="_Toc28188"/>
      <w:r>
        <w:rPr>
          <w:rFonts w:hint="eastAsia" w:ascii="黑体" w:hAnsi="宋体" w:eastAsia="黑体" w:cs="黑体"/>
          <w:b w:val="0"/>
          <w:i w:val="0"/>
          <w:caps w:val="0"/>
          <w:color w:val="auto"/>
          <w:spacing w:val="8"/>
          <w:sz w:val="24"/>
          <w:szCs w:val="24"/>
          <w:shd w:val="clear" w:fill="FFFFFF"/>
        </w:rPr>
        <w:t>五、公告期限</w:t>
      </w:r>
      <w:bookmarkEnd w:id="15"/>
      <w:bookmarkEnd w:id="16"/>
      <w:bookmarkEnd w:id="17"/>
    </w:p>
    <w:p w14:paraId="7E7BD6A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55"/>
        <w:jc w:val="both"/>
        <w:textAlignment w:val="auto"/>
        <w:rPr>
          <w:color w:val="auto"/>
        </w:rPr>
      </w:pPr>
      <w:r>
        <w:rPr>
          <w:rFonts w:hint="eastAsia" w:ascii="仿宋" w:hAnsi="仿宋" w:eastAsia="仿宋" w:cs="仿宋"/>
          <w:b w:val="0"/>
          <w:i w:val="0"/>
          <w:caps w:val="0"/>
          <w:color w:val="auto"/>
          <w:spacing w:val="8"/>
          <w:sz w:val="24"/>
          <w:szCs w:val="24"/>
          <w:shd w:val="clear" w:fill="FFFFFF"/>
        </w:rPr>
        <w:t>自本公告发布之日起5个工作日。</w:t>
      </w:r>
    </w:p>
    <w:p w14:paraId="1D5444BD">
      <w:pPr>
        <w:pStyle w:val="5"/>
        <w:keepNext/>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黑体" w:hAnsi="宋体" w:eastAsia="黑体" w:cs="黑体"/>
          <w:b w:val="0"/>
          <w:i w:val="0"/>
          <w:caps w:val="0"/>
          <w:color w:val="auto"/>
          <w:spacing w:val="8"/>
          <w:sz w:val="24"/>
          <w:szCs w:val="24"/>
          <w:shd w:val="clear" w:fill="FFFFFF"/>
        </w:rPr>
      </w:pPr>
      <w:bookmarkStart w:id="18" w:name="_Toc1866"/>
      <w:bookmarkStart w:id="19" w:name="_Toc28366"/>
      <w:bookmarkStart w:id="20" w:name="_Toc3527"/>
      <w:r>
        <w:rPr>
          <w:rFonts w:hint="eastAsia" w:ascii="黑体" w:hAnsi="宋体" w:eastAsia="黑体" w:cs="黑体"/>
          <w:b w:val="0"/>
          <w:i w:val="0"/>
          <w:caps w:val="0"/>
          <w:color w:val="auto"/>
          <w:spacing w:val="8"/>
          <w:sz w:val="24"/>
          <w:szCs w:val="24"/>
          <w:shd w:val="clear" w:fill="FFFFFF"/>
        </w:rPr>
        <w:t>六、其他补充事宜</w:t>
      </w:r>
      <w:bookmarkEnd w:id="18"/>
      <w:bookmarkEnd w:id="19"/>
      <w:bookmarkEnd w:id="20"/>
    </w:p>
    <w:p w14:paraId="75D1D97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1.本项目采用全流程不见面电子开评标，投标供应商需要使用CA加密设备，供应商可通过新疆数字证书认证中心官网(https://www.xjca.com.cn/)或下载“新疆政务通”APP自行进行申领。</w:t>
      </w:r>
    </w:p>
    <w:p w14:paraId="64887D7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2.本项目实行网上投标，采用加密电子投标文件(供应商须使用CA加密设备通过政采云电子投标客户端制作投标文件)。若供应商参与投标，自行承担投标一切费用。</w:t>
      </w:r>
    </w:p>
    <w:p w14:paraId="5D8B1BAC">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185274E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4.供应商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95763进行咨询。</w:t>
      </w:r>
    </w:p>
    <w:p w14:paraId="15AF6E84">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5.供应商在开标时须使用制作加密电子投标文件所使用的CA锁及电脑，电脑须提前配置好浏览器(建议使用谷歌浏览器)，以便开标时解锁。</w:t>
      </w:r>
    </w:p>
    <w:p w14:paraId="477082B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群：35547618、二十一群：44303812，钉钉工具软件具有回放功能，直播培训结束后可在钉钉群中回放观看学习。</w:t>
      </w:r>
    </w:p>
    <w:p w14:paraId="24AEAE6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7.为了保证开评标顺利进行，政采云线上开标功能完全实现，供应商开标所使用的电脑设备须具有视频及语音功能。</w:t>
      </w:r>
    </w:p>
    <w:p w14:paraId="7FBE207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default"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8、本项目为专门面向中小企业(含中型、小型、微型企业)采购项目，根据《政府采购促进中小企业发展管理办法》(财库[2020]46号)的规定，不再执行价格评审优惠的扶持政策。注：中小企业划分标准依据《工业和信息化部、国家统计局、国家发展和改革委员会、财政部关于印发中小企业划型标准规定的通知》(工信部联企业〔2011〕300号)规定。本项目采购标的对应的中小企业划分标准所属行</w:t>
      </w:r>
      <w:r>
        <w:rPr>
          <w:rFonts w:hint="eastAsia" w:ascii="仿宋" w:hAnsi="仿宋" w:eastAsia="仿宋" w:cs="仿宋"/>
          <w:b w:val="0"/>
          <w:i w:val="0"/>
          <w:caps w:val="0"/>
          <w:color w:val="auto"/>
          <w:spacing w:val="8"/>
          <w:sz w:val="24"/>
          <w:szCs w:val="24"/>
          <w:highlight w:val="none"/>
          <w:shd w:val="clear"/>
          <w:lang w:val="en-US" w:eastAsia="zh-CN"/>
        </w:rPr>
        <w:t>业为</w:t>
      </w:r>
      <w:r>
        <w:rPr>
          <w:rFonts w:hint="eastAsia" w:ascii="仿宋" w:hAnsi="仿宋" w:eastAsia="仿宋" w:cs="仿宋"/>
          <w:b/>
          <w:bCs/>
          <w:i w:val="0"/>
          <w:caps w:val="0"/>
          <w:color w:val="auto"/>
          <w:spacing w:val="8"/>
          <w:sz w:val="24"/>
          <w:szCs w:val="24"/>
          <w:highlight w:val="none"/>
          <w:shd w:val="clear"/>
          <w:lang w:val="en-US" w:eastAsia="zh-CN"/>
        </w:rPr>
        <w:t>建筑业</w:t>
      </w:r>
      <w:r>
        <w:rPr>
          <w:rFonts w:hint="eastAsia" w:ascii="仿宋" w:hAnsi="仿宋" w:eastAsia="仿宋" w:cs="仿宋"/>
          <w:b w:val="0"/>
          <w:i w:val="0"/>
          <w:caps w:val="0"/>
          <w:color w:val="auto"/>
          <w:spacing w:val="8"/>
          <w:sz w:val="24"/>
          <w:szCs w:val="24"/>
          <w:highlight w:val="none"/>
          <w:shd w:val="clear"/>
          <w:lang w:val="en-US" w:eastAsia="zh-CN"/>
        </w:rPr>
        <w:t>。</w:t>
      </w:r>
    </w:p>
    <w:p w14:paraId="63AF8D8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color w:val="auto"/>
          <w:sz w:val="24"/>
          <w:szCs w:val="24"/>
        </w:rPr>
      </w:pPr>
      <w:bookmarkStart w:id="21" w:name="_Toc11086"/>
      <w:bookmarkStart w:id="22" w:name="_Toc11398"/>
      <w:bookmarkStart w:id="23" w:name="_Toc13729"/>
      <w:r>
        <w:rPr>
          <w:rFonts w:hint="eastAsia" w:ascii="黑体" w:hAnsi="宋体" w:eastAsia="黑体" w:cs="黑体"/>
          <w:b w:val="0"/>
          <w:i w:val="0"/>
          <w:caps w:val="0"/>
          <w:color w:val="auto"/>
          <w:spacing w:val="8"/>
          <w:sz w:val="24"/>
          <w:szCs w:val="24"/>
          <w:shd w:val="clear" w:fill="FFFFFF"/>
        </w:rPr>
        <w:t>七、对本次招标提出询问，请按以下方式联系。</w:t>
      </w:r>
      <w:bookmarkEnd w:id="21"/>
      <w:bookmarkEnd w:id="22"/>
      <w:bookmarkEnd w:id="23"/>
    </w:p>
    <w:p w14:paraId="234FD1E8">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left"/>
        <w:textAlignment w:val="auto"/>
        <w:rPr>
          <w:color w:val="auto"/>
        </w:rPr>
      </w:pPr>
      <w:r>
        <w:rPr>
          <w:rFonts w:hint="eastAsia" w:ascii="仿宋" w:hAnsi="仿宋" w:eastAsia="仿宋" w:cs="仿宋"/>
          <w:b w:val="0"/>
          <w:i w:val="0"/>
          <w:caps w:val="0"/>
          <w:color w:val="auto"/>
          <w:spacing w:val="8"/>
          <w:sz w:val="24"/>
          <w:szCs w:val="24"/>
          <w:shd w:val="clear" w:fill="FFFFFF"/>
        </w:rPr>
        <w:t>1.采购人信息</w:t>
      </w:r>
    </w:p>
    <w:p w14:paraId="6818DAC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名 称:昌吉市市政养护管理中心</w:t>
      </w:r>
    </w:p>
    <w:p w14:paraId="38BDF5B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地址:昌吉市健康西路19号</w:t>
      </w:r>
    </w:p>
    <w:p w14:paraId="224AC4E8">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default" w:ascii="仿宋" w:hAnsi="仿宋" w:eastAsia="仿宋" w:cs="仿宋"/>
          <w:b w:val="0"/>
          <w:i w:val="0"/>
          <w:caps w:val="0"/>
          <w:color w:val="auto"/>
          <w:spacing w:val="8"/>
          <w:sz w:val="24"/>
          <w:szCs w:val="24"/>
          <w:highlight w:val="none"/>
          <w:shd w:val="clear" w:fill="FFFFFF"/>
          <w:lang w:val="en-US" w:eastAsia="zh-CN"/>
        </w:rPr>
      </w:pPr>
      <w:r>
        <w:rPr>
          <w:rFonts w:hint="eastAsia" w:ascii="仿宋" w:hAnsi="仿宋" w:eastAsia="仿宋" w:cs="仿宋"/>
          <w:b w:val="0"/>
          <w:i w:val="0"/>
          <w:caps w:val="0"/>
          <w:color w:val="auto"/>
          <w:spacing w:val="8"/>
          <w:sz w:val="24"/>
          <w:szCs w:val="24"/>
          <w:highlight w:val="none"/>
          <w:shd w:val="clear" w:fill="FFFFFF"/>
          <w:lang w:val="en-US" w:eastAsia="zh-CN"/>
        </w:rPr>
        <w:t>联系方式:0994-2287807</w:t>
      </w:r>
    </w:p>
    <w:p w14:paraId="40DA3AD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left"/>
        <w:textAlignment w:val="auto"/>
        <w:rPr>
          <w:rFonts w:hint="eastAsia" w:eastAsia="仿宋"/>
          <w:color w:val="auto"/>
          <w:lang w:eastAsia="zh-CN"/>
        </w:rPr>
      </w:pPr>
      <w:r>
        <w:rPr>
          <w:rFonts w:hint="eastAsia" w:ascii="仿宋" w:hAnsi="仿宋" w:eastAsia="仿宋" w:cs="仿宋"/>
          <w:b w:val="0"/>
          <w:i w:val="0"/>
          <w:caps w:val="0"/>
          <w:color w:val="auto"/>
          <w:spacing w:val="8"/>
          <w:sz w:val="24"/>
          <w:szCs w:val="24"/>
          <w:shd w:val="clear" w:fill="FFFFFF"/>
        </w:rPr>
        <w:t>2.采购代理机构信息</w:t>
      </w:r>
    </w:p>
    <w:p w14:paraId="7CF9C368">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名 称:新疆昌盛方略项目管理有限公司</w:t>
      </w:r>
    </w:p>
    <w:p w14:paraId="44414FE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地　址:新疆昌吉回族自治州昌吉市南公园西路融投小镇1号楼A座14层（昌吉州国投大厦1幢14楼1419）</w:t>
      </w:r>
    </w:p>
    <w:p w14:paraId="41B4206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联系方式:18699555509</w:t>
      </w:r>
    </w:p>
    <w:p w14:paraId="3175A10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12" w:firstLineChars="2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3.项目联系方式</w:t>
      </w:r>
    </w:p>
    <w:p w14:paraId="222AC62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项目联系人:胡女士、朱先生</w:t>
      </w:r>
    </w:p>
    <w:p w14:paraId="35152BA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768" w:firstLineChars="300"/>
        <w:jc w:val="both"/>
        <w:textAlignment w:val="auto"/>
        <w:rPr>
          <w:rFonts w:hint="eastAsia" w:ascii="仿宋" w:hAnsi="仿宋" w:eastAsia="仿宋" w:cs="仿宋"/>
          <w:b w:val="0"/>
          <w:i w:val="0"/>
          <w:caps w:val="0"/>
          <w:color w:val="auto"/>
          <w:spacing w:val="8"/>
          <w:sz w:val="24"/>
          <w:szCs w:val="24"/>
          <w:shd w:val="clear" w:fill="FFFFFF"/>
          <w:lang w:val="en-US" w:eastAsia="zh-CN"/>
        </w:rPr>
      </w:pPr>
      <w:r>
        <w:rPr>
          <w:rFonts w:hint="eastAsia" w:ascii="仿宋" w:hAnsi="仿宋" w:eastAsia="仿宋" w:cs="仿宋"/>
          <w:b w:val="0"/>
          <w:i w:val="0"/>
          <w:caps w:val="0"/>
          <w:color w:val="auto"/>
          <w:spacing w:val="8"/>
          <w:sz w:val="24"/>
          <w:szCs w:val="24"/>
          <w:shd w:val="clear" w:fill="FFFFFF"/>
          <w:lang w:val="en-US" w:eastAsia="zh-CN"/>
        </w:rPr>
        <w:t>电　话:18699555509</w:t>
      </w:r>
    </w:p>
    <w:p w14:paraId="29486F04">
      <w:pPr>
        <w:autoSpaceDE w:val="0"/>
        <w:autoSpaceDN w:val="0"/>
        <w:adjustRightInd w:val="0"/>
        <w:snapToGrid w:val="0"/>
        <w:spacing w:afterLines="50"/>
        <w:jc w:val="center"/>
        <w:outlineLvl w:val="0"/>
        <w:rPr>
          <w:rFonts w:ascii="宋体" w:hAnsi="宋体" w:cs="黑体"/>
          <w:color w:val="auto"/>
          <w:kern w:val="0"/>
          <w:sz w:val="32"/>
          <w:szCs w:val="32"/>
        </w:rPr>
      </w:pPr>
      <w:r>
        <w:rPr>
          <w:rFonts w:ascii="宋体" w:hAnsi="宋体" w:cs="黑体"/>
          <w:color w:val="auto"/>
          <w:kern w:val="0"/>
          <w:sz w:val="32"/>
          <w:szCs w:val="32"/>
        </w:rPr>
        <w:br w:type="page"/>
      </w:r>
      <w:bookmarkStart w:id="24" w:name="_Toc31486"/>
      <w:bookmarkStart w:id="25" w:name="_Toc23973"/>
      <w:bookmarkStart w:id="26" w:name="_Toc32458"/>
      <w:r>
        <w:rPr>
          <w:rFonts w:hint="eastAsia" w:ascii="宋体" w:hAnsi="宋体" w:cs="黑体"/>
          <w:color w:val="auto"/>
          <w:kern w:val="0"/>
          <w:sz w:val="32"/>
          <w:szCs w:val="32"/>
        </w:rPr>
        <w:t>第二章</w:t>
      </w:r>
      <w:r>
        <w:rPr>
          <w:rFonts w:ascii="宋体" w:hAnsi="宋体" w:cs="黑体"/>
          <w:color w:val="auto"/>
          <w:kern w:val="0"/>
          <w:sz w:val="32"/>
          <w:szCs w:val="32"/>
        </w:rPr>
        <w:t xml:space="preserve"> </w:t>
      </w:r>
      <w:r>
        <w:rPr>
          <w:rFonts w:hint="eastAsia" w:ascii="宋体" w:hAnsi="宋体" w:cs="黑体"/>
          <w:color w:val="auto"/>
          <w:kern w:val="0"/>
          <w:sz w:val="32"/>
          <w:szCs w:val="32"/>
        </w:rPr>
        <w:t>投标人须知</w:t>
      </w:r>
      <w:bookmarkEnd w:id="24"/>
      <w:bookmarkEnd w:id="25"/>
      <w:bookmarkEnd w:id="26"/>
    </w:p>
    <w:p w14:paraId="39447E0F">
      <w:pPr>
        <w:autoSpaceDE w:val="0"/>
        <w:autoSpaceDN w:val="0"/>
        <w:adjustRightInd w:val="0"/>
        <w:snapToGrid w:val="0"/>
        <w:spacing w:afterLines="50"/>
        <w:jc w:val="center"/>
        <w:outlineLvl w:val="1"/>
        <w:rPr>
          <w:rFonts w:hint="eastAsia" w:ascii="宋体" w:hAnsi="宋体" w:cs="黑体"/>
          <w:color w:val="auto"/>
          <w:kern w:val="0"/>
          <w:sz w:val="28"/>
          <w:szCs w:val="28"/>
        </w:rPr>
      </w:pPr>
      <w:bookmarkStart w:id="27" w:name="_Toc23346"/>
      <w:bookmarkStart w:id="28" w:name="_Toc30054"/>
      <w:bookmarkStart w:id="29" w:name="_Toc7370"/>
      <w:r>
        <w:rPr>
          <w:rFonts w:hint="eastAsia" w:ascii="宋体" w:hAnsi="宋体" w:cs="黑体"/>
          <w:color w:val="auto"/>
          <w:kern w:val="0"/>
          <w:sz w:val="28"/>
          <w:szCs w:val="28"/>
          <w:lang w:eastAsia="zh-CN"/>
        </w:rPr>
        <w:t>(</w:t>
      </w:r>
      <w:r>
        <w:rPr>
          <w:rFonts w:hint="eastAsia" w:ascii="宋体" w:hAnsi="宋体" w:cs="黑体"/>
          <w:color w:val="auto"/>
          <w:kern w:val="0"/>
          <w:sz w:val="28"/>
          <w:szCs w:val="28"/>
        </w:rPr>
        <w:t>一</w:t>
      </w:r>
      <w:r>
        <w:rPr>
          <w:rFonts w:hint="eastAsia" w:ascii="宋体" w:hAnsi="宋体" w:cs="黑体"/>
          <w:color w:val="auto"/>
          <w:kern w:val="0"/>
          <w:sz w:val="28"/>
          <w:szCs w:val="28"/>
          <w:lang w:eastAsia="zh-CN"/>
        </w:rPr>
        <w:t>)</w:t>
      </w:r>
      <w:r>
        <w:rPr>
          <w:rFonts w:hint="eastAsia" w:ascii="宋体" w:hAnsi="宋体" w:cs="黑体"/>
          <w:color w:val="auto"/>
          <w:kern w:val="0"/>
          <w:sz w:val="28"/>
          <w:szCs w:val="28"/>
        </w:rPr>
        <w:t>投标人须知前附表</w:t>
      </w:r>
      <w:bookmarkEnd w:id="27"/>
      <w:bookmarkEnd w:id="28"/>
      <w:bookmarkEnd w:id="29"/>
    </w:p>
    <w:p w14:paraId="2D4601A8">
      <w:pPr>
        <w:autoSpaceDE w:val="0"/>
        <w:autoSpaceDN w:val="0"/>
        <w:adjustRightInd w:val="0"/>
        <w:snapToGrid w:val="0"/>
        <w:spacing w:afterLines="50"/>
        <w:jc w:val="left"/>
        <w:outlineLvl w:val="9"/>
        <w:rPr>
          <w:rFonts w:hint="eastAsia" w:ascii="宋体" w:hAnsi="宋体" w:cs="黑体"/>
          <w:color w:val="auto"/>
          <w:kern w:val="0"/>
          <w:sz w:val="28"/>
          <w:szCs w:val="28"/>
        </w:rPr>
      </w:pPr>
      <w:bookmarkStart w:id="30" w:name="_Toc10360"/>
      <w:r>
        <w:rPr>
          <w:rFonts w:hint="eastAsia" w:ascii="宋体" w:hAnsi="宋体" w:cs="黑体"/>
          <w:color w:val="auto"/>
          <w:kern w:val="0"/>
          <w:sz w:val="24"/>
          <w:szCs w:val="24"/>
          <w:lang w:val="en-US" w:eastAsia="zh-CN"/>
        </w:rPr>
        <w:t>注:投标人须知正文与本表不一致的以本表为准</w:t>
      </w:r>
      <w:bookmarkEnd w:id="30"/>
    </w:p>
    <w:tbl>
      <w:tblPr>
        <w:tblStyle w:val="41"/>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15"/>
        <w:gridCol w:w="5675"/>
      </w:tblGrid>
      <w:tr w14:paraId="08BB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88" w:type="dxa"/>
            <w:vAlign w:val="center"/>
          </w:tcPr>
          <w:p w14:paraId="334BB2C3">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条款号</w:t>
            </w:r>
          </w:p>
        </w:tc>
        <w:tc>
          <w:tcPr>
            <w:tcW w:w="2515" w:type="dxa"/>
            <w:vAlign w:val="center"/>
          </w:tcPr>
          <w:p w14:paraId="0821B496">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条</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款</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名</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称</w:t>
            </w:r>
          </w:p>
        </w:tc>
        <w:tc>
          <w:tcPr>
            <w:tcW w:w="5675" w:type="dxa"/>
            <w:vAlign w:val="center"/>
          </w:tcPr>
          <w:p w14:paraId="4A850112">
            <w:pPr>
              <w:autoSpaceDE w:val="0"/>
              <w:autoSpaceDN w:val="0"/>
              <w:adjustRightInd w:val="0"/>
              <w:snapToGrid w:val="0"/>
              <w:jc w:val="center"/>
              <w:outlineLvl w:val="9"/>
              <w:rPr>
                <w:rFonts w:ascii="宋体" w:hAnsi="宋体" w:cs="黑体"/>
                <w:color w:val="auto"/>
                <w:kern w:val="0"/>
                <w:sz w:val="21"/>
                <w:szCs w:val="21"/>
              </w:rPr>
            </w:pPr>
            <w:r>
              <w:rPr>
                <w:rFonts w:hint="eastAsia" w:ascii="宋体" w:hAnsi="宋体" w:cs="仿宋_GB2312"/>
                <w:color w:val="auto"/>
                <w:kern w:val="0"/>
                <w:sz w:val="21"/>
                <w:szCs w:val="21"/>
              </w:rPr>
              <w:t>编</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列</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内</w:t>
            </w:r>
            <w:r>
              <w:rPr>
                <w:rFonts w:ascii="宋体" w:hAnsi="宋体" w:cs="仿宋_GB2312"/>
                <w:color w:val="auto"/>
                <w:kern w:val="0"/>
                <w:sz w:val="21"/>
                <w:szCs w:val="21"/>
              </w:rPr>
              <w:t xml:space="preserve"> </w:t>
            </w:r>
            <w:r>
              <w:rPr>
                <w:rFonts w:hint="eastAsia" w:ascii="宋体" w:hAnsi="宋体" w:cs="仿宋_GB2312"/>
                <w:color w:val="auto"/>
                <w:kern w:val="0"/>
                <w:sz w:val="21"/>
                <w:szCs w:val="21"/>
              </w:rPr>
              <w:t>容</w:t>
            </w:r>
          </w:p>
        </w:tc>
      </w:tr>
      <w:tr w14:paraId="2DF7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28EFEB4">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仿宋_GB2312"/>
                <w:color w:val="auto"/>
                <w:kern w:val="0"/>
                <w:sz w:val="21"/>
                <w:szCs w:val="21"/>
                <w:lang w:val="en-US" w:eastAsia="zh-CN"/>
              </w:rPr>
              <w:t>1.5.1</w:t>
            </w:r>
          </w:p>
        </w:tc>
        <w:tc>
          <w:tcPr>
            <w:tcW w:w="2515" w:type="dxa"/>
            <w:vAlign w:val="center"/>
          </w:tcPr>
          <w:p w14:paraId="43D3A740">
            <w:pPr>
              <w:autoSpaceDE w:val="0"/>
              <w:autoSpaceDN w:val="0"/>
              <w:adjustRightInd w:val="0"/>
              <w:snapToGrid w:val="0"/>
              <w:jc w:val="left"/>
              <w:outlineLvl w:val="9"/>
              <w:rPr>
                <w:rFonts w:ascii="宋体" w:hAnsi="宋体" w:cs="仿宋_GB2312"/>
                <w:color w:val="auto"/>
                <w:kern w:val="0"/>
                <w:sz w:val="21"/>
                <w:szCs w:val="21"/>
              </w:rPr>
            </w:pPr>
            <w:r>
              <w:rPr>
                <w:rFonts w:hint="eastAsia" w:ascii="宋体" w:hAnsi="宋体" w:cs="黑体"/>
                <w:color w:val="auto"/>
                <w:kern w:val="0"/>
                <w:sz w:val="21"/>
                <w:szCs w:val="21"/>
              </w:rPr>
              <w:t>采购标的对应的中小企业划分标准所属行业</w:t>
            </w:r>
          </w:p>
        </w:tc>
        <w:tc>
          <w:tcPr>
            <w:tcW w:w="5675" w:type="dxa"/>
            <w:vAlign w:val="center"/>
          </w:tcPr>
          <w:p w14:paraId="43351DED">
            <w:pPr>
              <w:autoSpaceDE w:val="0"/>
              <w:autoSpaceDN w:val="0"/>
              <w:adjustRightInd w:val="0"/>
              <w:snapToGrid w:val="0"/>
              <w:jc w:val="left"/>
              <w:outlineLvl w:val="9"/>
              <w:rPr>
                <w:rFonts w:hint="eastAsia" w:ascii="宋体" w:hAnsi="宋体" w:eastAsia="宋体" w:cs="仿宋_GB2312"/>
                <w:color w:val="auto"/>
                <w:kern w:val="0"/>
                <w:sz w:val="21"/>
                <w:szCs w:val="21"/>
                <w:lang w:eastAsia="zh-CN"/>
              </w:rPr>
            </w:pPr>
            <w:r>
              <w:rPr>
                <w:rFonts w:hint="eastAsia" w:ascii="宋体" w:hAnsi="宋体" w:cs="黑体"/>
                <w:color w:val="auto"/>
                <w:kern w:val="0"/>
                <w:sz w:val="21"/>
                <w:szCs w:val="21"/>
              </w:rPr>
              <w:t>所属行业</w:t>
            </w:r>
            <w:r>
              <w:rPr>
                <w:rFonts w:hint="eastAsia" w:ascii="宋体" w:hAnsi="宋体" w:cs="黑体"/>
                <w:color w:val="auto"/>
                <w:kern w:val="0"/>
                <w:sz w:val="21"/>
                <w:szCs w:val="21"/>
                <w:lang w:val="en-US" w:eastAsia="zh-CN"/>
              </w:rPr>
              <w:t>为:</w:t>
            </w:r>
            <w:r>
              <w:rPr>
                <w:rFonts w:hint="eastAsia" w:ascii="宋体" w:hAnsi="宋体" w:cs="黑体"/>
                <w:b/>
                <w:bCs/>
                <w:color w:val="auto"/>
                <w:kern w:val="0"/>
                <w:sz w:val="21"/>
                <w:szCs w:val="21"/>
                <w:lang w:val="en-US" w:eastAsia="zh-CN"/>
              </w:rPr>
              <w:t>建筑业</w:t>
            </w:r>
          </w:p>
        </w:tc>
      </w:tr>
      <w:tr w14:paraId="636D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shd w:val="clear" w:color="auto" w:fill="auto"/>
            <w:vAlign w:val="center"/>
          </w:tcPr>
          <w:p w14:paraId="32732BB0">
            <w:pPr>
              <w:autoSpaceDE w:val="0"/>
              <w:autoSpaceDN w:val="0"/>
              <w:adjustRightInd w:val="0"/>
              <w:snapToGrid w:val="0"/>
              <w:jc w:val="center"/>
              <w:outlineLvl w:val="9"/>
              <w:rPr>
                <w:rFonts w:hint="eastAsia" w:ascii="宋体" w:hAnsi="宋体" w:cs="仿宋_GB2312"/>
                <w:color w:val="auto"/>
                <w:kern w:val="0"/>
                <w:sz w:val="21"/>
                <w:szCs w:val="21"/>
                <w:shd w:val="clear" w:color="auto" w:fill="auto"/>
                <w:lang w:val="en-US" w:eastAsia="zh-CN"/>
              </w:rPr>
            </w:pPr>
            <w:r>
              <w:rPr>
                <w:rFonts w:hint="eastAsia" w:ascii="宋体" w:hAnsi="宋体" w:cs="仿宋_GB2312"/>
                <w:color w:val="auto"/>
                <w:kern w:val="0"/>
                <w:sz w:val="21"/>
                <w:szCs w:val="21"/>
                <w:shd w:val="clear" w:color="auto" w:fill="auto"/>
                <w:lang w:val="en-US" w:eastAsia="zh-CN"/>
              </w:rPr>
              <w:t>1.5.2</w:t>
            </w:r>
          </w:p>
        </w:tc>
        <w:tc>
          <w:tcPr>
            <w:tcW w:w="2515" w:type="dxa"/>
            <w:shd w:val="clear" w:color="auto" w:fill="auto"/>
            <w:vAlign w:val="center"/>
          </w:tcPr>
          <w:p w14:paraId="57C388D4">
            <w:pPr>
              <w:autoSpaceDE w:val="0"/>
              <w:autoSpaceDN w:val="0"/>
              <w:adjustRightInd w:val="0"/>
              <w:snapToGrid w:val="0"/>
              <w:jc w:val="left"/>
              <w:outlineLvl w:val="9"/>
              <w:rPr>
                <w:rFonts w:hint="eastAsia" w:ascii="宋体" w:hAnsi="宋体" w:cs="黑体"/>
                <w:color w:val="auto"/>
                <w:kern w:val="0"/>
                <w:sz w:val="21"/>
                <w:szCs w:val="21"/>
                <w:shd w:val="clear" w:color="auto" w:fill="auto"/>
                <w:lang w:val="en-US" w:eastAsia="zh-CN"/>
              </w:rPr>
            </w:pPr>
            <w:r>
              <w:rPr>
                <w:rFonts w:hint="eastAsia" w:ascii="宋体" w:hAnsi="宋体" w:cs="黑体"/>
                <w:color w:val="auto"/>
                <w:kern w:val="0"/>
                <w:sz w:val="21"/>
                <w:szCs w:val="21"/>
                <w:shd w:val="clear" w:color="auto" w:fill="auto"/>
                <w:lang w:val="en-US" w:eastAsia="zh-CN"/>
              </w:rPr>
              <w:t>是否</w:t>
            </w:r>
            <w:r>
              <w:rPr>
                <w:rFonts w:hint="eastAsia" w:ascii="宋体" w:hAnsi="宋体" w:cs="黑体"/>
                <w:color w:val="auto"/>
                <w:kern w:val="0"/>
                <w:sz w:val="21"/>
                <w:szCs w:val="21"/>
                <w:shd w:val="clear" w:color="auto" w:fill="auto"/>
              </w:rPr>
              <w:t>专门面向中小企业或小型、微型企业采购</w:t>
            </w:r>
          </w:p>
        </w:tc>
        <w:tc>
          <w:tcPr>
            <w:tcW w:w="5675" w:type="dxa"/>
            <w:shd w:val="clear" w:color="auto" w:fill="auto"/>
            <w:vAlign w:val="center"/>
          </w:tcPr>
          <w:p w14:paraId="413184F5">
            <w:pPr>
              <w:shd w:val="clear"/>
              <w:autoSpaceDE w:val="0"/>
              <w:autoSpaceDN w:val="0"/>
              <w:adjustRightInd w:val="0"/>
              <w:snapToGrid w:val="0"/>
              <w:jc w:val="left"/>
              <w:outlineLvl w:val="9"/>
              <w:rPr>
                <w:rFonts w:hint="eastAsia" w:ascii="宋体" w:hAnsi="宋体" w:eastAsia="宋体" w:cs="仿宋_GB2312"/>
                <w:color w:val="auto"/>
                <w:kern w:val="0"/>
                <w:sz w:val="21"/>
                <w:szCs w:val="21"/>
                <w:shd w:val="clear" w:color="auto" w:fill="auto"/>
                <w:lang w:val="en-US" w:eastAsia="zh-CN"/>
              </w:rPr>
            </w:pPr>
            <w:r>
              <w:rPr>
                <w:rFonts w:hint="eastAsia" w:ascii="宋体" w:hAnsi="宋体" w:cs="仿宋_GB2312"/>
                <w:color w:val="auto"/>
                <w:kern w:val="0"/>
                <w:sz w:val="21"/>
                <w:szCs w:val="21"/>
                <w:shd w:val="clear" w:color="auto" w:fill="auto"/>
                <w:lang w:eastAsia="zh-CN"/>
              </w:rPr>
              <w:t>☑</w:t>
            </w:r>
            <w:r>
              <w:rPr>
                <w:rFonts w:hint="eastAsia" w:ascii="宋体" w:hAnsi="宋体" w:cs="仿宋_GB2312"/>
                <w:color w:val="auto"/>
                <w:kern w:val="0"/>
                <w:sz w:val="21"/>
                <w:szCs w:val="21"/>
                <w:shd w:val="clear" w:color="auto" w:fill="auto"/>
                <w:lang w:val="en-US" w:eastAsia="zh-CN"/>
              </w:rPr>
              <w:t>是</w:t>
            </w:r>
          </w:p>
          <w:p w14:paraId="1564A14A">
            <w:pPr>
              <w:shd w:val="clear"/>
              <w:autoSpaceDE w:val="0"/>
              <w:autoSpaceDN w:val="0"/>
              <w:adjustRightInd w:val="0"/>
              <w:snapToGrid w:val="0"/>
              <w:jc w:val="left"/>
              <w:outlineLvl w:val="9"/>
              <w:rPr>
                <w:rFonts w:hint="eastAsia" w:ascii="宋体" w:hAnsi="宋体" w:cs="仿宋_GB2312"/>
                <w:color w:val="auto"/>
                <w:kern w:val="0"/>
                <w:sz w:val="21"/>
                <w:szCs w:val="21"/>
                <w:shd w:val="clear" w:color="auto" w:fill="auto"/>
              </w:rPr>
            </w:pPr>
            <w:r>
              <w:rPr>
                <w:rFonts w:hint="eastAsia" w:ascii="宋体" w:hAnsi="宋体" w:cs="仿宋_GB2312"/>
                <w:color w:val="auto"/>
                <w:kern w:val="0"/>
                <w:sz w:val="21"/>
                <w:szCs w:val="21"/>
                <w:shd w:val="clear" w:color="auto" w:fill="auto"/>
                <w:lang w:eastAsia="zh-CN"/>
              </w:rPr>
              <w:t>□</w:t>
            </w:r>
            <w:r>
              <w:rPr>
                <w:rFonts w:hint="eastAsia" w:ascii="宋体" w:hAnsi="宋体" w:cs="仿宋_GB2312"/>
                <w:color w:val="auto"/>
                <w:kern w:val="0"/>
                <w:sz w:val="21"/>
                <w:szCs w:val="21"/>
                <w:shd w:val="clear" w:color="auto" w:fill="auto"/>
                <w:lang w:val="en-US" w:eastAsia="zh-CN"/>
              </w:rPr>
              <w:t>否</w:t>
            </w:r>
          </w:p>
        </w:tc>
      </w:tr>
      <w:tr w14:paraId="51FA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322B8BD">
            <w:pPr>
              <w:autoSpaceDE w:val="0"/>
              <w:autoSpaceDN w:val="0"/>
              <w:adjustRightInd w:val="0"/>
              <w:snapToGrid w:val="0"/>
              <w:jc w:val="center"/>
              <w:outlineLvl w:val="9"/>
              <w:rPr>
                <w:rFonts w:hint="default" w:ascii="宋体" w:hAnsi="宋体" w:cs="仿宋_GB2312"/>
                <w:color w:val="auto"/>
                <w:kern w:val="0"/>
                <w:sz w:val="21"/>
                <w:szCs w:val="21"/>
                <w:lang w:val="en-US" w:eastAsia="zh-CN"/>
              </w:rPr>
            </w:pPr>
            <w:r>
              <w:rPr>
                <w:rFonts w:hint="eastAsia" w:ascii="宋体" w:hAnsi="宋体" w:cs="仿宋_GB2312"/>
                <w:color w:val="auto"/>
                <w:kern w:val="0"/>
                <w:sz w:val="21"/>
                <w:szCs w:val="21"/>
                <w:lang w:val="en-US" w:eastAsia="zh-CN"/>
              </w:rPr>
              <w:t>1.6</w:t>
            </w:r>
          </w:p>
        </w:tc>
        <w:tc>
          <w:tcPr>
            <w:tcW w:w="2515" w:type="dxa"/>
            <w:vAlign w:val="center"/>
          </w:tcPr>
          <w:p w14:paraId="539527A8">
            <w:pPr>
              <w:autoSpaceDE w:val="0"/>
              <w:autoSpaceDN w:val="0"/>
              <w:adjustRightInd w:val="0"/>
              <w:snapToGrid w:val="0"/>
              <w:jc w:val="left"/>
              <w:outlineLvl w:val="9"/>
              <w:rPr>
                <w:rFonts w:hint="default" w:ascii="宋体" w:hAnsi="宋体" w:cs="黑体"/>
                <w:color w:val="auto"/>
                <w:kern w:val="0"/>
                <w:sz w:val="21"/>
                <w:szCs w:val="21"/>
                <w:lang w:val="en-US" w:eastAsia="zh-CN"/>
              </w:rPr>
            </w:pPr>
            <w:r>
              <w:rPr>
                <w:rFonts w:hint="eastAsia" w:ascii="宋体" w:hAnsi="宋体" w:cs="黑体"/>
                <w:color w:val="auto"/>
                <w:kern w:val="0"/>
                <w:sz w:val="21"/>
                <w:szCs w:val="21"/>
                <w:lang w:val="en-US" w:eastAsia="zh-CN"/>
              </w:rPr>
              <w:t>是否</w:t>
            </w:r>
            <w:r>
              <w:rPr>
                <w:rFonts w:hint="eastAsia" w:ascii="宋体" w:hAnsi="宋体" w:cs="黑体"/>
                <w:color w:val="auto"/>
                <w:kern w:val="0"/>
                <w:sz w:val="21"/>
                <w:szCs w:val="21"/>
              </w:rPr>
              <w:t>允许采用分包方式履行合同</w:t>
            </w:r>
          </w:p>
        </w:tc>
        <w:tc>
          <w:tcPr>
            <w:tcW w:w="5675" w:type="dxa"/>
            <w:vAlign w:val="center"/>
          </w:tcPr>
          <w:p w14:paraId="362B9F40">
            <w:pPr>
              <w:autoSpaceDE w:val="0"/>
              <w:autoSpaceDN w:val="0"/>
              <w:adjustRightInd w:val="0"/>
              <w:snapToGrid w:val="0"/>
              <w:jc w:val="left"/>
              <w:outlineLvl w:val="9"/>
              <w:rPr>
                <w:rFonts w:hint="eastAsia" w:ascii="宋体" w:hAnsi="宋体" w:eastAsia="宋体" w:cs="仿宋_GB2312"/>
                <w:color w:val="auto"/>
                <w:kern w:val="0"/>
                <w:sz w:val="21"/>
                <w:szCs w:val="21"/>
                <w:lang w:val="en-US"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lang w:val="en-US" w:eastAsia="zh-CN"/>
              </w:rPr>
              <w:t>不允许</w:t>
            </w:r>
          </w:p>
          <w:p w14:paraId="3B45CB4F">
            <w:pPr>
              <w:autoSpaceDE w:val="0"/>
              <w:autoSpaceDN w:val="0"/>
              <w:adjustRightInd w:val="0"/>
              <w:snapToGrid w:val="0"/>
              <w:jc w:val="left"/>
              <w:outlineLvl w:val="9"/>
              <w:rPr>
                <w:rFonts w:hint="eastAsia" w:ascii="宋体" w:hAnsi="宋体" w:cs="仿宋_GB2312"/>
                <w:color w:val="auto"/>
                <w:kern w:val="0"/>
                <w:sz w:val="21"/>
                <w:szCs w:val="21"/>
              </w:rPr>
            </w:pPr>
            <w:r>
              <w:rPr>
                <w:rFonts w:hint="eastAsia" w:ascii="宋体" w:hAnsi="宋体" w:cs="仿宋_GB2312"/>
                <w:color w:val="auto"/>
                <w:kern w:val="0"/>
                <w:sz w:val="21"/>
                <w:szCs w:val="21"/>
              </w:rPr>
              <w:t>□</w:t>
            </w:r>
            <w:r>
              <w:rPr>
                <w:rFonts w:hint="eastAsia" w:ascii="宋体" w:hAnsi="宋体" w:cs="仿宋_GB2312"/>
                <w:color w:val="auto"/>
                <w:kern w:val="0"/>
                <w:sz w:val="21"/>
                <w:szCs w:val="21"/>
                <w:lang w:val="en-US" w:eastAsia="zh-CN"/>
              </w:rPr>
              <w:t>允许，分包要求详见</w:t>
            </w:r>
            <w:r>
              <w:rPr>
                <w:rFonts w:hint="eastAsia" w:ascii="宋体" w:hAnsi="宋体" w:cs="仿宋_GB2312"/>
                <w:color w:val="auto"/>
                <w:kern w:val="0"/>
                <w:sz w:val="21"/>
                <w:szCs w:val="21"/>
              </w:rPr>
              <w:t>第五章采购需求</w:t>
            </w:r>
          </w:p>
        </w:tc>
      </w:tr>
      <w:tr w14:paraId="04D3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7A4A41DE">
            <w:pPr>
              <w:autoSpaceDE w:val="0"/>
              <w:autoSpaceDN w:val="0"/>
              <w:adjustRightInd w:val="0"/>
              <w:snapToGrid w:val="0"/>
              <w:jc w:val="center"/>
              <w:outlineLvl w:val="9"/>
              <w:rPr>
                <w:rFonts w:ascii="宋体" w:hAnsi="宋体" w:cs="仿宋_GB2312"/>
                <w:color w:val="auto"/>
                <w:kern w:val="0"/>
                <w:sz w:val="21"/>
                <w:szCs w:val="21"/>
              </w:rPr>
            </w:pPr>
            <w:r>
              <w:rPr>
                <w:rFonts w:ascii="宋体" w:hAnsi="宋体" w:cs="仿宋_GB2312"/>
                <w:color w:val="auto"/>
                <w:kern w:val="0"/>
                <w:sz w:val="21"/>
                <w:szCs w:val="21"/>
              </w:rPr>
              <w:t>2.2</w:t>
            </w:r>
          </w:p>
        </w:tc>
        <w:tc>
          <w:tcPr>
            <w:tcW w:w="2515" w:type="dxa"/>
            <w:vAlign w:val="center"/>
          </w:tcPr>
          <w:p w14:paraId="5DB92781">
            <w:pPr>
              <w:autoSpaceDE w:val="0"/>
              <w:autoSpaceDN w:val="0"/>
              <w:adjustRightInd w:val="0"/>
              <w:snapToGrid w:val="0"/>
              <w:jc w:val="left"/>
              <w:outlineLvl w:val="9"/>
              <w:rPr>
                <w:rFonts w:hint="eastAsia" w:ascii="宋体" w:hAnsi="宋体" w:cs="仿宋_GB2312"/>
                <w:color w:val="auto"/>
                <w:kern w:val="0"/>
                <w:sz w:val="21"/>
                <w:szCs w:val="21"/>
              </w:rPr>
            </w:pPr>
            <w:r>
              <w:rPr>
                <w:rFonts w:hint="eastAsia" w:ascii="宋体" w:hAnsi="宋体" w:cs="仿宋_GB2312"/>
                <w:color w:val="auto"/>
                <w:kern w:val="0"/>
                <w:sz w:val="21"/>
                <w:szCs w:val="21"/>
              </w:rPr>
              <w:t>核心产品</w:t>
            </w:r>
          </w:p>
        </w:tc>
        <w:tc>
          <w:tcPr>
            <w:tcW w:w="5675" w:type="dxa"/>
            <w:vAlign w:val="center"/>
          </w:tcPr>
          <w:p w14:paraId="79830898">
            <w:pPr>
              <w:autoSpaceDE w:val="0"/>
              <w:autoSpaceDN w:val="0"/>
              <w:adjustRightInd w:val="0"/>
              <w:snapToGrid w:val="0"/>
              <w:jc w:val="left"/>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不适用</w:t>
            </w:r>
          </w:p>
          <w:p w14:paraId="749860E7">
            <w:pPr>
              <w:autoSpaceDE w:val="0"/>
              <w:autoSpaceDN w:val="0"/>
              <w:adjustRightInd w:val="0"/>
              <w:snapToGrid w:val="0"/>
              <w:jc w:val="left"/>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单一产品采购</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不适用</w:t>
            </w:r>
            <w:r>
              <w:rPr>
                <w:rFonts w:hint="eastAsia" w:ascii="宋体" w:hAnsi="宋体" w:cs="仿宋_GB2312"/>
                <w:color w:val="auto"/>
                <w:kern w:val="0"/>
                <w:sz w:val="21"/>
                <w:szCs w:val="21"/>
                <w:lang w:eastAsia="zh-CN"/>
              </w:rPr>
              <w:t>)</w:t>
            </w:r>
          </w:p>
          <w:p w14:paraId="50382FD3">
            <w:pPr>
              <w:autoSpaceDE w:val="0"/>
              <w:autoSpaceDN w:val="0"/>
              <w:adjustRightInd w:val="0"/>
              <w:snapToGrid w:val="0"/>
              <w:jc w:val="left"/>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非单一产品采购，核心产品为</w:t>
            </w:r>
            <w:r>
              <w:rPr>
                <w:rFonts w:hint="eastAsia" w:ascii="宋体" w:hAnsi="宋体" w:cs="仿宋_GB2312"/>
                <w:color w:val="auto"/>
                <w:kern w:val="0"/>
                <w:sz w:val="21"/>
                <w:szCs w:val="21"/>
                <w:lang w:eastAsia="zh-CN"/>
              </w:rPr>
              <w:t>:</w:t>
            </w:r>
          </w:p>
        </w:tc>
      </w:tr>
      <w:tr w14:paraId="779A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17D6CFE">
            <w:pPr>
              <w:autoSpaceDE w:val="0"/>
              <w:autoSpaceDN w:val="0"/>
              <w:adjustRightInd w:val="0"/>
              <w:snapToGrid w:val="0"/>
              <w:jc w:val="center"/>
              <w:outlineLvl w:val="9"/>
              <w:rPr>
                <w:rFonts w:ascii="宋体" w:hAnsi="宋体" w:cs="仿宋_GB2312"/>
                <w:color w:val="auto"/>
                <w:kern w:val="0"/>
                <w:sz w:val="21"/>
                <w:szCs w:val="21"/>
              </w:rPr>
            </w:pPr>
            <w:r>
              <w:rPr>
                <w:rFonts w:hint="eastAsia" w:ascii="宋体" w:hAnsi="宋体" w:cs="仿宋_GB2312"/>
                <w:color w:val="auto"/>
                <w:kern w:val="0"/>
                <w:sz w:val="21"/>
                <w:szCs w:val="21"/>
              </w:rPr>
              <w:t>2.3.3</w:t>
            </w:r>
          </w:p>
        </w:tc>
        <w:tc>
          <w:tcPr>
            <w:tcW w:w="2515" w:type="dxa"/>
            <w:vAlign w:val="center"/>
          </w:tcPr>
          <w:p w14:paraId="75C3FDD9">
            <w:pPr>
              <w:autoSpaceDE w:val="0"/>
              <w:autoSpaceDN w:val="0"/>
              <w:adjustRightInd w:val="0"/>
              <w:snapToGrid w:val="0"/>
              <w:jc w:val="left"/>
              <w:outlineLvl w:val="9"/>
              <w:rPr>
                <w:rFonts w:ascii="宋体" w:hAnsi="宋体" w:cs="仿宋_GB2312"/>
                <w:color w:val="auto"/>
                <w:kern w:val="0"/>
                <w:sz w:val="21"/>
                <w:szCs w:val="21"/>
              </w:rPr>
            </w:pPr>
            <w:r>
              <w:rPr>
                <w:rFonts w:hint="eastAsia" w:ascii="宋体" w:hAnsi="宋体" w:cs="仿宋_GB2312"/>
                <w:color w:val="auto"/>
                <w:kern w:val="0"/>
                <w:sz w:val="21"/>
                <w:szCs w:val="21"/>
              </w:rPr>
              <w:t>采购人发出澄清文件时间</w:t>
            </w:r>
          </w:p>
        </w:tc>
        <w:tc>
          <w:tcPr>
            <w:tcW w:w="5675" w:type="dxa"/>
            <w:vAlign w:val="center"/>
          </w:tcPr>
          <w:p w14:paraId="2CDBEF3A">
            <w:pPr>
              <w:autoSpaceDE w:val="0"/>
              <w:autoSpaceDN w:val="0"/>
              <w:adjustRightInd w:val="0"/>
              <w:snapToGrid w:val="0"/>
              <w:jc w:val="left"/>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lang w:val="en-US" w:eastAsia="zh-CN"/>
              </w:rPr>
              <w:t>2025年01月27日18:30前</w:t>
            </w:r>
          </w:p>
        </w:tc>
      </w:tr>
      <w:tr w14:paraId="3DC8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3A7994B7">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2.4.1</w:t>
            </w:r>
          </w:p>
        </w:tc>
        <w:tc>
          <w:tcPr>
            <w:tcW w:w="2515" w:type="dxa"/>
            <w:vAlign w:val="center"/>
          </w:tcPr>
          <w:p w14:paraId="58FD427D">
            <w:pPr>
              <w:autoSpaceDE w:val="0"/>
              <w:autoSpaceDN w:val="0"/>
              <w:adjustRightInd w:val="0"/>
              <w:snapToGrid w:val="0"/>
              <w:outlineLvl w:val="9"/>
              <w:rPr>
                <w:rFonts w:ascii="宋体" w:hAnsi="宋体" w:cs="仿宋_GB2312"/>
                <w:color w:val="auto"/>
                <w:kern w:val="0"/>
                <w:sz w:val="21"/>
                <w:szCs w:val="21"/>
              </w:rPr>
            </w:pPr>
            <w:bookmarkStart w:id="31" w:name="_Toc26077"/>
            <w:bookmarkStart w:id="32" w:name="_Toc9672"/>
            <w:bookmarkStart w:id="33" w:name="_Toc20949"/>
            <w:r>
              <w:rPr>
                <w:rFonts w:hint="eastAsia" w:ascii="宋体" w:hAnsi="宋体" w:cs="仿宋_GB2312"/>
                <w:color w:val="auto"/>
                <w:kern w:val="0"/>
                <w:sz w:val="21"/>
                <w:szCs w:val="21"/>
              </w:rPr>
              <w:t>采购人发出修改文件时间</w:t>
            </w:r>
            <w:bookmarkEnd w:id="31"/>
            <w:bookmarkEnd w:id="32"/>
            <w:bookmarkEnd w:id="33"/>
          </w:p>
        </w:tc>
        <w:tc>
          <w:tcPr>
            <w:tcW w:w="5675" w:type="dxa"/>
            <w:vAlign w:val="center"/>
          </w:tcPr>
          <w:p w14:paraId="78A6905C">
            <w:pPr>
              <w:autoSpaceDE w:val="0"/>
              <w:autoSpaceDN w:val="0"/>
              <w:adjustRightInd w:val="0"/>
              <w:snapToGrid w:val="0"/>
              <w:spacing w:afterLines="50"/>
              <w:ind w:left="281" w:hanging="245" w:hangingChars="117"/>
              <w:outlineLvl w:val="9"/>
              <w:rPr>
                <w:rFonts w:ascii="宋体" w:hAnsi="宋体" w:cs="TimesNewRomanPSMT"/>
                <w:color w:val="auto"/>
                <w:kern w:val="0"/>
                <w:sz w:val="21"/>
                <w:szCs w:val="21"/>
              </w:rPr>
            </w:pPr>
            <w:r>
              <w:rPr>
                <w:rFonts w:hint="eastAsia" w:ascii="宋体" w:hAnsi="宋体" w:cs="仿宋_GB2312"/>
                <w:color w:val="auto"/>
                <w:kern w:val="0"/>
                <w:sz w:val="21"/>
                <w:szCs w:val="21"/>
                <w:lang w:val="en-US" w:eastAsia="zh-CN"/>
              </w:rPr>
              <w:t>2025年01月27日18:30前</w:t>
            </w:r>
          </w:p>
        </w:tc>
      </w:tr>
      <w:tr w14:paraId="2D22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44E6320">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2.5</w:t>
            </w:r>
          </w:p>
        </w:tc>
        <w:tc>
          <w:tcPr>
            <w:tcW w:w="2515" w:type="dxa"/>
            <w:vAlign w:val="center"/>
          </w:tcPr>
          <w:p w14:paraId="45AF9F25">
            <w:pPr>
              <w:autoSpaceDE w:val="0"/>
              <w:autoSpaceDN w:val="0"/>
              <w:adjustRightInd w:val="0"/>
              <w:snapToGrid w:val="0"/>
              <w:outlineLvl w:val="9"/>
              <w:rPr>
                <w:rFonts w:ascii="宋体" w:hAnsi="宋体" w:cs="仿宋_GB2312"/>
                <w:color w:val="auto"/>
                <w:kern w:val="0"/>
                <w:sz w:val="21"/>
                <w:szCs w:val="21"/>
              </w:rPr>
            </w:pPr>
            <w:bookmarkStart w:id="34" w:name="_Toc20336"/>
            <w:bookmarkStart w:id="35" w:name="_Toc5691"/>
            <w:bookmarkStart w:id="36" w:name="_Toc4058"/>
            <w:r>
              <w:rPr>
                <w:rFonts w:hint="eastAsia" w:ascii="宋体" w:hAnsi="宋体" w:cs="仿宋_GB2312"/>
                <w:color w:val="auto"/>
                <w:kern w:val="0"/>
                <w:sz w:val="21"/>
                <w:szCs w:val="21"/>
              </w:rPr>
              <w:t>接收质疑函的方式和联系方式</w:t>
            </w:r>
            <w:bookmarkEnd w:id="34"/>
            <w:bookmarkEnd w:id="35"/>
            <w:bookmarkEnd w:id="36"/>
          </w:p>
        </w:tc>
        <w:tc>
          <w:tcPr>
            <w:tcW w:w="5675" w:type="dxa"/>
            <w:vAlign w:val="center"/>
          </w:tcPr>
          <w:p w14:paraId="720D03C1">
            <w:pPr>
              <w:autoSpaceDE w:val="0"/>
              <w:autoSpaceDN w:val="0"/>
              <w:adjustRightInd w:val="0"/>
              <w:snapToGrid w:val="0"/>
              <w:spacing w:afterLines="50"/>
              <w:outlineLvl w:val="9"/>
              <w:rPr>
                <w:rFonts w:ascii="宋体" w:hAnsi="宋体" w:cs="TimesNewRomanPSMT"/>
                <w:color w:val="auto"/>
                <w:kern w:val="0"/>
                <w:sz w:val="21"/>
                <w:szCs w:val="21"/>
              </w:rPr>
            </w:pPr>
            <w:r>
              <w:rPr>
                <w:rFonts w:hint="eastAsia" w:ascii="宋体" w:hAnsi="宋体" w:cs="TimesNewRomanPSMT"/>
                <w:color w:val="auto"/>
                <w:kern w:val="0"/>
                <w:sz w:val="21"/>
                <w:szCs w:val="21"/>
              </w:rPr>
              <w:t>质疑函应以书面形式送达</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rPr>
              <w:t>仅接收派人送达、邮寄送达质疑函原件两种方式</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rPr>
              <w:t>质疑函的内容应当符合《政府采购质疑和投诉办法》的要求</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质疑函按</w:t>
            </w:r>
            <w:r>
              <w:rPr>
                <w:rFonts w:hint="eastAsia" w:ascii="宋体" w:hAnsi="宋体" w:cs="TimesNewRomanPSMT"/>
                <w:color w:val="auto"/>
                <w:kern w:val="0"/>
                <w:sz w:val="21"/>
                <w:szCs w:val="21"/>
              </w:rPr>
              <w:t>招标文件第</w:t>
            </w:r>
            <w:r>
              <w:rPr>
                <w:rFonts w:hint="eastAsia" w:ascii="宋体" w:hAnsi="宋体" w:cs="TimesNewRomanPSMT"/>
                <w:color w:val="auto"/>
                <w:kern w:val="0"/>
                <w:sz w:val="21"/>
                <w:szCs w:val="21"/>
                <w:lang w:val="en-US" w:eastAsia="zh-CN"/>
              </w:rPr>
              <w:t>七</w:t>
            </w:r>
            <w:r>
              <w:rPr>
                <w:rFonts w:hint="eastAsia" w:ascii="宋体" w:hAnsi="宋体" w:cs="TimesNewRomanPSMT"/>
                <w:color w:val="auto"/>
                <w:kern w:val="0"/>
                <w:sz w:val="21"/>
                <w:szCs w:val="21"/>
              </w:rPr>
              <w:t>章提供的质疑函</w:t>
            </w:r>
            <w:r>
              <w:rPr>
                <w:rFonts w:hint="eastAsia" w:ascii="宋体" w:hAnsi="宋体" w:cs="TimesNewRomanPSMT"/>
                <w:color w:val="auto"/>
                <w:kern w:val="0"/>
                <w:sz w:val="21"/>
                <w:szCs w:val="21"/>
                <w:lang w:val="en-US" w:eastAsia="zh-CN"/>
              </w:rPr>
              <w:t>范本</w:t>
            </w:r>
            <w:r>
              <w:rPr>
                <w:rFonts w:hint="eastAsia" w:ascii="宋体" w:hAnsi="宋体" w:cs="TimesNewRomanPSMT"/>
                <w:color w:val="auto"/>
                <w:kern w:val="0"/>
                <w:sz w:val="21"/>
                <w:szCs w:val="21"/>
              </w:rPr>
              <w:t>格式编写。</w:t>
            </w:r>
          </w:p>
          <w:p w14:paraId="1DA4698C">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hint="eastAsia" w:ascii="宋体" w:hAnsi="宋体" w:eastAsia="宋体" w:cs="TimesNewRomanPSMT"/>
                <w:color w:val="auto"/>
                <w:kern w:val="0"/>
                <w:sz w:val="21"/>
                <w:szCs w:val="21"/>
                <w:lang w:eastAsia="zh-CN"/>
              </w:rPr>
            </w:pPr>
            <w:r>
              <w:rPr>
                <w:rFonts w:hint="eastAsia" w:ascii="宋体" w:hAnsi="宋体" w:cs="TimesNewRomanPSMT"/>
                <w:color w:val="auto"/>
                <w:kern w:val="0"/>
                <w:sz w:val="21"/>
                <w:szCs w:val="21"/>
              </w:rPr>
              <w:t>联系</w:t>
            </w:r>
            <w:r>
              <w:rPr>
                <w:rFonts w:hint="eastAsia" w:ascii="宋体" w:hAnsi="宋体" w:cs="TimesNewRomanPSMT"/>
                <w:color w:val="auto"/>
                <w:kern w:val="0"/>
                <w:sz w:val="21"/>
                <w:szCs w:val="21"/>
                <w:lang w:val="en-US" w:eastAsia="zh-CN"/>
              </w:rPr>
              <w:t>单位</w:t>
            </w:r>
            <w:r>
              <w:rPr>
                <w:rFonts w:hint="eastAsia" w:ascii="宋体" w:hAnsi="宋体" w:cs="TimesNewRomanPSMT"/>
                <w:color w:val="auto"/>
                <w:kern w:val="0"/>
                <w:sz w:val="21"/>
                <w:szCs w:val="21"/>
                <w:lang w:eastAsia="zh-CN"/>
              </w:rPr>
              <w:t>:新疆昌盛方略项目管理有限公司</w:t>
            </w:r>
          </w:p>
          <w:p w14:paraId="58764FFA">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rPr>
              <w:t>联系人</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朱先生</w:t>
            </w:r>
          </w:p>
          <w:p w14:paraId="6D724EB6">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rPr>
              <w:t>联系电话</w:t>
            </w:r>
            <w:r>
              <w:rPr>
                <w:rFonts w:hint="eastAsia" w:ascii="宋体" w:hAnsi="宋体" w:cs="TimesNewRomanPSMT"/>
                <w:color w:val="auto"/>
                <w:kern w:val="0"/>
                <w:sz w:val="21"/>
                <w:szCs w:val="21"/>
                <w:lang w:eastAsia="zh-CN"/>
              </w:rPr>
              <w:t>:</w:t>
            </w:r>
            <w:r>
              <w:rPr>
                <w:rFonts w:hint="eastAsia" w:ascii="宋体" w:hAnsi="宋体" w:cs="TimesNewRomanPSMT"/>
                <w:color w:val="auto"/>
                <w:kern w:val="0"/>
                <w:sz w:val="21"/>
                <w:szCs w:val="21"/>
                <w:lang w:val="en-US" w:eastAsia="zh-CN"/>
              </w:rPr>
              <w:t>18699555509</w:t>
            </w:r>
          </w:p>
          <w:p w14:paraId="2DF48A93">
            <w:pPr>
              <w:keepNext w:val="0"/>
              <w:keepLines w:val="0"/>
              <w:pageBreakBefore w:val="0"/>
              <w:widowControl w:val="0"/>
              <w:kinsoku/>
              <w:wordWrap/>
              <w:overflowPunct/>
              <w:topLinePunct w:val="0"/>
              <w:autoSpaceDE w:val="0"/>
              <w:autoSpaceDN w:val="0"/>
              <w:bidi w:val="0"/>
              <w:adjustRightInd w:val="0"/>
              <w:snapToGrid w:val="0"/>
              <w:textAlignment w:val="auto"/>
              <w:outlineLvl w:val="9"/>
              <w:rPr>
                <w:rFonts w:hint="eastAsia" w:ascii="宋体" w:hAnsi="宋体" w:eastAsia="宋体" w:cs="TimesNewRomanPSMT"/>
                <w:color w:val="auto"/>
                <w:kern w:val="0"/>
                <w:sz w:val="21"/>
                <w:szCs w:val="21"/>
                <w:lang w:eastAsia="zh-CN"/>
              </w:rPr>
            </w:pPr>
            <w:r>
              <w:rPr>
                <w:rFonts w:hint="eastAsia" w:ascii="宋体" w:hAnsi="宋体" w:cs="TimesNewRomanPSMT"/>
                <w:color w:val="auto"/>
                <w:kern w:val="0"/>
                <w:sz w:val="21"/>
                <w:szCs w:val="21"/>
              </w:rPr>
              <w:t>通</w:t>
            </w:r>
            <w:r>
              <w:rPr>
                <w:rFonts w:hint="eastAsia" w:ascii="宋体" w:hAnsi="宋体" w:cs="TimesNewRomanPSMT"/>
                <w:color w:val="auto"/>
                <w:kern w:val="0"/>
                <w:sz w:val="21"/>
                <w:szCs w:val="21"/>
                <w:lang w:val="en-US" w:eastAsia="zh-CN"/>
              </w:rPr>
              <w:t>讯</w:t>
            </w:r>
            <w:r>
              <w:rPr>
                <w:rFonts w:hint="eastAsia" w:ascii="宋体" w:hAnsi="宋体" w:cs="TimesNewRomanPSMT"/>
                <w:color w:val="auto"/>
                <w:kern w:val="0"/>
                <w:sz w:val="21"/>
                <w:szCs w:val="21"/>
              </w:rPr>
              <w:t>地址</w:t>
            </w:r>
            <w:r>
              <w:rPr>
                <w:rFonts w:hint="eastAsia" w:ascii="宋体" w:hAnsi="宋体" w:cs="TimesNewRomanPSMT"/>
                <w:color w:val="auto"/>
                <w:kern w:val="0"/>
                <w:sz w:val="21"/>
                <w:szCs w:val="21"/>
                <w:lang w:eastAsia="zh-CN"/>
              </w:rPr>
              <w:t>:新疆昌吉回族自治州昌吉市南公园西路融投小镇1号楼A座14层（昌吉州国投大厦1幢14楼1419）</w:t>
            </w:r>
          </w:p>
        </w:tc>
      </w:tr>
      <w:tr w14:paraId="1F62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1BBD3F8">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.6.2</w:t>
            </w:r>
          </w:p>
        </w:tc>
        <w:tc>
          <w:tcPr>
            <w:tcW w:w="2515" w:type="dxa"/>
            <w:vAlign w:val="center"/>
          </w:tcPr>
          <w:p w14:paraId="72E62373">
            <w:pPr>
              <w:autoSpaceDE w:val="0"/>
              <w:autoSpaceDN w:val="0"/>
              <w:adjustRightInd w:val="0"/>
              <w:snapToGrid w:val="0"/>
              <w:outlineLvl w:val="9"/>
              <w:rPr>
                <w:rFonts w:ascii="宋体" w:hAnsi="宋体" w:cs="仿宋_GB2312"/>
                <w:color w:val="auto"/>
                <w:kern w:val="0"/>
                <w:sz w:val="21"/>
                <w:szCs w:val="21"/>
              </w:rPr>
            </w:pPr>
            <w:bookmarkStart w:id="37" w:name="_Toc195921788"/>
            <w:bookmarkStart w:id="38" w:name="_Toc5840"/>
            <w:bookmarkStart w:id="39" w:name="_Toc1731"/>
            <w:bookmarkStart w:id="40" w:name="_Toc5055"/>
            <w:r>
              <w:rPr>
                <w:rFonts w:hint="eastAsia" w:ascii="宋体" w:hAnsi="宋体" w:cs="仿宋_GB2312"/>
                <w:color w:val="auto"/>
                <w:kern w:val="0"/>
                <w:sz w:val="21"/>
                <w:szCs w:val="21"/>
              </w:rPr>
              <w:t>投标有效期</w:t>
            </w:r>
            <w:bookmarkEnd w:id="37"/>
            <w:bookmarkEnd w:id="38"/>
            <w:bookmarkEnd w:id="39"/>
            <w:bookmarkEnd w:id="40"/>
          </w:p>
        </w:tc>
        <w:tc>
          <w:tcPr>
            <w:tcW w:w="5675" w:type="dxa"/>
            <w:vAlign w:val="center"/>
          </w:tcPr>
          <w:p w14:paraId="047579B1">
            <w:pPr>
              <w:autoSpaceDE w:val="0"/>
              <w:autoSpaceDN w:val="0"/>
              <w:adjustRightInd w:val="0"/>
              <w:snapToGrid w:val="0"/>
              <w:spacing w:afterLines="50"/>
              <w:outlineLvl w:val="9"/>
              <w:rPr>
                <w:rFonts w:ascii="宋体" w:hAnsi="宋体" w:cs="TimesNewRomanPSMT"/>
                <w:color w:val="auto"/>
                <w:kern w:val="0"/>
                <w:sz w:val="21"/>
                <w:szCs w:val="21"/>
              </w:rPr>
            </w:pPr>
            <w:r>
              <w:rPr>
                <w:rFonts w:hint="eastAsia" w:ascii="宋体" w:hAnsi="宋体" w:cs="TimesNewRomanPSMT"/>
                <w:color w:val="auto"/>
                <w:kern w:val="0"/>
                <w:sz w:val="21"/>
                <w:szCs w:val="21"/>
                <w:u w:val="single"/>
              </w:rPr>
              <w:t xml:space="preserve"> </w:t>
            </w:r>
            <w:r>
              <w:rPr>
                <w:rFonts w:hint="eastAsia" w:ascii="宋体" w:hAnsi="宋体" w:cs="TimesNewRomanPSMT"/>
                <w:color w:val="auto"/>
                <w:kern w:val="0"/>
                <w:sz w:val="21"/>
                <w:szCs w:val="21"/>
                <w:u w:val="single"/>
                <w:lang w:val="en-US" w:eastAsia="zh-CN"/>
              </w:rPr>
              <w:t>90</w:t>
            </w:r>
            <w:r>
              <w:rPr>
                <w:rFonts w:hint="eastAsia" w:ascii="宋体" w:hAnsi="宋体" w:cs="TimesNewRomanPSMT"/>
                <w:color w:val="auto"/>
                <w:kern w:val="0"/>
                <w:sz w:val="21"/>
                <w:szCs w:val="21"/>
                <w:u w:val="single"/>
              </w:rPr>
              <w:t xml:space="preserve"> </w:t>
            </w:r>
            <w:r>
              <w:rPr>
                <w:rFonts w:hint="eastAsia" w:ascii="宋体" w:hAnsi="宋体" w:cs="TimesNewRomanPSMT"/>
                <w:color w:val="auto"/>
                <w:kern w:val="0"/>
                <w:sz w:val="21"/>
                <w:szCs w:val="21"/>
                <w:lang w:val="en-US" w:eastAsia="zh-CN"/>
              </w:rPr>
              <w:t>日历</w:t>
            </w:r>
            <w:r>
              <w:rPr>
                <w:rFonts w:hint="eastAsia" w:ascii="宋体" w:hAnsi="宋体" w:cs="TimesNewRomanPSMT"/>
                <w:color w:val="auto"/>
                <w:kern w:val="0"/>
                <w:sz w:val="21"/>
                <w:szCs w:val="21"/>
              </w:rPr>
              <w:t>天</w:t>
            </w:r>
          </w:p>
        </w:tc>
      </w:tr>
      <w:tr w14:paraId="32F8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3AF0C885">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7</w:t>
            </w:r>
            <w:r>
              <w:rPr>
                <w:rFonts w:ascii="宋体" w:hAnsi="宋体" w:cs="TimesNewRomanPSMT"/>
                <w:color w:val="auto"/>
                <w:kern w:val="0"/>
                <w:sz w:val="21"/>
                <w:szCs w:val="21"/>
              </w:rPr>
              <w:t>.1</w:t>
            </w:r>
          </w:p>
        </w:tc>
        <w:tc>
          <w:tcPr>
            <w:tcW w:w="2515" w:type="dxa"/>
            <w:vAlign w:val="center"/>
          </w:tcPr>
          <w:p w14:paraId="3628DF46">
            <w:pPr>
              <w:autoSpaceDE w:val="0"/>
              <w:autoSpaceDN w:val="0"/>
              <w:adjustRightInd w:val="0"/>
              <w:snapToGrid w:val="0"/>
              <w:outlineLvl w:val="9"/>
              <w:rPr>
                <w:rFonts w:ascii="宋体" w:hAnsi="宋体" w:cs="仿宋_GB2312"/>
                <w:color w:val="auto"/>
                <w:kern w:val="0"/>
                <w:sz w:val="21"/>
                <w:szCs w:val="21"/>
              </w:rPr>
            </w:pPr>
            <w:bookmarkStart w:id="41" w:name="_Toc5482"/>
            <w:bookmarkStart w:id="42" w:name="_Toc195921789"/>
            <w:bookmarkStart w:id="43" w:name="_Toc12504"/>
            <w:bookmarkStart w:id="44" w:name="_Toc12209"/>
            <w:r>
              <w:rPr>
                <w:rFonts w:hint="eastAsia" w:ascii="宋体" w:hAnsi="宋体" w:cs="仿宋_GB2312"/>
                <w:color w:val="auto"/>
                <w:kern w:val="0"/>
                <w:sz w:val="21"/>
                <w:szCs w:val="21"/>
              </w:rPr>
              <w:t>投标保证金</w:t>
            </w:r>
            <w:bookmarkEnd w:id="41"/>
            <w:bookmarkEnd w:id="42"/>
            <w:bookmarkEnd w:id="43"/>
            <w:bookmarkEnd w:id="44"/>
          </w:p>
        </w:tc>
        <w:tc>
          <w:tcPr>
            <w:tcW w:w="5675" w:type="dxa"/>
            <w:vAlign w:val="center"/>
          </w:tcPr>
          <w:p w14:paraId="7E9A52D4">
            <w:pPr>
              <w:autoSpaceDE w:val="0"/>
              <w:autoSpaceDN w:val="0"/>
              <w:adjustRightInd w:val="0"/>
              <w:snapToGrid w:val="0"/>
              <w:spacing w:afterLines="50"/>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投标保证金的金额：人民币</w:t>
            </w:r>
            <w:r>
              <w:rPr>
                <w:rFonts w:hint="eastAsia" w:ascii="宋体" w:hAnsi="宋体" w:cs="宋体"/>
                <w:color w:val="auto"/>
                <w:sz w:val="21"/>
                <w:szCs w:val="21"/>
                <w:shd w:val="clear"/>
                <w:lang w:val="en-US" w:eastAsia="zh-CN"/>
              </w:rPr>
              <w:t>49000</w:t>
            </w:r>
            <w:r>
              <w:rPr>
                <w:rFonts w:hint="eastAsia" w:ascii="宋体" w:hAnsi="宋体" w:eastAsia="宋体" w:cs="宋体"/>
                <w:color w:val="auto"/>
                <w:sz w:val="21"/>
                <w:szCs w:val="21"/>
                <w:shd w:val="clear"/>
                <w:lang w:val="en-US" w:eastAsia="zh-CN"/>
              </w:rPr>
              <w:t>元</w:t>
            </w:r>
            <w:r>
              <w:rPr>
                <w:rFonts w:hint="eastAsia" w:ascii="宋体" w:hAnsi="宋体" w:cs="宋体"/>
                <w:color w:val="auto"/>
                <w:sz w:val="21"/>
                <w:szCs w:val="21"/>
                <w:shd w:val="clear"/>
                <w:lang w:val="en-US" w:eastAsia="zh-CN"/>
              </w:rPr>
              <w:t>（大写：肆万玖仟元）</w:t>
            </w:r>
            <w:r>
              <w:rPr>
                <w:rFonts w:hint="eastAsia" w:ascii="宋体" w:hAnsi="宋体" w:eastAsia="宋体" w:cs="宋体"/>
                <w:color w:val="auto"/>
                <w:sz w:val="21"/>
                <w:szCs w:val="21"/>
                <w:shd w:val="clear"/>
                <w:lang w:val="en-US" w:eastAsia="zh-CN"/>
              </w:rPr>
              <w:t xml:space="preserve">   </w:t>
            </w:r>
            <w:r>
              <w:rPr>
                <w:rFonts w:hint="eastAsia" w:ascii="宋体" w:hAnsi="宋体" w:eastAsia="宋体" w:cs="宋体"/>
                <w:color w:val="auto"/>
                <w:sz w:val="21"/>
                <w:szCs w:val="21"/>
                <w:lang w:val="en-US" w:eastAsia="zh-CN"/>
              </w:rPr>
              <w:t xml:space="preserve"> </w:t>
            </w:r>
          </w:p>
          <w:p w14:paraId="33EF6D71">
            <w:pPr>
              <w:autoSpaceDE w:val="0"/>
              <w:autoSpaceDN w:val="0"/>
              <w:adjustRightInd w:val="0"/>
              <w:snapToGrid w:val="0"/>
              <w:spacing w:afterLines="50"/>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到账截止时间：202</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年</w:t>
            </w:r>
            <w:r>
              <w:rPr>
                <w:rFonts w:hint="eastAsia" w:ascii="宋体" w:hAnsi="宋体" w:cs="宋体"/>
                <w:color w:val="auto"/>
                <w:sz w:val="21"/>
                <w:szCs w:val="21"/>
                <w:lang w:val="en-US" w:eastAsia="zh-CN"/>
              </w:rPr>
              <w:t>02</w:t>
            </w:r>
            <w:r>
              <w:rPr>
                <w:rFonts w:hint="eastAsia" w:ascii="宋体" w:hAnsi="宋体" w:eastAsia="宋体" w:cs="宋体"/>
                <w:color w:val="auto"/>
                <w:sz w:val="21"/>
                <w:szCs w:val="21"/>
                <w:lang w:val="en-US" w:eastAsia="zh-CN"/>
              </w:rPr>
              <w:t>月</w:t>
            </w:r>
            <w:r>
              <w:rPr>
                <w:rFonts w:hint="eastAsia" w:ascii="宋体" w:hAnsi="宋体" w:cs="宋体"/>
                <w:color w:val="auto"/>
                <w:sz w:val="21"/>
                <w:szCs w:val="21"/>
                <w:lang w:val="en-US" w:eastAsia="zh-CN"/>
              </w:rPr>
              <w:t>11</w:t>
            </w:r>
            <w:r>
              <w:rPr>
                <w:rFonts w:hint="eastAsia" w:ascii="宋体" w:hAnsi="宋体" w:eastAsia="宋体" w:cs="宋体"/>
                <w:color w:val="auto"/>
                <w:sz w:val="21"/>
                <w:szCs w:val="21"/>
                <w:lang w:val="en-US" w:eastAsia="zh-CN"/>
              </w:rPr>
              <w:t>日 1</w:t>
            </w:r>
            <w:r>
              <w:rPr>
                <w:rFonts w:hint="eastAsia" w:ascii="宋体" w:hAnsi="宋体" w:cs="宋体"/>
                <w:color w:val="auto"/>
                <w:sz w:val="21"/>
                <w:szCs w:val="21"/>
                <w:lang w:val="en-US" w:eastAsia="zh-CN"/>
              </w:rPr>
              <w:t>0</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0(北京时间)</w:t>
            </w:r>
          </w:p>
          <w:p w14:paraId="07E9E338">
            <w:pPr>
              <w:autoSpaceDE w:val="0"/>
              <w:autoSpaceDN w:val="0"/>
              <w:adjustRightInd w:val="0"/>
              <w:snapToGrid w:val="0"/>
              <w:spacing w:afterLines="50"/>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供应商可以自主选择以支票、汇票、本票或者</w:t>
            </w:r>
            <w:r>
              <w:rPr>
                <w:rFonts w:hint="eastAsia" w:ascii="宋体" w:hAnsi="宋体" w:cs="仿宋_GB2312"/>
                <w:color w:val="auto"/>
                <w:kern w:val="0"/>
                <w:sz w:val="21"/>
                <w:szCs w:val="21"/>
              </w:rPr>
              <w:t>金融机构、担保机构出具的</w:t>
            </w:r>
            <w:r>
              <w:rPr>
                <w:rFonts w:hint="eastAsia" w:ascii="宋体" w:hAnsi="宋体" w:cs="宋体"/>
                <w:color w:val="auto"/>
                <w:sz w:val="21"/>
                <w:szCs w:val="21"/>
                <w:lang w:val="en-US" w:eastAsia="zh-CN"/>
              </w:rPr>
              <w:t>保函等非现金形式缴纳或提交投标保证金。</w:t>
            </w:r>
          </w:p>
          <w:p w14:paraId="780E1FE5">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投标保证金采用银行转账方式的应从供应商的基本账户汇入下面采购人指定的开户银行账户。</w:t>
            </w:r>
          </w:p>
          <w:p w14:paraId="12D75292">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账户单位:新疆昌盛方略项目管理有限公司</w:t>
            </w:r>
          </w:p>
          <w:p w14:paraId="7CD1613E">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开户行名称:交通银行昌吉北京南路支行</w:t>
            </w:r>
          </w:p>
          <w:p w14:paraId="58A513B1">
            <w:pPr>
              <w:keepNext w:val="0"/>
              <w:keepLines w:val="0"/>
              <w:pageBreakBefore w:val="0"/>
              <w:widowControl w:val="0"/>
              <w:kinsoku/>
              <w:wordWrap/>
              <w:overflowPunct/>
              <w:topLinePunct w:val="0"/>
              <w:autoSpaceDE w:val="0"/>
              <w:autoSpaceDN w:val="0"/>
              <w:bidi w:val="0"/>
              <w:adjustRightInd/>
              <w:snapToGrid/>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账号: 728728038013000134671</w:t>
            </w:r>
          </w:p>
          <w:p w14:paraId="6AD297C9">
            <w:pPr>
              <w:keepNext w:val="0"/>
              <w:keepLines w:val="0"/>
              <w:pageBreakBefore w:val="0"/>
              <w:widowControl w:val="0"/>
              <w:kinsoku/>
              <w:wordWrap/>
              <w:overflowPunct/>
              <w:topLinePunct w:val="0"/>
              <w:autoSpaceDE w:val="0"/>
              <w:autoSpaceDN w:val="0"/>
              <w:bidi w:val="0"/>
              <w:adjustRightInd/>
              <w:snapToGrid/>
              <w:spacing w:after="157" w:afterLines="50"/>
              <w:textAlignment w:val="auto"/>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开户行行号: 301885000031</w:t>
            </w:r>
          </w:p>
          <w:p w14:paraId="2C29153E">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供应商应充分考虑资金到账时间，在规定的时限前自行办妥投标保证金缴纳手续，投标保证金的缴付时间以电汇凭证和网银对账单上的时间为准，超过缴纳的时限缴纳投标保证金视为报名无效。投标保证金采用电汇或网银转帐的方式，由供应商基本帐户汇至指定账户，不得以现金和其他形式缴纳，不得以分公司、办事处或其他机构名义缴纳，供应商在缴纳投标保证金时，需在进帐凭证上明确资金用途和投标项目名称，并注明联系人及电话，以便查对核实。</w:t>
            </w:r>
          </w:p>
          <w:p w14:paraId="4CB4A286">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b/>
                <w:bCs/>
                <w:color w:val="auto"/>
                <w:kern w:val="0"/>
                <w:sz w:val="21"/>
                <w:szCs w:val="21"/>
                <w:highlight w:val="none"/>
                <w:lang w:val="en-US" w:eastAsia="zh-CN"/>
              </w:rPr>
              <w:t>在退还保证金时需携带以下资料：</w:t>
            </w:r>
          </w:p>
          <w:p w14:paraId="68DC7C5A">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①请贵公司开具对开收据（原件），内容为：收到新疆昌盛方略项目管理有限公司XXXXXXXX项目保证金，金额写清楚，并加盖财务章；②贵公司营业执照（复印件盖公章）；③贵公司开户许可证（复印件盖公章）；④日期请落款在公示期结束后。</w:t>
            </w:r>
          </w:p>
          <w:p w14:paraId="396BA22E">
            <w:pPr>
              <w:autoSpaceDE w:val="0"/>
              <w:autoSpaceDN w:val="0"/>
              <w:adjustRightInd w:val="0"/>
              <w:snapToGrid w:val="0"/>
              <w:spacing w:afterLines="50"/>
              <w:outlineLvl w:val="9"/>
              <w:rPr>
                <w:rFonts w:hint="eastAsia" w:ascii="宋体" w:hAnsi="宋体" w:cs="仿宋_GB2312"/>
                <w:color w:val="auto"/>
                <w:kern w:val="0"/>
                <w:sz w:val="21"/>
                <w:szCs w:val="21"/>
                <w:highlight w:val="none"/>
                <w:lang w:val="en-US" w:eastAsia="zh-CN"/>
              </w:rPr>
            </w:pPr>
            <w:r>
              <w:rPr>
                <w:rFonts w:hint="eastAsia" w:ascii="宋体" w:hAnsi="宋体" w:cs="仿宋_GB2312"/>
                <w:color w:val="auto"/>
                <w:kern w:val="0"/>
                <w:sz w:val="21"/>
                <w:szCs w:val="21"/>
                <w:highlight w:val="none"/>
                <w:lang w:val="en-US" w:eastAsia="zh-CN"/>
              </w:rPr>
              <w:t>金融机构、担保机构出具的保函，投标人在开具保函时，保函需注明项目名称及单位名称，保函的有效期不得少于投标有效期。</w:t>
            </w:r>
          </w:p>
          <w:p w14:paraId="7C44DC72">
            <w:pPr>
              <w:autoSpaceDE w:val="0"/>
              <w:autoSpaceDN w:val="0"/>
              <w:adjustRightInd w:val="0"/>
              <w:snapToGrid w:val="0"/>
              <w:spacing w:afterLines="50"/>
              <w:outlineLvl w:val="9"/>
              <w:rPr>
                <w:rFonts w:hint="eastAsia" w:ascii="宋体" w:hAnsi="宋体" w:eastAsia="宋体" w:cs="TimesNewRomanPSMT"/>
                <w:color w:val="auto"/>
                <w:kern w:val="0"/>
                <w:sz w:val="21"/>
                <w:szCs w:val="21"/>
                <w:lang w:eastAsia="zh-CN"/>
              </w:rPr>
            </w:pPr>
            <w:r>
              <w:rPr>
                <w:rFonts w:hint="eastAsia" w:ascii="宋体" w:hAnsi="宋体" w:cs="仿宋_GB2312"/>
                <w:color w:val="auto"/>
                <w:kern w:val="0"/>
                <w:sz w:val="21"/>
                <w:szCs w:val="21"/>
                <w:highlight w:val="none"/>
                <w:lang w:val="en-US" w:eastAsia="zh-CN"/>
              </w:rPr>
              <w:t>银行保函、保险保函形式缴纳的投标保证金按协议执行，无需办理退款手续。</w:t>
            </w:r>
          </w:p>
        </w:tc>
      </w:tr>
      <w:tr w14:paraId="6C92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E16AE8E">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8</w:t>
            </w:r>
            <w:r>
              <w:rPr>
                <w:rFonts w:ascii="宋体" w:hAnsi="宋体" w:cs="TimesNewRomanPSMT"/>
                <w:color w:val="auto"/>
                <w:kern w:val="0"/>
                <w:sz w:val="21"/>
                <w:szCs w:val="21"/>
              </w:rPr>
              <w:t>.</w:t>
            </w:r>
            <w:r>
              <w:rPr>
                <w:rFonts w:hint="eastAsia" w:ascii="宋体" w:hAnsi="宋体" w:cs="TimesNewRomanPSMT"/>
                <w:color w:val="auto"/>
                <w:kern w:val="0"/>
                <w:sz w:val="21"/>
                <w:szCs w:val="21"/>
              </w:rPr>
              <w:t>2</w:t>
            </w:r>
          </w:p>
        </w:tc>
        <w:tc>
          <w:tcPr>
            <w:tcW w:w="2515" w:type="dxa"/>
            <w:vAlign w:val="center"/>
          </w:tcPr>
          <w:p w14:paraId="2A7950D9">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highlight w:val="none"/>
              </w:rPr>
              <w:t>签字或加盖人名章要求</w:t>
            </w:r>
          </w:p>
        </w:tc>
        <w:tc>
          <w:tcPr>
            <w:tcW w:w="5675" w:type="dxa"/>
            <w:vAlign w:val="center"/>
          </w:tcPr>
          <w:p w14:paraId="1AE6FDF2">
            <w:pPr>
              <w:keepNext w:val="0"/>
              <w:keepLines w:val="0"/>
              <w:pageBreakBefore w:val="0"/>
              <w:widowControl w:val="0"/>
              <w:kinsoku/>
              <w:wordWrap w:val="0"/>
              <w:overflowPunct/>
              <w:topLinePunct w:val="0"/>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投标文件中要求加盖单位章处均应为单位公章。</w:t>
            </w:r>
          </w:p>
          <w:p w14:paraId="54F64D69">
            <w:pPr>
              <w:keepNext w:val="0"/>
              <w:keepLines w:val="0"/>
              <w:pageBreakBefore w:val="0"/>
              <w:widowControl w:val="0"/>
              <w:kinsoku/>
              <w:wordWrap w:val="0"/>
              <w:overflowPunct/>
              <w:topLinePunct w:val="0"/>
              <w:bidi w:val="0"/>
              <w:adjustRightInd/>
              <w:snapToGrid/>
              <w:spacing w:line="240" w:lineRule="auto"/>
              <w:jc w:val="left"/>
              <w:textAlignment w:val="auto"/>
              <w:outlineLvl w:val="9"/>
              <w:rPr>
                <w:rFonts w:hint="eastAsia" w:ascii="宋体" w:hAnsi="宋体" w:eastAsia="宋体" w:cs="宋体"/>
                <w:i/>
                <w:color w:val="auto"/>
                <w:kern w:val="0"/>
                <w:sz w:val="21"/>
                <w:szCs w:val="21"/>
              </w:rPr>
            </w:pPr>
            <w:r>
              <w:rPr>
                <w:rFonts w:hint="eastAsia" w:ascii="宋体" w:hAnsi="宋体" w:eastAsia="宋体" w:cs="宋体"/>
                <w:color w:val="auto"/>
                <w:kern w:val="0"/>
                <w:sz w:val="21"/>
                <w:szCs w:val="21"/>
                <w:highlight w:val="none"/>
                <w:shd w:val="clear" w:color="auto" w:fill="FFFFFF"/>
              </w:rPr>
              <w:t>联合体投标时，投标书、联合体协议需加盖联合体各方公章</w:t>
            </w:r>
            <w:r>
              <w:rPr>
                <w:rFonts w:hint="eastAsia" w:ascii="宋体" w:hAnsi="宋体" w:cs="宋体"/>
                <w:color w:val="auto"/>
                <w:kern w:val="0"/>
                <w:sz w:val="21"/>
                <w:szCs w:val="21"/>
                <w:highlight w:val="none"/>
                <w:shd w:val="clear" w:color="auto" w:fill="FFFFFF"/>
                <w:lang w:eastAsia="zh-CN"/>
              </w:rPr>
              <w:t>(</w:t>
            </w:r>
            <w:r>
              <w:rPr>
                <w:rFonts w:hint="eastAsia" w:ascii="宋体" w:hAnsi="宋体" w:eastAsia="宋体" w:cs="宋体"/>
                <w:color w:val="auto"/>
                <w:kern w:val="0"/>
                <w:sz w:val="21"/>
                <w:szCs w:val="21"/>
                <w:highlight w:val="none"/>
                <w:shd w:val="clear" w:color="auto" w:fill="FFFFFF"/>
              </w:rPr>
              <w:t>允许联合投标的适用</w:t>
            </w:r>
            <w:r>
              <w:rPr>
                <w:rFonts w:hint="eastAsia" w:ascii="宋体" w:hAnsi="宋体" w:cs="宋体"/>
                <w:color w:val="auto"/>
                <w:kern w:val="0"/>
                <w:sz w:val="21"/>
                <w:szCs w:val="21"/>
                <w:highlight w:val="none"/>
                <w:shd w:val="clear" w:color="auto" w:fill="FFFFFF"/>
                <w:lang w:eastAsia="zh-CN"/>
              </w:rPr>
              <w:t>)</w:t>
            </w:r>
            <w:r>
              <w:rPr>
                <w:rFonts w:hint="eastAsia" w:ascii="宋体" w:hAnsi="宋体" w:eastAsia="宋体" w:cs="宋体"/>
                <w:color w:val="auto"/>
                <w:kern w:val="0"/>
                <w:sz w:val="21"/>
                <w:szCs w:val="21"/>
                <w:highlight w:val="none"/>
                <w:shd w:val="clear" w:color="auto" w:fill="FFFFFF"/>
              </w:rPr>
              <w:t>。</w:t>
            </w:r>
          </w:p>
        </w:tc>
      </w:tr>
      <w:tr w14:paraId="0857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63BB4B4">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cs="TimesNewRomanPSMT"/>
                <w:color w:val="auto"/>
                <w:kern w:val="0"/>
                <w:sz w:val="21"/>
                <w:szCs w:val="21"/>
              </w:rPr>
              <w:t>3.</w:t>
            </w:r>
            <w:r>
              <w:rPr>
                <w:rFonts w:hint="eastAsia" w:ascii="宋体" w:hAnsi="宋体" w:cs="TimesNewRomanPSMT"/>
                <w:color w:val="auto"/>
                <w:kern w:val="0"/>
                <w:sz w:val="21"/>
                <w:szCs w:val="21"/>
              </w:rPr>
              <w:t>8</w:t>
            </w:r>
            <w:r>
              <w:rPr>
                <w:rFonts w:ascii="宋体" w:hAnsi="宋体" w:cs="TimesNewRomanPSMT"/>
                <w:color w:val="auto"/>
                <w:kern w:val="0"/>
                <w:sz w:val="21"/>
                <w:szCs w:val="21"/>
              </w:rPr>
              <w:t>.</w:t>
            </w:r>
            <w:r>
              <w:rPr>
                <w:rFonts w:hint="eastAsia" w:ascii="宋体" w:hAnsi="宋体" w:cs="TimesNewRomanPSMT"/>
                <w:color w:val="auto"/>
                <w:kern w:val="0"/>
                <w:sz w:val="21"/>
                <w:szCs w:val="21"/>
              </w:rPr>
              <w:t>3</w:t>
            </w:r>
          </w:p>
        </w:tc>
        <w:tc>
          <w:tcPr>
            <w:tcW w:w="2515" w:type="dxa"/>
            <w:vAlign w:val="center"/>
          </w:tcPr>
          <w:p w14:paraId="1F639554">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highlight w:val="none"/>
              </w:rPr>
              <w:t>投标文件份数</w:t>
            </w:r>
          </w:p>
        </w:tc>
        <w:tc>
          <w:tcPr>
            <w:tcW w:w="5675" w:type="dxa"/>
            <w:vAlign w:val="center"/>
          </w:tcPr>
          <w:p w14:paraId="53EF0AC9">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投标文件由报价文件、资信及商务文件、技术文件三部分组成。</w:t>
            </w:r>
          </w:p>
          <w:p w14:paraId="720F4009">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1、“电子加密投标</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响应</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文件”1份，投标</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响应</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截止时间前上传至“政府采购云平台”电子交易平台</w:t>
            </w:r>
            <w:r>
              <w:rPr>
                <w:rFonts w:hint="eastAsia" w:ascii="宋体" w:hAnsi="宋体" w:cs="宋体"/>
                <w:color w:val="auto"/>
                <w:kern w:val="0"/>
                <w:sz w:val="21"/>
                <w:szCs w:val="21"/>
                <w:highlight w:val="none"/>
                <w:lang w:eastAsia="zh-CN"/>
              </w:rPr>
              <w:t>:</w:t>
            </w:r>
          </w:p>
          <w:p w14:paraId="6FA5242C">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“电子加密投标文件”是指通过政采云“电子交易客户端”完成投标</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响应</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文件编制后生成并加密的数据电文形式的投标</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响应</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文件。</w:t>
            </w:r>
          </w:p>
          <w:p w14:paraId="60A121A6">
            <w:pPr>
              <w:keepNext w:val="0"/>
              <w:keepLines w:val="0"/>
              <w:pageBreakBefore w:val="0"/>
              <w:widowControl w:val="0"/>
              <w:kinsoku/>
              <w:wordWrap w:val="0"/>
              <w:overflowPunct/>
              <w:topLinePunct w:val="0"/>
              <w:autoSpaceDE w:val="0"/>
              <w:autoSpaceDN w:val="0"/>
              <w:bidi w:val="0"/>
              <w:adjustRightInd/>
              <w:snapToGrid/>
              <w:spacing w:line="24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供应商应先安装政采云“电子交易客户端”，并按照本采购文件和“政府采购云平台”的要求，政采云通过“电子交易客户端”编制并加密投标文件。</w:t>
            </w:r>
          </w:p>
          <w:p w14:paraId="4DD2F082">
            <w:pPr>
              <w:pStyle w:val="2"/>
              <w:ind w:left="0" w:leftChars="0" w:firstLine="0" w:firstLineChars="0"/>
              <w:rPr>
                <w:rFonts w:hint="default" w:eastAsia="宋体"/>
                <w:color w:val="auto"/>
                <w:lang w:val="en-US" w:eastAsia="zh-CN"/>
              </w:rPr>
            </w:pPr>
            <w:r>
              <w:rPr>
                <w:rFonts w:hint="eastAsia" w:ascii="宋体" w:hAnsi="宋体" w:cs="宋体"/>
                <w:color w:val="auto"/>
                <w:kern w:val="0"/>
                <w:sz w:val="21"/>
                <w:szCs w:val="21"/>
                <w:highlight w:val="none"/>
                <w:lang w:val="en-US" w:eastAsia="zh-CN"/>
              </w:rPr>
              <w:t>2、中标人需在中标结果公告后5个工作日内将电子投标(响应)文件一式三份打印，打印的投标(响应)文件纸质版采取无线胶装方式装订，送达至招标代理机构处，留存档案。</w:t>
            </w:r>
          </w:p>
        </w:tc>
      </w:tr>
      <w:tr w14:paraId="33BB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7DE09619">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6.1</w:t>
            </w:r>
          </w:p>
        </w:tc>
        <w:tc>
          <w:tcPr>
            <w:tcW w:w="2515" w:type="dxa"/>
            <w:vAlign w:val="center"/>
          </w:tcPr>
          <w:p w14:paraId="65ECAAC3">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资格审查主体</w:t>
            </w:r>
          </w:p>
        </w:tc>
        <w:tc>
          <w:tcPr>
            <w:tcW w:w="5675" w:type="dxa"/>
            <w:vAlign w:val="center"/>
          </w:tcPr>
          <w:p w14:paraId="63CA59B0">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采购人</w:t>
            </w:r>
          </w:p>
          <w:p w14:paraId="157EA441">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rPr>
              <w:t>□采购人委托的</w:t>
            </w:r>
            <w:r>
              <w:rPr>
                <w:rFonts w:hint="eastAsia" w:ascii="宋体" w:hAnsi="宋体" w:cs="仿宋_GB2312"/>
                <w:color w:val="auto"/>
                <w:kern w:val="0"/>
                <w:sz w:val="21"/>
                <w:szCs w:val="21"/>
                <w:lang w:val="en-US" w:eastAsia="zh-CN"/>
              </w:rPr>
              <w:t>采购</w:t>
            </w:r>
            <w:r>
              <w:rPr>
                <w:rFonts w:hint="eastAsia" w:ascii="宋体" w:hAnsi="宋体" w:cs="仿宋_GB2312"/>
                <w:color w:val="auto"/>
                <w:kern w:val="0"/>
                <w:sz w:val="21"/>
                <w:szCs w:val="21"/>
              </w:rPr>
              <w:t>代理机构</w:t>
            </w:r>
          </w:p>
          <w:p w14:paraId="6BF8AAE1">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采购人和采购代理机构</w:t>
            </w:r>
          </w:p>
        </w:tc>
      </w:tr>
      <w:tr w14:paraId="6770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shd w:val="clear" w:color="auto" w:fill="auto"/>
            <w:vAlign w:val="center"/>
          </w:tcPr>
          <w:p w14:paraId="4E11A1FC">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7.3</w:t>
            </w:r>
          </w:p>
        </w:tc>
        <w:tc>
          <w:tcPr>
            <w:tcW w:w="2515" w:type="dxa"/>
            <w:shd w:val="clear" w:color="auto" w:fill="auto"/>
            <w:vAlign w:val="center"/>
          </w:tcPr>
          <w:p w14:paraId="6ECF91B3">
            <w:pPr>
              <w:autoSpaceDE w:val="0"/>
              <w:autoSpaceDN w:val="0"/>
              <w:adjustRightInd w:val="0"/>
              <w:snapToGrid w:val="0"/>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rPr>
              <w:t>评审得分相同时</w:t>
            </w:r>
            <w:r>
              <w:rPr>
                <w:rFonts w:hint="eastAsia" w:ascii="宋体" w:hAnsi="宋体" w:cs="仿宋_GB2312"/>
                <w:color w:val="auto"/>
                <w:kern w:val="0"/>
                <w:sz w:val="21"/>
                <w:szCs w:val="21"/>
                <w:lang w:val="en-US" w:eastAsia="zh-CN"/>
              </w:rPr>
              <w:t>推荐候选人原则</w:t>
            </w:r>
          </w:p>
        </w:tc>
        <w:tc>
          <w:tcPr>
            <w:tcW w:w="5675" w:type="dxa"/>
            <w:shd w:val="clear" w:color="auto" w:fill="auto"/>
            <w:vAlign w:val="center"/>
          </w:tcPr>
          <w:p w14:paraId="6E1628F8">
            <w:pPr>
              <w:autoSpaceDE w:val="0"/>
              <w:autoSpaceDN w:val="0"/>
              <w:adjustRightInd w:val="0"/>
              <w:snapToGrid w:val="0"/>
              <w:spacing w:afterLines="50"/>
              <w:outlineLvl w:val="9"/>
              <w:rPr>
                <w:rFonts w:hint="eastAsia" w:ascii="宋体" w:hAnsi="宋体" w:eastAsia="宋体" w:cs="仿宋_GB2312"/>
                <w:color w:val="auto"/>
                <w:kern w:val="0"/>
                <w:sz w:val="21"/>
                <w:szCs w:val="21"/>
                <w:lang w:eastAsia="zh-CN"/>
              </w:rPr>
            </w:pPr>
            <w:r>
              <w:rPr>
                <w:rFonts w:hint="eastAsia" w:ascii="宋体" w:hAnsi="宋体" w:cs="仿宋_GB2312"/>
                <w:color w:val="auto"/>
                <w:kern w:val="0"/>
                <w:sz w:val="21"/>
                <w:szCs w:val="21"/>
              </w:rPr>
              <w:t>当综合评分相等时，以技术得分高者优先；技术得分也相等的，以投标报价得分高者优先；如果报价得分也相等，则由招标人直接确定中标候选人顺序</w:t>
            </w:r>
            <w:r>
              <w:rPr>
                <w:rFonts w:hint="eastAsia" w:ascii="宋体" w:hAnsi="宋体" w:cs="仿宋_GB2312"/>
                <w:color w:val="auto"/>
                <w:kern w:val="0"/>
                <w:sz w:val="21"/>
                <w:szCs w:val="21"/>
                <w:lang w:eastAsia="zh-CN"/>
              </w:rPr>
              <w:t>。</w:t>
            </w:r>
          </w:p>
        </w:tc>
      </w:tr>
      <w:tr w14:paraId="0D64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6AB7D77">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8</w:t>
            </w:r>
            <w:r>
              <w:rPr>
                <w:rFonts w:ascii="宋体" w:hAnsi="宋体" w:cs="TimesNewRomanPSMT"/>
                <w:color w:val="auto"/>
                <w:kern w:val="0"/>
                <w:sz w:val="21"/>
                <w:szCs w:val="21"/>
              </w:rPr>
              <w:t>.1</w:t>
            </w:r>
          </w:p>
        </w:tc>
        <w:tc>
          <w:tcPr>
            <w:tcW w:w="2515" w:type="dxa"/>
            <w:vAlign w:val="center"/>
          </w:tcPr>
          <w:p w14:paraId="36DDD0DF">
            <w:pPr>
              <w:autoSpaceDE w:val="0"/>
              <w:autoSpaceDN w:val="0"/>
              <w:adjustRightInd w:val="0"/>
              <w:snapToGrid w:val="0"/>
              <w:outlineLvl w:val="9"/>
              <w:rPr>
                <w:rFonts w:ascii="宋体" w:hAnsi="宋体" w:cs="仿宋_GB2312"/>
                <w:color w:val="auto"/>
                <w:kern w:val="0"/>
                <w:sz w:val="21"/>
                <w:szCs w:val="21"/>
              </w:rPr>
            </w:pPr>
            <w:bookmarkStart w:id="45" w:name="_Toc6837"/>
            <w:bookmarkStart w:id="46" w:name="_Toc28567"/>
            <w:bookmarkStart w:id="47" w:name="_Toc27209"/>
            <w:r>
              <w:rPr>
                <w:rFonts w:hint="eastAsia" w:ascii="宋体" w:hAnsi="宋体" w:cs="仿宋_GB2312"/>
                <w:color w:val="auto"/>
                <w:kern w:val="0"/>
                <w:sz w:val="21"/>
                <w:szCs w:val="21"/>
              </w:rPr>
              <w:t>推荐的中标候选人数量</w:t>
            </w:r>
            <w:bookmarkEnd w:id="45"/>
            <w:bookmarkEnd w:id="46"/>
            <w:bookmarkEnd w:id="47"/>
          </w:p>
        </w:tc>
        <w:tc>
          <w:tcPr>
            <w:tcW w:w="5675" w:type="dxa"/>
            <w:vAlign w:val="center"/>
          </w:tcPr>
          <w:p w14:paraId="7EDA6B40">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u w:val="single"/>
              </w:rPr>
              <w:t xml:space="preserve"> </w:t>
            </w:r>
            <w:r>
              <w:rPr>
                <w:rFonts w:hint="eastAsia" w:ascii="宋体" w:hAnsi="宋体" w:cs="仿宋_GB2312"/>
                <w:color w:val="auto"/>
                <w:kern w:val="0"/>
                <w:sz w:val="21"/>
                <w:szCs w:val="21"/>
                <w:u w:val="single"/>
                <w:lang w:val="en-US" w:eastAsia="zh-CN"/>
              </w:rPr>
              <w:t>3</w:t>
            </w:r>
            <w:r>
              <w:rPr>
                <w:rFonts w:hint="eastAsia" w:ascii="宋体" w:hAnsi="宋体" w:cs="仿宋_GB2312"/>
                <w:color w:val="auto"/>
                <w:kern w:val="0"/>
                <w:sz w:val="21"/>
                <w:szCs w:val="21"/>
                <w:u w:val="single"/>
              </w:rPr>
              <w:t xml:space="preserve"> </w:t>
            </w:r>
            <w:r>
              <w:rPr>
                <w:rFonts w:hint="eastAsia" w:ascii="宋体" w:hAnsi="宋体" w:cs="仿宋_GB2312"/>
                <w:color w:val="auto"/>
                <w:kern w:val="0"/>
                <w:sz w:val="21"/>
                <w:szCs w:val="21"/>
              </w:rPr>
              <w:t>名</w:t>
            </w:r>
          </w:p>
        </w:tc>
      </w:tr>
      <w:tr w14:paraId="114C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3A251560">
            <w:pPr>
              <w:autoSpaceDE w:val="0"/>
              <w:autoSpaceDN w:val="0"/>
              <w:adjustRightInd w:val="0"/>
              <w:snapToGrid w:val="0"/>
              <w:jc w:val="center"/>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8.1</w:t>
            </w:r>
          </w:p>
        </w:tc>
        <w:tc>
          <w:tcPr>
            <w:tcW w:w="2515" w:type="dxa"/>
            <w:vAlign w:val="center"/>
          </w:tcPr>
          <w:p w14:paraId="20C63959">
            <w:pPr>
              <w:autoSpaceDE w:val="0"/>
              <w:autoSpaceDN w:val="0"/>
              <w:adjustRightInd w:val="0"/>
              <w:snapToGrid w:val="0"/>
              <w:outlineLvl w:val="9"/>
              <w:rPr>
                <w:rFonts w:hint="eastAsia" w:ascii="宋体" w:hAnsi="宋体" w:cs="仿宋_GB2312"/>
                <w:color w:val="auto"/>
                <w:kern w:val="0"/>
                <w:sz w:val="21"/>
                <w:szCs w:val="21"/>
              </w:rPr>
            </w:pPr>
            <w:bookmarkStart w:id="48" w:name="_Toc10035"/>
            <w:r>
              <w:rPr>
                <w:rFonts w:hint="eastAsia" w:ascii="宋体" w:hAnsi="宋体" w:eastAsia="宋体" w:cs="仿宋_GB2312"/>
                <w:color w:val="auto"/>
                <w:kern w:val="0"/>
                <w:sz w:val="21"/>
                <w:szCs w:val="21"/>
              </w:rPr>
              <w:t>确定中标人的方式</w:t>
            </w:r>
            <w:bookmarkEnd w:id="48"/>
          </w:p>
        </w:tc>
        <w:tc>
          <w:tcPr>
            <w:tcW w:w="5675" w:type="dxa"/>
            <w:vAlign w:val="center"/>
          </w:tcPr>
          <w:p w14:paraId="77B2D80D">
            <w:pPr>
              <w:widowControl/>
              <w:autoSpaceDE w:val="0"/>
              <w:autoSpaceDN w:val="0"/>
              <w:adjustRightInd w:val="0"/>
              <w:snapToGrid w:val="0"/>
              <w:spacing w:afterLines="50"/>
              <w:outlineLvl w:val="9"/>
              <w:rPr>
                <w:rFonts w:hint="eastAsia" w:ascii="宋体" w:hAnsi="宋体" w:eastAsia="宋体" w:cs="仿宋_GB2312"/>
                <w:color w:val="auto"/>
                <w:kern w:val="0"/>
                <w:sz w:val="21"/>
                <w:szCs w:val="21"/>
                <w:u w:val="none"/>
              </w:rPr>
            </w:pPr>
            <w:r>
              <w:rPr>
                <w:rFonts w:hint="eastAsia" w:ascii="宋体" w:hAnsi="宋体" w:cs="仿宋_GB2312"/>
                <w:color w:val="auto"/>
                <w:kern w:val="0"/>
                <w:sz w:val="21"/>
                <w:szCs w:val="21"/>
                <w:u w:val="none"/>
              </w:rPr>
              <w:t>□</w:t>
            </w:r>
            <w:r>
              <w:rPr>
                <w:rFonts w:hint="eastAsia" w:ascii="宋体" w:hAnsi="宋体" w:eastAsia="宋体" w:cs="仿宋_GB2312"/>
                <w:color w:val="auto"/>
                <w:kern w:val="0"/>
                <w:sz w:val="21"/>
                <w:szCs w:val="21"/>
                <w:u w:val="none"/>
              </w:rPr>
              <w:t>采购人委托评标委员会直接确认中标人</w:t>
            </w:r>
          </w:p>
          <w:p w14:paraId="34360988">
            <w:pPr>
              <w:autoSpaceDE w:val="0"/>
              <w:autoSpaceDN w:val="0"/>
              <w:adjustRightInd w:val="0"/>
              <w:snapToGrid w:val="0"/>
              <w:spacing w:afterLines="50"/>
              <w:outlineLvl w:val="9"/>
              <w:rPr>
                <w:rFonts w:hint="eastAsia" w:ascii="宋体" w:hAnsi="宋体" w:cs="仿宋_GB2312"/>
                <w:color w:val="auto"/>
                <w:kern w:val="0"/>
                <w:sz w:val="21"/>
                <w:szCs w:val="21"/>
                <w:u w:val="single"/>
              </w:rPr>
            </w:pPr>
            <w:r>
              <w:rPr>
                <w:rFonts w:hint="eastAsia" w:ascii="宋体" w:hAnsi="宋体" w:cs="仿宋_GB2312"/>
                <w:color w:val="auto"/>
                <w:kern w:val="0"/>
                <w:sz w:val="21"/>
                <w:szCs w:val="21"/>
                <w:u w:val="none"/>
                <w:lang w:eastAsia="zh-CN"/>
              </w:rPr>
              <w:t>☑</w:t>
            </w:r>
            <w:r>
              <w:rPr>
                <w:rFonts w:hint="eastAsia" w:ascii="宋体" w:hAnsi="宋体" w:eastAsia="宋体" w:cs="仿宋_GB2312"/>
                <w:color w:val="auto"/>
                <w:kern w:val="0"/>
                <w:sz w:val="21"/>
                <w:szCs w:val="21"/>
                <w:u w:val="none"/>
              </w:rPr>
              <w:t>采购人确认中标人</w:t>
            </w:r>
          </w:p>
        </w:tc>
      </w:tr>
      <w:tr w14:paraId="079D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FA7AB49">
            <w:pPr>
              <w:autoSpaceDE w:val="0"/>
              <w:autoSpaceDN w:val="0"/>
              <w:adjustRightInd w:val="0"/>
              <w:snapToGrid w:val="0"/>
              <w:jc w:val="center"/>
              <w:outlineLvl w:val="9"/>
              <w:rPr>
                <w:rFonts w:ascii="宋体" w:hAnsi="宋体" w:cs="TimesNewRomanPSMT"/>
                <w:color w:val="auto"/>
                <w:kern w:val="0"/>
                <w:sz w:val="21"/>
                <w:szCs w:val="21"/>
              </w:rPr>
            </w:pPr>
            <w:r>
              <w:rPr>
                <w:rFonts w:hint="eastAsia" w:ascii="宋体" w:hAnsi="宋体" w:cs="TimesNewRomanPSMT"/>
                <w:color w:val="auto"/>
                <w:kern w:val="0"/>
                <w:sz w:val="21"/>
                <w:szCs w:val="21"/>
              </w:rPr>
              <w:t>8</w:t>
            </w:r>
            <w:r>
              <w:rPr>
                <w:rFonts w:ascii="宋体" w:hAnsi="宋体" w:cs="TimesNewRomanPSMT"/>
                <w:color w:val="auto"/>
                <w:kern w:val="0"/>
                <w:sz w:val="21"/>
                <w:szCs w:val="21"/>
              </w:rPr>
              <w:t>.</w:t>
            </w:r>
            <w:r>
              <w:rPr>
                <w:rFonts w:hint="eastAsia" w:ascii="宋体" w:hAnsi="宋体" w:cs="TimesNewRomanPSMT"/>
                <w:color w:val="auto"/>
                <w:kern w:val="0"/>
                <w:sz w:val="21"/>
                <w:szCs w:val="21"/>
              </w:rPr>
              <w:t>4</w:t>
            </w:r>
            <w:r>
              <w:rPr>
                <w:rFonts w:ascii="宋体" w:hAnsi="宋体" w:cs="TimesNewRomanPSMT"/>
                <w:color w:val="auto"/>
                <w:kern w:val="0"/>
                <w:sz w:val="21"/>
                <w:szCs w:val="21"/>
              </w:rPr>
              <w:t>.1</w:t>
            </w:r>
          </w:p>
        </w:tc>
        <w:tc>
          <w:tcPr>
            <w:tcW w:w="2515" w:type="dxa"/>
            <w:vAlign w:val="center"/>
          </w:tcPr>
          <w:p w14:paraId="5B4EA2DD">
            <w:pPr>
              <w:autoSpaceDE w:val="0"/>
              <w:autoSpaceDN w:val="0"/>
              <w:adjustRightInd w:val="0"/>
              <w:snapToGrid w:val="0"/>
              <w:outlineLvl w:val="9"/>
              <w:rPr>
                <w:rFonts w:ascii="宋体" w:hAnsi="宋体" w:cs="仿宋_GB2312"/>
                <w:color w:val="auto"/>
                <w:kern w:val="0"/>
                <w:sz w:val="21"/>
                <w:szCs w:val="21"/>
              </w:rPr>
            </w:pPr>
            <w:bookmarkStart w:id="49" w:name="_Toc8885"/>
            <w:bookmarkStart w:id="50" w:name="_Toc3499"/>
            <w:bookmarkStart w:id="51" w:name="_Toc27528"/>
            <w:r>
              <w:rPr>
                <w:rFonts w:hint="eastAsia" w:ascii="宋体" w:hAnsi="宋体" w:cs="仿宋_GB2312"/>
                <w:color w:val="auto"/>
                <w:kern w:val="0"/>
                <w:sz w:val="21"/>
                <w:szCs w:val="21"/>
              </w:rPr>
              <w:t>履约保证金</w:t>
            </w:r>
            <w:bookmarkEnd w:id="49"/>
            <w:bookmarkEnd w:id="50"/>
            <w:bookmarkEnd w:id="51"/>
          </w:p>
        </w:tc>
        <w:tc>
          <w:tcPr>
            <w:tcW w:w="5675" w:type="dxa"/>
            <w:vAlign w:val="center"/>
          </w:tcPr>
          <w:p w14:paraId="3DF123C8">
            <w:pPr>
              <w:autoSpaceDE w:val="0"/>
              <w:autoSpaceDN w:val="0"/>
              <w:adjustRightInd w:val="0"/>
              <w:snapToGrid w:val="0"/>
              <w:spacing w:afterLines="50"/>
              <w:outlineLvl w:val="9"/>
              <w:rPr>
                <w:rFonts w:ascii="宋体" w:hAnsi="宋体" w:cs="仿宋_GB2312"/>
                <w:color w:val="auto"/>
                <w:kern w:val="0"/>
                <w:sz w:val="21"/>
                <w:szCs w:val="21"/>
              </w:rPr>
            </w:pPr>
            <w:r>
              <w:rPr>
                <w:rFonts w:hint="eastAsia" w:ascii="宋体" w:hAnsi="宋体" w:cs="仿宋_GB2312"/>
                <w:color w:val="auto"/>
                <w:kern w:val="0"/>
                <w:sz w:val="21"/>
                <w:szCs w:val="21"/>
              </w:rPr>
              <w:t>履约保证金的形式</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rPr>
              <w:t>支票、汇票、本票或者金融机构、担保机构出具的保函等非现金形式</w:t>
            </w:r>
          </w:p>
          <w:p w14:paraId="7F30CA2A">
            <w:pPr>
              <w:autoSpaceDE w:val="0"/>
              <w:autoSpaceDN w:val="0"/>
              <w:adjustRightInd w:val="0"/>
              <w:snapToGrid w:val="0"/>
              <w:spacing w:afterLines="50"/>
              <w:outlineLvl w:val="9"/>
              <w:rPr>
                <w:rFonts w:hint="default" w:ascii="宋体" w:hAnsi="宋体" w:eastAsia="宋体" w:cs="仿宋_GB2312"/>
                <w:color w:val="auto"/>
                <w:kern w:val="0"/>
                <w:sz w:val="21"/>
                <w:szCs w:val="21"/>
                <w:lang w:val="en-US" w:eastAsia="zh-CN"/>
              </w:rPr>
            </w:pPr>
            <w:r>
              <w:rPr>
                <w:rFonts w:hint="eastAsia" w:ascii="宋体" w:hAnsi="宋体" w:cs="仿宋_GB2312"/>
                <w:color w:val="auto"/>
                <w:kern w:val="0"/>
                <w:sz w:val="21"/>
                <w:szCs w:val="21"/>
              </w:rPr>
              <w:t>履约保证金的金额</w:t>
            </w:r>
            <w:r>
              <w:rPr>
                <w:rFonts w:hint="eastAsia" w:ascii="宋体" w:hAnsi="宋体" w:cs="仿宋_GB2312"/>
                <w:color w:val="auto"/>
                <w:kern w:val="0"/>
                <w:sz w:val="21"/>
                <w:szCs w:val="21"/>
                <w:lang w:eastAsia="zh-CN"/>
              </w:rPr>
              <w:t>:</w:t>
            </w:r>
            <w:r>
              <w:rPr>
                <w:rFonts w:hint="eastAsia" w:ascii="宋体" w:hAnsi="宋体" w:cs="仿宋_GB2312"/>
                <w:color w:val="auto"/>
                <w:kern w:val="0"/>
                <w:sz w:val="21"/>
                <w:szCs w:val="21"/>
                <w:lang w:val="en-US" w:eastAsia="zh-CN"/>
              </w:rPr>
              <w:t>中标合同金额的</w:t>
            </w:r>
            <w:r>
              <w:rPr>
                <w:rFonts w:hint="eastAsia" w:ascii="宋体" w:hAnsi="宋体" w:cs="仿宋_GB2312"/>
                <w:color w:val="auto"/>
                <w:kern w:val="0"/>
                <w:sz w:val="21"/>
                <w:szCs w:val="21"/>
                <w:u w:val="single"/>
                <w:lang w:val="en-US" w:eastAsia="zh-CN"/>
              </w:rPr>
              <w:t xml:space="preserve"> 5 </w:t>
            </w:r>
            <w:r>
              <w:rPr>
                <w:rFonts w:hint="eastAsia" w:ascii="宋体" w:hAnsi="宋体" w:cs="仿宋_GB2312"/>
                <w:color w:val="auto"/>
                <w:kern w:val="0"/>
                <w:sz w:val="21"/>
                <w:szCs w:val="21"/>
                <w:lang w:val="en-US" w:eastAsia="zh-CN"/>
              </w:rPr>
              <w:t>%</w:t>
            </w:r>
          </w:p>
        </w:tc>
      </w:tr>
      <w:tr w14:paraId="7AC2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468E004">
            <w:pPr>
              <w:autoSpaceDE w:val="0"/>
              <w:autoSpaceDN w:val="0"/>
              <w:adjustRightInd w:val="0"/>
              <w:snapToGrid w:val="0"/>
              <w:jc w:val="center"/>
              <w:outlineLvl w:val="9"/>
              <w:rPr>
                <w:rFonts w:ascii="宋体" w:hAnsi="宋体" w:cs="TimesNewRomanPSMT"/>
                <w:color w:val="auto"/>
                <w:kern w:val="0"/>
                <w:sz w:val="21"/>
                <w:szCs w:val="21"/>
              </w:rPr>
            </w:pPr>
            <w:r>
              <w:rPr>
                <w:rFonts w:ascii="宋体" w:hAnsi="宋体"/>
                <w:b/>
                <w:bCs/>
                <w:color w:val="auto"/>
                <w:kern w:val="0"/>
                <w:sz w:val="21"/>
                <w:szCs w:val="21"/>
              </w:rPr>
              <w:t>10</w:t>
            </w:r>
          </w:p>
        </w:tc>
        <w:tc>
          <w:tcPr>
            <w:tcW w:w="8190" w:type="dxa"/>
            <w:gridSpan w:val="2"/>
            <w:vAlign w:val="center"/>
          </w:tcPr>
          <w:p w14:paraId="54E4063D">
            <w:pPr>
              <w:autoSpaceDE w:val="0"/>
              <w:autoSpaceDN w:val="0"/>
              <w:adjustRightInd w:val="0"/>
              <w:snapToGrid w:val="0"/>
              <w:outlineLvl w:val="9"/>
              <w:rPr>
                <w:rFonts w:ascii="宋体" w:hAnsi="宋体" w:cs="仿宋_GB2312"/>
                <w:color w:val="auto"/>
                <w:kern w:val="0"/>
                <w:sz w:val="21"/>
                <w:szCs w:val="21"/>
              </w:rPr>
            </w:pPr>
            <w:r>
              <w:rPr>
                <w:rFonts w:hint="eastAsia" w:ascii="宋体" w:hAnsi="宋体" w:cs="仿宋_GB2312"/>
                <w:color w:val="auto"/>
                <w:kern w:val="0"/>
                <w:sz w:val="21"/>
                <w:szCs w:val="21"/>
              </w:rPr>
              <w:t>需要补充的其他内容</w:t>
            </w:r>
          </w:p>
        </w:tc>
      </w:tr>
      <w:tr w14:paraId="6B4C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DDE1263">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10.1</w:t>
            </w:r>
          </w:p>
        </w:tc>
        <w:tc>
          <w:tcPr>
            <w:tcW w:w="8190" w:type="dxa"/>
            <w:gridSpan w:val="2"/>
            <w:vAlign w:val="center"/>
          </w:tcPr>
          <w:p w14:paraId="1B618060">
            <w:pPr>
              <w:autoSpaceDE w:val="0"/>
              <w:autoSpaceDN w:val="0"/>
              <w:adjustRightInd w:val="0"/>
              <w:snapToGrid w:val="0"/>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投标人中标后须向招标代理机构交纳招标服务费。</w:t>
            </w:r>
          </w:p>
          <w:p w14:paraId="6D7C8977">
            <w:pPr>
              <w:autoSpaceDE w:val="0"/>
              <w:autoSpaceDN w:val="0"/>
              <w:adjustRightInd w:val="0"/>
              <w:snapToGrid w:val="0"/>
              <w:outlineLvl w:val="9"/>
              <w:rPr>
                <w:rFonts w:ascii="宋体" w:hAnsi="宋体" w:cs="仿宋_GB2312"/>
                <w:color w:val="auto"/>
                <w:kern w:val="0"/>
                <w:sz w:val="21"/>
                <w:szCs w:val="21"/>
              </w:rPr>
            </w:pPr>
            <w:r>
              <w:rPr>
                <w:rFonts w:hint="eastAsia" w:ascii="宋体" w:hAnsi="宋体" w:cs="TimesNewRomanPSMT"/>
                <w:color w:val="auto"/>
                <w:kern w:val="0"/>
                <w:sz w:val="21"/>
                <w:szCs w:val="21"/>
              </w:rPr>
              <w:t>招标服务费按“计价格[2002]1980号”、“发改价格[2011]534号”文件规定的</w:t>
            </w:r>
            <w:r>
              <w:rPr>
                <w:rFonts w:hint="eastAsia" w:ascii="宋体" w:hAnsi="宋体" w:cs="TimesNewRomanPSMT"/>
                <w:b/>
                <w:bCs/>
                <w:color w:val="auto"/>
                <w:kern w:val="0"/>
                <w:sz w:val="21"/>
                <w:szCs w:val="21"/>
                <w:lang w:val="en-US" w:eastAsia="zh-CN"/>
              </w:rPr>
              <w:t>服务</w:t>
            </w:r>
            <w:r>
              <w:rPr>
                <w:rFonts w:hint="eastAsia" w:ascii="宋体" w:hAnsi="宋体" w:cs="TimesNewRomanPSMT"/>
                <w:b/>
                <w:bCs/>
                <w:color w:val="auto"/>
                <w:kern w:val="0"/>
                <w:sz w:val="21"/>
                <w:szCs w:val="21"/>
              </w:rPr>
              <w:t>类</w:t>
            </w:r>
            <w:r>
              <w:rPr>
                <w:rFonts w:hint="eastAsia" w:ascii="宋体" w:hAnsi="宋体" w:cs="TimesNewRomanPSMT"/>
                <w:color w:val="auto"/>
                <w:kern w:val="0"/>
                <w:sz w:val="21"/>
                <w:szCs w:val="21"/>
              </w:rPr>
              <w:t>标准，并下浮计算。</w:t>
            </w:r>
          </w:p>
        </w:tc>
      </w:tr>
      <w:tr w14:paraId="036A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88F2902">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10.2</w:t>
            </w:r>
          </w:p>
        </w:tc>
        <w:tc>
          <w:tcPr>
            <w:tcW w:w="8190" w:type="dxa"/>
            <w:gridSpan w:val="2"/>
            <w:vAlign w:val="center"/>
          </w:tcPr>
          <w:p w14:paraId="55ED8906">
            <w:pPr>
              <w:autoSpaceDE w:val="0"/>
              <w:autoSpaceDN w:val="0"/>
              <w:adjustRightInd w:val="0"/>
              <w:snapToGrid w:val="0"/>
              <w:outlineLvl w:val="9"/>
              <w:rPr>
                <w:rFonts w:ascii="宋体" w:hAnsi="宋体" w:cs="TimesNewRomanPSMT"/>
                <w:color w:val="auto"/>
                <w:kern w:val="0"/>
                <w:sz w:val="21"/>
                <w:szCs w:val="21"/>
              </w:rPr>
            </w:pPr>
            <w:r>
              <w:rPr>
                <w:rFonts w:hint="eastAsia" w:ascii="宋体" w:hAnsi="宋体" w:cs="TimesNewRomanPSMT"/>
                <w:color w:val="auto"/>
                <w:kern w:val="0"/>
                <w:sz w:val="21"/>
                <w:szCs w:val="21"/>
              </w:rPr>
              <w:t>投标报价应包括</w:t>
            </w:r>
            <w:r>
              <w:rPr>
                <w:rFonts w:hint="eastAsia" w:ascii="宋体" w:hAnsi="宋体" w:cs="TimesNewRomanPSMT"/>
                <w:color w:val="auto"/>
                <w:kern w:val="0"/>
                <w:sz w:val="21"/>
                <w:szCs w:val="21"/>
                <w:lang w:val="en-US" w:eastAsia="zh-CN"/>
              </w:rPr>
              <w:t>完成本项目采购内容所需的所有费用</w:t>
            </w:r>
            <w:r>
              <w:rPr>
                <w:rFonts w:hint="eastAsia" w:ascii="宋体" w:hAnsi="宋体" w:cs="TimesNewRomanPSMT"/>
                <w:color w:val="auto"/>
                <w:kern w:val="0"/>
                <w:sz w:val="21"/>
                <w:szCs w:val="21"/>
              </w:rPr>
              <w:t>；除与招标人另有约定外，投标人不得以任何无理要求增加费用。</w:t>
            </w:r>
          </w:p>
        </w:tc>
      </w:tr>
      <w:tr w14:paraId="214A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05F31E2">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10.3</w:t>
            </w:r>
          </w:p>
        </w:tc>
        <w:tc>
          <w:tcPr>
            <w:tcW w:w="8190" w:type="dxa"/>
            <w:gridSpan w:val="2"/>
            <w:vAlign w:val="center"/>
          </w:tcPr>
          <w:p w14:paraId="3AA09851">
            <w:pPr>
              <w:pStyle w:val="25"/>
              <w:keepNext w:val="0"/>
              <w:keepLines w:val="0"/>
              <w:pageBreakBefore w:val="0"/>
              <w:widowControl w:val="0"/>
              <w:kinsoku/>
              <w:wordWrap w:val="0"/>
              <w:overflowPunct/>
              <w:topLinePunct w:val="0"/>
              <w:bidi w:val="0"/>
              <w:spacing w:before="0" w:beforeLines="0" w:after="0" w:afterLines="0" w:line="360" w:lineRule="auto"/>
              <w:ind w:firstLine="0" w:firstLineChars="0"/>
              <w:jc w:val="left"/>
              <w:textAlignment w:val="auto"/>
              <w:outlineLvl w:val="9"/>
              <w:rPr>
                <w:rFonts w:hint="eastAsia" w:ascii="Calibri" w:hAnsi="宋体"/>
                <w:b/>
                <w:color w:val="auto"/>
                <w:sz w:val="21"/>
                <w:szCs w:val="21"/>
                <w:highlight w:val="none"/>
                <w:u w:val="single"/>
              </w:rPr>
            </w:pPr>
            <w:r>
              <w:rPr>
                <w:rFonts w:hint="eastAsia" w:ascii="宋体" w:hAnsi="宋体" w:cs="仿宋_GB2312"/>
                <w:b/>
                <w:bCs/>
                <w:color w:val="auto"/>
                <w:kern w:val="0"/>
                <w:sz w:val="21"/>
                <w:szCs w:val="21"/>
                <w:highlight w:val="none"/>
              </w:rPr>
              <w:t>电子交易须知</w:t>
            </w:r>
          </w:p>
          <w:p w14:paraId="0B457FC5">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1.本项目采用全流程不见面电子开评标，投标供应商需要使用CA加密设备，供应商可通过新疆数字证书认证中心官网（https://www.xjca.com.cn/）或下载“新疆政务通”APP自行进行申领。</w:t>
            </w:r>
          </w:p>
          <w:p w14:paraId="31C88FDD">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2.本项目实行网上投标，采用加密电子响应文件(供应商须使用CA加密设备通过政采云电子投标客户端制作响应文件)。若供应商参与投标，自行承担投标一切费用。</w:t>
            </w:r>
          </w:p>
          <w:p w14:paraId="2A9DCB8F">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3.各供应商在开标前应确保成为新疆维吾尔自治区政府采购网正式注册入库供应商（已在政采云平台其他省份入驻的供应商无须重复注册），并完成CA数字证书申领。因未注册入库、未办理CA数字证书等原因造成无法投标或投标失败等后果由供应商自行承担。</w:t>
            </w:r>
          </w:p>
          <w:p w14:paraId="50339E36">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p>
          <w:p w14:paraId="4E51F990">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5.供应商在开标时须使用制作加密电子响应文件所使用的CA锁及电脑，电脑须提前配置好浏览器（建议使用谷歌浏览器），以便开标时解锁。</w:t>
            </w:r>
          </w:p>
          <w:p w14:paraId="1AE495AA">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210E106D">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7.为了保证开评标顺利进行，政采云线上开标功能完全实现，供应商开标所使用的电脑设备须具有视频及语音功能。</w:t>
            </w:r>
          </w:p>
          <w:p w14:paraId="46A9EE7F">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8.</w:t>
            </w:r>
            <w:r>
              <w:rPr>
                <w:rFonts w:hint="eastAsia" w:ascii="宋体" w:hAnsi="宋体" w:cs="TimesNewRomanPSMT"/>
                <w:color w:val="auto"/>
                <w:kern w:val="0"/>
                <w:sz w:val="21"/>
                <w:szCs w:val="21"/>
              </w:rPr>
              <w:t>电子招投标：本项目以数据电文形式，依托“政府采购云平台（www.zcygov.cn）”进行招投标活动。</w:t>
            </w:r>
          </w:p>
          <w:p w14:paraId="012BDE25">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9.</w:t>
            </w:r>
            <w:r>
              <w:rPr>
                <w:rFonts w:hint="eastAsia" w:ascii="宋体" w:hAnsi="宋体" w:cs="TimesNewRomanPSMT"/>
                <w:color w:val="auto"/>
                <w:kern w:val="0"/>
                <w:sz w:val="21"/>
                <w:szCs w:val="21"/>
              </w:rPr>
              <w:t>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31B4986B">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10.</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的获取：使用账号登录或者短信验证码或者使用CA登录政采云平台；进入“项目采购”应用，在获取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 xml:space="preserve"> 菜单中选择项目，获取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 xml:space="preserve"> </w:t>
            </w:r>
          </w:p>
          <w:p w14:paraId="447665BB">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11.</w:t>
            </w:r>
            <w:r>
              <w:rPr>
                <w:rFonts w:hint="eastAsia" w:ascii="宋体" w:hAnsi="宋体" w:cs="TimesNewRomanPSMT"/>
                <w:color w:val="auto"/>
                <w:kern w:val="0"/>
                <w:sz w:val="21"/>
                <w:szCs w:val="21"/>
              </w:rPr>
              <w:t>响应文件的解密：供应商按照平台提示和</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规定在半小时内完成在线解密。通过“政府采购云平台”上传递交的响应文件无法按时解密，投标供应商提供了备份响应文件的，以备份响应文件为依据，否则视为响应文件撤回。通过“政府采购云平台”上传递交的响应文件已按时解密的，备份响应文件自动失效。供应商仅提供备份响应文件，没有在电子交易平台传输递交响应文件的，投标无效。</w:t>
            </w:r>
          </w:p>
          <w:p w14:paraId="7B9648C3">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12.</w:t>
            </w:r>
            <w:r>
              <w:rPr>
                <w:rFonts w:hint="eastAsia" w:ascii="宋体" w:hAnsi="宋体" w:cs="TimesNewRomanPSMT"/>
                <w:color w:val="auto"/>
                <w:kern w:val="0"/>
                <w:sz w:val="21"/>
                <w:szCs w:val="21"/>
              </w:rPr>
              <w:t>具体操作指南：详见政采云平台“服务中心-帮助文档-项目采购-操作流程-电子招投标-政府采购项目电子交易管理操作指南-供应商”。</w:t>
            </w:r>
          </w:p>
          <w:p w14:paraId="55CE80B6">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lang w:val="en-US" w:eastAsia="zh-CN"/>
              </w:rPr>
              <w:t>13.</w:t>
            </w:r>
            <w:r>
              <w:rPr>
                <w:rFonts w:hint="eastAsia" w:ascii="宋体" w:hAnsi="宋体" w:cs="TimesNewRomanPSMT"/>
                <w:color w:val="auto"/>
                <w:kern w:val="0"/>
                <w:sz w:val="21"/>
                <w:szCs w:val="21"/>
              </w:rPr>
              <w:t>供应商在进行上述操作时，如遇技术问题可登录政采云（https://www.zcygov.cn/），点击右侧咨询小采，获取采小蜜智能服务管家帮助，或拨打政采云服务热线95763获取热线服务帮助。</w:t>
            </w:r>
          </w:p>
          <w:p w14:paraId="7E0118E0">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rPr>
            </w:pPr>
            <w:r>
              <w:rPr>
                <w:rFonts w:hint="eastAsia" w:ascii="宋体" w:hAnsi="宋体" w:cs="TimesNewRomanPSMT"/>
                <w:color w:val="auto"/>
                <w:kern w:val="0"/>
                <w:sz w:val="21"/>
                <w:szCs w:val="21"/>
              </w:rPr>
              <w:t>温馨提醒：供应商</w:t>
            </w:r>
            <w:r>
              <w:rPr>
                <w:rFonts w:hint="eastAsia" w:ascii="宋体" w:hAnsi="宋体" w:cs="TimesNewRomanPSMT"/>
                <w:color w:val="auto"/>
                <w:kern w:val="0"/>
                <w:sz w:val="21"/>
                <w:szCs w:val="21"/>
                <w:lang w:val="en-US" w:eastAsia="zh-CN"/>
              </w:rPr>
              <w:t>应</w:t>
            </w:r>
            <w:r>
              <w:rPr>
                <w:rFonts w:hint="eastAsia" w:ascii="宋体" w:hAnsi="宋体" w:cs="TimesNewRomanPSMT"/>
                <w:color w:val="auto"/>
                <w:kern w:val="0"/>
                <w:sz w:val="21"/>
                <w:szCs w:val="21"/>
              </w:rPr>
              <w:t>提前上传，以便在上传时遇到技术问题，有充足的时间请教平台的技术人员。</w:t>
            </w:r>
          </w:p>
          <w:p w14:paraId="6719E1C5">
            <w:pPr>
              <w:autoSpaceDE w:val="0"/>
              <w:autoSpaceDN w:val="0"/>
              <w:adjustRightInd w:val="0"/>
              <w:snapToGrid w:val="0"/>
              <w:outlineLvl w:val="9"/>
              <w:rPr>
                <w:rFonts w:ascii="宋体" w:hAnsi="宋体" w:cs="TimesNewRomanPSMT"/>
                <w:color w:val="auto"/>
                <w:kern w:val="0"/>
                <w:sz w:val="21"/>
                <w:szCs w:val="21"/>
              </w:rPr>
            </w:pPr>
            <w:r>
              <w:rPr>
                <w:rFonts w:hint="eastAsia" w:ascii="宋体" w:hAnsi="宋体" w:cs="TimesNewRomanPSMT"/>
                <w:color w:val="auto"/>
                <w:kern w:val="0"/>
                <w:sz w:val="21"/>
                <w:szCs w:val="21"/>
                <w:lang w:val="en-US" w:eastAsia="zh-CN"/>
              </w:rPr>
              <w:t>14.</w:t>
            </w:r>
            <w:r>
              <w:rPr>
                <w:rFonts w:hint="eastAsia" w:ascii="宋体" w:hAnsi="宋体" w:cs="TimesNewRomanPSMT"/>
                <w:color w:val="auto"/>
                <w:kern w:val="0"/>
                <w:sz w:val="21"/>
                <w:szCs w:val="21"/>
              </w:rPr>
              <w:t>供应商认为</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使自己的权益受到损害的，可以自收到</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之日（</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公告期限届满之前收到</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的，以完成获取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申请后下载</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的时间为准）或者</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公告期限届满之日（公告发布后的第6个工作日）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质疑函范本、投诉书范本请到新疆政府采购网下载专区下载。未按规定获取</w:t>
            </w:r>
            <w:r>
              <w:rPr>
                <w:rFonts w:hint="eastAsia" w:ascii="宋体" w:hAnsi="宋体" w:cs="TimesNewRomanPSMT"/>
                <w:color w:val="auto"/>
                <w:kern w:val="0"/>
                <w:sz w:val="21"/>
                <w:szCs w:val="21"/>
                <w:lang w:eastAsia="zh-CN"/>
              </w:rPr>
              <w:t>招标文件</w:t>
            </w:r>
            <w:r>
              <w:rPr>
                <w:rFonts w:hint="eastAsia" w:ascii="宋体" w:hAnsi="宋体" w:cs="TimesNewRomanPSMT"/>
                <w:color w:val="auto"/>
                <w:kern w:val="0"/>
                <w:sz w:val="21"/>
                <w:szCs w:val="21"/>
              </w:rPr>
              <w:t>或逾期提出的不予受理、答复。</w:t>
            </w:r>
          </w:p>
        </w:tc>
      </w:tr>
      <w:tr w14:paraId="3C25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990501A">
            <w:pPr>
              <w:autoSpaceDE w:val="0"/>
              <w:autoSpaceDN w:val="0"/>
              <w:adjustRightInd w:val="0"/>
              <w:snapToGrid w:val="0"/>
              <w:jc w:val="center"/>
              <w:outlineLvl w:val="9"/>
              <w:rPr>
                <w:rFonts w:hint="default" w:ascii="宋体" w:hAnsi="宋体" w:eastAsia="宋体" w:cs="TimesNewRomanPSMT"/>
                <w:color w:val="auto"/>
                <w:kern w:val="0"/>
                <w:sz w:val="21"/>
                <w:szCs w:val="21"/>
                <w:lang w:val="en-US" w:eastAsia="zh-CN"/>
              </w:rPr>
            </w:pPr>
            <w:r>
              <w:rPr>
                <w:rFonts w:hint="eastAsia" w:ascii="宋体" w:hAnsi="宋体" w:cs="TimesNewRomanPSMT"/>
                <w:color w:val="auto"/>
                <w:kern w:val="0"/>
                <w:sz w:val="21"/>
                <w:szCs w:val="21"/>
                <w:lang w:val="en-US" w:eastAsia="zh-CN"/>
              </w:rPr>
              <w:t>10.4</w:t>
            </w:r>
          </w:p>
        </w:tc>
        <w:tc>
          <w:tcPr>
            <w:tcW w:w="8190" w:type="dxa"/>
            <w:gridSpan w:val="2"/>
            <w:vAlign w:val="center"/>
          </w:tcPr>
          <w:p w14:paraId="261D02E9">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b/>
                <w:bCs/>
                <w:color w:val="auto"/>
                <w:kern w:val="0"/>
                <w:sz w:val="21"/>
                <w:szCs w:val="21"/>
                <w:lang w:eastAsia="zh-CN"/>
              </w:rPr>
            </w:pPr>
            <w:r>
              <w:rPr>
                <w:rFonts w:hint="eastAsia" w:ascii="宋体" w:hAnsi="宋体" w:cs="TimesNewRomanPSMT"/>
                <w:b/>
                <w:bCs/>
                <w:color w:val="auto"/>
                <w:kern w:val="0"/>
                <w:sz w:val="21"/>
                <w:szCs w:val="21"/>
                <w:lang w:eastAsia="zh-CN"/>
              </w:rPr>
              <w:t>1、着重提醒各供应商注意，并认真查看</w:t>
            </w:r>
            <w:r>
              <w:rPr>
                <w:rFonts w:hint="eastAsia" w:ascii="宋体" w:hAnsi="宋体" w:cs="TimesNewRomanPSMT"/>
                <w:b/>
                <w:bCs/>
                <w:color w:val="auto"/>
                <w:kern w:val="0"/>
                <w:sz w:val="21"/>
                <w:szCs w:val="21"/>
                <w:lang w:val="en-US" w:eastAsia="zh-CN"/>
              </w:rPr>
              <w:t>招标</w:t>
            </w:r>
            <w:r>
              <w:rPr>
                <w:rFonts w:hint="eastAsia" w:ascii="宋体" w:hAnsi="宋体" w:cs="TimesNewRomanPSMT"/>
                <w:b/>
                <w:bCs/>
                <w:color w:val="auto"/>
                <w:kern w:val="0"/>
                <w:sz w:val="21"/>
                <w:szCs w:val="21"/>
                <w:lang w:eastAsia="zh-CN"/>
              </w:rPr>
              <w:t>文件中的每一个条款及要求，因误读</w:t>
            </w:r>
            <w:r>
              <w:rPr>
                <w:rFonts w:hint="eastAsia" w:ascii="宋体" w:hAnsi="宋体" w:cs="TimesNewRomanPSMT"/>
                <w:b/>
                <w:bCs/>
                <w:color w:val="auto"/>
                <w:kern w:val="0"/>
                <w:sz w:val="21"/>
                <w:szCs w:val="21"/>
                <w:lang w:val="en-US" w:eastAsia="zh-CN"/>
              </w:rPr>
              <w:t>招标</w:t>
            </w:r>
            <w:r>
              <w:rPr>
                <w:rFonts w:hint="eastAsia" w:ascii="宋体" w:hAnsi="宋体" w:cs="TimesNewRomanPSMT"/>
                <w:b/>
                <w:bCs/>
                <w:color w:val="auto"/>
                <w:kern w:val="0"/>
                <w:sz w:val="21"/>
                <w:szCs w:val="21"/>
                <w:lang w:eastAsia="zh-CN"/>
              </w:rPr>
              <w:t>文件而造成的后果，招标人概不负责。</w:t>
            </w:r>
          </w:p>
          <w:p w14:paraId="19114963">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lang w:eastAsia="zh-CN"/>
              </w:rPr>
            </w:pPr>
            <w:r>
              <w:rPr>
                <w:rFonts w:hint="eastAsia" w:ascii="宋体" w:hAnsi="宋体" w:cs="TimesNewRomanPSMT"/>
                <w:color w:val="auto"/>
                <w:kern w:val="0"/>
                <w:sz w:val="21"/>
                <w:szCs w:val="21"/>
                <w:lang w:eastAsia="zh-CN"/>
              </w:rPr>
              <w:t>2、供应商使用相同IP地址的，一经发现，相关部门将</w:t>
            </w:r>
            <w:r>
              <w:rPr>
                <w:rFonts w:hint="eastAsia" w:ascii="宋体" w:hAnsi="宋体" w:cs="TimesNewRomanPSMT"/>
                <w:color w:val="auto"/>
                <w:kern w:val="0"/>
                <w:sz w:val="21"/>
                <w:szCs w:val="21"/>
                <w:lang w:val="en-US" w:eastAsia="zh-CN"/>
              </w:rPr>
              <w:t>保留</w:t>
            </w:r>
            <w:r>
              <w:rPr>
                <w:rFonts w:hint="eastAsia" w:ascii="宋体" w:hAnsi="宋体" w:cs="TimesNewRomanPSMT"/>
                <w:color w:val="auto"/>
                <w:kern w:val="0"/>
                <w:sz w:val="21"/>
                <w:szCs w:val="21"/>
                <w:lang w:eastAsia="zh-CN"/>
              </w:rPr>
              <w:t>进一步核实</w:t>
            </w:r>
            <w:r>
              <w:rPr>
                <w:rFonts w:hint="eastAsia" w:ascii="宋体" w:hAnsi="宋体" w:cs="TimesNewRomanPSMT"/>
                <w:color w:val="auto"/>
                <w:kern w:val="0"/>
                <w:sz w:val="21"/>
                <w:szCs w:val="21"/>
                <w:lang w:val="en-US" w:eastAsia="zh-CN"/>
              </w:rPr>
              <w:t>的权利</w:t>
            </w:r>
            <w:r>
              <w:rPr>
                <w:rFonts w:hint="eastAsia" w:ascii="宋体" w:hAnsi="宋体" w:cs="TimesNewRomanPSMT"/>
                <w:color w:val="auto"/>
                <w:kern w:val="0"/>
                <w:sz w:val="21"/>
                <w:szCs w:val="21"/>
                <w:lang w:eastAsia="zh-CN"/>
              </w:rPr>
              <w:t>，查实后按串通投标处理。</w:t>
            </w:r>
          </w:p>
          <w:p w14:paraId="2730A467">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lang w:eastAsia="zh-CN"/>
              </w:rPr>
            </w:pPr>
            <w:r>
              <w:rPr>
                <w:rFonts w:hint="eastAsia" w:ascii="宋体" w:hAnsi="宋体" w:cs="TimesNewRomanPSMT"/>
                <w:color w:val="auto"/>
                <w:kern w:val="0"/>
                <w:sz w:val="21"/>
                <w:szCs w:val="21"/>
                <w:lang w:eastAsia="zh-CN"/>
              </w:rPr>
              <w:t>3、为保证本项目质量，良好的售后服务，最低报价不作为中标的唯一依据。</w:t>
            </w:r>
          </w:p>
          <w:p w14:paraId="775076E2">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lang w:eastAsia="zh-CN"/>
              </w:rPr>
            </w:pPr>
            <w:r>
              <w:rPr>
                <w:rFonts w:hint="eastAsia" w:ascii="宋体" w:hAnsi="宋体" w:cs="TimesNewRomanPSMT"/>
                <w:color w:val="auto"/>
                <w:kern w:val="0"/>
                <w:sz w:val="21"/>
                <w:szCs w:val="21"/>
                <w:lang w:eastAsia="zh-CN"/>
              </w:rPr>
              <w:t>4、采购人若发现成交候选供应商在投标过程中提供虚假证明文件，故意隐瞒公司不良信誉和财务状况，以及其他可能对合同圆满履行造成风险的因素等，则按规定取消其成交资格，监管部门依法进行处理。</w:t>
            </w:r>
          </w:p>
          <w:p w14:paraId="5FE61D7F">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lang w:eastAsia="zh-CN"/>
              </w:rPr>
            </w:pPr>
            <w:r>
              <w:rPr>
                <w:rFonts w:hint="eastAsia" w:ascii="宋体" w:hAnsi="宋体" w:cs="TimesNewRomanPSMT"/>
                <w:color w:val="auto"/>
                <w:kern w:val="0"/>
                <w:sz w:val="21"/>
                <w:szCs w:val="21"/>
                <w:lang w:eastAsia="zh-CN"/>
              </w:rPr>
              <w:t>5、其它：</w:t>
            </w:r>
          </w:p>
          <w:p w14:paraId="216DC911">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rFonts w:hint="eastAsia" w:ascii="宋体" w:hAnsi="宋体" w:cs="TimesNewRomanPSMT"/>
                <w:color w:val="auto"/>
                <w:kern w:val="0"/>
                <w:sz w:val="21"/>
                <w:szCs w:val="21"/>
                <w:lang w:eastAsia="zh-CN"/>
              </w:rPr>
            </w:pPr>
            <w:r>
              <w:rPr>
                <w:rFonts w:hint="eastAsia" w:ascii="宋体" w:hAnsi="宋体" w:cs="TimesNewRomanPSMT"/>
                <w:color w:val="auto"/>
                <w:kern w:val="0"/>
                <w:sz w:val="21"/>
                <w:szCs w:val="21"/>
                <w:lang w:eastAsia="zh-CN"/>
              </w:rPr>
              <w:t>（1）供应商严格遵守国家的法律法规及招标纪律，无违法违纪及商业贿赂行为。</w:t>
            </w:r>
          </w:p>
          <w:p w14:paraId="6AB3E676">
            <w:pPr>
              <w:keepNext w:val="0"/>
              <w:keepLines w:val="0"/>
              <w:pageBreakBefore w:val="0"/>
              <w:widowControl w:val="0"/>
              <w:kinsoku/>
              <w:wordWrap w:val="0"/>
              <w:overflowPunct/>
              <w:topLinePunct w:val="0"/>
              <w:autoSpaceDE w:val="0"/>
              <w:autoSpaceDN w:val="0"/>
              <w:bidi w:val="0"/>
              <w:adjustRightInd/>
              <w:snapToGrid/>
              <w:spacing w:after="157" w:afterLines="50"/>
              <w:textAlignment w:val="auto"/>
              <w:outlineLvl w:val="9"/>
              <w:rPr>
                <w:color w:val="auto"/>
              </w:rPr>
            </w:pPr>
            <w:r>
              <w:rPr>
                <w:rFonts w:hint="eastAsia" w:ascii="宋体" w:hAnsi="宋体" w:cs="TimesNewRomanPSMT"/>
                <w:color w:val="auto"/>
                <w:kern w:val="0"/>
                <w:sz w:val="21"/>
                <w:szCs w:val="21"/>
                <w:lang w:eastAsia="zh-CN"/>
              </w:rPr>
              <w:t>（2）不管投标结果如何，供应商均应自行承担投标所需一切费用。</w:t>
            </w:r>
          </w:p>
        </w:tc>
      </w:tr>
    </w:tbl>
    <w:p w14:paraId="59FD2AE9">
      <w:pPr>
        <w:autoSpaceDE w:val="0"/>
        <w:autoSpaceDN w:val="0"/>
        <w:adjustRightInd w:val="0"/>
        <w:snapToGrid w:val="0"/>
        <w:spacing w:afterLines="50"/>
        <w:jc w:val="left"/>
        <w:rPr>
          <w:rFonts w:ascii="宋体" w:hAnsi="宋体" w:cs="黑体"/>
          <w:color w:val="auto"/>
          <w:kern w:val="0"/>
          <w:sz w:val="28"/>
          <w:szCs w:val="28"/>
        </w:rPr>
      </w:pPr>
    </w:p>
    <w:p w14:paraId="2E83908C">
      <w:pPr>
        <w:autoSpaceDE w:val="0"/>
        <w:autoSpaceDN w:val="0"/>
        <w:adjustRightInd w:val="0"/>
        <w:snapToGrid w:val="0"/>
        <w:spacing w:afterLines="50"/>
        <w:jc w:val="center"/>
        <w:outlineLvl w:val="1"/>
        <w:rPr>
          <w:rFonts w:ascii="宋体" w:hAnsi="宋体" w:cs="黑体"/>
          <w:color w:val="auto"/>
          <w:kern w:val="0"/>
          <w:sz w:val="28"/>
          <w:szCs w:val="28"/>
        </w:rPr>
      </w:pPr>
      <w:r>
        <w:rPr>
          <w:rFonts w:ascii="宋体" w:hAnsi="宋体" w:cs="仿宋_GB2312"/>
          <w:color w:val="auto"/>
          <w:kern w:val="0"/>
          <w:szCs w:val="21"/>
        </w:rPr>
        <w:br w:type="page"/>
      </w:r>
      <w:bookmarkStart w:id="52" w:name="_Toc26328"/>
      <w:bookmarkStart w:id="53" w:name="_Toc29493"/>
      <w:bookmarkStart w:id="54" w:name="_Toc16660"/>
      <w:r>
        <w:rPr>
          <w:rFonts w:hint="eastAsia" w:ascii="宋体" w:hAnsi="宋体" w:cs="黑体"/>
          <w:color w:val="auto"/>
          <w:kern w:val="0"/>
          <w:sz w:val="28"/>
          <w:szCs w:val="28"/>
          <w:lang w:eastAsia="zh-CN"/>
        </w:rPr>
        <w:t>(</w:t>
      </w:r>
      <w:r>
        <w:rPr>
          <w:rFonts w:hint="eastAsia" w:ascii="宋体" w:hAnsi="宋体" w:cs="黑体"/>
          <w:color w:val="auto"/>
          <w:kern w:val="0"/>
          <w:sz w:val="28"/>
          <w:szCs w:val="28"/>
        </w:rPr>
        <w:t>二</w:t>
      </w:r>
      <w:r>
        <w:rPr>
          <w:rFonts w:hint="eastAsia" w:ascii="宋体" w:hAnsi="宋体" w:cs="黑体"/>
          <w:color w:val="auto"/>
          <w:kern w:val="0"/>
          <w:sz w:val="28"/>
          <w:szCs w:val="28"/>
          <w:lang w:eastAsia="zh-CN"/>
        </w:rPr>
        <w:t>)</w:t>
      </w:r>
      <w:r>
        <w:rPr>
          <w:rFonts w:hint="eastAsia" w:ascii="宋体" w:hAnsi="宋体" w:cs="黑体"/>
          <w:color w:val="auto"/>
          <w:kern w:val="0"/>
          <w:sz w:val="28"/>
          <w:szCs w:val="28"/>
        </w:rPr>
        <w:t>投标人须知</w:t>
      </w:r>
      <w:bookmarkEnd w:id="52"/>
      <w:bookmarkEnd w:id="53"/>
      <w:bookmarkEnd w:id="54"/>
    </w:p>
    <w:p w14:paraId="73554C45">
      <w:pPr>
        <w:numPr>
          <w:ilvl w:val="0"/>
          <w:numId w:val="2"/>
        </w:numPr>
        <w:autoSpaceDE w:val="0"/>
        <w:autoSpaceDN w:val="0"/>
        <w:adjustRightInd w:val="0"/>
        <w:spacing w:afterLines="50"/>
        <w:outlineLvl w:val="2"/>
        <w:rPr>
          <w:rFonts w:ascii="黑体" w:hAnsi="宋体" w:eastAsia="黑体" w:cs="黑体"/>
          <w:color w:val="auto"/>
          <w:kern w:val="0"/>
          <w:sz w:val="24"/>
        </w:rPr>
      </w:pPr>
      <w:bookmarkStart w:id="55" w:name="_Toc23205"/>
      <w:bookmarkStart w:id="56" w:name="_Toc195921793"/>
      <w:bookmarkStart w:id="57" w:name="_Toc5950"/>
      <w:r>
        <w:rPr>
          <w:rFonts w:hint="eastAsia" w:ascii="黑体" w:hAnsi="宋体" w:eastAsia="黑体" w:cs="黑体"/>
          <w:color w:val="auto"/>
          <w:kern w:val="0"/>
          <w:sz w:val="24"/>
        </w:rPr>
        <w:t>总则</w:t>
      </w:r>
      <w:bookmarkEnd w:id="55"/>
      <w:bookmarkEnd w:id="56"/>
      <w:bookmarkEnd w:id="57"/>
    </w:p>
    <w:p w14:paraId="1C667DBD">
      <w:pPr>
        <w:numPr>
          <w:ilvl w:val="1"/>
          <w:numId w:val="2"/>
        </w:numPr>
        <w:autoSpaceDE w:val="0"/>
        <w:autoSpaceDN w:val="0"/>
        <w:adjustRightInd w:val="0"/>
        <w:snapToGrid w:val="0"/>
        <w:spacing w:afterLines="50"/>
        <w:rPr>
          <w:rFonts w:ascii="宋体" w:hAnsi="宋体" w:cs="黑体"/>
          <w:color w:val="auto"/>
          <w:kern w:val="0"/>
          <w:sz w:val="24"/>
        </w:rPr>
      </w:pPr>
      <w:bookmarkStart w:id="58" w:name="_Toc195921794"/>
      <w:r>
        <w:rPr>
          <w:rFonts w:hint="eastAsia" w:ascii="宋体" w:hAnsi="宋体" w:cs="黑体"/>
          <w:color w:val="auto"/>
          <w:kern w:val="0"/>
          <w:sz w:val="24"/>
        </w:rPr>
        <w:t>项目概况</w:t>
      </w:r>
      <w:bookmarkEnd w:id="58"/>
    </w:p>
    <w:p w14:paraId="67311217">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根据《中华人民共和国政府采购法》和《中华人民共和国政府采购法实施条例》等有关法律、法规和规章的规定，对本招标项目进行招标。</w:t>
      </w:r>
    </w:p>
    <w:p w14:paraId="53AACB6E">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采购人</w:t>
      </w:r>
      <w:r>
        <w:rPr>
          <w:rFonts w:hint="eastAsia" w:ascii="宋体" w:hAnsi="宋体" w:cs="黑体"/>
          <w:color w:val="auto"/>
          <w:kern w:val="0"/>
          <w:sz w:val="24"/>
          <w:lang w:eastAsia="zh-CN"/>
        </w:rPr>
        <w:t>:</w:t>
      </w:r>
      <w:r>
        <w:rPr>
          <w:rFonts w:hint="eastAsia"/>
          <w:color w:val="auto"/>
          <w:sz w:val="24"/>
        </w:rPr>
        <w:t>指依法进行政府采购的国家机关、事业单位、团体组织。本项目采购人见</w:t>
      </w:r>
      <w:r>
        <w:rPr>
          <w:rFonts w:hint="eastAsia"/>
          <w:color w:val="auto"/>
          <w:sz w:val="24"/>
          <w:lang w:val="en-US" w:eastAsia="zh-CN"/>
        </w:rPr>
        <w:t>招标公告</w:t>
      </w:r>
      <w:r>
        <w:rPr>
          <w:rFonts w:hint="eastAsia" w:ascii="宋体" w:hAnsi="宋体" w:cs="黑体"/>
          <w:color w:val="auto"/>
          <w:kern w:val="0"/>
          <w:sz w:val="24"/>
        </w:rPr>
        <w:t>。</w:t>
      </w:r>
    </w:p>
    <w:p w14:paraId="7B8515F9">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采购代理机构</w:t>
      </w:r>
      <w:r>
        <w:rPr>
          <w:rFonts w:hint="eastAsia" w:ascii="宋体" w:hAnsi="宋体" w:cs="黑体"/>
          <w:color w:val="auto"/>
          <w:kern w:val="0"/>
          <w:sz w:val="24"/>
          <w:lang w:eastAsia="zh-CN"/>
        </w:rPr>
        <w:t>:</w:t>
      </w:r>
      <w:r>
        <w:rPr>
          <w:rFonts w:hint="eastAsia"/>
          <w:color w:val="auto"/>
          <w:sz w:val="24"/>
        </w:rPr>
        <w:t>指采购人委托的采购代理机构。本项目采购代理机构见</w:t>
      </w:r>
      <w:r>
        <w:rPr>
          <w:rFonts w:hint="eastAsia"/>
          <w:color w:val="auto"/>
          <w:sz w:val="24"/>
          <w:lang w:val="en-US" w:eastAsia="zh-CN"/>
        </w:rPr>
        <w:t>招标公告</w:t>
      </w:r>
      <w:r>
        <w:rPr>
          <w:rFonts w:hint="eastAsia" w:ascii="宋体" w:hAnsi="宋体" w:cs="黑体"/>
          <w:color w:val="auto"/>
          <w:kern w:val="0"/>
          <w:sz w:val="24"/>
        </w:rPr>
        <w:t>。</w:t>
      </w:r>
    </w:p>
    <w:p w14:paraId="2C05A024">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采购服务名称</w:t>
      </w:r>
    </w:p>
    <w:p w14:paraId="1F592883">
      <w:pPr>
        <w:autoSpaceDE w:val="0"/>
        <w:autoSpaceDN w:val="0"/>
        <w:adjustRightInd w:val="0"/>
        <w:snapToGrid w:val="0"/>
        <w:spacing w:afterLines="50"/>
        <w:ind w:left="1079"/>
        <w:rPr>
          <w:rFonts w:hint="eastAsia" w:ascii="宋体" w:hAnsi="宋体"/>
          <w:color w:val="auto"/>
          <w:sz w:val="24"/>
        </w:rPr>
      </w:pP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0B029744">
      <w:pPr>
        <w:autoSpaceDE w:val="0"/>
        <w:autoSpaceDN w:val="0"/>
        <w:adjustRightInd w:val="0"/>
        <w:snapToGrid w:val="0"/>
        <w:spacing w:afterLines="50"/>
        <w:ind w:left="0"/>
        <w:rPr>
          <w:rFonts w:hint="default" w:ascii="宋体" w:hAnsi="宋体" w:eastAsia="宋体"/>
          <w:color w:val="auto"/>
          <w:sz w:val="24"/>
          <w:lang w:val="en-US" w:eastAsia="zh-CN"/>
        </w:rPr>
      </w:pPr>
      <w:r>
        <w:rPr>
          <w:rFonts w:hint="eastAsia" w:ascii="宋体" w:hAnsi="宋体"/>
          <w:color w:val="auto"/>
          <w:sz w:val="24"/>
          <w:lang w:val="en-US" w:eastAsia="zh-CN"/>
        </w:rPr>
        <w:t>1.1.5    采购标的对应的中小企业划分标准所属行业:</w:t>
      </w:r>
      <w:r>
        <w:rPr>
          <w:rFonts w:hint="eastAsia" w:ascii="宋体" w:hAnsi="宋体" w:cs="黑体"/>
          <w:color w:val="auto"/>
          <w:kern w:val="0"/>
          <w:sz w:val="24"/>
        </w:rPr>
        <w:t>见投标人须知前附表</w:t>
      </w:r>
    </w:p>
    <w:p w14:paraId="77D79AFB">
      <w:pPr>
        <w:numPr>
          <w:ilvl w:val="1"/>
          <w:numId w:val="2"/>
        </w:numPr>
        <w:autoSpaceDE w:val="0"/>
        <w:autoSpaceDN w:val="0"/>
        <w:adjustRightInd w:val="0"/>
        <w:snapToGrid w:val="0"/>
        <w:spacing w:afterLines="50"/>
        <w:rPr>
          <w:rFonts w:ascii="宋体" w:hAnsi="宋体" w:cs="黑体"/>
          <w:color w:val="auto"/>
          <w:kern w:val="0"/>
          <w:sz w:val="24"/>
        </w:rPr>
      </w:pPr>
      <w:bookmarkStart w:id="59" w:name="_Toc195921795"/>
      <w:r>
        <w:rPr>
          <w:rFonts w:hint="eastAsia" w:ascii="宋体" w:hAnsi="宋体" w:cs="黑体"/>
          <w:color w:val="auto"/>
          <w:kern w:val="0"/>
          <w:sz w:val="24"/>
        </w:rPr>
        <w:t>采购预算</w:t>
      </w:r>
      <w:bookmarkEnd w:id="59"/>
    </w:p>
    <w:p w14:paraId="4DC4F69A">
      <w:pPr>
        <w:autoSpaceDE w:val="0"/>
        <w:autoSpaceDN w:val="0"/>
        <w:adjustRightInd w:val="0"/>
        <w:snapToGrid w:val="0"/>
        <w:spacing w:afterLines="50"/>
        <w:ind w:left="1079"/>
        <w:rPr>
          <w:rFonts w:ascii="宋体" w:hAnsi="宋体"/>
          <w:color w:val="auto"/>
          <w:sz w:val="24"/>
        </w:rPr>
      </w:pP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711F1291">
      <w:pPr>
        <w:numPr>
          <w:ilvl w:val="1"/>
          <w:numId w:val="2"/>
        </w:numPr>
        <w:autoSpaceDE w:val="0"/>
        <w:autoSpaceDN w:val="0"/>
        <w:adjustRightInd w:val="0"/>
        <w:snapToGrid w:val="0"/>
        <w:spacing w:afterLines="50"/>
        <w:rPr>
          <w:rFonts w:ascii="宋体" w:hAnsi="宋体" w:cs="黑体"/>
          <w:color w:val="auto"/>
          <w:kern w:val="0"/>
          <w:sz w:val="24"/>
        </w:rPr>
      </w:pPr>
      <w:bookmarkStart w:id="60" w:name="_Toc195921796"/>
      <w:r>
        <w:rPr>
          <w:rFonts w:hint="eastAsia" w:ascii="宋体" w:hAnsi="宋体" w:cs="黑体"/>
          <w:color w:val="auto"/>
          <w:kern w:val="0"/>
          <w:sz w:val="24"/>
        </w:rPr>
        <w:t>最高限价</w:t>
      </w:r>
      <w:r>
        <w:rPr>
          <w:rFonts w:hint="eastAsia" w:ascii="宋体" w:hAnsi="宋体" w:cs="黑体"/>
          <w:color w:val="auto"/>
          <w:kern w:val="0"/>
          <w:sz w:val="24"/>
          <w:lang w:eastAsia="zh-CN"/>
        </w:rPr>
        <w:t>(</w:t>
      </w:r>
      <w:r>
        <w:rPr>
          <w:rFonts w:hint="eastAsia" w:ascii="宋体" w:hAnsi="宋体" w:cs="黑体"/>
          <w:color w:val="auto"/>
          <w:kern w:val="0"/>
          <w:sz w:val="24"/>
        </w:rPr>
        <w:t>如有</w:t>
      </w:r>
      <w:r>
        <w:rPr>
          <w:rFonts w:hint="eastAsia" w:ascii="宋体" w:hAnsi="宋体" w:cs="黑体"/>
          <w:color w:val="auto"/>
          <w:kern w:val="0"/>
          <w:sz w:val="24"/>
          <w:lang w:eastAsia="zh-CN"/>
        </w:rPr>
        <w:t>)</w:t>
      </w:r>
    </w:p>
    <w:p w14:paraId="57897B80">
      <w:pPr>
        <w:autoSpaceDE w:val="0"/>
        <w:autoSpaceDN w:val="0"/>
        <w:adjustRightInd w:val="0"/>
        <w:snapToGrid w:val="0"/>
        <w:spacing w:afterLines="50"/>
        <w:ind w:left="1079"/>
        <w:rPr>
          <w:rFonts w:ascii="宋体" w:hAnsi="宋体"/>
          <w:color w:val="auto"/>
          <w:sz w:val="24"/>
        </w:rPr>
      </w:pP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036F537F">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招标范围、服务期和质量要求</w:t>
      </w:r>
      <w:bookmarkEnd w:id="60"/>
    </w:p>
    <w:p w14:paraId="170FBD6F">
      <w:pPr>
        <w:autoSpaceDE w:val="0"/>
        <w:autoSpaceDN w:val="0"/>
        <w:adjustRightInd w:val="0"/>
        <w:snapToGrid w:val="0"/>
        <w:spacing w:afterLines="50"/>
        <w:ind w:left="1079"/>
        <w:rPr>
          <w:rFonts w:ascii="宋体" w:hAnsi="宋体"/>
          <w:color w:val="auto"/>
          <w:sz w:val="24"/>
        </w:rPr>
      </w:pPr>
      <w:r>
        <w:rPr>
          <w:rFonts w:hint="eastAsia" w:ascii="宋体" w:hAnsi="宋体"/>
          <w:color w:val="auto"/>
          <w:sz w:val="24"/>
        </w:rPr>
        <w:t>见采购需求。</w:t>
      </w:r>
    </w:p>
    <w:p w14:paraId="29DE06A3">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w:t>
      </w:r>
      <w:r>
        <w:rPr>
          <w:rFonts w:hint="eastAsia" w:ascii="宋体" w:hAnsi="宋体" w:cs="黑体"/>
          <w:color w:val="auto"/>
          <w:kern w:val="0"/>
          <w:sz w:val="24"/>
          <w:lang w:eastAsia="zh-CN"/>
        </w:rPr>
        <w:t>:</w:t>
      </w:r>
      <w:r>
        <w:rPr>
          <w:rFonts w:hint="eastAsia" w:ascii="宋体" w:hAnsi="宋体"/>
          <w:color w:val="auto"/>
          <w:sz w:val="24"/>
        </w:rPr>
        <w:t>指响应招标、参加投标竞争的法人、其他组织</w:t>
      </w:r>
      <w:r>
        <w:rPr>
          <w:rFonts w:hint="eastAsia" w:ascii="宋体" w:hAnsi="宋体" w:cs="黑体"/>
          <w:color w:val="auto"/>
          <w:kern w:val="0"/>
          <w:sz w:val="24"/>
        </w:rPr>
        <w:t>。</w:t>
      </w:r>
    </w:p>
    <w:p w14:paraId="75D697C4">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bookmarkStart w:id="61" w:name="_Ref426956497"/>
      <w:r>
        <w:rPr>
          <w:rFonts w:hint="eastAsia" w:ascii="宋体" w:hAnsi="宋体" w:cs="黑体"/>
          <w:color w:val="auto"/>
          <w:kern w:val="0"/>
          <w:sz w:val="24"/>
        </w:rPr>
        <w:t>合格的</w:t>
      </w:r>
      <w:r>
        <w:rPr>
          <w:rFonts w:hint="eastAsia" w:ascii="宋体" w:hAnsi="宋体" w:cs="黑体"/>
          <w:color w:val="auto"/>
          <w:kern w:val="0"/>
          <w:sz w:val="24"/>
          <w:lang w:val="en-US" w:eastAsia="zh-CN"/>
        </w:rPr>
        <w:t>投标人</w:t>
      </w:r>
      <w:r>
        <w:rPr>
          <w:rFonts w:hint="eastAsia" w:ascii="宋体" w:hAnsi="宋体" w:cs="黑体"/>
          <w:color w:val="auto"/>
          <w:kern w:val="0"/>
          <w:sz w:val="24"/>
        </w:rPr>
        <w:t>应具备以下条件</w:t>
      </w:r>
      <w:bookmarkEnd w:id="61"/>
      <w:r>
        <w:rPr>
          <w:rFonts w:hint="eastAsia" w:ascii="宋体" w:hAnsi="宋体" w:cs="黑体"/>
          <w:color w:val="auto"/>
          <w:kern w:val="0"/>
          <w:sz w:val="24"/>
          <w:lang w:eastAsia="zh-CN"/>
        </w:rPr>
        <w:t>:</w:t>
      </w:r>
    </w:p>
    <w:p w14:paraId="3895B709">
      <w:pPr>
        <w:autoSpaceDE w:val="0"/>
        <w:autoSpaceDN w:val="0"/>
        <w:adjustRightInd w:val="0"/>
        <w:snapToGrid w:val="0"/>
        <w:spacing w:afterLines="50"/>
        <w:ind w:left="1079"/>
        <w:rPr>
          <w:rFonts w:hint="eastAsia" w:ascii="宋体" w:hAnsi="宋体"/>
          <w:color w:val="auto"/>
          <w:sz w:val="24"/>
        </w:rPr>
      </w:pPr>
      <w:r>
        <w:rPr>
          <w:rFonts w:hint="eastAsia" w:ascii="宋体" w:hAnsi="宋体"/>
          <w:color w:val="auto"/>
          <w:sz w:val="24"/>
        </w:rPr>
        <w:t>见</w:t>
      </w:r>
      <w:r>
        <w:rPr>
          <w:rFonts w:hint="eastAsia" w:ascii="宋体" w:hAnsi="宋体"/>
          <w:color w:val="auto"/>
          <w:sz w:val="24"/>
          <w:lang w:val="en-US" w:eastAsia="zh-CN"/>
        </w:rPr>
        <w:t>招标公告</w:t>
      </w:r>
      <w:r>
        <w:rPr>
          <w:rFonts w:hint="eastAsia" w:ascii="宋体" w:hAnsi="宋体"/>
          <w:color w:val="auto"/>
          <w:sz w:val="24"/>
        </w:rPr>
        <w:t>。</w:t>
      </w:r>
    </w:p>
    <w:p w14:paraId="6FA381C3">
      <w:pPr>
        <w:numPr>
          <w:ilvl w:val="-1"/>
          <w:numId w:val="0"/>
        </w:numPr>
        <w:tabs>
          <w:tab w:val="left" w:pos="1260"/>
        </w:tabs>
        <w:autoSpaceDE w:val="0"/>
        <w:autoSpaceDN w:val="0"/>
        <w:adjustRightInd w:val="0"/>
        <w:snapToGrid w:val="0"/>
        <w:spacing w:afterLines="50"/>
        <w:ind w:left="-1134" w:firstLine="0"/>
        <w:rPr>
          <w:rFonts w:hint="eastAsia" w:ascii="宋体" w:hAnsi="宋体" w:eastAsia="宋体" w:cs="黑体"/>
          <w:color w:val="auto"/>
          <w:kern w:val="0"/>
          <w:sz w:val="24"/>
          <w:lang w:val="en-US" w:eastAsia="zh-CN"/>
        </w:rPr>
      </w:pPr>
      <w:r>
        <w:rPr>
          <w:rFonts w:hint="eastAsia" w:ascii="宋体" w:hAnsi="宋体" w:cs="黑体"/>
          <w:color w:val="auto"/>
          <w:kern w:val="0"/>
          <w:sz w:val="24"/>
          <w:lang w:val="en-US" w:eastAsia="zh-CN"/>
        </w:rPr>
        <w:t xml:space="preserve">         1.5.2    本项目是否</w:t>
      </w:r>
      <w:r>
        <w:rPr>
          <w:rFonts w:hint="eastAsia" w:ascii="宋体" w:hAnsi="宋体" w:cs="黑体"/>
          <w:color w:val="auto"/>
          <w:kern w:val="0"/>
          <w:sz w:val="24"/>
        </w:rPr>
        <w:t>专门面向中小企业或小型、微型企业采购</w:t>
      </w: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 xml:space="preserve"> </w:t>
      </w:r>
      <w:r>
        <w:rPr>
          <w:rFonts w:hint="eastAsia" w:ascii="宋体" w:hAnsi="宋体" w:cs="黑体"/>
          <w:color w:val="auto"/>
          <w:kern w:val="0"/>
          <w:sz w:val="24"/>
        </w:rPr>
        <w:t>见投标人须知前附表</w:t>
      </w:r>
    </w:p>
    <w:p w14:paraId="312DC671">
      <w:pPr>
        <w:numPr>
          <w:ilvl w:val="-1"/>
          <w:numId w:val="0"/>
        </w:numPr>
        <w:tabs>
          <w:tab w:val="left" w:pos="1060"/>
        </w:tabs>
        <w:autoSpaceDE w:val="0"/>
        <w:autoSpaceDN w:val="0"/>
        <w:adjustRightInd w:val="0"/>
        <w:snapToGrid w:val="0"/>
        <w:spacing w:afterLines="50"/>
        <w:ind w:left="1058" w:hanging="1058" w:hangingChars="441"/>
        <w:rPr>
          <w:rFonts w:ascii="宋体" w:hAnsi="宋体" w:cs="黑体"/>
          <w:color w:val="auto"/>
          <w:kern w:val="0"/>
          <w:sz w:val="24"/>
        </w:rPr>
      </w:pPr>
      <w:r>
        <w:rPr>
          <w:rFonts w:hint="eastAsia" w:ascii="宋体" w:hAnsi="宋体" w:cs="黑体"/>
          <w:color w:val="auto"/>
          <w:kern w:val="0"/>
          <w:sz w:val="24"/>
          <w:lang w:val="en-US" w:eastAsia="zh-CN"/>
        </w:rPr>
        <w:t xml:space="preserve">1.5.3 </w:t>
      </w:r>
      <w:r>
        <w:rPr>
          <w:rFonts w:hint="eastAsia" w:ascii="宋体" w:hAnsi="宋体"/>
          <w:color w:val="auto"/>
          <w:sz w:val="24"/>
          <w:lang w:val="en-US" w:eastAsia="zh-CN"/>
        </w:rPr>
        <w:t xml:space="preserve">   </w:t>
      </w:r>
      <w:r>
        <w:rPr>
          <w:rFonts w:hint="eastAsia" w:ascii="宋体" w:hAnsi="宋体"/>
          <w:color w:val="auto"/>
          <w:sz w:val="24"/>
        </w:rPr>
        <w:t>投标人应当遵循公平竞争的原则，不得恶意串通，不得妨碍其他投标人的竞争行为，不得损害采购人或者其他投标人的合法权益。</w:t>
      </w:r>
    </w:p>
    <w:p w14:paraId="2204A09C">
      <w:pPr>
        <w:numPr>
          <w:ilvl w:val="-1"/>
          <w:numId w:val="0"/>
        </w:numPr>
        <w:tabs>
          <w:tab w:val="left" w:pos="840"/>
        </w:tabs>
        <w:autoSpaceDE w:val="0"/>
        <w:autoSpaceDN w:val="0"/>
        <w:adjustRightInd w:val="0"/>
        <w:snapToGrid w:val="0"/>
        <w:spacing w:afterLines="50"/>
        <w:ind w:left="1056" w:hanging="1056" w:hangingChars="440"/>
        <w:rPr>
          <w:rFonts w:ascii="宋体" w:hAnsi="宋体" w:cs="黑体"/>
          <w:color w:val="auto"/>
          <w:kern w:val="0"/>
          <w:sz w:val="24"/>
        </w:rPr>
      </w:pPr>
      <w:r>
        <w:rPr>
          <w:rFonts w:hint="eastAsia" w:ascii="宋体" w:hAnsi="宋体" w:cs="黑体"/>
          <w:color w:val="auto"/>
          <w:kern w:val="0"/>
          <w:sz w:val="24"/>
          <w:lang w:val="en-US" w:eastAsia="zh-CN"/>
        </w:rPr>
        <w:t xml:space="preserve">1.5.4   </w:t>
      </w:r>
      <w:r>
        <w:rPr>
          <w:rFonts w:hint="eastAsia" w:ascii="宋体" w:hAnsi="宋体" w:cs="黑体"/>
          <w:color w:val="auto"/>
          <w:kern w:val="0"/>
          <w:sz w:val="24"/>
        </w:rPr>
        <w:t>投标人不得以向采购人、评标委员会成员行贿或者采取其他不正当手段谋取中标。</w:t>
      </w:r>
    </w:p>
    <w:p w14:paraId="2B5F9BD2">
      <w:pPr>
        <w:numPr>
          <w:ilvl w:val="-1"/>
          <w:numId w:val="0"/>
        </w:numPr>
        <w:tabs>
          <w:tab w:val="left" w:pos="1260"/>
        </w:tabs>
        <w:autoSpaceDE w:val="0"/>
        <w:autoSpaceDN w:val="0"/>
        <w:adjustRightInd w:val="0"/>
        <w:snapToGrid w:val="0"/>
        <w:spacing w:afterLines="50"/>
        <w:ind w:left="0" w:firstLine="0"/>
        <w:rPr>
          <w:rFonts w:hint="eastAsia" w:ascii="宋体" w:hAnsi="宋体" w:eastAsia="宋体" w:cs="黑体"/>
          <w:color w:val="auto"/>
          <w:kern w:val="0"/>
          <w:sz w:val="24"/>
          <w:lang w:eastAsia="zh-CN"/>
        </w:rPr>
      </w:pPr>
      <w:r>
        <w:rPr>
          <w:rFonts w:hint="eastAsia" w:ascii="宋体" w:hAnsi="宋体" w:cs="黑体"/>
          <w:color w:val="auto"/>
          <w:kern w:val="0"/>
          <w:sz w:val="24"/>
          <w:lang w:val="en-US" w:eastAsia="zh-CN"/>
        </w:rPr>
        <w:t xml:space="preserve">1.5.5   </w:t>
      </w:r>
      <w:r>
        <w:rPr>
          <w:rFonts w:hint="eastAsia" w:ascii="宋体" w:hAnsi="宋体" w:cs="黑体"/>
          <w:color w:val="auto"/>
          <w:kern w:val="0"/>
          <w:sz w:val="24"/>
        </w:rPr>
        <w:t>本项目将执行在政府采购活动中查询及使用信用记录的规定，具体要求为</w:t>
      </w:r>
      <w:r>
        <w:rPr>
          <w:rFonts w:hint="eastAsia" w:ascii="宋体" w:hAnsi="宋体" w:cs="黑体"/>
          <w:color w:val="auto"/>
          <w:kern w:val="0"/>
          <w:sz w:val="24"/>
          <w:lang w:eastAsia="zh-CN"/>
        </w:rPr>
        <w:t>:</w:t>
      </w:r>
    </w:p>
    <w:p w14:paraId="0107A4A1">
      <w:pPr>
        <w:numPr>
          <w:ilvl w:val="0"/>
          <w:numId w:val="3"/>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查询渠道</w:t>
      </w:r>
      <w:r>
        <w:rPr>
          <w:rFonts w:hint="eastAsia" w:ascii="宋体" w:hAnsi="宋体"/>
          <w:color w:val="auto"/>
          <w:sz w:val="24"/>
          <w:lang w:eastAsia="zh-CN"/>
        </w:rPr>
        <w:t>:</w:t>
      </w:r>
      <w:r>
        <w:rPr>
          <w:rFonts w:hint="eastAsia" w:ascii="宋体" w:hAnsi="宋体"/>
          <w:color w:val="auto"/>
          <w:sz w:val="24"/>
          <w:lang w:val="en-US" w:eastAsia="zh-CN"/>
        </w:rPr>
        <w:t>详见招标公告</w:t>
      </w:r>
      <w:r>
        <w:rPr>
          <w:rFonts w:ascii="宋体" w:hAnsi="宋体"/>
          <w:color w:val="auto"/>
          <w:sz w:val="24"/>
        </w:rPr>
        <w:t xml:space="preserve">； </w:t>
      </w:r>
    </w:p>
    <w:p w14:paraId="72DD64CE">
      <w:pPr>
        <w:numPr>
          <w:ilvl w:val="0"/>
          <w:numId w:val="3"/>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信用信息查询记录和证据留存具体方式</w:t>
      </w:r>
      <w:r>
        <w:rPr>
          <w:rFonts w:hint="eastAsia" w:ascii="宋体" w:hAnsi="宋体"/>
          <w:color w:val="auto"/>
          <w:sz w:val="24"/>
          <w:lang w:eastAsia="zh-CN"/>
        </w:rPr>
        <w:t>:</w:t>
      </w:r>
      <w:r>
        <w:rPr>
          <w:rFonts w:hint="eastAsia" w:ascii="宋体" w:hAnsi="宋体"/>
          <w:color w:val="auto"/>
          <w:sz w:val="24"/>
        </w:rPr>
        <w:t>投标人的</w:t>
      </w:r>
      <w:r>
        <w:rPr>
          <w:rFonts w:hint="eastAsia" w:ascii="宋体" w:hAnsi="宋体"/>
          <w:color w:val="auto"/>
          <w:sz w:val="24"/>
          <w:lang w:val="en-US" w:eastAsia="zh-CN"/>
        </w:rPr>
        <w:t>信用信息</w:t>
      </w:r>
      <w:r>
        <w:rPr>
          <w:rFonts w:hint="eastAsia" w:ascii="宋体" w:hAnsi="宋体"/>
          <w:color w:val="auto"/>
          <w:sz w:val="24"/>
        </w:rPr>
        <w:t>查询结果网页截图作为查询记录和证据，与其他采购文件一并保存；</w:t>
      </w:r>
      <w:r>
        <w:rPr>
          <w:rFonts w:ascii="宋体" w:hAnsi="宋体"/>
          <w:color w:val="auto"/>
          <w:sz w:val="24"/>
        </w:rPr>
        <w:t xml:space="preserve"> </w:t>
      </w:r>
    </w:p>
    <w:p w14:paraId="13C45B7B">
      <w:pPr>
        <w:numPr>
          <w:ilvl w:val="0"/>
          <w:numId w:val="3"/>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信用信息的使用规则</w:t>
      </w:r>
      <w:r>
        <w:rPr>
          <w:rFonts w:hint="eastAsia" w:ascii="宋体" w:hAnsi="宋体"/>
          <w:color w:val="auto"/>
          <w:sz w:val="24"/>
          <w:lang w:eastAsia="zh-CN"/>
        </w:rPr>
        <w:t>:</w:t>
      </w:r>
      <w:r>
        <w:rPr>
          <w:rFonts w:ascii="宋体" w:hAnsi="宋体"/>
          <w:color w:val="auto"/>
          <w:sz w:val="24"/>
        </w:rPr>
        <w:t>本政府采购项目的投标人在</w:t>
      </w:r>
      <w:r>
        <w:rPr>
          <w:rFonts w:hint="eastAsia" w:ascii="宋体" w:hAnsi="宋体"/>
          <w:color w:val="auto"/>
          <w:sz w:val="24"/>
        </w:rPr>
        <w:t>信用信息查询</w:t>
      </w:r>
      <w:r>
        <w:rPr>
          <w:rFonts w:ascii="宋体" w:hAnsi="宋体"/>
          <w:color w:val="auto"/>
          <w:sz w:val="24"/>
        </w:rPr>
        <w:t>时存在</w:t>
      </w:r>
      <w:r>
        <w:rPr>
          <w:rFonts w:hint="eastAsia" w:ascii="宋体" w:hAnsi="宋体"/>
          <w:color w:val="auto"/>
          <w:sz w:val="24"/>
        </w:rPr>
        <w:t>第一章</w:t>
      </w:r>
      <w:r>
        <w:rPr>
          <w:rFonts w:hint="eastAsia" w:ascii="宋体" w:hAnsi="宋体"/>
          <w:color w:val="auto"/>
          <w:sz w:val="24"/>
          <w:lang w:val="en-US" w:eastAsia="zh-CN"/>
        </w:rPr>
        <w:t>招标公告</w:t>
      </w:r>
      <w:r>
        <w:rPr>
          <w:rFonts w:hint="eastAsia" w:ascii="宋体" w:hAnsi="宋体"/>
          <w:color w:val="auto"/>
          <w:sz w:val="24"/>
        </w:rPr>
        <w:t>第</w:t>
      </w:r>
      <w:r>
        <w:rPr>
          <w:rFonts w:hint="eastAsia" w:ascii="宋体" w:hAnsi="宋体"/>
          <w:color w:val="auto"/>
          <w:sz w:val="24"/>
          <w:lang w:val="en-US" w:eastAsia="zh-CN"/>
        </w:rPr>
        <w:t>六</w:t>
      </w:r>
      <w:r>
        <w:rPr>
          <w:rFonts w:hint="eastAsia" w:ascii="宋体" w:hAnsi="宋体"/>
          <w:color w:val="auto"/>
          <w:sz w:val="24"/>
        </w:rPr>
        <w:t>条第2款所述</w:t>
      </w:r>
      <w:r>
        <w:rPr>
          <w:rFonts w:ascii="宋体" w:hAnsi="宋体"/>
          <w:color w:val="auto"/>
          <w:sz w:val="24"/>
        </w:rPr>
        <w:t>不良信用记录的，投标无效。</w:t>
      </w:r>
    </w:p>
    <w:p w14:paraId="38D3A59C">
      <w:pPr>
        <w:numPr>
          <w:ilvl w:val="-1"/>
          <w:numId w:val="0"/>
        </w:numPr>
        <w:tabs>
          <w:tab w:val="left" w:pos="840"/>
        </w:tabs>
        <w:autoSpaceDE w:val="0"/>
        <w:autoSpaceDN w:val="0"/>
        <w:adjustRightInd w:val="0"/>
        <w:snapToGrid w:val="0"/>
        <w:spacing w:afterLines="50"/>
        <w:ind w:left="1056" w:hanging="1056" w:hangingChars="440"/>
        <w:rPr>
          <w:rFonts w:hint="eastAsia" w:ascii="宋体" w:hAnsi="宋体" w:eastAsia="宋体" w:cs="黑体"/>
          <w:color w:val="auto"/>
          <w:kern w:val="0"/>
          <w:sz w:val="24"/>
          <w:lang w:eastAsia="zh-CN"/>
        </w:rPr>
      </w:pPr>
      <w:r>
        <w:rPr>
          <w:rFonts w:hint="eastAsia" w:ascii="宋体" w:hAnsi="宋体" w:cs="黑体"/>
          <w:color w:val="auto"/>
          <w:kern w:val="0"/>
          <w:sz w:val="24"/>
          <w:lang w:val="en-US" w:eastAsia="zh-CN"/>
        </w:rPr>
        <w:t>1.5.6    招标公告</w:t>
      </w:r>
      <w:r>
        <w:rPr>
          <w:rFonts w:hint="eastAsia" w:ascii="宋体" w:hAnsi="宋体" w:cs="黑体"/>
          <w:color w:val="auto"/>
          <w:kern w:val="0"/>
          <w:sz w:val="24"/>
        </w:rPr>
        <w:t>规定接受联合体投标的，除应符合本章第</w:t>
      </w:r>
      <w:r>
        <w:rPr>
          <w:rFonts w:ascii="宋体" w:hAnsi="宋体" w:cs="黑体"/>
          <w:color w:val="auto"/>
          <w:kern w:val="0"/>
          <w:sz w:val="24"/>
        </w:rPr>
        <w:fldChar w:fldCharType="begin"/>
      </w:r>
      <w:r>
        <w:rPr>
          <w:rFonts w:ascii="宋体" w:hAnsi="宋体" w:cs="黑体"/>
          <w:color w:val="auto"/>
          <w:kern w:val="0"/>
          <w:sz w:val="24"/>
        </w:rPr>
        <w:instrText xml:space="preserve"> </w:instrText>
      </w:r>
      <w:r>
        <w:rPr>
          <w:rFonts w:hint="eastAsia" w:ascii="宋体" w:hAnsi="宋体" w:cs="黑体"/>
          <w:color w:val="auto"/>
          <w:kern w:val="0"/>
          <w:sz w:val="24"/>
        </w:rPr>
        <w:instrText xml:space="preserve">REF _Ref426956497 \r \h</w:instrText>
      </w:r>
      <w:r>
        <w:rPr>
          <w:rFonts w:ascii="宋体" w:hAnsi="宋体" w:cs="黑体"/>
          <w:color w:val="auto"/>
          <w:kern w:val="0"/>
          <w:sz w:val="24"/>
        </w:rPr>
        <w:instrText xml:space="preserve"> </w:instrText>
      </w:r>
      <w:r>
        <w:rPr>
          <w:rFonts w:ascii="宋体" w:hAnsi="宋体" w:cs="黑体"/>
          <w:color w:val="auto"/>
          <w:kern w:val="0"/>
          <w:sz w:val="24"/>
        </w:rPr>
        <w:fldChar w:fldCharType="separate"/>
      </w:r>
      <w:r>
        <w:rPr>
          <w:rFonts w:ascii="宋体" w:hAnsi="宋体" w:cs="黑体"/>
          <w:color w:val="auto"/>
          <w:kern w:val="0"/>
          <w:sz w:val="24"/>
        </w:rPr>
        <w:t>1.5.1</w:t>
      </w:r>
      <w:r>
        <w:rPr>
          <w:rFonts w:ascii="宋体" w:hAnsi="宋体" w:cs="黑体"/>
          <w:color w:val="auto"/>
          <w:kern w:val="0"/>
          <w:sz w:val="24"/>
        </w:rPr>
        <w:fldChar w:fldCharType="end"/>
      </w:r>
      <w:r>
        <w:rPr>
          <w:rFonts w:hint="eastAsia" w:ascii="宋体" w:hAnsi="宋体" w:cs="黑体"/>
          <w:color w:val="auto"/>
          <w:kern w:val="0"/>
          <w:sz w:val="24"/>
        </w:rPr>
        <w:t>项和第</w:t>
      </w:r>
      <w:r>
        <w:rPr>
          <w:rFonts w:hint="eastAsia" w:ascii="宋体" w:hAnsi="宋体" w:cs="黑体"/>
          <w:color w:val="auto"/>
          <w:kern w:val="0"/>
          <w:sz w:val="24"/>
        </w:rPr>
        <w:fldChar w:fldCharType="begin"/>
      </w:r>
      <w:r>
        <w:rPr>
          <w:rFonts w:hint="eastAsia" w:ascii="宋体" w:hAnsi="宋体" w:cs="黑体"/>
          <w:color w:val="auto"/>
          <w:kern w:val="0"/>
          <w:sz w:val="24"/>
        </w:rPr>
        <w:instrText xml:space="preserve"> REF _Ref426956497 \r \h </w:instrText>
      </w:r>
      <w:r>
        <w:rPr>
          <w:rFonts w:hint="eastAsia" w:ascii="宋体" w:hAnsi="宋体" w:cs="黑体"/>
          <w:color w:val="auto"/>
          <w:kern w:val="0"/>
          <w:sz w:val="24"/>
        </w:rPr>
        <w:fldChar w:fldCharType="separate"/>
      </w:r>
      <w:r>
        <w:rPr>
          <w:rFonts w:hint="eastAsia" w:ascii="宋体" w:hAnsi="宋体" w:cs="黑体"/>
          <w:color w:val="auto"/>
          <w:kern w:val="0"/>
          <w:sz w:val="24"/>
        </w:rPr>
        <w:t>1.5.</w:t>
      </w:r>
      <w:r>
        <w:rPr>
          <w:rFonts w:hint="eastAsia" w:ascii="宋体" w:hAnsi="宋体" w:cs="黑体"/>
          <w:color w:val="auto"/>
          <w:kern w:val="0"/>
          <w:sz w:val="24"/>
        </w:rPr>
        <w:fldChar w:fldCharType="end"/>
      </w:r>
      <w:r>
        <w:rPr>
          <w:rFonts w:hint="eastAsia" w:ascii="宋体" w:hAnsi="宋体" w:cs="黑体"/>
          <w:color w:val="auto"/>
          <w:kern w:val="0"/>
          <w:sz w:val="24"/>
          <w:lang w:val="en-US" w:eastAsia="zh-CN"/>
        </w:rPr>
        <w:t>5</w:t>
      </w:r>
      <w:r>
        <w:rPr>
          <w:rFonts w:hint="eastAsia" w:ascii="宋体" w:hAnsi="宋体" w:cs="黑体"/>
          <w:color w:val="auto"/>
          <w:kern w:val="0"/>
          <w:sz w:val="24"/>
        </w:rPr>
        <w:t>项的要求外，还应遵守以下规定</w:t>
      </w:r>
      <w:r>
        <w:rPr>
          <w:rFonts w:hint="eastAsia" w:ascii="宋体" w:hAnsi="宋体" w:cs="黑体"/>
          <w:color w:val="auto"/>
          <w:kern w:val="0"/>
          <w:sz w:val="24"/>
          <w:lang w:eastAsia="zh-CN"/>
        </w:rPr>
        <w:t>:</w:t>
      </w:r>
    </w:p>
    <w:p w14:paraId="43BE4794">
      <w:pPr>
        <w:numPr>
          <w:ilvl w:val="0"/>
          <w:numId w:val="4"/>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联合体各方应按招标文件提供的格式签订联合体协议书，明确联合体牵头人和各方工作内容和义务；</w:t>
      </w:r>
    </w:p>
    <w:p w14:paraId="19AD4895">
      <w:pPr>
        <w:numPr>
          <w:ilvl w:val="0"/>
          <w:numId w:val="4"/>
        </w:numPr>
        <w:tabs>
          <w:tab w:val="left" w:pos="1701"/>
        </w:tabs>
        <w:autoSpaceDE w:val="0"/>
        <w:autoSpaceDN w:val="0"/>
        <w:adjustRightInd w:val="0"/>
        <w:snapToGrid w:val="0"/>
        <w:spacing w:afterLines="50"/>
        <w:ind w:left="1701" w:hanging="622"/>
        <w:rPr>
          <w:rFonts w:ascii="宋体" w:hAnsi="宋体"/>
          <w:color w:val="auto"/>
          <w:sz w:val="24"/>
        </w:rPr>
      </w:pPr>
      <w:r>
        <w:rPr>
          <w:rFonts w:ascii="宋体" w:hAnsi="宋体"/>
          <w:color w:val="auto"/>
          <w:sz w:val="24"/>
        </w:rPr>
        <w:t>联合体中有同类资质的投标人按照联合体分工承担相同工作的，应当按照资质等级较低的投标人确定联合体的资质等级。</w:t>
      </w:r>
    </w:p>
    <w:p w14:paraId="223E4CAB">
      <w:pPr>
        <w:numPr>
          <w:ilvl w:val="0"/>
          <w:numId w:val="4"/>
        </w:numPr>
        <w:tabs>
          <w:tab w:val="left" w:pos="1701"/>
        </w:tabs>
        <w:autoSpaceDE w:val="0"/>
        <w:autoSpaceDN w:val="0"/>
        <w:adjustRightInd w:val="0"/>
        <w:snapToGrid w:val="0"/>
        <w:spacing w:afterLines="50"/>
        <w:ind w:left="1701" w:hanging="622"/>
        <w:rPr>
          <w:rFonts w:ascii="宋体" w:hAnsi="宋体"/>
          <w:color w:val="auto"/>
          <w:sz w:val="24"/>
        </w:rPr>
      </w:pPr>
      <w:r>
        <w:rPr>
          <w:rFonts w:ascii="宋体" w:hAnsi="宋体"/>
          <w:color w:val="auto"/>
          <w:sz w:val="24"/>
        </w:rPr>
        <w:t>联合体各方不得再单独参加或者与其他投标人另外组成联合体参加同一合同项下的</w:t>
      </w:r>
      <w:r>
        <w:rPr>
          <w:rFonts w:hint="eastAsia" w:ascii="宋体" w:hAnsi="宋体"/>
          <w:color w:val="auto"/>
          <w:sz w:val="24"/>
        </w:rPr>
        <w:t>投标。</w:t>
      </w:r>
    </w:p>
    <w:p w14:paraId="2964B630">
      <w:pPr>
        <w:numPr>
          <w:ilvl w:val="0"/>
          <w:numId w:val="4"/>
        </w:numPr>
        <w:tabs>
          <w:tab w:val="left" w:pos="1701"/>
        </w:tabs>
        <w:autoSpaceDE w:val="0"/>
        <w:autoSpaceDN w:val="0"/>
        <w:adjustRightInd w:val="0"/>
        <w:snapToGrid w:val="0"/>
        <w:spacing w:afterLines="50"/>
        <w:ind w:left="1701" w:hanging="622"/>
        <w:rPr>
          <w:rFonts w:ascii="宋体" w:hAnsi="宋体"/>
          <w:color w:val="auto"/>
          <w:sz w:val="24"/>
        </w:rPr>
      </w:pPr>
      <w:r>
        <w:rPr>
          <w:rFonts w:hint="eastAsia" w:ascii="宋体" w:hAnsi="宋体"/>
          <w:color w:val="auto"/>
          <w:sz w:val="24"/>
        </w:rPr>
        <w:t>联合体各方应当共同与采购人签订采购合同，就采购合同约定的事项对采购人承担连带责任。</w:t>
      </w:r>
    </w:p>
    <w:p w14:paraId="25492F0B">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分包</w:t>
      </w:r>
    </w:p>
    <w:p w14:paraId="50BDBB01">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投标人根据招标文件的规定和采购项目的实际情况，拟在中标后将中标项目的非主体、非关键性工作分包的，应当在投标文件中载明分包承担主体，分包承担主体应当具备相应资质条件且不得再次分包。政府采购合同分包履行的，中标、成交投标人就采购项目和分包项目向采购人负责，分包人就分包项目承担责任。</w:t>
      </w:r>
    </w:p>
    <w:p w14:paraId="322BADF4">
      <w:pPr>
        <w:numPr>
          <w:ilvl w:val="1"/>
          <w:numId w:val="2"/>
        </w:numPr>
        <w:autoSpaceDE w:val="0"/>
        <w:autoSpaceDN w:val="0"/>
        <w:adjustRightInd w:val="0"/>
        <w:snapToGrid w:val="0"/>
        <w:spacing w:afterLines="50"/>
        <w:rPr>
          <w:rFonts w:ascii="宋体" w:hAnsi="宋体" w:cs="黑体"/>
          <w:color w:val="auto"/>
          <w:kern w:val="0"/>
          <w:sz w:val="24"/>
        </w:rPr>
      </w:pPr>
      <w:bookmarkStart w:id="62" w:name="_Toc195921799"/>
      <w:r>
        <w:rPr>
          <w:rFonts w:hint="eastAsia" w:ascii="宋体" w:hAnsi="宋体" w:cs="黑体"/>
          <w:color w:val="auto"/>
          <w:kern w:val="0"/>
          <w:sz w:val="24"/>
        </w:rPr>
        <w:t>合格的服务</w:t>
      </w:r>
    </w:p>
    <w:p w14:paraId="1A534F97">
      <w:pPr>
        <w:numPr>
          <w:ilvl w:val="2"/>
          <w:numId w:val="2"/>
        </w:numPr>
        <w:snapToGrid w:val="0"/>
        <w:spacing w:afterLines="50"/>
        <w:rPr>
          <w:rFonts w:ascii="宋体" w:hAnsi="宋体"/>
          <w:color w:val="auto"/>
          <w:sz w:val="24"/>
        </w:rPr>
      </w:pPr>
      <w:r>
        <w:rPr>
          <w:rFonts w:hint="eastAsia" w:ascii="宋体" w:hAnsi="宋体"/>
          <w:color w:val="auto"/>
          <w:sz w:val="24"/>
        </w:rPr>
        <w:t>合同中提供的所有服务，均应来自上述</w:t>
      </w: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REF _Ref426956497 \r \h</w:instrText>
      </w:r>
      <w:r>
        <w:rPr>
          <w:rFonts w:ascii="宋体" w:hAnsi="宋体"/>
          <w:color w:val="auto"/>
          <w:sz w:val="24"/>
        </w:rPr>
        <w:instrText xml:space="preserve"> </w:instrText>
      </w:r>
      <w:r>
        <w:rPr>
          <w:rFonts w:ascii="宋体" w:hAnsi="宋体"/>
          <w:color w:val="auto"/>
          <w:sz w:val="24"/>
        </w:rPr>
        <w:fldChar w:fldCharType="separate"/>
      </w:r>
      <w:r>
        <w:rPr>
          <w:rFonts w:ascii="宋体" w:hAnsi="宋体"/>
          <w:color w:val="auto"/>
          <w:sz w:val="24"/>
        </w:rPr>
        <w:t>1.5.1</w:t>
      </w:r>
      <w:r>
        <w:rPr>
          <w:rFonts w:ascii="宋体" w:hAnsi="宋体"/>
          <w:color w:val="auto"/>
          <w:sz w:val="24"/>
        </w:rPr>
        <w:fldChar w:fldCharType="end"/>
      </w:r>
      <w:r>
        <w:rPr>
          <w:rFonts w:hint="eastAsia" w:ascii="宋体" w:hAnsi="宋体"/>
          <w:color w:val="auto"/>
          <w:sz w:val="24"/>
        </w:rPr>
        <w:t>项所规定的合格投标人。</w:t>
      </w:r>
    </w:p>
    <w:p w14:paraId="3ED9BF7F">
      <w:pPr>
        <w:snapToGrid w:val="0"/>
        <w:spacing w:afterLines="50"/>
        <w:ind w:left="1134" w:leftChars="540"/>
        <w:rPr>
          <w:rFonts w:hint="eastAsia" w:ascii="宋体" w:hAnsi="宋体" w:cs="黑体"/>
          <w:i w:val="0"/>
          <w:color w:val="auto"/>
          <w:kern w:val="0"/>
          <w:sz w:val="24"/>
        </w:rPr>
      </w:pPr>
      <w:r>
        <w:rPr>
          <w:rFonts w:hint="eastAsia" w:ascii="宋体" w:hAnsi="宋体" w:cs="黑体"/>
          <w:i w:val="0"/>
          <w:color w:val="auto"/>
          <w:kern w:val="0"/>
          <w:sz w:val="24"/>
        </w:rPr>
        <w:t>服务系指招标文件规定的供应商须承担的与本次招标需求有关的</w:t>
      </w:r>
      <w:r>
        <w:rPr>
          <w:rFonts w:hint="eastAsia" w:ascii="宋体" w:hAnsi="宋体" w:cs="黑体"/>
          <w:i w:val="0"/>
          <w:color w:val="auto"/>
          <w:kern w:val="0"/>
          <w:sz w:val="24"/>
          <w:lang w:val="en-US" w:eastAsia="zh-CN"/>
        </w:rPr>
        <w:t>服务内容</w:t>
      </w:r>
      <w:r>
        <w:rPr>
          <w:rFonts w:hint="eastAsia" w:ascii="宋体" w:hAnsi="宋体" w:cs="黑体"/>
          <w:i w:val="0"/>
          <w:color w:val="auto"/>
          <w:kern w:val="0"/>
          <w:sz w:val="24"/>
        </w:rPr>
        <w:t>及其他相关的服务。</w:t>
      </w:r>
    </w:p>
    <w:p w14:paraId="2AF17861">
      <w:pPr>
        <w:snapToGrid w:val="0"/>
        <w:spacing w:afterLines="50"/>
        <w:ind w:left="1134" w:leftChars="540"/>
        <w:rPr>
          <w:rFonts w:hint="eastAsia" w:ascii="宋体" w:hAnsi="宋体" w:cs="黑体"/>
          <w:i w:val="0"/>
          <w:color w:val="auto"/>
          <w:kern w:val="0"/>
          <w:sz w:val="24"/>
        </w:rPr>
      </w:pPr>
    </w:p>
    <w:p w14:paraId="048FF169">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费用承担</w:t>
      </w:r>
      <w:bookmarkEnd w:id="62"/>
    </w:p>
    <w:p w14:paraId="5D15470B">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投标人准备和参加投标活动发生的费用自理。</w:t>
      </w:r>
    </w:p>
    <w:p w14:paraId="3176E179">
      <w:pPr>
        <w:numPr>
          <w:ilvl w:val="1"/>
          <w:numId w:val="2"/>
        </w:numPr>
        <w:autoSpaceDE w:val="0"/>
        <w:autoSpaceDN w:val="0"/>
        <w:adjustRightInd w:val="0"/>
        <w:snapToGrid w:val="0"/>
        <w:spacing w:afterLines="50"/>
        <w:rPr>
          <w:rFonts w:ascii="宋体" w:hAnsi="宋体" w:cs="黑体"/>
          <w:color w:val="auto"/>
          <w:kern w:val="0"/>
          <w:sz w:val="24"/>
        </w:rPr>
      </w:pPr>
      <w:bookmarkStart w:id="63" w:name="_Toc195921800"/>
      <w:r>
        <w:rPr>
          <w:rFonts w:hint="eastAsia" w:ascii="宋体" w:hAnsi="宋体" w:cs="黑体"/>
          <w:color w:val="auto"/>
          <w:kern w:val="0"/>
          <w:sz w:val="24"/>
        </w:rPr>
        <w:t>保密</w:t>
      </w:r>
      <w:bookmarkEnd w:id="63"/>
    </w:p>
    <w:p w14:paraId="22B3A4A9">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参与招标投标活动的各方应对招标文件和投标文件中的商业和技术等秘密保密，违者应对由此造成的后果承担法律责任。</w:t>
      </w:r>
    </w:p>
    <w:p w14:paraId="321E3C7F">
      <w:pPr>
        <w:numPr>
          <w:ilvl w:val="1"/>
          <w:numId w:val="2"/>
        </w:numPr>
        <w:autoSpaceDE w:val="0"/>
        <w:autoSpaceDN w:val="0"/>
        <w:adjustRightInd w:val="0"/>
        <w:snapToGrid w:val="0"/>
        <w:spacing w:afterLines="50"/>
        <w:rPr>
          <w:rFonts w:ascii="宋体" w:hAnsi="宋体" w:cs="黑体"/>
          <w:color w:val="auto"/>
          <w:kern w:val="0"/>
          <w:sz w:val="24"/>
        </w:rPr>
      </w:pPr>
      <w:bookmarkStart w:id="64" w:name="_Toc195921801"/>
      <w:r>
        <w:rPr>
          <w:rFonts w:hint="eastAsia" w:ascii="宋体" w:hAnsi="宋体" w:cs="黑体"/>
          <w:color w:val="auto"/>
          <w:kern w:val="0"/>
          <w:sz w:val="24"/>
        </w:rPr>
        <w:t>语言文字</w:t>
      </w:r>
      <w:bookmarkEnd w:id="64"/>
    </w:p>
    <w:p w14:paraId="7A6252AF">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除专用术语外，与招标投标有关的语言均使用中文。必要时专用术语应附有中文注释。</w:t>
      </w:r>
    </w:p>
    <w:p w14:paraId="6CD141CB">
      <w:pPr>
        <w:numPr>
          <w:ilvl w:val="1"/>
          <w:numId w:val="2"/>
        </w:numPr>
        <w:autoSpaceDE w:val="0"/>
        <w:autoSpaceDN w:val="0"/>
        <w:adjustRightInd w:val="0"/>
        <w:snapToGrid w:val="0"/>
        <w:spacing w:afterLines="50"/>
        <w:rPr>
          <w:rFonts w:ascii="宋体" w:hAnsi="宋体" w:cs="黑体"/>
          <w:color w:val="auto"/>
          <w:kern w:val="0"/>
          <w:sz w:val="24"/>
        </w:rPr>
      </w:pPr>
      <w:bookmarkStart w:id="65" w:name="_Toc195921802"/>
      <w:r>
        <w:rPr>
          <w:rFonts w:hint="eastAsia" w:ascii="宋体" w:hAnsi="宋体" w:cs="黑体"/>
          <w:color w:val="auto"/>
          <w:kern w:val="0"/>
          <w:sz w:val="24"/>
        </w:rPr>
        <w:t>计量单位</w:t>
      </w:r>
      <w:bookmarkEnd w:id="65"/>
    </w:p>
    <w:p w14:paraId="1ABBA4A6">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所有计量均采用中华人民共和国法定计量单位。</w:t>
      </w:r>
    </w:p>
    <w:p w14:paraId="054DC9A0">
      <w:pPr>
        <w:numPr>
          <w:ilvl w:val="0"/>
          <w:numId w:val="2"/>
        </w:numPr>
        <w:autoSpaceDE w:val="0"/>
        <w:autoSpaceDN w:val="0"/>
        <w:adjustRightInd w:val="0"/>
        <w:spacing w:afterLines="50"/>
        <w:outlineLvl w:val="2"/>
        <w:rPr>
          <w:rFonts w:ascii="黑体" w:hAnsi="宋体" w:eastAsia="黑体" w:cs="黑体"/>
          <w:color w:val="auto"/>
          <w:kern w:val="0"/>
          <w:sz w:val="24"/>
        </w:rPr>
      </w:pPr>
      <w:bookmarkStart w:id="66" w:name="_Toc19635"/>
      <w:bookmarkStart w:id="67" w:name="_Toc195921807"/>
      <w:bookmarkStart w:id="68" w:name="_Toc29841"/>
      <w:r>
        <w:rPr>
          <w:rFonts w:hint="eastAsia" w:ascii="黑体" w:hAnsi="宋体" w:eastAsia="黑体" w:cs="黑体"/>
          <w:color w:val="auto"/>
          <w:kern w:val="0"/>
          <w:sz w:val="24"/>
        </w:rPr>
        <w:t>招标文件</w:t>
      </w:r>
      <w:bookmarkEnd w:id="66"/>
      <w:bookmarkEnd w:id="67"/>
      <w:bookmarkEnd w:id="68"/>
    </w:p>
    <w:p w14:paraId="211645F1">
      <w:pPr>
        <w:numPr>
          <w:ilvl w:val="1"/>
          <w:numId w:val="2"/>
        </w:numPr>
        <w:autoSpaceDE w:val="0"/>
        <w:autoSpaceDN w:val="0"/>
        <w:adjustRightInd w:val="0"/>
        <w:snapToGrid w:val="0"/>
        <w:spacing w:afterLines="50"/>
        <w:rPr>
          <w:rFonts w:ascii="宋体" w:hAnsi="宋体" w:cs="黑体"/>
          <w:color w:val="auto"/>
          <w:kern w:val="0"/>
          <w:sz w:val="24"/>
        </w:rPr>
      </w:pPr>
      <w:bookmarkStart w:id="69" w:name="_Toc195921808"/>
      <w:r>
        <w:rPr>
          <w:rFonts w:hint="eastAsia" w:ascii="宋体" w:hAnsi="宋体" w:cs="黑体"/>
          <w:color w:val="auto"/>
          <w:kern w:val="0"/>
          <w:sz w:val="24"/>
        </w:rPr>
        <w:t>招标文件的组成</w:t>
      </w:r>
      <w:bookmarkEnd w:id="69"/>
    </w:p>
    <w:p w14:paraId="55467D56">
      <w:pPr>
        <w:autoSpaceDE w:val="0"/>
        <w:autoSpaceDN w:val="0"/>
        <w:adjustRightInd w:val="0"/>
        <w:snapToGrid w:val="0"/>
        <w:spacing w:afterLines="50"/>
        <w:ind w:left="1134" w:leftChars="540"/>
        <w:rPr>
          <w:rFonts w:hint="eastAsia" w:ascii="宋体" w:hAnsi="宋体" w:eastAsia="宋体" w:cs="黑体"/>
          <w:color w:val="auto"/>
          <w:kern w:val="0"/>
          <w:sz w:val="24"/>
          <w:lang w:eastAsia="zh-CN"/>
        </w:rPr>
      </w:pPr>
      <w:r>
        <w:rPr>
          <w:rFonts w:hint="eastAsia" w:ascii="宋体" w:hAnsi="宋体" w:cs="黑体"/>
          <w:color w:val="auto"/>
          <w:kern w:val="0"/>
          <w:sz w:val="24"/>
        </w:rPr>
        <w:t>本招标文件包括</w:t>
      </w:r>
      <w:r>
        <w:rPr>
          <w:rFonts w:hint="eastAsia" w:ascii="宋体" w:hAnsi="宋体" w:cs="黑体"/>
          <w:color w:val="auto"/>
          <w:kern w:val="0"/>
          <w:sz w:val="24"/>
          <w:lang w:eastAsia="zh-CN"/>
        </w:rPr>
        <w:t>:</w:t>
      </w:r>
    </w:p>
    <w:p w14:paraId="22043960">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1</w:t>
      </w:r>
      <w:r>
        <w:rPr>
          <w:rFonts w:hint="eastAsia" w:ascii="宋体" w:hAnsi="宋体" w:cs="黑体"/>
          <w:color w:val="auto"/>
          <w:kern w:val="0"/>
          <w:sz w:val="24"/>
          <w:lang w:eastAsia="zh-CN"/>
        </w:rPr>
        <w:t>)</w:t>
      </w:r>
      <w:r>
        <w:rPr>
          <w:rFonts w:hint="eastAsia" w:ascii="宋体" w:hAnsi="宋体" w:cs="黑体"/>
          <w:color w:val="auto"/>
          <w:kern w:val="0"/>
          <w:sz w:val="24"/>
        </w:rPr>
        <w:t>招标公告</w:t>
      </w:r>
      <w:r>
        <w:rPr>
          <w:rFonts w:hint="eastAsia" w:ascii="宋体" w:hAnsi="宋体" w:cs="黑体"/>
          <w:color w:val="auto"/>
          <w:kern w:val="0"/>
          <w:sz w:val="24"/>
          <w:lang w:eastAsia="zh-CN"/>
        </w:rPr>
        <w:t>(</w:t>
      </w:r>
      <w:r>
        <w:rPr>
          <w:rFonts w:hint="eastAsia" w:ascii="宋体" w:hAnsi="宋体" w:cs="黑体"/>
          <w:color w:val="auto"/>
          <w:kern w:val="0"/>
          <w:sz w:val="24"/>
        </w:rPr>
        <w:t>或投标邀请</w:t>
      </w:r>
      <w:r>
        <w:rPr>
          <w:rFonts w:hint="eastAsia" w:ascii="宋体" w:hAnsi="宋体" w:cs="黑体"/>
          <w:color w:val="auto"/>
          <w:kern w:val="0"/>
          <w:sz w:val="24"/>
          <w:lang w:eastAsia="zh-CN"/>
        </w:rPr>
        <w:t>)</w:t>
      </w:r>
      <w:r>
        <w:rPr>
          <w:rFonts w:hint="eastAsia" w:ascii="宋体" w:hAnsi="宋体" w:cs="黑体"/>
          <w:color w:val="auto"/>
          <w:kern w:val="0"/>
          <w:sz w:val="24"/>
        </w:rPr>
        <w:t>；</w:t>
      </w:r>
    </w:p>
    <w:p w14:paraId="2DA1536B">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2</w:t>
      </w:r>
      <w:r>
        <w:rPr>
          <w:rFonts w:hint="eastAsia" w:ascii="宋体" w:hAnsi="宋体" w:cs="黑体"/>
          <w:color w:val="auto"/>
          <w:kern w:val="0"/>
          <w:sz w:val="24"/>
          <w:lang w:eastAsia="zh-CN"/>
        </w:rPr>
        <w:t>)</w:t>
      </w:r>
      <w:r>
        <w:rPr>
          <w:rFonts w:hint="eastAsia" w:ascii="宋体" w:hAnsi="宋体" w:cs="黑体"/>
          <w:color w:val="auto"/>
          <w:kern w:val="0"/>
          <w:sz w:val="24"/>
        </w:rPr>
        <w:t>投标人须知；</w:t>
      </w:r>
    </w:p>
    <w:p w14:paraId="1D9D10B8">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3</w:t>
      </w:r>
      <w:r>
        <w:rPr>
          <w:rFonts w:hint="eastAsia" w:ascii="宋体" w:hAnsi="宋体" w:cs="黑体"/>
          <w:color w:val="auto"/>
          <w:kern w:val="0"/>
          <w:sz w:val="24"/>
          <w:lang w:eastAsia="zh-CN"/>
        </w:rPr>
        <w:t>)</w:t>
      </w:r>
      <w:r>
        <w:rPr>
          <w:rFonts w:hint="eastAsia" w:ascii="宋体" w:hAnsi="宋体" w:cs="黑体"/>
          <w:color w:val="auto"/>
          <w:kern w:val="0"/>
          <w:sz w:val="24"/>
        </w:rPr>
        <w:t>资格审查、评标办法和标准；</w:t>
      </w:r>
    </w:p>
    <w:p w14:paraId="18F5F977">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ascii="宋体" w:hAnsi="宋体" w:cs="黑体"/>
          <w:color w:val="auto"/>
          <w:kern w:val="0"/>
          <w:sz w:val="24"/>
        </w:rPr>
        <w:t>4</w:t>
      </w:r>
      <w:r>
        <w:rPr>
          <w:rFonts w:hint="eastAsia" w:ascii="宋体" w:hAnsi="宋体" w:cs="黑体"/>
          <w:color w:val="auto"/>
          <w:kern w:val="0"/>
          <w:sz w:val="24"/>
          <w:lang w:eastAsia="zh-CN"/>
        </w:rPr>
        <w:t>)</w:t>
      </w:r>
      <w:r>
        <w:rPr>
          <w:rFonts w:hint="eastAsia" w:ascii="宋体" w:hAnsi="宋体" w:cs="黑体"/>
          <w:color w:val="auto"/>
          <w:kern w:val="0"/>
          <w:sz w:val="24"/>
        </w:rPr>
        <w:t>合同条款；</w:t>
      </w:r>
    </w:p>
    <w:p w14:paraId="65CA5905">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5</w:t>
      </w:r>
      <w:r>
        <w:rPr>
          <w:rFonts w:hint="eastAsia" w:ascii="宋体" w:hAnsi="宋体" w:cs="黑体"/>
          <w:color w:val="auto"/>
          <w:kern w:val="0"/>
          <w:sz w:val="24"/>
          <w:lang w:eastAsia="zh-CN"/>
        </w:rPr>
        <w:t>)</w:t>
      </w:r>
      <w:r>
        <w:rPr>
          <w:rFonts w:hint="eastAsia" w:ascii="宋体" w:hAnsi="宋体"/>
          <w:color w:val="auto"/>
          <w:sz w:val="24"/>
        </w:rPr>
        <w:t>采购需求</w:t>
      </w:r>
      <w:r>
        <w:rPr>
          <w:rFonts w:hint="eastAsia" w:ascii="宋体" w:hAnsi="宋体" w:cs="黑体"/>
          <w:color w:val="auto"/>
          <w:kern w:val="0"/>
          <w:sz w:val="24"/>
        </w:rPr>
        <w:t>；</w:t>
      </w:r>
    </w:p>
    <w:p w14:paraId="51FBC8E7">
      <w:pPr>
        <w:autoSpaceDE w:val="0"/>
        <w:autoSpaceDN w:val="0"/>
        <w:adjustRightInd w:val="0"/>
        <w:snapToGrid w:val="0"/>
        <w:spacing w:afterLines="50"/>
        <w:ind w:left="1617" w:leftChars="513" w:hanging="540" w:hangingChars="225"/>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6</w:t>
      </w:r>
      <w:r>
        <w:rPr>
          <w:rFonts w:hint="eastAsia" w:ascii="宋体" w:hAnsi="宋体" w:cs="黑体"/>
          <w:color w:val="auto"/>
          <w:kern w:val="0"/>
          <w:sz w:val="24"/>
          <w:lang w:eastAsia="zh-CN"/>
        </w:rPr>
        <w:t>)</w:t>
      </w:r>
      <w:r>
        <w:rPr>
          <w:rFonts w:hint="eastAsia" w:ascii="宋体" w:hAnsi="宋体" w:cs="黑体"/>
          <w:color w:val="auto"/>
          <w:kern w:val="0"/>
          <w:sz w:val="24"/>
        </w:rPr>
        <w:t>投标文件格式。</w:t>
      </w:r>
    </w:p>
    <w:p w14:paraId="531527E9">
      <w:pPr>
        <w:autoSpaceDE w:val="0"/>
        <w:autoSpaceDN w:val="0"/>
        <w:adjustRightInd w:val="0"/>
        <w:snapToGrid w:val="0"/>
        <w:spacing w:afterLines="50"/>
        <w:ind w:left="1134" w:leftChars="540"/>
        <w:rPr>
          <w:rFonts w:ascii="宋体" w:hAnsi="宋体" w:cs="黑体"/>
          <w:color w:val="auto"/>
          <w:kern w:val="0"/>
          <w:sz w:val="24"/>
        </w:rPr>
      </w:pPr>
      <w:r>
        <w:rPr>
          <w:rFonts w:hint="eastAsia" w:ascii="宋体" w:hAnsi="宋体" w:cs="黑体"/>
          <w:color w:val="auto"/>
          <w:kern w:val="0"/>
          <w:sz w:val="24"/>
        </w:rPr>
        <w:t>根据本章第</w:t>
      </w:r>
      <w:r>
        <w:rPr>
          <w:rFonts w:ascii="宋体" w:hAnsi="宋体" w:cs="黑体"/>
          <w:color w:val="auto"/>
          <w:kern w:val="0"/>
          <w:sz w:val="24"/>
        </w:rPr>
        <w:fldChar w:fldCharType="begin"/>
      </w:r>
      <w:r>
        <w:rPr>
          <w:rFonts w:ascii="宋体" w:hAnsi="宋体" w:cs="黑体"/>
          <w:color w:val="auto"/>
          <w:kern w:val="0"/>
          <w:sz w:val="24"/>
        </w:rPr>
        <w:instrText xml:space="preserve"> </w:instrText>
      </w:r>
      <w:r>
        <w:rPr>
          <w:rFonts w:hint="eastAsia" w:ascii="宋体" w:hAnsi="宋体" w:cs="黑体"/>
          <w:color w:val="auto"/>
          <w:kern w:val="0"/>
          <w:sz w:val="24"/>
        </w:rPr>
        <w:instrText xml:space="preserve">REF _Ref426441946 \r \h</w:instrText>
      </w:r>
      <w:r>
        <w:rPr>
          <w:rFonts w:ascii="宋体" w:hAnsi="宋体" w:cs="黑体"/>
          <w:color w:val="auto"/>
          <w:kern w:val="0"/>
          <w:sz w:val="24"/>
        </w:rPr>
        <w:instrText xml:space="preserve"> </w:instrText>
      </w:r>
      <w:r>
        <w:rPr>
          <w:rFonts w:ascii="宋体" w:hAnsi="宋体" w:cs="黑体"/>
          <w:color w:val="auto"/>
          <w:kern w:val="0"/>
          <w:sz w:val="24"/>
        </w:rPr>
        <w:fldChar w:fldCharType="separate"/>
      </w:r>
      <w:r>
        <w:rPr>
          <w:rFonts w:ascii="宋体" w:hAnsi="宋体" w:cs="黑体"/>
          <w:color w:val="auto"/>
          <w:kern w:val="0"/>
          <w:sz w:val="24"/>
        </w:rPr>
        <w:t>2.</w:t>
      </w:r>
      <w:r>
        <w:rPr>
          <w:rFonts w:ascii="宋体" w:hAnsi="宋体" w:cs="黑体"/>
          <w:color w:val="auto"/>
          <w:kern w:val="0"/>
          <w:sz w:val="24"/>
        </w:rPr>
        <w:fldChar w:fldCharType="end"/>
      </w:r>
      <w:r>
        <w:rPr>
          <w:rFonts w:hint="eastAsia" w:ascii="宋体" w:hAnsi="宋体" w:cs="黑体"/>
          <w:color w:val="auto"/>
          <w:kern w:val="0"/>
          <w:sz w:val="24"/>
        </w:rPr>
        <w:t>3款和第</w:t>
      </w:r>
      <w:r>
        <w:rPr>
          <w:rFonts w:ascii="宋体" w:hAnsi="宋体" w:cs="黑体"/>
          <w:color w:val="auto"/>
          <w:kern w:val="0"/>
          <w:sz w:val="24"/>
        </w:rPr>
        <w:fldChar w:fldCharType="begin"/>
      </w:r>
      <w:r>
        <w:rPr>
          <w:rFonts w:ascii="宋体" w:hAnsi="宋体" w:cs="黑体"/>
          <w:color w:val="auto"/>
          <w:kern w:val="0"/>
          <w:sz w:val="24"/>
        </w:rPr>
        <w:instrText xml:space="preserve"> </w:instrText>
      </w:r>
      <w:r>
        <w:rPr>
          <w:rFonts w:hint="eastAsia" w:ascii="宋体" w:hAnsi="宋体" w:cs="黑体"/>
          <w:color w:val="auto"/>
          <w:kern w:val="0"/>
          <w:sz w:val="24"/>
        </w:rPr>
        <w:instrText xml:space="preserve">REF _Ref426441954 \r \h</w:instrText>
      </w:r>
      <w:r>
        <w:rPr>
          <w:rFonts w:ascii="宋体" w:hAnsi="宋体" w:cs="黑体"/>
          <w:color w:val="auto"/>
          <w:kern w:val="0"/>
          <w:sz w:val="24"/>
        </w:rPr>
        <w:instrText xml:space="preserve"> </w:instrText>
      </w:r>
      <w:r>
        <w:rPr>
          <w:rFonts w:ascii="宋体" w:hAnsi="宋体" w:cs="黑体"/>
          <w:color w:val="auto"/>
          <w:kern w:val="0"/>
          <w:sz w:val="24"/>
        </w:rPr>
        <w:fldChar w:fldCharType="separate"/>
      </w:r>
      <w:r>
        <w:rPr>
          <w:rFonts w:ascii="宋体" w:hAnsi="宋体" w:cs="黑体"/>
          <w:color w:val="auto"/>
          <w:kern w:val="0"/>
          <w:sz w:val="24"/>
        </w:rPr>
        <w:t>2.</w:t>
      </w:r>
      <w:r>
        <w:rPr>
          <w:rFonts w:ascii="宋体" w:hAnsi="宋体" w:cs="黑体"/>
          <w:color w:val="auto"/>
          <w:kern w:val="0"/>
          <w:sz w:val="24"/>
        </w:rPr>
        <w:fldChar w:fldCharType="end"/>
      </w:r>
      <w:r>
        <w:rPr>
          <w:rFonts w:hint="eastAsia" w:ascii="宋体" w:hAnsi="宋体" w:cs="黑体"/>
          <w:color w:val="auto"/>
          <w:kern w:val="0"/>
          <w:sz w:val="24"/>
        </w:rPr>
        <w:t>4款对招标文件所作的澄清、修改，构成招标文件的组成部分。</w:t>
      </w:r>
    </w:p>
    <w:p w14:paraId="13B6A542">
      <w:pPr>
        <w:numPr>
          <w:ilvl w:val="1"/>
          <w:numId w:val="2"/>
        </w:numPr>
        <w:autoSpaceDE w:val="0"/>
        <w:autoSpaceDN w:val="0"/>
        <w:adjustRightInd w:val="0"/>
        <w:snapToGrid w:val="0"/>
        <w:spacing w:afterLines="50"/>
        <w:rPr>
          <w:rFonts w:ascii="宋体" w:hAnsi="宋体" w:cs="黑体"/>
          <w:color w:val="auto"/>
          <w:kern w:val="0"/>
          <w:sz w:val="24"/>
        </w:rPr>
      </w:pPr>
      <w:bookmarkStart w:id="70" w:name="_Toc195921809"/>
      <w:bookmarkStart w:id="71" w:name="_Ref426441946"/>
      <w:r>
        <w:rPr>
          <w:rFonts w:hint="eastAsia" w:ascii="宋体" w:hAnsi="宋体" w:cs="黑体"/>
          <w:color w:val="auto"/>
          <w:kern w:val="0"/>
          <w:sz w:val="24"/>
        </w:rPr>
        <w:t>根据采购项目技术构成、产品价格比重等确定核心产品，核心产品见投标人须知前附表。</w:t>
      </w:r>
    </w:p>
    <w:p w14:paraId="5467EF67">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招标文件的澄清</w:t>
      </w:r>
      <w:bookmarkEnd w:id="70"/>
      <w:bookmarkEnd w:id="71"/>
    </w:p>
    <w:p w14:paraId="3691347D">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投标人应仔细阅读和检查招标文件的全部内容。如发现缺页或附件不全，应及时向采购人提出，以便补齐。</w:t>
      </w:r>
    </w:p>
    <w:p w14:paraId="272979AC">
      <w:pPr>
        <w:numPr>
          <w:ilvl w:val="2"/>
          <w:numId w:val="2"/>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rPr>
        <w:t>投标人</w:t>
      </w:r>
      <w:r>
        <w:rPr>
          <w:rFonts w:hint="eastAsia" w:ascii="宋体" w:hAnsi="宋体" w:cs="黑体"/>
          <w:color w:val="auto"/>
          <w:kern w:val="0"/>
          <w:sz w:val="24"/>
        </w:rPr>
        <w:t>如有疑问</w:t>
      </w:r>
      <w:r>
        <w:rPr>
          <w:rFonts w:ascii="宋体" w:hAnsi="宋体" w:eastAsia="宋体" w:cs="宋体"/>
          <w:color w:val="auto"/>
          <w:sz w:val="24"/>
        </w:rPr>
        <w:t>可以向采购人提出询问</w:t>
      </w:r>
      <w:r>
        <w:rPr>
          <w:rFonts w:hint="eastAsia" w:ascii="宋体" w:hAnsi="宋体" w:cs="黑体"/>
          <w:color w:val="auto"/>
          <w:kern w:val="0"/>
          <w:sz w:val="24"/>
        </w:rPr>
        <w:t>，要求采购人对招标文件予以澄清。</w:t>
      </w:r>
    </w:p>
    <w:p w14:paraId="0588096D">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Ansi="宋体" w:cs="宋体"/>
          <w:color w:val="auto"/>
          <w:sz w:val="24"/>
        </w:rPr>
        <w:t>采购人或者采购代理机构可以对已发出的招标文件进行必要的澄清。该</w:t>
      </w:r>
      <w:r>
        <w:rPr>
          <w:rFonts w:hint="eastAsia" w:ascii="宋体" w:hAnsi="宋体"/>
          <w:color w:val="auto"/>
          <w:sz w:val="24"/>
        </w:rPr>
        <w:t>澄清在原公告发布媒体上发布澄清</w:t>
      </w:r>
      <w:r>
        <w:rPr>
          <w:rFonts w:hint="eastAsia" w:ascii="宋体" w:hAnsi="宋体"/>
          <w:color w:val="auto"/>
          <w:sz w:val="24"/>
          <w:lang w:eastAsia="zh-CN"/>
        </w:rPr>
        <w:t>(</w:t>
      </w:r>
      <w:r>
        <w:rPr>
          <w:rFonts w:hint="eastAsia" w:ascii="宋体" w:hAnsi="宋体"/>
          <w:color w:val="auto"/>
          <w:sz w:val="24"/>
        </w:rPr>
        <w:t>更正</w:t>
      </w:r>
      <w:r>
        <w:rPr>
          <w:rFonts w:hint="eastAsia" w:ascii="宋体" w:hAnsi="宋体"/>
          <w:color w:val="auto"/>
          <w:sz w:val="24"/>
          <w:lang w:eastAsia="zh-CN"/>
        </w:rPr>
        <w:t>)</w:t>
      </w:r>
      <w:r>
        <w:rPr>
          <w:rFonts w:hint="eastAsia" w:ascii="宋体" w:hAnsi="宋体"/>
          <w:color w:val="auto"/>
          <w:sz w:val="24"/>
        </w:rPr>
        <w:t>公告，同时以书面形式通知所有投标人。澄清的内容为招标文件的组成部分。</w:t>
      </w:r>
      <w:r>
        <w:rPr>
          <w:rFonts w:hint="eastAsia" w:ascii="宋体" w:hAnsi="宋体" w:cs="黑体"/>
          <w:color w:val="auto"/>
          <w:kern w:val="0"/>
          <w:sz w:val="24"/>
        </w:rPr>
        <w:t>投标人须</w:t>
      </w:r>
      <w:r>
        <w:rPr>
          <w:rFonts w:hint="eastAsia" w:ascii="宋体" w:hAnsi="宋体"/>
          <w:color w:val="auto"/>
          <w:sz w:val="24"/>
        </w:rPr>
        <w:t>在</w:t>
      </w:r>
      <w:r>
        <w:rPr>
          <w:rFonts w:hint="eastAsia" w:ascii="宋体" w:hAnsi="宋体"/>
          <w:color w:val="auto"/>
          <w:sz w:val="24"/>
          <w:lang w:val="en-US" w:eastAsia="zh-CN"/>
        </w:rPr>
        <w:t>招标公告</w:t>
      </w:r>
      <w:r>
        <w:rPr>
          <w:rFonts w:hint="eastAsia" w:ascii="宋体" w:hAnsi="宋体"/>
          <w:color w:val="auto"/>
          <w:sz w:val="24"/>
        </w:rPr>
        <w:t>中规定的投标截止日前，随时查询招标公告发布媒体的信息，获取对招标文件澄清的信息。</w:t>
      </w:r>
      <w:r>
        <w:rPr>
          <w:rFonts w:hint="eastAsia" w:ascii="宋体" w:hAnsi="宋体"/>
          <w:color w:val="auto"/>
          <w:sz w:val="24"/>
          <w:lang w:val="en-US" w:eastAsia="zh-CN"/>
        </w:rPr>
        <w:t>采购</w:t>
      </w:r>
      <w:r>
        <w:rPr>
          <w:rFonts w:hint="eastAsia" w:ascii="宋体" w:hAnsi="宋体"/>
          <w:color w:val="auto"/>
          <w:sz w:val="24"/>
        </w:rPr>
        <w:t>人的澄清</w:t>
      </w:r>
      <w:r>
        <w:rPr>
          <w:rFonts w:hint="eastAsia" w:ascii="宋体" w:hAnsi="宋体" w:cs="宋体"/>
          <w:color w:val="auto"/>
          <w:sz w:val="24"/>
        </w:rPr>
        <w:t>以书面形式通知投标人的，投标人应在收到该澄清的24小时内或根据澄清通知中要求的时间内予以确认。</w:t>
      </w:r>
    </w:p>
    <w:p w14:paraId="20F20F18">
      <w:pPr>
        <w:tabs>
          <w:tab w:val="left" w:pos="1260"/>
        </w:tabs>
        <w:autoSpaceDE w:val="0"/>
        <w:autoSpaceDN w:val="0"/>
        <w:adjustRightInd w:val="0"/>
        <w:snapToGrid w:val="0"/>
        <w:spacing w:afterLines="50"/>
        <w:ind w:left="1134" w:leftChars="540"/>
        <w:rPr>
          <w:rFonts w:ascii="宋体" w:hAnsi="宋体" w:cs="黑体"/>
          <w:color w:val="auto"/>
          <w:kern w:val="0"/>
          <w:sz w:val="24"/>
        </w:rPr>
      </w:pPr>
      <w:r>
        <w:rPr>
          <w:rFonts w:hAnsi="宋体" w:cs="宋体"/>
          <w:color w:val="auto"/>
          <w:sz w:val="24"/>
        </w:rPr>
        <w:t>澄清的内容可能影响投标文件编制的，采购人或者采购代理机构在投标截止时间至少15日前，以书面形式通知所有获取招标文件的潜在投标人；不足15日的，采购人或者采购代理机构将顺延提交投标文件的截止时间。</w:t>
      </w:r>
    </w:p>
    <w:p w14:paraId="6ADB413C">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投标人在收到澄清文件后，应将加盖公章的回执以书面方式通知采购人，确认已收到该澄清。</w:t>
      </w:r>
    </w:p>
    <w:p w14:paraId="0CE7DCBD">
      <w:pPr>
        <w:numPr>
          <w:ilvl w:val="1"/>
          <w:numId w:val="2"/>
        </w:numPr>
        <w:autoSpaceDE w:val="0"/>
        <w:autoSpaceDN w:val="0"/>
        <w:adjustRightInd w:val="0"/>
        <w:snapToGrid w:val="0"/>
        <w:spacing w:afterLines="50"/>
        <w:rPr>
          <w:rFonts w:ascii="宋体" w:hAnsi="宋体" w:cs="黑体"/>
          <w:color w:val="auto"/>
          <w:kern w:val="0"/>
          <w:sz w:val="24"/>
        </w:rPr>
      </w:pPr>
      <w:bookmarkStart w:id="72" w:name="_Ref426441954"/>
      <w:bookmarkStart w:id="73" w:name="_Toc195921810"/>
      <w:r>
        <w:rPr>
          <w:rFonts w:hint="eastAsia" w:ascii="宋体" w:hAnsi="宋体" w:cs="黑体"/>
          <w:color w:val="auto"/>
          <w:kern w:val="0"/>
          <w:sz w:val="24"/>
        </w:rPr>
        <w:t>招标文件的修改</w:t>
      </w:r>
      <w:bookmarkEnd w:id="72"/>
      <w:bookmarkEnd w:id="73"/>
    </w:p>
    <w:p w14:paraId="123AD83D">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Ansi="宋体" w:cs="宋体"/>
          <w:color w:val="auto"/>
          <w:sz w:val="24"/>
        </w:rPr>
        <w:t>采购人或者采购代理机构可以对已发出的招标文件进行必要的修改。</w:t>
      </w:r>
      <w:r>
        <w:rPr>
          <w:rFonts w:hint="eastAsia" w:ascii="宋体" w:hAnsi="宋体"/>
          <w:color w:val="auto"/>
          <w:sz w:val="24"/>
        </w:rPr>
        <w:t>该修改在原公告发布媒体上发布澄清</w:t>
      </w:r>
      <w:r>
        <w:rPr>
          <w:rFonts w:hint="eastAsia" w:ascii="宋体" w:hAnsi="宋体"/>
          <w:color w:val="auto"/>
          <w:sz w:val="24"/>
          <w:lang w:eastAsia="zh-CN"/>
        </w:rPr>
        <w:t>(</w:t>
      </w:r>
      <w:r>
        <w:rPr>
          <w:rFonts w:hint="eastAsia" w:ascii="宋体" w:hAnsi="宋体"/>
          <w:color w:val="auto"/>
          <w:sz w:val="24"/>
        </w:rPr>
        <w:t>更正</w:t>
      </w:r>
      <w:r>
        <w:rPr>
          <w:rFonts w:hint="eastAsia" w:ascii="宋体" w:hAnsi="宋体"/>
          <w:color w:val="auto"/>
          <w:sz w:val="24"/>
          <w:lang w:eastAsia="zh-CN"/>
        </w:rPr>
        <w:t>)</w:t>
      </w:r>
      <w:r>
        <w:rPr>
          <w:rFonts w:hint="eastAsia" w:ascii="宋体" w:hAnsi="宋体"/>
          <w:color w:val="auto"/>
          <w:sz w:val="24"/>
        </w:rPr>
        <w:t>公告，同时以书面形式通知所有投标人。修改的内容为招标文件的组成部分。</w:t>
      </w:r>
      <w:r>
        <w:rPr>
          <w:rFonts w:hint="eastAsia" w:ascii="宋体" w:hAnsi="宋体" w:cs="黑体"/>
          <w:color w:val="auto"/>
          <w:kern w:val="0"/>
          <w:sz w:val="24"/>
        </w:rPr>
        <w:t>投标人须</w:t>
      </w:r>
      <w:r>
        <w:rPr>
          <w:rFonts w:hint="eastAsia" w:ascii="宋体" w:hAnsi="宋体"/>
          <w:color w:val="auto"/>
          <w:sz w:val="24"/>
        </w:rPr>
        <w:t>在</w:t>
      </w:r>
      <w:r>
        <w:rPr>
          <w:rFonts w:hint="eastAsia" w:ascii="宋体" w:hAnsi="宋体"/>
          <w:color w:val="auto"/>
          <w:sz w:val="24"/>
          <w:lang w:val="en-US" w:eastAsia="zh-CN"/>
        </w:rPr>
        <w:t>投</w:t>
      </w:r>
      <w:r>
        <w:rPr>
          <w:rFonts w:hint="eastAsia" w:ascii="宋体" w:hAnsi="宋体"/>
          <w:color w:val="auto"/>
          <w:sz w:val="24"/>
        </w:rPr>
        <w:t>标截止日前，随时查询招标公告发布媒体的信息，获取对招标文件修改的信息。</w:t>
      </w:r>
      <w:r>
        <w:rPr>
          <w:rFonts w:hint="eastAsia" w:ascii="宋体" w:hAnsi="宋体"/>
          <w:color w:val="auto"/>
          <w:sz w:val="24"/>
          <w:lang w:val="en-US" w:eastAsia="zh-CN"/>
        </w:rPr>
        <w:t>采购</w:t>
      </w:r>
      <w:r>
        <w:rPr>
          <w:rFonts w:hint="eastAsia" w:ascii="宋体" w:hAnsi="宋体"/>
          <w:color w:val="auto"/>
          <w:sz w:val="24"/>
        </w:rPr>
        <w:t>人的修改</w:t>
      </w:r>
      <w:r>
        <w:rPr>
          <w:rFonts w:hint="eastAsia" w:ascii="宋体" w:hAnsi="宋体" w:cs="宋体"/>
          <w:color w:val="auto"/>
          <w:sz w:val="24"/>
        </w:rPr>
        <w:t>以书面形式通知投标人的，投标人应在收到该修改通知的24小时内或根据修改通知中要求的时间内予以确认。</w:t>
      </w:r>
    </w:p>
    <w:p w14:paraId="6B719D05">
      <w:pPr>
        <w:tabs>
          <w:tab w:val="left" w:pos="1260"/>
        </w:tabs>
        <w:autoSpaceDE w:val="0"/>
        <w:autoSpaceDN w:val="0"/>
        <w:adjustRightInd w:val="0"/>
        <w:snapToGrid w:val="0"/>
        <w:spacing w:afterLines="50"/>
        <w:ind w:left="1134" w:leftChars="540"/>
        <w:rPr>
          <w:rFonts w:ascii="宋体" w:hAnsi="宋体" w:cs="黑体"/>
          <w:color w:val="auto"/>
          <w:kern w:val="0"/>
          <w:sz w:val="24"/>
        </w:rPr>
      </w:pPr>
      <w:r>
        <w:rPr>
          <w:rFonts w:hAnsi="宋体" w:cs="宋体"/>
          <w:color w:val="auto"/>
          <w:sz w:val="24"/>
        </w:rPr>
        <w:t>修改的内容可能影响投标文件编制的，采购人或者采购代理机构在投标截止时间至少15日前，以书面形式通知所有获取招标文件的潜在投标人；不足15日的，采购人或者采购代理机构将顺延提交投标文件的截止时间。</w:t>
      </w:r>
    </w:p>
    <w:p w14:paraId="386416DC">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投标人收到修改文件后，应将加盖公章的回执以书面方式通知采购人，确认已收到该修改。</w:t>
      </w:r>
    </w:p>
    <w:p w14:paraId="2C7E95F5">
      <w:pPr>
        <w:numPr>
          <w:ilvl w:val="1"/>
          <w:numId w:val="2"/>
        </w:numPr>
        <w:autoSpaceDE w:val="0"/>
        <w:autoSpaceDN w:val="0"/>
        <w:adjustRightInd w:val="0"/>
        <w:snapToGrid w:val="0"/>
        <w:spacing w:afterLines="50"/>
        <w:rPr>
          <w:rFonts w:ascii="宋体" w:hAnsi="宋体" w:cs="黑体"/>
          <w:color w:val="auto"/>
          <w:kern w:val="0"/>
          <w:sz w:val="24"/>
        </w:rPr>
      </w:pPr>
      <w:r>
        <w:rPr>
          <w:rFonts w:ascii="宋体" w:hAnsi="宋体" w:eastAsia="宋体" w:cs="宋体"/>
          <w:color w:val="auto"/>
          <w:sz w:val="24"/>
        </w:rPr>
        <w:t>投标人认为采购文件使其权益受到损害的，</w:t>
      </w:r>
      <w:r>
        <w:rPr>
          <w:rFonts w:hint="eastAsia" w:ascii="宋体" w:hAnsi="宋体"/>
          <w:color w:val="auto"/>
          <w:sz w:val="24"/>
        </w:rPr>
        <w:t>在收到采购文件之日或</w:t>
      </w:r>
      <w:r>
        <w:rPr>
          <w:rFonts w:ascii="宋体" w:hAnsi="宋体"/>
          <w:color w:val="auto"/>
          <w:sz w:val="24"/>
        </w:rPr>
        <w:t>采购文件公告期限届满之日</w:t>
      </w:r>
      <w:r>
        <w:rPr>
          <w:rFonts w:hint="eastAsia" w:ascii="宋体" w:hAnsi="宋体"/>
          <w:color w:val="auto"/>
          <w:sz w:val="24"/>
        </w:rPr>
        <w:t>起七个工作日内，按投标人须知前附表中接收质疑函的方式以书面形式一次性提出质疑</w:t>
      </w:r>
      <w:r>
        <w:rPr>
          <w:rFonts w:ascii="宋体" w:hAnsi="宋体" w:eastAsia="宋体" w:cs="宋体"/>
          <w:color w:val="auto"/>
          <w:sz w:val="24"/>
        </w:rPr>
        <w:t>。</w:t>
      </w:r>
    </w:p>
    <w:p w14:paraId="3BF25EA4">
      <w:pPr>
        <w:numPr>
          <w:ilvl w:val="0"/>
          <w:numId w:val="2"/>
        </w:numPr>
        <w:autoSpaceDE w:val="0"/>
        <w:autoSpaceDN w:val="0"/>
        <w:adjustRightInd w:val="0"/>
        <w:spacing w:afterLines="50"/>
        <w:outlineLvl w:val="2"/>
        <w:rPr>
          <w:rFonts w:ascii="黑体" w:hAnsi="宋体" w:eastAsia="黑体" w:cs="黑体"/>
          <w:color w:val="auto"/>
          <w:kern w:val="0"/>
          <w:sz w:val="24"/>
        </w:rPr>
      </w:pPr>
      <w:bookmarkStart w:id="74" w:name="_Toc195921811"/>
      <w:bookmarkStart w:id="75" w:name="_Toc25864"/>
      <w:bookmarkStart w:id="76" w:name="_Toc6616"/>
      <w:r>
        <w:rPr>
          <w:rFonts w:hint="eastAsia" w:ascii="黑体" w:hAnsi="宋体" w:eastAsia="黑体" w:cs="黑体"/>
          <w:color w:val="auto"/>
          <w:kern w:val="0"/>
          <w:sz w:val="24"/>
        </w:rPr>
        <w:t>投标文件</w:t>
      </w:r>
      <w:bookmarkEnd w:id="74"/>
      <w:bookmarkEnd w:id="75"/>
      <w:bookmarkEnd w:id="76"/>
    </w:p>
    <w:p w14:paraId="154AB289">
      <w:pPr>
        <w:numPr>
          <w:ilvl w:val="1"/>
          <w:numId w:val="2"/>
        </w:numPr>
        <w:autoSpaceDE w:val="0"/>
        <w:autoSpaceDN w:val="0"/>
        <w:adjustRightInd w:val="0"/>
        <w:snapToGrid w:val="0"/>
        <w:spacing w:afterLines="50"/>
        <w:rPr>
          <w:rFonts w:ascii="宋体" w:hAnsi="宋体" w:cs="黑体"/>
          <w:color w:val="auto"/>
          <w:kern w:val="0"/>
          <w:sz w:val="24"/>
        </w:rPr>
      </w:pPr>
      <w:bookmarkStart w:id="77" w:name="_Toc195921812"/>
      <w:r>
        <w:rPr>
          <w:rFonts w:hint="eastAsia" w:ascii="宋体" w:hAnsi="宋体" w:cs="黑体"/>
          <w:color w:val="auto"/>
          <w:kern w:val="0"/>
          <w:sz w:val="24"/>
        </w:rPr>
        <w:t>投标文件的组成</w:t>
      </w:r>
      <w:bookmarkEnd w:id="77"/>
    </w:p>
    <w:p w14:paraId="446FD395">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投标文件应包括下列内容</w:t>
      </w:r>
      <w:r>
        <w:rPr>
          <w:rFonts w:hint="eastAsia" w:ascii="宋体" w:hAnsi="宋体" w:cs="黑体"/>
          <w:color w:val="auto"/>
          <w:kern w:val="0"/>
          <w:sz w:val="24"/>
          <w:lang w:eastAsia="zh-CN"/>
        </w:rPr>
        <w:t>:</w:t>
      </w:r>
    </w:p>
    <w:p w14:paraId="6C455055">
      <w:pPr>
        <w:numPr>
          <w:ilvl w:val="0"/>
          <w:numId w:val="5"/>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商务部分</w:t>
      </w:r>
    </w:p>
    <w:p w14:paraId="75102460">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投标书；</w:t>
      </w:r>
    </w:p>
    <w:p w14:paraId="68353F9E">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报价表；</w:t>
      </w:r>
    </w:p>
    <w:p w14:paraId="0047F8DA">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法定代表人身份证明；</w:t>
      </w:r>
    </w:p>
    <w:p w14:paraId="72FD3155">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授权委托书；</w:t>
      </w:r>
    </w:p>
    <w:p w14:paraId="697076C8">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投标保证金；</w:t>
      </w:r>
    </w:p>
    <w:p w14:paraId="6EFDC461">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投标分项报价表；</w:t>
      </w:r>
    </w:p>
    <w:p w14:paraId="62592878">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商务、合同条款偏差表；</w:t>
      </w:r>
    </w:p>
    <w:p w14:paraId="35D4C339">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highlight w:val="none"/>
        </w:rPr>
      </w:pPr>
      <w:r>
        <w:rPr>
          <w:rFonts w:hint="eastAsia" w:ascii="宋体" w:hAnsi="宋体" w:cs="黑体"/>
          <w:color w:val="auto"/>
          <w:kern w:val="0"/>
          <w:sz w:val="24"/>
        </w:rPr>
        <w:t>投标人基本情况表；</w:t>
      </w:r>
    </w:p>
    <w:p w14:paraId="6E132AC0">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资格证明文件</w:t>
      </w:r>
      <w:r>
        <w:rPr>
          <w:rFonts w:hint="eastAsia" w:ascii="宋体" w:hAnsi="宋体" w:cs="黑体"/>
          <w:color w:val="auto"/>
          <w:kern w:val="0"/>
          <w:sz w:val="24"/>
          <w:lang w:eastAsia="zh-CN"/>
        </w:rPr>
        <w:t>(</w:t>
      </w:r>
      <w:r>
        <w:rPr>
          <w:rFonts w:hint="eastAsia" w:ascii="宋体" w:hAnsi="宋体" w:cs="黑体"/>
          <w:color w:val="auto"/>
          <w:kern w:val="0"/>
          <w:sz w:val="24"/>
        </w:rPr>
        <w:t>详见投标文件格式要求</w:t>
      </w:r>
      <w:r>
        <w:rPr>
          <w:rFonts w:hint="eastAsia" w:ascii="宋体" w:hAnsi="宋体" w:cs="黑体"/>
          <w:color w:val="auto"/>
          <w:kern w:val="0"/>
          <w:sz w:val="24"/>
          <w:lang w:eastAsia="zh-CN"/>
        </w:rPr>
        <w:t>)</w:t>
      </w:r>
      <w:r>
        <w:rPr>
          <w:rFonts w:hint="eastAsia" w:ascii="宋体" w:hAnsi="宋体" w:cs="黑体"/>
          <w:color w:val="auto"/>
          <w:kern w:val="0"/>
          <w:sz w:val="24"/>
        </w:rPr>
        <w:t>；</w:t>
      </w:r>
    </w:p>
    <w:p w14:paraId="6A6F8640">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ascii="宋体" w:hAnsi="宋体" w:cs="黑体"/>
          <w:color w:val="auto"/>
          <w:kern w:val="0"/>
          <w:sz w:val="24"/>
        </w:rPr>
        <w:t>投标人</w:t>
      </w:r>
      <w:r>
        <w:rPr>
          <w:rFonts w:hint="eastAsia" w:ascii="宋体" w:hAnsi="宋体" w:cs="黑体"/>
          <w:color w:val="auto"/>
          <w:kern w:val="0"/>
          <w:sz w:val="24"/>
        </w:rPr>
        <w:t>服务</w:t>
      </w:r>
      <w:r>
        <w:rPr>
          <w:rFonts w:ascii="宋体" w:hAnsi="宋体" w:cs="黑体"/>
          <w:color w:val="auto"/>
          <w:kern w:val="0"/>
          <w:sz w:val="24"/>
        </w:rPr>
        <w:t>业绩</w:t>
      </w:r>
      <w:r>
        <w:rPr>
          <w:rFonts w:hint="eastAsia" w:ascii="宋体" w:hAnsi="宋体" w:cs="黑体"/>
          <w:color w:val="auto"/>
          <w:kern w:val="0"/>
          <w:sz w:val="24"/>
        </w:rPr>
        <w:t>一览</w:t>
      </w:r>
      <w:r>
        <w:rPr>
          <w:rFonts w:ascii="宋体" w:hAnsi="宋体" w:cs="黑体"/>
          <w:color w:val="auto"/>
          <w:kern w:val="0"/>
          <w:sz w:val="24"/>
        </w:rPr>
        <w:t>表；</w:t>
      </w:r>
    </w:p>
    <w:p w14:paraId="3F43B3C1">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小微企业、监狱企业、残疾人福利单位的声明函或证明材料</w:t>
      </w:r>
      <w:r>
        <w:rPr>
          <w:rFonts w:hint="eastAsia" w:ascii="宋体" w:hAnsi="宋体" w:cs="黑体"/>
          <w:color w:val="auto"/>
          <w:kern w:val="0"/>
          <w:sz w:val="24"/>
          <w:lang w:eastAsia="zh-CN"/>
        </w:rPr>
        <w:t>(</w:t>
      </w:r>
      <w:r>
        <w:rPr>
          <w:rFonts w:hint="eastAsia" w:ascii="宋体" w:hAnsi="宋体" w:cs="黑体"/>
          <w:color w:val="auto"/>
          <w:kern w:val="0"/>
          <w:sz w:val="24"/>
        </w:rPr>
        <w:t>如有</w:t>
      </w:r>
      <w:r>
        <w:rPr>
          <w:rFonts w:hint="eastAsia" w:ascii="宋体" w:hAnsi="宋体" w:cs="黑体"/>
          <w:color w:val="auto"/>
          <w:kern w:val="0"/>
          <w:sz w:val="24"/>
          <w:lang w:eastAsia="zh-CN"/>
        </w:rPr>
        <w:t>)</w:t>
      </w:r>
      <w:r>
        <w:rPr>
          <w:rFonts w:ascii="宋体" w:hAnsi="宋体" w:cs="黑体"/>
          <w:color w:val="auto"/>
          <w:kern w:val="0"/>
          <w:sz w:val="24"/>
        </w:rPr>
        <w:t>；</w:t>
      </w:r>
    </w:p>
    <w:p w14:paraId="65047F34">
      <w:pPr>
        <w:numPr>
          <w:ilvl w:val="0"/>
          <w:numId w:val="6"/>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投标承诺书</w:t>
      </w:r>
      <w:r>
        <w:rPr>
          <w:rFonts w:hint="eastAsia"/>
          <w:color w:val="auto"/>
        </w:rPr>
        <w:t>；</w:t>
      </w:r>
    </w:p>
    <w:p w14:paraId="61F5304F">
      <w:pPr>
        <w:numPr>
          <w:ilvl w:val="0"/>
          <w:numId w:val="5"/>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技术部分</w:t>
      </w:r>
      <w:r>
        <w:rPr>
          <w:rFonts w:hint="eastAsia" w:ascii="宋体" w:hAnsi="宋体" w:cs="黑体"/>
          <w:color w:val="auto"/>
          <w:kern w:val="0"/>
          <w:sz w:val="24"/>
          <w:lang w:eastAsia="zh-CN"/>
        </w:rPr>
        <w:t>:</w:t>
      </w:r>
    </w:p>
    <w:p w14:paraId="216AD1BE">
      <w:pPr>
        <w:numPr>
          <w:ilvl w:val="0"/>
          <w:numId w:val="7"/>
        </w:numPr>
        <w:tabs>
          <w:tab w:val="left" w:pos="2694"/>
        </w:tabs>
        <w:autoSpaceDE w:val="0"/>
        <w:autoSpaceDN w:val="0"/>
        <w:adjustRightInd w:val="0"/>
        <w:snapToGrid w:val="0"/>
        <w:spacing w:afterLines="50"/>
        <w:ind w:left="2694" w:hanging="567"/>
        <w:rPr>
          <w:rFonts w:ascii="宋体" w:hAnsi="宋体" w:cs="黑体"/>
          <w:color w:val="auto"/>
          <w:kern w:val="0"/>
          <w:sz w:val="24"/>
        </w:rPr>
      </w:pPr>
      <w:r>
        <w:rPr>
          <w:rFonts w:hint="eastAsia" w:ascii="宋体" w:hAnsi="宋体" w:cs="黑体"/>
          <w:color w:val="auto"/>
          <w:kern w:val="0"/>
          <w:sz w:val="24"/>
        </w:rPr>
        <w:t>技术偏离表；</w:t>
      </w:r>
    </w:p>
    <w:p w14:paraId="5BC3ADFA">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对</w:t>
      </w:r>
      <w:r>
        <w:rPr>
          <w:rFonts w:hint="eastAsia" w:ascii="宋体" w:hAnsi="宋体"/>
          <w:color w:val="auto"/>
          <w:sz w:val="24"/>
        </w:rPr>
        <w:t>采购项目的技术</w:t>
      </w:r>
      <w:r>
        <w:rPr>
          <w:rFonts w:hint="eastAsia" w:ascii="宋体" w:hAnsi="宋体"/>
          <w:color w:val="auto"/>
          <w:sz w:val="24"/>
          <w:lang w:val="en-US" w:eastAsia="zh-CN"/>
        </w:rPr>
        <w:t>要求</w:t>
      </w:r>
      <w:r>
        <w:rPr>
          <w:rFonts w:hint="eastAsia" w:ascii="宋体" w:hAnsi="宋体"/>
          <w:color w:val="auto"/>
          <w:sz w:val="24"/>
        </w:rPr>
        <w:t>、</w:t>
      </w:r>
      <w:r>
        <w:rPr>
          <w:rFonts w:hint="eastAsia" w:ascii="宋体" w:hAnsi="宋体"/>
          <w:color w:val="auto"/>
          <w:sz w:val="24"/>
          <w:lang w:val="en-US" w:eastAsia="zh-CN"/>
        </w:rPr>
        <w:t>服务内容</w:t>
      </w:r>
      <w:r>
        <w:rPr>
          <w:rFonts w:hint="eastAsia" w:ascii="宋体" w:hAnsi="宋体"/>
          <w:color w:val="auto"/>
          <w:sz w:val="24"/>
        </w:rPr>
        <w:t>、服务标准、验收等要求</w:t>
      </w:r>
      <w:r>
        <w:rPr>
          <w:rFonts w:hint="eastAsia" w:ascii="宋体" w:hAnsi="宋体" w:cs="黑体"/>
          <w:color w:val="auto"/>
          <w:kern w:val="0"/>
          <w:sz w:val="24"/>
        </w:rPr>
        <w:t>的响应；</w:t>
      </w:r>
    </w:p>
    <w:p w14:paraId="0784843C">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拟派服务实施人员表和资历表；</w:t>
      </w:r>
    </w:p>
    <w:p w14:paraId="3CE05FD8">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ascii="宋体" w:hAnsi="宋体" w:cs="黑体"/>
          <w:color w:val="auto"/>
          <w:kern w:val="0"/>
          <w:sz w:val="24"/>
        </w:rPr>
        <w:t>售后服务支持能力</w:t>
      </w:r>
      <w:r>
        <w:rPr>
          <w:rFonts w:hint="eastAsia" w:ascii="宋体" w:hAnsi="宋体" w:cs="黑体"/>
          <w:color w:val="auto"/>
          <w:kern w:val="0"/>
          <w:sz w:val="24"/>
        </w:rPr>
        <w:t>；</w:t>
      </w:r>
    </w:p>
    <w:p w14:paraId="498A2952">
      <w:pPr>
        <w:numPr>
          <w:ilvl w:val="0"/>
          <w:numId w:val="7"/>
        </w:numPr>
        <w:tabs>
          <w:tab w:val="left" w:pos="2694"/>
        </w:tabs>
        <w:autoSpaceDE w:val="0"/>
        <w:autoSpaceDN w:val="0"/>
        <w:adjustRightInd w:val="0"/>
        <w:snapToGrid w:val="0"/>
        <w:spacing w:afterLines="50"/>
        <w:ind w:left="2694" w:hanging="562"/>
        <w:rPr>
          <w:rFonts w:ascii="宋体" w:hAnsi="宋体" w:cs="黑体"/>
          <w:color w:val="auto"/>
          <w:kern w:val="0"/>
          <w:sz w:val="24"/>
        </w:rPr>
      </w:pPr>
      <w:r>
        <w:rPr>
          <w:rFonts w:hint="eastAsia" w:ascii="宋体" w:hAnsi="宋体" w:cs="黑体"/>
          <w:color w:val="auto"/>
          <w:kern w:val="0"/>
          <w:sz w:val="24"/>
        </w:rPr>
        <w:t>投标人服务承诺</w:t>
      </w:r>
      <w:r>
        <w:rPr>
          <w:rFonts w:hint="eastAsia" w:ascii="宋体" w:hAnsi="宋体" w:cs="黑体"/>
          <w:color w:val="auto"/>
          <w:kern w:val="0"/>
          <w:sz w:val="24"/>
          <w:lang w:eastAsia="zh-CN"/>
        </w:rPr>
        <w:t>(</w:t>
      </w:r>
      <w:r>
        <w:rPr>
          <w:rFonts w:hint="eastAsia" w:ascii="宋体" w:hAnsi="宋体" w:cs="黑体"/>
          <w:color w:val="auto"/>
          <w:kern w:val="0"/>
          <w:sz w:val="24"/>
        </w:rPr>
        <w:t>如有</w:t>
      </w:r>
      <w:r>
        <w:rPr>
          <w:rFonts w:hint="eastAsia" w:ascii="宋体" w:hAnsi="宋体" w:cs="黑体"/>
          <w:color w:val="auto"/>
          <w:kern w:val="0"/>
          <w:sz w:val="24"/>
          <w:lang w:eastAsia="zh-CN"/>
        </w:rPr>
        <w:t>)</w:t>
      </w:r>
      <w:r>
        <w:rPr>
          <w:rFonts w:hint="eastAsia" w:ascii="宋体" w:hAnsi="宋体" w:cs="黑体"/>
          <w:color w:val="auto"/>
          <w:kern w:val="0"/>
          <w:sz w:val="24"/>
        </w:rPr>
        <w:t>；</w:t>
      </w:r>
    </w:p>
    <w:p w14:paraId="7CC844B0">
      <w:pPr>
        <w:numPr>
          <w:ilvl w:val="0"/>
          <w:numId w:val="5"/>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投标文件要求的其他内容以及投标人认为必要的其他内容。</w:t>
      </w:r>
    </w:p>
    <w:p w14:paraId="43E5FF39">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78" w:name="_Toc195921813"/>
      <w:r>
        <w:rPr>
          <w:rFonts w:hint="eastAsia" w:ascii="宋体" w:hAnsi="宋体" w:cs="黑体"/>
          <w:color w:val="auto"/>
          <w:kern w:val="0"/>
          <w:sz w:val="24"/>
        </w:rPr>
        <w:t>投标报价</w:t>
      </w:r>
      <w:bookmarkEnd w:id="78"/>
    </w:p>
    <w:p w14:paraId="33A18807">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bookmarkStart w:id="79" w:name="_Toc195921814"/>
      <w:r>
        <w:rPr>
          <w:rFonts w:hint="eastAsia" w:ascii="宋体" w:hAnsi="宋体" w:cs="黑体"/>
          <w:color w:val="auto"/>
          <w:kern w:val="0"/>
          <w:sz w:val="24"/>
        </w:rPr>
        <w:t>投标人应按招标文件第六章提供的格式进行投标报价。</w:t>
      </w:r>
    </w:p>
    <w:p w14:paraId="29D94DAD">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所有根据合同或其它原因应由投标人支付的税款和其它应交纳的费用都应包括在投标人提交的投标价格中。</w:t>
      </w:r>
    </w:p>
    <w:p w14:paraId="7EE87EC3">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ascii="宋体" w:hAnsi="宋体" w:cs="黑体"/>
          <w:color w:val="auto"/>
          <w:kern w:val="0"/>
          <w:sz w:val="24"/>
        </w:rPr>
        <w:t>报价应包含本项目所有税项。</w:t>
      </w:r>
    </w:p>
    <w:p w14:paraId="6755AAD4">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ascii="宋体" w:hAnsi="宋体" w:cs="黑体"/>
          <w:color w:val="auto"/>
          <w:kern w:val="0"/>
          <w:sz w:val="24"/>
        </w:rPr>
        <w:t>投标人应仔细阅读所有招标文件，填报自己认为正确的报价。</w:t>
      </w:r>
    </w:p>
    <w:p w14:paraId="3CE0A027">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投标人对采购内容只允许有一个报价，采购人不接受任何有选择的报价。</w:t>
      </w:r>
    </w:p>
    <w:p w14:paraId="37FA4EFE">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投标人根据本招标文件的规定将投标价分成几部分，只是为了方便</w:t>
      </w:r>
      <w:r>
        <w:rPr>
          <w:rFonts w:hint="eastAsia" w:ascii="宋体" w:hAnsi="宋体" w:cs="黑体"/>
          <w:color w:val="auto"/>
          <w:kern w:val="0"/>
          <w:sz w:val="24"/>
          <w:lang w:val="en-US" w:eastAsia="zh-CN"/>
        </w:rPr>
        <w:t>采购人</w:t>
      </w:r>
      <w:r>
        <w:rPr>
          <w:rFonts w:hint="eastAsia" w:ascii="宋体" w:hAnsi="宋体" w:cs="黑体"/>
          <w:color w:val="auto"/>
          <w:kern w:val="0"/>
          <w:sz w:val="24"/>
        </w:rPr>
        <w:t>对投标文件进行比较，并不限制采购人以上述任何条件订立合同的权力。</w:t>
      </w:r>
    </w:p>
    <w:p w14:paraId="1CA98EC5">
      <w:pPr>
        <w:numPr>
          <w:ilvl w:val="1"/>
          <w:numId w:val="2"/>
        </w:numPr>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除非合同另有约定，投标人所报的投标价在合同执行过程中是固定不变的，不得以任何理由予以变更。任何包含价格调整要求的投标，将被认为是非响应性投标而予以拒绝。</w:t>
      </w:r>
    </w:p>
    <w:p w14:paraId="7D9C24DE">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80" w:name="_Ref421009326"/>
      <w:r>
        <w:rPr>
          <w:rFonts w:hint="eastAsia" w:ascii="宋体" w:hAnsi="宋体" w:cs="黑体"/>
          <w:color w:val="auto"/>
          <w:kern w:val="0"/>
          <w:sz w:val="24"/>
        </w:rPr>
        <w:t>投标有效期</w:t>
      </w:r>
      <w:bookmarkEnd w:id="79"/>
      <w:bookmarkEnd w:id="80"/>
    </w:p>
    <w:p w14:paraId="680888A7">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olor w:val="auto"/>
          <w:sz w:val="24"/>
        </w:rPr>
        <w:t>本项目投标有效期见投标人须知前附表。投标有效期从提交投标文件的截止之日起算。投标文件中承诺的投标有效期应当不少于招标文件中载明的投标有效期。</w:t>
      </w:r>
    </w:p>
    <w:p w14:paraId="4B482254">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在投标人须知前附表规定的投标有效期内，投标人不得要求修改其投标文件。</w:t>
      </w:r>
    </w:p>
    <w:p w14:paraId="5C39470F">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81" w:name="_Toc195921815"/>
      <w:r>
        <w:rPr>
          <w:rFonts w:hint="eastAsia" w:ascii="宋体" w:hAnsi="宋体" w:cs="黑体"/>
          <w:color w:val="auto"/>
          <w:kern w:val="0"/>
          <w:sz w:val="24"/>
        </w:rPr>
        <w:t>投标保证金</w:t>
      </w:r>
      <w:bookmarkEnd w:id="81"/>
    </w:p>
    <w:p w14:paraId="16569D8A">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bookmarkStart w:id="82" w:name="_Ref419361076"/>
      <w:r>
        <w:rPr>
          <w:rFonts w:hint="eastAsia" w:ascii="宋体" w:hAnsi="宋体" w:cs="黑体"/>
          <w:color w:val="auto"/>
          <w:kern w:val="0"/>
          <w:sz w:val="24"/>
        </w:rPr>
        <w:t>投标人应按</w:t>
      </w:r>
      <w:r>
        <w:rPr>
          <w:rFonts w:hint="eastAsia" w:ascii="宋体" w:hAnsi="宋体" w:cs="黑体"/>
          <w:color w:val="auto"/>
          <w:kern w:val="0"/>
          <w:sz w:val="24"/>
          <w:highlight w:val="none"/>
        </w:rPr>
        <w:t>投标人须知前附表</w:t>
      </w:r>
      <w:r>
        <w:rPr>
          <w:rFonts w:hint="eastAsia" w:ascii="宋体" w:hAnsi="宋体" w:cs="黑体"/>
          <w:color w:val="auto"/>
          <w:kern w:val="0"/>
          <w:sz w:val="24"/>
        </w:rPr>
        <w:t>规定的金额、形式递交投标保证金，并作为其投标文件的组成部分。联合体投标的，可以由联合体中的一方或者共同提交投标保证金，以一方名义提交投标保证金的，对联合体各方均具有约束力。</w:t>
      </w:r>
      <w:bookmarkEnd w:id="82"/>
    </w:p>
    <w:p w14:paraId="172E0D14">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投标人不按本章第</w:t>
      </w:r>
      <w:r>
        <w:rPr>
          <w:rFonts w:ascii="宋体" w:hAnsi="宋体" w:cs="黑体"/>
          <w:color w:val="auto"/>
          <w:kern w:val="0"/>
          <w:sz w:val="24"/>
        </w:rPr>
        <w:fldChar w:fldCharType="begin"/>
      </w:r>
      <w:r>
        <w:rPr>
          <w:rFonts w:ascii="宋体" w:hAnsi="宋体" w:cs="黑体"/>
          <w:color w:val="auto"/>
          <w:kern w:val="0"/>
          <w:sz w:val="24"/>
        </w:rPr>
        <w:instrText xml:space="preserve"> </w:instrText>
      </w:r>
      <w:r>
        <w:rPr>
          <w:rFonts w:hint="eastAsia" w:ascii="宋体" w:hAnsi="宋体" w:cs="黑体"/>
          <w:color w:val="auto"/>
          <w:kern w:val="0"/>
          <w:sz w:val="24"/>
        </w:rPr>
        <w:instrText xml:space="preserve">REF _Ref419361076 \r \h</w:instrText>
      </w:r>
      <w:r>
        <w:rPr>
          <w:rFonts w:ascii="宋体" w:hAnsi="宋体" w:cs="黑体"/>
          <w:color w:val="auto"/>
          <w:kern w:val="0"/>
          <w:sz w:val="24"/>
        </w:rPr>
        <w:instrText xml:space="preserve"> </w:instrText>
      </w:r>
      <w:r>
        <w:rPr>
          <w:rFonts w:ascii="宋体" w:hAnsi="宋体" w:cs="黑体"/>
          <w:color w:val="auto"/>
          <w:kern w:val="0"/>
          <w:sz w:val="24"/>
        </w:rPr>
        <w:fldChar w:fldCharType="separate"/>
      </w:r>
      <w:r>
        <w:rPr>
          <w:rFonts w:ascii="宋体" w:hAnsi="宋体" w:cs="黑体"/>
          <w:color w:val="auto"/>
          <w:kern w:val="0"/>
          <w:sz w:val="24"/>
        </w:rPr>
        <w:t>3.</w:t>
      </w:r>
      <w:r>
        <w:rPr>
          <w:rFonts w:hint="eastAsia" w:ascii="宋体" w:hAnsi="宋体" w:cs="黑体"/>
          <w:color w:val="auto"/>
          <w:kern w:val="0"/>
          <w:sz w:val="24"/>
        </w:rPr>
        <w:t>7</w:t>
      </w:r>
      <w:r>
        <w:rPr>
          <w:rFonts w:ascii="宋体" w:hAnsi="宋体" w:cs="黑体"/>
          <w:color w:val="auto"/>
          <w:kern w:val="0"/>
          <w:sz w:val="24"/>
        </w:rPr>
        <w:t>.1</w:t>
      </w:r>
      <w:r>
        <w:rPr>
          <w:rFonts w:ascii="宋体" w:hAnsi="宋体" w:cs="黑体"/>
          <w:color w:val="auto"/>
          <w:kern w:val="0"/>
          <w:sz w:val="24"/>
        </w:rPr>
        <w:fldChar w:fldCharType="end"/>
      </w:r>
      <w:r>
        <w:rPr>
          <w:rFonts w:hint="eastAsia" w:ascii="宋体" w:hAnsi="宋体" w:cs="黑体"/>
          <w:color w:val="auto"/>
          <w:kern w:val="0"/>
          <w:sz w:val="24"/>
        </w:rPr>
        <w:t>项要求提交投标保证金的，其投标文件无效。</w:t>
      </w:r>
    </w:p>
    <w:p w14:paraId="62AD5392">
      <w:pPr>
        <w:numPr>
          <w:ilvl w:val="2"/>
          <w:numId w:val="2"/>
        </w:numPr>
        <w:tabs>
          <w:tab w:val="left" w:pos="1260"/>
        </w:tabs>
        <w:autoSpaceDE w:val="0"/>
        <w:autoSpaceDN w:val="0"/>
        <w:adjustRightInd w:val="0"/>
        <w:snapToGrid w:val="0"/>
        <w:spacing w:afterLines="50"/>
        <w:rPr>
          <w:rFonts w:ascii="宋体" w:hAnsi="宋体"/>
          <w:color w:val="auto"/>
          <w:sz w:val="24"/>
        </w:rPr>
      </w:pPr>
      <w:bookmarkStart w:id="83" w:name="_Ref419361088"/>
      <w:r>
        <w:rPr>
          <w:rFonts w:hint="eastAsia" w:ascii="宋体" w:hAnsi="宋体"/>
          <w:color w:val="auto"/>
          <w:sz w:val="24"/>
        </w:rPr>
        <w:t>投标人在投标截止时间3日前，按招标文件的要求向招标代理机构递交投标保证金，投标截止时间之后递交的投标保证金</w:t>
      </w:r>
      <w:r>
        <w:rPr>
          <w:rFonts w:hint="eastAsia" w:ascii="宋体" w:hAnsi="宋体"/>
          <w:color w:val="auto"/>
          <w:sz w:val="24"/>
          <w:lang w:val="en-US" w:eastAsia="zh-CN"/>
        </w:rPr>
        <w:t>投标</w:t>
      </w:r>
      <w:r>
        <w:rPr>
          <w:rFonts w:hint="eastAsia" w:ascii="宋体" w:hAnsi="宋体"/>
          <w:color w:val="auto"/>
          <w:sz w:val="24"/>
        </w:rPr>
        <w:t>将被拒绝。</w:t>
      </w:r>
      <w:bookmarkEnd w:id="83"/>
    </w:p>
    <w:p w14:paraId="574BF84A">
      <w:pPr>
        <w:numPr>
          <w:ilvl w:val="2"/>
          <w:numId w:val="2"/>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rPr>
        <w:t>投标人在汇款时务必注明所投标项目的招标编号及用途，否则，因款项用途不明导致投标无效等后果由投标人自行承担。</w:t>
      </w:r>
    </w:p>
    <w:p w14:paraId="06563E81">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采购人或者采购代理机构应当自中标通知书发出之日起5个工作日内退还未中标人的投标保证金，自政府采购合同签订之日起5个工作日内退还中标人的投标保证金</w:t>
      </w:r>
      <w:r>
        <w:rPr>
          <w:rFonts w:hint="eastAsia" w:ascii="宋体" w:hAnsi="宋体"/>
          <w:color w:val="auto"/>
          <w:sz w:val="24"/>
        </w:rPr>
        <w:t>或者转为中标人的履约保证金</w:t>
      </w:r>
      <w:r>
        <w:rPr>
          <w:rFonts w:hint="eastAsia" w:ascii="宋体" w:hAnsi="宋体" w:cs="黑体"/>
          <w:color w:val="auto"/>
          <w:kern w:val="0"/>
          <w:sz w:val="24"/>
        </w:rPr>
        <w:t>。</w:t>
      </w:r>
    </w:p>
    <w:p w14:paraId="5A8B558B">
      <w:pPr>
        <w:numPr>
          <w:ilvl w:val="0"/>
          <w:numId w:val="0"/>
        </w:numPr>
        <w:tabs>
          <w:tab w:val="left" w:pos="1260"/>
        </w:tabs>
        <w:autoSpaceDE w:val="0"/>
        <w:autoSpaceDN w:val="0"/>
        <w:adjustRightInd w:val="0"/>
        <w:snapToGrid w:val="0"/>
        <w:spacing w:afterLines="50"/>
        <w:ind w:left="1058" w:hanging="1058" w:hangingChars="441"/>
        <w:rPr>
          <w:rFonts w:ascii="宋体" w:hAnsi="宋体" w:cs="黑体"/>
          <w:color w:val="auto"/>
          <w:kern w:val="0"/>
          <w:sz w:val="24"/>
        </w:rPr>
      </w:pPr>
      <w:r>
        <w:rPr>
          <w:rFonts w:hint="eastAsia" w:ascii="宋体" w:hAnsi="宋体" w:cs="黑体"/>
          <w:color w:val="auto"/>
          <w:kern w:val="0"/>
          <w:sz w:val="24"/>
        </w:rPr>
        <w:t xml:space="preserve">         采购人或者采购代理机构逾期退还投标保证金的，除退还投标保证金本金外，还应当按中国人民银行同期贷款基准利率上浮20％后的利率支付超期资金占用费，但因投标人自身原因导致无法及时退还的除外。</w:t>
      </w:r>
    </w:p>
    <w:p w14:paraId="3B248BCA">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hAnsi="宋体" w:cs="宋体"/>
          <w:color w:val="auto"/>
          <w:sz w:val="24"/>
        </w:rPr>
        <w:t>投标人有下列行为之一者，其投标保证金可不予退还</w:t>
      </w:r>
      <w:r>
        <w:rPr>
          <w:rFonts w:hint="eastAsia" w:hAnsi="宋体" w:cs="宋体"/>
          <w:color w:val="auto"/>
          <w:sz w:val="24"/>
          <w:lang w:eastAsia="zh-CN"/>
        </w:rPr>
        <w:t>:</w:t>
      </w:r>
    </w:p>
    <w:p w14:paraId="7672ABF6">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1</w:t>
      </w:r>
      <w:r>
        <w:rPr>
          <w:rFonts w:hint="eastAsia" w:ascii="宋体" w:hAnsi="宋体" w:cs="黑体"/>
          <w:color w:val="auto"/>
          <w:kern w:val="0"/>
          <w:sz w:val="24"/>
          <w:lang w:eastAsia="zh-CN"/>
        </w:rPr>
        <w:t>)</w:t>
      </w:r>
      <w:r>
        <w:rPr>
          <w:rFonts w:hint="eastAsia" w:ascii="宋体" w:hAnsi="宋体" w:cs="黑体"/>
          <w:color w:val="auto"/>
          <w:kern w:val="0"/>
          <w:sz w:val="24"/>
        </w:rPr>
        <w:t>投标人在投标有效期内撤</w:t>
      </w:r>
      <w:r>
        <w:rPr>
          <w:rFonts w:hint="eastAsia" w:ascii="宋体" w:hAnsi="宋体" w:cs="黑体"/>
          <w:color w:val="auto"/>
          <w:kern w:val="0"/>
          <w:sz w:val="24"/>
          <w:lang w:val="en-US" w:eastAsia="zh-CN"/>
        </w:rPr>
        <w:t>销</w:t>
      </w:r>
      <w:r>
        <w:rPr>
          <w:rFonts w:hint="eastAsia" w:ascii="宋体" w:hAnsi="宋体" w:cs="黑体"/>
          <w:color w:val="auto"/>
          <w:kern w:val="0"/>
          <w:sz w:val="24"/>
        </w:rPr>
        <w:t>投标文件的；</w:t>
      </w:r>
    </w:p>
    <w:p w14:paraId="524C36E1">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2</w:t>
      </w:r>
      <w:r>
        <w:rPr>
          <w:rFonts w:hint="eastAsia" w:ascii="宋体" w:hAnsi="宋体" w:cs="黑体"/>
          <w:color w:val="auto"/>
          <w:kern w:val="0"/>
          <w:sz w:val="24"/>
          <w:lang w:eastAsia="zh-CN"/>
        </w:rPr>
        <w:t>)</w:t>
      </w:r>
      <w:r>
        <w:rPr>
          <w:rFonts w:hint="eastAsia" w:ascii="宋体" w:hAnsi="宋体" w:cs="黑体"/>
          <w:color w:val="auto"/>
          <w:kern w:val="0"/>
          <w:sz w:val="24"/>
        </w:rPr>
        <w:t>投标人在投标文件中提供虚假材料的；</w:t>
      </w:r>
    </w:p>
    <w:p w14:paraId="62C67233">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3</w:t>
      </w:r>
      <w:r>
        <w:rPr>
          <w:rFonts w:hint="eastAsia" w:ascii="宋体" w:hAnsi="宋体" w:cs="黑体"/>
          <w:color w:val="auto"/>
          <w:kern w:val="0"/>
          <w:sz w:val="24"/>
          <w:lang w:eastAsia="zh-CN"/>
        </w:rPr>
        <w:t>)</w:t>
      </w:r>
      <w:r>
        <w:rPr>
          <w:rFonts w:hint="eastAsia" w:ascii="宋体" w:hAnsi="宋体" w:cs="黑体"/>
          <w:color w:val="auto"/>
          <w:kern w:val="0"/>
          <w:sz w:val="24"/>
        </w:rPr>
        <w:t>除因不可抗力或招标文件认可的情形以外，中标人不与采购人签订合同的；</w:t>
      </w:r>
    </w:p>
    <w:p w14:paraId="6127D9A8">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4</w:t>
      </w:r>
      <w:r>
        <w:rPr>
          <w:rFonts w:hint="eastAsia" w:ascii="宋体" w:hAnsi="宋体" w:cs="黑体"/>
          <w:color w:val="auto"/>
          <w:kern w:val="0"/>
          <w:sz w:val="24"/>
          <w:lang w:eastAsia="zh-CN"/>
        </w:rPr>
        <w:t>)</w:t>
      </w:r>
      <w:r>
        <w:rPr>
          <w:rFonts w:hint="eastAsia" w:ascii="宋体" w:hAnsi="宋体" w:cs="黑体"/>
          <w:color w:val="auto"/>
          <w:kern w:val="0"/>
          <w:sz w:val="24"/>
        </w:rPr>
        <w:t>投标人与采购人、其他投标人或者采购代理机构恶意串通的；</w:t>
      </w:r>
    </w:p>
    <w:p w14:paraId="1E62F7CC">
      <w:pPr>
        <w:tabs>
          <w:tab w:val="left" w:pos="1843"/>
        </w:tabs>
        <w:autoSpaceDE w:val="0"/>
        <w:autoSpaceDN w:val="0"/>
        <w:adjustRightInd w:val="0"/>
        <w:snapToGrid w:val="0"/>
        <w:spacing w:afterLines="50"/>
        <w:ind w:left="1734" w:leftChars="540" w:hanging="600" w:hangingChars="250"/>
        <w:rPr>
          <w:rFonts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5</w:t>
      </w:r>
      <w:r>
        <w:rPr>
          <w:rFonts w:hint="eastAsia" w:ascii="宋体" w:hAnsi="宋体" w:cs="黑体"/>
          <w:color w:val="auto"/>
          <w:kern w:val="0"/>
          <w:sz w:val="24"/>
          <w:lang w:eastAsia="zh-CN"/>
        </w:rPr>
        <w:t>)</w:t>
      </w:r>
      <w:r>
        <w:rPr>
          <w:rFonts w:hint="eastAsia" w:ascii="宋体" w:hAnsi="宋体" w:cs="黑体"/>
          <w:color w:val="auto"/>
          <w:kern w:val="0"/>
          <w:sz w:val="24"/>
        </w:rPr>
        <w:t>招标文件规定应由中标人缴纳招标服务费而中标人未缴纳的</w:t>
      </w:r>
      <w:r>
        <w:rPr>
          <w:rFonts w:hint="eastAsia" w:ascii="宋体" w:hAnsi="宋体" w:cs="黑体"/>
          <w:color w:val="auto"/>
          <w:kern w:val="0"/>
          <w:sz w:val="24"/>
          <w:lang w:eastAsia="zh-CN"/>
        </w:rPr>
        <w:t>，</w:t>
      </w:r>
      <w:r>
        <w:rPr>
          <w:rFonts w:hint="eastAsia" w:ascii="宋体" w:hAnsi="宋体" w:cs="黑体"/>
          <w:color w:val="auto"/>
          <w:kern w:val="0"/>
          <w:sz w:val="24"/>
        </w:rPr>
        <w:t>扣除相同金额以用于缴纳服务费；</w:t>
      </w:r>
    </w:p>
    <w:p w14:paraId="63B0441A">
      <w:pPr>
        <w:tabs>
          <w:tab w:val="left" w:pos="1843"/>
        </w:tabs>
        <w:autoSpaceDE w:val="0"/>
        <w:autoSpaceDN w:val="0"/>
        <w:adjustRightInd w:val="0"/>
        <w:snapToGrid w:val="0"/>
        <w:spacing w:afterLines="50"/>
        <w:ind w:left="1734" w:leftChars="540" w:hanging="600" w:hangingChars="250"/>
        <w:rPr>
          <w:rFonts w:hint="eastAsia" w:ascii="宋体" w:hAnsi="宋体" w:cs="黑体"/>
          <w:color w:val="auto"/>
          <w:kern w:val="0"/>
          <w:sz w:val="24"/>
        </w:rPr>
      </w:pPr>
      <w:r>
        <w:rPr>
          <w:rFonts w:hint="eastAsia" w:ascii="宋体" w:hAnsi="宋体" w:cs="黑体"/>
          <w:color w:val="auto"/>
          <w:kern w:val="0"/>
          <w:sz w:val="24"/>
          <w:lang w:eastAsia="zh-CN"/>
        </w:rPr>
        <w:t>(</w:t>
      </w:r>
      <w:r>
        <w:rPr>
          <w:rFonts w:hint="eastAsia" w:ascii="宋体" w:hAnsi="宋体" w:cs="黑体"/>
          <w:color w:val="auto"/>
          <w:kern w:val="0"/>
          <w:sz w:val="24"/>
        </w:rPr>
        <w:t>6</w:t>
      </w:r>
      <w:r>
        <w:rPr>
          <w:rFonts w:hint="eastAsia" w:ascii="宋体" w:hAnsi="宋体" w:cs="黑体"/>
          <w:color w:val="auto"/>
          <w:kern w:val="0"/>
          <w:sz w:val="24"/>
          <w:lang w:eastAsia="zh-CN"/>
        </w:rPr>
        <w:t>)</w:t>
      </w:r>
      <w:r>
        <w:rPr>
          <w:rFonts w:hint="eastAsia" w:ascii="宋体" w:hAnsi="宋体" w:cs="黑体"/>
          <w:color w:val="auto"/>
          <w:kern w:val="0"/>
          <w:sz w:val="24"/>
        </w:rPr>
        <w:t>招标文件规定的其他情形</w:t>
      </w:r>
      <w:r>
        <w:rPr>
          <w:rFonts w:hint="eastAsia" w:ascii="宋体" w:hAnsi="宋体" w:cs="黑体"/>
          <w:color w:val="auto"/>
          <w:kern w:val="0"/>
          <w:sz w:val="24"/>
          <w:lang w:eastAsia="zh-CN"/>
        </w:rPr>
        <w:t>；</w:t>
      </w:r>
    </w:p>
    <w:p w14:paraId="33DC6C2E">
      <w:pPr>
        <w:tabs>
          <w:tab w:val="left" w:pos="1843"/>
        </w:tabs>
        <w:autoSpaceDE w:val="0"/>
        <w:autoSpaceDN w:val="0"/>
        <w:adjustRightInd w:val="0"/>
        <w:snapToGrid w:val="0"/>
        <w:spacing w:afterLines="50"/>
        <w:ind w:left="1734" w:leftChars="540" w:hanging="600" w:hangingChars="250"/>
        <w:rPr>
          <w:rFonts w:hint="default" w:ascii="宋体" w:hAnsi="宋体" w:eastAsia="宋体" w:cs="黑体"/>
          <w:color w:val="auto"/>
          <w:kern w:val="0"/>
          <w:sz w:val="24"/>
          <w:lang w:val="en-US" w:eastAsia="zh-CN"/>
        </w:rPr>
      </w:pP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7)存在其他违法违规行为的。</w:t>
      </w:r>
    </w:p>
    <w:p w14:paraId="54FEDCA6">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84" w:name="_Toc195921818"/>
      <w:r>
        <w:rPr>
          <w:rFonts w:hint="eastAsia" w:ascii="宋体" w:hAnsi="宋体" w:cs="黑体"/>
          <w:color w:val="auto"/>
          <w:kern w:val="0"/>
          <w:sz w:val="24"/>
        </w:rPr>
        <w:t>投标文件的编制</w:t>
      </w:r>
      <w:bookmarkEnd w:id="84"/>
    </w:p>
    <w:p w14:paraId="7525A2D5">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投标文件应按第六章“投标文件格式”进行编写，如有必要，可以增加附页，作为投标文件的组成部分。投标人可以提出比招标文件要求更有利于采购人的承诺。</w:t>
      </w:r>
    </w:p>
    <w:p w14:paraId="3C697451">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投标文件应当对招标文件有关交服务期、投标有效期、对招标范围以及</w:t>
      </w:r>
      <w:r>
        <w:rPr>
          <w:rFonts w:hint="eastAsia" w:ascii="宋体" w:hAnsi="宋体"/>
          <w:color w:val="auto"/>
          <w:sz w:val="24"/>
        </w:rPr>
        <w:t>采购项目的技术</w:t>
      </w:r>
      <w:r>
        <w:rPr>
          <w:rFonts w:hint="eastAsia" w:ascii="宋体" w:hAnsi="宋体"/>
          <w:color w:val="auto"/>
          <w:sz w:val="24"/>
          <w:lang w:val="en-US" w:eastAsia="zh-CN"/>
        </w:rPr>
        <w:t>要求</w:t>
      </w:r>
      <w:r>
        <w:rPr>
          <w:rFonts w:hint="eastAsia" w:ascii="宋体" w:hAnsi="宋体"/>
          <w:color w:val="auto"/>
          <w:sz w:val="24"/>
        </w:rPr>
        <w:t>、</w:t>
      </w:r>
      <w:r>
        <w:rPr>
          <w:rFonts w:hint="eastAsia" w:ascii="宋体" w:hAnsi="宋体"/>
          <w:color w:val="auto"/>
          <w:sz w:val="24"/>
          <w:lang w:val="en-US" w:eastAsia="zh-CN"/>
        </w:rPr>
        <w:t>服务内容</w:t>
      </w:r>
      <w:r>
        <w:rPr>
          <w:rFonts w:hint="eastAsia" w:ascii="宋体" w:hAnsi="宋体"/>
          <w:color w:val="auto"/>
          <w:sz w:val="24"/>
        </w:rPr>
        <w:t>、服务标准、验收</w:t>
      </w:r>
      <w:r>
        <w:rPr>
          <w:rFonts w:hint="eastAsia" w:ascii="宋体" w:hAnsi="宋体" w:cs="黑体"/>
          <w:color w:val="auto"/>
          <w:kern w:val="0"/>
          <w:sz w:val="24"/>
        </w:rPr>
        <w:t>等实质性内容作出响应。</w:t>
      </w:r>
    </w:p>
    <w:p w14:paraId="10C0DA65">
      <w:pPr>
        <w:numPr>
          <w:ilvl w:val="2"/>
          <w:numId w:val="2"/>
        </w:numPr>
        <w:tabs>
          <w:tab w:val="left" w:pos="1260"/>
        </w:tabs>
        <w:autoSpaceDE w:val="0"/>
        <w:autoSpaceDN w:val="0"/>
        <w:adjustRightInd w:val="0"/>
        <w:snapToGrid w:val="0"/>
        <w:spacing w:after="158" w:afterLines="50"/>
        <w:rPr>
          <w:rFonts w:ascii="宋体" w:hAnsi="宋体" w:cs="黑体"/>
          <w:color w:val="auto"/>
          <w:kern w:val="0"/>
          <w:sz w:val="24"/>
          <w:szCs w:val="24"/>
        </w:rPr>
      </w:pPr>
      <w:r>
        <w:rPr>
          <w:rFonts w:hint="eastAsia" w:ascii="宋体" w:hAnsi="宋体" w:cs="黑体"/>
          <w:color w:val="auto"/>
          <w:kern w:val="0"/>
          <w:sz w:val="24"/>
          <w:szCs w:val="24"/>
        </w:rPr>
        <w:t>投标文件</w:t>
      </w:r>
      <w:bookmarkStart w:id="85" w:name="_Hlk63890782"/>
      <w:r>
        <w:rPr>
          <w:rFonts w:hint="eastAsia" w:ascii="宋体" w:hAnsi="宋体" w:cs="黑体"/>
          <w:color w:val="auto"/>
          <w:kern w:val="0"/>
          <w:sz w:val="24"/>
          <w:szCs w:val="24"/>
        </w:rPr>
        <w:t>需通过“电子交易客户端”进行编制，</w:t>
      </w:r>
      <w:bookmarkEnd w:id="85"/>
      <w:r>
        <w:rPr>
          <w:rFonts w:hint="eastAsia" w:ascii="宋体" w:hAnsi="宋体" w:cs="黑体"/>
          <w:color w:val="auto"/>
          <w:kern w:val="0"/>
          <w:sz w:val="24"/>
          <w:szCs w:val="24"/>
        </w:rPr>
        <w:t>投标人的法定代表人或经授权的代表须根据招标文件第六章的规定在投标文件中需要签字或盖章的位置签字</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加盖人名章</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或加盖单位公章。授权代表须持有书面的“法定代表人授权书”</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标准格式附后</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，并将其附在投标文件中。签字或加盖人名章的其他要求见投标人须知前附表。</w:t>
      </w:r>
    </w:p>
    <w:p w14:paraId="7C348E02">
      <w:pPr>
        <w:tabs>
          <w:tab w:val="left" w:pos="1260"/>
        </w:tabs>
        <w:autoSpaceDE w:val="0"/>
        <w:autoSpaceDN w:val="0"/>
        <w:adjustRightInd w:val="0"/>
        <w:snapToGrid w:val="0"/>
        <w:spacing w:afterLines="50"/>
        <w:ind w:left="1134" w:leftChars="540"/>
        <w:rPr>
          <w:rFonts w:ascii="宋体" w:hAnsi="宋体" w:cs="黑体"/>
          <w:color w:val="auto"/>
          <w:kern w:val="0"/>
          <w:sz w:val="24"/>
          <w:szCs w:val="24"/>
        </w:rPr>
      </w:pPr>
      <w:r>
        <w:rPr>
          <w:rFonts w:hint="eastAsia" w:ascii="宋体" w:hAnsi="宋体" w:cs="黑体"/>
          <w:color w:val="auto"/>
          <w:kern w:val="0"/>
          <w:sz w:val="24"/>
          <w:szCs w:val="24"/>
        </w:rPr>
        <w:t>投标截止时间前，如对投标文件进行了修改，包括对投标文件行间插字、涂改和增删，均应由投标人的法定代表人或经正式授权的代表在修改的每一页上签字。</w:t>
      </w:r>
    </w:p>
    <w:p w14:paraId="1A362D35">
      <w:pPr>
        <w:numPr>
          <w:ilvl w:val="2"/>
          <w:numId w:val="2"/>
        </w:numPr>
        <w:tabs>
          <w:tab w:val="left" w:pos="1260"/>
        </w:tabs>
        <w:autoSpaceDE w:val="0"/>
        <w:autoSpaceDN w:val="0"/>
        <w:adjustRightInd w:val="0"/>
        <w:snapToGrid w:val="0"/>
        <w:spacing w:afterLines="50"/>
        <w:rPr>
          <w:rFonts w:ascii="宋体" w:hAnsi="宋体" w:cs="黑体"/>
          <w:color w:val="auto"/>
          <w:kern w:val="0"/>
          <w:sz w:val="24"/>
          <w:szCs w:val="24"/>
        </w:rPr>
      </w:pPr>
      <w:r>
        <w:rPr>
          <w:rFonts w:hint="eastAsia" w:ascii="宋体" w:hAnsi="宋体" w:eastAsia="宋体" w:cs="黑体"/>
          <w:color w:val="auto"/>
          <w:kern w:val="0"/>
          <w:sz w:val="24"/>
          <w:szCs w:val="24"/>
          <w:highlight w:val="none"/>
        </w:rPr>
        <w:t>投标文件份数见投标人须知前附表。</w:t>
      </w:r>
    </w:p>
    <w:p w14:paraId="00C800E0">
      <w:pPr>
        <w:numPr>
          <w:ilvl w:val="0"/>
          <w:numId w:val="2"/>
        </w:numPr>
        <w:autoSpaceDE w:val="0"/>
        <w:autoSpaceDN w:val="0"/>
        <w:adjustRightInd w:val="0"/>
        <w:spacing w:afterLines="50"/>
        <w:outlineLvl w:val="2"/>
        <w:rPr>
          <w:rFonts w:ascii="黑体" w:hAnsi="宋体" w:eastAsia="黑体" w:cs="黑体"/>
          <w:color w:val="auto"/>
          <w:kern w:val="0"/>
          <w:sz w:val="24"/>
        </w:rPr>
      </w:pPr>
      <w:bookmarkStart w:id="86" w:name="_Toc195921819"/>
      <w:bookmarkStart w:id="87" w:name="_Toc13135"/>
      <w:bookmarkStart w:id="88" w:name="_Toc15970"/>
      <w:r>
        <w:rPr>
          <w:rFonts w:hint="eastAsia" w:ascii="黑体" w:hAnsi="宋体" w:eastAsia="黑体" w:cs="黑体"/>
          <w:color w:val="auto"/>
          <w:kern w:val="0"/>
          <w:sz w:val="24"/>
        </w:rPr>
        <w:t>投标</w:t>
      </w:r>
      <w:bookmarkEnd w:id="86"/>
      <w:bookmarkEnd w:id="87"/>
      <w:bookmarkEnd w:id="88"/>
    </w:p>
    <w:p w14:paraId="2697F7E7">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89" w:name="_Toc195921821"/>
      <w:r>
        <w:rPr>
          <w:rFonts w:hint="eastAsia" w:ascii="宋体" w:hAnsi="宋体" w:cs="黑体"/>
          <w:color w:val="auto"/>
          <w:kern w:val="0"/>
          <w:sz w:val="24"/>
        </w:rPr>
        <w:t>投标文件的递交</w:t>
      </w:r>
      <w:bookmarkEnd w:id="89"/>
    </w:p>
    <w:p w14:paraId="2F5AAE22">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投标人应</w:t>
      </w:r>
      <w:r>
        <w:rPr>
          <w:rFonts w:hint="eastAsia"/>
          <w:color w:val="auto"/>
          <w:sz w:val="24"/>
        </w:rPr>
        <w:t>在招标文件要求提交投标文件的截止时间前，将投标文件密封送达投标地点</w:t>
      </w:r>
      <w:r>
        <w:rPr>
          <w:rFonts w:hint="eastAsia" w:ascii="宋体" w:hAnsi="宋体" w:cs="黑体"/>
          <w:color w:val="auto"/>
          <w:kern w:val="0"/>
          <w:sz w:val="24"/>
        </w:rPr>
        <w:t>。</w:t>
      </w:r>
    </w:p>
    <w:p w14:paraId="354F15AB">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投标人递交投标文件的地点</w:t>
      </w:r>
      <w:r>
        <w:rPr>
          <w:rFonts w:hint="eastAsia" w:ascii="宋体" w:hAnsi="宋体" w:cs="黑体"/>
          <w:color w:val="auto"/>
          <w:kern w:val="0"/>
          <w:sz w:val="24"/>
          <w:lang w:eastAsia="zh-CN"/>
        </w:rPr>
        <w:t>:</w:t>
      </w:r>
      <w:r>
        <w:rPr>
          <w:rFonts w:hint="eastAsia" w:ascii="宋体" w:hAnsi="宋体" w:cs="黑体"/>
          <w:color w:val="auto"/>
          <w:kern w:val="0"/>
          <w:sz w:val="24"/>
        </w:rPr>
        <w:t>见</w:t>
      </w:r>
      <w:r>
        <w:rPr>
          <w:rFonts w:hint="eastAsia" w:ascii="宋体" w:hAnsi="宋体" w:cs="黑体"/>
          <w:color w:val="auto"/>
          <w:kern w:val="0"/>
          <w:sz w:val="24"/>
          <w:lang w:val="en-US" w:eastAsia="zh-CN"/>
        </w:rPr>
        <w:t>招标公告</w:t>
      </w:r>
      <w:r>
        <w:rPr>
          <w:rFonts w:hint="eastAsia" w:ascii="宋体" w:hAnsi="宋体" w:cs="黑体"/>
          <w:color w:val="auto"/>
          <w:kern w:val="0"/>
          <w:sz w:val="24"/>
        </w:rPr>
        <w:t>。</w:t>
      </w:r>
    </w:p>
    <w:p w14:paraId="68860449">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除投标人不足3家未开标情形外，投标人所递交的投标文件不予退还。</w:t>
      </w:r>
    </w:p>
    <w:p w14:paraId="267B25A2">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olor w:val="auto"/>
          <w:sz w:val="24"/>
          <w:szCs w:val="24"/>
        </w:rPr>
        <w:t>逾期送达、</w:t>
      </w:r>
      <w:r>
        <w:rPr>
          <w:rFonts w:hint="eastAsia" w:ascii="宋体" w:hAnsi="宋体" w:cs="黑体"/>
          <w:color w:val="auto"/>
          <w:kern w:val="0"/>
          <w:sz w:val="24"/>
          <w:szCs w:val="24"/>
        </w:rPr>
        <w:t>未送达指定地点</w:t>
      </w:r>
      <w:r>
        <w:rPr>
          <w:rFonts w:hint="eastAsia" w:ascii="宋体" w:hAnsi="宋体"/>
          <w:color w:val="auto"/>
          <w:sz w:val="24"/>
          <w:szCs w:val="24"/>
        </w:rPr>
        <w:t>的投标文件</w:t>
      </w:r>
      <w:r>
        <w:rPr>
          <w:rFonts w:hint="eastAsia" w:ascii="宋体" w:hAnsi="宋体" w:cs="黑体"/>
          <w:color w:val="auto"/>
          <w:kern w:val="0"/>
          <w:sz w:val="24"/>
          <w:szCs w:val="24"/>
        </w:rPr>
        <w:t>，采购人不予受理。</w:t>
      </w:r>
    </w:p>
    <w:p w14:paraId="7D1267C9">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90" w:name="_Toc195921822"/>
      <w:r>
        <w:rPr>
          <w:rFonts w:hint="eastAsia" w:ascii="宋体" w:hAnsi="宋体" w:cs="黑体"/>
          <w:color w:val="auto"/>
          <w:kern w:val="0"/>
          <w:sz w:val="24"/>
        </w:rPr>
        <w:t>投标文件的修改与撤回</w:t>
      </w:r>
      <w:bookmarkEnd w:id="90"/>
    </w:p>
    <w:p w14:paraId="3B4C74BA">
      <w:pPr>
        <w:numPr>
          <w:ilvl w:val="2"/>
          <w:numId w:val="2"/>
        </w:numPr>
        <w:tabs>
          <w:tab w:val="left" w:pos="1260"/>
        </w:tabs>
        <w:autoSpaceDE w:val="0"/>
        <w:autoSpaceDN w:val="0"/>
        <w:adjustRightInd w:val="0"/>
        <w:snapToGrid w:val="0"/>
        <w:spacing w:afterLines="50"/>
        <w:rPr>
          <w:rFonts w:ascii="宋体" w:hAnsi="宋体" w:cs="黑体"/>
          <w:color w:val="auto"/>
          <w:kern w:val="0"/>
          <w:sz w:val="24"/>
          <w:szCs w:val="24"/>
        </w:rPr>
      </w:pPr>
      <w:r>
        <w:rPr>
          <w:rFonts w:hint="eastAsia" w:ascii="宋体" w:hAnsi="宋体" w:cs="黑体"/>
          <w:color w:val="auto"/>
          <w:kern w:val="0"/>
          <w:sz w:val="24"/>
          <w:szCs w:val="24"/>
        </w:rPr>
        <w:t>在招标公告规定的投标截止时间前，投标人可以修改或撤回已递交的投标文件。</w:t>
      </w:r>
    </w:p>
    <w:p w14:paraId="2F3882C3">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修改的内容为投标文件的组成部分。</w:t>
      </w:r>
    </w:p>
    <w:p w14:paraId="06C18EA5">
      <w:pPr>
        <w:numPr>
          <w:ilvl w:val="0"/>
          <w:numId w:val="2"/>
        </w:numPr>
        <w:autoSpaceDE w:val="0"/>
        <w:autoSpaceDN w:val="0"/>
        <w:adjustRightInd w:val="0"/>
        <w:spacing w:afterLines="50"/>
        <w:outlineLvl w:val="2"/>
        <w:rPr>
          <w:rFonts w:ascii="黑体" w:hAnsi="宋体" w:eastAsia="黑体" w:cs="黑体"/>
          <w:color w:val="auto"/>
          <w:kern w:val="0"/>
          <w:sz w:val="24"/>
        </w:rPr>
      </w:pPr>
      <w:bookmarkStart w:id="91" w:name="_Toc195921823"/>
      <w:bookmarkStart w:id="92" w:name="_Toc18410"/>
      <w:bookmarkStart w:id="93" w:name="_Toc16836"/>
      <w:r>
        <w:rPr>
          <w:rFonts w:hint="eastAsia" w:ascii="黑体" w:hAnsi="宋体" w:eastAsia="黑体" w:cs="黑体"/>
          <w:color w:val="auto"/>
          <w:kern w:val="0"/>
          <w:sz w:val="24"/>
        </w:rPr>
        <w:t>开标</w:t>
      </w:r>
      <w:bookmarkEnd w:id="91"/>
      <w:bookmarkEnd w:id="92"/>
      <w:bookmarkEnd w:id="93"/>
    </w:p>
    <w:p w14:paraId="72D2FD00">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94" w:name="_Toc195921824"/>
      <w:r>
        <w:rPr>
          <w:rFonts w:hint="eastAsia" w:ascii="宋体" w:hAnsi="宋体" w:cs="黑体"/>
          <w:color w:val="auto"/>
          <w:kern w:val="0"/>
          <w:sz w:val="24"/>
        </w:rPr>
        <w:t>开标时间和地点</w:t>
      </w:r>
      <w:bookmarkEnd w:id="94"/>
    </w:p>
    <w:p w14:paraId="7CC0652C">
      <w:pPr>
        <w:tabs>
          <w:tab w:val="left" w:pos="1260"/>
        </w:tabs>
        <w:autoSpaceDE w:val="0"/>
        <w:autoSpaceDN w:val="0"/>
        <w:adjustRightInd w:val="0"/>
        <w:snapToGrid w:val="0"/>
        <w:spacing w:after="158" w:afterLines="50"/>
        <w:ind w:left="1134"/>
        <w:rPr>
          <w:rFonts w:hint="eastAsia" w:ascii="宋体" w:hAnsi="宋体" w:cs="黑体"/>
          <w:color w:val="auto"/>
          <w:kern w:val="0"/>
          <w:szCs w:val="21"/>
        </w:rPr>
      </w:pPr>
      <w:r>
        <w:rPr>
          <w:rFonts w:hint="eastAsia" w:ascii="宋体" w:hAnsi="宋体" w:cs="黑体"/>
          <w:color w:val="auto"/>
          <w:kern w:val="0"/>
          <w:sz w:val="24"/>
          <w:szCs w:val="24"/>
        </w:rPr>
        <w:t>采购人在招标公告规定的投标截止时间</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开标时间</w:t>
      </w:r>
      <w:r>
        <w:rPr>
          <w:rFonts w:hint="eastAsia" w:ascii="宋体" w:hAnsi="宋体" w:cs="黑体"/>
          <w:color w:val="auto"/>
          <w:kern w:val="0"/>
          <w:sz w:val="24"/>
          <w:szCs w:val="24"/>
          <w:lang w:eastAsia="zh-CN"/>
        </w:rPr>
        <w:t>)</w:t>
      </w:r>
      <w:r>
        <w:rPr>
          <w:rFonts w:hint="eastAsia" w:ascii="宋体" w:hAnsi="宋体" w:cs="黑体"/>
          <w:color w:val="auto"/>
          <w:kern w:val="0"/>
          <w:sz w:val="24"/>
          <w:szCs w:val="24"/>
        </w:rPr>
        <w:t>和</w:t>
      </w:r>
      <w:bookmarkStart w:id="95" w:name="_Hlk63890931"/>
      <w:r>
        <w:rPr>
          <w:rFonts w:hint="eastAsia" w:ascii="宋体" w:hAnsi="宋体" w:cs="黑体"/>
          <w:color w:val="auto"/>
          <w:kern w:val="0"/>
          <w:sz w:val="24"/>
          <w:szCs w:val="24"/>
        </w:rPr>
        <w:t>地点公开在线开标，供应商在线参加开标。</w:t>
      </w:r>
      <w:bookmarkEnd w:id="95"/>
      <w:r>
        <w:rPr>
          <w:rFonts w:hint="eastAsia" w:ascii="宋体" w:hAnsi="宋体" w:cs="黑体"/>
          <w:color w:val="auto"/>
          <w:kern w:val="0"/>
          <w:sz w:val="24"/>
          <w:szCs w:val="24"/>
        </w:rPr>
        <w:t>投标人未参加开标的，视同认可开标结果。</w:t>
      </w:r>
    </w:p>
    <w:p w14:paraId="4B7EB1E1">
      <w:pPr>
        <w:numPr>
          <w:ilvl w:val="1"/>
          <w:numId w:val="2"/>
        </w:numPr>
        <w:autoSpaceDE w:val="0"/>
        <w:autoSpaceDN w:val="0"/>
        <w:adjustRightInd w:val="0"/>
        <w:snapToGrid w:val="0"/>
        <w:spacing w:afterLines="50"/>
        <w:ind w:left="1133" w:hanging="1132" w:hangingChars="472"/>
        <w:rPr>
          <w:rFonts w:hint="eastAsia" w:ascii="宋体" w:hAnsi="宋体" w:eastAsia="宋体" w:cs="黑体"/>
          <w:color w:val="auto"/>
          <w:kern w:val="0"/>
          <w:sz w:val="24"/>
        </w:rPr>
      </w:pPr>
      <w:r>
        <w:rPr>
          <w:rFonts w:hint="eastAsia" w:ascii="宋体" w:hAnsi="宋体" w:eastAsia="宋体" w:cs="黑体"/>
          <w:color w:val="auto"/>
          <w:kern w:val="0"/>
          <w:sz w:val="24"/>
        </w:rPr>
        <w:t>开标程序</w:t>
      </w:r>
      <w:r>
        <w:rPr>
          <w:rFonts w:hint="eastAsia" w:ascii="宋体" w:hAnsi="宋体" w:eastAsia="宋体" w:cs="黑体"/>
          <w:color w:val="auto"/>
          <w:kern w:val="0"/>
          <w:sz w:val="24"/>
          <w:lang w:eastAsia="zh-CN"/>
        </w:rPr>
        <w:t>:(</w:t>
      </w:r>
      <w:r>
        <w:rPr>
          <w:rFonts w:hint="eastAsia" w:ascii="宋体" w:hAnsi="宋体" w:eastAsia="宋体" w:cs="黑体"/>
          <w:color w:val="auto"/>
          <w:kern w:val="0"/>
          <w:sz w:val="24"/>
        </w:rPr>
        <w:t>投标文件开启在电子交易平台线上完成</w:t>
      </w:r>
      <w:r>
        <w:rPr>
          <w:rFonts w:hint="eastAsia" w:ascii="宋体" w:hAnsi="宋体" w:eastAsia="宋体" w:cs="黑体"/>
          <w:color w:val="auto"/>
          <w:kern w:val="0"/>
          <w:sz w:val="24"/>
          <w:lang w:eastAsia="zh-CN"/>
        </w:rPr>
        <w:t>)</w:t>
      </w:r>
    </w:p>
    <w:p w14:paraId="72ACEC45">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采购代理机构将按照招标文件规定的时间、地点和程序组织投标文件开启，各供应商通过“政府采购云平台”在线参加。</w:t>
      </w:r>
    </w:p>
    <w:p w14:paraId="08E682B2">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(1)开标会议由采购代理机构主持，通过“政府采购云平台”在线进行；</w:t>
      </w:r>
    </w:p>
    <w:p w14:paraId="45D139A6">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(2)开标时间到达后，采购代理机构发出解密通知，供应商在线解密；</w:t>
      </w:r>
    </w:p>
    <w:p w14:paraId="16358556">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(3)所有供应商解密完成后，代理机构做投标文件开启记录,供应商代表对投标文件开启记录进行当场校核及勘误，并在线确认；同时由记录人、监督人当场签字确认。供应商代表在线确认或者拒绝确认的，不影响评审过程。</w:t>
      </w:r>
    </w:p>
    <w:p w14:paraId="31337E18">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(4</w:t>
      </w:r>
      <w:bookmarkStart w:id="96" w:name="_Hlk63890940"/>
      <w:r>
        <w:rPr>
          <w:rFonts w:hint="eastAsia" w:ascii="宋体" w:hAnsi="宋体" w:eastAsia="宋体" w:cs="黑体"/>
          <w:color w:val="auto"/>
          <w:kern w:val="0"/>
          <w:sz w:val="24"/>
          <w:szCs w:val="24"/>
          <w:lang w:val="en-US" w:eastAsia="zh-CN"/>
        </w:rPr>
        <w:t>)开标流程结束后，采购人或采购代理机构对所提交的投标文件进行资格审查，评审小组对资信及商务和技术文件进行符合性评审并评分。</w:t>
      </w:r>
      <w:bookmarkEnd w:id="96"/>
    </w:p>
    <w:p w14:paraId="0CFE3B0B">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(5)评审小组对各供应商的报价文件进行审核并打分。</w:t>
      </w:r>
    </w:p>
    <w:p w14:paraId="16165A30">
      <w:pPr>
        <w:shd w:val="clear"/>
        <w:tabs>
          <w:tab w:val="left" w:pos="1260"/>
        </w:tabs>
        <w:autoSpaceDE w:val="0"/>
        <w:autoSpaceDN w:val="0"/>
        <w:adjustRightInd w:val="0"/>
        <w:snapToGrid w:val="0"/>
        <w:spacing w:after="158" w:afterLines="50"/>
        <w:ind w:left="1134"/>
        <w:rPr>
          <w:rFonts w:hint="eastAsia" w:ascii="宋体" w:hAnsi="宋体" w:eastAsia="宋体" w:cs="黑体"/>
          <w:color w:val="auto"/>
          <w:kern w:val="0"/>
          <w:sz w:val="24"/>
          <w:szCs w:val="24"/>
          <w:lang w:val="en-US" w:eastAsia="zh-CN"/>
        </w:rPr>
      </w:pPr>
      <w:r>
        <w:rPr>
          <w:rFonts w:hint="eastAsia" w:ascii="宋体" w:hAnsi="宋体" w:eastAsia="宋体" w:cs="黑体"/>
          <w:color w:val="auto"/>
          <w:kern w:val="0"/>
          <w:sz w:val="24"/>
          <w:szCs w:val="24"/>
          <w:lang w:val="en-US" w:eastAsia="zh-CN"/>
        </w:rPr>
        <w:t>(6)评审结束后，由采购代理机构将评审小组的推荐结果报送采购人确认，采购人确认采购结果后，公布采购结果。</w:t>
      </w:r>
    </w:p>
    <w:p w14:paraId="5618CF2F">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rPr>
        <w:t>投标人不足3家的，不进行开标。</w:t>
      </w:r>
    </w:p>
    <w:p w14:paraId="0B3EB5BF">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开标过程由采购人或者采购代理机构负责记录，由参加开标的各投标人代表和相关工作人员签字确认后随采购文件一并存档。</w:t>
      </w:r>
    </w:p>
    <w:p w14:paraId="4A6B26CE">
      <w:pPr>
        <w:pStyle w:val="80"/>
        <w:snapToGrid w:val="0"/>
        <w:spacing w:afterLines="50"/>
        <w:ind w:left="1132" w:leftChars="539"/>
        <w:rPr>
          <w:rFonts w:hAnsi="宋体" w:cs="宋体"/>
          <w:color w:val="auto"/>
          <w:sz w:val="24"/>
          <w:szCs w:val="24"/>
        </w:rPr>
      </w:pPr>
      <w:r>
        <w:rPr>
          <w:rFonts w:hint="eastAsia" w:hAnsi="宋体" w:cs="宋体"/>
          <w:color w:val="auto"/>
          <w:sz w:val="24"/>
          <w:szCs w:val="24"/>
        </w:rPr>
        <w:t>投标人代表对开标过程和开标记录有疑义，以及认为采购人、采购代理机构相关工作人员有需要回避的情形的，应当场提出询问或者回避申请。</w:t>
      </w:r>
    </w:p>
    <w:p w14:paraId="07929BA9">
      <w:pPr>
        <w:numPr>
          <w:ilvl w:val="1"/>
          <w:numId w:val="2"/>
        </w:numPr>
        <w:shd w:val="clear"/>
        <w:autoSpaceDE w:val="0"/>
        <w:autoSpaceDN w:val="0"/>
        <w:adjustRightInd w:val="0"/>
        <w:snapToGrid w:val="0"/>
        <w:spacing w:afterLines="50"/>
        <w:ind w:left="1133" w:hanging="1132" w:hangingChars="472"/>
        <w:rPr>
          <w:rFonts w:ascii="宋体" w:hAnsi="宋体" w:cs="黑体"/>
          <w:color w:val="auto"/>
          <w:kern w:val="0"/>
          <w:sz w:val="24"/>
          <w:shd w:val="clear" w:color="auto" w:fill="auto"/>
        </w:rPr>
      </w:pPr>
      <w:r>
        <w:rPr>
          <w:rFonts w:hint="eastAsia" w:ascii="宋体" w:hAnsi="宋体" w:cs="黑体"/>
          <w:color w:val="auto"/>
          <w:kern w:val="0"/>
          <w:sz w:val="24"/>
          <w:shd w:val="clear" w:color="auto" w:fill="auto"/>
        </w:rPr>
        <w:t>投标人对开标过程有疑义的，</w:t>
      </w:r>
      <w:r>
        <w:rPr>
          <w:rFonts w:hint="eastAsia" w:ascii="宋体" w:hAnsi="宋体" w:cs="黑体"/>
          <w:color w:val="auto"/>
          <w:kern w:val="0"/>
          <w:sz w:val="24"/>
          <w:shd w:val="clear" w:color="auto" w:fill="auto"/>
          <w:lang w:val="en-US" w:eastAsia="zh-CN"/>
        </w:rPr>
        <w:t>应当在开标结果确认时一次性提出</w:t>
      </w:r>
      <w:r>
        <w:rPr>
          <w:rFonts w:hint="eastAsia" w:ascii="宋体" w:hAnsi="宋体" w:cs="黑体"/>
          <w:color w:val="auto"/>
          <w:kern w:val="0"/>
          <w:sz w:val="24"/>
          <w:shd w:val="clear" w:color="auto" w:fill="auto"/>
        </w:rPr>
        <w:t>。</w:t>
      </w:r>
    </w:p>
    <w:p w14:paraId="5FDC608F">
      <w:pPr>
        <w:numPr>
          <w:ilvl w:val="0"/>
          <w:numId w:val="2"/>
        </w:numPr>
        <w:autoSpaceDE w:val="0"/>
        <w:autoSpaceDN w:val="0"/>
        <w:adjustRightInd w:val="0"/>
        <w:spacing w:afterLines="50"/>
        <w:outlineLvl w:val="2"/>
        <w:rPr>
          <w:rFonts w:ascii="黑体" w:hAnsi="宋体" w:eastAsia="黑体" w:cs="黑体"/>
          <w:color w:val="auto"/>
          <w:kern w:val="0"/>
          <w:sz w:val="24"/>
        </w:rPr>
      </w:pPr>
      <w:bookmarkStart w:id="97" w:name="_Toc6719"/>
      <w:bookmarkStart w:id="98" w:name="_Toc31750"/>
      <w:bookmarkStart w:id="99" w:name="_Toc195921826"/>
      <w:r>
        <w:rPr>
          <w:rFonts w:hint="eastAsia" w:ascii="黑体" w:hAnsi="宋体" w:eastAsia="黑体" w:cs="黑体"/>
          <w:color w:val="auto"/>
          <w:kern w:val="0"/>
          <w:sz w:val="24"/>
        </w:rPr>
        <w:t>资格审查</w:t>
      </w:r>
      <w:bookmarkEnd w:id="97"/>
      <w:bookmarkEnd w:id="98"/>
    </w:p>
    <w:p w14:paraId="75A130F9">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开标结束后，采购人或者采购代理机构依法对投标人的资格进行审查。</w:t>
      </w:r>
    </w:p>
    <w:p w14:paraId="35128A1A">
      <w:pPr>
        <w:pStyle w:val="80"/>
        <w:snapToGrid w:val="0"/>
        <w:spacing w:afterLines="50"/>
        <w:ind w:left="1132" w:leftChars="539"/>
        <w:rPr>
          <w:rFonts w:hAnsi="宋体" w:cs="宋体"/>
          <w:color w:val="auto"/>
          <w:sz w:val="24"/>
          <w:szCs w:val="24"/>
        </w:rPr>
      </w:pPr>
      <w:r>
        <w:rPr>
          <w:rFonts w:hint="eastAsia" w:ascii="宋体" w:hAnsi="宋体" w:eastAsia="宋体" w:cs="宋体"/>
          <w:color w:val="auto"/>
          <w:sz w:val="24"/>
          <w:szCs w:val="24"/>
        </w:rPr>
        <w:t>通过资格审查的</w:t>
      </w:r>
      <w:r>
        <w:rPr>
          <w:rFonts w:hint="eastAsia" w:hAnsi="宋体" w:cs="宋体"/>
          <w:color w:val="auto"/>
          <w:sz w:val="24"/>
          <w:szCs w:val="24"/>
        </w:rPr>
        <w:t>投标人不足3家的，不</w:t>
      </w:r>
      <w:r>
        <w:rPr>
          <w:rFonts w:hint="eastAsia" w:hAnsi="宋体" w:cs="宋体"/>
          <w:color w:val="auto"/>
          <w:sz w:val="24"/>
          <w:szCs w:val="24"/>
          <w:lang w:val="en-US" w:eastAsia="zh-CN"/>
        </w:rPr>
        <w:t>得</w:t>
      </w:r>
      <w:r>
        <w:rPr>
          <w:rFonts w:hint="eastAsia" w:hAnsi="宋体" w:cs="宋体"/>
          <w:color w:val="auto"/>
          <w:sz w:val="24"/>
          <w:szCs w:val="24"/>
        </w:rPr>
        <w:t>评标。</w:t>
      </w:r>
    </w:p>
    <w:p w14:paraId="4D6FD534">
      <w:pPr>
        <w:numPr>
          <w:ilvl w:val="0"/>
          <w:numId w:val="2"/>
        </w:numPr>
        <w:autoSpaceDE w:val="0"/>
        <w:autoSpaceDN w:val="0"/>
        <w:adjustRightInd w:val="0"/>
        <w:spacing w:afterLines="50"/>
        <w:outlineLvl w:val="2"/>
        <w:rPr>
          <w:rFonts w:ascii="黑体" w:hAnsi="宋体" w:eastAsia="黑体" w:cs="黑体"/>
          <w:color w:val="auto"/>
          <w:kern w:val="0"/>
          <w:sz w:val="24"/>
        </w:rPr>
      </w:pPr>
      <w:bookmarkStart w:id="100" w:name="_Toc30234"/>
      <w:bookmarkStart w:id="101" w:name="_Toc2840"/>
      <w:r>
        <w:rPr>
          <w:rFonts w:hint="eastAsia" w:ascii="黑体" w:hAnsi="宋体" w:eastAsia="黑体" w:cs="黑体"/>
          <w:color w:val="auto"/>
          <w:kern w:val="0"/>
          <w:sz w:val="24"/>
        </w:rPr>
        <w:t>评标</w:t>
      </w:r>
      <w:bookmarkEnd w:id="99"/>
      <w:bookmarkEnd w:id="100"/>
      <w:bookmarkEnd w:id="101"/>
    </w:p>
    <w:p w14:paraId="341D03CD">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02" w:name="_Toc195921827"/>
      <w:r>
        <w:rPr>
          <w:rFonts w:hint="eastAsia" w:ascii="宋体" w:hAnsi="宋体" w:cs="黑体"/>
          <w:color w:val="auto"/>
          <w:kern w:val="0"/>
          <w:sz w:val="24"/>
        </w:rPr>
        <w:t>评标委员会</w:t>
      </w:r>
      <w:bookmarkEnd w:id="102"/>
    </w:p>
    <w:p w14:paraId="0461583D">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评标由采购人依法组建的评标委员会负责。评标委员会由采购人代表和有关技术、经济等方面的专家组成。</w:t>
      </w:r>
    </w:p>
    <w:p w14:paraId="6E94C27E">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评标委员会成员有下列情形之一的，应当回避</w:t>
      </w:r>
      <w:r>
        <w:rPr>
          <w:rFonts w:hint="eastAsia" w:ascii="宋体" w:hAnsi="宋体" w:cs="黑体"/>
          <w:color w:val="auto"/>
          <w:kern w:val="0"/>
          <w:sz w:val="24"/>
          <w:lang w:eastAsia="zh-CN"/>
        </w:rPr>
        <w:t>:</w:t>
      </w:r>
    </w:p>
    <w:p w14:paraId="3C43F4FC">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1</w:t>
      </w:r>
      <w:r>
        <w:rPr>
          <w:rFonts w:hint="eastAsia" w:hAnsi="宋体" w:cs="宋体"/>
          <w:color w:val="auto"/>
          <w:sz w:val="24"/>
          <w:szCs w:val="24"/>
          <w:lang w:eastAsia="zh-CN"/>
        </w:rPr>
        <w:t>)</w:t>
      </w:r>
      <w:r>
        <w:rPr>
          <w:rFonts w:hAnsi="宋体" w:cs="宋体"/>
          <w:color w:val="auto"/>
          <w:sz w:val="24"/>
          <w:szCs w:val="24"/>
        </w:rPr>
        <w:t>参加采购活动前3年内与投标人存在劳动关系；</w:t>
      </w:r>
    </w:p>
    <w:p w14:paraId="49295C7E">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2</w:t>
      </w:r>
      <w:r>
        <w:rPr>
          <w:rFonts w:hint="eastAsia" w:hAnsi="宋体" w:cs="宋体"/>
          <w:color w:val="auto"/>
          <w:sz w:val="24"/>
          <w:szCs w:val="24"/>
          <w:lang w:eastAsia="zh-CN"/>
        </w:rPr>
        <w:t>)</w:t>
      </w:r>
      <w:r>
        <w:rPr>
          <w:rFonts w:hAnsi="宋体" w:cs="宋体"/>
          <w:color w:val="auto"/>
          <w:sz w:val="24"/>
          <w:szCs w:val="24"/>
        </w:rPr>
        <w:t>参加采购活动前3年内担任投标人的董事、监事；</w:t>
      </w:r>
    </w:p>
    <w:p w14:paraId="285AC103">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3</w:t>
      </w:r>
      <w:r>
        <w:rPr>
          <w:rFonts w:hint="eastAsia" w:hAnsi="宋体" w:cs="宋体"/>
          <w:color w:val="auto"/>
          <w:sz w:val="24"/>
          <w:szCs w:val="24"/>
          <w:lang w:eastAsia="zh-CN"/>
        </w:rPr>
        <w:t>)</w:t>
      </w:r>
      <w:r>
        <w:rPr>
          <w:rFonts w:hAnsi="宋体" w:cs="宋体"/>
          <w:color w:val="auto"/>
          <w:sz w:val="24"/>
          <w:szCs w:val="24"/>
        </w:rPr>
        <w:t>参加采购活动前3年内是投标人的控股股东或者实际控制人；</w:t>
      </w:r>
    </w:p>
    <w:p w14:paraId="28295226">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4</w:t>
      </w:r>
      <w:r>
        <w:rPr>
          <w:rFonts w:hint="eastAsia" w:hAnsi="宋体" w:cs="宋体"/>
          <w:color w:val="auto"/>
          <w:sz w:val="24"/>
          <w:szCs w:val="24"/>
          <w:lang w:eastAsia="zh-CN"/>
        </w:rPr>
        <w:t>)</w:t>
      </w:r>
      <w:r>
        <w:rPr>
          <w:rFonts w:hAnsi="宋体" w:cs="宋体"/>
          <w:color w:val="auto"/>
          <w:sz w:val="24"/>
          <w:szCs w:val="24"/>
        </w:rPr>
        <w:t>与投标人的法定代表人或者负责人有夫妻、直系血亲、三代以内旁系血亲或者近姻亲关系；</w:t>
      </w:r>
    </w:p>
    <w:p w14:paraId="2D965C9F">
      <w:pPr>
        <w:pStyle w:val="80"/>
        <w:snapToGrid w:val="0"/>
        <w:spacing w:afterLines="50"/>
        <w:ind w:left="1734" w:leftChars="540" w:hanging="600" w:hangingChars="250"/>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5</w:t>
      </w:r>
      <w:r>
        <w:rPr>
          <w:rFonts w:hint="eastAsia" w:hAnsi="宋体" w:cs="宋体"/>
          <w:color w:val="auto"/>
          <w:sz w:val="24"/>
          <w:szCs w:val="24"/>
          <w:lang w:eastAsia="zh-CN"/>
        </w:rPr>
        <w:t>)</w:t>
      </w:r>
      <w:r>
        <w:rPr>
          <w:rFonts w:hAnsi="宋体" w:cs="宋体"/>
          <w:color w:val="auto"/>
          <w:sz w:val="24"/>
          <w:szCs w:val="24"/>
        </w:rPr>
        <w:t>与投标人有其他可能影响政府采购活动公平、公正进行的关系。</w:t>
      </w:r>
    </w:p>
    <w:p w14:paraId="32606D91">
      <w:pPr>
        <w:numPr>
          <w:ilvl w:val="2"/>
          <w:numId w:val="2"/>
        </w:numPr>
        <w:tabs>
          <w:tab w:val="left" w:pos="1260"/>
          <w:tab w:val="left" w:pos="1418"/>
          <w:tab w:val="left" w:pos="1800"/>
        </w:tabs>
        <w:autoSpaceDE w:val="0"/>
        <w:autoSpaceDN w:val="0"/>
        <w:adjustRightInd w:val="0"/>
        <w:snapToGrid w:val="0"/>
        <w:spacing w:before="120" w:afterLines="50"/>
        <w:rPr>
          <w:rFonts w:ascii="宋体" w:hAnsi="宋体" w:cs="黑体"/>
          <w:color w:val="auto"/>
          <w:kern w:val="0"/>
          <w:sz w:val="24"/>
        </w:rPr>
      </w:pPr>
      <w:r>
        <w:rPr>
          <w:rFonts w:hint="eastAsia" w:ascii="宋体" w:hAnsi="宋体" w:cs="黑体"/>
          <w:color w:val="auto"/>
          <w:kern w:val="0"/>
          <w:sz w:val="24"/>
        </w:rPr>
        <w:t>评标委员会</w:t>
      </w:r>
      <w:r>
        <w:rPr>
          <w:rFonts w:hint="eastAsia" w:ascii="宋体" w:hAnsi="宋体"/>
          <w:color w:val="auto"/>
          <w:sz w:val="24"/>
        </w:rPr>
        <w:t>负责具体评标事务，并独立履行下列职责</w:t>
      </w:r>
      <w:r>
        <w:rPr>
          <w:rFonts w:hint="eastAsia" w:ascii="宋体" w:hAnsi="宋体" w:cs="黑体"/>
          <w:color w:val="auto"/>
          <w:kern w:val="0"/>
          <w:sz w:val="24"/>
          <w:lang w:eastAsia="zh-CN"/>
        </w:rPr>
        <w:t>:</w:t>
      </w:r>
    </w:p>
    <w:p w14:paraId="4246DCBB">
      <w:pPr>
        <w:pStyle w:val="80"/>
        <w:snapToGrid w:val="0"/>
        <w:spacing w:afterLines="50"/>
        <w:ind w:left="1840" w:leftChars="539" w:hanging="708" w:hangingChars="295"/>
        <w:rPr>
          <w:rFonts w:hAnsi="宋体" w:cs="宋体"/>
          <w:color w:val="auto"/>
          <w:sz w:val="24"/>
          <w:szCs w:val="24"/>
        </w:rPr>
      </w:pPr>
      <w:bookmarkStart w:id="103" w:name="_Toc195921828"/>
      <w:r>
        <w:rPr>
          <w:rFonts w:hint="eastAsia" w:hAnsi="宋体" w:cs="宋体"/>
          <w:color w:val="auto"/>
          <w:sz w:val="24"/>
          <w:szCs w:val="24"/>
          <w:lang w:eastAsia="zh-CN"/>
        </w:rPr>
        <w:t>(</w:t>
      </w:r>
      <w:r>
        <w:rPr>
          <w:rFonts w:hint="eastAsia" w:hAnsi="宋体" w:cs="宋体"/>
          <w:color w:val="auto"/>
          <w:sz w:val="24"/>
          <w:szCs w:val="24"/>
        </w:rPr>
        <w:t>1</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审查、评价投标文件是否符合招标文件的商务、技术等实质性要求；</w:t>
      </w:r>
    </w:p>
    <w:p w14:paraId="0CE84CFF">
      <w:pPr>
        <w:pStyle w:val="80"/>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2</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要求投标人对投标文件有关事项作出澄清或者说明；</w:t>
      </w:r>
    </w:p>
    <w:p w14:paraId="52B2CF7E">
      <w:pPr>
        <w:pStyle w:val="80"/>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3</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对投标文件进行比较和评价；</w:t>
      </w:r>
    </w:p>
    <w:p w14:paraId="06224A58">
      <w:pPr>
        <w:pStyle w:val="80"/>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4</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确定中标候选人名单，以及根据采购人委托直接确定中标人；</w:t>
      </w:r>
    </w:p>
    <w:p w14:paraId="07F76EF6">
      <w:pPr>
        <w:pStyle w:val="80"/>
        <w:snapToGrid w:val="0"/>
        <w:spacing w:afterLines="50"/>
        <w:ind w:left="1840" w:leftChars="539" w:hanging="708" w:hangingChars="295"/>
        <w:rPr>
          <w:rFonts w:hAnsi="宋体" w:cs="宋体"/>
          <w:color w:val="auto"/>
          <w:sz w:val="24"/>
          <w:szCs w:val="24"/>
        </w:rPr>
      </w:pPr>
      <w:r>
        <w:rPr>
          <w:rFonts w:hint="eastAsia" w:hAnsi="宋体" w:cs="宋体"/>
          <w:color w:val="auto"/>
          <w:sz w:val="24"/>
          <w:szCs w:val="24"/>
          <w:lang w:eastAsia="zh-CN"/>
        </w:rPr>
        <w:t>(</w:t>
      </w:r>
      <w:r>
        <w:rPr>
          <w:rFonts w:hint="eastAsia" w:hAnsi="宋体" w:cs="宋体"/>
          <w:color w:val="auto"/>
          <w:sz w:val="24"/>
          <w:szCs w:val="24"/>
        </w:rPr>
        <w:t>5</w:t>
      </w:r>
      <w:r>
        <w:rPr>
          <w:rFonts w:hint="eastAsia" w:hAnsi="宋体" w:cs="宋体"/>
          <w:color w:val="auto"/>
          <w:sz w:val="24"/>
          <w:szCs w:val="24"/>
          <w:lang w:eastAsia="zh-CN"/>
        </w:rPr>
        <w:t>)</w:t>
      </w:r>
      <w:r>
        <w:rPr>
          <w:rFonts w:hint="eastAsia" w:hAnsi="宋体" w:cs="宋体"/>
          <w:color w:val="auto"/>
          <w:sz w:val="24"/>
          <w:szCs w:val="24"/>
        </w:rPr>
        <w:tab/>
      </w:r>
      <w:r>
        <w:rPr>
          <w:rFonts w:hint="eastAsia" w:hAnsi="宋体" w:cs="宋体"/>
          <w:color w:val="auto"/>
          <w:sz w:val="24"/>
          <w:szCs w:val="24"/>
        </w:rPr>
        <w:t>向采购人、采购代理机构或者有关部门报告评标中发现的违法行为。</w:t>
      </w:r>
    </w:p>
    <w:p w14:paraId="334BE16F">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olor w:val="auto"/>
          <w:sz w:val="24"/>
        </w:rPr>
        <w:t>评标委员会应当对符合资格的投标人的投标文件进行符合性审查，以确定其是否满足招标文件的实质性要求。</w:t>
      </w:r>
      <w:bookmarkEnd w:id="103"/>
    </w:p>
    <w:p w14:paraId="52C5838E">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lang w:val="en-US" w:eastAsia="zh-CN"/>
        </w:rPr>
        <w:t>当综合评分相等时，以技术得分高者优先；技术得分也相等的，以投标报价得分高者优先；如果报价得分也相等，则由招标人直接确定中标候选人顺序。投标人须知前附表另有规定的，按投标人须知前附表规定执行</w:t>
      </w:r>
      <w:r>
        <w:rPr>
          <w:rFonts w:hint="eastAsia" w:ascii="宋体" w:hAnsi="宋体" w:cs="黑体"/>
          <w:color w:val="auto"/>
          <w:kern w:val="0"/>
          <w:sz w:val="24"/>
        </w:rPr>
        <w:t>。</w:t>
      </w:r>
    </w:p>
    <w:p w14:paraId="079FCAD3">
      <w:pPr>
        <w:numPr>
          <w:ilvl w:val="1"/>
          <w:numId w:val="2"/>
        </w:numPr>
        <w:autoSpaceDE w:val="0"/>
        <w:autoSpaceDN w:val="0"/>
        <w:adjustRightInd w:val="0"/>
        <w:snapToGrid w:val="0"/>
        <w:spacing w:afterLines="50"/>
        <w:ind w:left="1133" w:hanging="1132" w:hangingChars="472"/>
        <w:rPr>
          <w:rFonts w:ascii="宋体" w:hAnsi="宋体"/>
          <w:color w:val="auto"/>
          <w:sz w:val="24"/>
        </w:rPr>
      </w:pPr>
      <w:r>
        <w:rPr>
          <w:rFonts w:hint="eastAsia" w:ascii="宋体" w:hAnsi="宋体"/>
          <w:color w:val="auto"/>
          <w:sz w:val="24"/>
        </w:rPr>
        <w:t>评标委员会按照第三章“资格审查、评标办法和标准”规定的评标方法和标准，对符合性审查合格的投标文件进行商务和技术评估，综合比较与评价。“评标办法”没有规定的方法、评审因素和标准，不作为评标依据。</w:t>
      </w:r>
    </w:p>
    <w:p w14:paraId="7CCCE0A8">
      <w:pPr>
        <w:numPr>
          <w:ilvl w:val="1"/>
          <w:numId w:val="2"/>
        </w:numPr>
        <w:autoSpaceDE w:val="0"/>
        <w:autoSpaceDN w:val="0"/>
        <w:adjustRightInd w:val="0"/>
        <w:snapToGrid w:val="0"/>
        <w:spacing w:afterLines="50"/>
        <w:ind w:left="1133" w:hanging="1132" w:hangingChars="472"/>
        <w:rPr>
          <w:rFonts w:hint="eastAsia" w:ascii="宋体" w:hAnsi="宋体"/>
          <w:color w:val="auto"/>
          <w:sz w:val="24"/>
        </w:rPr>
      </w:pPr>
      <w:r>
        <w:rPr>
          <w:rFonts w:hint="eastAsia" w:ascii="宋体" w:hAnsi="宋体"/>
          <w:color w:val="auto"/>
          <w:sz w:val="24"/>
        </w:rPr>
        <w:t>在评标过程中发现投标人有不遵循公平竞争的原则，恶意串通，妨碍其他投标人的竞争行为，损害采购人或者其他投标人的合法权益的，评标委员会应当认定其投标无效，并书面报告本级财政部门。</w:t>
      </w:r>
    </w:p>
    <w:p w14:paraId="38ECAE49">
      <w:pPr>
        <w:numPr>
          <w:ilvl w:val="1"/>
          <w:numId w:val="2"/>
        </w:numPr>
        <w:autoSpaceDE w:val="0"/>
        <w:autoSpaceDN w:val="0"/>
        <w:adjustRightInd w:val="0"/>
        <w:snapToGrid w:val="0"/>
        <w:spacing w:afterLines="50"/>
        <w:ind w:left="1133" w:hanging="1132" w:hangingChars="472"/>
        <w:rPr>
          <w:rFonts w:ascii="宋体" w:hAnsi="宋体"/>
          <w:color w:val="auto"/>
          <w:sz w:val="24"/>
        </w:rPr>
      </w:pPr>
      <w:r>
        <w:rPr>
          <w:rFonts w:hint="eastAsia" w:ascii="宋体" w:hAnsi="宋体"/>
          <w:color w:val="auto"/>
          <w:sz w:val="24"/>
        </w:rPr>
        <w:t>公开招标数额标准以上的采购项目，投标截止后投标人不足3家或者通过资格审查或符合性审查的投标人不足3家的，除采购任务取消情形外，将重新招标或采用其他采购方式采购。</w:t>
      </w:r>
    </w:p>
    <w:p w14:paraId="2CA408D4">
      <w:pPr>
        <w:numPr>
          <w:ilvl w:val="0"/>
          <w:numId w:val="2"/>
        </w:numPr>
        <w:autoSpaceDE w:val="0"/>
        <w:autoSpaceDN w:val="0"/>
        <w:adjustRightInd w:val="0"/>
        <w:spacing w:afterLines="50"/>
        <w:outlineLvl w:val="2"/>
        <w:rPr>
          <w:rFonts w:ascii="黑体" w:hAnsi="宋体" w:eastAsia="黑体" w:cs="黑体"/>
          <w:color w:val="auto"/>
          <w:kern w:val="0"/>
          <w:sz w:val="24"/>
        </w:rPr>
      </w:pPr>
      <w:bookmarkStart w:id="104" w:name="_Toc195921830"/>
      <w:bookmarkStart w:id="105" w:name="_Toc19223"/>
      <w:bookmarkStart w:id="106" w:name="_Toc6181"/>
      <w:r>
        <w:rPr>
          <w:rFonts w:hint="eastAsia" w:ascii="黑体" w:hAnsi="宋体" w:eastAsia="黑体" w:cs="黑体"/>
          <w:color w:val="auto"/>
          <w:kern w:val="0"/>
          <w:sz w:val="24"/>
        </w:rPr>
        <w:t>合同授予</w:t>
      </w:r>
      <w:bookmarkEnd w:id="104"/>
      <w:bookmarkEnd w:id="105"/>
      <w:bookmarkEnd w:id="106"/>
    </w:p>
    <w:p w14:paraId="208070E8">
      <w:pPr>
        <w:numPr>
          <w:ilvl w:val="1"/>
          <w:numId w:val="2"/>
        </w:numPr>
        <w:autoSpaceDE w:val="0"/>
        <w:autoSpaceDN w:val="0"/>
        <w:adjustRightInd w:val="0"/>
        <w:snapToGrid w:val="0"/>
        <w:spacing w:afterLines="50"/>
        <w:ind w:left="1680" w:hanging="1680" w:hangingChars="700"/>
        <w:rPr>
          <w:rFonts w:ascii="宋体" w:hAnsi="宋体" w:cs="黑体"/>
          <w:color w:val="auto"/>
          <w:kern w:val="0"/>
          <w:sz w:val="24"/>
        </w:rPr>
      </w:pPr>
      <w:bookmarkStart w:id="107" w:name="_Toc195921831"/>
      <w:r>
        <w:rPr>
          <w:rFonts w:hint="eastAsia" w:ascii="宋体" w:hAnsi="宋体" w:cs="黑体"/>
          <w:color w:val="auto"/>
          <w:kern w:val="0"/>
          <w:sz w:val="24"/>
        </w:rPr>
        <w:t>定标方式</w:t>
      </w:r>
      <w:bookmarkEnd w:id="107"/>
    </w:p>
    <w:p w14:paraId="5D48DBE8">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olor w:val="auto"/>
          <w:sz w:val="24"/>
        </w:rPr>
        <w:t>采购人按评标报告确定的中标候选人名单中按顺序确定中标人。评标委员会确定的中标候选人的人数见投标人须知前附表。</w:t>
      </w:r>
    </w:p>
    <w:p w14:paraId="7733DF4C">
      <w:pPr>
        <w:numPr>
          <w:ilvl w:val="1"/>
          <w:numId w:val="2"/>
        </w:numPr>
        <w:autoSpaceDE w:val="0"/>
        <w:autoSpaceDN w:val="0"/>
        <w:adjustRightInd w:val="0"/>
        <w:snapToGrid w:val="0"/>
        <w:spacing w:afterLines="50"/>
        <w:ind w:left="1680" w:hanging="1680" w:hangingChars="700"/>
        <w:rPr>
          <w:rFonts w:ascii="宋体" w:hAnsi="宋体" w:cs="黑体"/>
          <w:color w:val="auto"/>
          <w:kern w:val="0"/>
          <w:sz w:val="24"/>
        </w:rPr>
      </w:pPr>
      <w:r>
        <w:rPr>
          <w:rFonts w:hint="eastAsia" w:ascii="宋体" w:hAnsi="宋体" w:cs="黑体"/>
          <w:color w:val="auto"/>
          <w:kern w:val="0"/>
          <w:sz w:val="24"/>
        </w:rPr>
        <w:t>中标公告</w:t>
      </w:r>
    </w:p>
    <w:p w14:paraId="7B20C5D7">
      <w:pPr>
        <w:numPr>
          <w:ilvl w:val="2"/>
          <w:numId w:val="2"/>
        </w:numPr>
        <w:tabs>
          <w:tab w:val="left" w:pos="1260"/>
        </w:tabs>
        <w:autoSpaceDE w:val="0"/>
        <w:autoSpaceDN w:val="0"/>
        <w:adjustRightInd w:val="0"/>
        <w:snapToGrid w:val="0"/>
        <w:spacing w:afterLines="50"/>
        <w:rPr>
          <w:rFonts w:ascii="宋体" w:hAnsi="宋体"/>
          <w:color w:val="auto"/>
          <w:sz w:val="24"/>
        </w:rPr>
      </w:pPr>
      <w:r>
        <w:rPr>
          <w:rFonts w:hint="eastAsia" w:ascii="宋体" w:hAnsi="宋体"/>
          <w:color w:val="auto"/>
          <w:sz w:val="24"/>
        </w:rPr>
        <w:t>采购人或者采购代理机构应当自中标人确定之日起2个工作日内，在省级以上财政部门指定的媒体上公告中标结果。</w:t>
      </w:r>
    </w:p>
    <w:p w14:paraId="1CCDE7C2">
      <w:pPr>
        <w:tabs>
          <w:tab w:val="left" w:pos="1260"/>
        </w:tabs>
        <w:autoSpaceDE w:val="0"/>
        <w:autoSpaceDN w:val="0"/>
        <w:adjustRightInd w:val="0"/>
        <w:snapToGrid w:val="0"/>
        <w:spacing w:afterLines="50"/>
        <w:ind w:left="1134"/>
        <w:rPr>
          <w:rFonts w:ascii="宋体" w:hAnsi="宋体"/>
          <w:color w:val="auto"/>
          <w:sz w:val="24"/>
        </w:rPr>
      </w:pPr>
      <w:r>
        <w:rPr>
          <w:rFonts w:hint="eastAsia" w:ascii="宋体" w:hAnsi="宋体"/>
          <w:color w:val="auto"/>
          <w:sz w:val="24"/>
        </w:rPr>
        <w:t>中标公告期限为1个工作日。</w:t>
      </w:r>
    </w:p>
    <w:p w14:paraId="6824B2A8">
      <w:pPr>
        <w:numPr>
          <w:ilvl w:val="2"/>
          <w:numId w:val="2"/>
        </w:numPr>
        <w:tabs>
          <w:tab w:val="left" w:pos="1260"/>
        </w:tabs>
        <w:autoSpaceDE w:val="0"/>
        <w:autoSpaceDN w:val="0"/>
        <w:adjustRightInd w:val="0"/>
        <w:snapToGrid w:val="0"/>
        <w:spacing w:afterLines="50"/>
        <w:rPr>
          <w:rFonts w:ascii="宋体" w:hAnsi="宋体"/>
          <w:color w:val="auto"/>
          <w:sz w:val="24"/>
        </w:rPr>
      </w:pPr>
      <w:r>
        <w:rPr>
          <w:rFonts w:ascii="宋体" w:hAnsi="宋体" w:cs="黑体"/>
          <w:color w:val="auto"/>
          <w:kern w:val="0"/>
          <w:sz w:val="24"/>
        </w:rPr>
        <w:t>投标人</w:t>
      </w:r>
      <w:r>
        <w:rPr>
          <w:rFonts w:hint="eastAsia" w:ascii="宋体" w:hAnsi="宋体" w:cs="黑体"/>
          <w:color w:val="auto"/>
          <w:kern w:val="0"/>
          <w:sz w:val="24"/>
          <w:lang w:val="en-US" w:eastAsia="zh-CN"/>
        </w:rPr>
        <w:t>认为</w:t>
      </w:r>
      <w:r>
        <w:rPr>
          <w:rFonts w:hint="eastAsia" w:ascii="宋体" w:hAnsi="宋体" w:cs="黑体"/>
          <w:color w:val="auto"/>
          <w:kern w:val="0"/>
          <w:sz w:val="24"/>
          <w:lang w:eastAsia="zh-CN"/>
        </w:rPr>
        <w:t>中标结果</w:t>
      </w:r>
      <w:r>
        <w:rPr>
          <w:rFonts w:hint="eastAsia" w:ascii="宋体" w:hAnsi="宋体" w:eastAsia="宋体" w:cs="黑体"/>
          <w:color w:val="auto"/>
          <w:kern w:val="0"/>
          <w:sz w:val="24"/>
          <w:szCs w:val="24"/>
        </w:rPr>
        <w:t>使自己的权益受到损害的</w:t>
      </w:r>
      <w:r>
        <w:rPr>
          <w:rFonts w:hint="eastAsia" w:ascii="宋体" w:hAnsi="宋体" w:cs="黑体"/>
          <w:color w:val="auto"/>
          <w:kern w:val="0"/>
          <w:sz w:val="24"/>
          <w:lang w:eastAsia="zh-CN"/>
        </w:rPr>
        <w:t>，</w:t>
      </w:r>
      <w:r>
        <w:rPr>
          <w:rFonts w:hint="eastAsia" w:ascii="宋体" w:hAnsi="宋体" w:cs="黑体"/>
          <w:color w:val="auto"/>
          <w:kern w:val="0"/>
          <w:sz w:val="24"/>
        </w:rPr>
        <w:t>在中标公告期限届满之日</w:t>
      </w:r>
      <w:r>
        <w:rPr>
          <w:rFonts w:hint="eastAsia" w:ascii="宋体" w:hAnsi="宋体"/>
          <w:color w:val="auto"/>
          <w:sz w:val="24"/>
        </w:rPr>
        <w:t>起七个工作日内，按本须知2.5款接收质疑函的方式以书面形式一次性提出对中标结果的质疑。</w:t>
      </w:r>
    </w:p>
    <w:p w14:paraId="65BC1D15">
      <w:pPr>
        <w:numPr>
          <w:ilvl w:val="1"/>
          <w:numId w:val="2"/>
        </w:numPr>
        <w:autoSpaceDE w:val="0"/>
        <w:autoSpaceDN w:val="0"/>
        <w:adjustRightInd w:val="0"/>
        <w:snapToGrid w:val="0"/>
        <w:spacing w:afterLines="50"/>
        <w:ind w:left="1680" w:hanging="1680" w:hangingChars="700"/>
        <w:rPr>
          <w:rFonts w:ascii="宋体" w:hAnsi="宋体" w:cs="黑体"/>
          <w:color w:val="auto"/>
          <w:kern w:val="0"/>
          <w:sz w:val="24"/>
        </w:rPr>
      </w:pPr>
      <w:bookmarkStart w:id="108" w:name="_Toc195921832"/>
      <w:r>
        <w:rPr>
          <w:rFonts w:hint="eastAsia" w:ascii="宋体" w:hAnsi="宋体" w:cs="黑体"/>
          <w:color w:val="auto"/>
          <w:kern w:val="0"/>
          <w:sz w:val="24"/>
        </w:rPr>
        <w:t>中标通知</w:t>
      </w:r>
      <w:bookmarkEnd w:id="108"/>
    </w:p>
    <w:p w14:paraId="1052E936">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宋体"/>
          <w:color w:val="auto"/>
          <w:kern w:val="0"/>
          <w:sz w:val="24"/>
        </w:rPr>
        <w:t>在公告中标结果的同时</w:t>
      </w:r>
      <w:r>
        <w:rPr>
          <w:rFonts w:hint="eastAsia" w:ascii="宋体" w:hAnsi="宋体" w:cs="黑体"/>
          <w:color w:val="auto"/>
          <w:kern w:val="0"/>
          <w:sz w:val="24"/>
        </w:rPr>
        <w:t>，采购人以书面形式向中标人发出中标通知书，同时将中标结果通知未中标的投标人。</w:t>
      </w:r>
    </w:p>
    <w:p w14:paraId="43739AB4">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olor w:val="auto"/>
          <w:sz w:val="24"/>
        </w:rPr>
        <w:t>中标通知书发出后，采购人不得违法改变中标结果，中标人无正当理由不得放弃中标。</w:t>
      </w:r>
    </w:p>
    <w:p w14:paraId="0009D553">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履约保证金</w:t>
      </w:r>
    </w:p>
    <w:p w14:paraId="58B2B81A">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bookmarkStart w:id="109" w:name="_Ref421009348"/>
      <w:r>
        <w:rPr>
          <w:rFonts w:hint="eastAsia" w:ascii="宋体" w:hAnsi="宋体" w:cs="黑体"/>
          <w:color w:val="auto"/>
          <w:kern w:val="0"/>
          <w:sz w:val="24"/>
        </w:rPr>
        <w:t>在签订合同前，中标人应按投标人须知前附表规定的金额、担保形式和招标文件第四章“合同条款及格式”规定的履约保证金格式向采购人提交履约保证金。</w:t>
      </w:r>
      <w:bookmarkEnd w:id="109"/>
    </w:p>
    <w:p w14:paraId="67C29D29">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中标人不能按本章第</w:t>
      </w:r>
      <w:r>
        <w:rPr>
          <w:rFonts w:ascii="宋体" w:hAnsi="宋体" w:cs="黑体"/>
          <w:color w:val="auto"/>
          <w:kern w:val="0"/>
          <w:sz w:val="24"/>
        </w:rPr>
        <w:fldChar w:fldCharType="begin"/>
      </w:r>
      <w:r>
        <w:rPr>
          <w:rFonts w:ascii="宋体" w:hAnsi="宋体" w:cs="黑体"/>
          <w:color w:val="auto"/>
          <w:kern w:val="0"/>
          <w:sz w:val="24"/>
        </w:rPr>
        <w:instrText xml:space="preserve"> </w:instrText>
      </w:r>
      <w:r>
        <w:rPr>
          <w:rFonts w:hint="eastAsia" w:ascii="宋体" w:hAnsi="宋体" w:cs="黑体"/>
          <w:color w:val="auto"/>
          <w:kern w:val="0"/>
          <w:sz w:val="24"/>
        </w:rPr>
        <w:instrText xml:space="preserve">REF _Ref421009348 \r \h</w:instrText>
      </w:r>
      <w:r>
        <w:rPr>
          <w:rFonts w:ascii="宋体" w:hAnsi="宋体" w:cs="黑体"/>
          <w:color w:val="auto"/>
          <w:kern w:val="0"/>
          <w:sz w:val="24"/>
        </w:rPr>
        <w:instrText xml:space="preserve"> </w:instrText>
      </w:r>
      <w:r>
        <w:rPr>
          <w:rFonts w:ascii="宋体" w:hAnsi="宋体" w:cs="黑体"/>
          <w:color w:val="auto"/>
          <w:kern w:val="0"/>
          <w:sz w:val="24"/>
        </w:rPr>
        <w:fldChar w:fldCharType="separate"/>
      </w:r>
      <w:r>
        <w:rPr>
          <w:rFonts w:hint="eastAsia" w:ascii="宋体" w:hAnsi="宋体" w:cs="黑体"/>
          <w:color w:val="auto"/>
          <w:kern w:val="0"/>
          <w:sz w:val="24"/>
          <w:lang w:val="en-US" w:eastAsia="zh-CN"/>
        </w:rPr>
        <w:t>8</w:t>
      </w:r>
      <w:r>
        <w:rPr>
          <w:rFonts w:ascii="宋体" w:hAnsi="宋体" w:cs="黑体"/>
          <w:color w:val="auto"/>
          <w:kern w:val="0"/>
          <w:sz w:val="24"/>
        </w:rPr>
        <w:t>.4.1</w:t>
      </w:r>
      <w:r>
        <w:rPr>
          <w:rFonts w:ascii="宋体" w:hAnsi="宋体" w:cs="黑体"/>
          <w:color w:val="auto"/>
          <w:kern w:val="0"/>
          <w:sz w:val="24"/>
        </w:rPr>
        <w:fldChar w:fldCharType="end"/>
      </w:r>
      <w:r>
        <w:rPr>
          <w:rFonts w:hint="eastAsia" w:ascii="宋体" w:hAnsi="宋体" w:cs="黑体"/>
          <w:color w:val="auto"/>
          <w:kern w:val="0"/>
          <w:sz w:val="24"/>
        </w:rPr>
        <w:t>项要求提交履约保证金的，视为放弃中标，其投标保证金不予退还，给采购人造成的损失超过投标保证金数额的，中标人还应当对超过部分予以赔偿。</w:t>
      </w:r>
    </w:p>
    <w:p w14:paraId="085413F6">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10" w:name="_Toc195921834"/>
      <w:r>
        <w:rPr>
          <w:rFonts w:hint="eastAsia" w:ascii="宋体" w:hAnsi="宋体" w:cs="黑体"/>
          <w:color w:val="auto"/>
          <w:kern w:val="0"/>
          <w:sz w:val="24"/>
        </w:rPr>
        <w:t>签订合同</w:t>
      </w:r>
      <w:bookmarkEnd w:id="110"/>
    </w:p>
    <w:p w14:paraId="30564A7B">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olor w:val="auto"/>
          <w:sz w:val="24"/>
        </w:rPr>
        <w:t>采购人应当自中标通知书发出之日起30日内，按照招标文件和中标人投标文件的规定，与中标人签订书面合同。所签订的合同不得对招标文件确定的事项和中标人投标文件作实质性修改。</w:t>
      </w:r>
    </w:p>
    <w:p w14:paraId="013409C1">
      <w:pPr>
        <w:tabs>
          <w:tab w:val="left" w:pos="1260"/>
        </w:tabs>
        <w:autoSpaceDE w:val="0"/>
        <w:autoSpaceDN w:val="0"/>
        <w:adjustRightInd w:val="0"/>
        <w:snapToGrid w:val="0"/>
        <w:spacing w:afterLines="50"/>
        <w:ind w:left="1134"/>
        <w:rPr>
          <w:rFonts w:ascii="宋体" w:hAnsi="宋体"/>
          <w:color w:val="auto"/>
          <w:sz w:val="24"/>
        </w:rPr>
      </w:pPr>
      <w:r>
        <w:rPr>
          <w:rFonts w:hint="eastAsia" w:ascii="宋体" w:hAnsi="宋体"/>
          <w:color w:val="auto"/>
          <w:sz w:val="24"/>
        </w:rPr>
        <w:t>采购人不得向中标人提出任何不合理的要求作为签订合同的条件。</w:t>
      </w:r>
    </w:p>
    <w:p w14:paraId="1C95F1E7">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eastAsia="宋体" w:cs="黑体"/>
          <w:color w:val="auto"/>
          <w:kern w:val="0"/>
          <w:sz w:val="24"/>
          <w:szCs w:val="24"/>
        </w:rPr>
        <w:t>中标或者成交供应商拒绝与采购人签订合同的，采购人可以按照评审报告推荐的中标或者成交候选人名单排序，确定下一候选人为中标或者成交供应商，也可以重新开展政府采购活动</w:t>
      </w:r>
      <w:r>
        <w:rPr>
          <w:rFonts w:hint="eastAsia" w:ascii="宋体" w:hAnsi="宋体" w:eastAsia="宋体" w:cs="黑体"/>
          <w:color w:val="auto"/>
          <w:kern w:val="0"/>
          <w:sz w:val="24"/>
          <w:szCs w:val="24"/>
          <w:lang w:eastAsia="zh-CN"/>
        </w:rPr>
        <w:t>。</w:t>
      </w:r>
      <w:r>
        <w:rPr>
          <w:rFonts w:hint="eastAsia" w:ascii="宋体" w:hAnsi="宋体" w:cs="黑体"/>
          <w:color w:val="auto"/>
          <w:kern w:val="0"/>
          <w:sz w:val="24"/>
        </w:rPr>
        <w:t>中标人无正当理由拒签合同的，采购人取消其中标资格，其投标保证金不予退还；给采购人造成的损失超过投标保证金数额的，中标人还应当对超过部分予以赔偿。</w:t>
      </w:r>
    </w:p>
    <w:p w14:paraId="785C5D3E">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rPr>
        <w:t>发出中标通知书后，采购人无正当理由拒签合同的，采购人向中标人退还投标保证金；给中标人造成损失的，还应当赔偿损失。</w:t>
      </w:r>
    </w:p>
    <w:p w14:paraId="695326B7">
      <w:pPr>
        <w:numPr>
          <w:ilvl w:val="2"/>
          <w:numId w:val="2"/>
        </w:numPr>
        <w:tabs>
          <w:tab w:val="left" w:pos="1260"/>
        </w:tabs>
        <w:autoSpaceDE w:val="0"/>
        <w:autoSpaceDN w:val="0"/>
        <w:adjustRightInd w:val="0"/>
        <w:snapToGrid w:val="0"/>
        <w:spacing w:afterLines="50"/>
        <w:rPr>
          <w:rFonts w:ascii="宋体" w:hAnsi="宋体" w:cs="黑体"/>
          <w:color w:val="auto"/>
          <w:kern w:val="0"/>
          <w:sz w:val="24"/>
        </w:rPr>
      </w:pPr>
      <w:r>
        <w:rPr>
          <w:rFonts w:hint="eastAsia" w:ascii="宋体" w:hAnsi="宋体" w:cs="黑体"/>
          <w:color w:val="auto"/>
          <w:kern w:val="0"/>
          <w:sz w:val="24"/>
          <w:lang w:val="en-US" w:eastAsia="zh-CN"/>
        </w:rPr>
        <w:t>依据</w:t>
      </w:r>
      <w:r>
        <w:rPr>
          <w:rFonts w:hint="eastAsia" w:ascii="宋体" w:hAnsi="宋体" w:cs="黑体"/>
          <w:color w:val="auto"/>
          <w:kern w:val="0"/>
          <w:sz w:val="24"/>
        </w:rPr>
        <w:t>《政府采购促进中小企业发展管理办法》</w:t>
      </w:r>
      <w:r>
        <w:rPr>
          <w:rFonts w:hint="eastAsia" w:ascii="宋体" w:hAnsi="宋体" w:cs="黑体"/>
          <w:color w:val="auto"/>
          <w:kern w:val="0"/>
          <w:sz w:val="24"/>
          <w:lang w:eastAsia="zh-CN"/>
        </w:rPr>
        <w:t>(</w:t>
      </w:r>
      <w:r>
        <w:rPr>
          <w:rFonts w:hint="eastAsia" w:ascii="宋体" w:hAnsi="宋体" w:cs="黑体"/>
          <w:color w:val="auto"/>
          <w:kern w:val="0"/>
          <w:sz w:val="24"/>
        </w:rPr>
        <w:t>财库〔2020〕46号</w:t>
      </w:r>
      <w:r>
        <w:rPr>
          <w:rFonts w:hint="eastAsia" w:ascii="宋体" w:hAnsi="宋体" w:cs="黑体"/>
          <w:color w:val="auto"/>
          <w:kern w:val="0"/>
          <w:sz w:val="24"/>
          <w:lang w:eastAsia="zh-CN"/>
        </w:rPr>
        <w:t>)</w:t>
      </w:r>
      <w:r>
        <w:rPr>
          <w:rFonts w:hint="eastAsia" w:ascii="宋体" w:hAnsi="宋体" w:cs="黑体"/>
          <w:color w:val="auto"/>
          <w:kern w:val="0"/>
          <w:sz w:val="24"/>
          <w:lang w:val="en-US" w:eastAsia="zh-CN"/>
        </w:rPr>
        <w:t>规定享受扶持政策获得政府采购合同的，小微企业不得将合同分包给大中型企业，中型企业不得将合同分包给大型企业。</w:t>
      </w:r>
    </w:p>
    <w:p w14:paraId="4471FA71">
      <w:pPr>
        <w:numPr>
          <w:ilvl w:val="0"/>
          <w:numId w:val="2"/>
        </w:numPr>
        <w:autoSpaceDE w:val="0"/>
        <w:autoSpaceDN w:val="0"/>
        <w:adjustRightInd w:val="0"/>
        <w:spacing w:afterLines="50"/>
        <w:outlineLvl w:val="2"/>
        <w:rPr>
          <w:rFonts w:ascii="黑体" w:hAnsi="宋体" w:eastAsia="黑体" w:cs="黑体"/>
          <w:color w:val="auto"/>
          <w:kern w:val="0"/>
          <w:sz w:val="24"/>
        </w:rPr>
      </w:pPr>
      <w:bookmarkStart w:id="111" w:name="_Toc19685"/>
      <w:bookmarkStart w:id="112" w:name="_Toc2343"/>
      <w:bookmarkStart w:id="113" w:name="_Toc195921838"/>
      <w:r>
        <w:rPr>
          <w:rFonts w:hint="eastAsia" w:ascii="黑体" w:hAnsi="宋体" w:eastAsia="黑体" w:cs="黑体"/>
          <w:color w:val="auto"/>
          <w:kern w:val="0"/>
          <w:sz w:val="24"/>
        </w:rPr>
        <w:t>纪律和监督</w:t>
      </w:r>
      <w:bookmarkEnd w:id="111"/>
      <w:bookmarkEnd w:id="112"/>
      <w:bookmarkEnd w:id="113"/>
    </w:p>
    <w:p w14:paraId="57934B57">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14" w:name="_Toc195921839"/>
      <w:r>
        <w:rPr>
          <w:rFonts w:hint="eastAsia" w:ascii="宋体" w:hAnsi="宋体" w:cs="黑体"/>
          <w:color w:val="auto"/>
          <w:kern w:val="0"/>
          <w:sz w:val="24"/>
        </w:rPr>
        <w:t>对采购人的要求</w:t>
      </w:r>
      <w:bookmarkEnd w:id="114"/>
    </w:p>
    <w:p w14:paraId="3E41F828">
      <w:pPr>
        <w:tabs>
          <w:tab w:val="left" w:pos="1260"/>
        </w:tabs>
        <w:autoSpaceDE w:val="0"/>
        <w:autoSpaceDN w:val="0"/>
        <w:adjustRightInd w:val="0"/>
        <w:snapToGrid w:val="0"/>
        <w:spacing w:afterLines="50"/>
        <w:ind w:left="1134"/>
        <w:rPr>
          <w:rFonts w:ascii="宋体" w:hAnsi="宋体" w:cs="黑体"/>
          <w:color w:val="auto"/>
          <w:kern w:val="0"/>
          <w:sz w:val="24"/>
        </w:rPr>
      </w:pPr>
      <w:r>
        <w:rPr>
          <w:rFonts w:hAnsi="宋体" w:cs="宋体"/>
          <w:color w:val="auto"/>
          <w:sz w:val="24"/>
        </w:rPr>
        <w:t>采购人在政府采购活动中应当维护国家利益和社会公共利益，公正廉洁，诚实守信，执行政府采购政策</w:t>
      </w:r>
      <w:r>
        <w:rPr>
          <w:rFonts w:hint="eastAsia" w:hAnsi="宋体" w:cs="宋体"/>
          <w:color w:val="auto"/>
          <w:sz w:val="24"/>
        </w:rPr>
        <w:t>。</w:t>
      </w:r>
      <w:r>
        <w:rPr>
          <w:rFonts w:hAnsi="宋体" w:cs="宋体"/>
          <w:color w:val="auto"/>
          <w:sz w:val="24"/>
        </w:rPr>
        <w:t>采购人不得向投标人索要或者接受其给予的赠品、回扣或者与采购无关的其他商品、服务</w:t>
      </w:r>
      <w:r>
        <w:rPr>
          <w:rFonts w:hint="eastAsia" w:ascii="宋体" w:hAnsi="宋体" w:cs="黑体"/>
          <w:color w:val="auto"/>
          <w:kern w:val="0"/>
          <w:sz w:val="24"/>
        </w:rPr>
        <w:t>。</w:t>
      </w:r>
    </w:p>
    <w:p w14:paraId="040437F4">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15" w:name="_Toc195921840"/>
      <w:r>
        <w:rPr>
          <w:rFonts w:hint="eastAsia" w:ascii="宋体" w:hAnsi="宋体" w:cs="黑体"/>
          <w:color w:val="auto"/>
          <w:kern w:val="0"/>
          <w:sz w:val="24"/>
        </w:rPr>
        <w:t>对采购代理机构的要求</w:t>
      </w:r>
    </w:p>
    <w:p w14:paraId="1F321210">
      <w:pPr>
        <w:tabs>
          <w:tab w:val="left" w:pos="1260"/>
        </w:tabs>
        <w:autoSpaceDE w:val="0"/>
        <w:autoSpaceDN w:val="0"/>
        <w:adjustRightInd w:val="0"/>
        <w:snapToGrid w:val="0"/>
        <w:spacing w:afterLines="50"/>
        <w:ind w:left="1134"/>
        <w:rPr>
          <w:rFonts w:hAnsi="宋体" w:cs="宋体"/>
          <w:color w:val="auto"/>
          <w:sz w:val="24"/>
        </w:rPr>
      </w:pPr>
      <w:r>
        <w:rPr>
          <w:rFonts w:hAnsi="宋体" w:cs="宋体"/>
          <w:color w:val="auto"/>
          <w:sz w:val="24"/>
        </w:rPr>
        <w:t>采购代理机构不得与采购人、投标人恶意串通操纵政府采购活动。</w:t>
      </w:r>
    </w:p>
    <w:p w14:paraId="1EDA08C9">
      <w:pPr>
        <w:tabs>
          <w:tab w:val="left" w:pos="1260"/>
        </w:tabs>
        <w:autoSpaceDE w:val="0"/>
        <w:autoSpaceDN w:val="0"/>
        <w:adjustRightInd w:val="0"/>
        <w:snapToGrid w:val="0"/>
        <w:spacing w:afterLines="50"/>
        <w:ind w:left="1134"/>
        <w:rPr>
          <w:rFonts w:hAnsi="宋体" w:cs="宋体"/>
          <w:color w:val="auto"/>
          <w:sz w:val="24"/>
        </w:rPr>
      </w:pPr>
      <w:r>
        <w:rPr>
          <w:rFonts w:hAnsi="宋体" w:cs="宋体"/>
          <w:color w:val="auto"/>
          <w:sz w:val="24"/>
        </w:rPr>
        <w:t>采购代理机构工作人员不得接受采购人或者投标人组织的宴请、旅游、娱乐，不得收受礼品、现金、有价证券等，不得向采购人或者投标人报销应当由个人承担的费用。</w:t>
      </w:r>
    </w:p>
    <w:p w14:paraId="7D80DF27">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r>
        <w:rPr>
          <w:rFonts w:hint="eastAsia" w:ascii="宋体" w:hAnsi="宋体" w:cs="黑体"/>
          <w:color w:val="auto"/>
          <w:kern w:val="0"/>
          <w:sz w:val="24"/>
        </w:rPr>
        <w:t>对投标人的纪律要求</w:t>
      </w:r>
      <w:bookmarkEnd w:id="115"/>
    </w:p>
    <w:p w14:paraId="2EC2DB3E">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8EEBB7D">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16" w:name="_Toc195921841"/>
      <w:r>
        <w:rPr>
          <w:rFonts w:hint="eastAsia" w:ascii="宋体" w:hAnsi="宋体" w:cs="黑体"/>
          <w:color w:val="auto"/>
          <w:kern w:val="0"/>
          <w:sz w:val="24"/>
        </w:rPr>
        <w:t>评标委员会及其成员不得有下列行为</w:t>
      </w:r>
      <w:bookmarkEnd w:id="116"/>
    </w:p>
    <w:p w14:paraId="3BCF8B8E">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1</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确定参与评标至评标结束前私自接触投标人；</w:t>
      </w:r>
    </w:p>
    <w:p w14:paraId="355093F4">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2</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接受投标人提出的与投标文件不一致的澄清或者说明，评标委员会要求投标人作出必要的澄清、说明或者补正的情形除外；</w:t>
      </w:r>
    </w:p>
    <w:p w14:paraId="6E4C845A">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3</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违反评标纪律发表倾向性意见或者征询采购人的倾向性意见；</w:t>
      </w:r>
    </w:p>
    <w:p w14:paraId="67A49EF0">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4</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对需要专业判断的主观评审因素协商评分；</w:t>
      </w:r>
    </w:p>
    <w:p w14:paraId="30703AFC">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5</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在评标过程中擅离职守，影响评标程序正常进行的；</w:t>
      </w:r>
    </w:p>
    <w:p w14:paraId="7145EA4D">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6</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记录、复制或者带走任何评标资料；</w:t>
      </w:r>
    </w:p>
    <w:p w14:paraId="2A1E261B">
      <w:pPr>
        <w:snapToGrid w:val="0"/>
        <w:spacing w:afterLines="50"/>
        <w:ind w:left="1840" w:leftChars="539" w:hanging="708" w:hangingChars="295"/>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7</w:t>
      </w:r>
      <w:r>
        <w:rPr>
          <w:rFonts w:hint="eastAsia" w:ascii="宋体" w:hAnsi="宋体"/>
          <w:color w:val="auto"/>
          <w:sz w:val="24"/>
          <w:lang w:eastAsia="zh-CN"/>
        </w:rPr>
        <w:t>)</w:t>
      </w:r>
      <w:r>
        <w:rPr>
          <w:rFonts w:hint="eastAsia" w:ascii="宋体" w:hAnsi="宋体"/>
          <w:color w:val="auto"/>
          <w:sz w:val="24"/>
        </w:rPr>
        <w:tab/>
      </w:r>
      <w:r>
        <w:rPr>
          <w:rFonts w:hint="eastAsia" w:ascii="宋体" w:hAnsi="宋体"/>
          <w:color w:val="auto"/>
          <w:sz w:val="24"/>
        </w:rPr>
        <w:t>其他不遵守评标纪律的行为。</w:t>
      </w:r>
    </w:p>
    <w:p w14:paraId="579450FC">
      <w:pPr>
        <w:numPr>
          <w:ilvl w:val="1"/>
          <w:numId w:val="2"/>
        </w:numPr>
        <w:autoSpaceDE w:val="0"/>
        <w:autoSpaceDN w:val="0"/>
        <w:adjustRightInd w:val="0"/>
        <w:snapToGrid w:val="0"/>
        <w:spacing w:afterLines="50"/>
        <w:ind w:left="1133" w:hanging="1132" w:hangingChars="472"/>
        <w:rPr>
          <w:rFonts w:ascii="宋体" w:hAnsi="宋体" w:cs="黑体"/>
          <w:color w:val="auto"/>
          <w:kern w:val="0"/>
          <w:sz w:val="24"/>
        </w:rPr>
      </w:pPr>
      <w:bookmarkStart w:id="117" w:name="_Toc195921842"/>
      <w:r>
        <w:rPr>
          <w:rFonts w:hint="eastAsia" w:ascii="宋体" w:hAnsi="宋体" w:cs="黑体"/>
          <w:color w:val="auto"/>
          <w:kern w:val="0"/>
          <w:sz w:val="24"/>
        </w:rPr>
        <w:t>对与评标活动有关的工作人员的纪律要求</w:t>
      </w:r>
      <w:bookmarkEnd w:id="117"/>
    </w:p>
    <w:p w14:paraId="016D4752">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B2A86B3">
      <w:pPr>
        <w:numPr>
          <w:ilvl w:val="1"/>
          <w:numId w:val="2"/>
        </w:numPr>
        <w:autoSpaceDE w:val="0"/>
        <w:autoSpaceDN w:val="0"/>
        <w:adjustRightInd w:val="0"/>
        <w:snapToGrid w:val="0"/>
        <w:spacing w:afterLines="50"/>
        <w:ind w:left="1920" w:hanging="1920" w:hangingChars="800"/>
        <w:rPr>
          <w:rFonts w:ascii="宋体" w:hAnsi="宋体" w:cs="黑体"/>
          <w:color w:val="auto"/>
          <w:kern w:val="0"/>
          <w:sz w:val="24"/>
        </w:rPr>
      </w:pPr>
      <w:bookmarkStart w:id="118" w:name="_Toc195921843"/>
      <w:r>
        <w:rPr>
          <w:rFonts w:hint="eastAsia" w:ascii="宋体" w:hAnsi="宋体" w:cs="黑体"/>
          <w:color w:val="auto"/>
          <w:kern w:val="0"/>
          <w:sz w:val="24"/>
        </w:rPr>
        <w:t>投诉</w:t>
      </w:r>
      <w:bookmarkEnd w:id="118"/>
    </w:p>
    <w:p w14:paraId="75EC2232">
      <w:pPr>
        <w:tabs>
          <w:tab w:val="left" w:pos="1260"/>
        </w:tabs>
        <w:autoSpaceDE w:val="0"/>
        <w:autoSpaceDN w:val="0"/>
        <w:adjustRightInd w:val="0"/>
        <w:snapToGrid w:val="0"/>
        <w:spacing w:afterLines="50"/>
        <w:ind w:left="1134"/>
        <w:rPr>
          <w:rFonts w:ascii="宋体" w:hAnsi="宋体" w:cs="黑体"/>
          <w:color w:val="auto"/>
          <w:kern w:val="0"/>
          <w:sz w:val="24"/>
        </w:rPr>
      </w:pPr>
      <w:r>
        <w:rPr>
          <w:rFonts w:hint="eastAsia" w:ascii="宋体" w:hAnsi="宋体" w:cs="黑体"/>
          <w:color w:val="auto"/>
          <w:kern w:val="0"/>
          <w:sz w:val="24"/>
        </w:rPr>
        <w:t>投标人和其他利害关系人认为本次招标活动违反法律、法规和规章规定的，有权向有关行政监督部门投诉。</w:t>
      </w:r>
    </w:p>
    <w:p w14:paraId="5B9FCBE0">
      <w:pPr>
        <w:numPr>
          <w:ilvl w:val="0"/>
          <w:numId w:val="2"/>
        </w:numPr>
        <w:autoSpaceDE w:val="0"/>
        <w:autoSpaceDN w:val="0"/>
        <w:adjustRightInd w:val="0"/>
        <w:spacing w:afterLines="50"/>
        <w:outlineLvl w:val="2"/>
        <w:rPr>
          <w:rFonts w:ascii="黑体" w:hAnsi="宋体" w:eastAsia="黑体" w:cs="黑体"/>
          <w:color w:val="auto"/>
          <w:kern w:val="0"/>
          <w:sz w:val="24"/>
        </w:rPr>
      </w:pPr>
      <w:bookmarkStart w:id="119" w:name="_Toc29652"/>
      <w:bookmarkStart w:id="120" w:name="_Toc195921844"/>
      <w:bookmarkStart w:id="121" w:name="_Toc15070"/>
      <w:r>
        <w:rPr>
          <w:rFonts w:hint="eastAsia" w:ascii="黑体" w:hAnsi="宋体" w:eastAsia="黑体" w:cs="黑体"/>
          <w:color w:val="auto"/>
          <w:kern w:val="0"/>
          <w:sz w:val="24"/>
        </w:rPr>
        <w:t>需要补充的其他内容</w:t>
      </w:r>
      <w:bookmarkEnd w:id="119"/>
      <w:bookmarkEnd w:id="120"/>
      <w:bookmarkEnd w:id="121"/>
    </w:p>
    <w:p w14:paraId="3B989DBB">
      <w:pPr>
        <w:tabs>
          <w:tab w:val="left" w:pos="1260"/>
        </w:tabs>
        <w:autoSpaceDE w:val="0"/>
        <w:autoSpaceDN w:val="0"/>
        <w:adjustRightInd w:val="0"/>
        <w:snapToGrid w:val="0"/>
        <w:spacing w:afterLines="50"/>
        <w:ind w:left="1134"/>
        <w:rPr>
          <w:rFonts w:hint="eastAsia" w:ascii="宋体" w:hAnsi="宋体" w:cs="黑体"/>
          <w:color w:val="auto"/>
          <w:kern w:val="0"/>
          <w:sz w:val="24"/>
        </w:rPr>
      </w:pPr>
      <w:r>
        <w:rPr>
          <w:rFonts w:hint="eastAsia" w:ascii="宋体" w:hAnsi="宋体" w:cs="黑体"/>
          <w:color w:val="auto"/>
          <w:kern w:val="0"/>
          <w:sz w:val="24"/>
        </w:rPr>
        <w:t>见投标人须知前附表。</w:t>
      </w:r>
    </w:p>
    <w:p w14:paraId="06F291B9">
      <w:pPr>
        <w:autoSpaceDE w:val="0"/>
        <w:autoSpaceDN w:val="0"/>
        <w:adjustRightInd w:val="0"/>
        <w:snapToGrid w:val="0"/>
        <w:spacing w:afterLines="50"/>
        <w:jc w:val="center"/>
        <w:outlineLvl w:val="0"/>
        <w:rPr>
          <w:rFonts w:ascii="宋体" w:hAnsi="宋体" w:cs="黑体"/>
          <w:color w:val="auto"/>
          <w:kern w:val="0"/>
          <w:sz w:val="32"/>
          <w:szCs w:val="32"/>
        </w:rPr>
      </w:pPr>
      <w:r>
        <w:rPr>
          <w:color w:val="auto"/>
        </w:rPr>
        <w:br w:type="page"/>
      </w:r>
      <w:bookmarkStart w:id="122" w:name="_Toc195921851"/>
      <w:bookmarkStart w:id="123" w:name="_Toc24333"/>
      <w:bookmarkStart w:id="124" w:name="_Toc11379"/>
      <w:bookmarkStart w:id="125" w:name="_Toc29029"/>
      <w:r>
        <w:rPr>
          <w:rFonts w:hint="eastAsia" w:ascii="宋体" w:hAnsi="宋体" w:cs="黑体"/>
          <w:color w:val="auto"/>
          <w:kern w:val="0"/>
          <w:sz w:val="32"/>
          <w:szCs w:val="32"/>
        </w:rPr>
        <w:t>第三章</w:t>
      </w:r>
      <w:r>
        <w:rPr>
          <w:rFonts w:ascii="宋体" w:hAnsi="宋体" w:cs="黑体"/>
          <w:color w:val="auto"/>
          <w:kern w:val="0"/>
          <w:sz w:val="32"/>
          <w:szCs w:val="32"/>
        </w:rPr>
        <w:t xml:space="preserve"> 资格审查、</w:t>
      </w:r>
      <w:r>
        <w:rPr>
          <w:rFonts w:hint="eastAsia" w:ascii="宋体" w:hAnsi="宋体" w:cs="黑体"/>
          <w:color w:val="auto"/>
          <w:kern w:val="0"/>
          <w:sz w:val="32"/>
          <w:szCs w:val="32"/>
        </w:rPr>
        <w:t>评标办法</w:t>
      </w:r>
      <w:bookmarkEnd w:id="122"/>
      <w:r>
        <w:rPr>
          <w:rFonts w:hint="eastAsia" w:ascii="宋体" w:hAnsi="宋体" w:cs="黑体"/>
          <w:color w:val="auto"/>
          <w:kern w:val="0"/>
          <w:sz w:val="32"/>
          <w:szCs w:val="32"/>
        </w:rPr>
        <w:t>和标准</w:t>
      </w:r>
      <w:bookmarkEnd w:id="123"/>
      <w:bookmarkEnd w:id="124"/>
      <w:bookmarkEnd w:id="125"/>
    </w:p>
    <w:p w14:paraId="2DFB8737">
      <w:pPr>
        <w:autoSpaceDE w:val="0"/>
        <w:autoSpaceDN w:val="0"/>
        <w:adjustRightInd w:val="0"/>
        <w:snapToGrid w:val="0"/>
        <w:spacing w:afterLines="50"/>
        <w:jc w:val="left"/>
        <w:rPr>
          <w:rFonts w:ascii="宋体" w:cs="宋体"/>
          <w:color w:val="auto"/>
          <w:kern w:val="0"/>
          <w:szCs w:val="21"/>
        </w:rPr>
      </w:pPr>
    </w:p>
    <w:p w14:paraId="4696EB32">
      <w:pPr>
        <w:numPr>
          <w:ilvl w:val="0"/>
          <w:numId w:val="8"/>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26" w:name="_Toc31577"/>
      <w:bookmarkStart w:id="127" w:name="_Toc4984"/>
      <w:bookmarkStart w:id="128" w:name="_Toc17569"/>
      <w:r>
        <w:rPr>
          <w:rFonts w:hint="eastAsia" w:ascii="黑体" w:hAnsi="TimesNewRomanPSMT" w:eastAsia="黑体" w:cs="TimesNewRomanPSMT"/>
          <w:color w:val="auto"/>
          <w:kern w:val="0"/>
          <w:sz w:val="24"/>
        </w:rPr>
        <w:t>资格审查及标准</w:t>
      </w:r>
      <w:bookmarkEnd w:id="126"/>
      <w:bookmarkEnd w:id="127"/>
      <w:bookmarkEnd w:id="128"/>
    </w:p>
    <w:p w14:paraId="283BBCD0">
      <w:pPr>
        <w:autoSpaceDE w:val="0"/>
        <w:autoSpaceDN w:val="0"/>
        <w:adjustRightInd w:val="0"/>
        <w:snapToGrid w:val="0"/>
        <w:spacing w:afterLines="50"/>
        <w:ind w:left="991" w:leftChars="472"/>
        <w:rPr>
          <w:rFonts w:ascii="宋体" w:hAnsi="宋体" w:cs="TimesNewRomanPSMT"/>
          <w:color w:val="auto"/>
          <w:kern w:val="0"/>
          <w:sz w:val="24"/>
        </w:rPr>
      </w:pPr>
      <w:r>
        <w:rPr>
          <w:rFonts w:hint="eastAsia" w:ascii="宋体" w:hAnsi="宋体" w:cs="TimesNewRomanPSMT"/>
          <w:color w:val="auto"/>
          <w:kern w:val="0"/>
          <w:sz w:val="24"/>
          <w:lang w:val="en-US" w:eastAsia="zh-CN"/>
        </w:rPr>
        <w:t>详见投标人须知前附表6.1，由</w:t>
      </w:r>
      <w:r>
        <w:rPr>
          <w:rFonts w:hint="eastAsia" w:ascii="宋体" w:hAnsi="宋体" w:cs="TimesNewRomanPSMT"/>
          <w:color w:val="auto"/>
          <w:kern w:val="0"/>
          <w:sz w:val="24"/>
        </w:rPr>
        <w:t>采购人或采购代理机构按附表一所列审查标准，对投标人资格进行审查，以确定投标人是否具备投标资格，投标人未通过资格审查的，其投标无效。</w:t>
      </w:r>
    </w:p>
    <w:p w14:paraId="00156E69">
      <w:pPr>
        <w:numPr>
          <w:ilvl w:val="0"/>
          <w:numId w:val="8"/>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29" w:name="_Toc5026"/>
      <w:bookmarkStart w:id="130" w:name="_Toc5891"/>
      <w:bookmarkStart w:id="131" w:name="_Toc25398"/>
      <w:r>
        <w:rPr>
          <w:rFonts w:hint="eastAsia" w:ascii="黑体" w:hAnsi="TimesNewRomanPSMT" w:eastAsia="黑体" w:cs="TimesNewRomanPSMT"/>
          <w:color w:val="auto"/>
          <w:kern w:val="0"/>
          <w:sz w:val="24"/>
        </w:rPr>
        <w:t>评标方法</w:t>
      </w:r>
      <w:bookmarkEnd w:id="129"/>
      <w:bookmarkEnd w:id="130"/>
      <w:bookmarkEnd w:id="131"/>
    </w:p>
    <w:p w14:paraId="600139D1">
      <w:pPr>
        <w:numPr>
          <w:ilvl w:val="0"/>
          <w:numId w:val="0"/>
        </w:numPr>
        <w:tabs>
          <w:tab w:val="left" w:pos="993"/>
        </w:tabs>
        <w:autoSpaceDE w:val="0"/>
        <w:autoSpaceDN w:val="0"/>
        <w:adjustRightInd w:val="0"/>
        <w:snapToGrid w:val="0"/>
        <w:spacing w:afterLines="50"/>
        <w:ind w:left="1058" w:leftChars="503" w:hanging="2"/>
        <w:jc w:val="left"/>
        <w:outlineLvl w:val="9"/>
        <w:rPr>
          <w:rFonts w:ascii="黑体" w:hAnsi="TimesNewRomanPSMT" w:eastAsia="黑体" w:cs="TimesNewRomanPSMT"/>
          <w:color w:val="auto"/>
          <w:kern w:val="0"/>
          <w:sz w:val="24"/>
        </w:rPr>
      </w:pPr>
      <w:bookmarkStart w:id="132" w:name="_Toc23815"/>
      <w:bookmarkStart w:id="133" w:name="_Toc12642"/>
      <w:bookmarkStart w:id="134" w:name="_Toc14616"/>
      <w:r>
        <w:rPr>
          <w:rFonts w:hint="eastAsia" w:ascii="宋体" w:hAnsi="宋体" w:cs="TimesNewRomanPSMT"/>
          <w:color w:val="auto"/>
          <w:kern w:val="0"/>
          <w:sz w:val="24"/>
        </w:rPr>
        <w:t>本次评标采用综合评分法。评标委员会对满足招标文件实质性要求的投标文件，按照本章第</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_Ref507665740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ascii="宋体" w:hAnsi="宋体" w:cs="TimesNewRomanPSMT"/>
          <w:color w:val="auto"/>
          <w:kern w:val="0"/>
          <w:sz w:val="24"/>
        </w:rPr>
        <w:t>3</w:t>
      </w:r>
      <w:r>
        <w:rPr>
          <w:rFonts w:ascii="宋体" w:hAnsi="宋体" w:cs="TimesNewRomanPSMT"/>
          <w:color w:val="auto"/>
          <w:kern w:val="0"/>
          <w:sz w:val="24"/>
        </w:rPr>
        <w:fldChar w:fldCharType="end"/>
      </w:r>
      <w:r>
        <w:rPr>
          <w:rFonts w:hint="eastAsia" w:ascii="宋体" w:hAnsi="宋体" w:cs="TimesNewRomanPSMT"/>
          <w:color w:val="auto"/>
          <w:kern w:val="0"/>
          <w:sz w:val="24"/>
        </w:rPr>
        <w:t>条规定的评审标准进行打分，并按得分由高到低顺序推荐中标候选人。</w:t>
      </w:r>
      <w:r>
        <w:rPr>
          <w:rFonts w:hint="eastAsia" w:ascii="宋体" w:hAnsi="宋体" w:eastAsia="宋体" w:cs="TimesNewRomanPSMT"/>
          <w:color w:val="auto"/>
          <w:kern w:val="0"/>
          <w:sz w:val="24"/>
          <w:szCs w:val="24"/>
        </w:rPr>
        <w:t>得分相同的，按照招标文件规定的方式确定中标人。</w:t>
      </w:r>
      <w:bookmarkEnd w:id="132"/>
      <w:bookmarkEnd w:id="133"/>
      <w:bookmarkEnd w:id="134"/>
    </w:p>
    <w:p w14:paraId="7DC2757C">
      <w:pPr>
        <w:numPr>
          <w:ilvl w:val="0"/>
          <w:numId w:val="8"/>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35" w:name="_Toc8598"/>
      <w:bookmarkStart w:id="136" w:name="_Toc12479"/>
      <w:bookmarkStart w:id="137" w:name="_Toc27151"/>
      <w:r>
        <w:rPr>
          <w:rFonts w:hint="eastAsia" w:ascii="黑体" w:hAnsi="TimesNewRomanPSMT" w:eastAsia="黑体" w:cs="TimesNewRomanPSMT"/>
          <w:color w:val="auto"/>
          <w:kern w:val="0"/>
          <w:sz w:val="24"/>
        </w:rPr>
        <w:t>评审标准</w:t>
      </w:r>
      <w:bookmarkEnd w:id="135"/>
      <w:bookmarkEnd w:id="136"/>
      <w:bookmarkEnd w:id="137"/>
    </w:p>
    <w:p w14:paraId="003C883D">
      <w:pPr>
        <w:numPr>
          <w:ilvl w:val="1"/>
          <w:numId w:val="8"/>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r>
        <w:rPr>
          <w:rFonts w:hint="eastAsia" w:ascii="宋体" w:hAnsi="宋体" w:cs="TimesNewRomanPSMT"/>
          <w:color w:val="auto"/>
          <w:kern w:val="0"/>
          <w:sz w:val="24"/>
        </w:rPr>
        <w:t>符合性评审标准</w:t>
      </w:r>
    </w:p>
    <w:p w14:paraId="2BF318D1">
      <w:pPr>
        <w:numPr>
          <w:ilvl w:val="0"/>
          <w:numId w:val="0"/>
        </w:numPr>
        <w:tabs>
          <w:tab w:val="left" w:pos="993"/>
        </w:tabs>
        <w:autoSpaceDE w:val="0"/>
        <w:autoSpaceDN w:val="0"/>
        <w:adjustRightInd w:val="0"/>
        <w:snapToGrid w:val="0"/>
        <w:spacing w:afterLines="50"/>
        <w:ind w:left="1058" w:leftChars="503" w:hanging="2"/>
        <w:jc w:val="left"/>
        <w:outlineLvl w:val="9"/>
        <w:rPr>
          <w:rFonts w:hint="eastAsia" w:ascii="宋体" w:hAnsi="宋体" w:cs="TimesNewRomanPSMT"/>
          <w:color w:val="auto"/>
          <w:kern w:val="0"/>
          <w:sz w:val="24"/>
        </w:rPr>
      </w:pPr>
      <w:r>
        <w:rPr>
          <w:rFonts w:hint="eastAsia" w:ascii="宋体" w:hAnsi="宋体" w:cs="TimesNewRomanPSMT"/>
          <w:color w:val="auto"/>
          <w:kern w:val="0"/>
          <w:sz w:val="24"/>
        </w:rPr>
        <w:t>见附表二。投标人须满足附表二符合性审查表的全部内容，否则其投标无效。</w:t>
      </w:r>
    </w:p>
    <w:p w14:paraId="33DCD9E8">
      <w:pPr>
        <w:numPr>
          <w:ilvl w:val="1"/>
          <w:numId w:val="8"/>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r>
        <w:rPr>
          <w:rFonts w:hint="eastAsia" w:ascii="宋体" w:hAnsi="宋体" w:cs="TimesNewRomanPSMT"/>
          <w:color w:val="auto"/>
          <w:kern w:val="0"/>
          <w:sz w:val="24"/>
        </w:rPr>
        <w:t>分值构成</w:t>
      </w:r>
    </w:p>
    <w:p w14:paraId="0551AB2B">
      <w:pPr>
        <w:tabs>
          <w:tab w:val="left" w:pos="993"/>
        </w:tabs>
        <w:autoSpaceDE w:val="0"/>
        <w:autoSpaceDN w:val="0"/>
        <w:adjustRightInd w:val="0"/>
        <w:snapToGrid w:val="0"/>
        <w:spacing w:afterLines="50"/>
        <w:ind w:left="2264" w:leftChars="514" w:hanging="1185" w:hangingChars="494"/>
        <w:jc w:val="left"/>
        <w:rPr>
          <w:rFonts w:ascii="宋体" w:hAnsi="宋体" w:cs="TimesNewRomanPSMT"/>
          <w:color w:val="auto"/>
          <w:kern w:val="0"/>
          <w:sz w:val="24"/>
        </w:rPr>
      </w:pPr>
      <w:r>
        <w:rPr>
          <w:rFonts w:hint="eastAsia" w:ascii="宋体" w:hAnsi="宋体" w:cs="TimesNewRomanPSMT"/>
          <w:color w:val="auto"/>
          <w:kern w:val="0"/>
          <w:sz w:val="24"/>
        </w:rPr>
        <w:t>分值构成</w:t>
      </w:r>
      <w:r>
        <w:rPr>
          <w:rFonts w:hint="eastAsia" w:ascii="宋体" w:hAnsi="宋体" w:cs="TimesNewRomanPSMT"/>
          <w:color w:val="auto"/>
          <w:kern w:val="0"/>
          <w:sz w:val="24"/>
          <w:lang w:eastAsia="zh-CN"/>
        </w:rPr>
        <w:t>:</w:t>
      </w:r>
      <w:r>
        <w:rPr>
          <w:rFonts w:hint="eastAsia" w:ascii="宋体" w:hAnsi="宋体" w:cs="TimesNewRomanPSMT"/>
          <w:color w:val="auto"/>
          <w:kern w:val="0"/>
          <w:sz w:val="24"/>
        </w:rPr>
        <w:t>总分100分，其中</w:t>
      </w:r>
    </w:p>
    <w:p w14:paraId="2654E640">
      <w:pPr>
        <w:shd w:val="clear"/>
        <w:tabs>
          <w:tab w:val="left" w:pos="993"/>
        </w:tabs>
        <w:autoSpaceDE w:val="0"/>
        <w:autoSpaceDN w:val="0"/>
        <w:adjustRightInd w:val="0"/>
        <w:snapToGrid w:val="0"/>
        <w:spacing w:afterLines="50"/>
        <w:ind w:left="2409" w:leftChars="1147" w:firstLine="2" w:firstLineChars="1"/>
        <w:jc w:val="left"/>
        <w:rPr>
          <w:rFonts w:hint="eastAsia" w:ascii="宋体" w:hAnsi="宋体" w:cs="TimesNewRomanPSMT"/>
          <w:color w:val="auto"/>
          <w:kern w:val="0"/>
          <w:sz w:val="24"/>
        </w:rPr>
      </w:pPr>
      <w:r>
        <w:rPr>
          <w:rFonts w:hint="eastAsia" w:ascii="宋体" w:hAnsi="宋体" w:cs="TimesNewRomanPSMT"/>
          <w:color w:val="auto"/>
          <w:kern w:val="0"/>
          <w:sz w:val="24"/>
        </w:rPr>
        <w:t>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w:t>
      </w:r>
      <w:r>
        <w:rPr>
          <w:rFonts w:hint="eastAsia" w:ascii="宋体" w:hAnsi="宋体" w:cs="TimesNewRomanPSMT"/>
          <w:color w:val="auto"/>
          <w:kern w:val="0"/>
          <w:sz w:val="24"/>
          <w:lang w:eastAsia="zh-CN"/>
        </w:rPr>
        <w:t>:</w:t>
      </w:r>
      <w:r>
        <w:rPr>
          <w:rFonts w:hint="eastAsia" w:ascii="宋体" w:hAnsi="宋体" w:cs="TimesNewRomanPSMT"/>
          <w:color w:val="auto"/>
          <w:kern w:val="0"/>
          <w:sz w:val="24"/>
        </w:rPr>
        <w:t xml:space="preserve"> </w:t>
      </w:r>
      <w:r>
        <w:rPr>
          <w:rFonts w:hint="eastAsia" w:ascii="宋体" w:hAnsi="宋体" w:cs="TimesNewRomanPSMT"/>
          <w:color w:val="auto"/>
          <w:kern w:val="0"/>
          <w:sz w:val="24"/>
          <w:lang w:val="en-US" w:eastAsia="zh-CN"/>
        </w:rPr>
        <w:t>9</w:t>
      </w:r>
      <w:r>
        <w:rPr>
          <w:rFonts w:hint="eastAsia" w:ascii="宋体" w:hAnsi="宋体" w:cs="TimesNewRomanPSMT"/>
          <w:color w:val="auto"/>
          <w:kern w:val="0"/>
          <w:sz w:val="24"/>
        </w:rPr>
        <w:t xml:space="preserve">0分 </w:t>
      </w:r>
    </w:p>
    <w:p w14:paraId="3CE1AA04">
      <w:pPr>
        <w:shd w:val="clear"/>
        <w:tabs>
          <w:tab w:val="left" w:pos="993"/>
        </w:tabs>
        <w:autoSpaceDE w:val="0"/>
        <w:autoSpaceDN w:val="0"/>
        <w:adjustRightInd w:val="0"/>
        <w:snapToGrid w:val="0"/>
        <w:spacing w:afterLines="50"/>
        <w:ind w:left="2409" w:leftChars="1147" w:firstLine="2" w:firstLineChars="1"/>
        <w:jc w:val="left"/>
        <w:rPr>
          <w:rFonts w:hint="eastAsia" w:ascii="宋体" w:hAnsi="宋体" w:cs="TimesNewRomanPSMT"/>
          <w:color w:val="auto"/>
          <w:kern w:val="0"/>
          <w:sz w:val="24"/>
        </w:rPr>
      </w:pPr>
      <w:r>
        <w:rPr>
          <w:rFonts w:hint="eastAsia" w:ascii="宋体" w:hAnsi="宋体" w:cs="TimesNewRomanPSMT"/>
          <w:color w:val="auto"/>
          <w:kern w:val="0"/>
          <w:sz w:val="24"/>
        </w:rPr>
        <w:t>报价部分</w:t>
      </w:r>
      <w:r>
        <w:rPr>
          <w:rFonts w:hint="eastAsia" w:ascii="宋体" w:hAnsi="宋体" w:cs="TimesNewRomanPSMT"/>
          <w:color w:val="auto"/>
          <w:kern w:val="0"/>
          <w:sz w:val="24"/>
          <w:lang w:eastAsia="zh-CN"/>
        </w:rPr>
        <w:t>:</w:t>
      </w:r>
      <w:r>
        <w:rPr>
          <w:rFonts w:hint="eastAsia" w:ascii="宋体" w:hAnsi="宋体" w:cs="TimesNewRomanPSMT"/>
          <w:color w:val="auto"/>
          <w:kern w:val="0"/>
          <w:sz w:val="24"/>
        </w:rPr>
        <w:t xml:space="preserve"> </w:t>
      </w:r>
      <w:r>
        <w:rPr>
          <w:rFonts w:hint="eastAsia" w:ascii="宋体" w:hAnsi="宋体" w:cs="TimesNewRomanPSMT"/>
          <w:color w:val="auto"/>
          <w:kern w:val="0"/>
          <w:sz w:val="24"/>
          <w:lang w:val="en-US" w:eastAsia="zh-CN"/>
        </w:rPr>
        <w:t>1</w:t>
      </w:r>
      <w:r>
        <w:rPr>
          <w:rFonts w:hint="eastAsia" w:ascii="宋体" w:hAnsi="宋体" w:cs="TimesNewRomanPSMT"/>
          <w:color w:val="auto"/>
          <w:kern w:val="0"/>
          <w:sz w:val="24"/>
        </w:rPr>
        <w:t>0分</w:t>
      </w:r>
    </w:p>
    <w:p w14:paraId="29A72947">
      <w:pPr>
        <w:numPr>
          <w:ilvl w:val="1"/>
          <w:numId w:val="8"/>
        </w:numPr>
        <w:tabs>
          <w:tab w:val="left" w:pos="993"/>
        </w:tabs>
        <w:autoSpaceDE w:val="0"/>
        <w:autoSpaceDN w:val="0"/>
        <w:adjustRightInd w:val="0"/>
        <w:snapToGrid w:val="0"/>
        <w:spacing w:afterLines="50"/>
        <w:jc w:val="left"/>
        <w:outlineLvl w:val="2"/>
        <w:rPr>
          <w:rFonts w:ascii="宋体" w:hAnsi="宋体" w:cs="TimesNewRomanPSMT"/>
          <w:color w:val="auto"/>
          <w:kern w:val="0"/>
          <w:sz w:val="24"/>
        </w:rPr>
      </w:pPr>
      <w:bookmarkStart w:id="138" w:name="_Ref426362114"/>
      <w:r>
        <w:rPr>
          <w:rFonts w:hint="eastAsia" w:ascii="宋体" w:hAnsi="宋体" w:cs="TimesNewRomanPSMT"/>
          <w:color w:val="auto"/>
          <w:kern w:val="0"/>
          <w:sz w:val="24"/>
        </w:rPr>
        <w:t>商务和技术评审标准</w:t>
      </w:r>
      <w:bookmarkEnd w:id="138"/>
    </w:p>
    <w:p w14:paraId="37503055">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bookmarkStart w:id="139" w:name="_Ref426362140"/>
      <w:r>
        <w:rPr>
          <w:rFonts w:hint="eastAsia" w:ascii="宋体" w:hAnsi="宋体" w:cs="TimesNewRomanPSMT"/>
          <w:color w:val="auto"/>
          <w:kern w:val="0"/>
          <w:sz w:val="24"/>
        </w:rPr>
        <w:t>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部分评分标准</w:t>
      </w:r>
      <w:r>
        <w:rPr>
          <w:rFonts w:hint="eastAsia" w:ascii="宋体" w:hAnsi="宋体" w:cs="TimesNewRomanPSMT"/>
          <w:color w:val="auto"/>
          <w:kern w:val="0"/>
          <w:sz w:val="24"/>
          <w:lang w:eastAsia="zh-CN"/>
        </w:rPr>
        <w:t>:</w:t>
      </w:r>
      <w:r>
        <w:rPr>
          <w:rFonts w:hint="eastAsia" w:ascii="宋体" w:hAnsi="宋体" w:cs="TimesNewRomanPSMT"/>
          <w:color w:val="auto"/>
          <w:kern w:val="0"/>
          <w:sz w:val="24"/>
        </w:rPr>
        <w:t>见附表</w:t>
      </w:r>
      <w:bookmarkEnd w:id="139"/>
      <w:r>
        <w:rPr>
          <w:rFonts w:hint="eastAsia" w:ascii="宋体" w:hAnsi="宋体" w:cs="TimesNewRomanPSMT"/>
          <w:color w:val="auto"/>
          <w:kern w:val="0"/>
          <w:sz w:val="24"/>
        </w:rPr>
        <w:t>三</w:t>
      </w:r>
    </w:p>
    <w:p w14:paraId="06E3BD07">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bookmarkStart w:id="140" w:name="_Ref426362176"/>
      <w:r>
        <w:rPr>
          <w:rFonts w:hint="eastAsia" w:ascii="宋体" w:hAnsi="宋体" w:cs="TimesNewRomanPSMT"/>
          <w:color w:val="auto"/>
          <w:kern w:val="0"/>
          <w:sz w:val="24"/>
        </w:rPr>
        <w:t>投标报价评分标准</w:t>
      </w:r>
      <w:bookmarkEnd w:id="140"/>
      <w:r>
        <w:rPr>
          <w:rFonts w:hint="eastAsia" w:ascii="宋体" w:hAnsi="宋体" w:cs="TimesNewRomanPSMT"/>
          <w:color w:val="auto"/>
          <w:kern w:val="0"/>
          <w:sz w:val="24"/>
          <w:lang w:eastAsia="zh-CN"/>
        </w:rPr>
        <w:t>:</w:t>
      </w:r>
    </w:p>
    <w:p w14:paraId="7EE6C39A">
      <w:pPr>
        <w:tabs>
          <w:tab w:val="left" w:pos="993"/>
        </w:tabs>
        <w:autoSpaceDE w:val="0"/>
        <w:autoSpaceDN w:val="0"/>
        <w:adjustRightInd w:val="0"/>
        <w:snapToGrid w:val="0"/>
        <w:spacing w:afterLines="50"/>
        <w:ind w:left="1696" w:leftChars="513" w:hanging="619" w:hangingChars="258"/>
        <w:jc w:val="left"/>
        <w:rPr>
          <w:rFonts w:hint="eastAsia" w:ascii="宋体" w:hAnsi="宋体" w:eastAsia="宋体" w:cs="TimesNewRomanPSMT"/>
          <w:color w:val="auto"/>
          <w:kern w:val="0"/>
          <w:sz w:val="24"/>
          <w:lang w:eastAsia="zh-CN"/>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根据《政府采购促进中小企业发展管理办法》（财库〔2020〕46号）、《关于进一步加大政府采购支持中小企业力度的通知》（财库〔2022〕19号）、《关于落实好政府采购支持中小企业发展的通知》（新财购 〔2022〕22号）调整投标人参与评标的价格，用扣除后的价格参加评审。</w:t>
      </w:r>
      <w:r>
        <w:rPr>
          <w:rFonts w:hint="eastAsia" w:ascii="宋体" w:hAnsi="宋体" w:cs="TimesNewRomanPSMT"/>
          <w:b/>
          <w:bCs/>
          <w:color w:val="auto"/>
          <w:kern w:val="0"/>
          <w:sz w:val="24"/>
        </w:rPr>
        <w:t>（适用于非专门面向中小企业的项目）</w:t>
      </w:r>
    </w:p>
    <w:p w14:paraId="76609E81">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rPr>
        <w:t>对小型和微型企业</w:t>
      </w:r>
      <w:r>
        <w:rPr>
          <w:rFonts w:hint="eastAsia" w:ascii="宋体" w:hAnsi="宋体" w:cs="TimesNewRomanPSMT"/>
          <w:color w:val="auto"/>
          <w:kern w:val="0"/>
          <w:sz w:val="24"/>
          <w:lang w:val="en-US" w:eastAsia="zh-CN"/>
        </w:rPr>
        <w:t>报价</w:t>
      </w:r>
      <w:r>
        <w:rPr>
          <w:rFonts w:hint="eastAsia" w:ascii="宋体" w:hAnsi="宋体" w:cs="TimesNewRomanPSMT"/>
          <w:color w:val="auto"/>
          <w:kern w:val="0"/>
          <w:sz w:val="24"/>
        </w:rPr>
        <w:t>给予</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u w:val="single"/>
          <w:lang w:val="en-US" w:eastAsia="zh-CN"/>
        </w:rPr>
        <w:t>10</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10</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2</w:t>
      </w:r>
      <w:r>
        <w:rPr>
          <w:rFonts w:hint="eastAsia" w:ascii="宋体" w:hAnsi="宋体" w:cs="TimesNewRomanPSMT"/>
          <w:color w:val="auto"/>
          <w:kern w:val="0"/>
          <w:sz w:val="24"/>
        </w:rPr>
        <w:t>0%</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的扣除。或</w:t>
      </w:r>
    </w:p>
    <w:p w14:paraId="22A93357">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rPr>
      </w:pPr>
      <w:r>
        <w:rPr>
          <w:rFonts w:hint="eastAsia" w:ascii="宋体" w:hAnsi="宋体" w:cs="TimesNewRomanPSMT"/>
          <w:color w:val="auto"/>
          <w:kern w:val="0"/>
          <w:sz w:val="24"/>
          <w:lang w:val="en-US" w:eastAsia="zh-CN"/>
        </w:rPr>
        <w:t>大中型企业与小型、微型企业组成联合体，联合协议约定</w:t>
      </w:r>
      <w:r>
        <w:rPr>
          <w:rFonts w:hint="eastAsia" w:ascii="宋体" w:hAnsi="宋体" w:cs="TimesNewRomanPSMT"/>
          <w:color w:val="auto"/>
          <w:kern w:val="0"/>
          <w:sz w:val="24"/>
        </w:rPr>
        <w:t>小型、微型企业的合同</w:t>
      </w:r>
      <w:r>
        <w:rPr>
          <w:rFonts w:hint="eastAsia" w:ascii="宋体" w:hAnsi="宋体" w:cs="TimesNewRomanPSMT"/>
          <w:color w:val="auto"/>
          <w:kern w:val="0"/>
          <w:sz w:val="24"/>
          <w:lang w:val="en-US" w:eastAsia="zh-CN"/>
        </w:rPr>
        <w:t>份</w:t>
      </w:r>
      <w:r>
        <w:rPr>
          <w:rFonts w:hint="eastAsia" w:ascii="宋体" w:hAnsi="宋体" w:cs="TimesNewRomanPSMT"/>
          <w:color w:val="auto"/>
          <w:kern w:val="0"/>
          <w:sz w:val="24"/>
        </w:rPr>
        <w:t>额占到合同总金额</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0%以上的，联合体</w:t>
      </w:r>
      <w:r>
        <w:rPr>
          <w:rFonts w:hint="eastAsia" w:ascii="宋体" w:hAnsi="宋体" w:cs="TimesNewRomanPSMT"/>
          <w:color w:val="auto"/>
          <w:kern w:val="0"/>
          <w:sz w:val="24"/>
          <w:lang w:val="en-US" w:eastAsia="zh-CN"/>
        </w:rPr>
        <w:t>的报价给予</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u w:val="single"/>
          <w:lang w:val="en-US" w:eastAsia="zh-CN"/>
        </w:rPr>
        <w:t>4</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6</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的扣除。</w:t>
      </w:r>
    </w:p>
    <w:p w14:paraId="3B4B360D">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lang w:val="en-US" w:eastAsia="zh-CN"/>
        </w:rPr>
        <w:t>分包意向协议约定小型、微型企业的合同份额占到合同总金额40%以上的，大中型企业的报价给予</w:t>
      </w:r>
      <w:r>
        <w:rPr>
          <w:rFonts w:hint="eastAsia" w:ascii="宋体" w:hAnsi="宋体" w:cs="TimesNewRomanPSMT"/>
          <w:color w:val="auto"/>
          <w:kern w:val="0"/>
          <w:sz w:val="24"/>
          <w:u w:val="single"/>
          <w:lang w:val="en-US" w:eastAsia="zh-CN"/>
        </w:rPr>
        <w:t xml:space="preserve"> 4 </w:t>
      </w:r>
      <w:r>
        <w:rPr>
          <w:rFonts w:hint="eastAsia" w:ascii="宋体" w:hAnsi="宋体" w:cs="TimesNewRomanPSMT"/>
          <w:color w:val="auto"/>
          <w:kern w:val="0"/>
          <w:sz w:val="24"/>
          <w:lang w:val="en-US" w:eastAsia="zh-CN"/>
        </w:rPr>
        <w:t>%(4</w:t>
      </w:r>
      <w:r>
        <w:rPr>
          <w:rFonts w:hint="eastAsia" w:ascii="宋体" w:hAnsi="宋体" w:cs="TimesNewRomanPSMT"/>
          <w:color w:val="auto"/>
          <w:kern w:val="0"/>
          <w:sz w:val="24"/>
        </w:rPr>
        <w:t>%至</w:t>
      </w:r>
      <w:r>
        <w:rPr>
          <w:rFonts w:hint="eastAsia" w:ascii="宋体" w:hAnsi="宋体" w:cs="TimesNewRomanPSMT"/>
          <w:color w:val="auto"/>
          <w:kern w:val="0"/>
          <w:sz w:val="24"/>
          <w:lang w:val="en-US" w:eastAsia="zh-CN"/>
        </w:rPr>
        <w:t>6</w:t>
      </w:r>
      <w:r>
        <w:rPr>
          <w:rFonts w:hint="eastAsia" w:ascii="宋体" w:hAnsi="宋体" w:cs="TimesNewRomanPSMT"/>
          <w:color w:val="auto"/>
          <w:kern w:val="0"/>
          <w:sz w:val="24"/>
        </w:rPr>
        <w:t>%</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的扣除。</w:t>
      </w:r>
    </w:p>
    <w:p w14:paraId="4FE28819">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rPr>
      </w:pPr>
      <w:r>
        <w:rPr>
          <w:rFonts w:hint="eastAsia" w:ascii="宋体" w:hAnsi="宋体" w:cs="TimesNewRomanPSMT"/>
          <w:color w:val="auto"/>
          <w:kern w:val="0"/>
          <w:sz w:val="24"/>
        </w:rPr>
        <w:t>注</w:t>
      </w:r>
      <w:r>
        <w:rPr>
          <w:rFonts w:hint="eastAsia" w:ascii="宋体" w:hAnsi="宋体" w:cs="TimesNewRomanPSMT"/>
          <w:color w:val="auto"/>
          <w:kern w:val="0"/>
          <w:sz w:val="24"/>
          <w:lang w:eastAsia="zh-CN"/>
        </w:rPr>
        <w:t>:</w:t>
      </w:r>
      <w:r>
        <w:rPr>
          <w:rFonts w:hint="eastAsia" w:ascii="宋体" w:hAnsi="宋体" w:cs="TimesNewRomanPSMT"/>
          <w:color w:val="auto"/>
          <w:kern w:val="0"/>
          <w:sz w:val="24"/>
          <w:lang w:val="en-US" w:eastAsia="zh-CN"/>
        </w:rPr>
        <w:t>1）联合体各方均为小型、微型企业的，联合体视同小型、微型企业；</w:t>
      </w:r>
      <w:r>
        <w:rPr>
          <w:rFonts w:hint="eastAsia" w:ascii="宋体" w:hAnsi="宋体" w:cs="TimesNewRomanPSMT"/>
          <w:color w:val="auto"/>
          <w:kern w:val="0"/>
          <w:sz w:val="24"/>
        </w:rPr>
        <w:t>监狱企业、残疾人福利性单位视同小微企业；监狱企业、残疾人福利性单位属于小型、微型企业的，不重复享受政策。</w:t>
      </w:r>
    </w:p>
    <w:p w14:paraId="3EF3A0DE">
      <w:pPr>
        <w:tabs>
          <w:tab w:val="left" w:pos="993"/>
        </w:tabs>
        <w:autoSpaceDE w:val="0"/>
        <w:autoSpaceDN w:val="0"/>
        <w:adjustRightInd w:val="0"/>
        <w:snapToGrid w:val="0"/>
        <w:spacing w:afterLines="50"/>
        <w:ind w:left="1699" w:leftChars="809"/>
        <w:jc w:val="left"/>
        <w:rPr>
          <w:rFonts w:hint="eastAsia" w:ascii="宋体" w:hAnsi="宋体" w:cs="TimesNewRomanPSMT"/>
          <w:color w:val="auto"/>
          <w:kern w:val="0"/>
          <w:sz w:val="24"/>
          <w:lang w:val="en-US" w:eastAsia="zh-CN"/>
        </w:rPr>
      </w:pPr>
      <w:r>
        <w:rPr>
          <w:rFonts w:hint="eastAsia" w:ascii="宋体" w:hAnsi="宋体" w:cs="TimesNewRomanPSMT"/>
          <w:color w:val="auto"/>
          <w:kern w:val="0"/>
          <w:sz w:val="24"/>
          <w:lang w:val="en-US" w:eastAsia="zh-CN"/>
        </w:rPr>
        <w:t>2）</w:t>
      </w:r>
      <w:r>
        <w:rPr>
          <w:rFonts w:hint="eastAsia" w:ascii="宋体" w:hAnsi="宋体" w:cs="TimesNewRomanPSMT"/>
          <w:b/>
          <w:bCs/>
          <w:color w:val="auto"/>
          <w:kern w:val="0"/>
          <w:sz w:val="24"/>
          <w:lang w:val="en-US" w:eastAsia="zh-CN"/>
        </w:rPr>
        <w:t>适用政府采购法</w:t>
      </w:r>
      <w:r>
        <w:rPr>
          <w:rFonts w:hint="eastAsia" w:ascii="宋体" w:hAnsi="宋体" w:cs="TimesNewRomanPSMT"/>
          <w:color w:val="auto"/>
          <w:kern w:val="0"/>
          <w:sz w:val="24"/>
          <w:lang w:val="en-US" w:eastAsia="zh-CN"/>
        </w:rPr>
        <w:t>的政府采购项目对小微企业报价给予10%-20%的扣除；大中型企业与小微企业组成联合体或大中型企业向小微企业分包的，评审给予4%-6%的价格扣除，用扣除后的价格参与评审</w:t>
      </w:r>
      <w:r>
        <w:rPr>
          <w:rFonts w:hint="eastAsia" w:ascii="宋体" w:hAnsi="宋体" w:cs="TimesNewRomanPSMT"/>
          <w:b w:val="0"/>
          <w:bCs w:val="0"/>
          <w:color w:val="auto"/>
          <w:kern w:val="0"/>
          <w:sz w:val="24"/>
          <w:lang w:val="en-US" w:eastAsia="zh-CN"/>
        </w:rPr>
        <w:t>。</w:t>
      </w:r>
      <w:r>
        <w:rPr>
          <w:rFonts w:hint="eastAsia" w:ascii="宋体" w:hAnsi="宋体" w:cs="TimesNewRomanPSMT"/>
          <w:b/>
          <w:bCs/>
          <w:color w:val="auto"/>
          <w:kern w:val="0"/>
          <w:sz w:val="24"/>
          <w:lang w:val="en-US" w:eastAsia="zh-CN"/>
        </w:rPr>
        <w:t>适用招标投标法</w:t>
      </w:r>
      <w:r>
        <w:rPr>
          <w:rFonts w:hint="eastAsia" w:ascii="宋体" w:hAnsi="宋体" w:cs="TimesNewRomanPSMT"/>
          <w:color w:val="auto"/>
          <w:kern w:val="0"/>
          <w:sz w:val="24"/>
          <w:lang w:val="en-US" w:eastAsia="zh-CN"/>
        </w:rPr>
        <w:t>的政府采购工程建设项目，</w:t>
      </w:r>
      <w:r>
        <w:rPr>
          <w:rFonts w:hint="eastAsia" w:ascii="宋体" w:hAnsi="宋体" w:cs="TimesNewRomanPSMT"/>
          <w:b/>
          <w:bCs/>
          <w:color w:val="auto"/>
          <w:kern w:val="0"/>
          <w:sz w:val="24"/>
          <w:lang w:val="en-US" w:eastAsia="zh-CN"/>
        </w:rPr>
        <w:t>采用综合评估法但未采用低价优先法</w:t>
      </w:r>
      <w:r>
        <w:rPr>
          <w:rFonts w:hint="eastAsia" w:ascii="宋体" w:hAnsi="宋体" w:cs="TimesNewRomanPSMT"/>
          <w:color w:val="auto"/>
          <w:kern w:val="0"/>
          <w:sz w:val="24"/>
          <w:lang w:val="en-US" w:eastAsia="zh-CN"/>
        </w:rPr>
        <w:t>计算价格分的，评标时应当在采用原报价进行评分的基础上阶段性增加其价格得分的6%-10%作为其价格分。</w:t>
      </w:r>
    </w:p>
    <w:p w14:paraId="21F6212B">
      <w:pPr>
        <w:tabs>
          <w:tab w:val="left" w:pos="993"/>
        </w:tabs>
        <w:autoSpaceDE w:val="0"/>
        <w:autoSpaceDN w:val="0"/>
        <w:adjustRightInd w:val="0"/>
        <w:snapToGrid w:val="0"/>
        <w:spacing w:afterLines="50"/>
        <w:ind w:left="2041" w:leftChars="515" w:hanging="960" w:hangingChars="40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评标基准价</w:t>
      </w:r>
    </w:p>
    <w:p w14:paraId="07B73DBE">
      <w:pPr>
        <w:tabs>
          <w:tab w:val="left" w:pos="993"/>
        </w:tabs>
        <w:autoSpaceDE w:val="0"/>
        <w:autoSpaceDN w:val="0"/>
        <w:adjustRightInd w:val="0"/>
        <w:snapToGrid w:val="0"/>
        <w:spacing w:afterLines="50"/>
        <w:ind w:left="1699" w:leftChars="809"/>
        <w:jc w:val="left"/>
        <w:rPr>
          <w:rFonts w:ascii="宋体" w:hAnsi="宋体" w:cs="TimesNewRomanPSMT"/>
          <w:color w:val="auto"/>
          <w:kern w:val="0"/>
          <w:sz w:val="24"/>
        </w:rPr>
      </w:pPr>
      <w:r>
        <w:rPr>
          <w:rFonts w:hint="eastAsia" w:ascii="宋体" w:hAnsi="宋体" w:cs="TimesNewRomanPSMT"/>
          <w:color w:val="auto"/>
          <w:kern w:val="0"/>
          <w:sz w:val="24"/>
        </w:rPr>
        <w:t>有效投标文件中的并按</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_Ref426362176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hint="eastAsia"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w:t>
      </w: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进行调整的最低报价为评标基准价。</w:t>
      </w:r>
    </w:p>
    <w:p w14:paraId="7786C0AB">
      <w:pPr>
        <w:tabs>
          <w:tab w:val="left" w:pos="993"/>
        </w:tabs>
        <w:autoSpaceDE w:val="0"/>
        <w:autoSpaceDN w:val="0"/>
        <w:adjustRightInd w:val="0"/>
        <w:snapToGrid w:val="0"/>
        <w:spacing w:afterLines="50"/>
        <w:ind w:left="2041" w:leftChars="515" w:hanging="960" w:hangingChars="400"/>
        <w:jc w:val="left"/>
        <w:rPr>
          <w:rFonts w:hint="eastAsia" w:ascii="宋体" w:hAnsi="宋体" w:eastAsia="宋体" w:cs="TimesNewRomanPSMT"/>
          <w:color w:val="auto"/>
          <w:kern w:val="0"/>
          <w:sz w:val="24"/>
          <w:lang w:eastAsia="zh-CN"/>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投标人报价</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_Ref426362176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hint="eastAsia"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w:t>
      </w: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进行调整后价格</w:t>
      </w:r>
      <w:r>
        <w:rPr>
          <w:rFonts w:hint="eastAsia" w:ascii="宋体" w:hAnsi="宋体" w:cs="TimesNewRomanPSMT"/>
          <w:color w:val="auto"/>
          <w:kern w:val="0"/>
          <w:sz w:val="24"/>
          <w:lang w:eastAsia="zh-CN"/>
        </w:rPr>
        <w:t>)</w:t>
      </w:r>
      <w:r>
        <w:rPr>
          <w:rFonts w:hint="eastAsia" w:ascii="宋体" w:hAnsi="宋体" w:cs="TimesNewRomanPSMT"/>
          <w:color w:val="auto"/>
          <w:kern w:val="0"/>
          <w:sz w:val="24"/>
        </w:rPr>
        <w:t>得分</w:t>
      </w:r>
      <w:r>
        <w:rPr>
          <w:rFonts w:hint="eastAsia" w:ascii="宋体" w:hAnsi="宋体" w:cs="TimesNewRomanPSMT"/>
          <w:color w:val="auto"/>
          <w:kern w:val="0"/>
          <w:sz w:val="24"/>
          <w:lang w:eastAsia="zh-CN"/>
        </w:rPr>
        <w:t>:</w:t>
      </w:r>
    </w:p>
    <w:p w14:paraId="70A2A708">
      <w:pPr>
        <w:tabs>
          <w:tab w:val="left" w:pos="993"/>
        </w:tabs>
        <w:autoSpaceDE w:val="0"/>
        <w:autoSpaceDN w:val="0"/>
        <w:adjustRightInd w:val="0"/>
        <w:snapToGrid w:val="0"/>
        <w:spacing w:afterLines="50"/>
        <w:ind w:left="2039" w:leftChars="810" w:hanging="338" w:hangingChars="141"/>
        <w:jc w:val="left"/>
        <w:rPr>
          <w:rFonts w:hint="default" w:ascii="宋体" w:hAnsi="宋体" w:eastAsia="宋体" w:cs="TimesNewRomanPSMT"/>
          <w:color w:val="auto"/>
          <w:kern w:val="0"/>
          <w:sz w:val="24"/>
          <w:lang w:val="en-US" w:eastAsia="zh-CN"/>
        </w:rPr>
      </w:pPr>
      <w:r>
        <w:rPr>
          <w:rFonts w:hint="eastAsia" w:ascii="宋体" w:hAnsi="宋体" w:cs="TimesNewRomanPSMT"/>
          <w:color w:val="auto"/>
          <w:kern w:val="0"/>
          <w:sz w:val="24"/>
        </w:rPr>
        <w:t>投标报价得分=(评标基准价／投标报价)×</w:t>
      </w:r>
      <w:r>
        <w:rPr>
          <w:rFonts w:hint="eastAsia" w:ascii="宋体" w:hAnsi="宋体" w:cs="TimesNewRomanPSMT"/>
          <w:color w:val="auto"/>
          <w:kern w:val="0"/>
          <w:sz w:val="24"/>
          <w:lang w:val="en-US" w:eastAsia="zh-CN"/>
        </w:rPr>
        <w:t>报价最高分值</w:t>
      </w:r>
    </w:p>
    <w:p w14:paraId="3311E778">
      <w:pPr>
        <w:tabs>
          <w:tab w:val="left" w:pos="993"/>
        </w:tabs>
        <w:autoSpaceDE w:val="0"/>
        <w:autoSpaceDN w:val="0"/>
        <w:adjustRightInd w:val="0"/>
        <w:snapToGrid w:val="0"/>
        <w:spacing w:afterLines="50"/>
        <w:ind w:left="2039" w:leftChars="810" w:hanging="338" w:hangingChars="141"/>
        <w:jc w:val="left"/>
        <w:rPr>
          <w:rFonts w:ascii="宋体" w:hAnsi="宋体" w:cs="TimesNewRomanPSMT"/>
          <w:i/>
          <w:color w:val="auto"/>
          <w:kern w:val="0"/>
          <w:sz w:val="24"/>
        </w:rPr>
      </w:pPr>
    </w:p>
    <w:p w14:paraId="3463833F">
      <w:pPr>
        <w:numPr>
          <w:ilvl w:val="0"/>
          <w:numId w:val="8"/>
        </w:numPr>
        <w:tabs>
          <w:tab w:val="left" w:pos="993"/>
        </w:tabs>
        <w:autoSpaceDE w:val="0"/>
        <w:autoSpaceDN w:val="0"/>
        <w:adjustRightInd w:val="0"/>
        <w:snapToGrid w:val="0"/>
        <w:spacing w:afterLines="50"/>
        <w:ind w:left="993" w:hanging="993"/>
        <w:jc w:val="left"/>
        <w:outlineLvl w:val="1"/>
        <w:rPr>
          <w:rFonts w:ascii="黑体" w:hAnsi="TimesNewRomanPSMT" w:eastAsia="黑体" w:cs="TimesNewRomanPSMT"/>
          <w:color w:val="auto"/>
          <w:kern w:val="0"/>
          <w:sz w:val="24"/>
        </w:rPr>
      </w:pPr>
      <w:bookmarkStart w:id="141" w:name="_Toc388"/>
      <w:bookmarkStart w:id="142" w:name="_Toc22611"/>
      <w:bookmarkStart w:id="143" w:name="_Toc17270"/>
      <w:r>
        <w:rPr>
          <w:rFonts w:hint="eastAsia" w:ascii="黑体" w:hAnsi="TimesNewRomanPSMT" w:eastAsia="黑体" w:cs="TimesNewRomanPSMT"/>
          <w:color w:val="auto"/>
          <w:kern w:val="0"/>
          <w:sz w:val="24"/>
        </w:rPr>
        <w:t>评审程序</w:t>
      </w:r>
      <w:bookmarkEnd w:id="141"/>
      <w:bookmarkEnd w:id="142"/>
      <w:bookmarkEnd w:id="143"/>
    </w:p>
    <w:p w14:paraId="3FDAA58E">
      <w:pPr>
        <w:numPr>
          <w:ilvl w:val="1"/>
          <w:numId w:val="8"/>
        </w:numPr>
        <w:tabs>
          <w:tab w:val="left" w:pos="993"/>
        </w:tabs>
        <w:autoSpaceDE w:val="0"/>
        <w:autoSpaceDN w:val="0"/>
        <w:adjustRightInd w:val="0"/>
        <w:snapToGrid w:val="0"/>
        <w:spacing w:afterLines="50"/>
        <w:jc w:val="left"/>
        <w:outlineLvl w:val="2"/>
        <w:rPr>
          <w:rFonts w:hint="eastAsia" w:ascii="宋体" w:hAnsi="宋体" w:cs="TimesNewRomanPSMT"/>
          <w:color w:val="auto"/>
          <w:kern w:val="0"/>
          <w:sz w:val="24"/>
        </w:rPr>
      </w:pPr>
      <w:r>
        <w:rPr>
          <w:rFonts w:hint="eastAsia" w:ascii="宋体" w:hAnsi="宋体" w:cs="TimesNewRomanPSMT"/>
          <w:color w:val="auto"/>
          <w:kern w:val="0"/>
          <w:sz w:val="24"/>
        </w:rPr>
        <w:t>符合性检查</w:t>
      </w:r>
    </w:p>
    <w:p w14:paraId="02726D85">
      <w:pPr>
        <w:numPr>
          <w:ilvl w:val="2"/>
          <w:numId w:val="8"/>
        </w:numPr>
        <w:tabs>
          <w:tab w:val="left" w:pos="993"/>
          <w:tab w:val="left" w:pos="1077"/>
        </w:tabs>
        <w:autoSpaceDE w:val="0"/>
        <w:autoSpaceDN w:val="0"/>
        <w:adjustRightInd w:val="0"/>
        <w:snapToGrid w:val="0"/>
        <w:spacing w:before="120"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评标委员会按附表二所列标准，对投标文件的有效性、完整性和对招标文件的响应程度进行审查，以确定是否对招标文件的实质性要求作出响应。</w:t>
      </w:r>
    </w:p>
    <w:p w14:paraId="3A4CA565">
      <w:pPr>
        <w:numPr>
          <w:ilvl w:val="2"/>
          <w:numId w:val="8"/>
        </w:numPr>
        <w:tabs>
          <w:tab w:val="left" w:pos="993"/>
          <w:tab w:val="left" w:pos="1077"/>
        </w:tabs>
        <w:autoSpaceDE w:val="0"/>
        <w:autoSpaceDN w:val="0"/>
        <w:adjustRightInd w:val="0"/>
        <w:snapToGrid w:val="0"/>
        <w:spacing w:before="120"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澄清有关问题。</w:t>
      </w:r>
    </w:p>
    <w:p w14:paraId="77A61D9D">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w:t>
      </w:r>
    </w:p>
    <w:p w14:paraId="7D58CAD6">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评标委员会不接受投标人主动提出的澄清、说明或补正。</w:t>
      </w:r>
    </w:p>
    <w:p w14:paraId="47C08605">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投标人的书面澄清、说明和补正属于投标文件的组成部分。</w:t>
      </w:r>
    </w:p>
    <w:p w14:paraId="246C32C9">
      <w:pPr>
        <w:tabs>
          <w:tab w:val="left" w:pos="993"/>
          <w:tab w:val="left" w:pos="1418"/>
        </w:tabs>
        <w:autoSpaceDE w:val="0"/>
        <w:autoSpaceDN w:val="0"/>
        <w:adjustRightInd w:val="0"/>
        <w:snapToGrid w:val="0"/>
        <w:spacing w:before="120" w:afterLines="50"/>
        <w:ind w:left="1699" w:leftChars="472" w:hanging="708" w:hangingChars="295"/>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4</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评标委员会对投标人提交的澄清、说明或补正有疑问的，可以要求投标人进一步澄清、说明或补正，直至满足评标委员会的要求。</w:t>
      </w:r>
    </w:p>
    <w:p w14:paraId="4BB351FD">
      <w:pPr>
        <w:numPr>
          <w:ilvl w:val="2"/>
          <w:numId w:val="8"/>
        </w:numPr>
        <w:tabs>
          <w:tab w:val="left" w:pos="993"/>
          <w:tab w:val="left" w:pos="1077"/>
        </w:tabs>
        <w:autoSpaceDE w:val="0"/>
        <w:autoSpaceDN w:val="0"/>
        <w:adjustRightInd w:val="0"/>
        <w:snapToGrid w:val="0"/>
        <w:spacing w:before="120"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投标文件报价出现前后不一致的，除招标文件另有规定外，按照下列规定修正</w:t>
      </w:r>
      <w:r>
        <w:rPr>
          <w:rFonts w:hint="eastAsia" w:ascii="宋体" w:hAnsi="宋体" w:cs="TimesNewRomanPSMT"/>
          <w:color w:val="auto"/>
          <w:kern w:val="0"/>
          <w:sz w:val="24"/>
          <w:lang w:eastAsia="zh-CN"/>
        </w:rPr>
        <w:t>:</w:t>
      </w:r>
    </w:p>
    <w:p w14:paraId="7197478A">
      <w:pPr>
        <w:tabs>
          <w:tab w:val="left" w:pos="993"/>
        </w:tabs>
        <w:autoSpaceDE w:val="0"/>
        <w:autoSpaceDN w:val="0"/>
        <w:adjustRightInd w:val="0"/>
        <w:snapToGrid w:val="0"/>
        <w:spacing w:afterLines="50"/>
        <w:ind w:left="1696" w:leftChars="513" w:hanging="619" w:hangingChars="258"/>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投标文件中开标一览表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内容与投标文件中相应内容不一致的，以开标一览表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为准；</w:t>
      </w:r>
    </w:p>
    <w:p w14:paraId="3D4487D0">
      <w:pPr>
        <w:tabs>
          <w:tab w:val="left" w:pos="993"/>
        </w:tabs>
        <w:autoSpaceDE w:val="0"/>
        <w:autoSpaceDN w:val="0"/>
        <w:adjustRightInd w:val="0"/>
        <w:snapToGrid w:val="0"/>
        <w:spacing w:afterLines="50"/>
        <w:ind w:left="1696" w:leftChars="513" w:hanging="619" w:hangingChars="258"/>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大写金额和小写金额不一致的，以大写金额为准；</w:t>
      </w:r>
    </w:p>
    <w:p w14:paraId="28C9D23A">
      <w:pPr>
        <w:tabs>
          <w:tab w:val="left" w:pos="993"/>
        </w:tabs>
        <w:autoSpaceDE w:val="0"/>
        <w:autoSpaceDN w:val="0"/>
        <w:adjustRightInd w:val="0"/>
        <w:snapToGrid w:val="0"/>
        <w:spacing w:afterLines="50"/>
        <w:ind w:left="1696" w:leftChars="513" w:hanging="619" w:hangingChars="258"/>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3</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单价金额小数点或者百分比有明显错位的，以开标一览表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报价表</w:t>
      </w:r>
      <w:r>
        <w:rPr>
          <w:rFonts w:hint="eastAsia" w:ascii="宋体" w:hAnsi="宋体" w:cs="TimesNewRomanPSMT"/>
          <w:color w:val="auto"/>
          <w:kern w:val="0"/>
          <w:sz w:val="24"/>
          <w:lang w:eastAsia="zh-CN"/>
        </w:rPr>
        <w:t>)</w:t>
      </w:r>
      <w:r>
        <w:rPr>
          <w:rFonts w:hint="eastAsia" w:ascii="宋体" w:hAnsi="宋体" w:cs="TimesNewRomanPSMT"/>
          <w:color w:val="auto"/>
          <w:kern w:val="0"/>
          <w:sz w:val="24"/>
        </w:rPr>
        <w:t>的总价为准，并修改单价；</w:t>
      </w:r>
    </w:p>
    <w:p w14:paraId="6CEE0186">
      <w:pPr>
        <w:tabs>
          <w:tab w:val="left" w:pos="993"/>
        </w:tabs>
        <w:autoSpaceDE w:val="0"/>
        <w:autoSpaceDN w:val="0"/>
        <w:adjustRightInd w:val="0"/>
        <w:snapToGrid w:val="0"/>
        <w:spacing w:afterLines="50"/>
        <w:ind w:left="1696" w:leftChars="513" w:hanging="619" w:hangingChars="258"/>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hint="eastAsia" w:ascii="宋体" w:hAnsi="宋体" w:cs="TimesNewRomanPSMT"/>
          <w:color w:val="auto"/>
          <w:kern w:val="0"/>
          <w:sz w:val="24"/>
        </w:rPr>
        <w:t>4</w:t>
      </w:r>
      <w:r>
        <w:rPr>
          <w:rFonts w:hint="eastAsia" w:ascii="宋体" w:hAnsi="宋体" w:cs="TimesNewRomanPSMT"/>
          <w:color w:val="auto"/>
          <w:kern w:val="0"/>
          <w:sz w:val="24"/>
          <w:lang w:eastAsia="zh-CN"/>
        </w:rPr>
        <w:t>)</w:t>
      </w:r>
      <w:r>
        <w:rPr>
          <w:rFonts w:hint="eastAsia" w:ascii="宋体" w:hAnsi="宋体" w:cs="TimesNewRomanPSMT"/>
          <w:color w:val="auto"/>
          <w:kern w:val="0"/>
          <w:sz w:val="24"/>
        </w:rPr>
        <w:tab/>
      </w:r>
      <w:r>
        <w:rPr>
          <w:rFonts w:hint="eastAsia" w:ascii="宋体" w:hAnsi="宋体" w:cs="TimesNewRomanPSMT"/>
          <w:color w:val="auto"/>
          <w:kern w:val="0"/>
          <w:sz w:val="24"/>
        </w:rPr>
        <w:t>总价金额与按单价汇总金额不一致的，以单价金额计算结果为准。</w:t>
      </w:r>
    </w:p>
    <w:p w14:paraId="39608BD4">
      <w:pPr>
        <w:tabs>
          <w:tab w:val="left" w:pos="993"/>
        </w:tabs>
        <w:snapToGrid w:val="0"/>
        <w:spacing w:afterLines="50"/>
        <w:ind w:left="991" w:leftChars="472" w:firstLine="2"/>
        <w:rPr>
          <w:rFonts w:ascii="宋体" w:hAnsi="宋体"/>
          <w:color w:val="auto"/>
          <w:sz w:val="24"/>
        </w:rPr>
      </w:pPr>
      <w:r>
        <w:rPr>
          <w:rFonts w:hint="eastAsia" w:ascii="宋体" w:hAnsi="宋体"/>
          <w:color w:val="auto"/>
          <w:sz w:val="24"/>
        </w:rPr>
        <w:t>同时出现两种以上不一致的，按照前款规定的顺序修正。修正后的报价经投标人确认后产生约束力，投标人不确认的，其投标无效。</w:t>
      </w:r>
    </w:p>
    <w:p w14:paraId="0E78851B">
      <w:pPr>
        <w:tabs>
          <w:tab w:val="left" w:pos="993"/>
        </w:tabs>
        <w:snapToGrid w:val="0"/>
        <w:spacing w:afterLines="50"/>
        <w:ind w:left="991" w:leftChars="472" w:firstLine="2"/>
        <w:rPr>
          <w:rFonts w:ascii="宋体" w:hAnsi="宋体"/>
          <w:color w:val="auto"/>
          <w:sz w:val="24"/>
        </w:rPr>
      </w:pPr>
      <w:r>
        <w:rPr>
          <w:rFonts w:hint="eastAsia" w:ascii="宋体" w:hAnsi="宋体"/>
          <w:color w:val="auto"/>
          <w:sz w:val="24"/>
        </w:rPr>
        <w:t>投标人的确认应当采用书面形式，并加盖公章，或者由法定代表人或其授权的代表签字。</w:t>
      </w:r>
    </w:p>
    <w:p w14:paraId="73CABFD1">
      <w:pPr>
        <w:numPr>
          <w:ilvl w:val="1"/>
          <w:numId w:val="8"/>
        </w:numPr>
        <w:tabs>
          <w:tab w:val="left" w:pos="993"/>
        </w:tabs>
        <w:autoSpaceDE w:val="0"/>
        <w:autoSpaceDN w:val="0"/>
        <w:adjustRightInd w:val="0"/>
        <w:snapToGrid w:val="0"/>
        <w:spacing w:afterLines="50"/>
        <w:jc w:val="left"/>
        <w:outlineLvl w:val="2"/>
        <w:rPr>
          <w:rFonts w:hint="eastAsia" w:ascii="宋体" w:hAnsi="宋体" w:cs="TimesNewRomanPSMT"/>
          <w:color w:val="auto"/>
          <w:kern w:val="0"/>
          <w:sz w:val="24"/>
        </w:rPr>
      </w:pPr>
      <w:r>
        <w:rPr>
          <w:rFonts w:hint="eastAsia" w:ascii="宋体" w:hAnsi="宋体" w:cs="TimesNewRomanPSMT"/>
          <w:color w:val="auto"/>
          <w:kern w:val="0"/>
          <w:sz w:val="24"/>
        </w:rPr>
        <w:t>商务和技术评审</w:t>
      </w:r>
    </w:p>
    <w:p w14:paraId="0FAEB795">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比较与评价</w:t>
      </w:r>
    </w:p>
    <w:p w14:paraId="006A7693">
      <w:pPr>
        <w:tabs>
          <w:tab w:val="left" w:pos="993"/>
        </w:tabs>
        <w:autoSpaceDE w:val="0"/>
        <w:autoSpaceDN w:val="0"/>
        <w:adjustRightInd w:val="0"/>
        <w:snapToGrid w:val="0"/>
        <w:spacing w:before="120" w:afterLines="50"/>
        <w:ind w:left="991" w:leftChars="472"/>
        <w:jc w:val="left"/>
        <w:rPr>
          <w:rFonts w:hAnsi="宋体" w:cs="宋体"/>
          <w:color w:val="auto"/>
          <w:sz w:val="24"/>
        </w:rPr>
      </w:pPr>
      <w:r>
        <w:rPr>
          <w:rFonts w:hint="eastAsia" w:ascii="宋体" w:hAnsi="宋体" w:cs="TimesNewRomanPSMT"/>
          <w:color w:val="auto"/>
          <w:kern w:val="0"/>
          <w:sz w:val="24"/>
        </w:rPr>
        <w:t>评标委员会按本章第</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_Ref426362114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ascii="宋体" w:hAnsi="宋体" w:cs="TimesNewRomanPSMT"/>
          <w:color w:val="auto"/>
          <w:kern w:val="0"/>
          <w:sz w:val="24"/>
        </w:rPr>
        <w:t>3.3</w:t>
      </w:r>
      <w:r>
        <w:rPr>
          <w:rFonts w:ascii="宋体" w:hAnsi="宋体" w:cs="TimesNewRomanPSMT"/>
          <w:color w:val="auto"/>
          <w:kern w:val="0"/>
          <w:sz w:val="24"/>
        </w:rPr>
        <w:fldChar w:fldCharType="end"/>
      </w:r>
      <w:r>
        <w:rPr>
          <w:rFonts w:hint="eastAsia" w:ascii="宋体" w:hAnsi="宋体" w:cs="TimesNewRomanPSMT"/>
          <w:color w:val="auto"/>
          <w:kern w:val="0"/>
          <w:sz w:val="24"/>
        </w:rPr>
        <w:t>款[详细评审标准]</w:t>
      </w:r>
      <w:r>
        <w:rPr>
          <w:rFonts w:hint="eastAsia" w:hAnsi="宋体" w:cs="宋体"/>
          <w:color w:val="auto"/>
          <w:sz w:val="24"/>
        </w:rPr>
        <w:t>对资格审查合格且符合性审查合格的投标文件进行商务和技术评估，综合比较与评价。</w:t>
      </w:r>
    </w:p>
    <w:p w14:paraId="17C8784E">
      <w:pPr>
        <w:tabs>
          <w:tab w:val="left" w:pos="993"/>
        </w:tabs>
        <w:autoSpaceDE w:val="0"/>
        <w:autoSpaceDN w:val="0"/>
        <w:adjustRightInd w:val="0"/>
        <w:snapToGrid w:val="0"/>
        <w:spacing w:before="120" w:afterLines="50"/>
        <w:ind w:left="991" w:leftChars="472"/>
        <w:jc w:val="left"/>
        <w:rPr>
          <w:rFonts w:hAnsi="宋体" w:cs="宋体"/>
          <w:color w:val="auto"/>
          <w:sz w:val="24"/>
        </w:rPr>
      </w:pPr>
      <w:r>
        <w:rPr>
          <w:rFonts w:hint="eastAsia" w:ascii="宋体" w:hAnsi="宋体"/>
          <w:color w:val="auto"/>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C603637">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评标委员会按本章第</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_Ref426362114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ascii="宋体" w:hAnsi="宋体" w:cs="TimesNewRomanPSMT"/>
          <w:color w:val="auto"/>
          <w:kern w:val="0"/>
          <w:sz w:val="24"/>
        </w:rPr>
        <w:t>3.3</w:t>
      </w:r>
      <w:r>
        <w:rPr>
          <w:rFonts w:ascii="宋体" w:hAnsi="宋体" w:cs="TimesNewRomanPSMT"/>
          <w:color w:val="auto"/>
          <w:kern w:val="0"/>
          <w:sz w:val="24"/>
        </w:rPr>
        <w:fldChar w:fldCharType="end"/>
      </w:r>
      <w:r>
        <w:rPr>
          <w:rFonts w:hint="eastAsia" w:ascii="宋体" w:hAnsi="宋体" w:cs="TimesNewRomanPSMT"/>
          <w:color w:val="auto"/>
          <w:kern w:val="0"/>
          <w:sz w:val="24"/>
        </w:rPr>
        <w:t>款规定的量化因素和分值进行打分，并计算出综合评估得分。</w:t>
      </w:r>
    </w:p>
    <w:p w14:paraId="2632B0B5">
      <w:pPr>
        <w:tabs>
          <w:tab w:val="left" w:pos="993"/>
        </w:tabs>
        <w:autoSpaceDE w:val="0"/>
        <w:autoSpaceDN w:val="0"/>
        <w:adjustRightInd w:val="0"/>
        <w:snapToGrid w:val="0"/>
        <w:spacing w:afterLines="50"/>
        <w:ind w:left="1679" w:leftChars="514" w:hanging="600" w:hangingChars="25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ascii="宋体" w:hAnsi="宋体" w:cs="TimesNewRomanPSMT"/>
          <w:color w:val="auto"/>
          <w:kern w:val="0"/>
          <w:sz w:val="24"/>
        </w:rPr>
        <w:t>1</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按本章第</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_Ref426362140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ascii="宋体" w:hAnsi="宋体" w:cs="TimesNewRomanPSMT"/>
          <w:color w:val="auto"/>
          <w:kern w:val="0"/>
          <w:sz w:val="24"/>
        </w:rPr>
        <w:t>3.3.1</w:t>
      </w:r>
      <w:r>
        <w:rPr>
          <w:rFonts w:ascii="宋体" w:hAnsi="宋体" w:cs="TimesNewRomanPSMT"/>
          <w:color w:val="auto"/>
          <w:kern w:val="0"/>
          <w:sz w:val="24"/>
        </w:rPr>
        <w:fldChar w:fldCharType="end"/>
      </w:r>
      <w:r>
        <w:rPr>
          <w:rFonts w:hint="eastAsia" w:ascii="宋体" w:hAnsi="宋体" w:cs="TimesNewRomanPSMT"/>
          <w:color w:val="auto"/>
          <w:kern w:val="0"/>
          <w:sz w:val="24"/>
        </w:rPr>
        <w:t>项规定的评审因素和分值对商务</w:t>
      </w:r>
      <w:r>
        <w:rPr>
          <w:rFonts w:hint="eastAsia" w:ascii="宋体" w:hAnsi="宋体" w:cs="TimesNewRomanPSMT"/>
          <w:color w:val="auto"/>
          <w:kern w:val="0"/>
          <w:sz w:val="24"/>
          <w:lang w:val="en-US" w:eastAsia="zh-CN"/>
        </w:rPr>
        <w:t>技术</w:t>
      </w:r>
      <w:r>
        <w:rPr>
          <w:rFonts w:hint="eastAsia" w:ascii="宋体" w:hAnsi="宋体" w:cs="TimesNewRomanPSMT"/>
          <w:color w:val="auto"/>
          <w:kern w:val="0"/>
          <w:sz w:val="24"/>
        </w:rPr>
        <w:t>部分计算出得分</w:t>
      </w:r>
      <w:r>
        <w:rPr>
          <w:rFonts w:ascii="宋体" w:hAnsi="宋体" w:cs="TimesNewRomanPSMT"/>
          <w:color w:val="auto"/>
          <w:kern w:val="0"/>
          <w:sz w:val="24"/>
        </w:rPr>
        <w:t>A</w:t>
      </w:r>
      <w:r>
        <w:rPr>
          <w:rFonts w:hint="eastAsia" w:ascii="宋体" w:hAnsi="宋体" w:cs="TimesNewRomanPSMT"/>
          <w:color w:val="auto"/>
          <w:kern w:val="0"/>
          <w:sz w:val="24"/>
        </w:rPr>
        <w:t>；</w:t>
      </w:r>
    </w:p>
    <w:p w14:paraId="46F2C542">
      <w:pPr>
        <w:tabs>
          <w:tab w:val="left" w:pos="993"/>
        </w:tabs>
        <w:autoSpaceDE w:val="0"/>
        <w:autoSpaceDN w:val="0"/>
        <w:adjustRightInd w:val="0"/>
        <w:snapToGrid w:val="0"/>
        <w:spacing w:afterLines="50"/>
        <w:ind w:left="1679" w:leftChars="514" w:hanging="600" w:hangingChars="250"/>
        <w:jc w:val="left"/>
        <w:rPr>
          <w:rFonts w:ascii="宋体" w:hAnsi="宋体" w:cs="TimesNewRomanPSMT"/>
          <w:color w:val="auto"/>
          <w:kern w:val="0"/>
          <w:sz w:val="24"/>
        </w:rPr>
      </w:pPr>
      <w:r>
        <w:rPr>
          <w:rFonts w:hint="eastAsia" w:ascii="宋体" w:hAnsi="宋体" w:cs="TimesNewRomanPSMT"/>
          <w:color w:val="auto"/>
          <w:kern w:val="0"/>
          <w:sz w:val="24"/>
          <w:lang w:eastAsia="zh-CN"/>
        </w:rPr>
        <w:t>(</w:t>
      </w:r>
      <w:r>
        <w:rPr>
          <w:rFonts w:ascii="宋体" w:hAnsi="宋体" w:cs="TimesNewRomanPSMT"/>
          <w:color w:val="auto"/>
          <w:kern w:val="0"/>
          <w:sz w:val="24"/>
        </w:rPr>
        <w:t>2</w:t>
      </w:r>
      <w:r>
        <w:rPr>
          <w:rFonts w:hint="eastAsia" w:ascii="宋体" w:hAnsi="宋体" w:cs="TimesNewRomanPSMT"/>
          <w:color w:val="auto"/>
          <w:kern w:val="0"/>
          <w:sz w:val="24"/>
          <w:lang w:eastAsia="zh-CN"/>
        </w:rPr>
        <w:t>)</w:t>
      </w:r>
      <w:r>
        <w:rPr>
          <w:rFonts w:hint="eastAsia" w:ascii="宋体" w:hAnsi="宋体" w:cs="TimesNewRomanPSMT"/>
          <w:color w:val="auto"/>
          <w:kern w:val="0"/>
          <w:sz w:val="24"/>
        </w:rPr>
        <w:t>按本章第</w:t>
      </w:r>
      <w:r>
        <w:rPr>
          <w:rFonts w:ascii="宋体" w:hAnsi="宋体" w:cs="TimesNewRomanPSMT"/>
          <w:color w:val="auto"/>
          <w:kern w:val="0"/>
          <w:sz w:val="24"/>
        </w:rPr>
        <w:fldChar w:fldCharType="begin"/>
      </w:r>
      <w:r>
        <w:rPr>
          <w:rFonts w:ascii="宋体" w:hAnsi="宋体" w:cs="TimesNewRomanPSMT"/>
          <w:color w:val="auto"/>
          <w:kern w:val="0"/>
          <w:sz w:val="24"/>
        </w:rPr>
        <w:instrText xml:space="preserve"> </w:instrText>
      </w:r>
      <w:r>
        <w:rPr>
          <w:rFonts w:hint="eastAsia" w:ascii="宋体" w:hAnsi="宋体" w:cs="TimesNewRomanPSMT"/>
          <w:color w:val="auto"/>
          <w:kern w:val="0"/>
          <w:sz w:val="24"/>
        </w:rPr>
        <w:instrText xml:space="preserve">REF _Ref426362158 \r \h</w:instrText>
      </w:r>
      <w:r>
        <w:rPr>
          <w:rFonts w:ascii="宋体" w:hAnsi="宋体" w:cs="TimesNewRomanPSMT"/>
          <w:color w:val="auto"/>
          <w:kern w:val="0"/>
          <w:sz w:val="24"/>
        </w:rPr>
        <w:instrText xml:space="preserve"> </w:instrText>
      </w:r>
      <w:r>
        <w:rPr>
          <w:rFonts w:ascii="宋体" w:hAnsi="宋体" w:cs="TimesNewRomanPSMT"/>
          <w:color w:val="auto"/>
          <w:kern w:val="0"/>
          <w:sz w:val="24"/>
        </w:rPr>
        <w:fldChar w:fldCharType="separate"/>
      </w:r>
      <w:r>
        <w:rPr>
          <w:rFonts w:ascii="宋体" w:hAnsi="宋体" w:cs="TimesNewRomanPSMT"/>
          <w:color w:val="auto"/>
          <w:kern w:val="0"/>
          <w:sz w:val="24"/>
        </w:rPr>
        <w:t>3.3.2</w:t>
      </w:r>
      <w:r>
        <w:rPr>
          <w:rFonts w:ascii="宋体" w:hAnsi="宋体" w:cs="TimesNewRomanPSMT"/>
          <w:color w:val="auto"/>
          <w:kern w:val="0"/>
          <w:sz w:val="24"/>
        </w:rPr>
        <w:fldChar w:fldCharType="end"/>
      </w:r>
      <w:r>
        <w:rPr>
          <w:rFonts w:hint="eastAsia" w:ascii="宋体" w:hAnsi="宋体" w:cs="TimesNewRomanPSMT"/>
          <w:color w:val="auto"/>
          <w:kern w:val="0"/>
          <w:sz w:val="24"/>
        </w:rPr>
        <w:t>项规定的评审因素和分值对</w:t>
      </w:r>
      <w:r>
        <w:rPr>
          <w:rFonts w:hint="eastAsia" w:ascii="宋体" w:hAnsi="宋体" w:cs="TimesNewRomanPSMT"/>
          <w:color w:val="auto"/>
          <w:kern w:val="0"/>
          <w:sz w:val="24"/>
          <w:lang w:val="en-US" w:eastAsia="zh-CN"/>
        </w:rPr>
        <w:t>报价</w:t>
      </w:r>
      <w:r>
        <w:rPr>
          <w:rFonts w:hint="eastAsia" w:ascii="宋体" w:hAnsi="宋体" w:cs="TimesNewRomanPSMT"/>
          <w:color w:val="auto"/>
          <w:kern w:val="0"/>
          <w:sz w:val="24"/>
        </w:rPr>
        <w:t>部分计算出得分</w:t>
      </w:r>
      <w:r>
        <w:rPr>
          <w:rFonts w:ascii="宋体" w:hAnsi="宋体" w:cs="TimesNewRomanPSMT"/>
          <w:color w:val="auto"/>
          <w:kern w:val="0"/>
          <w:sz w:val="24"/>
        </w:rPr>
        <w:t>B</w:t>
      </w:r>
      <w:r>
        <w:rPr>
          <w:rFonts w:hint="eastAsia" w:ascii="宋体" w:hAnsi="宋体" w:cs="TimesNewRomanPSMT"/>
          <w:color w:val="auto"/>
          <w:kern w:val="0"/>
          <w:sz w:val="24"/>
        </w:rPr>
        <w:t>；</w:t>
      </w:r>
    </w:p>
    <w:p w14:paraId="301ACDD5">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评分分值计算保留小数点后两位，小数点后第三位“四舍五入”。</w:t>
      </w:r>
    </w:p>
    <w:p w14:paraId="1A01B3E7">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投标人得分</w:t>
      </w:r>
      <w:r>
        <w:rPr>
          <w:rFonts w:ascii="宋体" w:hAnsi="宋体" w:cs="TimesNewRomanPSMT"/>
          <w:color w:val="auto"/>
          <w:kern w:val="0"/>
          <w:sz w:val="24"/>
        </w:rPr>
        <w:t>=</w:t>
      </w:r>
      <w:r>
        <w:rPr>
          <w:rFonts w:hint="eastAsia" w:ascii="宋体" w:hAnsi="宋体" w:cs="TimesNewRomanPSMT"/>
          <w:color w:val="auto"/>
          <w:kern w:val="0"/>
          <w:sz w:val="24"/>
        </w:rPr>
        <w:t>A＋B</w:t>
      </w:r>
    </w:p>
    <w:p w14:paraId="2E4ED213">
      <w:pPr>
        <w:numPr>
          <w:ilvl w:val="1"/>
          <w:numId w:val="8"/>
        </w:numPr>
        <w:tabs>
          <w:tab w:val="left" w:pos="993"/>
        </w:tabs>
        <w:autoSpaceDE w:val="0"/>
        <w:autoSpaceDN w:val="0"/>
        <w:adjustRightInd w:val="0"/>
        <w:snapToGrid w:val="0"/>
        <w:spacing w:afterLines="50"/>
        <w:jc w:val="left"/>
        <w:outlineLvl w:val="2"/>
        <w:rPr>
          <w:rFonts w:hint="eastAsia" w:ascii="宋体" w:hAnsi="宋体" w:cs="TimesNewRomanPSMT"/>
          <w:color w:val="auto"/>
          <w:kern w:val="0"/>
          <w:sz w:val="24"/>
        </w:rPr>
      </w:pPr>
      <w:r>
        <w:rPr>
          <w:rFonts w:hint="eastAsia" w:ascii="宋体" w:hAnsi="宋体" w:cs="TimesNewRomanPSMT"/>
          <w:color w:val="auto"/>
          <w:kern w:val="0"/>
          <w:sz w:val="24"/>
        </w:rPr>
        <w:t>评标结果</w:t>
      </w:r>
    </w:p>
    <w:p w14:paraId="33DE0238">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除第二章“投标人须知”前附表授权直接确定中标人外，评标委员会按照得分由高到低的顺序推荐中标候选人。</w:t>
      </w:r>
    </w:p>
    <w:p w14:paraId="1DEA553E">
      <w:pPr>
        <w:numPr>
          <w:ilvl w:val="2"/>
          <w:numId w:val="8"/>
        </w:numPr>
        <w:tabs>
          <w:tab w:val="left" w:pos="993"/>
        </w:tabs>
        <w:autoSpaceDE w:val="0"/>
        <w:autoSpaceDN w:val="0"/>
        <w:adjustRightInd w:val="0"/>
        <w:snapToGrid w:val="0"/>
        <w:spacing w:afterLines="50"/>
        <w:ind w:left="993" w:hanging="993"/>
        <w:jc w:val="left"/>
        <w:rPr>
          <w:rFonts w:ascii="宋体" w:hAnsi="宋体" w:cs="TimesNewRomanPSMT"/>
          <w:color w:val="auto"/>
          <w:kern w:val="0"/>
          <w:sz w:val="24"/>
        </w:rPr>
      </w:pPr>
      <w:r>
        <w:rPr>
          <w:rFonts w:hint="eastAsia" w:ascii="宋体" w:hAnsi="宋体" w:cs="TimesNewRomanPSMT"/>
          <w:color w:val="auto"/>
          <w:kern w:val="0"/>
          <w:sz w:val="24"/>
        </w:rPr>
        <w:t>评标委员会完成评标后，应当向采购人提交书面评标报告。</w:t>
      </w:r>
    </w:p>
    <w:p w14:paraId="49EF16DC">
      <w:pPr>
        <w:snapToGrid w:val="0"/>
        <w:spacing w:afterLines="50"/>
        <w:ind w:left="1591" w:leftChars="472" w:hanging="600" w:hangingChars="250"/>
        <w:rPr>
          <w:rFonts w:ascii="宋体" w:hAnsi="宋体"/>
          <w:color w:val="auto"/>
          <w:sz w:val="24"/>
        </w:rPr>
      </w:pPr>
    </w:p>
    <w:p w14:paraId="3865B94D">
      <w:pPr>
        <w:numPr>
          <w:ilvl w:val="0"/>
          <w:numId w:val="0"/>
        </w:numPr>
        <w:snapToGrid w:val="0"/>
        <w:spacing w:afterLines="50"/>
        <w:ind w:left="420" w:leftChars="200"/>
        <w:rPr>
          <w:rFonts w:ascii="宋体" w:hAnsi="宋体"/>
          <w:color w:val="auto"/>
          <w:sz w:val="24"/>
        </w:rPr>
      </w:pPr>
    </w:p>
    <w:p w14:paraId="0B04F195">
      <w:pPr>
        <w:snapToGrid w:val="0"/>
        <w:spacing w:afterLines="50"/>
        <w:ind w:left="1591" w:leftChars="472" w:hanging="600" w:hangingChars="250"/>
        <w:rPr>
          <w:rFonts w:ascii="宋体" w:hAnsi="宋体"/>
          <w:color w:val="auto"/>
          <w:sz w:val="24"/>
        </w:rPr>
      </w:pPr>
    </w:p>
    <w:p w14:paraId="5C8FC877">
      <w:pPr>
        <w:snapToGrid w:val="0"/>
        <w:spacing w:afterLines="50"/>
        <w:ind w:left="1591" w:leftChars="472" w:hanging="600" w:hangingChars="250"/>
        <w:rPr>
          <w:rFonts w:ascii="宋体" w:hAnsi="宋体"/>
          <w:color w:val="auto"/>
          <w:sz w:val="24"/>
        </w:rPr>
      </w:pPr>
    </w:p>
    <w:p w14:paraId="16F9CDC7">
      <w:pPr>
        <w:tabs>
          <w:tab w:val="left" w:pos="-94"/>
          <w:tab w:val="left" w:pos="428"/>
        </w:tabs>
        <w:adjustRightInd w:val="0"/>
        <w:spacing w:line="360" w:lineRule="auto"/>
        <w:ind w:left="23" w:leftChars="11"/>
        <w:jc w:val="center"/>
        <w:textAlignment w:val="baseline"/>
        <w:outlineLvl w:val="1"/>
        <w:rPr>
          <w:b/>
          <w:color w:val="auto"/>
          <w:sz w:val="28"/>
          <w:szCs w:val="28"/>
        </w:rPr>
      </w:pPr>
      <w:r>
        <w:rPr>
          <w:color w:val="auto"/>
        </w:rPr>
        <w:br w:type="page"/>
      </w:r>
      <w:bookmarkStart w:id="144" w:name="_Toc19011"/>
      <w:bookmarkStart w:id="145" w:name="_Toc14445"/>
      <w:bookmarkStart w:id="146" w:name="_Toc11902"/>
      <w:bookmarkStart w:id="147" w:name="_Toc31687"/>
      <w:bookmarkStart w:id="148" w:name="_Toc414446032"/>
      <w:bookmarkStart w:id="149" w:name="_Toc410631196"/>
      <w:r>
        <w:rPr>
          <w:b/>
          <w:color w:val="auto"/>
          <w:sz w:val="28"/>
          <w:szCs w:val="28"/>
        </w:rPr>
        <w:t>附表一</w:t>
      </w:r>
      <w:r>
        <w:rPr>
          <w:rFonts w:hint="eastAsia"/>
          <w:b/>
          <w:color w:val="auto"/>
          <w:sz w:val="28"/>
          <w:szCs w:val="28"/>
        </w:rPr>
        <w:t xml:space="preserve"> </w:t>
      </w:r>
      <w:r>
        <w:rPr>
          <w:b/>
          <w:color w:val="auto"/>
          <w:sz w:val="28"/>
          <w:szCs w:val="28"/>
        </w:rPr>
        <w:t>资格审查表</w:t>
      </w:r>
      <w:bookmarkEnd w:id="144"/>
      <w:bookmarkEnd w:id="145"/>
      <w:bookmarkEnd w:id="146"/>
      <w:bookmarkEnd w:id="147"/>
      <w:bookmarkEnd w:id="148"/>
      <w:bookmarkEnd w:id="149"/>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950"/>
        <w:gridCol w:w="3965"/>
        <w:gridCol w:w="1478"/>
      </w:tblGrid>
      <w:tr w14:paraId="5336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5E8F1FE2">
            <w:pPr>
              <w:snapToGrid w:val="0"/>
              <w:jc w:val="center"/>
              <w:rPr>
                <w:rFonts w:ascii="宋体" w:hAnsi="宋体" w:eastAsia="宋体"/>
                <w:b/>
                <w:color w:val="auto"/>
                <w:szCs w:val="21"/>
              </w:rPr>
            </w:pPr>
            <w:r>
              <w:rPr>
                <w:rFonts w:ascii="宋体" w:hAnsi="宋体" w:eastAsia="宋体"/>
                <w:b/>
                <w:color w:val="auto"/>
                <w:szCs w:val="21"/>
              </w:rPr>
              <w:t>序号</w:t>
            </w:r>
          </w:p>
        </w:tc>
        <w:tc>
          <w:tcPr>
            <w:tcW w:w="3252" w:type="dxa"/>
            <w:vAlign w:val="center"/>
          </w:tcPr>
          <w:p w14:paraId="2214B561">
            <w:pPr>
              <w:snapToGrid w:val="0"/>
              <w:jc w:val="center"/>
              <w:rPr>
                <w:rFonts w:ascii="宋体" w:hAnsi="宋体" w:eastAsia="宋体"/>
                <w:b/>
                <w:color w:val="auto"/>
                <w:szCs w:val="21"/>
              </w:rPr>
            </w:pPr>
            <w:r>
              <w:rPr>
                <w:rFonts w:ascii="宋体" w:hAnsi="宋体" w:eastAsia="宋体"/>
                <w:b/>
                <w:color w:val="auto"/>
                <w:szCs w:val="21"/>
              </w:rPr>
              <w:t>评审内容</w:t>
            </w:r>
          </w:p>
        </w:tc>
        <w:tc>
          <w:tcPr>
            <w:tcW w:w="4371" w:type="dxa"/>
            <w:vAlign w:val="center"/>
          </w:tcPr>
          <w:p w14:paraId="2510E0FF">
            <w:pPr>
              <w:snapToGrid w:val="0"/>
              <w:jc w:val="center"/>
              <w:rPr>
                <w:rFonts w:ascii="宋体" w:hAnsi="宋体" w:eastAsia="宋体"/>
                <w:b/>
                <w:color w:val="auto"/>
                <w:szCs w:val="21"/>
              </w:rPr>
            </w:pPr>
            <w:r>
              <w:rPr>
                <w:rFonts w:hint="eastAsia" w:ascii="宋体" w:hAnsi="宋体" w:eastAsia="宋体"/>
                <w:b/>
                <w:color w:val="auto"/>
                <w:szCs w:val="21"/>
              </w:rPr>
              <w:t>评审合格标准</w:t>
            </w:r>
          </w:p>
        </w:tc>
        <w:tc>
          <w:tcPr>
            <w:tcW w:w="1630" w:type="dxa"/>
            <w:vAlign w:val="center"/>
          </w:tcPr>
          <w:p w14:paraId="2BD6A88E">
            <w:pPr>
              <w:snapToGrid w:val="0"/>
              <w:jc w:val="center"/>
              <w:rPr>
                <w:rFonts w:ascii="宋体" w:hAnsi="宋体" w:eastAsia="宋体"/>
                <w:b/>
                <w:color w:val="auto"/>
                <w:szCs w:val="21"/>
              </w:rPr>
            </w:pPr>
            <w:r>
              <w:rPr>
                <w:rFonts w:hint="eastAsia" w:ascii="宋体" w:hAnsi="宋体" w:eastAsia="宋体"/>
                <w:b/>
                <w:color w:val="auto"/>
                <w:szCs w:val="21"/>
              </w:rPr>
              <w:t>是否符合要求</w:t>
            </w:r>
          </w:p>
        </w:tc>
      </w:tr>
      <w:tr w14:paraId="574D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391E2EB4">
            <w:pPr>
              <w:snapToGrid w:val="0"/>
              <w:jc w:val="center"/>
              <w:rPr>
                <w:rFonts w:ascii="宋体" w:hAnsi="宋体" w:eastAsia="宋体"/>
                <w:b/>
                <w:color w:val="auto"/>
                <w:szCs w:val="21"/>
              </w:rPr>
            </w:pPr>
            <w:r>
              <w:rPr>
                <w:rFonts w:hint="eastAsia" w:ascii="宋体" w:hAnsi="宋体" w:eastAsia="宋体"/>
                <w:color w:val="auto"/>
                <w:szCs w:val="21"/>
              </w:rPr>
              <w:t>1</w:t>
            </w:r>
          </w:p>
        </w:tc>
        <w:tc>
          <w:tcPr>
            <w:tcW w:w="3252" w:type="dxa"/>
            <w:vAlign w:val="center"/>
          </w:tcPr>
          <w:p w14:paraId="2403799F">
            <w:pPr>
              <w:snapToGrid w:val="0"/>
              <w:jc w:val="left"/>
              <w:rPr>
                <w:rFonts w:ascii="宋体" w:hAnsi="宋体" w:eastAsia="宋体"/>
                <w:b/>
                <w:color w:val="auto"/>
                <w:szCs w:val="21"/>
              </w:rPr>
            </w:pPr>
            <w:r>
              <w:rPr>
                <w:rFonts w:hint="eastAsia" w:ascii="宋体" w:hAnsi="宋体" w:eastAsia="宋体"/>
                <w:color w:val="auto"/>
                <w:szCs w:val="21"/>
              </w:rPr>
              <w:t>投标人名称</w:t>
            </w:r>
          </w:p>
        </w:tc>
        <w:tc>
          <w:tcPr>
            <w:tcW w:w="4371" w:type="dxa"/>
            <w:vAlign w:val="center"/>
          </w:tcPr>
          <w:p w14:paraId="751856D0">
            <w:pPr>
              <w:snapToGrid w:val="0"/>
              <w:jc w:val="left"/>
              <w:rPr>
                <w:rFonts w:hint="eastAsia" w:ascii="宋体" w:hAnsi="宋体" w:eastAsia="宋体"/>
                <w:b/>
                <w:color w:val="auto"/>
                <w:szCs w:val="21"/>
                <w:lang w:eastAsia="zh-CN"/>
              </w:rPr>
            </w:pPr>
            <w:r>
              <w:rPr>
                <w:rFonts w:hint="eastAsia" w:ascii="宋体" w:hAnsi="宋体" w:eastAsia="宋体"/>
                <w:color w:val="auto"/>
                <w:szCs w:val="21"/>
              </w:rPr>
              <w:t>与投标报名、营业执照一致</w:t>
            </w:r>
            <w:r>
              <w:rPr>
                <w:rFonts w:hint="eastAsia" w:ascii="宋体" w:hAnsi="宋体"/>
                <w:color w:val="auto"/>
                <w:szCs w:val="21"/>
                <w:lang w:eastAsia="zh-CN"/>
              </w:rPr>
              <w:t>(</w:t>
            </w:r>
            <w:r>
              <w:rPr>
                <w:rFonts w:hint="eastAsia" w:ascii="宋体" w:hAnsi="宋体" w:eastAsia="宋体"/>
                <w:color w:val="auto"/>
                <w:szCs w:val="21"/>
              </w:rPr>
              <w:t>符合法定工商变更程序除外</w:t>
            </w:r>
            <w:r>
              <w:rPr>
                <w:rFonts w:hint="eastAsia" w:ascii="宋体" w:hAnsi="宋体"/>
                <w:color w:val="auto"/>
                <w:szCs w:val="21"/>
                <w:lang w:eastAsia="zh-CN"/>
              </w:rPr>
              <w:t>)</w:t>
            </w:r>
          </w:p>
        </w:tc>
        <w:tc>
          <w:tcPr>
            <w:tcW w:w="1630" w:type="dxa"/>
            <w:vAlign w:val="center"/>
          </w:tcPr>
          <w:p w14:paraId="47653A2C">
            <w:pPr>
              <w:snapToGrid w:val="0"/>
              <w:jc w:val="center"/>
              <w:rPr>
                <w:rFonts w:hint="eastAsia" w:ascii="宋体" w:hAnsi="宋体" w:eastAsia="宋体"/>
                <w:b/>
                <w:color w:val="auto"/>
                <w:szCs w:val="21"/>
              </w:rPr>
            </w:pPr>
          </w:p>
        </w:tc>
      </w:tr>
      <w:tr w14:paraId="3FFB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7D0A266D">
            <w:pPr>
              <w:snapToGrid w:val="0"/>
              <w:jc w:val="center"/>
              <w:rPr>
                <w:rFonts w:ascii="宋体" w:hAnsi="宋体" w:eastAsia="宋体"/>
                <w:color w:val="auto"/>
                <w:szCs w:val="21"/>
              </w:rPr>
            </w:pPr>
            <w:r>
              <w:rPr>
                <w:rFonts w:hint="eastAsia" w:ascii="宋体" w:hAnsi="宋体" w:eastAsia="宋体"/>
                <w:color w:val="auto"/>
                <w:szCs w:val="21"/>
              </w:rPr>
              <w:t>2</w:t>
            </w:r>
          </w:p>
        </w:tc>
        <w:tc>
          <w:tcPr>
            <w:tcW w:w="3252" w:type="dxa"/>
            <w:vAlign w:val="center"/>
          </w:tcPr>
          <w:p w14:paraId="5C327169">
            <w:pPr>
              <w:snapToGrid w:val="0"/>
              <w:jc w:val="left"/>
              <w:rPr>
                <w:rFonts w:ascii="宋体" w:hAnsi="宋体" w:eastAsia="宋体"/>
                <w:color w:val="auto"/>
                <w:szCs w:val="21"/>
              </w:rPr>
            </w:pPr>
            <w:r>
              <w:rPr>
                <w:rFonts w:hint="eastAsia" w:ascii="宋体" w:hAnsi="宋体" w:eastAsia="宋体"/>
                <w:color w:val="auto"/>
                <w:szCs w:val="21"/>
              </w:rPr>
              <w:t>具有独立承担民事责任的能力</w:t>
            </w:r>
          </w:p>
        </w:tc>
        <w:tc>
          <w:tcPr>
            <w:tcW w:w="4371" w:type="dxa"/>
            <w:vAlign w:val="top"/>
          </w:tcPr>
          <w:p w14:paraId="71F0C4C1">
            <w:pPr>
              <w:snapToGrid w:val="0"/>
              <w:jc w:val="left"/>
              <w:rPr>
                <w:rFonts w:ascii="宋体" w:hAnsi="宋体" w:eastAsia="宋体"/>
                <w:color w:val="auto"/>
                <w:szCs w:val="21"/>
              </w:rPr>
            </w:pPr>
            <w:r>
              <w:rPr>
                <w:rFonts w:ascii="宋体" w:hAnsi="宋体" w:eastAsia="宋体"/>
                <w:color w:val="auto"/>
                <w:szCs w:val="21"/>
              </w:rPr>
              <w:t>提供了</w:t>
            </w:r>
            <w:r>
              <w:rPr>
                <w:rFonts w:hint="eastAsia" w:ascii="宋体" w:hAnsi="宋体" w:eastAsia="宋体"/>
                <w:color w:val="auto"/>
                <w:szCs w:val="21"/>
              </w:rPr>
              <w:t>有效的</w:t>
            </w:r>
            <w:r>
              <w:rPr>
                <w:rFonts w:ascii="宋体" w:hAnsi="宋体" w:eastAsia="宋体" w:cs="宋体"/>
                <w:color w:val="auto"/>
                <w:szCs w:val="21"/>
              </w:rPr>
              <w:t>法人或者其他组织的营业执照等证明文件，自然人的身份证明</w:t>
            </w:r>
            <w:r>
              <w:rPr>
                <w:rFonts w:hint="eastAsia" w:ascii="宋体" w:hAnsi="宋体" w:cs="宋体"/>
                <w:color w:val="auto"/>
                <w:szCs w:val="21"/>
                <w:lang w:eastAsia="zh-CN"/>
              </w:rPr>
              <w:t>。</w:t>
            </w:r>
          </w:p>
        </w:tc>
        <w:tc>
          <w:tcPr>
            <w:tcW w:w="1630" w:type="dxa"/>
            <w:vAlign w:val="center"/>
          </w:tcPr>
          <w:p w14:paraId="2E4048A4">
            <w:pPr>
              <w:snapToGrid w:val="0"/>
              <w:jc w:val="center"/>
              <w:rPr>
                <w:rFonts w:ascii="宋体" w:hAnsi="宋体" w:eastAsia="宋体"/>
                <w:color w:val="auto"/>
                <w:szCs w:val="21"/>
              </w:rPr>
            </w:pPr>
          </w:p>
        </w:tc>
      </w:tr>
      <w:tr w14:paraId="20C0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65A5EE5D">
            <w:pPr>
              <w:snapToGrid w:val="0"/>
              <w:jc w:val="center"/>
              <w:rPr>
                <w:rFonts w:ascii="宋体" w:hAnsi="宋体" w:eastAsia="宋体"/>
                <w:color w:val="auto"/>
                <w:szCs w:val="21"/>
              </w:rPr>
            </w:pPr>
            <w:r>
              <w:rPr>
                <w:rFonts w:hint="eastAsia" w:ascii="宋体" w:hAnsi="宋体" w:eastAsia="宋体"/>
                <w:color w:val="auto"/>
                <w:szCs w:val="21"/>
              </w:rPr>
              <w:t>3</w:t>
            </w:r>
          </w:p>
        </w:tc>
        <w:tc>
          <w:tcPr>
            <w:tcW w:w="3252" w:type="dxa"/>
            <w:vAlign w:val="center"/>
          </w:tcPr>
          <w:p w14:paraId="51BE1834">
            <w:pPr>
              <w:snapToGrid w:val="0"/>
              <w:jc w:val="left"/>
              <w:rPr>
                <w:rFonts w:ascii="宋体" w:hAnsi="宋体" w:eastAsia="宋体"/>
                <w:color w:val="auto"/>
                <w:szCs w:val="21"/>
              </w:rPr>
            </w:pPr>
            <w:r>
              <w:rPr>
                <w:rFonts w:hint="eastAsia" w:ascii="宋体" w:hAnsi="宋体" w:eastAsia="宋体"/>
                <w:color w:val="auto"/>
                <w:szCs w:val="21"/>
              </w:rPr>
              <w:t>具有健全的财务会计制度</w:t>
            </w:r>
          </w:p>
        </w:tc>
        <w:tc>
          <w:tcPr>
            <w:tcW w:w="4371" w:type="dxa"/>
            <w:vAlign w:val="top"/>
          </w:tcPr>
          <w:p w14:paraId="4F17B4D0">
            <w:pPr>
              <w:snapToGrid w:val="0"/>
              <w:jc w:val="left"/>
              <w:rPr>
                <w:rFonts w:ascii="宋体" w:hAnsi="宋体" w:eastAsia="宋体"/>
                <w:color w:val="auto"/>
                <w:szCs w:val="21"/>
                <w:highlight w:val="none"/>
              </w:rPr>
            </w:pPr>
            <w:r>
              <w:rPr>
                <w:rFonts w:ascii="宋体" w:hAnsi="宋体" w:eastAsia="宋体"/>
                <w:color w:val="auto"/>
                <w:szCs w:val="21"/>
                <w:highlight w:val="none"/>
                <w:shd w:val="clear"/>
              </w:rPr>
              <w:t>提供了满足招标文件要求的经审计的财务报告</w:t>
            </w:r>
          </w:p>
        </w:tc>
        <w:tc>
          <w:tcPr>
            <w:tcW w:w="1630" w:type="dxa"/>
            <w:vAlign w:val="center"/>
          </w:tcPr>
          <w:p w14:paraId="089E1F68">
            <w:pPr>
              <w:snapToGrid w:val="0"/>
              <w:jc w:val="center"/>
              <w:rPr>
                <w:rFonts w:ascii="宋体" w:hAnsi="宋体" w:eastAsia="宋体"/>
                <w:color w:val="auto"/>
                <w:szCs w:val="21"/>
              </w:rPr>
            </w:pPr>
          </w:p>
        </w:tc>
      </w:tr>
      <w:tr w14:paraId="56BB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2FD1E00F">
            <w:pPr>
              <w:snapToGrid w:val="0"/>
              <w:jc w:val="center"/>
              <w:rPr>
                <w:rFonts w:ascii="宋体" w:hAnsi="宋体" w:eastAsia="宋体"/>
                <w:color w:val="auto"/>
                <w:szCs w:val="21"/>
              </w:rPr>
            </w:pPr>
            <w:r>
              <w:rPr>
                <w:rFonts w:hint="eastAsia" w:ascii="宋体" w:hAnsi="宋体" w:eastAsia="宋体"/>
                <w:color w:val="auto"/>
                <w:szCs w:val="21"/>
              </w:rPr>
              <w:t>4</w:t>
            </w:r>
          </w:p>
        </w:tc>
        <w:tc>
          <w:tcPr>
            <w:tcW w:w="3252" w:type="dxa"/>
            <w:vAlign w:val="center"/>
          </w:tcPr>
          <w:p w14:paraId="5AE9BF56">
            <w:pPr>
              <w:snapToGrid w:val="0"/>
              <w:jc w:val="left"/>
              <w:rPr>
                <w:rFonts w:ascii="宋体" w:hAnsi="宋体" w:eastAsia="宋体"/>
                <w:color w:val="auto"/>
                <w:szCs w:val="21"/>
              </w:rPr>
            </w:pPr>
            <w:r>
              <w:rPr>
                <w:rFonts w:hint="eastAsia" w:ascii="宋体" w:hAnsi="宋体" w:eastAsia="宋体"/>
                <w:color w:val="auto"/>
                <w:szCs w:val="21"/>
              </w:rPr>
              <w:t>具有履行合同所必需的设备和专业技术能力</w:t>
            </w:r>
          </w:p>
        </w:tc>
        <w:tc>
          <w:tcPr>
            <w:tcW w:w="4371" w:type="dxa"/>
            <w:vAlign w:val="top"/>
          </w:tcPr>
          <w:p w14:paraId="444A09EB">
            <w:pPr>
              <w:snapToGrid w:val="0"/>
              <w:jc w:val="left"/>
              <w:rPr>
                <w:rFonts w:ascii="宋体" w:hAnsi="宋体" w:eastAsia="宋体"/>
                <w:color w:val="auto"/>
                <w:szCs w:val="21"/>
              </w:rPr>
            </w:pPr>
            <w:r>
              <w:rPr>
                <w:rFonts w:ascii="宋体" w:hAnsi="宋体" w:eastAsia="宋体"/>
                <w:color w:val="auto"/>
                <w:szCs w:val="21"/>
              </w:rPr>
              <w:t>提供了可充分满足履行合同所需设备和专业技术能力的证明材料</w:t>
            </w:r>
            <w:r>
              <w:rPr>
                <w:rFonts w:hint="eastAsia" w:ascii="宋体" w:hAnsi="宋体" w:eastAsia="宋体"/>
                <w:color w:val="auto"/>
                <w:szCs w:val="21"/>
              </w:rPr>
              <w:t>或承诺</w:t>
            </w:r>
          </w:p>
        </w:tc>
        <w:tc>
          <w:tcPr>
            <w:tcW w:w="1630" w:type="dxa"/>
            <w:vAlign w:val="center"/>
          </w:tcPr>
          <w:p w14:paraId="24F9CA08">
            <w:pPr>
              <w:snapToGrid w:val="0"/>
              <w:jc w:val="center"/>
              <w:rPr>
                <w:rFonts w:ascii="宋体" w:hAnsi="宋体" w:eastAsia="宋体"/>
                <w:color w:val="auto"/>
                <w:szCs w:val="21"/>
              </w:rPr>
            </w:pPr>
          </w:p>
        </w:tc>
      </w:tr>
      <w:tr w14:paraId="304D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658C4316">
            <w:pPr>
              <w:snapToGrid w:val="0"/>
              <w:jc w:val="center"/>
              <w:rPr>
                <w:rFonts w:ascii="宋体" w:hAnsi="宋体" w:eastAsia="宋体"/>
                <w:color w:val="auto"/>
                <w:szCs w:val="21"/>
              </w:rPr>
            </w:pPr>
            <w:r>
              <w:rPr>
                <w:rFonts w:hint="eastAsia" w:ascii="宋体" w:hAnsi="宋体" w:eastAsia="宋体"/>
                <w:color w:val="auto"/>
                <w:szCs w:val="21"/>
              </w:rPr>
              <w:t>5</w:t>
            </w:r>
          </w:p>
        </w:tc>
        <w:tc>
          <w:tcPr>
            <w:tcW w:w="3252" w:type="dxa"/>
            <w:vAlign w:val="center"/>
          </w:tcPr>
          <w:p w14:paraId="0F4FB573">
            <w:pPr>
              <w:snapToGrid w:val="0"/>
              <w:jc w:val="left"/>
              <w:rPr>
                <w:rFonts w:ascii="宋体" w:hAnsi="宋体" w:eastAsia="宋体"/>
                <w:color w:val="auto"/>
                <w:szCs w:val="21"/>
              </w:rPr>
            </w:pPr>
            <w:r>
              <w:rPr>
                <w:rFonts w:hint="eastAsia" w:ascii="宋体" w:hAnsi="宋体" w:eastAsia="宋体"/>
                <w:color w:val="auto"/>
                <w:szCs w:val="21"/>
              </w:rPr>
              <w:t>有依法缴纳税收和社会保障资金的良好记录</w:t>
            </w:r>
          </w:p>
        </w:tc>
        <w:tc>
          <w:tcPr>
            <w:tcW w:w="4371" w:type="dxa"/>
            <w:vAlign w:val="top"/>
          </w:tcPr>
          <w:p w14:paraId="723B85F1">
            <w:pPr>
              <w:snapToGrid w:val="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szCs w:val="21"/>
                <w:highlight w:val="none"/>
              </w:rPr>
              <w:t>提供了招标文件要求时间内的缴纳</w:t>
            </w:r>
            <w:r>
              <w:rPr>
                <w:rFonts w:hint="eastAsia" w:ascii="宋体" w:hAnsi="宋体"/>
                <w:szCs w:val="21"/>
                <w:highlight w:val="none"/>
                <w:lang w:val="en-US" w:eastAsia="zh-CN"/>
              </w:rPr>
              <w:t>税收</w:t>
            </w:r>
            <w:r>
              <w:rPr>
                <w:rFonts w:hint="eastAsia" w:ascii="宋体" w:hAnsi="宋体" w:eastAsia="宋体"/>
                <w:szCs w:val="21"/>
                <w:highlight w:val="none"/>
              </w:rPr>
              <w:t>凭证</w:t>
            </w:r>
            <w:r>
              <w:rPr>
                <w:rFonts w:hint="eastAsia" w:ascii="宋体" w:hAnsi="宋体" w:eastAsia="宋体"/>
                <w:color w:val="auto"/>
                <w:szCs w:val="21"/>
                <w:highlight w:val="none"/>
              </w:rPr>
              <w:t>。</w:t>
            </w:r>
          </w:p>
          <w:p w14:paraId="013232F3">
            <w:pPr>
              <w:snapToGrid w:val="0"/>
              <w:jc w:val="left"/>
              <w:rPr>
                <w:rFonts w:hint="eastAsia" w:ascii="宋体" w:hAnsi="宋体"/>
                <w:color w:val="auto"/>
                <w:szCs w:val="21"/>
                <w:highlight w:val="none"/>
                <w:lang w:eastAsia="zh-CN"/>
              </w:rPr>
            </w:pPr>
            <w:r>
              <w:rPr>
                <w:rFonts w:hint="eastAsia" w:ascii="宋体" w:hAnsi="宋体" w:eastAsia="宋体"/>
                <w:color w:val="auto"/>
                <w:szCs w:val="21"/>
                <w:highlight w:val="none"/>
              </w:rPr>
              <w:t>2.</w:t>
            </w:r>
            <w:r>
              <w:rPr>
                <w:rFonts w:hint="eastAsia" w:ascii="宋体" w:hAnsi="宋体" w:eastAsia="宋体"/>
                <w:szCs w:val="21"/>
                <w:highlight w:val="none"/>
              </w:rPr>
              <w:t>提供了招标文件要求时间内的缴纳社会保障资金记录</w:t>
            </w:r>
            <w:r>
              <w:rPr>
                <w:rFonts w:hint="eastAsia" w:ascii="宋体" w:hAnsi="宋体"/>
                <w:color w:val="auto"/>
                <w:szCs w:val="21"/>
                <w:highlight w:val="none"/>
                <w:lang w:eastAsia="zh-CN"/>
              </w:rPr>
              <w:t>。</w:t>
            </w:r>
          </w:p>
        </w:tc>
        <w:tc>
          <w:tcPr>
            <w:tcW w:w="1630" w:type="dxa"/>
            <w:vAlign w:val="center"/>
          </w:tcPr>
          <w:p w14:paraId="4D12C658">
            <w:pPr>
              <w:snapToGrid w:val="0"/>
              <w:jc w:val="center"/>
              <w:rPr>
                <w:rFonts w:ascii="宋体" w:hAnsi="宋体" w:eastAsia="宋体"/>
                <w:color w:val="auto"/>
                <w:szCs w:val="21"/>
              </w:rPr>
            </w:pPr>
          </w:p>
        </w:tc>
      </w:tr>
      <w:tr w14:paraId="2C55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601F3D34">
            <w:pPr>
              <w:snapToGrid w:val="0"/>
              <w:jc w:val="center"/>
              <w:rPr>
                <w:rFonts w:ascii="宋体" w:hAnsi="宋体" w:eastAsia="宋体"/>
                <w:color w:val="auto"/>
                <w:szCs w:val="21"/>
              </w:rPr>
            </w:pPr>
            <w:r>
              <w:rPr>
                <w:rFonts w:hint="eastAsia" w:ascii="宋体" w:hAnsi="宋体" w:eastAsia="宋体"/>
                <w:color w:val="auto"/>
                <w:szCs w:val="21"/>
              </w:rPr>
              <w:t>6</w:t>
            </w:r>
          </w:p>
        </w:tc>
        <w:tc>
          <w:tcPr>
            <w:tcW w:w="3252" w:type="dxa"/>
            <w:vAlign w:val="center"/>
          </w:tcPr>
          <w:p w14:paraId="736CAF50">
            <w:pPr>
              <w:snapToGrid w:val="0"/>
              <w:jc w:val="left"/>
              <w:rPr>
                <w:rFonts w:ascii="宋体" w:hAnsi="宋体" w:eastAsia="宋体"/>
                <w:color w:val="auto"/>
                <w:szCs w:val="21"/>
              </w:rPr>
            </w:pPr>
            <w:r>
              <w:rPr>
                <w:rFonts w:hint="eastAsia" w:ascii="宋体" w:hAnsi="宋体" w:eastAsia="宋体"/>
                <w:color w:val="auto"/>
                <w:szCs w:val="21"/>
              </w:rPr>
              <w:t>参加政府采购活动前三年内，在经营活动中没有重大违法记录</w:t>
            </w:r>
          </w:p>
        </w:tc>
        <w:tc>
          <w:tcPr>
            <w:tcW w:w="4371" w:type="dxa"/>
            <w:vAlign w:val="top"/>
          </w:tcPr>
          <w:p w14:paraId="3763B21C">
            <w:pPr>
              <w:snapToGrid w:val="0"/>
              <w:jc w:val="left"/>
              <w:rPr>
                <w:rFonts w:ascii="宋体" w:hAnsi="宋体" w:eastAsia="宋体"/>
                <w:color w:val="auto"/>
                <w:szCs w:val="21"/>
              </w:rPr>
            </w:pPr>
            <w:r>
              <w:rPr>
                <w:rFonts w:hint="eastAsia" w:ascii="宋体" w:hAnsi="宋体" w:eastAsia="宋体"/>
                <w:color w:val="auto"/>
                <w:szCs w:val="21"/>
              </w:rPr>
              <w:t>提供了有效的参加政府采购活动前3年内在经营活动中没有重大违法记录的书面声明</w:t>
            </w:r>
          </w:p>
        </w:tc>
        <w:tc>
          <w:tcPr>
            <w:tcW w:w="1630" w:type="dxa"/>
            <w:vAlign w:val="center"/>
          </w:tcPr>
          <w:p w14:paraId="360F1D99">
            <w:pPr>
              <w:snapToGrid w:val="0"/>
              <w:jc w:val="center"/>
              <w:rPr>
                <w:rFonts w:ascii="宋体" w:hAnsi="宋体" w:eastAsia="宋体"/>
                <w:color w:val="auto"/>
                <w:szCs w:val="21"/>
              </w:rPr>
            </w:pPr>
          </w:p>
        </w:tc>
      </w:tr>
      <w:tr w14:paraId="6F0E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0E710E03">
            <w:pPr>
              <w:snapToGrid w:val="0"/>
              <w:jc w:val="center"/>
              <w:rPr>
                <w:rFonts w:hint="eastAsia" w:ascii="宋体" w:hAnsi="宋体" w:eastAsia="宋体"/>
                <w:color w:val="auto"/>
                <w:szCs w:val="21"/>
                <w:lang w:eastAsia="zh-CN"/>
              </w:rPr>
            </w:pPr>
            <w:r>
              <w:rPr>
                <w:rFonts w:hint="eastAsia" w:ascii="宋体" w:hAnsi="宋体"/>
                <w:color w:val="auto"/>
                <w:szCs w:val="21"/>
                <w:lang w:val="en-US" w:eastAsia="zh-CN"/>
              </w:rPr>
              <w:t>7</w:t>
            </w:r>
          </w:p>
        </w:tc>
        <w:tc>
          <w:tcPr>
            <w:tcW w:w="3252" w:type="dxa"/>
            <w:vAlign w:val="center"/>
          </w:tcPr>
          <w:p w14:paraId="65AAAEA4">
            <w:pPr>
              <w:snapToGrid w:val="0"/>
              <w:jc w:val="left"/>
              <w:rPr>
                <w:rFonts w:ascii="宋体" w:hAnsi="宋体" w:eastAsia="宋体"/>
                <w:color w:val="auto"/>
                <w:szCs w:val="21"/>
              </w:rPr>
            </w:pPr>
            <w:r>
              <w:rPr>
                <w:rFonts w:hint="eastAsia" w:ascii="宋体" w:hAnsi="宋体" w:eastAsia="宋体"/>
                <w:color w:val="auto"/>
                <w:szCs w:val="21"/>
              </w:rPr>
              <w:t>联合体投标</w:t>
            </w:r>
          </w:p>
        </w:tc>
        <w:tc>
          <w:tcPr>
            <w:tcW w:w="4371" w:type="dxa"/>
            <w:vAlign w:val="top"/>
          </w:tcPr>
          <w:p w14:paraId="405E6258">
            <w:pPr>
              <w:snapToGrid w:val="0"/>
              <w:jc w:val="left"/>
              <w:rPr>
                <w:rFonts w:ascii="宋体" w:hAnsi="宋体" w:eastAsia="宋体"/>
                <w:color w:val="auto"/>
                <w:szCs w:val="21"/>
              </w:rPr>
            </w:pPr>
            <w:r>
              <w:rPr>
                <w:rFonts w:hint="eastAsia" w:ascii="宋体" w:hAnsi="宋体"/>
                <w:color w:val="auto"/>
                <w:szCs w:val="21"/>
                <w:lang w:val="en-US" w:eastAsia="zh-CN"/>
              </w:rPr>
              <w:t>本项目不</w:t>
            </w:r>
            <w:r>
              <w:rPr>
                <w:rFonts w:ascii="宋体" w:hAnsi="宋体" w:eastAsia="宋体"/>
                <w:color w:val="auto"/>
                <w:szCs w:val="21"/>
              </w:rPr>
              <w:t>允许联合体投标</w:t>
            </w:r>
            <w:r>
              <w:rPr>
                <w:rFonts w:hint="eastAsia" w:ascii="宋体" w:hAnsi="宋体"/>
                <w:color w:val="auto"/>
                <w:szCs w:val="21"/>
                <w:lang w:eastAsia="zh-CN"/>
              </w:rPr>
              <w:t>，</w:t>
            </w:r>
            <w:r>
              <w:rPr>
                <w:rFonts w:hint="eastAsia" w:ascii="宋体" w:hAnsi="宋体"/>
                <w:color w:val="auto"/>
                <w:szCs w:val="21"/>
                <w:lang w:val="en-US" w:eastAsia="zh-CN"/>
              </w:rPr>
              <w:t>投标人为非联合体投标</w:t>
            </w:r>
            <w:r>
              <w:rPr>
                <w:rFonts w:ascii="宋体" w:hAnsi="宋体" w:eastAsia="宋体"/>
                <w:color w:val="auto"/>
                <w:szCs w:val="21"/>
              </w:rPr>
              <w:t>。</w:t>
            </w:r>
          </w:p>
        </w:tc>
        <w:tc>
          <w:tcPr>
            <w:tcW w:w="1630" w:type="dxa"/>
            <w:vAlign w:val="center"/>
          </w:tcPr>
          <w:p w14:paraId="5467B2E6">
            <w:pPr>
              <w:snapToGrid w:val="0"/>
              <w:ind w:left="425"/>
              <w:jc w:val="center"/>
              <w:rPr>
                <w:rFonts w:ascii="宋体" w:hAnsi="宋体" w:eastAsia="宋体"/>
                <w:color w:val="auto"/>
                <w:szCs w:val="21"/>
              </w:rPr>
            </w:pPr>
          </w:p>
        </w:tc>
      </w:tr>
      <w:tr w14:paraId="660E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26277431">
            <w:pPr>
              <w:snapToGrid w:val="0"/>
              <w:jc w:val="center"/>
              <w:rPr>
                <w:rFonts w:hint="default" w:ascii="宋体" w:hAnsi="宋体" w:eastAsia="宋体"/>
                <w:color w:val="auto"/>
                <w:szCs w:val="21"/>
                <w:lang w:val="en-US" w:eastAsia="zh-CN"/>
              </w:rPr>
            </w:pPr>
            <w:r>
              <w:rPr>
                <w:rFonts w:hint="eastAsia" w:ascii="宋体" w:hAnsi="宋体"/>
                <w:color w:val="auto"/>
                <w:szCs w:val="21"/>
                <w:lang w:val="en-US" w:eastAsia="zh-CN"/>
              </w:rPr>
              <w:t>8</w:t>
            </w:r>
          </w:p>
        </w:tc>
        <w:tc>
          <w:tcPr>
            <w:tcW w:w="3252" w:type="dxa"/>
            <w:vAlign w:val="center"/>
          </w:tcPr>
          <w:p w14:paraId="5348278C">
            <w:pPr>
              <w:snapToGrid w:val="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eastAsia="zh-CN"/>
              </w:rPr>
              <w:t>本项目为专门面向中小企业采购的项目，供应商应出具采购文件中要求的《中小企业声明函》（其他视同小型、微型企业情形按小型、微型企业认定。）；</w:t>
            </w:r>
          </w:p>
        </w:tc>
        <w:tc>
          <w:tcPr>
            <w:tcW w:w="4371" w:type="dxa"/>
            <w:vAlign w:val="top"/>
          </w:tcPr>
          <w:p w14:paraId="27FFD5B6">
            <w:pPr>
              <w:snapToGrid w:val="0"/>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eastAsia="zh-CN"/>
              </w:rPr>
              <w:t>请根据要求单独上传《中小企业声明函》。格式以采购文件要求为准。其他视同小型、微型企业情形按小型、微型企业认定。</w:t>
            </w:r>
          </w:p>
        </w:tc>
        <w:tc>
          <w:tcPr>
            <w:tcW w:w="1630" w:type="dxa"/>
            <w:vAlign w:val="center"/>
          </w:tcPr>
          <w:p w14:paraId="2C2E1F09">
            <w:pPr>
              <w:snapToGrid w:val="0"/>
              <w:ind w:left="425"/>
              <w:jc w:val="center"/>
              <w:rPr>
                <w:rFonts w:ascii="宋体" w:hAnsi="宋体" w:eastAsia="宋体"/>
                <w:color w:val="auto"/>
                <w:szCs w:val="21"/>
              </w:rPr>
            </w:pPr>
          </w:p>
        </w:tc>
      </w:tr>
      <w:tr w14:paraId="3BE7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43801E39">
            <w:pPr>
              <w:snapToGrid w:val="0"/>
              <w:jc w:val="center"/>
              <w:rPr>
                <w:rFonts w:hint="eastAsia" w:ascii="宋体" w:hAnsi="宋体" w:eastAsia="宋体"/>
                <w:color w:val="auto"/>
                <w:szCs w:val="21"/>
                <w:lang w:eastAsia="zh-CN"/>
              </w:rPr>
            </w:pPr>
            <w:r>
              <w:rPr>
                <w:rFonts w:hint="eastAsia" w:ascii="宋体" w:hAnsi="宋体"/>
                <w:color w:val="auto"/>
                <w:szCs w:val="21"/>
                <w:lang w:val="en-US" w:eastAsia="zh-CN"/>
              </w:rPr>
              <w:t>9</w:t>
            </w:r>
          </w:p>
        </w:tc>
        <w:tc>
          <w:tcPr>
            <w:tcW w:w="3252" w:type="dxa"/>
            <w:vAlign w:val="center"/>
          </w:tcPr>
          <w:p w14:paraId="77FBAB12">
            <w:pPr>
              <w:snapToGrid w:val="0"/>
              <w:jc w:val="left"/>
              <w:rPr>
                <w:rFonts w:hint="eastAsia" w:ascii="宋体" w:hAnsi="宋体" w:eastAsia="宋体"/>
                <w:color w:val="auto"/>
                <w:szCs w:val="21"/>
                <w:lang w:val="en-US" w:eastAsia="zh-CN"/>
              </w:rPr>
            </w:pPr>
            <w:r>
              <w:rPr>
                <w:rFonts w:hint="eastAsia" w:ascii="宋体" w:hAnsi="宋体" w:eastAsia="宋体"/>
                <w:color w:val="auto"/>
                <w:szCs w:val="21"/>
              </w:rPr>
              <w:t>投标人特定资格条件</w:t>
            </w:r>
            <w:r>
              <w:rPr>
                <w:rFonts w:hint="eastAsia" w:ascii="宋体" w:hAnsi="宋体"/>
                <w:color w:val="auto"/>
                <w:szCs w:val="21"/>
                <w:lang w:val="en-US" w:eastAsia="zh-CN"/>
              </w:rPr>
              <w:t>1</w:t>
            </w:r>
          </w:p>
        </w:tc>
        <w:tc>
          <w:tcPr>
            <w:tcW w:w="4371" w:type="dxa"/>
            <w:vAlign w:val="top"/>
          </w:tcPr>
          <w:p w14:paraId="2F29AD86">
            <w:pPr>
              <w:keepNext w:val="0"/>
              <w:keepLines w:val="0"/>
              <w:pageBreakBefore w:val="0"/>
              <w:widowControl w:val="0"/>
              <w:kinsoku/>
              <w:wordWrap w:val="0"/>
              <w:overflowPunct/>
              <w:topLinePunct w:val="0"/>
              <w:autoSpaceDE/>
              <w:autoSpaceDN/>
              <w:bidi w:val="0"/>
              <w:adjustRightInd/>
              <w:snapToGrid w:val="0"/>
              <w:jc w:val="left"/>
              <w:textAlignment w:val="auto"/>
              <w:rPr>
                <w:rFonts w:ascii="宋体" w:hAnsi="宋体" w:eastAsia="宋体"/>
                <w:color w:val="auto"/>
                <w:szCs w:val="21"/>
              </w:rPr>
            </w:pPr>
            <w:r>
              <w:rPr>
                <w:rFonts w:hint="eastAsia" w:ascii="宋体" w:hAnsi="宋体" w:eastAsia="宋体"/>
                <w:color w:val="auto"/>
                <w:szCs w:val="21"/>
              </w:rPr>
              <w:t>供应商具备城市及道路照明工程专业承包三级及以上资质</w:t>
            </w:r>
          </w:p>
        </w:tc>
        <w:tc>
          <w:tcPr>
            <w:tcW w:w="1630" w:type="dxa"/>
            <w:vAlign w:val="center"/>
          </w:tcPr>
          <w:p w14:paraId="726AE5F0">
            <w:pPr>
              <w:snapToGrid w:val="0"/>
              <w:ind w:left="425"/>
              <w:jc w:val="center"/>
              <w:rPr>
                <w:rFonts w:ascii="宋体" w:hAnsi="宋体" w:eastAsia="宋体"/>
                <w:color w:val="auto"/>
                <w:szCs w:val="21"/>
              </w:rPr>
            </w:pPr>
          </w:p>
        </w:tc>
      </w:tr>
      <w:tr w14:paraId="0264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35E41627">
            <w:pPr>
              <w:snapToGrid w:val="0"/>
              <w:jc w:val="center"/>
              <w:rPr>
                <w:rFonts w:hint="default" w:ascii="宋体" w:hAnsi="宋体"/>
                <w:color w:val="auto"/>
                <w:szCs w:val="21"/>
                <w:lang w:val="en-US" w:eastAsia="zh-CN"/>
              </w:rPr>
            </w:pPr>
            <w:r>
              <w:rPr>
                <w:rFonts w:hint="eastAsia" w:ascii="宋体" w:hAnsi="宋体"/>
                <w:color w:val="auto"/>
                <w:szCs w:val="21"/>
                <w:lang w:val="en-US" w:eastAsia="zh-CN"/>
              </w:rPr>
              <w:t>10</w:t>
            </w:r>
          </w:p>
        </w:tc>
        <w:tc>
          <w:tcPr>
            <w:tcW w:w="3252" w:type="dxa"/>
            <w:vAlign w:val="center"/>
          </w:tcPr>
          <w:p w14:paraId="250394FE">
            <w:pPr>
              <w:snapToGrid w:val="0"/>
              <w:jc w:val="left"/>
              <w:rPr>
                <w:rFonts w:hint="eastAsia" w:ascii="宋体" w:hAnsi="宋体" w:eastAsia="宋体"/>
                <w:color w:val="auto"/>
                <w:szCs w:val="21"/>
              </w:rPr>
            </w:pPr>
            <w:r>
              <w:rPr>
                <w:rFonts w:hint="eastAsia" w:ascii="宋体" w:hAnsi="宋体" w:eastAsia="宋体"/>
                <w:color w:val="auto"/>
                <w:szCs w:val="21"/>
              </w:rPr>
              <w:t>投标人特定资格条件</w:t>
            </w:r>
            <w:r>
              <w:rPr>
                <w:rFonts w:hint="eastAsia" w:ascii="宋体" w:hAnsi="宋体"/>
                <w:color w:val="auto"/>
                <w:szCs w:val="21"/>
                <w:lang w:val="en-US" w:eastAsia="zh-CN"/>
              </w:rPr>
              <w:t>2</w:t>
            </w:r>
          </w:p>
        </w:tc>
        <w:tc>
          <w:tcPr>
            <w:tcW w:w="4371" w:type="dxa"/>
            <w:vAlign w:val="top"/>
          </w:tcPr>
          <w:p w14:paraId="519E6274">
            <w:pPr>
              <w:keepNext w:val="0"/>
              <w:keepLines w:val="0"/>
              <w:pageBreakBefore w:val="0"/>
              <w:widowControl w:val="0"/>
              <w:kinsoku/>
              <w:wordWrap w:val="0"/>
              <w:overflowPunct/>
              <w:topLinePunct w:val="0"/>
              <w:autoSpaceDE/>
              <w:autoSpaceDN/>
              <w:bidi w:val="0"/>
              <w:adjustRightInd/>
              <w:snapToGrid w:val="0"/>
              <w:jc w:val="left"/>
              <w:textAlignment w:val="auto"/>
              <w:rPr>
                <w:rFonts w:hint="eastAsia" w:ascii="宋体" w:hAnsi="宋体" w:eastAsia="宋体"/>
                <w:color w:val="auto"/>
                <w:szCs w:val="21"/>
              </w:rPr>
            </w:pPr>
            <w:r>
              <w:rPr>
                <w:rFonts w:hint="eastAsia" w:ascii="宋体" w:hAnsi="宋体" w:eastAsia="宋体"/>
                <w:color w:val="auto"/>
                <w:szCs w:val="21"/>
              </w:rPr>
              <w:t>供应商拟派本项目负责人须具备市政公用工程专业二级建造师注册证书，注册单位名称与供应商名称一致，具备有效的安全生产考核合格证书，未在其他建设工程项目任职，并提供项目负责人无在建项目的企业承诺书（无在建承诺书承诺时间须在开标截止时间前）</w:t>
            </w:r>
          </w:p>
        </w:tc>
        <w:tc>
          <w:tcPr>
            <w:tcW w:w="1630" w:type="dxa"/>
            <w:vAlign w:val="center"/>
          </w:tcPr>
          <w:p w14:paraId="7CA74C97">
            <w:pPr>
              <w:snapToGrid w:val="0"/>
              <w:ind w:left="425"/>
              <w:jc w:val="center"/>
              <w:rPr>
                <w:rFonts w:ascii="宋体" w:hAnsi="宋体" w:eastAsia="宋体"/>
                <w:color w:val="auto"/>
                <w:szCs w:val="21"/>
              </w:rPr>
            </w:pPr>
          </w:p>
        </w:tc>
      </w:tr>
      <w:tr w14:paraId="77F5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50FFD7ED">
            <w:pPr>
              <w:snapToGrid w:val="0"/>
              <w:jc w:val="center"/>
              <w:rPr>
                <w:rFonts w:hint="default" w:ascii="宋体" w:hAnsi="宋体"/>
                <w:color w:val="auto"/>
                <w:szCs w:val="21"/>
                <w:lang w:val="en-US" w:eastAsia="zh-CN"/>
              </w:rPr>
            </w:pPr>
            <w:r>
              <w:rPr>
                <w:rFonts w:hint="eastAsia" w:ascii="宋体" w:hAnsi="宋体"/>
                <w:color w:val="auto"/>
                <w:szCs w:val="21"/>
                <w:lang w:val="en-US" w:eastAsia="zh-CN"/>
              </w:rPr>
              <w:t>11</w:t>
            </w:r>
          </w:p>
        </w:tc>
        <w:tc>
          <w:tcPr>
            <w:tcW w:w="3252" w:type="dxa"/>
            <w:vAlign w:val="center"/>
          </w:tcPr>
          <w:p w14:paraId="3A70F150">
            <w:pPr>
              <w:snapToGrid w:val="0"/>
              <w:jc w:val="left"/>
              <w:rPr>
                <w:rFonts w:hint="eastAsia" w:ascii="宋体" w:hAnsi="宋体" w:eastAsia="宋体"/>
                <w:color w:val="auto"/>
                <w:szCs w:val="21"/>
              </w:rPr>
            </w:pPr>
            <w:r>
              <w:rPr>
                <w:rFonts w:hint="eastAsia" w:ascii="宋体" w:hAnsi="宋体" w:eastAsia="宋体"/>
                <w:color w:val="auto"/>
                <w:szCs w:val="21"/>
              </w:rPr>
              <w:t>投标人特定资格条件</w:t>
            </w:r>
            <w:r>
              <w:rPr>
                <w:rFonts w:hint="eastAsia" w:ascii="宋体" w:hAnsi="宋体"/>
                <w:color w:val="auto"/>
                <w:szCs w:val="21"/>
                <w:lang w:val="en-US" w:eastAsia="zh-CN"/>
              </w:rPr>
              <w:t>3</w:t>
            </w:r>
          </w:p>
        </w:tc>
        <w:tc>
          <w:tcPr>
            <w:tcW w:w="4371" w:type="dxa"/>
            <w:vAlign w:val="top"/>
          </w:tcPr>
          <w:p w14:paraId="274F6305">
            <w:pPr>
              <w:keepNext w:val="0"/>
              <w:keepLines w:val="0"/>
              <w:pageBreakBefore w:val="0"/>
              <w:widowControl w:val="0"/>
              <w:kinsoku/>
              <w:wordWrap w:val="0"/>
              <w:overflowPunct/>
              <w:topLinePunct w:val="0"/>
              <w:autoSpaceDE/>
              <w:autoSpaceDN/>
              <w:bidi w:val="0"/>
              <w:adjustRightInd/>
              <w:snapToGrid w:val="0"/>
              <w:jc w:val="left"/>
              <w:textAlignment w:val="auto"/>
              <w:rPr>
                <w:rFonts w:hint="eastAsia" w:ascii="宋体" w:hAnsi="宋体" w:eastAsia="宋体"/>
                <w:color w:val="auto"/>
                <w:szCs w:val="21"/>
              </w:rPr>
            </w:pPr>
            <w:r>
              <w:rPr>
                <w:rFonts w:hint="eastAsia" w:ascii="宋体" w:hAnsi="宋体" w:eastAsia="宋体"/>
                <w:color w:val="auto"/>
                <w:szCs w:val="21"/>
              </w:rPr>
              <w:t>供应商拟派本项目主要管理人员要求：拟派主要管理人员须配备技术负责人1名、质检员1名、施工员1名、安全员1名、造价员（或预算员）1名，前述主要管理人员须提供技术负责人职称证、质检员上岗证、施工员证、安全员相关证书或安全生产考核证（C证）、</w:t>
            </w:r>
            <w:r>
              <w:rPr>
                <w:rFonts w:hint="eastAsia" w:ascii="宋体" w:hAnsi="宋体"/>
                <w:color w:val="auto"/>
                <w:szCs w:val="21"/>
                <w:lang w:eastAsia="zh-CN"/>
              </w:rPr>
              <w:t>二级注册造价工程师（或预算员证）</w:t>
            </w:r>
            <w:r>
              <w:rPr>
                <w:rFonts w:hint="eastAsia" w:ascii="宋体" w:hAnsi="宋体" w:eastAsia="宋体"/>
                <w:color w:val="auto"/>
                <w:szCs w:val="21"/>
              </w:rPr>
              <w:t>，专职安全员须提供无在建项目的企业承诺书（无在建承诺书承诺时间须在开标截止时间前）</w:t>
            </w:r>
          </w:p>
        </w:tc>
        <w:tc>
          <w:tcPr>
            <w:tcW w:w="1630" w:type="dxa"/>
            <w:vAlign w:val="center"/>
          </w:tcPr>
          <w:p w14:paraId="0E490066">
            <w:pPr>
              <w:snapToGrid w:val="0"/>
              <w:ind w:left="425"/>
              <w:jc w:val="center"/>
              <w:rPr>
                <w:rFonts w:ascii="宋体" w:hAnsi="宋体" w:eastAsia="宋体"/>
                <w:color w:val="auto"/>
                <w:szCs w:val="21"/>
              </w:rPr>
            </w:pPr>
          </w:p>
        </w:tc>
      </w:tr>
      <w:tr w14:paraId="041A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6621C603">
            <w:pPr>
              <w:snapToGrid w:val="0"/>
              <w:jc w:val="center"/>
              <w:rPr>
                <w:rFonts w:hint="default" w:ascii="宋体" w:hAnsi="宋体"/>
                <w:color w:val="auto"/>
                <w:szCs w:val="21"/>
                <w:lang w:val="en-US" w:eastAsia="zh-CN"/>
              </w:rPr>
            </w:pPr>
            <w:r>
              <w:rPr>
                <w:rFonts w:hint="eastAsia" w:ascii="宋体" w:hAnsi="宋体"/>
                <w:color w:val="auto"/>
                <w:szCs w:val="21"/>
                <w:lang w:val="en-US" w:eastAsia="zh-CN"/>
              </w:rPr>
              <w:t>12</w:t>
            </w:r>
          </w:p>
        </w:tc>
        <w:tc>
          <w:tcPr>
            <w:tcW w:w="3252" w:type="dxa"/>
            <w:vAlign w:val="center"/>
          </w:tcPr>
          <w:p w14:paraId="13FFE4EE">
            <w:pPr>
              <w:snapToGrid w:val="0"/>
              <w:jc w:val="left"/>
              <w:rPr>
                <w:rFonts w:hint="eastAsia" w:ascii="宋体" w:hAnsi="宋体" w:eastAsia="宋体"/>
                <w:color w:val="auto"/>
                <w:szCs w:val="21"/>
              </w:rPr>
            </w:pPr>
            <w:r>
              <w:rPr>
                <w:rFonts w:hint="eastAsia" w:ascii="宋体" w:hAnsi="宋体" w:eastAsia="宋体"/>
                <w:color w:val="auto"/>
                <w:szCs w:val="21"/>
              </w:rPr>
              <w:t>投标人特定资格条件</w:t>
            </w:r>
            <w:r>
              <w:rPr>
                <w:rFonts w:hint="eastAsia" w:ascii="宋体" w:hAnsi="宋体"/>
                <w:color w:val="auto"/>
                <w:szCs w:val="21"/>
                <w:lang w:val="en-US" w:eastAsia="zh-CN"/>
              </w:rPr>
              <w:t>4</w:t>
            </w:r>
          </w:p>
        </w:tc>
        <w:tc>
          <w:tcPr>
            <w:tcW w:w="4371" w:type="dxa"/>
            <w:vAlign w:val="top"/>
          </w:tcPr>
          <w:p w14:paraId="4684578B">
            <w:pPr>
              <w:keepNext w:val="0"/>
              <w:keepLines w:val="0"/>
              <w:pageBreakBefore w:val="0"/>
              <w:widowControl w:val="0"/>
              <w:kinsoku/>
              <w:wordWrap w:val="0"/>
              <w:overflowPunct/>
              <w:topLinePunct w:val="0"/>
              <w:autoSpaceDE/>
              <w:autoSpaceDN/>
              <w:bidi w:val="0"/>
              <w:adjustRightInd/>
              <w:snapToGrid w:val="0"/>
              <w:jc w:val="left"/>
              <w:textAlignment w:val="auto"/>
              <w:rPr>
                <w:rFonts w:hint="eastAsia" w:ascii="宋体" w:hAnsi="宋体" w:eastAsia="宋体"/>
                <w:color w:val="auto"/>
                <w:szCs w:val="21"/>
              </w:rPr>
            </w:pPr>
            <w:r>
              <w:rPr>
                <w:rFonts w:hint="eastAsia" w:ascii="宋体" w:hAnsi="宋体"/>
                <w:color w:val="auto"/>
                <w:szCs w:val="21"/>
                <w:lang w:val="en-US" w:eastAsia="zh-CN"/>
              </w:rPr>
              <w:t>供应商</w:t>
            </w:r>
            <w:r>
              <w:rPr>
                <w:rFonts w:hint="eastAsia" w:ascii="宋体" w:hAnsi="宋体" w:eastAsia="宋体"/>
                <w:color w:val="auto"/>
                <w:szCs w:val="21"/>
              </w:rPr>
              <w:t>未被“信用中国”网站(www.creditchina.gov.cn)中列入失信被执行人或重大税收违法失信主体的供应商、未被中国政府采购网(www.ccgp.gov.cn)列入政府采购严重违法失信行为记录名单中被财政部门禁止参加政府采购活动的供应商(处罚决定规定的时间和地域范围内)</w:t>
            </w:r>
          </w:p>
        </w:tc>
        <w:tc>
          <w:tcPr>
            <w:tcW w:w="1630" w:type="dxa"/>
            <w:vAlign w:val="center"/>
          </w:tcPr>
          <w:p w14:paraId="30BB40D0">
            <w:pPr>
              <w:snapToGrid w:val="0"/>
              <w:ind w:left="425"/>
              <w:jc w:val="center"/>
              <w:rPr>
                <w:rFonts w:ascii="宋体" w:hAnsi="宋体" w:eastAsia="宋体"/>
                <w:color w:val="auto"/>
                <w:szCs w:val="21"/>
              </w:rPr>
            </w:pPr>
          </w:p>
        </w:tc>
      </w:tr>
      <w:tr w14:paraId="6EA2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4BAEE861">
            <w:pPr>
              <w:snapToGrid w:val="0"/>
              <w:jc w:val="center"/>
              <w:rPr>
                <w:rFonts w:hint="default" w:ascii="宋体" w:hAnsi="宋体" w:eastAsia="宋体"/>
                <w:color w:val="auto"/>
                <w:szCs w:val="21"/>
                <w:lang w:val="en-US" w:eastAsia="zh-CN"/>
              </w:rPr>
            </w:pPr>
            <w:r>
              <w:rPr>
                <w:rFonts w:hint="eastAsia" w:ascii="宋体" w:hAnsi="宋体"/>
                <w:color w:val="auto"/>
                <w:szCs w:val="21"/>
                <w:lang w:val="en-US" w:eastAsia="zh-CN"/>
              </w:rPr>
              <w:t>13</w:t>
            </w:r>
          </w:p>
        </w:tc>
        <w:tc>
          <w:tcPr>
            <w:tcW w:w="3252" w:type="dxa"/>
            <w:vAlign w:val="center"/>
          </w:tcPr>
          <w:p w14:paraId="2DECF4B7">
            <w:pPr>
              <w:snapToGrid w:val="0"/>
              <w:jc w:val="left"/>
              <w:rPr>
                <w:rFonts w:hint="eastAsia" w:ascii="宋体" w:hAnsi="宋体" w:eastAsia="宋体"/>
                <w:color w:val="auto"/>
                <w:szCs w:val="21"/>
              </w:rPr>
            </w:pPr>
            <w:r>
              <w:rPr>
                <w:rFonts w:hint="eastAsia" w:ascii="宋体" w:hAnsi="宋体" w:eastAsia="宋体"/>
                <w:color w:val="auto"/>
                <w:szCs w:val="21"/>
              </w:rPr>
              <w:t>投标人特定资格条件</w:t>
            </w:r>
            <w:r>
              <w:rPr>
                <w:rFonts w:hint="eastAsia" w:ascii="宋体" w:hAnsi="宋体"/>
                <w:color w:val="auto"/>
                <w:szCs w:val="21"/>
                <w:lang w:val="en-US" w:eastAsia="zh-CN"/>
              </w:rPr>
              <w:t>5</w:t>
            </w:r>
          </w:p>
        </w:tc>
        <w:tc>
          <w:tcPr>
            <w:tcW w:w="4371" w:type="dxa"/>
            <w:vAlign w:val="top"/>
          </w:tcPr>
          <w:p w14:paraId="6DC835E3">
            <w:pPr>
              <w:snapToGrid w:val="0"/>
              <w:jc w:val="left"/>
              <w:rPr>
                <w:rFonts w:hint="eastAsia" w:ascii="宋体" w:hAnsi="宋体" w:eastAsia="宋体"/>
                <w:color w:val="auto"/>
                <w:szCs w:val="21"/>
                <w:lang w:eastAsia="zh-CN"/>
              </w:rPr>
            </w:pPr>
            <w:r>
              <w:rPr>
                <w:rFonts w:hint="eastAsia" w:ascii="宋体" w:hAnsi="宋体" w:eastAsia="宋体"/>
                <w:color w:val="auto"/>
                <w:szCs w:val="21"/>
              </w:rPr>
              <w:t>单位负责人为同一人或者存在直接控股、管理关系的不同供应商，不得参加同一合同项下的政府采购活动</w:t>
            </w:r>
            <w:r>
              <w:rPr>
                <w:rFonts w:hint="eastAsia" w:ascii="宋体" w:hAnsi="宋体"/>
                <w:color w:val="auto"/>
                <w:szCs w:val="21"/>
                <w:lang w:eastAsia="zh-CN"/>
              </w:rPr>
              <w:t>；提供了“投标人关联企业情况声明”。各投标人之间不存在单位负责人为同一人或者存在控股、管理关系情形。</w:t>
            </w:r>
          </w:p>
        </w:tc>
        <w:tc>
          <w:tcPr>
            <w:tcW w:w="1630" w:type="dxa"/>
            <w:vAlign w:val="center"/>
          </w:tcPr>
          <w:p w14:paraId="509214B5">
            <w:pPr>
              <w:snapToGrid w:val="0"/>
              <w:ind w:left="425"/>
              <w:jc w:val="center"/>
              <w:rPr>
                <w:rFonts w:ascii="宋体" w:hAnsi="宋体" w:eastAsia="宋体"/>
                <w:color w:val="auto"/>
                <w:szCs w:val="21"/>
              </w:rPr>
            </w:pPr>
          </w:p>
        </w:tc>
      </w:tr>
      <w:tr w14:paraId="4A26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9" w:type="dxa"/>
            <w:vAlign w:val="center"/>
          </w:tcPr>
          <w:p w14:paraId="0798D787">
            <w:pPr>
              <w:snapToGrid w:val="0"/>
              <w:jc w:val="center"/>
              <w:rPr>
                <w:rFonts w:ascii="宋体" w:hAnsi="宋体" w:eastAsia="宋体"/>
                <w:color w:val="auto"/>
                <w:szCs w:val="21"/>
              </w:rPr>
            </w:pPr>
          </w:p>
        </w:tc>
        <w:tc>
          <w:tcPr>
            <w:tcW w:w="3252" w:type="dxa"/>
            <w:vAlign w:val="center"/>
          </w:tcPr>
          <w:p w14:paraId="1BFC67F9">
            <w:pPr>
              <w:snapToGrid w:val="0"/>
              <w:ind w:left="425"/>
              <w:jc w:val="center"/>
              <w:rPr>
                <w:rFonts w:ascii="宋体" w:hAnsi="宋体" w:eastAsia="宋体"/>
                <w:color w:val="auto"/>
                <w:szCs w:val="21"/>
              </w:rPr>
            </w:pPr>
            <w:r>
              <w:rPr>
                <w:rFonts w:hint="eastAsia" w:ascii="宋体" w:hAnsi="宋体" w:eastAsia="宋体"/>
                <w:color w:val="auto"/>
                <w:szCs w:val="21"/>
              </w:rPr>
              <w:t>结论</w:t>
            </w:r>
          </w:p>
        </w:tc>
        <w:tc>
          <w:tcPr>
            <w:tcW w:w="4371" w:type="dxa"/>
            <w:vAlign w:val="top"/>
          </w:tcPr>
          <w:p w14:paraId="4F6B4EC0">
            <w:pPr>
              <w:snapToGrid w:val="0"/>
              <w:jc w:val="center"/>
              <w:rPr>
                <w:rFonts w:ascii="宋体" w:hAnsi="宋体" w:eastAsia="宋体"/>
                <w:color w:val="auto"/>
                <w:szCs w:val="21"/>
              </w:rPr>
            </w:pPr>
          </w:p>
        </w:tc>
        <w:tc>
          <w:tcPr>
            <w:tcW w:w="1630" w:type="dxa"/>
            <w:vAlign w:val="center"/>
          </w:tcPr>
          <w:p w14:paraId="1F057082">
            <w:pPr>
              <w:snapToGrid w:val="0"/>
              <w:ind w:left="425"/>
              <w:jc w:val="center"/>
              <w:rPr>
                <w:rFonts w:ascii="宋体" w:hAnsi="宋体" w:eastAsia="宋体"/>
                <w:color w:val="auto"/>
                <w:szCs w:val="21"/>
              </w:rPr>
            </w:pPr>
          </w:p>
        </w:tc>
      </w:tr>
    </w:tbl>
    <w:p w14:paraId="70786417">
      <w:pPr>
        <w:spacing w:line="0" w:lineRule="atLeast"/>
        <w:ind w:left="425"/>
        <w:rPr>
          <w:color w:val="auto"/>
          <w:szCs w:val="21"/>
        </w:rPr>
      </w:pPr>
      <w:r>
        <w:rPr>
          <w:rFonts w:hint="eastAsia" w:ascii="宋体" w:hAnsi="宋体"/>
          <w:color w:val="auto"/>
          <w:szCs w:val="21"/>
        </w:rPr>
        <w:t>注</w:t>
      </w:r>
      <w:r>
        <w:rPr>
          <w:rFonts w:hint="eastAsia"/>
          <w:color w:val="auto"/>
          <w:szCs w:val="21"/>
          <w:lang w:eastAsia="zh-CN"/>
        </w:rPr>
        <w:t>:</w:t>
      </w:r>
      <w:r>
        <w:rPr>
          <w:rFonts w:hint="eastAsia"/>
          <w:color w:val="auto"/>
          <w:szCs w:val="21"/>
        </w:rPr>
        <w:t>符合要求用“</w:t>
      </w:r>
      <w:r>
        <w:rPr>
          <w:rFonts w:hint="default" w:ascii="Arial" w:hAnsi="Arial" w:cs="Arial"/>
          <w:b/>
          <w:color w:val="auto"/>
          <w:szCs w:val="21"/>
        </w:rPr>
        <w:t>√</w:t>
      </w:r>
      <w:r>
        <w:rPr>
          <w:rFonts w:hint="eastAsia"/>
          <w:color w:val="auto"/>
          <w:szCs w:val="21"/>
        </w:rPr>
        <w:t>”表示，不符合用“×”表示。有一项不符合要求，结论为不合格。</w:t>
      </w:r>
    </w:p>
    <w:p w14:paraId="42E68DF9">
      <w:pPr>
        <w:tabs>
          <w:tab w:val="left" w:pos="-94"/>
          <w:tab w:val="left" w:pos="428"/>
        </w:tabs>
        <w:adjustRightInd w:val="0"/>
        <w:spacing w:line="360" w:lineRule="auto"/>
        <w:ind w:left="23" w:leftChars="11"/>
        <w:jc w:val="center"/>
        <w:textAlignment w:val="baseline"/>
        <w:outlineLvl w:val="1"/>
        <w:rPr>
          <w:b/>
          <w:color w:val="auto"/>
          <w:sz w:val="28"/>
          <w:szCs w:val="28"/>
        </w:rPr>
      </w:pPr>
      <w:r>
        <w:rPr>
          <w:color w:val="auto"/>
          <w:szCs w:val="21"/>
        </w:rPr>
        <w:br w:type="page"/>
      </w:r>
      <w:bookmarkStart w:id="150" w:name="_Toc23856"/>
      <w:bookmarkStart w:id="151" w:name="_Toc414446033"/>
      <w:bookmarkStart w:id="152" w:name="_Toc13254"/>
      <w:bookmarkStart w:id="153" w:name="_Toc10305"/>
      <w:bookmarkStart w:id="154" w:name="_Toc29013"/>
      <w:bookmarkStart w:id="155" w:name="_Toc410631197"/>
      <w:r>
        <w:rPr>
          <w:rFonts w:hint="eastAsia"/>
          <w:b/>
          <w:color w:val="auto"/>
          <w:sz w:val="28"/>
          <w:szCs w:val="28"/>
        </w:rPr>
        <w:t xml:space="preserve">附表二 </w:t>
      </w:r>
      <w:r>
        <w:rPr>
          <w:b/>
          <w:color w:val="auto"/>
          <w:sz w:val="28"/>
          <w:szCs w:val="28"/>
        </w:rPr>
        <w:t>符合性审查表</w:t>
      </w:r>
      <w:bookmarkEnd w:id="150"/>
      <w:bookmarkEnd w:id="151"/>
      <w:bookmarkEnd w:id="152"/>
      <w:bookmarkEnd w:id="153"/>
      <w:bookmarkEnd w:id="154"/>
      <w:bookmarkEnd w:id="155"/>
    </w:p>
    <w:tbl>
      <w:tblPr>
        <w:tblStyle w:val="4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8"/>
        <w:gridCol w:w="1679"/>
        <w:gridCol w:w="5260"/>
        <w:gridCol w:w="1279"/>
      </w:tblGrid>
      <w:tr w14:paraId="42FD1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7EDF6637">
            <w:pPr>
              <w:tabs>
                <w:tab w:val="left" w:pos="1260"/>
                <w:tab w:val="left" w:pos="1620"/>
              </w:tabs>
              <w:adjustRightInd w:val="0"/>
              <w:snapToGrid w:val="0"/>
              <w:jc w:val="center"/>
              <w:textAlignment w:val="baseline"/>
              <w:rPr>
                <w:rFonts w:ascii="宋体" w:hAnsi="宋体"/>
                <w:b/>
                <w:caps/>
                <w:color w:val="auto"/>
                <w:sz w:val="21"/>
                <w:szCs w:val="21"/>
              </w:rPr>
            </w:pPr>
            <w:r>
              <w:rPr>
                <w:rFonts w:ascii="宋体" w:hAnsi="宋体"/>
                <w:b/>
                <w:caps/>
                <w:color w:val="auto"/>
                <w:sz w:val="21"/>
                <w:szCs w:val="21"/>
              </w:rPr>
              <w:t>序号</w:t>
            </w:r>
          </w:p>
        </w:tc>
        <w:tc>
          <w:tcPr>
            <w:tcW w:w="1851" w:type="dxa"/>
            <w:vAlign w:val="center"/>
          </w:tcPr>
          <w:p w14:paraId="66575F8A">
            <w:pPr>
              <w:tabs>
                <w:tab w:val="left" w:pos="1260"/>
                <w:tab w:val="left" w:pos="1620"/>
              </w:tabs>
              <w:adjustRightInd w:val="0"/>
              <w:snapToGrid w:val="0"/>
              <w:jc w:val="center"/>
              <w:textAlignment w:val="baseline"/>
              <w:rPr>
                <w:rFonts w:ascii="宋体" w:hAnsi="宋体"/>
                <w:b/>
                <w:caps/>
                <w:color w:val="auto"/>
                <w:sz w:val="21"/>
                <w:szCs w:val="21"/>
              </w:rPr>
            </w:pPr>
            <w:r>
              <w:rPr>
                <w:rFonts w:hint="eastAsia" w:ascii="宋体" w:hAnsi="宋体"/>
                <w:b/>
                <w:caps/>
                <w:color w:val="auto"/>
                <w:sz w:val="21"/>
                <w:szCs w:val="21"/>
              </w:rPr>
              <w:t>评审项目</w:t>
            </w:r>
          </w:p>
        </w:tc>
        <w:tc>
          <w:tcPr>
            <w:tcW w:w="5799" w:type="dxa"/>
            <w:vAlign w:val="center"/>
          </w:tcPr>
          <w:p w14:paraId="2A7780A9">
            <w:pPr>
              <w:tabs>
                <w:tab w:val="left" w:pos="1260"/>
                <w:tab w:val="left" w:pos="1620"/>
              </w:tabs>
              <w:adjustRightInd w:val="0"/>
              <w:snapToGrid w:val="0"/>
              <w:jc w:val="center"/>
              <w:textAlignment w:val="baseline"/>
              <w:rPr>
                <w:rFonts w:ascii="宋体" w:hAnsi="宋体"/>
                <w:b/>
                <w:caps/>
                <w:color w:val="auto"/>
                <w:sz w:val="21"/>
                <w:szCs w:val="21"/>
              </w:rPr>
            </w:pPr>
            <w:r>
              <w:rPr>
                <w:rFonts w:hint="eastAsia" w:ascii="宋体" w:hAnsi="宋体"/>
                <w:b/>
                <w:caps/>
                <w:color w:val="auto"/>
                <w:sz w:val="21"/>
                <w:szCs w:val="21"/>
              </w:rPr>
              <w:t>评审标准</w:t>
            </w:r>
          </w:p>
        </w:tc>
        <w:tc>
          <w:tcPr>
            <w:tcW w:w="1410" w:type="dxa"/>
            <w:vAlign w:val="center"/>
          </w:tcPr>
          <w:p w14:paraId="3769A97F">
            <w:pPr>
              <w:tabs>
                <w:tab w:val="left" w:pos="1260"/>
                <w:tab w:val="left" w:pos="1620"/>
              </w:tabs>
              <w:adjustRightInd w:val="0"/>
              <w:snapToGrid w:val="0"/>
              <w:jc w:val="center"/>
              <w:textAlignment w:val="baseline"/>
              <w:rPr>
                <w:rFonts w:ascii="宋体" w:hAnsi="宋体"/>
                <w:b/>
                <w:caps/>
                <w:color w:val="auto"/>
                <w:sz w:val="21"/>
                <w:szCs w:val="21"/>
              </w:rPr>
            </w:pPr>
            <w:r>
              <w:rPr>
                <w:rFonts w:ascii="宋体" w:hAnsi="宋体"/>
                <w:b/>
                <w:caps/>
                <w:color w:val="auto"/>
                <w:sz w:val="21"/>
                <w:szCs w:val="21"/>
              </w:rPr>
              <w:t>评审结论</w:t>
            </w:r>
          </w:p>
          <w:p w14:paraId="17342D14">
            <w:pPr>
              <w:tabs>
                <w:tab w:val="left" w:pos="1260"/>
                <w:tab w:val="left" w:pos="1620"/>
              </w:tabs>
              <w:adjustRightInd w:val="0"/>
              <w:snapToGrid w:val="0"/>
              <w:jc w:val="center"/>
              <w:textAlignment w:val="baseline"/>
              <w:rPr>
                <w:rFonts w:hint="eastAsia" w:ascii="宋体" w:hAnsi="宋体" w:eastAsia="宋体"/>
                <w:b/>
                <w:caps/>
                <w:color w:val="auto"/>
                <w:sz w:val="21"/>
                <w:szCs w:val="21"/>
                <w:lang w:eastAsia="zh-CN"/>
              </w:rPr>
            </w:pPr>
            <w:r>
              <w:rPr>
                <w:rFonts w:hint="eastAsia" w:ascii="宋体" w:hAnsi="宋体"/>
                <w:b/>
                <w:caps/>
                <w:color w:val="auto"/>
                <w:sz w:val="21"/>
                <w:szCs w:val="21"/>
                <w:lang w:eastAsia="zh-CN"/>
              </w:rPr>
              <w:t>(</w:t>
            </w:r>
            <w:r>
              <w:rPr>
                <w:rFonts w:hint="default" w:ascii="Arial" w:hAnsi="Arial" w:cs="Arial"/>
                <w:b/>
                <w:color w:val="auto"/>
                <w:szCs w:val="21"/>
              </w:rPr>
              <w:t>√</w:t>
            </w:r>
            <w:r>
              <w:rPr>
                <w:rFonts w:ascii="宋体" w:hAnsi="宋体"/>
                <w:b/>
                <w:caps/>
                <w:color w:val="auto"/>
                <w:sz w:val="21"/>
                <w:szCs w:val="21"/>
              </w:rPr>
              <w:t>/</w:t>
            </w:r>
            <w:r>
              <w:rPr>
                <w:rFonts w:hint="eastAsia" w:ascii="宋体" w:hAnsi="宋体"/>
                <w:color w:val="auto"/>
                <w:sz w:val="21"/>
                <w:szCs w:val="21"/>
              </w:rPr>
              <w:t>×</w:t>
            </w:r>
            <w:r>
              <w:rPr>
                <w:rFonts w:hint="eastAsia" w:ascii="宋体" w:hAnsi="宋体"/>
                <w:b/>
                <w:caps/>
                <w:color w:val="auto"/>
                <w:sz w:val="21"/>
                <w:szCs w:val="21"/>
                <w:lang w:eastAsia="zh-CN"/>
              </w:rPr>
              <w:t>)</w:t>
            </w:r>
          </w:p>
        </w:tc>
      </w:tr>
      <w:tr w14:paraId="7D03E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5A886022">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0F28C79E">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投标保证金</w:t>
            </w:r>
          </w:p>
        </w:tc>
        <w:tc>
          <w:tcPr>
            <w:tcW w:w="5799" w:type="dxa"/>
            <w:vAlign w:val="center"/>
          </w:tcPr>
          <w:p w14:paraId="31C09C81">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按照招标文件的规定提交投标保证金</w:t>
            </w:r>
          </w:p>
        </w:tc>
        <w:tc>
          <w:tcPr>
            <w:tcW w:w="1410" w:type="dxa"/>
            <w:vAlign w:val="center"/>
          </w:tcPr>
          <w:p w14:paraId="187DC731">
            <w:pPr>
              <w:tabs>
                <w:tab w:val="left" w:pos="1260"/>
                <w:tab w:val="left" w:pos="1620"/>
              </w:tabs>
              <w:adjustRightInd w:val="0"/>
              <w:snapToGrid w:val="0"/>
              <w:textAlignment w:val="baseline"/>
              <w:rPr>
                <w:rFonts w:ascii="宋体" w:hAnsi="宋体"/>
                <w:color w:val="auto"/>
                <w:sz w:val="21"/>
                <w:szCs w:val="21"/>
              </w:rPr>
            </w:pPr>
          </w:p>
        </w:tc>
      </w:tr>
      <w:tr w14:paraId="4BE27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4489E713">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5750CB62">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投标文件签署盖章</w:t>
            </w:r>
          </w:p>
        </w:tc>
        <w:tc>
          <w:tcPr>
            <w:tcW w:w="5799" w:type="dxa"/>
            <w:vAlign w:val="center"/>
          </w:tcPr>
          <w:p w14:paraId="7EEBEE9C">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按招标文件要求在规定位置加</w:t>
            </w:r>
            <w:r>
              <w:rPr>
                <w:rFonts w:ascii="宋体" w:hAnsi="宋体"/>
                <w:color w:val="auto"/>
                <w:sz w:val="21"/>
                <w:szCs w:val="21"/>
              </w:rPr>
              <w:t>盖</w:t>
            </w:r>
            <w:r>
              <w:rPr>
                <w:rFonts w:hint="eastAsia" w:ascii="宋体" w:hAnsi="宋体"/>
                <w:color w:val="auto"/>
                <w:sz w:val="21"/>
                <w:szCs w:val="21"/>
              </w:rPr>
              <w:t>投标人公</w:t>
            </w:r>
            <w:r>
              <w:rPr>
                <w:rFonts w:ascii="宋体" w:hAnsi="宋体"/>
                <w:color w:val="auto"/>
                <w:sz w:val="21"/>
                <w:szCs w:val="21"/>
              </w:rPr>
              <w:t>章</w:t>
            </w:r>
            <w:r>
              <w:rPr>
                <w:rFonts w:hint="eastAsia" w:ascii="宋体" w:hAnsi="宋体"/>
                <w:color w:val="auto"/>
                <w:sz w:val="21"/>
                <w:szCs w:val="21"/>
              </w:rPr>
              <w:t>和有</w:t>
            </w:r>
            <w:r>
              <w:rPr>
                <w:rFonts w:ascii="宋体" w:hAnsi="宋体"/>
                <w:color w:val="auto"/>
                <w:sz w:val="21"/>
                <w:szCs w:val="21"/>
              </w:rPr>
              <w:t>法定代表人或</w:t>
            </w:r>
            <w:r>
              <w:rPr>
                <w:rFonts w:hint="eastAsia" w:ascii="宋体" w:hAnsi="宋体"/>
                <w:color w:val="auto"/>
                <w:sz w:val="21"/>
                <w:szCs w:val="21"/>
              </w:rPr>
              <w:t>其授权代表</w:t>
            </w:r>
            <w:r>
              <w:rPr>
                <w:rFonts w:ascii="宋体" w:hAnsi="宋体"/>
                <w:color w:val="auto"/>
                <w:sz w:val="21"/>
                <w:szCs w:val="21"/>
              </w:rPr>
              <w:t>签字</w:t>
            </w:r>
            <w:r>
              <w:rPr>
                <w:rFonts w:hint="eastAsia" w:ascii="宋体" w:hAnsi="宋体"/>
                <w:color w:val="auto"/>
                <w:sz w:val="21"/>
                <w:szCs w:val="21"/>
                <w:lang w:val="en-US" w:eastAsia="zh-CN"/>
              </w:rPr>
              <w:t>或盖章</w:t>
            </w:r>
            <w:r>
              <w:rPr>
                <w:rFonts w:ascii="宋体" w:hAnsi="宋体"/>
                <w:color w:val="auto"/>
                <w:sz w:val="21"/>
                <w:szCs w:val="21"/>
              </w:rPr>
              <w:t>的</w:t>
            </w:r>
          </w:p>
        </w:tc>
        <w:tc>
          <w:tcPr>
            <w:tcW w:w="1410" w:type="dxa"/>
            <w:vAlign w:val="center"/>
          </w:tcPr>
          <w:p w14:paraId="020017FA">
            <w:pPr>
              <w:tabs>
                <w:tab w:val="left" w:pos="1260"/>
                <w:tab w:val="left" w:pos="1620"/>
              </w:tabs>
              <w:adjustRightInd w:val="0"/>
              <w:snapToGrid w:val="0"/>
              <w:textAlignment w:val="baseline"/>
              <w:rPr>
                <w:rFonts w:ascii="宋体" w:hAnsi="宋体"/>
                <w:color w:val="auto"/>
                <w:sz w:val="21"/>
                <w:szCs w:val="21"/>
              </w:rPr>
            </w:pPr>
          </w:p>
        </w:tc>
      </w:tr>
      <w:tr w14:paraId="7AA28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75503C44">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27AEE003">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投标报价</w:t>
            </w:r>
          </w:p>
        </w:tc>
        <w:tc>
          <w:tcPr>
            <w:tcW w:w="5799" w:type="dxa"/>
            <w:vAlign w:val="center"/>
          </w:tcPr>
          <w:p w14:paraId="1BDF2B28">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投标报价是固定价且未超过预算金额</w:t>
            </w:r>
            <w:r>
              <w:rPr>
                <w:rFonts w:hint="eastAsia" w:ascii="宋体" w:hAnsi="宋体"/>
                <w:color w:val="auto"/>
                <w:sz w:val="21"/>
                <w:szCs w:val="21"/>
                <w:lang w:eastAsia="zh-CN"/>
              </w:rPr>
              <w:t>(</w:t>
            </w:r>
            <w:r>
              <w:rPr>
                <w:rFonts w:hint="eastAsia" w:ascii="宋体" w:hAnsi="宋体"/>
                <w:color w:val="auto"/>
                <w:sz w:val="21"/>
                <w:szCs w:val="21"/>
              </w:rPr>
              <w:t>招标文件有最高限价的，报价未超过最高限价</w:t>
            </w:r>
            <w:r>
              <w:rPr>
                <w:rFonts w:hint="eastAsia" w:ascii="宋体" w:hAnsi="宋体"/>
                <w:color w:val="auto"/>
                <w:sz w:val="21"/>
                <w:szCs w:val="21"/>
                <w:lang w:eastAsia="zh-CN"/>
              </w:rPr>
              <w:t>)。</w:t>
            </w:r>
          </w:p>
        </w:tc>
        <w:tc>
          <w:tcPr>
            <w:tcW w:w="1410" w:type="dxa"/>
            <w:vAlign w:val="center"/>
          </w:tcPr>
          <w:p w14:paraId="71D96BF0">
            <w:pPr>
              <w:tabs>
                <w:tab w:val="left" w:pos="1260"/>
                <w:tab w:val="left" w:pos="1620"/>
              </w:tabs>
              <w:adjustRightInd w:val="0"/>
              <w:snapToGrid w:val="0"/>
              <w:textAlignment w:val="baseline"/>
              <w:rPr>
                <w:rFonts w:ascii="宋体" w:hAnsi="宋体"/>
                <w:color w:val="auto"/>
                <w:sz w:val="21"/>
                <w:szCs w:val="21"/>
              </w:rPr>
            </w:pPr>
          </w:p>
        </w:tc>
      </w:tr>
      <w:tr w14:paraId="683E1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079CBD39">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6BA1E5CA">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附加条件</w:t>
            </w:r>
          </w:p>
        </w:tc>
        <w:tc>
          <w:tcPr>
            <w:tcW w:w="5799" w:type="dxa"/>
            <w:vAlign w:val="center"/>
          </w:tcPr>
          <w:p w14:paraId="584C0965">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投标文件不含有采购人不能接受的附加条件</w:t>
            </w:r>
          </w:p>
        </w:tc>
        <w:tc>
          <w:tcPr>
            <w:tcW w:w="1410" w:type="dxa"/>
            <w:vAlign w:val="center"/>
          </w:tcPr>
          <w:p w14:paraId="64D18D46">
            <w:pPr>
              <w:tabs>
                <w:tab w:val="left" w:pos="1260"/>
                <w:tab w:val="left" w:pos="1620"/>
              </w:tabs>
              <w:adjustRightInd w:val="0"/>
              <w:snapToGrid w:val="0"/>
              <w:textAlignment w:val="baseline"/>
              <w:rPr>
                <w:rFonts w:ascii="宋体" w:hAnsi="宋体"/>
                <w:color w:val="auto"/>
                <w:sz w:val="21"/>
                <w:szCs w:val="21"/>
              </w:rPr>
            </w:pPr>
          </w:p>
        </w:tc>
      </w:tr>
      <w:tr w14:paraId="54BE9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5BEA0CE">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59591444">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公平竞争</w:t>
            </w:r>
          </w:p>
        </w:tc>
        <w:tc>
          <w:tcPr>
            <w:tcW w:w="5799" w:type="dxa"/>
            <w:vAlign w:val="center"/>
          </w:tcPr>
          <w:p w14:paraId="0DDB1829">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遵循公平竞争的原则，没有弄虚作假、恶意串通或妨碍其他投标人的竞争行为，损害采购人或者其他投标人的合法权益。</w:t>
            </w:r>
          </w:p>
          <w:p w14:paraId="2BD9EBCB">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弄虚作假、串通投标的情形见附注。</w:t>
            </w:r>
          </w:p>
          <w:p w14:paraId="64E8E44C">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1、有下列情形之一的，视为投标人相互串通投标:</w:t>
            </w:r>
          </w:p>
          <w:p w14:paraId="76887D97">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(1)不同投标人的投标文件由同一单位或者个人编制；</w:t>
            </w:r>
          </w:p>
          <w:p w14:paraId="2E1EAD25">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(2)不同投标人委托同一单位或者个人办理投标事宜；</w:t>
            </w:r>
          </w:p>
          <w:p w14:paraId="0F61E5D1">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(3)不同投标人的投标文件载明的项目管理成员或者联系人员为同一人；</w:t>
            </w:r>
          </w:p>
          <w:p w14:paraId="5F6B364A">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(4)不同投标人的投标文件异常一致或者投标报价呈规律性差异；</w:t>
            </w:r>
          </w:p>
          <w:p w14:paraId="5CCA574B">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(5)不同投标人的投标文件相互混装；</w:t>
            </w:r>
          </w:p>
          <w:p w14:paraId="2411ED2D">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(6)不同投标人的投标保证金从同一单位或者个人的账户转出。</w:t>
            </w:r>
          </w:p>
          <w:p w14:paraId="6674CD29">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2、有下列情形之一的，属于提供虚假材料谋取中标的行为:</w:t>
            </w:r>
          </w:p>
          <w:p w14:paraId="564E6AE4">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(1)使用伪造、变造的许可证件；</w:t>
            </w:r>
          </w:p>
          <w:p w14:paraId="13D91385">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(2)提供虚假的财务状况或者业绩；</w:t>
            </w:r>
          </w:p>
          <w:p w14:paraId="7A5F7CD8">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(3)提供虚假的项目负责人或者主要技术人员简历、劳动关系证明；</w:t>
            </w:r>
          </w:p>
          <w:p w14:paraId="5C7DF53B">
            <w:pPr>
              <w:tabs>
                <w:tab w:val="left" w:pos="1260"/>
                <w:tab w:val="left" w:pos="1620"/>
              </w:tabs>
              <w:adjustRightInd w:val="0"/>
              <w:snapToGrid w:val="0"/>
              <w:textAlignment w:val="baseline"/>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(4)提供虚假的信用状况；</w:t>
            </w:r>
          </w:p>
          <w:p w14:paraId="633BFA58">
            <w:pPr>
              <w:tabs>
                <w:tab w:val="left" w:pos="1260"/>
                <w:tab w:val="left" w:pos="1620"/>
              </w:tabs>
              <w:adjustRightInd w:val="0"/>
              <w:snapToGrid w:val="0"/>
              <w:textAlignment w:val="baseline"/>
              <w:rPr>
                <w:rFonts w:hint="eastAsia"/>
                <w:lang w:eastAsia="zh-CN"/>
              </w:rPr>
            </w:pPr>
            <w:r>
              <w:rPr>
                <w:rFonts w:hint="eastAsia" w:ascii="宋体" w:hAnsi="宋体" w:eastAsia="宋体" w:cs="Times New Roman"/>
                <w:color w:val="auto"/>
                <w:sz w:val="21"/>
                <w:szCs w:val="21"/>
                <w:lang w:val="en-US" w:eastAsia="zh-CN"/>
              </w:rPr>
              <w:t>(5)其他弄虚作假的行为。</w:t>
            </w:r>
          </w:p>
        </w:tc>
        <w:tc>
          <w:tcPr>
            <w:tcW w:w="1410" w:type="dxa"/>
            <w:vAlign w:val="center"/>
          </w:tcPr>
          <w:p w14:paraId="1C7D72DF">
            <w:pPr>
              <w:tabs>
                <w:tab w:val="left" w:pos="1260"/>
                <w:tab w:val="left" w:pos="1620"/>
              </w:tabs>
              <w:adjustRightInd w:val="0"/>
              <w:snapToGrid w:val="0"/>
              <w:textAlignment w:val="baseline"/>
              <w:rPr>
                <w:rFonts w:ascii="宋体" w:hAnsi="宋体"/>
                <w:color w:val="auto"/>
                <w:sz w:val="21"/>
                <w:szCs w:val="21"/>
              </w:rPr>
            </w:pPr>
          </w:p>
        </w:tc>
      </w:tr>
      <w:tr w14:paraId="65C07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5E0530AA">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5D286C79">
            <w:pPr>
              <w:tabs>
                <w:tab w:val="left" w:pos="1260"/>
                <w:tab w:val="left" w:pos="1620"/>
              </w:tabs>
              <w:adjustRightInd w:val="0"/>
              <w:snapToGrid w:val="0"/>
              <w:textAlignment w:val="baseline"/>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报价修正</w:t>
            </w:r>
          </w:p>
        </w:tc>
        <w:tc>
          <w:tcPr>
            <w:tcW w:w="5799" w:type="dxa"/>
            <w:vAlign w:val="center"/>
          </w:tcPr>
          <w:p w14:paraId="428CF72B">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报价出现前后不一致时，投标人按照招标文件评标办法要求确认修正后的报价</w:t>
            </w:r>
            <w:r>
              <w:rPr>
                <w:rFonts w:hint="eastAsia" w:ascii="宋体" w:hAnsi="宋体"/>
                <w:color w:val="auto"/>
                <w:sz w:val="21"/>
                <w:szCs w:val="21"/>
                <w:lang w:eastAsia="zh-CN"/>
              </w:rPr>
              <w:t>。</w:t>
            </w:r>
          </w:p>
        </w:tc>
        <w:tc>
          <w:tcPr>
            <w:tcW w:w="1410" w:type="dxa"/>
            <w:vAlign w:val="center"/>
          </w:tcPr>
          <w:p w14:paraId="7E397EC2">
            <w:pPr>
              <w:tabs>
                <w:tab w:val="left" w:pos="1260"/>
                <w:tab w:val="left" w:pos="1620"/>
              </w:tabs>
              <w:adjustRightInd w:val="0"/>
              <w:snapToGrid w:val="0"/>
              <w:textAlignment w:val="baseline"/>
              <w:rPr>
                <w:rFonts w:ascii="宋体" w:hAnsi="宋体"/>
                <w:color w:val="auto"/>
                <w:sz w:val="21"/>
                <w:szCs w:val="21"/>
              </w:rPr>
            </w:pPr>
          </w:p>
        </w:tc>
      </w:tr>
      <w:tr w14:paraId="6BCAE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5708CAF1">
            <w:pPr>
              <w:numPr>
                <w:ilvl w:val="0"/>
                <w:numId w:val="9"/>
              </w:numPr>
              <w:tabs>
                <w:tab w:val="left" w:pos="1260"/>
                <w:tab w:val="left" w:pos="1620"/>
              </w:tabs>
              <w:adjustRightInd w:val="0"/>
              <w:snapToGrid w:val="0"/>
              <w:textAlignment w:val="baseline"/>
              <w:rPr>
                <w:rFonts w:ascii="宋体" w:hAnsi="宋体"/>
                <w:color w:val="auto"/>
                <w:sz w:val="21"/>
                <w:szCs w:val="21"/>
              </w:rPr>
            </w:pPr>
          </w:p>
        </w:tc>
        <w:tc>
          <w:tcPr>
            <w:tcW w:w="1851" w:type="dxa"/>
            <w:vAlign w:val="center"/>
          </w:tcPr>
          <w:p w14:paraId="28774A99">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其他无效情形</w:t>
            </w:r>
          </w:p>
        </w:tc>
        <w:tc>
          <w:tcPr>
            <w:tcW w:w="5799" w:type="dxa"/>
            <w:vAlign w:val="center"/>
          </w:tcPr>
          <w:p w14:paraId="11B3CEE5">
            <w:pPr>
              <w:tabs>
                <w:tab w:val="left" w:pos="1260"/>
                <w:tab w:val="left" w:pos="1620"/>
              </w:tabs>
              <w:adjustRightInd w:val="0"/>
              <w:snapToGrid w:val="0"/>
              <w:textAlignment w:val="baseline"/>
              <w:rPr>
                <w:rFonts w:hint="eastAsia" w:ascii="宋体" w:hAnsi="宋体"/>
                <w:color w:val="auto"/>
                <w:sz w:val="21"/>
                <w:szCs w:val="21"/>
                <w:lang w:val="en-US" w:eastAsia="zh-CN"/>
              </w:rPr>
            </w:pPr>
            <w:r>
              <w:rPr>
                <w:rFonts w:hint="eastAsia" w:ascii="宋体" w:hAnsi="宋体"/>
                <w:color w:val="auto"/>
                <w:sz w:val="21"/>
                <w:szCs w:val="21"/>
                <w:lang w:val="en-US" w:eastAsia="zh-CN"/>
              </w:rPr>
              <w:t>不存在招标文件中规定的下列情形：</w:t>
            </w:r>
          </w:p>
          <w:p w14:paraId="047EEA4C">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(1)不同投标人的投标文件由同一单位或者个人编制；</w:t>
            </w:r>
          </w:p>
          <w:p w14:paraId="01CBA719">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(2)不同投标人委托同一单位或者个人办理投标事宜；</w:t>
            </w:r>
          </w:p>
          <w:p w14:paraId="7DB479C6">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(3)不同投标人的投标文件载明的项目管理成员或者联系人员为同一人；</w:t>
            </w:r>
          </w:p>
          <w:p w14:paraId="78B6BD4E">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(4)不同投标人的投标文件异常一致或者投标报价呈规律性差异；</w:t>
            </w:r>
          </w:p>
          <w:p w14:paraId="120184A0">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(5)不同投标人的投标文件相互混装；</w:t>
            </w:r>
          </w:p>
          <w:p w14:paraId="4490B0DD">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(6)不同投标人的投标保证金从同一单位或者个人的账户转出。</w:t>
            </w:r>
          </w:p>
          <w:p w14:paraId="7508E292">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(7)使用伪造、变造的许可证件；</w:t>
            </w:r>
          </w:p>
          <w:p w14:paraId="52E49543">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(8)提供虚假的财务状况或者业绩；</w:t>
            </w:r>
          </w:p>
          <w:p w14:paraId="4ABEA160">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(9)提供虚假的项目负责人或者主要技术人员简历、劳动关系证明；</w:t>
            </w:r>
          </w:p>
          <w:p w14:paraId="4680EF60">
            <w:pPr>
              <w:tabs>
                <w:tab w:val="left" w:pos="1260"/>
                <w:tab w:val="left" w:pos="1620"/>
              </w:tabs>
              <w:adjustRightInd w:val="0"/>
              <w:snapToGrid w:val="0"/>
              <w:textAlignment w:val="baseline"/>
              <w:rPr>
                <w:rFonts w:hint="default" w:ascii="宋体" w:hAnsi="宋体" w:eastAsia="宋体" w:cs="Times New Roman"/>
                <w:color w:val="auto"/>
                <w:sz w:val="21"/>
                <w:szCs w:val="21"/>
                <w:lang w:val="en-US" w:eastAsia="zh-CN"/>
              </w:rPr>
            </w:pPr>
            <w:r>
              <w:rPr>
                <w:rFonts w:hint="default" w:ascii="宋体" w:hAnsi="宋体" w:eastAsia="宋体" w:cs="Times New Roman"/>
                <w:color w:val="auto"/>
                <w:sz w:val="21"/>
                <w:szCs w:val="21"/>
                <w:lang w:val="en-US" w:eastAsia="zh-CN"/>
              </w:rPr>
              <w:t>(10)提供虚假的信用状况；</w:t>
            </w:r>
          </w:p>
          <w:p w14:paraId="3F33E0DA">
            <w:pPr>
              <w:tabs>
                <w:tab w:val="left" w:pos="1260"/>
                <w:tab w:val="left" w:pos="1620"/>
              </w:tabs>
              <w:adjustRightInd w:val="0"/>
              <w:snapToGrid w:val="0"/>
              <w:textAlignment w:val="baseline"/>
              <w:rPr>
                <w:rFonts w:hint="default" w:ascii="宋体" w:hAnsi="宋体"/>
                <w:color w:val="auto"/>
                <w:sz w:val="21"/>
                <w:szCs w:val="21"/>
                <w:lang w:val="en-US" w:eastAsia="zh-CN"/>
              </w:rPr>
            </w:pPr>
            <w:r>
              <w:rPr>
                <w:rFonts w:hint="default" w:ascii="宋体" w:hAnsi="宋体" w:eastAsia="宋体" w:cs="Times New Roman"/>
                <w:color w:val="auto"/>
                <w:sz w:val="21"/>
                <w:szCs w:val="21"/>
                <w:lang w:val="en-US" w:eastAsia="zh-CN"/>
              </w:rPr>
              <w:t>(11)其他弄虚作假的行为。</w:t>
            </w:r>
          </w:p>
        </w:tc>
        <w:tc>
          <w:tcPr>
            <w:tcW w:w="1410" w:type="dxa"/>
            <w:vAlign w:val="center"/>
          </w:tcPr>
          <w:p w14:paraId="3298C800">
            <w:pPr>
              <w:tabs>
                <w:tab w:val="left" w:pos="1260"/>
                <w:tab w:val="left" w:pos="1620"/>
              </w:tabs>
              <w:adjustRightInd w:val="0"/>
              <w:snapToGrid w:val="0"/>
              <w:textAlignment w:val="baseline"/>
              <w:rPr>
                <w:rFonts w:ascii="宋体" w:hAnsi="宋体"/>
                <w:color w:val="auto"/>
                <w:sz w:val="21"/>
                <w:szCs w:val="21"/>
              </w:rPr>
            </w:pPr>
          </w:p>
        </w:tc>
      </w:tr>
      <w:tr w14:paraId="3B1BD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32FC95C3">
            <w:pPr>
              <w:numPr>
                <w:ilvl w:val="0"/>
                <w:numId w:val="0"/>
              </w:numPr>
              <w:tabs>
                <w:tab w:val="left" w:pos="1260"/>
                <w:tab w:val="left" w:pos="1620"/>
              </w:tabs>
              <w:adjustRightInd w:val="0"/>
              <w:snapToGrid w:val="0"/>
              <w:ind w:left="425" w:leftChars="0" w:hanging="425" w:firstLineChars="0"/>
              <w:textAlignment w:val="baseline"/>
              <w:rPr>
                <w:rFonts w:ascii="宋体" w:hAnsi="宋体"/>
                <w:color w:val="auto"/>
                <w:sz w:val="21"/>
                <w:szCs w:val="21"/>
              </w:rPr>
            </w:pPr>
            <w:r>
              <w:rPr>
                <w:rFonts w:hint="eastAsia" w:ascii="宋体" w:hAnsi="宋体" w:cs="Times New Roman"/>
                <w:color w:val="auto"/>
                <w:kern w:val="2"/>
                <w:sz w:val="21"/>
                <w:szCs w:val="21"/>
                <w:lang w:val="en-US" w:eastAsia="zh-CN" w:bidi="ar-SA"/>
              </w:rPr>
              <w:t>8</w:t>
            </w:r>
          </w:p>
        </w:tc>
        <w:tc>
          <w:tcPr>
            <w:tcW w:w="1851" w:type="dxa"/>
            <w:vAlign w:val="center"/>
          </w:tcPr>
          <w:p w14:paraId="67E9ACA5">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投标有效期</w:t>
            </w:r>
          </w:p>
        </w:tc>
        <w:tc>
          <w:tcPr>
            <w:tcW w:w="5799" w:type="dxa"/>
            <w:vAlign w:val="center"/>
          </w:tcPr>
          <w:p w14:paraId="368808DB">
            <w:pPr>
              <w:tabs>
                <w:tab w:val="left" w:pos="1260"/>
                <w:tab w:val="left" w:pos="1620"/>
              </w:tabs>
              <w:adjustRightInd w:val="0"/>
              <w:snapToGrid w:val="0"/>
              <w:textAlignment w:val="baseline"/>
              <w:rPr>
                <w:rFonts w:ascii="宋体" w:hAnsi="宋体"/>
                <w:color w:val="auto"/>
                <w:sz w:val="21"/>
                <w:szCs w:val="21"/>
              </w:rPr>
            </w:pPr>
            <w:r>
              <w:rPr>
                <w:rFonts w:ascii="宋体" w:hAnsi="宋体"/>
                <w:color w:val="auto"/>
                <w:sz w:val="21"/>
                <w:szCs w:val="21"/>
              </w:rPr>
              <w:t>投标有效期满足招标文件要求的</w:t>
            </w:r>
          </w:p>
        </w:tc>
        <w:tc>
          <w:tcPr>
            <w:tcW w:w="1410" w:type="dxa"/>
            <w:vAlign w:val="center"/>
          </w:tcPr>
          <w:p w14:paraId="37567BEB">
            <w:pPr>
              <w:tabs>
                <w:tab w:val="left" w:pos="1260"/>
                <w:tab w:val="left" w:pos="1620"/>
              </w:tabs>
              <w:adjustRightInd w:val="0"/>
              <w:snapToGrid w:val="0"/>
              <w:textAlignment w:val="baseline"/>
              <w:rPr>
                <w:rFonts w:ascii="宋体" w:hAnsi="宋体"/>
                <w:color w:val="auto"/>
                <w:sz w:val="21"/>
                <w:szCs w:val="21"/>
              </w:rPr>
            </w:pPr>
          </w:p>
        </w:tc>
      </w:tr>
      <w:tr w14:paraId="5B309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02738758">
            <w:pPr>
              <w:numPr>
                <w:ilvl w:val="0"/>
                <w:numId w:val="0"/>
              </w:numPr>
              <w:tabs>
                <w:tab w:val="left" w:pos="1260"/>
                <w:tab w:val="left" w:pos="1620"/>
              </w:tabs>
              <w:adjustRightInd w:val="0"/>
              <w:snapToGrid w:val="0"/>
              <w:ind w:left="425" w:leftChars="0" w:hanging="425" w:firstLineChars="0"/>
              <w:textAlignment w:val="baseline"/>
              <w:rPr>
                <w:rFonts w:ascii="宋体" w:hAnsi="宋体"/>
                <w:color w:val="auto"/>
                <w:sz w:val="21"/>
                <w:szCs w:val="21"/>
              </w:rPr>
            </w:pPr>
            <w:r>
              <w:rPr>
                <w:rFonts w:hint="eastAsia" w:ascii="宋体" w:hAnsi="宋体" w:cs="Times New Roman"/>
                <w:color w:val="auto"/>
                <w:kern w:val="2"/>
                <w:sz w:val="21"/>
                <w:szCs w:val="21"/>
                <w:lang w:val="en-US" w:eastAsia="zh-CN" w:bidi="ar-SA"/>
              </w:rPr>
              <w:t>9</w:t>
            </w:r>
          </w:p>
        </w:tc>
        <w:tc>
          <w:tcPr>
            <w:tcW w:w="1851" w:type="dxa"/>
            <w:vAlign w:val="center"/>
          </w:tcPr>
          <w:p w14:paraId="206C210D">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备选方案</w:t>
            </w:r>
          </w:p>
        </w:tc>
        <w:tc>
          <w:tcPr>
            <w:tcW w:w="5799" w:type="dxa"/>
            <w:vAlign w:val="center"/>
          </w:tcPr>
          <w:p w14:paraId="53C9BD75">
            <w:pPr>
              <w:tabs>
                <w:tab w:val="left" w:pos="1260"/>
                <w:tab w:val="left" w:pos="1620"/>
              </w:tabs>
              <w:adjustRightInd w:val="0"/>
              <w:snapToGrid w:val="0"/>
              <w:textAlignment w:val="baseline"/>
              <w:rPr>
                <w:rFonts w:ascii="宋体" w:hAnsi="宋体"/>
                <w:strike/>
                <w:color w:val="auto"/>
                <w:sz w:val="21"/>
                <w:szCs w:val="21"/>
              </w:rPr>
            </w:pPr>
            <w:r>
              <w:rPr>
                <w:rFonts w:hint="eastAsia" w:ascii="宋体" w:hAnsi="宋体"/>
                <w:color w:val="auto"/>
                <w:sz w:val="21"/>
                <w:szCs w:val="21"/>
              </w:rPr>
              <w:t>投标人不得提交两份或者多份内容不同的投标文件，或者在同一份投标文件中对同一招标项目有两个或者多个报价</w:t>
            </w:r>
            <w:r>
              <w:rPr>
                <w:rFonts w:hint="eastAsia" w:ascii="宋体" w:hAnsi="宋体"/>
                <w:color w:val="auto"/>
                <w:sz w:val="21"/>
                <w:szCs w:val="21"/>
                <w:lang w:eastAsia="zh-CN"/>
              </w:rPr>
              <w:t>。</w:t>
            </w:r>
          </w:p>
        </w:tc>
        <w:tc>
          <w:tcPr>
            <w:tcW w:w="1410" w:type="dxa"/>
            <w:vAlign w:val="center"/>
          </w:tcPr>
          <w:p w14:paraId="7F44B82F">
            <w:pPr>
              <w:tabs>
                <w:tab w:val="left" w:pos="1260"/>
                <w:tab w:val="left" w:pos="1620"/>
              </w:tabs>
              <w:adjustRightInd w:val="0"/>
              <w:snapToGrid w:val="0"/>
              <w:textAlignment w:val="baseline"/>
              <w:rPr>
                <w:rFonts w:ascii="宋体" w:hAnsi="宋体"/>
                <w:color w:val="auto"/>
                <w:sz w:val="21"/>
                <w:szCs w:val="21"/>
              </w:rPr>
            </w:pPr>
          </w:p>
        </w:tc>
      </w:tr>
      <w:tr w14:paraId="6A69B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2DC4E117">
            <w:pPr>
              <w:numPr>
                <w:ilvl w:val="0"/>
                <w:numId w:val="0"/>
              </w:numPr>
              <w:tabs>
                <w:tab w:val="left" w:pos="1260"/>
                <w:tab w:val="left" w:pos="1620"/>
              </w:tabs>
              <w:adjustRightInd w:val="0"/>
              <w:snapToGrid w:val="0"/>
              <w:ind w:left="425" w:leftChars="0" w:hanging="425" w:firstLineChars="0"/>
              <w:textAlignment w:val="baseline"/>
              <w:rPr>
                <w:rFonts w:hint="default" w:ascii="宋体" w:hAnsi="宋体"/>
                <w:color w:val="auto"/>
                <w:sz w:val="21"/>
                <w:szCs w:val="21"/>
                <w:lang w:val="en-US"/>
              </w:rPr>
            </w:pPr>
            <w:r>
              <w:rPr>
                <w:rFonts w:hint="eastAsia" w:ascii="宋体" w:hAnsi="宋体" w:cs="Times New Roman"/>
                <w:color w:val="auto"/>
                <w:kern w:val="2"/>
                <w:sz w:val="21"/>
                <w:szCs w:val="21"/>
                <w:lang w:val="en-US" w:eastAsia="zh-CN" w:bidi="ar-SA"/>
              </w:rPr>
              <w:t>10</w:t>
            </w:r>
          </w:p>
        </w:tc>
        <w:tc>
          <w:tcPr>
            <w:tcW w:w="1851" w:type="dxa"/>
            <w:vAlign w:val="center"/>
          </w:tcPr>
          <w:p w14:paraId="346DD720">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投标内容</w:t>
            </w:r>
          </w:p>
        </w:tc>
        <w:tc>
          <w:tcPr>
            <w:tcW w:w="5799" w:type="dxa"/>
            <w:vAlign w:val="center"/>
          </w:tcPr>
          <w:p w14:paraId="4163832C">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投标人提供的服务无实质性遗漏</w:t>
            </w:r>
          </w:p>
        </w:tc>
        <w:tc>
          <w:tcPr>
            <w:tcW w:w="1410" w:type="dxa"/>
            <w:vAlign w:val="center"/>
          </w:tcPr>
          <w:p w14:paraId="5FAEC9C4">
            <w:pPr>
              <w:tabs>
                <w:tab w:val="left" w:pos="1260"/>
                <w:tab w:val="left" w:pos="1620"/>
              </w:tabs>
              <w:adjustRightInd w:val="0"/>
              <w:snapToGrid w:val="0"/>
              <w:textAlignment w:val="baseline"/>
              <w:rPr>
                <w:rFonts w:ascii="宋体" w:hAnsi="宋体"/>
                <w:color w:val="auto"/>
                <w:sz w:val="21"/>
                <w:szCs w:val="21"/>
              </w:rPr>
            </w:pPr>
          </w:p>
        </w:tc>
      </w:tr>
      <w:tr w14:paraId="10FDB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5C209EC3">
            <w:pPr>
              <w:numPr>
                <w:ilvl w:val="0"/>
                <w:numId w:val="0"/>
              </w:numPr>
              <w:tabs>
                <w:tab w:val="left" w:pos="1260"/>
                <w:tab w:val="left" w:pos="1620"/>
              </w:tabs>
              <w:adjustRightInd w:val="0"/>
              <w:snapToGrid w:val="0"/>
              <w:ind w:left="425" w:leftChars="0" w:hanging="425" w:firstLineChars="0"/>
              <w:textAlignment w:val="baseline"/>
              <w:rPr>
                <w:rFonts w:hint="default" w:ascii="宋体" w:hAnsi="宋体"/>
                <w:color w:val="auto"/>
                <w:sz w:val="21"/>
                <w:szCs w:val="21"/>
                <w:lang w:val="en-US"/>
              </w:rPr>
            </w:pPr>
            <w:r>
              <w:rPr>
                <w:rFonts w:hint="eastAsia" w:ascii="宋体" w:hAnsi="宋体" w:cs="Times New Roman"/>
                <w:color w:val="auto"/>
                <w:kern w:val="2"/>
                <w:sz w:val="21"/>
                <w:szCs w:val="21"/>
                <w:lang w:val="en-US" w:eastAsia="zh-CN" w:bidi="ar-SA"/>
              </w:rPr>
              <w:t>11</w:t>
            </w:r>
          </w:p>
        </w:tc>
        <w:tc>
          <w:tcPr>
            <w:tcW w:w="1851" w:type="dxa"/>
            <w:vAlign w:val="center"/>
          </w:tcPr>
          <w:p w14:paraId="5990BCEB">
            <w:pPr>
              <w:tabs>
                <w:tab w:val="left" w:pos="1260"/>
                <w:tab w:val="left" w:pos="1620"/>
              </w:tabs>
              <w:adjustRightInd w:val="0"/>
              <w:snapToGrid w:val="0"/>
              <w:textAlignment w:val="baseline"/>
              <w:rPr>
                <w:rFonts w:hint="eastAsia" w:ascii="宋体" w:hAnsi="宋体" w:eastAsia="宋体"/>
                <w:color w:val="auto"/>
                <w:sz w:val="21"/>
                <w:szCs w:val="21"/>
                <w:lang w:val="en-US" w:eastAsia="zh-CN"/>
              </w:rPr>
            </w:pPr>
            <w:r>
              <w:rPr>
                <w:rFonts w:hint="eastAsia" w:ascii="宋体" w:hAnsi="宋体"/>
                <w:color w:val="auto"/>
                <w:szCs w:val="21"/>
                <w:lang w:val="en-US" w:eastAsia="zh-CN"/>
              </w:rPr>
              <w:t>未</w:t>
            </w:r>
            <w:r>
              <w:rPr>
                <w:rFonts w:hint="eastAsia" w:ascii="宋体" w:hAnsi="宋体"/>
                <w:color w:val="auto"/>
                <w:szCs w:val="21"/>
              </w:rPr>
              <w:t>采用分包方式履行合同</w:t>
            </w:r>
          </w:p>
        </w:tc>
        <w:tc>
          <w:tcPr>
            <w:tcW w:w="5799" w:type="dxa"/>
            <w:vAlign w:val="center"/>
          </w:tcPr>
          <w:p w14:paraId="619DF677">
            <w:pPr>
              <w:tabs>
                <w:tab w:val="left" w:pos="1260"/>
                <w:tab w:val="left" w:pos="1620"/>
              </w:tabs>
              <w:adjustRightInd w:val="0"/>
              <w:snapToGrid w:val="0"/>
              <w:textAlignment w:val="baseline"/>
              <w:rPr>
                <w:rFonts w:hint="eastAsia" w:ascii="宋体" w:hAnsi="宋体"/>
                <w:color w:val="auto"/>
                <w:sz w:val="21"/>
                <w:szCs w:val="21"/>
              </w:rPr>
            </w:pPr>
            <w:r>
              <w:rPr>
                <w:rFonts w:hint="eastAsia" w:ascii="宋体" w:hAnsi="宋体"/>
                <w:color w:val="auto"/>
                <w:sz w:val="21"/>
                <w:szCs w:val="21"/>
                <w:lang w:val="en-US" w:eastAsia="zh-CN"/>
              </w:rPr>
              <w:t>招标文件不允许分包，投标人未分包</w:t>
            </w:r>
          </w:p>
        </w:tc>
        <w:tc>
          <w:tcPr>
            <w:tcW w:w="1410" w:type="dxa"/>
            <w:vAlign w:val="center"/>
          </w:tcPr>
          <w:p w14:paraId="77389434">
            <w:pPr>
              <w:tabs>
                <w:tab w:val="left" w:pos="1260"/>
                <w:tab w:val="left" w:pos="1620"/>
              </w:tabs>
              <w:adjustRightInd w:val="0"/>
              <w:snapToGrid w:val="0"/>
              <w:textAlignment w:val="baseline"/>
              <w:rPr>
                <w:rFonts w:ascii="宋体" w:hAnsi="宋体"/>
                <w:color w:val="auto"/>
                <w:sz w:val="21"/>
                <w:szCs w:val="21"/>
              </w:rPr>
            </w:pPr>
          </w:p>
        </w:tc>
      </w:tr>
      <w:tr w14:paraId="2005B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0BED2491">
            <w:pPr>
              <w:numPr>
                <w:ilvl w:val="0"/>
                <w:numId w:val="0"/>
              </w:numPr>
              <w:tabs>
                <w:tab w:val="left" w:pos="1260"/>
                <w:tab w:val="left" w:pos="1620"/>
              </w:tabs>
              <w:adjustRightInd w:val="0"/>
              <w:snapToGrid w:val="0"/>
              <w:ind w:left="425" w:leftChars="0" w:hanging="425" w:firstLineChars="0"/>
              <w:textAlignment w:val="baseline"/>
              <w:rPr>
                <w:rFonts w:hint="default" w:ascii="宋体" w:hAnsi="宋体"/>
                <w:color w:val="auto"/>
                <w:sz w:val="21"/>
                <w:szCs w:val="21"/>
                <w:lang w:val="en-US"/>
              </w:rPr>
            </w:pPr>
            <w:r>
              <w:rPr>
                <w:rFonts w:hint="eastAsia" w:ascii="宋体" w:hAnsi="宋体" w:cs="Times New Roman"/>
                <w:color w:val="auto"/>
                <w:kern w:val="2"/>
                <w:sz w:val="21"/>
                <w:szCs w:val="21"/>
                <w:lang w:val="en-US" w:eastAsia="zh-CN" w:bidi="ar-SA"/>
              </w:rPr>
              <w:t>12</w:t>
            </w:r>
          </w:p>
        </w:tc>
        <w:tc>
          <w:tcPr>
            <w:tcW w:w="1851" w:type="dxa"/>
            <w:vAlign w:val="center"/>
          </w:tcPr>
          <w:p w14:paraId="545D7D05">
            <w:pPr>
              <w:tabs>
                <w:tab w:val="left" w:pos="1260"/>
                <w:tab w:val="left" w:pos="1620"/>
              </w:tabs>
              <w:adjustRightInd w:val="0"/>
              <w:snapToGrid w:val="0"/>
              <w:textAlignment w:val="baseline"/>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实质性响应</w:t>
            </w:r>
          </w:p>
        </w:tc>
        <w:tc>
          <w:tcPr>
            <w:tcW w:w="5799" w:type="dxa"/>
            <w:vAlign w:val="center"/>
          </w:tcPr>
          <w:p w14:paraId="5168FDC3">
            <w:pPr>
              <w:tabs>
                <w:tab w:val="left" w:pos="1260"/>
                <w:tab w:val="left" w:pos="1620"/>
              </w:tabs>
              <w:adjustRightInd w:val="0"/>
              <w:snapToGrid w:val="0"/>
              <w:textAlignment w:val="baseline"/>
              <w:rPr>
                <w:rFonts w:ascii="宋体" w:hAnsi="宋体"/>
                <w:color w:val="auto"/>
                <w:sz w:val="21"/>
                <w:szCs w:val="21"/>
              </w:rPr>
            </w:pPr>
            <w:r>
              <w:rPr>
                <w:rFonts w:hint="eastAsia" w:ascii="宋体" w:hAnsi="宋体"/>
                <w:color w:val="auto"/>
                <w:sz w:val="21"/>
                <w:szCs w:val="21"/>
              </w:rPr>
              <w:t>符合“采购需求”要求，无重大偏差</w:t>
            </w:r>
            <w:r>
              <w:rPr>
                <w:rFonts w:hint="eastAsia" w:ascii="宋体" w:hAnsi="宋体"/>
                <w:color w:val="auto"/>
                <w:sz w:val="21"/>
                <w:szCs w:val="21"/>
                <w:lang w:eastAsia="zh-CN"/>
              </w:rPr>
              <w:t>(</w:t>
            </w:r>
            <w:r>
              <w:rPr>
                <w:rFonts w:hint="eastAsia" w:ascii="宋体" w:hAnsi="宋体"/>
                <w:color w:val="auto"/>
                <w:sz w:val="21"/>
                <w:szCs w:val="21"/>
              </w:rPr>
              <w:t>满足星号“</w:t>
            </w:r>
            <w:r>
              <w:rPr>
                <w:rFonts w:hint="eastAsia" w:ascii="宋体" w:hAnsi="宋体" w:eastAsia="宋体" w:cs="宋体"/>
                <w:color w:val="auto"/>
                <w:sz w:val="21"/>
                <w:szCs w:val="21"/>
              </w:rPr>
              <w:t>★</w:t>
            </w:r>
            <w:r>
              <w:rPr>
                <w:rFonts w:hint="eastAsia" w:ascii="宋体" w:hAnsi="宋体"/>
                <w:color w:val="auto"/>
                <w:sz w:val="21"/>
                <w:szCs w:val="21"/>
              </w:rPr>
              <w:t>”条款要求</w:t>
            </w:r>
            <w:r>
              <w:rPr>
                <w:rFonts w:hint="eastAsia" w:ascii="宋体" w:hAnsi="宋体"/>
                <w:color w:val="auto"/>
                <w:sz w:val="21"/>
                <w:szCs w:val="21"/>
                <w:lang w:eastAsia="zh-CN"/>
              </w:rPr>
              <w:t>)。</w:t>
            </w:r>
          </w:p>
        </w:tc>
        <w:tc>
          <w:tcPr>
            <w:tcW w:w="1410" w:type="dxa"/>
            <w:vAlign w:val="center"/>
          </w:tcPr>
          <w:p w14:paraId="1CF7C8C8">
            <w:pPr>
              <w:tabs>
                <w:tab w:val="left" w:pos="1260"/>
                <w:tab w:val="left" w:pos="1620"/>
              </w:tabs>
              <w:adjustRightInd w:val="0"/>
              <w:snapToGrid w:val="0"/>
              <w:textAlignment w:val="baseline"/>
              <w:rPr>
                <w:rFonts w:ascii="宋体" w:hAnsi="宋体"/>
                <w:color w:val="auto"/>
                <w:sz w:val="21"/>
                <w:szCs w:val="21"/>
              </w:rPr>
            </w:pPr>
          </w:p>
        </w:tc>
      </w:tr>
      <w:tr w14:paraId="015F4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02" w:type="dxa"/>
            <w:vAlign w:val="center"/>
          </w:tcPr>
          <w:p w14:paraId="014ADC22">
            <w:pPr>
              <w:numPr>
                <w:ilvl w:val="0"/>
                <w:numId w:val="0"/>
              </w:numPr>
              <w:tabs>
                <w:tab w:val="left" w:pos="1260"/>
                <w:tab w:val="left" w:pos="1620"/>
              </w:tabs>
              <w:adjustRightInd w:val="0"/>
              <w:snapToGrid w:val="0"/>
              <w:ind w:left="425" w:leftChars="0" w:hanging="425" w:firstLineChars="0"/>
              <w:textAlignment w:val="baseline"/>
              <w:rPr>
                <w:rFonts w:hint="default" w:ascii="宋体" w:hAnsi="宋体"/>
                <w:i w:val="0"/>
                <w:iCs w:val="0"/>
                <w:color w:val="auto"/>
                <w:sz w:val="21"/>
                <w:szCs w:val="21"/>
                <w:lang w:val="en-US"/>
              </w:rPr>
            </w:pPr>
            <w:r>
              <w:rPr>
                <w:rFonts w:hint="eastAsia" w:ascii="宋体" w:hAnsi="宋体" w:cs="Times New Roman"/>
                <w:i w:val="0"/>
                <w:iCs w:val="0"/>
                <w:color w:val="auto"/>
                <w:kern w:val="2"/>
                <w:sz w:val="21"/>
                <w:szCs w:val="21"/>
                <w:lang w:val="en-US" w:eastAsia="zh-CN" w:bidi="ar-SA"/>
              </w:rPr>
              <w:t>13</w:t>
            </w:r>
          </w:p>
        </w:tc>
        <w:tc>
          <w:tcPr>
            <w:tcW w:w="1851" w:type="dxa"/>
            <w:vAlign w:val="center"/>
          </w:tcPr>
          <w:p w14:paraId="427E750B">
            <w:pPr>
              <w:tabs>
                <w:tab w:val="left" w:pos="1260"/>
                <w:tab w:val="left" w:pos="1620"/>
              </w:tabs>
              <w:adjustRightInd w:val="0"/>
              <w:snapToGrid w:val="0"/>
              <w:textAlignment w:val="baseline"/>
              <w:rPr>
                <w:rFonts w:ascii="宋体" w:hAnsi="宋体"/>
                <w:i w:val="0"/>
                <w:iCs w:val="0"/>
                <w:color w:val="auto"/>
                <w:sz w:val="21"/>
                <w:szCs w:val="21"/>
              </w:rPr>
            </w:pPr>
            <w:r>
              <w:rPr>
                <w:rFonts w:hint="eastAsia" w:ascii="宋体" w:hAnsi="宋体"/>
                <w:i w:val="0"/>
                <w:iCs w:val="0"/>
                <w:color w:val="auto"/>
                <w:sz w:val="21"/>
                <w:szCs w:val="21"/>
              </w:rPr>
              <w:t>合同履行期限</w:t>
            </w:r>
          </w:p>
        </w:tc>
        <w:tc>
          <w:tcPr>
            <w:tcW w:w="5799" w:type="dxa"/>
            <w:vAlign w:val="center"/>
          </w:tcPr>
          <w:p w14:paraId="2F881153">
            <w:pPr>
              <w:tabs>
                <w:tab w:val="left" w:pos="1260"/>
                <w:tab w:val="left" w:pos="1620"/>
              </w:tabs>
              <w:adjustRightInd w:val="0"/>
              <w:snapToGrid w:val="0"/>
              <w:textAlignment w:val="baseline"/>
              <w:rPr>
                <w:rFonts w:ascii="宋体" w:hAnsi="宋体"/>
                <w:i w:val="0"/>
                <w:iCs w:val="0"/>
                <w:color w:val="auto"/>
                <w:sz w:val="21"/>
                <w:szCs w:val="21"/>
              </w:rPr>
            </w:pPr>
            <w:r>
              <w:rPr>
                <w:rFonts w:hint="eastAsia" w:ascii="宋体" w:hAnsi="宋体"/>
                <w:i w:val="0"/>
                <w:iCs w:val="0"/>
                <w:color w:val="auto"/>
                <w:sz w:val="21"/>
                <w:szCs w:val="21"/>
              </w:rPr>
              <w:t>满足招标文件要求</w:t>
            </w:r>
          </w:p>
        </w:tc>
        <w:tc>
          <w:tcPr>
            <w:tcW w:w="1410" w:type="dxa"/>
            <w:vAlign w:val="center"/>
          </w:tcPr>
          <w:p w14:paraId="33B319CA">
            <w:pPr>
              <w:tabs>
                <w:tab w:val="left" w:pos="1260"/>
                <w:tab w:val="left" w:pos="1620"/>
              </w:tabs>
              <w:adjustRightInd w:val="0"/>
              <w:snapToGrid w:val="0"/>
              <w:textAlignment w:val="baseline"/>
              <w:rPr>
                <w:rFonts w:ascii="宋体" w:hAnsi="宋体"/>
                <w:i w:val="0"/>
                <w:iCs w:val="0"/>
                <w:color w:val="auto"/>
                <w:sz w:val="21"/>
                <w:szCs w:val="21"/>
              </w:rPr>
            </w:pPr>
          </w:p>
        </w:tc>
      </w:tr>
      <w:tr w14:paraId="53C8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53" w:type="dxa"/>
            <w:gridSpan w:val="2"/>
            <w:vAlign w:val="center"/>
          </w:tcPr>
          <w:p w14:paraId="339E4C14">
            <w:pPr>
              <w:tabs>
                <w:tab w:val="left" w:pos="1260"/>
                <w:tab w:val="left" w:pos="1620"/>
              </w:tabs>
              <w:adjustRightInd w:val="0"/>
              <w:snapToGrid w:val="0"/>
              <w:textAlignment w:val="baseline"/>
              <w:rPr>
                <w:rFonts w:hint="eastAsia" w:ascii="宋体" w:hAnsi="宋体" w:eastAsia="宋体"/>
                <w:color w:val="auto"/>
                <w:sz w:val="21"/>
                <w:szCs w:val="21"/>
                <w:lang w:eastAsia="zh-CN"/>
              </w:rPr>
            </w:pPr>
            <w:r>
              <w:rPr>
                <w:rFonts w:ascii="宋体" w:hAnsi="宋体"/>
                <w:b/>
                <w:color w:val="auto"/>
                <w:sz w:val="21"/>
                <w:szCs w:val="21"/>
              </w:rPr>
              <w:t>结论</w:t>
            </w:r>
            <w:r>
              <w:rPr>
                <w:rFonts w:hint="eastAsia" w:ascii="宋体" w:hAnsi="宋体"/>
                <w:b/>
                <w:color w:val="auto"/>
                <w:sz w:val="21"/>
                <w:szCs w:val="21"/>
                <w:lang w:eastAsia="zh-CN"/>
              </w:rPr>
              <w:t>(</w:t>
            </w:r>
            <w:r>
              <w:rPr>
                <w:rFonts w:ascii="宋体" w:hAnsi="宋体"/>
                <w:b/>
                <w:color w:val="auto"/>
                <w:sz w:val="21"/>
                <w:szCs w:val="21"/>
              </w:rPr>
              <w:t>通过或未通过</w:t>
            </w:r>
            <w:r>
              <w:rPr>
                <w:rFonts w:hint="eastAsia" w:ascii="宋体" w:hAnsi="宋体"/>
                <w:b/>
                <w:color w:val="auto"/>
                <w:sz w:val="21"/>
                <w:szCs w:val="21"/>
                <w:lang w:eastAsia="zh-CN"/>
              </w:rPr>
              <w:t>)</w:t>
            </w:r>
          </w:p>
        </w:tc>
        <w:tc>
          <w:tcPr>
            <w:tcW w:w="5799" w:type="dxa"/>
            <w:vAlign w:val="center"/>
          </w:tcPr>
          <w:p w14:paraId="00C50483">
            <w:pPr>
              <w:tabs>
                <w:tab w:val="left" w:pos="1260"/>
                <w:tab w:val="left" w:pos="1620"/>
              </w:tabs>
              <w:adjustRightInd w:val="0"/>
              <w:snapToGrid w:val="0"/>
              <w:textAlignment w:val="baseline"/>
              <w:rPr>
                <w:rFonts w:ascii="宋体" w:hAnsi="宋体"/>
                <w:color w:val="auto"/>
                <w:sz w:val="21"/>
                <w:szCs w:val="21"/>
              </w:rPr>
            </w:pPr>
          </w:p>
        </w:tc>
        <w:tc>
          <w:tcPr>
            <w:tcW w:w="1410" w:type="dxa"/>
            <w:vAlign w:val="center"/>
          </w:tcPr>
          <w:p w14:paraId="50C5DBA2">
            <w:pPr>
              <w:tabs>
                <w:tab w:val="left" w:pos="1260"/>
                <w:tab w:val="left" w:pos="1620"/>
              </w:tabs>
              <w:adjustRightInd w:val="0"/>
              <w:snapToGrid w:val="0"/>
              <w:textAlignment w:val="baseline"/>
              <w:rPr>
                <w:rFonts w:ascii="宋体" w:hAnsi="宋体"/>
                <w:color w:val="auto"/>
                <w:sz w:val="21"/>
                <w:szCs w:val="21"/>
              </w:rPr>
            </w:pPr>
          </w:p>
        </w:tc>
      </w:tr>
    </w:tbl>
    <w:p w14:paraId="2CC89180">
      <w:pPr>
        <w:tabs>
          <w:tab w:val="left" w:pos="1260"/>
          <w:tab w:val="left" w:pos="1620"/>
        </w:tabs>
        <w:adjustRightInd w:val="0"/>
        <w:spacing w:line="360" w:lineRule="auto"/>
        <w:jc w:val="left"/>
        <w:textAlignment w:val="baseline"/>
        <w:rPr>
          <w:b/>
          <w:color w:val="auto"/>
          <w:szCs w:val="21"/>
        </w:rPr>
      </w:pPr>
      <w:r>
        <w:rPr>
          <w:rFonts w:hint="eastAsia"/>
          <w:b/>
          <w:color w:val="auto"/>
          <w:szCs w:val="21"/>
        </w:rPr>
        <w:t>注</w:t>
      </w:r>
      <w:r>
        <w:rPr>
          <w:rFonts w:hint="eastAsia"/>
          <w:b/>
          <w:color w:val="auto"/>
          <w:szCs w:val="21"/>
          <w:lang w:eastAsia="zh-CN"/>
        </w:rPr>
        <w:t>:</w:t>
      </w:r>
      <w:r>
        <w:rPr>
          <w:rFonts w:hint="eastAsia"/>
          <w:b/>
          <w:color w:val="auto"/>
          <w:szCs w:val="21"/>
        </w:rPr>
        <w:t>1、符合招标文件要求用“</w:t>
      </w:r>
      <w:r>
        <w:rPr>
          <w:rFonts w:hint="default" w:ascii="Arial" w:hAnsi="Arial" w:cs="Arial"/>
          <w:b/>
          <w:color w:val="auto"/>
          <w:szCs w:val="21"/>
        </w:rPr>
        <w:t>√</w:t>
      </w:r>
      <w:r>
        <w:rPr>
          <w:rFonts w:hint="eastAsia"/>
          <w:b/>
          <w:color w:val="auto"/>
          <w:szCs w:val="21"/>
        </w:rPr>
        <w:t>”表示，不符合用“×”表示。有一项不符合要求，结论为不合格。</w:t>
      </w:r>
    </w:p>
    <w:p w14:paraId="795248EC">
      <w:pPr>
        <w:tabs>
          <w:tab w:val="left" w:pos="1260"/>
          <w:tab w:val="left" w:pos="1620"/>
        </w:tabs>
        <w:adjustRightInd w:val="0"/>
        <w:spacing w:line="360" w:lineRule="auto"/>
        <w:jc w:val="left"/>
        <w:textAlignment w:val="baseline"/>
        <w:outlineLvl w:val="9"/>
        <w:rPr>
          <w:rFonts w:hint="eastAsia" w:eastAsia="宋体"/>
          <w:b/>
          <w:color w:val="auto"/>
          <w:szCs w:val="21"/>
          <w:lang w:eastAsia="zh-CN"/>
        </w:rPr>
      </w:pPr>
      <w:r>
        <w:rPr>
          <w:rFonts w:hint="eastAsia"/>
          <w:b/>
          <w:color w:val="auto"/>
          <w:szCs w:val="21"/>
        </w:rPr>
        <w:t>2、有下列情形之一的，视为投标人相互串通投标</w:t>
      </w:r>
      <w:r>
        <w:rPr>
          <w:rFonts w:hint="eastAsia"/>
          <w:b/>
          <w:color w:val="auto"/>
          <w:szCs w:val="21"/>
          <w:lang w:eastAsia="zh-CN"/>
        </w:rPr>
        <w:t>:</w:t>
      </w:r>
    </w:p>
    <w:p w14:paraId="340326BF">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1</w:t>
      </w:r>
      <w:r>
        <w:rPr>
          <w:rFonts w:hint="eastAsia"/>
          <w:b/>
          <w:color w:val="auto"/>
          <w:szCs w:val="21"/>
          <w:lang w:eastAsia="zh-CN"/>
        </w:rPr>
        <w:t>)</w:t>
      </w:r>
      <w:r>
        <w:rPr>
          <w:rFonts w:hint="eastAsia"/>
          <w:b/>
          <w:color w:val="auto"/>
          <w:szCs w:val="21"/>
        </w:rPr>
        <w:t>不同投标人的投标文件由同一单位或者个人编制；</w:t>
      </w:r>
    </w:p>
    <w:p w14:paraId="55334979">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2</w:t>
      </w:r>
      <w:r>
        <w:rPr>
          <w:rFonts w:hint="eastAsia"/>
          <w:b/>
          <w:color w:val="auto"/>
          <w:szCs w:val="21"/>
          <w:lang w:eastAsia="zh-CN"/>
        </w:rPr>
        <w:t>)</w:t>
      </w:r>
      <w:r>
        <w:rPr>
          <w:rFonts w:hint="eastAsia"/>
          <w:b/>
          <w:color w:val="auto"/>
          <w:szCs w:val="21"/>
        </w:rPr>
        <w:t>不同投标人委托同一单位或者个人办理投标事宜；</w:t>
      </w:r>
    </w:p>
    <w:p w14:paraId="5951C98E">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3</w:t>
      </w:r>
      <w:r>
        <w:rPr>
          <w:rFonts w:hint="eastAsia"/>
          <w:b/>
          <w:color w:val="auto"/>
          <w:szCs w:val="21"/>
          <w:lang w:eastAsia="zh-CN"/>
        </w:rPr>
        <w:t>)</w:t>
      </w:r>
      <w:r>
        <w:rPr>
          <w:rFonts w:hint="eastAsia"/>
          <w:b/>
          <w:color w:val="auto"/>
          <w:szCs w:val="21"/>
        </w:rPr>
        <w:t>不同投标人的投标文件载明的项目管理成员或者联系人员为同一人；</w:t>
      </w:r>
    </w:p>
    <w:p w14:paraId="6FC863ED">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4</w:t>
      </w:r>
      <w:r>
        <w:rPr>
          <w:rFonts w:hint="eastAsia"/>
          <w:b/>
          <w:color w:val="auto"/>
          <w:szCs w:val="21"/>
          <w:lang w:eastAsia="zh-CN"/>
        </w:rPr>
        <w:t>)</w:t>
      </w:r>
      <w:r>
        <w:rPr>
          <w:rFonts w:hint="eastAsia"/>
          <w:b/>
          <w:color w:val="auto"/>
          <w:szCs w:val="21"/>
        </w:rPr>
        <w:t>不同投标人的投标文件异常一致或者投标报价呈规律性差异；</w:t>
      </w:r>
    </w:p>
    <w:p w14:paraId="50F95486">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5</w:t>
      </w:r>
      <w:r>
        <w:rPr>
          <w:rFonts w:hint="eastAsia"/>
          <w:b/>
          <w:color w:val="auto"/>
          <w:szCs w:val="21"/>
          <w:lang w:eastAsia="zh-CN"/>
        </w:rPr>
        <w:t>)</w:t>
      </w:r>
      <w:r>
        <w:rPr>
          <w:rFonts w:hint="eastAsia"/>
          <w:b/>
          <w:color w:val="auto"/>
          <w:szCs w:val="21"/>
        </w:rPr>
        <w:t>不同投标人的投标文件相互混装；</w:t>
      </w:r>
    </w:p>
    <w:p w14:paraId="073EB25B">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6</w:t>
      </w:r>
      <w:r>
        <w:rPr>
          <w:rFonts w:hint="eastAsia"/>
          <w:b/>
          <w:color w:val="auto"/>
          <w:szCs w:val="21"/>
          <w:lang w:eastAsia="zh-CN"/>
        </w:rPr>
        <w:t>)</w:t>
      </w:r>
      <w:r>
        <w:rPr>
          <w:rFonts w:hint="eastAsia"/>
          <w:b/>
          <w:color w:val="auto"/>
          <w:szCs w:val="21"/>
        </w:rPr>
        <w:t>不同投标人的投标保证金从同一单位或者个人的账户转出。</w:t>
      </w:r>
    </w:p>
    <w:p w14:paraId="77E18C92">
      <w:pPr>
        <w:tabs>
          <w:tab w:val="left" w:pos="1260"/>
          <w:tab w:val="left" w:pos="1620"/>
        </w:tabs>
        <w:adjustRightInd w:val="0"/>
        <w:spacing w:line="360" w:lineRule="auto"/>
        <w:jc w:val="left"/>
        <w:textAlignment w:val="baseline"/>
        <w:outlineLvl w:val="9"/>
        <w:rPr>
          <w:rFonts w:hint="eastAsia" w:eastAsia="宋体"/>
          <w:b/>
          <w:color w:val="auto"/>
          <w:szCs w:val="21"/>
          <w:lang w:eastAsia="zh-CN"/>
        </w:rPr>
      </w:pPr>
      <w:r>
        <w:rPr>
          <w:rFonts w:hint="eastAsia"/>
          <w:b/>
          <w:color w:val="auto"/>
          <w:szCs w:val="21"/>
        </w:rPr>
        <w:t>3、有下列情形之一的，属于提供虚假材料谋取中标的行为</w:t>
      </w:r>
      <w:r>
        <w:rPr>
          <w:rFonts w:hint="eastAsia"/>
          <w:b/>
          <w:color w:val="auto"/>
          <w:szCs w:val="21"/>
          <w:lang w:eastAsia="zh-CN"/>
        </w:rPr>
        <w:t>:</w:t>
      </w:r>
    </w:p>
    <w:p w14:paraId="45F4DC82">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1</w:t>
      </w:r>
      <w:r>
        <w:rPr>
          <w:rFonts w:hint="eastAsia"/>
          <w:b/>
          <w:color w:val="auto"/>
          <w:szCs w:val="21"/>
          <w:lang w:eastAsia="zh-CN"/>
        </w:rPr>
        <w:t>)</w:t>
      </w:r>
      <w:r>
        <w:rPr>
          <w:rFonts w:hint="eastAsia"/>
          <w:b/>
          <w:color w:val="auto"/>
          <w:szCs w:val="21"/>
        </w:rPr>
        <w:t>使用伪造、变造的许可证件；</w:t>
      </w:r>
    </w:p>
    <w:p w14:paraId="1D9B718C">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2</w:t>
      </w:r>
      <w:r>
        <w:rPr>
          <w:rFonts w:hint="eastAsia"/>
          <w:b/>
          <w:color w:val="auto"/>
          <w:szCs w:val="21"/>
          <w:lang w:eastAsia="zh-CN"/>
        </w:rPr>
        <w:t>)</w:t>
      </w:r>
      <w:r>
        <w:rPr>
          <w:rFonts w:hint="eastAsia"/>
          <w:b/>
          <w:color w:val="auto"/>
          <w:szCs w:val="21"/>
        </w:rPr>
        <w:t>提供虚假的财务状况或者业绩；</w:t>
      </w:r>
    </w:p>
    <w:p w14:paraId="1B2077F2">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3</w:t>
      </w:r>
      <w:r>
        <w:rPr>
          <w:rFonts w:hint="eastAsia"/>
          <w:b/>
          <w:color w:val="auto"/>
          <w:szCs w:val="21"/>
          <w:lang w:eastAsia="zh-CN"/>
        </w:rPr>
        <w:t>)</w:t>
      </w:r>
      <w:r>
        <w:rPr>
          <w:rFonts w:hint="eastAsia"/>
          <w:b/>
          <w:color w:val="auto"/>
          <w:szCs w:val="21"/>
        </w:rPr>
        <w:t>提供虚假的项目负责人或者主要技术人员简历、劳动关系证明；</w:t>
      </w:r>
    </w:p>
    <w:p w14:paraId="0DAD4901">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4</w:t>
      </w:r>
      <w:r>
        <w:rPr>
          <w:rFonts w:hint="eastAsia"/>
          <w:b/>
          <w:color w:val="auto"/>
          <w:szCs w:val="21"/>
          <w:lang w:eastAsia="zh-CN"/>
        </w:rPr>
        <w:t>)</w:t>
      </w:r>
      <w:r>
        <w:rPr>
          <w:rFonts w:hint="eastAsia"/>
          <w:b/>
          <w:color w:val="auto"/>
          <w:szCs w:val="21"/>
        </w:rPr>
        <w:t>提供虚假的信用状况；</w:t>
      </w:r>
    </w:p>
    <w:p w14:paraId="7DD3E715">
      <w:pPr>
        <w:tabs>
          <w:tab w:val="left" w:pos="1260"/>
          <w:tab w:val="left" w:pos="1620"/>
        </w:tabs>
        <w:adjustRightInd w:val="0"/>
        <w:spacing w:line="360" w:lineRule="auto"/>
        <w:jc w:val="left"/>
        <w:textAlignment w:val="baseline"/>
        <w:rPr>
          <w:b/>
          <w:color w:val="auto"/>
          <w:szCs w:val="21"/>
        </w:rPr>
      </w:pPr>
      <w:r>
        <w:rPr>
          <w:rFonts w:hint="eastAsia"/>
          <w:b/>
          <w:color w:val="auto"/>
          <w:szCs w:val="21"/>
          <w:lang w:eastAsia="zh-CN"/>
        </w:rPr>
        <w:t>(</w:t>
      </w:r>
      <w:r>
        <w:rPr>
          <w:rFonts w:hint="eastAsia"/>
          <w:b/>
          <w:color w:val="auto"/>
          <w:szCs w:val="21"/>
        </w:rPr>
        <w:t>5</w:t>
      </w:r>
      <w:r>
        <w:rPr>
          <w:rFonts w:hint="eastAsia"/>
          <w:b/>
          <w:color w:val="auto"/>
          <w:szCs w:val="21"/>
          <w:lang w:eastAsia="zh-CN"/>
        </w:rPr>
        <w:t>)</w:t>
      </w:r>
      <w:r>
        <w:rPr>
          <w:rFonts w:hint="eastAsia"/>
          <w:b/>
          <w:color w:val="auto"/>
          <w:szCs w:val="21"/>
        </w:rPr>
        <w:t>其他弄虚作假的行为。</w:t>
      </w:r>
    </w:p>
    <w:p w14:paraId="44FA982E">
      <w:pPr>
        <w:tabs>
          <w:tab w:val="left" w:pos="1260"/>
          <w:tab w:val="left" w:pos="1620"/>
        </w:tabs>
        <w:adjustRightInd w:val="0"/>
        <w:spacing w:line="360" w:lineRule="auto"/>
        <w:jc w:val="left"/>
        <w:textAlignment w:val="baseline"/>
        <w:rPr>
          <w:b/>
          <w:color w:val="auto"/>
          <w:szCs w:val="21"/>
        </w:rPr>
      </w:pPr>
    </w:p>
    <w:p w14:paraId="20B14356">
      <w:pPr>
        <w:tabs>
          <w:tab w:val="left" w:pos="1260"/>
          <w:tab w:val="left" w:pos="1620"/>
        </w:tabs>
        <w:adjustRightInd w:val="0"/>
        <w:spacing w:line="360" w:lineRule="auto"/>
        <w:jc w:val="left"/>
        <w:textAlignment w:val="baseline"/>
        <w:rPr>
          <w:b/>
          <w:color w:val="auto"/>
          <w:szCs w:val="21"/>
        </w:rPr>
      </w:pPr>
      <w:r>
        <w:rPr>
          <w:b/>
          <w:color w:val="auto"/>
          <w:szCs w:val="21"/>
        </w:rPr>
        <w:br w:type="page"/>
      </w:r>
    </w:p>
    <w:p w14:paraId="080E85A9">
      <w:pPr>
        <w:tabs>
          <w:tab w:val="left" w:pos="-94"/>
          <w:tab w:val="left" w:pos="428"/>
        </w:tabs>
        <w:adjustRightInd w:val="0"/>
        <w:spacing w:line="360" w:lineRule="auto"/>
        <w:ind w:left="23" w:leftChars="11"/>
        <w:jc w:val="center"/>
        <w:textAlignment w:val="baseline"/>
        <w:outlineLvl w:val="1"/>
        <w:rPr>
          <w:b/>
          <w:color w:val="auto"/>
          <w:sz w:val="28"/>
          <w:szCs w:val="28"/>
        </w:rPr>
      </w:pPr>
      <w:bookmarkStart w:id="156" w:name="_Toc414446034"/>
      <w:bookmarkStart w:id="157" w:name="_Toc17374"/>
      <w:bookmarkStart w:id="158" w:name="_Toc15146"/>
      <w:bookmarkStart w:id="159" w:name="_Toc23977"/>
      <w:bookmarkStart w:id="160" w:name="_Toc410631198"/>
      <w:bookmarkStart w:id="161" w:name="_Toc7519"/>
      <w:r>
        <w:rPr>
          <w:b/>
          <w:color w:val="auto"/>
          <w:sz w:val="28"/>
          <w:szCs w:val="28"/>
        </w:rPr>
        <w:t>附表</w:t>
      </w:r>
      <w:r>
        <w:rPr>
          <w:rFonts w:hint="eastAsia"/>
          <w:b/>
          <w:color w:val="auto"/>
          <w:sz w:val="28"/>
          <w:szCs w:val="28"/>
        </w:rPr>
        <w:t xml:space="preserve">三 </w:t>
      </w:r>
      <w:r>
        <w:rPr>
          <w:b/>
          <w:color w:val="auto"/>
          <w:sz w:val="28"/>
          <w:szCs w:val="28"/>
        </w:rPr>
        <w:t>商务</w:t>
      </w:r>
      <w:r>
        <w:rPr>
          <w:rFonts w:hint="eastAsia"/>
          <w:b/>
          <w:color w:val="auto"/>
          <w:sz w:val="28"/>
          <w:szCs w:val="28"/>
          <w:lang w:val="en-US" w:eastAsia="zh-CN"/>
        </w:rPr>
        <w:t>技术</w:t>
      </w:r>
      <w:r>
        <w:rPr>
          <w:b/>
          <w:color w:val="auto"/>
          <w:sz w:val="28"/>
          <w:szCs w:val="28"/>
        </w:rPr>
        <w:t>评审因素及分值分配表</w:t>
      </w:r>
      <w:bookmarkEnd w:id="156"/>
      <w:bookmarkEnd w:id="157"/>
      <w:bookmarkEnd w:id="158"/>
      <w:bookmarkEnd w:id="159"/>
      <w:bookmarkEnd w:id="160"/>
      <w:bookmarkEnd w:id="161"/>
    </w:p>
    <w:p w14:paraId="45B0B452">
      <w:pPr>
        <w:tabs>
          <w:tab w:val="left" w:pos="-94"/>
          <w:tab w:val="left" w:pos="1620"/>
        </w:tabs>
        <w:adjustRightInd w:val="0"/>
        <w:spacing w:line="360" w:lineRule="auto"/>
        <w:ind w:left="23" w:leftChars="11"/>
        <w:jc w:val="center"/>
        <w:textAlignment w:val="baseline"/>
        <w:rPr>
          <w:rFonts w:hint="eastAsia" w:ascii="宋体" w:hAnsi="宋体" w:eastAsia="宋体"/>
          <w:color w:val="auto"/>
          <w:szCs w:val="21"/>
          <w:lang w:eastAsia="zh-CN"/>
        </w:rPr>
      </w:pPr>
      <w:r>
        <w:rPr>
          <w:rFonts w:hint="eastAsia" w:ascii="宋体" w:hAnsi="宋体"/>
          <w:color w:val="auto"/>
          <w:szCs w:val="21"/>
          <w:lang w:eastAsia="zh-CN"/>
        </w:rPr>
        <w:t>(</w:t>
      </w:r>
      <w:r>
        <w:rPr>
          <w:rFonts w:hint="eastAsia" w:ascii="宋体" w:hAnsi="宋体"/>
          <w:color w:val="auto"/>
          <w:szCs w:val="21"/>
          <w:shd w:val="clear"/>
        </w:rPr>
        <w:t>满分</w:t>
      </w:r>
      <w:r>
        <w:rPr>
          <w:rFonts w:hint="eastAsia" w:ascii="宋体" w:hAnsi="宋体"/>
          <w:color w:val="auto"/>
          <w:szCs w:val="21"/>
          <w:shd w:val="clear"/>
          <w:lang w:val="en-US" w:eastAsia="zh-CN"/>
        </w:rPr>
        <w:t>9</w:t>
      </w:r>
      <w:r>
        <w:rPr>
          <w:rFonts w:hint="eastAsia" w:ascii="宋体" w:hAnsi="宋体"/>
          <w:color w:val="auto"/>
          <w:szCs w:val="21"/>
          <w:shd w:val="clear"/>
        </w:rPr>
        <w:t>0分</w:t>
      </w:r>
      <w:r>
        <w:rPr>
          <w:rFonts w:hint="eastAsia" w:ascii="宋体" w:hAnsi="宋体"/>
          <w:color w:val="auto"/>
          <w:szCs w:val="21"/>
          <w:lang w:eastAsia="zh-CN"/>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503"/>
        <w:gridCol w:w="1003"/>
        <w:gridCol w:w="5012"/>
        <w:gridCol w:w="1002"/>
      </w:tblGrid>
      <w:tr w14:paraId="2CDE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69" w:type="dxa"/>
            <w:vAlign w:val="center"/>
          </w:tcPr>
          <w:p w14:paraId="11B3C30A">
            <w:pPr>
              <w:snapToGrid w:val="0"/>
              <w:spacing w:line="240" w:lineRule="auto"/>
              <w:jc w:val="center"/>
              <w:rPr>
                <w:rFonts w:hint="eastAsia" w:ascii="宋体" w:hAnsi="宋体" w:eastAsia="宋体" w:cs="宋体"/>
                <w:b/>
                <w:bCs/>
                <w:caps/>
                <w:color w:val="auto"/>
                <w:sz w:val="21"/>
                <w:szCs w:val="21"/>
              </w:rPr>
            </w:pPr>
            <w:r>
              <w:rPr>
                <w:rFonts w:hint="eastAsia" w:ascii="宋体" w:hAnsi="宋体" w:eastAsia="宋体" w:cs="宋体"/>
                <w:b/>
                <w:bCs/>
                <w:caps/>
                <w:color w:val="auto"/>
                <w:sz w:val="21"/>
                <w:szCs w:val="21"/>
              </w:rPr>
              <w:t>序号</w:t>
            </w:r>
          </w:p>
        </w:tc>
        <w:tc>
          <w:tcPr>
            <w:tcW w:w="1657" w:type="dxa"/>
            <w:vAlign w:val="center"/>
          </w:tcPr>
          <w:p w14:paraId="0A2B2576">
            <w:pPr>
              <w:snapToGrid w:val="0"/>
              <w:spacing w:line="240" w:lineRule="auto"/>
              <w:jc w:val="center"/>
              <w:rPr>
                <w:rFonts w:hint="eastAsia" w:ascii="宋体" w:hAnsi="宋体" w:eastAsia="宋体" w:cs="宋体"/>
                <w:b/>
                <w:bCs/>
                <w:caps/>
                <w:color w:val="auto"/>
                <w:sz w:val="21"/>
                <w:szCs w:val="21"/>
              </w:rPr>
            </w:pPr>
            <w:r>
              <w:rPr>
                <w:rFonts w:hint="eastAsia" w:ascii="宋体" w:hAnsi="宋体" w:eastAsia="宋体" w:cs="宋体"/>
                <w:b/>
                <w:bCs/>
                <w:caps/>
                <w:color w:val="auto"/>
                <w:sz w:val="21"/>
                <w:szCs w:val="21"/>
              </w:rPr>
              <w:t>评审内容</w:t>
            </w:r>
          </w:p>
        </w:tc>
        <w:tc>
          <w:tcPr>
            <w:tcW w:w="1106" w:type="dxa"/>
            <w:vAlign w:val="center"/>
          </w:tcPr>
          <w:p w14:paraId="5D4EC8A4">
            <w:pPr>
              <w:snapToGrid w:val="0"/>
              <w:spacing w:line="240" w:lineRule="auto"/>
              <w:jc w:val="center"/>
              <w:rPr>
                <w:rFonts w:hint="eastAsia" w:ascii="宋体" w:hAnsi="宋体" w:eastAsia="宋体" w:cs="宋体"/>
                <w:b/>
                <w:bCs/>
                <w:caps/>
                <w:color w:val="auto"/>
                <w:sz w:val="21"/>
                <w:szCs w:val="21"/>
              </w:rPr>
            </w:pPr>
            <w:r>
              <w:rPr>
                <w:rFonts w:hint="eastAsia" w:ascii="宋体" w:hAnsi="宋体" w:eastAsia="宋体" w:cs="宋体"/>
                <w:b/>
                <w:bCs/>
                <w:caps/>
                <w:color w:val="auto"/>
                <w:sz w:val="21"/>
                <w:szCs w:val="21"/>
              </w:rPr>
              <w:t>标准分</w:t>
            </w:r>
          </w:p>
        </w:tc>
        <w:tc>
          <w:tcPr>
            <w:tcW w:w="5525" w:type="dxa"/>
            <w:vAlign w:val="center"/>
          </w:tcPr>
          <w:p w14:paraId="41751BA3">
            <w:pPr>
              <w:snapToGrid w:val="0"/>
              <w:spacing w:line="240" w:lineRule="auto"/>
              <w:jc w:val="center"/>
              <w:rPr>
                <w:rFonts w:hint="eastAsia" w:ascii="宋体" w:hAnsi="宋体" w:eastAsia="宋体" w:cs="宋体"/>
                <w:b/>
                <w:bCs/>
                <w:caps/>
                <w:color w:val="auto"/>
                <w:sz w:val="21"/>
                <w:szCs w:val="21"/>
              </w:rPr>
            </w:pPr>
            <w:r>
              <w:rPr>
                <w:rFonts w:hint="eastAsia" w:ascii="宋体" w:hAnsi="宋体" w:eastAsia="宋体" w:cs="宋体"/>
                <w:b/>
                <w:bCs/>
                <w:caps/>
                <w:color w:val="auto"/>
                <w:sz w:val="21"/>
                <w:szCs w:val="21"/>
              </w:rPr>
              <w:t>评  审  标  准</w:t>
            </w:r>
          </w:p>
        </w:tc>
        <w:tc>
          <w:tcPr>
            <w:tcW w:w="1105" w:type="dxa"/>
            <w:vAlign w:val="center"/>
          </w:tcPr>
          <w:p w14:paraId="2A963780">
            <w:pPr>
              <w:snapToGrid w:val="0"/>
              <w:spacing w:line="240" w:lineRule="auto"/>
              <w:jc w:val="center"/>
              <w:rPr>
                <w:rFonts w:hint="eastAsia" w:ascii="宋体" w:hAnsi="宋体" w:eastAsia="宋体" w:cs="宋体"/>
                <w:b/>
                <w:bCs/>
                <w:caps/>
                <w:color w:val="auto"/>
                <w:sz w:val="21"/>
                <w:szCs w:val="21"/>
              </w:rPr>
            </w:pPr>
            <w:r>
              <w:rPr>
                <w:rFonts w:hint="eastAsia" w:ascii="宋体" w:hAnsi="宋体" w:eastAsia="宋体" w:cs="宋体"/>
                <w:b/>
                <w:bCs/>
                <w:caps/>
                <w:color w:val="auto"/>
                <w:sz w:val="21"/>
                <w:szCs w:val="21"/>
              </w:rPr>
              <w:t>得分</w:t>
            </w:r>
          </w:p>
        </w:tc>
      </w:tr>
      <w:tr w14:paraId="18E3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4950626B">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1657" w:type="dxa"/>
            <w:shd w:val="clear" w:color="auto" w:fill="auto"/>
            <w:vAlign w:val="center"/>
          </w:tcPr>
          <w:p w14:paraId="23D9504A">
            <w:pPr>
              <w:shd w:val="clear"/>
              <w:spacing w:line="240" w:lineRule="auto"/>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供应商业绩</w:t>
            </w:r>
          </w:p>
        </w:tc>
        <w:tc>
          <w:tcPr>
            <w:tcW w:w="1106" w:type="dxa"/>
            <w:shd w:val="clear" w:color="auto" w:fill="auto"/>
            <w:vAlign w:val="center"/>
          </w:tcPr>
          <w:p w14:paraId="16CEFF38">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highlight w:val="none"/>
                <w:lang w:val="en-US" w:eastAsia="zh-CN" w:bidi="ar-SA"/>
              </w:rPr>
              <w:t>12</w:t>
            </w:r>
          </w:p>
        </w:tc>
        <w:tc>
          <w:tcPr>
            <w:tcW w:w="5525" w:type="dxa"/>
            <w:shd w:val="clear" w:color="auto" w:fill="auto"/>
            <w:vAlign w:val="center"/>
          </w:tcPr>
          <w:p w14:paraId="576A816E">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供应商近三年（自202</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年</w:t>
            </w: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月1日至投标截止时间，以合同签订时间为准）每具有1项类似项目业绩得</w:t>
            </w:r>
            <w:r>
              <w:rPr>
                <w:rFonts w:hint="eastAsia" w:ascii="宋体" w:hAnsi="宋体" w:cs="宋体"/>
                <w:color w:val="auto"/>
                <w:highlight w:val="none"/>
                <w:lang w:val="en-US" w:eastAsia="zh-CN"/>
              </w:rPr>
              <w:t>4</w:t>
            </w:r>
            <w:r>
              <w:rPr>
                <w:rFonts w:hint="eastAsia" w:ascii="宋体" w:hAnsi="宋体" w:eastAsia="宋体" w:cs="宋体"/>
                <w:color w:val="auto"/>
                <w:highlight w:val="none"/>
                <w:lang w:eastAsia="zh-CN"/>
              </w:rPr>
              <w:t>分，本项最高得</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lang w:eastAsia="zh-CN"/>
              </w:rPr>
              <w:t>分，未提供证明材料不得分。</w:t>
            </w:r>
          </w:p>
          <w:p w14:paraId="3199EB37">
            <w:pPr>
              <w:shd w:val="clear"/>
              <w:spacing w:line="240" w:lineRule="auto"/>
              <w:jc w:val="both"/>
              <w:rPr>
                <w:rFonts w:hint="eastAsia" w:ascii="宋体" w:hAnsi="宋体" w:eastAsia="宋体" w:cs="宋体"/>
                <w:color w:val="auto"/>
                <w:kern w:val="2"/>
                <w:sz w:val="21"/>
                <w:szCs w:val="24"/>
                <w:highlight w:val="none"/>
                <w:lang w:val="en-US" w:eastAsia="zh-Hans" w:bidi="ar-SA"/>
              </w:rPr>
            </w:pPr>
            <w:r>
              <w:rPr>
                <w:rFonts w:hint="eastAsia" w:ascii="宋体" w:hAnsi="宋体" w:eastAsia="宋体" w:cs="宋体"/>
                <w:b/>
                <w:bCs/>
                <w:color w:val="auto"/>
                <w:highlight w:val="none"/>
                <w:lang w:eastAsia="zh-CN"/>
              </w:rPr>
              <w:t>注：类似业绩指市政公用工程</w:t>
            </w:r>
            <w:r>
              <w:rPr>
                <w:rFonts w:hint="eastAsia" w:ascii="宋体" w:hAnsi="宋体" w:eastAsia="宋体" w:cs="宋体"/>
                <w:b/>
                <w:bCs/>
                <w:color w:val="auto"/>
                <w:highlight w:val="none"/>
                <w:lang w:val="en-US" w:eastAsia="zh-CN"/>
              </w:rPr>
              <w:t>相关类型</w:t>
            </w:r>
            <w:r>
              <w:rPr>
                <w:rFonts w:hint="eastAsia" w:ascii="宋体" w:hAnsi="宋体" w:eastAsia="宋体" w:cs="宋体"/>
                <w:b/>
                <w:bCs/>
                <w:color w:val="auto"/>
                <w:highlight w:val="none"/>
                <w:lang w:eastAsia="zh-CN"/>
              </w:rPr>
              <w:t>；业绩证明材料须提供中标通知书（如有）和合同关键页（包括甲乙双方名称、项目名称、项目建设（规模）内容、合同金额、合同签订时间）复印件或扫描件。</w:t>
            </w:r>
          </w:p>
        </w:tc>
        <w:tc>
          <w:tcPr>
            <w:tcW w:w="1105" w:type="dxa"/>
            <w:vAlign w:val="center"/>
          </w:tcPr>
          <w:p w14:paraId="371C2F74">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6121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7C233DCF">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p>
        </w:tc>
        <w:tc>
          <w:tcPr>
            <w:tcW w:w="1657" w:type="dxa"/>
            <w:shd w:val="clear" w:color="auto" w:fill="auto"/>
            <w:vAlign w:val="center"/>
          </w:tcPr>
          <w:p w14:paraId="21423F38">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项目负责人</w:t>
            </w:r>
          </w:p>
        </w:tc>
        <w:tc>
          <w:tcPr>
            <w:tcW w:w="1106" w:type="dxa"/>
            <w:shd w:val="clear" w:color="auto" w:fill="auto"/>
            <w:vAlign w:val="center"/>
          </w:tcPr>
          <w:p w14:paraId="6800FC62">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highlight w:val="none"/>
                <w:lang w:val="en-US" w:eastAsia="zh-CN" w:bidi="ar-SA"/>
              </w:rPr>
              <w:t>8</w:t>
            </w:r>
          </w:p>
        </w:tc>
        <w:tc>
          <w:tcPr>
            <w:tcW w:w="5525" w:type="dxa"/>
            <w:shd w:val="clear" w:color="auto" w:fill="auto"/>
            <w:vAlign w:val="center"/>
          </w:tcPr>
          <w:p w14:paraId="0060D84C">
            <w:pPr>
              <w:pStyle w:val="34"/>
              <w:shd w:val="clear"/>
              <w:snapToGrid/>
              <w:spacing w:line="240" w:lineRule="auto"/>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项目负责人具有工程师（中级）职称证书得3分，具有高级工程师职称证书得5分；</w:t>
            </w:r>
          </w:p>
          <w:p w14:paraId="6D753D3D">
            <w:pPr>
              <w:pStyle w:val="34"/>
              <w:shd w:val="clear"/>
              <w:snapToGrid/>
              <w:spacing w:line="240" w:lineRule="auto"/>
              <w:rPr>
                <w:color w:val="auto"/>
                <w:highlight w:val="none"/>
                <w:lang w:eastAsia="zh-CN"/>
              </w:rPr>
            </w:pPr>
            <w:r>
              <w:rPr>
                <w:rFonts w:hint="eastAsia" w:ascii="宋体" w:hAnsi="宋体" w:eastAsia="宋体" w:cs="宋体"/>
                <w:color w:val="auto"/>
                <w:sz w:val="24"/>
                <w:szCs w:val="24"/>
                <w:highlight w:val="none"/>
                <w:lang w:eastAsia="zh-CN"/>
              </w:rPr>
              <w:t>项目负责人近三年（自202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月1日至投标截止时间，以合同签订时间为准）每具有1项类似项目负责人业绩加3分。未提供证明材料不得分。</w:t>
            </w:r>
          </w:p>
          <w:p w14:paraId="75900233">
            <w:pPr>
              <w:pStyle w:val="17"/>
              <w:shd w:val="clear"/>
              <w:spacing w:line="240" w:lineRule="auto"/>
              <w:ind w:left="0" w:leftChars="0"/>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b/>
                <w:bCs/>
                <w:color w:val="auto"/>
                <w:highlight w:val="none"/>
                <w:lang w:eastAsia="zh-CN"/>
              </w:rPr>
              <w:t>注：类似业绩指市政公用工程</w:t>
            </w:r>
            <w:r>
              <w:rPr>
                <w:rFonts w:hint="eastAsia" w:ascii="宋体" w:hAnsi="宋体" w:eastAsia="宋体" w:cs="宋体"/>
                <w:b/>
                <w:bCs/>
                <w:color w:val="auto"/>
                <w:highlight w:val="none"/>
                <w:lang w:val="en-US" w:eastAsia="zh-CN"/>
              </w:rPr>
              <w:t>相关类型</w:t>
            </w:r>
            <w:r>
              <w:rPr>
                <w:rFonts w:hint="eastAsia" w:ascii="宋体" w:hAnsi="宋体" w:eastAsia="宋体" w:cs="宋体"/>
                <w:b/>
                <w:bCs/>
                <w:color w:val="auto"/>
                <w:highlight w:val="none"/>
                <w:lang w:eastAsia="zh-CN"/>
              </w:rPr>
              <w:t>；业绩证明材料须提供中标通知书（如有）和合同关键页（包括甲乙双方名称、项目名称、项目建设（规模）内容、合同金额、合同签订时间）、项目负责人信息复印件或扫描件，如合同中无法体现项目负责人信息可补充提交竣工验收备案资料中含有项目负责人签字信息资料佐证。</w:t>
            </w:r>
          </w:p>
        </w:tc>
        <w:tc>
          <w:tcPr>
            <w:tcW w:w="1105" w:type="dxa"/>
            <w:vAlign w:val="center"/>
          </w:tcPr>
          <w:p w14:paraId="5DCF5A5A">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68E7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589C7806">
            <w:pPr>
              <w:keepNext w:val="0"/>
              <w:keepLines w:val="0"/>
              <w:widowControl/>
              <w:suppressLineNumbers w:val="0"/>
              <w:spacing w:line="240" w:lineRule="auto"/>
              <w:jc w:val="center"/>
              <w:textAlignment w:val="center"/>
              <w:rPr>
                <w:rFonts w:hint="eastAsia" w:ascii="宋体" w:hAnsi="宋体" w:eastAsia="宋体" w:cs="宋体"/>
                <w:color w:val="auto"/>
                <w:sz w:val="21"/>
                <w:szCs w:val="21"/>
                <w:lang w:val="en-US" w:eastAsia="zh-CN"/>
              </w:rPr>
            </w:pPr>
            <w:r>
              <w:rPr>
                <w:rFonts w:hint="eastAsia" w:ascii="宋体" w:hAnsi="宋体" w:cs="宋体"/>
                <w:i w:val="0"/>
                <w:iCs w:val="0"/>
                <w:color w:val="auto"/>
                <w:kern w:val="0"/>
                <w:sz w:val="21"/>
                <w:szCs w:val="21"/>
                <w:u w:val="none"/>
                <w:lang w:val="en-US" w:eastAsia="zh-CN" w:bidi="ar"/>
              </w:rPr>
              <w:t>3</w:t>
            </w:r>
          </w:p>
        </w:tc>
        <w:tc>
          <w:tcPr>
            <w:tcW w:w="1657" w:type="dxa"/>
            <w:shd w:val="clear" w:color="auto" w:fill="auto"/>
            <w:vAlign w:val="center"/>
          </w:tcPr>
          <w:p w14:paraId="59EE501D">
            <w:pPr>
              <w:shd w:val="clear"/>
              <w:spacing w:line="240" w:lineRule="auto"/>
              <w:jc w:val="center"/>
              <w:rPr>
                <w:rFonts w:hint="eastAsia" w:ascii="宋体" w:hAnsi="宋体" w:eastAsia="宋体" w:cs="宋体"/>
                <w:color w:val="auto"/>
                <w:kern w:val="2"/>
                <w:sz w:val="21"/>
                <w:szCs w:val="24"/>
                <w:highlight w:val="none"/>
                <w:lang w:val="en-US" w:eastAsia="zh-Hans" w:bidi="ar-SA"/>
              </w:rPr>
            </w:pPr>
            <w:r>
              <w:rPr>
                <w:rFonts w:hint="eastAsia" w:ascii="宋体" w:hAnsi="宋体" w:eastAsia="宋体" w:cs="宋体"/>
                <w:color w:val="auto"/>
                <w:highlight w:val="none"/>
              </w:rPr>
              <w:t>施工方案与技术措施</w:t>
            </w:r>
          </w:p>
        </w:tc>
        <w:tc>
          <w:tcPr>
            <w:tcW w:w="1106" w:type="dxa"/>
            <w:shd w:val="clear" w:color="auto" w:fill="auto"/>
            <w:vAlign w:val="center"/>
          </w:tcPr>
          <w:p w14:paraId="2AF1094D">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10</w:t>
            </w:r>
          </w:p>
        </w:tc>
        <w:tc>
          <w:tcPr>
            <w:tcW w:w="5525" w:type="dxa"/>
            <w:shd w:val="clear" w:color="auto" w:fill="auto"/>
            <w:vAlign w:val="center"/>
          </w:tcPr>
          <w:p w14:paraId="66BE41E0">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施工组织设计应当包括：</w:t>
            </w:r>
          </w:p>
          <w:p w14:paraId="29327393">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（1）编制说明</w:t>
            </w:r>
          </w:p>
          <w:p w14:paraId="089D2DEA">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（2）编制依据</w:t>
            </w:r>
          </w:p>
          <w:p w14:paraId="2CEE2107">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（3）工程概况（含工程特点分析）</w:t>
            </w:r>
          </w:p>
          <w:p w14:paraId="04EBA108">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（4）施工准备</w:t>
            </w:r>
          </w:p>
          <w:p w14:paraId="0992BFB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（5）施工方案的选择</w:t>
            </w:r>
          </w:p>
          <w:p w14:paraId="69835610">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（6）施工进度计划</w:t>
            </w:r>
          </w:p>
          <w:p w14:paraId="5D2BF2F9">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（7）资源配置计划（人、材、机）</w:t>
            </w:r>
          </w:p>
          <w:p w14:paraId="61BA9941">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（8）施工管理机构及劳动力组织</w:t>
            </w:r>
          </w:p>
          <w:p w14:paraId="5609BB5B">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（9）季节性施工组织措施（包括缺水风沙、高原、严寒等特殊地区施工）</w:t>
            </w:r>
          </w:p>
          <w:p w14:paraId="70D1067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（10）质量管理与质量控制措施保证措施</w:t>
            </w:r>
          </w:p>
          <w:p w14:paraId="781DEDC5">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（11）安全事故的组织保证措施（包括技术安全和生产安全）</w:t>
            </w:r>
          </w:p>
          <w:p w14:paraId="5844FF31">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（12）文明施工和环境保护的措施</w:t>
            </w:r>
          </w:p>
          <w:p w14:paraId="0A125E6B">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（13）设备技术指标</w:t>
            </w:r>
          </w:p>
          <w:p w14:paraId="36EFD939">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（14）</w:t>
            </w:r>
            <w:r>
              <w:rPr>
                <w:rFonts w:hint="eastAsia" w:ascii="宋体" w:hAnsi="宋体" w:eastAsia="宋体" w:cs="宋体"/>
                <w:color w:val="auto"/>
                <w:highlight w:val="none"/>
                <w:lang w:val="en-US" w:eastAsia="zh-CN"/>
              </w:rPr>
              <w:t>试运行</w:t>
            </w:r>
            <w:r>
              <w:rPr>
                <w:rFonts w:hint="eastAsia" w:ascii="宋体" w:hAnsi="宋体" w:eastAsia="宋体" w:cs="宋体"/>
                <w:color w:val="auto"/>
                <w:highlight w:val="none"/>
                <w:lang w:eastAsia="zh-CN"/>
              </w:rPr>
              <w:t>服务方案</w:t>
            </w:r>
          </w:p>
          <w:p w14:paraId="60BC9E4E">
            <w:pPr>
              <w:shd w:val="clear"/>
              <w:spacing w:line="240" w:lineRule="auto"/>
              <w:jc w:val="both"/>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以上（1）-（14）项内容完整、无缺项漏项得10分，每缺1项扣1分，此项最低为0分；</w:t>
            </w:r>
          </w:p>
        </w:tc>
        <w:tc>
          <w:tcPr>
            <w:tcW w:w="1105" w:type="dxa"/>
            <w:vAlign w:val="center"/>
          </w:tcPr>
          <w:p w14:paraId="13452ECA">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3608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75C851B6">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4</w:t>
            </w:r>
          </w:p>
        </w:tc>
        <w:tc>
          <w:tcPr>
            <w:tcW w:w="1657" w:type="dxa"/>
            <w:shd w:val="clear" w:color="auto" w:fill="auto"/>
            <w:vAlign w:val="center"/>
          </w:tcPr>
          <w:p w14:paraId="63AB1778">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项目组织架构与岗位职责</w:t>
            </w:r>
          </w:p>
        </w:tc>
        <w:tc>
          <w:tcPr>
            <w:tcW w:w="1106" w:type="dxa"/>
            <w:shd w:val="clear" w:color="auto" w:fill="auto"/>
            <w:vAlign w:val="center"/>
          </w:tcPr>
          <w:p w14:paraId="4BC4CFFA">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10</w:t>
            </w:r>
          </w:p>
        </w:tc>
        <w:tc>
          <w:tcPr>
            <w:tcW w:w="5525" w:type="dxa"/>
            <w:shd w:val="clear" w:color="auto" w:fill="auto"/>
            <w:vAlign w:val="center"/>
          </w:tcPr>
          <w:p w14:paraId="621E7C4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项目组织架构设置合理，岗位职责明确，实施要点分析全面准确，施工组织规划符合工程实际和有关施工规程规范，施工技术文件组成完整，技术要点总结合理清晰，得</w:t>
            </w:r>
            <w:r>
              <w:rPr>
                <w:rFonts w:hint="eastAsia" w:ascii="宋体" w:hAnsi="宋体" w:cs="宋体"/>
                <w:color w:val="auto"/>
                <w:sz w:val="21"/>
                <w:szCs w:val="21"/>
                <w:highlight w:val="none"/>
                <w:lang w:eastAsia="zh-CN"/>
              </w:rPr>
              <w:t>（8-10]</w:t>
            </w:r>
            <w:r>
              <w:rPr>
                <w:rFonts w:hint="eastAsia" w:ascii="宋体" w:hAnsi="宋体" w:eastAsia="宋体" w:cs="宋体"/>
                <w:color w:val="auto"/>
                <w:highlight w:val="none"/>
                <w:lang w:eastAsia="zh-CN"/>
              </w:rPr>
              <w:t>分；</w:t>
            </w:r>
          </w:p>
          <w:p w14:paraId="6DC4D047">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项目组织架构设置基本合理，岗位职责基本明确，实施要点分析基本准确，施工组织规划基本可行，施工技术文件组成较完整，技术要点总结较合理，得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-8]</w:t>
            </w:r>
            <w:r>
              <w:rPr>
                <w:rFonts w:hint="eastAsia" w:ascii="宋体" w:hAnsi="宋体" w:eastAsia="宋体" w:cs="宋体"/>
                <w:color w:val="auto"/>
                <w:highlight w:val="none"/>
                <w:lang w:eastAsia="zh-CN"/>
              </w:rPr>
              <w:t>分；</w:t>
            </w:r>
          </w:p>
          <w:p w14:paraId="29D55200">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项目组织架构设置不合理，岗位职责不明确，实施要点分析不准确，施工组织规划不可行，施工技术文件组成内容不完整或没有明确的技术要点总结，得</w:t>
            </w:r>
            <w:r>
              <w:rPr>
                <w:rFonts w:hint="eastAsia" w:ascii="宋体" w:hAnsi="宋体" w:cs="宋体"/>
                <w:color w:val="auto"/>
                <w:sz w:val="21"/>
                <w:szCs w:val="21"/>
                <w:highlight w:val="none"/>
                <w:lang w:eastAsia="zh-CN"/>
              </w:rPr>
              <w:t>（0-</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分；未提供对应内容不得分。</w:t>
            </w:r>
          </w:p>
          <w:p w14:paraId="1D9E7C20">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Hans" w:bidi="ar-SA"/>
              </w:rPr>
            </w:pPr>
            <w:r>
              <w:rPr>
                <w:rFonts w:hint="eastAsia" w:ascii="宋体" w:hAnsi="宋体" w:eastAsia="宋体" w:cs="宋体"/>
                <w:b/>
                <w:bCs/>
                <w:color w:val="auto"/>
                <w:highlight w:val="none"/>
                <w:lang w:eastAsia="zh-CN"/>
              </w:rPr>
              <w:t>说明：“（”代表不包含本数，“]”代表包含“本数”。</w:t>
            </w:r>
          </w:p>
        </w:tc>
        <w:tc>
          <w:tcPr>
            <w:tcW w:w="1105" w:type="dxa"/>
            <w:vAlign w:val="center"/>
          </w:tcPr>
          <w:p w14:paraId="26155993">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4799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588632DE">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5</w:t>
            </w:r>
          </w:p>
        </w:tc>
        <w:tc>
          <w:tcPr>
            <w:tcW w:w="1657" w:type="dxa"/>
            <w:shd w:val="clear" w:color="auto" w:fill="auto"/>
            <w:vAlign w:val="center"/>
          </w:tcPr>
          <w:p w14:paraId="3B29135F">
            <w:pPr>
              <w:shd w:val="clear"/>
              <w:spacing w:line="240" w:lineRule="auto"/>
              <w:jc w:val="center"/>
              <w:rPr>
                <w:rFonts w:hint="default" w:ascii="宋体" w:hAnsi="宋体" w:eastAsia="宋体" w:cs="宋体"/>
                <w:color w:val="auto"/>
                <w:kern w:val="2"/>
                <w:sz w:val="21"/>
                <w:szCs w:val="24"/>
                <w:highlight w:val="none"/>
                <w:lang w:val="en-US" w:eastAsia="zh-Hans" w:bidi="ar-SA"/>
              </w:rPr>
            </w:pPr>
            <w:r>
              <w:rPr>
                <w:rFonts w:hint="eastAsia" w:ascii="宋体" w:hAnsi="宋体" w:eastAsia="宋体" w:cs="宋体"/>
                <w:color w:val="auto"/>
                <w:highlight w:val="none"/>
              </w:rPr>
              <w:t>质量管理体系与措施</w:t>
            </w:r>
          </w:p>
        </w:tc>
        <w:tc>
          <w:tcPr>
            <w:tcW w:w="1106" w:type="dxa"/>
            <w:shd w:val="clear" w:color="auto" w:fill="auto"/>
            <w:vAlign w:val="center"/>
          </w:tcPr>
          <w:p w14:paraId="425F801B">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10</w:t>
            </w:r>
          </w:p>
        </w:tc>
        <w:tc>
          <w:tcPr>
            <w:tcW w:w="5525" w:type="dxa"/>
            <w:shd w:val="clear" w:color="auto" w:fill="auto"/>
            <w:vAlign w:val="center"/>
          </w:tcPr>
          <w:p w14:paraId="319334E9">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质量保证体系健全、职责明确，质量控制要点分析全面、措施合理，得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62DC09E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质量保证体系较健全、职责较明确，质量控制要点分析、措施基本合理，得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4EA113C7">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质量保证体系不健全、职责不明确，质量控制要点分析、措施不合理，得</w:t>
            </w:r>
            <w:r>
              <w:rPr>
                <w:rFonts w:hint="eastAsia" w:ascii="宋体" w:hAnsi="宋体" w:cs="宋体"/>
                <w:color w:val="auto"/>
                <w:sz w:val="21"/>
                <w:szCs w:val="21"/>
                <w:highlight w:val="none"/>
                <w:lang w:eastAsia="zh-CN"/>
              </w:rPr>
              <w:t>（0-</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分；未提供对应内容不得分。</w:t>
            </w:r>
          </w:p>
          <w:p w14:paraId="4AEECB8F">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Hans" w:bidi="ar-SA"/>
              </w:rPr>
            </w:pPr>
            <w:r>
              <w:rPr>
                <w:rFonts w:hint="eastAsia" w:ascii="宋体" w:hAnsi="宋体" w:eastAsia="宋体" w:cs="宋体"/>
                <w:b/>
                <w:bCs/>
                <w:color w:val="auto"/>
                <w:highlight w:val="none"/>
                <w:lang w:eastAsia="zh-CN"/>
              </w:rPr>
              <w:t>说明：“（”代表不包含本数，“]”代表包含“本数”。</w:t>
            </w:r>
          </w:p>
        </w:tc>
        <w:tc>
          <w:tcPr>
            <w:tcW w:w="1105" w:type="dxa"/>
            <w:vAlign w:val="center"/>
          </w:tcPr>
          <w:p w14:paraId="31A7B4BB">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2A6D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0049FDB8">
            <w:pPr>
              <w:keepNext w:val="0"/>
              <w:keepLines w:val="0"/>
              <w:widowControl/>
              <w:suppressLineNumbers w:val="0"/>
              <w:spacing w:line="240" w:lineRule="auto"/>
              <w:jc w:val="center"/>
              <w:textAlignment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6</w:t>
            </w:r>
          </w:p>
        </w:tc>
        <w:tc>
          <w:tcPr>
            <w:tcW w:w="1657" w:type="dxa"/>
            <w:shd w:val="clear" w:color="auto" w:fill="auto"/>
            <w:vAlign w:val="center"/>
          </w:tcPr>
          <w:p w14:paraId="2DE211AF">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安全管理体系与措施</w:t>
            </w:r>
          </w:p>
        </w:tc>
        <w:tc>
          <w:tcPr>
            <w:tcW w:w="1106" w:type="dxa"/>
            <w:shd w:val="clear" w:color="auto" w:fill="auto"/>
            <w:vAlign w:val="center"/>
          </w:tcPr>
          <w:p w14:paraId="0D7A75DF">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10</w:t>
            </w:r>
          </w:p>
        </w:tc>
        <w:tc>
          <w:tcPr>
            <w:tcW w:w="5525" w:type="dxa"/>
            <w:shd w:val="clear" w:color="auto" w:fill="auto"/>
            <w:vAlign w:val="center"/>
          </w:tcPr>
          <w:p w14:paraId="5AB402A8">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安全管理体系健全、职责明确，安全管理要点分析全面、措施合理，得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3B8B8467">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安全管理体系较健全、职责较明确，安全管理要点分析、措施基本合理，得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6759B3A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安全管理体系不健全、职责不明确，安全管理要点分析、措施不合理，得</w:t>
            </w:r>
            <w:r>
              <w:rPr>
                <w:rFonts w:hint="eastAsia" w:ascii="宋体" w:hAnsi="宋体" w:cs="宋体"/>
                <w:color w:val="auto"/>
                <w:sz w:val="21"/>
                <w:szCs w:val="21"/>
                <w:highlight w:val="none"/>
                <w:lang w:eastAsia="zh-CN"/>
              </w:rPr>
              <w:t>（0-</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分；未提供对应内容不得分。</w:t>
            </w:r>
          </w:p>
          <w:p w14:paraId="26798A01">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bCs/>
                <w:color w:val="auto"/>
                <w:highlight w:val="none"/>
                <w:lang w:eastAsia="zh-CN"/>
              </w:rPr>
              <w:t>说明：“（”代表不包含本数，“]”代表包含“本数”。</w:t>
            </w:r>
          </w:p>
        </w:tc>
        <w:tc>
          <w:tcPr>
            <w:tcW w:w="1105" w:type="dxa"/>
            <w:vAlign w:val="center"/>
          </w:tcPr>
          <w:p w14:paraId="30674569">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19CA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3DEFDCD6">
            <w:pPr>
              <w:keepNext w:val="0"/>
              <w:keepLines w:val="0"/>
              <w:widowControl/>
              <w:suppressLineNumbers w:val="0"/>
              <w:spacing w:line="240" w:lineRule="auto"/>
              <w:jc w:val="center"/>
              <w:textAlignment w:val="center"/>
              <w:rPr>
                <w:rFonts w:hint="default" w:ascii="宋体" w:hAnsi="宋体" w:eastAsia="宋体" w:cs="宋体"/>
                <w:color w:val="auto"/>
                <w:sz w:val="21"/>
                <w:szCs w:val="21"/>
                <w:lang w:val="en-US"/>
              </w:rPr>
            </w:pPr>
            <w:r>
              <w:rPr>
                <w:rFonts w:hint="eastAsia" w:ascii="宋体" w:hAnsi="宋体" w:cs="宋体"/>
                <w:i w:val="0"/>
                <w:iCs w:val="0"/>
                <w:color w:val="auto"/>
                <w:kern w:val="0"/>
                <w:sz w:val="21"/>
                <w:szCs w:val="21"/>
                <w:u w:val="none"/>
                <w:lang w:val="en-US" w:eastAsia="zh-CN" w:bidi="ar"/>
              </w:rPr>
              <w:t>7</w:t>
            </w:r>
          </w:p>
        </w:tc>
        <w:tc>
          <w:tcPr>
            <w:tcW w:w="1657" w:type="dxa"/>
            <w:shd w:val="clear" w:color="auto" w:fill="auto"/>
            <w:vAlign w:val="center"/>
          </w:tcPr>
          <w:p w14:paraId="53F11D8D">
            <w:pPr>
              <w:shd w:val="clear"/>
              <w:spacing w:line="240" w:lineRule="auto"/>
              <w:jc w:val="center"/>
              <w:rPr>
                <w:rFonts w:hint="eastAsia" w:ascii="宋体" w:hAnsi="宋体" w:eastAsia="宋体" w:cs="宋体"/>
                <w:color w:val="auto"/>
                <w:kern w:val="2"/>
                <w:sz w:val="21"/>
                <w:szCs w:val="24"/>
                <w:highlight w:val="none"/>
                <w:lang w:val="en-US" w:eastAsia="zh-Hans" w:bidi="ar-SA"/>
              </w:rPr>
            </w:pPr>
            <w:r>
              <w:rPr>
                <w:rFonts w:hint="eastAsia" w:ascii="宋体" w:hAnsi="宋体" w:eastAsia="宋体" w:cs="宋体"/>
                <w:color w:val="auto"/>
                <w:highlight w:val="none"/>
                <w:lang w:eastAsia="zh-CN"/>
              </w:rPr>
              <w:t>环境保护管理体系与措施</w:t>
            </w:r>
          </w:p>
        </w:tc>
        <w:tc>
          <w:tcPr>
            <w:tcW w:w="1106" w:type="dxa"/>
            <w:shd w:val="clear" w:color="auto" w:fill="auto"/>
            <w:vAlign w:val="center"/>
          </w:tcPr>
          <w:p w14:paraId="6025F758">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10</w:t>
            </w:r>
          </w:p>
        </w:tc>
        <w:tc>
          <w:tcPr>
            <w:tcW w:w="5525" w:type="dxa"/>
            <w:shd w:val="clear" w:color="auto" w:fill="auto"/>
            <w:vAlign w:val="center"/>
          </w:tcPr>
          <w:p w14:paraId="133621C3">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环境保护管理体系健全、职责明确，环境保护管理要点分析全面、措施合理，得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3D537160">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环境保护管理体系较健全、职责较明确，环境保护管理要点分析、措施基本合理，得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5B4917E7">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环境保护管理体系不健全、职责不明确，环境保护管理要点分析、措施不合理，得</w:t>
            </w:r>
            <w:r>
              <w:rPr>
                <w:rFonts w:hint="eastAsia" w:ascii="宋体" w:hAnsi="宋体" w:cs="宋体"/>
                <w:color w:val="auto"/>
                <w:sz w:val="21"/>
                <w:szCs w:val="21"/>
                <w:highlight w:val="none"/>
                <w:lang w:eastAsia="zh-CN"/>
              </w:rPr>
              <w:t>（0-</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分；未提供对应内容不得分。</w:t>
            </w:r>
          </w:p>
          <w:p w14:paraId="291B74C3">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Hans" w:bidi="ar-SA"/>
              </w:rPr>
            </w:pPr>
            <w:r>
              <w:rPr>
                <w:rFonts w:hint="eastAsia" w:ascii="宋体" w:hAnsi="宋体" w:eastAsia="宋体" w:cs="宋体"/>
                <w:b/>
                <w:bCs/>
                <w:color w:val="auto"/>
                <w:highlight w:val="none"/>
                <w:lang w:eastAsia="zh-CN"/>
              </w:rPr>
              <w:t>说明：“（”代表不包含本数，“]”代表包含“本数”。</w:t>
            </w:r>
          </w:p>
        </w:tc>
        <w:tc>
          <w:tcPr>
            <w:tcW w:w="1105" w:type="dxa"/>
            <w:vAlign w:val="center"/>
          </w:tcPr>
          <w:p w14:paraId="678911D3">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0CAC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9" w:type="dxa"/>
            <w:vAlign w:val="center"/>
          </w:tcPr>
          <w:p w14:paraId="6FE31CE9">
            <w:pPr>
              <w:keepNext w:val="0"/>
              <w:keepLines w:val="0"/>
              <w:widowControl/>
              <w:suppressLineNumbers w:val="0"/>
              <w:spacing w:line="240" w:lineRule="auto"/>
              <w:jc w:val="center"/>
              <w:textAlignment w:val="center"/>
              <w:rPr>
                <w:rFonts w:hint="default" w:ascii="宋体" w:hAnsi="宋体" w:cs="宋体"/>
                <w:i w:val="0"/>
                <w:iCs w:val="0"/>
                <w:color w:val="auto"/>
                <w:kern w:val="0"/>
                <w:sz w:val="21"/>
                <w:szCs w:val="21"/>
                <w:u w:val="none"/>
                <w:lang w:val="en-US" w:eastAsia="zh-CN" w:bidi="ar"/>
              </w:rPr>
            </w:pPr>
            <w:bookmarkStart w:id="162" w:name="_Toc29684"/>
            <w:r>
              <w:rPr>
                <w:rFonts w:hint="eastAsia" w:ascii="宋体" w:hAnsi="宋体" w:cs="宋体"/>
                <w:i w:val="0"/>
                <w:iCs w:val="0"/>
                <w:color w:val="auto"/>
                <w:kern w:val="0"/>
                <w:sz w:val="21"/>
                <w:szCs w:val="21"/>
                <w:u w:val="none"/>
                <w:lang w:val="en-US" w:eastAsia="zh-CN" w:bidi="ar"/>
              </w:rPr>
              <w:t>8</w:t>
            </w:r>
          </w:p>
        </w:tc>
        <w:tc>
          <w:tcPr>
            <w:tcW w:w="1657" w:type="dxa"/>
            <w:shd w:val="clear" w:color="auto" w:fill="auto"/>
            <w:vAlign w:val="center"/>
          </w:tcPr>
          <w:p w14:paraId="0E34C8F3">
            <w:pPr>
              <w:shd w:val="clear"/>
              <w:spacing w:line="240" w:lineRule="auto"/>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工程进度计划与措施</w:t>
            </w:r>
          </w:p>
        </w:tc>
        <w:tc>
          <w:tcPr>
            <w:tcW w:w="1106" w:type="dxa"/>
            <w:shd w:val="clear" w:color="auto" w:fill="auto"/>
            <w:vAlign w:val="center"/>
          </w:tcPr>
          <w:p w14:paraId="1AB13DA4">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10</w:t>
            </w:r>
          </w:p>
        </w:tc>
        <w:tc>
          <w:tcPr>
            <w:tcW w:w="5525" w:type="dxa"/>
            <w:shd w:val="clear" w:color="auto" w:fill="auto"/>
            <w:vAlign w:val="center"/>
          </w:tcPr>
          <w:p w14:paraId="72A610C5">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根据施工设计内容、施工工序及供料衔接合理安排施工进度保证措施等内容结合项目特点，编制的项目进度计划科学、合理，并提供进度控制方案切实可行，得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2F4F967A">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根据施工设计内容、施工工序及供料衔接合理安排施工进度保证措施等内容结合项目特点，编制的项目进度计划基本科学、基本合理，并提供进度控制方案基本切实可行，得</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w:t>
            </w:r>
          </w:p>
          <w:p w14:paraId="1F6C33E1">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eastAsia="zh-CN"/>
              </w:rPr>
              <w:t>根据施工设计内容、施工工序及供料衔接合理安排施工进度保证措施等内容结合项目特点，编制的项目进度计划不科学、不合理，并提供进度控制方案不具备可行性，得</w:t>
            </w:r>
            <w:r>
              <w:rPr>
                <w:rFonts w:hint="eastAsia" w:ascii="宋体" w:hAnsi="宋体" w:cs="宋体"/>
                <w:color w:val="auto"/>
                <w:sz w:val="21"/>
                <w:szCs w:val="21"/>
                <w:highlight w:val="none"/>
                <w:lang w:eastAsia="zh-CN"/>
              </w:rPr>
              <w:t>（0-</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lang w:eastAsia="zh-CN"/>
              </w:rPr>
              <w:t>分；未提供对应内容不得分。</w:t>
            </w:r>
          </w:p>
          <w:p w14:paraId="0AA053DB">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bCs/>
                <w:color w:val="auto"/>
                <w:highlight w:val="none"/>
                <w:lang w:eastAsia="zh-CN"/>
              </w:rPr>
              <w:t>说明：“（”代表不包含本数，“]”代表包含“本数”。</w:t>
            </w:r>
          </w:p>
        </w:tc>
        <w:tc>
          <w:tcPr>
            <w:tcW w:w="1105" w:type="dxa"/>
            <w:vAlign w:val="center"/>
          </w:tcPr>
          <w:p w14:paraId="6AF8826E">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0A37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Pr>
          <w:p w14:paraId="7964F48C">
            <w:pPr>
              <w:keepNext w:val="0"/>
              <w:keepLines w:val="0"/>
              <w:widowControl/>
              <w:suppressLineNumbers w:val="0"/>
              <w:spacing w:line="240" w:lineRule="auto"/>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9</w:t>
            </w:r>
          </w:p>
        </w:tc>
        <w:tc>
          <w:tcPr>
            <w:tcW w:w="0" w:type="auto"/>
            <w:shd w:val="clear" w:color="auto" w:fill="auto"/>
            <w:vAlign w:val="center"/>
          </w:tcPr>
          <w:p w14:paraId="2CEE589E">
            <w:pPr>
              <w:shd w:val="clear"/>
              <w:spacing w:line="240" w:lineRule="auto"/>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rPr>
              <w:t>资源配备计划</w:t>
            </w:r>
          </w:p>
        </w:tc>
        <w:tc>
          <w:tcPr>
            <w:tcW w:w="0" w:type="auto"/>
            <w:shd w:val="clear" w:color="auto" w:fill="auto"/>
            <w:vAlign w:val="center"/>
          </w:tcPr>
          <w:p w14:paraId="55D60016">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5</w:t>
            </w:r>
          </w:p>
        </w:tc>
        <w:tc>
          <w:tcPr>
            <w:tcW w:w="0" w:type="auto"/>
            <w:shd w:val="clear" w:color="auto" w:fill="auto"/>
            <w:vAlign w:val="center"/>
          </w:tcPr>
          <w:p w14:paraId="48CE3D5D">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施工人员安排计划科学、经济、合理的，得</w:t>
            </w:r>
            <w:r>
              <w:rPr>
                <w:rFonts w:hint="eastAsia" w:ascii="宋体" w:hAnsi="宋体" w:cs="宋体"/>
                <w:color w:val="auto"/>
                <w:sz w:val="21"/>
                <w:szCs w:val="21"/>
                <w:highlight w:val="none"/>
                <w:lang w:eastAsia="zh-CN"/>
              </w:rPr>
              <w:t>（1-2.5]</w:t>
            </w:r>
            <w:r>
              <w:rPr>
                <w:rFonts w:hint="eastAsia" w:ascii="宋体" w:hAnsi="宋体" w:eastAsia="宋体" w:cs="宋体"/>
                <w:color w:val="auto"/>
                <w:highlight w:val="none"/>
                <w:lang w:eastAsia="zh-CN"/>
              </w:rPr>
              <w:t>分；对施工人员配置进行了适当计划安排的，得</w:t>
            </w:r>
            <w:r>
              <w:rPr>
                <w:rFonts w:hint="eastAsia" w:ascii="宋体" w:hAnsi="宋体" w:cs="宋体"/>
                <w:color w:val="auto"/>
                <w:sz w:val="21"/>
                <w:szCs w:val="21"/>
                <w:highlight w:val="none"/>
                <w:lang w:eastAsia="zh-CN"/>
              </w:rPr>
              <w:t>（0-1]</w:t>
            </w:r>
            <w:r>
              <w:rPr>
                <w:rFonts w:hint="eastAsia" w:ascii="宋体" w:hAnsi="宋体" w:eastAsia="宋体" w:cs="宋体"/>
                <w:color w:val="auto"/>
                <w:highlight w:val="none"/>
                <w:lang w:eastAsia="zh-CN"/>
              </w:rPr>
              <w:t>分；未提供对应内容不得分；</w:t>
            </w:r>
          </w:p>
          <w:p w14:paraId="7150DD9E">
            <w:pPr>
              <w:shd w:val="clear"/>
              <w:spacing w:line="240" w:lineRule="auto"/>
              <w:jc w:val="both"/>
              <w:rPr>
                <w:rFonts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主要施工机械设备使用计划科学、经济、合理的，得</w:t>
            </w:r>
            <w:r>
              <w:rPr>
                <w:rFonts w:hint="eastAsia" w:ascii="宋体" w:hAnsi="宋体" w:cs="宋体"/>
                <w:color w:val="auto"/>
                <w:sz w:val="21"/>
                <w:szCs w:val="21"/>
                <w:highlight w:val="none"/>
                <w:lang w:eastAsia="zh-CN"/>
              </w:rPr>
              <w:t>（1-2.5]</w:t>
            </w:r>
            <w:r>
              <w:rPr>
                <w:rFonts w:hint="eastAsia" w:ascii="宋体" w:hAnsi="宋体" w:eastAsia="宋体" w:cs="宋体"/>
                <w:color w:val="auto"/>
                <w:highlight w:val="none"/>
                <w:lang w:eastAsia="zh-CN"/>
              </w:rPr>
              <w:t>分；对施工机械设备使用进行了适当计划安排的，得</w:t>
            </w:r>
            <w:r>
              <w:rPr>
                <w:rFonts w:hint="eastAsia" w:ascii="宋体" w:hAnsi="宋体" w:cs="宋体"/>
                <w:color w:val="auto"/>
                <w:sz w:val="21"/>
                <w:szCs w:val="21"/>
                <w:highlight w:val="none"/>
                <w:lang w:eastAsia="zh-CN"/>
              </w:rPr>
              <w:t>（0-1]</w:t>
            </w:r>
            <w:r>
              <w:rPr>
                <w:rFonts w:hint="eastAsia" w:ascii="宋体" w:hAnsi="宋体" w:eastAsia="宋体" w:cs="宋体"/>
                <w:color w:val="auto"/>
                <w:highlight w:val="none"/>
                <w:lang w:eastAsia="zh-CN"/>
              </w:rPr>
              <w:t>分；未提供对应内容不得分。</w:t>
            </w:r>
          </w:p>
          <w:p w14:paraId="3293A237">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bCs/>
                <w:color w:val="auto"/>
                <w:highlight w:val="none"/>
                <w:lang w:eastAsia="zh-CN"/>
              </w:rPr>
              <w:t>说明：“（”代表不包含本数，“]”代表包含“本数”。</w:t>
            </w:r>
          </w:p>
        </w:tc>
        <w:tc>
          <w:tcPr>
            <w:tcW w:w="0" w:type="auto"/>
          </w:tcPr>
          <w:p w14:paraId="60E1859B">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r w14:paraId="1EFA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Pr>
          <w:p w14:paraId="130441C8">
            <w:pPr>
              <w:keepNext w:val="0"/>
              <w:keepLines w:val="0"/>
              <w:widowControl/>
              <w:suppressLineNumbers w:val="0"/>
              <w:spacing w:line="240" w:lineRule="auto"/>
              <w:jc w:val="center"/>
              <w:textAlignment w:val="center"/>
              <w:rPr>
                <w:rFonts w:hint="default" w:ascii="宋体" w:hAnsi="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10</w:t>
            </w:r>
          </w:p>
        </w:tc>
        <w:tc>
          <w:tcPr>
            <w:tcW w:w="0" w:type="auto"/>
            <w:shd w:val="clear" w:color="auto" w:fill="auto"/>
            <w:vAlign w:val="center"/>
          </w:tcPr>
          <w:p w14:paraId="5568A865">
            <w:pPr>
              <w:shd w:val="clear"/>
              <w:spacing w:line="240" w:lineRule="auto"/>
              <w:jc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工作重点、难点分析及合理化建议</w:t>
            </w:r>
          </w:p>
        </w:tc>
        <w:tc>
          <w:tcPr>
            <w:tcW w:w="0" w:type="auto"/>
            <w:shd w:val="clear" w:color="auto" w:fill="auto"/>
            <w:vAlign w:val="center"/>
          </w:tcPr>
          <w:p w14:paraId="4D25F627">
            <w:pPr>
              <w:shd w:val="clear"/>
              <w:spacing w:line="24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eastAsia="zh-CN"/>
              </w:rPr>
              <w:t>5</w:t>
            </w:r>
          </w:p>
        </w:tc>
        <w:tc>
          <w:tcPr>
            <w:tcW w:w="0" w:type="auto"/>
            <w:shd w:val="clear" w:color="auto" w:fill="auto"/>
            <w:vAlign w:val="center"/>
          </w:tcPr>
          <w:p w14:paraId="463FF95B">
            <w:pPr>
              <w:shd w:val="clear"/>
              <w:spacing w:line="240" w:lineRule="auto"/>
              <w:jc w:val="both"/>
              <w:rPr>
                <w:rFonts w:eastAsia="宋体"/>
                <w:color w:val="auto"/>
                <w:szCs w:val="21"/>
                <w:highlight w:val="none"/>
                <w:lang w:eastAsia="zh-CN"/>
              </w:rPr>
            </w:pPr>
            <w:r>
              <w:rPr>
                <w:rFonts w:hint="eastAsia" w:ascii="宋体" w:hAnsi="宋体" w:eastAsia="宋体" w:cs="宋体"/>
                <w:color w:val="auto"/>
                <w:highlight w:val="none"/>
                <w:lang w:eastAsia="zh-CN"/>
              </w:rPr>
              <w:t>针对项目实施过程中的时间进度、质量要求、资金安排、风险把控等方面进行工作重点、难点进行分析，并提出切实可行的合理化建议，整体分析</w:t>
            </w:r>
            <w:r>
              <w:rPr>
                <w:rFonts w:hint="eastAsia" w:eastAsia="宋体"/>
                <w:color w:val="auto"/>
                <w:szCs w:val="21"/>
                <w:highlight w:val="none"/>
                <w:lang w:eastAsia="zh-CN"/>
              </w:rPr>
              <w:t>合理</w:t>
            </w:r>
            <w:r>
              <w:rPr>
                <w:rFonts w:hint="eastAsia"/>
                <w:color w:val="auto"/>
                <w:szCs w:val="21"/>
                <w:highlight w:val="none"/>
                <w:lang w:eastAsia="zh-CN"/>
              </w:rPr>
              <w:t>、</w:t>
            </w:r>
            <w:r>
              <w:rPr>
                <w:rFonts w:hint="eastAsia" w:eastAsia="宋体"/>
                <w:color w:val="auto"/>
                <w:szCs w:val="21"/>
                <w:highlight w:val="none"/>
                <w:lang w:eastAsia="zh-CN"/>
              </w:rPr>
              <w:t>可操作性强的，得</w:t>
            </w:r>
            <w:r>
              <w:rPr>
                <w:rFonts w:hint="eastAsia" w:ascii="宋体" w:hAnsi="宋体" w:cs="宋体"/>
                <w:color w:val="auto"/>
                <w:sz w:val="21"/>
                <w:szCs w:val="21"/>
                <w:highlight w:val="none"/>
                <w:lang w:eastAsia="zh-CN"/>
              </w:rPr>
              <w:t>（3-5]</w:t>
            </w:r>
            <w:r>
              <w:rPr>
                <w:rFonts w:hint="eastAsia" w:eastAsia="宋体"/>
                <w:color w:val="auto"/>
                <w:szCs w:val="21"/>
                <w:highlight w:val="none"/>
                <w:lang w:eastAsia="zh-CN"/>
              </w:rPr>
              <w:t>分；</w:t>
            </w:r>
            <w:r>
              <w:rPr>
                <w:rFonts w:hint="eastAsia" w:ascii="宋体" w:hAnsi="宋体" w:eastAsia="宋体" w:cs="宋体"/>
                <w:color w:val="auto"/>
                <w:highlight w:val="none"/>
                <w:lang w:eastAsia="zh-CN"/>
              </w:rPr>
              <w:t>对项目实施过程中的工作重点、难点分析进行简要分析，具有适当合理化建议，整体分析基本全面</w:t>
            </w:r>
            <w:r>
              <w:rPr>
                <w:rFonts w:hint="eastAsia" w:eastAsia="宋体"/>
                <w:color w:val="auto"/>
                <w:szCs w:val="21"/>
                <w:highlight w:val="none"/>
                <w:lang w:eastAsia="zh-CN"/>
              </w:rPr>
              <w:t>合理</w:t>
            </w:r>
            <w:r>
              <w:rPr>
                <w:rFonts w:hint="eastAsia"/>
                <w:color w:val="auto"/>
                <w:szCs w:val="21"/>
                <w:highlight w:val="none"/>
                <w:lang w:eastAsia="zh-CN"/>
              </w:rPr>
              <w:t>、</w:t>
            </w:r>
            <w:r>
              <w:rPr>
                <w:rFonts w:hint="eastAsia" w:eastAsia="宋体"/>
                <w:color w:val="auto"/>
                <w:szCs w:val="21"/>
                <w:highlight w:val="none"/>
                <w:lang w:eastAsia="zh-CN"/>
              </w:rPr>
              <w:t>基本具备一定操作性的，得</w:t>
            </w:r>
            <w:r>
              <w:rPr>
                <w:rFonts w:hint="eastAsia" w:ascii="宋体" w:hAnsi="宋体" w:cs="宋体"/>
                <w:color w:val="auto"/>
                <w:sz w:val="21"/>
                <w:szCs w:val="21"/>
                <w:highlight w:val="none"/>
                <w:lang w:eastAsia="zh-CN"/>
              </w:rPr>
              <w:t>（0-3]</w:t>
            </w:r>
            <w:r>
              <w:rPr>
                <w:rFonts w:hint="eastAsia" w:eastAsia="宋体"/>
                <w:color w:val="auto"/>
                <w:szCs w:val="21"/>
                <w:highlight w:val="none"/>
                <w:lang w:eastAsia="zh-CN"/>
              </w:rPr>
              <w:t>分；未提供对应内容不得分。</w:t>
            </w:r>
          </w:p>
          <w:p w14:paraId="454F396C">
            <w:pPr>
              <w:pStyle w:val="21"/>
              <w:numPr>
                <w:ilvl w:val="0"/>
                <w:numId w:val="0"/>
              </w:numPr>
              <w:shd w:val="clear"/>
              <w:spacing w:line="240" w:lineRule="auto"/>
              <w:ind w:left="0" w:leftChars="0" w:firstLine="0" w:firstLineChars="0"/>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
                <w:bCs/>
                <w:color w:val="auto"/>
                <w:highlight w:val="none"/>
                <w:lang w:eastAsia="zh-CN"/>
              </w:rPr>
              <w:t>说明：“（”代表不包含本数，“]”代表包含“本数”。</w:t>
            </w:r>
          </w:p>
        </w:tc>
        <w:tc>
          <w:tcPr>
            <w:tcW w:w="0" w:type="auto"/>
          </w:tcPr>
          <w:p w14:paraId="39E97B3C">
            <w:pPr>
              <w:tabs>
                <w:tab w:val="left" w:pos="-94"/>
                <w:tab w:val="left" w:pos="1620"/>
              </w:tabs>
              <w:adjustRightInd w:val="0"/>
              <w:snapToGrid w:val="0"/>
              <w:spacing w:line="240" w:lineRule="auto"/>
              <w:jc w:val="center"/>
              <w:textAlignment w:val="baseline"/>
              <w:outlineLvl w:val="9"/>
              <w:rPr>
                <w:rFonts w:hint="eastAsia" w:ascii="宋体" w:hAnsi="宋体" w:eastAsia="宋体" w:cs="宋体"/>
                <w:color w:val="auto"/>
                <w:sz w:val="21"/>
                <w:szCs w:val="21"/>
              </w:rPr>
            </w:pPr>
          </w:p>
        </w:tc>
      </w:tr>
    </w:tbl>
    <w:p w14:paraId="2087B3FD">
      <w:pPr>
        <w:rPr>
          <w:color w:val="auto"/>
          <w:szCs w:val="21"/>
        </w:rPr>
      </w:pPr>
      <w:r>
        <w:rPr>
          <w:b w:val="0"/>
          <w:bCs/>
          <w:color w:val="auto"/>
          <w:szCs w:val="21"/>
        </w:rPr>
        <w:br w:type="page"/>
      </w:r>
      <w:bookmarkEnd w:id="162"/>
    </w:p>
    <w:p w14:paraId="36B855E2">
      <w:pPr>
        <w:pStyle w:val="80"/>
        <w:snapToGrid w:val="0"/>
        <w:spacing w:afterLines="50"/>
        <w:jc w:val="center"/>
        <w:outlineLvl w:val="0"/>
        <w:rPr>
          <w:rFonts w:hAnsi="宋体" w:cs="宋体"/>
          <w:color w:val="auto"/>
          <w:sz w:val="32"/>
          <w:szCs w:val="32"/>
        </w:rPr>
      </w:pPr>
      <w:bookmarkStart w:id="163" w:name="_Toc9913"/>
      <w:bookmarkStart w:id="164" w:name="_Toc27964"/>
      <w:bookmarkStart w:id="165" w:name="_Toc7496"/>
      <w:r>
        <w:rPr>
          <w:rFonts w:hint="eastAsia" w:hAnsi="宋体" w:cs="宋体"/>
          <w:color w:val="auto"/>
          <w:sz w:val="32"/>
          <w:szCs w:val="32"/>
        </w:rPr>
        <w:t>第四章</w:t>
      </w:r>
      <w:r>
        <w:rPr>
          <w:rFonts w:ascii="宋体" w:hAnsi="宋体" w:cs="黑体"/>
          <w:color w:val="auto"/>
          <w:kern w:val="0"/>
          <w:sz w:val="32"/>
          <w:szCs w:val="32"/>
        </w:rPr>
        <w:t xml:space="preserve"> </w:t>
      </w:r>
      <w:r>
        <w:rPr>
          <w:rFonts w:hint="eastAsia" w:hAnsi="宋体" w:cs="宋体"/>
          <w:color w:val="auto"/>
          <w:sz w:val="32"/>
          <w:szCs w:val="32"/>
        </w:rPr>
        <w:t>合同条款</w:t>
      </w:r>
      <w:bookmarkEnd w:id="163"/>
      <w:bookmarkEnd w:id="164"/>
      <w:bookmarkEnd w:id="165"/>
    </w:p>
    <w:p w14:paraId="34DD3C80">
      <w:pPr>
        <w:snapToGrid w:val="0"/>
        <w:spacing w:line="360" w:lineRule="auto"/>
        <w:jc w:val="center"/>
        <w:rPr>
          <w:rFonts w:ascii="宋体" w:hAnsi="宋体" w:cs="宋体"/>
          <w:color w:val="auto"/>
        </w:rPr>
      </w:pPr>
      <w:r>
        <w:rPr>
          <w:rFonts w:hint="eastAsia" w:ascii="宋体" w:hAnsi="宋体" w:cs="宋体"/>
          <w:color w:val="auto"/>
        </w:rPr>
        <w:t>（所提供为合同条款</w:t>
      </w:r>
      <w:r>
        <w:rPr>
          <w:rFonts w:hint="eastAsia" w:ascii="宋体" w:hAnsi="宋体" w:cs="宋体"/>
          <w:color w:val="auto"/>
          <w:lang w:val="en-US" w:eastAsia="zh-CN"/>
        </w:rPr>
        <w:t>参考</w:t>
      </w:r>
      <w:r>
        <w:rPr>
          <w:rFonts w:hint="eastAsia" w:ascii="宋体" w:hAnsi="宋体" w:cs="宋体"/>
          <w:color w:val="auto"/>
        </w:rPr>
        <w:t>格式，</w:t>
      </w:r>
      <w:r>
        <w:rPr>
          <w:rFonts w:hint="eastAsia" w:ascii="宋体" w:hAnsi="宋体" w:cs="宋体"/>
          <w:color w:val="auto"/>
          <w:lang w:val="en-US" w:eastAsia="zh-CN"/>
        </w:rPr>
        <w:t>最终以实际签订合同为准</w:t>
      </w:r>
      <w:r>
        <w:rPr>
          <w:rFonts w:hint="eastAsia" w:ascii="宋体" w:hAnsi="宋体" w:cs="宋体"/>
          <w:color w:val="auto"/>
        </w:rPr>
        <w:t>）</w:t>
      </w:r>
    </w:p>
    <w:p w14:paraId="3E1B2231">
      <w:pPr>
        <w:snapToGrid w:val="0"/>
        <w:spacing w:line="360" w:lineRule="auto"/>
        <w:jc w:val="both"/>
        <w:rPr>
          <w:rFonts w:ascii="方正楷体简体" w:eastAsia="方正楷体简体" w:cs="Times New Roman"/>
          <w:color w:val="auto"/>
          <w:sz w:val="28"/>
          <w:szCs w:val="28"/>
        </w:rPr>
      </w:pPr>
    </w:p>
    <w:p w14:paraId="2F63DFC0">
      <w:pPr>
        <w:snapToGrid w:val="0"/>
        <w:spacing w:line="360" w:lineRule="auto"/>
        <w:jc w:val="both"/>
        <w:rPr>
          <w:rFonts w:ascii="方正楷体简体" w:eastAsia="方正楷体简体" w:cs="Times New Roman"/>
          <w:color w:val="auto"/>
          <w:sz w:val="28"/>
          <w:szCs w:val="28"/>
        </w:rPr>
      </w:pPr>
      <w:r>
        <w:rPr>
          <w:rFonts w:ascii="方正楷体简体" w:eastAsia="方正楷体简体" w:cs="Times New Roman"/>
          <w:color w:val="auto"/>
          <w:sz w:val="28"/>
          <w:szCs w:val="28"/>
        </w:rPr>
        <w:br w:type="page"/>
      </w:r>
    </w:p>
    <w:p w14:paraId="6F6A120F">
      <w:pPr>
        <w:shd w:val="clear"/>
        <w:jc w:val="both"/>
        <w:rPr>
          <w:rFonts w:ascii="Times New Roman" w:hAnsi="Times New Roman" w:eastAsia="仿宋_GB2312" w:cs="Times New Roman"/>
          <w:bCs/>
          <w:color w:val="auto"/>
          <w:kern w:val="0"/>
          <w:sz w:val="32"/>
          <w:szCs w:val="32"/>
          <w:highlight w:val="none"/>
          <w:lang w:eastAsia="zh-CN" w:bidi="en-US"/>
        </w:rPr>
      </w:pPr>
      <w:r>
        <w:rPr>
          <w:rFonts w:hint="eastAsia" w:ascii="Times New Roman" w:hAnsi="Times New Roman" w:eastAsia="仿宋_GB2312" w:cs="仿宋_GB2312"/>
          <w:bCs/>
          <w:color w:val="auto"/>
          <w:kern w:val="2"/>
          <w:sz w:val="32"/>
          <w:szCs w:val="32"/>
          <w:highlight w:val="none"/>
          <w:lang w:eastAsia="zh-CN" w:bidi="ar"/>
        </w:rPr>
        <w:t>（</w:t>
      </w:r>
      <w:r>
        <w:rPr>
          <w:rFonts w:ascii="Times New Roman" w:hAnsi="Times New Roman" w:eastAsia="仿宋_GB2312" w:cs="Times New Roman"/>
          <w:bCs/>
          <w:color w:val="auto"/>
          <w:kern w:val="2"/>
          <w:sz w:val="32"/>
          <w:szCs w:val="32"/>
          <w:highlight w:val="none"/>
          <w:lang w:eastAsia="zh-CN" w:bidi="ar"/>
        </w:rPr>
        <w:t>GF—2017—0201</w:t>
      </w:r>
      <w:r>
        <w:rPr>
          <w:rFonts w:hint="eastAsia" w:ascii="Times New Roman" w:hAnsi="Times New Roman" w:eastAsia="仿宋_GB2312" w:cs="仿宋_GB2312"/>
          <w:bCs/>
          <w:color w:val="auto"/>
          <w:kern w:val="2"/>
          <w:sz w:val="32"/>
          <w:szCs w:val="32"/>
          <w:highlight w:val="none"/>
          <w:lang w:eastAsia="zh-CN" w:bidi="ar"/>
        </w:rPr>
        <w:t>）</w:t>
      </w:r>
    </w:p>
    <w:p w14:paraId="7C649F4D">
      <w:pPr>
        <w:shd w:val="clear"/>
        <w:jc w:val="both"/>
        <w:rPr>
          <w:rFonts w:ascii="Times New Roman" w:hAnsi="Times New Roman" w:eastAsia="华文中宋" w:cs="Times New Roman"/>
          <w:b/>
          <w:color w:val="auto"/>
          <w:kern w:val="0"/>
          <w:sz w:val="52"/>
          <w:szCs w:val="52"/>
          <w:highlight w:val="none"/>
          <w:lang w:eastAsia="zh-CN" w:bidi="en-US"/>
        </w:rPr>
      </w:pPr>
    </w:p>
    <w:p w14:paraId="3D020315">
      <w:pPr>
        <w:shd w:val="clear"/>
        <w:jc w:val="both"/>
        <w:rPr>
          <w:rFonts w:ascii="Times New Roman" w:hAnsi="Times New Roman" w:eastAsia="华文中宋" w:cs="Times New Roman"/>
          <w:b/>
          <w:color w:val="auto"/>
          <w:kern w:val="0"/>
          <w:sz w:val="52"/>
          <w:szCs w:val="52"/>
          <w:highlight w:val="none"/>
          <w:lang w:eastAsia="zh-CN" w:bidi="en-US"/>
        </w:rPr>
      </w:pPr>
    </w:p>
    <w:p w14:paraId="61B7137B">
      <w:pPr>
        <w:shd w:val="clear"/>
        <w:jc w:val="both"/>
        <w:rPr>
          <w:rFonts w:ascii="Times New Roman" w:hAnsi="Times New Roman" w:eastAsia="华文中宋" w:cs="Times New Roman"/>
          <w:b/>
          <w:color w:val="auto"/>
          <w:kern w:val="0"/>
          <w:sz w:val="52"/>
          <w:szCs w:val="52"/>
          <w:highlight w:val="none"/>
          <w:lang w:eastAsia="zh-CN" w:bidi="en-US"/>
        </w:rPr>
      </w:pPr>
    </w:p>
    <w:p w14:paraId="5DBA7874">
      <w:pPr>
        <w:shd w:val="clear"/>
        <w:jc w:val="both"/>
        <w:rPr>
          <w:rFonts w:ascii="Times New Roman" w:hAnsi="Times New Roman" w:eastAsia="华文中宋" w:cs="Times New Roman"/>
          <w:b/>
          <w:color w:val="auto"/>
          <w:kern w:val="0"/>
          <w:sz w:val="52"/>
          <w:szCs w:val="52"/>
          <w:highlight w:val="none"/>
          <w:lang w:eastAsia="zh-CN" w:bidi="en-US"/>
        </w:rPr>
      </w:pPr>
    </w:p>
    <w:p w14:paraId="7EF0DFB7">
      <w:pPr>
        <w:shd w:val="clear"/>
        <w:jc w:val="center"/>
        <w:rPr>
          <w:rFonts w:ascii="Times New Roman" w:hAnsi="Times New Roman" w:eastAsia="华文中宋" w:cs="Times New Roman"/>
          <w:b/>
          <w:color w:val="auto"/>
          <w:kern w:val="0"/>
          <w:sz w:val="52"/>
          <w:szCs w:val="52"/>
          <w:highlight w:val="none"/>
          <w:lang w:eastAsia="zh-CN" w:bidi="en-US"/>
        </w:rPr>
      </w:pPr>
      <w:r>
        <w:rPr>
          <w:rFonts w:hint="eastAsia" w:ascii="Times New Roman" w:hAnsi="Times New Roman" w:eastAsia="华文中宋" w:cs="华文中宋"/>
          <w:b/>
          <w:color w:val="auto"/>
          <w:kern w:val="2"/>
          <w:sz w:val="72"/>
          <w:szCs w:val="52"/>
          <w:highlight w:val="none"/>
          <w:lang w:eastAsia="zh-CN" w:bidi="ar"/>
        </w:rPr>
        <w:t>建设工程施工合同</w:t>
      </w:r>
      <w:r>
        <w:rPr>
          <w:rFonts w:ascii="Times New Roman" w:hAnsi="Times New Roman" w:eastAsia="华文中宋" w:cs="Times New Roman"/>
          <w:b/>
          <w:color w:val="auto"/>
          <w:kern w:val="2"/>
          <w:sz w:val="52"/>
          <w:szCs w:val="52"/>
          <w:highlight w:val="none"/>
          <w:lang w:eastAsia="zh-CN" w:bidi="ar"/>
        </w:rPr>
        <w:br w:type="textWrapping"/>
      </w:r>
      <w:r>
        <w:rPr>
          <w:rFonts w:hint="eastAsia" w:ascii="Times New Roman" w:hAnsi="Times New Roman" w:eastAsia="华文中宋" w:cs="华文中宋"/>
          <w:b/>
          <w:color w:val="auto"/>
          <w:kern w:val="2"/>
          <w:sz w:val="52"/>
          <w:szCs w:val="52"/>
          <w:highlight w:val="none"/>
          <w:lang w:eastAsia="zh-CN" w:bidi="ar"/>
        </w:rPr>
        <w:t>（示范文本）</w:t>
      </w:r>
    </w:p>
    <w:p w14:paraId="41717C7A">
      <w:pPr>
        <w:shd w:val="clear"/>
        <w:jc w:val="both"/>
        <w:rPr>
          <w:rFonts w:ascii="Times New Roman" w:hAnsi="Times New Roman" w:eastAsia="华文中宋" w:cs="Times New Roman"/>
          <w:b/>
          <w:color w:val="auto"/>
          <w:kern w:val="0"/>
          <w:sz w:val="52"/>
          <w:szCs w:val="52"/>
          <w:highlight w:val="none"/>
          <w:lang w:eastAsia="zh-CN" w:bidi="en-US"/>
        </w:rPr>
      </w:pPr>
    </w:p>
    <w:p w14:paraId="1F305403">
      <w:pPr>
        <w:shd w:val="clear"/>
        <w:jc w:val="both"/>
        <w:rPr>
          <w:rFonts w:ascii="Times New Roman" w:hAnsi="Times New Roman" w:eastAsia="黑体" w:cs="Times New Roman"/>
          <w:b/>
          <w:color w:val="auto"/>
          <w:kern w:val="0"/>
          <w:sz w:val="72"/>
          <w:szCs w:val="72"/>
          <w:highlight w:val="none"/>
          <w:lang w:eastAsia="zh-CN" w:bidi="en-US"/>
        </w:rPr>
      </w:pPr>
    </w:p>
    <w:p w14:paraId="6CDAE912">
      <w:pPr>
        <w:shd w:val="clear"/>
        <w:jc w:val="both"/>
        <w:rPr>
          <w:rFonts w:ascii="Times New Roman" w:hAnsi="Times New Roman" w:eastAsia="楷体_GB2312" w:cs="Times New Roman"/>
          <w:b/>
          <w:color w:val="auto"/>
          <w:kern w:val="0"/>
          <w:sz w:val="72"/>
          <w:szCs w:val="72"/>
          <w:highlight w:val="none"/>
          <w:lang w:eastAsia="zh-CN" w:bidi="en-US"/>
        </w:rPr>
      </w:pPr>
    </w:p>
    <w:p w14:paraId="303D8438">
      <w:pPr>
        <w:shd w:val="clear"/>
        <w:jc w:val="both"/>
        <w:rPr>
          <w:rFonts w:ascii="Times New Roman" w:hAnsi="Times New Roman" w:eastAsia="黑体" w:cs="Times New Roman"/>
          <w:b/>
          <w:color w:val="auto"/>
          <w:kern w:val="0"/>
          <w:sz w:val="52"/>
          <w:szCs w:val="52"/>
          <w:highlight w:val="none"/>
          <w:lang w:eastAsia="zh-CN" w:bidi="en-US"/>
        </w:rPr>
      </w:pPr>
    </w:p>
    <w:p w14:paraId="4889CCB7">
      <w:pPr>
        <w:shd w:val="clear"/>
        <w:jc w:val="both"/>
        <w:rPr>
          <w:rFonts w:ascii="Times New Roman" w:hAnsi="Times New Roman" w:eastAsia="Times New Roman" w:cs="Times New Roman"/>
          <w:b/>
          <w:color w:val="auto"/>
          <w:kern w:val="0"/>
          <w:sz w:val="28"/>
          <w:szCs w:val="28"/>
          <w:highlight w:val="none"/>
          <w:lang w:eastAsia="zh-CN" w:bidi="en-US"/>
        </w:rPr>
      </w:pPr>
    </w:p>
    <w:p w14:paraId="7A657068">
      <w:pPr>
        <w:shd w:val="clear"/>
        <w:jc w:val="both"/>
        <w:rPr>
          <w:rFonts w:ascii="Times New Roman" w:hAnsi="Times New Roman" w:eastAsia="Times New Roman" w:cs="Times New Roman"/>
          <w:b/>
          <w:color w:val="auto"/>
          <w:kern w:val="0"/>
          <w:sz w:val="28"/>
          <w:szCs w:val="28"/>
          <w:highlight w:val="none"/>
          <w:lang w:eastAsia="zh-CN" w:bidi="en-US"/>
        </w:rPr>
      </w:pPr>
    </w:p>
    <w:p w14:paraId="5FCB94B5">
      <w:pPr>
        <w:shd w:val="clear"/>
        <w:jc w:val="both"/>
        <w:rPr>
          <w:rFonts w:ascii="Times New Roman" w:hAnsi="Times New Roman" w:eastAsia="Times New Roman" w:cs="Times New Roman"/>
          <w:b/>
          <w:color w:val="auto"/>
          <w:kern w:val="0"/>
          <w:sz w:val="28"/>
          <w:szCs w:val="28"/>
          <w:highlight w:val="none"/>
          <w:lang w:eastAsia="zh-CN" w:bidi="en-US"/>
        </w:rPr>
      </w:pPr>
    </w:p>
    <w:p w14:paraId="0190400D">
      <w:pPr>
        <w:shd w:val="clear"/>
        <w:jc w:val="both"/>
        <w:rPr>
          <w:rFonts w:ascii="Times New Roman" w:hAnsi="Times New Roman" w:eastAsia="Times New Roman" w:cs="Times New Roman"/>
          <w:b/>
          <w:color w:val="auto"/>
          <w:kern w:val="0"/>
          <w:sz w:val="28"/>
          <w:szCs w:val="28"/>
          <w:highlight w:val="none"/>
          <w:lang w:eastAsia="zh-CN" w:bidi="en-US"/>
        </w:rPr>
      </w:pPr>
    </w:p>
    <w:p w14:paraId="467B9962">
      <w:pPr>
        <w:shd w:val="clear"/>
        <w:jc w:val="both"/>
        <w:rPr>
          <w:rFonts w:ascii="Times New Roman" w:hAnsi="Times New Roman" w:eastAsia="Times New Roman" w:cs="Times New Roman"/>
          <w:b/>
          <w:color w:val="auto"/>
          <w:kern w:val="0"/>
          <w:sz w:val="28"/>
          <w:szCs w:val="28"/>
          <w:highlight w:val="none"/>
          <w:lang w:eastAsia="zh-CN" w:bidi="en-US"/>
        </w:rPr>
      </w:pPr>
    </w:p>
    <w:p w14:paraId="23CD93F5">
      <w:pPr>
        <w:shd w:val="clear"/>
        <w:jc w:val="center"/>
        <w:rPr>
          <w:rFonts w:ascii="Times New Roman" w:hAnsi="Times New Roman" w:eastAsia="Times New Roman" w:cs="Times New Roman"/>
          <w:b/>
          <w:color w:val="auto"/>
          <w:kern w:val="0"/>
          <w:sz w:val="32"/>
          <w:szCs w:val="28"/>
          <w:highlight w:val="none"/>
          <w:lang w:eastAsia="zh-CN" w:bidi="en-US"/>
        </w:rPr>
      </w:pPr>
      <w:r>
        <w:rPr>
          <w:rFonts w:ascii="Calibri" w:hAnsi="Calibri" w:eastAsia="宋体" w:cs="Times New Roman"/>
          <w:color w:val="auto"/>
          <w:kern w:val="2"/>
          <w:sz w:val="21"/>
          <w:szCs w:val="22"/>
          <w:highlight w:val="none"/>
          <w:lang w:eastAsia="zh-CN" w:bidi="ar"/>
        </w:rPr>
        <mc:AlternateContent>
          <mc:Choice Requires="wps">
            <w:drawing>
              <wp:anchor distT="0" distB="0" distL="114300" distR="114300" simplePos="0" relativeHeight="25166131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6" name="文本框 6"/>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A9E85D">
                            <w:pPr>
                              <w:jc w:val="both"/>
                              <w:rPr>
                                <w:rFonts w:ascii="Times New Roman" w:hAnsi="Times New Roman" w:eastAsia="Times New Roman" w:cs="Times New Roman"/>
                                <w:b/>
                                <w:bCs/>
                                <w:color w:val="000000"/>
                                <w:kern w:val="0"/>
                                <w:sz w:val="32"/>
                                <w:szCs w:val="22"/>
                                <w:lang w:eastAsia="en-US" w:bidi="en-US"/>
                              </w:rPr>
                            </w:pPr>
                            <w:r>
                              <w:rPr>
                                <w:rFonts w:hint="eastAsia" w:ascii="Calibri" w:hAnsi="Calibri" w:eastAsia="宋体" w:cs="宋体"/>
                                <w:b/>
                                <w:bCs/>
                                <w:color w:val="000000"/>
                                <w:kern w:val="2"/>
                                <w:sz w:val="32"/>
                                <w:szCs w:val="22"/>
                                <w:lang w:eastAsia="zh-CN" w:bidi="ar"/>
                              </w:rPr>
                              <w:t>制定</w:t>
                            </w:r>
                          </w:p>
                        </w:txbxContent>
                      </wps:txbx>
                      <wps:bodyPr wrap="square" upright="1"/>
                    </wps:wsp>
                  </a:graphicData>
                </a:graphic>
              </wp:anchor>
            </w:drawing>
          </mc:Choice>
          <mc:Fallback>
            <w:pict>
              <v:shape id="_x0000_s1026" o:spid="_x0000_s1026" o:spt="202" type="#_x0000_t202" style="position:absolute;left:0pt;margin-left:312.6pt;margin-top:9.45pt;height:36pt;width:57pt;z-index:25166131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HNLXHYAAAACQEAAA8AAAAAAAAAAQAg&#10;AAAAIgAAAGRycy9kb3ducmV2LnhtbFBLAQIUABQAAAAIAIdO4kClCpUDDgIAABoEAAAOAAAAAAAA&#10;AAEAIAAAACcBAABkcnMvZTJvRG9jLnhtbFBLBQYAAAAABgAGAFkBAACnBQAAAAA=&#10;">
                <v:fill on="f" focussize="0,0"/>
                <v:stroke color="#FFFFFF" joinstyle="miter"/>
                <v:imagedata o:title=""/>
                <o:lock v:ext="edit" aspectratio="f"/>
                <v:textbox>
                  <w:txbxContent>
                    <w:p w14:paraId="74A9E85D">
                      <w:pPr>
                        <w:jc w:val="both"/>
                        <w:rPr>
                          <w:rFonts w:ascii="Times New Roman" w:hAnsi="Times New Roman" w:eastAsia="Times New Roman" w:cs="Times New Roman"/>
                          <w:b/>
                          <w:bCs/>
                          <w:color w:val="000000"/>
                          <w:kern w:val="0"/>
                          <w:sz w:val="32"/>
                          <w:szCs w:val="22"/>
                          <w:lang w:eastAsia="en-US" w:bidi="en-US"/>
                        </w:rPr>
                      </w:pPr>
                      <w:r>
                        <w:rPr>
                          <w:rFonts w:hint="eastAsia" w:ascii="Calibri" w:hAnsi="Calibri" w:eastAsia="宋体" w:cs="宋体"/>
                          <w:b/>
                          <w:bCs/>
                          <w:color w:val="000000"/>
                          <w:kern w:val="2"/>
                          <w:sz w:val="32"/>
                          <w:szCs w:val="22"/>
                          <w:lang w:eastAsia="zh-CN" w:bidi="ar"/>
                        </w:rPr>
                        <w:t>制定</w:t>
                      </w:r>
                    </w:p>
                  </w:txbxContent>
                </v:textbox>
              </v:shape>
            </w:pict>
          </mc:Fallback>
        </mc:AlternateContent>
      </w:r>
      <w:r>
        <w:rPr>
          <w:rFonts w:hint="eastAsia" w:ascii="Times New Roman" w:hAnsi="Times New Roman" w:eastAsia="宋体" w:cs="宋体"/>
          <w:b/>
          <w:color w:val="auto"/>
          <w:kern w:val="0"/>
          <w:sz w:val="32"/>
          <w:szCs w:val="28"/>
          <w:highlight w:val="none"/>
          <w:lang w:eastAsia="zh-CN" w:bidi="en-US"/>
        </w:rPr>
        <w:t>住房城乡建设部</w:t>
      </w:r>
    </w:p>
    <w:p w14:paraId="36EDDF98">
      <w:pPr>
        <w:shd w:val="clear"/>
        <w:jc w:val="center"/>
        <w:rPr>
          <w:rFonts w:ascii="Times New Roman" w:hAnsi="Times New Roman" w:eastAsia="Times New Roman" w:cs="Times New Roman"/>
          <w:b/>
          <w:color w:val="auto"/>
          <w:kern w:val="0"/>
          <w:sz w:val="32"/>
          <w:szCs w:val="28"/>
          <w:highlight w:val="none"/>
          <w:lang w:eastAsia="zh-CN" w:bidi="en-US"/>
        </w:rPr>
      </w:pPr>
      <w:r>
        <w:rPr>
          <w:rFonts w:hint="eastAsia" w:ascii="Times New Roman" w:hAnsi="Times New Roman" w:eastAsia="宋体" w:cs="宋体"/>
          <w:b/>
          <w:color w:val="auto"/>
          <w:kern w:val="2"/>
          <w:sz w:val="32"/>
          <w:szCs w:val="28"/>
          <w:highlight w:val="none"/>
          <w:lang w:eastAsia="zh-CN" w:bidi="ar"/>
        </w:rPr>
        <w:t>国家工商行政管理总局</w:t>
      </w:r>
    </w:p>
    <w:p w14:paraId="2B5409DA">
      <w:pPr>
        <w:shd w:val="clear"/>
        <w:jc w:val="both"/>
        <w:rPr>
          <w:rFonts w:ascii="Times New Roman" w:hAnsi="Times New Roman" w:eastAsia="Times New Roman" w:cs="Times New Roman"/>
          <w:b/>
          <w:color w:val="auto"/>
          <w:kern w:val="0"/>
          <w:sz w:val="24"/>
          <w:highlight w:val="none"/>
          <w:lang w:eastAsia="zh-CN" w:bidi="en-US"/>
        </w:rPr>
      </w:pPr>
    </w:p>
    <w:p w14:paraId="596ECE3F">
      <w:pPr>
        <w:widowControl/>
        <w:shd w:val="clear"/>
        <w:tabs>
          <w:tab w:val="left" w:pos="540"/>
        </w:tabs>
        <w:adjustRightInd w:val="0"/>
        <w:snapToGrid w:val="0"/>
        <w:spacing w:line="360" w:lineRule="auto"/>
        <w:jc w:val="center"/>
        <w:outlineLvl w:val="1"/>
        <w:rPr>
          <w:rFonts w:ascii="Times New Roman" w:hAnsi="Times New Roman" w:eastAsia="华文中宋" w:cs="Times New Roman"/>
          <w:b w:val="0"/>
          <w:bCs/>
          <w:color w:val="auto"/>
          <w:sz w:val="44"/>
          <w:szCs w:val="44"/>
          <w:highlight w:val="none"/>
          <w:lang w:val="en-US" w:eastAsia="zh-CN" w:bidi="en-US"/>
        </w:rPr>
      </w:pPr>
      <w:r>
        <w:rPr>
          <w:rFonts w:ascii="Times New Roman" w:hAnsi="Times New Roman" w:eastAsia="宋体" w:cs="Times New Roman"/>
          <w:b/>
          <w:bCs/>
          <w:color w:val="auto"/>
          <w:kern w:val="44"/>
          <w:sz w:val="44"/>
          <w:szCs w:val="44"/>
          <w:highlight w:val="none"/>
          <w:lang w:val="en-US" w:eastAsia="zh-CN" w:bidi="ar"/>
        </w:rPr>
        <w:br w:type="page"/>
      </w:r>
      <w:bookmarkStart w:id="166" w:name="_Toc351203480"/>
      <w:bookmarkStart w:id="167" w:name="_Toc30584"/>
      <w:bookmarkStart w:id="168" w:name="_Toc296503025"/>
      <w:bookmarkStart w:id="169" w:name="_Toc163768540"/>
      <w:bookmarkStart w:id="170" w:name="_Toc296890982"/>
      <w:bookmarkStart w:id="171" w:name="_Toc163768422"/>
      <w:r>
        <w:rPr>
          <w:rFonts w:hint="eastAsia" w:ascii="华文中宋" w:hAnsi="华文中宋" w:eastAsia="华文中宋" w:cs="华文中宋"/>
          <w:b/>
          <w:color w:val="auto"/>
          <w:sz w:val="44"/>
          <w:szCs w:val="44"/>
          <w:highlight w:val="none"/>
          <w:lang w:val="en-US" w:eastAsia="zh-CN" w:bidi="en-US"/>
        </w:rPr>
        <w:t>第一部分 合同协议书</w:t>
      </w:r>
      <w:bookmarkEnd w:id="166"/>
      <w:bookmarkEnd w:id="167"/>
      <w:bookmarkEnd w:id="168"/>
      <w:bookmarkEnd w:id="169"/>
      <w:bookmarkEnd w:id="170"/>
      <w:bookmarkEnd w:id="171"/>
    </w:p>
    <w:p w14:paraId="0BA7F8FC">
      <w:pPr>
        <w:shd w:val="clear"/>
        <w:spacing w:line="360" w:lineRule="auto"/>
        <w:jc w:val="both"/>
        <w:rPr>
          <w:rFonts w:ascii="Times New Roman" w:hAnsi="Times New Roman" w:eastAsia="仿宋_GB2312" w:cs="Times New Roman"/>
          <w:b/>
          <w:color w:val="auto"/>
          <w:kern w:val="0"/>
          <w:sz w:val="30"/>
          <w:szCs w:val="30"/>
          <w:highlight w:val="none"/>
          <w:u w:val="single"/>
          <w:lang w:eastAsia="zh-CN" w:bidi="en-US"/>
        </w:rPr>
      </w:pPr>
      <w:r>
        <w:rPr>
          <w:rFonts w:hint="eastAsia" w:ascii="Times New Roman" w:hAnsi="Times New Roman" w:eastAsia="仿宋_GB2312" w:cs="仿宋_GB2312"/>
          <w:b/>
          <w:color w:val="auto"/>
          <w:kern w:val="2"/>
          <w:sz w:val="30"/>
          <w:szCs w:val="30"/>
          <w:highlight w:val="none"/>
          <w:lang w:eastAsia="zh-CN" w:bidi="ar"/>
        </w:rPr>
        <w:t>发包人（全称）：</w:t>
      </w:r>
      <w:r>
        <w:rPr>
          <w:rFonts w:hint="eastAsia" w:ascii="Times New Roman" w:hAnsi="Times New Roman" w:eastAsia="仿宋_GB2312" w:cs="Times New Roman"/>
          <w:b/>
          <w:color w:val="auto"/>
          <w:kern w:val="2"/>
          <w:sz w:val="30"/>
          <w:szCs w:val="30"/>
          <w:highlight w:val="none"/>
          <w:u w:val="single"/>
          <w:lang w:eastAsia="zh-CN" w:bidi="ar"/>
        </w:rPr>
        <w:t>昌吉市市政养护管理中心</w:t>
      </w:r>
    </w:p>
    <w:p w14:paraId="4B09DFAD">
      <w:pPr>
        <w:shd w:val="clear"/>
        <w:spacing w:line="360" w:lineRule="auto"/>
        <w:jc w:val="both"/>
        <w:rPr>
          <w:rFonts w:ascii="Times New Roman" w:hAnsi="Times New Roman" w:eastAsia="仿宋_GB2312" w:cs="Times New Roman"/>
          <w:b/>
          <w:color w:val="auto"/>
          <w:kern w:val="0"/>
          <w:sz w:val="30"/>
          <w:szCs w:val="30"/>
          <w:highlight w:val="none"/>
          <w:u w:val="single"/>
          <w:lang w:eastAsia="zh-CN" w:bidi="en-US"/>
        </w:rPr>
      </w:pPr>
      <w:r>
        <w:rPr>
          <w:rFonts w:hint="eastAsia" w:ascii="Times New Roman" w:hAnsi="Times New Roman" w:eastAsia="仿宋_GB2312" w:cs="仿宋_GB2312"/>
          <w:b/>
          <w:color w:val="auto"/>
          <w:kern w:val="2"/>
          <w:sz w:val="30"/>
          <w:szCs w:val="30"/>
          <w:highlight w:val="none"/>
          <w:lang w:eastAsia="zh-CN" w:bidi="ar"/>
        </w:rPr>
        <w:t>承包人（全称）：</w:t>
      </w:r>
      <w:r>
        <w:rPr>
          <w:rFonts w:ascii="Times New Roman" w:hAnsi="Times New Roman" w:eastAsia="仿宋_GB2312" w:cs="Times New Roman"/>
          <w:bCs/>
          <w:color w:val="auto"/>
          <w:kern w:val="2"/>
          <w:sz w:val="30"/>
          <w:szCs w:val="30"/>
          <w:highlight w:val="none"/>
          <w:u w:val="single"/>
          <w:lang w:eastAsia="zh-CN" w:bidi="ar"/>
        </w:rPr>
        <w:t>                      </w:t>
      </w:r>
    </w:p>
    <w:p w14:paraId="370E0BBA">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根据《中华人民共和国民法典》、《中华人民共和国建筑法》及有关法律规定，遵循平等、自愿、公平和诚实信用的原则，双方就</w:t>
      </w:r>
      <w:r>
        <w:rPr>
          <w:rFonts w:hint="eastAsia" w:ascii="Times New Roman" w:hAnsi="Times New Roman" w:eastAsia="仿宋_GB2312" w:cs="Times New Roman"/>
          <w:color w:val="auto"/>
          <w:kern w:val="0"/>
          <w:sz w:val="30"/>
          <w:szCs w:val="30"/>
          <w:highlight w:val="none"/>
          <w:u w:val="single"/>
          <w:lang w:eastAsia="zh-CN" w:bidi="en-US"/>
        </w:rPr>
        <w:t xml:space="preserve"> </w:t>
      </w:r>
      <w:r>
        <w:rPr>
          <w:rFonts w:hint="eastAsia" w:eastAsia="仿宋_GB2312" w:cs="Times New Roman"/>
          <w:color w:val="auto"/>
          <w:kern w:val="0"/>
          <w:sz w:val="30"/>
          <w:szCs w:val="30"/>
          <w:highlight w:val="none"/>
          <w:u w:val="single"/>
          <w:lang w:eastAsia="zh-CN" w:bidi="en-US"/>
        </w:rPr>
        <w:t>昌吉市城市街景节点布置</w:t>
      </w:r>
      <w:r>
        <w:rPr>
          <w:rFonts w:hint="eastAsia" w:ascii="Times New Roman" w:hAnsi="Times New Roman" w:eastAsia="仿宋_GB2312" w:cs="Times New Roman"/>
          <w:color w:val="auto"/>
          <w:kern w:val="0"/>
          <w:sz w:val="30"/>
          <w:szCs w:val="30"/>
          <w:highlight w:val="none"/>
          <w:u w:val="single"/>
          <w:lang w:eastAsia="zh-CN" w:bidi="en-US"/>
        </w:rPr>
        <w:t xml:space="preserve"> </w:t>
      </w:r>
      <w:r>
        <w:rPr>
          <w:rFonts w:hint="eastAsia" w:ascii="Times New Roman" w:hAnsi="Times New Roman" w:eastAsia="仿宋_GB2312" w:cs="仿宋_GB2312"/>
          <w:color w:val="auto"/>
          <w:kern w:val="2"/>
          <w:sz w:val="30"/>
          <w:szCs w:val="30"/>
          <w:highlight w:val="none"/>
          <w:lang w:eastAsia="zh-CN" w:bidi="ar"/>
        </w:rPr>
        <w:t>工程施工及有关事项协商一致，共同达成如下协议：</w:t>
      </w:r>
    </w:p>
    <w:p w14:paraId="0FF20FB8">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72" w:name="_Toc351203481"/>
      <w:bookmarkStart w:id="173" w:name="_Toc163768541"/>
      <w:bookmarkStart w:id="174" w:name="_Toc163768423"/>
      <w:r>
        <w:rPr>
          <w:rFonts w:hint="eastAsia" w:ascii="Times New Roman" w:hAnsi="Times New Roman" w:eastAsia="黑体" w:cs="Times New Roman"/>
          <w:b/>
          <w:bCs/>
          <w:color w:val="auto"/>
          <w:sz w:val="32"/>
          <w:szCs w:val="32"/>
          <w:highlight w:val="none"/>
          <w:lang w:val="en-US" w:eastAsia="zh-CN" w:bidi="en-US"/>
        </w:rPr>
        <w:t>一、工程概况</w:t>
      </w:r>
      <w:bookmarkEnd w:id="172"/>
      <w:bookmarkEnd w:id="173"/>
      <w:bookmarkEnd w:id="174"/>
    </w:p>
    <w:p w14:paraId="4968D2EE">
      <w:pPr>
        <w:shd w:val="clear"/>
        <w:spacing w:line="360" w:lineRule="auto"/>
        <w:ind w:firstLine="588" w:firstLineChars="196"/>
        <w:jc w:val="both"/>
        <w:rPr>
          <w:rFonts w:ascii="Times New Roman" w:hAnsi="Times New Roman" w:eastAsia="仿宋_GB2312" w:cs="Times New Roman"/>
          <w:color w:val="auto"/>
          <w:kern w:val="0"/>
          <w:sz w:val="30"/>
          <w:szCs w:val="30"/>
          <w:highlight w:val="none"/>
          <w:u w:val="single"/>
          <w:lang w:eastAsia="zh-CN" w:bidi="en-US"/>
        </w:rPr>
      </w:pPr>
      <w:r>
        <w:rPr>
          <w:rFonts w:ascii="Times New Roman" w:hAnsi="Times New Roman" w:eastAsia="仿宋_GB2312" w:cs="Times New Roman"/>
          <w:bCs/>
          <w:color w:val="auto"/>
          <w:kern w:val="2"/>
          <w:sz w:val="30"/>
          <w:szCs w:val="30"/>
          <w:highlight w:val="none"/>
          <w:lang w:eastAsia="zh-CN" w:bidi="ar"/>
        </w:rPr>
        <w:t>1.</w:t>
      </w:r>
      <w:r>
        <w:rPr>
          <w:rFonts w:hint="eastAsia" w:ascii="Times New Roman" w:hAnsi="Times New Roman" w:eastAsia="仿宋_GB2312" w:cs="仿宋_GB2312"/>
          <w:bCs/>
          <w:color w:val="auto"/>
          <w:kern w:val="2"/>
          <w:sz w:val="30"/>
          <w:szCs w:val="30"/>
          <w:highlight w:val="none"/>
          <w:lang w:eastAsia="zh-CN" w:bidi="ar"/>
        </w:rPr>
        <w:t>工程名称</w:t>
      </w:r>
      <w:r>
        <w:rPr>
          <w:rFonts w:hint="eastAsia" w:ascii="Times New Roman" w:hAnsi="Times New Roman" w:eastAsia="仿宋_GB2312" w:cs="仿宋_GB2312"/>
          <w:color w:val="auto"/>
          <w:kern w:val="2"/>
          <w:sz w:val="30"/>
          <w:szCs w:val="30"/>
          <w:highlight w:val="none"/>
          <w:lang w:eastAsia="zh-CN" w:bidi="ar"/>
        </w:rPr>
        <w:t>：</w:t>
      </w:r>
      <w:r>
        <w:rPr>
          <w:rFonts w:hint="eastAsia" w:eastAsia="仿宋_GB2312" w:cs="Times New Roman"/>
          <w:color w:val="auto"/>
          <w:kern w:val="2"/>
          <w:sz w:val="30"/>
          <w:szCs w:val="30"/>
          <w:highlight w:val="none"/>
          <w:u w:val="single"/>
          <w:lang w:eastAsia="zh-CN" w:bidi="ar"/>
        </w:rPr>
        <w:t>昌吉市城市街景节点布置</w:t>
      </w:r>
      <w:r>
        <w:rPr>
          <w:rFonts w:hint="eastAsia" w:ascii="Times New Roman" w:hAnsi="Times New Roman" w:eastAsia="仿宋_GB2312" w:cs="仿宋_GB2312"/>
          <w:color w:val="auto"/>
          <w:kern w:val="2"/>
          <w:sz w:val="30"/>
          <w:szCs w:val="30"/>
          <w:highlight w:val="none"/>
          <w:lang w:eastAsia="zh-CN" w:bidi="ar"/>
        </w:rPr>
        <w:t>。</w:t>
      </w:r>
    </w:p>
    <w:p w14:paraId="6225326F">
      <w:pPr>
        <w:shd w:val="clear"/>
        <w:spacing w:line="360" w:lineRule="auto"/>
        <w:ind w:firstLine="588" w:firstLineChars="196"/>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2.</w:t>
      </w:r>
      <w:r>
        <w:rPr>
          <w:rFonts w:hint="eastAsia" w:ascii="Times New Roman" w:hAnsi="Times New Roman" w:eastAsia="仿宋_GB2312" w:cs="仿宋_GB2312"/>
          <w:bCs/>
          <w:color w:val="auto"/>
          <w:kern w:val="2"/>
          <w:sz w:val="30"/>
          <w:szCs w:val="30"/>
          <w:highlight w:val="none"/>
          <w:lang w:eastAsia="zh-CN" w:bidi="ar"/>
        </w:rPr>
        <w:t>工程地点：</w:t>
      </w:r>
      <w:r>
        <w:rPr>
          <w:rFonts w:hint="eastAsia" w:ascii="Times New Roman" w:hAnsi="Times New Roman" w:eastAsia="仿宋_GB2312" w:cs="Times New Roman"/>
          <w:color w:val="auto"/>
          <w:kern w:val="2"/>
          <w:sz w:val="30"/>
          <w:szCs w:val="30"/>
          <w:highlight w:val="none"/>
          <w:u w:val="single"/>
          <w:lang w:eastAsia="zh-CN" w:bidi="ar"/>
        </w:rPr>
        <w:t>昌吉市境内</w:t>
      </w:r>
      <w:r>
        <w:rPr>
          <w:rFonts w:hint="eastAsia" w:ascii="Times New Roman" w:hAnsi="Times New Roman" w:eastAsia="仿宋_GB2312" w:cs="仿宋_GB2312"/>
          <w:color w:val="auto"/>
          <w:kern w:val="2"/>
          <w:sz w:val="30"/>
          <w:szCs w:val="30"/>
          <w:highlight w:val="none"/>
          <w:lang w:eastAsia="zh-CN" w:bidi="ar"/>
        </w:rPr>
        <w:t>。</w:t>
      </w:r>
    </w:p>
    <w:p w14:paraId="6257371F">
      <w:pPr>
        <w:shd w:val="clear"/>
        <w:spacing w:line="360" w:lineRule="auto"/>
        <w:ind w:firstLine="588" w:firstLineChars="196"/>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3.</w:t>
      </w:r>
      <w:r>
        <w:rPr>
          <w:rFonts w:hint="eastAsia" w:ascii="Times New Roman" w:hAnsi="Times New Roman" w:eastAsia="仿宋_GB2312" w:cs="仿宋_GB2312"/>
          <w:bCs/>
          <w:color w:val="auto"/>
          <w:kern w:val="2"/>
          <w:sz w:val="30"/>
          <w:szCs w:val="30"/>
          <w:highlight w:val="none"/>
          <w:lang w:eastAsia="zh-CN" w:bidi="ar"/>
        </w:rPr>
        <w:t>工程立项批准文号：</w:t>
      </w:r>
      <w:r>
        <w:rPr>
          <w:rFonts w:ascii="Times New Roman" w:hAnsi="Times New Roman" w:eastAsia="仿宋_GB2312" w:cs="Times New Roman"/>
          <w:color w:val="auto"/>
          <w:kern w:val="2"/>
          <w:sz w:val="30"/>
          <w:szCs w:val="30"/>
          <w:highlight w:val="none"/>
          <w:u w:val="single"/>
          <w:lang w:eastAsia="zh-CN" w:bidi="ar"/>
        </w:rPr>
        <w:t xml:space="preserve">       </w:t>
      </w:r>
      <w:r>
        <w:rPr>
          <w:rFonts w:hint="eastAsia" w:ascii="Times New Roman" w:hAnsi="Times New Roman" w:eastAsia="仿宋_GB2312" w:cs="仿宋_GB2312"/>
          <w:bCs/>
          <w:color w:val="auto"/>
          <w:kern w:val="2"/>
          <w:sz w:val="30"/>
          <w:szCs w:val="30"/>
          <w:highlight w:val="none"/>
          <w:lang w:eastAsia="zh-CN" w:bidi="ar"/>
        </w:rPr>
        <w:t>。</w:t>
      </w:r>
    </w:p>
    <w:p w14:paraId="2A9782C4">
      <w:pPr>
        <w:shd w:val="clear"/>
        <w:spacing w:line="360" w:lineRule="auto"/>
        <w:ind w:firstLine="588" w:firstLineChars="196"/>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4.</w:t>
      </w:r>
      <w:r>
        <w:rPr>
          <w:rFonts w:hint="eastAsia" w:ascii="Times New Roman" w:hAnsi="Times New Roman" w:eastAsia="仿宋_GB2312" w:cs="仿宋_GB2312"/>
          <w:bCs/>
          <w:color w:val="auto"/>
          <w:kern w:val="2"/>
          <w:sz w:val="30"/>
          <w:szCs w:val="30"/>
          <w:highlight w:val="none"/>
          <w:lang w:eastAsia="zh-CN" w:bidi="ar"/>
        </w:rPr>
        <w:t>资金来源：</w:t>
      </w:r>
      <w:r>
        <w:rPr>
          <w:rFonts w:hint="eastAsia" w:ascii="Times New Roman" w:hAnsi="Times New Roman" w:eastAsia="仿宋_GB2312" w:cs="Times New Roman"/>
          <w:color w:val="auto"/>
          <w:kern w:val="2"/>
          <w:sz w:val="30"/>
          <w:szCs w:val="30"/>
          <w:highlight w:val="none"/>
          <w:u w:val="single"/>
          <w:lang w:eastAsia="zh-CN" w:bidi="ar"/>
        </w:rPr>
        <w:t>财政资金</w:t>
      </w:r>
      <w:r>
        <w:rPr>
          <w:rFonts w:hint="eastAsia" w:ascii="Times New Roman" w:hAnsi="Times New Roman" w:eastAsia="仿宋_GB2312" w:cs="仿宋_GB2312"/>
          <w:bCs/>
          <w:color w:val="auto"/>
          <w:kern w:val="2"/>
          <w:sz w:val="30"/>
          <w:szCs w:val="30"/>
          <w:highlight w:val="none"/>
          <w:lang w:eastAsia="zh-CN" w:bidi="ar"/>
        </w:rPr>
        <w:t>。</w:t>
      </w:r>
    </w:p>
    <w:p w14:paraId="2DDE1812">
      <w:pPr>
        <w:shd w:val="clear"/>
        <w:spacing w:line="360" w:lineRule="auto"/>
        <w:ind w:firstLine="588" w:firstLineChars="196"/>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5.</w:t>
      </w:r>
      <w:r>
        <w:rPr>
          <w:rFonts w:hint="eastAsia" w:ascii="Times New Roman" w:hAnsi="Times New Roman" w:eastAsia="仿宋_GB2312" w:cs="仿宋_GB2312"/>
          <w:bCs/>
          <w:color w:val="auto"/>
          <w:kern w:val="2"/>
          <w:sz w:val="30"/>
          <w:szCs w:val="30"/>
          <w:highlight w:val="none"/>
          <w:lang w:eastAsia="zh-CN" w:bidi="ar"/>
        </w:rPr>
        <w:t>工程内容：</w:t>
      </w:r>
      <w:r>
        <w:rPr>
          <w:rFonts w:hint="eastAsia" w:ascii="Times New Roman" w:hAnsi="Times New Roman" w:eastAsia="仿宋_GB2312" w:cs="Times New Roman"/>
          <w:color w:val="auto"/>
          <w:kern w:val="2"/>
          <w:sz w:val="30"/>
          <w:szCs w:val="30"/>
          <w:highlight w:val="none"/>
          <w:u w:val="single"/>
          <w:lang w:eastAsia="zh-CN" w:bidi="ar"/>
        </w:rPr>
        <w:t>采购一批昌吉市市区内花灯、庭州生态绿谷花灯（含安装）</w:t>
      </w:r>
      <w:r>
        <w:rPr>
          <w:rFonts w:hint="eastAsia" w:ascii="Times New Roman" w:hAnsi="Times New Roman" w:eastAsia="仿宋_GB2312" w:cs="仿宋_GB2312"/>
          <w:bCs/>
          <w:color w:val="auto"/>
          <w:kern w:val="2"/>
          <w:sz w:val="30"/>
          <w:szCs w:val="30"/>
          <w:highlight w:val="none"/>
          <w:lang w:eastAsia="zh-CN" w:bidi="ar"/>
        </w:rPr>
        <w:t>。</w:t>
      </w:r>
    </w:p>
    <w:p w14:paraId="1F2F33E6">
      <w:pPr>
        <w:shd w:val="clear"/>
        <w:spacing w:line="360" w:lineRule="auto"/>
        <w:ind w:firstLine="588" w:firstLineChars="196"/>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6.</w:t>
      </w:r>
      <w:r>
        <w:rPr>
          <w:rFonts w:hint="eastAsia" w:ascii="Times New Roman" w:hAnsi="Times New Roman" w:eastAsia="仿宋_GB2312" w:cs="仿宋_GB2312"/>
          <w:bCs/>
          <w:color w:val="auto"/>
          <w:kern w:val="2"/>
          <w:sz w:val="30"/>
          <w:szCs w:val="30"/>
          <w:highlight w:val="none"/>
          <w:lang w:eastAsia="zh-CN" w:bidi="ar"/>
        </w:rPr>
        <w:t>工程承包范围：</w:t>
      </w:r>
    </w:p>
    <w:p w14:paraId="62A40E7E">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本项目工程量清单范围内的全部工作内容(包含招标文件、设计变更、答疑及招标文件补充等)</w:t>
      </w:r>
      <w:r>
        <w:rPr>
          <w:rFonts w:hint="eastAsia" w:ascii="Times New Roman" w:hAnsi="Times New Roman" w:eastAsia="仿宋_GB2312" w:cs="仿宋_GB2312"/>
          <w:color w:val="auto"/>
          <w:kern w:val="2"/>
          <w:sz w:val="30"/>
          <w:szCs w:val="30"/>
          <w:highlight w:val="none"/>
          <w:lang w:eastAsia="zh-CN" w:bidi="ar"/>
        </w:rPr>
        <w:t>。</w:t>
      </w:r>
    </w:p>
    <w:p w14:paraId="7CE8B177">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75" w:name="_Toc163768542"/>
      <w:bookmarkStart w:id="176" w:name="_Toc351203482"/>
      <w:bookmarkStart w:id="177" w:name="_Toc163768424"/>
      <w:r>
        <w:rPr>
          <w:rFonts w:hint="eastAsia" w:ascii="Times New Roman" w:hAnsi="Times New Roman" w:eastAsia="黑体" w:cs="Times New Roman"/>
          <w:b/>
          <w:bCs/>
          <w:color w:val="auto"/>
          <w:sz w:val="32"/>
          <w:szCs w:val="32"/>
          <w:highlight w:val="none"/>
          <w:lang w:val="en-US" w:eastAsia="zh-CN" w:bidi="en-US"/>
        </w:rPr>
        <w:t>二、合同工期</w:t>
      </w:r>
      <w:bookmarkEnd w:id="175"/>
      <w:bookmarkEnd w:id="176"/>
      <w:bookmarkEnd w:id="177"/>
    </w:p>
    <w:p w14:paraId="7631AC98">
      <w:pPr>
        <w:shd w:val="clear"/>
        <w:spacing w:line="360" w:lineRule="auto"/>
        <w:ind w:firstLine="459"/>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计划开工日期：</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日。</w:t>
      </w:r>
    </w:p>
    <w:p w14:paraId="73F6A770">
      <w:pPr>
        <w:shd w:val="clear"/>
        <w:spacing w:line="360" w:lineRule="auto"/>
        <w:ind w:firstLine="459"/>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计划竣工日期：</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日。</w:t>
      </w:r>
    </w:p>
    <w:p w14:paraId="2FE5D6F9">
      <w:pPr>
        <w:shd w:val="clear"/>
        <w:spacing w:line="360" w:lineRule="auto"/>
        <w:ind w:firstLine="459"/>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工期总日历天数：</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天。工期总日历天数与根据前述计划开竣工日期计算的工期天数不一致的，以工期总日历天数为准。</w:t>
      </w:r>
    </w:p>
    <w:p w14:paraId="3543C187">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78" w:name="_Toc351203483"/>
      <w:bookmarkStart w:id="179" w:name="_Toc163768425"/>
      <w:bookmarkStart w:id="180" w:name="_Toc163768543"/>
      <w:r>
        <w:rPr>
          <w:rFonts w:hint="eastAsia" w:ascii="Times New Roman" w:hAnsi="Times New Roman" w:eastAsia="黑体" w:cs="Times New Roman"/>
          <w:b/>
          <w:bCs/>
          <w:color w:val="auto"/>
          <w:sz w:val="32"/>
          <w:szCs w:val="32"/>
          <w:highlight w:val="none"/>
          <w:lang w:val="en-US" w:eastAsia="zh-CN" w:bidi="en-US"/>
        </w:rPr>
        <w:t>三、质量标准</w:t>
      </w:r>
      <w:bookmarkEnd w:id="178"/>
      <w:bookmarkEnd w:id="179"/>
      <w:bookmarkEnd w:id="180"/>
    </w:p>
    <w:p w14:paraId="7BB5CCB3">
      <w:pPr>
        <w:shd w:val="clear"/>
        <w:spacing w:line="360" w:lineRule="auto"/>
        <w:ind w:firstLine="459"/>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工程质量符合</w:t>
      </w:r>
      <w:r>
        <w:rPr>
          <w:rFonts w:ascii="Times New Roman" w:hAnsi="Times New Roman" w:eastAsia="仿宋_GB2312" w:cs="Times New Roman"/>
          <w:color w:val="auto"/>
          <w:kern w:val="2"/>
          <w:sz w:val="30"/>
          <w:szCs w:val="30"/>
          <w:highlight w:val="none"/>
          <w:u w:val="single"/>
          <w:lang w:eastAsia="zh-CN" w:bidi="ar"/>
        </w:rPr>
        <w:t></w:t>
      </w:r>
      <w:r>
        <w:rPr>
          <w:rFonts w:hint="eastAsia" w:eastAsia="仿宋_GB2312" w:cs="Times New Roman"/>
          <w:color w:val="auto"/>
          <w:kern w:val="2"/>
          <w:sz w:val="30"/>
          <w:szCs w:val="30"/>
          <w:highlight w:val="none"/>
          <w:u w:val="single"/>
          <w:lang w:val="en-US" w:eastAsia="zh-CN" w:bidi="ar"/>
        </w:rPr>
        <w:t>合格</w:t>
      </w:r>
      <w:r>
        <w:rPr>
          <w:rFonts w:ascii="Times New Roman" w:hAnsi="Times New Roman" w:eastAsia="仿宋_GB2312" w:cs="Times New Roman"/>
          <w:color w:val="auto"/>
          <w:kern w:val="2"/>
          <w:sz w:val="30"/>
          <w:szCs w:val="30"/>
          <w:highlight w:val="none"/>
          <w:u w:val="single"/>
          <w:lang w:eastAsia="zh-CN" w:bidi="ar"/>
        </w:rPr>
        <w:t></w:t>
      </w:r>
      <w:r>
        <w:rPr>
          <w:rFonts w:hint="eastAsia" w:ascii="Times New Roman" w:hAnsi="Times New Roman" w:eastAsia="仿宋_GB2312" w:cs="仿宋_GB2312"/>
          <w:color w:val="auto"/>
          <w:kern w:val="2"/>
          <w:sz w:val="30"/>
          <w:szCs w:val="30"/>
          <w:highlight w:val="none"/>
          <w:lang w:eastAsia="zh-CN" w:bidi="ar"/>
        </w:rPr>
        <w:t>标准。</w:t>
      </w:r>
    </w:p>
    <w:p w14:paraId="79DEBDA7">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81" w:name="_Toc351203484"/>
      <w:bookmarkStart w:id="182" w:name="_Toc163768426"/>
      <w:bookmarkStart w:id="183" w:name="_Toc163768544"/>
      <w:r>
        <w:rPr>
          <w:rFonts w:hint="eastAsia" w:ascii="Times New Roman" w:hAnsi="Times New Roman" w:eastAsia="黑体" w:cs="Times New Roman"/>
          <w:b/>
          <w:bCs/>
          <w:color w:val="auto"/>
          <w:sz w:val="32"/>
          <w:szCs w:val="32"/>
          <w:highlight w:val="none"/>
          <w:lang w:val="en-US" w:eastAsia="zh-CN" w:bidi="en-US"/>
        </w:rPr>
        <w:t>四、签约合同价与合同价格形式</w:t>
      </w:r>
      <w:bookmarkEnd w:id="181"/>
      <w:bookmarkEnd w:id="182"/>
      <w:bookmarkEnd w:id="183"/>
      <w:r>
        <w:rPr>
          <w:rFonts w:ascii="Times New Roman" w:hAnsi="Times New Roman" w:eastAsia="黑体" w:cs="Times New Roman"/>
          <w:b/>
          <w:bCs/>
          <w:color w:val="auto"/>
          <w:sz w:val="32"/>
          <w:szCs w:val="32"/>
          <w:highlight w:val="none"/>
          <w:lang w:val="en-US" w:eastAsia="zh-CN" w:bidi="en-US"/>
        </w:rPr>
        <w:tab/>
      </w:r>
    </w:p>
    <w:p w14:paraId="2F7BE32F">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1.</w:t>
      </w:r>
      <w:r>
        <w:rPr>
          <w:rFonts w:hint="eastAsia" w:ascii="Times New Roman" w:hAnsi="Times New Roman" w:eastAsia="仿宋_GB2312" w:cs="仿宋_GB2312"/>
          <w:color w:val="auto"/>
          <w:kern w:val="2"/>
          <w:sz w:val="30"/>
          <w:szCs w:val="30"/>
          <w:highlight w:val="none"/>
          <w:lang w:eastAsia="zh-CN" w:bidi="ar"/>
        </w:rPr>
        <w:t>签约合同价为：</w:t>
      </w:r>
    </w:p>
    <w:p w14:paraId="79AD04D7">
      <w:pPr>
        <w:shd w:val="clear"/>
        <w:spacing w:line="360" w:lineRule="auto"/>
        <w:ind w:firstLine="750" w:firstLineChars="25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p>
    <w:p w14:paraId="031A6F85">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其中：</w:t>
      </w:r>
    </w:p>
    <w:p w14:paraId="33E5CEB3">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1</w:t>
      </w:r>
      <w:r>
        <w:rPr>
          <w:rFonts w:hint="eastAsia" w:ascii="Times New Roman" w:hAnsi="Times New Roman" w:eastAsia="仿宋_GB2312" w:cs="仿宋_GB2312"/>
          <w:color w:val="auto"/>
          <w:kern w:val="2"/>
          <w:sz w:val="30"/>
          <w:szCs w:val="30"/>
          <w:highlight w:val="none"/>
          <w:lang w:eastAsia="zh-CN" w:bidi="ar"/>
        </w:rPr>
        <w:t>）安全文明施工费：</w:t>
      </w:r>
    </w:p>
    <w:p w14:paraId="33BED05E">
      <w:pPr>
        <w:shd w:val="clear"/>
        <w:spacing w:line="360" w:lineRule="auto"/>
        <w:ind w:firstLine="1350" w:firstLineChars="45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p>
    <w:p w14:paraId="2F6B4964">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2</w:t>
      </w:r>
      <w:r>
        <w:rPr>
          <w:rFonts w:hint="eastAsia" w:ascii="Times New Roman" w:hAnsi="Times New Roman" w:eastAsia="仿宋_GB2312" w:cs="仿宋_GB2312"/>
          <w:color w:val="auto"/>
          <w:kern w:val="2"/>
          <w:sz w:val="30"/>
          <w:szCs w:val="30"/>
          <w:highlight w:val="none"/>
          <w:lang w:eastAsia="zh-CN" w:bidi="ar"/>
        </w:rPr>
        <w:t>）材料和工程设备暂估价金额：</w:t>
      </w:r>
    </w:p>
    <w:p w14:paraId="7EE41CB3">
      <w:pPr>
        <w:shd w:val="clear"/>
        <w:spacing w:line="360" w:lineRule="auto"/>
        <w:ind w:firstLine="1350" w:firstLineChars="45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p>
    <w:p w14:paraId="301D9374">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3</w:t>
      </w:r>
      <w:r>
        <w:rPr>
          <w:rFonts w:hint="eastAsia" w:ascii="Times New Roman" w:hAnsi="Times New Roman" w:eastAsia="仿宋_GB2312" w:cs="仿宋_GB2312"/>
          <w:color w:val="auto"/>
          <w:kern w:val="2"/>
          <w:sz w:val="30"/>
          <w:szCs w:val="30"/>
          <w:highlight w:val="none"/>
          <w:lang w:eastAsia="zh-CN" w:bidi="ar"/>
        </w:rPr>
        <w:t>）专业工程暂估价金额：</w:t>
      </w:r>
    </w:p>
    <w:p w14:paraId="1B7F30FF">
      <w:pPr>
        <w:shd w:val="clear"/>
        <w:spacing w:line="360" w:lineRule="auto"/>
        <w:ind w:firstLine="1350" w:firstLineChars="45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p>
    <w:p w14:paraId="51FC73F4">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4</w:t>
      </w:r>
      <w:r>
        <w:rPr>
          <w:rFonts w:hint="eastAsia" w:ascii="Times New Roman" w:hAnsi="Times New Roman" w:eastAsia="仿宋_GB2312" w:cs="仿宋_GB2312"/>
          <w:color w:val="auto"/>
          <w:kern w:val="2"/>
          <w:sz w:val="30"/>
          <w:szCs w:val="30"/>
          <w:highlight w:val="none"/>
          <w:lang w:eastAsia="zh-CN" w:bidi="ar"/>
        </w:rPr>
        <w:t>）暂列金额：</w:t>
      </w:r>
    </w:p>
    <w:p w14:paraId="6553FCDD">
      <w:pPr>
        <w:shd w:val="clear"/>
        <w:spacing w:line="360" w:lineRule="auto"/>
        <w:ind w:firstLine="1350" w:firstLineChars="45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p>
    <w:p w14:paraId="09F3F0F4">
      <w:pPr>
        <w:numPr>
          <w:ilvl w:val="0"/>
          <w:numId w:val="0"/>
        </w:numPr>
        <w:shd w:val="clear"/>
        <w:spacing w:line="360" w:lineRule="auto"/>
        <w:ind w:firstLine="600" w:firstLineChars="200"/>
        <w:jc w:val="both"/>
        <w:rPr>
          <w:rFonts w:hint="eastAsia" w:ascii="Times New Roman" w:hAnsi="Times New Roman" w:eastAsia="仿宋_GB2312" w:cs="仿宋_GB2312"/>
          <w:color w:val="auto"/>
          <w:kern w:val="2"/>
          <w:sz w:val="30"/>
          <w:szCs w:val="30"/>
          <w:highlight w:val="none"/>
          <w:lang w:eastAsia="zh-CN" w:bidi="ar"/>
        </w:rPr>
      </w:pPr>
      <w:r>
        <w:rPr>
          <w:rFonts w:hint="eastAsia" w:ascii="Times New Roman" w:hAnsi="Times New Roman" w:eastAsia="仿宋_GB2312" w:cs="仿宋_GB2312"/>
          <w:color w:val="auto"/>
          <w:kern w:val="2"/>
          <w:sz w:val="30"/>
          <w:szCs w:val="30"/>
          <w:lang w:val="en-US" w:eastAsia="zh-CN" w:bidi="ar"/>
        </w:rPr>
        <w:t>2.</w:t>
      </w:r>
      <w:r>
        <w:rPr>
          <w:rFonts w:hint="eastAsia" w:ascii="Times New Roman" w:hAnsi="Times New Roman" w:eastAsia="仿宋_GB2312" w:cs="仿宋_GB2312"/>
          <w:color w:val="auto"/>
          <w:kern w:val="2"/>
          <w:sz w:val="30"/>
          <w:szCs w:val="30"/>
          <w:highlight w:val="none"/>
          <w:lang w:eastAsia="zh-CN" w:bidi="ar"/>
        </w:rPr>
        <w:t>合同价格形式：</w:t>
      </w:r>
      <w:r>
        <w:rPr>
          <w:rFonts w:ascii="Times New Roman" w:hAnsi="Times New Roman" w:eastAsia="仿宋_GB2312" w:cs="Times New Roman"/>
          <w:color w:val="auto"/>
          <w:kern w:val="2"/>
          <w:sz w:val="30"/>
          <w:szCs w:val="30"/>
          <w:highlight w:val="none"/>
          <w:u w:val="single"/>
          <w:shd w:val="clear"/>
          <w:lang w:eastAsia="zh-CN" w:bidi="ar"/>
        </w:rPr>
        <w:t>                      </w:t>
      </w:r>
      <w:r>
        <w:rPr>
          <w:rFonts w:hint="eastAsia" w:ascii="Times New Roman" w:hAnsi="Times New Roman" w:eastAsia="仿宋_GB2312" w:cs="仿宋_GB2312"/>
          <w:color w:val="auto"/>
          <w:kern w:val="2"/>
          <w:sz w:val="30"/>
          <w:szCs w:val="30"/>
          <w:highlight w:val="none"/>
          <w:lang w:eastAsia="zh-CN" w:bidi="ar"/>
        </w:rPr>
        <w:t>。</w:t>
      </w:r>
    </w:p>
    <w:p w14:paraId="18FF22CF">
      <w:pPr>
        <w:pStyle w:val="2"/>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shd w:val="clear"/>
          <w:lang w:val="en-US" w:eastAsia="zh-CN"/>
        </w:rPr>
      </w:pPr>
      <w:r>
        <w:rPr>
          <w:rFonts w:hint="eastAsia" w:eastAsia="仿宋_GB2312" w:cs="仿宋_GB2312"/>
          <w:color w:val="auto"/>
          <w:kern w:val="2"/>
          <w:sz w:val="30"/>
          <w:szCs w:val="30"/>
          <w:lang w:val="en-US" w:eastAsia="zh-CN" w:bidi="ar"/>
        </w:rPr>
        <w:t>3</w:t>
      </w:r>
      <w:r>
        <w:rPr>
          <w:rFonts w:hint="eastAsia" w:ascii="Times New Roman" w:hAnsi="Times New Roman" w:eastAsia="仿宋_GB2312" w:cs="仿宋_GB2312"/>
          <w:color w:val="auto"/>
          <w:kern w:val="2"/>
          <w:sz w:val="30"/>
          <w:szCs w:val="30"/>
          <w:lang w:val="en-US" w:eastAsia="zh-CN" w:bidi="ar"/>
        </w:rPr>
        <w:t>.</w:t>
      </w:r>
      <w:r>
        <w:rPr>
          <w:rFonts w:hint="eastAsia" w:ascii="Times New Roman" w:hAnsi="Times New Roman" w:eastAsia="仿宋_GB2312" w:cs="仿宋_GB2312"/>
          <w:color w:val="auto"/>
          <w:kern w:val="2"/>
          <w:sz w:val="30"/>
          <w:szCs w:val="30"/>
          <w:highlight w:val="none"/>
          <w:lang w:eastAsia="zh-CN" w:bidi="ar"/>
        </w:rPr>
        <w:t>合同价格</w:t>
      </w:r>
      <w:r>
        <w:rPr>
          <w:rFonts w:hint="eastAsia" w:eastAsia="仿宋_GB2312" w:cs="仿宋_GB2312"/>
          <w:color w:val="auto"/>
          <w:kern w:val="2"/>
          <w:sz w:val="30"/>
          <w:szCs w:val="30"/>
          <w:highlight w:val="none"/>
          <w:shd w:val="clear"/>
          <w:lang w:val="en-US" w:eastAsia="zh-CN" w:bidi="ar"/>
        </w:rPr>
        <w:t>应包含的其他费用：</w:t>
      </w:r>
      <w:r>
        <w:rPr>
          <w:rFonts w:hint="eastAsia" w:eastAsia="仿宋_GB2312" w:cs="仿宋_GB2312"/>
          <w:color w:val="auto"/>
          <w:kern w:val="2"/>
          <w:sz w:val="30"/>
          <w:szCs w:val="30"/>
          <w:highlight w:val="none"/>
          <w:u w:val="single"/>
          <w:shd w:val="clear"/>
          <w:lang w:val="en-US" w:eastAsia="zh-CN" w:bidi="ar"/>
        </w:rPr>
        <w:t>合同价格包含灯组设计费(设计方案需满足发包人要求)、土建基础费、制作费、安装费、机械费、设备费 管理费、调试费、灯组包装及拆除费、运输费、二次搬运费及所有人员差旅费、税金等与之有关的所有费用;合同价格包含安装灯组所需的各类线缆、灯带等所有附件材料</w:t>
      </w:r>
      <w:r>
        <w:rPr>
          <w:rFonts w:hint="eastAsia" w:eastAsia="仿宋_GB2312" w:cs="仿宋_GB2312"/>
          <w:color w:val="auto"/>
          <w:kern w:val="2"/>
          <w:sz w:val="30"/>
          <w:szCs w:val="30"/>
          <w:highlight w:val="none"/>
          <w:shd w:val="clear"/>
          <w:lang w:val="en-US" w:eastAsia="zh-CN" w:bidi="ar"/>
        </w:rPr>
        <w:t>。</w:t>
      </w:r>
    </w:p>
    <w:p w14:paraId="1F00939C">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84" w:name="_Toc351203485"/>
      <w:bookmarkStart w:id="185" w:name="_Toc163768427"/>
      <w:bookmarkStart w:id="186" w:name="_Toc163768545"/>
      <w:r>
        <w:rPr>
          <w:rFonts w:hint="eastAsia" w:ascii="Times New Roman" w:hAnsi="Times New Roman" w:eastAsia="黑体" w:cs="Times New Roman"/>
          <w:b/>
          <w:bCs/>
          <w:color w:val="auto"/>
          <w:sz w:val="32"/>
          <w:szCs w:val="32"/>
          <w:highlight w:val="none"/>
          <w:lang w:val="en-US" w:eastAsia="zh-CN" w:bidi="en-US"/>
        </w:rPr>
        <w:t>五、</w:t>
      </w:r>
      <w:bookmarkEnd w:id="184"/>
      <w:r>
        <w:rPr>
          <w:rFonts w:hint="eastAsia" w:ascii="Times New Roman" w:hAnsi="Times New Roman" w:eastAsia="黑体" w:cs="Times New Roman"/>
          <w:b/>
          <w:bCs/>
          <w:color w:val="auto"/>
          <w:sz w:val="32"/>
          <w:szCs w:val="32"/>
          <w:highlight w:val="none"/>
          <w:lang w:val="en-US" w:eastAsia="zh-CN" w:bidi="en-US"/>
        </w:rPr>
        <w:t>项目经理</w:t>
      </w:r>
      <w:bookmarkEnd w:id="185"/>
      <w:bookmarkEnd w:id="186"/>
    </w:p>
    <w:p w14:paraId="443E0881">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承包人项目经理：</w:t>
      </w:r>
      <w:r>
        <w:rPr>
          <w:rFonts w:ascii="Times New Roman" w:hAnsi="Times New Roman" w:eastAsia="仿宋_GB2312" w:cs="Times New Roman"/>
          <w:color w:val="auto"/>
          <w:kern w:val="2"/>
          <w:sz w:val="30"/>
          <w:szCs w:val="30"/>
          <w:highlight w:val="none"/>
          <w:u w:val="single"/>
          <w:lang w:eastAsia="zh-CN" w:bidi="ar"/>
        </w:rPr>
        <w:t>                     </w:t>
      </w:r>
      <w:r>
        <w:rPr>
          <w:rFonts w:hint="eastAsia" w:ascii="Times New Roman" w:hAnsi="Times New Roman" w:eastAsia="仿宋_GB2312" w:cs="仿宋_GB2312"/>
          <w:color w:val="auto"/>
          <w:kern w:val="2"/>
          <w:sz w:val="30"/>
          <w:szCs w:val="30"/>
          <w:highlight w:val="none"/>
          <w:lang w:eastAsia="zh-CN" w:bidi="ar"/>
        </w:rPr>
        <w:t>。</w:t>
      </w:r>
    </w:p>
    <w:p w14:paraId="5A1E1CAD">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87" w:name="_Toc351203486"/>
      <w:bookmarkStart w:id="188" w:name="_Toc163768546"/>
      <w:bookmarkStart w:id="189" w:name="_Toc163768428"/>
      <w:r>
        <w:rPr>
          <w:rFonts w:hint="eastAsia" w:ascii="Times New Roman" w:hAnsi="Times New Roman" w:eastAsia="黑体" w:cs="Times New Roman"/>
          <w:b/>
          <w:bCs/>
          <w:color w:val="auto"/>
          <w:sz w:val="32"/>
          <w:szCs w:val="32"/>
          <w:highlight w:val="none"/>
          <w:lang w:val="en-US" w:eastAsia="zh-CN" w:bidi="en-US"/>
        </w:rPr>
        <w:t>六、合同文件构成</w:t>
      </w:r>
      <w:bookmarkEnd w:id="187"/>
      <w:bookmarkEnd w:id="188"/>
      <w:bookmarkEnd w:id="189"/>
    </w:p>
    <w:p w14:paraId="629C4915">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本协议书与下列文件一起构成合同文件：</w:t>
      </w:r>
    </w:p>
    <w:p w14:paraId="749136D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1</w:t>
      </w:r>
      <w:r>
        <w:rPr>
          <w:rFonts w:hint="eastAsia" w:ascii="Times New Roman" w:hAnsi="Times New Roman" w:eastAsia="仿宋_GB2312" w:cs="仿宋_GB2312"/>
          <w:color w:val="auto"/>
          <w:kern w:val="2"/>
          <w:sz w:val="30"/>
          <w:szCs w:val="30"/>
          <w:highlight w:val="none"/>
          <w:lang w:eastAsia="zh-CN" w:bidi="ar"/>
        </w:rPr>
        <w:t>）中标通知书（如果有）；</w:t>
      </w:r>
    </w:p>
    <w:p w14:paraId="33EFDE1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2</w:t>
      </w:r>
      <w:r>
        <w:rPr>
          <w:rFonts w:hint="eastAsia" w:ascii="Times New Roman" w:hAnsi="Times New Roman" w:eastAsia="仿宋_GB2312" w:cs="仿宋_GB2312"/>
          <w:color w:val="auto"/>
          <w:kern w:val="2"/>
          <w:sz w:val="30"/>
          <w:szCs w:val="30"/>
          <w:highlight w:val="none"/>
          <w:lang w:eastAsia="zh-CN" w:bidi="ar"/>
        </w:rPr>
        <w:t>）投标函及其附录（如果有）；</w:t>
      </w:r>
      <w:r>
        <w:rPr>
          <w:rFonts w:ascii="Times New Roman" w:hAnsi="Times New Roman" w:eastAsia="仿宋_GB2312" w:cs="Times New Roman"/>
          <w:color w:val="auto"/>
          <w:kern w:val="2"/>
          <w:sz w:val="30"/>
          <w:szCs w:val="30"/>
          <w:highlight w:val="none"/>
          <w:lang w:eastAsia="zh-CN" w:bidi="ar"/>
        </w:rPr>
        <w:t xml:space="preserve"> </w:t>
      </w:r>
    </w:p>
    <w:p w14:paraId="7A1D406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3</w:t>
      </w:r>
      <w:r>
        <w:rPr>
          <w:rFonts w:hint="eastAsia" w:ascii="Times New Roman" w:hAnsi="Times New Roman" w:eastAsia="仿宋_GB2312" w:cs="仿宋_GB2312"/>
          <w:color w:val="auto"/>
          <w:kern w:val="2"/>
          <w:sz w:val="30"/>
          <w:szCs w:val="30"/>
          <w:highlight w:val="none"/>
          <w:lang w:eastAsia="zh-CN" w:bidi="ar"/>
        </w:rPr>
        <w:t>）专用合同条款及其附件；</w:t>
      </w:r>
    </w:p>
    <w:p w14:paraId="1B4733C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4</w:t>
      </w:r>
      <w:r>
        <w:rPr>
          <w:rFonts w:hint="eastAsia" w:ascii="Times New Roman" w:hAnsi="Times New Roman" w:eastAsia="仿宋_GB2312" w:cs="仿宋_GB2312"/>
          <w:color w:val="auto"/>
          <w:kern w:val="2"/>
          <w:sz w:val="30"/>
          <w:szCs w:val="30"/>
          <w:highlight w:val="none"/>
          <w:lang w:eastAsia="zh-CN" w:bidi="ar"/>
        </w:rPr>
        <w:t>）通用合同条款；</w:t>
      </w:r>
    </w:p>
    <w:p w14:paraId="0802E07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5</w:t>
      </w:r>
      <w:r>
        <w:rPr>
          <w:rFonts w:hint="eastAsia" w:ascii="Times New Roman" w:hAnsi="Times New Roman" w:eastAsia="仿宋_GB2312" w:cs="仿宋_GB2312"/>
          <w:color w:val="auto"/>
          <w:kern w:val="2"/>
          <w:sz w:val="30"/>
          <w:szCs w:val="30"/>
          <w:highlight w:val="none"/>
          <w:lang w:eastAsia="zh-CN" w:bidi="ar"/>
        </w:rPr>
        <w:t>）技术标准和要求；</w:t>
      </w:r>
    </w:p>
    <w:p w14:paraId="5DF090E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6</w:t>
      </w:r>
      <w:r>
        <w:rPr>
          <w:rFonts w:hint="eastAsia" w:ascii="Times New Roman" w:hAnsi="Times New Roman" w:eastAsia="仿宋_GB2312" w:cs="仿宋_GB2312"/>
          <w:color w:val="auto"/>
          <w:kern w:val="2"/>
          <w:sz w:val="30"/>
          <w:szCs w:val="30"/>
          <w:highlight w:val="none"/>
          <w:lang w:eastAsia="zh-CN" w:bidi="ar"/>
        </w:rPr>
        <w:t>）图纸；</w:t>
      </w:r>
    </w:p>
    <w:p w14:paraId="490181A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7</w:t>
      </w:r>
      <w:r>
        <w:rPr>
          <w:rFonts w:hint="eastAsia" w:ascii="Times New Roman" w:hAnsi="Times New Roman" w:eastAsia="仿宋_GB2312" w:cs="仿宋_GB2312"/>
          <w:color w:val="auto"/>
          <w:kern w:val="2"/>
          <w:sz w:val="30"/>
          <w:szCs w:val="30"/>
          <w:highlight w:val="none"/>
          <w:lang w:eastAsia="zh-CN" w:bidi="ar"/>
        </w:rPr>
        <w:t>）已标价工程量清单或预算书；</w:t>
      </w:r>
    </w:p>
    <w:p w14:paraId="3422B22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lang w:eastAsia="zh-CN" w:bidi="ar"/>
        </w:rPr>
        <w:t>8</w:t>
      </w:r>
      <w:r>
        <w:rPr>
          <w:rFonts w:hint="eastAsia" w:ascii="Times New Roman" w:hAnsi="Times New Roman" w:eastAsia="仿宋_GB2312" w:cs="仿宋_GB2312"/>
          <w:color w:val="auto"/>
          <w:kern w:val="2"/>
          <w:sz w:val="30"/>
          <w:szCs w:val="30"/>
          <w:highlight w:val="none"/>
          <w:lang w:eastAsia="zh-CN" w:bidi="ar"/>
        </w:rPr>
        <w:t>）其他合同文件。</w:t>
      </w:r>
    </w:p>
    <w:p w14:paraId="508B986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在合同订立及履行过程中形成的与合同有关的文件均构成合同文件组成部分。</w:t>
      </w:r>
    </w:p>
    <w:p w14:paraId="2565D67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上述各项合同文件包括合同当事人就该项合同文件所作出的补充和修改，属于同一类内容的文件，应以最新签署的为准。专用合同条款及其附件须经合同当事人签字或盖章。</w:t>
      </w:r>
    </w:p>
    <w:p w14:paraId="5ACA5E52">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90" w:name="_Toc351203487"/>
      <w:bookmarkStart w:id="191" w:name="_Toc163768547"/>
      <w:bookmarkStart w:id="192" w:name="_Toc163768429"/>
      <w:r>
        <w:rPr>
          <w:rFonts w:hint="eastAsia" w:ascii="Times New Roman" w:hAnsi="Times New Roman" w:eastAsia="黑体" w:cs="Times New Roman"/>
          <w:b/>
          <w:bCs/>
          <w:color w:val="auto"/>
          <w:sz w:val="32"/>
          <w:szCs w:val="32"/>
          <w:highlight w:val="none"/>
          <w:lang w:val="en-US" w:eastAsia="zh-CN" w:bidi="en-US"/>
        </w:rPr>
        <w:t>七、承诺</w:t>
      </w:r>
      <w:bookmarkEnd w:id="190"/>
      <w:bookmarkEnd w:id="191"/>
      <w:bookmarkEnd w:id="192"/>
    </w:p>
    <w:p w14:paraId="2744DB0B">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1.</w:t>
      </w:r>
      <w:r>
        <w:rPr>
          <w:rFonts w:hint="eastAsia" w:ascii="Times New Roman" w:hAnsi="Times New Roman" w:eastAsia="仿宋_GB2312" w:cs="仿宋_GB2312"/>
          <w:bCs/>
          <w:color w:val="auto"/>
          <w:kern w:val="2"/>
          <w:sz w:val="30"/>
          <w:szCs w:val="30"/>
          <w:highlight w:val="none"/>
          <w:lang w:eastAsia="zh-CN" w:bidi="ar"/>
        </w:rPr>
        <w:t>发包人承诺按照法律规定履行项目审批手续、筹集工程建设资金并按照合同约定的期限和方式支付合同价款。</w:t>
      </w:r>
    </w:p>
    <w:p w14:paraId="2CC2DDCB">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2.</w:t>
      </w:r>
      <w:r>
        <w:rPr>
          <w:rFonts w:hint="eastAsia" w:ascii="Times New Roman" w:hAnsi="Times New Roman" w:eastAsia="仿宋_GB2312" w:cs="仿宋_GB2312"/>
          <w:bCs/>
          <w:color w:val="auto"/>
          <w:kern w:val="2"/>
          <w:sz w:val="30"/>
          <w:szCs w:val="30"/>
          <w:highlight w:val="none"/>
          <w:lang w:eastAsia="zh-CN" w:bidi="ar"/>
        </w:rPr>
        <w:t>承包人承诺按照法律规定及合同约定组织完成工程施工，确保工程质量和安全，不进行转包及违法分包，并在缺陷责任期及保修期内承担相应的工程维修责任。</w:t>
      </w:r>
    </w:p>
    <w:p w14:paraId="5C68B542">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ascii="Times New Roman" w:hAnsi="Times New Roman" w:eastAsia="仿宋_GB2312" w:cs="Times New Roman"/>
          <w:bCs/>
          <w:color w:val="auto"/>
          <w:kern w:val="2"/>
          <w:sz w:val="30"/>
          <w:szCs w:val="30"/>
          <w:highlight w:val="none"/>
          <w:lang w:eastAsia="zh-CN" w:bidi="ar"/>
        </w:rPr>
        <w:t>3.</w:t>
      </w:r>
      <w:r>
        <w:rPr>
          <w:rFonts w:hint="eastAsia" w:ascii="Times New Roman" w:hAnsi="Times New Roman" w:eastAsia="仿宋_GB2312" w:cs="仿宋_GB2312"/>
          <w:bCs/>
          <w:color w:val="auto"/>
          <w:kern w:val="2"/>
          <w:sz w:val="30"/>
          <w:szCs w:val="30"/>
          <w:highlight w:val="none"/>
          <w:lang w:eastAsia="zh-CN" w:bidi="ar"/>
        </w:rPr>
        <w:t>发包人和承包人通过招投标形式签订合同的，双方理解并承诺不再就同一工程另行签订与合同实质性内容相背离的协议。</w:t>
      </w:r>
    </w:p>
    <w:p w14:paraId="67CE42F2">
      <w:pPr>
        <w:shd w:val="clear"/>
        <w:spacing w:line="360" w:lineRule="auto"/>
        <w:jc w:val="both"/>
        <w:outlineLvl w:val="2"/>
        <w:rPr>
          <w:rFonts w:ascii="Times New Roman" w:hAnsi="Times New Roman" w:eastAsia="黑体" w:cs="Times New Roman"/>
          <w:bCs/>
          <w:color w:val="auto"/>
          <w:kern w:val="0"/>
          <w:sz w:val="32"/>
          <w:szCs w:val="32"/>
          <w:highlight w:val="none"/>
          <w:lang w:eastAsia="zh-CN" w:bidi="en-US"/>
        </w:rPr>
      </w:pPr>
      <w:bookmarkStart w:id="193" w:name="_Toc351203488"/>
      <w:bookmarkStart w:id="194" w:name="_Toc163768548"/>
      <w:bookmarkStart w:id="195" w:name="_Toc163768430"/>
      <w:r>
        <w:rPr>
          <w:rFonts w:hint="eastAsia" w:ascii="Times New Roman" w:hAnsi="Times New Roman" w:eastAsia="黑体" w:cs="黑体"/>
          <w:b/>
          <w:color w:val="auto"/>
          <w:kern w:val="2"/>
          <w:sz w:val="32"/>
          <w:szCs w:val="32"/>
          <w:highlight w:val="none"/>
          <w:lang w:eastAsia="zh-CN" w:bidi="ar"/>
        </w:rPr>
        <w:t>八、词语含义</w:t>
      </w:r>
      <w:bookmarkEnd w:id="193"/>
      <w:bookmarkEnd w:id="194"/>
      <w:bookmarkEnd w:id="195"/>
    </w:p>
    <w:p w14:paraId="6C9ABF95">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本协议书中词语含义与第二部分通用合同条款中赋予的含义相同。</w:t>
      </w:r>
    </w:p>
    <w:p w14:paraId="0F83A0C6">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96" w:name="_Toc351203489"/>
      <w:bookmarkStart w:id="197" w:name="_Toc163768549"/>
      <w:bookmarkStart w:id="198" w:name="_Toc163768431"/>
      <w:r>
        <w:rPr>
          <w:rFonts w:hint="eastAsia" w:ascii="Times New Roman" w:hAnsi="Times New Roman" w:eastAsia="黑体" w:cs="Times New Roman"/>
          <w:b/>
          <w:bCs/>
          <w:color w:val="auto"/>
          <w:sz w:val="32"/>
          <w:szCs w:val="32"/>
          <w:highlight w:val="none"/>
          <w:lang w:val="en-US" w:eastAsia="zh-CN" w:bidi="en-US"/>
        </w:rPr>
        <w:t>九、签订时间</w:t>
      </w:r>
      <w:bookmarkEnd w:id="196"/>
      <w:bookmarkEnd w:id="197"/>
      <w:bookmarkEnd w:id="198"/>
    </w:p>
    <w:p w14:paraId="450FA1A3">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本合同于</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年</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月</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日签订。</w:t>
      </w:r>
    </w:p>
    <w:p w14:paraId="22D2FF4A">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99" w:name="_Toc163768550"/>
      <w:bookmarkStart w:id="200" w:name="_Toc163768432"/>
      <w:bookmarkStart w:id="201" w:name="_Toc351203490"/>
      <w:r>
        <w:rPr>
          <w:rFonts w:hint="eastAsia" w:ascii="Times New Roman" w:hAnsi="Times New Roman" w:eastAsia="黑体" w:cs="Times New Roman"/>
          <w:b/>
          <w:bCs/>
          <w:color w:val="auto"/>
          <w:sz w:val="32"/>
          <w:szCs w:val="32"/>
          <w:highlight w:val="none"/>
          <w:lang w:val="en-US" w:eastAsia="zh-CN" w:bidi="en-US"/>
        </w:rPr>
        <w:t>十、签订地点</w:t>
      </w:r>
      <w:bookmarkEnd w:id="199"/>
      <w:bookmarkEnd w:id="200"/>
      <w:bookmarkEnd w:id="201"/>
    </w:p>
    <w:p w14:paraId="07D18C79">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本合同在</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签订。</w:t>
      </w:r>
    </w:p>
    <w:p w14:paraId="0E90E82A">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202" w:name="_Toc163768433"/>
      <w:bookmarkStart w:id="203" w:name="_Toc163768551"/>
      <w:bookmarkStart w:id="204" w:name="_Toc351203491"/>
      <w:r>
        <w:rPr>
          <w:rFonts w:hint="eastAsia" w:ascii="Times New Roman" w:hAnsi="Times New Roman" w:eastAsia="黑体" w:cs="Times New Roman"/>
          <w:b/>
          <w:bCs/>
          <w:color w:val="auto"/>
          <w:sz w:val="32"/>
          <w:szCs w:val="32"/>
          <w:highlight w:val="none"/>
          <w:lang w:val="en-US" w:eastAsia="zh-CN" w:bidi="en-US"/>
        </w:rPr>
        <w:t>十一、补充协议</w:t>
      </w:r>
      <w:bookmarkEnd w:id="202"/>
      <w:bookmarkEnd w:id="203"/>
      <w:bookmarkEnd w:id="204"/>
    </w:p>
    <w:p w14:paraId="0518B144">
      <w:pPr>
        <w:shd w:val="clear"/>
        <w:spacing w:line="360" w:lineRule="auto"/>
        <w:ind w:firstLine="600" w:firstLineChars="200"/>
        <w:jc w:val="both"/>
        <w:rPr>
          <w:rFonts w:ascii="Times New Roman" w:hAnsi="Times New Roman" w:eastAsia="仿宋_GB2312" w:cs="Times New Roman"/>
          <w:b/>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合同未尽事宜，合同当事人另行签订补充协议，补充协议是合同的组成部分。</w:t>
      </w:r>
    </w:p>
    <w:p w14:paraId="74B009E0">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en-US" w:bidi="en-US"/>
        </w:rPr>
      </w:pPr>
      <w:bookmarkStart w:id="205" w:name="_Toc351203492"/>
      <w:bookmarkStart w:id="206" w:name="_Toc163768552"/>
      <w:bookmarkStart w:id="207" w:name="_Toc163768434"/>
      <w:r>
        <w:rPr>
          <w:rFonts w:hint="eastAsia" w:ascii="Times New Roman" w:hAnsi="Times New Roman" w:eastAsia="黑体" w:cs="Times New Roman"/>
          <w:b/>
          <w:bCs/>
          <w:color w:val="auto"/>
          <w:sz w:val="32"/>
          <w:szCs w:val="32"/>
          <w:highlight w:val="none"/>
          <w:lang w:val="en-US" w:eastAsia="zh-CN" w:bidi="en-US"/>
        </w:rPr>
        <w:t>十二、合同生效</w:t>
      </w:r>
      <w:bookmarkEnd w:id="205"/>
      <w:bookmarkEnd w:id="206"/>
      <w:bookmarkEnd w:id="207"/>
    </w:p>
    <w:p w14:paraId="14C1E368">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en-US" w:bidi="en-US"/>
        </w:rPr>
      </w:pPr>
      <w:r>
        <w:rPr>
          <w:rFonts w:hint="eastAsia" w:ascii="Times New Roman" w:hAnsi="Times New Roman" w:eastAsia="仿宋_GB2312" w:cs="仿宋_GB2312"/>
          <w:bCs/>
          <w:color w:val="auto"/>
          <w:kern w:val="2"/>
          <w:sz w:val="30"/>
          <w:szCs w:val="30"/>
          <w:highlight w:val="none"/>
          <w:lang w:eastAsia="zh-CN" w:bidi="ar"/>
        </w:rPr>
        <w:t>本合同自</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生效。</w:t>
      </w:r>
    </w:p>
    <w:p w14:paraId="33129021">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208" w:name="_Toc163768435"/>
      <w:bookmarkStart w:id="209" w:name="_Toc163768553"/>
      <w:bookmarkStart w:id="210" w:name="_Toc351203493"/>
      <w:r>
        <w:rPr>
          <w:rFonts w:hint="eastAsia" w:ascii="Times New Roman" w:hAnsi="Times New Roman" w:eastAsia="黑体" w:cs="Times New Roman"/>
          <w:b/>
          <w:bCs/>
          <w:color w:val="auto"/>
          <w:sz w:val="32"/>
          <w:szCs w:val="32"/>
          <w:highlight w:val="none"/>
          <w:lang w:val="en-US" w:eastAsia="zh-CN" w:bidi="en-US"/>
        </w:rPr>
        <w:t>十三、合同份数</w:t>
      </w:r>
      <w:bookmarkEnd w:id="208"/>
      <w:bookmarkEnd w:id="209"/>
      <w:bookmarkEnd w:id="210"/>
    </w:p>
    <w:p w14:paraId="1D23EF97">
      <w:pPr>
        <w:shd w:val="clear"/>
        <w:spacing w:line="360" w:lineRule="auto"/>
        <w:ind w:firstLine="600" w:firstLineChars="200"/>
        <w:jc w:val="both"/>
        <w:rPr>
          <w:rFonts w:ascii="Times New Roman" w:hAnsi="Times New Roman" w:eastAsia="仿宋_GB2312" w:cs="Times New Roman"/>
          <w:bCs/>
          <w:color w:val="auto"/>
          <w:kern w:val="0"/>
          <w:sz w:val="30"/>
          <w:szCs w:val="30"/>
          <w:highlight w:val="none"/>
          <w:lang w:eastAsia="zh-CN" w:bidi="en-US"/>
        </w:rPr>
      </w:pPr>
      <w:r>
        <w:rPr>
          <w:rFonts w:hint="eastAsia" w:ascii="Times New Roman" w:hAnsi="Times New Roman" w:eastAsia="仿宋_GB2312" w:cs="仿宋_GB2312"/>
          <w:bCs/>
          <w:color w:val="auto"/>
          <w:kern w:val="2"/>
          <w:sz w:val="30"/>
          <w:szCs w:val="30"/>
          <w:highlight w:val="none"/>
          <w:lang w:eastAsia="zh-CN" w:bidi="ar"/>
        </w:rPr>
        <w:t>本合同一式</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份，均具有同等法律效力，发包人执</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份，承包人执</w:t>
      </w:r>
      <w:r>
        <w:rPr>
          <w:rFonts w:ascii="Times New Roman" w:hAnsi="Times New Roman" w:eastAsia="仿宋_GB2312" w:cs="Times New Roman"/>
          <w:bCs/>
          <w:color w:val="auto"/>
          <w:kern w:val="2"/>
          <w:sz w:val="30"/>
          <w:szCs w:val="30"/>
          <w:highlight w:val="none"/>
          <w:u w:val="single"/>
          <w:lang w:eastAsia="zh-CN" w:bidi="ar"/>
        </w:rPr>
        <w:t xml:space="preserve">    </w:t>
      </w:r>
      <w:r>
        <w:rPr>
          <w:rFonts w:hint="eastAsia" w:ascii="Times New Roman" w:hAnsi="Times New Roman" w:eastAsia="仿宋_GB2312" w:cs="仿宋_GB2312"/>
          <w:bCs/>
          <w:color w:val="auto"/>
          <w:kern w:val="2"/>
          <w:sz w:val="30"/>
          <w:szCs w:val="30"/>
          <w:highlight w:val="none"/>
          <w:lang w:eastAsia="zh-CN" w:bidi="ar"/>
        </w:rPr>
        <w:t>份。</w:t>
      </w:r>
    </w:p>
    <w:p w14:paraId="7A7A348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发包人：</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公章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承包人：</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公章</w:t>
      </w:r>
      <w:r>
        <w:rPr>
          <w:rFonts w:ascii="Times New Roman" w:hAnsi="Times New Roman" w:eastAsia="仿宋_GB2312" w:cs="Times New Roman"/>
          <w:color w:val="auto"/>
          <w:kern w:val="2"/>
          <w:sz w:val="30"/>
          <w:szCs w:val="30"/>
          <w:highlight w:val="none"/>
          <w:lang w:eastAsia="zh-CN" w:bidi="ar"/>
        </w:rPr>
        <w:t>)</w:t>
      </w:r>
    </w:p>
    <w:p w14:paraId="4ECDEF4B">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r>
        <w:rPr>
          <w:rFonts w:ascii="Times New Roman" w:hAnsi="Times New Roman" w:eastAsia="仿宋_GB2312" w:cs="Times New Roman"/>
          <w:color w:val="auto"/>
          <w:kern w:val="2"/>
          <w:sz w:val="30"/>
          <w:szCs w:val="30"/>
          <w:highlight w:val="none"/>
          <w:lang w:eastAsia="zh-CN" w:bidi="ar"/>
        </w:rPr>
        <w:t xml:space="preserve">                                 </w:t>
      </w:r>
    </w:p>
    <w:p w14:paraId="193471D4">
      <w:pPr>
        <w:shd w:val="clear"/>
        <w:spacing w:line="360" w:lineRule="auto"/>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法定代表人或其委托代理人：</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法定代表人或其委托代理人：</w:t>
      </w:r>
    </w:p>
    <w:p w14:paraId="488E733D">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（签字）</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（签字）</w:t>
      </w:r>
    </w:p>
    <w:p w14:paraId="35BEF179">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p>
    <w:p w14:paraId="7C108FD3">
      <w:pPr>
        <w:shd w:val="clear"/>
        <w:tabs>
          <w:tab w:val="left" w:pos="4410"/>
        </w:tabs>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组织机构代码：</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组织机构代码：</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p>
    <w:p w14:paraId="1473E0DE">
      <w:pPr>
        <w:shd w:val="clear"/>
        <w:spacing w:line="360" w:lineRule="auto"/>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       </w:t>
      </w:r>
    </w:p>
    <w:p w14:paraId="1D7FCC0B">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w:t>
      </w:r>
    </w:p>
    <w:p w14:paraId="4B25CE5D">
      <w:pPr>
        <w:shd w:val="clear"/>
        <w:spacing w:line="360" w:lineRule="auto"/>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法定代表人：</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法定代表人：</w:t>
      </w:r>
      <w:r>
        <w:rPr>
          <w:rFonts w:ascii="Times New Roman" w:hAnsi="Times New Roman" w:eastAsia="仿宋_GB2312" w:cs="Times New Roman"/>
          <w:color w:val="auto"/>
          <w:kern w:val="2"/>
          <w:sz w:val="30"/>
          <w:szCs w:val="30"/>
          <w:highlight w:val="none"/>
          <w:u w:val="single"/>
          <w:lang w:eastAsia="zh-CN" w:bidi="ar"/>
        </w:rPr>
        <w:t xml:space="preserve">             </w:t>
      </w:r>
    </w:p>
    <w:p w14:paraId="441ABD06">
      <w:pPr>
        <w:shd w:val="clear"/>
        <w:spacing w:line="360" w:lineRule="auto"/>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委托代理人：</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委托代理人：</w:t>
      </w:r>
      <w:r>
        <w:rPr>
          <w:rFonts w:ascii="Times New Roman" w:hAnsi="Times New Roman" w:eastAsia="仿宋_GB2312" w:cs="Times New Roman"/>
          <w:color w:val="auto"/>
          <w:kern w:val="2"/>
          <w:sz w:val="30"/>
          <w:szCs w:val="30"/>
          <w:highlight w:val="none"/>
          <w:u w:val="single"/>
          <w:lang w:eastAsia="zh-CN" w:bidi="ar"/>
        </w:rPr>
        <w:t xml:space="preserve">             </w:t>
      </w:r>
    </w:p>
    <w:p w14:paraId="796C142A">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 xml:space="preserve">     </w:t>
      </w:r>
    </w:p>
    <w:p w14:paraId="4FDF23CC">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   </w:t>
      </w:r>
    </w:p>
    <w:p w14:paraId="3436751A">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电子信箱：</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电子信箱：</w:t>
      </w:r>
      <w:r>
        <w:rPr>
          <w:rFonts w:ascii="Times New Roman" w:hAnsi="Times New Roman" w:eastAsia="仿宋_GB2312" w:cs="Times New Roman"/>
          <w:color w:val="auto"/>
          <w:kern w:val="2"/>
          <w:sz w:val="30"/>
          <w:szCs w:val="30"/>
          <w:highlight w:val="none"/>
          <w:u w:val="single"/>
          <w:lang w:eastAsia="zh-CN" w:bidi="ar"/>
        </w:rPr>
        <w:t xml:space="preserve">   </w:t>
      </w:r>
    </w:p>
    <w:p w14:paraId="1F7216D8">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开户银行：</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开户银行：</w:t>
      </w:r>
      <w:r>
        <w:rPr>
          <w:rFonts w:ascii="Times New Roman" w:hAnsi="Times New Roman" w:eastAsia="仿宋_GB2312" w:cs="Times New Roman"/>
          <w:color w:val="auto"/>
          <w:kern w:val="2"/>
          <w:sz w:val="30"/>
          <w:szCs w:val="30"/>
          <w:highlight w:val="none"/>
          <w:u w:val="single"/>
          <w:lang w:eastAsia="zh-CN" w:bidi="ar"/>
        </w:rPr>
        <w:t xml:space="preserve">   </w:t>
      </w:r>
    </w:p>
    <w:p w14:paraId="21F071D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账</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号：</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账</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号：</w:t>
      </w:r>
      <w:r>
        <w:rPr>
          <w:rFonts w:ascii="Times New Roman" w:hAnsi="Times New Roman" w:eastAsia="仿宋_GB2312" w:cs="Times New Roman"/>
          <w:color w:val="auto"/>
          <w:kern w:val="2"/>
          <w:sz w:val="30"/>
          <w:szCs w:val="30"/>
          <w:highlight w:val="none"/>
          <w:u w:val="single"/>
          <w:lang w:eastAsia="zh-CN" w:bidi="ar"/>
        </w:rPr>
        <w:t xml:space="preserve">     </w:t>
      </w:r>
    </w:p>
    <w:p w14:paraId="05C9B973">
      <w:pPr>
        <w:widowControl/>
        <w:shd w:val="clear"/>
        <w:tabs>
          <w:tab w:val="left" w:pos="540"/>
        </w:tabs>
        <w:adjustRightInd w:val="0"/>
        <w:snapToGrid w:val="0"/>
        <w:spacing w:line="360" w:lineRule="auto"/>
        <w:jc w:val="center"/>
        <w:outlineLvl w:val="1"/>
        <w:rPr>
          <w:rFonts w:ascii="华文中宋" w:hAnsi="华文中宋" w:eastAsia="华文中宋" w:cs="华文中宋"/>
          <w:b/>
          <w:color w:val="auto"/>
          <w:sz w:val="44"/>
          <w:szCs w:val="44"/>
          <w:highlight w:val="none"/>
          <w:lang w:val="en-US" w:eastAsia="zh-CN" w:bidi="en-US"/>
        </w:rPr>
      </w:pPr>
      <w:r>
        <w:rPr>
          <w:rFonts w:ascii="Calibri" w:hAnsi="Calibri" w:eastAsia="仿宋_GB2312" w:cs="Times New Roman"/>
          <w:b/>
          <w:bCs/>
          <w:color w:val="auto"/>
          <w:kern w:val="2"/>
          <w:sz w:val="32"/>
          <w:szCs w:val="32"/>
          <w:highlight w:val="none"/>
          <w:lang w:val="en-US" w:eastAsia="zh-CN" w:bidi="ar"/>
        </w:rPr>
        <w:br w:type="page"/>
      </w:r>
      <w:bookmarkStart w:id="211" w:name="_Toc351203494"/>
      <w:bookmarkStart w:id="212" w:name="_Toc163768554"/>
      <w:bookmarkStart w:id="213" w:name="_Toc13329"/>
      <w:bookmarkStart w:id="214" w:name="_Toc163768436"/>
      <w:r>
        <w:rPr>
          <w:rFonts w:hint="eastAsia" w:ascii="华文中宋" w:hAnsi="华文中宋" w:eastAsia="华文中宋" w:cs="华文中宋"/>
          <w:b/>
          <w:color w:val="auto"/>
          <w:sz w:val="44"/>
          <w:szCs w:val="44"/>
          <w:highlight w:val="none"/>
          <w:lang w:val="en-US" w:eastAsia="zh-CN" w:bidi="en-US"/>
        </w:rPr>
        <w:t>第二部分 通用合同条款</w:t>
      </w:r>
      <w:bookmarkEnd w:id="211"/>
      <w:bookmarkEnd w:id="212"/>
      <w:bookmarkEnd w:id="213"/>
      <w:bookmarkEnd w:id="214"/>
      <w:bookmarkStart w:id="215" w:name="_Toc337558727"/>
    </w:p>
    <w:p w14:paraId="17621F20">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216" w:name="_Toc351203495"/>
      <w:bookmarkStart w:id="217" w:name="_Toc163768555"/>
      <w:bookmarkStart w:id="218" w:name="_Toc163768437"/>
      <w:r>
        <w:rPr>
          <w:rFonts w:ascii="Times New Roman" w:hAnsi="Times New Roman" w:eastAsia="黑体" w:cs="Times New Roman"/>
          <w:b/>
          <w:bCs/>
          <w:color w:val="auto"/>
          <w:sz w:val="32"/>
          <w:szCs w:val="32"/>
          <w:highlight w:val="none"/>
          <w:lang w:val="en-US" w:eastAsia="zh-CN" w:bidi="en-US"/>
        </w:rPr>
        <w:t>1.</w:t>
      </w:r>
      <w:bookmarkStart w:id="219" w:name="_Toc303538976"/>
      <w:bookmarkEnd w:id="219"/>
      <w:bookmarkStart w:id="220" w:name="_Toc303538973"/>
      <w:bookmarkEnd w:id="220"/>
      <w:bookmarkStart w:id="221" w:name="_Toc303538972"/>
      <w:bookmarkEnd w:id="221"/>
      <w:bookmarkStart w:id="222" w:name="_Toc303538974"/>
      <w:bookmarkEnd w:id="222"/>
      <w:bookmarkStart w:id="223" w:name="_Toc303538975"/>
      <w:bookmarkEnd w:id="223"/>
      <w:bookmarkStart w:id="224" w:name="_Toc296346528"/>
      <w:bookmarkStart w:id="225" w:name="_Toc296503027"/>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一般约定</w:t>
      </w:r>
      <w:bookmarkEnd w:id="215"/>
      <w:bookmarkEnd w:id="216"/>
      <w:bookmarkEnd w:id="217"/>
      <w:bookmarkEnd w:id="218"/>
      <w:bookmarkEnd w:id="224"/>
      <w:bookmarkEnd w:id="225"/>
    </w:p>
    <w:p w14:paraId="39E921C8">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26" w:name="_Toc296503028"/>
      <w:bookmarkStart w:id="227" w:name="_Toc337558728"/>
      <w:bookmarkStart w:id="228" w:name="_Toc296346529"/>
      <w:bookmarkStart w:id="229" w:name="_Toc351203496"/>
      <w:r>
        <w:rPr>
          <w:rFonts w:ascii="Times New Roman" w:hAnsi="Times New Roman" w:eastAsia="黑体" w:cs="Times New Roman"/>
          <w:b w:val="0"/>
          <w:bCs/>
          <w:color w:val="auto"/>
          <w:kern w:val="2"/>
          <w:sz w:val="30"/>
          <w:szCs w:val="32"/>
          <w:highlight w:val="none"/>
          <w:lang w:val="en-US" w:eastAsia="zh-CN" w:bidi="ar-SA"/>
        </w:rPr>
        <w:t>1.1</w:t>
      </w:r>
      <w:r>
        <w:rPr>
          <w:rFonts w:hint="eastAsia" w:ascii="Times New Roman" w:hAnsi="Times New Roman" w:eastAsia="黑体" w:cs="黑体"/>
          <w:b w:val="0"/>
          <w:bCs/>
          <w:color w:val="auto"/>
          <w:kern w:val="2"/>
          <w:sz w:val="30"/>
          <w:szCs w:val="32"/>
          <w:highlight w:val="none"/>
          <w:lang w:val="en-US" w:eastAsia="zh-CN" w:bidi="ar-SA"/>
        </w:rPr>
        <w:t>词语定义</w:t>
      </w:r>
      <w:bookmarkEnd w:id="226"/>
      <w:bookmarkEnd w:id="227"/>
      <w:bookmarkEnd w:id="228"/>
      <w:r>
        <w:rPr>
          <w:rFonts w:hint="eastAsia" w:ascii="Times New Roman" w:hAnsi="Times New Roman" w:eastAsia="黑体" w:cs="黑体"/>
          <w:b w:val="0"/>
          <w:bCs/>
          <w:color w:val="auto"/>
          <w:kern w:val="2"/>
          <w:sz w:val="30"/>
          <w:szCs w:val="32"/>
          <w:highlight w:val="none"/>
          <w:lang w:val="en-US" w:eastAsia="zh-CN" w:bidi="ar-SA"/>
        </w:rPr>
        <w:t>与解释</w:t>
      </w:r>
      <w:bookmarkEnd w:id="229"/>
    </w:p>
    <w:p w14:paraId="260CC56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合同协议书、通用合同条款、专用合同条款中的下列词语具有本款所赋予的含义：</w:t>
      </w:r>
    </w:p>
    <w:p w14:paraId="000B0334">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1.1.1 </w:t>
      </w:r>
      <w:r>
        <w:rPr>
          <w:rFonts w:hint="eastAsia" w:ascii="Times New Roman" w:hAnsi="Times New Roman" w:eastAsia="仿宋_GB2312" w:cs="仿宋_GB2312"/>
          <w:color w:val="auto"/>
          <w:kern w:val="0"/>
          <w:sz w:val="30"/>
          <w:szCs w:val="32"/>
          <w:highlight w:val="none"/>
          <w:lang w:eastAsia="zh-CN" w:bidi="ar"/>
        </w:rPr>
        <w:t>合同</w:t>
      </w:r>
    </w:p>
    <w:p w14:paraId="4F070CD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0"/>
          <w:sz w:val="30"/>
          <w:szCs w:val="30"/>
          <w:highlight w:val="none"/>
          <w:lang w:eastAsia="zh-CN" w:bidi="ar"/>
        </w:rPr>
        <w:t xml:space="preserve">1.1.1.1 </w:t>
      </w:r>
      <w:r>
        <w:rPr>
          <w:rFonts w:hint="eastAsia" w:ascii="Times New Roman" w:hAnsi="Times New Roman" w:eastAsia="仿宋_GB2312" w:cs="仿宋_GB2312"/>
          <w:color w:val="auto"/>
          <w:kern w:val="0"/>
          <w:sz w:val="30"/>
          <w:szCs w:val="30"/>
          <w:highlight w:val="none"/>
          <w:lang w:eastAsia="zh-CN" w:bidi="ar"/>
        </w:rPr>
        <w:t>合同：是指根据法律规定和合同当事人约定具有约束力的文件，构成合同的文件包括合同协议书、中标通知书（如果有）、投标函及其附录（如果有）、专用合同条款</w:t>
      </w:r>
      <w:r>
        <w:rPr>
          <w:rFonts w:hint="eastAsia" w:ascii="Times New Roman" w:hAnsi="Times New Roman" w:eastAsia="仿宋_GB2312" w:cs="仿宋_GB2312"/>
          <w:color w:val="auto"/>
          <w:kern w:val="2"/>
          <w:sz w:val="30"/>
          <w:szCs w:val="30"/>
          <w:highlight w:val="none"/>
          <w:lang w:eastAsia="zh-CN" w:bidi="ar"/>
        </w:rPr>
        <w:t>及其附件</w:t>
      </w:r>
      <w:r>
        <w:rPr>
          <w:rFonts w:hint="eastAsia" w:ascii="Times New Roman" w:hAnsi="Times New Roman" w:eastAsia="仿宋_GB2312" w:cs="仿宋_GB2312"/>
          <w:color w:val="auto"/>
          <w:kern w:val="0"/>
          <w:sz w:val="30"/>
          <w:szCs w:val="30"/>
          <w:highlight w:val="none"/>
          <w:lang w:eastAsia="zh-CN" w:bidi="ar"/>
        </w:rPr>
        <w:t>、通用合同条款、技术标准和要求、图纸、已标价工程量清单或预算书以及其他合同文件。</w:t>
      </w:r>
    </w:p>
    <w:p w14:paraId="0771109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1.1.1.2 </w:t>
      </w:r>
      <w:r>
        <w:rPr>
          <w:rFonts w:hint="eastAsia" w:ascii="Times New Roman" w:hAnsi="Times New Roman" w:eastAsia="仿宋_GB2312" w:cs="仿宋_GB2312"/>
          <w:color w:val="auto"/>
          <w:kern w:val="0"/>
          <w:sz w:val="30"/>
          <w:szCs w:val="32"/>
          <w:highlight w:val="none"/>
          <w:lang w:eastAsia="zh-CN" w:bidi="ar"/>
        </w:rPr>
        <w:t>合同协议书：是指构成合同的由发包人和承包人共同签署的称为</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合同协议书</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的书面文件。</w:t>
      </w:r>
    </w:p>
    <w:p w14:paraId="21153A1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1.1.1.3 </w:t>
      </w:r>
      <w:r>
        <w:rPr>
          <w:rFonts w:hint="eastAsia" w:ascii="Times New Roman" w:hAnsi="Times New Roman" w:eastAsia="仿宋_GB2312" w:cs="仿宋_GB2312"/>
          <w:color w:val="auto"/>
          <w:kern w:val="0"/>
          <w:sz w:val="30"/>
          <w:szCs w:val="32"/>
          <w:highlight w:val="none"/>
          <w:lang w:eastAsia="zh-CN" w:bidi="ar"/>
        </w:rPr>
        <w:t>中标通知书：是指构成合同的由发包人通知承包人中标的书面文件。</w:t>
      </w:r>
    </w:p>
    <w:p w14:paraId="185F526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1.1.1.4 </w:t>
      </w:r>
      <w:r>
        <w:rPr>
          <w:rFonts w:hint="eastAsia" w:ascii="Times New Roman" w:hAnsi="Times New Roman" w:eastAsia="仿宋_GB2312" w:cs="仿宋_GB2312"/>
          <w:color w:val="auto"/>
          <w:kern w:val="0"/>
          <w:sz w:val="30"/>
          <w:szCs w:val="32"/>
          <w:highlight w:val="none"/>
          <w:lang w:eastAsia="zh-CN" w:bidi="ar"/>
        </w:rPr>
        <w:t>投标函：是指构成合同的由承包人填写并签署的用于投标的称为</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投标函</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的文件。</w:t>
      </w:r>
    </w:p>
    <w:p w14:paraId="7958742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1.1.1.5 </w:t>
      </w:r>
      <w:r>
        <w:rPr>
          <w:rFonts w:hint="eastAsia" w:ascii="Times New Roman" w:hAnsi="Times New Roman" w:eastAsia="仿宋_GB2312" w:cs="仿宋_GB2312"/>
          <w:color w:val="auto"/>
          <w:kern w:val="0"/>
          <w:sz w:val="30"/>
          <w:szCs w:val="32"/>
          <w:highlight w:val="none"/>
          <w:lang w:eastAsia="zh-CN" w:bidi="ar"/>
        </w:rPr>
        <w:t>投标函附录：是指构成合同的附在投标函后的称为</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投标函附录</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的文件。</w:t>
      </w:r>
    </w:p>
    <w:p w14:paraId="5A514BA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1.1.1.6 </w:t>
      </w:r>
      <w:r>
        <w:rPr>
          <w:rFonts w:hint="eastAsia" w:ascii="Times New Roman" w:hAnsi="Times New Roman" w:eastAsia="仿宋_GB2312" w:cs="仿宋_GB2312"/>
          <w:color w:val="auto"/>
          <w:kern w:val="0"/>
          <w:sz w:val="30"/>
          <w:szCs w:val="32"/>
          <w:highlight w:val="none"/>
          <w:lang w:eastAsia="zh-CN" w:bidi="ar"/>
        </w:rPr>
        <w:t>技术标准和要求：是指构成合同的施工应当遵守的或指导施工的国家、行业或地方的技术标准和要求，以及合同约定的技术标准和要求。</w:t>
      </w:r>
    </w:p>
    <w:p w14:paraId="3D96C98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1.1.1.7 </w:t>
      </w:r>
      <w:r>
        <w:rPr>
          <w:rFonts w:hint="eastAsia" w:ascii="Times New Roman" w:hAnsi="Times New Roman" w:eastAsia="仿宋_GB2312" w:cs="仿宋_GB2312"/>
          <w:color w:val="auto"/>
          <w:kern w:val="0"/>
          <w:sz w:val="30"/>
          <w:szCs w:val="32"/>
          <w:highlight w:val="none"/>
          <w:lang w:eastAsia="zh-CN" w:bidi="ar"/>
        </w:rPr>
        <w:t>图纸：是指构成合同的图纸，包括由发包人按照合同约定提供或经发包人批准的设计文件、施工图、鸟瞰图及模型等，以及在合同履行过程中形成的图纸文件。图纸应当按照法律规定审查合格。</w:t>
      </w:r>
    </w:p>
    <w:p w14:paraId="2B12E680">
      <w:pPr>
        <w:shd w:val="clear"/>
        <w:autoSpaceDE w:val="0"/>
        <w:autoSpaceDN w:val="0"/>
        <w:adjustRightInd w:val="0"/>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1.1.1.8 </w:t>
      </w:r>
      <w:r>
        <w:rPr>
          <w:rFonts w:hint="eastAsia" w:ascii="Times New Roman" w:hAnsi="Times New Roman" w:eastAsia="仿宋_GB2312" w:cs="仿宋_GB2312"/>
          <w:color w:val="auto"/>
          <w:kern w:val="0"/>
          <w:sz w:val="30"/>
          <w:szCs w:val="32"/>
          <w:highlight w:val="none"/>
          <w:lang w:eastAsia="zh-CN" w:bidi="ar"/>
        </w:rPr>
        <w:t>已标价工程量清单：是指构成合同的由承包人按照规定的格式和要求填写并标明价格的工程量清单，包括说明和表格。</w:t>
      </w:r>
    </w:p>
    <w:p w14:paraId="0957FCC3">
      <w:pPr>
        <w:shd w:val="clear"/>
        <w:autoSpaceDE w:val="0"/>
        <w:autoSpaceDN w:val="0"/>
        <w:adjustRightInd w:val="0"/>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1.1.1.9 </w:t>
      </w:r>
      <w:r>
        <w:rPr>
          <w:rFonts w:hint="eastAsia" w:ascii="Times New Roman" w:hAnsi="Times New Roman" w:eastAsia="仿宋_GB2312" w:cs="仿宋_GB2312"/>
          <w:color w:val="auto"/>
          <w:kern w:val="0"/>
          <w:sz w:val="30"/>
          <w:szCs w:val="32"/>
          <w:highlight w:val="none"/>
          <w:lang w:eastAsia="zh-CN" w:bidi="ar"/>
        </w:rPr>
        <w:t>预算书：是指构成合同的由承包人按照发包人规定的格式和要求编制的工程预算文件。</w:t>
      </w:r>
    </w:p>
    <w:p w14:paraId="1E4BE2C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1.1.1.10 </w:t>
      </w:r>
      <w:r>
        <w:rPr>
          <w:rFonts w:hint="eastAsia" w:ascii="Times New Roman" w:hAnsi="Times New Roman" w:eastAsia="仿宋_GB2312" w:cs="仿宋_GB2312"/>
          <w:color w:val="auto"/>
          <w:kern w:val="0"/>
          <w:sz w:val="30"/>
          <w:szCs w:val="32"/>
          <w:highlight w:val="none"/>
          <w:lang w:eastAsia="zh-CN" w:bidi="ar"/>
        </w:rPr>
        <w:t>其他合同文件：是指经合同当事人约定的与工程施工有关的具有合同约束力的文件或书面协议。合同当事人可以在专用合同条款中进行约定。</w:t>
      </w:r>
    </w:p>
    <w:p w14:paraId="7612E2E0">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1.1.2 </w:t>
      </w:r>
      <w:r>
        <w:rPr>
          <w:rFonts w:hint="eastAsia" w:ascii="Times New Roman" w:hAnsi="Times New Roman" w:eastAsia="仿宋_GB2312" w:cs="仿宋_GB2312"/>
          <w:color w:val="auto"/>
          <w:kern w:val="0"/>
          <w:sz w:val="30"/>
          <w:szCs w:val="32"/>
          <w:highlight w:val="none"/>
          <w:lang w:eastAsia="zh-CN" w:bidi="ar"/>
        </w:rPr>
        <w:t>合同当事人及其他相关方</w:t>
      </w:r>
    </w:p>
    <w:p w14:paraId="1801BF3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1.1.2.1 </w:t>
      </w:r>
      <w:r>
        <w:rPr>
          <w:rFonts w:hint="eastAsia" w:ascii="Times New Roman" w:hAnsi="Times New Roman" w:eastAsia="仿宋_GB2312" w:cs="仿宋_GB2312"/>
          <w:color w:val="auto"/>
          <w:kern w:val="0"/>
          <w:sz w:val="30"/>
          <w:szCs w:val="32"/>
          <w:highlight w:val="none"/>
          <w:lang w:eastAsia="zh-CN" w:bidi="ar"/>
        </w:rPr>
        <w:t>合同当事人：是指发包人和（或）承包人。</w:t>
      </w:r>
    </w:p>
    <w:p w14:paraId="30C948E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1.1.2.2 </w:t>
      </w:r>
      <w:r>
        <w:rPr>
          <w:rFonts w:hint="eastAsia" w:ascii="Times New Roman" w:hAnsi="Times New Roman" w:eastAsia="仿宋_GB2312" w:cs="仿宋_GB2312"/>
          <w:color w:val="auto"/>
          <w:kern w:val="0"/>
          <w:sz w:val="30"/>
          <w:szCs w:val="32"/>
          <w:highlight w:val="none"/>
          <w:lang w:eastAsia="zh-CN" w:bidi="ar"/>
        </w:rPr>
        <w:t>发包人：是指与承包人签订合同协议书的当事人及取得该当事人资格的合法继承人。</w:t>
      </w:r>
    </w:p>
    <w:p w14:paraId="5DA478E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1.1.2.3 </w:t>
      </w:r>
      <w:r>
        <w:rPr>
          <w:rFonts w:hint="eastAsia" w:ascii="Times New Roman" w:hAnsi="Times New Roman" w:eastAsia="仿宋_GB2312" w:cs="仿宋_GB2312"/>
          <w:color w:val="auto"/>
          <w:kern w:val="0"/>
          <w:sz w:val="30"/>
          <w:szCs w:val="32"/>
          <w:highlight w:val="none"/>
          <w:lang w:eastAsia="zh-CN" w:bidi="ar"/>
        </w:rPr>
        <w:t>承包人：是指与发包人签订合同协议书的，具有相应工程施工承包资质的当事人及取得该当事人资格的合法继承人。</w:t>
      </w:r>
    </w:p>
    <w:p w14:paraId="6C7580F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1.1.2.4 </w:t>
      </w:r>
      <w:r>
        <w:rPr>
          <w:rFonts w:hint="eastAsia" w:ascii="Times New Roman" w:hAnsi="Times New Roman" w:eastAsia="仿宋_GB2312" w:cs="仿宋_GB2312"/>
          <w:color w:val="auto"/>
          <w:kern w:val="0"/>
          <w:sz w:val="30"/>
          <w:szCs w:val="32"/>
          <w:highlight w:val="none"/>
          <w:lang w:eastAsia="zh-CN" w:bidi="ar"/>
        </w:rPr>
        <w:t>监理人：是指在专用合同条款中指明的，受发包人委托按照法律规定进行工程监督管理的法人或其他组织。</w:t>
      </w:r>
    </w:p>
    <w:p w14:paraId="06F30C1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1.1.2.5 </w:t>
      </w:r>
      <w:r>
        <w:rPr>
          <w:rFonts w:hint="eastAsia" w:ascii="Times New Roman" w:hAnsi="Times New Roman" w:eastAsia="仿宋_GB2312" w:cs="仿宋_GB2312"/>
          <w:color w:val="auto"/>
          <w:kern w:val="0"/>
          <w:sz w:val="30"/>
          <w:szCs w:val="32"/>
          <w:highlight w:val="none"/>
          <w:lang w:eastAsia="zh-CN" w:bidi="ar"/>
        </w:rPr>
        <w:t>设计人：是指在专用合同条款中指明的，受发包人委托负责工程设计并具备相应工程设计资质的法人或其他组织。</w:t>
      </w:r>
    </w:p>
    <w:p w14:paraId="6EEE99D2">
      <w:pPr>
        <w:shd w:val="clear"/>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1.1.2.6 </w:t>
      </w:r>
      <w:r>
        <w:rPr>
          <w:rFonts w:hint="eastAsia" w:ascii="Times New Roman" w:hAnsi="Times New Roman" w:eastAsia="仿宋_GB2312" w:cs="仿宋_GB2312"/>
          <w:color w:val="auto"/>
          <w:kern w:val="0"/>
          <w:sz w:val="30"/>
          <w:szCs w:val="32"/>
          <w:highlight w:val="none"/>
          <w:lang w:eastAsia="zh-CN" w:bidi="ar"/>
        </w:rPr>
        <w:t>分包人：</w:t>
      </w:r>
      <w:bookmarkStart w:id="230" w:name="#go5"/>
      <w:bookmarkEnd w:id="230"/>
      <w:r>
        <w:rPr>
          <w:rFonts w:hint="eastAsia" w:ascii="Times New Roman" w:hAnsi="Times New Roman" w:eastAsia="仿宋_GB2312" w:cs="仿宋_GB2312"/>
          <w:color w:val="auto"/>
          <w:kern w:val="0"/>
          <w:sz w:val="30"/>
          <w:szCs w:val="32"/>
          <w:highlight w:val="none"/>
          <w:lang w:eastAsia="zh-CN" w:bidi="ar"/>
        </w:rPr>
        <w:t>是指按照法律规定和合同约定，分包部分工程或工作，并与承包人签订分包合同的具有相应资质的法人。</w:t>
      </w:r>
    </w:p>
    <w:p w14:paraId="760148A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1.1.2.7 </w:t>
      </w:r>
      <w:r>
        <w:rPr>
          <w:rFonts w:hint="eastAsia" w:ascii="Times New Roman" w:hAnsi="Times New Roman" w:eastAsia="仿宋_GB2312" w:cs="仿宋_GB2312"/>
          <w:color w:val="auto"/>
          <w:kern w:val="0"/>
          <w:sz w:val="30"/>
          <w:szCs w:val="32"/>
          <w:highlight w:val="none"/>
          <w:lang w:eastAsia="zh-CN" w:bidi="ar"/>
        </w:rPr>
        <w:t>发包人代表：是指由发包人任命并派驻施工现场在发包人授权范围内行使发包人权利的人。</w:t>
      </w:r>
    </w:p>
    <w:p w14:paraId="58C293A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1.1.2.8 </w:t>
      </w:r>
      <w:r>
        <w:rPr>
          <w:rFonts w:hint="eastAsia" w:ascii="Times New Roman" w:hAnsi="Times New Roman" w:eastAsia="仿宋_GB2312" w:cs="仿宋_GB2312"/>
          <w:color w:val="auto"/>
          <w:kern w:val="0"/>
          <w:sz w:val="30"/>
          <w:szCs w:val="32"/>
          <w:highlight w:val="none"/>
          <w:lang w:eastAsia="zh-CN" w:bidi="ar"/>
        </w:rPr>
        <w:t>项目经理：是指由承包人任命并派驻施工现场，在承包人授权范围内负责合同履行，且按照法律规定具有相应资格的项目负责人。</w:t>
      </w:r>
    </w:p>
    <w:p w14:paraId="7A87AE1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1.1.2.9 </w:t>
      </w:r>
      <w:r>
        <w:rPr>
          <w:rFonts w:hint="eastAsia" w:ascii="Times New Roman" w:hAnsi="Times New Roman" w:eastAsia="仿宋_GB2312" w:cs="仿宋_GB2312"/>
          <w:color w:val="auto"/>
          <w:kern w:val="0"/>
          <w:sz w:val="30"/>
          <w:szCs w:val="32"/>
          <w:highlight w:val="none"/>
          <w:lang w:eastAsia="zh-CN" w:bidi="ar"/>
        </w:rPr>
        <w:t>总监理工程师：是指由监理人任命并派驻施工现场进行工程监理的总负责人。</w:t>
      </w:r>
    </w:p>
    <w:p w14:paraId="660C532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 </w:t>
      </w:r>
      <w:r>
        <w:rPr>
          <w:rFonts w:hint="eastAsia" w:ascii="Times New Roman" w:hAnsi="Times New Roman" w:eastAsia="仿宋_GB2312" w:cs="仿宋_GB2312"/>
          <w:color w:val="auto"/>
          <w:kern w:val="0"/>
          <w:sz w:val="30"/>
          <w:szCs w:val="32"/>
          <w:highlight w:val="none"/>
          <w:lang w:eastAsia="zh-CN" w:bidi="ar"/>
        </w:rPr>
        <w:t>工程和设备</w:t>
      </w:r>
    </w:p>
    <w:p w14:paraId="3D1933B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1.1.3.1 </w:t>
      </w:r>
      <w:r>
        <w:rPr>
          <w:rFonts w:hint="eastAsia" w:ascii="Times New Roman" w:hAnsi="Times New Roman" w:eastAsia="仿宋_GB2312" w:cs="仿宋_GB2312"/>
          <w:color w:val="auto"/>
          <w:kern w:val="0"/>
          <w:sz w:val="30"/>
          <w:szCs w:val="32"/>
          <w:highlight w:val="none"/>
          <w:lang w:eastAsia="zh-CN" w:bidi="ar"/>
        </w:rPr>
        <w:t>工程：是指与合同协议书中工程承包范围对应的永久工程和（或）临时工程。</w:t>
      </w:r>
    </w:p>
    <w:p w14:paraId="72DE11F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1.1.3.2 </w:t>
      </w:r>
      <w:r>
        <w:rPr>
          <w:rFonts w:hint="eastAsia" w:ascii="Times New Roman" w:hAnsi="Times New Roman" w:eastAsia="仿宋_GB2312" w:cs="仿宋_GB2312"/>
          <w:color w:val="auto"/>
          <w:kern w:val="0"/>
          <w:sz w:val="30"/>
          <w:szCs w:val="32"/>
          <w:highlight w:val="none"/>
          <w:lang w:eastAsia="zh-CN" w:bidi="ar"/>
        </w:rPr>
        <w:t>永久工程：是指按合同约定建造并移交给发包人的工程，包括工程设备。</w:t>
      </w:r>
    </w:p>
    <w:p w14:paraId="043E625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1.1.3.3 </w:t>
      </w:r>
      <w:r>
        <w:rPr>
          <w:rFonts w:hint="eastAsia" w:ascii="Times New Roman" w:hAnsi="Times New Roman" w:eastAsia="仿宋_GB2312" w:cs="仿宋_GB2312"/>
          <w:color w:val="auto"/>
          <w:kern w:val="0"/>
          <w:sz w:val="30"/>
          <w:szCs w:val="32"/>
          <w:highlight w:val="none"/>
          <w:lang w:eastAsia="zh-CN" w:bidi="ar"/>
        </w:rPr>
        <w:t>临时工程：是指为完成合同约定的永久工程所修建的各类临时性工程，不包括施工设备。</w:t>
      </w:r>
    </w:p>
    <w:p w14:paraId="3C299E9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1.1.3.4 </w:t>
      </w:r>
      <w:r>
        <w:rPr>
          <w:rFonts w:hint="eastAsia" w:ascii="Times New Roman" w:hAnsi="Times New Roman" w:eastAsia="仿宋_GB2312" w:cs="仿宋_GB2312"/>
          <w:color w:val="auto"/>
          <w:kern w:val="0"/>
          <w:sz w:val="30"/>
          <w:szCs w:val="32"/>
          <w:highlight w:val="none"/>
          <w:lang w:eastAsia="zh-CN" w:bidi="ar"/>
        </w:rPr>
        <w:t>单位工程：是指在合同协议书中指明的，具备独立施工条件并能形成独立使用功能的永久工程。</w:t>
      </w:r>
    </w:p>
    <w:p w14:paraId="7DE6B7E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1.1.3.5 </w:t>
      </w:r>
      <w:r>
        <w:rPr>
          <w:rFonts w:hint="eastAsia" w:ascii="Times New Roman" w:hAnsi="Times New Roman" w:eastAsia="仿宋_GB2312" w:cs="仿宋_GB2312"/>
          <w:color w:val="auto"/>
          <w:kern w:val="0"/>
          <w:sz w:val="30"/>
          <w:szCs w:val="32"/>
          <w:highlight w:val="none"/>
          <w:lang w:eastAsia="zh-CN" w:bidi="ar"/>
        </w:rPr>
        <w:t>工程设备：是指构成永久工程的机电设备、金属结构设备、仪器及其他类似的设备和装置。</w:t>
      </w:r>
    </w:p>
    <w:p w14:paraId="1F2716B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1.1.3.6 </w:t>
      </w:r>
      <w:r>
        <w:rPr>
          <w:rFonts w:hint="eastAsia" w:ascii="Times New Roman" w:hAnsi="Times New Roman" w:eastAsia="仿宋_GB2312" w:cs="仿宋_GB2312"/>
          <w:color w:val="auto"/>
          <w:kern w:val="0"/>
          <w:sz w:val="30"/>
          <w:szCs w:val="32"/>
          <w:highlight w:val="none"/>
          <w:lang w:eastAsia="zh-CN" w:bidi="ar"/>
        </w:rPr>
        <w:t>施工设备：是指为完成合同约定的各项工作所需的设备、器具和其他物品，但不包括工程设备、临时工程和材料。</w:t>
      </w:r>
    </w:p>
    <w:p w14:paraId="4A8E2B9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1.1.3.7 </w:t>
      </w:r>
      <w:r>
        <w:rPr>
          <w:rFonts w:hint="eastAsia" w:ascii="Times New Roman" w:hAnsi="Times New Roman" w:eastAsia="仿宋_GB2312" w:cs="仿宋_GB2312"/>
          <w:color w:val="auto"/>
          <w:kern w:val="0"/>
          <w:sz w:val="30"/>
          <w:szCs w:val="32"/>
          <w:highlight w:val="none"/>
          <w:lang w:eastAsia="zh-CN" w:bidi="ar"/>
        </w:rPr>
        <w:t>施工现场：是指用于工程施工的场所，以及在专用合同条款中指明作为施工场所组成部分的其他场所，包括永久占地和临时占地。</w:t>
      </w:r>
    </w:p>
    <w:p w14:paraId="21F12A5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1.1.3.8</w:t>
      </w:r>
      <w:r>
        <w:rPr>
          <w:rFonts w:hint="eastAsia" w:ascii="Times New Roman" w:hAnsi="Times New Roman" w:eastAsia="仿宋_GB2312" w:cs="仿宋_GB2312"/>
          <w:color w:val="auto"/>
          <w:kern w:val="0"/>
          <w:sz w:val="30"/>
          <w:szCs w:val="32"/>
          <w:highlight w:val="none"/>
          <w:lang w:eastAsia="zh-CN" w:bidi="ar"/>
        </w:rPr>
        <w:t>临时设施：是指为完成合同约定的各项工作所服务的临时性生产和生活设施。</w:t>
      </w:r>
    </w:p>
    <w:p w14:paraId="5F3796B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1.1.3.9 </w:t>
      </w:r>
      <w:r>
        <w:rPr>
          <w:rFonts w:hint="eastAsia" w:ascii="Times New Roman" w:hAnsi="Times New Roman" w:eastAsia="仿宋_GB2312" w:cs="仿宋_GB2312"/>
          <w:color w:val="auto"/>
          <w:kern w:val="0"/>
          <w:sz w:val="30"/>
          <w:szCs w:val="32"/>
          <w:highlight w:val="none"/>
          <w:lang w:eastAsia="zh-CN" w:bidi="ar"/>
        </w:rPr>
        <w:t>永久占地：是指专用合同条款中指明为实施工程需永久占用的土地。</w:t>
      </w:r>
    </w:p>
    <w:p w14:paraId="1626A43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1.1.3.10 </w:t>
      </w:r>
      <w:r>
        <w:rPr>
          <w:rFonts w:hint="eastAsia" w:ascii="Times New Roman" w:hAnsi="Times New Roman" w:eastAsia="仿宋_GB2312" w:cs="仿宋_GB2312"/>
          <w:color w:val="auto"/>
          <w:kern w:val="0"/>
          <w:sz w:val="30"/>
          <w:szCs w:val="32"/>
          <w:highlight w:val="none"/>
          <w:lang w:eastAsia="zh-CN" w:bidi="ar"/>
        </w:rPr>
        <w:t>临时占地：是指专用合同条款中指明为实施工程需要临时占用的土地。</w:t>
      </w:r>
    </w:p>
    <w:p w14:paraId="0BDF6E9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 </w:t>
      </w:r>
      <w:r>
        <w:rPr>
          <w:rFonts w:hint="eastAsia" w:ascii="Times New Roman" w:hAnsi="Times New Roman" w:eastAsia="仿宋_GB2312" w:cs="仿宋_GB2312"/>
          <w:color w:val="auto"/>
          <w:kern w:val="0"/>
          <w:sz w:val="30"/>
          <w:szCs w:val="32"/>
          <w:highlight w:val="none"/>
          <w:lang w:eastAsia="zh-CN" w:bidi="ar"/>
        </w:rPr>
        <w:t>日期和期限</w:t>
      </w:r>
    </w:p>
    <w:p w14:paraId="06EE7DA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1.1.4.1 </w:t>
      </w:r>
      <w:r>
        <w:rPr>
          <w:rFonts w:hint="eastAsia" w:ascii="Times New Roman" w:hAnsi="Times New Roman" w:eastAsia="仿宋_GB2312" w:cs="仿宋_GB2312"/>
          <w:color w:val="auto"/>
          <w:kern w:val="0"/>
          <w:sz w:val="30"/>
          <w:szCs w:val="32"/>
          <w:highlight w:val="none"/>
          <w:lang w:eastAsia="zh-CN" w:bidi="ar"/>
        </w:rPr>
        <w:t>开工日期：包括计划开工日期和实际开工日期。计划开工日期是指合同协议书约定的开工日期；实际开工日期是指监理人按照第</w:t>
      </w:r>
      <w:r>
        <w:rPr>
          <w:rFonts w:ascii="Times New Roman" w:hAnsi="Times New Roman" w:eastAsia="仿宋_GB2312" w:cs="Times New Roman"/>
          <w:color w:val="auto"/>
          <w:kern w:val="0"/>
          <w:sz w:val="30"/>
          <w:szCs w:val="32"/>
          <w:highlight w:val="none"/>
          <w:lang w:eastAsia="zh-CN" w:bidi="ar"/>
        </w:rPr>
        <w:t>7.3.2</w:t>
      </w:r>
      <w:r>
        <w:rPr>
          <w:rFonts w:hint="eastAsia" w:ascii="Times New Roman" w:hAnsi="Times New Roman" w:eastAsia="仿宋_GB2312" w:cs="仿宋_GB2312"/>
          <w:color w:val="auto"/>
          <w:kern w:val="0"/>
          <w:sz w:val="30"/>
          <w:szCs w:val="32"/>
          <w:highlight w:val="none"/>
          <w:lang w:eastAsia="zh-CN" w:bidi="ar"/>
        </w:rPr>
        <w:t>项〔开工通知〕约定发出的符合法律规定的开工通知中载明的开工日期。</w:t>
      </w:r>
    </w:p>
    <w:p w14:paraId="5DA081B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1.1.4.2 </w:t>
      </w:r>
      <w:r>
        <w:rPr>
          <w:rFonts w:hint="eastAsia" w:ascii="Times New Roman" w:hAnsi="Times New Roman" w:eastAsia="仿宋_GB2312" w:cs="仿宋_GB2312"/>
          <w:color w:val="auto"/>
          <w:kern w:val="0"/>
          <w:sz w:val="30"/>
          <w:szCs w:val="32"/>
          <w:highlight w:val="none"/>
          <w:lang w:eastAsia="zh-CN" w:bidi="ar"/>
        </w:rPr>
        <w:t>竣工日期：包括计划竣工日期和实际竣工日期。计划竣工日期是指合同协议书约定的竣工日期；实际竣工日期按照第</w:t>
      </w:r>
      <w:r>
        <w:rPr>
          <w:rFonts w:ascii="Times New Roman" w:hAnsi="Times New Roman" w:eastAsia="仿宋_GB2312" w:cs="Times New Roman"/>
          <w:color w:val="auto"/>
          <w:kern w:val="0"/>
          <w:sz w:val="30"/>
          <w:szCs w:val="32"/>
          <w:highlight w:val="none"/>
          <w:lang w:eastAsia="zh-CN" w:bidi="ar"/>
        </w:rPr>
        <w:t>13.2.3</w:t>
      </w:r>
      <w:r>
        <w:rPr>
          <w:rFonts w:hint="eastAsia" w:ascii="Times New Roman" w:hAnsi="Times New Roman" w:eastAsia="仿宋_GB2312" w:cs="仿宋_GB2312"/>
          <w:color w:val="auto"/>
          <w:kern w:val="0"/>
          <w:sz w:val="30"/>
          <w:szCs w:val="32"/>
          <w:highlight w:val="none"/>
          <w:lang w:eastAsia="zh-CN" w:bidi="ar"/>
        </w:rPr>
        <w:t>项〔竣工日期〕的约定确定。</w:t>
      </w:r>
      <w:r>
        <w:rPr>
          <w:rFonts w:ascii="Times New Roman" w:hAnsi="Times New Roman" w:eastAsia="仿宋_GB2312" w:cs="Times New Roman"/>
          <w:color w:val="auto"/>
          <w:kern w:val="0"/>
          <w:sz w:val="30"/>
          <w:szCs w:val="32"/>
          <w:highlight w:val="none"/>
          <w:lang w:eastAsia="zh-CN" w:bidi="ar"/>
        </w:rPr>
        <w:t xml:space="preserve"> </w:t>
      </w:r>
    </w:p>
    <w:p w14:paraId="2BD02889">
      <w:pPr>
        <w:shd w:val="clear"/>
        <w:spacing w:line="360" w:lineRule="auto"/>
        <w:ind w:firstLine="606" w:firstLineChars="202"/>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1.1.4.3 </w:t>
      </w:r>
      <w:r>
        <w:rPr>
          <w:rFonts w:hint="eastAsia" w:ascii="Times New Roman" w:hAnsi="Times New Roman" w:eastAsia="仿宋_GB2312" w:cs="仿宋_GB2312"/>
          <w:color w:val="auto"/>
          <w:kern w:val="0"/>
          <w:sz w:val="30"/>
          <w:szCs w:val="32"/>
          <w:highlight w:val="none"/>
          <w:lang w:eastAsia="zh-CN" w:bidi="ar"/>
        </w:rPr>
        <w:t>工期：是指在合同协议书约定的承包人完成工程所需的期限，包括按照合同约定所作的期限变更。</w:t>
      </w:r>
    </w:p>
    <w:p w14:paraId="071A6A4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1.1.4.4 </w:t>
      </w:r>
      <w:r>
        <w:rPr>
          <w:rFonts w:hint="eastAsia" w:ascii="Times New Roman" w:hAnsi="Times New Roman" w:eastAsia="仿宋_GB2312" w:cs="仿宋_GB2312"/>
          <w:color w:val="auto"/>
          <w:kern w:val="0"/>
          <w:sz w:val="30"/>
          <w:szCs w:val="32"/>
          <w:highlight w:val="none"/>
          <w:lang w:eastAsia="zh-CN" w:bidi="ar"/>
        </w:rPr>
        <w:t>缺陷责任期：是指承包人按照合同约定承担缺陷修复义务，且发包人预留质量保证金（已缴纳履约保证金的除外）的期限，自工程实际竣工日期起计算。</w:t>
      </w:r>
    </w:p>
    <w:p w14:paraId="1D06327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1.1.4.5 </w:t>
      </w:r>
      <w:r>
        <w:rPr>
          <w:rFonts w:hint="eastAsia" w:ascii="Times New Roman" w:hAnsi="Times New Roman" w:eastAsia="仿宋_GB2312" w:cs="仿宋_GB2312"/>
          <w:color w:val="auto"/>
          <w:kern w:val="0"/>
          <w:sz w:val="30"/>
          <w:szCs w:val="32"/>
          <w:highlight w:val="none"/>
          <w:lang w:eastAsia="zh-CN" w:bidi="ar"/>
        </w:rPr>
        <w:t>保修期：是指承包人按照合同约定对工程承担保修责任的期限，从工程竣工验收合格之日起计算。</w:t>
      </w:r>
    </w:p>
    <w:p w14:paraId="593E4F6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1.1.4.6 </w:t>
      </w:r>
      <w:r>
        <w:rPr>
          <w:rFonts w:hint="eastAsia" w:ascii="Times New Roman" w:hAnsi="Times New Roman" w:eastAsia="仿宋_GB2312" w:cs="仿宋_GB2312"/>
          <w:color w:val="auto"/>
          <w:kern w:val="0"/>
          <w:sz w:val="30"/>
          <w:szCs w:val="32"/>
          <w:highlight w:val="none"/>
          <w:lang w:eastAsia="zh-CN" w:bidi="ar"/>
        </w:rPr>
        <w:t>基准日期：招标发包的工程以投标截止日前</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天的日期为基准日期，直接发包的工程以合同签订日前</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天的日期为基准日期。</w:t>
      </w:r>
    </w:p>
    <w:p w14:paraId="1148714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1.1.4.7 </w:t>
      </w:r>
      <w:r>
        <w:rPr>
          <w:rFonts w:hint="eastAsia" w:ascii="Times New Roman" w:hAnsi="Times New Roman" w:eastAsia="仿宋_GB2312" w:cs="仿宋_GB2312"/>
          <w:color w:val="auto"/>
          <w:kern w:val="0"/>
          <w:sz w:val="30"/>
          <w:szCs w:val="32"/>
          <w:highlight w:val="none"/>
          <w:lang w:eastAsia="zh-CN" w:bidi="ar"/>
        </w:rPr>
        <w:t>天：除特别指明外，均指日历天。合同中按天计算时间的，开始当天不计入，从次日开始计算，期限最后一天的截止时间为当天</w:t>
      </w:r>
      <w:r>
        <w:rPr>
          <w:rFonts w:ascii="Times New Roman" w:hAnsi="Times New Roman" w:eastAsia="仿宋_GB2312" w:cs="Times New Roman"/>
          <w:color w:val="auto"/>
          <w:kern w:val="0"/>
          <w:sz w:val="30"/>
          <w:szCs w:val="32"/>
          <w:highlight w:val="none"/>
          <w:lang w:eastAsia="zh-CN" w:bidi="ar"/>
        </w:rPr>
        <w:t>24:00</w:t>
      </w:r>
      <w:r>
        <w:rPr>
          <w:rFonts w:hint="eastAsia" w:ascii="Times New Roman" w:hAnsi="Times New Roman" w:eastAsia="仿宋_GB2312" w:cs="仿宋_GB2312"/>
          <w:color w:val="auto"/>
          <w:kern w:val="0"/>
          <w:sz w:val="30"/>
          <w:szCs w:val="32"/>
          <w:highlight w:val="none"/>
          <w:lang w:eastAsia="zh-CN" w:bidi="ar"/>
        </w:rPr>
        <w:t>时。</w:t>
      </w:r>
    </w:p>
    <w:p w14:paraId="7A554C3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 </w:t>
      </w:r>
      <w:r>
        <w:rPr>
          <w:rFonts w:hint="eastAsia" w:ascii="Times New Roman" w:hAnsi="Times New Roman" w:eastAsia="仿宋_GB2312" w:cs="仿宋_GB2312"/>
          <w:color w:val="auto"/>
          <w:kern w:val="0"/>
          <w:sz w:val="30"/>
          <w:szCs w:val="32"/>
          <w:highlight w:val="none"/>
          <w:lang w:eastAsia="zh-CN" w:bidi="ar"/>
        </w:rPr>
        <w:t>合同价格和费用</w:t>
      </w:r>
    </w:p>
    <w:p w14:paraId="301F1AF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1.1.5.1 </w:t>
      </w:r>
      <w:r>
        <w:rPr>
          <w:rFonts w:hint="eastAsia" w:ascii="Times New Roman" w:hAnsi="Times New Roman" w:eastAsia="仿宋_GB2312" w:cs="仿宋_GB2312"/>
          <w:color w:val="auto"/>
          <w:kern w:val="0"/>
          <w:sz w:val="30"/>
          <w:szCs w:val="32"/>
          <w:highlight w:val="none"/>
          <w:lang w:eastAsia="zh-CN" w:bidi="ar"/>
        </w:rPr>
        <w:t>签约合同价：是指</w:t>
      </w:r>
      <w:r>
        <w:rPr>
          <w:rFonts w:hint="eastAsia" w:ascii="Times New Roman" w:hAnsi="Times New Roman" w:eastAsia="仿宋_GB2312" w:cs="仿宋_GB2312"/>
          <w:color w:val="auto"/>
          <w:kern w:val="2"/>
          <w:sz w:val="30"/>
          <w:szCs w:val="32"/>
          <w:highlight w:val="none"/>
          <w:lang w:eastAsia="zh-CN" w:bidi="ar"/>
        </w:rPr>
        <w:t>发包人和承包人在合同协议书中确定的总金额，包括安全文明施工费、暂估价及暂列金额等。</w:t>
      </w:r>
    </w:p>
    <w:p w14:paraId="3336B5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1.1.5.2 </w:t>
      </w:r>
      <w:r>
        <w:rPr>
          <w:rFonts w:hint="eastAsia" w:ascii="Times New Roman" w:hAnsi="Times New Roman" w:eastAsia="仿宋_GB2312" w:cs="仿宋_GB2312"/>
          <w:color w:val="auto"/>
          <w:kern w:val="0"/>
          <w:sz w:val="30"/>
          <w:szCs w:val="32"/>
          <w:highlight w:val="none"/>
          <w:lang w:eastAsia="zh-CN" w:bidi="ar"/>
        </w:rPr>
        <w:t>合同价格：是指发包人用于支付承包人按照合同约定完成承包范围内全部工作的金额，包括合同履行过程中按合同约定发生的价格变化。</w:t>
      </w:r>
    </w:p>
    <w:p w14:paraId="2CFB7EC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1.1.5.3 </w:t>
      </w:r>
      <w:r>
        <w:rPr>
          <w:rFonts w:hint="eastAsia" w:ascii="Times New Roman" w:hAnsi="Times New Roman" w:eastAsia="仿宋_GB2312" w:cs="仿宋_GB2312"/>
          <w:color w:val="auto"/>
          <w:kern w:val="0"/>
          <w:sz w:val="30"/>
          <w:szCs w:val="32"/>
          <w:highlight w:val="none"/>
          <w:lang w:eastAsia="zh-CN" w:bidi="ar"/>
        </w:rPr>
        <w:t>费用：是指为履行合同所发生的或将要发生的所有必需的开支，包括管理费和应分摊的其他费用，但不包括利润。</w:t>
      </w:r>
    </w:p>
    <w:p w14:paraId="6854CE5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1.1.5.4 </w:t>
      </w:r>
      <w:r>
        <w:rPr>
          <w:rFonts w:hint="eastAsia" w:ascii="Times New Roman" w:hAnsi="Times New Roman" w:eastAsia="仿宋_GB2312" w:cs="仿宋_GB2312"/>
          <w:color w:val="auto"/>
          <w:kern w:val="0"/>
          <w:sz w:val="30"/>
          <w:szCs w:val="32"/>
          <w:highlight w:val="none"/>
          <w:lang w:eastAsia="zh-CN" w:bidi="ar"/>
        </w:rPr>
        <w:t>暂估价：是指发包人在工程量清单或预算书中提供的用于支付必然发生但暂时不能确定价格的材料、工程设备的单价、专业工程以及服务工作的金额。</w:t>
      </w:r>
    </w:p>
    <w:p w14:paraId="7E0E54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1.1.5.5 </w:t>
      </w:r>
      <w:r>
        <w:rPr>
          <w:rFonts w:hint="eastAsia" w:ascii="Times New Roman" w:hAnsi="Times New Roman" w:eastAsia="仿宋_GB2312" w:cs="仿宋_GB2312"/>
          <w:color w:val="auto"/>
          <w:kern w:val="0"/>
          <w:sz w:val="30"/>
          <w:szCs w:val="32"/>
          <w:highlight w:val="none"/>
          <w:lang w:eastAsia="zh-CN" w:bidi="ar"/>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BC9AC5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1.1.5.6 </w:t>
      </w:r>
      <w:r>
        <w:rPr>
          <w:rFonts w:hint="eastAsia" w:ascii="Times New Roman" w:hAnsi="Times New Roman" w:eastAsia="仿宋_GB2312" w:cs="仿宋_GB2312"/>
          <w:color w:val="auto"/>
          <w:kern w:val="0"/>
          <w:sz w:val="30"/>
          <w:szCs w:val="32"/>
          <w:highlight w:val="none"/>
          <w:lang w:eastAsia="zh-CN" w:bidi="ar"/>
        </w:rPr>
        <w:t>计日工：是指合同履行过程中，承包人完成发包人提出的零星工作或需要采用计日工计价的变更工作时，按合同中约定的单价计价的一种方式。</w:t>
      </w:r>
    </w:p>
    <w:p w14:paraId="5C37444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1.1.5.7 </w:t>
      </w:r>
      <w:r>
        <w:rPr>
          <w:rFonts w:hint="eastAsia" w:ascii="Times New Roman" w:hAnsi="Times New Roman" w:eastAsia="仿宋_GB2312" w:cs="仿宋_GB2312"/>
          <w:color w:val="auto"/>
          <w:kern w:val="0"/>
          <w:sz w:val="30"/>
          <w:szCs w:val="32"/>
          <w:highlight w:val="none"/>
          <w:lang w:eastAsia="zh-CN" w:bidi="ar"/>
        </w:rPr>
        <w:t>质量保证金</w:t>
      </w:r>
      <w:bookmarkStart w:id="231" w:name="#go2"/>
      <w:bookmarkEnd w:id="231"/>
      <w:r>
        <w:rPr>
          <w:rFonts w:hint="eastAsia" w:ascii="Times New Roman" w:hAnsi="Times New Roman" w:eastAsia="仿宋_GB2312" w:cs="仿宋_GB2312"/>
          <w:color w:val="auto"/>
          <w:kern w:val="0"/>
          <w:sz w:val="30"/>
          <w:szCs w:val="32"/>
          <w:highlight w:val="none"/>
          <w:lang w:eastAsia="zh-CN" w:bidi="ar"/>
        </w:rPr>
        <w:t>：是指按照第</w:t>
      </w:r>
      <w:r>
        <w:rPr>
          <w:rFonts w:ascii="Times New Roman" w:hAnsi="Times New Roman" w:eastAsia="仿宋_GB2312" w:cs="Times New Roman"/>
          <w:color w:val="auto"/>
          <w:kern w:val="0"/>
          <w:sz w:val="30"/>
          <w:szCs w:val="32"/>
          <w:highlight w:val="none"/>
          <w:lang w:eastAsia="zh-CN" w:bidi="ar"/>
        </w:rPr>
        <w:t>15.3</w:t>
      </w:r>
      <w:r>
        <w:rPr>
          <w:rFonts w:hint="eastAsia" w:ascii="Times New Roman" w:hAnsi="Times New Roman" w:eastAsia="仿宋_GB2312" w:cs="仿宋_GB2312"/>
          <w:color w:val="auto"/>
          <w:kern w:val="0"/>
          <w:sz w:val="30"/>
          <w:szCs w:val="32"/>
          <w:highlight w:val="none"/>
          <w:lang w:eastAsia="zh-CN" w:bidi="ar"/>
        </w:rPr>
        <w:t>款〔质量保证金〕约定承包人用于保证其在缺陷责任期内履行缺陷修补义务的担保</w:t>
      </w:r>
      <w:r>
        <w:rPr>
          <w:rFonts w:hint="eastAsia" w:ascii="Times New Roman" w:hAnsi="Times New Roman" w:eastAsia="仿宋_GB2312" w:cs="仿宋_GB2312"/>
          <w:color w:val="auto"/>
          <w:kern w:val="2"/>
          <w:sz w:val="30"/>
          <w:szCs w:val="32"/>
          <w:highlight w:val="none"/>
          <w:lang w:eastAsia="zh-CN" w:bidi="ar"/>
        </w:rPr>
        <w:t>。</w:t>
      </w:r>
    </w:p>
    <w:p w14:paraId="66C3467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1.1.5.8 </w:t>
      </w:r>
      <w:r>
        <w:rPr>
          <w:rFonts w:hint="eastAsia" w:ascii="Times New Roman" w:hAnsi="Times New Roman" w:eastAsia="仿宋_GB2312" w:cs="仿宋_GB2312"/>
          <w:color w:val="auto"/>
          <w:kern w:val="0"/>
          <w:sz w:val="30"/>
          <w:szCs w:val="32"/>
          <w:highlight w:val="none"/>
          <w:lang w:eastAsia="zh-CN" w:bidi="ar"/>
        </w:rPr>
        <w:t>总价项目：是指在现行国家、行业以及地方的计量规则中无工程量计算规则，在已标价工程量清单或预算书中以总价或以费率形式计算的项目。</w:t>
      </w:r>
    </w:p>
    <w:p w14:paraId="473288E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1.1.6 </w:t>
      </w:r>
      <w:r>
        <w:rPr>
          <w:rFonts w:hint="eastAsia" w:ascii="Times New Roman" w:hAnsi="Times New Roman" w:eastAsia="仿宋_GB2312" w:cs="仿宋_GB2312"/>
          <w:color w:val="auto"/>
          <w:kern w:val="2"/>
          <w:sz w:val="30"/>
          <w:szCs w:val="32"/>
          <w:highlight w:val="none"/>
          <w:lang w:eastAsia="zh-CN" w:bidi="ar"/>
        </w:rPr>
        <w:t>其他</w:t>
      </w:r>
    </w:p>
    <w:p w14:paraId="65650B3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1.1.6.1 </w:t>
      </w:r>
      <w:r>
        <w:rPr>
          <w:rFonts w:hint="eastAsia" w:ascii="Times New Roman" w:hAnsi="Times New Roman" w:eastAsia="仿宋_GB2312" w:cs="仿宋_GB2312"/>
          <w:color w:val="auto"/>
          <w:kern w:val="2"/>
          <w:sz w:val="30"/>
          <w:szCs w:val="32"/>
          <w:highlight w:val="none"/>
          <w:lang w:eastAsia="zh-CN" w:bidi="ar"/>
        </w:rPr>
        <w:t>书面形式：是指合同文件、信函、电报、传真等可以有形地表现所载内容的形式。</w:t>
      </w:r>
    </w:p>
    <w:p w14:paraId="45D0F09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32" w:name="_Toc296346530"/>
      <w:bookmarkStart w:id="233" w:name="_Toc337558729"/>
      <w:bookmarkStart w:id="234" w:name="_Toc351203497"/>
      <w:bookmarkStart w:id="235" w:name="_Toc296503029"/>
      <w:r>
        <w:rPr>
          <w:rFonts w:ascii="Times New Roman" w:hAnsi="Times New Roman" w:eastAsia="黑体" w:cs="Times New Roman"/>
          <w:b w:val="0"/>
          <w:bCs/>
          <w:color w:val="auto"/>
          <w:kern w:val="2"/>
          <w:sz w:val="30"/>
          <w:szCs w:val="32"/>
          <w:highlight w:val="none"/>
          <w:lang w:val="en-US" w:eastAsia="zh-CN" w:bidi="ar-SA"/>
        </w:rPr>
        <w:t>1.2</w:t>
      </w:r>
      <w:r>
        <w:rPr>
          <w:rFonts w:hint="eastAsia" w:ascii="Times New Roman" w:hAnsi="Times New Roman" w:eastAsia="黑体" w:cs="Times New Roman"/>
          <w:b w:val="0"/>
          <w:bCs/>
          <w:color w:val="auto"/>
          <w:kern w:val="2"/>
          <w:sz w:val="30"/>
          <w:szCs w:val="32"/>
          <w:highlight w:val="none"/>
          <w:lang w:val="en-US" w:eastAsia="zh-CN" w:bidi="ar-SA"/>
        </w:rPr>
        <w:t>语言文字</w:t>
      </w:r>
      <w:bookmarkEnd w:id="232"/>
      <w:bookmarkEnd w:id="233"/>
      <w:bookmarkEnd w:id="234"/>
      <w:bookmarkEnd w:id="235"/>
    </w:p>
    <w:p w14:paraId="13DCD62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合同以中国的汉语简体文字编写、解释和说明。合同当事人在专用合同条款中约定使用两种以上语言时，汉语为优先解释和说明合同的语言。</w:t>
      </w:r>
    </w:p>
    <w:p w14:paraId="23C3062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36" w:name="_Toc337558730"/>
      <w:bookmarkStart w:id="237" w:name="_Toc351203498"/>
      <w:bookmarkStart w:id="238" w:name="_Toc296346531"/>
      <w:bookmarkStart w:id="239" w:name="_Toc296503030"/>
      <w:r>
        <w:rPr>
          <w:rFonts w:ascii="Times New Roman" w:hAnsi="Times New Roman" w:eastAsia="黑体" w:cs="Times New Roman"/>
          <w:b w:val="0"/>
          <w:bCs/>
          <w:color w:val="auto"/>
          <w:kern w:val="2"/>
          <w:sz w:val="30"/>
          <w:szCs w:val="32"/>
          <w:highlight w:val="none"/>
          <w:lang w:val="en-US" w:eastAsia="zh-CN" w:bidi="ar-SA"/>
        </w:rPr>
        <w:t>1.3</w:t>
      </w:r>
      <w:r>
        <w:rPr>
          <w:rFonts w:hint="eastAsia" w:ascii="Times New Roman" w:hAnsi="Times New Roman" w:eastAsia="黑体" w:cs="黑体"/>
          <w:b w:val="0"/>
          <w:bCs/>
          <w:color w:val="auto"/>
          <w:kern w:val="2"/>
          <w:sz w:val="30"/>
          <w:szCs w:val="32"/>
          <w:highlight w:val="none"/>
          <w:lang w:val="en-US" w:eastAsia="zh-CN" w:bidi="ar-SA"/>
        </w:rPr>
        <w:t>法律</w:t>
      </w:r>
      <w:bookmarkEnd w:id="236"/>
      <w:bookmarkEnd w:id="237"/>
      <w:bookmarkEnd w:id="238"/>
      <w:bookmarkEnd w:id="239"/>
    </w:p>
    <w:p w14:paraId="24F093A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合同所称法律是指中华人民共和国法律、行政法规、部门规章，以及工程所在地的地方性法规、自治条例、单行条例和地方政府规章等。</w:t>
      </w:r>
    </w:p>
    <w:p w14:paraId="3B5DD2F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合同当事人可以在专用合同条款中约定合同适用的其他规范性文件。</w:t>
      </w:r>
    </w:p>
    <w:p w14:paraId="307F083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40" w:name="_Toc351203499"/>
      <w:r>
        <w:rPr>
          <w:rFonts w:ascii="Times New Roman" w:hAnsi="Times New Roman" w:eastAsia="黑体" w:cs="Times New Roman"/>
          <w:b w:val="0"/>
          <w:bCs/>
          <w:color w:val="auto"/>
          <w:kern w:val="2"/>
          <w:sz w:val="30"/>
          <w:szCs w:val="32"/>
          <w:highlight w:val="none"/>
          <w:lang w:val="en-US" w:eastAsia="zh-CN" w:bidi="ar-SA"/>
        </w:rPr>
        <w:t xml:space="preserve">1.4 </w:t>
      </w:r>
      <w:r>
        <w:rPr>
          <w:rFonts w:hint="eastAsia" w:ascii="Times New Roman" w:hAnsi="Times New Roman" w:eastAsia="黑体" w:cs="黑体"/>
          <w:b w:val="0"/>
          <w:bCs/>
          <w:color w:val="auto"/>
          <w:kern w:val="2"/>
          <w:sz w:val="30"/>
          <w:szCs w:val="32"/>
          <w:highlight w:val="none"/>
          <w:lang w:val="en-US" w:eastAsia="zh-CN" w:bidi="ar-SA"/>
        </w:rPr>
        <w:t>标准和规范</w:t>
      </w:r>
      <w:bookmarkEnd w:id="240"/>
    </w:p>
    <w:p w14:paraId="729D56AA">
      <w:pPr>
        <w:shd w:val="clear"/>
        <w:autoSpaceDE w:val="0"/>
        <w:autoSpaceDN w:val="0"/>
        <w:adjustRightInd w:val="0"/>
        <w:spacing w:line="360" w:lineRule="auto"/>
        <w:ind w:firstLine="64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1.4.1 </w:t>
      </w:r>
      <w:r>
        <w:rPr>
          <w:rFonts w:hint="eastAsia" w:ascii="Times New Roman" w:hAnsi="Times New Roman" w:eastAsia="仿宋_GB2312" w:cs="仿宋_GB2312"/>
          <w:color w:val="auto"/>
          <w:kern w:val="0"/>
          <w:sz w:val="30"/>
          <w:szCs w:val="32"/>
          <w:highlight w:val="none"/>
          <w:lang w:eastAsia="zh-CN" w:bidi="ar"/>
        </w:rPr>
        <w:t>适用于工程的国家标准、行业标准、工程所在地的地方性标准，以及相应的规范、规程等，合同当事人有特别要求的，应在专用合同条款中约定。</w:t>
      </w:r>
    </w:p>
    <w:p w14:paraId="4378483E">
      <w:pPr>
        <w:shd w:val="clear"/>
        <w:autoSpaceDE w:val="0"/>
        <w:autoSpaceDN w:val="0"/>
        <w:adjustRightInd w:val="0"/>
        <w:spacing w:line="360" w:lineRule="auto"/>
        <w:ind w:firstLine="64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1.4.2 </w:t>
      </w:r>
      <w:r>
        <w:rPr>
          <w:rFonts w:hint="eastAsia" w:ascii="Times New Roman" w:hAnsi="Times New Roman" w:eastAsia="仿宋_GB2312" w:cs="仿宋_GB2312"/>
          <w:color w:val="auto"/>
          <w:kern w:val="0"/>
          <w:sz w:val="30"/>
          <w:szCs w:val="32"/>
          <w:highlight w:val="none"/>
          <w:lang w:eastAsia="zh-CN" w:bidi="ar"/>
        </w:rPr>
        <w:t>发包人要求使用国外标准、规范的，发包人负责提供原文版本和中文译本，并在专用合同条款中约定提供标准规范的名称、份数和时间。</w:t>
      </w:r>
    </w:p>
    <w:p w14:paraId="1299C486">
      <w:pPr>
        <w:shd w:val="clear"/>
        <w:autoSpaceDE w:val="0"/>
        <w:autoSpaceDN w:val="0"/>
        <w:adjustRightInd w:val="0"/>
        <w:spacing w:line="360" w:lineRule="auto"/>
        <w:ind w:firstLine="64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1.4.3 </w:t>
      </w:r>
      <w:r>
        <w:rPr>
          <w:rFonts w:hint="eastAsia" w:ascii="Times New Roman" w:hAnsi="Times New Roman" w:eastAsia="仿宋_GB2312" w:cs="仿宋_GB2312"/>
          <w:color w:val="auto"/>
          <w:kern w:val="0"/>
          <w:sz w:val="30"/>
          <w:szCs w:val="32"/>
          <w:highlight w:val="none"/>
          <w:lang w:eastAsia="zh-CN" w:bidi="ar"/>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CE0268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41" w:name="_Toc351203500"/>
      <w:r>
        <w:rPr>
          <w:rFonts w:ascii="Times New Roman" w:hAnsi="Times New Roman" w:eastAsia="黑体" w:cs="Times New Roman"/>
          <w:b w:val="0"/>
          <w:bCs/>
          <w:color w:val="auto"/>
          <w:kern w:val="2"/>
          <w:sz w:val="30"/>
          <w:szCs w:val="32"/>
          <w:highlight w:val="none"/>
          <w:lang w:val="en-US" w:eastAsia="zh-CN" w:bidi="ar-SA"/>
        </w:rPr>
        <w:t>1</w:t>
      </w:r>
      <w:bookmarkStart w:id="242" w:name="_Toc337558731"/>
      <w:bookmarkStart w:id="243" w:name="_Toc296503031"/>
      <w:bookmarkStart w:id="244" w:name="_Toc296346532"/>
      <w:r>
        <w:rPr>
          <w:rFonts w:ascii="Times New Roman" w:hAnsi="Times New Roman" w:eastAsia="黑体" w:cs="Times New Roman"/>
          <w:b w:val="0"/>
          <w:bCs/>
          <w:color w:val="auto"/>
          <w:kern w:val="2"/>
          <w:sz w:val="30"/>
          <w:szCs w:val="32"/>
          <w:highlight w:val="none"/>
          <w:lang w:val="en-US" w:eastAsia="zh-CN" w:bidi="ar-SA"/>
        </w:rPr>
        <w:t xml:space="preserve">.5 </w:t>
      </w:r>
      <w:r>
        <w:rPr>
          <w:rFonts w:hint="eastAsia" w:ascii="Times New Roman" w:hAnsi="Times New Roman" w:eastAsia="黑体" w:cs="黑体"/>
          <w:b w:val="0"/>
          <w:bCs/>
          <w:color w:val="auto"/>
          <w:kern w:val="2"/>
          <w:sz w:val="30"/>
          <w:szCs w:val="32"/>
          <w:highlight w:val="none"/>
          <w:lang w:val="en-US" w:eastAsia="zh-CN" w:bidi="ar-SA"/>
        </w:rPr>
        <w:t>合同文件的优先顺序</w:t>
      </w:r>
      <w:bookmarkEnd w:id="241"/>
    </w:p>
    <w:bookmarkEnd w:id="242"/>
    <w:bookmarkEnd w:id="243"/>
    <w:bookmarkEnd w:id="244"/>
    <w:p w14:paraId="59934A7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组成合同的各项文件应互相解释，互为说明。除专用合同条款另有约定外，解释合同文件的优先顺序如下：</w:t>
      </w:r>
    </w:p>
    <w:p w14:paraId="12FAFB2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）合同协议书；</w:t>
      </w:r>
    </w:p>
    <w:p w14:paraId="6AACB45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）中标通知书（如果有）；</w:t>
      </w:r>
    </w:p>
    <w:p w14:paraId="46A2D04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）投标函及其附录（如果有）；</w:t>
      </w:r>
    </w:p>
    <w:p w14:paraId="3A1FBE5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）专用合同条款</w:t>
      </w:r>
      <w:r>
        <w:rPr>
          <w:rFonts w:hint="eastAsia" w:ascii="Times New Roman" w:hAnsi="Times New Roman" w:eastAsia="仿宋_GB2312" w:cs="仿宋_GB2312"/>
          <w:color w:val="auto"/>
          <w:kern w:val="2"/>
          <w:sz w:val="30"/>
          <w:szCs w:val="32"/>
          <w:highlight w:val="none"/>
          <w:lang w:eastAsia="zh-CN" w:bidi="ar"/>
        </w:rPr>
        <w:t>及其附件</w:t>
      </w:r>
      <w:r>
        <w:rPr>
          <w:rFonts w:hint="eastAsia" w:ascii="Times New Roman" w:hAnsi="Times New Roman" w:eastAsia="仿宋_GB2312" w:cs="仿宋_GB2312"/>
          <w:color w:val="auto"/>
          <w:kern w:val="0"/>
          <w:sz w:val="30"/>
          <w:szCs w:val="32"/>
          <w:highlight w:val="none"/>
          <w:lang w:eastAsia="zh-CN" w:bidi="ar"/>
        </w:rPr>
        <w:t>；</w:t>
      </w:r>
    </w:p>
    <w:p w14:paraId="6CA9879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）通用合同条款；</w:t>
      </w:r>
    </w:p>
    <w:p w14:paraId="0C79EDA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）技术标准和要求；</w:t>
      </w:r>
    </w:p>
    <w:p w14:paraId="785F0FE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）图纸；</w:t>
      </w:r>
    </w:p>
    <w:p w14:paraId="67FED63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8</w:t>
      </w:r>
      <w:r>
        <w:rPr>
          <w:rFonts w:hint="eastAsia" w:ascii="Times New Roman" w:hAnsi="Times New Roman" w:eastAsia="仿宋_GB2312" w:cs="仿宋_GB2312"/>
          <w:color w:val="auto"/>
          <w:kern w:val="0"/>
          <w:sz w:val="30"/>
          <w:szCs w:val="32"/>
          <w:highlight w:val="none"/>
          <w:lang w:eastAsia="zh-CN" w:bidi="ar"/>
        </w:rPr>
        <w:t>）已标价工程量清单或预算书；</w:t>
      </w:r>
    </w:p>
    <w:p w14:paraId="4DFB94F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9</w:t>
      </w:r>
      <w:r>
        <w:rPr>
          <w:rFonts w:hint="eastAsia" w:ascii="Times New Roman" w:hAnsi="Times New Roman" w:eastAsia="仿宋_GB2312" w:cs="仿宋_GB2312"/>
          <w:color w:val="auto"/>
          <w:kern w:val="0"/>
          <w:sz w:val="30"/>
          <w:szCs w:val="32"/>
          <w:highlight w:val="none"/>
          <w:lang w:eastAsia="zh-CN" w:bidi="ar"/>
        </w:rPr>
        <w:t>）其他合同文件。</w:t>
      </w:r>
    </w:p>
    <w:p w14:paraId="4F64223E">
      <w:pPr>
        <w:shd w:val="clear"/>
        <w:spacing w:line="360" w:lineRule="auto"/>
        <w:ind w:firstLine="639" w:firstLineChars="213"/>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上述各项合同文件包括合同当事人就该项合同文件所作出的补充和修改，属于同一类内容的文件，应以最新签署的为准。</w:t>
      </w:r>
    </w:p>
    <w:p w14:paraId="4CE73F25">
      <w:pPr>
        <w:shd w:val="clear"/>
        <w:spacing w:line="360" w:lineRule="auto"/>
        <w:ind w:firstLine="639" w:firstLineChars="213"/>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在合同订立及履行过程中形成的与合同有关的文件均构成合同文件组成部分，并根据其性质确定优先解释顺序。</w:t>
      </w:r>
    </w:p>
    <w:p w14:paraId="27813C24">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45" w:name="_Toc351203501"/>
      <w:r>
        <w:rPr>
          <w:rFonts w:ascii="Times New Roman" w:hAnsi="Times New Roman" w:eastAsia="黑体" w:cs="Times New Roman"/>
          <w:b w:val="0"/>
          <w:bCs/>
          <w:color w:val="auto"/>
          <w:kern w:val="2"/>
          <w:sz w:val="30"/>
          <w:szCs w:val="32"/>
          <w:highlight w:val="none"/>
          <w:lang w:val="en-US" w:eastAsia="zh-CN" w:bidi="ar-SA"/>
        </w:rPr>
        <w:t>1</w:t>
      </w:r>
      <w:bookmarkStart w:id="246" w:name="_Toc337558732"/>
      <w:bookmarkStart w:id="247" w:name="_Toc296346533"/>
      <w:bookmarkStart w:id="248" w:name="_Toc296503032"/>
      <w:r>
        <w:rPr>
          <w:rFonts w:ascii="Times New Roman" w:hAnsi="Times New Roman" w:eastAsia="黑体" w:cs="Times New Roman"/>
          <w:b w:val="0"/>
          <w:bCs/>
          <w:color w:val="auto"/>
          <w:kern w:val="2"/>
          <w:sz w:val="30"/>
          <w:szCs w:val="32"/>
          <w:highlight w:val="none"/>
          <w:lang w:val="en-US" w:eastAsia="zh-CN" w:bidi="ar-SA"/>
        </w:rPr>
        <w:t>.6</w:t>
      </w:r>
      <w:r>
        <w:rPr>
          <w:rFonts w:hint="eastAsia" w:ascii="Times New Roman" w:hAnsi="Times New Roman" w:eastAsia="黑体" w:cs="黑体"/>
          <w:b w:val="0"/>
          <w:bCs/>
          <w:color w:val="auto"/>
          <w:kern w:val="2"/>
          <w:sz w:val="30"/>
          <w:szCs w:val="32"/>
          <w:highlight w:val="none"/>
          <w:lang w:val="en-US" w:eastAsia="zh-CN" w:bidi="ar-SA"/>
        </w:rPr>
        <w:t>图纸和承包人文件</w:t>
      </w:r>
      <w:bookmarkEnd w:id="245"/>
    </w:p>
    <w:bookmarkEnd w:id="246"/>
    <w:bookmarkEnd w:id="247"/>
    <w:bookmarkEnd w:id="248"/>
    <w:p w14:paraId="19ECCF8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1.6.1 </w:t>
      </w:r>
      <w:r>
        <w:rPr>
          <w:rFonts w:hint="eastAsia" w:ascii="Times New Roman" w:hAnsi="Times New Roman" w:eastAsia="仿宋_GB2312" w:cs="仿宋_GB2312"/>
          <w:color w:val="auto"/>
          <w:kern w:val="0"/>
          <w:sz w:val="30"/>
          <w:szCs w:val="32"/>
          <w:highlight w:val="none"/>
          <w:lang w:eastAsia="zh-CN" w:bidi="ar"/>
        </w:rPr>
        <w:t>图纸的提供和交底</w:t>
      </w:r>
    </w:p>
    <w:p w14:paraId="0F7F15A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发包人应按照专用合同条款约定的期限、数量和内容向承包人免费提供图纸，并组织承包人、监理人和设计人进行图纸会审和设计交底。发包人至迟不得晚于第</w:t>
      </w:r>
      <w:r>
        <w:rPr>
          <w:rFonts w:ascii="Times New Roman" w:hAnsi="Times New Roman" w:eastAsia="仿宋_GB2312" w:cs="Times New Roman"/>
          <w:color w:val="auto"/>
          <w:kern w:val="0"/>
          <w:sz w:val="30"/>
          <w:szCs w:val="32"/>
          <w:highlight w:val="none"/>
          <w:lang w:eastAsia="zh-CN" w:bidi="ar"/>
        </w:rPr>
        <w:t>7.3.2</w:t>
      </w:r>
      <w:r>
        <w:rPr>
          <w:rFonts w:hint="eastAsia" w:ascii="Times New Roman" w:hAnsi="Times New Roman" w:eastAsia="仿宋_GB2312" w:cs="仿宋_GB2312"/>
          <w:color w:val="auto"/>
          <w:kern w:val="0"/>
          <w:sz w:val="30"/>
          <w:szCs w:val="32"/>
          <w:highlight w:val="none"/>
          <w:lang w:eastAsia="zh-CN" w:bidi="ar"/>
        </w:rPr>
        <w:t>项〔开工通知〕载明的开工日期前</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天向承包人提供图纸。</w:t>
      </w:r>
    </w:p>
    <w:p w14:paraId="021281A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因发包人未按合同约定提供图纸导致承包人费用增加和（或）工期延误的，按照第</w:t>
      </w:r>
      <w:r>
        <w:rPr>
          <w:rFonts w:ascii="Times New Roman" w:hAnsi="Times New Roman" w:eastAsia="仿宋_GB2312" w:cs="Times New Roman"/>
          <w:color w:val="auto"/>
          <w:kern w:val="0"/>
          <w:sz w:val="30"/>
          <w:szCs w:val="32"/>
          <w:highlight w:val="none"/>
          <w:lang w:eastAsia="zh-CN" w:bidi="ar"/>
        </w:rPr>
        <w:t>7.5.1</w:t>
      </w:r>
      <w:r>
        <w:rPr>
          <w:rFonts w:hint="eastAsia" w:ascii="Times New Roman" w:hAnsi="Times New Roman" w:eastAsia="仿宋_GB2312" w:cs="仿宋_GB2312"/>
          <w:color w:val="auto"/>
          <w:kern w:val="0"/>
          <w:sz w:val="30"/>
          <w:szCs w:val="32"/>
          <w:highlight w:val="none"/>
          <w:lang w:eastAsia="zh-CN" w:bidi="ar"/>
        </w:rPr>
        <w:t>项〔因发包人原因导致工期延误〕约定办理。</w:t>
      </w:r>
    </w:p>
    <w:p w14:paraId="0D5A265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1.6.2 </w:t>
      </w:r>
      <w:r>
        <w:rPr>
          <w:rFonts w:hint="eastAsia" w:ascii="Times New Roman" w:hAnsi="Times New Roman" w:eastAsia="仿宋_GB2312" w:cs="仿宋_GB2312"/>
          <w:color w:val="auto"/>
          <w:kern w:val="0"/>
          <w:sz w:val="30"/>
          <w:szCs w:val="32"/>
          <w:highlight w:val="none"/>
          <w:lang w:eastAsia="zh-CN" w:bidi="ar"/>
        </w:rPr>
        <w:t>图纸的错误</w:t>
      </w:r>
    </w:p>
    <w:p w14:paraId="520E3A2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56FD9C1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1.6.3 </w:t>
      </w:r>
      <w:r>
        <w:rPr>
          <w:rFonts w:hint="eastAsia" w:ascii="Times New Roman" w:hAnsi="Times New Roman" w:eastAsia="仿宋_GB2312" w:cs="仿宋_GB2312"/>
          <w:color w:val="auto"/>
          <w:kern w:val="0"/>
          <w:sz w:val="30"/>
          <w:szCs w:val="32"/>
          <w:highlight w:val="none"/>
          <w:lang w:eastAsia="zh-CN" w:bidi="ar"/>
        </w:rPr>
        <w:t>图纸的修改和补充</w:t>
      </w:r>
    </w:p>
    <w:p w14:paraId="034818D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图纸需要修改和补充的，应经图纸原设计人及审批部门同意，并由监理人在工程或工程相应部位施工前将修改后的图纸或补充图纸提交给承包人，承包人应按修改或补充后的图纸施工。</w:t>
      </w:r>
    </w:p>
    <w:p w14:paraId="5797CEE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1.6.4 </w:t>
      </w:r>
      <w:r>
        <w:rPr>
          <w:rFonts w:hint="eastAsia" w:ascii="Times New Roman" w:hAnsi="Times New Roman" w:eastAsia="仿宋_GB2312" w:cs="仿宋_GB2312"/>
          <w:color w:val="auto"/>
          <w:kern w:val="0"/>
          <w:sz w:val="30"/>
          <w:szCs w:val="32"/>
          <w:highlight w:val="none"/>
          <w:lang w:eastAsia="zh-CN" w:bidi="ar"/>
        </w:rPr>
        <w:t>承包人文件</w:t>
      </w:r>
    </w:p>
    <w:p w14:paraId="4AB89EE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承包人应按照专用合同条款的约定提供应当由其编制的与工程施工有关的文件，并按照专用合同条款约定的期限、数量和形式提交监理人，并由监理人报送发包人。</w:t>
      </w:r>
    </w:p>
    <w:p w14:paraId="19A7044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除专用合同条款另有约定外，监理人应在收到承包人文件后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天内审查完毕，监理人对承包人文件有异议的，承包人应予以修改，并重新报送监理人。监理人的审查并不减轻或免除承包人根据合同约定应当承担的责任。</w:t>
      </w:r>
    </w:p>
    <w:p w14:paraId="36EF48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1.6.5 </w:t>
      </w:r>
      <w:r>
        <w:rPr>
          <w:rFonts w:hint="eastAsia" w:ascii="Times New Roman" w:hAnsi="Times New Roman" w:eastAsia="仿宋_GB2312" w:cs="仿宋_GB2312"/>
          <w:color w:val="auto"/>
          <w:kern w:val="0"/>
          <w:sz w:val="30"/>
          <w:szCs w:val="32"/>
          <w:highlight w:val="none"/>
          <w:lang w:eastAsia="zh-CN" w:bidi="ar"/>
        </w:rPr>
        <w:t>图纸和承包人文件的保管</w:t>
      </w:r>
    </w:p>
    <w:p w14:paraId="6CA88A3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除专用合同条款另有约定外，承包人应在施工现场另外保存一套完整的图纸和承包人文件，供发包人、监理人及有关人员进行工程检查时使用。</w:t>
      </w:r>
    </w:p>
    <w:p w14:paraId="70F7FF4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49" w:name="_Toc351203502"/>
      <w:r>
        <w:rPr>
          <w:rFonts w:ascii="Times New Roman" w:hAnsi="Times New Roman" w:eastAsia="黑体" w:cs="Times New Roman"/>
          <w:b w:val="0"/>
          <w:bCs/>
          <w:color w:val="auto"/>
          <w:kern w:val="2"/>
          <w:sz w:val="30"/>
          <w:szCs w:val="32"/>
          <w:highlight w:val="none"/>
          <w:lang w:val="en-US" w:eastAsia="zh-CN" w:bidi="ar-SA"/>
        </w:rPr>
        <w:t>1</w:t>
      </w:r>
      <w:bookmarkStart w:id="250" w:name="_Toc296346534"/>
      <w:bookmarkStart w:id="251" w:name="_Toc296503033"/>
      <w:bookmarkStart w:id="252" w:name="_Toc337558733"/>
      <w:r>
        <w:rPr>
          <w:rFonts w:ascii="Times New Roman" w:hAnsi="Times New Roman" w:eastAsia="黑体" w:cs="Times New Roman"/>
          <w:b w:val="0"/>
          <w:bCs/>
          <w:color w:val="auto"/>
          <w:kern w:val="2"/>
          <w:sz w:val="30"/>
          <w:szCs w:val="32"/>
          <w:highlight w:val="none"/>
          <w:lang w:val="en-US" w:eastAsia="zh-CN" w:bidi="ar-SA"/>
        </w:rPr>
        <w:t>.7</w:t>
      </w:r>
      <w:r>
        <w:rPr>
          <w:rFonts w:hint="eastAsia" w:ascii="Times New Roman" w:hAnsi="Times New Roman" w:eastAsia="黑体" w:cs="黑体"/>
          <w:b w:val="0"/>
          <w:bCs/>
          <w:color w:val="auto"/>
          <w:kern w:val="2"/>
          <w:sz w:val="30"/>
          <w:szCs w:val="32"/>
          <w:highlight w:val="none"/>
          <w:lang w:val="en-US" w:eastAsia="zh-CN" w:bidi="ar-SA"/>
        </w:rPr>
        <w:t>联络</w:t>
      </w:r>
      <w:bookmarkEnd w:id="249"/>
    </w:p>
    <w:bookmarkEnd w:id="250"/>
    <w:bookmarkEnd w:id="251"/>
    <w:bookmarkEnd w:id="252"/>
    <w:p w14:paraId="73B9F2E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1.7.1 </w:t>
      </w:r>
      <w:r>
        <w:rPr>
          <w:rFonts w:hint="eastAsia" w:ascii="Times New Roman" w:hAnsi="Times New Roman" w:eastAsia="仿宋_GB2312" w:cs="仿宋_GB2312"/>
          <w:color w:val="auto"/>
          <w:kern w:val="0"/>
          <w:sz w:val="30"/>
          <w:szCs w:val="32"/>
          <w:highlight w:val="none"/>
          <w:lang w:eastAsia="zh-CN" w:bidi="ar"/>
        </w:rPr>
        <w:t>与合同有关的通知、批准、证明、证书、指示、指令、要求、请求、同意、意见、确定和决定等，均应采用书面形式，并应在合同约定的期限内送达接收人和送达地点。</w:t>
      </w:r>
    </w:p>
    <w:p w14:paraId="2A3E96C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1.7.2 </w:t>
      </w:r>
      <w:r>
        <w:rPr>
          <w:rFonts w:hint="eastAsia" w:ascii="Times New Roman" w:hAnsi="Times New Roman" w:eastAsia="仿宋_GB2312" w:cs="仿宋_GB2312"/>
          <w:color w:val="auto"/>
          <w:kern w:val="0"/>
          <w:sz w:val="30"/>
          <w:szCs w:val="32"/>
          <w:highlight w:val="none"/>
          <w:lang w:eastAsia="zh-CN" w:bidi="ar"/>
        </w:rPr>
        <w:t>发包人和承包人应在专用合同条款中约定各自的送达接收人和送达地点。任何一方合同当事人指定的接收人或送达地点发生变动的，应提前</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天以书面形式通知对方。</w:t>
      </w:r>
    </w:p>
    <w:p w14:paraId="3D44473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1.7.3 </w:t>
      </w:r>
      <w:r>
        <w:rPr>
          <w:rFonts w:hint="eastAsia" w:ascii="Times New Roman" w:hAnsi="Times New Roman" w:eastAsia="仿宋_GB2312" w:cs="仿宋_GB2312"/>
          <w:color w:val="auto"/>
          <w:kern w:val="0"/>
          <w:sz w:val="30"/>
          <w:szCs w:val="32"/>
          <w:highlight w:val="none"/>
          <w:lang w:eastAsia="zh-CN" w:bidi="ar"/>
        </w:rPr>
        <w:t>发包人和承包人应当及时签收另一方送达至送达地点和指定接收人的来往信函。拒不签收的，由此增加的费用和（或）延误的工期由拒绝接收一方承担。</w:t>
      </w:r>
    </w:p>
    <w:p w14:paraId="4DF4CA1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53" w:name="_Toc351203503"/>
      <w:r>
        <w:rPr>
          <w:rFonts w:ascii="Times New Roman" w:hAnsi="Times New Roman" w:eastAsia="黑体" w:cs="Times New Roman"/>
          <w:b w:val="0"/>
          <w:bCs/>
          <w:color w:val="auto"/>
          <w:kern w:val="2"/>
          <w:sz w:val="30"/>
          <w:szCs w:val="32"/>
          <w:highlight w:val="none"/>
          <w:lang w:val="en-US" w:eastAsia="zh-CN" w:bidi="ar-SA"/>
        </w:rPr>
        <w:t>1</w:t>
      </w:r>
      <w:bookmarkStart w:id="254" w:name="_Toc337558734"/>
      <w:bookmarkStart w:id="255" w:name="_Toc296346536"/>
      <w:bookmarkStart w:id="256" w:name="_Toc296503035"/>
      <w:r>
        <w:rPr>
          <w:rFonts w:ascii="Times New Roman" w:hAnsi="Times New Roman" w:eastAsia="黑体" w:cs="Times New Roman"/>
          <w:b w:val="0"/>
          <w:bCs/>
          <w:color w:val="auto"/>
          <w:kern w:val="2"/>
          <w:sz w:val="30"/>
          <w:szCs w:val="32"/>
          <w:highlight w:val="none"/>
          <w:lang w:val="en-US" w:eastAsia="zh-CN" w:bidi="ar-SA"/>
        </w:rPr>
        <w:t>.8</w:t>
      </w:r>
      <w:r>
        <w:rPr>
          <w:rFonts w:hint="eastAsia" w:ascii="Times New Roman" w:hAnsi="Times New Roman" w:eastAsia="黑体" w:cs="黑体"/>
          <w:b w:val="0"/>
          <w:bCs/>
          <w:color w:val="auto"/>
          <w:kern w:val="2"/>
          <w:sz w:val="30"/>
          <w:szCs w:val="32"/>
          <w:highlight w:val="none"/>
          <w:lang w:val="en-US" w:eastAsia="zh-CN" w:bidi="ar-SA"/>
        </w:rPr>
        <w:t>严禁贿赂</w:t>
      </w:r>
      <w:bookmarkEnd w:id="253"/>
    </w:p>
    <w:bookmarkEnd w:id="254"/>
    <w:bookmarkEnd w:id="255"/>
    <w:bookmarkEnd w:id="256"/>
    <w:p w14:paraId="34E0F15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合同当事人不得以贿赂或变相贿赂的方式，谋取非法利益或损害对方权益。因一方合同当事人的贿赂造成对方损失的，应赔偿损失，并承担相应的法律责任。</w:t>
      </w:r>
    </w:p>
    <w:p w14:paraId="6417BDD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承包人不得与监理人或发包人聘请的第三方串通损害发包人利益。未经发包人书面同意，承包人不得为监理人提供合同约定以外的通讯设备、交通工具及其他任何形式的利益，不得向监理人支付报酬。</w:t>
      </w:r>
    </w:p>
    <w:p w14:paraId="18B9D09C">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57" w:name="_Toc351203504"/>
      <w:r>
        <w:rPr>
          <w:rFonts w:ascii="Times New Roman" w:hAnsi="Times New Roman" w:eastAsia="黑体" w:cs="Times New Roman"/>
          <w:b w:val="0"/>
          <w:bCs/>
          <w:color w:val="auto"/>
          <w:kern w:val="2"/>
          <w:sz w:val="30"/>
          <w:szCs w:val="32"/>
          <w:highlight w:val="none"/>
          <w:lang w:val="en-US" w:eastAsia="zh-CN" w:bidi="ar-SA"/>
        </w:rPr>
        <w:t>1</w:t>
      </w:r>
      <w:bookmarkStart w:id="258" w:name="_Toc296346537"/>
      <w:bookmarkStart w:id="259" w:name="_Toc296503036"/>
      <w:bookmarkStart w:id="260" w:name="_Toc337558735"/>
      <w:r>
        <w:rPr>
          <w:rFonts w:ascii="Times New Roman" w:hAnsi="Times New Roman" w:eastAsia="黑体" w:cs="Times New Roman"/>
          <w:b w:val="0"/>
          <w:bCs/>
          <w:color w:val="auto"/>
          <w:kern w:val="2"/>
          <w:sz w:val="30"/>
          <w:szCs w:val="32"/>
          <w:highlight w:val="none"/>
          <w:lang w:val="en-US" w:eastAsia="zh-CN" w:bidi="ar-SA"/>
        </w:rPr>
        <w:t>.9</w:t>
      </w:r>
      <w:r>
        <w:rPr>
          <w:rFonts w:hint="eastAsia" w:ascii="Times New Roman" w:hAnsi="Times New Roman" w:eastAsia="黑体" w:cs="黑体"/>
          <w:b w:val="0"/>
          <w:bCs/>
          <w:color w:val="auto"/>
          <w:kern w:val="2"/>
          <w:sz w:val="30"/>
          <w:szCs w:val="32"/>
          <w:highlight w:val="none"/>
          <w:lang w:val="en-US" w:eastAsia="zh-CN" w:bidi="ar-SA"/>
        </w:rPr>
        <w:t>化石、文物</w:t>
      </w:r>
      <w:bookmarkEnd w:id="257"/>
    </w:p>
    <w:bookmarkEnd w:id="258"/>
    <w:bookmarkEnd w:id="259"/>
    <w:bookmarkEnd w:id="260"/>
    <w:p w14:paraId="70DF180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13A11C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发包人、监理人和承包人应按有关政府行政管理部门要求采取妥善的保护措施，由此增加的费用和（或）延误的工期由发包人承担。</w:t>
      </w:r>
    </w:p>
    <w:p w14:paraId="2A1E79E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承包人发现文物后不及时报告或隐瞒不报，致使文物丢失或损坏的，应赔偿损失，并承担相应的法律责任。</w:t>
      </w:r>
    </w:p>
    <w:p w14:paraId="69B8084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61" w:name="_Toc351203505"/>
      <w:r>
        <w:rPr>
          <w:rFonts w:ascii="Times New Roman" w:hAnsi="Times New Roman" w:eastAsia="黑体" w:cs="Times New Roman"/>
          <w:b w:val="0"/>
          <w:bCs/>
          <w:color w:val="auto"/>
          <w:kern w:val="2"/>
          <w:sz w:val="30"/>
          <w:szCs w:val="32"/>
          <w:highlight w:val="none"/>
          <w:lang w:val="en-US" w:eastAsia="zh-CN" w:bidi="ar-SA"/>
        </w:rPr>
        <w:t>1</w:t>
      </w:r>
      <w:bookmarkStart w:id="262" w:name="_Toc337558736"/>
      <w:r>
        <w:rPr>
          <w:rFonts w:ascii="Times New Roman" w:hAnsi="Times New Roman" w:eastAsia="黑体" w:cs="Times New Roman"/>
          <w:b w:val="0"/>
          <w:bCs/>
          <w:color w:val="auto"/>
          <w:kern w:val="2"/>
          <w:sz w:val="30"/>
          <w:szCs w:val="32"/>
          <w:highlight w:val="none"/>
          <w:lang w:val="en-US" w:eastAsia="zh-CN" w:bidi="ar-SA"/>
        </w:rPr>
        <w:t>.10</w:t>
      </w:r>
      <w:r>
        <w:rPr>
          <w:rFonts w:hint="eastAsia" w:ascii="Times New Roman" w:hAnsi="Times New Roman" w:eastAsia="黑体" w:cs="黑体"/>
          <w:b w:val="0"/>
          <w:bCs/>
          <w:color w:val="auto"/>
          <w:kern w:val="2"/>
          <w:sz w:val="30"/>
          <w:szCs w:val="32"/>
          <w:highlight w:val="none"/>
          <w:lang w:val="en-US" w:eastAsia="zh-CN" w:bidi="ar-SA"/>
        </w:rPr>
        <w:t>交通运输</w:t>
      </w:r>
      <w:bookmarkEnd w:id="261"/>
    </w:p>
    <w:bookmarkEnd w:id="262"/>
    <w:p w14:paraId="36D8D0B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1.10.1 </w:t>
      </w:r>
      <w:r>
        <w:rPr>
          <w:rFonts w:hint="eastAsia" w:ascii="Times New Roman" w:hAnsi="Times New Roman" w:eastAsia="仿宋_GB2312" w:cs="仿宋_GB2312"/>
          <w:color w:val="auto"/>
          <w:kern w:val="0"/>
          <w:sz w:val="30"/>
          <w:szCs w:val="32"/>
          <w:highlight w:val="none"/>
          <w:lang w:eastAsia="zh-CN" w:bidi="ar"/>
        </w:rPr>
        <w:t>出入现场的权利</w:t>
      </w:r>
    </w:p>
    <w:p w14:paraId="7518C4D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6855F37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承包人应在订立合同前查勘施工现场，并根据工程规模及技术参数合理预见工程施工所需的进出施工现场的方式、手段、路径等。因承包人未合理预见所增加的费用和（或）延误的工期由承包人承担。</w:t>
      </w:r>
    </w:p>
    <w:p w14:paraId="2BFB719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1.10.2 </w:t>
      </w:r>
      <w:r>
        <w:rPr>
          <w:rFonts w:hint="eastAsia" w:ascii="Times New Roman" w:hAnsi="Times New Roman" w:eastAsia="仿宋_GB2312" w:cs="仿宋_GB2312"/>
          <w:color w:val="auto"/>
          <w:kern w:val="0"/>
          <w:sz w:val="30"/>
          <w:szCs w:val="32"/>
          <w:highlight w:val="none"/>
          <w:lang w:eastAsia="zh-CN" w:bidi="ar"/>
        </w:rPr>
        <w:t>场外交通</w:t>
      </w:r>
    </w:p>
    <w:p w14:paraId="5801CEF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3AA871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1.10.3</w:t>
      </w:r>
      <w:r>
        <w:rPr>
          <w:rFonts w:hint="eastAsia" w:ascii="Times New Roman" w:hAnsi="Times New Roman" w:eastAsia="仿宋_GB2312" w:cs="仿宋_GB2312"/>
          <w:color w:val="auto"/>
          <w:kern w:val="0"/>
          <w:sz w:val="30"/>
          <w:szCs w:val="32"/>
          <w:highlight w:val="none"/>
          <w:lang w:eastAsia="zh-CN" w:bidi="ar"/>
        </w:rPr>
        <w:t>场内交通</w:t>
      </w:r>
    </w:p>
    <w:p w14:paraId="51CF706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7BEEC34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0049B4D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场外交通和场内交通的边界由合同当事人在专用合同条款中约定。</w:t>
      </w:r>
    </w:p>
    <w:p w14:paraId="3ECCBF6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1.10.4 </w:t>
      </w:r>
      <w:r>
        <w:rPr>
          <w:rFonts w:hint="eastAsia" w:ascii="Times New Roman" w:hAnsi="Times New Roman" w:eastAsia="仿宋_GB2312" w:cs="仿宋_GB2312"/>
          <w:color w:val="auto"/>
          <w:kern w:val="0"/>
          <w:sz w:val="30"/>
          <w:szCs w:val="32"/>
          <w:highlight w:val="none"/>
          <w:lang w:eastAsia="zh-CN" w:bidi="ar"/>
        </w:rPr>
        <w:t>超大件和超重件的运输</w:t>
      </w:r>
    </w:p>
    <w:p w14:paraId="1701C6A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8D760A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1.10.5 </w:t>
      </w:r>
      <w:r>
        <w:rPr>
          <w:rFonts w:hint="eastAsia" w:ascii="Times New Roman" w:hAnsi="Times New Roman" w:eastAsia="仿宋_GB2312" w:cs="仿宋_GB2312"/>
          <w:color w:val="auto"/>
          <w:kern w:val="0"/>
          <w:sz w:val="30"/>
          <w:szCs w:val="32"/>
          <w:highlight w:val="none"/>
          <w:lang w:eastAsia="zh-CN" w:bidi="ar"/>
        </w:rPr>
        <w:t>道路和桥梁的损坏责任</w:t>
      </w:r>
    </w:p>
    <w:p w14:paraId="59FFEA1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因承包人运输造成施工场地内外公共道路和桥梁损坏的，由承包人承担修复损坏的全部费用和可能引起的赔偿。</w:t>
      </w:r>
    </w:p>
    <w:p w14:paraId="3F7ABD4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1.10.6 </w:t>
      </w:r>
      <w:r>
        <w:rPr>
          <w:rFonts w:hint="eastAsia" w:ascii="Times New Roman" w:hAnsi="Times New Roman" w:eastAsia="仿宋_GB2312" w:cs="仿宋_GB2312"/>
          <w:color w:val="auto"/>
          <w:kern w:val="0"/>
          <w:sz w:val="30"/>
          <w:szCs w:val="32"/>
          <w:highlight w:val="none"/>
          <w:lang w:eastAsia="zh-CN" w:bidi="ar"/>
        </w:rPr>
        <w:t>水路和航空运输</w:t>
      </w:r>
    </w:p>
    <w:p w14:paraId="2EE5423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本款前述各项的内容适用于水路运输和航空运输，其中</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道路</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一词的涵义包括河道、航线、船闸、机场、码头、堤防以及水路或航空运输中其他相似结构物；</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车辆</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一词的涵义包括船舶和飞机等。</w:t>
      </w:r>
    </w:p>
    <w:p w14:paraId="63F848F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63" w:name="_Toc351203506"/>
      <w:r>
        <w:rPr>
          <w:rFonts w:ascii="Times New Roman" w:hAnsi="Times New Roman" w:eastAsia="黑体" w:cs="Times New Roman"/>
          <w:b w:val="0"/>
          <w:bCs/>
          <w:color w:val="auto"/>
          <w:kern w:val="2"/>
          <w:sz w:val="30"/>
          <w:szCs w:val="32"/>
          <w:highlight w:val="none"/>
          <w:lang w:val="en-US" w:eastAsia="zh-CN" w:bidi="ar-SA"/>
        </w:rPr>
        <w:t>1</w:t>
      </w:r>
      <w:bookmarkStart w:id="264" w:name="_Toc337558737"/>
      <w:bookmarkStart w:id="265" w:name="_Toc296346538"/>
      <w:bookmarkStart w:id="266" w:name="_Toc296503037"/>
      <w:r>
        <w:rPr>
          <w:rFonts w:ascii="Times New Roman" w:hAnsi="Times New Roman" w:eastAsia="黑体" w:cs="Times New Roman"/>
          <w:b w:val="0"/>
          <w:bCs/>
          <w:color w:val="auto"/>
          <w:kern w:val="2"/>
          <w:sz w:val="30"/>
          <w:szCs w:val="32"/>
          <w:highlight w:val="none"/>
          <w:lang w:val="en-US" w:eastAsia="zh-CN" w:bidi="ar-SA"/>
        </w:rPr>
        <w:t>.11</w:t>
      </w:r>
      <w:r>
        <w:rPr>
          <w:rFonts w:hint="eastAsia" w:ascii="Times New Roman" w:hAnsi="Times New Roman" w:eastAsia="黑体" w:cs="黑体"/>
          <w:b w:val="0"/>
          <w:bCs/>
          <w:color w:val="auto"/>
          <w:kern w:val="2"/>
          <w:sz w:val="30"/>
          <w:szCs w:val="32"/>
          <w:highlight w:val="none"/>
          <w:lang w:val="en-US" w:eastAsia="zh-CN" w:bidi="ar-SA"/>
        </w:rPr>
        <w:t>知识产权</w:t>
      </w:r>
      <w:bookmarkEnd w:id="263"/>
      <w:r>
        <w:rPr>
          <w:rFonts w:ascii="Times New Roman" w:hAnsi="Times New Roman" w:eastAsia="黑体" w:cs="Times New Roman"/>
          <w:b w:val="0"/>
          <w:bCs/>
          <w:color w:val="auto"/>
          <w:kern w:val="2"/>
          <w:sz w:val="30"/>
          <w:szCs w:val="32"/>
          <w:highlight w:val="none"/>
          <w:lang w:val="en-US" w:eastAsia="zh-CN" w:bidi="ar-SA"/>
        </w:rPr>
        <w:t xml:space="preserve"> </w:t>
      </w:r>
      <w:bookmarkEnd w:id="264"/>
    </w:p>
    <w:bookmarkEnd w:id="265"/>
    <w:bookmarkEnd w:id="266"/>
    <w:p w14:paraId="1FBCA86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1.11.1 </w:t>
      </w:r>
      <w:r>
        <w:rPr>
          <w:rFonts w:hint="eastAsia" w:ascii="Times New Roman" w:hAnsi="Times New Roman" w:eastAsia="仿宋_GB2312" w:cs="仿宋_GB2312"/>
          <w:color w:val="auto"/>
          <w:kern w:val="0"/>
          <w:sz w:val="30"/>
          <w:szCs w:val="32"/>
          <w:highlight w:val="none"/>
          <w:lang w:eastAsia="zh-CN" w:bidi="ar"/>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40BD529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1.11.2 </w:t>
      </w:r>
      <w:r>
        <w:rPr>
          <w:rFonts w:hint="eastAsia" w:ascii="Times New Roman" w:hAnsi="Times New Roman" w:eastAsia="仿宋_GB2312" w:cs="仿宋_GB2312"/>
          <w:color w:val="auto"/>
          <w:kern w:val="0"/>
          <w:sz w:val="30"/>
          <w:szCs w:val="32"/>
          <w:highlight w:val="none"/>
          <w:lang w:eastAsia="zh-CN" w:bidi="ar"/>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196F65E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1.11.3 </w:t>
      </w:r>
      <w:r>
        <w:rPr>
          <w:rFonts w:hint="eastAsia" w:ascii="Times New Roman" w:hAnsi="Times New Roman" w:eastAsia="仿宋_GB2312" w:cs="仿宋_GB2312"/>
          <w:color w:val="auto"/>
          <w:kern w:val="0"/>
          <w:sz w:val="30"/>
          <w:szCs w:val="32"/>
          <w:highlight w:val="none"/>
          <w:lang w:eastAsia="zh-CN" w:bidi="ar"/>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218EE422">
      <w:pPr>
        <w:shd w:val="clear"/>
        <w:jc w:val="both"/>
        <w:rPr>
          <w:rFonts w:ascii="Times New Roman" w:hAnsi="Times New Roman" w:eastAsia="Times New Roman" w:cs="Times New Roman"/>
          <w:color w:val="auto"/>
          <w:kern w:val="0"/>
          <w:sz w:val="30"/>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1.11.4 </w:t>
      </w:r>
      <w:r>
        <w:rPr>
          <w:rFonts w:hint="eastAsia" w:ascii="Times New Roman" w:hAnsi="Times New Roman" w:eastAsia="仿宋_GB2312" w:cs="仿宋_GB2312"/>
          <w:color w:val="auto"/>
          <w:kern w:val="2"/>
          <w:sz w:val="30"/>
          <w:szCs w:val="32"/>
          <w:highlight w:val="none"/>
          <w:lang w:eastAsia="zh-CN" w:bidi="ar"/>
        </w:rPr>
        <w:t>除专用合同条款另有约定外，承包人在合同签订前和签订时已确定采用的专利、专有技术、技术秘密的使用费已包含在签约合同价中。</w:t>
      </w:r>
    </w:p>
    <w:p w14:paraId="2A52FCA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67" w:name="_Toc351203507"/>
      <w:r>
        <w:rPr>
          <w:rFonts w:ascii="Times New Roman" w:hAnsi="Times New Roman" w:eastAsia="黑体" w:cs="Times New Roman"/>
          <w:b w:val="0"/>
          <w:bCs/>
          <w:color w:val="auto"/>
          <w:kern w:val="2"/>
          <w:sz w:val="30"/>
          <w:szCs w:val="32"/>
          <w:highlight w:val="none"/>
          <w:lang w:val="en-US" w:eastAsia="zh-CN" w:bidi="ar-SA"/>
        </w:rPr>
        <w:t>1</w:t>
      </w:r>
      <w:bookmarkStart w:id="268" w:name="_Toc337558738"/>
      <w:r>
        <w:rPr>
          <w:rFonts w:ascii="Times New Roman" w:hAnsi="Times New Roman" w:eastAsia="黑体" w:cs="Times New Roman"/>
          <w:b w:val="0"/>
          <w:bCs/>
          <w:color w:val="auto"/>
          <w:kern w:val="2"/>
          <w:sz w:val="30"/>
          <w:szCs w:val="32"/>
          <w:highlight w:val="none"/>
          <w:lang w:val="en-US" w:eastAsia="zh-CN" w:bidi="ar-SA"/>
        </w:rPr>
        <w:t>.12</w:t>
      </w:r>
      <w:r>
        <w:rPr>
          <w:rFonts w:hint="eastAsia" w:ascii="Times New Roman" w:hAnsi="Times New Roman" w:eastAsia="黑体" w:cs="黑体"/>
          <w:b w:val="0"/>
          <w:bCs/>
          <w:color w:val="auto"/>
          <w:kern w:val="2"/>
          <w:sz w:val="30"/>
          <w:szCs w:val="32"/>
          <w:highlight w:val="none"/>
          <w:lang w:val="en-US" w:eastAsia="zh-CN" w:bidi="ar-SA"/>
        </w:rPr>
        <w:t>保密</w:t>
      </w:r>
      <w:bookmarkEnd w:id="267"/>
    </w:p>
    <w:bookmarkEnd w:id="268"/>
    <w:p w14:paraId="6DD941E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除法律规定或合同另有约定外，未经发包人同意，承包人不得将发包人提供的图纸、文件以及声明需要保密的资料信息等商业秘密泄露给第三方。</w:t>
      </w:r>
    </w:p>
    <w:p w14:paraId="5F51EE7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除法律规定或合同另有约定外，未经承包人同意，发包人不得将承包人提供的技术秘密及声明需要保密的资料信息等商业秘密泄露给第三方。</w:t>
      </w:r>
    </w:p>
    <w:p w14:paraId="0750E2E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69" w:name="_Toc351203508"/>
      <w:r>
        <w:rPr>
          <w:rFonts w:ascii="Times New Roman" w:hAnsi="Times New Roman" w:eastAsia="黑体" w:cs="Times New Roman"/>
          <w:b w:val="0"/>
          <w:bCs/>
          <w:color w:val="auto"/>
          <w:kern w:val="2"/>
          <w:sz w:val="30"/>
          <w:szCs w:val="32"/>
          <w:highlight w:val="none"/>
          <w:lang w:val="en-US" w:eastAsia="zh-CN" w:bidi="ar-SA"/>
        </w:rPr>
        <w:t>1.13</w:t>
      </w:r>
      <w:r>
        <w:rPr>
          <w:rFonts w:hint="eastAsia" w:ascii="Times New Roman" w:hAnsi="Times New Roman" w:eastAsia="黑体" w:cs="黑体"/>
          <w:b w:val="0"/>
          <w:bCs/>
          <w:color w:val="auto"/>
          <w:kern w:val="2"/>
          <w:sz w:val="30"/>
          <w:szCs w:val="32"/>
          <w:highlight w:val="none"/>
          <w:lang w:val="en-US" w:eastAsia="zh-CN" w:bidi="ar-SA"/>
        </w:rPr>
        <w:t>工程量清单错误的修正</w:t>
      </w:r>
      <w:bookmarkEnd w:id="269"/>
    </w:p>
    <w:p w14:paraId="43620DE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除专用合同条款另有约定外，发包人提供的工程量清单，应被认为是准确的和完整的。出现下列情形之一时，发包人应予以修正，并相应调整合同价格：</w:t>
      </w:r>
    </w:p>
    <w:p w14:paraId="019AB9C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）工程量清单存在缺项、漏项的；</w:t>
      </w:r>
    </w:p>
    <w:p w14:paraId="74851CC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）工程量清单偏差超出专用合同条款约定的工程量偏差范围的；</w:t>
      </w:r>
    </w:p>
    <w:p w14:paraId="457CDA6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）未按照国家现行计量规范强制性规定计量的。</w:t>
      </w:r>
    </w:p>
    <w:p w14:paraId="16175AB4">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270" w:name="_Toc163768556"/>
      <w:bookmarkStart w:id="271" w:name="_Toc351203509"/>
      <w:bookmarkStart w:id="272" w:name="_Toc163768438"/>
      <w:r>
        <w:rPr>
          <w:rFonts w:ascii="Times New Roman" w:hAnsi="Times New Roman" w:eastAsia="黑体" w:cs="Times New Roman"/>
          <w:b/>
          <w:bCs/>
          <w:color w:val="auto"/>
          <w:sz w:val="32"/>
          <w:szCs w:val="32"/>
          <w:highlight w:val="none"/>
          <w:lang w:val="en-US" w:eastAsia="zh-CN" w:bidi="en-US"/>
        </w:rPr>
        <w:t>2</w:t>
      </w:r>
      <w:bookmarkStart w:id="273" w:name="_Toc296503038"/>
      <w:bookmarkStart w:id="274" w:name="_Toc337558739"/>
      <w:bookmarkStart w:id="275" w:name="_Toc296346539"/>
      <w:bookmarkStart w:id="276" w:name="OLE_LINK2"/>
      <w:bookmarkStart w:id="277" w:name="OLE_LINK1"/>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发包人</w:t>
      </w:r>
      <w:bookmarkEnd w:id="270"/>
      <w:bookmarkEnd w:id="271"/>
      <w:bookmarkEnd w:id="272"/>
    </w:p>
    <w:bookmarkEnd w:id="273"/>
    <w:bookmarkEnd w:id="274"/>
    <w:bookmarkEnd w:id="275"/>
    <w:p w14:paraId="4CF5AA1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78" w:name="_Toc351203510"/>
      <w:r>
        <w:rPr>
          <w:rFonts w:ascii="Times New Roman" w:hAnsi="Times New Roman" w:eastAsia="黑体" w:cs="Times New Roman"/>
          <w:b w:val="0"/>
          <w:bCs/>
          <w:color w:val="auto"/>
          <w:kern w:val="2"/>
          <w:sz w:val="30"/>
          <w:szCs w:val="32"/>
          <w:highlight w:val="none"/>
          <w:lang w:val="en-US" w:eastAsia="zh-CN" w:bidi="ar-SA"/>
        </w:rPr>
        <w:t>2</w:t>
      </w:r>
      <w:bookmarkStart w:id="279" w:name="_Toc337558740"/>
      <w:bookmarkStart w:id="280" w:name="_Toc296503039"/>
      <w:bookmarkStart w:id="281" w:name="_Toc296346540"/>
      <w:r>
        <w:rPr>
          <w:rFonts w:ascii="Times New Roman" w:hAnsi="Times New Roman" w:eastAsia="黑体" w:cs="Times New Roman"/>
          <w:b w:val="0"/>
          <w:bCs/>
          <w:color w:val="auto"/>
          <w:kern w:val="2"/>
          <w:sz w:val="30"/>
          <w:szCs w:val="32"/>
          <w:highlight w:val="none"/>
          <w:lang w:val="en-US" w:eastAsia="zh-CN" w:bidi="ar-SA"/>
        </w:rPr>
        <w:t xml:space="preserve">.1 </w:t>
      </w:r>
      <w:r>
        <w:rPr>
          <w:rFonts w:hint="eastAsia" w:ascii="Times New Roman" w:hAnsi="Times New Roman" w:eastAsia="黑体" w:cs="黑体"/>
          <w:b w:val="0"/>
          <w:bCs/>
          <w:color w:val="auto"/>
          <w:kern w:val="2"/>
          <w:sz w:val="30"/>
          <w:szCs w:val="32"/>
          <w:highlight w:val="none"/>
          <w:lang w:val="en-US" w:eastAsia="zh-CN" w:bidi="ar-SA"/>
        </w:rPr>
        <w:t>许可或批准</w:t>
      </w:r>
      <w:bookmarkEnd w:id="278"/>
    </w:p>
    <w:p w14:paraId="7797AF3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BF4DE3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因发包人原因未能及时办理完毕前述许可、批准或备案，由发包人承担由此增加的费用和（或）延误的工期，并支付承包人合理的利润。</w:t>
      </w:r>
    </w:p>
    <w:p w14:paraId="4CDC4C8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82" w:name="_Toc351203511"/>
      <w:r>
        <w:rPr>
          <w:rFonts w:ascii="Times New Roman" w:hAnsi="Times New Roman" w:eastAsia="黑体" w:cs="Times New Roman"/>
          <w:b w:val="0"/>
          <w:bCs/>
          <w:color w:val="auto"/>
          <w:kern w:val="2"/>
          <w:sz w:val="30"/>
          <w:szCs w:val="32"/>
          <w:highlight w:val="none"/>
          <w:lang w:val="en-US" w:eastAsia="zh-CN" w:bidi="ar-SA"/>
        </w:rPr>
        <w:t xml:space="preserve">2.2 </w:t>
      </w:r>
      <w:r>
        <w:rPr>
          <w:rFonts w:hint="eastAsia" w:ascii="Times New Roman" w:hAnsi="Times New Roman" w:eastAsia="黑体" w:cs="黑体"/>
          <w:b w:val="0"/>
          <w:bCs/>
          <w:color w:val="auto"/>
          <w:kern w:val="2"/>
          <w:sz w:val="30"/>
          <w:szCs w:val="32"/>
          <w:highlight w:val="none"/>
          <w:lang w:val="en-US" w:eastAsia="zh-CN" w:bidi="ar-SA"/>
        </w:rPr>
        <w:t>发包人代表</w:t>
      </w:r>
      <w:bookmarkEnd w:id="282"/>
    </w:p>
    <w:p w14:paraId="4D82412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天书面通知承包人。</w:t>
      </w:r>
    </w:p>
    <w:p w14:paraId="037D0802">
      <w:pPr>
        <w:shd w:val="clear"/>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发包人代表不能按照合同约定履行其职责及义务，并导致合同无法继续正常履行的，承包人可以要求发包人撤换发包人代表。</w:t>
      </w:r>
    </w:p>
    <w:p w14:paraId="26590064">
      <w:pPr>
        <w:shd w:val="clear"/>
        <w:ind w:firstLine="600" w:firstLineChars="200"/>
        <w:jc w:val="both"/>
        <w:rPr>
          <w:rFonts w:ascii="Times New Roman" w:hAnsi="Times New Roman" w:eastAsia="Times New Roman" w:cs="Times New Roman"/>
          <w:color w:val="auto"/>
          <w:kern w:val="0"/>
          <w:sz w:val="30"/>
          <w:szCs w:val="2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不属于法定必须监理的工程，监理人的职权可以由发包人代表或发包人指定的其他人员行使。</w:t>
      </w:r>
    </w:p>
    <w:p w14:paraId="0D12DF6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83" w:name="_Toc351203512"/>
      <w:r>
        <w:rPr>
          <w:rFonts w:ascii="Times New Roman" w:hAnsi="Times New Roman" w:eastAsia="黑体" w:cs="Times New Roman"/>
          <w:b w:val="0"/>
          <w:bCs/>
          <w:color w:val="auto"/>
          <w:kern w:val="2"/>
          <w:sz w:val="30"/>
          <w:szCs w:val="32"/>
          <w:highlight w:val="none"/>
          <w:lang w:val="en-US" w:eastAsia="zh-CN" w:bidi="ar-SA"/>
        </w:rPr>
        <w:t xml:space="preserve">2.3 </w:t>
      </w:r>
      <w:r>
        <w:rPr>
          <w:rFonts w:hint="eastAsia" w:ascii="Times New Roman" w:hAnsi="Times New Roman" w:eastAsia="黑体" w:cs="黑体"/>
          <w:b w:val="0"/>
          <w:bCs/>
          <w:color w:val="auto"/>
          <w:kern w:val="2"/>
          <w:sz w:val="30"/>
          <w:szCs w:val="32"/>
          <w:highlight w:val="none"/>
          <w:lang w:val="en-US" w:eastAsia="zh-CN" w:bidi="ar-SA"/>
        </w:rPr>
        <w:t>发包人人员</w:t>
      </w:r>
      <w:bookmarkEnd w:id="283"/>
    </w:p>
    <w:p w14:paraId="54C8E29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发包人应要求在施工现场的发包人人员遵守法律及有关安全、质量、环境保护、文明施工等规定，并保障承包人免于承受因发包人人员未遵守上述要求给承包人造成的损失和责任。</w:t>
      </w:r>
    </w:p>
    <w:p w14:paraId="6F918878">
      <w:pPr>
        <w:shd w:val="clear"/>
        <w:spacing w:line="360" w:lineRule="auto"/>
        <w:ind w:firstLine="64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发包人人员包括发包人代表及其他由发包人派驻施工现场的人员。</w:t>
      </w:r>
      <w:bookmarkEnd w:id="279"/>
      <w:bookmarkEnd w:id="280"/>
      <w:bookmarkEnd w:id="281"/>
    </w:p>
    <w:p w14:paraId="140F1EC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84" w:name="_Toc351203513"/>
      <w:r>
        <w:rPr>
          <w:rFonts w:ascii="Times New Roman" w:hAnsi="Times New Roman" w:eastAsia="黑体" w:cs="Times New Roman"/>
          <w:b w:val="0"/>
          <w:bCs/>
          <w:color w:val="auto"/>
          <w:kern w:val="2"/>
          <w:sz w:val="30"/>
          <w:szCs w:val="32"/>
          <w:highlight w:val="none"/>
          <w:lang w:val="en-US" w:eastAsia="zh-CN" w:bidi="ar-SA"/>
        </w:rPr>
        <w:t>2</w:t>
      </w:r>
      <w:bookmarkStart w:id="285" w:name="_Toc296503040"/>
      <w:bookmarkStart w:id="286" w:name="_Toc337558741"/>
      <w:bookmarkStart w:id="287" w:name="_Toc296346541"/>
      <w:r>
        <w:rPr>
          <w:rFonts w:ascii="Times New Roman" w:hAnsi="Times New Roman" w:eastAsia="黑体" w:cs="Times New Roman"/>
          <w:b w:val="0"/>
          <w:bCs/>
          <w:color w:val="auto"/>
          <w:kern w:val="2"/>
          <w:sz w:val="30"/>
          <w:szCs w:val="32"/>
          <w:highlight w:val="none"/>
          <w:lang w:val="en-US" w:eastAsia="zh-CN" w:bidi="ar-SA"/>
        </w:rPr>
        <w:t xml:space="preserve">.4 </w:t>
      </w:r>
      <w:r>
        <w:rPr>
          <w:rFonts w:hint="eastAsia" w:ascii="Times New Roman" w:hAnsi="Times New Roman" w:eastAsia="黑体" w:cs="黑体"/>
          <w:b w:val="0"/>
          <w:bCs/>
          <w:color w:val="auto"/>
          <w:kern w:val="2"/>
          <w:sz w:val="30"/>
          <w:szCs w:val="32"/>
          <w:highlight w:val="none"/>
          <w:lang w:val="en-US" w:eastAsia="zh-CN" w:bidi="ar-SA"/>
        </w:rPr>
        <w:t>施工现场、施工条件和基础资料的提供</w:t>
      </w:r>
      <w:bookmarkEnd w:id="284"/>
      <w:r>
        <w:rPr>
          <w:rFonts w:ascii="Times New Roman" w:hAnsi="Times New Roman" w:eastAsia="黑体" w:cs="Times New Roman"/>
          <w:b w:val="0"/>
          <w:bCs/>
          <w:color w:val="auto"/>
          <w:kern w:val="2"/>
          <w:sz w:val="30"/>
          <w:szCs w:val="32"/>
          <w:highlight w:val="none"/>
          <w:lang w:val="en-US" w:eastAsia="zh-CN" w:bidi="ar-SA"/>
        </w:rPr>
        <w:t xml:space="preserve"> </w:t>
      </w:r>
      <w:bookmarkEnd w:id="285"/>
      <w:bookmarkEnd w:id="286"/>
      <w:bookmarkEnd w:id="287"/>
      <w:r>
        <w:rPr>
          <w:rFonts w:ascii="Times New Roman" w:hAnsi="Times New Roman" w:eastAsia="黑体" w:cs="Times New Roman"/>
          <w:b w:val="0"/>
          <w:bCs/>
          <w:color w:val="auto"/>
          <w:kern w:val="2"/>
          <w:sz w:val="30"/>
          <w:szCs w:val="32"/>
          <w:highlight w:val="none"/>
          <w:lang w:val="en-US" w:eastAsia="zh-CN" w:bidi="ar-SA"/>
        </w:rPr>
        <w:t xml:space="preserve"> </w:t>
      </w:r>
    </w:p>
    <w:p w14:paraId="4C353E1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2.4.1 </w:t>
      </w:r>
      <w:r>
        <w:rPr>
          <w:rFonts w:hint="eastAsia" w:ascii="Times New Roman" w:hAnsi="Times New Roman" w:eastAsia="仿宋_GB2312" w:cs="仿宋_GB2312"/>
          <w:color w:val="auto"/>
          <w:kern w:val="0"/>
          <w:sz w:val="30"/>
          <w:szCs w:val="32"/>
          <w:highlight w:val="none"/>
          <w:lang w:eastAsia="zh-CN" w:bidi="ar"/>
        </w:rPr>
        <w:t>提供施工现场</w:t>
      </w:r>
    </w:p>
    <w:p w14:paraId="208153A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w:t>
      </w:r>
      <w:bookmarkEnd w:id="276"/>
      <w:bookmarkEnd w:id="277"/>
      <w:r>
        <w:rPr>
          <w:rFonts w:hint="eastAsia" w:ascii="Times New Roman" w:hAnsi="Times New Roman" w:eastAsia="仿宋_GB2312" w:cs="仿宋_GB2312"/>
          <w:color w:val="auto"/>
          <w:kern w:val="0"/>
          <w:sz w:val="30"/>
          <w:szCs w:val="32"/>
          <w:highlight w:val="none"/>
          <w:lang w:eastAsia="zh-CN" w:bidi="ar"/>
        </w:rPr>
        <w:t>专用合同条款另有约定外，发包人应最迟于开工日期</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天前向承包人移交施工现场。</w:t>
      </w:r>
    </w:p>
    <w:p w14:paraId="66DCBCE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2.4.2 </w:t>
      </w:r>
      <w:r>
        <w:rPr>
          <w:rFonts w:hint="eastAsia" w:ascii="Times New Roman" w:hAnsi="Times New Roman" w:eastAsia="仿宋_GB2312" w:cs="仿宋_GB2312"/>
          <w:color w:val="auto"/>
          <w:kern w:val="0"/>
          <w:sz w:val="30"/>
          <w:szCs w:val="32"/>
          <w:highlight w:val="none"/>
          <w:lang w:eastAsia="zh-CN" w:bidi="ar"/>
        </w:rPr>
        <w:t>提供施工条件</w:t>
      </w:r>
    </w:p>
    <w:p w14:paraId="3B19094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除专用合同条款另有约定外，发包人应负责提供施工所需要的条件，包括：</w:t>
      </w:r>
    </w:p>
    <w:p w14:paraId="422BB96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）将施工用水、电力、通讯线路等施工所必需的条件接至施工现场内；</w:t>
      </w:r>
    </w:p>
    <w:p w14:paraId="7340093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）保证向承包人提供正常施工所需要的进入施工现场的交通条件；</w:t>
      </w:r>
    </w:p>
    <w:p w14:paraId="2CC36BA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）协调处理施工现场周围地下管线和邻近建筑物、构筑物、古树名木的保护工作，并承担相关费用；</w:t>
      </w:r>
    </w:p>
    <w:p w14:paraId="1501D26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）按照专用合同条款约定应提供的其他设施和条件。</w:t>
      </w:r>
    </w:p>
    <w:p w14:paraId="4414C49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2.4.3 </w:t>
      </w:r>
      <w:r>
        <w:rPr>
          <w:rFonts w:hint="eastAsia" w:ascii="Times New Roman" w:hAnsi="Times New Roman" w:eastAsia="仿宋_GB2312" w:cs="仿宋_GB2312"/>
          <w:color w:val="auto"/>
          <w:kern w:val="0"/>
          <w:sz w:val="30"/>
          <w:szCs w:val="32"/>
          <w:highlight w:val="none"/>
          <w:lang w:eastAsia="zh-CN" w:bidi="ar"/>
        </w:rPr>
        <w:t>提供基础资料</w:t>
      </w:r>
    </w:p>
    <w:p w14:paraId="39F309B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2E7DD0B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按照法律规定确需在开工后方能提供的基础资料，发包人应尽其努力及时地在相应工程施工前的合理期限内提供，合理期限应以不影响承包人的正常施工为限。</w:t>
      </w:r>
    </w:p>
    <w:p w14:paraId="1D2315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2.4.4 </w:t>
      </w:r>
      <w:r>
        <w:rPr>
          <w:rFonts w:hint="eastAsia" w:ascii="Times New Roman" w:hAnsi="Times New Roman" w:eastAsia="仿宋_GB2312" w:cs="仿宋_GB2312"/>
          <w:color w:val="auto"/>
          <w:kern w:val="0"/>
          <w:sz w:val="30"/>
          <w:szCs w:val="32"/>
          <w:highlight w:val="none"/>
          <w:lang w:eastAsia="zh-CN" w:bidi="ar"/>
        </w:rPr>
        <w:t>逾期提供的责任</w:t>
      </w:r>
    </w:p>
    <w:p w14:paraId="01C8020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因发包人原因未能按合同约定及时向承包人提供施工现场、施工条件、基础资料的，由发包人承担由此增加的费用和（或）延误的工期。</w:t>
      </w:r>
    </w:p>
    <w:p w14:paraId="667123F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88" w:name="_Toc351203514"/>
      <w:r>
        <w:rPr>
          <w:rFonts w:ascii="Times New Roman" w:hAnsi="Times New Roman" w:eastAsia="黑体" w:cs="Times New Roman"/>
          <w:b w:val="0"/>
          <w:bCs/>
          <w:color w:val="auto"/>
          <w:kern w:val="2"/>
          <w:sz w:val="30"/>
          <w:szCs w:val="32"/>
          <w:highlight w:val="none"/>
          <w:lang w:val="en-US" w:eastAsia="zh-CN" w:bidi="ar-SA"/>
        </w:rPr>
        <w:t>2</w:t>
      </w:r>
      <w:bookmarkStart w:id="289" w:name="_Toc296503042"/>
      <w:bookmarkStart w:id="290" w:name="_Toc337558745"/>
      <w:bookmarkStart w:id="291" w:name="_Toc296346543"/>
      <w:r>
        <w:rPr>
          <w:rFonts w:ascii="Times New Roman" w:hAnsi="Times New Roman" w:eastAsia="黑体" w:cs="Times New Roman"/>
          <w:b w:val="0"/>
          <w:bCs/>
          <w:color w:val="auto"/>
          <w:kern w:val="2"/>
          <w:sz w:val="30"/>
          <w:szCs w:val="32"/>
          <w:highlight w:val="none"/>
          <w:lang w:val="en-US" w:eastAsia="zh-CN" w:bidi="ar-SA"/>
        </w:rPr>
        <w:t xml:space="preserve">.5 </w:t>
      </w:r>
      <w:r>
        <w:rPr>
          <w:rFonts w:hint="eastAsia" w:ascii="Times New Roman" w:hAnsi="Times New Roman" w:eastAsia="黑体" w:cs="黑体"/>
          <w:b w:val="0"/>
          <w:bCs/>
          <w:color w:val="auto"/>
          <w:kern w:val="2"/>
          <w:sz w:val="30"/>
          <w:szCs w:val="32"/>
          <w:highlight w:val="none"/>
          <w:lang w:val="en-US" w:eastAsia="zh-CN" w:bidi="ar-SA"/>
        </w:rPr>
        <w:t>资</w:t>
      </w:r>
      <w:bookmarkEnd w:id="289"/>
      <w:bookmarkEnd w:id="290"/>
      <w:bookmarkEnd w:id="291"/>
      <w:r>
        <w:rPr>
          <w:rFonts w:hint="eastAsia" w:ascii="Times New Roman" w:hAnsi="Times New Roman" w:eastAsia="黑体" w:cs="黑体"/>
          <w:b w:val="0"/>
          <w:bCs/>
          <w:color w:val="auto"/>
          <w:kern w:val="2"/>
          <w:sz w:val="30"/>
          <w:szCs w:val="32"/>
          <w:highlight w:val="none"/>
          <w:lang w:val="en-US" w:eastAsia="zh-CN" w:bidi="ar-SA"/>
        </w:rPr>
        <w:t>金来源证明及支付担保</w:t>
      </w:r>
      <w:bookmarkEnd w:id="288"/>
    </w:p>
    <w:p w14:paraId="11E3F4F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除专用合同条款另有约定外，发包人应在收到承包人要求提供资金来源证明的书面通知后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天内，向承包人提供能够按照合同约定支付合同价款的相应资金来源证明。</w:t>
      </w:r>
    </w:p>
    <w:p w14:paraId="587B2BB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除专用合同条款另有约定外，发包人要求承包人提供履约担保的，发包人应当向承包人提供支付担保。支付担保可以采用银行保函或担保公司担保等形式，具体由合同当事人在专用合同条款中约定。</w:t>
      </w:r>
    </w:p>
    <w:p w14:paraId="458CCF2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92" w:name="_Toc351203515"/>
      <w:r>
        <w:rPr>
          <w:rFonts w:ascii="Times New Roman" w:hAnsi="Times New Roman" w:eastAsia="黑体" w:cs="Times New Roman"/>
          <w:b w:val="0"/>
          <w:bCs/>
          <w:color w:val="auto"/>
          <w:kern w:val="2"/>
          <w:sz w:val="30"/>
          <w:szCs w:val="32"/>
          <w:highlight w:val="none"/>
          <w:lang w:val="en-US" w:eastAsia="zh-CN" w:bidi="ar-SA"/>
        </w:rPr>
        <w:t xml:space="preserve">2.6 </w:t>
      </w:r>
      <w:r>
        <w:rPr>
          <w:rFonts w:hint="eastAsia" w:ascii="Times New Roman" w:hAnsi="Times New Roman" w:eastAsia="黑体" w:cs="黑体"/>
          <w:b w:val="0"/>
          <w:bCs/>
          <w:color w:val="auto"/>
          <w:kern w:val="2"/>
          <w:sz w:val="30"/>
          <w:szCs w:val="32"/>
          <w:highlight w:val="none"/>
          <w:lang w:val="en-US" w:eastAsia="zh-CN" w:bidi="ar-SA"/>
        </w:rPr>
        <w:t>支付合同价款</w:t>
      </w:r>
      <w:bookmarkEnd w:id="292"/>
    </w:p>
    <w:p w14:paraId="58F9C37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发包人应按合同约定向承包人及时支付合同价款。</w:t>
      </w:r>
    </w:p>
    <w:p w14:paraId="79E21AE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93" w:name="_Toc351203516"/>
      <w:r>
        <w:rPr>
          <w:rFonts w:ascii="Times New Roman" w:hAnsi="Times New Roman" w:eastAsia="黑体" w:cs="Times New Roman"/>
          <w:b w:val="0"/>
          <w:bCs/>
          <w:color w:val="auto"/>
          <w:kern w:val="2"/>
          <w:sz w:val="30"/>
          <w:szCs w:val="32"/>
          <w:highlight w:val="none"/>
          <w:lang w:val="en-US" w:eastAsia="zh-CN" w:bidi="ar-SA"/>
        </w:rPr>
        <w:t xml:space="preserve">2.7 </w:t>
      </w:r>
      <w:r>
        <w:rPr>
          <w:rFonts w:hint="eastAsia" w:ascii="Times New Roman" w:hAnsi="Times New Roman" w:eastAsia="黑体" w:cs="黑体"/>
          <w:b w:val="0"/>
          <w:bCs/>
          <w:color w:val="auto"/>
          <w:kern w:val="2"/>
          <w:sz w:val="30"/>
          <w:szCs w:val="32"/>
          <w:highlight w:val="none"/>
          <w:lang w:val="en-US" w:eastAsia="zh-CN" w:bidi="ar-SA"/>
        </w:rPr>
        <w:t>组织竣工验收</w:t>
      </w:r>
      <w:bookmarkEnd w:id="293"/>
    </w:p>
    <w:p w14:paraId="096FE50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发包人应按合同约定及时组织竣工验收。</w:t>
      </w:r>
    </w:p>
    <w:p w14:paraId="72D0DCC4">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294" w:name="_Toc351203517"/>
      <w:r>
        <w:rPr>
          <w:rFonts w:ascii="Times New Roman" w:hAnsi="Times New Roman" w:eastAsia="黑体" w:cs="Times New Roman"/>
          <w:b w:val="0"/>
          <w:bCs/>
          <w:color w:val="auto"/>
          <w:kern w:val="2"/>
          <w:sz w:val="30"/>
          <w:szCs w:val="32"/>
          <w:highlight w:val="none"/>
          <w:lang w:val="en-US" w:eastAsia="zh-CN" w:bidi="ar-SA"/>
        </w:rPr>
        <w:t xml:space="preserve">2.8 </w:t>
      </w:r>
      <w:r>
        <w:rPr>
          <w:rFonts w:hint="eastAsia" w:ascii="Times New Roman" w:hAnsi="Times New Roman" w:eastAsia="黑体" w:cs="黑体"/>
          <w:b w:val="0"/>
          <w:bCs/>
          <w:color w:val="auto"/>
          <w:kern w:val="2"/>
          <w:sz w:val="30"/>
          <w:szCs w:val="32"/>
          <w:highlight w:val="none"/>
          <w:lang w:val="en-US" w:eastAsia="zh-CN" w:bidi="ar-SA"/>
        </w:rPr>
        <w:t>现场统一管理协议</w:t>
      </w:r>
      <w:bookmarkEnd w:id="294"/>
    </w:p>
    <w:p w14:paraId="6A52230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发包人应与承包人、由发包人直接发包的专业工程的承包人签订施工现场统一管理协议，明确各方的权利义务。施工现场统一管理协议作为专用合同条款的附件。</w:t>
      </w:r>
    </w:p>
    <w:p w14:paraId="18924145">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295" w:name="_Toc163768557"/>
      <w:bookmarkStart w:id="296" w:name="_Toc351203518"/>
      <w:bookmarkStart w:id="297" w:name="_Toc163768439"/>
      <w:r>
        <w:rPr>
          <w:rFonts w:ascii="Times New Roman" w:hAnsi="Times New Roman" w:eastAsia="黑体" w:cs="Times New Roman"/>
          <w:b/>
          <w:bCs/>
          <w:color w:val="auto"/>
          <w:sz w:val="32"/>
          <w:szCs w:val="32"/>
          <w:highlight w:val="none"/>
          <w:lang w:val="en-US" w:eastAsia="zh-CN" w:bidi="en-US"/>
        </w:rPr>
        <w:t>3</w:t>
      </w:r>
      <w:bookmarkStart w:id="298" w:name="_Toc296503045"/>
      <w:bookmarkStart w:id="299" w:name="_Toc337558746"/>
      <w:bookmarkStart w:id="300" w:name="_Toc296346546"/>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承包人</w:t>
      </w:r>
      <w:bookmarkEnd w:id="295"/>
      <w:bookmarkEnd w:id="296"/>
      <w:bookmarkEnd w:id="297"/>
    </w:p>
    <w:bookmarkEnd w:id="298"/>
    <w:bookmarkEnd w:id="299"/>
    <w:bookmarkEnd w:id="300"/>
    <w:p w14:paraId="360023E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01" w:name="_Toc351203519"/>
      <w:r>
        <w:rPr>
          <w:rFonts w:ascii="Times New Roman" w:hAnsi="Times New Roman" w:eastAsia="黑体" w:cs="Times New Roman"/>
          <w:b w:val="0"/>
          <w:bCs/>
          <w:color w:val="auto"/>
          <w:kern w:val="2"/>
          <w:sz w:val="30"/>
          <w:szCs w:val="32"/>
          <w:highlight w:val="none"/>
          <w:lang w:val="en-US" w:eastAsia="zh-CN" w:bidi="ar-SA"/>
        </w:rPr>
        <w:t>3</w:t>
      </w:r>
      <w:bookmarkStart w:id="302" w:name="_Toc337558747"/>
      <w:bookmarkStart w:id="303" w:name="_Toc296503046"/>
      <w:bookmarkStart w:id="304" w:name="_Toc296346547"/>
      <w:r>
        <w:rPr>
          <w:rFonts w:ascii="Times New Roman" w:hAnsi="Times New Roman" w:eastAsia="黑体" w:cs="Times New Roman"/>
          <w:b w:val="0"/>
          <w:bCs/>
          <w:color w:val="auto"/>
          <w:kern w:val="2"/>
          <w:sz w:val="30"/>
          <w:szCs w:val="32"/>
          <w:highlight w:val="none"/>
          <w:lang w:val="en-US" w:eastAsia="zh-CN" w:bidi="ar-SA"/>
        </w:rPr>
        <w:t xml:space="preserve">.1 </w:t>
      </w:r>
      <w:r>
        <w:rPr>
          <w:rFonts w:hint="eastAsia" w:ascii="Times New Roman" w:hAnsi="Times New Roman" w:eastAsia="黑体" w:cs="黑体"/>
          <w:b w:val="0"/>
          <w:bCs/>
          <w:color w:val="auto"/>
          <w:kern w:val="2"/>
          <w:sz w:val="30"/>
          <w:szCs w:val="32"/>
          <w:highlight w:val="none"/>
          <w:lang w:val="en-US" w:eastAsia="zh-CN" w:bidi="ar-SA"/>
        </w:rPr>
        <w:t>承包人的一般义务</w:t>
      </w:r>
      <w:bookmarkEnd w:id="301"/>
    </w:p>
    <w:bookmarkEnd w:id="302"/>
    <w:bookmarkEnd w:id="303"/>
    <w:bookmarkEnd w:id="304"/>
    <w:p w14:paraId="4F6EE63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承包人在履行合同过程中应遵守法律和工程建设标准规范，并履行以下义务：</w:t>
      </w:r>
    </w:p>
    <w:p w14:paraId="5182B4E2">
      <w:pPr>
        <w:numPr>
          <w:ilvl w:val="0"/>
          <w:numId w:val="10"/>
        </w:num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办理法律规定应由承包人办理的许可和批准，并将办理结果书面报送发包人留存；</w:t>
      </w:r>
    </w:p>
    <w:p w14:paraId="13BEEA3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）按法律规定和合同约定完成工程，并在保修期内承担保修义务；</w:t>
      </w:r>
    </w:p>
    <w:p w14:paraId="193DC9F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）按法律规定和合同约定采取施工安全和环境保护措施，办理工伤保险，确保工程及人员、材料、设备和设施的安全；</w:t>
      </w:r>
    </w:p>
    <w:p w14:paraId="02FAC1B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）按合同约定的工作内容和施工进度要求，编制施工组织设计和施工措施计划，并对所有施工作业和施工方法的完备性和安全可靠性负责；</w:t>
      </w:r>
    </w:p>
    <w:p w14:paraId="738FF74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FF5EBE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）按照第</w:t>
      </w:r>
      <w:r>
        <w:rPr>
          <w:rFonts w:ascii="Times New Roman" w:hAnsi="Times New Roman" w:eastAsia="仿宋_GB2312" w:cs="Times New Roman"/>
          <w:color w:val="auto"/>
          <w:kern w:val="0"/>
          <w:sz w:val="30"/>
          <w:szCs w:val="32"/>
          <w:highlight w:val="none"/>
          <w:lang w:eastAsia="zh-CN" w:bidi="ar"/>
        </w:rPr>
        <w:t>6.3</w:t>
      </w:r>
      <w:r>
        <w:rPr>
          <w:rFonts w:hint="eastAsia" w:ascii="Times New Roman" w:hAnsi="Times New Roman" w:eastAsia="仿宋_GB2312" w:cs="仿宋_GB2312"/>
          <w:color w:val="auto"/>
          <w:kern w:val="0"/>
          <w:sz w:val="30"/>
          <w:szCs w:val="32"/>
          <w:highlight w:val="none"/>
          <w:lang w:eastAsia="zh-CN" w:bidi="ar"/>
        </w:rPr>
        <w:t>款〔环境保护〕约定负责施工场地及其周边环境与生态的保护工作；</w:t>
      </w:r>
    </w:p>
    <w:p w14:paraId="1F3E09E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）按第</w:t>
      </w:r>
      <w:r>
        <w:rPr>
          <w:rFonts w:ascii="Times New Roman" w:hAnsi="Times New Roman" w:eastAsia="仿宋_GB2312" w:cs="Times New Roman"/>
          <w:color w:val="auto"/>
          <w:kern w:val="0"/>
          <w:sz w:val="30"/>
          <w:szCs w:val="32"/>
          <w:highlight w:val="none"/>
          <w:lang w:eastAsia="zh-CN" w:bidi="ar"/>
        </w:rPr>
        <w:t>6.1</w:t>
      </w:r>
      <w:r>
        <w:rPr>
          <w:rFonts w:hint="eastAsia" w:ascii="Times New Roman" w:hAnsi="Times New Roman" w:eastAsia="仿宋_GB2312" w:cs="仿宋_GB2312"/>
          <w:color w:val="auto"/>
          <w:kern w:val="0"/>
          <w:sz w:val="30"/>
          <w:szCs w:val="32"/>
          <w:highlight w:val="none"/>
          <w:lang w:eastAsia="zh-CN" w:bidi="ar"/>
        </w:rPr>
        <w:t>款〔安全文明施工〕约定采取施工安全措施，确保工程及其人员、材料、设备和设施的安全，防止因工程施工造成的人身伤害和财产损失；</w:t>
      </w:r>
    </w:p>
    <w:p w14:paraId="56D1A27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8</w:t>
      </w:r>
      <w:r>
        <w:rPr>
          <w:rFonts w:hint="eastAsia" w:ascii="Times New Roman" w:hAnsi="Times New Roman" w:eastAsia="仿宋_GB2312" w:cs="仿宋_GB2312"/>
          <w:color w:val="auto"/>
          <w:kern w:val="0"/>
          <w:sz w:val="30"/>
          <w:szCs w:val="32"/>
          <w:highlight w:val="none"/>
          <w:lang w:eastAsia="zh-CN" w:bidi="ar"/>
        </w:rPr>
        <w:t>）将发包人按合同约定支付的各项价款专用于合同工程，且应及时支付其雇用人员工资，并及时向分包人支付合同价款；</w:t>
      </w:r>
    </w:p>
    <w:p w14:paraId="6D3A89C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9</w:t>
      </w:r>
      <w:r>
        <w:rPr>
          <w:rFonts w:hint="eastAsia" w:ascii="Times New Roman" w:hAnsi="Times New Roman" w:eastAsia="仿宋_GB2312" w:cs="仿宋_GB2312"/>
          <w:color w:val="auto"/>
          <w:kern w:val="0"/>
          <w:sz w:val="30"/>
          <w:szCs w:val="32"/>
          <w:highlight w:val="none"/>
          <w:lang w:eastAsia="zh-CN" w:bidi="ar"/>
        </w:rPr>
        <w:t>）按照法律规定和合同约定编制竣工资料，完成竣工资料立卷及归档，并按专用合同条款约定的竣工资料的套数、内容、时间等要求移交发包人；</w:t>
      </w:r>
    </w:p>
    <w:p w14:paraId="6529B3A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10</w:t>
      </w:r>
      <w:r>
        <w:rPr>
          <w:rFonts w:hint="eastAsia" w:ascii="Times New Roman" w:hAnsi="Times New Roman" w:eastAsia="仿宋_GB2312" w:cs="仿宋_GB2312"/>
          <w:color w:val="auto"/>
          <w:kern w:val="0"/>
          <w:sz w:val="30"/>
          <w:szCs w:val="32"/>
          <w:highlight w:val="none"/>
          <w:lang w:eastAsia="zh-CN" w:bidi="ar"/>
        </w:rPr>
        <w:t>）应履行的其他义务。</w:t>
      </w:r>
    </w:p>
    <w:p w14:paraId="416D3BB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05" w:name="_Toc351203520"/>
      <w:r>
        <w:rPr>
          <w:rFonts w:ascii="Times New Roman" w:hAnsi="Times New Roman" w:eastAsia="黑体" w:cs="Times New Roman"/>
          <w:b w:val="0"/>
          <w:bCs/>
          <w:color w:val="auto"/>
          <w:kern w:val="2"/>
          <w:sz w:val="30"/>
          <w:szCs w:val="32"/>
          <w:highlight w:val="none"/>
          <w:lang w:val="en-US" w:eastAsia="zh-CN" w:bidi="ar-SA"/>
        </w:rPr>
        <w:t>3</w:t>
      </w:r>
      <w:bookmarkStart w:id="306" w:name="_Toc337558748"/>
      <w:bookmarkStart w:id="307" w:name="_Toc296346548"/>
      <w:bookmarkStart w:id="308" w:name="_Toc296503047"/>
      <w:r>
        <w:rPr>
          <w:rFonts w:ascii="Times New Roman" w:hAnsi="Times New Roman" w:eastAsia="黑体" w:cs="Times New Roman"/>
          <w:b w:val="0"/>
          <w:bCs/>
          <w:color w:val="auto"/>
          <w:kern w:val="2"/>
          <w:sz w:val="30"/>
          <w:szCs w:val="32"/>
          <w:highlight w:val="none"/>
          <w:lang w:val="en-US" w:eastAsia="zh-CN" w:bidi="ar-SA"/>
        </w:rPr>
        <w:t xml:space="preserve">.2 </w:t>
      </w:r>
      <w:bookmarkEnd w:id="305"/>
      <w:r>
        <w:rPr>
          <w:rFonts w:hint="eastAsia" w:ascii="Times New Roman" w:hAnsi="Times New Roman" w:eastAsia="黑体" w:cs="黑体"/>
          <w:b w:val="0"/>
          <w:bCs/>
          <w:color w:val="auto"/>
          <w:kern w:val="2"/>
          <w:sz w:val="30"/>
          <w:szCs w:val="32"/>
          <w:highlight w:val="none"/>
          <w:lang w:val="en-US" w:eastAsia="zh-CN" w:bidi="ar-SA"/>
        </w:rPr>
        <w:t>项目经理</w:t>
      </w:r>
    </w:p>
    <w:bookmarkEnd w:id="306"/>
    <w:bookmarkEnd w:id="307"/>
    <w:bookmarkEnd w:id="308"/>
    <w:p w14:paraId="4FBFA0A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3.2.1 </w:t>
      </w:r>
      <w:r>
        <w:rPr>
          <w:rFonts w:hint="eastAsia" w:ascii="Times New Roman" w:hAnsi="Times New Roman" w:eastAsia="仿宋_GB2312" w:cs="仿宋_GB2312"/>
          <w:color w:val="auto"/>
          <w:kern w:val="0"/>
          <w:sz w:val="30"/>
          <w:szCs w:val="32"/>
          <w:highlight w:val="none"/>
          <w:lang w:eastAsia="zh-CN" w:bidi="ar"/>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385D2CB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1D5DE85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承包人违反上述约定的，应按照专用合同条款的约定，承担违约责任。</w:t>
      </w:r>
    </w:p>
    <w:p w14:paraId="4841207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3.2.2 </w:t>
      </w:r>
      <w:r>
        <w:rPr>
          <w:rFonts w:hint="eastAsia" w:ascii="Times New Roman" w:hAnsi="Times New Roman" w:eastAsia="仿宋_GB2312" w:cs="仿宋_GB2312"/>
          <w:color w:val="auto"/>
          <w:kern w:val="0"/>
          <w:sz w:val="30"/>
          <w:szCs w:val="32"/>
          <w:highlight w:val="none"/>
          <w:lang w:eastAsia="zh-CN" w:bidi="ar"/>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小时内向发包人代表和总监理工程师提交书面报告。</w:t>
      </w:r>
    </w:p>
    <w:p w14:paraId="1C1BBA8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3.2.3 </w:t>
      </w:r>
      <w:r>
        <w:rPr>
          <w:rFonts w:hint="eastAsia" w:ascii="Times New Roman" w:hAnsi="Times New Roman" w:eastAsia="仿宋_GB2312" w:cs="仿宋_GB2312"/>
          <w:color w:val="auto"/>
          <w:kern w:val="0"/>
          <w:sz w:val="30"/>
          <w:szCs w:val="32"/>
          <w:highlight w:val="none"/>
          <w:lang w:eastAsia="zh-CN" w:bidi="ar"/>
        </w:rPr>
        <w:t>承包人需要更换项目经理的，应提前</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天书面通知发包人和监理人，并征得发包人书面同意。通知中应当载明继任项目经理的注册执业资格、管理经验等资料，继任项目经理继续履行第</w:t>
      </w:r>
      <w:r>
        <w:rPr>
          <w:rFonts w:ascii="Times New Roman" w:hAnsi="Times New Roman" w:eastAsia="仿宋_GB2312" w:cs="Times New Roman"/>
          <w:color w:val="auto"/>
          <w:kern w:val="0"/>
          <w:sz w:val="30"/>
          <w:szCs w:val="32"/>
          <w:highlight w:val="none"/>
          <w:lang w:eastAsia="zh-CN" w:bidi="ar"/>
        </w:rPr>
        <w:t>3.2.1</w:t>
      </w:r>
      <w:r>
        <w:rPr>
          <w:rFonts w:hint="eastAsia" w:ascii="Times New Roman" w:hAnsi="Times New Roman" w:eastAsia="仿宋_GB2312" w:cs="仿宋_GB2312"/>
          <w:color w:val="auto"/>
          <w:kern w:val="0"/>
          <w:sz w:val="30"/>
          <w:szCs w:val="32"/>
          <w:highlight w:val="none"/>
          <w:lang w:eastAsia="zh-CN" w:bidi="ar"/>
        </w:rPr>
        <w:t>项约定的职责。未经发包人书面同意，承包人不得擅自更换项目经理。承包人擅自更换项目经理的，应按照专用合同条款的约定承担违约责任。</w:t>
      </w:r>
    </w:p>
    <w:p w14:paraId="29DF8DA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3.2.4 </w:t>
      </w:r>
      <w:r>
        <w:rPr>
          <w:rFonts w:hint="eastAsia" w:ascii="Times New Roman" w:hAnsi="Times New Roman" w:eastAsia="仿宋_GB2312" w:cs="仿宋_GB2312"/>
          <w:color w:val="auto"/>
          <w:kern w:val="0"/>
          <w:sz w:val="30"/>
          <w:szCs w:val="32"/>
          <w:highlight w:val="none"/>
          <w:lang w:eastAsia="zh-CN" w:bidi="ar"/>
        </w:rPr>
        <w:t>发包人有权书面通知承包人更换其认为不称职的项目经理，通知中应当载明要求更换的理由。承包人应在接到更换通知后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天内向发包人提出书面的改进报告。发包人收到改进报告后仍要求更换的，承包人应在接到第二次更换通知的</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天内进行更换，并将新任命的项目经理的注册执业资格、管理经验等资料书面通知发包人。继任项目经理继续履行第</w:t>
      </w:r>
      <w:r>
        <w:rPr>
          <w:rFonts w:ascii="Times New Roman" w:hAnsi="Times New Roman" w:eastAsia="仿宋_GB2312" w:cs="Times New Roman"/>
          <w:color w:val="auto"/>
          <w:kern w:val="0"/>
          <w:sz w:val="30"/>
          <w:szCs w:val="32"/>
          <w:highlight w:val="none"/>
          <w:lang w:eastAsia="zh-CN" w:bidi="ar"/>
        </w:rPr>
        <w:t>3.2.1</w:t>
      </w:r>
      <w:r>
        <w:rPr>
          <w:rFonts w:hint="eastAsia" w:ascii="Times New Roman" w:hAnsi="Times New Roman" w:eastAsia="仿宋_GB2312" w:cs="仿宋_GB2312"/>
          <w:color w:val="auto"/>
          <w:kern w:val="0"/>
          <w:sz w:val="30"/>
          <w:szCs w:val="32"/>
          <w:highlight w:val="none"/>
          <w:lang w:eastAsia="zh-CN" w:bidi="ar"/>
        </w:rPr>
        <w:t>项约定的职责。承包人无正当理由拒绝更换项目经理的，应按照专用合同条款的约定承担违约责任。</w:t>
      </w:r>
    </w:p>
    <w:p w14:paraId="1065219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3.2.5 </w:t>
      </w:r>
      <w:r>
        <w:rPr>
          <w:rFonts w:hint="eastAsia" w:ascii="Times New Roman" w:hAnsi="Times New Roman" w:eastAsia="仿宋_GB2312" w:cs="仿宋_GB2312"/>
          <w:color w:val="auto"/>
          <w:kern w:val="0"/>
          <w:sz w:val="30"/>
          <w:szCs w:val="32"/>
          <w:highlight w:val="none"/>
          <w:lang w:eastAsia="zh-CN" w:bidi="ar"/>
        </w:rPr>
        <w:t>项目经理因特殊情况授权其下属人员履行其某项工作职责的，该下属人员应具备履行相应职责的能力，并应提前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天将上述人员的姓名和授权范围书面通知监理人，并征得发包人书面同意。</w:t>
      </w:r>
    </w:p>
    <w:p w14:paraId="09D21C9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09" w:name="_Toc351203521"/>
      <w:r>
        <w:rPr>
          <w:rFonts w:ascii="Times New Roman" w:hAnsi="Times New Roman" w:eastAsia="黑体" w:cs="Times New Roman"/>
          <w:b w:val="0"/>
          <w:bCs/>
          <w:color w:val="auto"/>
          <w:kern w:val="2"/>
          <w:sz w:val="30"/>
          <w:szCs w:val="32"/>
          <w:highlight w:val="none"/>
          <w:lang w:val="en-US" w:eastAsia="zh-CN" w:bidi="ar-SA"/>
        </w:rPr>
        <w:t>3</w:t>
      </w:r>
      <w:bookmarkStart w:id="310" w:name="_Toc296346549"/>
      <w:bookmarkStart w:id="311" w:name="_Toc296503048"/>
      <w:bookmarkStart w:id="312" w:name="_Toc337558749"/>
      <w:r>
        <w:rPr>
          <w:rFonts w:ascii="Times New Roman" w:hAnsi="Times New Roman" w:eastAsia="黑体" w:cs="Times New Roman"/>
          <w:b w:val="0"/>
          <w:bCs/>
          <w:color w:val="auto"/>
          <w:kern w:val="2"/>
          <w:sz w:val="30"/>
          <w:szCs w:val="32"/>
          <w:highlight w:val="none"/>
          <w:lang w:val="en-US" w:eastAsia="zh-CN" w:bidi="ar-SA"/>
        </w:rPr>
        <w:t xml:space="preserve">.3 </w:t>
      </w:r>
      <w:bookmarkEnd w:id="310"/>
      <w:bookmarkEnd w:id="311"/>
      <w:r>
        <w:rPr>
          <w:rFonts w:hint="eastAsia" w:ascii="Times New Roman" w:hAnsi="Times New Roman" w:eastAsia="黑体" w:cs="黑体"/>
          <w:b w:val="0"/>
          <w:bCs/>
          <w:color w:val="auto"/>
          <w:kern w:val="2"/>
          <w:sz w:val="30"/>
          <w:szCs w:val="32"/>
          <w:highlight w:val="none"/>
          <w:lang w:val="en-US" w:eastAsia="zh-CN" w:bidi="ar-SA"/>
        </w:rPr>
        <w:t>承包人人员</w:t>
      </w:r>
      <w:bookmarkEnd w:id="309"/>
    </w:p>
    <w:bookmarkEnd w:id="312"/>
    <w:p w14:paraId="43F706C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3.3.1 </w:t>
      </w:r>
      <w:r>
        <w:rPr>
          <w:rFonts w:hint="eastAsia" w:ascii="Times New Roman" w:hAnsi="Times New Roman" w:eastAsia="仿宋_GB2312" w:cs="仿宋_GB2312"/>
          <w:color w:val="auto"/>
          <w:kern w:val="0"/>
          <w:sz w:val="30"/>
          <w:szCs w:val="32"/>
          <w:highlight w:val="none"/>
          <w:lang w:eastAsia="zh-CN" w:bidi="ar"/>
        </w:rPr>
        <w:t>除专用合同条款另有约定外，承包人应在接到开工通知后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3EEA9C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3.3.2 </w:t>
      </w:r>
      <w:r>
        <w:rPr>
          <w:rFonts w:hint="eastAsia" w:ascii="Times New Roman" w:hAnsi="Times New Roman" w:eastAsia="仿宋_GB2312" w:cs="仿宋_GB2312"/>
          <w:color w:val="auto"/>
          <w:kern w:val="0"/>
          <w:sz w:val="30"/>
          <w:szCs w:val="32"/>
          <w:highlight w:val="none"/>
          <w:lang w:eastAsia="zh-CN" w:bidi="ar"/>
        </w:rPr>
        <w:t>承包人派驻到施工现场的主要施工管理人员应相对稳定。施工过程中如有变动，承包人应及时向监理人提交施工现场人员变动情况的报告。承包人更换主要施工管理人员时，应提前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天书面通知监理人，并征得发包人书面同意。通知中应当载明继任人员的注册执业资格、管理经验等资料。</w:t>
      </w:r>
    </w:p>
    <w:p w14:paraId="07BA530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特殊工种作业人员均应持有相应的资格证明，监理人可以随时检查。</w:t>
      </w:r>
    </w:p>
    <w:p w14:paraId="0263F07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3.3.3 </w:t>
      </w:r>
      <w:r>
        <w:rPr>
          <w:rFonts w:hint="eastAsia" w:ascii="Times New Roman" w:hAnsi="Times New Roman" w:eastAsia="仿宋_GB2312" w:cs="仿宋_GB2312"/>
          <w:color w:val="auto"/>
          <w:kern w:val="0"/>
          <w:sz w:val="30"/>
          <w:szCs w:val="32"/>
          <w:highlight w:val="none"/>
          <w:lang w:eastAsia="zh-CN" w:bidi="ar"/>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F5EF35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3.3.4 </w:t>
      </w:r>
      <w:r>
        <w:rPr>
          <w:rFonts w:hint="eastAsia" w:ascii="Times New Roman" w:hAnsi="Times New Roman" w:eastAsia="仿宋_GB2312" w:cs="仿宋_GB2312"/>
          <w:color w:val="auto"/>
          <w:kern w:val="0"/>
          <w:sz w:val="30"/>
          <w:szCs w:val="32"/>
          <w:highlight w:val="none"/>
          <w:lang w:eastAsia="zh-CN" w:bidi="ar"/>
        </w:rPr>
        <w:t>除专用合同条款另有约定外，承包人的主要施工管理人员离开施工现场每月累计不超过</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天的，应报监理人同意；离开施工现场每月累计超过</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天的，应通知监理人，并征得发包人书面同意。主要施工管理人员离开施工现场前应指定一名有经验的人员临时代行其职责，该人员应具备履行相应职责的资格和能力，且应征得监理人或发包人的同意。</w:t>
      </w:r>
    </w:p>
    <w:p w14:paraId="3A19769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3.3.5 </w:t>
      </w:r>
      <w:r>
        <w:rPr>
          <w:rFonts w:hint="eastAsia" w:ascii="Times New Roman" w:hAnsi="Times New Roman" w:eastAsia="仿宋_GB2312" w:cs="仿宋_GB2312"/>
          <w:color w:val="auto"/>
          <w:kern w:val="0"/>
          <w:sz w:val="30"/>
          <w:szCs w:val="32"/>
          <w:highlight w:val="none"/>
          <w:lang w:eastAsia="zh-CN" w:bidi="ar"/>
        </w:rPr>
        <w:t>承包人擅自更换主要施工管理人员，或前述人员未经监理人或发包人同意擅自离开施工现场的，应按照专用合同条款约定承担违约责任。</w:t>
      </w:r>
    </w:p>
    <w:p w14:paraId="2DD3E292">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13" w:name="_Toc351203522"/>
      <w:r>
        <w:rPr>
          <w:rFonts w:ascii="Times New Roman" w:hAnsi="Times New Roman" w:eastAsia="黑体" w:cs="Times New Roman"/>
          <w:b w:val="0"/>
          <w:bCs/>
          <w:color w:val="auto"/>
          <w:kern w:val="2"/>
          <w:sz w:val="30"/>
          <w:szCs w:val="32"/>
          <w:highlight w:val="none"/>
          <w:lang w:val="en-US" w:eastAsia="zh-CN" w:bidi="ar-SA"/>
        </w:rPr>
        <w:t>3</w:t>
      </w:r>
      <w:bookmarkStart w:id="314" w:name="_Toc296346551"/>
      <w:bookmarkStart w:id="315" w:name="_Toc296503050"/>
      <w:bookmarkStart w:id="316" w:name="_Toc337558750"/>
      <w:r>
        <w:rPr>
          <w:rFonts w:ascii="Times New Roman" w:hAnsi="Times New Roman" w:eastAsia="黑体" w:cs="Times New Roman"/>
          <w:b w:val="0"/>
          <w:bCs/>
          <w:color w:val="auto"/>
          <w:kern w:val="2"/>
          <w:sz w:val="30"/>
          <w:szCs w:val="32"/>
          <w:highlight w:val="none"/>
          <w:lang w:val="en-US" w:eastAsia="zh-CN" w:bidi="ar-SA"/>
        </w:rPr>
        <w:t xml:space="preserve">.4 </w:t>
      </w:r>
      <w:r>
        <w:rPr>
          <w:rFonts w:hint="eastAsia" w:ascii="Times New Roman" w:hAnsi="Times New Roman" w:eastAsia="黑体" w:cs="黑体"/>
          <w:b w:val="0"/>
          <w:bCs/>
          <w:color w:val="auto"/>
          <w:kern w:val="2"/>
          <w:sz w:val="30"/>
          <w:szCs w:val="32"/>
          <w:highlight w:val="none"/>
          <w:lang w:val="en-US" w:eastAsia="zh-CN" w:bidi="ar-SA"/>
        </w:rPr>
        <w:t>承包人现场查勘</w:t>
      </w:r>
      <w:bookmarkEnd w:id="313"/>
    </w:p>
    <w:bookmarkEnd w:id="314"/>
    <w:bookmarkEnd w:id="315"/>
    <w:bookmarkEnd w:id="316"/>
    <w:p w14:paraId="50F7772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承包人应对基于发包人按照第</w:t>
      </w:r>
      <w:r>
        <w:rPr>
          <w:rFonts w:ascii="Times New Roman" w:hAnsi="Times New Roman" w:eastAsia="仿宋_GB2312" w:cs="Times New Roman"/>
          <w:color w:val="auto"/>
          <w:kern w:val="0"/>
          <w:sz w:val="30"/>
          <w:szCs w:val="32"/>
          <w:highlight w:val="none"/>
          <w:lang w:eastAsia="zh-CN" w:bidi="ar"/>
        </w:rPr>
        <w:t>2.4.3</w:t>
      </w:r>
      <w:r>
        <w:rPr>
          <w:rFonts w:hint="eastAsia" w:ascii="Times New Roman" w:hAnsi="Times New Roman" w:eastAsia="仿宋_GB2312" w:cs="仿宋_GB2312"/>
          <w:color w:val="auto"/>
          <w:kern w:val="0"/>
          <w:sz w:val="30"/>
          <w:szCs w:val="32"/>
          <w:highlight w:val="none"/>
          <w:lang w:eastAsia="zh-CN" w:bidi="ar"/>
        </w:rPr>
        <w:t>项〔提供基础资料〕提交的基础资料所做出的解释和推断负责，但因基础资料存在错误、遗漏导致承包人解释或推断失实的，由发包人承担责任。</w:t>
      </w:r>
    </w:p>
    <w:p w14:paraId="1EA5361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058338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17" w:name="_Toc351203523"/>
      <w:r>
        <w:rPr>
          <w:rFonts w:ascii="Times New Roman" w:hAnsi="Times New Roman" w:eastAsia="黑体" w:cs="Times New Roman"/>
          <w:b w:val="0"/>
          <w:bCs/>
          <w:color w:val="auto"/>
          <w:kern w:val="2"/>
          <w:sz w:val="30"/>
          <w:szCs w:val="32"/>
          <w:highlight w:val="none"/>
          <w:lang w:val="en-US" w:eastAsia="zh-CN" w:bidi="ar-SA"/>
        </w:rPr>
        <w:t>3</w:t>
      </w:r>
      <w:bookmarkStart w:id="318" w:name="_Toc337558751"/>
      <w:bookmarkStart w:id="319" w:name="_Toc296503051"/>
      <w:bookmarkStart w:id="320" w:name="_Toc296346552"/>
      <w:r>
        <w:rPr>
          <w:rFonts w:ascii="Times New Roman" w:hAnsi="Times New Roman" w:eastAsia="黑体" w:cs="Times New Roman"/>
          <w:b w:val="0"/>
          <w:bCs/>
          <w:color w:val="auto"/>
          <w:kern w:val="2"/>
          <w:sz w:val="30"/>
          <w:szCs w:val="32"/>
          <w:highlight w:val="none"/>
          <w:lang w:val="en-US" w:eastAsia="zh-CN" w:bidi="ar-SA"/>
        </w:rPr>
        <w:t xml:space="preserve">.5 </w:t>
      </w:r>
      <w:r>
        <w:rPr>
          <w:rFonts w:hint="eastAsia" w:ascii="Times New Roman" w:hAnsi="Times New Roman" w:eastAsia="黑体" w:cs="黑体"/>
          <w:b w:val="0"/>
          <w:bCs/>
          <w:color w:val="auto"/>
          <w:kern w:val="2"/>
          <w:sz w:val="30"/>
          <w:szCs w:val="32"/>
          <w:highlight w:val="none"/>
          <w:lang w:val="en-US" w:eastAsia="zh-CN" w:bidi="ar-SA"/>
        </w:rPr>
        <w:t>分包</w:t>
      </w:r>
      <w:bookmarkEnd w:id="317"/>
    </w:p>
    <w:bookmarkEnd w:id="318"/>
    <w:bookmarkEnd w:id="319"/>
    <w:bookmarkEnd w:id="320"/>
    <w:p w14:paraId="00A119C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3.5.1 </w:t>
      </w:r>
      <w:r>
        <w:rPr>
          <w:rFonts w:hint="eastAsia" w:ascii="Times New Roman" w:hAnsi="Times New Roman" w:eastAsia="仿宋_GB2312" w:cs="仿宋_GB2312"/>
          <w:color w:val="auto"/>
          <w:kern w:val="0"/>
          <w:sz w:val="30"/>
          <w:szCs w:val="32"/>
          <w:highlight w:val="none"/>
          <w:lang w:eastAsia="zh-CN" w:bidi="ar"/>
        </w:rPr>
        <w:t>分包的一般约定</w:t>
      </w:r>
    </w:p>
    <w:p w14:paraId="3CA4D23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138D66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承包人不得以劳务分包的名义转包或违法分包工程。</w:t>
      </w:r>
    </w:p>
    <w:p w14:paraId="49B3C48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3.5.2 </w:t>
      </w:r>
      <w:r>
        <w:rPr>
          <w:rFonts w:hint="eastAsia" w:ascii="Times New Roman" w:hAnsi="Times New Roman" w:eastAsia="仿宋_GB2312" w:cs="仿宋_GB2312"/>
          <w:color w:val="auto"/>
          <w:kern w:val="0"/>
          <w:sz w:val="30"/>
          <w:szCs w:val="32"/>
          <w:highlight w:val="none"/>
          <w:lang w:eastAsia="zh-CN" w:bidi="ar"/>
        </w:rPr>
        <w:t>分包的确定</w:t>
      </w:r>
    </w:p>
    <w:p w14:paraId="12B0679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承包人应按专用合同条款的约定进行分包，确定分包人。已标价工程量清单或预算书中给定暂估价的专业工程，按照第</w:t>
      </w:r>
      <w:r>
        <w:rPr>
          <w:rFonts w:ascii="Times New Roman" w:hAnsi="Times New Roman" w:eastAsia="仿宋_GB2312" w:cs="Times New Roman"/>
          <w:color w:val="auto"/>
          <w:kern w:val="0"/>
          <w:sz w:val="30"/>
          <w:szCs w:val="32"/>
          <w:highlight w:val="none"/>
          <w:lang w:eastAsia="zh-CN" w:bidi="ar"/>
        </w:rPr>
        <w:t>10.7</w:t>
      </w:r>
      <w:r>
        <w:rPr>
          <w:rFonts w:hint="eastAsia" w:ascii="Times New Roman" w:hAnsi="Times New Roman" w:eastAsia="仿宋_GB2312" w:cs="仿宋_GB2312"/>
          <w:color w:val="auto"/>
          <w:kern w:val="0"/>
          <w:sz w:val="30"/>
          <w:szCs w:val="32"/>
          <w:highlight w:val="none"/>
          <w:lang w:eastAsia="zh-CN" w:bidi="ar"/>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天内向发包人和监理人提交分包合同副本。</w:t>
      </w:r>
    </w:p>
    <w:p w14:paraId="5C99D61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3.5.3 </w:t>
      </w:r>
      <w:r>
        <w:rPr>
          <w:rFonts w:hint="eastAsia" w:ascii="Times New Roman" w:hAnsi="Times New Roman" w:eastAsia="仿宋_GB2312" w:cs="仿宋_GB2312"/>
          <w:color w:val="auto"/>
          <w:kern w:val="0"/>
          <w:sz w:val="30"/>
          <w:szCs w:val="32"/>
          <w:highlight w:val="none"/>
          <w:lang w:eastAsia="zh-CN" w:bidi="ar"/>
        </w:rPr>
        <w:t>分包管理</w:t>
      </w:r>
    </w:p>
    <w:p w14:paraId="6339D5E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承包人应向监理人提交分包人的主要施工管理人员表，并对分包人的施工人员进行实名制管理，包括但不限于进出场管理、登记造册以及各种证照的办理。</w:t>
      </w:r>
    </w:p>
    <w:p w14:paraId="276603F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3.5.4 </w:t>
      </w:r>
      <w:r>
        <w:rPr>
          <w:rFonts w:hint="eastAsia" w:ascii="Times New Roman" w:hAnsi="Times New Roman" w:eastAsia="仿宋_GB2312" w:cs="仿宋_GB2312"/>
          <w:color w:val="auto"/>
          <w:kern w:val="0"/>
          <w:sz w:val="30"/>
          <w:szCs w:val="32"/>
          <w:highlight w:val="none"/>
          <w:lang w:eastAsia="zh-CN" w:bidi="ar"/>
        </w:rPr>
        <w:t>分包合同价款</w:t>
      </w:r>
    </w:p>
    <w:p w14:paraId="6A1B5BC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）除本项第（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）目约定的情况或专用合同条款另有约定外，分包合同价款由承包人与分包人结算，未经承包人同意，发包人不得向分包人支付分包工程价款；</w:t>
      </w:r>
    </w:p>
    <w:p w14:paraId="3012971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）生效法律文书要求发包人向分包人支付分包合同价款的，发包人有权从应付承包人工程款中扣除该部分款项。</w:t>
      </w:r>
    </w:p>
    <w:p w14:paraId="6B13C7A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3.5.5 </w:t>
      </w:r>
      <w:r>
        <w:rPr>
          <w:rFonts w:hint="eastAsia" w:ascii="Times New Roman" w:hAnsi="Times New Roman" w:eastAsia="仿宋_GB2312" w:cs="仿宋_GB2312"/>
          <w:color w:val="auto"/>
          <w:kern w:val="0"/>
          <w:sz w:val="30"/>
          <w:szCs w:val="32"/>
          <w:highlight w:val="none"/>
          <w:lang w:eastAsia="zh-CN" w:bidi="ar"/>
        </w:rPr>
        <w:t>分包合同权益的转让</w:t>
      </w:r>
    </w:p>
    <w:p w14:paraId="3A382A4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321" w:name="_Toc351203524"/>
    </w:p>
    <w:p w14:paraId="4BB8AC9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r>
        <w:rPr>
          <w:rFonts w:ascii="Times New Roman" w:hAnsi="Times New Roman" w:eastAsia="黑体" w:cs="Times New Roman"/>
          <w:b w:val="0"/>
          <w:bCs/>
          <w:color w:val="auto"/>
          <w:kern w:val="2"/>
          <w:sz w:val="30"/>
          <w:szCs w:val="32"/>
          <w:highlight w:val="none"/>
          <w:lang w:val="en-US" w:eastAsia="zh-CN" w:bidi="ar-SA"/>
        </w:rPr>
        <w:t xml:space="preserve">3.6 </w:t>
      </w:r>
      <w:r>
        <w:rPr>
          <w:rFonts w:hint="eastAsia" w:ascii="Times New Roman" w:hAnsi="Times New Roman" w:eastAsia="黑体" w:cs="黑体"/>
          <w:b w:val="0"/>
          <w:bCs/>
          <w:color w:val="auto"/>
          <w:kern w:val="2"/>
          <w:sz w:val="30"/>
          <w:szCs w:val="32"/>
          <w:highlight w:val="none"/>
          <w:lang w:val="en-US" w:eastAsia="zh-CN" w:bidi="ar-SA"/>
        </w:rPr>
        <w:t>工程照管与成品、半成品保护</w:t>
      </w:r>
      <w:bookmarkEnd w:id="321"/>
    </w:p>
    <w:p w14:paraId="6FDD650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）除专用合同条款另有约定外，自发包人向承包人移交施工现场之日起，承包人应负责照管工程及工程相关的材料、工程设备，直到颁发工程接收证书之日止。</w:t>
      </w:r>
    </w:p>
    <w:p w14:paraId="154AA8A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）在承包人负责照管期间，因承包人原因造成工程、材料、工程设备损坏的，由承包人负责修复或更换，并承担由此增加的费用和（或）延误的工期。</w:t>
      </w:r>
    </w:p>
    <w:p w14:paraId="6E8D8C8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）对合同内分期完成的成品和半成品，在工程接收证书颁发前，由承包人承担保护责任。因承包人原因造成成品或半成品损坏的，由承包人负责修复或更换，并承担由此增加的费用和（或）延误的工期。</w:t>
      </w:r>
    </w:p>
    <w:p w14:paraId="05BCE2B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22" w:name="_Toc351203525"/>
      <w:r>
        <w:rPr>
          <w:rFonts w:ascii="Times New Roman" w:hAnsi="Times New Roman" w:eastAsia="黑体" w:cs="Times New Roman"/>
          <w:b w:val="0"/>
          <w:bCs/>
          <w:color w:val="auto"/>
          <w:kern w:val="2"/>
          <w:sz w:val="30"/>
          <w:szCs w:val="32"/>
          <w:highlight w:val="none"/>
          <w:lang w:val="en-US" w:eastAsia="zh-CN" w:bidi="ar-SA"/>
        </w:rPr>
        <w:t>3</w:t>
      </w:r>
      <w:bookmarkStart w:id="323" w:name="_Toc296503052"/>
      <w:bookmarkStart w:id="324" w:name="_Toc337558752"/>
      <w:bookmarkStart w:id="325" w:name="_Toc296346553"/>
      <w:r>
        <w:rPr>
          <w:rFonts w:ascii="Times New Roman" w:hAnsi="Times New Roman" w:eastAsia="黑体" w:cs="Times New Roman"/>
          <w:b w:val="0"/>
          <w:bCs/>
          <w:color w:val="auto"/>
          <w:kern w:val="2"/>
          <w:sz w:val="30"/>
          <w:szCs w:val="32"/>
          <w:highlight w:val="none"/>
          <w:lang w:val="en-US" w:eastAsia="zh-CN" w:bidi="ar-SA"/>
        </w:rPr>
        <w:t xml:space="preserve">.7 </w:t>
      </w:r>
      <w:r>
        <w:rPr>
          <w:rFonts w:hint="eastAsia" w:ascii="Times New Roman" w:hAnsi="Times New Roman" w:eastAsia="黑体" w:cs="黑体"/>
          <w:b w:val="0"/>
          <w:bCs/>
          <w:color w:val="auto"/>
          <w:kern w:val="2"/>
          <w:sz w:val="30"/>
          <w:szCs w:val="32"/>
          <w:highlight w:val="none"/>
          <w:lang w:val="en-US" w:eastAsia="zh-CN" w:bidi="ar-SA"/>
        </w:rPr>
        <w:t>履约担保</w:t>
      </w:r>
      <w:bookmarkEnd w:id="322"/>
    </w:p>
    <w:bookmarkEnd w:id="323"/>
    <w:bookmarkEnd w:id="324"/>
    <w:bookmarkEnd w:id="325"/>
    <w:p w14:paraId="38D56E1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F437C1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因承包人原因导致工期延长的，继续提供履约担保所增加的费用由承包人承担；非因承包人原因导致工期延长的，继续提供履约担保所增加的费用由发包人承担。</w:t>
      </w:r>
    </w:p>
    <w:p w14:paraId="1184850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26" w:name="_Toc351203526"/>
      <w:r>
        <w:rPr>
          <w:rFonts w:ascii="Times New Roman" w:hAnsi="Times New Roman" w:eastAsia="黑体" w:cs="Times New Roman"/>
          <w:b w:val="0"/>
          <w:bCs/>
          <w:color w:val="auto"/>
          <w:kern w:val="2"/>
          <w:sz w:val="30"/>
          <w:szCs w:val="32"/>
          <w:highlight w:val="none"/>
          <w:lang w:val="en-US" w:eastAsia="zh-CN" w:bidi="ar-SA"/>
        </w:rPr>
        <w:t xml:space="preserve">3.8 </w:t>
      </w:r>
      <w:r>
        <w:rPr>
          <w:rFonts w:hint="eastAsia" w:ascii="Times New Roman" w:hAnsi="Times New Roman" w:eastAsia="黑体" w:cs="黑体"/>
          <w:b w:val="0"/>
          <w:bCs/>
          <w:color w:val="auto"/>
          <w:kern w:val="2"/>
          <w:sz w:val="30"/>
          <w:szCs w:val="32"/>
          <w:highlight w:val="none"/>
          <w:lang w:val="en-US" w:eastAsia="zh-CN" w:bidi="ar-SA"/>
        </w:rPr>
        <w:t>联合体</w:t>
      </w:r>
      <w:bookmarkEnd w:id="326"/>
    </w:p>
    <w:p w14:paraId="2D1C9F9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3.8.1 </w:t>
      </w:r>
      <w:r>
        <w:rPr>
          <w:rFonts w:hint="eastAsia" w:ascii="Times New Roman" w:hAnsi="Times New Roman" w:eastAsia="仿宋_GB2312" w:cs="仿宋_GB2312"/>
          <w:color w:val="auto"/>
          <w:kern w:val="0"/>
          <w:sz w:val="30"/>
          <w:szCs w:val="32"/>
          <w:highlight w:val="none"/>
          <w:lang w:eastAsia="zh-CN" w:bidi="ar"/>
        </w:rPr>
        <w:t>联合体各方应共同与发包人签订合同协议书。联合体各方应为履行合同向发包人承担连带责任。</w:t>
      </w:r>
    </w:p>
    <w:p w14:paraId="12D85F9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3.8.2 </w:t>
      </w:r>
      <w:r>
        <w:rPr>
          <w:rFonts w:hint="eastAsia" w:ascii="Times New Roman" w:hAnsi="Times New Roman" w:eastAsia="仿宋_GB2312" w:cs="仿宋_GB2312"/>
          <w:color w:val="auto"/>
          <w:kern w:val="0"/>
          <w:sz w:val="30"/>
          <w:szCs w:val="32"/>
          <w:highlight w:val="none"/>
          <w:lang w:eastAsia="zh-CN" w:bidi="ar"/>
        </w:rPr>
        <w:t>联合体协议经发包人确认后作为合同附件。在履行合同过程中，未经发包人同意，不得修改联合体协议。</w:t>
      </w:r>
    </w:p>
    <w:p w14:paraId="718A88C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3.8.3 </w:t>
      </w:r>
      <w:r>
        <w:rPr>
          <w:rFonts w:hint="eastAsia" w:ascii="Times New Roman" w:hAnsi="Times New Roman" w:eastAsia="仿宋_GB2312" w:cs="仿宋_GB2312"/>
          <w:color w:val="auto"/>
          <w:kern w:val="0"/>
          <w:sz w:val="30"/>
          <w:szCs w:val="32"/>
          <w:highlight w:val="none"/>
          <w:lang w:eastAsia="zh-CN" w:bidi="ar"/>
        </w:rPr>
        <w:t>联合体牵头人负责与发包人和监理人联系，并接受指示，负责组织联合体各成员全面履行合同。</w:t>
      </w:r>
    </w:p>
    <w:p w14:paraId="15677059">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327" w:name="_Toc163768558"/>
      <w:bookmarkStart w:id="328" w:name="_Toc351203527"/>
      <w:bookmarkStart w:id="329" w:name="_Toc163768440"/>
      <w:r>
        <w:rPr>
          <w:rFonts w:ascii="Times New Roman" w:hAnsi="Times New Roman" w:eastAsia="黑体" w:cs="Times New Roman"/>
          <w:b/>
          <w:bCs/>
          <w:color w:val="auto"/>
          <w:sz w:val="32"/>
          <w:szCs w:val="32"/>
          <w:highlight w:val="none"/>
          <w:lang w:val="en-US" w:eastAsia="zh-CN" w:bidi="en-US"/>
        </w:rPr>
        <w:t>4</w:t>
      </w:r>
      <w:bookmarkStart w:id="330" w:name="_Toc296503053"/>
      <w:bookmarkStart w:id="331" w:name="_Toc296346554"/>
      <w:bookmarkStart w:id="332" w:name="_Toc337558753"/>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监</w:t>
      </w:r>
      <w:bookmarkEnd w:id="330"/>
      <w:bookmarkEnd w:id="331"/>
      <w:r>
        <w:rPr>
          <w:rFonts w:hint="eastAsia" w:ascii="Times New Roman" w:hAnsi="Times New Roman" w:eastAsia="黑体" w:cs="黑体"/>
          <w:b/>
          <w:bCs/>
          <w:color w:val="auto"/>
          <w:sz w:val="32"/>
          <w:szCs w:val="32"/>
          <w:highlight w:val="none"/>
          <w:lang w:val="en-US" w:eastAsia="zh-CN" w:bidi="en-US"/>
        </w:rPr>
        <w:t>理人</w:t>
      </w:r>
      <w:bookmarkEnd w:id="327"/>
      <w:bookmarkEnd w:id="328"/>
      <w:bookmarkEnd w:id="329"/>
    </w:p>
    <w:bookmarkEnd w:id="332"/>
    <w:p w14:paraId="58975BC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33" w:name="_Toc351203528"/>
      <w:r>
        <w:rPr>
          <w:rFonts w:ascii="Times New Roman" w:hAnsi="Times New Roman" w:eastAsia="黑体" w:cs="Times New Roman"/>
          <w:b w:val="0"/>
          <w:bCs/>
          <w:color w:val="auto"/>
          <w:kern w:val="2"/>
          <w:sz w:val="30"/>
          <w:szCs w:val="32"/>
          <w:highlight w:val="none"/>
          <w:lang w:val="en-US" w:eastAsia="zh-CN" w:bidi="ar-SA"/>
        </w:rPr>
        <w:t>4</w:t>
      </w:r>
      <w:bookmarkStart w:id="334" w:name="_Toc296346555"/>
      <w:bookmarkStart w:id="335" w:name="_Toc337558754"/>
      <w:bookmarkStart w:id="336" w:name="_Toc296503054"/>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监理人的一般规定</w:t>
      </w:r>
      <w:bookmarkEnd w:id="333"/>
    </w:p>
    <w:bookmarkEnd w:id="334"/>
    <w:bookmarkEnd w:id="335"/>
    <w:bookmarkEnd w:id="336"/>
    <w:p w14:paraId="4175FC5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7D43283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除专用合同条款另有约定外，监理人在施工现场的办公场所、生活场所由承包人提供，所发生的费用由发包人承担。</w:t>
      </w:r>
    </w:p>
    <w:p w14:paraId="6537292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37" w:name="_Toc351203529"/>
      <w:r>
        <w:rPr>
          <w:rFonts w:ascii="Times New Roman" w:hAnsi="Times New Roman" w:eastAsia="黑体" w:cs="Times New Roman"/>
          <w:b w:val="0"/>
          <w:bCs/>
          <w:color w:val="auto"/>
          <w:kern w:val="2"/>
          <w:sz w:val="30"/>
          <w:szCs w:val="32"/>
          <w:highlight w:val="none"/>
          <w:lang w:val="en-US" w:eastAsia="zh-CN" w:bidi="ar-SA"/>
        </w:rPr>
        <w:t>4</w:t>
      </w:r>
      <w:bookmarkStart w:id="338" w:name="_Toc337558755"/>
      <w:r>
        <w:rPr>
          <w:rFonts w:ascii="Times New Roman" w:hAnsi="Times New Roman" w:eastAsia="黑体" w:cs="Times New Roman"/>
          <w:b w:val="0"/>
          <w:bCs/>
          <w:color w:val="auto"/>
          <w:kern w:val="2"/>
          <w:sz w:val="30"/>
          <w:szCs w:val="32"/>
          <w:highlight w:val="none"/>
          <w:lang w:val="en-US" w:eastAsia="zh-CN" w:bidi="ar-SA"/>
        </w:rPr>
        <w:t>.2</w:t>
      </w:r>
      <w:r>
        <w:rPr>
          <w:rFonts w:hint="eastAsia" w:ascii="Times New Roman" w:hAnsi="Times New Roman" w:eastAsia="黑体" w:cs="黑体"/>
          <w:b w:val="0"/>
          <w:bCs/>
          <w:color w:val="auto"/>
          <w:kern w:val="2"/>
          <w:sz w:val="30"/>
          <w:szCs w:val="32"/>
          <w:highlight w:val="none"/>
          <w:lang w:val="en-US" w:eastAsia="zh-CN" w:bidi="ar-SA"/>
        </w:rPr>
        <w:t>监理人员</w:t>
      </w:r>
      <w:bookmarkEnd w:id="337"/>
    </w:p>
    <w:bookmarkEnd w:id="338"/>
    <w:p w14:paraId="2180563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天书面通知承包人；更换其他监理人员，监理人应提前</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小时书面通知承包人。</w:t>
      </w:r>
    </w:p>
    <w:p w14:paraId="66207C9C">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39" w:name="_Toc351203530"/>
      <w:r>
        <w:rPr>
          <w:rFonts w:ascii="Times New Roman" w:hAnsi="Times New Roman" w:eastAsia="黑体" w:cs="Times New Roman"/>
          <w:b w:val="0"/>
          <w:bCs/>
          <w:color w:val="auto"/>
          <w:kern w:val="2"/>
          <w:sz w:val="30"/>
          <w:szCs w:val="32"/>
          <w:highlight w:val="none"/>
          <w:lang w:val="en-US" w:eastAsia="zh-CN" w:bidi="ar-SA"/>
        </w:rPr>
        <w:t>4</w:t>
      </w:r>
      <w:bookmarkStart w:id="340" w:name="_Toc296503055"/>
      <w:bookmarkStart w:id="341" w:name="_Toc296346556"/>
      <w:bookmarkStart w:id="342" w:name="_Toc337558756"/>
      <w:r>
        <w:rPr>
          <w:rFonts w:ascii="Times New Roman" w:hAnsi="Times New Roman" w:eastAsia="黑体" w:cs="Times New Roman"/>
          <w:b w:val="0"/>
          <w:bCs/>
          <w:color w:val="auto"/>
          <w:kern w:val="2"/>
          <w:sz w:val="30"/>
          <w:szCs w:val="32"/>
          <w:highlight w:val="none"/>
          <w:lang w:val="en-US" w:eastAsia="zh-CN" w:bidi="ar-SA"/>
        </w:rPr>
        <w:t>.3</w:t>
      </w:r>
      <w:bookmarkEnd w:id="340"/>
      <w:bookmarkEnd w:id="341"/>
      <w:r>
        <w:rPr>
          <w:rFonts w:hint="eastAsia" w:ascii="Times New Roman" w:hAnsi="Times New Roman" w:eastAsia="黑体" w:cs="黑体"/>
          <w:b w:val="0"/>
          <w:bCs/>
          <w:color w:val="auto"/>
          <w:kern w:val="2"/>
          <w:sz w:val="30"/>
          <w:szCs w:val="32"/>
          <w:highlight w:val="none"/>
          <w:lang w:val="en-US" w:eastAsia="zh-CN" w:bidi="ar-SA"/>
        </w:rPr>
        <w:t>监理人的指</w:t>
      </w:r>
      <w:bookmarkEnd w:id="342"/>
      <w:r>
        <w:rPr>
          <w:rFonts w:hint="eastAsia" w:ascii="Times New Roman" w:hAnsi="Times New Roman" w:eastAsia="黑体" w:cs="黑体"/>
          <w:b w:val="0"/>
          <w:bCs/>
          <w:color w:val="auto"/>
          <w:kern w:val="2"/>
          <w:sz w:val="30"/>
          <w:szCs w:val="32"/>
          <w:highlight w:val="none"/>
          <w:lang w:val="en-US" w:eastAsia="zh-CN" w:bidi="ar-SA"/>
        </w:rPr>
        <w:t>示</w:t>
      </w:r>
      <w:bookmarkEnd w:id="339"/>
    </w:p>
    <w:p w14:paraId="233DFCF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小时内补发书面监理指示，补发的书面监理指示应与口头指示一致。</w:t>
      </w:r>
    </w:p>
    <w:p w14:paraId="5B50653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款〔商定或确定〕约定应由总监理工程师作出确定的权力授权或委托给其他监理人员。</w:t>
      </w:r>
    </w:p>
    <w:p w14:paraId="5B265B2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承包人对监理人发出的指示有疑问的，应向监理人提出书面异议，监理人应在</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小时内对该指示予以确认、更改或撤销，监理人逾期未回复的，承包人有权拒绝执行上述指示。</w:t>
      </w:r>
    </w:p>
    <w:p w14:paraId="082C1E8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监理人对承包人的任何工作、工程或其采用的材料和工程设备未在约定的或合理期限内提出意见的，视为批准，但不免除或减轻承包人对该工作、工程、材料、工程设备等应承担的责任和义务。</w:t>
      </w:r>
    </w:p>
    <w:p w14:paraId="60EAC970">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343" w:name="_Toc163768559"/>
      <w:bookmarkStart w:id="344" w:name="_Toc351203531"/>
      <w:bookmarkStart w:id="345" w:name="_Toc163768441"/>
      <w:r>
        <w:rPr>
          <w:rFonts w:ascii="Times New Roman" w:hAnsi="Times New Roman" w:eastAsia="黑体" w:cs="Times New Roman"/>
          <w:b/>
          <w:bCs/>
          <w:color w:val="auto"/>
          <w:sz w:val="32"/>
          <w:szCs w:val="32"/>
          <w:highlight w:val="none"/>
          <w:lang w:val="en-US" w:eastAsia="zh-CN" w:bidi="en-US"/>
        </w:rPr>
        <w:t>4</w:t>
      </w:r>
      <w:bookmarkStart w:id="346" w:name="_Toc337558757"/>
      <w:bookmarkStart w:id="347" w:name="_Toc296503057"/>
      <w:bookmarkStart w:id="348" w:name="_Toc296346558"/>
      <w:r>
        <w:rPr>
          <w:rFonts w:ascii="Times New Roman" w:hAnsi="Times New Roman" w:eastAsia="黑体" w:cs="Times New Roman"/>
          <w:b/>
          <w:bCs/>
          <w:color w:val="auto"/>
          <w:sz w:val="32"/>
          <w:szCs w:val="32"/>
          <w:highlight w:val="none"/>
          <w:lang w:val="en-US" w:eastAsia="zh-CN" w:bidi="en-US"/>
        </w:rPr>
        <w:t xml:space="preserve">.4 </w:t>
      </w:r>
      <w:r>
        <w:rPr>
          <w:rFonts w:hint="eastAsia" w:ascii="Times New Roman" w:hAnsi="Times New Roman" w:eastAsia="黑体" w:cs="黑体"/>
          <w:b/>
          <w:bCs/>
          <w:color w:val="auto"/>
          <w:sz w:val="32"/>
          <w:szCs w:val="32"/>
          <w:highlight w:val="none"/>
          <w:lang w:val="en-US" w:eastAsia="zh-CN" w:bidi="en-US"/>
        </w:rPr>
        <w:t>商定或确定</w:t>
      </w:r>
      <w:bookmarkEnd w:id="343"/>
      <w:bookmarkEnd w:id="344"/>
      <w:bookmarkEnd w:id="345"/>
    </w:p>
    <w:bookmarkEnd w:id="346"/>
    <w:bookmarkEnd w:id="347"/>
    <w:bookmarkEnd w:id="348"/>
    <w:p w14:paraId="2B004FD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合同当事人进行商定或确定时，总监理工程师应当会同合同当事人尽量通过协商达成一致，不能达成一致的，由总监理工程师按照合同约定审慎做出公正的确定。</w:t>
      </w:r>
    </w:p>
    <w:p w14:paraId="692DE80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总监理工程师应将确定以书面形式通知发包人和承包人，并附详细依据。合同当事人对总监理工程师的确定没有异议的，按照总监理工程师的确定执行。任何一方合同当事人有异议，按照第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条〔争议解决〕约定处理。争议解决前，合同当事人暂按总监理工程师的确定执行；争议解决后，争议解决的结果与总监理工程师的确定不一致的，按照争议解决的结果执行，由此造成的损失由责任人承担。</w:t>
      </w:r>
    </w:p>
    <w:p w14:paraId="0B20B050">
      <w:pPr>
        <w:keepNext/>
        <w:keepLines/>
        <w:widowControl w:val="0"/>
        <w:shd w:val="clear"/>
        <w:spacing w:before="260" w:after="260" w:line="480" w:lineRule="exact"/>
        <w:outlineLvl w:val="2"/>
        <w:rPr>
          <w:rFonts w:ascii="Times New Roman" w:hAnsi="Times New Roman" w:eastAsia="黑体" w:cs="Times New Roman"/>
          <w:b/>
          <w:bCs/>
          <w:color w:val="auto"/>
          <w:sz w:val="30"/>
          <w:szCs w:val="32"/>
          <w:highlight w:val="none"/>
          <w:lang w:val="en-US" w:eastAsia="zh-CN" w:bidi="en-US"/>
        </w:rPr>
      </w:pPr>
      <w:bookmarkStart w:id="349" w:name="_Toc163768560"/>
      <w:bookmarkStart w:id="350" w:name="_Toc163768442"/>
      <w:bookmarkStart w:id="351" w:name="_Toc351203532"/>
      <w:r>
        <w:rPr>
          <w:rFonts w:ascii="Times New Roman" w:hAnsi="Times New Roman" w:eastAsia="黑体" w:cs="Times New Roman"/>
          <w:b/>
          <w:bCs/>
          <w:color w:val="auto"/>
          <w:sz w:val="32"/>
          <w:szCs w:val="32"/>
          <w:highlight w:val="none"/>
          <w:lang w:val="en-US" w:eastAsia="zh-CN" w:bidi="en-US"/>
        </w:rPr>
        <w:t>5</w:t>
      </w:r>
      <w:bookmarkStart w:id="352" w:name="_Toc337558758"/>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工程质量</w:t>
      </w:r>
      <w:bookmarkEnd w:id="349"/>
      <w:bookmarkEnd w:id="350"/>
      <w:bookmarkEnd w:id="351"/>
    </w:p>
    <w:bookmarkEnd w:id="352"/>
    <w:p w14:paraId="2366192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53" w:name="_Toc351203533"/>
      <w:r>
        <w:rPr>
          <w:rFonts w:ascii="Times New Roman" w:hAnsi="Times New Roman" w:eastAsia="黑体" w:cs="Times New Roman"/>
          <w:b w:val="0"/>
          <w:bCs/>
          <w:color w:val="auto"/>
          <w:kern w:val="2"/>
          <w:sz w:val="30"/>
          <w:szCs w:val="32"/>
          <w:highlight w:val="none"/>
          <w:lang w:val="en-US" w:eastAsia="zh-CN" w:bidi="ar-SA"/>
        </w:rPr>
        <w:t>5</w:t>
      </w:r>
      <w:bookmarkStart w:id="354" w:name="_Toc337558759"/>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质量要求</w:t>
      </w:r>
      <w:bookmarkEnd w:id="353"/>
    </w:p>
    <w:bookmarkEnd w:id="354"/>
    <w:p w14:paraId="4B09F60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5.1.1 </w:t>
      </w:r>
      <w:r>
        <w:rPr>
          <w:rFonts w:hint="eastAsia" w:ascii="Times New Roman" w:hAnsi="Times New Roman" w:eastAsia="仿宋_GB2312" w:cs="仿宋_GB2312"/>
          <w:color w:val="auto"/>
          <w:kern w:val="0"/>
          <w:sz w:val="30"/>
          <w:szCs w:val="32"/>
          <w:highlight w:val="none"/>
          <w:lang w:eastAsia="zh-CN" w:bidi="ar"/>
        </w:rPr>
        <w:t>工程质量标准必须符合现行国家有关工程施工质量验收规范和标准的要求。有关工程质量的特殊标准或要求由合同当事人在专用合同条款中约定。</w:t>
      </w:r>
    </w:p>
    <w:p w14:paraId="478D6A9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5.1.2 </w:t>
      </w:r>
      <w:r>
        <w:rPr>
          <w:rFonts w:hint="eastAsia" w:ascii="Times New Roman" w:hAnsi="Times New Roman" w:eastAsia="仿宋_GB2312" w:cs="仿宋_GB2312"/>
          <w:color w:val="auto"/>
          <w:kern w:val="0"/>
          <w:sz w:val="30"/>
          <w:szCs w:val="32"/>
          <w:highlight w:val="none"/>
          <w:lang w:eastAsia="zh-CN" w:bidi="ar"/>
        </w:rPr>
        <w:t>因发包人原因造成工程质量未达到合同约定标准的，由发包人承担由此增加的费用和（或）延误的工期，并支付承包人合理的利润。</w:t>
      </w:r>
    </w:p>
    <w:p w14:paraId="2E04D3B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5.1.3 </w:t>
      </w:r>
      <w:r>
        <w:rPr>
          <w:rFonts w:hint="eastAsia" w:ascii="Times New Roman" w:hAnsi="Times New Roman" w:eastAsia="仿宋_GB2312" w:cs="仿宋_GB2312"/>
          <w:color w:val="auto"/>
          <w:kern w:val="0"/>
          <w:sz w:val="30"/>
          <w:szCs w:val="32"/>
          <w:highlight w:val="none"/>
          <w:lang w:eastAsia="zh-CN" w:bidi="ar"/>
        </w:rPr>
        <w:t>因承包人原因造成工程质量未达到合同约定标准的，发包人有权要求承包人返工直至工程质量达到合同约定的标准为止，并由承包人承担由此增加的费用和（或）延误的工期。</w:t>
      </w:r>
    </w:p>
    <w:p w14:paraId="40B7E4CC">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55" w:name="_Toc351203534"/>
      <w:r>
        <w:rPr>
          <w:rFonts w:ascii="Times New Roman" w:hAnsi="Times New Roman" w:eastAsia="黑体" w:cs="Times New Roman"/>
          <w:b w:val="0"/>
          <w:bCs/>
          <w:color w:val="auto"/>
          <w:kern w:val="2"/>
          <w:sz w:val="30"/>
          <w:szCs w:val="32"/>
          <w:highlight w:val="none"/>
          <w:lang w:val="en-US" w:eastAsia="zh-CN" w:bidi="ar-SA"/>
        </w:rPr>
        <w:t>5</w:t>
      </w:r>
      <w:bookmarkStart w:id="356" w:name="_Toc337558760"/>
      <w:r>
        <w:rPr>
          <w:rFonts w:ascii="Times New Roman" w:hAnsi="Times New Roman" w:eastAsia="黑体" w:cs="Times New Roman"/>
          <w:b w:val="0"/>
          <w:bCs/>
          <w:color w:val="auto"/>
          <w:kern w:val="2"/>
          <w:sz w:val="30"/>
          <w:szCs w:val="32"/>
          <w:highlight w:val="none"/>
          <w:lang w:val="en-US" w:eastAsia="zh-CN" w:bidi="ar-SA"/>
        </w:rPr>
        <w:t>.2</w:t>
      </w:r>
      <w:r>
        <w:rPr>
          <w:rFonts w:hint="eastAsia" w:ascii="Times New Roman" w:hAnsi="Times New Roman" w:eastAsia="黑体" w:cs="黑体"/>
          <w:b w:val="0"/>
          <w:bCs/>
          <w:color w:val="auto"/>
          <w:kern w:val="2"/>
          <w:sz w:val="30"/>
          <w:szCs w:val="32"/>
          <w:highlight w:val="none"/>
          <w:lang w:val="en-US" w:eastAsia="zh-CN" w:bidi="ar-SA"/>
        </w:rPr>
        <w:t>质量保证措施</w:t>
      </w:r>
      <w:bookmarkEnd w:id="355"/>
    </w:p>
    <w:bookmarkEnd w:id="356"/>
    <w:p w14:paraId="391134BE">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5.2.1 </w:t>
      </w:r>
      <w:r>
        <w:rPr>
          <w:rFonts w:hint="eastAsia" w:ascii="Times New Roman" w:hAnsi="Times New Roman" w:eastAsia="仿宋_GB2312" w:cs="仿宋_GB2312"/>
          <w:color w:val="auto"/>
          <w:kern w:val="0"/>
          <w:sz w:val="30"/>
          <w:szCs w:val="32"/>
          <w:highlight w:val="none"/>
          <w:lang w:eastAsia="zh-CN" w:bidi="ar"/>
        </w:rPr>
        <w:t>发包人的质量管理</w:t>
      </w:r>
    </w:p>
    <w:p w14:paraId="5797CE6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发包人应按照法律规定及合同约定完成与工程质量有关的各项工作。</w:t>
      </w:r>
    </w:p>
    <w:p w14:paraId="588C8C2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5.2.2 </w:t>
      </w:r>
      <w:r>
        <w:rPr>
          <w:rFonts w:hint="eastAsia" w:ascii="Times New Roman" w:hAnsi="Times New Roman" w:eastAsia="仿宋_GB2312" w:cs="仿宋_GB2312"/>
          <w:color w:val="auto"/>
          <w:kern w:val="0"/>
          <w:sz w:val="30"/>
          <w:szCs w:val="32"/>
          <w:highlight w:val="none"/>
          <w:lang w:eastAsia="zh-CN" w:bidi="ar"/>
        </w:rPr>
        <w:t>承包人的质量管理</w:t>
      </w:r>
    </w:p>
    <w:p w14:paraId="1311908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承包人按照第</w:t>
      </w:r>
      <w:r>
        <w:rPr>
          <w:rFonts w:ascii="Times New Roman" w:hAnsi="Times New Roman" w:eastAsia="仿宋_GB2312" w:cs="Times New Roman"/>
          <w:color w:val="auto"/>
          <w:kern w:val="0"/>
          <w:sz w:val="30"/>
          <w:szCs w:val="32"/>
          <w:highlight w:val="none"/>
          <w:lang w:eastAsia="zh-CN" w:bidi="ar"/>
        </w:rPr>
        <w:t>7.1</w:t>
      </w:r>
      <w:r>
        <w:rPr>
          <w:rFonts w:hint="eastAsia" w:ascii="Times New Roman" w:hAnsi="Times New Roman" w:eastAsia="仿宋_GB2312" w:cs="仿宋_GB2312"/>
          <w:color w:val="auto"/>
          <w:kern w:val="0"/>
          <w:sz w:val="30"/>
          <w:szCs w:val="32"/>
          <w:highlight w:val="none"/>
          <w:lang w:eastAsia="zh-CN" w:bidi="ar"/>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C48561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承包人应对施工人员进行质量教育和技术培训，定期考核施工人员的劳动技能，严格执行施工规范和操作规程。</w:t>
      </w:r>
    </w:p>
    <w:p w14:paraId="6F1DB8F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4E1C399E">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5.2.3 </w:t>
      </w:r>
      <w:r>
        <w:rPr>
          <w:rFonts w:hint="eastAsia" w:ascii="Times New Roman" w:hAnsi="Times New Roman" w:eastAsia="仿宋_GB2312" w:cs="仿宋_GB2312"/>
          <w:color w:val="auto"/>
          <w:kern w:val="0"/>
          <w:sz w:val="30"/>
          <w:szCs w:val="32"/>
          <w:highlight w:val="none"/>
          <w:lang w:eastAsia="zh-CN" w:bidi="ar"/>
        </w:rPr>
        <w:t>监理人的质量检查和检验</w:t>
      </w:r>
    </w:p>
    <w:p w14:paraId="42CB325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3A8FFA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6AF68B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57" w:name="_Toc351203535"/>
      <w:r>
        <w:rPr>
          <w:rFonts w:ascii="Times New Roman" w:hAnsi="Times New Roman" w:eastAsia="黑体" w:cs="Times New Roman"/>
          <w:b w:val="0"/>
          <w:bCs/>
          <w:color w:val="auto"/>
          <w:kern w:val="2"/>
          <w:sz w:val="30"/>
          <w:szCs w:val="32"/>
          <w:highlight w:val="none"/>
          <w:lang w:val="en-US" w:eastAsia="zh-CN" w:bidi="ar-SA"/>
        </w:rPr>
        <w:t>5</w:t>
      </w:r>
      <w:bookmarkStart w:id="358" w:name="_Toc337558761"/>
      <w:r>
        <w:rPr>
          <w:rFonts w:ascii="Times New Roman" w:hAnsi="Times New Roman" w:eastAsia="黑体" w:cs="Times New Roman"/>
          <w:b w:val="0"/>
          <w:bCs/>
          <w:color w:val="auto"/>
          <w:kern w:val="2"/>
          <w:sz w:val="30"/>
          <w:szCs w:val="32"/>
          <w:highlight w:val="none"/>
          <w:lang w:val="en-US" w:eastAsia="zh-CN" w:bidi="ar-SA"/>
        </w:rPr>
        <w:t xml:space="preserve">.3 </w:t>
      </w:r>
      <w:r>
        <w:rPr>
          <w:rFonts w:hint="eastAsia" w:ascii="Times New Roman" w:hAnsi="Times New Roman" w:eastAsia="黑体" w:cs="黑体"/>
          <w:b w:val="0"/>
          <w:bCs/>
          <w:color w:val="auto"/>
          <w:kern w:val="2"/>
          <w:sz w:val="30"/>
          <w:szCs w:val="32"/>
          <w:highlight w:val="none"/>
          <w:lang w:val="en-US" w:eastAsia="zh-CN" w:bidi="ar-SA"/>
        </w:rPr>
        <w:t>隐蔽工程检查</w:t>
      </w:r>
      <w:bookmarkEnd w:id="357"/>
    </w:p>
    <w:bookmarkEnd w:id="358"/>
    <w:p w14:paraId="259D55B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5.3.1</w:t>
      </w:r>
      <w:r>
        <w:rPr>
          <w:rFonts w:hint="eastAsia" w:ascii="Times New Roman" w:hAnsi="Times New Roman" w:eastAsia="仿宋_GB2312" w:cs="仿宋_GB2312"/>
          <w:color w:val="auto"/>
          <w:kern w:val="0"/>
          <w:sz w:val="30"/>
          <w:szCs w:val="32"/>
          <w:highlight w:val="none"/>
          <w:lang w:eastAsia="zh-CN" w:bidi="ar"/>
        </w:rPr>
        <w:t>承包人自检</w:t>
      </w:r>
    </w:p>
    <w:p w14:paraId="7BFD338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承包人应当对工程隐蔽部位进行自检，并经自检确认是否具备覆盖条件。</w:t>
      </w:r>
    </w:p>
    <w:p w14:paraId="3429E88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5.3.2</w:t>
      </w:r>
      <w:r>
        <w:rPr>
          <w:rFonts w:hint="eastAsia" w:ascii="Times New Roman" w:hAnsi="Times New Roman" w:eastAsia="仿宋_GB2312" w:cs="仿宋_GB2312"/>
          <w:color w:val="auto"/>
          <w:kern w:val="0"/>
          <w:sz w:val="30"/>
          <w:szCs w:val="32"/>
          <w:highlight w:val="none"/>
          <w:lang w:eastAsia="zh-CN" w:bidi="ar"/>
        </w:rPr>
        <w:t>检查程序</w:t>
      </w:r>
    </w:p>
    <w:p w14:paraId="636253A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除专用合同条款另有约定外，工程隐蔽部位经承包人自检确认具备覆盖条件的，承包人应在共同检查前</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小时书面通知监理人检查，通知中应载明隐蔽检查的内容、时间和地点，并应附有自检记录和必要的检查资料。</w:t>
      </w:r>
    </w:p>
    <w:p w14:paraId="7B0BE81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05E6A63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除专用合同条款另有约定外，监理人不能按时进行检查的，应在检查前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小时向承包人提交书面延期要求，但延期不能超过</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ascii="Times New Roman" w:hAnsi="Times New Roman" w:eastAsia="仿宋_GB2312" w:cs="Times New Roman"/>
          <w:color w:val="auto"/>
          <w:kern w:val="0"/>
          <w:sz w:val="30"/>
          <w:szCs w:val="32"/>
          <w:highlight w:val="none"/>
          <w:lang w:eastAsia="zh-CN" w:bidi="ar"/>
        </w:rPr>
        <w:t>5.3.3</w:t>
      </w:r>
      <w:r>
        <w:rPr>
          <w:rFonts w:hint="eastAsia" w:ascii="Times New Roman" w:hAnsi="Times New Roman" w:eastAsia="仿宋_GB2312" w:cs="仿宋_GB2312"/>
          <w:color w:val="auto"/>
          <w:kern w:val="0"/>
          <w:sz w:val="30"/>
          <w:szCs w:val="32"/>
          <w:highlight w:val="none"/>
          <w:lang w:eastAsia="zh-CN" w:bidi="ar"/>
        </w:rPr>
        <w:t>项〔重新检查〕的约定重新检查。</w:t>
      </w:r>
    </w:p>
    <w:p w14:paraId="4A9A1C4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5.3.3 </w:t>
      </w:r>
      <w:r>
        <w:rPr>
          <w:rFonts w:hint="eastAsia" w:ascii="Times New Roman" w:hAnsi="Times New Roman" w:eastAsia="仿宋_GB2312" w:cs="仿宋_GB2312"/>
          <w:color w:val="auto"/>
          <w:kern w:val="0"/>
          <w:sz w:val="30"/>
          <w:szCs w:val="32"/>
          <w:highlight w:val="none"/>
          <w:lang w:eastAsia="zh-CN" w:bidi="ar"/>
        </w:rPr>
        <w:t>重新检查</w:t>
      </w:r>
    </w:p>
    <w:p w14:paraId="4536400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7FBF10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5.3.4 </w:t>
      </w:r>
      <w:r>
        <w:rPr>
          <w:rFonts w:hint="eastAsia" w:ascii="Times New Roman" w:hAnsi="Times New Roman" w:eastAsia="仿宋_GB2312" w:cs="仿宋_GB2312"/>
          <w:color w:val="auto"/>
          <w:kern w:val="0"/>
          <w:sz w:val="30"/>
          <w:szCs w:val="32"/>
          <w:highlight w:val="none"/>
          <w:lang w:eastAsia="zh-CN" w:bidi="ar"/>
        </w:rPr>
        <w:t>承包人私自覆盖</w:t>
      </w:r>
    </w:p>
    <w:p w14:paraId="3AD94BB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承包人未通知监理人到场检查，私自将工程隐蔽部位覆盖的，监理人有权指示承包人钻孔探测或揭开检查，无论工程隐蔽部位质量是否合格，由此增加的费用和（或）延误的工期均由承包人承担。</w:t>
      </w:r>
    </w:p>
    <w:p w14:paraId="75FB66F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59" w:name="_Toc351203536"/>
      <w:r>
        <w:rPr>
          <w:rFonts w:ascii="Times New Roman" w:hAnsi="Times New Roman" w:eastAsia="黑体" w:cs="Times New Roman"/>
          <w:b w:val="0"/>
          <w:bCs/>
          <w:color w:val="auto"/>
          <w:kern w:val="2"/>
          <w:sz w:val="30"/>
          <w:szCs w:val="32"/>
          <w:highlight w:val="none"/>
          <w:lang w:val="en-US" w:eastAsia="zh-CN" w:bidi="ar-SA"/>
        </w:rPr>
        <w:t>5</w:t>
      </w:r>
      <w:bookmarkStart w:id="360" w:name="_Toc337558762"/>
      <w:r>
        <w:rPr>
          <w:rFonts w:ascii="Times New Roman" w:hAnsi="Times New Roman" w:eastAsia="黑体" w:cs="Times New Roman"/>
          <w:b w:val="0"/>
          <w:bCs/>
          <w:color w:val="auto"/>
          <w:kern w:val="2"/>
          <w:sz w:val="30"/>
          <w:szCs w:val="32"/>
          <w:highlight w:val="none"/>
          <w:lang w:val="en-US" w:eastAsia="zh-CN" w:bidi="ar-SA"/>
        </w:rPr>
        <w:t>.4</w:t>
      </w:r>
      <w:r>
        <w:rPr>
          <w:rFonts w:hint="eastAsia" w:ascii="Times New Roman" w:hAnsi="Times New Roman" w:eastAsia="黑体" w:cs="黑体"/>
          <w:b w:val="0"/>
          <w:bCs/>
          <w:color w:val="auto"/>
          <w:kern w:val="2"/>
          <w:sz w:val="30"/>
          <w:szCs w:val="32"/>
          <w:highlight w:val="none"/>
          <w:lang w:val="en-US" w:eastAsia="zh-CN" w:bidi="ar-SA"/>
        </w:rPr>
        <w:t>不合格工程的处理</w:t>
      </w:r>
      <w:bookmarkEnd w:id="359"/>
    </w:p>
    <w:bookmarkEnd w:id="360"/>
    <w:p w14:paraId="2373D34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5.4.1 </w:t>
      </w:r>
      <w:r>
        <w:rPr>
          <w:rFonts w:hint="eastAsia" w:ascii="Times New Roman" w:hAnsi="Times New Roman" w:eastAsia="仿宋_GB2312" w:cs="仿宋_GB2312"/>
          <w:color w:val="auto"/>
          <w:kern w:val="0"/>
          <w:sz w:val="30"/>
          <w:szCs w:val="32"/>
          <w:highlight w:val="none"/>
          <w:lang w:eastAsia="zh-CN" w:bidi="ar"/>
        </w:rPr>
        <w:t>因承包人原因造成工程不合格的，发包人有权随时要求承包人采取补救措施，直至达到合同要求的质量标准，由此增加的费用和（或）延误的工期由承包人承担。无法补救的，按照第</w:t>
      </w:r>
      <w:r>
        <w:rPr>
          <w:rFonts w:ascii="Times New Roman" w:hAnsi="Times New Roman" w:eastAsia="仿宋_GB2312" w:cs="Times New Roman"/>
          <w:color w:val="auto"/>
          <w:kern w:val="0"/>
          <w:sz w:val="30"/>
          <w:szCs w:val="32"/>
          <w:highlight w:val="none"/>
          <w:lang w:eastAsia="zh-CN" w:bidi="ar"/>
        </w:rPr>
        <w:t>13.2.4</w:t>
      </w:r>
      <w:r>
        <w:rPr>
          <w:rFonts w:hint="eastAsia" w:ascii="Times New Roman" w:hAnsi="Times New Roman" w:eastAsia="仿宋_GB2312" w:cs="仿宋_GB2312"/>
          <w:color w:val="auto"/>
          <w:kern w:val="0"/>
          <w:sz w:val="30"/>
          <w:szCs w:val="32"/>
          <w:highlight w:val="none"/>
          <w:lang w:eastAsia="zh-CN" w:bidi="ar"/>
        </w:rPr>
        <w:t>项〔拒绝接收全部或部分工程〕约定执行。</w:t>
      </w:r>
      <w:r>
        <w:rPr>
          <w:rFonts w:ascii="Times New Roman" w:hAnsi="Times New Roman" w:eastAsia="仿宋_GB2312" w:cs="Times New Roman"/>
          <w:color w:val="auto"/>
          <w:kern w:val="0"/>
          <w:sz w:val="30"/>
          <w:szCs w:val="32"/>
          <w:highlight w:val="none"/>
          <w:lang w:eastAsia="zh-CN" w:bidi="ar"/>
        </w:rPr>
        <w:t xml:space="preserve"> </w:t>
      </w:r>
    </w:p>
    <w:p w14:paraId="0767757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5.4.2 </w:t>
      </w:r>
      <w:r>
        <w:rPr>
          <w:rFonts w:hint="eastAsia" w:ascii="Times New Roman" w:hAnsi="Times New Roman" w:eastAsia="仿宋_GB2312" w:cs="仿宋_GB2312"/>
          <w:color w:val="auto"/>
          <w:kern w:val="0"/>
          <w:sz w:val="30"/>
          <w:szCs w:val="32"/>
          <w:highlight w:val="none"/>
          <w:lang w:eastAsia="zh-CN" w:bidi="ar"/>
        </w:rPr>
        <w:t>因发包人原因造成工程不合格的，由此增加的费用和（或）延误的工期由发包人承担，并支付承包人合理的利润。</w:t>
      </w:r>
    </w:p>
    <w:p w14:paraId="0C058E54">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61" w:name="_Toc351203537"/>
      <w:r>
        <w:rPr>
          <w:rFonts w:ascii="Times New Roman" w:hAnsi="Times New Roman" w:eastAsia="黑体" w:cs="Times New Roman"/>
          <w:b w:val="0"/>
          <w:bCs/>
          <w:color w:val="auto"/>
          <w:kern w:val="2"/>
          <w:sz w:val="30"/>
          <w:szCs w:val="32"/>
          <w:highlight w:val="none"/>
          <w:lang w:val="en-US" w:eastAsia="zh-CN" w:bidi="ar-SA"/>
        </w:rPr>
        <w:t xml:space="preserve">5.5 </w:t>
      </w:r>
      <w:r>
        <w:rPr>
          <w:rFonts w:hint="eastAsia" w:ascii="Times New Roman" w:hAnsi="Times New Roman" w:eastAsia="黑体" w:cs="黑体"/>
          <w:b w:val="0"/>
          <w:bCs/>
          <w:color w:val="auto"/>
          <w:kern w:val="2"/>
          <w:sz w:val="30"/>
          <w:szCs w:val="32"/>
          <w:highlight w:val="none"/>
          <w:lang w:val="en-US" w:eastAsia="zh-CN" w:bidi="ar-SA"/>
        </w:rPr>
        <w:t>质量争议检测</w:t>
      </w:r>
      <w:bookmarkEnd w:id="361"/>
    </w:p>
    <w:p w14:paraId="1DD7EA4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合同当事人对工程质量有争议的，由双方协商确定的工程质量检测机构鉴定，由此产生的费用及因此造成的损失，由责任方承担。</w:t>
      </w:r>
    </w:p>
    <w:p w14:paraId="5477FEDF">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合同当事人均有责任的，由双方根据其责任分别承担。合同当事人无法达成一致的，按照第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款〔商定或确定〕执行。</w:t>
      </w:r>
    </w:p>
    <w:p w14:paraId="489B68D5">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362" w:name="_Toc351203538"/>
      <w:bookmarkStart w:id="363" w:name="_Toc163768443"/>
      <w:bookmarkStart w:id="364" w:name="_Toc163768561"/>
      <w:r>
        <w:rPr>
          <w:rFonts w:ascii="Times New Roman" w:hAnsi="Times New Roman" w:eastAsia="黑体" w:cs="Times New Roman"/>
          <w:b/>
          <w:bCs/>
          <w:color w:val="auto"/>
          <w:sz w:val="32"/>
          <w:szCs w:val="32"/>
          <w:highlight w:val="none"/>
          <w:lang w:val="en-US" w:eastAsia="zh-CN" w:bidi="en-US"/>
        </w:rPr>
        <w:t>6</w:t>
      </w:r>
      <w:bookmarkStart w:id="365" w:name="_Toc337558763"/>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Times New Roman"/>
          <w:b/>
          <w:bCs/>
          <w:color w:val="auto"/>
          <w:sz w:val="32"/>
          <w:szCs w:val="32"/>
          <w:highlight w:val="none"/>
          <w:lang w:val="en-US" w:eastAsia="zh-CN" w:bidi="en-US"/>
        </w:rPr>
        <w:t>安全文明施工与环境保护</w:t>
      </w:r>
      <w:bookmarkEnd w:id="362"/>
      <w:bookmarkEnd w:id="363"/>
      <w:bookmarkEnd w:id="364"/>
    </w:p>
    <w:bookmarkEnd w:id="365"/>
    <w:p w14:paraId="28EA94A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66" w:name="_Toc351203539"/>
      <w:r>
        <w:rPr>
          <w:rFonts w:ascii="Times New Roman" w:hAnsi="Times New Roman" w:eastAsia="黑体" w:cs="Times New Roman"/>
          <w:b w:val="0"/>
          <w:bCs/>
          <w:color w:val="auto"/>
          <w:kern w:val="2"/>
          <w:sz w:val="30"/>
          <w:szCs w:val="32"/>
          <w:highlight w:val="none"/>
          <w:lang w:val="en-US" w:eastAsia="zh-CN" w:bidi="ar-SA"/>
        </w:rPr>
        <w:t>6</w:t>
      </w:r>
      <w:bookmarkStart w:id="367" w:name="_Toc337558764"/>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安全文明施工</w:t>
      </w:r>
      <w:bookmarkEnd w:id="366"/>
    </w:p>
    <w:bookmarkEnd w:id="367"/>
    <w:p w14:paraId="3EF286B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6.1.1</w:t>
      </w:r>
      <w:r>
        <w:rPr>
          <w:rFonts w:hint="eastAsia" w:ascii="Times New Roman" w:hAnsi="Times New Roman" w:eastAsia="仿宋_GB2312" w:cs="仿宋_GB2312"/>
          <w:color w:val="auto"/>
          <w:kern w:val="2"/>
          <w:sz w:val="30"/>
          <w:szCs w:val="32"/>
          <w:highlight w:val="none"/>
          <w:lang w:eastAsia="zh-CN" w:bidi="ar"/>
        </w:rPr>
        <w:t>安全生产要求</w:t>
      </w:r>
    </w:p>
    <w:p w14:paraId="23FDCB6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D9F69E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在施工过程中，如遇到突发的地质变动、事先未知的地下施工障碍等影响施工安全的紧急情况，承包人应及时报告监理人和发包人，发包人应当及时下令停工并报</w:t>
      </w:r>
      <w:r>
        <w:rPr>
          <w:rFonts w:hint="eastAsia" w:ascii="Times New Roman" w:hAnsi="Times New Roman" w:eastAsia="仿宋_GB2312" w:cs="仿宋_GB2312"/>
          <w:color w:val="auto"/>
          <w:kern w:val="0"/>
          <w:sz w:val="30"/>
          <w:szCs w:val="32"/>
          <w:highlight w:val="none"/>
          <w:lang w:eastAsia="zh-CN" w:bidi="ar"/>
        </w:rPr>
        <w:t>政府有关行政管理部门</w:t>
      </w:r>
      <w:r>
        <w:rPr>
          <w:rFonts w:hint="eastAsia" w:ascii="Times New Roman" w:hAnsi="Times New Roman" w:eastAsia="仿宋_GB2312" w:cs="仿宋_GB2312"/>
          <w:color w:val="auto"/>
          <w:kern w:val="2"/>
          <w:sz w:val="30"/>
          <w:szCs w:val="32"/>
          <w:highlight w:val="none"/>
          <w:lang w:eastAsia="zh-CN" w:bidi="ar"/>
        </w:rPr>
        <w:t>采取应急措施。</w:t>
      </w:r>
    </w:p>
    <w:p w14:paraId="6CE219A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因安全生产需要暂停施工的，按照第</w:t>
      </w:r>
      <w:r>
        <w:rPr>
          <w:rFonts w:ascii="Times New Roman" w:hAnsi="Times New Roman" w:eastAsia="仿宋_GB2312" w:cs="Times New Roman"/>
          <w:color w:val="auto"/>
          <w:kern w:val="2"/>
          <w:sz w:val="30"/>
          <w:szCs w:val="32"/>
          <w:highlight w:val="none"/>
          <w:lang w:eastAsia="zh-CN" w:bidi="ar"/>
        </w:rPr>
        <w:t>7.8</w:t>
      </w:r>
      <w:r>
        <w:rPr>
          <w:rFonts w:hint="eastAsia" w:ascii="Times New Roman" w:hAnsi="Times New Roman" w:eastAsia="仿宋_GB2312" w:cs="仿宋_GB2312"/>
          <w:color w:val="auto"/>
          <w:kern w:val="2"/>
          <w:sz w:val="30"/>
          <w:szCs w:val="32"/>
          <w:highlight w:val="none"/>
          <w:lang w:eastAsia="zh-CN" w:bidi="ar"/>
        </w:rPr>
        <w:t>款〔暂停施工〕的约定执行。</w:t>
      </w:r>
    </w:p>
    <w:p w14:paraId="280EFCA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6.1.2 </w:t>
      </w:r>
      <w:r>
        <w:rPr>
          <w:rFonts w:hint="eastAsia" w:ascii="Times New Roman" w:hAnsi="Times New Roman" w:eastAsia="仿宋_GB2312" w:cs="仿宋_GB2312"/>
          <w:color w:val="auto"/>
          <w:kern w:val="2"/>
          <w:sz w:val="30"/>
          <w:szCs w:val="32"/>
          <w:highlight w:val="none"/>
          <w:lang w:eastAsia="zh-CN" w:bidi="ar"/>
        </w:rPr>
        <w:t>安全生产保证措施</w:t>
      </w:r>
    </w:p>
    <w:p w14:paraId="75121C3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承包人应当按照有关</w:t>
      </w:r>
      <w:r>
        <w:rPr>
          <w:rFonts w:hint="eastAsia" w:ascii="Times New Roman" w:hAnsi="Times New Roman" w:eastAsia="仿宋_GB2312" w:cs="仿宋_GB2312"/>
          <w:color w:val="auto"/>
          <w:kern w:val="0"/>
          <w:sz w:val="30"/>
          <w:szCs w:val="32"/>
          <w:highlight w:val="none"/>
          <w:lang w:eastAsia="zh-CN" w:bidi="ar"/>
        </w:rPr>
        <w:t>规定编制安全技术措施或者专项施工方案，</w:t>
      </w:r>
      <w:r>
        <w:rPr>
          <w:rFonts w:hint="eastAsia" w:ascii="Times New Roman" w:hAnsi="Times New Roman" w:eastAsia="仿宋_GB2312" w:cs="仿宋_GB2312"/>
          <w:color w:val="auto"/>
          <w:kern w:val="2"/>
          <w:sz w:val="30"/>
          <w:szCs w:val="32"/>
          <w:highlight w:val="none"/>
          <w:lang w:eastAsia="zh-CN" w:bidi="ar"/>
        </w:rPr>
        <w:t>建立安全生产责任制度、治安保卫制度及安全生产教育培训制度，并</w:t>
      </w:r>
      <w:r>
        <w:rPr>
          <w:rFonts w:hint="eastAsia" w:ascii="Times New Roman" w:hAnsi="Times New Roman" w:eastAsia="仿宋_GB2312" w:cs="仿宋_GB2312"/>
          <w:color w:val="auto"/>
          <w:kern w:val="0"/>
          <w:sz w:val="30"/>
          <w:szCs w:val="32"/>
          <w:highlight w:val="none"/>
          <w:lang w:eastAsia="zh-CN" w:bidi="ar"/>
        </w:rPr>
        <w:t>按安全生产法律规定及合同约定履行安全职责，如实</w:t>
      </w:r>
      <w:r>
        <w:rPr>
          <w:rFonts w:hint="eastAsia" w:ascii="Times New Roman" w:hAnsi="Times New Roman" w:eastAsia="仿宋_GB2312" w:cs="仿宋_GB2312"/>
          <w:color w:val="auto"/>
          <w:kern w:val="2"/>
          <w:sz w:val="30"/>
          <w:szCs w:val="32"/>
          <w:highlight w:val="none"/>
          <w:lang w:eastAsia="zh-CN" w:bidi="ar"/>
        </w:rPr>
        <w:t>编制工程安全生产的有关记录，</w:t>
      </w:r>
      <w:r>
        <w:rPr>
          <w:rFonts w:hint="eastAsia" w:ascii="Times New Roman" w:hAnsi="Times New Roman" w:eastAsia="仿宋_GB2312" w:cs="仿宋_GB2312"/>
          <w:color w:val="auto"/>
          <w:kern w:val="0"/>
          <w:sz w:val="30"/>
          <w:szCs w:val="32"/>
          <w:highlight w:val="none"/>
          <w:lang w:eastAsia="zh-CN" w:bidi="ar"/>
        </w:rPr>
        <w:t>接受发包人、监理人及政府安全监督部门的检查与监督。</w:t>
      </w:r>
    </w:p>
    <w:p w14:paraId="4397B23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6.1.3</w:t>
      </w:r>
      <w:r>
        <w:rPr>
          <w:rFonts w:hint="eastAsia" w:ascii="Times New Roman" w:hAnsi="Times New Roman" w:eastAsia="仿宋_GB2312" w:cs="仿宋_GB2312"/>
          <w:color w:val="auto"/>
          <w:kern w:val="2"/>
          <w:sz w:val="30"/>
          <w:szCs w:val="32"/>
          <w:highlight w:val="none"/>
          <w:lang w:eastAsia="zh-CN" w:bidi="ar"/>
        </w:rPr>
        <w:t>特别安全生产事项</w:t>
      </w:r>
    </w:p>
    <w:p w14:paraId="156B160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0950B65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承包人在动力设备、输电线路、地下管道、密封防震车间、易燃易爆地段以及临街交通要道附近施工时，施工开始前应向发包人和监理人提出安全防护措施，经发包人认可后实施。</w:t>
      </w:r>
      <w:r>
        <w:rPr>
          <w:rFonts w:ascii="Times New Roman" w:hAnsi="Times New Roman" w:eastAsia="仿宋_GB2312" w:cs="Times New Roman"/>
          <w:color w:val="auto"/>
          <w:kern w:val="2"/>
          <w:sz w:val="30"/>
          <w:szCs w:val="32"/>
          <w:highlight w:val="none"/>
          <w:lang w:eastAsia="zh-CN" w:bidi="ar"/>
        </w:rPr>
        <w:t xml:space="preserve"> </w:t>
      </w:r>
    </w:p>
    <w:p w14:paraId="3FAC8C8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实施爆破作业，在放射、毒害性环境中施工（含储存、运输、使用）及使用毒害性、腐蚀性物品施工时，承包人应在施工前</w:t>
      </w:r>
      <w:r>
        <w:rPr>
          <w:rFonts w:ascii="Times New Roman" w:hAnsi="Times New Roman" w:eastAsia="仿宋_GB2312" w:cs="Times New Roman"/>
          <w:color w:val="auto"/>
          <w:kern w:val="2"/>
          <w:sz w:val="30"/>
          <w:szCs w:val="32"/>
          <w:highlight w:val="none"/>
          <w:lang w:eastAsia="zh-CN" w:bidi="ar"/>
        </w:rPr>
        <w:t>7</w:t>
      </w:r>
      <w:r>
        <w:rPr>
          <w:rFonts w:hint="eastAsia" w:ascii="Times New Roman" w:hAnsi="Times New Roman" w:eastAsia="仿宋_GB2312" w:cs="仿宋_GB2312"/>
          <w:color w:val="auto"/>
          <w:kern w:val="2"/>
          <w:sz w:val="30"/>
          <w:szCs w:val="32"/>
          <w:highlight w:val="none"/>
          <w:lang w:eastAsia="zh-CN" w:bidi="ar"/>
        </w:rPr>
        <w:t>天以书面通知发包人和监理人，并报送相应的安全防护措施，经发包人认可后实施。</w:t>
      </w:r>
    </w:p>
    <w:p w14:paraId="6C4E086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需单独编制危险性较大分部分项专项工程施工方案的，及要求进行专家论证的超过一定规模的危险性较大的分部分项工程，承包人应及时编制和组织论证。</w:t>
      </w:r>
    </w:p>
    <w:p w14:paraId="11EF8CC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6.1.4 </w:t>
      </w:r>
      <w:r>
        <w:rPr>
          <w:rFonts w:hint="eastAsia" w:ascii="Times New Roman" w:hAnsi="Times New Roman" w:eastAsia="仿宋_GB2312" w:cs="仿宋_GB2312"/>
          <w:color w:val="auto"/>
          <w:kern w:val="2"/>
          <w:sz w:val="30"/>
          <w:szCs w:val="32"/>
          <w:highlight w:val="none"/>
          <w:lang w:eastAsia="zh-CN" w:bidi="ar"/>
        </w:rPr>
        <w:t>治安保卫</w:t>
      </w:r>
    </w:p>
    <w:p w14:paraId="27DFE46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除专用合同条款另有约定外，发包人应与当地公安部门协商，在现场建立治安管理机构或联防组织，统一管理施工场地的治安保卫事项，履行合同工程的治安保卫职责。</w:t>
      </w:r>
    </w:p>
    <w:p w14:paraId="498E319B">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发包人和承包人除应协助现场治安管理机构或联防组织维护施工场地的社会治安外，还应做好包括生活区在内的各自管辖区的治安保卫工作。</w:t>
      </w:r>
    </w:p>
    <w:p w14:paraId="2AA276E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除专用合同条款另有约定外，发包人和承包人应在工程开工后</w:t>
      </w:r>
      <w:r>
        <w:rPr>
          <w:rFonts w:ascii="Times New Roman" w:hAnsi="Times New Roman" w:eastAsia="仿宋_GB2312" w:cs="Times New Roman"/>
          <w:color w:val="auto"/>
          <w:kern w:val="2"/>
          <w:sz w:val="30"/>
          <w:szCs w:val="32"/>
          <w:highlight w:val="none"/>
          <w:lang w:eastAsia="zh-CN" w:bidi="ar"/>
        </w:rPr>
        <w:t>7</w:t>
      </w:r>
      <w:r>
        <w:rPr>
          <w:rFonts w:hint="eastAsia" w:ascii="Times New Roman" w:hAnsi="Times New Roman" w:eastAsia="仿宋_GB2312" w:cs="仿宋_GB2312"/>
          <w:color w:val="auto"/>
          <w:kern w:val="2"/>
          <w:sz w:val="30"/>
          <w:szCs w:val="32"/>
          <w:highlight w:val="none"/>
          <w:lang w:eastAsia="zh-CN" w:bidi="ar"/>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5BFA0B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6.1.5 </w:t>
      </w:r>
      <w:r>
        <w:rPr>
          <w:rFonts w:hint="eastAsia" w:ascii="Times New Roman" w:hAnsi="Times New Roman" w:eastAsia="仿宋_GB2312" w:cs="仿宋_GB2312"/>
          <w:color w:val="auto"/>
          <w:kern w:val="2"/>
          <w:sz w:val="30"/>
          <w:szCs w:val="32"/>
          <w:highlight w:val="none"/>
          <w:lang w:eastAsia="zh-CN" w:bidi="ar"/>
        </w:rPr>
        <w:t>文明施工</w:t>
      </w:r>
    </w:p>
    <w:p w14:paraId="2108FE4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29D9C72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B19BA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6.1.6 </w:t>
      </w:r>
      <w:r>
        <w:rPr>
          <w:rFonts w:hint="eastAsia" w:ascii="Times New Roman" w:hAnsi="Times New Roman" w:eastAsia="仿宋_GB2312" w:cs="仿宋_GB2312"/>
          <w:color w:val="auto"/>
          <w:kern w:val="2"/>
          <w:sz w:val="30"/>
          <w:szCs w:val="32"/>
          <w:highlight w:val="none"/>
          <w:lang w:eastAsia="zh-CN" w:bidi="ar"/>
        </w:rPr>
        <w:t>安全文明施工费</w:t>
      </w:r>
    </w:p>
    <w:p w14:paraId="1358F79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安全文明施工费由发包人承担，发包人不得以任何形式扣减该部分费用。因基准日期后合同所适用的法律或政府有关规定发生变化，增加的安全文明施工费由发包人承担。</w:t>
      </w:r>
    </w:p>
    <w:p w14:paraId="126684D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7003B18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除专用合同条款另有约定外，发包人应在开工后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天内预付安全文明施工费总额的</w:t>
      </w:r>
      <w:r>
        <w:rPr>
          <w:rFonts w:ascii="Times New Roman" w:hAnsi="Times New Roman" w:eastAsia="仿宋_GB2312" w:cs="Times New Roman"/>
          <w:color w:val="auto"/>
          <w:kern w:val="0"/>
          <w:sz w:val="30"/>
          <w:szCs w:val="32"/>
          <w:highlight w:val="none"/>
          <w:lang w:eastAsia="zh-CN" w:bidi="ar"/>
        </w:rPr>
        <w:t>50%</w:t>
      </w:r>
      <w:r>
        <w:rPr>
          <w:rFonts w:hint="eastAsia" w:ascii="Times New Roman" w:hAnsi="Times New Roman" w:eastAsia="仿宋_GB2312" w:cs="仿宋_GB2312"/>
          <w:color w:val="auto"/>
          <w:kern w:val="0"/>
          <w:sz w:val="30"/>
          <w:szCs w:val="32"/>
          <w:highlight w:val="none"/>
          <w:lang w:eastAsia="zh-CN" w:bidi="ar"/>
        </w:rPr>
        <w:t>，其余部分与进度款同期支付。发包人逾期支付安全文明施工费超过</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天的，承包人有权向发包人发出要求预付的催告通知，发包人收到通知后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天内仍未支付的，承包人有权暂停施工，并按第</w:t>
      </w:r>
      <w:r>
        <w:rPr>
          <w:rFonts w:ascii="Times New Roman" w:hAnsi="Times New Roman" w:eastAsia="仿宋_GB2312" w:cs="Times New Roman"/>
          <w:color w:val="auto"/>
          <w:kern w:val="0"/>
          <w:sz w:val="30"/>
          <w:szCs w:val="32"/>
          <w:highlight w:val="none"/>
          <w:lang w:eastAsia="zh-CN" w:bidi="ar"/>
        </w:rPr>
        <w:t>16.1.1</w:t>
      </w:r>
      <w:r>
        <w:rPr>
          <w:rFonts w:hint="eastAsia" w:ascii="Times New Roman" w:hAnsi="Times New Roman" w:eastAsia="仿宋_GB2312" w:cs="仿宋_GB2312"/>
          <w:color w:val="auto"/>
          <w:kern w:val="0"/>
          <w:sz w:val="30"/>
          <w:szCs w:val="32"/>
          <w:highlight w:val="none"/>
          <w:lang w:eastAsia="zh-CN" w:bidi="ar"/>
        </w:rPr>
        <w:t>项〔发包人违约的情形〕执行。</w:t>
      </w:r>
    </w:p>
    <w:p w14:paraId="64945D8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1E04144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6.1.7 </w:t>
      </w:r>
      <w:r>
        <w:rPr>
          <w:rFonts w:hint="eastAsia" w:ascii="Times New Roman" w:hAnsi="Times New Roman" w:eastAsia="仿宋_GB2312" w:cs="仿宋_GB2312"/>
          <w:color w:val="auto"/>
          <w:kern w:val="0"/>
          <w:sz w:val="30"/>
          <w:szCs w:val="32"/>
          <w:highlight w:val="none"/>
          <w:lang w:eastAsia="zh-CN" w:bidi="ar"/>
        </w:rPr>
        <w:t>紧急情况处理</w:t>
      </w:r>
    </w:p>
    <w:p w14:paraId="0748D71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C939F7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6.1.8 </w:t>
      </w:r>
      <w:r>
        <w:rPr>
          <w:rFonts w:hint="eastAsia" w:ascii="Times New Roman" w:hAnsi="Times New Roman" w:eastAsia="仿宋_GB2312" w:cs="仿宋_GB2312"/>
          <w:color w:val="auto"/>
          <w:kern w:val="0"/>
          <w:sz w:val="30"/>
          <w:szCs w:val="32"/>
          <w:highlight w:val="none"/>
          <w:lang w:eastAsia="zh-CN" w:bidi="ar"/>
        </w:rPr>
        <w:t>事故处理</w:t>
      </w:r>
    </w:p>
    <w:p w14:paraId="1C8D16C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41D390B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6.1.9 </w:t>
      </w:r>
      <w:r>
        <w:rPr>
          <w:rFonts w:hint="eastAsia" w:ascii="Times New Roman" w:hAnsi="Times New Roman" w:eastAsia="仿宋_GB2312" w:cs="仿宋_GB2312"/>
          <w:color w:val="auto"/>
          <w:kern w:val="0"/>
          <w:sz w:val="30"/>
          <w:szCs w:val="32"/>
          <w:highlight w:val="none"/>
          <w:lang w:eastAsia="zh-CN" w:bidi="ar"/>
        </w:rPr>
        <w:t>安全生产责任</w:t>
      </w:r>
    </w:p>
    <w:p w14:paraId="682BE84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6.1.9.1 </w:t>
      </w:r>
      <w:r>
        <w:rPr>
          <w:rFonts w:hint="eastAsia" w:ascii="Times New Roman" w:hAnsi="Times New Roman" w:eastAsia="仿宋_GB2312" w:cs="仿宋_GB2312"/>
          <w:color w:val="auto"/>
          <w:kern w:val="0"/>
          <w:sz w:val="30"/>
          <w:szCs w:val="32"/>
          <w:highlight w:val="none"/>
          <w:lang w:eastAsia="zh-CN" w:bidi="ar"/>
        </w:rPr>
        <w:t>发包人的安全责任</w:t>
      </w:r>
    </w:p>
    <w:p w14:paraId="71CE1BF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发包人应负责赔偿以下各种情况造成的损失：</w:t>
      </w:r>
    </w:p>
    <w:p w14:paraId="47E4505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）工程或工程的任何部分对土地的占用所造成的第三者财产损失；</w:t>
      </w:r>
    </w:p>
    <w:p w14:paraId="39CAA7F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）由于发包人原因在施工场地及其毗邻地带造成的第三者人身伤亡和财产损失；</w:t>
      </w:r>
    </w:p>
    <w:p w14:paraId="7C654AE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）由于发包人原因对承包人、监理人造成的人员人身伤亡和财产损失；</w:t>
      </w:r>
    </w:p>
    <w:p w14:paraId="204F4D7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4</w:t>
      </w:r>
      <w:r>
        <w:rPr>
          <w:rFonts w:hint="eastAsia" w:ascii="Times New Roman" w:hAnsi="Times New Roman" w:eastAsia="仿宋_GB2312" w:cs="仿宋_GB2312"/>
          <w:color w:val="auto"/>
          <w:kern w:val="2"/>
          <w:sz w:val="30"/>
          <w:szCs w:val="32"/>
          <w:highlight w:val="none"/>
          <w:lang w:eastAsia="zh-CN" w:bidi="ar"/>
        </w:rPr>
        <w:t>）由于发包人原因造成的发包人自身人员的人身伤害以及财产损失。</w:t>
      </w:r>
    </w:p>
    <w:p w14:paraId="55446D3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6.1.9.2 </w:t>
      </w:r>
      <w:r>
        <w:rPr>
          <w:rFonts w:hint="eastAsia" w:ascii="Times New Roman" w:hAnsi="Times New Roman" w:eastAsia="仿宋_GB2312" w:cs="仿宋_GB2312"/>
          <w:color w:val="auto"/>
          <w:kern w:val="0"/>
          <w:sz w:val="30"/>
          <w:szCs w:val="32"/>
          <w:highlight w:val="none"/>
          <w:lang w:eastAsia="zh-CN" w:bidi="ar"/>
        </w:rPr>
        <w:t>承包人的安全责任</w:t>
      </w:r>
    </w:p>
    <w:p w14:paraId="03010F8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由于承包人原因在施工场地内及其毗邻地带造成的发包人、监理人以及第三者人员伤亡和财产损失，由承包人负责赔偿。</w:t>
      </w:r>
    </w:p>
    <w:p w14:paraId="737602C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68" w:name="_Toc351203540"/>
      <w:r>
        <w:rPr>
          <w:rFonts w:ascii="Times New Roman" w:hAnsi="Times New Roman" w:eastAsia="黑体" w:cs="Times New Roman"/>
          <w:b w:val="0"/>
          <w:bCs/>
          <w:color w:val="auto"/>
          <w:kern w:val="2"/>
          <w:sz w:val="30"/>
          <w:szCs w:val="32"/>
          <w:highlight w:val="none"/>
          <w:lang w:val="en-US" w:eastAsia="zh-CN" w:bidi="ar-SA"/>
        </w:rPr>
        <w:t>6</w:t>
      </w:r>
      <w:bookmarkStart w:id="369" w:name="_Toc337558765"/>
      <w:r>
        <w:rPr>
          <w:rFonts w:ascii="Times New Roman" w:hAnsi="Times New Roman" w:eastAsia="黑体" w:cs="Times New Roman"/>
          <w:b w:val="0"/>
          <w:bCs/>
          <w:color w:val="auto"/>
          <w:kern w:val="2"/>
          <w:sz w:val="30"/>
          <w:szCs w:val="32"/>
          <w:highlight w:val="none"/>
          <w:lang w:val="en-US" w:eastAsia="zh-CN" w:bidi="ar-SA"/>
        </w:rPr>
        <w:t xml:space="preserve">.2 </w:t>
      </w:r>
      <w:r>
        <w:rPr>
          <w:rFonts w:hint="eastAsia" w:ascii="Times New Roman" w:hAnsi="Times New Roman" w:eastAsia="黑体" w:cs="黑体"/>
          <w:b w:val="0"/>
          <w:bCs/>
          <w:color w:val="auto"/>
          <w:kern w:val="2"/>
          <w:sz w:val="30"/>
          <w:szCs w:val="32"/>
          <w:highlight w:val="none"/>
          <w:lang w:val="en-US" w:eastAsia="zh-CN" w:bidi="ar-SA"/>
        </w:rPr>
        <w:t>职业健康</w:t>
      </w:r>
      <w:bookmarkEnd w:id="368"/>
    </w:p>
    <w:bookmarkEnd w:id="369"/>
    <w:p w14:paraId="3D4220E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6.2.1 </w:t>
      </w:r>
      <w:r>
        <w:rPr>
          <w:rFonts w:hint="eastAsia" w:ascii="Times New Roman" w:hAnsi="Times New Roman" w:eastAsia="仿宋_GB2312" w:cs="仿宋_GB2312"/>
          <w:color w:val="auto"/>
          <w:kern w:val="0"/>
          <w:sz w:val="30"/>
          <w:szCs w:val="32"/>
          <w:highlight w:val="none"/>
          <w:lang w:eastAsia="zh-CN" w:bidi="ar"/>
        </w:rPr>
        <w:t>劳动保护</w:t>
      </w:r>
    </w:p>
    <w:p w14:paraId="14F1421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67E198D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承包人应按照法律规定保障现场施工人员的劳动安全，并提供劳动保护</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1DE7A08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承包人应按法律规定安排工作时间，保证其雇佣人员享有休息和休假的权利。因工程施工的特殊需要占用休假日或延长工作时间的，应不超过法律规定的限度，并按法律规定给予补休或付酬。</w:t>
      </w:r>
    </w:p>
    <w:p w14:paraId="6F1F7F3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6.2.2 </w:t>
      </w:r>
      <w:r>
        <w:rPr>
          <w:rFonts w:hint="eastAsia" w:ascii="Times New Roman" w:hAnsi="Times New Roman" w:eastAsia="仿宋_GB2312" w:cs="仿宋_GB2312"/>
          <w:color w:val="auto"/>
          <w:kern w:val="0"/>
          <w:sz w:val="30"/>
          <w:szCs w:val="32"/>
          <w:highlight w:val="none"/>
          <w:lang w:eastAsia="zh-CN" w:bidi="ar"/>
        </w:rPr>
        <w:t>生活条件</w:t>
      </w:r>
    </w:p>
    <w:p w14:paraId="3810FEF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在远离城镇的施工场地，还应配备必要的伤病防治和急救的医务人员与医疗设施。</w:t>
      </w:r>
    </w:p>
    <w:p w14:paraId="5A5D4D9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70" w:name="_Toc351203541"/>
      <w:r>
        <w:rPr>
          <w:rFonts w:ascii="Times New Roman" w:hAnsi="Times New Roman" w:eastAsia="黑体" w:cs="Times New Roman"/>
          <w:b w:val="0"/>
          <w:bCs/>
          <w:color w:val="auto"/>
          <w:kern w:val="2"/>
          <w:sz w:val="30"/>
          <w:szCs w:val="32"/>
          <w:highlight w:val="none"/>
          <w:lang w:val="en-US" w:eastAsia="zh-CN" w:bidi="ar-SA"/>
        </w:rPr>
        <w:t>6</w:t>
      </w:r>
      <w:bookmarkStart w:id="371" w:name="_Toc337558766"/>
      <w:r>
        <w:rPr>
          <w:rFonts w:ascii="Times New Roman" w:hAnsi="Times New Roman" w:eastAsia="黑体" w:cs="Times New Roman"/>
          <w:b w:val="0"/>
          <w:bCs/>
          <w:color w:val="auto"/>
          <w:kern w:val="2"/>
          <w:sz w:val="30"/>
          <w:szCs w:val="32"/>
          <w:highlight w:val="none"/>
          <w:lang w:val="en-US" w:eastAsia="zh-CN" w:bidi="ar-SA"/>
        </w:rPr>
        <w:t xml:space="preserve">.3 </w:t>
      </w:r>
      <w:r>
        <w:rPr>
          <w:rFonts w:hint="eastAsia" w:ascii="Times New Roman" w:hAnsi="Times New Roman" w:eastAsia="黑体" w:cs="黑体"/>
          <w:b w:val="0"/>
          <w:bCs/>
          <w:color w:val="auto"/>
          <w:kern w:val="2"/>
          <w:sz w:val="30"/>
          <w:szCs w:val="32"/>
          <w:highlight w:val="none"/>
          <w:lang w:val="en-US" w:eastAsia="zh-CN" w:bidi="ar-SA"/>
        </w:rPr>
        <w:t>环境保护</w:t>
      </w:r>
      <w:bookmarkEnd w:id="370"/>
    </w:p>
    <w:bookmarkEnd w:id="371"/>
    <w:p w14:paraId="26E2288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456D0F5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承包人应当承担因其原因引起的环境污染侵权损害赔偿责任，因上述环境污染引起纠纷而导致暂停施工的，由此增加的费用和（或）延误的工期由承包人承担。</w:t>
      </w:r>
    </w:p>
    <w:p w14:paraId="62D0B888">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372" w:name="_Toc351203542"/>
      <w:bookmarkStart w:id="373" w:name="_Toc163768562"/>
      <w:bookmarkStart w:id="374" w:name="_Toc163768444"/>
      <w:r>
        <w:rPr>
          <w:rFonts w:ascii="Times New Roman" w:hAnsi="Times New Roman" w:eastAsia="黑体" w:cs="Times New Roman"/>
          <w:b/>
          <w:bCs/>
          <w:color w:val="auto"/>
          <w:sz w:val="32"/>
          <w:szCs w:val="32"/>
          <w:highlight w:val="none"/>
          <w:lang w:val="en-US" w:eastAsia="zh-CN" w:bidi="en-US"/>
        </w:rPr>
        <w:t>7</w:t>
      </w:r>
      <w:bookmarkStart w:id="375" w:name="_Toc337558767"/>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Times New Roman"/>
          <w:b/>
          <w:bCs/>
          <w:color w:val="auto"/>
          <w:sz w:val="32"/>
          <w:szCs w:val="32"/>
          <w:highlight w:val="none"/>
          <w:lang w:val="en-US" w:eastAsia="zh-CN" w:bidi="en-US"/>
        </w:rPr>
        <w:t>工期和进度</w:t>
      </w:r>
      <w:bookmarkEnd w:id="372"/>
      <w:bookmarkEnd w:id="373"/>
      <w:bookmarkEnd w:id="374"/>
    </w:p>
    <w:bookmarkEnd w:id="375"/>
    <w:p w14:paraId="7CF418D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76" w:name="_Toc351203543"/>
      <w:r>
        <w:rPr>
          <w:rFonts w:ascii="Times New Roman" w:hAnsi="Times New Roman" w:eastAsia="黑体" w:cs="Times New Roman"/>
          <w:b w:val="0"/>
          <w:bCs/>
          <w:color w:val="auto"/>
          <w:kern w:val="2"/>
          <w:sz w:val="30"/>
          <w:szCs w:val="32"/>
          <w:highlight w:val="none"/>
          <w:lang w:val="en-US" w:eastAsia="zh-CN" w:bidi="ar-SA"/>
        </w:rPr>
        <w:t>7</w:t>
      </w:r>
      <w:bookmarkStart w:id="377" w:name="_Toc337558768"/>
      <w:bookmarkStart w:id="378" w:name="_Toc296503066"/>
      <w:bookmarkStart w:id="379" w:name="_Toc296346567"/>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施工组织设计</w:t>
      </w:r>
      <w:bookmarkEnd w:id="376"/>
    </w:p>
    <w:bookmarkEnd w:id="377"/>
    <w:p w14:paraId="185F454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7.1.1 </w:t>
      </w:r>
      <w:r>
        <w:rPr>
          <w:rFonts w:hint="eastAsia" w:ascii="Times New Roman" w:hAnsi="Times New Roman" w:eastAsia="仿宋_GB2312" w:cs="仿宋_GB2312"/>
          <w:color w:val="auto"/>
          <w:kern w:val="0"/>
          <w:sz w:val="30"/>
          <w:szCs w:val="32"/>
          <w:highlight w:val="none"/>
          <w:lang w:eastAsia="zh-CN" w:bidi="ar"/>
        </w:rPr>
        <w:t>施工组织设计的内容</w:t>
      </w:r>
    </w:p>
    <w:p w14:paraId="3546EA4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施工组织设计应包含以下内容：</w:t>
      </w:r>
    </w:p>
    <w:p w14:paraId="5514005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）施工方案；</w:t>
      </w:r>
      <w:r>
        <w:rPr>
          <w:rFonts w:ascii="Times New Roman" w:hAnsi="Times New Roman" w:eastAsia="仿宋_GB2312" w:cs="Times New Roman"/>
          <w:color w:val="auto"/>
          <w:kern w:val="0"/>
          <w:sz w:val="30"/>
          <w:szCs w:val="32"/>
          <w:highlight w:val="none"/>
          <w:lang w:eastAsia="zh-CN" w:bidi="ar"/>
        </w:rPr>
        <w:t xml:space="preserve"> </w:t>
      </w:r>
    </w:p>
    <w:p w14:paraId="537590B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）施工现场平面布置图；</w:t>
      </w:r>
    </w:p>
    <w:p w14:paraId="2FCC238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）施工进度计划和保证措施；</w:t>
      </w:r>
      <w:r>
        <w:rPr>
          <w:rFonts w:ascii="Times New Roman" w:hAnsi="Times New Roman" w:eastAsia="仿宋_GB2312" w:cs="Times New Roman"/>
          <w:color w:val="auto"/>
          <w:kern w:val="0"/>
          <w:sz w:val="30"/>
          <w:szCs w:val="32"/>
          <w:highlight w:val="none"/>
          <w:lang w:eastAsia="zh-CN" w:bidi="ar"/>
        </w:rPr>
        <w:t xml:space="preserve"> </w:t>
      </w:r>
    </w:p>
    <w:p w14:paraId="356F7CD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）劳动力及材料供应计划；</w:t>
      </w:r>
    </w:p>
    <w:p w14:paraId="2F24013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）施工机械设备的选用；</w:t>
      </w:r>
    </w:p>
    <w:p w14:paraId="10634DA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）质量保证体系及措施；</w:t>
      </w:r>
    </w:p>
    <w:p w14:paraId="694AB2F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）安全生产、文明施工措施；</w:t>
      </w:r>
    </w:p>
    <w:p w14:paraId="1C4EA54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8</w:t>
      </w:r>
      <w:r>
        <w:rPr>
          <w:rFonts w:hint="eastAsia" w:ascii="Times New Roman" w:hAnsi="Times New Roman" w:eastAsia="仿宋_GB2312" w:cs="仿宋_GB2312"/>
          <w:color w:val="auto"/>
          <w:kern w:val="0"/>
          <w:sz w:val="30"/>
          <w:szCs w:val="32"/>
          <w:highlight w:val="none"/>
          <w:lang w:eastAsia="zh-CN" w:bidi="ar"/>
        </w:rPr>
        <w:t>）环境保护、成本控制措施；</w:t>
      </w:r>
    </w:p>
    <w:p w14:paraId="17554EF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9</w:t>
      </w:r>
      <w:r>
        <w:rPr>
          <w:rFonts w:hint="eastAsia" w:ascii="Times New Roman" w:hAnsi="Times New Roman" w:eastAsia="仿宋_GB2312" w:cs="仿宋_GB2312"/>
          <w:color w:val="auto"/>
          <w:kern w:val="0"/>
          <w:sz w:val="30"/>
          <w:szCs w:val="32"/>
          <w:highlight w:val="none"/>
          <w:lang w:eastAsia="zh-CN" w:bidi="ar"/>
        </w:rPr>
        <w:t>）合同当事人约定的其他内容。</w:t>
      </w:r>
    </w:p>
    <w:p w14:paraId="5F0DB5C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7.1.2 </w:t>
      </w:r>
      <w:r>
        <w:rPr>
          <w:rFonts w:hint="eastAsia" w:ascii="Times New Roman" w:hAnsi="Times New Roman" w:eastAsia="仿宋_GB2312" w:cs="仿宋_GB2312"/>
          <w:color w:val="auto"/>
          <w:kern w:val="0"/>
          <w:sz w:val="30"/>
          <w:szCs w:val="32"/>
          <w:highlight w:val="none"/>
          <w:lang w:eastAsia="zh-CN" w:bidi="ar"/>
        </w:rPr>
        <w:t>施工组织设计的提交和修改</w:t>
      </w:r>
    </w:p>
    <w:p w14:paraId="0FF7EBD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除专用合同条款另有约定外，承包人应在合同签订后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天内，但至迟不得晚于第</w:t>
      </w:r>
      <w:r>
        <w:rPr>
          <w:rFonts w:ascii="Times New Roman" w:hAnsi="Times New Roman" w:eastAsia="仿宋_GB2312" w:cs="Times New Roman"/>
          <w:color w:val="auto"/>
          <w:kern w:val="0"/>
          <w:sz w:val="30"/>
          <w:szCs w:val="32"/>
          <w:highlight w:val="none"/>
          <w:lang w:eastAsia="zh-CN" w:bidi="ar"/>
        </w:rPr>
        <w:t>7.3.2</w:t>
      </w:r>
      <w:r>
        <w:rPr>
          <w:rFonts w:hint="eastAsia" w:ascii="Times New Roman" w:hAnsi="Times New Roman" w:eastAsia="仿宋_GB2312" w:cs="仿宋_GB2312"/>
          <w:color w:val="auto"/>
          <w:kern w:val="0"/>
          <w:sz w:val="30"/>
          <w:szCs w:val="32"/>
          <w:highlight w:val="none"/>
          <w:lang w:eastAsia="zh-CN" w:bidi="ar"/>
        </w:rPr>
        <w:t>项〔开工通知〕载明的开工日期前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天，向监理人提交详细的施工组织设计，并由监理人报送发包人。除专用合同条款另有约定外，发包人和监理人应在监理人收到施工组织设计后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天内确认或提出修改意见。对发包人和监理人提出的合理意见和要求，承包人应自费修改完善。根据工程实际情况需要修改施工组织设计的，承包人应向发包人和监理人提交修改后的施工组织设计。</w:t>
      </w:r>
    </w:p>
    <w:p w14:paraId="41647D4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施工进度计划的编制和修改按照第</w:t>
      </w:r>
      <w:r>
        <w:rPr>
          <w:rFonts w:ascii="Times New Roman" w:hAnsi="Times New Roman" w:eastAsia="仿宋_GB2312" w:cs="Times New Roman"/>
          <w:color w:val="auto"/>
          <w:kern w:val="0"/>
          <w:sz w:val="30"/>
          <w:szCs w:val="32"/>
          <w:highlight w:val="none"/>
          <w:lang w:eastAsia="zh-CN" w:bidi="ar"/>
        </w:rPr>
        <w:t>7.2</w:t>
      </w:r>
      <w:r>
        <w:rPr>
          <w:rFonts w:hint="eastAsia" w:ascii="Times New Roman" w:hAnsi="Times New Roman" w:eastAsia="仿宋_GB2312" w:cs="仿宋_GB2312"/>
          <w:color w:val="auto"/>
          <w:kern w:val="0"/>
          <w:sz w:val="30"/>
          <w:szCs w:val="32"/>
          <w:highlight w:val="none"/>
          <w:lang w:eastAsia="zh-CN" w:bidi="ar"/>
        </w:rPr>
        <w:t>款〔施工进度计划〕执行。</w:t>
      </w:r>
    </w:p>
    <w:p w14:paraId="114D03A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80" w:name="_Toc351203544"/>
      <w:r>
        <w:rPr>
          <w:rFonts w:ascii="Times New Roman" w:hAnsi="Times New Roman" w:eastAsia="黑体" w:cs="Times New Roman"/>
          <w:b w:val="0"/>
          <w:bCs/>
          <w:color w:val="auto"/>
          <w:kern w:val="2"/>
          <w:sz w:val="30"/>
          <w:szCs w:val="32"/>
          <w:highlight w:val="none"/>
          <w:lang w:val="en-US" w:eastAsia="zh-CN" w:bidi="ar-SA"/>
        </w:rPr>
        <w:t>7</w:t>
      </w:r>
      <w:bookmarkStart w:id="381" w:name="_Toc337558769"/>
      <w:r>
        <w:rPr>
          <w:rFonts w:ascii="Times New Roman" w:hAnsi="Times New Roman" w:eastAsia="黑体" w:cs="Times New Roman"/>
          <w:b w:val="0"/>
          <w:bCs/>
          <w:color w:val="auto"/>
          <w:kern w:val="2"/>
          <w:sz w:val="30"/>
          <w:szCs w:val="32"/>
          <w:highlight w:val="none"/>
          <w:lang w:val="en-US" w:eastAsia="zh-CN" w:bidi="ar-SA"/>
        </w:rPr>
        <w:t xml:space="preserve">.2 </w:t>
      </w:r>
      <w:r>
        <w:rPr>
          <w:rFonts w:hint="eastAsia" w:ascii="Times New Roman" w:hAnsi="Times New Roman" w:eastAsia="黑体" w:cs="黑体"/>
          <w:b w:val="0"/>
          <w:bCs/>
          <w:color w:val="auto"/>
          <w:kern w:val="2"/>
          <w:sz w:val="30"/>
          <w:szCs w:val="32"/>
          <w:highlight w:val="none"/>
          <w:lang w:val="en-US" w:eastAsia="zh-CN" w:bidi="ar-SA"/>
        </w:rPr>
        <w:t>施工进度计划</w:t>
      </w:r>
      <w:bookmarkEnd w:id="380"/>
    </w:p>
    <w:bookmarkEnd w:id="381"/>
    <w:p w14:paraId="13E2808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7.2.1 </w:t>
      </w:r>
      <w:r>
        <w:rPr>
          <w:rFonts w:hint="eastAsia" w:ascii="Times New Roman" w:hAnsi="Times New Roman" w:eastAsia="仿宋_GB2312" w:cs="仿宋_GB2312"/>
          <w:color w:val="auto"/>
          <w:kern w:val="0"/>
          <w:sz w:val="30"/>
          <w:szCs w:val="32"/>
          <w:highlight w:val="none"/>
          <w:lang w:eastAsia="zh-CN" w:bidi="ar"/>
        </w:rPr>
        <w:t>施工进度计划的编制</w:t>
      </w:r>
    </w:p>
    <w:p w14:paraId="028DC27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承包人应按照第</w:t>
      </w:r>
      <w:r>
        <w:rPr>
          <w:rFonts w:ascii="Times New Roman" w:hAnsi="Times New Roman" w:eastAsia="仿宋_GB2312" w:cs="Times New Roman"/>
          <w:color w:val="auto"/>
          <w:kern w:val="0"/>
          <w:sz w:val="30"/>
          <w:szCs w:val="32"/>
          <w:highlight w:val="none"/>
          <w:lang w:eastAsia="zh-CN" w:bidi="ar"/>
        </w:rPr>
        <w:t>7.1</w:t>
      </w:r>
      <w:r>
        <w:rPr>
          <w:rFonts w:hint="eastAsia" w:ascii="Times New Roman" w:hAnsi="Times New Roman" w:eastAsia="仿宋_GB2312" w:cs="仿宋_GB2312"/>
          <w:color w:val="auto"/>
          <w:kern w:val="0"/>
          <w:sz w:val="30"/>
          <w:szCs w:val="32"/>
          <w:highlight w:val="none"/>
          <w:lang w:eastAsia="zh-CN" w:bidi="ar"/>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2B8595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7.2.2 </w:t>
      </w:r>
      <w:r>
        <w:rPr>
          <w:rFonts w:hint="eastAsia" w:ascii="Times New Roman" w:hAnsi="Times New Roman" w:eastAsia="仿宋_GB2312" w:cs="仿宋_GB2312"/>
          <w:color w:val="auto"/>
          <w:kern w:val="2"/>
          <w:sz w:val="30"/>
          <w:szCs w:val="32"/>
          <w:highlight w:val="none"/>
          <w:lang w:eastAsia="zh-CN" w:bidi="ar"/>
        </w:rPr>
        <w:t>施工进度计划的修订</w:t>
      </w:r>
    </w:p>
    <w:p w14:paraId="33CF60D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天内完成审核和批准或提出修改意见。发包人和监理人对承包人提交的施工进度计划的确认，不能减轻或免除承包人根据法律规定和合同约定应承担的任何责任或义务。</w:t>
      </w:r>
    </w:p>
    <w:p w14:paraId="131902E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82" w:name="_Toc351203545"/>
      <w:r>
        <w:rPr>
          <w:rFonts w:ascii="Times New Roman" w:hAnsi="Times New Roman" w:eastAsia="黑体" w:cs="Times New Roman"/>
          <w:b w:val="0"/>
          <w:bCs/>
          <w:color w:val="auto"/>
          <w:kern w:val="2"/>
          <w:sz w:val="30"/>
          <w:szCs w:val="32"/>
          <w:highlight w:val="none"/>
          <w:lang w:val="en-US" w:eastAsia="zh-CN" w:bidi="ar-SA"/>
        </w:rPr>
        <w:t>7</w:t>
      </w:r>
      <w:bookmarkStart w:id="383" w:name="_Toc337558770"/>
      <w:r>
        <w:rPr>
          <w:rFonts w:ascii="Times New Roman" w:hAnsi="Times New Roman" w:eastAsia="黑体" w:cs="Times New Roman"/>
          <w:b w:val="0"/>
          <w:bCs/>
          <w:color w:val="auto"/>
          <w:kern w:val="2"/>
          <w:sz w:val="30"/>
          <w:szCs w:val="32"/>
          <w:highlight w:val="none"/>
          <w:lang w:val="en-US" w:eastAsia="zh-CN" w:bidi="ar-SA"/>
        </w:rPr>
        <w:t xml:space="preserve">.3 </w:t>
      </w:r>
      <w:r>
        <w:rPr>
          <w:rFonts w:hint="eastAsia" w:ascii="Times New Roman" w:hAnsi="Times New Roman" w:eastAsia="黑体" w:cs="黑体"/>
          <w:b w:val="0"/>
          <w:bCs/>
          <w:color w:val="auto"/>
          <w:kern w:val="2"/>
          <w:sz w:val="30"/>
          <w:szCs w:val="32"/>
          <w:highlight w:val="none"/>
          <w:lang w:val="en-US" w:eastAsia="zh-CN" w:bidi="ar-SA"/>
        </w:rPr>
        <w:t>开工</w:t>
      </w:r>
      <w:bookmarkEnd w:id="382"/>
    </w:p>
    <w:p w14:paraId="4B2C057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7.3.1 </w:t>
      </w:r>
      <w:r>
        <w:rPr>
          <w:rFonts w:hint="eastAsia" w:ascii="Times New Roman" w:hAnsi="Times New Roman" w:eastAsia="仿宋_GB2312" w:cs="仿宋_GB2312"/>
          <w:color w:val="auto"/>
          <w:kern w:val="0"/>
          <w:sz w:val="30"/>
          <w:szCs w:val="32"/>
          <w:highlight w:val="none"/>
          <w:lang w:eastAsia="zh-CN" w:bidi="ar"/>
        </w:rPr>
        <w:t>开工准备</w:t>
      </w:r>
    </w:p>
    <w:p w14:paraId="38C21EE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除专用合同条款另有约定外，承包人应按照第</w:t>
      </w:r>
      <w:r>
        <w:rPr>
          <w:rFonts w:ascii="Times New Roman" w:hAnsi="Times New Roman" w:eastAsia="仿宋_GB2312" w:cs="Times New Roman"/>
          <w:color w:val="auto"/>
          <w:kern w:val="0"/>
          <w:sz w:val="30"/>
          <w:szCs w:val="32"/>
          <w:highlight w:val="none"/>
          <w:lang w:eastAsia="zh-CN" w:bidi="ar"/>
        </w:rPr>
        <w:t>7.1</w:t>
      </w:r>
      <w:r>
        <w:rPr>
          <w:rFonts w:hint="eastAsia" w:ascii="Times New Roman" w:hAnsi="Times New Roman" w:eastAsia="仿宋_GB2312" w:cs="仿宋_GB2312"/>
          <w:color w:val="auto"/>
          <w:kern w:val="0"/>
          <w:sz w:val="30"/>
          <w:szCs w:val="32"/>
          <w:highlight w:val="none"/>
          <w:lang w:eastAsia="zh-CN" w:bidi="ar"/>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62A0369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除专用合同条款另有约定外，合同当事人应按约定完成开工准备工作。</w:t>
      </w:r>
    </w:p>
    <w:p w14:paraId="2F0B4B6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7.3.2 </w:t>
      </w:r>
      <w:r>
        <w:rPr>
          <w:rFonts w:hint="eastAsia" w:ascii="Times New Roman" w:hAnsi="Times New Roman" w:eastAsia="仿宋_GB2312" w:cs="仿宋_GB2312"/>
          <w:color w:val="auto"/>
          <w:kern w:val="0"/>
          <w:sz w:val="30"/>
          <w:szCs w:val="32"/>
          <w:highlight w:val="none"/>
          <w:lang w:eastAsia="zh-CN" w:bidi="ar"/>
        </w:rPr>
        <w:t>开工通知</w:t>
      </w:r>
    </w:p>
    <w:bookmarkEnd w:id="383"/>
    <w:p w14:paraId="6CF3412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发包人应按照法律规定获得工程施工所需的许可。经发包人同意后，监理人发出的开工通知应符合法律规定。监理人应在计划开工日期</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天前向承包人发出开工通知，工期自开工通知中载明的开工日期起算。</w:t>
      </w:r>
    </w:p>
    <w:p w14:paraId="31FAE42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除专用合同条款另有约定外，因发包人原因造成监理人未能在计划开工日期之日起</w:t>
      </w:r>
      <w:r>
        <w:rPr>
          <w:rFonts w:ascii="Times New Roman" w:hAnsi="Times New Roman" w:eastAsia="仿宋_GB2312" w:cs="Times New Roman"/>
          <w:color w:val="auto"/>
          <w:kern w:val="0"/>
          <w:sz w:val="30"/>
          <w:szCs w:val="32"/>
          <w:highlight w:val="none"/>
          <w:lang w:eastAsia="zh-CN" w:bidi="ar"/>
        </w:rPr>
        <w:t>90</w:t>
      </w:r>
      <w:r>
        <w:rPr>
          <w:rFonts w:hint="eastAsia" w:ascii="Times New Roman" w:hAnsi="Times New Roman" w:eastAsia="仿宋_GB2312" w:cs="仿宋_GB2312"/>
          <w:color w:val="auto"/>
          <w:kern w:val="0"/>
          <w:sz w:val="30"/>
          <w:szCs w:val="32"/>
          <w:highlight w:val="none"/>
          <w:lang w:eastAsia="zh-CN" w:bidi="ar"/>
        </w:rPr>
        <w:t>天内发出开工通知的，承包人有权提出价格调整要求，或者解除合同。发包人应当承担由此增加的费用和（或）延误的工期，并向承包人支付合理利润。</w:t>
      </w:r>
    </w:p>
    <w:p w14:paraId="242A29F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84" w:name="_Toc351203546"/>
      <w:r>
        <w:rPr>
          <w:rFonts w:ascii="Times New Roman" w:hAnsi="Times New Roman" w:eastAsia="黑体" w:cs="Times New Roman"/>
          <w:b w:val="0"/>
          <w:bCs/>
          <w:color w:val="auto"/>
          <w:kern w:val="2"/>
          <w:sz w:val="30"/>
          <w:szCs w:val="32"/>
          <w:highlight w:val="none"/>
          <w:lang w:val="en-US" w:eastAsia="zh-CN" w:bidi="ar-SA"/>
        </w:rPr>
        <w:t>7.4</w:t>
      </w:r>
      <w:r>
        <w:rPr>
          <w:rFonts w:hint="eastAsia" w:ascii="Times New Roman" w:hAnsi="Times New Roman" w:eastAsia="黑体" w:cs="黑体"/>
          <w:b w:val="0"/>
          <w:bCs/>
          <w:color w:val="auto"/>
          <w:kern w:val="2"/>
          <w:sz w:val="30"/>
          <w:szCs w:val="32"/>
          <w:highlight w:val="none"/>
          <w:lang w:val="en-US" w:eastAsia="zh-CN" w:bidi="ar-SA"/>
        </w:rPr>
        <w:t>测量放线</w:t>
      </w:r>
      <w:bookmarkEnd w:id="384"/>
    </w:p>
    <w:p w14:paraId="0DC4219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7.4.1 </w:t>
      </w:r>
      <w:r>
        <w:rPr>
          <w:rFonts w:hint="eastAsia" w:ascii="Times New Roman" w:hAnsi="Times New Roman" w:eastAsia="仿宋_GB2312" w:cs="仿宋_GB2312"/>
          <w:color w:val="auto"/>
          <w:kern w:val="0"/>
          <w:sz w:val="30"/>
          <w:szCs w:val="32"/>
          <w:highlight w:val="none"/>
          <w:lang w:eastAsia="zh-CN" w:bidi="ar"/>
        </w:rPr>
        <w:t>除专用合同条款另有约定外，发包人应在至迟不得晚于第</w:t>
      </w:r>
      <w:r>
        <w:rPr>
          <w:rFonts w:ascii="Times New Roman" w:hAnsi="Times New Roman" w:eastAsia="仿宋_GB2312" w:cs="Times New Roman"/>
          <w:color w:val="auto"/>
          <w:kern w:val="0"/>
          <w:sz w:val="30"/>
          <w:szCs w:val="32"/>
          <w:highlight w:val="none"/>
          <w:lang w:eastAsia="zh-CN" w:bidi="ar"/>
        </w:rPr>
        <w:t>7.3.2</w:t>
      </w:r>
      <w:r>
        <w:rPr>
          <w:rFonts w:hint="eastAsia" w:ascii="Times New Roman" w:hAnsi="Times New Roman" w:eastAsia="仿宋_GB2312" w:cs="仿宋_GB2312"/>
          <w:color w:val="auto"/>
          <w:kern w:val="0"/>
          <w:sz w:val="30"/>
          <w:szCs w:val="32"/>
          <w:highlight w:val="none"/>
          <w:lang w:eastAsia="zh-CN" w:bidi="ar"/>
        </w:rPr>
        <w:t>项〔开工通知〕载明的开工日期前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天通过监理人向承包人提供测量基准点、基准线和水准点及其书面资料。发包人应对其提供的测量基准点、基准线和水准点及其书面资料的真实性、准确性和完整性负责。</w:t>
      </w:r>
    </w:p>
    <w:p w14:paraId="6F7DE8B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84DC6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7.4.2 </w:t>
      </w:r>
      <w:r>
        <w:rPr>
          <w:rFonts w:hint="eastAsia" w:ascii="Times New Roman" w:hAnsi="Times New Roman" w:eastAsia="仿宋_GB2312" w:cs="仿宋_GB2312"/>
          <w:color w:val="auto"/>
          <w:kern w:val="0"/>
          <w:sz w:val="30"/>
          <w:szCs w:val="32"/>
          <w:highlight w:val="none"/>
          <w:lang w:eastAsia="zh-CN" w:bidi="ar"/>
        </w:rPr>
        <w:t>承包人负责施工过程中的全部施工测量放线工作，并配置具有相应资质的人员、合格的仪器、设备和其他物品。承包人应矫正工程的位置、标高、尺寸或准线中出现的任何差错，并对工程各部分的定位负责。</w:t>
      </w:r>
    </w:p>
    <w:p w14:paraId="70807D0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施工过程中对施工现场内水准点等测量标志物的保护工作由承包人负责。</w:t>
      </w:r>
      <w:bookmarkStart w:id="385" w:name="_Toc351203547"/>
    </w:p>
    <w:p w14:paraId="0E87292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r>
        <w:rPr>
          <w:rFonts w:ascii="Times New Roman" w:hAnsi="Times New Roman" w:eastAsia="黑体" w:cs="Times New Roman"/>
          <w:b w:val="0"/>
          <w:bCs/>
          <w:color w:val="auto"/>
          <w:kern w:val="2"/>
          <w:sz w:val="30"/>
          <w:szCs w:val="32"/>
          <w:highlight w:val="none"/>
          <w:lang w:val="en-US" w:eastAsia="zh-CN" w:bidi="ar-SA"/>
        </w:rPr>
        <w:t>7</w:t>
      </w:r>
      <w:bookmarkEnd w:id="378"/>
      <w:bookmarkEnd w:id="379"/>
      <w:bookmarkStart w:id="386" w:name="_Toc337558772"/>
      <w:bookmarkStart w:id="387" w:name="_Toc296503073"/>
      <w:bookmarkStart w:id="388" w:name="_Toc296346574"/>
      <w:r>
        <w:rPr>
          <w:rFonts w:ascii="Times New Roman" w:hAnsi="Times New Roman" w:eastAsia="黑体" w:cs="Times New Roman"/>
          <w:b w:val="0"/>
          <w:bCs/>
          <w:color w:val="auto"/>
          <w:kern w:val="2"/>
          <w:sz w:val="30"/>
          <w:szCs w:val="32"/>
          <w:highlight w:val="none"/>
          <w:lang w:val="en-US" w:eastAsia="zh-CN" w:bidi="ar-SA"/>
        </w:rPr>
        <w:t xml:space="preserve">.5 </w:t>
      </w:r>
      <w:r>
        <w:rPr>
          <w:rFonts w:hint="eastAsia" w:ascii="Times New Roman" w:hAnsi="Times New Roman" w:eastAsia="黑体" w:cs="黑体"/>
          <w:b w:val="0"/>
          <w:bCs/>
          <w:color w:val="auto"/>
          <w:kern w:val="2"/>
          <w:sz w:val="30"/>
          <w:szCs w:val="32"/>
          <w:highlight w:val="none"/>
          <w:lang w:val="en-US" w:eastAsia="zh-CN" w:bidi="ar-SA"/>
        </w:rPr>
        <w:t>工期延误</w:t>
      </w:r>
      <w:bookmarkEnd w:id="385"/>
    </w:p>
    <w:bookmarkEnd w:id="386"/>
    <w:bookmarkEnd w:id="387"/>
    <w:bookmarkEnd w:id="388"/>
    <w:p w14:paraId="080F487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7.5.1 </w:t>
      </w:r>
      <w:r>
        <w:rPr>
          <w:rFonts w:hint="eastAsia" w:ascii="Times New Roman" w:hAnsi="Times New Roman" w:eastAsia="仿宋_GB2312" w:cs="仿宋_GB2312"/>
          <w:color w:val="auto"/>
          <w:kern w:val="0"/>
          <w:sz w:val="30"/>
          <w:szCs w:val="32"/>
          <w:highlight w:val="none"/>
          <w:lang w:eastAsia="zh-CN" w:bidi="ar"/>
        </w:rPr>
        <w:t>因发包人原因导致工期延误</w:t>
      </w:r>
    </w:p>
    <w:p w14:paraId="0635978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在合同履行过程中，因下列情况导致工期延误和（或）费用增加的，由发包人承担由此延误的工期和（或）增加的费用，且发包人应支付承包人合理的利润：</w:t>
      </w:r>
      <w:r>
        <w:rPr>
          <w:rFonts w:ascii="Times New Roman" w:hAnsi="Times New Roman" w:eastAsia="仿宋_GB2312" w:cs="Times New Roman"/>
          <w:color w:val="auto"/>
          <w:kern w:val="0"/>
          <w:sz w:val="30"/>
          <w:szCs w:val="32"/>
          <w:highlight w:val="none"/>
          <w:lang w:eastAsia="zh-CN" w:bidi="ar"/>
        </w:rPr>
        <w:t xml:space="preserve"> </w:t>
      </w:r>
    </w:p>
    <w:p w14:paraId="3278081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）发包人未能按合同约定提供图纸或所提供图纸不符合合同约定的；</w:t>
      </w:r>
    </w:p>
    <w:p w14:paraId="28F1889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）发包人未能按合同约定提供施工现场、施工条件、基础资料、许可、批准等开工条件的；</w:t>
      </w:r>
    </w:p>
    <w:p w14:paraId="35165BF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）发包人提供的测量基准点、基准线和水准点及其书面资料存在错误或疏漏的；</w:t>
      </w:r>
    </w:p>
    <w:p w14:paraId="4C57257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）发包人未能在计划开工日期之日起</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天内同意下达开工通知的；</w:t>
      </w:r>
    </w:p>
    <w:p w14:paraId="1F78138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）发包人未能按合同约定日期支付工程预付款、进度款或竣工结算款的；</w:t>
      </w:r>
    </w:p>
    <w:p w14:paraId="570816E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）监理人未按合同约定发出指示、批准等文件的；</w:t>
      </w:r>
    </w:p>
    <w:p w14:paraId="751466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）专用合同条款中约定的其他情形。</w:t>
      </w:r>
    </w:p>
    <w:p w14:paraId="023B0F0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因发包人原因未按计划开工日期开工的，发包人应按实际开工日期顺延竣工日期，确保实际工期不低于合同约定的工期总日历天数。因发包人原因导致工期延误需要修订施工进度计划的，按照第</w:t>
      </w:r>
      <w:r>
        <w:rPr>
          <w:rFonts w:ascii="Times New Roman" w:hAnsi="Times New Roman" w:eastAsia="仿宋_GB2312" w:cs="Times New Roman"/>
          <w:color w:val="auto"/>
          <w:kern w:val="0"/>
          <w:sz w:val="30"/>
          <w:szCs w:val="32"/>
          <w:highlight w:val="none"/>
          <w:lang w:eastAsia="zh-CN" w:bidi="ar"/>
        </w:rPr>
        <w:t>7.2.2</w:t>
      </w:r>
      <w:r>
        <w:rPr>
          <w:rFonts w:hint="eastAsia" w:ascii="Times New Roman" w:hAnsi="Times New Roman" w:eastAsia="仿宋_GB2312" w:cs="仿宋_GB2312"/>
          <w:color w:val="auto"/>
          <w:kern w:val="0"/>
          <w:sz w:val="30"/>
          <w:szCs w:val="32"/>
          <w:highlight w:val="none"/>
          <w:lang w:eastAsia="zh-CN" w:bidi="ar"/>
        </w:rPr>
        <w:t>项〔施工进度计划的修订〕执行。</w:t>
      </w:r>
    </w:p>
    <w:p w14:paraId="5C79A8F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7.5.2 </w:t>
      </w:r>
      <w:r>
        <w:rPr>
          <w:rFonts w:hint="eastAsia" w:ascii="Times New Roman" w:hAnsi="Times New Roman" w:eastAsia="仿宋_GB2312" w:cs="仿宋_GB2312"/>
          <w:color w:val="auto"/>
          <w:kern w:val="0"/>
          <w:sz w:val="30"/>
          <w:szCs w:val="32"/>
          <w:highlight w:val="none"/>
          <w:lang w:eastAsia="zh-CN" w:bidi="ar"/>
        </w:rPr>
        <w:t>因承包人原因导致工期延误</w:t>
      </w:r>
    </w:p>
    <w:p w14:paraId="3473871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bookmarkStart w:id="389" w:name="_Toc296346577"/>
      <w:bookmarkStart w:id="390" w:name="_Toc296503076"/>
      <w:r>
        <w:rPr>
          <w:rFonts w:hint="eastAsia" w:ascii="Times New Roman" w:hAnsi="Times New Roman" w:eastAsia="仿宋_GB2312" w:cs="仿宋_GB2312"/>
          <w:color w:val="auto"/>
          <w:kern w:val="0"/>
          <w:sz w:val="30"/>
          <w:szCs w:val="32"/>
          <w:highlight w:val="none"/>
          <w:lang w:eastAsia="zh-CN" w:bidi="ar"/>
        </w:rPr>
        <w:t>因</w:t>
      </w:r>
      <w:bookmarkEnd w:id="389"/>
      <w:bookmarkEnd w:id="390"/>
      <w:r>
        <w:rPr>
          <w:rFonts w:hint="eastAsia" w:ascii="Times New Roman" w:hAnsi="Times New Roman" w:eastAsia="仿宋_GB2312" w:cs="仿宋_GB2312"/>
          <w:color w:val="auto"/>
          <w:kern w:val="0"/>
          <w:sz w:val="30"/>
          <w:szCs w:val="32"/>
          <w:highlight w:val="none"/>
          <w:lang w:eastAsia="zh-CN" w:bidi="ar"/>
        </w:rPr>
        <w:t>承包人原因造成工期延误的，可以在专用合同条款中约定逾期竣工违约金的计算方法和逾期竣工违约金的上限。承包人支付逾期竣工违约金后，不免除承包人继续完成工程及修补缺陷的义务。</w:t>
      </w:r>
    </w:p>
    <w:p w14:paraId="7B7D7D62">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91" w:name="_Toc351203548"/>
      <w:r>
        <w:rPr>
          <w:rFonts w:ascii="Times New Roman" w:hAnsi="Times New Roman" w:eastAsia="黑体" w:cs="Times New Roman"/>
          <w:b w:val="0"/>
          <w:bCs/>
          <w:color w:val="auto"/>
          <w:kern w:val="2"/>
          <w:sz w:val="30"/>
          <w:szCs w:val="32"/>
          <w:highlight w:val="none"/>
          <w:lang w:val="en-US" w:eastAsia="zh-CN" w:bidi="ar-SA"/>
        </w:rPr>
        <w:t>7</w:t>
      </w:r>
      <w:bookmarkStart w:id="392" w:name="_Toc296503074"/>
      <w:bookmarkStart w:id="393" w:name="_Toc296346575"/>
      <w:bookmarkStart w:id="394" w:name="_Toc337558773"/>
      <w:bookmarkStart w:id="395" w:name="_Toc296503077"/>
      <w:bookmarkStart w:id="396" w:name="_Toc296346578"/>
      <w:r>
        <w:rPr>
          <w:rFonts w:ascii="Times New Roman" w:hAnsi="Times New Roman" w:eastAsia="黑体" w:cs="Times New Roman"/>
          <w:b w:val="0"/>
          <w:bCs/>
          <w:color w:val="auto"/>
          <w:kern w:val="2"/>
          <w:sz w:val="30"/>
          <w:szCs w:val="32"/>
          <w:highlight w:val="none"/>
          <w:lang w:val="en-US" w:eastAsia="zh-CN" w:bidi="ar-SA"/>
        </w:rPr>
        <w:t xml:space="preserve">.6 </w:t>
      </w:r>
      <w:r>
        <w:rPr>
          <w:rFonts w:hint="eastAsia" w:ascii="Times New Roman" w:hAnsi="Times New Roman" w:eastAsia="黑体" w:cs="黑体"/>
          <w:b w:val="0"/>
          <w:bCs/>
          <w:color w:val="auto"/>
          <w:kern w:val="2"/>
          <w:sz w:val="30"/>
          <w:szCs w:val="32"/>
          <w:highlight w:val="none"/>
          <w:lang w:val="en-US" w:eastAsia="zh-CN" w:bidi="ar-SA"/>
        </w:rPr>
        <w:t>不利物质条件</w:t>
      </w:r>
      <w:bookmarkEnd w:id="391"/>
    </w:p>
    <w:bookmarkEnd w:id="392"/>
    <w:bookmarkEnd w:id="393"/>
    <w:bookmarkEnd w:id="394"/>
    <w:p w14:paraId="73B1ADD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EBEC02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Times New Roman" w:hAnsi="Times New Roman" w:eastAsia="仿宋_GB2312" w:cs="Times New Roman"/>
          <w:color w:val="auto"/>
          <w:kern w:val="0"/>
          <w:sz w:val="30"/>
          <w:szCs w:val="32"/>
          <w:highlight w:val="none"/>
          <w:lang w:eastAsia="zh-CN" w:bidi="ar"/>
        </w:rPr>
        <w:t>10</w:t>
      </w:r>
      <w:r>
        <w:rPr>
          <w:rFonts w:hint="eastAsia" w:ascii="Times New Roman" w:hAnsi="Times New Roman" w:eastAsia="仿宋_GB2312" w:cs="仿宋_GB2312"/>
          <w:color w:val="auto"/>
          <w:kern w:val="0"/>
          <w:sz w:val="30"/>
          <w:szCs w:val="32"/>
          <w:highlight w:val="none"/>
          <w:lang w:eastAsia="zh-CN" w:bidi="ar"/>
        </w:rPr>
        <w:t>条〔变更〕约定执行。承包人因采取合理措施而增加的费用和（或）延误的工期由发包人承担。</w:t>
      </w:r>
    </w:p>
    <w:p w14:paraId="129A79A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397" w:name="_Toc351203549"/>
      <w:r>
        <w:rPr>
          <w:rFonts w:ascii="Times New Roman" w:hAnsi="Times New Roman" w:eastAsia="黑体" w:cs="Times New Roman"/>
          <w:b w:val="0"/>
          <w:bCs/>
          <w:color w:val="auto"/>
          <w:kern w:val="2"/>
          <w:sz w:val="30"/>
          <w:szCs w:val="32"/>
          <w:highlight w:val="none"/>
          <w:lang w:val="en-US" w:eastAsia="zh-CN" w:bidi="ar-SA"/>
        </w:rPr>
        <w:t>7</w:t>
      </w:r>
      <w:bookmarkStart w:id="398" w:name="_Toc296503075"/>
      <w:bookmarkStart w:id="399" w:name="_Toc296346576"/>
      <w:bookmarkStart w:id="400" w:name="_Toc337558774"/>
      <w:r>
        <w:rPr>
          <w:rFonts w:ascii="Times New Roman" w:hAnsi="Times New Roman" w:eastAsia="黑体" w:cs="Times New Roman"/>
          <w:b w:val="0"/>
          <w:bCs/>
          <w:color w:val="auto"/>
          <w:kern w:val="2"/>
          <w:sz w:val="30"/>
          <w:szCs w:val="32"/>
          <w:highlight w:val="none"/>
          <w:lang w:val="en-US" w:eastAsia="zh-CN" w:bidi="ar-SA"/>
        </w:rPr>
        <w:t xml:space="preserve">.7 </w:t>
      </w:r>
      <w:r>
        <w:rPr>
          <w:rFonts w:hint="eastAsia" w:ascii="Times New Roman" w:hAnsi="Times New Roman" w:eastAsia="黑体" w:cs="黑体"/>
          <w:b w:val="0"/>
          <w:bCs/>
          <w:color w:val="auto"/>
          <w:kern w:val="2"/>
          <w:sz w:val="30"/>
          <w:szCs w:val="32"/>
          <w:highlight w:val="none"/>
          <w:lang w:val="en-US" w:eastAsia="zh-CN" w:bidi="ar-SA"/>
        </w:rPr>
        <w:t>异常恶劣的气候条件</w:t>
      </w:r>
      <w:bookmarkEnd w:id="397"/>
    </w:p>
    <w:bookmarkEnd w:id="398"/>
    <w:bookmarkEnd w:id="399"/>
    <w:bookmarkEnd w:id="400"/>
    <w:p w14:paraId="7328908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4F20258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承包人应采取克服异常恶劣的气候条件的合理措施继续施工，并及时通知发包人和监理人。监理人经发包人同意后应当及时发出指示，指示构成变更的，按第</w:t>
      </w:r>
      <w:r>
        <w:rPr>
          <w:rFonts w:ascii="Times New Roman" w:hAnsi="Times New Roman" w:eastAsia="仿宋_GB2312" w:cs="Times New Roman"/>
          <w:color w:val="auto"/>
          <w:kern w:val="0"/>
          <w:sz w:val="30"/>
          <w:szCs w:val="32"/>
          <w:highlight w:val="none"/>
          <w:lang w:eastAsia="zh-CN" w:bidi="ar"/>
        </w:rPr>
        <w:t>10</w:t>
      </w:r>
      <w:r>
        <w:rPr>
          <w:rFonts w:hint="eastAsia" w:ascii="Times New Roman" w:hAnsi="Times New Roman" w:eastAsia="仿宋_GB2312" w:cs="仿宋_GB2312"/>
          <w:color w:val="auto"/>
          <w:kern w:val="0"/>
          <w:sz w:val="30"/>
          <w:szCs w:val="32"/>
          <w:highlight w:val="none"/>
          <w:lang w:eastAsia="zh-CN" w:bidi="ar"/>
        </w:rPr>
        <w:t>条〔变更〕约定办理。承包人因采取合理措施而增加的费用和（或）延误的工期由发包人承担。</w:t>
      </w:r>
      <w:bookmarkStart w:id="401" w:name="_Toc351203550"/>
    </w:p>
    <w:p w14:paraId="451CAEFC">
      <w:pPr>
        <w:shd w:val="clear"/>
        <w:autoSpaceDE w:val="0"/>
        <w:autoSpaceDN w:val="0"/>
        <w:adjustRightInd w:val="0"/>
        <w:spacing w:line="360" w:lineRule="auto"/>
        <w:ind w:firstLine="600" w:firstLineChars="200"/>
        <w:jc w:val="left"/>
        <w:outlineLvl w:val="3"/>
        <w:rPr>
          <w:rFonts w:ascii="Times New Roman" w:hAnsi="Times New Roman" w:eastAsia="黑体" w:cs="Times New Roman"/>
          <w:bCs/>
          <w:color w:val="auto"/>
          <w:kern w:val="0"/>
          <w:sz w:val="30"/>
          <w:szCs w:val="32"/>
          <w:highlight w:val="none"/>
          <w:lang w:eastAsia="zh-CN" w:bidi="en-US"/>
        </w:rPr>
      </w:pPr>
      <w:r>
        <w:rPr>
          <w:rFonts w:ascii="Times New Roman" w:hAnsi="Times New Roman" w:eastAsia="黑体" w:cs="Times New Roman"/>
          <w:bCs/>
          <w:color w:val="auto"/>
          <w:kern w:val="2"/>
          <w:sz w:val="30"/>
          <w:szCs w:val="32"/>
          <w:highlight w:val="none"/>
          <w:lang w:eastAsia="zh-CN" w:bidi="ar"/>
        </w:rPr>
        <w:t>7</w:t>
      </w:r>
      <w:bookmarkStart w:id="402" w:name="_Toc337558775"/>
      <w:r>
        <w:rPr>
          <w:rFonts w:ascii="Times New Roman" w:hAnsi="Times New Roman" w:eastAsia="黑体" w:cs="Times New Roman"/>
          <w:bCs/>
          <w:color w:val="auto"/>
          <w:kern w:val="2"/>
          <w:sz w:val="30"/>
          <w:szCs w:val="32"/>
          <w:highlight w:val="none"/>
          <w:lang w:eastAsia="zh-CN" w:bidi="ar"/>
        </w:rPr>
        <w:t xml:space="preserve">.8 </w:t>
      </w:r>
      <w:r>
        <w:rPr>
          <w:rFonts w:hint="eastAsia" w:ascii="Times New Roman" w:hAnsi="Times New Roman" w:eastAsia="黑体" w:cs="黑体"/>
          <w:bCs/>
          <w:color w:val="auto"/>
          <w:kern w:val="2"/>
          <w:sz w:val="30"/>
          <w:szCs w:val="32"/>
          <w:highlight w:val="none"/>
          <w:lang w:eastAsia="zh-CN" w:bidi="ar"/>
        </w:rPr>
        <w:t>暂停施工</w:t>
      </w:r>
      <w:bookmarkEnd w:id="401"/>
    </w:p>
    <w:bookmarkEnd w:id="395"/>
    <w:bookmarkEnd w:id="396"/>
    <w:bookmarkEnd w:id="402"/>
    <w:p w14:paraId="3DFDA1B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7.8.1</w:t>
      </w:r>
      <w:r>
        <w:rPr>
          <w:rFonts w:hint="eastAsia" w:ascii="Times New Roman" w:hAnsi="Times New Roman" w:eastAsia="仿宋_GB2312" w:cs="仿宋_GB2312"/>
          <w:color w:val="auto"/>
          <w:kern w:val="0"/>
          <w:sz w:val="30"/>
          <w:szCs w:val="32"/>
          <w:highlight w:val="none"/>
          <w:lang w:eastAsia="zh-CN" w:bidi="ar"/>
        </w:rPr>
        <w:t>发包人原因引起的暂停施工</w:t>
      </w:r>
    </w:p>
    <w:p w14:paraId="6AC4301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因发包人原因引起暂停施工的，监理人经发包人同意后，应及时下达暂停施工指示。情况紧急且监理人未及时下达暂停施工指示的，按照第</w:t>
      </w:r>
      <w:r>
        <w:rPr>
          <w:rFonts w:ascii="Times New Roman" w:hAnsi="Times New Roman" w:eastAsia="仿宋_GB2312" w:cs="Times New Roman"/>
          <w:color w:val="auto"/>
          <w:kern w:val="0"/>
          <w:sz w:val="30"/>
          <w:szCs w:val="32"/>
          <w:highlight w:val="none"/>
          <w:lang w:eastAsia="zh-CN" w:bidi="ar"/>
        </w:rPr>
        <w:t>7.8.4</w:t>
      </w:r>
      <w:r>
        <w:rPr>
          <w:rFonts w:hint="eastAsia" w:ascii="Times New Roman" w:hAnsi="Times New Roman" w:eastAsia="仿宋_GB2312" w:cs="仿宋_GB2312"/>
          <w:color w:val="auto"/>
          <w:kern w:val="0"/>
          <w:sz w:val="30"/>
          <w:szCs w:val="32"/>
          <w:highlight w:val="none"/>
          <w:lang w:eastAsia="zh-CN" w:bidi="ar"/>
        </w:rPr>
        <w:t>项〔紧急情况下的暂停施工〕执行。</w:t>
      </w:r>
    </w:p>
    <w:p w14:paraId="0F11E91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因发包人原因引起的暂停施工，发包人应承担由此增加的费用和（或）延误的工期，并支付承包人合理的利润。</w:t>
      </w:r>
    </w:p>
    <w:p w14:paraId="35CE315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7.8.2 </w:t>
      </w:r>
      <w:r>
        <w:rPr>
          <w:rFonts w:hint="eastAsia" w:ascii="Times New Roman" w:hAnsi="Times New Roman" w:eastAsia="仿宋_GB2312" w:cs="仿宋_GB2312"/>
          <w:color w:val="auto"/>
          <w:kern w:val="0"/>
          <w:sz w:val="30"/>
          <w:szCs w:val="32"/>
          <w:highlight w:val="none"/>
          <w:lang w:eastAsia="zh-CN" w:bidi="ar"/>
        </w:rPr>
        <w:t>承包人原因引起的暂停施工</w:t>
      </w:r>
    </w:p>
    <w:p w14:paraId="4A8844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因承包人原因引起的暂停施工，承包人应承担由此增加的费用和（或）延误的工期，且承包人在收到监理人复工指示后</w:t>
      </w:r>
      <w:r>
        <w:rPr>
          <w:rFonts w:ascii="Times New Roman" w:hAnsi="Times New Roman" w:eastAsia="仿宋_GB2312" w:cs="Times New Roman"/>
          <w:color w:val="auto"/>
          <w:kern w:val="0"/>
          <w:sz w:val="30"/>
          <w:szCs w:val="32"/>
          <w:highlight w:val="none"/>
          <w:lang w:eastAsia="zh-CN" w:bidi="ar"/>
        </w:rPr>
        <w:t>84</w:t>
      </w:r>
      <w:r>
        <w:rPr>
          <w:rFonts w:hint="eastAsia" w:ascii="Times New Roman" w:hAnsi="Times New Roman" w:eastAsia="仿宋_GB2312" w:cs="仿宋_GB2312"/>
          <w:color w:val="auto"/>
          <w:kern w:val="0"/>
          <w:sz w:val="30"/>
          <w:szCs w:val="32"/>
          <w:highlight w:val="none"/>
          <w:lang w:eastAsia="zh-CN" w:bidi="ar"/>
        </w:rPr>
        <w:t>天内仍未复工的，视为第</w:t>
      </w:r>
      <w:r>
        <w:rPr>
          <w:rFonts w:ascii="Times New Roman" w:hAnsi="Times New Roman" w:eastAsia="仿宋_GB2312" w:cs="Times New Roman"/>
          <w:color w:val="auto"/>
          <w:kern w:val="0"/>
          <w:sz w:val="30"/>
          <w:szCs w:val="32"/>
          <w:highlight w:val="none"/>
          <w:lang w:eastAsia="zh-CN" w:bidi="ar"/>
        </w:rPr>
        <w:t>16.2.1</w:t>
      </w:r>
      <w:r>
        <w:rPr>
          <w:rFonts w:hint="eastAsia" w:ascii="Times New Roman" w:hAnsi="Times New Roman" w:eastAsia="仿宋_GB2312" w:cs="仿宋_GB2312"/>
          <w:color w:val="auto"/>
          <w:kern w:val="0"/>
          <w:sz w:val="30"/>
          <w:szCs w:val="32"/>
          <w:highlight w:val="none"/>
          <w:lang w:eastAsia="zh-CN" w:bidi="ar"/>
        </w:rPr>
        <w:t>项〔承包人违约的情形〕第（</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）目约定的承包人无法继续履行合同的情形。</w:t>
      </w:r>
    </w:p>
    <w:p w14:paraId="49C106B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7.8.3 </w:t>
      </w:r>
      <w:r>
        <w:rPr>
          <w:rFonts w:hint="eastAsia" w:ascii="Times New Roman" w:hAnsi="Times New Roman" w:eastAsia="仿宋_GB2312" w:cs="仿宋_GB2312"/>
          <w:color w:val="auto"/>
          <w:kern w:val="0"/>
          <w:sz w:val="30"/>
          <w:szCs w:val="32"/>
          <w:highlight w:val="none"/>
          <w:lang w:eastAsia="zh-CN" w:bidi="ar"/>
        </w:rPr>
        <w:t>指示暂停施工</w:t>
      </w:r>
    </w:p>
    <w:p w14:paraId="48A66BA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监理人认为有必要时，并经发包人批准后，可向承包人作出暂停施工的指示，承包人应按监理人指示暂停施工。</w:t>
      </w:r>
    </w:p>
    <w:p w14:paraId="007058B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7.8.4 </w:t>
      </w:r>
      <w:r>
        <w:rPr>
          <w:rFonts w:hint="eastAsia" w:ascii="Times New Roman" w:hAnsi="Times New Roman" w:eastAsia="仿宋_GB2312" w:cs="仿宋_GB2312"/>
          <w:color w:val="auto"/>
          <w:kern w:val="0"/>
          <w:sz w:val="30"/>
          <w:szCs w:val="32"/>
          <w:highlight w:val="none"/>
          <w:lang w:eastAsia="zh-CN" w:bidi="ar"/>
        </w:rPr>
        <w:t>紧急情况下的暂停施工</w:t>
      </w:r>
    </w:p>
    <w:p w14:paraId="6170B5B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因紧急情况需暂停施工，且监理人未及时下达暂停施工指示的，承包人可先暂停施工，并及时通知监理人。监理人应在接到通知后</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小时内发出指示，逾期未发出指示，视为同意承包人暂停施工。监理人不同意承包人暂停施工的，应说明理由，承包人对监理人的答复有异议，按照第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条〔争议解决〕约定处理。</w:t>
      </w:r>
    </w:p>
    <w:p w14:paraId="2C3FAAD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7.8.5 </w:t>
      </w:r>
      <w:r>
        <w:rPr>
          <w:rFonts w:hint="eastAsia" w:ascii="Times New Roman" w:hAnsi="Times New Roman" w:eastAsia="仿宋_GB2312" w:cs="仿宋_GB2312"/>
          <w:color w:val="auto"/>
          <w:kern w:val="0"/>
          <w:sz w:val="30"/>
          <w:szCs w:val="32"/>
          <w:highlight w:val="none"/>
          <w:lang w:eastAsia="zh-CN" w:bidi="ar"/>
        </w:rPr>
        <w:t>暂停施工后的复工</w:t>
      </w:r>
    </w:p>
    <w:p w14:paraId="5894BD9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4A8DA1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承包人无故拖延和拒绝复工的，承包人承担由此增加的费用和（或）延误的工期；因发包人原因无法按时复工的，按照第</w:t>
      </w:r>
      <w:r>
        <w:rPr>
          <w:rFonts w:ascii="Times New Roman" w:hAnsi="Times New Roman" w:eastAsia="仿宋_GB2312" w:cs="Times New Roman"/>
          <w:color w:val="auto"/>
          <w:kern w:val="0"/>
          <w:sz w:val="30"/>
          <w:szCs w:val="32"/>
          <w:highlight w:val="none"/>
          <w:lang w:eastAsia="zh-CN" w:bidi="ar"/>
        </w:rPr>
        <w:t>7.5.1</w:t>
      </w:r>
      <w:r>
        <w:rPr>
          <w:rFonts w:hint="eastAsia" w:ascii="Times New Roman" w:hAnsi="Times New Roman" w:eastAsia="仿宋_GB2312" w:cs="仿宋_GB2312"/>
          <w:color w:val="auto"/>
          <w:kern w:val="0"/>
          <w:sz w:val="30"/>
          <w:szCs w:val="32"/>
          <w:highlight w:val="none"/>
          <w:lang w:eastAsia="zh-CN" w:bidi="ar"/>
        </w:rPr>
        <w:t>项〔因发包人原因导致工期延误〕约定办理。</w:t>
      </w:r>
    </w:p>
    <w:p w14:paraId="2672F48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7.8.6 </w:t>
      </w:r>
      <w:r>
        <w:rPr>
          <w:rFonts w:hint="eastAsia" w:ascii="Times New Roman" w:hAnsi="Times New Roman" w:eastAsia="仿宋_GB2312" w:cs="仿宋_GB2312"/>
          <w:color w:val="auto"/>
          <w:kern w:val="0"/>
          <w:sz w:val="30"/>
          <w:szCs w:val="32"/>
          <w:highlight w:val="none"/>
          <w:lang w:eastAsia="zh-CN" w:bidi="ar"/>
        </w:rPr>
        <w:t>暂停施工持续</w:t>
      </w:r>
      <w:r>
        <w:rPr>
          <w:rFonts w:ascii="Times New Roman" w:hAnsi="Times New Roman" w:eastAsia="仿宋_GB2312" w:cs="Times New Roman"/>
          <w:color w:val="auto"/>
          <w:kern w:val="0"/>
          <w:sz w:val="30"/>
          <w:szCs w:val="32"/>
          <w:highlight w:val="none"/>
          <w:lang w:eastAsia="zh-CN" w:bidi="ar"/>
        </w:rPr>
        <w:t>56</w:t>
      </w:r>
      <w:r>
        <w:rPr>
          <w:rFonts w:hint="eastAsia" w:ascii="Times New Roman" w:hAnsi="Times New Roman" w:eastAsia="仿宋_GB2312" w:cs="仿宋_GB2312"/>
          <w:color w:val="auto"/>
          <w:kern w:val="0"/>
          <w:sz w:val="30"/>
          <w:szCs w:val="32"/>
          <w:highlight w:val="none"/>
          <w:lang w:eastAsia="zh-CN" w:bidi="ar"/>
        </w:rPr>
        <w:t>天以上</w:t>
      </w:r>
    </w:p>
    <w:p w14:paraId="19BCB4EB">
      <w:pPr>
        <w:shd w:val="clear"/>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监理人发出暂停施工指示后</w:t>
      </w:r>
      <w:r>
        <w:rPr>
          <w:rFonts w:ascii="Times New Roman" w:hAnsi="Times New Roman" w:eastAsia="仿宋_GB2312" w:cs="Times New Roman"/>
          <w:color w:val="auto"/>
          <w:kern w:val="0"/>
          <w:sz w:val="30"/>
          <w:szCs w:val="32"/>
          <w:highlight w:val="none"/>
          <w:lang w:eastAsia="zh-CN" w:bidi="ar"/>
        </w:rPr>
        <w:t>56</w:t>
      </w:r>
      <w:r>
        <w:rPr>
          <w:rFonts w:hint="eastAsia" w:ascii="Times New Roman" w:hAnsi="Times New Roman" w:eastAsia="仿宋_GB2312" w:cs="仿宋_GB2312"/>
          <w:color w:val="auto"/>
          <w:kern w:val="0"/>
          <w:sz w:val="30"/>
          <w:szCs w:val="32"/>
          <w:highlight w:val="none"/>
          <w:lang w:eastAsia="zh-CN" w:bidi="ar"/>
        </w:rPr>
        <w:t>天内未向承包人发出复工通知，除该项停工属于第</w:t>
      </w:r>
      <w:r>
        <w:rPr>
          <w:rFonts w:ascii="Times New Roman" w:hAnsi="Times New Roman" w:eastAsia="仿宋_GB2312" w:cs="Times New Roman"/>
          <w:color w:val="auto"/>
          <w:kern w:val="0"/>
          <w:sz w:val="30"/>
          <w:szCs w:val="32"/>
          <w:highlight w:val="none"/>
          <w:lang w:eastAsia="zh-CN" w:bidi="ar"/>
        </w:rPr>
        <w:t>7.8.2</w:t>
      </w:r>
      <w:r>
        <w:rPr>
          <w:rFonts w:hint="eastAsia" w:ascii="Times New Roman" w:hAnsi="Times New Roman" w:eastAsia="仿宋_GB2312" w:cs="仿宋_GB2312"/>
          <w:color w:val="auto"/>
          <w:kern w:val="0"/>
          <w:sz w:val="30"/>
          <w:szCs w:val="32"/>
          <w:highlight w:val="none"/>
          <w:lang w:eastAsia="zh-CN" w:bidi="ar"/>
        </w:rPr>
        <w:t>项〔承包人原因引起的暂停施工〕及第</w:t>
      </w:r>
      <w:r>
        <w:rPr>
          <w:rFonts w:ascii="Times New Roman" w:hAnsi="Times New Roman" w:eastAsia="仿宋_GB2312" w:cs="Times New Roman"/>
          <w:color w:val="auto"/>
          <w:kern w:val="0"/>
          <w:sz w:val="30"/>
          <w:szCs w:val="32"/>
          <w:highlight w:val="none"/>
          <w:lang w:eastAsia="zh-CN" w:bidi="ar"/>
        </w:rPr>
        <w:t>17</w:t>
      </w:r>
      <w:r>
        <w:rPr>
          <w:rFonts w:hint="eastAsia" w:ascii="Times New Roman" w:hAnsi="Times New Roman" w:eastAsia="仿宋_GB2312" w:cs="仿宋_GB2312"/>
          <w:color w:val="auto"/>
          <w:kern w:val="0"/>
          <w:sz w:val="30"/>
          <w:szCs w:val="32"/>
          <w:highlight w:val="none"/>
          <w:lang w:eastAsia="zh-CN" w:bidi="ar"/>
        </w:rPr>
        <w:t>条〔不可抗力〕约定的情形外，承包人可向发包人提交书面通知，要求发包人在收到书面通知后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天内准许已暂停施工的部分或全部工程继续施工。发包人逾期不予批准的，则承包人可以通知发包人，将工程受影响的部分视为按第</w:t>
      </w:r>
      <w:r>
        <w:rPr>
          <w:rFonts w:ascii="Times New Roman" w:hAnsi="Times New Roman" w:eastAsia="仿宋_GB2312" w:cs="Times New Roman"/>
          <w:color w:val="auto"/>
          <w:kern w:val="0"/>
          <w:sz w:val="30"/>
          <w:szCs w:val="32"/>
          <w:highlight w:val="none"/>
          <w:lang w:eastAsia="zh-CN" w:bidi="ar"/>
        </w:rPr>
        <w:t>10.1</w:t>
      </w:r>
      <w:r>
        <w:rPr>
          <w:rFonts w:hint="eastAsia" w:ascii="Times New Roman" w:hAnsi="Times New Roman" w:eastAsia="仿宋_GB2312" w:cs="仿宋_GB2312"/>
          <w:color w:val="auto"/>
          <w:kern w:val="0"/>
          <w:sz w:val="30"/>
          <w:szCs w:val="32"/>
          <w:highlight w:val="none"/>
          <w:lang w:eastAsia="zh-CN" w:bidi="ar"/>
        </w:rPr>
        <w:t>款〔变更的范围〕第（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）项的可取消工作。</w:t>
      </w:r>
    </w:p>
    <w:p w14:paraId="1DB09200">
      <w:pPr>
        <w:shd w:val="clear"/>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暂停施工持续</w:t>
      </w:r>
      <w:r>
        <w:rPr>
          <w:rFonts w:ascii="Times New Roman" w:hAnsi="Times New Roman" w:eastAsia="仿宋_GB2312" w:cs="Times New Roman"/>
          <w:color w:val="auto"/>
          <w:kern w:val="0"/>
          <w:sz w:val="30"/>
          <w:szCs w:val="32"/>
          <w:highlight w:val="none"/>
          <w:lang w:eastAsia="zh-CN" w:bidi="ar"/>
        </w:rPr>
        <w:t>84</w:t>
      </w:r>
      <w:r>
        <w:rPr>
          <w:rFonts w:hint="eastAsia" w:ascii="Times New Roman" w:hAnsi="Times New Roman" w:eastAsia="仿宋_GB2312" w:cs="仿宋_GB2312"/>
          <w:color w:val="auto"/>
          <w:kern w:val="0"/>
          <w:sz w:val="30"/>
          <w:szCs w:val="32"/>
          <w:highlight w:val="none"/>
          <w:lang w:eastAsia="zh-CN" w:bidi="ar"/>
        </w:rPr>
        <w:t>天以上不复工的，且不属于第</w:t>
      </w:r>
      <w:r>
        <w:rPr>
          <w:rFonts w:ascii="Times New Roman" w:hAnsi="Times New Roman" w:eastAsia="仿宋_GB2312" w:cs="Times New Roman"/>
          <w:color w:val="auto"/>
          <w:kern w:val="0"/>
          <w:sz w:val="30"/>
          <w:szCs w:val="32"/>
          <w:highlight w:val="none"/>
          <w:lang w:eastAsia="zh-CN" w:bidi="ar"/>
        </w:rPr>
        <w:t>7.8.2</w:t>
      </w:r>
      <w:r>
        <w:rPr>
          <w:rFonts w:hint="eastAsia" w:ascii="Times New Roman" w:hAnsi="Times New Roman" w:eastAsia="仿宋_GB2312" w:cs="仿宋_GB2312"/>
          <w:color w:val="auto"/>
          <w:kern w:val="0"/>
          <w:sz w:val="30"/>
          <w:szCs w:val="32"/>
          <w:highlight w:val="none"/>
          <w:lang w:eastAsia="zh-CN" w:bidi="ar"/>
        </w:rPr>
        <w:t>项〔承包人原因引起的暂停施工〕及第</w:t>
      </w:r>
      <w:r>
        <w:rPr>
          <w:rFonts w:ascii="Times New Roman" w:hAnsi="Times New Roman" w:eastAsia="仿宋_GB2312" w:cs="Times New Roman"/>
          <w:color w:val="auto"/>
          <w:kern w:val="0"/>
          <w:sz w:val="30"/>
          <w:szCs w:val="32"/>
          <w:highlight w:val="none"/>
          <w:lang w:eastAsia="zh-CN" w:bidi="ar"/>
        </w:rPr>
        <w:t>17</w:t>
      </w:r>
      <w:r>
        <w:rPr>
          <w:rFonts w:hint="eastAsia" w:ascii="Times New Roman" w:hAnsi="Times New Roman" w:eastAsia="仿宋_GB2312" w:cs="仿宋_GB2312"/>
          <w:color w:val="auto"/>
          <w:kern w:val="0"/>
          <w:sz w:val="30"/>
          <w:szCs w:val="32"/>
          <w:highlight w:val="none"/>
          <w:lang w:eastAsia="zh-CN" w:bidi="ar"/>
        </w:rPr>
        <w:t>条〔不可抗力〕约定的情形，并影响到整个工程以及合同目的实现的，承包人有权提出价格调整要求，或者解除合同。解除合同的，按照第</w:t>
      </w:r>
      <w:r>
        <w:rPr>
          <w:rFonts w:ascii="Times New Roman" w:hAnsi="Times New Roman" w:eastAsia="仿宋_GB2312" w:cs="Times New Roman"/>
          <w:color w:val="auto"/>
          <w:kern w:val="0"/>
          <w:sz w:val="30"/>
          <w:szCs w:val="32"/>
          <w:highlight w:val="none"/>
          <w:lang w:eastAsia="zh-CN" w:bidi="ar"/>
        </w:rPr>
        <w:t>16.1.3</w:t>
      </w:r>
      <w:r>
        <w:rPr>
          <w:rFonts w:hint="eastAsia" w:ascii="Times New Roman" w:hAnsi="Times New Roman" w:eastAsia="仿宋_GB2312" w:cs="仿宋_GB2312"/>
          <w:color w:val="auto"/>
          <w:kern w:val="0"/>
          <w:sz w:val="30"/>
          <w:szCs w:val="32"/>
          <w:highlight w:val="none"/>
          <w:lang w:eastAsia="zh-CN" w:bidi="ar"/>
        </w:rPr>
        <w:t>项〔因发包人违约解除合同〕执行。</w:t>
      </w:r>
    </w:p>
    <w:p w14:paraId="6621E8E1">
      <w:pPr>
        <w:shd w:val="clear"/>
        <w:spacing w:line="360" w:lineRule="auto"/>
        <w:ind w:left="16"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7.8.7 </w:t>
      </w:r>
      <w:r>
        <w:rPr>
          <w:rFonts w:hint="eastAsia" w:ascii="Times New Roman" w:hAnsi="Times New Roman" w:eastAsia="仿宋_GB2312" w:cs="仿宋_GB2312"/>
          <w:color w:val="auto"/>
          <w:kern w:val="0"/>
          <w:sz w:val="30"/>
          <w:szCs w:val="32"/>
          <w:highlight w:val="none"/>
          <w:lang w:eastAsia="zh-CN" w:bidi="ar"/>
        </w:rPr>
        <w:t>暂停施工期间的工程照管</w:t>
      </w:r>
    </w:p>
    <w:p w14:paraId="7AC4EE6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暂停施工期间，承包人应负责妥善照管工程并提供安全保障，由此增加的费用由责任方承担。</w:t>
      </w:r>
    </w:p>
    <w:p w14:paraId="2AFA350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7.8.8 </w:t>
      </w:r>
      <w:r>
        <w:rPr>
          <w:rFonts w:hint="eastAsia" w:ascii="Times New Roman" w:hAnsi="Times New Roman" w:eastAsia="仿宋_GB2312" w:cs="仿宋_GB2312"/>
          <w:color w:val="auto"/>
          <w:kern w:val="0"/>
          <w:sz w:val="30"/>
          <w:szCs w:val="32"/>
          <w:highlight w:val="none"/>
          <w:lang w:eastAsia="zh-CN" w:bidi="ar"/>
        </w:rPr>
        <w:t>暂停施工的措施</w:t>
      </w:r>
    </w:p>
    <w:p w14:paraId="4791D41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暂停施工期间，发包人和承包人均应采取必要的措施确保工程质量及安全，防止因暂停施工扩大损失。</w:t>
      </w:r>
    </w:p>
    <w:p w14:paraId="62476882">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03" w:name="_Toc351203551"/>
      <w:r>
        <w:rPr>
          <w:rFonts w:ascii="Times New Roman" w:hAnsi="Times New Roman" w:eastAsia="黑体" w:cs="Times New Roman"/>
          <w:b w:val="0"/>
          <w:bCs/>
          <w:color w:val="auto"/>
          <w:kern w:val="2"/>
          <w:sz w:val="30"/>
          <w:szCs w:val="32"/>
          <w:highlight w:val="none"/>
          <w:lang w:val="en-US" w:eastAsia="zh-CN" w:bidi="ar-SA"/>
        </w:rPr>
        <w:t>7.9</w:t>
      </w:r>
      <w:r>
        <w:rPr>
          <w:rFonts w:hint="eastAsia" w:ascii="Times New Roman" w:hAnsi="Times New Roman" w:eastAsia="黑体" w:cs="黑体"/>
          <w:b w:val="0"/>
          <w:bCs/>
          <w:color w:val="auto"/>
          <w:kern w:val="2"/>
          <w:sz w:val="30"/>
          <w:szCs w:val="32"/>
          <w:highlight w:val="none"/>
          <w:lang w:val="en-US" w:eastAsia="zh-CN" w:bidi="ar-SA"/>
        </w:rPr>
        <w:t>提前竣工</w:t>
      </w:r>
      <w:bookmarkEnd w:id="403"/>
    </w:p>
    <w:p w14:paraId="30D3E4D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7.9.1 </w:t>
      </w:r>
      <w:r>
        <w:rPr>
          <w:rFonts w:hint="eastAsia" w:ascii="Times New Roman" w:hAnsi="Times New Roman" w:eastAsia="仿宋_GB2312" w:cs="仿宋_GB2312"/>
          <w:color w:val="auto"/>
          <w:kern w:val="0"/>
          <w:sz w:val="30"/>
          <w:szCs w:val="32"/>
          <w:highlight w:val="none"/>
          <w:lang w:eastAsia="zh-CN" w:bidi="ar"/>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天内予以答复。任何情况下，发包人不得压缩合理工期。</w:t>
      </w:r>
    </w:p>
    <w:p w14:paraId="14F38B5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7.9.2 </w:t>
      </w:r>
      <w:r>
        <w:rPr>
          <w:rFonts w:hint="eastAsia" w:ascii="Times New Roman" w:hAnsi="Times New Roman" w:eastAsia="仿宋_GB2312" w:cs="仿宋_GB2312"/>
          <w:color w:val="auto"/>
          <w:kern w:val="0"/>
          <w:sz w:val="30"/>
          <w:szCs w:val="32"/>
          <w:highlight w:val="none"/>
          <w:lang w:eastAsia="zh-CN" w:bidi="ar"/>
        </w:rPr>
        <w:t>发包人要求承包人提前竣工，或承包人提出提前竣工的建议能够给发包人带来效益的，合同当事人可以在专用合同条款中约定提前竣工的奖励。</w:t>
      </w:r>
    </w:p>
    <w:p w14:paraId="22585C93">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404" w:name="_Toc163768445"/>
      <w:bookmarkStart w:id="405" w:name="_Toc163768563"/>
      <w:bookmarkStart w:id="406" w:name="_Toc351203552"/>
      <w:r>
        <w:rPr>
          <w:rFonts w:ascii="Times New Roman" w:hAnsi="Times New Roman" w:eastAsia="黑体" w:cs="Times New Roman"/>
          <w:b/>
          <w:bCs/>
          <w:color w:val="auto"/>
          <w:sz w:val="32"/>
          <w:szCs w:val="32"/>
          <w:highlight w:val="none"/>
          <w:lang w:val="en-US" w:eastAsia="zh-CN" w:bidi="en-US"/>
        </w:rPr>
        <w:t>8</w:t>
      </w:r>
      <w:bookmarkStart w:id="407" w:name="_Toc337558776"/>
      <w:bookmarkStart w:id="408" w:name="_Toc296503058"/>
      <w:bookmarkStart w:id="409" w:name="_Toc296346559"/>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Times New Roman"/>
          <w:b/>
          <w:bCs/>
          <w:color w:val="auto"/>
          <w:sz w:val="32"/>
          <w:szCs w:val="32"/>
          <w:highlight w:val="none"/>
          <w:lang w:val="en-US" w:eastAsia="zh-CN" w:bidi="en-US"/>
        </w:rPr>
        <w:t>材料与设备</w:t>
      </w:r>
      <w:bookmarkEnd w:id="404"/>
      <w:bookmarkEnd w:id="405"/>
      <w:bookmarkEnd w:id="406"/>
    </w:p>
    <w:bookmarkEnd w:id="407"/>
    <w:bookmarkEnd w:id="408"/>
    <w:bookmarkEnd w:id="409"/>
    <w:p w14:paraId="72E08C28">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10" w:name="_Toc351203553"/>
      <w:r>
        <w:rPr>
          <w:rFonts w:ascii="Times New Roman" w:hAnsi="Times New Roman" w:eastAsia="黑体" w:cs="Times New Roman"/>
          <w:b w:val="0"/>
          <w:bCs/>
          <w:color w:val="auto"/>
          <w:kern w:val="2"/>
          <w:sz w:val="30"/>
          <w:szCs w:val="32"/>
          <w:highlight w:val="none"/>
          <w:lang w:val="en-US" w:eastAsia="zh-CN" w:bidi="ar-SA"/>
        </w:rPr>
        <w:t>8</w:t>
      </w:r>
      <w:bookmarkStart w:id="411" w:name="_Toc337558777"/>
      <w:bookmarkStart w:id="412" w:name="_Toc296346560"/>
      <w:bookmarkStart w:id="413" w:name="_Toc296503059"/>
      <w:bookmarkStart w:id="414" w:name="_Toc468936960"/>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发包人供应材料与工程设备</w:t>
      </w:r>
      <w:bookmarkEnd w:id="410"/>
    </w:p>
    <w:bookmarkEnd w:id="411"/>
    <w:bookmarkEnd w:id="412"/>
    <w:bookmarkEnd w:id="413"/>
    <w:p w14:paraId="021A654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发包人自行供应材料、工程设备的，应在签订合同时在专用合同条款的附件《发包人供应材料设备一览表》中明确材料、工程设备的品种、规格、型号、数量、单价、质量等级和送达地点。</w:t>
      </w:r>
    </w:p>
    <w:p w14:paraId="341A284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承包人应提前</w:t>
      </w:r>
      <w:r>
        <w:rPr>
          <w:rFonts w:ascii="Times New Roman" w:hAnsi="Times New Roman" w:eastAsia="仿宋_GB2312" w:cs="Times New Roman"/>
          <w:color w:val="auto"/>
          <w:kern w:val="0"/>
          <w:sz w:val="30"/>
          <w:szCs w:val="32"/>
          <w:highlight w:val="none"/>
          <w:lang w:eastAsia="zh-CN" w:bidi="ar"/>
        </w:rPr>
        <w:t>30</w:t>
      </w:r>
      <w:r>
        <w:rPr>
          <w:rFonts w:hint="eastAsia" w:ascii="Times New Roman" w:hAnsi="Times New Roman" w:eastAsia="仿宋_GB2312" w:cs="仿宋_GB2312"/>
          <w:color w:val="auto"/>
          <w:kern w:val="0"/>
          <w:sz w:val="30"/>
          <w:szCs w:val="32"/>
          <w:highlight w:val="none"/>
          <w:lang w:eastAsia="zh-CN" w:bidi="ar"/>
        </w:rPr>
        <w:t>天通过监理人以书面形式通知发包人供应材料与工程设备进场。承包人按照第</w:t>
      </w:r>
      <w:r>
        <w:rPr>
          <w:rFonts w:ascii="Times New Roman" w:hAnsi="Times New Roman" w:eastAsia="仿宋_GB2312" w:cs="Times New Roman"/>
          <w:color w:val="auto"/>
          <w:kern w:val="0"/>
          <w:sz w:val="30"/>
          <w:szCs w:val="32"/>
          <w:highlight w:val="none"/>
          <w:lang w:eastAsia="zh-CN" w:bidi="ar"/>
        </w:rPr>
        <w:t>7.2.2</w:t>
      </w:r>
      <w:r>
        <w:rPr>
          <w:rFonts w:hint="eastAsia" w:ascii="Times New Roman" w:hAnsi="Times New Roman" w:eastAsia="仿宋_GB2312" w:cs="仿宋_GB2312"/>
          <w:color w:val="auto"/>
          <w:kern w:val="0"/>
          <w:sz w:val="30"/>
          <w:szCs w:val="32"/>
          <w:highlight w:val="none"/>
          <w:lang w:eastAsia="zh-CN" w:bidi="ar"/>
        </w:rPr>
        <w:t>项〔施工进度计划的修订〕约定修订施工进度计划时，需同时提交经修订后的发包人供应材料与工程设备的进场计划。</w:t>
      </w:r>
    </w:p>
    <w:p w14:paraId="084A9233">
      <w:pPr>
        <w:keepNext/>
        <w:keepLines/>
        <w:widowControl/>
        <w:shd w:val="clear"/>
        <w:spacing w:before="120" w:after="120" w:line="360" w:lineRule="auto"/>
        <w:ind w:firstLine="600" w:firstLineChars="200"/>
        <w:jc w:val="both"/>
        <w:outlineLvl w:val="3"/>
        <w:rPr>
          <w:rFonts w:ascii="Times New Roman" w:hAnsi="Times New Roman" w:eastAsia="仿宋_GB2312" w:cs="Times New Roman"/>
          <w:b/>
          <w:bCs/>
          <w:color w:val="auto"/>
          <w:kern w:val="2"/>
          <w:sz w:val="30"/>
          <w:szCs w:val="32"/>
          <w:highlight w:val="none"/>
          <w:lang w:val="en-US" w:eastAsia="zh-CN" w:bidi="ar-SA"/>
        </w:rPr>
      </w:pPr>
      <w:bookmarkStart w:id="415" w:name="_Toc351203554"/>
      <w:r>
        <w:rPr>
          <w:rFonts w:ascii="Times New Roman" w:hAnsi="Times New Roman" w:eastAsia="黑体" w:cs="Times New Roman"/>
          <w:b w:val="0"/>
          <w:bCs/>
          <w:color w:val="auto"/>
          <w:kern w:val="2"/>
          <w:sz w:val="30"/>
          <w:szCs w:val="32"/>
          <w:highlight w:val="none"/>
          <w:lang w:val="en-US" w:eastAsia="zh-CN" w:bidi="ar-SA"/>
        </w:rPr>
        <w:t>8</w:t>
      </w:r>
      <w:bookmarkStart w:id="416" w:name="_Toc296503060"/>
      <w:bookmarkStart w:id="417" w:name="_Toc296346561"/>
      <w:bookmarkStart w:id="418" w:name="_Toc337558778"/>
      <w:r>
        <w:rPr>
          <w:rFonts w:ascii="Times New Roman" w:hAnsi="Times New Roman" w:eastAsia="黑体" w:cs="Times New Roman"/>
          <w:b w:val="0"/>
          <w:bCs/>
          <w:color w:val="auto"/>
          <w:kern w:val="2"/>
          <w:sz w:val="30"/>
          <w:szCs w:val="32"/>
          <w:highlight w:val="none"/>
          <w:lang w:val="en-US" w:eastAsia="zh-CN" w:bidi="ar-SA"/>
        </w:rPr>
        <w:t>.2</w:t>
      </w:r>
      <w:r>
        <w:rPr>
          <w:rFonts w:hint="eastAsia" w:ascii="Times New Roman" w:hAnsi="Times New Roman" w:eastAsia="黑体" w:cs="黑体"/>
          <w:b w:val="0"/>
          <w:bCs/>
          <w:color w:val="auto"/>
          <w:kern w:val="2"/>
          <w:sz w:val="30"/>
          <w:szCs w:val="32"/>
          <w:highlight w:val="none"/>
          <w:lang w:val="en-US" w:eastAsia="zh-CN" w:bidi="ar-SA"/>
        </w:rPr>
        <w:t>承包人采购材料与工程设备</w:t>
      </w:r>
      <w:bookmarkEnd w:id="415"/>
    </w:p>
    <w:bookmarkEnd w:id="416"/>
    <w:bookmarkEnd w:id="417"/>
    <w:bookmarkEnd w:id="418"/>
    <w:p w14:paraId="7022114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2949FEC">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19" w:name="_Toc351203555"/>
      <w:r>
        <w:rPr>
          <w:rFonts w:ascii="Times New Roman" w:hAnsi="Times New Roman" w:eastAsia="黑体" w:cs="Times New Roman"/>
          <w:b w:val="0"/>
          <w:bCs/>
          <w:color w:val="auto"/>
          <w:kern w:val="2"/>
          <w:sz w:val="30"/>
          <w:szCs w:val="32"/>
          <w:highlight w:val="none"/>
          <w:lang w:val="en-US" w:eastAsia="zh-CN" w:bidi="ar-SA"/>
        </w:rPr>
        <w:t>8</w:t>
      </w:r>
      <w:bookmarkStart w:id="420" w:name="_Toc296346562"/>
      <w:bookmarkStart w:id="421" w:name="_Toc296503061"/>
      <w:bookmarkStart w:id="422" w:name="_Toc337558779"/>
      <w:r>
        <w:rPr>
          <w:rFonts w:ascii="Times New Roman" w:hAnsi="Times New Roman" w:eastAsia="黑体" w:cs="Times New Roman"/>
          <w:b w:val="0"/>
          <w:bCs/>
          <w:color w:val="auto"/>
          <w:kern w:val="2"/>
          <w:sz w:val="30"/>
          <w:szCs w:val="32"/>
          <w:highlight w:val="none"/>
          <w:lang w:val="en-US" w:eastAsia="zh-CN" w:bidi="ar-SA"/>
        </w:rPr>
        <w:t>.3</w:t>
      </w:r>
      <w:r>
        <w:rPr>
          <w:rFonts w:hint="eastAsia" w:ascii="Times New Roman" w:hAnsi="Times New Roman" w:eastAsia="黑体" w:cs="黑体"/>
          <w:b w:val="0"/>
          <w:bCs/>
          <w:color w:val="auto"/>
          <w:kern w:val="2"/>
          <w:sz w:val="30"/>
          <w:szCs w:val="32"/>
          <w:highlight w:val="none"/>
          <w:lang w:val="en-US" w:eastAsia="zh-CN" w:bidi="ar-SA"/>
        </w:rPr>
        <w:t>材料与工程设备的接收与拒收</w:t>
      </w:r>
      <w:bookmarkEnd w:id="419"/>
    </w:p>
    <w:bookmarkEnd w:id="420"/>
    <w:bookmarkEnd w:id="421"/>
    <w:bookmarkEnd w:id="422"/>
    <w:p w14:paraId="0E9C30D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8.3.1 </w:t>
      </w:r>
      <w:r>
        <w:rPr>
          <w:rFonts w:hint="eastAsia" w:ascii="Times New Roman" w:hAnsi="Times New Roman" w:eastAsia="仿宋_GB2312" w:cs="仿宋_GB2312"/>
          <w:color w:val="auto"/>
          <w:kern w:val="0"/>
          <w:sz w:val="30"/>
          <w:szCs w:val="32"/>
          <w:highlight w:val="none"/>
          <w:lang w:eastAsia="zh-CN" w:bidi="ar"/>
        </w:rPr>
        <w:t>发包人应按《发包人供应材料设备一览表》约定的内容提供材料和工程设备，并向承包人提供产品合格证明及出厂证明，对其质量负责。发包人应提前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小时以书面形式通知承包人、监理人材料和工程设备到货时间，承包人负责材料和工程设备的清点、检验和接收。</w:t>
      </w:r>
    </w:p>
    <w:p w14:paraId="0841C51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发包人提供的材料和工程设备的规格、数量或质量不符合合同约定的，或因发包人原因导致交货日期延误或交货地点变更等情况的，按照第</w:t>
      </w:r>
      <w:r>
        <w:rPr>
          <w:rFonts w:ascii="Times New Roman" w:hAnsi="Times New Roman" w:eastAsia="仿宋_GB2312" w:cs="Times New Roman"/>
          <w:color w:val="auto"/>
          <w:kern w:val="0"/>
          <w:sz w:val="30"/>
          <w:szCs w:val="32"/>
          <w:highlight w:val="none"/>
          <w:lang w:eastAsia="zh-CN" w:bidi="ar"/>
        </w:rPr>
        <w:t>16.1</w:t>
      </w:r>
      <w:r>
        <w:rPr>
          <w:rFonts w:hint="eastAsia" w:ascii="Times New Roman" w:hAnsi="Times New Roman" w:eastAsia="仿宋_GB2312" w:cs="仿宋_GB2312"/>
          <w:color w:val="auto"/>
          <w:kern w:val="0"/>
          <w:sz w:val="30"/>
          <w:szCs w:val="32"/>
          <w:highlight w:val="none"/>
          <w:lang w:eastAsia="zh-CN" w:bidi="ar"/>
        </w:rPr>
        <w:t>款〔发包人违约〕约定办理。</w:t>
      </w:r>
    </w:p>
    <w:p w14:paraId="1D946B8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8.3.2 </w:t>
      </w:r>
      <w:r>
        <w:rPr>
          <w:rFonts w:hint="eastAsia" w:ascii="Times New Roman" w:hAnsi="Times New Roman" w:eastAsia="仿宋_GB2312" w:cs="仿宋_GB2312"/>
          <w:color w:val="auto"/>
          <w:kern w:val="0"/>
          <w:sz w:val="30"/>
          <w:szCs w:val="32"/>
          <w:highlight w:val="none"/>
          <w:lang w:eastAsia="zh-CN" w:bidi="ar"/>
        </w:rPr>
        <w:t>承包人采购的材料和工程设备，应保证产品质量合格，承包人应在材料和工程设备到货前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小时通知监理人检验。承</w:t>
      </w:r>
      <w:bookmarkStart w:id="423" w:name="_Toc250655469"/>
      <w:r>
        <w:rPr>
          <w:rFonts w:hint="eastAsia" w:ascii="Times New Roman" w:hAnsi="Times New Roman" w:eastAsia="仿宋_GB2312" w:cs="仿宋_GB2312"/>
          <w:color w:val="auto"/>
          <w:kern w:val="0"/>
          <w:sz w:val="30"/>
          <w:szCs w:val="32"/>
          <w:highlight w:val="none"/>
          <w:lang w:eastAsia="zh-CN" w:bidi="ar"/>
        </w:rPr>
        <w:t>包人进行永久设备、材料的制造和生产的，应符合相关质量标准，并向监理人提交材料的样本以及有关资料，并应在使用该材料或工程设备之前获得监理人同意。</w:t>
      </w:r>
    </w:p>
    <w:bookmarkEnd w:id="423"/>
    <w:p w14:paraId="794026FE">
      <w:pPr>
        <w:shd w:val="clear"/>
        <w:autoSpaceDE w:val="0"/>
        <w:autoSpaceDN w:val="0"/>
        <w:adjustRightInd w:val="0"/>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1E54DC2">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24" w:name="_Toc351203556"/>
      <w:r>
        <w:rPr>
          <w:rFonts w:ascii="Times New Roman" w:hAnsi="Times New Roman" w:eastAsia="黑体" w:cs="Times New Roman"/>
          <w:b w:val="0"/>
          <w:bCs/>
          <w:color w:val="auto"/>
          <w:kern w:val="2"/>
          <w:sz w:val="30"/>
          <w:szCs w:val="32"/>
          <w:highlight w:val="none"/>
          <w:lang w:val="en-US" w:eastAsia="zh-CN" w:bidi="ar-SA"/>
        </w:rPr>
        <w:t>8</w:t>
      </w:r>
      <w:bookmarkStart w:id="425" w:name="_Toc296503062"/>
      <w:bookmarkStart w:id="426" w:name="_Toc337558780"/>
      <w:bookmarkStart w:id="427" w:name="_Toc296346563"/>
      <w:r>
        <w:rPr>
          <w:rFonts w:ascii="Times New Roman" w:hAnsi="Times New Roman" w:eastAsia="黑体" w:cs="Times New Roman"/>
          <w:b w:val="0"/>
          <w:bCs/>
          <w:color w:val="auto"/>
          <w:kern w:val="2"/>
          <w:sz w:val="30"/>
          <w:szCs w:val="32"/>
          <w:highlight w:val="none"/>
          <w:lang w:val="en-US" w:eastAsia="zh-CN" w:bidi="ar-SA"/>
        </w:rPr>
        <w:t>.4</w:t>
      </w:r>
      <w:r>
        <w:rPr>
          <w:rFonts w:hint="eastAsia" w:ascii="Times New Roman" w:hAnsi="Times New Roman" w:eastAsia="黑体" w:cs="黑体"/>
          <w:b w:val="0"/>
          <w:bCs/>
          <w:color w:val="auto"/>
          <w:kern w:val="2"/>
          <w:sz w:val="30"/>
          <w:szCs w:val="32"/>
          <w:highlight w:val="none"/>
          <w:lang w:val="en-US" w:eastAsia="zh-CN" w:bidi="ar-SA"/>
        </w:rPr>
        <w:t>材料与工程设备的保管与使用</w:t>
      </w:r>
      <w:bookmarkEnd w:id="424"/>
    </w:p>
    <w:bookmarkEnd w:id="425"/>
    <w:bookmarkEnd w:id="426"/>
    <w:bookmarkEnd w:id="427"/>
    <w:p w14:paraId="74DBB4F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8.4.1 </w:t>
      </w:r>
      <w:r>
        <w:rPr>
          <w:rFonts w:hint="eastAsia" w:ascii="Times New Roman" w:hAnsi="Times New Roman" w:eastAsia="仿宋_GB2312" w:cs="仿宋_GB2312"/>
          <w:color w:val="auto"/>
          <w:kern w:val="0"/>
          <w:sz w:val="30"/>
          <w:szCs w:val="32"/>
          <w:highlight w:val="none"/>
          <w:lang w:eastAsia="zh-CN" w:bidi="ar"/>
        </w:rPr>
        <w:t>发包人供应</w:t>
      </w:r>
      <w:r>
        <w:rPr>
          <w:rFonts w:hint="eastAsia" w:ascii="Times New Roman" w:hAnsi="Times New Roman" w:eastAsia="仿宋_GB2312" w:cs="仿宋_GB2312"/>
          <w:color w:val="auto"/>
          <w:kern w:val="2"/>
          <w:sz w:val="30"/>
          <w:szCs w:val="32"/>
          <w:highlight w:val="none"/>
          <w:lang w:eastAsia="zh-CN" w:bidi="ar"/>
        </w:rPr>
        <w:t>材料与</w:t>
      </w:r>
      <w:r>
        <w:rPr>
          <w:rFonts w:hint="eastAsia" w:ascii="Times New Roman" w:hAnsi="Times New Roman" w:eastAsia="仿宋_GB2312" w:cs="仿宋_GB2312"/>
          <w:color w:val="auto"/>
          <w:kern w:val="0"/>
          <w:sz w:val="30"/>
          <w:szCs w:val="32"/>
          <w:highlight w:val="none"/>
          <w:lang w:eastAsia="zh-CN" w:bidi="ar"/>
        </w:rPr>
        <w:t>工程</w:t>
      </w:r>
      <w:r>
        <w:rPr>
          <w:rFonts w:hint="eastAsia" w:ascii="Times New Roman" w:hAnsi="Times New Roman" w:eastAsia="仿宋_GB2312" w:cs="仿宋_GB2312"/>
          <w:color w:val="auto"/>
          <w:kern w:val="2"/>
          <w:sz w:val="30"/>
          <w:szCs w:val="32"/>
          <w:highlight w:val="none"/>
          <w:lang w:eastAsia="zh-CN" w:bidi="ar"/>
        </w:rPr>
        <w:t>设备的保管与使用</w:t>
      </w:r>
    </w:p>
    <w:p w14:paraId="7E8B8AE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5DBDF2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发包人供应的材料和工程设备使用前，由承包人负责检验，检验费用由发包人承担，不合格的不得使用。</w:t>
      </w:r>
    </w:p>
    <w:p w14:paraId="264C1C2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8.4.2 </w:t>
      </w:r>
      <w:r>
        <w:rPr>
          <w:rFonts w:hint="eastAsia" w:ascii="Times New Roman" w:hAnsi="Times New Roman" w:eastAsia="仿宋_GB2312" w:cs="仿宋_GB2312"/>
          <w:color w:val="auto"/>
          <w:kern w:val="0"/>
          <w:sz w:val="30"/>
          <w:szCs w:val="32"/>
          <w:highlight w:val="none"/>
          <w:lang w:eastAsia="zh-CN" w:bidi="ar"/>
        </w:rPr>
        <w:t>承包人采购</w:t>
      </w:r>
      <w:r>
        <w:rPr>
          <w:rFonts w:hint="eastAsia" w:ascii="Times New Roman" w:hAnsi="Times New Roman" w:eastAsia="仿宋_GB2312" w:cs="仿宋_GB2312"/>
          <w:color w:val="auto"/>
          <w:kern w:val="2"/>
          <w:sz w:val="30"/>
          <w:szCs w:val="32"/>
          <w:highlight w:val="none"/>
          <w:lang w:eastAsia="zh-CN" w:bidi="ar"/>
        </w:rPr>
        <w:t>材料与</w:t>
      </w:r>
      <w:r>
        <w:rPr>
          <w:rFonts w:hint="eastAsia" w:ascii="Times New Roman" w:hAnsi="Times New Roman" w:eastAsia="仿宋_GB2312" w:cs="仿宋_GB2312"/>
          <w:color w:val="auto"/>
          <w:kern w:val="0"/>
          <w:sz w:val="30"/>
          <w:szCs w:val="32"/>
          <w:highlight w:val="none"/>
          <w:lang w:eastAsia="zh-CN" w:bidi="ar"/>
        </w:rPr>
        <w:t>工程</w:t>
      </w:r>
      <w:r>
        <w:rPr>
          <w:rFonts w:hint="eastAsia" w:ascii="Times New Roman" w:hAnsi="Times New Roman" w:eastAsia="仿宋_GB2312" w:cs="仿宋_GB2312"/>
          <w:color w:val="auto"/>
          <w:kern w:val="2"/>
          <w:sz w:val="30"/>
          <w:szCs w:val="32"/>
          <w:highlight w:val="none"/>
          <w:lang w:eastAsia="zh-CN" w:bidi="ar"/>
        </w:rPr>
        <w:t>设备的保管与使用</w:t>
      </w:r>
    </w:p>
    <w:p w14:paraId="20E81F8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4B454B4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发包人或监理人发现承包人使用不符合设计或有关标准要求的材料和工程设备时，有权要求承包人进行修复、拆除或重新采购，由此增加的费用和（或）延误的工期，由承包人承担。</w:t>
      </w:r>
    </w:p>
    <w:p w14:paraId="4F96542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28" w:name="_Toc351203557"/>
      <w:r>
        <w:rPr>
          <w:rFonts w:ascii="Times New Roman" w:hAnsi="Times New Roman" w:eastAsia="黑体" w:cs="Times New Roman"/>
          <w:b w:val="0"/>
          <w:bCs/>
          <w:color w:val="auto"/>
          <w:kern w:val="2"/>
          <w:sz w:val="30"/>
          <w:szCs w:val="32"/>
          <w:highlight w:val="none"/>
          <w:lang w:val="en-US" w:eastAsia="zh-CN" w:bidi="ar-SA"/>
        </w:rPr>
        <w:t>8.5</w:t>
      </w:r>
      <w:r>
        <w:rPr>
          <w:rFonts w:hint="eastAsia" w:ascii="Times New Roman" w:hAnsi="Times New Roman" w:eastAsia="黑体" w:cs="黑体"/>
          <w:b w:val="0"/>
          <w:bCs/>
          <w:color w:val="auto"/>
          <w:kern w:val="2"/>
          <w:sz w:val="30"/>
          <w:szCs w:val="32"/>
          <w:highlight w:val="none"/>
          <w:lang w:val="en-US" w:eastAsia="zh-CN" w:bidi="ar-SA"/>
        </w:rPr>
        <w:t>禁止使用不合格的材料和工程设备</w:t>
      </w:r>
      <w:bookmarkEnd w:id="428"/>
    </w:p>
    <w:p w14:paraId="3A4FF54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8.5.1 </w:t>
      </w:r>
      <w:r>
        <w:rPr>
          <w:rFonts w:hint="eastAsia" w:ascii="Times New Roman" w:hAnsi="Times New Roman" w:eastAsia="仿宋_GB2312" w:cs="仿宋_GB2312"/>
          <w:color w:val="auto"/>
          <w:kern w:val="0"/>
          <w:sz w:val="30"/>
          <w:szCs w:val="32"/>
          <w:highlight w:val="none"/>
          <w:lang w:eastAsia="zh-CN" w:bidi="ar"/>
        </w:rPr>
        <w:t>监理人有权拒绝承包人提供的不合格材料或工程设备，并要求承包人立即进行更换。监理人应在更换后再次进行检查和检验，由此增加的费用和（或）延误的工期由承包人承担。</w:t>
      </w:r>
    </w:p>
    <w:p w14:paraId="1DAF8C1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8.5.2 </w:t>
      </w:r>
      <w:r>
        <w:rPr>
          <w:rFonts w:hint="eastAsia" w:ascii="Times New Roman" w:hAnsi="Times New Roman" w:eastAsia="仿宋_GB2312" w:cs="仿宋_GB2312"/>
          <w:color w:val="auto"/>
          <w:kern w:val="0"/>
          <w:sz w:val="30"/>
          <w:szCs w:val="32"/>
          <w:highlight w:val="none"/>
          <w:lang w:eastAsia="zh-CN" w:bidi="ar"/>
        </w:rPr>
        <w:t>监理人发现承包人使用了不合格的材料和工程设备，承包人应按照监理人的指示立即改正，并禁止在工程中继续使用不合格的材料和工程设备。</w:t>
      </w:r>
    </w:p>
    <w:p w14:paraId="5996548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8.5.3 </w:t>
      </w:r>
      <w:r>
        <w:rPr>
          <w:rFonts w:hint="eastAsia" w:ascii="Times New Roman" w:hAnsi="Times New Roman" w:eastAsia="仿宋_GB2312" w:cs="仿宋_GB2312"/>
          <w:color w:val="auto"/>
          <w:kern w:val="0"/>
          <w:sz w:val="30"/>
          <w:szCs w:val="32"/>
          <w:highlight w:val="none"/>
          <w:lang w:eastAsia="zh-CN" w:bidi="ar"/>
        </w:rPr>
        <w:t>发包人提供的材料或工程设备不符合合同要求的，承包人有权拒绝，并可要求发包人更换，由此增加的费用和（或）延误的工期由发包人承担，并支付承包人合理的利润。</w:t>
      </w:r>
    </w:p>
    <w:p w14:paraId="7EA1B3DE">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29" w:name="_Toc351203558"/>
      <w:r>
        <w:rPr>
          <w:rFonts w:ascii="Times New Roman" w:hAnsi="Times New Roman" w:eastAsia="黑体" w:cs="Times New Roman"/>
          <w:b w:val="0"/>
          <w:bCs/>
          <w:color w:val="auto"/>
          <w:kern w:val="2"/>
          <w:sz w:val="30"/>
          <w:szCs w:val="32"/>
          <w:highlight w:val="none"/>
          <w:lang w:val="en-US" w:eastAsia="zh-CN" w:bidi="ar-SA"/>
        </w:rPr>
        <w:t xml:space="preserve">8.6 </w:t>
      </w:r>
      <w:r>
        <w:rPr>
          <w:rFonts w:hint="eastAsia" w:ascii="Times New Roman" w:hAnsi="Times New Roman" w:eastAsia="黑体" w:cs="黑体"/>
          <w:b w:val="0"/>
          <w:bCs/>
          <w:color w:val="auto"/>
          <w:kern w:val="2"/>
          <w:sz w:val="30"/>
          <w:szCs w:val="32"/>
          <w:highlight w:val="none"/>
          <w:lang w:val="en-US" w:eastAsia="zh-CN" w:bidi="ar-SA"/>
        </w:rPr>
        <w:t>样品</w:t>
      </w:r>
      <w:bookmarkEnd w:id="429"/>
    </w:p>
    <w:p w14:paraId="1FAED87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8.6.1</w:t>
      </w:r>
      <w:r>
        <w:rPr>
          <w:rFonts w:ascii="Times New Roman" w:hAnsi="Times New Roman" w:eastAsia="仿宋_GB2312" w:cs="Times New Roman"/>
          <w:color w:val="auto"/>
          <w:kern w:val="0"/>
          <w:sz w:val="30"/>
          <w:szCs w:val="32"/>
          <w:highlight w:val="none"/>
          <w:lang w:eastAsia="zh-CN" w:bidi="ar"/>
        </w:rPr>
        <w:tab/>
      </w:r>
      <w:r>
        <w:rPr>
          <w:rFonts w:hint="eastAsia" w:ascii="Times New Roman" w:hAnsi="Times New Roman" w:eastAsia="仿宋_GB2312" w:cs="仿宋_GB2312"/>
          <w:color w:val="auto"/>
          <w:kern w:val="0"/>
          <w:sz w:val="30"/>
          <w:szCs w:val="32"/>
          <w:highlight w:val="none"/>
          <w:lang w:eastAsia="zh-CN" w:bidi="ar"/>
        </w:rPr>
        <w:t>样品的报送与封存</w:t>
      </w:r>
    </w:p>
    <w:p w14:paraId="0015B25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需要承包人报送样品的材料或工程设备，样品的种类、名称、规格、数量等要求均应在专用合同条款中约定。样品的报送程序如下：</w:t>
      </w:r>
    </w:p>
    <w:p w14:paraId="66865E7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）承包人应在计划采购前</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天向监理人报送样品。承包人报送的样品均应来自供应材料的实际生产地，且提供的样品的规格、数量足以表明材料或工程设备的质量、型号、颜色、表面处理、质地、误差和其他要求的特征。</w:t>
      </w:r>
    </w:p>
    <w:p w14:paraId="32BED4E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）承包人每次报送样品时应随附申报单，申报单应载明报送样品的相关数据和资料，并标明每件样品对应的图纸号，预留监理人批复意见栏。监理人应在收到承包人报送的样品后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天向承包人回复经发包人签认的样品审批意见。</w:t>
      </w:r>
    </w:p>
    <w:p w14:paraId="2B9A0A1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）经发包人和监理人审批确认的样品应按约定的方法封样，封存的样品作为检验工程相关部分的标准之一。承包人在施工过程中不得使用与样品不符的材料或工程设备。</w:t>
      </w:r>
    </w:p>
    <w:p w14:paraId="16E76C3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4132E6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8.6.2 </w:t>
      </w:r>
      <w:r>
        <w:rPr>
          <w:rFonts w:hint="eastAsia" w:ascii="Times New Roman" w:hAnsi="Times New Roman" w:eastAsia="仿宋_GB2312" w:cs="仿宋_GB2312"/>
          <w:color w:val="auto"/>
          <w:kern w:val="0"/>
          <w:sz w:val="30"/>
          <w:szCs w:val="32"/>
          <w:highlight w:val="none"/>
          <w:lang w:eastAsia="zh-CN" w:bidi="ar"/>
        </w:rPr>
        <w:t>样品的保管</w:t>
      </w:r>
    </w:p>
    <w:p w14:paraId="7EF037B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经批准的样品应由监理人负责封存于现场，承包人应在现场为保存样品提供适当和固定的场所并保持适当和良好的存储环境条件。</w:t>
      </w:r>
    </w:p>
    <w:p w14:paraId="29C0E5B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30" w:name="_Toc351203559"/>
      <w:r>
        <w:rPr>
          <w:rFonts w:ascii="Times New Roman" w:hAnsi="Times New Roman" w:eastAsia="黑体" w:cs="Times New Roman"/>
          <w:b w:val="0"/>
          <w:bCs/>
          <w:color w:val="auto"/>
          <w:kern w:val="2"/>
          <w:sz w:val="30"/>
          <w:szCs w:val="32"/>
          <w:highlight w:val="none"/>
          <w:lang w:val="en-US" w:eastAsia="zh-CN" w:bidi="ar-SA"/>
        </w:rPr>
        <w:t>8.7</w:t>
      </w:r>
      <w:r>
        <w:rPr>
          <w:rFonts w:hint="eastAsia" w:ascii="Times New Roman" w:hAnsi="Times New Roman" w:eastAsia="黑体" w:cs="黑体"/>
          <w:b w:val="0"/>
          <w:bCs/>
          <w:color w:val="auto"/>
          <w:kern w:val="2"/>
          <w:sz w:val="30"/>
          <w:szCs w:val="32"/>
          <w:highlight w:val="none"/>
          <w:lang w:val="en-US" w:eastAsia="zh-CN" w:bidi="ar-SA"/>
        </w:rPr>
        <w:t>材料与工程设备的替代</w:t>
      </w:r>
      <w:bookmarkEnd w:id="430"/>
    </w:p>
    <w:p w14:paraId="72F0D52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8.7.1 </w:t>
      </w:r>
      <w:r>
        <w:rPr>
          <w:rFonts w:hint="eastAsia" w:ascii="Times New Roman" w:hAnsi="Times New Roman" w:eastAsia="仿宋_GB2312" w:cs="仿宋_GB2312"/>
          <w:color w:val="auto"/>
          <w:kern w:val="0"/>
          <w:sz w:val="30"/>
          <w:szCs w:val="32"/>
          <w:highlight w:val="none"/>
          <w:lang w:eastAsia="zh-CN" w:bidi="ar"/>
        </w:rPr>
        <w:t>出现下列情况需要使用替代材料和工程设备的，承包人应按照第</w:t>
      </w:r>
      <w:r>
        <w:rPr>
          <w:rFonts w:ascii="Times New Roman" w:hAnsi="Times New Roman" w:eastAsia="仿宋_GB2312" w:cs="Times New Roman"/>
          <w:color w:val="auto"/>
          <w:kern w:val="0"/>
          <w:sz w:val="30"/>
          <w:szCs w:val="32"/>
          <w:highlight w:val="none"/>
          <w:lang w:eastAsia="zh-CN" w:bidi="ar"/>
        </w:rPr>
        <w:t>8.7.2</w:t>
      </w:r>
      <w:r>
        <w:rPr>
          <w:rFonts w:hint="eastAsia" w:ascii="Times New Roman" w:hAnsi="Times New Roman" w:eastAsia="仿宋_GB2312" w:cs="仿宋_GB2312"/>
          <w:color w:val="auto"/>
          <w:kern w:val="0"/>
          <w:sz w:val="30"/>
          <w:szCs w:val="32"/>
          <w:highlight w:val="none"/>
          <w:lang w:eastAsia="zh-CN" w:bidi="ar"/>
        </w:rPr>
        <w:t>项约定的程序执行：</w:t>
      </w:r>
    </w:p>
    <w:p w14:paraId="1FF1852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）基准日期后生效的法律规定禁止使用的；</w:t>
      </w:r>
    </w:p>
    <w:p w14:paraId="3FD74EB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）发包人要求使用替代品的；</w:t>
      </w:r>
    </w:p>
    <w:p w14:paraId="78F7A45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）因其他原因必须使用替代品的。</w:t>
      </w:r>
    </w:p>
    <w:p w14:paraId="5608CB0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8.7.2 </w:t>
      </w:r>
      <w:r>
        <w:rPr>
          <w:rFonts w:hint="eastAsia" w:ascii="Times New Roman" w:hAnsi="Times New Roman" w:eastAsia="仿宋_GB2312" w:cs="仿宋_GB2312"/>
          <w:color w:val="auto"/>
          <w:kern w:val="0"/>
          <w:sz w:val="30"/>
          <w:szCs w:val="32"/>
          <w:highlight w:val="none"/>
          <w:lang w:eastAsia="zh-CN" w:bidi="ar"/>
        </w:rPr>
        <w:t>承包人应在使用替代材料和工程设备</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天前书面通知监理人，并附下列文件：</w:t>
      </w:r>
    </w:p>
    <w:p w14:paraId="62B32B0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）被替代的材料和工程设备的名称、数量、规格、型号、品牌、性能、价格及其他相关资料；</w:t>
      </w:r>
    </w:p>
    <w:p w14:paraId="1023380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）替代品的名称、数量、规格、型号、品牌、性能、价格及其他相关资料；</w:t>
      </w:r>
    </w:p>
    <w:p w14:paraId="3FE5D9C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）替代品与被替代产品之间的差异以及使用替代品可能对工程产生的影响；</w:t>
      </w:r>
    </w:p>
    <w:p w14:paraId="301F244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）替代品与被替代产品的价格差异；</w:t>
      </w:r>
    </w:p>
    <w:p w14:paraId="1763C1F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）使用替代品的理由和原因说明；</w:t>
      </w:r>
    </w:p>
    <w:p w14:paraId="5A2C38F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）监理人要求的其他文件。</w:t>
      </w:r>
    </w:p>
    <w:p w14:paraId="31FF663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监理人应在收到通知后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天内向承包人发出经发包人签认的书面指示；监理人逾期发出书面指示的，视为发包人和监理人同意使用替代品。</w:t>
      </w:r>
    </w:p>
    <w:p w14:paraId="6E923B6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8.7.3 </w:t>
      </w:r>
      <w:r>
        <w:rPr>
          <w:rFonts w:hint="eastAsia" w:ascii="Times New Roman" w:hAnsi="Times New Roman" w:eastAsia="仿宋_GB2312" w:cs="仿宋_GB2312"/>
          <w:color w:val="auto"/>
          <w:kern w:val="0"/>
          <w:sz w:val="30"/>
          <w:szCs w:val="32"/>
          <w:highlight w:val="none"/>
          <w:lang w:eastAsia="zh-CN" w:bidi="ar"/>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款〔商定或确定〕确定价格。</w:t>
      </w:r>
    </w:p>
    <w:p w14:paraId="694365E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31" w:name="_Toc351203560"/>
      <w:r>
        <w:rPr>
          <w:rFonts w:ascii="Times New Roman" w:hAnsi="Times New Roman" w:eastAsia="黑体" w:cs="Times New Roman"/>
          <w:b w:val="0"/>
          <w:bCs/>
          <w:color w:val="auto"/>
          <w:kern w:val="2"/>
          <w:sz w:val="30"/>
          <w:szCs w:val="32"/>
          <w:highlight w:val="none"/>
          <w:lang w:val="en-US" w:eastAsia="zh-CN" w:bidi="ar-SA"/>
        </w:rPr>
        <w:t>8.8</w:t>
      </w:r>
      <w:r>
        <w:rPr>
          <w:rFonts w:hint="eastAsia" w:ascii="Times New Roman" w:hAnsi="Times New Roman" w:eastAsia="黑体" w:cs="黑体"/>
          <w:b w:val="0"/>
          <w:bCs/>
          <w:color w:val="auto"/>
          <w:kern w:val="2"/>
          <w:sz w:val="30"/>
          <w:szCs w:val="32"/>
          <w:highlight w:val="none"/>
          <w:lang w:val="en-US" w:eastAsia="zh-CN" w:bidi="ar-SA"/>
        </w:rPr>
        <w:t>施工设备和临时设施</w:t>
      </w:r>
      <w:bookmarkEnd w:id="431"/>
    </w:p>
    <w:p w14:paraId="365F581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8.8.1 </w:t>
      </w:r>
      <w:r>
        <w:rPr>
          <w:rFonts w:hint="eastAsia" w:ascii="Times New Roman" w:hAnsi="Times New Roman" w:eastAsia="仿宋_GB2312" w:cs="仿宋_GB2312"/>
          <w:color w:val="auto"/>
          <w:kern w:val="0"/>
          <w:sz w:val="30"/>
          <w:szCs w:val="32"/>
          <w:highlight w:val="none"/>
          <w:lang w:eastAsia="zh-CN" w:bidi="ar"/>
        </w:rPr>
        <w:t>承包人提供的施工设备和临时设施</w:t>
      </w:r>
    </w:p>
    <w:p w14:paraId="7C1CBD1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承包人应按合同进度计划的要求，及时配置施工设备和修建临时设施。进入施工场地的承包人设备需经监理人核查后才能投入使用。承包人更换合同约定的承包人设备的，应报监理人批准。</w:t>
      </w:r>
    </w:p>
    <w:p w14:paraId="4D684E8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除专用合同条款另有约定外，承包人应自行承担修建临时设施的费用，需要临时占地的，应由发包人办理申请手续并承担相应费用。</w:t>
      </w:r>
    </w:p>
    <w:p w14:paraId="3F1A118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8.8.2</w:t>
      </w:r>
      <w:r>
        <w:rPr>
          <w:rFonts w:hint="eastAsia" w:ascii="Times New Roman" w:hAnsi="Times New Roman" w:eastAsia="仿宋_GB2312" w:cs="仿宋_GB2312"/>
          <w:color w:val="auto"/>
          <w:kern w:val="0"/>
          <w:sz w:val="30"/>
          <w:szCs w:val="32"/>
          <w:highlight w:val="none"/>
          <w:lang w:eastAsia="zh-CN" w:bidi="ar"/>
        </w:rPr>
        <w:t>发包人提供的施工设备和临时设施</w:t>
      </w:r>
    </w:p>
    <w:p w14:paraId="6E3A277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发包人提供的施工设备或临时设施在专用合同条款中约定。</w:t>
      </w:r>
    </w:p>
    <w:p w14:paraId="0E7A741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8.8.3</w:t>
      </w:r>
      <w:r>
        <w:rPr>
          <w:rFonts w:hint="eastAsia" w:ascii="Times New Roman" w:hAnsi="Times New Roman" w:eastAsia="仿宋_GB2312" w:cs="仿宋_GB2312"/>
          <w:color w:val="auto"/>
          <w:kern w:val="0"/>
          <w:sz w:val="30"/>
          <w:szCs w:val="32"/>
          <w:highlight w:val="none"/>
          <w:lang w:eastAsia="zh-CN" w:bidi="ar"/>
        </w:rPr>
        <w:t>要求承包人增加或更换施工设备</w:t>
      </w:r>
    </w:p>
    <w:p w14:paraId="405295C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承包人使用的施工设备不能满足合同进度计划和（或）质量要求时，监理人有权要求承包人增加或更换施工设备，承包人应及时增加或更换，由此增加的费用和（或）延误的工期由承包人承担。</w:t>
      </w:r>
    </w:p>
    <w:p w14:paraId="7B1D3C2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32" w:name="_Toc351203561"/>
      <w:r>
        <w:rPr>
          <w:rFonts w:ascii="Times New Roman" w:hAnsi="Times New Roman" w:eastAsia="黑体" w:cs="Times New Roman"/>
          <w:b w:val="0"/>
          <w:bCs/>
          <w:color w:val="auto"/>
          <w:kern w:val="2"/>
          <w:sz w:val="30"/>
          <w:szCs w:val="32"/>
          <w:highlight w:val="none"/>
          <w:lang w:val="en-US" w:eastAsia="zh-CN" w:bidi="ar-SA"/>
        </w:rPr>
        <w:t>8</w:t>
      </w:r>
      <w:bookmarkStart w:id="433" w:name="_Toc296346564"/>
      <w:bookmarkStart w:id="434" w:name="_Toc296503063"/>
      <w:bookmarkStart w:id="435" w:name="_Toc337558781"/>
      <w:r>
        <w:rPr>
          <w:rFonts w:ascii="Times New Roman" w:hAnsi="Times New Roman" w:eastAsia="黑体" w:cs="Times New Roman"/>
          <w:b w:val="0"/>
          <w:bCs/>
          <w:color w:val="auto"/>
          <w:kern w:val="2"/>
          <w:sz w:val="30"/>
          <w:szCs w:val="32"/>
          <w:highlight w:val="none"/>
          <w:lang w:val="en-US" w:eastAsia="zh-CN" w:bidi="ar-SA"/>
        </w:rPr>
        <w:t>.9</w:t>
      </w:r>
      <w:r>
        <w:rPr>
          <w:rFonts w:hint="eastAsia" w:ascii="Times New Roman" w:hAnsi="Times New Roman" w:eastAsia="黑体" w:cs="黑体"/>
          <w:b w:val="0"/>
          <w:bCs/>
          <w:color w:val="auto"/>
          <w:kern w:val="2"/>
          <w:sz w:val="30"/>
          <w:szCs w:val="32"/>
          <w:highlight w:val="none"/>
          <w:lang w:val="en-US" w:eastAsia="zh-CN" w:bidi="ar-SA"/>
        </w:rPr>
        <w:t>材料与设备专用</w:t>
      </w:r>
      <w:bookmarkEnd w:id="432"/>
      <w:r>
        <w:rPr>
          <w:rFonts w:hint="eastAsia" w:ascii="Times New Roman" w:hAnsi="Times New Roman" w:eastAsia="黑体" w:cs="黑体"/>
          <w:b w:val="0"/>
          <w:bCs/>
          <w:color w:val="auto"/>
          <w:kern w:val="2"/>
          <w:sz w:val="30"/>
          <w:szCs w:val="32"/>
          <w:highlight w:val="none"/>
          <w:lang w:val="en-US" w:eastAsia="zh-CN" w:bidi="ar-SA"/>
        </w:rPr>
        <w:t>要求</w:t>
      </w:r>
    </w:p>
    <w:bookmarkEnd w:id="433"/>
    <w:bookmarkEnd w:id="434"/>
    <w:bookmarkEnd w:id="435"/>
    <w:p w14:paraId="743D1E4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承包人运入施工现场的材料、工程设备、施工设备以及在施工场地建设的临时设施，包括备品备件、安装工具与资料，必须专用于工程。未经发包人批准，承包人不得运出施工现场或挪作他用；</w:t>
      </w:r>
      <w:bookmarkEnd w:id="414"/>
      <w:r>
        <w:rPr>
          <w:rFonts w:hint="eastAsia" w:ascii="Times New Roman" w:hAnsi="Times New Roman" w:eastAsia="仿宋_GB2312" w:cs="仿宋_GB2312"/>
          <w:color w:val="auto"/>
          <w:kern w:val="0"/>
          <w:sz w:val="30"/>
          <w:szCs w:val="32"/>
          <w:highlight w:val="none"/>
          <w:lang w:eastAsia="zh-CN" w:bidi="ar"/>
        </w:rPr>
        <w:t>经发包人批准，承包人可以根据施工进度计划撤走闲置的施工设备和其他物品。</w:t>
      </w:r>
    </w:p>
    <w:p w14:paraId="2B3BAD7E">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436" w:name="_Toc351203562"/>
      <w:bookmarkStart w:id="437" w:name="_Toc163768446"/>
      <w:bookmarkStart w:id="438" w:name="_Toc163768564"/>
      <w:r>
        <w:rPr>
          <w:rFonts w:ascii="Times New Roman" w:hAnsi="Times New Roman" w:eastAsia="黑体" w:cs="Times New Roman"/>
          <w:b/>
          <w:bCs/>
          <w:color w:val="auto"/>
          <w:sz w:val="32"/>
          <w:szCs w:val="32"/>
          <w:highlight w:val="none"/>
          <w:lang w:val="en-US" w:eastAsia="zh-CN" w:bidi="en-US"/>
        </w:rPr>
        <w:t>9</w:t>
      </w:r>
      <w:bookmarkStart w:id="439" w:name="_Toc337558782"/>
      <w:bookmarkStart w:id="440" w:name="_Toc296503083"/>
      <w:bookmarkStart w:id="441" w:name="_Toc296346584"/>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Times New Roman"/>
          <w:b/>
          <w:bCs/>
          <w:color w:val="auto"/>
          <w:sz w:val="32"/>
          <w:szCs w:val="32"/>
          <w:highlight w:val="none"/>
          <w:lang w:val="en-US" w:eastAsia="zh-CN" w:bidi="en-US"/>
        </w:rPr>
        <w:t>试验与检验</w:t>
      </w:r>
      <w:bookmarkEnd w:id="436"/>
      <w:bookmarkEnd w:id="437"/>
      <w:bookmarkEnd w:id="438"/>
    </w:p>
    <w:bookmarkEnd w:id="439"/>
    <w:p w14:paraId="4CBBD16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42" w:name="_Toc351203563"/>
      <w:r>
        <w:rPr>
          <w:rFonts w:ascii="Times New Roman" w:hAnsi="Times New Roman" w:eastAsia="黑体" w:cs="Times New Roman"/>
          <w:b w:val="0"/>
          <w:bCs/>
          <w:color w:val="auto"/>
          <w:kern w:val="2"/>
          <w:sz w:val="30"/>
          <w:szCs w:val="32"/>
          <w:highlight w:val="none"/>
          <w:lang w:val="en-US" w:eastAsia="zh-CN" w:bidi="ar-SA"/>
        </w:rPr>
        <w:t>9</w:t>
      </w:r>
      <w:bookmarkStart w:id="443" w:name="_Toc337558783"/>
      <w:r>
        <w:rPr>
          <w:rFonts w:ascii="Times New Roman" w:hAnsi="Times New Roman" w:eastAsia="黑体" w:cs="Times New Roman"/>
          <w:b w:val="0"/>
          <w:bCs/>
          <w:color w:val="auto"/>
          <w:kern w:val="2"/>
          <w:sz w:val="30"/>
          <w:szCs w:val="32"/>
          <w:highlight w:val="none"/>
          <w:lang w:val="en-US" w:eastAsia="zh-CN" w:bidi="ar-SA"/>
        </w:rPr>
        <w:t>.1</w:t>
      </w:r>
      <w:r>
        <w:rPr>
          <w:rFonts w:hint="eastAsia" w:ascii="Times New Roman" w:hAnsi="Times New Roman" w:eastAsia="黑体" w:cs="黑体"/>
          <w:b w:val="0"/>
          <w:bCs/>
          <w:color w:val="auto"/>
          <w:kern w:val="2"/>
          <w:sz w:val="30"/>
          <w:szCs w:val="32"/>
          <w:highlight w:val="none"/>
          <w:lang w:val="en-US" w:eastAsia="zh-CN" w:bidi="ar-SA"/>
        </w:rPr>
        <w:t>试验设备与试验人员</w:t>
      </w:r>
      <w:bookmarkEnd w:id="442"/>
    </w:p>
    <w:bookmarkEnd w:id="443"/>
    <w:p w14:paraId="257AD4B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9.1.1 </w:t>
      </w:r>
      <w:r>
        <w:rPr>
          <w:rFonts w:hint="eastAsia" w:ascii="Times New Roman" w:hAnsi="Times New Roman" w:eastAsia="仿宋_GB2312" w:cs="仿宋_GB2312"/>
          <w:color w:val="auto"/>
          <w:kern w:val="0"/>
          <w:sz w:val="30"/>
          <w:szCs w:val="32"/>
          <w:highlight w:val="none"/>
          <w:lang w:eastAsia="zh-CN" w:bidi="ar"/>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A31ABE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9.1.2 </w:t>
      </w:r>
      <w:r>
        <w:rPr>
          <w:rFonts w:hint="eastAsia" w:ascii="Times New Roman" w:hAnsi="Times New Roman" w:eastAsia="仿宋_GB2312" w:cs="仿宋_GB2312"/>
          <w:color w:val="auto"/>
          <w:kern w:val="0"/>
          <w:sz w:val="30"/>
          <w:szCs w:val="32"/>
          <w:highlight w:val="none"/>
          <w:lang w:eastAsia="zh-CN" w:bidi="ar"/>
        </w:rPr>
        <w:t>承包人应按专用合同条款的约定提供试验设备、取样装置、试验场所和试验条件，并向监理人提交相应进场计划表。</w:t>
      </w:r>
    </w:p>
    <w:p w14:paraId="07E5AF6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承包人配置的试验设备要符合相应试验规程的要求并经过具有资质的检测单位检测，且在正式使用该试验设备前，需要经过监理人与承包人共同校定。</w:t>
      </w:r>
    </w:p>
    <w:p w14:paraId="4F208E2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9.1.3 </w:t>
      </w:r>
      <w:r>
        <w:rPr>
          <w:rFonts w:hint="eastAsia" w:ascii="Times New Roman" w:hAnsi="Times New Roman" w:eastAsia="仿宋_GB2312" w:cs="仿宋_GB2312"/>
          <w:color w:val="auto"/>
          <w:kern w:val="0"/>
          <w:sz w:val="30"/>
          <w:szCs w:val="32"/>
          <w:highlight w:val="none"/>
          <w:lang w:eastAsia="zh-CN" w:bidi="ar"/>
        </w:rPr>
        <w:t>承包人应向监理人提交试验人员的名单及其岗位、资格等证明资料，试验人员必须能够熟练进行相应的检测试验，承包人对试验人员的试验程序和试验结果的正确性负责。</w:t>
      </w:r>
    </w:p>
    <w:p w14:paraId="0D1ADBB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44" w:name="_Toc351203564"/>
      <w:r>
        <w:rPr>
          <w:rFonts w:ascii="Times New Roman" w:hAnsi="Times New Roman" w:eastAsia="黑体" w:cs="Times New Roman"/>
          <w:b w:val="0"/>
          <w:bCs/>
          <w:color w:val="auto"/>
          <w:kern w:val="2"/>
          <w:sz w:val="30"/>
          <w:szCs w:val="32"/>
          <w:highlight w:val="none"/>
          <w:lang w:val="en-US" w:eastAsia="zh-CN" w:bidi="ar-SA"/>
        </w:rPr>
        <w:t>9</w:t>
      </w:r>
      <w:bookmarkStart w:id="445" w:name="_Toc337558784"/>
      <w:r>
        <w:rPr>
          <w:rFonts w:ascii="Times New Roman" w:hAnsi="Times New Roman" w:eastAsia="黑体" w:cs="Times New Roman"/>
          <w:b w:val="0"/>
          <w:bCs/>
          <w:color w:val="auto"/>
          <w:kern w:val="2"/>
          <w:sz w:val="30"/>
          <w:szCs w:val="32"/>
          <w:highlight w:val="none"/>
          <w:lang w:val="en-US" w:eastAsia="zh-CN" w:bidi="ar-SA"/>
        </w:rPr>
        <w:t>.2</w:t>
      </w:r>
      <w:r>
        <w:rPr>
          <w:rFonts w:hint="eastAsia" w:ascii="Times New Roman" w:hAnsi="Times New Roman" w:eastAsia="黑体" w:cs="黑体"/>
          <w:b w:val="0"/>
          <w:bCs/>
          <w:color w:val="auto"/>
          <w:kern w:val="2"/>
          <w:sz w:val="30"/>
          <w:szCs w:val="32"/>
          <w:highlight w:val="none"/>
          <w:lang w:val="en-US" w:eastAsia="zh-CN" w:bidi="ar-SA"/>
        </w:rPr>
        <w:t>取样</w:t>
      </w:r>
      <w:bookmarkEnd w:id="444"/>
    </w:p>
    <w:bookmarkEnd w:id="445"/>
    <w:p w14:paraId="4513A48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试验属于自检性质的，承包人可以单独取样。试验属于监理人抽检性质的，可由监理人取样，也可由承包人的试验人员在监理人的监督下取样。</w:t>
      </w:r>
    </w:p>
    <w:p w14:paraId="67E5143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46" w:name="_Toc351203565"/>
      <w:r>
        <w:rPr>
          <w:rFonts w:ascii="Times New Roman" w:hAnsi="Times New Roman" w:eastAsia="黑体" w:cs="Times New Roman"/>
          <w:b w:val="0"/>
          <w:bCs/>
          <w:color w:val="auto"/>
          <w:kern w:val="2"/>
          <w:sz w:val="30"/>
          <w:szCs w:val="32"/>
          <w:highlight w:val="none"/>
          <w:lang w:val="en-US" w:eastAsia="zh-CN" w:bidi="ar-SA"/>
        </w:rPr>
        <w:t>9</w:t>
      </w:r>
      <w:bookmarkStart w:id="447" w:name="_Toc337558785"/>
      <w:r>
        <w:rPr>
          <w:rFonts w:ascii="Times New Roman" w:hAnsi="Times New Roman" w:eastAsia="黑体" w:cs="Times New Roman"/>
          <w:b w:val="0"/>
          <w:bCs/>
          <w:color w:val="auto"/>
          <w:kern w:val="2"/>
          <w:sz w:val="30"/>
          <w:szCs w:val="32"/>
          <w:highlight w:val="none"/>
          <w:lang w:val="en-US" w:eastAsia="zh-CN" w:bidi="ar-SA"/>
        </w:rPr>
        <w:t>.3</w:t>
      </w:r>
      <w:r>
        <w:rPr>
          <w:rFonts w:hint="eastAsia" w:ascii="Times New Roman" w:hAnsi="Times New Roman" w:eastAsia="黑体" w:cs="黑体"/>
          <w:b w:val="0"/>
          <w:bCs/>
          <w:color w:val="auto"/>
          <w:kern w:val="2"/>
          <w:sz w:val="30"/>
          <w:szCs w:val="32"/>
          <w:highlight w:val="none"/>
          <w:lang w:val="en-US" w:eastAsia="zh-CN" w:bidi="ar-SA"/>
        </w:rPr>
        <w:t>材料、工程设备和工程的试验和检验</w:t>
      </w:r>
      <w:bookmarkEnd w:id="446"/>
    </w:p>
    <w:bookmarkEnd w:id="447"/>
    <w:p w14:paraId="1D57D38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9.3.1</w:t>
      </w:r>
      <w:r>
        <w:rPr>
          <w:rFonts w:hint="eastAsia" w:ascii="Times New Roman" w:hAnsi="Times New Roman" w:eastAsia="仿宋_GB2312" w:cs="仿宋_GB2312"/>
          <w:color w:val="auto"/>
          <w:kern w:val="0"/>
          <w:sz w:val="30"/>
          <w:szCs w:val="32"/>
          <w:highlight w:val="none"/>
          <w:lang w:eastAsia="zh-CN" w:bidi="ar"/>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5D2E5C2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9.3.2</w:t>
      </w:r>
      <w:r>
        <w:rPr>
          <w:rFonts w:hint="eastAsia" w:ascii="Times New Roman" w:hAnsi="Times New Roman" w:eastAsia="仿宋_GB2312" w:cs="仿宋_GB2312"/>
          <w:color w:val="auto"/>
          <w:kern w:val="0"/>
          <w:sz w:val="30"/>
          <w:szCs w:val="32"/>
          <w:highlight w:val="none"/>
          <w:lang w:eastAsia="zh-CN" w:bidi="ar"/>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690D30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9.3.3</w:t>
      </w:r>
      <w:r>
        <w:rPr>
          <w:rFonts w:hint="eastAsia" w:ascii="Times New Roman" w:hAnsi="Times New Roman" w:eastAsia="仿宋_GB2312" w:cs="仿宋_GB2312"/>
          <w:color w:val="auto"/>
          <w:kern w:val="0"/>
          <w:sz w:val="30"/>
          <w:szCs w:val="32"/>
          <w:highlight w:val="none"/>
          <w:lang w:eastAsia="zh-CN" w:bidi="ar"/>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0C45EB9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48" w:name="_Toc351203566"/>
      <w:r>
        <w:rPr>
          <w:rFonts w:ascii="Times New Roman" w:hAnsi="Times New Roman" w:eastAsia="黑体" w:cs="Times New Roman"/>
          <w:b w:val="0"/>
          <w:bCs/>
          <w:color w:val="auto"/>
          <w:kern w:val="2"/>
          <w:sz w:val="30"/>
          <w:szCs w:val="32"/>
          <w:highlight w:val="none"/>
          <w:lang w:val="en-US" w:eastAsia="zh-CN" w:bidi="ar-SA"/>
        </w:rPr>
        <w:t>9</w:t>
      </w:r>
      <w:bookmarkStart w:id="449" w:name="_Toc337558786"/>
      <w:r>
        <w:rPr>
          <w:rFonts w:ascii="Times New Roman" w:hAnsi="Times New Roman" w:eastAsia="黑体" w:cs="Times New Roman"/>
          <w:b w:val="0"/>
          <w:bCs/>
          <w:color w:val="auto"/>
          <w:kern w:val="2"/>
          <w:sz w:val="30"/>
          <w:szCs w:val="32"/>
          <w:highlight w:val="none"/>
          <w:lang w:val="en-US" w:eastAsia="zh-CN" w:bidi="ar-SA"/>
        </w:rPr>
        <w:t>.4</w:t>
      </w:r>
      <w:r>
        <w:rPr>
          <w:rFonts w:hint="eastAsia" w:ascii="Times New Roman" w:hAnsi="Times New Roman" w:eastAsia="黑体" w:cs="黑体"/>
          <w:b w:val="0"/>
          <w:bCs/>
          <w:color w:val="auto"/>
          <w:kern w:val="2"/>
          <w:sz w:val="30"/>
          <w:szCs w:val="32"/>
          <w:highlight w:val="none"/>
          <w:lang w:val="en-US" w:eastAsia="zh-CN" w:bidi="ar-SA"/>
        </w:rPr>
        <w:t>现场工艺试验</w:t>
      </w:r>
      <w:bookmarkEnd w:id="448"/>
    </w:p>
    <w:bookmarkEnd w:id="449"/>
    <w:p w14:paraId="58CD406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承包人应按合同约定或监理人指示进行现场工艺试验。对大型的现场工艺试验，监理人认为必要时，承包人应根据监理人提出的工艺试验要求，编制工艺试验措施计划，报送监理人审查。</w:t>
      </w:r>
    </w:p>
    <w:p w14:paraId="3BBC30F1">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450" w:name="_Toc163768447"/>
      <w:bookmarkStart w:id="451" w:name="_Toc351203567"/>
      <w:bookmarkStart w:id="452" w:name="_Toc163768565"/>
      <w:r>
        <w:rPr>
          <w:rFonts w:ascii="Times New Roman" w:hAnsi="Times New Roman" w:eastAsia="黑体" w:cs="Times New Roman"/>
          <w:b/>
          <w:bCs/>
          <w:color w:val="auto"/>
          <w:sz w:val="32"/>
          <w:szCs w:val="32"/>
          <w:highlight w:val="none"/>
          <w:lang w:val="en-US" w:eastAsia="zh-CN" w:bidi="en-US"/>
        </w:rPr>
        <w:t>1</w:t>
      </w:r>
      <w:bookmarkStart w:id="453" w:name="_Toc337558787"/>
      <w:r>
        <w:rPr>
          <w:rFonts w:ascii="Times New Roman" w:hAnsi="Times New Roman" w:eastAsia="黑体" w:cs="Times New Roman"/>
          <w:b/>
          <w:bCs/>
          <w:color w:val="auto"/>
          <w:sz w:val="32"/>
          <w:szCs w:val="32"/>
          <w:highlight w:val="none"/>
          <w:lang w:val="en-US" w:eastAsia="zh-CN" w:bidi="en-US"/>
        </w:rPr>
        <w:t xml:space="preserve">0. </w:t>
      </w:r>
      <w:r>
        <w:rPr>
          <w:rFonts w:hint="eastAsia" w:ascii="Times New Roman" w:hAnsi="Times New Roman" w:eastAsia="黑体" w:cs="黑体"/>
          <w:b/>
          <w:bCs/>
          <w:color w:val="auto"/>
          <w:sz w:val="32"/>
          <w:szCs w:val="32"/>
          <w:highlight w:val="none"/>
          <w:lang w:val="en-US" w:eastAsia="zh-CN" w:bidi="en-US"/>
        </w:rPr>
        <w:t>变更</w:t>
      </w:r>
      <w:bookmarkEnd w:id="440"/>
      <w:bookmarkEnd w:id="441"/>
      <w:bookmarkEnd w:id="450"/>
      <w:bookmarkEnd w:id="451"/>
      <w:bookmarkEnd w:id="452"/>
    </w:p>
    <w:bookmarkEnd w:id="453"/>
    <w:p w14:paraId="7C046F0C">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54" w:name="_Toc351203568"/>
      <w:r>
        <w:rPr>
          <w:rFonts w:ascii="Times New Roman" w:hAnsi="Times New Roman" w:eastAsia="黑体" w:cs="Times New Roman"/>
          <w:b w:val="0"/>
          <w:bCs/>
          <w:color w:val="auto"/>
          <w:kern w:val="2"/>
          <w:sz w:val="30"/>
          <w:szCs w:val="32"/>
          <w:highlight w:val="none"/>
          <w:lang w:val="en-US" w:eastAsia="zh-CN" w:bidi="ar-SA"/>
        </w:rPr>
        <w:t>1</w:t>
      </w:r>
      <w:bookmarkStart w:id="455" w:name="_Toc296346585"/>
      <w:bookmarkStart w:id="456" w:name="_Toc296503084"/>
      <w:bookmarkStart w:id="457" w:name="_Toc337558788"/>
      <w:r>
        <w:rPr>
          <w:rFonts w:ascii="Times New Roman" w:hAnsi="Times New Roman" w:eastAsia="黑体" w:cs="Times New Roman"/>
          <w:b w:val="0"/>
          <w:bCs/>
          <w:color w:val="auto"/>
          <w:kern w:val="2"/>
          <w:sz w:val="30"/>
          <w:szCs w:val="32"/>
          <w:highlight w:val="none"/>
          <w:lang w:val="en-US" w:eastAsia="zh-CN" w:bidi="ar-SA"/>
        </w:rPr>
        <w:t>0.1</w:t>
      </w:r>
      <w:r>
        <w:rPr>
          <w:rFonts w:hint="eastAsia" w:ascii="Times New Roman" w:hAnsi="Times New Roman" w:eastAsia="黑体" w:cs="黑体"/>
          <w:b w:val="0"/>
          <w:bCs/>
          <w:color w:val="auto"/>
          <w:kern w:val="2"/>
          <w:sz w:val="30"/>
          <w:szCs w:val="32"/>
          <w:highlight w:val="none"/>
          <w:lang w:val="en-US" w:eastAsia="zh-CN" w:bidi="ar-SA"/>
        </w:rPr>
        <w:t>变更的范围</w:t>
      </w:r>
      <w:bookmarkEnd w:id="454"/>
    </w:p>
    <w:bookmarkEnd w:id="455"/>
    <w:bookmarkEnd w:id="456"/>
    <w:bookmarkEnd w:id="457"/>
    <w:p w14:paraId="5F9441A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除专用合同条款另有约定外，合同履行过程中发生以下情形的，应按照本条约定进行变更：</w:t>
      </w:r>
    </w:p>
    <w:p w14:paraId="4E05172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）增加或减少合同中任何工作，或追加额外的工作；</w:t>
      </w:r>
    </w:p>
    <w:p w14:paraId="5D93A14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）取消合同中任何工作，但转由他人实施的工作除外；</w:t>
      </w:r>
    </w:p>
    <w:p w14:paraId="03D4B2C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）改变合同中任何工作的质量标准或其他特性；</w:t>
      </w:r>
    </w:p>
    <w:p w14:paraId="370F40A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）改变工程的基线、标高、位置和尺寸；</w:t>
      </w:r>
    </w:p>
    <w:p w14:paraId="1D6D7EF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）改变工程的时间安排或实施顺序。</w:t>
      </w:r>
    </w:p>
    <w:p w14:paraId="35A7A84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58" w:name="_Toc351203569"/>
      <w:r>
        <w:rPr>
          <w:rFonts w:ascii="Times New Roman" w:hAnsi="Times New Roman" w:eastAsia="黑体" w:cs="Times New Roman"/>
          <w:b w:val="0"/>
          <w:bCs/>
          <w:color w:val="auto"/>
          <w:kern w:val="2"/>
          <w:sz w:val="30"/>
          <w:szCs w:val="32"/>
          <w:highlight w:val="none"/>
          <w:lang w:val="en-US" w:eastAsia="zh-CN" w:bidi="ar-SA"/>
        </w:rPr>
        <w:t>1</w:t>
      </w:r>
      <w:bookmarkStart w:id="459" w:name="_Toc296503085"/>
      <w:bookmarkStart w:id="460" w:name="_Toc337558789"/>
      <w:bookmarkStart w:id="461" w:name="_Toc296346586"/>
      <w:r>
        <w:rPr>
          <w:rFonts w:ascii="Times New Roman" w:hAnsi="Times New Roman" w:eastAsia="黑体" w:cs="Times New Roman"/>
          <w:b w:val="0"/>
          <w:bCs/>
          <w:color w:val="auto"/>
          <w:kern w:val="2"/>
          <w:sz w:val="30"/>
          <w:szCs w:val="32"/>
          <w:highlight w:val="none"/>
          <w:lang w:val="en-US" w:eastAsia="zh-CN" w:bidi="ar-SA"/>
        </w:rPr>
        <w:t>0.2</w:t>
      </w:r>
      <w:r>
        <w:rPr>
          <w:rFonts w:hint="eastAsia" w:ascii="Times New Roman" w:hAnsi="Times New Roman" w:eastAsia="黑体" w:cs="黑体"/>
          <w:b w:val="0"/>
          <w:bCs/>
          <w:color w:val="auto"/>
          <w:kern w:val="2"/>
          <w:sz w:val="30"/>
          <w:szCs w:val="32"/>
          <w:highlight w:val="none"/>
          <w:lang w:val="en-US" w:eastAsia="zh-CN" w:bidi="ar-SA"/>
        </w:rPr>
        <w:t>变更权</w:t>
      </w:r>
      <w:bookmarkEnd w:id="458"/>
    </w:p>
    <w:bookmarkEnd w:id="459"/>
    <w:bookmarkEnd w:id="460"/>
    <w:bookmarkEnd w:id="461"/>
    <w:p w14:paraId="3A01E7E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12E9276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涉及设计变更的，应由设计人提供变更后的图纸和说明。如变更超过原设计标准或批准的建设规模时，发包人应及时办理规划、设计变更等审批手续。</w:t>
      </w:r>
    </w:p>
    <w:p w14:paraId="665D7BA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62" w:name="_Toc351203570"/>
      <w:r>
        <w:rPr>
          <w:rFonts w:ascii="Times New Roman" w:hAnsi="Times New Roman" w:eastAsia="黑体" w:cs="Times New Roman"/>
          <w:b w:val="0"/>
          <w:bCs/>
          <w:color w:val="auto"/>
          <w:kern w:val="2"/>
          <w:sz w:val="30"/>
          <w:szCs w:val="32"/>
          <w:highlight w:val="none"/>
          <w:lang w:val="en-US" w:eastAsia="zh-CN" w:bidi="ar-SA"/>
        </w:rPr>
        <w:t>1</w:t>
      </w:r>
      <w:bookmarkStart w:id="463" w:name="_Toc337558790"/>
      <w:bookmarkStart w:id="464" w:name="_Toc296503086"/>
      <w:bookmarkStart w:id="465" w:name="_Toc296346587"/>
      <w:r>
        <w:rPr>
          <w:rFonts w:ascii="Times New Roman" w:hAnsi="Times New Roman" w:eastAsia="黑体" w:cs="Times New Roman"/>
          <w:b w:val="0"/>
          <w:bCs/>
          <w:color w:val="auto"/>
          <w:kern w:val="2"/>
          <w:sz w:val="30"/>
          <w:szCs w:val="32"/>
          <w:highlight w:val="none"/>
          <w:lang w:val="en-US" w:eastAsia="zh-CN" w:bidi="ar-SA"/>
        </w:rPr>
        <w:t>0.3</w:t>
      </w:r>
      <w:r>
        <w:rPr>
          <w:rFonts w:hint="eastAsia" w:ascii="Times New Roman" w:hAnsi="Times New Roman" w:eastAsia="黑体" w:cs="黑体"/>
          <w:b w:val="0"/>
          <w:bCs/>
          <w:color w:val="auto"/>
          <w:kern w:val="2"/>
          <w:sz w:val="30"/>
          <w:szCs w:val="32"/>
          <w:highlight w:val="none"/>
          <w:lang w:val="en-US" w:eastAsia="zh-CN" w:bidi="ar-SA"/>
        </w:rPr>
        <w:t>变更程序</w:t>
      </w:r>
      <w:bookmarkEnd w:id="462"/>
    </w:p>
    <w:bookmarkEnd w:id="463"/>
    <w:bookmarkEnd w:id="464"/>
    <w:bookmarkEnd w:id="465"/>
    <w:p w14:paraId="6CFF9D7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10</w:t>
      </w:r>
      <w:r>
        <w:rPr>
          <w:rFonts w:ascii="Times New Roman" w:hAnsi="Times New Roman" w:eastAsia="仿宋_GB2312" w:cs="Times New Roman"/>
          <w:color w:val="auto"/>
          <w:kern w:val="0"/>
          <w:sz w:val="30"/>
          <w:szCs w:val="32"/>
          <w:highlight w:val="none"/>
          <w:lang w:eastAsia="zh-CN" w:bidi="ar"/>
        </w:rPr>
        <w:t xml:space="preserve">.3.1 </w:t>
      </w:r>
      <w:r>
        <w:rPr>
          <w:rFonts w:hint="eastAsia" w:ascii="Times New Roman" w:hAnsi="Times New Roman" w:eastAsia="仿宋_GB2312" w:cs="仿宋_GB2312"/>
          <w:color w:val="auto"/>
          <w:kern w:val="0"/>
          <w:sz w:val="30"/>
          <w:szCs w:val="32"/>
          <w:highlight w:val="none"/>
          <w:lang w:eastAsia="zh-CN" w:bidi="ar"/>
        </w:rPr>
        <w:t>发包人提出变更</w:t>
      </w:r>
    </w:p>
    <w:p w14:paraId="45E15EE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发包人提出变更的，应通过监理人向承包人发出变更指示，变更指示应说明计划变更的工程范围和变更的内容。</w:t>
      </w:r>
    </w:p>
    <w:p w14:paraId="72A836C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10</w:t>
      </w:r>
      <w:r>
        <w:rPr>
          <w:rFonts w:ascii="Times New Roman" w:hAnsi="Times New Roman" w:eastAsia="仿宋_GB2312" w:cs="Times New Roman"/>
          <w:color w:val="auto"/>
          <w:kern w:val="0"/>
          <w:sz w:val="30"/>
          <w:szCs w:val="32"/>
          <w:highlight w:val="none"/>
          <w:lang w:eastAsia="zh-CN" w:bidi="ar"/>
        </w:rPr>
        <w:t xml:space="preserve">.3.2 </w:t>
      </w:r>
      <w:r>
        <w:rPr>
          <w:rFonts w:hint="eastAsia" w:ascii="Times New Roman" w:hAnsi="Times New Roman" w:eastAsia="仿宋_GB2312" w:cs="仿宋_GB2312"/>
          <w:color w:val="auto"/>
          <w:kern w:val="0"/>
          <w:sz w:val="30"/>
          <w:szCs w:val="32"/>
          <w:highlight w:val="none"/>
          <w:lang w:eastAsia="zh-CN" w:bidi="ar"/>
        </w:rPr>
        <w:t>监理人提出变更建议</w:t>
      </w:r>
    </w:p>
    <w:p w14:paraId="686C987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11EF5C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10.3.3 </w:t>
      </w:r>
      <w:r>
        <w:rPr>
          <w:rFonts w:hint="eastAsia" w:ascii="Times New Roman" w:hAnsi="Times New Roman" w:eastAsia="仿宋_GB2312" w:cs="仿宋_GB2312"/>
          <w:color w:val="auto"/>
          <w:kern w:val="2"/>
          <w:sz w:val="30"/>
          <w:szCs w:val="32"/>
          <w:highlight w:val="none"/>
          <w:lang w:eastAsia="zh-CN" w:bidi="ar"/>
        </w:rPr>
        <w:t>变更执行</w:t>
      </w:r>
    </w:p>
    <w:p w14:paraId="5D4003A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ascii="Times New Roman" w:hAnsi="Times New Roman" w:eastAsia="仿宋_GB2312" w:cs="Times New Roman"/>
          <w:color w:val="auto"/>
          <w:kern w:val="0"/>
          <w:sz w:val="30"/>
          <w:szCs w:val="32"/>
          <w:highlight w:val="none"/>
          <w:lang w:eastAsia="zh-CN" w:bidi="ar"/>
        </w:rPr>
        <w:t>10.4</w:t>
      </w:r>
      <w:r>
        <w:rPr>
          <w:rFonts w:hint="eastAsia" w:ascii="Times New Roman" w:hAnsi="Times New Roman" w:eastAsia="仿宋_GB2312" w:cs="仿宋_GB2312"/>
          <w:color w:val="auto"/>
          <w:kern w:val="0"/>
          <w:sz w:val="30"/>
          <w:szCs w:val="32"/>
          <w:highlight w:val="none"/>
          <w:lang w:eastAsia="zh-CN" w:bidi="ar"/>
        </w:rPr>
        <w:t>款〔变更估价〕约定确定变更估价。</w:t>
      </w:r>
    </w:p>
    <w:p w14:paraId="4F3CCEE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66" w:name="_Toc351203571"/>
      <w:r>
        <w:rPr>
          <w:rFonts w:ascii="Times New Roman" w:hAnsi="Times New Roman" w:eastAsia="黑体" w:cs="Times New Roman"/>
          <w:b w:val="0"/>
          <w:bCs/>
          <w:color w:val="auto"/>
          <w:kern w:val="2"/>
          <w:sz w:val="30"/>
          <w:szCs w:val="32"/>
          <w:highlight w:val="none"/>
          <w:lang w:val="en-US" w:eastAsia="zh-CN" w:bidi="ar-SA"/>
        </w:rPr>
        <w:t>1</w:t>
      </w:r>
      <w:bookmarkStart w:id="467" w:name="_Toc296503087"/>
      <w:bookmarkStart w:id="468" w:name="_Toc337558791"/>
      <w:bookmarkStart w:id="469" w:name="_Toc296346588"/>
      <w:r>
        <w:rPr>
          <w:rFonts w:ascii="Times New Roman" w:hAnsi="Times New Roman" w:eastAsia="黑体" w:cs="Times New Roman"/>
          <w:b w:val="0"/>
          <w:bCs/>
          <w:color w:val="auto"/>
          <w:kern w:val="2"/>
          <w:sz w:val="30"/>
          <w:szCs w:val="32"/>
          <w:highlight w:val="none"/>
          <w:lang w:val="en-US" w:eastAsia="zh-CN" w:bidi="ar-SA"/>
        </w:rPr>
        <w:t>0.4</w:t>
      </w:r>
      <w:r>
        <w:rPr>
          <w:rFonts w:hint="eastAsia" w:ascii="Times New Roman" w:hAnsi="Times New Roman" w:eastAsia="黑体" w:cs="黑体"/>
          <w:b w:val="0"/>
          <w:bCs/>
          <w:color w:val="auto"/>
          <w:kern w:val="2"/>
          <w:sz w:val="30"/>
          <w:szCs w:val="32"/>
          <w:highlight w:val="none"/>
          <w:lang w:val="en-US" w:eastAsia="zh-CN" w:bidi="ar-SA"/>
        </w:rPr>
        <w:t>变更估价</w:t>
      </w:r>
      <w:bookmarkEnd w:id="466"/>
    </w:p>
    <w:bookmarkEnd w:id="467"/>
    <w:bookmarkEnd w:id="468"/>
    <w:bookmarkEnd w:id="469"/>
    <w:p w14:paraId="4CA5652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10.4.1 </w:t>
      </w:r>
      <w:r>
        <w:rPr>
          <w:rFonts w:hint="eastAsia" w:ascii="Times New Roman" w:hAnsi="Times New Roman" w:eastAsia="仿宋_GB2312" w:cs="仿宋_GB2312"/>
          <w:color w:val="auto"/>
          <w:kern w:val="0"/>
          <w:sz w:val="30"/>
          <w:szCs w:val="32"/>
          <w:highlight w:val="none"/>
          <w:lang w:eastAsia="zh-CN" w:bidi="ar"/>
        </w:rPr>
        <w:t>变更估价原则</w:t>
      </w:r>
    </w:p>
    <w:p w14:paraId="1E52580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除专用合同条款另有约定外，变更估价按照本款约定处理：</w:t>
      </w:r>
    </w:p>
    <w:p w14:paraId="0D82488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）已标价工程量清单或预算书有相同项目的，按照相同项目单价认定；</w:t>
      </w:r>
    </w:p>
    <w:p w14:paraId="6C67E24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）已标价工程量清单或预算书中无相同项目，但有类似项目的，参照类似项目的单价认定；</w:t>
      </w:r>
    </w:p>
    <w:p w14:paraId="52174C4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）变更导致实际完成的变更工程量与已标价工程量清单或预算书中列明的该项目工程量的变化幅度超过</w:t>
      </w:r>
      <w:r>
        <w:rPr>
          <w:rFonts w:ascii="Times New Roman" w:hAnsi="Times New Roman" w:eastAsia="仿宋_GB2312" w:cs="Times New Roman"/>
          <w:color w:val="auto"/>
          <w:kern w:val="0"/>
          <w:sz w:val="30"/>
          <w:szCs w:val="32"/>
          <w:highlight w:val="none"/>
          <w:lang w:eastAsia="zh-CN" w:bidi="ar"/>
        </w:rPr>
        <w:t>15%</w:t>
      </w:r>
      <w:r>
        <w:rPr>
          <w:rFonts w:hint="eastAsia" w:ascii="Times New Roman" w:hAnsi="Times New Roman" w:eastAsia="仿宋_GB2312" w:cs="仿宋_GB2312"/>
          <w:color w:val="auto"/>
          <w:kern w:val="0"/>
          <w:sz w:val="30"/>
          <w:szCs w:val="32"/>
          <w:highlight w:val="none"/>
          <w:lang w:eastAsia="zh-CN" w:bidi="ar"/>
        </w:rPr>
        <w:t>的，或已标价工程量清单或预算书中无相同项目及类似项目单价的，按照合理的成本与利润构成的原则，由合同当事人按照第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款〔商定或确定〕确定变更工作的单价。</w:t>
      </w:r>
    </w:p>
    <w:p w14:paraId="43D97B0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10.4.2 </w:t>
      </w:r>
      <w:r>
        <w:rPr>
          <w:rFonts w:hint="eastAsia" w:ascii="Times New Roman" w:hAnsi="Times New Roman" w:eastAsia="仿宋_GB2312" w:cs="仿宋_GB2312"/>
          <w:color w:val="auto"/>
          <w:kern w:val="0"/>
          <w:sz w:val="30"/>
          <w:szCs w:val="32"/>
          <w:highlight w:val="none"/>
          <w:lang w:eastAsia="zh-CN" w:bidi="ar"/>
        </w:rPr>
        <w:t>变更估价程序</w:t>
      </w:r>
    </w:p>
    <w:p w14:paraId="00DA270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承包人应在收到变更指示后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天内，向监理人提交变更估价申请。监理人应在收到承包人提交的变更估价申请后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天内审查完毕并报送发包人，监理人对变更估价申请有异议，通知承包人修改后重新提交。发包人应在承包人提交变更估价申请后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天内审批完毕。发包人逾期未完成审批或未提出异议的，视为认可承包人提交的变更估价申请。</w:t>
      </w:r>
    </w:p>
    <w:p w14:paraId="5E07971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因变更引起的价格调整应计入最近一期的进度款中支付。</w:t>
      </w:r>
    </w:p>
    <w:p w14:paraId="426D808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70" w:name="_Toc351203572"/>
      <w:r>
        <w:rPr>
          <w:rFonts w:ascii="Times New Roman" w:hAnsi="Times New Roman" w:eastAsia="黑体" w:cs="Times New Roman"/>
          <w:b w:val="0"/>
          <w:bCs/>
          <w:color w:val="auto"/>
          <w:kern w:val="2"/>
          <w:sz w:val="30"/>
          <w:szCs w:val="32"/>
          <w:highlight w:val="none"/>
          <w:lang w:val="en-US" w:eastAsia="zh-CN" w:bidi="ar-SA"/>
        </w:rPr>
        <w:t>1</w:t>
      </w:r>
      <w:bookmarkStart w:id="471" w:name="_Toc296346595"/>
      <w:bookmarkStart w:id="472" w:name="_Toc337558792"/>
      <w:bookmarkStart w:id="473" w:name="_Toc296503094"/>
      <w:r>
        <w:rPr>
          <w:rFonts w:ascii="Times New Roman" w:hAnsi="Times New Roman" w:eastAsia="黑体" w:cs="Times New Roman"/>
          <w:b w:val="0"/>
          <w:bCs/>
          <w:color w:val="auto"/>
          <w:kern w:val="2"/>
          <w:sz w:val="30"/>
          <w:szCs w:val="32"/>
          <w:highlight w:val="none"/>
          <w:lang w:val="en-US" w:eastAsia="zh-CN" w:bidi="ar-SA"/>
        </w:rPr>
        <w:t>0.5</w:t>
      </w:r>
      <w:r>
        <w:rPr>
          <w:rFonts w:hint="eastAsia" w:ascii="Times New Roman" w:hAnsi="Times New Roman" w:eastAsia="黑体" w:cs="黑体"/>
          <w:b w:val="0"/>
          <w:bCs/>
          <w:color w:val="auto"/>
          <w:kern w:val="2"/>
          <w:sz w:val="30"/>
          <w:szCs w:val="32"/>
          <w:highlight w:val="none"/>
          <w:lang w:val="en-US" w:eastAsia="zh-CN" w:bidi="ar-SA"/>
        </w:rPr>
        <w:t>承包人的合理化建议</w:t>
      </w:r>
      <w:bookmarkEnd w:id="470"/>
    </w:p>
    <w:bookmarkEnd w:id="471"/>
    <w:bookmarkEnd w:id="472"/>
    <w:bookmarkEnd w:id="473"/>
    <w:p w14:paraId="23CEB0D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承包人提出合理化建议的，应向监理人提交合理化建议说明，说明建议的内容和理由，以及实施该建议对合同价格和工期的影响。</w:t>
      </w:r>
    </w:p>
    <w:p w14:paraId="44AE9F0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除专用合同条款另有约定外，监理人应在收到承包人提交的合理化建议后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天内审查完毕并报送发包人，发现其中存在技术上的缺陷，应通知承包人修改。发包人应在收到监理人报送的合理化建议后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天内审批完毕。合理化建议经发包人批准的，监理人应及时发出变更指示，由此引起的合同价格调整按照第</w:t>
      </w:r>
      <w:r>
        <w:rPr>
          <w:rFonts w:ascii="Times New Roman" w:hAnsi="Times New Roman" w:eastAsia="仿宋_GB2312" w:cs="Times New Roman"/>
          <w:color w:val="auto"/>
          <w:kern w:val="0"/>
          <w:sz w:val="30"/>
          <w:szCs w:val="32"/>
          <w:highlight w:val="none"/>
          <w:lang w:eastAsia="zh-CN" w:bidi="ar"/>
        </w:rPr>
        <w:t>10.4</w:t>
      </w:r>
      <w:r>
        <w:rPr>
          <w:rFonts w:hint="eastAsia" w:ascii="Times New Roman" w:hAnsi="Times New Roman" w:eastAsia="仿宋_GB2312" w:cs="仿宋_GB2312"/>
          <w:color w:val="auto"/>
          <w:kern w:val="0"/>
          <w:sz w:val="30"/>
          <w:szCs w:val="32"/>
          <w:highlight w:val="none"/>
          <w:lang w:eastAsia="zh-CN" w:bidi="ar"/>
        </w:rPr>
        <w:t>款〔变更估价〕约定执行。发包人不同意变更的，监理人应书面通知承包人。</w:t>
      </w:r>
    </w:p>
    <w:p w14:paraId="0D51E48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合理化建议降低了合同价格或者提高了工程经济效益的，发包人可对承包人给予奖励，奖励的方法和金额在专用合同条款中约定。</w:t>
      </w:r>
    </w:p>
    <w:p w14:paraId="1FC6CF80">
      <w:pPr>
        <w:keepNext/>
        <w:keepLines/>
        <w:widowControl/>
        <w:shd w:val="clear"/>
        <w:spacing w:before="120" w:after="120" w:line="360" w:lineRule="auto"/>
        <w:ind w:firstLine="600" w:firstLineChars="200"/>
        <w:jc w:val="both"/>
        <w:outlineLvl w:val="3"/>
        <w:rPr>
          <w:rFonts w:ascii="Times New Roman" w:hAnsi="Times New Roman" w:eastAsia="仿宋_GB2312" w:cs="Times New Roman"/>
          <w:b/>
          <w:bCs/>
          <w:color w:val="auto"/>
          <w:kern w:val="2"/>
          <w:sz w:val="30"/>
          <w:szCs w:val="32"/>
          <w:highlight w:val="none"/>
          <w:lang w:val="en-US" w:eastAsia="zh-CN" w:bidi="ar-SA"/>
        </w:rPr>
      </w:pPr>
      <w:bookmarkStart w:id="474" w:name="_Toc351203573"/>
      <w:r>
        <w:rPr>
          <w:rFonts w:ascii="Times New Roman" w:hAnsi="Times New Roman" w:eastAsia="黑体" w:cs="Times New Roman"/>
          <w:b w:val="0"/>
          <w:bCs/>
          <w:color w:val="auto"/>
          <w:kern w:val="2"/>
          <w:sz w:val="30"/>
          <w:szCs w:val="32"/>
          <w:highlight w:val="none"/>
          <w:lang w:val="en-US" w:eastAsia="zh-CN" w:bidi="ar-SA"/>
        </w:rPr>
        <w:t>1</w:t>
      </w:r>
      <w:bookmarkStart w:id="475" w:name="_Toc337558793"/>
      <w:r>
        <w:rPr>
          <w:rFonts w:ascii="Times New Roman" w:hAnsi="Times New Roman" w:eastAsia="黑体" w:cs="Times New Roman"/>
          <w:b w:val="0"/>
          <w:bCs/>
          <w:color w:val="auto"/>
          <w:kern w:val="2"/>
          <w:sz w:val="30"/>
          <w:szCs w:val="32"/>
          <w:highlight w:val="none"/>
          <w:lang w:val="en-US" w:eastAsia="zh-CN" w:bidi="ar-SA"/>
        </w:rPr>
        <w:t>0.6</w:t>
      </w:r>
      <w:r>
        <w:rPr>
          <w:rFonts w:hint="eastAsia" w:ascii="Times New Roman" w:hAnsi="Times New Roman" w:eastAsia="黑体" w:cs="黑体"/>
          <w:b w:val="0"/>
          <w:bCs/>
          <w:color w:val="auto"/>
          <w:kern w:val="2"/>
          <w:sz w:val="30"/>
          <w:szCs w:val="32"/>
          <w:highlight w:val="none"/>
          <w:lang w:val="en-US" w:eastAsia="zh-CN" w:bidi="ar-SA"/>
        </w:rPr>
        <w:t>变更引起的工期调整</w:t>
      </w:r>
      <w:bookmarkEnd w:id="474"/>
      <w:r>
        <w:rPr>
          <w:rFonts w:ascii="Times New Roman" w:hAnsi="Times New Roman" w:eastAsia="黑体" w:cs="Times New Roman"/>
          <w:b w:val="0"/>
          <w:bCs/>
          <w:color w:val="auto"/>
          <w:kern w:val="2"/>
          <w:sz w:val="30"/>
          <w:szCs w:val="32"/>
          <w:highlight w:val="none"/>
          <w:lang w:val="en-US" w:eastAsia="zh-CN" w:bidi="ar-SA"/>
        </w:rPr>
        <w:t xml:space="preserve"> </w:t>
      </w:r>
      <w:bookmarkEnd w:id="475"/>
      <w:r>
        <w:rPr>
          <w:rFonts w:ascii="Times New Roman" w:hAnsi="Times New Roman" w:eastAsia="黑体" w:cs="Times New Roman"/>
          <w:b w:val="0"/>
          <w:bCs/>
          <w:color w:val="auto"/>
          <w:kern w:val="2"/>
          <w:sz w:val="30"/>
          <w:szCs w:val="32"/>
          <w:highlight w:val="none"/>
          <w:lang w:val="en-US" w:eastAsia="zh-CN" w:bidi="ar-SA"/>
        </w:rPr>
        <w:t xml:space="preserve"> </w:t>
      </w:r>
      <w:r>
        <w:rPr>
          <w:rFonts w:ascii="Times New Roman" w:hAnsi="Times New Roman" w:eastAsia="仿宋_GB2312" w:cs="Times New Roman"/>
          <w:b/>
          <w:bCs/>
          <w:color w:val="auto"/>
          <w:kern w:val="2"/>
          <w:sz w:val="30"/>
          <w:szCs w:val="32"/>
          <w:highlight w:val="none"/>
          <w:lang w:val="en-US" w:eastAsia="zh-CN" w:bidi="ar-SA"/>
        </w:rPr>
        <w:t xml:space="preserve"> </w:t>
      </w:r>
    </w:p>
    <w:p w14:paraId="6880DB3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因变更引起工期变化的，合同当事人均可要求调整合同工期，由合同当事人按照第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款〔商定或确定〕并参考工程所在地的工期定额标准确定增减工期天数。</w:t>
      </w:r>
    </w:p>
    <w:p w14:paraId="07FB21D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76" w:name="_Toc351203574"/>
      <w:r>
        <w:rPr>
          <w:rFonts w:ascii="Times New Roman" w:hAnsi="Times New Roman" w:eastAsia="黑体" w:cs="Times New Roman"/>
          <w:b w:val="0"/>
          <w:bCs/>
          <w:color w:val="auto"/>
          <w:kern w:val="2"/>
          <w:sz w:val="30"/>
          <w:szCs w:val="32"/>
          <w:highlight w:val="none"/>
          <w:lang w:val="en-US" w:eastAsia="zh-CN" w:bidi="ar-SA"/>
        </w:rPr>
        <w:t>10.7</w:t>
      </w:r>
      <w:r>
        <w:rPr>
          <w:rFonts w:hint="eastAsia" w:ascii="Times New Roman" w:hAnsi="Times New Roman" w:eastAsia="黑体" w:cs="黑体"/>
          <w:b w:val="0"/>
          <w:bCs/>
          <w:color w:val="auto"/>
          <w:kern w:val="2"/>
          <w:sz w:val="30"/>
          <w:szCs w:val="32"/>
          <w:highlight w:val="none"/>
          <w:lang w:val="en-US" w:eastAsia="zh-CN" w:bidi="ar-SA"/>
        </w:rPr>
        <w:t>暂估价</w:t>
      </w:r>
      <w:bookmarkEnd w:id="476"/>
    </w:p>
    <w:p w14:paraId="21FE183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暂估价专业分包工程、服务、材料和工程设备的明细由合同当事人在专用合同条款中约定。</w:t>
      </w:r>
    </w:p>
    <w:p w14:paraId="55455B9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10.7.1</w:t>
      </w: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依法必须招标的暂估价项目</w:t>
      </w:r>
    </w:p>
    <w:p w14:paraId="2962C3D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对于依法必须招标的暂估价项目，采取以下第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种方式确定。合同当事人也可以在专用合同条款中选择其他招标方式。</w:t>
      </w:r>
    </w:p>
    <w:p w14:paraId="585578F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种方式：对于依法必须招标的暂估价项目，由承包人招标，对该暂估价项目的确认和批准按照以下约定执行：</w:t>
      </w:r>
    </w:p>
    <w:p w14:paraId="69E7AC8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）承包人应当根据施工进度计划，在招标工作启动前</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天将招标方案通过监理人报送发包人审查，发包人应当在收到承包人报送的招标方案后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天内批准或提出修改意见。承包人应当按照经过发包人批准的招标方案开展招标工作；</w:t>
      </w:r>
    </w:p>
    <w:p w14:paraId="25A22AD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）承包人应当根据施工进度计划，提前</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天将招标文件通过监理人报送发包人审批，发包人应当在收到承包人报送的相关文件后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天内完成审批或提出修改意见；发包人有权确定招标控制价并按照法律规定参加评标；</w:t>
      </w:r>
    </w:p>
    <w:p w14:paraId="17C1C08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）承包人与供应商、分包人在签订暂估价合同前，应当提前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天将确定的中标候选供应商或中标候选分包人的资料报送发包人，发包人应在收到资料后</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天内与承包人共同确定中标人；承包人应当在签订合同后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天内，将暂估价合同副本报送发包人留存。</w:t>
      </w:r>
    </w:p>
    <w:p w14:paraId="7973F67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种方式：对于依法必须招标的暂估价项目，由发包人和承包人共同招标确定暂估价供应商或分包人的，承包人应按照施工进度计划，在招标工作启动前</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天通知发包人，并提交暂估价招标方案和工作分工。发包人应在收到后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天内确认。确定中标人后，由发包人、承包人与中标人共同签订暂估价合同。</w:t>
      </w:r>
    </w:p>
    <w:p w14:paraId="47AC09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10.7.2</w:t>
      </w:r>
      <w:r>
        <w:rPr>
          <w:rFonts w:hint="eastAsia" w:ascii="Times New Roman" w:hAnsi="Times New Roman" w:eastAsia="仿宋_GB2312" w:cs="仿宋_GB2312"/>
          <w:color w:val="auto"/>
          <w:kern w:val="0"/>
          <w:sz w:val="30"/>
          <w:szCs w:val="32"/>
          <w:highlight w:val="none"/>
          <w:lang w:eastAsia="zh-CN" w:bidi="ar"/>
        </w:rPr>
        <w:t>不属于依法必须招标的暂估价项目</w:t>
      </w:r>
    </w:p>
    <w:p w14:paraId="2434B8B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除专用合同条款另有约定外，对于不属于依法必须招标的暂估价项目，采取以下第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种方式确定：</w:t>
      </w:r>
      <w:r>
        <w:rPr>
          <w:rFonts w:ascii="Times New Roman" w:hAnsi="Times New Roman" w:eastAsia="仿宋_GB2312" w:cs="Times New Roman"/>
          <w:color w:val="auto"/>
          <w:kern w:val="0"/>
          <w:sz w:val="30"/>
          <w:szCs w:val="32"/>
          <w:highlight w:val="none"/>
          <w:lang w:eastAsia="zh-CN" w:bidi="ar"/>
        </w:rPr>
        <w:t xml:space="preserve"> </w:t>
      </w:r>
    </w:p>
    <w:p w14:paraId="77C9923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种方式：对于不属于依法必须招标的暂估价项目，按本项约定确认和批准：</w:t>
      </w:r>
    </w:p>
    <w:p w14:paraId="08E26A8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）承包人应根据施工进度计划，在签订暂估价项目的采购合同、分包合同前</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天向监理人提出书面申请。监理人应当在收到申请后</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天内报送发包人，发包人应当在收到申请后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天内给予批准或提出修改意见，发包人逾期未予批准或提出修改意见的，视为该书面申请已获得同意；</w:t>
      </w:r>
    </w:p>
    <w:p w14:paraId="1E64C66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）发包人认为承包人确定的供应商、分包人无法满足工程质量或合同要求的，发包人可以要求承包人重新确定暂估价项目的供应商、分包人</w:t>
      </w:r>
      <w:r>
        <w:rPr>
          <w:rFonts w:ascii="Times New Roman" w:hAnsi="Times New Roman" w:eastAsia="仿宋_GB2312" w:cs="Times New Roman"/>
          <w:color w:val="auto"/>
          <w:kern w:val="0"/>
          <w:sz w:val="30"/>
          <w:szCs w:val="32"/>
          <w:highlight w:val="none"/>
          <w:lang w:eastAsia="zh-CN" w:bidi="ar"/>
        </w:rPr>
        <w:t>;</w:t>
      </w:r>
    </w:p>
    <w:p w14:paraId="2DC4FC3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）承包人应当在签订暂估价合同后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天内，将暂估价合同副本报送发包人留存。</w:t>
      </w:r>
    </w:p>
    <w:p w14:paraId="61473D9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种方式：承包人按照第</w:t>
      </w:r>
      <w:r>
        <w:rPr>
          <w:rFonts w:ascii="Times New Roman" w:hAnsi="Times New Roman" w:eastAsia="仿宋_GB2312" w:cs="Times New Roman"/>
          <w:color w:val="auto"/>
          <w:kern w:val="0"/>
          <w:sz w:val="30"/>
          <w:szCs w:val="32"/>
          <w:highlight w:val="none"/>
          <w:lang w:eastAsia="zh-CN" w:bidi="ar"/>
        </w:rPr>
        <w:t>10.7.1</w:t>
      </w:r>
      <w:r>
        <w:rPr>
          <w:rFonts w:hint="eastAsia" w:ascii="Times New Roman" w:hAnsi="Times New Roman" w:eastAsia="仿宋_GB2312" w:cs="仿宋_GB2312"/>
          <w:color w:val="auto"/>
          <w:kern w:val="0"/>
          <w:sz w:val="30"/>
          <w:szCs w:val="32"/>
          <w:highlight w:val="none"/>
          <w:lang w:eastAsia="zh-CN" w:bidi="ar"/>
        </w:rPr>
        <w:t>项〔依法必须招标的暂估价项目〕约定的第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种方式确定暂估价项目。</w:t>
      </w:r>
    </w:p>
    <w:p w14:paraId="243E416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种方式：</w:t>
      </w:r>
      <w:r>
        <w:rPr>
          <w:rFonts w:hint="eastAsia" w:ascii="Times New Roman" w:hAnsi="Times New Roman" w:eastAsia="仿宋_GB2312" w:cs="仿宋_GB2312"/>
          <w:color w:val="auto"/>
          <w:kern w:val="0"/>
          <w:sz w:val="30"/>
          <w:szCs w:val="32"/>
          <w:highlight w:val="none"/>
          <w:lang w:eastAsia="zh-CN" w:bidi="ar"/>
        </w:rPr>
        <w:t>承包人直接实施的暂估价项目</w:t>
      </w:r>
    </w:p>
    <w:p w14:paraId="5DC99CD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承包人具备实施暂估价项目的资格和条件的，经发包人和承包人协商一致后，可由承包人自行实施暂估价项目，合同当事人可以在专用合同条款约定具体事项。</w:t>
      </w:r>
    </w:p>
    <w:p w14:paraId="0E86864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10.7.3 </w:t>
      </w:r>
      <w:r>
        <w:rPr>
          <w:rFonts w:hint="eastAsia" w:ascii="Times New Roman" w:hAnsi="Times New Roman" w:eastAsia="仿宋_GB2312" w:cs="仿宋_GB2312"/>
          <w:color w:val="auto"/>
          <w:kern w:val="0"/>
          <w:sz w:val="30"/>
          <w:szCs w:val="32"/>
          <w:highlight w:val="none"/>
          <w:lang w:eastAsia="zh-CN" w:bidi="ar"/>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6A955D6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77" w:name="_Toc351203575"/>
      <w:r>
        <w:rPr>
          <w:rFonts w:ascii="Times New Roman" w:hAnsi="Times New Roman" w:eastAsia="黑体" w:cs="Times New Roman"/>
          <w:b w:val="0"/>
          <w:bCs/>
          <w:color w:val="auto"/>
          <w:kern w:val="2"/>
          <w:sz w:val="30"/>
          <w:szCs w:val="32"/>
          <w:highlight w:val="none"/>
          <w:lang w:val="en-US" w:eastAsia="zh-CN" w:bidi="ar-SA"/>
        </w:rPr>
        <w:t>1</w:t>
      </w:r>
      <w:bookmarkStart w:id="478" w:name="_Toc337558794"/>
      <w:bookmarkStart w:id="479" w:name="_Toc296503090"/>
      <w:bookmarkStart w:id="480" w:name="_Toc322522561"/>
      <w:bookmarkStart w:id="481" w:name="_Toc296346591"/>
      <w:r>
        <w:rPr>
          <w:rFonts w:ascii="Times New Roman" w:hAnsi="Times New Roman" w:eastAsia="黑体" w:cs="Times New Roman"/>
          <w:b w:val="0"/>
          <w:bCs/>
          <w:color w:val="auto"/>
          <w:kern w:val="2"/>
          <w:sz w:val="30"/>
          <w:szCs w:val="32"/>
          <w:highlight w:val="none"/>
          <w:lang w:val="en-US" w:eastAsia="zh-CN" w:bidi="ar-SA"/>
        </w:rPr>
        <w:t>0.8</w:t>
      </w:r>
      <w:r>
        <w:rPr>
          <w:rFonts w:hint="eastAsia" w:ascii="Times New Roman" w:hAnsi="Times New Roman" w:eastAsia="黑体" w:cs="黑体"/>
          <w:b w:val="0"/>
          <w:bCs/>
          <w:color w:val="auto"/>
          <w:kern w:val="2"/>
          <w:sz w:val="30"/>
          <w:szCs w:val="32"/>
          <w:highlight w:val="none"/>
          <w:lang w:val="en-US" w:eastAsia="zh-CN" w:bidi="ar-SA"/>
        </w:rPr>
        <w:t>暂列金额</w:t>
      </w:r>
      <w:bookmarkEnd w:id="477"/>
    </w:p>
    <w:bookmarkEnd w:id="478"/>
    <w:p w14:paraId="1C1121B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暂列金额应按照发包人的要求使用，发包人的要求应通过监理人发出。合同当事人可以在专用合同条款中协商确定有关事项。</w:t>
      </w:r>
    </w:p>
    <w:bookmarkEnd w:id="479"/>
    <w:bookmarkEnd w:id="480"/>
    <w:bookmarkEnd w:id="481"/>
    <w:p w14:paraId="0AE8162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82" w:name="_Toc351203576"/>
      <w:r>
        <w:rPr>
          <w:rFonts w:ascii="Times New Roman" w:hAnsi="Times New Roman" w:eastAsia="黑体" w:cs="Times New Roman"/>
          <w:b w:val="0"/>
          <w:bCs/>
          <w:color w:val="auto"/>
          <w:kern w:val="2"/>
          <w:sz w:val="30"/>
          <w:szCs w:val="32"/>
          <w:highlight w:val="none"/>
          <w:lang w:val="en-US" w:eastAsia="zh-CN" w:bidi="ar-SA"/>
        </w:rPr>
        <w:t>1</w:t>
      </w:r>
      <w:bookmarkStart w:id="483" w:name="_Toc337558796"/>
      <w:bookmarkStart w:id="484" w:name="_Toc296503091"/>
      <w:bookmarkStart w:id="485" w:name="_Toc296346592"/>
      <w:r>
        <w:rPr>
          <w:rFonts w:ascii="Times New Roman" w:hAnsi="Times New Roman" w:eastAsia="黑体" w:cs="Times New Roman"/>
          <w:b w:val="0"/>
          <w:bCs/>
          <w:color w:val="auto"/>
          <w:kern w:val="2"/>
          <w:sz w:val="30"/>
          <w:szCs w:val="32"/>
          <w:highlight w:val="none"/>
          <w:lang w:val="en-US" w:eastAsia="zh-CN" w:bidi="ar-SA"/>
        </w:rPr>
        <w:t>0.9</w:t>
      </w:r>
      <w:r>
        <w:rPr>
          <w:rFonts w:hint="eastAsia" w:ascii="Times New Roman" w:hAnsi="Times New Roman" w:eastAsia="黑体" w:cs="黑体"/>
          <w:b w:val="0"/>
          <w:bCs/>
          <w:color w:val="auto"/>
          <w:kern w:val="2"/>
          <w:sz w:val="30"/>
          <w:szCs w:val="32"/>
          <w:highlight w:val="none"/>
          <w:lang w:val="en-US" w:eastAsia="zh-CN" w:bidi="ar-SA"/>
        </w:rPr>
        <w:t>计日工</w:t>
      </w:r>
      <w:bookmarkEnd w:id="482"/>
      <w:r>
        <w:rPr>
          <w:rFonts w:ascii="Times New Roman" w:hAnsi="Times New Roman" w:eastAsia="黑体" w:cs="Times New Roman"/>
          <w:b w:val="0"/>
          <w:bCs/>
          <w:color w:val="auto"/>
          <w:kern w:val="2"/>
          <w:sz w:val="30"/>
          <w:szCs w:val="32"/>
          <w:highlight w:val="none"/>
          <w:lang w:val="en-US" w:eastAsia="zh-CN" w:bidi="ar-SA"/>
        </w:rPr>
        <w:t xml:space="preserve"> </w:t>
      </w:r>
      <w:bookmarkEnd w:id="483"/>
      <w:bookmarkEnd w:id="484"/>
      <w:bookmarkEnd w:id="485"/>
    </w:p>
    <w:p w14:paraId="2E4A396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款〔商定或确定〕确定计日工的单价。</w:t>
      </w:r>
    </w:p>
    <w:p w14:paraId="5B23815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采用计日工计价的任何一项工作，承包人应在该项工作实施过程中，每天提交以下报表和有关凭证报送监理人审查：</w:t>
      </w:r>
    </w:p>
    <w:p w14:paraId="581F00A8">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）工作名称、内容和数量；</w:t>
      </w:r>
    </w:p>
    <w:p w14:paraId="5EE714AF">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）投入该工作的所有人员的姓名、专业、工种、级别和耗用工时；</w:t>
      </w:r>
    </w:p>
    <w:p w14:paraId="5304B54E">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）投入该工作的材料类别和数量；</w:t>
      </w:r>
    </w:p>
    <w:p w14:paraId="6A4A61D4">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）投入该工作的施工设备型号、台数和耗用台时；</w:t>
      </w:r>
    </w:p>
    <w:p w14:paraId="4630C98D">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）其他有关资料和凭证。</w:t>
      </w:r>
    </w:p>
    <w:p w14:paraId="279EB856">
      <w:pPr>
        <w:shd w:val="clear"/>
        <w:spacing w:line="360" w:lineRule="auto"/>
        <w:ind w:firstLine="450" w:firstLineChars="15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计日工由承包人汇总后，列入最近一期进度付款申请单，由监理人审查并经发包人批准后列入进度付款。</w:t>
      </w:r>
    </w:p>
    <w:p w14:paraId="72C24102">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486" w:name="_Toc163768566"/>
      <w:bookmarkStart w:id="487" w:name="_Toc163768448"/>
      <w:bookmarkStart w:id="488" w:name="_Toc351203577"/>
      <w:r>
        <w:rPr>
          <w:rFonts w:ascii="Times New Roman" w:hAnsi="Times New Roman" w:eastAsia="黑体" w:cs="Times New Roman"/>
          <w:b/>
          <w:bCs/>
          <w:color w:val="auto"/>
          <w:sz w:val="32"/>
          <w:szCs w:val="32"/>
          <w:highlight w:val="none"/>
          <w:lang w:val="en-US" w:eastAsia="zh-CN" w:bidi="en-US"/>
        </w:rPr>
        <w:t xml:space="preserve">11. </w:t>
      </w:r>
      <w:r>
        <w:rPr>
          <w:rFonts w:hint="eastAsia" w:ascii="Times New Roman" w:hAnsi="Times New Roman" w:eastAsia="黑体" w:cs="黑体"/>
          <w:b/>
          <w:bCs/>
          <w:color w:val="auto"/>
          <w:sz w:val="32"/>
          <w:szCs w:val="32"/>
          <w:highlight w:val="none"/>
          <w:lang w:val="en-US" w:eastAsia="zh-CN" w:bidi="en-US"/>
        </w:rPr>
        <w:t>价格调整</w:t>
      </w:r>
      <w:bookmarkEnd w:id="486"/>
      <w:bookmarkEnd w:id="487"/>
      <w:bookmarkEnd w:id="488"/>
    </w:p>
    <w:p w14:paraId="7A9E5BC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89" w:name="_Toc351203578"/>
      <w:bookmarkStart w:id="490" w:name="_Toc296503092"/>
      <w:bookmarkStart w:id="491" w:name="_Toc296346593"/>
      <w:bookmarkStart w:id="492" w:name="_Toc337558797"/>
      <w:r>
        <w:rPr>
          <w:rFonts w:ascii="Times New Roman" w:hAnsi="Times New Roman" w:eastAsia="黑体" w:cs="Times New Roman"/>
          <w:b w:val="0"/>
          <w:bCs/>
          <w:color w:val="auto"/>
          <w:kern w:val="2"/>
          <w:sz w:val="30"/>
          <w:szCs w:val="32"/>
          <w:highlight w:val="none"/>
          <w:lang w:val="en-US" w:eastAsia="zh-CN" w:bidi="ar-SA"/>
        </w:rPr>
        <w:t>11.1</w:t>
      </w:r>
      <w:r>
        <w:rPr>
          <w:rFonts w:hint="eastAsia" w:ascii="Times New Roman" w:hAnsi="Times New Roman" w:eastAsia="黑体" w:cs="黑体"/>
          <w:b w:val="0"/>
          <w:bCs/>
          <w:color w:val="auto"/>
          <w:kern w:val="2"/>
          <w:sz w:val="30"/>
          <w:szCs w:val="32"/>
          <w:highlight w:val="none"/>
          <w:lang w:val="en-US" w:eastAsia="zh-CN" w:bidi="ar-SA"/>
        </w:rPr>
        <w:t>市场价格波动引起的调整</w:t>
      </w:r>
      <w:bookmarkEnd w:id="489"/>
    </w:p>
    <w:bookmarkEnd w:id="490"/>
    <w:bookmarkEnd w:id="491"/>
    <w:bookmarkEnd w:id="492"/>
    <w:p w14:paraId="124001C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除专用合同条款另有约定外，市场价格波动超过合同当事人约定的范围，合同价格应当调整。合同当事人可以在专用合同条款中约定选择以下一种方式对合同价格进行调整：</w:t>
      </w:r>
    </w:p>
    <w:p w14:paraId="2FD8ACD1">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种方式：采用价格指数进行价格调整。</w:t>
      </w:r>
    </w:p>
    <w:p w14:paraId="7A1C62FF">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）价格调整公式</w:t>
      </w:r>
    </w:p>
    <w:p w14:paraId="2BC519B3">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因人工、材料和设备等价格波动影响合同价格时，根据专用合同条款中约定的数据，按以下公式计算差额并调整合同价格：</w:t>
      </w:r>
    </w:p>
    <w:p w14:paraId="394CA3E2">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lang w:eastAsia="zh-CN" w:bidi="ar"/>
        </w:rPr>
        <w:object>
          <v:shape id="_x0000_i1025" o:spt="75" type="#_x0000_t75" style="height:44.25pt;width:360pt;" o:ole="t" filled="f" o:preferrelative="t" stroked="f" coordsize="21600,21600">
            <v:path/>
            <v:fill on="f" focussize="0,0"/>
            <v:stroke on="f" joinstyle="miter"/>
            <v:imagedata r:id="rId20" o:title=""/>
            <o:lock v:ext="edit" aspectratio="t"/>
            <w10:wrap type="none"/>
            <w10:anchorlock/>
          </v:shape>
          <o:OLEObject Type="Embed" ProgID="" ShapeID="_x0000_i1025" DrawAspect="Content" ObjectID="_1468075725" r:id="rId19">
            <o:LockedField>false</o:LockedField>
          </o:OLEObject>
        </w:object>
      </w:r>
    </w:p>
    <w:p w14:paraId="334C8675">
      <w:pPr>
        <w:shd w:val="clear"/>
        <w:tabs>
          <w:tab w:val="left" w:pos="0"/>
          <w:tab w:val="left" w:pos="360"/>
          <w:tab w:val="left" w:pos="540"/>
        </w:tabs>
        <w:spacing w:line="360" w:lineRule="auto"/>
        <w:ind w:firstLine="64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公式中：</w:t>
      </w:r>
      <w:r>
        <w:rPr>
          <w:rFonts w:ascii="Times New Roman" w:hAnsi="Times New Roman" w:eastAsia="仿宋_GB2312" w:cs="Times New Roman"/>
          <w:color w:val="auto"/>
          <w:kern w:val="2"/>
          <w:sz w:val="30"/>
          <w:szCs w:val="32"/>
          <w:highlight w:val="none"/>
          <w:lang w:eastAsia="zh-CN" w:bidi="ar"/>
        </w:rPr>
        <w:t>ΔP——</w:t>
      </w:r>
      <w:r>
        <w:rPr>
          <w:rFonts w:hint="eastAsia" w:ascii="Times New Roman" w:hAnsi="Times New Roman" w:eastAsia="仿宋_GB2312" w:cs="仿宋_GB2312"/>
          <w:color w:val="auto"/>
          <w:kern w:val="2"/>
          <w:sz w:val="30"/>
          <w:szCs w:val="32"/>
          <w:highlight w:val="none"/>
          <w:lang w:eastAsia="zh-CN" w:bidi="ar"/>
        </w:rPr>
        <w:t>需调整的价格差额；</w:t>
      </w:r>
    </w:p>
    <w:p w14:paraId="0B447BDF">
      <w:pPr>
        <w:shd w:val="clear"/>
        <w:tabs>
          <w:tab w:val="left" w:pos="0"/>
          <w:tab w:val="left" w:pos="360"/>
          <w:tab w:val="left" w:pos="540"/>
        </w:tabs>
        <w:spacing w:line="360" w:lineRule="auto"/>
        <w:ind w:firstLine="1800" w:firstLineChars="6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object>
          <v:shape id="_x0000_i1026" o:spt="75" type="#_x0000_t75" style="height:18pt;width:18pt;" o:ole="t" filled="f" o:preferrelative="t" stroked="f" coordsize="21600,21600">
            <v:path/>
            <v:fill on="f" focussize="0,0"/>
            <v:stroke on="f" joinstyle="miter"/>
            <v:imagedata r:id="rId22" o:title=""/>
            <o:lock v:ext="edit" aspectratio="t"/>
            <w10:wrap type="none"/>
            <w10:anchorlock/>
          </v:shape>
          <o:OLEObject Type="Embed" ProgID="" ShapeID="_x0000_i1026" DrawAspect="Content" ObjectID="_1468075726" r:id="rId21">
            <o:LockedField>false</o:LockedField>
          </o:OLEObject>
        </w:objec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约定的付款证书中承包人应得到的已完成工程量的金额。此项金额应不包括价格调整、不计质量保证金的扣留和支付、预付款的支付和扣回。约定的变更及其他金额已按现行价格计价的，也不计在内；</w:t>
      </w:r>
    </w:p>
    <w:p w14:paraId="1B693CAB">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A——</w:t>
      </w:r>
      <w:r>
        <w:rPr>
          <w:rFonts w:hint="eastAsia" w:ascii="Times New Roman" w:hAnsi="Times New Roman" w:eastAsia="仿宋_GB2312" w:cs="仿宋_GB2312"/>
          <w:color w:val="auto"/>
          <w:kern w:val="2"/>
          <w:sz w:val="30"/>
          <w:szCs w:val="32"/>
          <w:highlight w:val="none"/>
          <w:lang w:eastAsia="zh-CN" w:bidi="ar"/>
        </w:rPr>
        <w:t>定值权重（即不调部分的权重）；</w:t>
      </w:r>
    </w:p>
    <w:p w14:paraId="4B68626A">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object>
          <v:shape id="_x0000_i1027" o:spt="75" type="#_x0000_t75" style="height:21pt;width:101.25pt;" o:ole="t" filled="f" o:preferrelative="t" stroked="f" coordsize="21600,21600">
            <v:path/>
            <v:fill on="f" focussize="0,0"/>
            <v:stroke on="f" joinstyle="miter"/>
            <v:imagedata r:id="rId24" o:title=""/>
            <o:lock v:ext="edit" aspectratio="t"/>
            <w10:wrap type="none"/>
            <w10:anchorlock/>
          </v:shape>
          <o:OLEObject Type="Embed" ProgID="" ShapeID="_x0000_i1027" DrawAspect="Content" ObjectID="_1468075727" r:id="rId23">
            <o:LockedField>false</o:LockedField>
          </o:OLEObject>
        </w:objec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各可调因子的变值权重（即可调部分的权重），为各可调因子在签约合同价中所占的比例；</w:t>
      </w:r>
    </w:p>
    <w:p w14:paraId="32671F46">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object>
          <v:shape id="_x0000_i1028" o:spt="75" type="#_x0000_t75" style="height:20.25pt;width:102pt;" o:ole="t" filled="f" o:preferrelative="t" stroked="f" coordsize="21600,21600">
            <v:path/>
            <v:fill on="f" focussize="0,0"/>
            <v:stroke on="f" joinstyle="miter"/>
            <v:imagedata r:id="rId26" o:title=""/>
            <o:lock v:ext="edit" aspectratio="t"/>
            <w10:wrap type="none"/>
            <w10:anchorlock/>
          </v:shape>
          <o:OLEObject Type="Embed" ProgID="" ShapeID="_x0000_i1028" DrawAspect="Content" ObjectID="_1468075728" r:id="rId25">
            <o:LockedField>false</o:LockedField>
          </o:OLEObject>
        </w:objec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各可调因子的现行价格指数，指约定的付款证书相关周期最后一天的前</w:t>
      </w:r>
      <w:r>
        <w:rPr>
          <w:rFonts w:ascii="Times New Roman" w:hAnsi="Times New Roman" w:eastAsia="仿宋_GB2312" w:cs="Times New Roman"/>
          <w:color w:val="auto"/>
          <w:kern w:val="2"/>
          <w:sz w:val="30"/>
          <w:szCs w:val="32"/>
          <w:highlight w:val="none"/>
          <w:lang w:eastAsia="zh-CN" w:bidi="ar"/>
        </w:rPr>
        <w:t>42</w:t>
      </w:r>
      <w:r>
        <w:rPr>
          <w:rFonts w:hint="eastAsia" w:ascii="Times New Roman" w:hAnsi="Times New Roman" w:eastAsia="仿宋_GB2312" w:cs="仿宋_GB2312"/>
          <w:color w:val="auto"/>
          <w:kern w:val="2"/>
          <w:sz w:val="30"/>
          <w:szCs w:val="32"/>
          <w:highlight w:val="none"/>
          <w:lang w:eastAsia="zh-CN" w:bidi="ar"/>
        </w:rPr>
        <w:t>天的各可调因子的价格指数；</w:t>
      </w:r>
    </w:p>
    <w:p w14:paraId="54572184">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object>
          <v:shape id="_x0000_i1029" o:spt="75" type="#_x0000_t75" style="height:20.25pt;width:108pt;" o:ole="t" filled="f" o:preferrelative="t" stroked="f" coordsize="21600,21600">
            <v:path/>
            <v:fill on="f" focussize="0,0"/>
            <v:stroke on="f" joinstyle="miter"/>
            <v:imagedata r:id="rId28" o:title=""/>
            <o:lock v:ext="edit" aspectratio="t"/>
            <w10:wrap type="none"/>
            <w10:anchorlock/>
          </v:shape>
          <o:OLEObject Type="Embed" ProgID="" ShapeID="_x0000_i1029" DrawAspect="Content" ObjectID="_1468075729" r:id="rId27">
            <o:LockedField>false</o:LockedField>
          </o:OLEObject>
        </w:objec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各可调因子的基本价格指数，指基准日期的各可调因子的价格指数。</w:t>
      </w:r>
    </w:p>
    <w:p w14:paraId="5F12E23A">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205C4AFC">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）暂时确定调整差额</w:t>
      </w:r>
    </w:p>
    <w:p w14:paraId="1639E37C">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在计算调整差额时无现行价格指数的，合同当事人同意暂用前次价格指数计算。实际价格指数有调整的，合同当事人进行相应调整。</w:t>
      </w:r>
    </w:p>
    <w:p w14:paraId="598669BD">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）权重的调整</w:t>
      </w:r>
    </w:p>
    <w:p w14:paraId="6EFFC2AA">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因变更导致合同约定的权重不合理时，按照第</w:t>
      </w:r>
      <w:r>
        <w:rPr>
          <w:rFonts w:ascii="Times New Roman" w:hAnsi="Times New Roman" w:eastAsia="仿宋_GB2312" w:cs="Times New Roman"/>
          <w:color w:val="auto"/>
          <w:kern w:val="2"/>
          <w:sz w:val="30"/>
          <w:szCs w:val="32"/>
          <w:highlight w:val="none"/>
          <w:lang w:eastAsia="zh-CN" w:bidi="ar"/>
        </w:rPr>
        <w:t>4.4</w:t>
      </w:r>
      <w:r>
        <w:rPr>
          <w:rFonts w:hint="eastAsia" w:ascii="Times New Roman" w:hAnsi="Times New Roman" w:eastAsia="仿宋_GB2312" w:cs="仿宋_GB2312"/>
          <w:color w:val="auto"/>
          <w:kern w:val="2"/>
          <w:sz w:val="30"/>
          <w:szCs w:val="32"/>
          <w:highlight w:val="none"/>
          <w:lang w:eastAsia="zh-CN" w:bidi="ar"/>
        </w:rPr>
        <w:t>款〔商定或确定〕执行。</w:t>
      </w:r>
    </w:p>
    <w:p w14:paraId="40EB2814">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4</w:t>
      </w:r>
      <w:r>
        <w:rPr>
          <w:rFonts w:hint="eastAsia" w:ascii="Times New Roman" w:hAnsi="Times New Roman" w:eastAsia="仿宋_GB2312" w:cs="仿宋_GB2312"/>
          <w:color w:val="auto"/>
          <w:kern w:val="2"/>
          <w:sz w:val="30"/>
          <w:szCs w:val="32"/>
          <w:highlight w:val="none"/>
          <w:lang w:eastAsia="zh-CN" w:bidi="ar"/>
        </w:rPr>
        <w:t>）因承包人原因工期延误后的价格调整</w:t>
      </w:r>
    </w:p>
    <w:p w14:paraId="70818D84">
      <w:pPr>
        <w:shd w:val="clear"/>
        <w:tabs>
          <w:tab w:val="left" w:pos="0"/>
          <w:tab w:val="left" w:pos="360"/>
          <w:tab w:val="left" w:pos="540"/>
        </w:tabs>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因承包人原因未按期竣工的，对合同约定的竣工日期后继续施工的工程，在使用价格调整公式时，应采用计划竣工日期与实际竣工日期的两个价格指数中较低的一个作为现行价格指数。</w:t>
      </w:r>
    </w:p>
    <w:p w14:paraId="047703D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种方式：采用造价信息进行价格调整。</w:t>
      </w:r>
    </w:p>
    <w:p w14:paraId="5F98104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62B791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73BD49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）材料、工程设备价格变化的价款调整按照发包人提供的基准价格，按以下风险范围规定执行</w:t>
      </w:r>
      <w:r>
        <w:rPr>
          <w:rFonts w:ascii="Times New Roman" w:hAnsi="Times New Roman" w:eastAsia="仿宋_GB2312" w:cs="Times New Roman"/>
          <w:color w:val="auto"/>
          <w:kern w:val="2"/>
          <w:sz w:val="30"/>
          <w:szCs w:val="32"/>
          <w:highlight w:val="none"/>
          <w:lang w:eastAsia="zh-CN" w:bidi="ar"/>
        </w:rPr>
        <w:t>:</w:t>
      </w:r>
    </w:p>
    <w:p w14:paraId="7C07D09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①</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承包人在已标价工程量清单或预算书中载明材料单价低于基准价格的：除专用合同条款另有约定外，合同履行期间材料单价涨幅以基准价格为基础超过</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时，或材料单价跌幅以在已标价工程量清单或预算书中载明材料单价为基础超过</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时，其超过部分据实调整。</w:t>
      </w:r>
    </w:p>
    <w:p w14:paraId="3FEBD44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②</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承包人在已标价工程量清单或预算书中载明材料单价高于基准价格的：除专用合同条款另有约定外，合同履行期间材料单价跌幅以基准价格为基础超过</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时，材料单价涨幅以在已标价工程量清单或预算书中载明材料单价为基础超过</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时，其超过部分据实调整。</w:t>
      </w:r>
    </w:p>
    <w:p w14:paraId="371D1EB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③</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承包人在已标价工程量清单或预算书中载明材料单价等于基准价格的：除专用合同条款另有约定外，合同履行期间材料单价涨跌幅以基准价格为基础超过</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时，其超过部分据实调整。</w:t>
      </w:r>
    </w:p>
    <w:p w14:paraId="37849FA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④</w:t>
      </w:r>
      <w:r>
        <w:rPr>
          <w:rFonts w:hint="eastAsia" w:ascii="Times New Roman" w:hAnsi="Times New Roman" w:eastAsia="仿宋_GB2312" w:cs="仿宋_GB2312"/>
          <w:color w:val="auto"/>
          <w:kern w:val="2"/>
          <w:sz w:val="30"/>
          <w:szCs w:val="32"/>
          <w:highlight w:val="none"/>
          <w:lang w:eastAsia="zh-CN" w:bidi="ar"/>
        </w:rPr>
        <w:t>承包人应在采购材料前将采购数量和新的材料单价报发包人核对，发包人确认用于工程时，发包人应确认采购材料的数量和单价。发包人在收到承包人报送的确认资料后</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天内不予答复的视为认可，作为调整合同价格的依据。未经发包人事先核对，承包人自行采购材料的，发包人有权不予调整合同价格。发包人同意的，可以调整合同价格。</w:t>
      </w:r>
    </w:p>
    <w:p w14:paraId="23CED06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bookmarkStart w:id="493" w:name="OLE_LINK3"/>
      <w:r>
        <w:rPr>
          <w:rFonts w:hint="eastAsia" w:ascii="Times New Roman" w:hAnsi="Times New Roman" w:eastAsia="仿宋_GB2312" w:cs="仿宋_GB2312"/>
          <w:color w:val="auto"/>
          <w:kern w:val="2"/>
          <w:sz w:val="30"/>
          <w:szCs w:val="32"/>
          <w:highlight w:val="none"/>
          <w:lang w:eastAsia="zh-CN" w:bidi="ar"/>
        </w:rPr>
        <w:t>前述基准价格是指由发包人在招标文件或专用合同条款中给定的材料、工程设备的价格，该价格原则上应当按照省级或行业建设主管部门或其授权的工程造价管理机构发布的信息价编制。</w:t>
      </w:r>
    </w:p>
    <w:p w14:paraId="46DFE79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）施工机械台班单价或施工机械使用费发生变化超过省级或行业建设主管部门或其授权的工程造价管理机构规定的范围时，按规定调整合同价格。</w:t>
      </w:r>
    </w:p>
    <w:p w14:paraId="38BC692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种方式：专用合同条款约定的其他方式。</w:t>
      </w:r>
    </w:p>
    <w:p w14:paraId="0372DE68">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494" w:name="_Toc351203579"/>
      <w:bookmarkStart w:id="495" w:name="_Toc296346594"/>
      <w:bookmarkStart w:id="496" w:name="_Toc296503093"/>
      <w:bookmarkStart w:id="497" w:name="_Toc337558798"/>
      <w:r>
        <w:rPr>
          <w:rFonts w:ascii="Times New Roman" w:hAnsi="Times New Roman" w:eastAsia="黑体" w:cs="Times New Roman"/>
          <w:b w:val="0"/>
          <w:bCs/>
          <w:color w:val="auto"/>
          <w:kern w:val="2"/>
          <w:sz w:val="30"/>
          <w:szCs w:val="32"/>
          <w:highlight w:val="none"/>
          <w:lang w:val="en-US" w:eastAsia="zh-CN" w:bidi="ar-SA"/>
        </w:rPr>
        <w:t>11.2</w:t>
      </w:r>
      <w:r>
        <w:rPr>
          <w:rFonts w:hint="eastAsia" w:ascii="Times New Roman" w:hAnsi="Times New Roman" w:eastAsia="黑体" w:cs="黑体"/>
          <w:b w:val="0"/>
          <w:bCs/>
          <w:color w:val="auto"/>
          <w:kern w:val="2"/>
          <w:sz w:val="30"/>
          <w:szCs w:val="32"/>
          <w:highlight w:val="none"/>
          <w:lang w:val="en-US" w:eastAsia="zh-CN" w:bidi="ar-SA"/>
        </w:rPr>
        <w:t>法律变化引起的调整</w:t>
      </w:r>
      <w:bookmarkEnd w:id="494"/>
    </w:p>
    <w:bookmarkEnd w:id="495"/>
    <w:bookmarkEnd w:id="496"/>
    <w:bookmarkEnd w:id="497"/>
    <w:p w14:paraId="516F759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基准日期后，法律变化导致承包人在合同履行过程中所需要的费用发生除第</w:t>
      </w:r>
      <w:r>
        <w:rPr>
          <w:rFonts w:ascii="Times New Roman" w:hAnsi="Times New Roman" w:eastAsia="仿宋_GB2312" w:cs="Times New Roman"/>
          <w:color w:val="auto"/>
          <w:kern w:val="2"/>
          <w:sz w:val="30"/>
          <w:szCs w:val="32"/>
          <w:highlight w:val="none"/>
          <w:lang w:eastAsia="zh-CN" w:bidi="ar"/>
        </w:rPr>
        <w:t>11.1</w:t>
      </w:r>
      <w:r>
        <w:rPr>
          <w:rFonts w:hint="eastAsia" w:ascii="Times New Roman" w:hAnsi="Times New Roman" w:eastAsia="仿宋_GB2312" w:cs="仿宋_GB2312"/>
          <w:color w:val="auto"/>
          <w:kern w:val="2"/>
          <w:sz w:val="30"/>
          <w:szCs w:val="32"/>
          <w:highlight w:val="none"/>
          <w:lang w:eastAsia="zh-CN" w:bidi="ar"/>
        </w:rPr>
        <w:t>款〔市场价格波动引起的调整〕约定以外的增加时，由发包人承担由此增加的费用；减少时，应从合同价格中予以扣减。基准日期后，因法律变化造成工期延误时，工期应予以顺延。</w:t>
      </w:r>
    </w:p>
    <w:p w14:paraId="392F6C0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因法律变化引起的合同价格和工期调整，合同当事人无法达成一致的，由总监理工程师按第</w:t>
      </w:r>
      <w:r>
        <w:rPr>
          <w:rFonts w:ascii="Times New Roman" w:hAnsi="Times New Roman" w:eastAsia="仿宋_GB2312" w:cs="Times New Roman"/>
          <w:color w:val="auto"/>
          <w:kern w:val="2"/>
          <w:sz w:val="30"/>
          <w:szCs w:val="32"/>
          <w:highlight w:val="none"/>
          <w:lang w:eastAsia="zh-CN" w:bidi="ar"/>
        </w:rPr>
        <w:t>4.4</w:t>
      </w:r>
      <w:r>
        <w:rPr>
          <w:rFonts w:hint="eastAsia" w:ascii="Times New Roman" w:hAnsi="Times New Roman" w:eastAsia="仿宋_GB2312" w:cs="仿宋_GB2312"/>
          <w:color w:val="auto"/>
          <w:kern w:val="2"/>
          <w:sz w:val="30"/>
          <w:szCs w:val="32"/>
          <w:highlight w:val="none"/>
          <w:lang w:eastAsia="zh-CN" w:bidi="ar"/>
        </w:rPr>
        <w:t>款〔商定或确定〕的约定处理。</w:t>
      </w:r>
    </w:p>
    <w:p w14:paraId="5046AD9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因承包人原因造成工期延误，在工期延误期间出现法律变化的，由此增加的费用和（或）延误的工期由承包人承担。</w:t>
      </w:r>
    </w:p>
    <w:p w14:paraId="669B0FD8">
      <w:pPr>
        <w:keepNext/>
        <w:keepLines/>
        <w:widowControl w:val="0"/>
        <w:shd w:val="clear"/>
        <w:spacing w:before="260" w:after="260" w:line="480" w:lineRule="exact"/>
        <w:outlineLvl w:val="2"/>
        <w:rPr>
          <w:rFonts w:ascii="Times New Roman" w:hAnsi="Times New Roman" w:eastAsia="黑体" w:cs="Times New Roman"/>
          <w:b/>
          <w:bCs/>
          <w:color w:val="auto"/>
          <w:sz w:val="30"/>
          <w:szCs w:val="32"/>
          <w:highlight w:val="none"/>
          <w:lang w:val="en-US" w:eastAsia="zh-CN" w:bidi="en-US"/>
        </w:rPr>
      </w:pPr>
      <w:bookmarkStart w:id="498" w:name="_Toc163768567"/>
      <w:bookmarkStart w:id="499" w:name="_Toc163768449"/>
      <w:bookmarkStart w:id="500" w:name="_Toc351203580"/>
      <w:bookmarkStart w:id="501" w:name="_Toc337558799"/>
      <w:bookmarkStart w:id="502" w:name="_Toc296503096"/>
      <w:bookmarkStart w:id="503" w:name="_Toc296346597"/>
      <w:r>
        <w:rPr>
          <w:rFonts w:ascii="Times New Roman" w:hAnsi="Times New Roman" w:eastAsia="黑体" w:cs="Times New Roman"/>
          <w:b/>
          <w:bCs/>
          <w:color w:val="auto"/>
          <w:sz w:val="32"/>
          <w:szCs w:val="32"/>
          <w:highlight w:val="none"/>
          <w:lang w:val="en-US" w:eastAsia="zh-CN" w:bidi="en-US"/>
        </w:rPr>
        <w:t xml:space="preserve">12. </w:t>
      </w:r>
      <w:r>
        <w:rPr>
          <w:rFonts w:hint="eastAsia" w:ascii="Times New Roman" w:hAnsi="Times New Roman" w:eastAsia="黑体" w:cs="Times New Roman"/>
          <w:b/>
          <w:bCs/>
          <w:color w:val="auto"/>
          <w:sz w:val="32"/>
          <w:szCs w:val="32"/>
          <w:highlight w:val="none"/>
          <w:lang w:val="en-US" w:eastAsia="zh-CN" w:bidi="en-US"/>
        </w:rPr>
        <w:t>合同价格、计量与支付</w:t>
      </w:r>
      <w:bookmarkEnd w:id="498"/>
      <w:bookmarkEnd w:id="499"/>
      <w:bookmarkEnd w:id="500"/>
    </w:p>
    <w:bookmarkEnd w:id="501"/>
    <w:p w14:paraId="16AF22E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04" w:name="_Toc351203581"/>
      <w:bookmarkStart w:id="505" w:name="_Toc337558800"/>
      <w:r>
        <w:rPr>
          <w:rFonts w:ascii="Times New Roman" w:hAnsi="Times New Roman" w:eastAsia="黑体" w:cs="Times New Roman"/>
          <w:b w:val="0"/>
          <w:bCs/>
          <w:color w:val="auto"/>
          <w:kern w:val="2"/>
          <w:sz w:val="30"/>
          <w:szCs w:val="32"/>
          <w:highlight w:val="none"/>
          <w:lang w:val="en-US" w:eastAsia="zh-CN" w:bidi="ar-SA"/>
        </w:rPr>
        <w:t xml:space="preserve">12.1 </w:t>
      </w:r>
      <w:r>
        <w:rPr>
          <w:rFonts w:hint="eastAsia" w:ascii="Times New Roman" w:hAnsi="Times New Roman" w:eastAsia="黑体" w:cs="黑体"/>
          <w:b w:val="0"/>
          <w:bCs/>
          <w:color w:val="auto"/>
          <w:kern w:val="2"/>
          <w:sz w:val="30"/>
          <w:szCs w:val="32"/>
          <w:highlight w:val="none"/>
          <w:lang w:val="en-US" w:eastAsia="zh-CN" w:bidi="ar-SA"/>
        </w:rPr>
        <w:t>合同价</w:t>
      </w:r>
      <w:bookmarkEnd w:id="502"/>
      <w:bookmarkEnd w:id="503"/>
      <w:r>
        <w:rPr>
          <w:rFonts w:hint="eastAsia" w:ascii="Times New Roman" w:hAnsi="Times New Roman" w:eastAsia="黑体" w:cs="黑体"/>
          <w:b w:val="0"/>
          <w:bCs/>
          <w:color w:val="auto"/>
          <w:kern w:val="2"/>
          <w:sz w:val="30"/>
          <w:szCs w:val="32"/>
          <w:highlight w:val="none"/>
          <w:lang w:val="en-US" w:eastAsia="zh-CN" w:bidi="ar-SA"/>
        </w:rPr>
        <w:t>格形式</w:t>
      </w:r>
      <w:bookmarkEnd w:id="504"/>
    </w:p>
    <w:bookmarkEnd w:id="505"/>
    <w:p w14:paraId="0982E3B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发包人和承包人应在合同协议书中选择下列一种合同价格形式：</w:t>
      </w:r>
      <w:r>
        <w:rPr>
          <w:rFonts w:ascii="Times New Roman" w:hAnsi="Times New Roman" w:eastAsia="仿宋_GB2312" w:cs="Times New Roman"/>
          <w:color w:val="auto"/>
          <w:kern w:val="0"/>
          <w:sz w:val="30"/>
          <w:szCs w:val="32"/>
          <w:highlight w:val="none"/>
          <w:lang w:eastAsia="zh-CN" w:bidi="ar"/>
        </w:rPr>
        <w:t xml:space="preserve"> </w:t>
      </w:r>
    </w:p>
    <w:p w14:paraId="3933770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单价合同</w:t>
      </w:r>
    </w:p>
    <w:p w14:paraId="6C43439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单价合同是指合同当事人约定以工程量清单及其综合单价进行合同价格计算、调整和确认的建设工程施工合同，</w:t>
      </w:r>
      <w:r>
        <w:rPr>
          <w:rFonts w:hint="eastAsia" w:ascii="Times New Roman" w:hAnsi="Times New Roman" w:eastAsia="仿宋_GB2312" w:cs="仿宋_GB2312"/>
          <w:color w:val="auto"/>
          <w:kern w:val="2"/>
          <w:sz w:val="30"/>
          <w:szCs w:val="32"/>
          <w:highlight w:val="none"/>
          <w:lang w:eastAsia="zh-CN" w:bidi="ar"/>
        </w:rPr>
        <w:t>在约定的范围内合同单价不作调整</w:t>
      </w:r>
      <w:r>
        <w:rPr>
          <w:rFonts w:hint="eastAsia" w:ascii="Times New Roman" w:hAnsi="Times New Roman" w:eastAsia="仿宋_GB2312" w:cs="仿宋_GB2312"/>
          <w:color w:val="auto"/>
          <w:kern w:val="0"/>
          <w:sz w:val="30"/>
          <w:szCs w:val="32"/>
          <w:highlight w:val="none"/>
          <w:lang w:eastAsia="zh-CN" w:bidi="ar"/>
        </w:rPr>
        <w:t>。合同当事人应在专用合同条款中约定综合单价包含的风险范围和风险费用的计算方法</w:t>
      </w:r>
      <w:r>
        <w:rPr>
          <w:rFonts w:hint="eastAsia" w:ascii="Times New Roman" w:hAnsi="Times New Roman" w:eastAsia="仿宋_GB2312" w:cs="仿宋_GB2312"/>
          <w:color w:val="auto"/>
          <w:kern w:val="2"/>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并约定风险范围以外的合同价格的调整方法，其中因市场价格波动引起的调整按第</w:t>
      </w:r>
      <w:r>
        <w:rPr>
          <w:rFonts w:ascii="Times New Roman" w:hAnsi="Times New Roman" w:eastAsia="仿宋_GB2312" w:cs="Times New Roman"/>
          <w:color w:val="auto"/>
          <w:kern w:val="0"/>
          <w:sz w:val="30"/>
          <w:szCs w:val="32"/>
          <w:highlight w:val="none"/>
          <w:lang w:eastAsia="zh-CN" w:bidi="ar"/>
        </w:rPr>
        <w:t>11.1</w:t>
      </w:r>
      <w:r>
        <w:rPr>
          <w:rFonts w:hint="eastAsia" w:ascii="Times New Roman" w:hAnsi="Times New Roman" w:eastAsia="仿宋_GB2312" w:cs="仿宋_GB2312"/>
          <w:color w:val="auto"/>
          <w:kern w:val="0"/>
          <w:sz w:val="30"/>
          <w:szCs w:val="32"/>
          <w:highlight w:val="none"/>
          <w:lang w:eastAsia="zh-CN" w:bidi="ar"/>
        </w:rPr>
        <w:t>款〔市场价格波动引起的调整〕约定执行。</w:t>
      </w:r>
    </w:p>
    <w:p w14:paraId="3906BBB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总价合同</w:t>
      </w:r>
    </w:p>
    <w:p w14:paraId="1DEC362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总价合同是指合同当事人约定以施工图、已标价工程量清单或预算书及有关条件进行合同价格计算、调整和确认的建设工程施工合同，</w:t>
      </w:r>
      <w:r>
        <w:rPr>
          <w:rFonts w:hint="eastAsia" w:ascii="Times New Roman" w:hAnsi="Times New Roman" w:eastAsia="仿宋_GB2312" w:cs="仿宋_GB2312"/>
          <w:color w:val="auto"/>
          <w:kern w:val="2"/>
          <w:sz w:val="30"/>
          <w:szCs w:val="32"/>
          <w:highlight w:val="none"/>
          <w:lang w:eastAsia="zh-CN" w:bidi="ar"/>
        </w:rPr>
        <w:t>在约定的范围内合同总价不作调整</w:t>
      </w:r>
      <w:r>
        <w:rPr>
          <w:rFonts w:hint="eastAsia" w:ascii="Times New Roman" w:hAnsi="Times New Roman" w:eastAsia="仿宋_GB2312" w:cs="仿宋_GB2312"/>
          <w:color w:val="auto"/>
          <w:kern w:val="0"/>
          <w:sz w:val="30"/>
          <w:szCs w:val="32"/>
          <w:highlight w:val="none"/>
          <w:lang w:eastAsia="zh-CN" w:bidi="ar"/>
        </w:rPr>
        <w:t>。合同当事人应在专用合同条款中约定总价包含的风险范围和风险费用的计算方法，并约定风险范围以外的合同价格的调整方法，其中因市场价格波动引起的调整按第</w:t>
      </w:r>
      <w:r>
        <w:rPr>
          <w:rFonts w:ascii="Times New Roman" w:hAnsi="Times New Roman" w:eastAsia="仿宋_GB2312" w:cs="Times New Roman"/>
          <w:color w:val="auto"/>
          <w:kern w:val="0"/>
          <w:sz w:val="30"/>
          <w:szCs w:val="32"/>
          <w:highlight w:val="none"/>
          <w:lang w:eastAsia="zh-CN" w:bidi="ar"/>
        </w:rPr>
        <w:t>11.1</w:t>
      </w:r>
      <w:r>
        <w:rPr>
          <w:rFonts w:hint="eastAsia" w:ascii="Times New Roman" w:hAnsi="Times New Roman" w:eastAsia="仿宋_GB2312" w:cs="仿宋_GB2312"/>
          <w:color w:val="auto"/>
          <w:kern w:val="0"/>
          <w:sz w:val="30"/>
          <w:szCs w:val="32"/>
          <w:highlight w:val="none"/>
          <w:lang w:eastAsia="zh-CN" w:bidi="ar"/>
        </w:rPr>
        <w:t>款〔市场价格波动引起的调整〕、因法律变化引起的调整按第</w:t>
      </w:r>
      <w:r>
        <w:rPr>
          <w:rFonts w:ascii="Times New Roman" w:hAnsi="Times New Roman" w:eastAsia="仿宋_GB2312" w:cs="Times New Roman"/>
          <w:color w:val="auto"/>
          <w:kern w:val="0"/>
          <w:sz w:val="30"/>
          <w:szCs w:val="32"/>
          <w:highlight w:val="none"/>
          <w:lang w:eastAsia="zh-CN" w:bidi="ar"/>
        </w:rPr>
        <w:t>11.2</w:t>
      </w:r>
      <w:r>
        <w:rPr>
          <w:rFonts w:hint="eastAsia" w:ascii="Times New Roman" w:hAnsi="Times New Roman" w:eastAsia="仿宋_GB2312" w:cs="仿宋_GB2312"/>
          <w:color w:val="auto"/>
          <w:kern w:val="0"/>
          <w:sz w:val="30"/>
          <w:szCs w:val="32"/>
          <w:highlight w:val="none"/>
          <w:lang w:eastAsia="zh-CN" w:bidi="ar"/>
        </w:rPr>
        <w:t>款〔法律变化引起的调整〕约定执行。</w:t>
      </w:r>
    </w:p>
    <w:p w14:paraId="6E0D5C6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其它价格形式</w:t>
      </w:r>
    </w:p>
    <w:p w14:paraId="72507C8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合同当事人可在专用合同条款中约定其他合同价格形式。</w:t>
      </w:r>
    </w:p>
    <w:p w14:paraId="1FE8D168">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06" w:name="_Toc296503097"/>
      <w:bookmarkStart w:id="507" w:name="_Toc296346598"/>
      <w:bookmarkStart w:id="508" w:name="_Toc351203582"/>
      <w:bookmarkStart w:id="509" w:name="_Toc337558801"/>
      <w:r>
        <w:rPr>
          <w:rFonts w:ascii="Times New Roman" w:hAnsi="Times New Roman" w:eastAsia="黑体" w:cs="Times New Roman"/>
          <w:b w:val="0"/>
          <w:bCs/>
          <w:color w:val="auto"/>
          <w:kern w:val="2"/>
          <w:sz w:val="30"/>
          <w:szCs w:val="32"/>
          <w:highlight w:val="none"/>
          <w:lang w:val="en-US" w:eastAsia="zh-CN" w:bidi="ar-SA"/>
        </w:rPr>
        <w:t>12.2</w:t>
      </w:r>
      <w:r>
        <w:rPr>
          <w:rFonts w:hint="eastAsia" w:ascii="Times New Roman" w:hAnsi="Times New Roman" w:eastAsia="黑体" w:cs="黑体"/>
          <w:b w:val="0"/>
          <w:bCs/>
          <w:color w:val="auto"/>
          <w:kern w:val="2"/>
          <w:sz w:val="30"/>
          <w:szCs w:val="32"/>
          <w:highlight w:val="none"/>
          <w:lang w:val="en-US" w:eastAsia="zh-CN" w:bidi="ar-SA"/>
        </w:rPr>
        <w:t>预</w:t>
      </w:r>
      <w:bookmarkEnd w:id="506"/>
      <w:bookmarkEnd w:id="507"/>
      <w:bookmarkStart w:id="510" w:name="_Toc296346601"/>
      <w:bookmarkStart w:id="511" w:name="_Toc296503100"/>
      <w:r>
        <w:rPr>
          <w:rFonts w:hint="eastAsia" w:ascii="Times New Roman" w:hAnsi="Times New Roman" w:eastAsia="黑体" w:cs="黑体"/>
          <w:b w:val="0"/>
          <w:bCs/>
          <w:color w:val="auto"/>
          <w:kern w:val="2"/>
          <w:sz w:val="30"/>
          <w:szCs w:val="32"/>
          <w:highlight w:val="none"/>
          <w:lang w:val="en-US" w:eastAsia="zh-CN" w:bidi="ar-SA"/>
        </w:rPr>
        <w:t>付款</w:t>
      </w:r>
      <w:bookmarkEnd w:id="508"/>
    </w:p>
    <w:bookmarkEnd w:id="509"/>
    <w:bookmarkEnd w:id="510"/>
    <w:bookmarkEnd w:id="511"/>
    <w:p w14:paraId="224E905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12.2.</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预付款的支付</w:t>
      </w:r>
    </w:p>
    <w:p w14:paraId="7A80982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预付款的支付按照专用合同条款约定执行，但至迟应在开工通知载明的开工日期</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天前支付。预付款应当用于材料、工程设备、施工设备的采购及修建临时工程、组织施工队伍进场等。</w:t>
      </w:r>
    </w:p>
    <w:p w14:paraId="4A4B355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除专用合同条款另有约定外，预付款在进度付款中同比例扣回。</w:t>
      </w:r>
      <w:bookmarkEnd w:id="493"/>
      <w:r>
        <w:rPr>
          <w:rFonts w:hint="eastAsia" w:ascii="Times New Roman" w:hAnsi="Times New Roman" w:eastAsia="仿宋_GB2312" w:cs="仿宋_GB2312"/>
          <w:color w:val="auto"/>
          <w:kern w:val="0"/>
          <w:sz w:val="30"/>
          <w:szCs w:val="32"/>
          <w:highlight w:val="none"/>
          <w:lang w:eastAsia="zh-CN" w:bidi="ar"/>
        </w:rPr>
        <w:t>在颁发工程接收证书前，提前解除合同的，尚未扣完的预付款应与合同价款一并结算。</w:t>
      </w:r>
    </w:p>
    <w:p w14:paraId="0B1D540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发包人逾期支付预付款超过</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天的，承包人有权向发包人发出要求预付的催告通知，发包人收到通知后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天内仍未支付的，承包人有权暂停施工，并按第</w:t>
      </w:r>
      <w:r>
        <w:rPr>
          <w:rFonts w:ascii="Times New Roman" w:hAnsi="Times New Roman" w:eastAsia="仿宋_GB2312" w:cs="Times New Roman"/>
          <w:color w:val="auto"/>
          <w:kern w:val="0"/>
          <w:sz w:val="30"/>
          <w:szCs w:val="32"/>
          <w:highlight w:val="none"/>
          <w:lang w:eastAsia="zh-CN" w:bidi="ar"/>
        </w:rPr>
        <w:t>16.1.1</w:t>
      </w:r>
      <w:r>
        <w:rPr>
          <w:rFonts w:hint="eastAsia" w:ascii="Times New Roman" w:hAnsi="Times New Roman" w:eastAsia="仿宋_GB2312" w:cs="仿宋_GB2312"/>
          <w:color w:val="auto"/>
          <w:kern w:val="0"/>
          <w:sz w:val="30"/>
          <w:szCs w:val="32"/>
          <w:highlight w:val="none"/>
          <w:lang w:eastAsia="zh-CN" w:bidi="ar"/>
        </w:rPr>
        <w:t>项〔发包人违约的情形〕执行。</w:t>
      </w:r>
    </w:p>
    <w:p w14:paraId="3BDF0AE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12.2.2 </w:t>
      </w:r>
      <w:r>
        <w:rPr>
          <w:rFonts w:hint="eastAsia" w:ascii="Times New Roman" w:hAnsi="Times New Roman" w:eastAsia="仿宋_GB2312" w:cs="仿宋_GB2312"/>
          <w:color w:val="auto"/>
          <w:kern w:val="2"/>
          <w:sz w:val="30"/>
          <w:szCs w:val="32"/>
          <w:highlight w:val="none"/>
          <w:lang w:eastAsia="zh-CN" w:bidi="ar"/>
        </w:rPr>
        <w:t>预付款担保</w:t>
      </w:r>
    </w:p>
    <w:p w14:paraId="286AC7D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发包人要求承包人提供预付款担保的，承包人应在发包人支付预付款</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7D38C07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发包人在工程款中逐期扣回预付款后，预付款担保额度应相应减少，但剩余的预付款担保金额不得低于未被扣回的预付款金额。</w:t>
      </w:r>
    </w:p>
    <w:p w14:paraId="7AD5887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12" w:name="_Toc351203583"/>
      <w:bookmarkStart w:id="513" w:name="_Toc337558802"/>
      <w:r>
        <w:rPr>
          <w:rFonts w:ascii="Times New Roman" w:hAnsi="Times New Roman" w:eastAsia="黑体" w:cs="Times New Roman"/>
          <w:b w:val="0"/>
          <w:bCs/>
          <w:color w:val="auto"/>
          <w:kern w:val="2"/>
          <w:sz w:val="30"/>
          <w:szCs w:val="32"/>
          <w:highlight w:val="none"/>
          <w:lang w:val="en-US" w:eastAsia="zh-CN" w:bidi="ar-SA"/>
        </w:rPr>
        <w:t>12.3</w:t>
      </w:r>
      <w:r>
        <w:rPr>
          <w:rFonts w:hint="eastAsia" w:ascii="Times New Roman" w:hAnsi="Times New Roman" w:eastAsia="黑体" w:cs="黑体"/>
          <w:b w:val="0"/>
          <w:bCs/>
          <w:color w:val="auto"/>
          <w:kern w:val="2"/>
          <w:sz w:val="30"/>
          <w:szCs w:val="32"/>
          <w:highlight w:val="none"/>
          <w:lang w:val="en-US" w:eastAsia="zh-CN" w:bidi="ar-SA"/>
        </w:rPr>
        <w:t>计量</w:t>
      </w:r>
      <w:bookmarkEnd w:id="512"/>
    </w:p>
    <w:bookmarkEnd w:id="513"/>
    <w:p w14:paraId="6B85253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12.3.1 </w:t>
      </w:r>
      <w:r>
        <w:rPr>
          <w:rFonts w:hint="eastAsia" w:ascii="Times New Roman" w:hAnsi="Times New Roman" w:eastAsia="仿宋_GB2312" w:cs="仿宋_GB2312"/>
          <w:color w:val="auto"/>
          <w:kern w:val="0"/>
          <w:sz w:val="30"/>
          <w:szCs w:val="32"/>
          <w:highlight w:val="none"/>
          <w:lang w:eastAsia="zh-CN" w:bidi="ar"/>
        </w:rPr>
        <w:t>计量原则</w:t>
      </w:r>
    </w:p>
    <w:p w14:paraId="7E7D28E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工程量计量按照合同约定的工程量计算规则、图纸及变更指示等进行计量。工程量计算规则应以相关的国家标准、行业标准等为依据，由合同当事人在专用合同条款中约定。</w:t>
      </w:r>
    </w:p>
    <w:p w14:paraId="59B5CBE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12.3.2 </w:t>
      </w:r>
      <w:r>
        <w:rPr>
          <w:rFonts w:hint="eastAsia" w:ascii="Times New Roman" w:hAnsi="Times New Roman" w:eastAsia="仿宋_GB2312" w:cs="仿宋_GB2312"/>
          <w:color w:val="auto"/>
          <w:kern w:val="0"/>
          <w:sz w:val="30"/>
          <w:szCs w:val="32"/>
          <w:highlight w:val="none"/>
          <w:lang w:eastAsia="zh-CN" w:bidi="ar"/>
        </w:rPr>
        <w:t>计量周期</w:t>
      </w:r>
    </w:p>
    <w:p w14:paraId="17717D1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除专用合同条款另有约定外，工程量的计量按月进行。</w:t>
      </w:r>
    </w:p>
    <w:p w14:paraId="79E0842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12.3.3 </w:t>
      </w:r>
      <w:r>
        <w:rPr>
          <w:rFonts w:hint="eastAsia" w:ascii="Times New Roman" w:hAnsi="Times New Roman" w:eastAsia="仿宋_GB2312" w:cs="仿宋_GB2312"/>
          <w:color w:val="auto"/>
          <w:kern w:val="0"/>
          <w:sz w:val="30"/>
          <w:szCs w:val="32"/>
          <w:highlight w:val="none"/>
          <w:lang w:eastAsia="zh-CN" w:bidi="ar"/>
        </w:rPr>
        <w:t>单价合同的计量</w:t>
      </w:r>
    </w:p>
    <w:p w14:paraId="071F02F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除专用合同条款另有约定外，单价合同的计量按照本项约定执行：</w:t>
      </w:r>
    </w:p>
    <w:p w14:paraId="1F2BB0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）承包人应于每月</w:t>
      </w:r>
      <w:r>
        <w:rPr>
          <w:rFonts w:ascii="Times New Roman" w:hAnsi="Times New Roman" w:eastAsia="仿宋_GB2312" w:cs="Times New Roman"/>
          <w:color w:val="auto"/>
          <w:kern w:val="0"/>
          <w:sz w:val="30"/>
          <w:szCs w:val="32"/>
          <w:highlight w:val="none"/>
          <w:lang w:eastAsia="zh-CN" w:bidi="ar"/>
        </w:rPr>
        <w:t>25</w:t>
      </w:r>
      <w:r>
        <w:rPr>
          <w:rFonts w:hint="eastAsia" w:ascii="Times New Roman" w:hAnsi="Times New Roman" w:eastAsia="仿宋_GB2312" w:cs="仿宋_GB2312"/>
          <w:color w:val="auto"/>
          <w:kern w:val="0"/>
          <w:sz w:val="30"/>
          <w:szCs w:val="32"/>
          <w:highlight w:val="none"/>
          <w:lang w:eastAsia="zh-CN" w:bidi="ar"/>
        </w:rPr>
        <w:t>日向监理人报送上月</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日至当月</w:t>
      </w:r>
      <w:r>
        <w:rPr>
          <w:rFonts w:ascii="Times New Roman" w:hAnsi="Times New Roman" w:eastAsia="仿宋_GB2312" w:cs="Times New Roman"/>
          <w:color w:val="auto"/>
          <w:kern w:val="0"/>
          <w:sz w:val="30"/>
          <w:szCs w:val="32"/>
          <w:highlight w:val="none"/>
          <w:lang w:eastAsia="zh-CN" w:bidi="ar"/>
        </w:rPr>
        <w:t>19</w:t>
      </w:r>
      <w:r>
        <w:rPr>
          <w:rFonts w:hint="eastAsia" w:ascii="Times New Roman" w:hAnsi="Times New Roman" w:eastAsia="仿宋_GB2312" w:cs="仿宋_GB2312"/>
          <w:color w:val="auto"/>
          <w:kern w:val="0"/>
          <w:sz w:val="30"/>
          <w:szCs w:val="32"/>
          <w:highlight w:val="none"/>
          <w:lang w:eastAsia="zh-CN" w:bidi="ar"/>
        </w:rPr>
        <w:t>日已完成的工程量报告，并附具进度付款申请单、已完成工程量报表和有关资料。</w:t>
      </w:r>
    </w:p>
    <w:p w14:paraId="219FC15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）监理人应在收到承包人提交的工程量报告后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11CC4D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）监理人未在收到承包人提交的工程量报表后的</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天内完成审核的，承包人报送的工程量报告中的工程量视为承包人实际完成的工程量，据此计算工程价款。</w:t>
      </w:r>
    </w:p>
    <w:p w14:paraId="5165F1E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12.3.4 </w:t>
      </w:r>
      <w:r>
        <w:rPr>
          <w:rFonts w:hint="eastAsia" w:ascii="Times New Roman" w:hAnsi="Times New Roman" w:eastAsia="仿宋_GB2312" w:cs="仿宋_GB2312"/>
          <w:color w:val="auto"/>
          <w:kern w:val="0"/>
          <w:sz w:val="30"/>
          <w:szCs w:val="32"/>
          <w:highlight w:val="none"/>
          <w:lang w:eastAsia="zh-CN" w:bidi="ar"/>
        </w:rPr>
        <w:t>总价合同的计量</w:t>
      </w:r>
    </w:p>
    <w:p w14:paraId="65DF3B9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除专用合同条款另有约定外，按月计量支付的总价合同，按照本项约定执行：</w:t>
      </w:r>
    </w:p>
    <w:p w14:paraId="280CD8F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）承包人应于每月</w:t>
      </w:r>
      <w:r>
        <w:rPr>
          <w:rFonts w:ascii="Times New Roman" w:hAnsi="Times New Roman" w:eastAsia="仿宋_GB2312" w:cs="Times New Roman"/>
          <w:color w:val="auto"/>
          <w:kern w:val="0"/>
          <w:sz w:val="30"/>
          <w:szCs w:val="32"/>
          <w:highlight w:val="none"/>
          <w:lang w:eastAsia="zh-CN" w:bidi="ar"/>
        </w:rPr>
        <w:t>25</w:t>
      </w:r>
      <w:r>
        <w:rPr>
          <w:rFonts w:hint="eastAsia" w:ascii="Times New Roman" w:hAnsi="Times New Roman" w:eastAsia="仿宋_GB2312" w:cs="仿宋_GB2312"/>
          <w:color w:val="auto"/>
          <w:kern w:val="0"/>
          <w:sz w:val="30"/>
          <w:szCs w:val="32"/>
          <w:highlight w:val="none"/>
          <w:lang w:eastAsia="zh-CN" w:bidi="ar"/>
        </w:rPr>
        <w:t>日向监理人报送上月</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日至当月</w:t>
      </w:r>
      <w:r>
        <w:rPr>
          <w:rFonts w:ascii="Times New Roman" w:hAnsi="Times New Roman" w:eastAsia="仿宋_GB2312" w:cs="Times New Roman"/>
          <w:color w:val="auto"/>
          <w:kern w:val="0"/>
          <w:sz w:val="30"/>
          <w:szCs w:val="32"/>
          <w:highlight w:val="none"/>
          <w:lang w:eastAsia="zh-CN" w:bidi="ar"/>
        </w:rPr>
        <w:t>19</w:t>
      </w:r>
      <w:r>
        <w:rPr>
          <w:rFonts w:hint="eastAsia" w:ascii="Times New Roman" w:hAnsi="Times New Roman" w:eastAsia="仿宋_GB2312" w:cs="仿宋_GB2312"/>
          <w:color w:val="auto"/>
          <w:kern w:val="0"/>
          <w:sz w:val="30"/>
          <w:szCs w:val="32"/>
          <w:highlight w:val="none"/>
          <w:lang w:eastAsia="zh-CN" w:bidi="ar"/>
        </w:rPr>
        <w:t>日已完成的工程量报告，并附具进度付款申请单、已完成工程量报表和有关资料。</w:t>
      </w:r>
    </w:p>
    <w:p w14:paraId="04EA608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）监理人应在收到承包人提交的工程量报告后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5F2363A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）监理人未在收到承包人提交的工程量报表后的</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天内完成复核的，承包人提交的工程量报告中的工程量视为承包人实际完成的工程量。</w:t>
      </w:r>
    </w:p>
    <w:p w14:paraId="6D01852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12.3.5 </w:t>
      </w:r>
      <w:r>
        <w:rPr>
          <w:rFonts w:hint="eastAsia" w:ascii="Times New Roman" w:hAnsi="Times New Roman" w:eastAsia="仿宋_GB2312" w:cs="仿宋_GB2312"/>
          <w:color w:val="auto"/>
          <w:kern w:val="0"/>
          <w:sz w:val="30"/>
          <w:szCs w:val="32"/>
          <w:highlight w:val="none"/>
          <w:lang w:eastAsia="zh-CN" w:bidi="ar"/>
        </w:rPr>
        <w:t>总价合同采用支付分解表计量支付的，可以按照第</w:t>
      </w:r>
      <w:r>
        <w:rPr>
          <w:rFonts w:ascii="Times New Roman" w:hAnsi="Times New Roman" w:eastAsia="仿宋_GB2312" w:cs="Times New Roman"/>
          <w:color w:val="auto"/>
          <w:kern w:val="0"/>
          <w:sz w:val="30"/>
          <w:szCs w:val="32"/>
          <w:highlight w:val="none"/>
          <w:lang w:eastAsia="zh-CN" w:bidi="ar"/>
        </w:rPr>
        <w:t>12.3.4</w:t>
      </w:r>
      <w:r>
        <w:rPr>
          <w:rFonts w:hint="eastAsia" w:ascii="Times New Roman" w:hAnsi="Times New Roman" w:eastAsia="仿宋_GB2312" w:cs="仿宋_GB2312"/>
          <w:color w:val="auto"/>
          <w:kern w:val="0"/>
          <w:sz w:val="30"/>
          <w:szCs w:val="32"/>
          <w:highlight w:val="none"/>
          <w:lang w:eastAsia="zh-CN" w:bidi="ar"/>
        </w:rPr>
        <w:t>项〔总价合同的计量〕约定进行计量，但合同价款按照支付分解表进行支付。</w:t>
      </w:r>
    </w:p>
    <w:p w14:paraId="54E8670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12.3.6 </w:t>
      </w:r>
      <w:r>
        <w:rPr>
          <w:rFonts w:hint="eastAsia" w:ascii="Times New Roman" w:hAnsi="Times New Roman" w:eastAsia="仿宋_GB2312" w:cs="仿宋_GB2312"/>
          <w:color w:val="auto"/>
          <w:kern w:val="0"/>
          <w:sz w:val="30"/>
          <w:szCs w:val="32"/>
          <w:highlight w:val="none"/>
          <w:lang w:eastAsia="zh-CN" w:bidi="ar"/>
        </w:rPr>
        <w:t>其他价格形式合同的计量</w:t>
      </w:r>
    </w:p>
    <w:p w14:paraId="7ED25D4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合同当事人可在专用合同条款中约定其他价格形式合同的计量方式和程序。</w:t>
      </w:r>
    </w:p>
    <w:p w14:paraId="0A11006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14" w:name="_Toc296346602"/>
      <w:bookmarkStart w:id="515" w:name="_Toc296503101"/>
      <w:bookmarkStart w:id="516" w:name="_Toc351203584"/>
      <w:bookmarkStart w:id="517" w:name="_Toc337558803"/>
      <w:r>
        <w:rPr>
          <w:rFonts w:ascii="Times New Roman" w:hAnsi="Times New Roman" w:eastAsia="黑体" w:cs="Times New Roman"/>
          <w:b w:val="0"/>
          <w:bCs/>
          <w:color w:val="auto"/>
          <w:kern w:val="2"/>
          <w:sz w:val="30"/>
          <w:szCs w:val="32"/>
          <w:highlight w:val="none"/>
          <w:lang w:val="en-US" w:eastAsia="zh-CN" w:bidi="ar-SA"/>
        </w:rPr>
        <w:t>12.4</w:t>
      </w:r>
      <w:r>
        <w:rPr>
          <w:rFonts w:hint="eastAsia" w:ascii="Times New Roman" w:hAnsi="Times New Roman" w:eastAsia="黑体" w:cs="黑体"/>
          <w:b w:val="0"/>
          <w:bCs/>
          <w:color w:val="auto"/>
          <w:kern w:val="2"/>
          <w:sz w:val="30"/>
          <w:szCs w:val="32"/>
          <w:highlight w:val="none"/>
          <w:lang w:val="en-US" w:eastAsia="zh-CN" w:bidi="ar-SA"/>
        </w:rPr>
        <w:t>工程进度款支</w:t>
      </w:r>
      <w:bookmarkEnd w:id="514"/>
      <w:bookmarkEnd w:id="515"/>
      <w:r>
        <w:rPr>
          <w:rFonts w:hint="eastAsia" w:ascii="Times New Roman" w:hAnsi="Times New Roman" w:eastAsia="黑体" w:cs="黑体"/>
          <w:b w:val="0"/>
          <w:bCs/>
          <w:color w:val="auto"/>
          <w:kern w:val="2"/>
          <w:sz w:val="30"/>
          <w:szCs w:val="32"/>
          <w:highlight w:val="none"/>
          <w:lang w:val="en-US" w:eastAsia="zh-CN" w:bidi="ar-SA"/>
        </w:rPr>
        <w:t>付</w:t>
      </w:r>
      <w:bookmarkEnd w:id="516"/>
    </w:p>
    <w:bookmarkEnd w:id="517"/>
    <w:p w14:paraId="75DC80AE">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12.4</w:t>
      </w:r>
      <w:r>
        <w:rPr>
          <w:rFonts w:ascii="Times New Roman" w:hAnsi="Times New Roman" w:eastAsia="仿宋_GB2312" w:cs="Times New Roman"/>
          <w:color w:val="auto"/>
          <w:kern w:val="0"/>
          <w:sz w:val="30"/>
          <w:szCs w:val="32"/>
          <w:highlight w:val="none"/>
          <w:lang w:eastAsia="zh-CN" w:bidi="ar"/>
        </w:rPr>
        <w:t xml:space="preserve">.1 </w:t>
      </w:r>
      <w:r>
        <w:rPr>
          <w:rFonts w:hint="eastAsia" w:ascii="Times New Roman" w:hAnsi="Times New Roman" w:eastAsia="仿宋_GB2312" w:cs="仿宋_GB2312"/>
          <w:color w:val="auto"/>
          <w:kern w:val="0"/>
          <w:sz w:val="30"/>
          <w:szCs w:val="32"/>
          <w:highlight w:val="none"/>
          <w:lang w:eastAsia="zh-CN" w:bidi="ar"/>
        </w:rPr>
        <w:t>付款周期</w:t>
      </w:r>
    </w:p>
    <w:p w14:paraId="4C5A8E5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除专用合同条款另有约定外，付款周期应按照第</w:t>
      </w:r>
      <w:r>
        <w:rPr>
          <w:rFonts w:ascii="Times New Roman" w:hAnsi="Times New Roman" w:eastAsia="仿宋_GB2312" w:cs="Times New Roman"/>
          <w:color w:val="auto"/>
          <w:kern w:val="0"/>
          <w:sz w:val="30"/>
          <w:szCs w:val="32"/>
          <w:highlight w:val="none"/>
          <w:lang w:eastAsia="zh-CN" w:bidi="ar"/>
        </w:rPr>
        <w:t>12.3.2</w:t>
      </w:r>
      <w:r>
        <w:rPr>
          <w:rFonts w:hint="eastAsia" w:ascii="Times New Roman" w:hAnsi="Times New Roman" w:eastAsia="仿宋_GB2312" w:cs="仿宋_GB2312"/>
          <w:color w:val="auto"/>
          <w:kern w:val="0"/>
          <w:sz w:val="30"/>
          <w:szCs w:val="32"/>
          <w:highlight w:val="none"/>
          <w:lang w:eastAsia="zh-CN" w:bidi="ar"/>
        </w:rPr>
        <w:t>项〔计量周期〕的约定与计量周期保持一致。</w:t>
      </w:r>
    </w:p>
    <w:p w14:paraId="7278774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12.4</w:t>
      </w:r>
      <w:r>
        <w:rPr>
          <w:rFonts w:ascii="Times New Roman" w:hAnsi="Times New Roman" w:eastAsia="仿宋_GB2312" w:cs="Times New Roman"/>
          <w:color w:val="auto"/>
          <w:kern w:val="0"/>
          <w:sz w:val="30"/>
          <w:szCs w:val="32"/>
          <w:highlight w:val="none"/>
          <w:lang w:eastAsia="zh-CN" w:bidi="ar"/>
        </w:rPr>
        <w:t xml:space="preserve">.2 </w:t>
      </w:r>
      <w:r>
        <w:rPr>
          <w:rFonts w:hint="eastAsia" w:ascii="Times New Roman" w:hAnsi="Times New Roman" w:eastAsia="仿宋_GB2312" w:cs="仿宋_GB2312"/>
          <w:color w:val="auto"/>
          <w:kern w:val="0"/>
          <w:sz w:val="30"/>
          <w:szCs w:val="32"/>
          <w:highlight w:val="none"/>
          <w:lang w:eastAsia="zh-CN" w:bidi="ar"/>
        </w:rPr>
        <w:t>进度付款申请单的编制</w:t>
      </w:r>
    </w:p>
    <w:p w14:paraId="2B046CF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除专用合同条款另有约定外，进度付款申请单应包括下列内容：</w:t>
      </w:r>
    </w:p>
    <w:p w14:paraId="54E5E5B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）截至本次付款周期已完成工作对应的金额；</w:t>
      </w:r>
    </w:p>
    <w:p w14:paraId="3969120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）根据第</w:t>
      </w:r>
      <w:r>
        <w:rPr>
          <w:rFonts w:ascii="Times New Roman" w:hAnsi="Times New Roman" w:eastAsia="仿宋_GB2312" w:cs="Times New Roman"/>
          <w:color w:val="auto"/>
          <w:kern w:val="0"/>
          <w:sz w:val="30"/>
          <w:szCs w:val="32"/>
          <w:highlight w:val="none"/>
          <w:lang w:eastAsia="zh-CN" w:bidi="ar"/>
        </w:rPr>
        <w:t>10</w:t>
      </w:r>
      <w:r>
        <w:rPr>
          <w:rFonts w:hint="eastAsia" w:ascii="Times New Roman" w:hAnsi="Times New Roman" w:eastAsia="仿宋_GB2312" w:cs="仿宋_GB2312"/>
          <w:color w:val="auto"/>
          <w:kern w:val="0"/>
          <w:sz w:val="30"/>
          <w:szCs w:val="32"/>
          <w:highlight w:val="none"/>
          <w:lang w:eastAsia="zh-CN" w:bidi="ar"/>
        </w:rPr>
        <w:t>条〔变更〕应增加和扣减的变更金额；</w:t>
      </w:r>
    </w:p>
    <w:p w14:paraId="02F7218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）根据第</w:t>
      </w:r>
      <w:r>
        <w:rPr>
          <w:rFonts w:ascii="Times New Roman" w:hAnsi="Times New Roman" w:eastAsia="仿宋_GB2312" w:cs="Times New Roman"/>
          <w:color w:val="auto"/>
          <w:kern w:val="0"/>
          <w:sz w:val="30"/>
          <w:szCs w:val="32"/>
          <w:highlight w:val="none"/>
          <w:lang w:eastAsia="zh-CN" w:bidi="ar"/>
        </w:rPr>
        <w:t>12.2</w:t>
      </w:r>
      <w:r>
        <w:rPr>
          <w:rFonts w:hint="eastAsia" w:ascii="Times New Roman" w:hAnsi="Times New Roman" w:eastAsia="仿宋_GB2312" w:cs="仿宋_GB2312"/>
          <w:color w:val="auto"/>
          <w:kern w:val="0"/>
          <w:sz w:val="30"/>
          <w:szCs w:val="32"/>
          <w:highlight w:val="none"/>
          <w:lang w:eastAsia="zh-CN" w:bidi="ar"/>
        </w:rPr>
        <w:t>款〔预付款〕约定应支付的预付款和扣减的返还预付款；</w:t>
      </w:r>
    </w:p>
    <w:p w14:paraId="71935EA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）根据第</w:t>
      </w:r>
      <w:r>
        <w:rPr>
          <w:rFonts w:ascii="Times New Roman" w:hAnsi="Times New Roman" w:eastAsia="仿宋_GB2312" w:cs="Times New Roman"/>
          <w:color w:val="auto"/>
          <w:kern w:val="0"/>
          <w:sz w:val="30"/>
          <w:szCs w:val="32"/>
          <w:highlight w:val="none"/>
          <w:lang w:eastAsia="zh-CN" w:bidi="ar"/>
        </w:rPr>
        <w:t>15.3</w:t>
      </w:r>
      <w:r>
        <w:rPr>
          <w:rFonts w:hint="eastAsia" w:ascii="Times New Roman" w:hAnsi="Times New Roman" w:eastAsia="仿宋_GB2312" w:cs="仿宋_GB2312"/>
          <w:color w:val="auto"/>
          <w:kern w:val="0"/>
          <w:sz w:val="30"/>
          <w:szCs w:val="32"/>
          <w:highlight w:val="none"/>
          <w:lang w:eastAsia="zh-CN" w:bidi="ar"/>
        </w:rPr>
        <w:t>款〔质量保证金〕约定应扣减的质量保证金；</w:t>
      </w:r>
    </w:p>
    <w:p w14:paraId="420D435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）根据第</w:t>
      </w:r>
      <w:r>
        <w:rPr>
          <w:rFonts w:ascii="Times New Roman" w:hAnsi="Times New Roman" w:eastAsia="仿宋_GB2312" w:cs="Times New Roman"/>
          <w:color w:val="auto"/>
          <w:kern w:val="0"/>
          <w:sz w:val="30"/>
          <w:szCs w:val="32"/>
          <w:highlight w:val="none"/>
          <w:lang w:eastAsia="zh-CN" w:bidi="ar"/>
        </w:rPr>
        <w:t>19</w:t>
      </w:r>
      <w:r>
        <w:rPr>
          <w:rFonts w:hint="eastAsia" w:ascii="Times New Roman" w:hAnsi="Times New Roman" w:eastAsia="仿宋_GB2312" w:cs="仿宋_GB2312"/>
          <w:color w:val="auto"/>
          <w:kern w:val="0"/>
          <w:sz w:val="30"/>
          <w:szCs w:val="32"/>
          <w:highlight w:val="none"/>
          <w:lang w:eastAsia="zh-CN" w:bidi="ar"/>
        </w:rPr>
        <w:t>条〔索赔〕应增加和扣减的索赔金额；</w:t>
      </w:r>
    </w:p>
    <w:p w14:paraId="7A339DB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）对已签发的进度款支付证书中出现错误的修正，应在本次进度付款中支付或扣除的金额；</w:t>
      </w:r>
    </w:p>
    <w:p w14:paraId="3E124E3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）根据合同约定应增加和扣减的其他金额。</w:t>
      </w:r>
    </w:p>
    <w:p w14:paraId="15E7919C">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12.4.3 </w:t>
      </w:r>
      <w:r>
        <w:rPr>
          <w:rFonts w:hint="eastAsia" w:ascii="Times New Roman" w:hAnsi="Times New Roman" w:eastAsia="仿宋_GB2312" w:cs="仿宋_GB2312"/>
          <w:color w:val="auto"/>
          <w:kern w:val="0"/>
          <w:sz w:val="30"/>
          <w:szCs w:val="32"/>
          <w:highlight w:val="none"/>
          <w:lang w:eastAsia="zh-CN" w:bidi="ar"/>
        </w:rPr>
        <w:t>进度付款申请单的提交</w:t>
      </w:r>
    </w:p>
    <w:p w14:paraId="3DCF14A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）单价合同进度付款申请单的提交</w:t>
      </w:r>
    </w:p>
    <w:p w14:paraId="7497037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单价合同的进度付款申请单，按照第</w:t>
      </w:r>
      <w:r>
        <w:rPr>
          <w:rFonts w:ascii="Times New Roman" w:hAnsi="Times New Roman" w:eastAsia="仿宋_GB2312" w:cs="Times New Roman"/>
          <w:color w:val="auto"/>
          <w:kern w:val="0"/>
          <w:sz w:val="30"/>
          <w:szCs w:val="32"/>
          <w:highlight w:val="none"/>
          <w:lang w:eastAsia="zh-CN" w:bidi="ar"/>
        </w:rPr>
        <w:t>12.3.3</w:t>
      </w:r>
      <w:r>
        <w:rPr>
          <w:rFonts w:hint="eastAsia" w:ascii="Times New Roman" w:hAnsi="Times New Roman" w:eastAsia="仿宋_GB2312" w:cs="仿宋_GB2312"/>
          <w:color w:val="auto"/>
          <w:kern w:val="0"/>
          <w:sz w:val="30"/>
          <w:szCs w:val="32"/>
          <w:highlight w:val="none"/>
          <w:lang w:eastAsia="zh-CN" w:bidi="ar"/>
        </w:rPr>
        <w:t>项〔单价合同的计量〕约定的时间按月向监理人提交，并附上已完成工程量报表和有关资料。单价合同中的总价项目按月进行支付分解，并汇总列入当期进度付款申请单。</w:t>
      </w:r>
    </w:p>
    <w:p w14:paraId="10EA204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）总价合同进度付款申请单的提交</w:t>
      </w:r>
    </w:p>
    <w:p w14:paraId="1BDC12B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总价合同按月计量支付的，承包人按照第</w:t>
      </w:r>
      <w:r>
        <w:rPr>
          <w:rFonts w:ascii="Times New Roman" w:hAnsi="Times New Roman" w:eastAsia="仿宋_GB2312" w:cs="Times New Roman"/>
          <w:color w:val="auto"/>
          <w:kern w:val="0"/>
          <w:sz w:val="30"/>
          <w:szCs w:val="32"/>
          <w:highlight w:val="none"/>
          <w:lang w:eastAsia="zh-CN" w:bidi="ar"/>
        </w:rPr>
        <w:t>12.3.4</w:t>
      </w:r>
      <w:r>
        <w:rPr>
          <w:rFonts w:hint="eastAsia" w:ascii="Times New Roman" w:hAnsi="Times New Roman" w:eastAsia="仿宋_GB2312" w:cs="仿宋_GB2312"/>
          <w:color w:val="auto"/>
          <w:kern w:val="0"/>
          <w:sz w:val="30"/>
          <w:szCs w:val="32"/>
          <w:highlight w:val="none"/>
          <w:lang w:eastAsia="zh-CN" w:bidi="ar"/>
        </w:rPr>
        <w:t>项〔总价合同的计量〕约定的时间按月向监理人提交进度付款申请单，并附上已完成工程量报表和有关资料。</w:t>
      </w:r>
    </w:p>
    <w:p w14:paraId="76C00F8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总价合同按支付分解表支付的，承包人应按照第</w:t>
      </w:r>
      <w:r>
        <w:rPr>
          <w:rFonts w:ascii="Times New Roman" w:hAnsi="Times New Roman" w:eastAsia="仿宋_GB2312" w:cs="Times New Roman"/>
          <w:color w:val="auto"/>
          <w:kern w:val="0"/>
          <w:sz w:val="30"/>
          <w:szCs w:val="32"/>
          <w:highlight w:val="none"/>
          <w:lang w:eastAsia="zh-CN" w:bidi="ar"/>
        </w:rPr>
        <w:t>12.4.6</w:t>
      </w:r>
      <w:r>
        <w:rPr>
          <w:rFonts w:hint="eastAsia" w:ascii="Times New Roman" w:hAnsi="Times New Roman" w:eastAsia="仿宋_GB2312" w:cs="仿宋_GB2312"/>
          <w:color w:val="auto"/>
          <w:kern w:val="0"/>
          <w:sz w:val="30"/>
          <w:szCs w:val="32"/>
          <w:highlight w:val="none"/>
          <w:lang w:eastAsia="zh-CN" w:bidi="ar"/>
        </w:rPr>
        <w:t>项〔支付分解表〕及第</w:t>
      </w:r>
      <w:r>
        <w:rPr>
          <w:rFonts w:ascii="Times New Roman" w:hAnsi="Times New Roman" w:eastAsia="仿宋_GB2312" w:cs="Times New Roman"/>
          <w:color w:val="auto"/>
          <w:kern w:val="0"/>
          <w:sz w:val="30"/>
          <w:szCs w:val="32"/>
          <w:highlight w:val="none"/>
          <w:lang w:eastAsia="zh-CN" w:bidi="ar"/>
        </w:rPr>
        <w:t>12.4.2</w:t>
      </w:r>
      <w:r>
        <w:rPr>
          <w:rFonts w:hint="eastAsia" w:ascii="Times New Roman" w:hAnsi="Times New Roman" w:eastAsia="仿宋_GB2312" w:cs="仿宋_GB2312"/>
          <w:color w:val="auto"/>
          <w:kern w:val="0"/>
          <w:sz w:val="30"/>
          <w:szCs w:val="32"/>
          <w:highlight w:val="none"/>
          <w:lang w:eastAsia="zh-CN" w:bidi="ar"/>
        </w:rPr>
        <w:t>项〔进度付款申请单的编制〕的约定向监理人提交进度付款申请单。</w:t>
      </w:r>
    </w:p>
    <w:p w14:paraId="28377D6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）其他价格形式合同的进度付款申请单的提交</w:t>
      </w:r>
    </w:p>
    <w:p w14:paraId="3E9E2C3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合同当事人可在专用合同条款中约定其他价格形式合同的进度付款申请单的编制和提交程序。</w:t>
      </w:r>
    </w:p>
    <w:p w14:paraId="5587C2C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12.4</w:t>
      </w:r>
      <w:r>
        <w:rPr>
          <w:rFonts w:ascii="Times New Roman" w:hAnsi="Times New Roman" w:eastAsia="仿宋_GB2312" w:cs="Times New Roman"/>
          <w:color w:val="auto"/>
          <w:kern w:val="0"/>
          <w:sz w:val="30"/>
          <w:szCs w:val="32"/>
          <w:highlight w:val="none"/>
          <w:lang w:eastAsia="zh-CN" w:bidi="ar"/>
        </w:rPr>
        <w:t xml:space="preserve">.4 </w:t>
      </w:r>
      <w:r>
        <w:rPr>
          <w:rFonts w:hint="eastAsia" w:ascii="Times New Roman" w:hAnsi="Times New Roman" w:eastAsia="仿宋_GB2312" w:cs="仿宋_GB2312"/>
          <w:color w:val="auto"/>
          <w:kern w:val="0"/>
          <w:sz w:val="30"/>
          <w:szCs w:val="32"/>
          <w:highlight w:val="none"/>
          <w:lang w:eastAsia="zh-CN" w:bidi="ar"/>
        </w:rPr>
        <w:t>进度款审核和支付</w:t>
      </w:r>
    </w:p>
    <w:p w14:paraId="43F5457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）除专用合同条款另有约定外，监理人应在收到承包人进度付款申请单以及相关资料后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天内完成审查并报送发包人，发包人应在收到后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天内完成审批并签发进度款支付证书。发包人逾期未完成审批且未提出异议的，视为已签发进度款支付证书。</w:t>
      </w:r>
    </w:p>
    <w:p w14:paraId="198C842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天内完成审查并报送发包人，发包人应在收到监理人报送的进度付款申请单及相关资料后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天内，向承包人签发无异议部分的临时进度款支付证书。存在争议的部分，按照第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条〔争议解决〕的约定处理。</w:t>
      </w:r>
    </w:p>
    <w:p w14:paraId="5360DF4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）除专用合同条款另有约定外，发包人应在进度款支付证书或临时进度款支付证书签发后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天内完成支付，发包人逾期支付进度款的，应按照中国人民银行发布的同期同类贷款基准利率支付违约金。</w:t>
      </w:r>
    </w:p>
    <w:p w14:paraId="098D9C3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）发包人签发进度款支付证书或临时进度款支付证书，不表明发包人已同意、批准或接受了承包人完成的相应部分的工作。</w:t>
      </w:r>
    </w:p>
    <w:p w14:paraId="00C8176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12.4.5 </w:t>
      </w:r>
      <w:r>
        <w:rPr>
          <w:rFonts w:hint="eastAsia" w:ascii="Times New Roman" w:hAnsi="Times New Roman" w:eastAsia="仿宋_GB2312" w:cs="仿宋_GB2312"/>
          <w:color w:val="auto"/>
          <w:kern w:val="0"/>
          <w:sz w:val="30"/>
          <w:szCs w:val="32"/>
          <w:highlight w:val="none"/>
          <w:lang w:eastAsia="zh-CN" w:bidi="ar"/>
        </w:rPr>
        <w:t>进度付款的修正</w:t>
      </w:r>
    </w:p>
    <w:p w14:paraId="2C65557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在对已签发的进度款支付证书进行阶段汇总和复核中发现错误、遗漏或重复的，发包人和承包人均有权提出修正申请。经发包人和承包人同意的修正，应在下期进度付款中支付或扣除。</w:t>
      </w:r>
    </w:p>
    <w:p w14:paraId="1FDA865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12.4.6 </w:t>
      </w:r>
      <w:r>
        <w:rPr>
          <w:rFonts w:hint="eastAsia" w:ascii="Times New Roman" w:hAnsi="Times New Roman" w:eastAsia="仿宋_GB2312" w:cs="仿宋_GB2312"/>
          <w:color w:val="auto"/>
          <w:kern w:val="0"/>
          <w:sz w:val="30"/>
          <w:szCs w:val="32"/>
          <w:highlight w:val="none"/>
          <w:lang w:eastAsia="zh-CN" w:bidi="ar"/>
        </w:rPr>
        <w:t>支付分解表</w:t>
      </w:r>
    </w:p>
    <w:p w14:paraId="5ED9D9A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支付分解表的编制要求</w:t>
      </w:r>
    </w:p>
    <w:p w14:paraId="11B953D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）支付分解表中所列的每期付款金额，应为第</w:t>
      </w:r>
      <w:r>
        <w:rPr>
          <w:rFonts w:ascii="Times New Roman" w:hAnsi="Times New Roman" w:eastAsia="仿宋_GB2312" w:cs="Times New Roman"/>
          <w:color w:val="auto"/>
          <w:kern w:val="0"/>
          <w:sz w:val="30"/>
          <w:szCs w:val="32"/>
          <w:highlight w:val="none"/>
          <w:lang w:eastAsia="zh-CN" w:bidi="ar"/>
        </w:rPr>
        <w:t>12.4.2</w:t>
      </w:r>
      <w:r>
        <w:rPr>
          <w:rFonts w:hint="eastAsia" w:ascii="Times New Roman" w:hAnsi="Times New Roman" w:eastAsia="仿宋_GB2312" w:cs="仿宋_GB2312"/>
          <w:color w:val="auto"/>
          <w:kern w:val="0"/>
          <w:sz w:val="30"/>
          <w:szCs w:val="32"/>
          <w:highlight w:val="none"/>
          <w:lang w:eastAsia="zh-CN" w:bidi="ar"/>
        </w:rPr>
        <w:t>项〔进度付款申请单的编制〕第（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）目的估算金额；</w:t>
      </w:r>
    </w:p>
    <w:p w14:paraId="4CDF437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）实际进度与施工进度计划不一致的，合同当事人可按照第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款〔商定或确定〕修改支付分解表；</w:t>
      </w:r>
    </w:p>
    <w:p w14:paraId="3DAC479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）不采用支付分解表的，承包人应向发包人和监理人提交按季度编制的支付估算分解表，用于支付参考。</w:t>
      </w:r>
    </w:p>
    <w:p w14:paraId="6FE31ED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总价合同支付分解表的编制与审批</w:t>
      </w:r>
    </w:p>
    <w:p w14:paraId="447B8D5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）除专用合同条款另有约定外，承包人应根据第</w:t>
      </w:r>
      <w:r>
        <w:rPr>
          <w:rFonts w:ascii="Times New Roman" w:hAnsi="Times New Roman" w:eastAsia="仿宋_GB2312" w:cs="Times New Roman"/>
          <w:color w:val="auto"/>
          <w:kern w:val="0"/>
          <w:sz w:val="30"/>
          <w:szCs w:val="32"/>
          <w:highlight w:val="none"/>
          <w:lang w:eastAsia="zh-CN" w:bidi="ar"/>
        </w:rPr>
        <w:t>7.2</w:t>
      </w:r>
      <w:r>
        <w:rPr>
          <w:rFonts w:hint="eastAsia" w:ascii="Times New Roman" w:hAnsi="Times New Roman" w:eastAsia="仿宋_GB2312" w:cs="仿宋_GB2312"/>
          <w:color w:val="auto"/>
          <w:kern w:val="0"/>
          <w:sz w:val="30"/>
          <w:szCs w:val="32"/>
          <w:highlight w:val="none"/>
          <w:lang w:eastAsia="zh-CN" w:bidi="ar"/>
        </w:rPr>
        <w:t>款〔施工进度计划〕约定的施工进度计划、签约合同价和工程量等因素对总价合同按月进行分解，编制支付分解表。承包人应当在收到监理人和发包人批准的施工进度计划后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天内，将支付分解表及编制支付分解表的支持性资料报送监理人。</w:t>
      </w:r>
    </w:p>
    <w:p w14:paraId="3108411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）监理人应在收到支付分解表后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天内完成审核并报送发包人。发包人应在收到经监理人审核的支付分解表后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天内完成审批，经发包人批准的支付分解表为有约束力的支付分解表。</w:t>
      </w:r>
    </w:p>
    <w:p w14:paraId="77ED98BF">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）发包人逾期未完成支付分解表审批的，也未及时要求承包人进行修正和提供补充资料的，则承包人提交的支付分解表视为已经获得发包人批准。</w:t>
      </w:r>
    </w:p>
    <w:p w14:paraId="65F6A0B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单价合同的总价项目支付分解表的编制与审批</w:t>
      </w:r>
    </w:p>
    <w:p w14:paraId="58FF32D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DAC728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18" w:name="_Toc351203585"/>
      <w:r>
        <w:rPr>
          <w:rFonts w:ascii="Times New Roman" w:hAnsi="Times New Roman" w:eastAsia="黑体" w:cs="Times New Roman"/>
          <w:b w:val="0"/>
          <w:bCs/>
          <w:color w:val="auto"/>
          <w:kern w:val="2"/>
          <w:sz w:val="30"/>
          <w:szCs w:val="32"/>
          <w:highlight w:val="none"/>
          <w:lang w:val="en-US" w:eastAsia="zh-CN" w:bidi="ar-SA"/>
        </w:rPr>
        <w:t>12.5</w:t>
      </w:r>
      <w:r>
        <w:rPr>
          <w:rFonts w:hint="eastAsia" w:ascii="Times New Roman" w:hAnsi="Times New Roman" w:eastAsia="黑体" w:cs="黑体"/>
          <w:b w:val="0"/>
          <w:bCs/>
          <w:color w:val="auto"/>
          <w:kern w:val="2"/>
          <w:sz w:val="30"/>
          <w:szCs w:val="32"/>
          <w:highlight w:val="none"/>
          <w:lang w:val="en-US" w:eastAsia="zh-CN" w:bidi="ar-SA"/>
        </w:rPr>
        <w:t>支付账户</w:t>
      </w:r>
      <w:bookmarkEnd w:id="518"/>
    </w:p>
    <w:p w14:paraId="651D716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发包人应将合同价款支付至合同协议书中约定的承包人账户。</w:t>
      </w:r>
    </w:p>
    <w:p w14:paraId="44F8BB08">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519" w:name="_Toc163768568"/>
      <w:bookmarkStart w:id="520" w:name="_Toc163768450"/>
      <w:bookmarkStart w:id="521" w:name="_Toc351203586"/>
      <w:bookmarkStart w:id="522" w:name="_Toc322522574"/>
      <w:bookmarkStart w:id="523" w:name="_Toc296503106"/>
      <w:bookmarkStart w:id="524" w:name="_Toc296346607"/>
      <w:bookmarkStart w:id="525" w:name="_Toc337558804"/>
      <w:r>
        <w:rPr>
          <w:rFonts w:ascii="Times New Roman" w:hAnsi="Times New Roman" w:eastAsia="黑体" w:cs="Times New Roman"/>
          <w:b/>
          <w:bCs/>
          <w:color w:val="auto"/>
          <w:sz w:val="32"/>
          <w:szCs w:val="32"/>
          <w:highlight w:val="none"/>
          <w:lang w:val="en-US" w:eastAsia="zh-CN" w:bidi="en-US"/>
        </w:rPr>
        <w:t xml:space="preserve">13. </w:t>
      </w:r>
      <w:r>
        <w:rPr>
          <w:rFonts w:hint="eastAsia" w:ascii="Times New Roman" w:hAnsi="Times New Roman" w:eastAsia="黑体" w:cs="Times New Roman"/>
          <w:b/>
          <w:bCs/>
          <w:color w:val="auto"/>
          <w:sz w:val="32"/>
          <w:szCs w:val="32"/>
          <w:highlight w:val="none"/>
          <w:lang w:val="en-US" w:eastAsia="zh-CN" w:bidi="en-US"/>
        </w:rPr>
        <w:t>验收和工程试车</w:t>
      </w:r>
      <w:bookmarkEnd w:id="519"/>
      <w:bookmarkEnd w:id="520"/>
      <w:bookmarkEnd w:id="521"/>
    </w:p>
    <w:bookmarkEnd w:id="522"/>
    <w:bookmarkEnd w:id="523"/>
    <w:bookmarkEnd w:id="524"/>
    <w:bookmarkEnd w:id="525"/>
    <w:p w14:paraId="00EEA554">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26" w:name="_Toc351203587"/>
      <w:bookmarkStart w:id="527" w:name="_Toc337558805"/>
      <w:bookmarkStart w:id="528" w:name="_Toc296346611"/>
      <w:bookmarkStart w:id="529" w:name="_Toc296503110"/>
      <w:r>
        <w:rPr>
          <w:rFonts w:ascii="Times New Roman" w:hAnsi="Times New Roman" w:eastAsia="黑体" w:cs="Times New Roman"/>
          <w:b w:val="0"/>
          <w:bCs/>
          <w:color w:val="auto"/>
          <w:kern w:val="2"/>
          <w:sz w:val="30"/>
          <w:szCs w:val="32"/>
          <w:highlight w:val="none"/>
          <w:lang w:val="en-US" w:eastAsia="zh-CN" w:bidi="ar-SA"/>
        </w:rPr>
        <w:t>13.1</w:t>
      </w:r>
      <w:r>
        <w:rPr>
          <w:rFonts w:hint="eastAsia" w:ascii="Times New Roman" w:hAnsi="Times New Roman" w:eastAsia="黑体" w:cs="黑体"/>
          <w:b w:val="0"/>
          <w:bCs/>
          <w:color w:val="auto"/>
          <w:kern w:val="2"/>
          <w:sz w:val="30"/>
          <w:szCs w:val="32"/>
          <w:highlight w:val="none"/>
          <w:lang w:val="en-US" w:eastAsia="zh-CN" w:bidi="ar-SA"/>
        </w:rPr>
        <w:t>分部分项工程验收</w:t>
      </w:r>
      <w:bookmarkEnd w:id="526"/>
    </w:p>
    <w:bookmarkEnd w:id="527"/>
    <w:p w14:paraId="6D76722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13.1.1 </w:t>
      </w:r>
      <w:r>
        <w:rPr>
          <w:rFonts w:hint="eastAsia" w:ascii="Times New Roman" w:hAnsi="Times New Roman" w:eastAsia="仿宋_GB2312" w:cs="仿宋_GB2312"/>
          <w:color w:val="auto"/>
          <w:kern w:val="2"/>
          <w:sz w:val="30"/>
          <w:szCs w:val="32"/>
          <w:highlight w:val="none"/>
          <w:lang w:eastAsia="zh-CN" w:bidi="ar"/>
        </w:rPr>
        <w:t>分部分项工程质量应符合国家有关工程施工验收规范、标准及合同约定，承包人应按照施工组织设计的要求完成分部分项工程施工。</w:t>
      </w:r>
    </w:p>
    <w:p w14:paraId="2559C01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13.1.2 </w:t>
      </w:r>
      <w:r>
        <w:rPr>
          <w:rFonts w:hint="eastAsia" w:ascii="Times New Roman" w:hAnsi="Times New Roman" w:eastAsia="仿宋_GB2312" w:cs="仿宋_GB2312"/>
          <w:color w:val="auto"/>
          <w:kern w:val="2"/>
          <w:sz w:val="30"/>
          <w:szCs w:val="32"/>
          <w:highlight w:val="none"/>
          <w:lang w:eastAsia="zh-CN" w:bidi="ar"/>
        </w:rPr>
        <w:t>除专用合同条款另有约定外，分部分项工程经承包人自检合格并具备验收条件的，承包人应提前</w:t>
      </w:r>
      <w:r>
        <w:rPr>
          <w:rFonts w:ascii="Times New Roman" w:hAnsi="Times New Roman" w:eastAsia="仿宋_GB2312" w:cs="Times New Roman"/>
          <w:color w:val="auto"/>
          <w:kern w:val="2"/>
          <w:sz w:val="30"/>
          <w:szCs w:val="32"/>
          <w:highlight w:val="none"/>
          <w:lang w:eastAsia="zh-CN" w:bidi="ar"/>
        </w:rPr>
        <w:t>48</w:t>
      </w:r>
      <w:r>
        <w:rPr>
          <w:rFonts w:hint="eastAsia" w:ascii="Times New Roman" w:hAnsi="Times New Roman" w:eastAsia="仿宋_GB2312" w:cs="仿宋_GB2312"/>
          <w:color w:val="auto"/>
          <w:kern w:val="2"/>
          <w:sz w:val="30"/>
          <w:szCs w:val="32"/>
          <w:highlight w:val="none"/>
          <w:lang w:eastAsia="zh-CN" w:bidi="ar"/>
        </w:rPr>
        <w:t>小时通知监理人进行验收。</w:t>
      </w:r>
      <w:r>
        <w:rPr>
          <w:rFonts w:hint="eastAsia" w:ascii="Times New Roman" w:hAnsi="Times New Roman" w:eastAsia="仿宋_GB2312" w:cs="仿宋_GB2312"/>
          <w:color w:val="auto"/>
          <w:kern w:val="0"/>
          <w:sz w:val="30"/>
          <w:szCs w:val="32"/>
          <w:highlight w:val="none"/>
          <w:lang w:eastAsia="zh-CN" w:bidi="ar"/>
        </w:rPr>
        <w:t>监理人不能按时进行验收的，应在验收前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小时向承包人提交书面延期要求，但延期不能超过</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小时。监理人未按时进行验收，也未提出延期要求的，承包人有权自行验收，监理人应认可验收结果。</w:t>
      </w:r>
      <w:r>
        <w:rPr>
          <w:rFonts w:hint="eastAsia" w:ascii="Times New Roman" w:hAnsi="Times New Roman" w:eastAsia="仿宋_GB2312" w:cs="仿宋_GB2312"/>
          <w:color w:val="auto"/>
          <w:kern w:val="2"/>
          <w:sz w:val="30"/>
          <w:szCs w:val="32"/>
          <w:highlight w:val="none"/>
          <w:lang w:eastAsia="zh-CN" w:bidi="ar"/>
        </w:rPr>
        <w:t>分部分项工程未经验收的，不得进入下一道工序施工。</w:t>
      </w:r>
    </w:p>
    <w:p w14:paraId="28B1B3A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分部分项工程的验收资料应当作为竣工资料的组成部分。</w:t>
      </w:r>
    </w:p>
    <w:p w14:paraId="65732B4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30" w:name="_Toc351203588"/>
      <w:bookmarkStart w:id="531" w:name="_Toc337558806"/>
      <w:r>
        <w:rPr>
          <w:rFonts w:ascii="Times New Roman" w:hAnsi="Times New Roman" w:eastAsia="黑体" w:cs="Times New Roman"/>
          <w:b w:val="0"/>
          <w:bCs/>
          <w:color w:val="auto"/>
          <w:kern w:val="2"/>
          <w:sz w:val="30"/>
          <w:szCs w:val="32"/>
          <w:highlight w:val="none"/>
          <w:lang w:val="en-US" w:eastAsia="zh-CN" w:bidi="ar-SA"/>
        </w:rPr>
        <w:t>13.2</w:t>
      </w:r>
      <w:r>
        <w:rPr>
          <w:rFonts w:hint="eastAsia" w:ascii="Times New Roman" w:hAnsi="Times New Roman" w:eastAsia="黑体" w:cs="黑体"/>
          <w:b w:val="0"/>
          <w:bCs/>
          <w:color w:val="auto"/>
          <w:kern w:val="2"/>
          <w:sz w:val="30"/>
          <w:szCs w:val="32"/>
          <w:highlight w:val="none"/>
          <w:lang w:val="en-US" w:eastAsia="zh-CN" w:bidi="ar-SA"/>
        </w:rPr>
        <w:t>竣工验收</w:t>
      </w:r>
      <w:bookmarkEnd w:id="530"/>
    </w:p>
    <w:bookmarkEnd w:id="528"/>
    <w:bookmarkEnd w:id="529"/>
    <w:bookmarkEnd w:id="531"/>
    <w:p w14:paraId="052DECF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13.2.1</w:t>
      </w:r>
      <w:r>
        <w:rPr>
          <w:rFonts w:hint="eastAsia" w:ascii="Times New Roman" w:hAnsi="Times New Roman" w:eastAsia="仿宋_GB2312" w:cs="仿宋_GB2312"/>
          <w:color w:val="auto"/>
          <w:kern w:val="0"/>
          <w:sz w:val="30"/>
          <w:szCs w:val="32"/>
          <w:highlight w:val="none"/>
          <w:lang w:eastAsia="zh-CN" w:bidi="ar"/>
        </w:rPr>
        <w:t>竣工验收条件</w:t>
      </w:r>
    </w:p>
    <w:p w14:paraId="1202D6F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工程具备以下条件的，承包人可以申请竣工验收：</w:t>
      </w:r>
    </w:p>
    <w:p w14:paraId="25B192E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）除发包人同意的甩项工作和缺陷修补工作外，合同范围内的全部工程以及有关工作，包括合同要求的试验、试运行以及检验均已完成，并符合合同要求；</w:t>
      </w:r>
    </w:p>
    <w:p w14:paraId="684EAC5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）已按合同约定编制了甩项工作和缺陷修补工作清单以及相应的施工计划；</w:t>
      </w:r>
    </w:p>
    <w:p w14:paraId="28E3F97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）已按合同约定的内容和份数备齐竣工资料。</w:t>
      </w:r>
    </w:p>
    <w:p w14:paraId="3501E3C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13.2.2</w:t>
      </w:r>
      <w:r>
        <w:rPr>
          <w:rFonts w:hint="eastAsia" w:ascii="Times New Roman" w:hAnsi="Times New Roman" w:eastAsia="仿宋_GB2312" w:cs="仿宋_GB2312"/>
          <w:color w:val="auto"/>
          <w:kern w:val="0"/>
          <w:sz w:val="30"/>
          <w:szCs w:val="32"/>
          <w:highlight w:val="none"/>
          <w:lang w:eastAsia="zh-CN" w:bidi="ar"/>
        </w:rPr>
        <w:t>竣工验收程序</w:t>
      </w:r>
    </w:p>
    <w:p w14:paraId="02F4BB8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除专用合同条款另有约定外，承包人申请竣工验收的，应当按照以下程序进行：</w:t>
      </w:r>
    </w:p>
    <w:p w14:paraId="6997BCD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）承包人向监理人报送竣工验收申请报告，监理人应在收到竣工验收申请报告后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54F22D6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）监理人审查后认为已具备竣工验收条件的，应将竣工验收申请报告提交发包人，发包人应在收到经监理人审核的竣工验收申请报告后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天内审批完毕并组织监理人、承包人、设计人等相关单位完成竣工验收。</w:t>
      </w:r>
    </w:p>
    <w:p w14:paraId="3FA0D9F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）竣工验收合格的，发包人应在验收合格后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天内向承包人签发工程接收证书。发包人无正当理由逾期不颁发工程接收证书的，自验收合格后第</w:t>
      </w:r>
      <w:r>
        <w:rPr>
          <w:rFonts w:ascii="Times New Roman" w:hAnsi="Times New Roman" w:eastAsia="仿宋_GB2312" w:cs="Times New Roman"/>
          <w:color w:val="auto"/>
          <w:kern w:val="0"/>
          <w:sz w:val="30"/>
          <w:szCs w:val="32"/>
          <w:highlight w:val="none"/>
          <w:lang w:eastAsia="zh-CN" w:bidi="ar"/>
        </w:rPr>
        <w:t>15</w:t>
      </w:r>
      <w:r>
        <w:rPr>
          <w:rFonts w:hint="eastAsia" w:ascii="Times New Roman" w:hAnsi="Times New Roman" w:eastAsia="仿宋_GB2312" w:cs="仿宋_GB2312"/>
          <w:color w:val="auto"/>
          <w:kern w:val="0"/>
          <w:sz w:val="30"/>
          <w:szCs w:val="32"/>
          <w:highlight w:val="none"/>
          <w:lang w:eastAsia="zh-CN" w:bidi="ar"/>
        </w:rPr>
        <w:t>天起视为已颁发工程接收证书。</w:t>
      </w:r>
    </w:p>
    <w:p w14:paraId="57A23F2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E977EE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）工程未经验收或验收不合格，发包人擅自使用的，应在转移占有工程后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天内向承包人颁发工程接收证书；发包人无正当理由逾期不颁发工程接收证书的，自转移占有后第</w:t>
      </w:r>
      <w:r>
        <w:rPr>
          <w:rFonts w:ascii="Times New Roman" w:hAnsi="Times New Roman" w:eastAsia="仿宋_GB2312" w:cs="Times New Roman"/>
          <w:color w:val="auto"/>
          <w:kern w:val="0"/>
          <w:sz w:val="30"/>
          <w:szCs w:val="32"/>
          <w:highlight w:val="none"/>
          <w:lang w:eastAsia="zh-CN" w:bidi="ar"/>
        </w:rPr>
        <w:t>15</w:t>
      </w:r>
      <w:r>
        <w:rPr>
          <w:rFonts w:hint="eastAsia" w:ascii="Times New Roman" w:hAnsi="Times New Roman" w:eastAsia="仿宋_GB2312" w:cs="仿宋_GB2312"/>
          <w:color w:val="auto"/>
          <w:kern w:val="0"/>
          <w:sz w:val="30"/>
          <w:szCs w:val="32"/>
          <w:highlight w:val="none"/>
          <w:lang w:eastAsia="zh-CN" w:bidi="ar"/>
        </w:rPr>
        <w:t>天起视为已颁发工程接收证书。</w:t>
      </w:r>
    </w:p>
    <w:p w14:paraId="069C73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除专用合同条款另有约定外，发包人不按照本项约定组织竣工验收、颁发工程接收证书的，每逾期一天，应以签约合同价为基数，按照中国人民银行发布的同期同类贷款基准利率支付违约金。</w:t>
      </w:r>
    </w:p>
    <w:p w14:paraId="0D4641D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13.2.3</w:t>
      </w:r>
      <w:r>
        <w:rPr>
          <w:rFonts w:hint="eastAsia" w:ascii="Times New Roman" w:hAnsi="Times New Roman" w:eastAsia="仿宋_GB2312" w:cs="仿宋_GB2312"/>
          <w:color w:val="auto"/>
          <w:kern w:val="0"/>
          <w:sz w:val="30"/>
          <w:szCs w:val="32"/>
          <w:highlight w:val="none"/>
          <w:lang w:eastAsia="zh-CN" w:bidi="ar"/>
        </w:rPr>
        <w:t>竣工日期</w:t>
      </w:r>
    </w:p>
    <w:p w14:paraId="6D7AC7F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工程经竣工验收合格的，以承包人提交竣工验收申请报告之日为实际竣工日期，并在工程接收证书中载明；因发包人原因，未在监理人收到承包人提交的竣工验收申请报告</w:t>
      </w:r>
      <w:r>
        <w:rPr>
          <w:rFonts w:ascii="Times New Roman" w:hAnsi="Times New Roman" w:eastAsia="仿宋_GB2312" w:cs="Times New Roman"/>
          <w:color w:val="auto"/>
          <w:kern w:val="0"/>
          <w:sz w:val="30"/>
          <w:szCs w:val="32"/>
          <w:highlight w:val="none"/>
          <w:lang w:eastAsia="zh-CN" w:bidi="ar"/>
        </w:rPr>
        <w:t>42</w:t>
      </w:r>
      <w:r>
        <w:rPr>
          <w:rFonts w:hint="eastAsia" w:ascii="Times New Roman" w:hAnsi="Times New Roman" w:eastAsia="仿宋_GB2312" w:cs="仿宋_GB2312"/>
          <w:color w:val="auto"/>
          <w:kern w:val="0"/>
          <w:sz w:val="30"/>
          <w:szCs w:val="32"/>
          <w:highlight w:val="none"/>
          <w:lang w:eastAsia="zh-CN" w:bidi="ar"/>
        </w:rPr>
        <w:t>天内完成竣工验收，或完成竣工验收不予签发工程接收证书的，以提交竣工验</w:t>
      </w:r>
      <w:bookmarkStart w:id="532" w:name="#go14"/>
      <w:bookmarkEnd w:id="532"/>
      <w:r>
        <w:rPr>
          <w:rFonts w:hint="eastAsia" w:ascii="Times New Roman" w:hAnsi="Times New Roman" w:eastAsia="仿宋_GB2312" w:cs="仿宋_GB2312"/>
          <w:color w:val="auto"/>
          <w:kern w:val="0"/>
          <w:sz w:val="30"/>
          <w:szCs w:val="32"/>
          <w:highlight w:val="none"/>
          <w:lang w:eastAsia="zh-CN" w:bidi="ar"/>
        </w:rPr>
        <w:t>收申请报告的日期为实际竣工日期；工程未经竣工验收，发包人擅自使用的，以转移占有工程之日为实际竣工日期。</w:t>
      </w:r>
    </w:p>
    <w:p w14:paraId="798BB5DD">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13.2.4 </w:t>
      </w:r>
      <w:r>
        <w:rPr>
          <w:rFonts w:hint="eastAsia" w:ascii="Times New Roman" w:hAnsi="Times New Roman" w:eastAsia="仿宋_GB2312" w:cs="仿宋_GB2312"/>
          <w:color w:val="auto"/>
          <w:kern w:val="0"/>
          <w:sz w:val="30"/>
          <w:szCs w:val="32"/>
          <w:highlight w:val="none"/>
          <w:lang w:eastAsia="zh-CN" w:bidi="ar"/>
        </w:rPr>
        <w:t>拒绝接收全部或部分工程</w:t>
      </w:r>
    </w:p>
    <w:p w14:paraId="6DFB967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07037D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0"/>
          <w:sz w:val="30"/>
          <w:szCs w:val="32"/>
          <w:highlight w:val="none"/>
          <w:lang w:eastAsia="zh-CN" w:bidi="ar"/>
        </w:rPr>
        <w:t xml:space="preserve">13.2.5 </w:t>
      </w:r>
      <w:r>
        <w:rPr>
          <w:rFonts w:hint="eastAsia" w:ascii="Times New Roman" w:hAnsi="Times New Roman" w:eastAsia="仿宋_GB2312" w:cs="仿宋_GB2312"/>
          <w:color w:val="auto"/>
          <w:kern w:val="0"/>
          <w:sz w:val="30"/>
          <w:szCs w:val="32"/>
          <w:highlight w:val="none"/>
          <w:lang w:eastAsia="zh-CN" w:bidi="ar"/>
        </w:rPr>
        <w:t>移交、接收全部与部分工程</w:t>
      </w:r>
    </w:p>
    <w:p w14:paraId="1B3EC36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除专用合同条款另有约定外，合同当事人应当在颁发工程接收证书后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天内完成工程的移交。</w:t>
      </w:r>
    </w:p>
    <w:p w14:paraId="0FCEF80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发包人无正当理由不接收工程的，发包人自应当接收工程之日起，承担工程照管、成品保护、保管等与工程有关的各项费用，合同当事人可以在专用合同条款中另行约定发包人逾期接收工程的违约责任。</w:t>
      </w:r>
    </w:p>
    <w:p w14:paraId="7ACBAAB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承包人无正当理由不移交工程的，承包人应承担工程照管、成品保护、保管等与工程有关的各项费用，合同当事人可以在专用合同条款中另行约定承包人无正当理由不移交工程的违约责任。</w:t>
      </w:r>
    </w:p>
    <w:p w14:paraId="239508B3">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33" w:name="_Toc351203589"/>
      <w:bookmarkStart w:id="534" w:name="_Toc296503111"/>
      <w:bookmarkStart w:id="535" w:name="_Toc296346612"/>
      <w:bookmarkStart w:id="536" w:name="_Toc337558807"/>
      <w:r>
        <w:rPr>
          <w:rFonts w:ascii="Times New Roman" w:hAnsi="Times New Roman" w:eastAsia="黑体" w:cs="Times New Roman"/>
          <w:b w:val="0"/>
          <w:bCs/>
          <w:color w:val="auto"/>
          <w:kern w:val="2"/>
          <w:sz w:val="30"/>
          <w:szCs w:val="32"/>
          <w:highlight w:val="none"/>
          <w:lang w:val="en-US" w:eastAsia="zh-CN" w:bidi="ar-SA"/>
        </w:rPr>
        <w:t>13.3</w:t>
      </w:r>
      <w:r>
        <w:rPr>
          <w:rFonts w:hint="eastAsia" w:ascii="Times New Roman" w:hAnsi="Times New Roman" w:eastAsia="黑体" w:cs="黑体"/>
          <w:b w:val="0"/>
          <w:bCs/>
          <w:color w:val="auto"/>
          <w:kern w:val="2"/>
          <w:sz w:val="30"/>
          <w:szCs w:val="32"/>
          <w:highlight w:val="none"/>
          <w:lang w:val="en-US" w:eastAsia="zh-CN" w:bidi="ar-SA"/>
        </w:rPr>
        <w:t>工程试车</w:t>
      </w:r>
      <w:bookmarkEnd w:id="533"/>
    </w:p>
    <w:bookmarkEnd w:id="534"/>
    <w:bookmarkEnd w:id="535"/>
    <w:bookmarkEnd w:id="536"/>
    <w:p w14:paraId="79744F9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13.3.1</w:t>
      </w:r>
      <w:r>
        <w:rPr>
          <w:rFonts w:hint="eastAsia" w:ascii="Times New Roman" w:hAnsi="Times New Roman" w:eastAsia="仿宋_GB2312" w:cs="仿宋_GB2312"/>
          <w:color w:val="auto"/>
          <w:kern w:val="0"/>
          <w:sz w:val="30"/>
          <w:szCs w:val="32"/>
          <w:highlight w:val="none"/>
          <w:lang w:eastAsia="zh-CN" w:bidi="ar"/>
        </w:rPr>
        <w:t>试车程序</w:t>
      </w:r>
    </w:p>
    <w:p w14:paraId="3215255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工程需要试车的，除专用合同条款另有约定外，试车内容应与承包人承包范围相一致，试车费用由承包人承担。工程试车应按如下程序进行：</w:t>
      </w:r>
    </w:p>
    <w:p w14:paraId="0E0748B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）具备单机无负荷试车条件，承包人组织试车，并在试车前</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小时后视为监理人已经认可试车记录，承包人可继续施工或办理竣工验收手续。</w:t>
      </w:r>
    </w:p>
    <w:p w14:paraId="37A1E88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监理人不能按时参加试车，应在试车前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小时以书面形式向承包人提出延期要求，但延期不能超过</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小时，由此导致工期延误的，工期应予以顺延。监理人未能在前述期限内提出延期要求，又不参加试车的，视为认可试车记录。</w:t>
      </w:r>
    </w:p>
    <w:p w14:paraId="47983BE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）具备无负荷联动试车条件，发包人组织试车，并在试车前</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2355F12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13.3.2 </w:t>
      </w:r>
      <w:r>
        <w:rPr>
          <w:rFonts w:hint="eastAsia" w:ascii="Times New Roman" w:hAnsi="Times New Roman" w:eastAsia="仿宋_GB2312" w:cs="仿宋_GB2312"/>
          <w:color w:val="auto"/>
          <w:kern w:val="0"/>
          <w:sz w:val="30"/>
          <w:szCs w:val="32"/>
          <w:highlight w:val="none"/>
          <w:lang w:eastAsia="zh-CN" w:bidi="ar"/>
        </w:rPr>
        <w:t>试车中的责任</w:t>
      </w:r>
    </w:p>
    <w:p w14:paraId="618AFEE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939256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1E34E5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13.3.3 </w:t>
      </w:r>
      <w:r>
        <w:rPr>
          <w:rFonts w:hint="eastAsia" w:ascii="Times New Roman" w:hAnsi="Times New Roman" w:eastAsia="仿宋_GB2312" w:cs="仿宋_GB2312"/>
          <w:color w:val="auto"/>
          <w:kern w:val="0"/>
          <w:sz w:val="30"/>
          <w:szCs w:val="32"/>
          <w:highlight w:val="none"/>
          <w:lang w:eastAsia="zh-CN" w:bidi="ar"/>
        </w:rPr>
        <w:t>投料试车</w:t>
      </w:r>
    </w:p>
    <w:p w14:paraId="6361EC8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如需进行投料试车的，发包人应在工程竣工验收后组织投料试车。发包人要求在工程竣工验收前进行或需要承包人配合时，应征得承包人同意，并在专用合同条款中约定有关事项。</w:t>
      </w:r>
    </w:p>
    <w:p w14:paraId="042D94D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40299FF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37" w:name="_Toc351203590"/>
      <w:bookmarkStart w:id="538" w:name="_Toc337558808"/>
      <w:r>
        <w:rPr>
          <w:rFonts w:ascii="Times New Roman" w:hAnsi="Times New Roman" w:eastAsia="黑体" w:cs="Times New Roman"/>
          <w:b w:val="0"/>
          <w:bCs/>
          <w:color w:val="auto"/>
          <w:kern w:val="2"/>
          <w:sz w:val="30"/>
          <w:szCs w:val="32"/>
          <w:highlight w:val="none"/>
          <w:lang w:val="en-US" w:eastAsia="zh-CN" w:bidi="ar-SA"/>
        </w:rPr>
        <w:t>13.4</w:t>
      </w:r>
      <w:r>
        <w:rPr>
          <w:rFonts w:hint="eastAsia" w:ascii="Times New Roman" w:hAnsi="Times New Roman" w:eastAsia="黑体" w:cs="Times New Roman"/>
          <w:b w:val="0"/>
          <w:bCs/>
          <w:color w:val="auto"/>
          <w:kern w:val="2"/>
          <w:sz w:val="30"/>
          <w:szCs w:val="32"/>
          <w:highlight w:val="none"/>
          <w:lang w:val="en-US" w:eastAsia="zh-CN" w:bidi="ar-SA"/>
        </w:rPr>
        <w:t>提前交付单位工程的验收</w:t>
      </w:r>
      <w:bookmarkEnd w:id="537"/>
    </w:p>
    <w:bookmarkEnd w:id="538"/>
    <w:p w14:paraId="3E4EAAE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13.4.1 </w:t>
      </w:r>
      <w:r>
        <w:rPr>
          <w:rFonts w:hint="eastAsia" w:ascii="Times New Roman" w:hAnsi="Times New Roman" w:eastAsia="仿宋_GB2312" w:cs="仿宋_GB2312"/>
          <w:color w:val="auto"/>
          <w:kern w:val="0"/>
          <w:sz w:val="30"/>
          <w:szCs w:val="32"/>
          <w:highlight w:val="none"/>
          <w:lang w:eastAsia="zh-CN" w:bidi="ar"/>
        </w:rPr>
        <w:t>发包人需要在工程竣工前使用单位工程的，或承包人提出提前交付已经竣工的单位工程且经发包人同意的，可进行单位工程验收，验收的程序按照第</w:t>
      </w:r>
      <w:r>
        <w:rPr>
          <w:rFonts w:ascii="Times New Roman" w:hAnsi="Times New Roman" w:eastAsia="仿宋_GB2312" w:cs="Times New Roman"/>
          <w:color w:val="auto"/>
          <w:kern w:val="0"/>
          <w:sz w:val="30"/>
          <w:szCs w:val="32"/>
          <w:highlight w:val="none"/>
          <w:lang w:eastAsia="zh-CN" w:bidi="ar"/>
        </w:rPr>
        <w:t>13.2</w:t>
      </w:r>
      <w:r>
        <w:rPr>
          <w:rFonts w:hint="eastAsia" w:ascii="Times New Roman" w:hAnsi="Times New Roman" w:eastAsia="仿宋_GB2312" w:cs="仿宋_GB2312"/>
          <w:color w:val="auto"/>
          <w:kern w:val="0"/>
          <w:sz w:val="30"/>
          <w:szCs w:val="32"/>
          <w:highlight w:val="none"/>
          <w:lang w:eastAsia="zh-CN" w:bidi="ar"/>
        </w:rPr>
        <w:t>款〔竣工验收〕的约定进行。</w:t>
      </w:r>
    </w:p>
    <w:p w14:paraId="0C1358E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验收合格后，由监理人向承包人出具经发包人签认的单位工程接收证书。已签发单位工程接收证书的单位工程由发包人负责照管。单位工程的验收成果和结论作为整体工程竣工验收申请报告的附件。</w:t>
      </w:r>
    </w:p>
    <w:p w14:paraId="6DE7AFA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13.4.2 </w:t>
      </w:r>
      <w:r>
        <w:rPr>
          <w:rFonts w:hint="eastAsia" w:ascii="Times New Roman" w:hAnsi="Times New Roman" w:eastAsia="仿宋_GB2312" w:cs="仿宋_GB2312"/>
          <w:color w:val="auto"/>
          <w:kern w:val="0"/>
          <w:sz w:val="30"/>
          <w:szCs w:val="32"/>
          <w:highlight w:val="none"/>
          <w:lang w:eastAsia="zh-CN" w:bidi="ar"/>
        </w:rPr>
        <w:t>发包人要求在工程竣工前交付单位工程，由此导致承包人费用增加和（或）工期延误的，由发包人承担由此增加的费用和（或）延误的工期，并支付承包人合理的利润。</w:t>
      </w:r>
    </w:p>
    <w:p w14:paraId="36B4E61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39" w:name="_Toc351203591"/>
      <w:r>
        <w:rPr>
          <w:rFonts w:ascii="Times New Roman" w:hAnsi="Times New Roman" w:eastAsia="黑体" w:cs="Times New Roman"/>
          <w:b w:val="0"/>
          <w:bCs/>
          <w:color w:val="auto"/>
          <w:kern w:val="2"/>
          <w:sz w:val="30"/>
          <w:szCs w:val="32"/>
          <w:highlight w:val="none"/>
          <w:lang w:val="en-US" w:eastAsia="zh-CN" w:bidi="ar-SA"/>
        </w:rPr>
        <w:t xml:space="preserve">13.5 </w:t>
      </w:r>
      <w:r>
        <w:rPr>
          <w:rFonts w:hint="eastAsia" w:ascii="Times New Roman" w:hAnsi="Times New Roman" w:eastAsia="黑体" w:cs="黑体"/>
          <w:b w:val="0"/>
          <w:bCs/>
          <w:color w:val="auto"/>
          <w:kern w:val="2"/>
          <w:sz w:val="30"/>
          <w:szCs w:val="32"/>
          <w:highlight w:val="none"/>
          <w:lang w:val="en-US" w:eastAsia="zh-CN" w:bidi="ar-SA"/>
        </w:rPr>
        <w:t>施工期运行</w:t>
      </w:r>
      <w:bookmarkEnd w:id="539"/>
    </w:p>
    <w:p w14:paraId="25A3A54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13.5.1 </w:t>
      </w:r>
      <w:r>
        <w:rPr>
          <w:rFonts w:hint="eastAsia" w:ascii="Times New Roman" w:hAnsi="Times New Roman" w:eastAsia="仿宋_GB2312" w:cs="仿宋_GB2312"/>
          <w:color w:val="auto"/>
          <w:kern w:val="0"/>
          <w:sz w:val="30"/>
          <w:szCs w:val="32"/>
          <w:highlight w:val="none"/>
          <w:lang w:eastAsia="zh-CN" w:bidi="ar"/>
        </w:rPr>
        <w:t>施工期运行是指合同工程尚未全部竣工，其中某项或某几项单位工程或工程设备安装已竣工，根据专用合同条款约定，需要投入施工期运行的，经发包人按第</w:t>
      </w:r>
      <w:r>
        <w:rPr>
          <w:rFonts w:ascii="Times New Roman" w:hAnsi="Times New Roman" w:eastAsia="仿宋_GB2312" w:cs="Times New Roman"/>
          <w:color w:val="auto"/>
          <w:kern w:val="0"/>
          <w:sz w:val="30"/>
          <w:szCs w:val="32"/>
          <w:highlight w:val="none"/>
          <w:lang w:eastAsia="zh-CN" w:bidi="ar"/>
        </w:rPr>
        <w:t>13.4</w:t>
      </w:r>
      <w:r>
        <w:rPr>
          <w:rFonts w:hint="eastAsia" w:ascii="Times New Roman" w:hAnsi="Times New Roman" w:eastAsia="仿宋_GB2312" w:cs="仿宋_GB2312"/>
          <w:color w:val="auto"/>
          <w:kern w:val="0"/>
          <w:sz w:val="30"/>
          <w:szCs w:val="32"/>
          <w:highlight w:val="none"/>
          <w:lang w:eastAsia="zh-CN" w:bidi="ar"/>
        </w:rPr>
        <w:t>款〔提前交付单位工程的验收〕的约定验收合格，证明能确保安全后，才能在施工期投入运行。</w:t>
      </w:r>
    </w:p>
    <w:p w14:paraId="0C750DC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13.5.2 </w:t>
      </w:r>
      <w:r>
        <w:rPr>
          <w:rFonts w:hint="eastAsia" w:ascii="Times New Roman" w:hAnsi="Times New Roman" w:eastAsia="仿宋_GB2312" w:cs="仿宋_GB2312"/>
          <w:color w:val="auto"/>
          <w:kern w:val="0"/>
          <w:sz w:val="30"/>
          <w:szCs w:val="32"/>
          <w:highlight w:val="none"/>
          <w:lang w:eastAsia="zh-CN" w:bidi="ar"/>
        </w:rPr>
        <w:t>在施工期运行中发现工程或工程设备损坏或存在缺陷的，由承包人按第</w:t>
      </w:r>
      <w:r>
        <w:rPr>
          <w:rFonts w:ascii="Times New Roman" w:hAnsi="Times New Roman" w:eastAsia="仿宋_GB2312" w:cs="Times New Roman"/>
          <w:color w:val="auto"/>
          <w:kern w:val="0"/>
          <w:sz w:val="30"/>
          <w:szCs w:val="32"/>
          <w:highlight w:val="none"/>
          <w:lang w:eastAsia="zh-CN" w:bidi="ar"/>
        </w:rPr>
        <w:t>15.2</w:t>
      </w:r>
      <w:r>
        <w:rPr>
          <w:rFonts w:hint="eastAsia" w:ascii="Times New Roman" w:hAnsi="Times New Roman" w:eastAsia="仿宋_GB2312" w:cs="仿宋_GB2312"/>
          <w:color w:val="auto"/>
          <w:kern w:val="0"/>
          <w:sz w:val="30"/>
          <w:szCs w:val="32"/>
          <w:highlight w:val="none"/>
          <w:lang w:eastAsia="zh-CN" w:bidi="ar"/>
        </w:rPr>
        <w:t>款〔缺陷责任期〕约定进行修复。</w:t>
      </w:r>
    </w:p>
    <w:p w14:paraId="0FEAFCE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40" w:name="_Toc296346613"/>
      <w:bookmarkStart w:id="541" w:name="_Toc296503112"/>
      <w:bookmarkStart w:id="542" w:name="_Toc351203592"/>
      <w:bookmarkStart w:id="543" w:name="_Toc337558809"/>
      <w:r>
        <w:rPr>
          <w:rFonts w:ascii="Times New Roman" w:hAnsi="Times New Roman" w:eastAsia="黑体" w:cs="Times New Roman"/>
          <w:b w:val="0"/>
          <w:bCs/>
          <w:color w:val="auto"/>
          <w:kern w:val="2"/>
          <w:sz w:val="30"/>
          <w:szCs w:val="32"/>
          <w:highlight w:val="none"/>
          <w:lang w:val="en-US" w:eastAsia="zh-CN" w:bidi="ar-SA"/>
        </w:rPr>
        <w:t xml:space="preserve">13.6 </w:t>
      </w:r>
      <w:r>
        <w:rPr>
          <w:rFonts w:hint="eastAsia" w:ascii="Times New Roman" w:hAnsi="Times New Roman" w:eastAsia="黑体" w:cs="黑体"/>
          <w:b w:val="0"/>
          <w:bCs/>
          <w:color w:val="auto"/>
          <w:kern w:val="2"/>
          <w:sz w:val="30"/>
          <w:szCs w:val="32"/>
          <w:highlight w:val="none"/>
          <w:lang w:val="en-US" w:eastAsia="zh-CN" w:bidi="ar-SA"/>
        </w:rPr>
        <w:t>竣工退</w:t>
      </w:r>
      <w:bookmarkEnd w:id="540"/>
      <w:bookmarkEnd w:id="541"/>
      <w:r>
        <w:rPr>
          <w:rFonts w:hint="eastAsia" w:ascii="Times New Roman" w:hAnsi="Times New Roman" w:eastAsia="黑体" w:cs="黑体"/>
          <w:b w:val="0"/>
          <w:bCs/>
          <w:color w:val="auto"/>
          <w:kern w:val="2"/>
          <w:sz w:val="30"/>
          <w:szCs w:val="32"/>
          <w:highlight w:val="none"/>
          <w:lang w:val="en-US" w:eastAsia="zh-CN" w:bidi="ar-SA"/>
        </w:rPr>
        <w:t>场</w:t>
      </w:r>
      <w:bookmarkEnd w:id="542"/>
    </w:p>
    <w:bookmarkEnd w:id="543"/>
    <w:p w14:paraId="53F2025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13.6.1 </w:t>
      </w:r>
      <w:r>
        <w:rPr>
          <w:rFonts w:hint="eastAsia" w:ascii="Times New Roman" w:hAnsi="Times New Roman" w:eastAsia="仿宋_GB2312" w:cs="仿宋_GB2312"/>
          <w:color w:val="auto"/>
          <w:kern w:val="0"/>
          <w:sz w:val="30"/>
          <w:szCs w:val="32"/>
          <w:highlight w:val="none"/>
          <w:lang w:eastAsia="zh-CN" w:bidi="ar"/>
        </w:rPr>
        <w:t>竣工退场</w:t>
      </w:r>
    </w:p>
    <w:p w14:paraId="189DB59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颁发工程接收证书后，承包人应按以下要求对施工现场进行清理：</w:t>
      </w:r>
    </w:p>
    <w:p w14:paraId="117D0FC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）施工现场内残留的垃圾已全部清除出场；</w:t>
      </w:r>
    </w:p>
    <w:p w14:paraId="5DD2B8E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）临时工程已拆除，场地已进行清理、平整或复原；</w:t>
      </w:r>
    </w:p>
    <w:p w14:paraId="08E8A9C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）按合同约定应撤离的人员、承包人施工设备和剩余的材料，包括废弃的施工设备和材料，已按计划撤离施工现场；</w:t>
      </w:r>
    </w:p>
    <w:p w14:paraId="02CD388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）施工现场周边及其附近道路、河道的施工堆积物，已全部清理；</w:t>
      </w:r>
    </w:p>
    <w:p w14:paraId="26374EC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）施工现场其他场地清理工作已全部完成。</w:t>
      </w:r>
    </w:p>
    <w:p w14:paraId="1037D39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2F301C4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13.6.2 </w:t>
      </w:r>
      <w:r>
        <w:rPr>
          <w:rFonts w:hint="eastAsia" w:ascii="Times New Roman" w:hAnsi="Times New Roman" w:eastAsia="仿宋_GB2312" w:cs="仿宋_GB2312"/>
          <w:color w:val="auto"/>
          <w:kern w:val="0"/>
          <w:sz w:val="30"/>
          <w:szCs w:val="32"/>
          <w:highlight w:val="none"/>
          <w:lang w:eastAsia="zh-CN" w:bidi="ar"/>
        </w:rPr>
        <w:t>地表还原</w:t>
      </w:r>
    </w:p>
    <w:p w14:paraId="248D230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承包人应按发包人要求恢复临时占地及清理场地，承包人未按发包人的要求恢复临时占地，或者场地清理未达到合同约定要求的，发包人有权委托其他人恢复或清理，所发生的费用由承包人承担。</w:t>
      </w:r>
    </w:p>
    <w:p w14:paraId="7890EA11">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544" w:name="_Toc163768569"/>
      <w:bookmarkStart w:id="545" w:name="_Toc351203593"/>
      <w:bookmarkStart w:id="546" w:name="_Toc163768451"/>
      <w:bookmarkStart w:id="547" w:name="_Toc337558810"/>
      <w:bookmarkStart w:id="548" w:name="_Toc296503113"/>
      <w:bookmarkStart w:id="549" w:name="_Toc296346614"/>
      <w:r>
        <w:rPr>
          <w:rFonts w:ascii="Times New Roman" w:hAnsi="Times New Roman" w:eastAsia="黑体" w:cs="Times New Roman"/>
          <w:b/>
          <w:bCs/>
          <w:color w:val="auto"/>
          <w:sz w:val="32"/>
          <w:szCs w:val="32"/>
          <w:highlight w:val="none"/>
          <w:lang w:val="en-US" w:eastAsia="zh-CN" w:bidi="en-US"/>
        </w:rPr>
        <w:t xml:space="preserve">14. </w:t>
      </w:r>
      <w:r>
        <w:rPr>
          <w:rFonts w:hint="eastAsia" w:ascii="Times New Roman" w:hAnsi="Times New Roman" w:eastAsia="黑体" w:cs="黑体"/>
          <w:b/>
          <w:bCs/>
          <w:color w:val="auto"/>
          <w:sz w:val="32"/>
          <w:szCs w:val="32"/>
          <w:highlight w:val="none"/>
          <w:lang w:val="en-US" w:eastAsia="zh-CN" w:bidi="en-US"/>
        </w:rPr>
        <w:t>竣工结算</w:t>
      </w:r>
      <w:bookmarkEnd w:id="544"/>
      <w:bookmarkEnd w:id="545"/>
      <w:bookmarkEnd w:id="546"/>
    </w:p>
    <w:bookmarkEnd w:id="547"/>
    <w:p w14:paraId="5563E60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50" w:name="_Toc351203594"/>
      <w:bookmarkStart w:id="551" w:name="_Toc337558811"/>
      <w:r>
        <w:rPr>
          <w:rFonts w:ascii="Times New Roman" w:hAnsi="Times New Roman" w:eastAsia="黑体" w:cs="Times New Roman"/>
          <w:b w:val="0"/>
          <w:bCs/>
          <w:color w:val="auto"/>
          <w:kern w:val="2"/>
          <w:sz w:val="30"/>
          <w:szCs w:val="32"/>
          <w:highlight w:val="none"/>
          <w:lang w:val="en-US" w:eastAsia="zh-CN" w:bidi="ar-SA"/>
        </w:rPr>
        <w:t xml:space="preserve">14.1 </w:t>
      </w:r>
      <w:r>
        <w:rPr>
          <w:rFonts w:hint="eastAsia" w:ascii="Times New Roman" w:hAnsi="Times New Roman" w:eastAsia="黑体" w:cs="黑体"/>
          <w:b w:val="0"/>
          <w:bCs/>
          <w:color w:val="auto"/>
          <w:kern w:val="2"/>
          <w:sz w:val="30"/>
          <w:szCs w:val="32"/>
          <w:highlight w:val="none"/>
          <w:lang w:val="en-US" w:eastAsia="zh-CN" w:bidi="ar-SA"/>
        </w:rPr>
        <w:t>竣工结算申请</w:t>
      </w:r>
      <w:bookmarkEnd w:id="550"/>
    </w:p>
    <w:bookmarkEnd w:id="551"/>
    <w:p w14:paraId="5F3904A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w:t>
      </w:r>
      <w:r>
        <w:rPr>
          <w:rFonts w:hint="eastAsia" w:ascii="Times New Roman" w:hAnsi="Times New Roman" w:eastAsia="仿宋_GB2312" w:cs="仿宋_GB2312"/>
          <w:color w:val="auto"/>
          <w:kern w:val="2"/>
          <w:sz w:val="30"/>
          <w:szCs w:val="32"/>
          <w:highlight w:val="none"/>
          <w:lang w:eastAsia="zh-CN" w:bidi="ar"/>
        </w:rPr>
        <w:t>承包人应在工程竣工验收合格后</w:t>
      </w:r>
      <w:r>
        <w:rPr>
          <w:rFonts w:ascii="Times New Roman" w:hAnsi="Times New Roman" w:eastAsia="仿宋_GB2312" w:cs="Times New Roman"/>
          <w:color w:val="auto"/>
          <w:kern w:val="2"/>
          <w:sz w:val="30"/>
          <w:szCs w:val="32"/>
          <w:highlight w:val="none"/>
          <w:lang w:eastAsia="zh-CN" w:bidi="ar"/>
        </w:rPr>
        <w:t>28</w:t>
      </w:r>
      <w:r>
        <w:rPr>
          <w:rFonts w:hint="eastAsia" w:ascii="Times New Roman" w:hAnsi="Times New Roman" w:eastAsia="仿宋_GB2312" w:cs="仿宋_GB2312"/>
          <w:color w:val="auto"/>
          <w:kern w:val="2"/>
          <w:sz w:val="30"/>
          <w:szCs w:val="32"/>
          <w:highlight w:val="none"/>
          <w:lang w:eastAsia="zh-CN" w:bidi="ar"/>
        </w:rPr>
        <w:t>天内向发包人和监理人提交竣工结算申请单，并提交完整的结算资料，有关竣工结算申请单的资料清单和份数等要求由合同当事人在专用合同条款中约定。</w:t>
      </w:r>
    </w:p>
    <w:p w14:paraId="4DD0EE2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除专用合同条款另有约定外，竣工结算申请单应包括以下内容：</w:t>
      </w:r>
    </w:p>
    <w:p w14:paraId="193272B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）竣工结算合同价格；</w:t>
      </w:r>
    </w:p>
    <w:p w14:paraId="3ED00CD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）发包人已支付承包人的款项；</w:t>
      </w:r>
    </w:p>
    <w:p w14:paraId="30AF299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）应扣留的质量保证金</w:t>
      </w:r>
      <w:r>
        <w:rPr>
          <w:rFonts w:hint="eastAsia" w:ascii="Calibri" w:hAnsi="Calibri" w:eastAsia="仿宋_GB2312" w:cs="仿宋_GB2312"/>
          <w:color w:val="auto"/>
          <w:kern w:val="2"/>
          <w:sz w:val="30"/>
          <w:szCs w:val="32"/>
          <w:highlight w:val="none"/>
          <w:lang w:eastAsia="zh-CN" w:bidi="ar"/>
        </w:rPr>
        <w:t>。已缴纳履约保证金的或提供其他工程质量担保方式的除外</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2832385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4</w:t>
      </w:r>
      <w:r>
        <w:rPr>
          <w:rFonts w:hint="eastAsia" w:ascii="Times New Roman" w:hAnsi="Times New Roman" w:eastAsia="仿宋_GB2312" w:cs="仿宋_GB2312"/>
          <w:color w:val="auto"/>
          <w:kern w:val="2"/>
          <w:sz w:val="30"/>
          <w:szCs w:val="32"/>
          <w:highlight w:val="none"/>
          <w:lang w:eastAsia="zh-CN" w:bidi="ar"/>
        </w:rPr>
        <w:t>）发包人应支付承包人的合同价款。</w:t>
      </w:r>
    </w:p>
    <w:p w14:paraId="374020C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52" w:name="_Toc351203595"/>
      <w:bookmarkStart w:id="553" w:name="_Toc337558812"/>
      <w:r>
        <w:rPr>
          <w:rFonts w:ascii="Times New Roman" w:hAnsi="Times New Roman" w:eastAsia="黑体" w:cs="Times New Roman"/>
          <w:b w:val="0"/>
          <w:bCs/>
          <w:color w:val="auto"/>
          <w:kern w:val="2"/>
          <w:sz w:val="30"/>
          <w:szCs w:val="32"/>
          <w:highlight w:val="none"/>
          <w:lang w:val="en-US" w:eastAsia="zh-CN" w:bidi="ar-SA"/>
        </w:rPr>
        <w:t xml:space="preserve">14.2 </w:t>
      </w:r>
      <w:r>
        <w:rPr>
          <w:rFonts w:hint="eastAsia" w:ascii="Times New Roman" w:hAnsi="Times New Roman" w:eastAsia="黑体" w:cs="黑体"/>
          <w:b w:val="0"/>
          <w:bCs/>
          <w:color w:val="auto"/>
          <w:kern w:val="2"/>
          <w:sz w:val="30"/>
          <w:szCs w:val="32"/>
          <w:highlight w:val="none"/>
          <w:lang w:val="en-US" w:eastAsia="zh-CN" w:bidi="ar-SA"/>
        </w:rPr>
        <w:t>竣工结算审核</w:t>
      </w:r>
      <w:bookmarkEnd w:id="552"/>
    </w:p>
    <w:bookmarkEnd w:id="553"/>
    <w:p w14:paraId="304A4BE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）除专用合同条款另有约定外，监理人应在收到竣工结算申请单后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天内完成核查并报送发包人。发包人应在收到监理人提交的经审核的竣工结算申请单后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天内完成审批，并由监理人向承包人签发经发包人签认的竣工付款证书。监理人或</w:t>
      </w:r>
      <w:r>
        <w:rPr>
          <w:rFonts w:hint="eastAsia" w:ascii="Times New Roman" w:hAnsi="Times New Roman" w:eastAsia="仿宋_GB2312" w:cs="仿宋_GB2312"/>
          <w:color w:val="auto"/>
          <w:kern w:val="2"/>
          <w:sz w:val="30"/>
          <w:szCs w:val="32"/>
          <w:highlight w:val="none"/>
          <w:lang w:eastAsia="zh-CN" w:bidi="ar"/>
        </w:rPr>
        <w:t>发包人对竣工</w:t>
      </w:r>
      <w:r>
        <w:rPr>
          <w:rFonts w:hint="eastAsia" w:ascii="Times New Roman" w:hAnsi="Times New Roman" w:eastAsia="仿宋_GB2312" w:cs="仿宋_GB2312"/>
          <w:color w:val="auto"/>
          <w:kern w:val="0"/>
          <w:sz w:val="30"/>
          <w:szCs w:val="32"/>
          <w:highlight w:val="none"/>
          <w:lang w:eastAsia="zh-CN" w:bidi="ar"/>
        </w:rPr>
        <w:t>结算</w:t>
      </w:r>
      <w:r>
        <w:rPr>
          <w:rFonts w:hint="eastAsia" w:ascii="Times New Roman" w:hAnsi="Times New Roman" w:eastAsia="仿宋_GB2312" w:cs="仿宋_GB2312"/>
          <w:color w:val="auto"/>
          <w:kern w:val="2"/>
          <w:sz w:val="30"/>
          <w:szCs w:val="32"/>
          <w:highlight w:val="none"/>
          <w:lang w:eastAsia="zh-CN" w:bidi="ar"/>
        </w:rPr>
        <w:t>申请单有异议的，有权要求承包人进行修正和提供补充资料，承包人应提交修正后的竣工</w:t>
      </w:r>
      <w:r>
        <w:rPr>
          <w:rFonts w:hint="eastAsia" w:ascii="Times New Roman" w:hAnsi="Times New Roman" w:eastAsia="仿宋_GB2312" w:cs="仿宋_GB2312"/>
          <w:color w:val="auto"/>
          <w:kern w:val="0"/>
          <w:sz w:val="30"/>
          <w:szCs w:val="32"/>
          <w:highlight w:val="none"/>
          <w:lang w:eastAsia="zh-CN" w:bidi="ar"/>
        </w:rPr>
        <w:t>结算</w:t>
      </w:r>
      <w:r>
        <w:rPr>
          <w:rFonts w:hint="eastAsia" w:ascii="Times New Roman" w:hAnsi="Times New Roman" w:eastAsia="仿宋_GB2312" w:cs="仿宋_GB2312"/>
          <w:color w:val="auto"/>
          <w:kern w:val="2"/>
          <w:sz w:val="30"/>
          <w:szCs w:val="32"/>
          <w:highlight w:val="none"/>
          <w:lang w:eastAsia="zh-CN" w:bidi="ar"/>
        </w:rPr>
        <w:t>申请单。</w:t>
      </w:r>
    </w:p>
    <w:p w14:paraId="40DA643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发包人在收到承包人提交竣工结算申请书后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天内未完成审批且未提出异议的，视为发包人认可承包人提交的竣工结算申请单，并自发包人收到承包人提交的竣工结算申请单后第</w:t>
      </w:r>
      <w:r>
        <w:rPr>
          <w:rFonts w:ascii="Times New Roman" w:hAnsi="Times New Roman" w:eastAsia="仿宋_GB2312" w:cs="Times New Roman"/>
          <w:color w:val="auto"/>
          <w:kern w:val="0"/>
          <w:sz w:val="30"/>
          <w:szCs w:val="32"/>
          <w:highlight w:val="none"/>
          <w:lang w:eastAsia="zh-CN" w:bidi="ar"/>
        </w:rPr>
        <w:t>29</w:t>
      </w:r>
      <w:r>
        <w:rPr>
          <w:rFonts w:hint="eastAsia" w:ascii="Times New Roman" w:hAnsi="Times New Roman" w:eastAsia="仿宋_GB2312" w:cs="仿宋_GB2312"/>
          <w:color w:val="auto"/>
          <w:kern w:val="0"/>
          <w:sz w:val="30"/>
          <w:szCs w:val="32"/>
          <w:highlight w:val="none"/>
          <w:lang w:eastAsia="zh-CN" w:bidi="ar"/>
        </w:rPr>
        <w:t>天起视为已签发竣工付款证书。</w:t>
      </w:r>
    </w:p>
    <w:p w14:paraId="0F9FF5D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）除专用合同条款另有约定外，发包人应在签发竣工付款证书后的</w:t>
      </w:r>
      <w:r>
        <w:rPr>
          <w:rFonts w:ascii="Times New Roman" w:hAnsi="Times New Roman" w:eastAsia="仿宋_GB2312" w:cs="Times New Roman"/>
          <w:color w:val="auto"/>
          <w:kern w:val="0"/>
          <w:sz w:val="30"/>
          <w:szCs w:val="32"/>
          <w:highlight w:val="none"/>
          <w:lang w:eastAsia="zh-CN" w:bidi="ar"/>
        </w:rPr>
        <w:t xml:space="preserve">14 </w:t>
      </w:r>
      <w:r>
        <w:rPr>
          <w:rFonts w:hint="eastAsia" w:ascii="Times New Roman" w:hAnsi="Times New Roman" w:eastAsia="仿宋_GB2312" w:cs="仿宋_GB2312"/>
          <w:color w:val="auto"/>
          <w:kern w:val="0"/>
          <w:sz w:val="30"/>
          <w:szCs w:val="32"/>
          <w:highlight w:val="none"/>
          <w:lang w:eastAsia="zh-CN" w:bidi="ar"/>
        </w:rPr>
        <w:t>天内，完成对承包人的竣工付款。发包人逾期支付的，按照中国人民银行发布的同期同类贷款基准利率支付违约金；逾期支付超过</w:t>
      </w:r>
      <w:r>
        <w:rPr>
          <w:rFonts w:ascii="Times New Roman" w:hAnsi="Times New Roman" w:eastAsia="仿宋_GB2312" w:cs="Times New Roman"/>
          <w:color w:val="auto"/>
          <w:kern w:val="0"/>
          <w:sz w:val="30"/>
          <w:szCs w:val="32"/>
          <w:highlight w:val="none"/>
          <w:lang w:eastAsia="zh-CN" w:bidi="ar"/>
        </w:rPr>
        <w:t>56</w:t>
      </w:r>
      <w:r>
        <w:rPr>
          <w:rFonts w:hint="eastAsia" w:ascii="Times New Roman" w:hAnsi="Times New Roman" w:eastAsia="仿宋_GB2312" w:cs="仿宋_GB2312"/>
          <w:color w:val="auto"/>
          <w:kern w:val="0"/>
          <w:sz w:val="30"/>
          <w:szCs w:val="32"/>
          <w:highlight w:val="none"/>
          <w:lang w:eastAsia="zh-CN" w:bidi="ar"/>
        </w:rPr>
        <w:t>天的，按照中国人民银行发布的同期同类贷款基准利率的两倍支付违约金。</w:t>
      </w:r>
    </w:p>
    <w:p w14:paraId="68F31CD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）承包人对发包人签认的竣工付款证书有异议的，对于有异议部分应在收到发包人签认的竣工付款证书后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天内提出异议，并由合同当事人按照专用合同条款约定的方式和程序进行复核，或按照第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条〔争议解决〕约定处理。对于无异议部分，发包人应签发临时竣工付款证书，并按本款第（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）项完成付款。承包人逾期未提出异议的，视为认可发包人的审批结果。</w:t>
      </w:r>
    </w:p>
    <w:p w14:paraId="5EC4D9F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54" w:name="_Toc351203596"/>
      <w:bookmarkStart w:id="555" w:name="_Toc337558813"/>
      <w:r>
        <w:rPr>
          <w:rFonts w:ascii="Times New Roman" w:hAnsi="Times New Roman" w:eastAsia="黑体" w:cs="Times New Roman"/>
          <w:b w:val="0"/>
          <w:bCs/>
          <w:color w:val="auto"/>
          <w:kern w:val="2"/>
          <w:sz w:val="30"/>
          <w:szCs w:val="32"/>
          <w:highlight w:val="none"/>
          <w:lang w:val="en-US" w:eastAsia="zh-CN" w:bidi="ar-SA"/>
        </w:rPr>
        <w:t xml:space="preserve">14.3 </w:t>
      </w:r>
      <w:r>
        <w:rPr>
          <w:rFonts w:hint="eastAsia" w:ascii="Times New Roman" w:hAnsi="Times New Roman" w:eastAsia="黑体" w:cs="黑体"/>
          <w:b w:val="0"/>
          <w:bCs/>
          <w:color w:val="auto"/>
          <w:kern w:val="2"/>
          <w:sz w:val="30"/>
          <w:szCs w:val="32"/>
          <w:highlight w:val="none"/>
          <w:lang w:val="en-US" w:eastAsia="zh-CN" w:bidi="ar-SA"/>
        </w:rPr>
        <w:t>甩项竣工协议</w:t>
      </w:r>
      <w:bookmarkEnd w:id="554"/>
    </w:p>
    <w:bookmarkEnd w:id="555"/>
    <w:p w14:paraId="6C61A759">
      <w:pPr>
        <w:shd w:val="clear"/>
        <w:autoSpaceDE w:val="0"/>
        <w:autoSpaceDN w:val="0"/>
        <w:adjustRightInd w:val="0"/>
        <w:spacing w:line="360" w:lineRule="auto"/>
        <w:ind w:firstLine="588" w:firstLineChars="196"/>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发包人要求甩项竣工的，合同当事人应签订甩项竣工协议。在甩项竣工协议中应明确，合同当事人按照第</w:t>
      </w:r>
      <w:r>
        <w:rPr>
          <w:rFonts w:ascii="Times New Roman" w:hAnsi="Times New Roman" w:eastAsia="仿宋_GB2312" w:cs="Times New Roman"/>
          <w:color w:val="auto"/>
          <w:kern w:val="2"/>
          <w:sz w:val="30"/>
          <w:szCs w:val="32"/>
          <w:highlight w:val="none"/>
          <w:lang w:eastAsia="zh-CN" w:bidi="ar"/>
        </w:rPr>
        <w:t>14.1</w:t>
      </w:r>
      <w:r>
        <w:rPr>
          <w:rFonts w:hint="eastAsia" w:ascii="Times New Roman" w:hAnsi="Times New Roman" w:eastAsia="仿宋_GB2312" w:cs="仿宋_GB2312"/>
          <w:color w:val="auto"/>
          <w:kern w:val="2"/>
          <w:sz w:val="30"/>
          <w:szCs w:val="32"/>
          <w:highlight w:val="none"/>
          <w:lang w:eastAsia="zh-CN" w:bidi="ar"/>
        </w:rPr>
        <w:t>款〔竣工结算申请〕及</w:t>
      </w:r>
      <w:r>
        <w:rPr>
          <w:rFonts w:ascii="Times New Roman" w:hAnsi="Times New Roman" w:eastAsia="仿宋_GB2312" w:cs="Times New Roman"/>
          <w:color w:val="auto"/>
          <w:kern w:val="2"/>
          <w:sz w:val="30"/>
          <w:szCs w:val="32"/>
          <w:highlight w:val="none"/>
          <w:lang w:eastAsia="zh-CN" w:bidi="ar"/>
        </w:rPr>
        <w:t>14.2</w:t>
      </w:r>
      <w:r>
        <w:rPr>
          <w:rFonts w:hint="eastAsia" w:ascii="Times New Roman" w:hAnsi="Times New Roman" w:eastAsia="仿宋_GB2312" w:cs="仿宋_GB2312"/>
          <w:color w:val="auto"/>
          <w:kern w:val="2"/>
          <w:sz w:val="30"/>
          <w:szCs w:val="32"/>
          <w:highlight w:val="none"/>
          <w:lang w:eastAsia="zh-CN" w:bidi="ar"/>
        </w:rPr>
        <w:t>款〔竣工结算审核〕的约定，对已完合格工程进行结算，并支付相应合同价款。</w:t>
      </w:r>
    </w:p>
    <w:p w14:paraId="34C5448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56" w:name="_Toc351203597"/>
      <w:bookmarkStart w:id="557" w:name="_Toc337558814"/>
      <w:r>
        <w:rPr>
          <w:rFonts w:ascii="Times New Roman" w:hAnsi="Times New Roman" w:eastAsia="黑体" w:cs="Times New Roman"/>
          <w:b w:val="0"/>
          <w:bCs/>
          <w:color w:val="auto"/>
          <w:kern w:val="2"/>
          <w:sz w:val="30"/>
          <w:szCs w:val="32"/>
          <w:highlight w:val="none"/>
          <w:lang w:val="en-US" w:eastAsia="zh-CN" w:bidi="ar-SA"/>
        </w:rPr>
        <w:t xml:space="preserve">14.4 </w:t>
      </w:r>
      <w:r>
        <w:rPr>
          <w:rFonts w:hint="eastAsia" w:ascii="Times New Roman" w:hAnsi="Times New Roman" w:eastAsia="黑体" w:cs="黑体"/>
          <w:b w:val="0"/>
          <w:bCs/>
          <w:color w:val="auto"/>
          <w:kern w:val="2"/>
          <w:sz w:val="30"/>
          <w:szCs w:val="32"/>
          <w:highlight w:val="none"/>
          <w:lang w:val="en-US" w:eastAsia="zh-CN" w:bidi="ar-SA"/>
        </w:rPr>
        <w:t>最终结清</w:t>
      </w:r>
      <w:bookmarkEnd w:id="556"/>
    </w:p>
    <w:bookmarkEnd w:id="557"/>
    <w:p w14:paraId="0BF93FD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14.4.1 </w:t>
      </w:r>
      <w:r>
        <w:rPr>
          <w:rFonts w:hint="eastAsia" w:ascii="Times New Roman" w:hAnsi="Times New Roman" w:eastAsia="仿宋_GB2312" w:cs="仿宋_GB2312"/>
          <w:color w:val="auto"/>
          <w:kern w:val="0"/>
          <w:sz w:val="30"/>
          <w:szCs w:val="32"/>
          <w:highlight w:val="none"/>
          <w:lang w:eastAsia="zh-CN" w:bidi="ar"/>
        </w:rPr>
        <w:t>最终结清申请单</w:t>
      </w:r>
    </w:p>
    <w:p w14:paraId="1AE544B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）除专用合同条款另有约定外，承包人应在缺陷责任期终止证书颁发后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天内，按专用合同条款约定的份数向发包人提交最终结清申请单，并提供相关证明材料。</w:t>
      </w:r>
    </w:p>
    <w:p w14:paraId="32BF2FA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w:t>
      </w:r>
      <w:r>
        <w:rPr>
          <w:rFonts w:hint="eastAsia" w:ascii="Times New Roman" w:hAnsi="Times New Roman" w:eastAsia="仿宋_GB2312" w:cs="仿宋_GB2312"/>
          <w:color w:val="auto"/>
          <w:kern w:val="0"/>
          <w:sz w:val="30"/>
          <w:szCs w:val="32"/>
          <w:highlight w:val="none"/>
          <w:lang w:eastAsia="zh-CN" w:bidi="ar"/>
        </w:rPr>
        <w:t>最终结清申请单</w:t>
      </w:r>
      <w:r>
        <w:rPr>
          <w:rFonts w:hint="eastAsia" w:ascii="Times New Roman" w:hAnsi="Times New Roman" w:eastAsia="仿宋_GB2312" w:cs="仿宋_GB2312"/>
          <w:color w:val="auto"/>
          <w:kern w:val="2"/>
          <w:sz w:val="30"/>
          <w:szCs w:val="32"/>
          <w:highlight w:val="none"/>
          <w:lang w:eastAsia="zh-CN" w:bidi="ar"/>
        </w:rPr>
        <w:t>应列明质量保证金、应扣除的质量保证金、缺陷责任期内发生的增减费用。</w:t>
      </w:r>
    </w:p>
    <w:p w14:paraId="06E58F6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）发包人对最终结清申请单内容有异议的，有权要求承包人进行修正和提供补充资料，承包人应向发包人提交修正后的最终结清申请单。</w:t>
      </w:r>
    </w:p>
    <w:p w14:paraId="08BCE16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14.4.2 </w:t>
      </w:r>
      <w:r>
        <w:rPr>
          <w:rFonts w:hint="eastAsia" w:ascii="Times New Roman" w:hAnsi="Times New Roman" w:eastAsia="仿宋_GB2312" w:cs="仿宋_GB2312"/>
          <w:color w:val="auto"/>
          <w:kern w:val="0"/>
          <w:sz w:val="30"/>
          <w:szCs w:val="32"/>
          <w:highlight w:val="none"/>
          <w:lang w:eastAsia="zh-CN" w:bidi="ar"/>
        </w:rPr>
        <w:t>最终结清证书和支付</w:t>
      </w:r>
    </w:p>
    <w:p w14:paraId="327E336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）除专用合同条款另有约定外，发包人应在收到承包人提交的最终结清申请单后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天内完成审批并向承包人颁发最终结清证书。发包人逾期未完成审批，又未提出修改意见的，视为发包人同意承包人提交的最终结清申请单，且自发包人收到承包人提交的最终结清申请单后</w:t>
      </w:r>
      <w:r>
        <w:rPr>
          <w:rFonts w:ascii="Times New Roman" w:hAnsi="Times New Roman" w:eastAsia="仿宋_GB2312" w:cs="Times New Roman"/>
          <w:color w:val="auto"/>
          <w:kern w:val="0"/>
          <w:sz w:val="30"/>
          <w:szCs w:val="32"/>
          <w:highlight w:val="none"/>
          <w:lang w:eastAsia="zh-CN" w:bidi="ar"/>
        </w:rPr>
        <w:t>15</w:t>
      </w:r>
      <w:r>
        <w:rPr>
          <w:rFonts w:hint="eastAsia" w:ascii="Times New Roman" w:hAnsi="Times New Roman" w:eastAsia="仿宋_GB2312" w:cs="仿宋_GB2312"/>
          <w:color w:val="auto"/>
          <w:kern w:val="0"/>
          <w:sz w:val="30"/>
          <w:szCs w:val="32"/>
          <w:highlight w:val="none"/>
          <w:lang w:eastAsia="zh-CN" w:bidi="ar"/>
        </w:rPr>
        <w:t>天起视为已颁发最终结清证书。</w:t>
      </w:r>
    </w:p>
    <w:p w14:paraId="35D8E02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）除专用合同条款另有约定外，发包人应在颁发最终结清证书后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天内完成支付。发包人逾期支付的，按照中国人民银行发布的同期同类贷款基准利率支付违约金；逾期支付超过</w:t>
      </w:r>
      <w:r>
        <w:rPr>
          <w:rFonts w:ascii="Times New Roman" w:hAnsi="Times New Roman" w:eastAsia="仿宋_GB2312" w:cs="Times New Roman"/>
          <w:color w:val="auto"/>
          <w:kern w:val="0"/>
          <w:sz w:val="30"/>
          <w:szCs w:val="32"/>
          <w:highlight w:val="none"/>
          <w:lang w:eastAsia="zh-CN" w:bidi="ar"/>
        </w:rPr>
        <w:t>56</w:t>
      </w:r>
      <w:r>
        <w:rPr>
          <w:rFonts w:hint="eastAsia" w:ascii="Times New Roman" w:hAnsi="Times New Roman" w:eastAsia="仿宋_GB2312" w:cs="仿宋_GB2312"/>
          <w:color w:val="auto"/>
          <w:kern w:val="0"/>
          <w:sz w:val="30"/>
          <w:szCs w:val="32"/>
          <w:highlight w:val="none"/>
          <w:lang w:eastAsia="zh-CN" w:bidi="ar"/>
        </w:rPr>
        <w:t>天的，按照中国人民银行发布的同期同类贷款基准利率的两倍支付违约金。</w:t>
      </w:r>
    </w:p>
    <w:p w14:paraId="0FF9146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）承包人对发包人颁发的最终结清证书有异议的，按第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条〔争议解决〕的约定办理。</w:t>
      </w:r>
    </w:p>
    <w:p w14:paraId="456D924C">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558" w:name="_Toc163768570"/>
      <w:bookmarkStart w:id="559" w:name="_Toc163768452"/>
      <w:bookmarkStart w:id="560" w:name="_Toc351203598"/>
      <w:bookmarkStart w:id="561" w:name="_Toc337558815"/>
      <w:r>
        <w:rPr>
          <w:rFonts w:ascii="Times New Roman" w:hAnsi="Times New Roman" w:eastAsia="黑体" w:cs="Times New Roman"/>
          <w:b/>
          <w:bCs/>
          <w:color w:val="auto"/>
          <w:sz w:val="32"/>
          <w:szCs w:val="32"/>
          <w:highlight w:val="none"/>
          <w:lang w:val="en-US" w:eastAsia="zh-CN" w:bidi="en-US"/>
        </w:rPr>
        <w:t xml:space="preserve">15. </w:t>
      </w:r>
      <w:r>
        <w:rPr>
          <w:rFonts w:hint="eastAsia" w:ascii="Times New Roman" w:hAnsi="Times New Roman" w:eastAsia="黑体" w:cs="Times New Roman"/>
          <w:b/>
          <w:bCs/>
          <w:color w:val="auto"/>
          <w:sz w:val="32"/>
          <w:szCs w:val="32"/>
          <w:highlight w:val="none"/>
          <w:lang w:val="en-US" w:eastAsia="zh-CN" w:bidi="en-US"/>
        </w:rPr>
        <w:t>缺陷责任与保修</w:t>
      </w:r>
      <w:bookmarkEnd w:id="558"/>
      <w:bookmarkEnd w:id="559"/>
      <w:bookmarkEnd w:id="560"/>
    </w:p>
    <w:bookmarkEnd w:id="548"/>
    <w:bookmarkEnd w:id="549"/>
    <w:bookmarkEnd w:id="561"/>
    <w:p w14:paraId="0D61E2C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62" w:name="_Toc351203599"/>
      <w:bookmarkStart w:id="563" w:name="_Toc337558816"/>
      <w:bookmarkStart w:id="564" w:name="_Toc296346615"/>
      <w:bookmarkStart w:id="565" w:name="_Toc296503114"/>
      <w:r>
        <w:rPr>
          <w:rFonts w:ascii="Times New Roman" w:hAnsi="Times New Roman" w:eastAsia="黑体" w:cs="Times New Roman"/>
          <w:b w:val="0"/>
          <w:bCs/>
          <w:color w:val="auto"/>
          <w:kern w:val="2"/>
          <w:sz w:val="30"/>
          <w:szCs w:val="32"/>
          <w:highlight w:val="none"/>
          <w:lang w:val="en-US" w:eastAsia="zh-CN" w:bidi="ar-SA"/>
        </w:rPr>
        <w:t xml:space="preserve">15.1 </w:t>
      </w:r>
      <w:r>
        <w:rPr>
          <w:rFonts w:hint="eastAsia" w:ascii="Times New Roman" w:hAnsi="Times New Roman" w:eastAsia="黑体" w:cs="黑体"/>
          <w:b w:val="0"/>
          <w:bCs/>
          <w:color w:val="auto"/>
          <w:kern w:val="2"/>
          <w:sz w:val="30"/>
          <w:szCs w:val="32"/>
          <w:highlight w:val="none"/>
          <w:lang w:val="en-US" w:eastAsia="zh-CN" w:bidi="ar-SA"/>
        </w:rPr>
        <w:t>工程保修的原则</w:t>
      </w:r>
      <w:bookmarkEnd w:id="562"/>
    </w:p>
    <w:bookmarkEnd w:id="563"/>
    <w:p w14:paraId="434E23F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在工程移交发包人后，因承包人原因产生的质量缺陷，承包人应承担质量缺陷责任和保修义务。缺陷责任期届满，承包人仍应按合同约定的工程各部位保修年限承担保修义务。</w:t>
      </w:r>
    </w:p>
    <w:p w14:paraId="2C3F4F6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66" w:name="_Toc351203600"/>
      <w:bookmarkStart w:id="567" w:name="_Toc337558817"/>
      <w:r>
        <w:rPr>
          <w:rFonts w:ascii="Times New Roman" w:hAnsi="Times New Roman" w:eastAsia="黑体" w:cs="Times New Roman"/>
          <w:b w:val="0"/>
          <w:bCs/>
          <w:color w:val="auto"/>
          <w:kern w:val="2"/>
          <w:sz w:val="30"/>
          <w:szCs w:val="32"/>
          <w:highlight w:val="none"/>
          <w:lang w:val="en-US" w:eastAsia="zh-CN" w:bidi="ar-SA"/>
        </w:rPr>
        <w:t xml:space="preserve">15.2 </w:t>
      </w:r>
      <w:r>
        <w:rPr>
          <w:rFonts w:hint="eastAsia" w:ascii="Times New Roman" w:hAnsi="Times New Roman" w:eastAsia="黑体" w:cs="黑体"/>
          <w:b w:val="0"/>
          <w:bCs/>
          <w:color w:val="auto"/>
          <w:kern w:val="2"/>
          <w:sz w:val="30"/>
          <w:szCs w:val="32"/>
          <w:highlight w:val="none"/>
          <w:lang w:val="en-US" w:eastAsia="zh-CN" w:bidi="ar-SA"/>
        </w:rPr>
        <w:t>缺陷责任期</w:t>
      </w:r>
      <w:bookmarkEnd w:id="564"/>
      <w:bookmarkEnd w:id="565"/>
      <w:bookmarkEnd w:id="566"/>
    </w:p>
    <w:bookmarkEnd w:id="567"/>
    <w:p w14:paraId="711C480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15.2.1 </w:t>
      </w:r>
      <w:r>
        <w:rPr>
          <w:rFonts w:hint="eastAsia" w:ascii="Times New Roman" w:hAnsi="Times New Roman" w:eastAsia="仿宋_GB2312" w:cs="仿宋_GB2312"/>
          <w:color w:val="auto"/>
          <w:kern w:val="0"/>
          <w:sz w:val="30"/>
          <w:szCs w:val="32"/>
          <w:highlight w:val="none"/>
          <w:lang w:eastAsia="zh-CN" w:bidi="ar"/>
        </w:rPr>
        <w:t>缺陷责任期</w:t>
      </w:r>
      <w:r>
        <w:rPr>
          <w:rFonts w:hint="eastAsia" w:ascii="Calibri" w:hAnsi="Calibri" w:eastAsia="仿宋_GB2312" w:cs="仿宋_GB2312"/>
          <w:color w:val="auto"/>
          <w:kern w:val="0"/>
          <w:sz w:val="30"/>
          <w:szCs w:val="32"/>
          <w:highlight w:val="none"/>
          <w:lang w:eastAsia="zh-CN" w:bidi="ar"/>
        </w:rPr>
        <w:t>从工程通过竣工验收之日</w:t>
      </w:r>
      <w:r>
        <w:rPr>
          <w:rFonts w:hint="eastAsia" w:ascii="Times New Roman" w:hAnsi="Times New Roman" w:eastAsia="仿宋_GB2312" w:cs="仿宋_GB2312"/>
          <w:color w:val="auto"/>
          <w:kern w:val="0"/>
          <w:sz w:val="30"/>
          <w:szCs w:val="32"/>
          <w:highlight w:val="none"/>
          <w:lang w:eastAsia="zh-CN" w:bidi="ar"/>
        </w:rPr>
        <w:t>起计算，合同当事人应在专用合同条款约定缺陷责任期的具体期限，但该期限最长不超过</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个月。</w:t>
      </w:r>
    </w:p>
    <w:p w14:paraId="0B0D91A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单位工程先于全部工程进行验收，经验收合格并交付使用的，该单位工程缺陷责任期自单位工程验收合格之日起算。</w:t>
      </w:r>
      <w:r>
        <w:rPr>
          <w:rFonts w:hint="eastAsia" w:ascii="Calibri" w:hAnsi="Calibri" w:eastAsia="仿宋_GB2312" w:cs="仿宋_GB2312"/>
          <w:color w:val="auto"/>
          <w:kern w:val="0"/>
          <w:sz w:val="30"/>
          <w:szCs w:val="32"/>
          <w:highlight w:val="none"/>
          <w:lang w:eastAsia="zh-CN" w:bidi="ar"/>
        </w:rPr>
        <w:t>因承包人原因导致工程无法按合同约定期限进行竣工验收的，缺陷责任期从实际通过竣工验收之日起计算。</w:t>
      </w:r>
      <w:r>
        <w:rPr>
          <w:rFonts w:hint="eastAsia" w:ascii="Times New Roman" w:hAnsi="Times New Roman" w:eastAsia="仿宋_GB2312" w:cs="仿宋_GB2312"/>
          <w:color w:val="auto"/>
          <w:kern w:val="0"/>
          <w:sz w:val="30"/>
          <w:szCs w:val="32"/>
          <w:highlight w:val="none"/>
          <w:lang w:eastAsia="zh-CN" w:bidi="ar"/>
        </w:rPr>
        <w:t>因发包人原因导致工程无法按合同约定期限进行竣工验收的，</w:t>
      </w:r>
      <w:r>
        <w:rPr>
          <w:rFonts w:hint="eastAsia" w:ascii="Calibri" w:hAnsi="Calibri" w:eastAsia="仿宋_GB2312" w:cs="仿宋_GB2312"/>
          <w:color w:val="auto"/>
          <w:kern w:val="0"/>
          <w:sz w:val="30"/>
          <w:szCs w:val="32"/>
          <w:highlight w:val="none"/>
          <w:lang w:eastAsia="zh-CN" w:bidi="ar"/>
        </w:rPr>
        <w:t>在承包人提交竣工验收报告</w:t>
      </w:r>
      <w:r>
        <w:rPr>
          <w:rFonts w:ascii="Calibri" w:hAnsi="Calibri" w:eastAsia="仿宋_GB2312" w:cs="Times New Roman"/>
          <w:color w:val="auto"/>
          <w:kern w:val="0"/>
          <w:sz w:val="30"/>
          <w:szCs w:val="32"/>
          <w:highlight w:val="none"/>
          <w:lang w:eastAsia="zh-CN" w:bidi="ar"/>
        </w:rPr>
        <w:t>90</w:t>
      </w:r>
      <w:r>
        <w:rPr>
          <w:rFonts w:hint="eastAsia" w:ascii="Calibri" w:hAnsi="Calibri" w:eastAsia="仿宋_GB2312" w:cs="仿宋_GB2312"/>
          <w:color w:val="auto"/>
          <w:kern w:val="0"/>
          <w:sz w:val="30"/>
          <w:szCs w:val="32"/>
          <w:highlight w:val="none"/>
          <w:lang w:eastAsia="zh-CN" w:bidi="ar"/>
        </w:rPr>
        <w:t>天后，工程自动进入缺陷责任期</w:t>
      </w:r>
      <w:r>
        <w:rPr>
          <w:rFonts w:hint="eastAsia" w:ascii="Times New Roman" w:hAnsi="Times New Roman" w:eastAsia="仿宋_GB2312" w:cs="仿宋_GB2312"/>
          <w:color w:val="auto"/>
          <w:kern w:val="0"/>
          <w:sz w:val="30"/>
          <w:szCs w:val="32"/>
          <w:highlight w:val="none"/>
          <w:lang w:eastAsia="zh-CN" w:bidi="ar"/>
        </w:rPr>
        <w:t>；发包人未经竣工验收擅自使用工程的，缺陷责任期自工程转移占有之日起开始计算。</w:t>
      </w:r>
    </w:p>
    <w:p w14:paraId="31B178A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15.2.2</w:t>
      </w:r>
      <w:r>
        <w:rPr>
          <w:rFonts w:hint="eastAsia" w:ascii="Calibri" w:hAnsi="Calibri" w:eastAsia="仿宋_GB2312" w:cs="仿宋_GB2312"/>
          <w:color w:val="auto"/>
          <w:kern w:val="0"/>
          <w:sz w:val="30"/>
          <w:szCs w:val="32"/>
          <w:highlight w:val="none"/>
          <w:lang w:eastAsia="zh-CN" w:bidi="ar"/>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hint="eastAsia" w:ascii="Times New Roman" w:hAnsi="Times New Roman" w:eastAsia="仿宋_GB2312" w:cs="仿宋_GB2312"/>
          <w:color w:val="auto"/>
          <w:kern w:val="0"/>
          <w:sz w:val="30"/>
          <w:szCs w:val="32"/>
          <w:highlight w:val="none"/>
          <w:lang w:eastAsia="zh-CN" w:bidi="ar"/>
        </w:rPr>
        <w:t>发包人有权要求承</w:t>
      </w:r>
      <w:r>
        <w:rPr>
          <w:rFonts w:hint="eastAsia" w:ascii="Times New Roman" w:hAnsi="Times New Roman" w:eastAsia="仿宋_GB2312" w:cs="仿宋_GB2312"/>
          <w:bCs/>
          <w:color w:val="auto"/>
          <w:kern w:val="2"/>
          <w:sz w:val="30"/>
          <w:szCs w:val="32"/>
          <w:highlight w:val="none"/>
          <w:lang w:eastAsia="zh-CN" w:bidi="ar"/>
        </w:rPr>
        <w:t>包人延长缺陷责任期，</w:t>
      </w:r>
      <w:r>
        <w:rPr>
          <w:rFonts w:hint="eastAsia" w:ascii="Times New Roman" w:hAnsi="Times New Roman" w:eastAsia="仿宋_GB2312" w:cs="仿宋_GB2312"/>
          <w:color w:val="auto"/>
          <w:kern w:val="0"/>
          <w:sz w:val="30"/>
          <w:szCs w:val="32"/>
          <w:highlight w:val="none"/>
          <w:lang w:eastAsia="zh-CN" w:bidi="ar"/>
        </w:rPr>
        <w:t>并应在原缺陷责任期届满前发出延长通知。</w:t>
      </w:r>
      <w:r>
        <w:rPr>
          <w:rFonts w:hint="eastAsia" w:ascii="Times New Roman" w:hAnsi="Times New Roman" w:eastAsia="仿宋_GB2312" w:cs="仿宋_GB2312"/>
          <w:bCs/>
          <w:color w:val="auto"/>
          <w:kern w:val="2"/>
          <w:sz w:val="30"/>
          <w:szCs w:val="32"/>
          <w:highlight w:val="none"/>
          <w:lang w:eastAsia="zh-CN" w:bidi="ar"/>
        </w:rPr>
        <w:t>但缺陷责任期（含延长部分）最长</w:t>
      </w:r>
      <w:r>
        <w:rPr>
          <w:rFonts w:hint="eastAsia" w:ascii="Times New Roman" w:hAnsi="Times New Roman" w:eastAsia="仿宋_GB2312" w:cs="仿宋_GB2312"/>
          <w:color w:val="auto"/>
          <w:kern w:val="0"/>
          <w:sz w:val="30"/>
          <w:szCs w:val="32"/>
          <w:highlight w:val="none"/>
          <w:lang w:eastAsia="zh-CN" w:bidi="ar"/>
        </w:rPr>
        <w:t>不能超过</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个月。</w:t>
      </w:r>
    </w:p>
    <w:p w14:paraId="3FC0B69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0"/>
          <w:sz w:val="30"/>
          <w:szCs w:val="32"/>
          <w:highlight w:val="none"/>
          <w:lang w:eastAsia="zh-CN" w:bidi="ar"/>
        </w:rPr>
        <w:t>由他人原因造成的缺陷，发包人负责组织维修，承包人不承担费用，且发包人不得从保证金中扣除费用。</w:t>
      </w:r>
    </w:p>
    <w:p w14:paraId="5C15642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15.2.3 </w:t>
      </w:r>
      <w:r>
        <w:rPr>
          <w:rFonts w:hint="eastAsia" w:ascii="Times New Roman" w:hAnsi="Times New Roman" w:eastAsia="仿宋_GB2312" w:cs="仿宋_GB2312"/>
          <w:color w:val="auto"/>
          <w:kern w:val="0"/>
          <w:sz w:val="30"/>
          <w:szCs w:val="32"/>
          <w:highlight w:val="none"/>
          <w:lang w:eastAsia="zh-CN" w:bidi="ar"/>
        </w:rPr>
        <w:t>任何一项缺陷或损坏修复后，经检查证明其影响了工程或工程设备的使用性能，承包人应重新进行合同约定的试验和试运行，试验和试运行的全部费用应由责任方承担。</w:t>
      </w:r>
    </w:p>
    <w:p w14:paraId="6CBAA8D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15.2.4 </w:t>
      </w:r>
      <w:r>
        <w:rPr>
          <w:rFonts w:hint="eastAsia" w:ascii="Times New Roman" w:hAnsi="Times New Roman" w:eastAsia="仿宋_GB2312" w:cs="仿宋_GB2312"/>
          <w:color w:val="auto"/>
          <w:kern w:val="0"/>
          <w:sz w:val="30"/>
          <w:szCs w:val="32"/>
          <w:highlight w:val="none"/>
          <w:lang w:eastAsia="zh-CN" w:bidi="ar"/>
        </w:rPr>
        <w:t>除专用合同条款另有约定外，承包人应于缺陷责任期届满后</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天内向发包人发出缺陷责任期届满通知，发包人应在收到缺陷责任期满通知后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天内核实承包人是否履行缺陷修复义务，承包人未能履行缺陷修复义务的，发包人有权扣除相应金额的维修费用。发包人应在收到缺陷责任期届满通知后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天内，向承包人颁发缺陷责任期终止证书。</w:t>
      </w:r>
    </w:p>
    <w:p w14:paraId="7F0E5A3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68" w:name="_Toc351203601"/>
      <w:bookmarkStart w:id="569" w:name="_Toc337558818"/>
      <w:bookmarkStart w:id="570" w:name="_Toc296346616"/>
      <w:bookmarkStart w:id="571" w:name="_Toc296503115"/>
      <w:r>
        <w:rPr>
          <w:rFonts w:ascii="Times New Roman" w:hAnsi="Times New Roman" w:eastAsia="黑体" w:cs="Times New Roman"/>
          <w:b w:val="0"/>
          <w:bCs/>
          <w:color w:val="auto"/>
          <w:kern w:val="2"/>
          <w:sz w:val="30"/>
          <w:szCs w:val="32"/>
          <w:highlight w:val="none"/>
          <w:lang w:val="en-US" w:eastAsia="zh-CN" w:bidi="ar-SA"/>
        </w:rPr>
        <w:t xml:space="preserve">15.3 </w:t>
      </w:r>
      <w:r>
        <w:rPr>
          <w:rFonts w:hint="eastAsia" w:ascii="Times New Roman" w:hAnsi="Times New Roman" w:eastAsia="黑体" w:cs="黑体"/>
          <w:b w:val="0"/>
          <w:bCs/>
          <w:color w:val="auto"/>
          <w:kern w:val="2"/>
          <w:sz w:val="30"/>
          <w:szCs w:val="32"/>
          <w:highlight w:val="none"/>
          <w:lang w:val="en-US" w:eastAsia="zh-CN" w:bidi="ar-SA"/>
        </w:rPr>
        <w:t>质量保证金</w:t>
      </w:r>
      <w:bookmarkEnd w:id="568"/>
    </w:p>
    <w:bookmarkEnd w:id="569"/>
    <w:p w14:paraId="74959C3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经合同当事人协商一致扣留质量保证金的，应在专用合同条款中予以明确。</w:t>
      </w:r>
    </w:p>
    <w:p w14:paraId="4A7B4AE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2"/>
          <w:sz w:val="30"/>
          <w:szCs w:val="32"/>
          <w:highlight w:val="none"/>
          <w:lang w:eastAsia="zh-CN" w:bidi="ar"/>
        </w:rPr>
        <w:t>在工程项目竣工前，承包人已经提供履约担保的，发包人不得同时预留工程质量保证金。</w:t>
      </w:r>
    </w:p>
    <w:p w14:paraId="73481DD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p>
    <w:p w14:paraId="4FC3676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15.3.1 </w:t>
      </w:r>
      <w:r>
        <w:rPr>
          <w:rFonts w:hint="eastAsia" w:ascii="Times New Roman" w:hAnsi="Times New Roman" w:eastAsia="仿宋_GB2312" w:cs="仿宋_GB2312"/>
          <w:color w:val="auto"/>
          <w:kern w:val="0"/>
          <w:sz w:val="30"/>
          <w:szCs w:val="32"/>
          <w:highlight w:val="none"/>
          <w:lang w:eastAsia="zh-CN" w:bidi="ar"/>
        </w:rPr>
        <w:t>承包人提供质量保证金的方式</w:t>
      </w:r>
    </w:p>
    <w:p w14:paraId="0863003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承包人提供质量保证金有以下三种方式：</w:t>
      </w:r>
    </w:p>
    <w:p w14:paraId="118D096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）质量保证金保函；</w:t>
      </w:r>
      <w:r>
        <w:rPr>
          <w:rFonts w:ascii="Times New Roman" w:hAnsi="Times New Roman" w:eastAsia="仿宋_GB2312" w:cs="Times New Roman"/>
          <w:color w:val="auto"/>
          <w:kern w:val="0"/>
          <w:sz w:val="30"/>
          <w:szCs w:val="32"/>
          <w:highlight w:val="none"/>
          <w:lang w:eastAsia="zh-CN" w:bidi="ar"/>
        </w:rPr>
        <w:t xml:space="preserve"> </w:t>
      </w:r>
    </w:p>
    <w:p w14:paraId="508F581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）相应比例的工程款；</w:t>
      </w:r>
    </w:p>
    <w:p w14:paraId="320BE8F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）双方约定的其他方式。</w:t>
      </w:r>
    </w:p>
    <w:p w14:paraId="74441B8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除专用合同条款另有约定外，质量保证金原则上采用上述第（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w:t>
      </w:r>
    </w:p>
    <w:p w14:paraId="2F6E96B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15.3.2 </w:t>
      </w:r>
      <w:r>
        <w:rPr>
          <w:rFonts w:hint="eastAsia" w:ascii="Times New Roman" w:hAnsi="Times New Roman" w:eastAsia="仿宋_GB2312" w:cs="仿宋_GB2312"/>
          <w:color w:val="auto"/>
          <w:kern w:val="0"/>
          <w:sz w:val="30"/>
          <w:szCs w:val="32"/>
          <w:highlight w:val="none"/>
          <w:lang w:eastAsia="zh-CN" w:bidi="ar"/>
        </w:rPr>
        <w:t>质量保证金的扣留</w:t>
      </w:r>
    </w:p>
    <w:p w14:paraId="73B9A4F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质量保证金的扣留有以下三种方式：</w:t>
      </w:r>
    </w:p>
    <w:p w14:paraId="0D96B05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）在支付工程进度款时逐次扣留，在此情形下，质量保证金的计算基数不包括预付款的支付、扣回以及价格调整的金额；</w:t>
      </w:r>
    </w:p>
    <w:p w14:paraId="0531E51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）工</w:t>
      </w:r>
      <w:bookmarkStart w:id="572" w:name="#go6"/>
      <w:bookmarkEnd w:id="572"/>
      <w:r>
        <w:rPr>
          <w:rFonts w:hint="eastAsia" w:ascii="Times New Roman" w:hAnsi="Times New Roman" w:eastAsia="仿宋_GB2312" w:cs="仿宋_GB2312"/>
          <w:color w:val="auto"/>
          <w:kern w:val="0"/>
          <w:sz w:val="30"/>
          <w:szCs w:val="32"/>
          <w:highlight w:val="none"/>
          <w:lang w:eastAsia="zh-CN" w:bidi="ar"/>
        </w:rPr>
        <w:t>程竣工结算时一次性扣留质量保证金；</w:t>
      </w:r>
    </w:p>
    <w:p w14:paraId="716F6D4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）双方约定的其他扣留方式。</w:t>
      </w:r>
    </w:p>
    <w:p w14:paraId="47D5A64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除专用合同条款另有约定外，质量保证金的扣留原则上采用上述第（</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）种方式。</w:t>
      </w:r>
    </w:p>
    <w:p w14:paraId="25F7C7F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w:t>
      </w:r>
      <w:bookmarkStart w:id="573" w:name="#go4"/>
      <w:bookmarkEnd w:id="573"/>
      <w:r>
        <w:rPr>
          <w:rFonts w:hint="eastAsia" w:ascii="Times New Roman" w:hAnsi="Times New Roman" w:eastAsia="仿宋_GB2312" w:cs="仿宋_GB2312"/>
          <w:color w:val="auto"/>
          <w:kern w:val="0"/>
          <w:sz w:val="30"/>
          <w:szCs w:val="32"/>
          <w:highlight w:val="none"/>
          <w:lang w:eastAsia="zh-CN" w:bidi="ar"/>
        </w:rPr>
        <w:t>包人累计扣留的质量保证金不得超过工程价款结算总额的</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。如承包人在发包人签发竣工付款证书后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天内提交质量保证金保函，发包人应同时退还扣留的作为质量保证金的工程价款</w:t>
      </w:r>
      <w:r>
        <w:rPr>
          <w:rFonts w:hint="eastAsia" w:ascii="Calibri" w:hAnsi="Calibri" w:eastAsia="仿宋_GB2312" w:cs="仿宋_GB2312"/>
          <w:color w:val="auto"/>
          <w:kern w:val="0"/>
          <w:sz w:val="30"/>
          <w:szCs w:val="32"/>
          <w:highlight w:val="none"/>
          <w:lang w:eastAsia="zh-CN" w:bidi="ar"/>
        </w:rPr>
        <w:t>；保函金额不得超过工程价款结算总额的</w:t>
      </w:r>
      <w:r>
        <w:rPr>
          <w:rFonts w:ascii="Calibri" w:hAnsi="Calibri" w:eastAsia="仿宋_GB2312" w:cs="Times New Roman"/>
          <w:color w:val="auto"/>
          <w:kern w:val="0"/>
          <w:sz w:val="30"/>
          <w:szCs w:val="32"/>
          <w:highlight w:val="none"/>
          <w:lang w:eastAsia="zh-CN" w:bidi="ar"/>
        </w:rPr>
        <w:t>3%</w:t>
      </w:r>
      <w:r>
        <w:rPr>
          <w:rFonts w:hint="eastAsia" w:ascii="Calibri" w:hAnsi="Calibri" w:eastAsia="仿宋_GB2312" w:cs="仿宋_GB2312"/>
          <w:color w:val="auto"/>
          <w:kern w:val="0"/>
          <w:sz w:val="30"/>
          <w:szCs w:val="32"/>
          <w:highlight w:val="none"/>
          <w:lang w:eastAsia="zh-CN" w:bidi="ar"/>
        </w:rPr>
        <w:t>。</w:t>
      </w:r>
    </w:p>
    <w:p w14:paraId="01E1E6E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0"/>
          <w:sz w:val="30"/>
          <w:szCs w:val="32"/>
          <w:highlight w:val="none"/>
          <w:lang w:eastAsia="zh-CN" w:bidi="ar"/>
        </w:rPr>
        <w:t>发包人在退还质量保证金的同时按照中国人民银行发布的同期同类贷款基准利率支付利息。</w:t>
      </w:r>
    </w:p>
    <w:p w14:paraId="3EC7284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15.3.3 </w:t>
      </w:r>
      <w:r>
        <w:rPr>
          <w:rFonts w:hint="eastAsia" w:ascii="Times New Roman" w:hAnsi="Times New Roman" w:eastAsia="仿宋_GB2312" w:cs="仿宋_GB2312"/>
          <w:color w:val="auto"/>
          <w:kern w:val="2"/>
          <w:sz w:val="30"/>
          <w:szCs w:val="32"/>
          <w:highlight w:val="none"/>
          <w:lang w:eastAsia="zh-CN" w:bidi="ar"/>
        </w:rPr>
        <w:t>质量保证金</w:t>
      </w:r>
      <w:r>
        <w:rPr>
          <w:rFonts w:hint="eastAsia" w:ascii="Times New Roman" w:hAnsi="Times New Roman" w:eastAsia="仿宋_GB2312" w:cs="仿宋_GB2312"/>
          <w:color w:val="auto"/>
          <w:kern w:val="0"/>
          <w:sz w:val="30"/>
          <w:szCs w:val="32"/>
          <w:highlight w:val="none"/>
          <w:lang w:eastAsia="zh-CN" w:bidi="ar"/>
        </w:rPr>
        <w:t>的退还</w:t>
      </w:r>
    </w:p>
    <w:p w14:paraId="48B3F53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0"/>
          <w:sz w:val="30"/>
          <w:szCs w:val="32"/>
          <w:highlight w:val="none"/>
          <w:lang w:eastAsia="zh-CN" w:bidi="ar"/>
        </w:rPr>
        <w:t>缺陷责任期内，承包人认真履行合同约定的责任，到期后，承包人可向发包人申请返还保证金。</w:t>
      </w:r>
    </w:p>
    <w:p w14:paraId="4EF9D6C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0"/>
          <w:sz w:val="30"/>
          <w:szCs w:val="32"/>
          <w:highlight w:val="none"/>
          <w:lang w:eastAsia="zh-CN" w:bidi="ar"/>
        </w:rPr>
        <w:t>发包人在接到承包人返还保证金申请后，应于</w:t>
      </w:r>
      <w:r>
        <w:rPr>
          <w:rFonts w:ascii="Calibri" w:hAnsi="Calibri" w:eastAsia="仿宋_GB2312" w:cs="Times New Roman"/>
          <w:color w:val="auto"/>
          <w:kern w:val="0"/>
          <w:sz w:val="30"/>
          <w:szCs w:val="32"/>
          <w:highlight w:val="none"/>
          <w:lang w:eastAsia="zh-CN" w:bidi="ar"/>
        </w:rPr>
        <w:t>14</w:t>
      </w:r>
      <w:r>
        <w:rPr>
          <w:rFonts w:hint="eastAsia" w:ascii="Calibri" w:hAnsi="Calibri" w:eastAsia="仿宋_GB2312" w:cs="仿宋_GB2312"/>
          <w:color w:val="auto"/>
          <w:kern w:val="0"/>
          <w:sz w:val="30"/>
          <w:szCs w:val="32"/>
          <w:highlight w:val="none"/>
          <w:lang w:eastAsia="zh-CN" w:bidi="ar"/>
        </w:rPr>
        <w:t>天内会同承包人按照合同约定的内容进行核实。如无异议，发包人应当按照约定将保证金返还给承包人。对返还期限没有约定或者约定不明确的，发包人应当在核实后</w:t>
      </w:r>
      <w:r>
        <w:rPr>
          <w:rFonts w:ascii="Calibri" w:hAnsi="Calibri" w:eastAsia="仿宋_GB2312" w:cs="Times New Roman"/>
          <w:color w:val="auto"/>
          <w:kern w:val="0"/>
          <w:sz w:val="30"/>
          <w:szCs w:val="32"/>
          <w:highlight w:val="none"/>
          <w:lang w:eastAsia="zh-CN" w:bidi="ar"/>
        </w:rPr>
        <w:t>14</w:t>
      </w:r>
      <w:r>
        <w:rPr>
          <w:rFonts w:hint="eastAsia" w:ascii="Calibri" w:hAnsi="Calibri" w:eastAsia="仿宋_GB2312" w:cs="仿宋_GB2312"/>
          <w:color w:val="auto"/>
          <w:kern w:val="0"/>
          <w:sz w:val="30"/>
          <w:szCs w:val="32"/>
          <w:highlight w:val="none"/>
          <w:lang w:eastAsia="zh-CN" w:bidi="ar"/>
        </w:rPr>
        <w:t>天内将保证金返还承包人，逾期未返还的，依法承担违约责任。发包人在接到承包人返还保证金申请后</w:t>
      </w:r>
      <w:r>
        <w:rPr>
          <w:rFonts w:ascii="Calibri" w:hAnsi="Calibri" w:eastAsia="仿宋_GB2312" w:cs="Times New Roman"/>
          <w:color w:val="auto"/>
          <w:kern w:val="0"/>
          <w:sz w:val="30"/>
          <w:szCs w:val="32"/>
          <w:highlight w:val="none"/>
          <w:lang w:eastAsia="zh-CN" w:bidi="ar"/>
        </w:rPr>
        <w:t>14</w:t>
      </w:r>
      <w:r>
        <w:rPr>
          <w:rFonts w:hint="eastAsia" w:ascii="Calibri" w:hAnsi="Calibri" w:eastAsia="仿宋_GB2312" w:cs="仿宋_GB2312"/>
          <w:color w:val="auto"/>
          <w:kern w:val="0"/>
          <w:sz w:val="30"/>
          <w:szCs w:val="32"/>
          <w:highlight w:val="none"/>
          <w:lang w:eastAsia="zh-CN" w:bidi="ar"/>
        </w:rPr>
        <w:t>天内不予答复，经催告后</w:t>
      </w:r>
      <w:r>
        <w:rPr>
          <w:rFonts w:ascii="Calibri" w:hAnsi="Calibri" w:eastAsia="仿宋_GB2312" w:cs="Times New Roman"/>
          <w:color w:val="auto"/>
          <w:kern w:val="0"/>
          <w:sz w:val="30"/>
          <w:szCs w:val="32"/>
          <w:highlight w:val="none"/>
          <w:lang w:eastAsia="zh-CN" w:bidi="ar"/>
        </w:rPr>
        <w:t>14</w:t>
      </w:r>
      <w:r>
        <w:rPr>
          <w:rFonts w:hint="eastAsia" w:ascii="Calibri" w:hAnsi="Calibri" w:eastAsia="仿宋_GB2312" w:cs="仿宋_GB2312"/>
          <w:color w:val="auto"/>
          <w:kern w:val="0"/>
          <w:sz w:val="30"/>
          <w:szCs w:val="32"/>
          <w:highlight w:val="none"/>
          <w:lang w:eastAsia="zh-CN" w:bidi="ar"/>
        </w:rPr>
        <w:t>天内仍不予答复，视同认可承包人的返还保证金申请。</w:t>
      </w:r>
    </w:p>
    <w:p w14:paraId="37BB603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Calibri" w:hAnsi="Calibri" w:eastAsia="仿宋_GB2312" w:cs="仿宋_GB2312"/>
          <w:color w:val="auto"/>
          <w:kern w:val="0"/>
          <w:sz w:val="30"/>
          <w:szCs w:val="32"/>
          <w:highlight w:val="none"/>
          <w:lang w:eastAsia="zh-CN" w:bidi="ar"/>
        </w:rPr>
        <w:t>发包人和承包人对保证金预留、返还以及工程维修质量、费用有争议的，按本合同第</w:t>
      </w:r>
      <w:r>
        <w:rPr>
          <w:rFonts w:ascii="Calibri" w:hAnsi="Calibri" w:eastAsia="仿宋_GB2312" w:cs="Times New Roman"/>
          <w:color w:val="auto"/>
          <w:kern w:val="0"/>
          <w:sz w:val="30"/>
          <w:szCs w:val="32"/>
          <w:highlight w:val="none"/>
          <w:lang w:eastAsia="zh-CN" w:bidi="ar"/>
        </w:rPr>
        <w:t>20</w:t>
      </w:r>
      <w:r>
        <w:rPr>
          <w:rFonts w:hint="eastAsia" w:ascii="Calibri" w:hAnsi="Calibri" w:eastAsia="仿宋_GB2312" w:cs="仿宋_GB2312"/>
          <w:color w:val="auto"/>
          <w:kern w:val="0"/>
          <w:sz w:val="30"/>
          <w:szCs w:val="32"/>
          <w:highlight w:val="none"/>
          <w:lang w:eastAsia="zh-CN" w:bidi="ar"/>
        </w:rPr>
        <w:t>条约定的争议和纠纷解决程序处理</w:t>
      </w:r>
      <w:r>
        <w:rPr>
          <w:rFonts w:hint="eastAsia" w:ascii="Times New Roman" w:hAnsi="Times New Roman" w:eastAsia="仿宋_GB2312" w:cs="仿宋_GB2312"/>
          <w:color w:val="auto"/>
          <w:kern w:val="0"/>
          <w:sz w:val="30"/>
          <w:szCs w:val="32"/>
          <w:highlight w:val="none"/>
          <w:lang w:eastAsia="zh-CN" w:bidi="ar"/>
        </w:rPr>
        <w:t>。</w:t>
      </w:r>
    </w:p>
    <w:p w14:paraId="466A92F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74" w:name="_Toc351203602"/>
      <w:bookmarkStart w:id="575" w:name="_Toc337558819"/>
      <w:r>
        <w:rPr>
          <w:rFonts w:ascii="Times New Roman" w:hAnsi="Times New Roman" w:eastAsia="黑体" w:cs="Times New Roman"/>
          <w:b w:val="0"/>
          <w:bCs/>
          <w:color w:val="auto"/>
          <w:kern w:val="2"/>
          <w:sz w:val="30"/>
          <w:szCs w:val="32"/>
          <w:highlight w:val="none"/>
          <w:lang w:val="en-US" w:eastAsia="zh-CN" w:bidi="ar-SA"/>
        </w:rPr>
        <w:t xml:space="preserve">15.4 </w:t>
      </w:r>
      <w:r>
        <w:rPr>
          <w:rFonts w:hint="eastAsia" w:ascii="Times New Roman" w:hAnsi="Times New Roman" w:eastAsia="黑体" w:cs="黑体"/>
          <w:b w:val="0"/>
          <w:bCs/>
          <w:color w:val="auto"/>
          <w:kern w:val="2"/>
          <w:sz w:val="30"/>
          <w:szCs w:val="32"/>
          <w:highlight w:val="none"/>
          <w:lang w:val="en-US" w:eastAsia="zh-CN" w:bidi="ar-SA"/>
        </w:rPr>
        <w:t>保修</w:t>
      </w:r>
      <w:bookmarkEnd w:id="574"/>
    </w:p>
    <w:bookmarkEnd w:id="570"/>
    <w:bookmarkEnd w:id="571"/>
    <w:bookmarkEnd w:id="575"/>
    <w:p w14:paraId="7069584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15.4.1</w:t>
      </w:r>
      <w:r>
        <w:rPr>
          <w:rFonts w:hint="eastAsia" w:ascii="Times New Roman" w:hAnsi="Times New Roman" w:eastAsia="仿宋_GB2312" w:cs="仿宋_GB2312"/>
          <w:color w:val="auto"/>
          <w:kern w:val="0"/>
          <w:sz w:val="30"/>
          <w:szCs w:val="32"/>
          <w:highlight w:val="none"/>
          <w:lang w:eastAsia="zh-CN" w:bidi="ar"/>
        </w:rPr>
        <w:t>保修责任</w:t>
      </w:r>
    </w:p>
    <w:p w14:paraId="5A3012C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693E8D2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发包人未经竣工验收擅自使用工程的，保修期自</w:t>
      </w:r>
      <w:r>
        <w:rPr>
          <w:rFonts w:hint="eastAsia" w:ascii="Times New Roman" w:hAnsi="Times New Roman" w:eastAsia="仿宋_GB2312" w:cs="仿宋_GB2312"/>
          <w:color w:val="auto"/>
          <w:kern w:val="0"/>
          <w:sz w:val="30"/>
          <w:szCs w:val="32"/>
          <w:highlight w:val="none"/>
          <w:lang w:eastAsia="zh-CN" w:bidi="ar"/>
        </w:rPr>
        <w:t>转移占有之日起算</w:t>
      </w:r>
      <w:r>
        <w:rPr>
          <w:rFonts w:hint="eastAsia" w:ascii="Times New Roman" w:hAnsi="Times New Roman" w:eastAsia="仿宋_GB2312" w:cs="仿宋_GB2312"/>
          <w:color w:val="auto"/>
          <w:kern w:val="2"/>
          <w:sz w:val="30"/>
          <w:szCs w:val="32"/>
          <w:highlight w:val="none"/>
          <w:lang w:eastAsia="zh-CN" w:bidi="ar"/>
        </w:rPr>
        <w:t>。</w:t>
      </w:r>
    </w:p>
    <w:p w14:paraId="79E34DD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15.4.2 </w:t>
      </w:r>
      <w:r>
        <w:rPr>
          <w:rFonts w:hint="eastAsia" w:ascii="Times New Roman" w:hAnsi="Times New Roman" w:eastAsia="仿宋_GB2312" w:cs="仿宋_GB2312"/>
          <w:color w:val="auto"/>
          <w:kern w:val="0"/>
          <w:sz w:val="30"/>
          <w:szCs w:val="32"/>
          <w:highlight w:val="none"/>
          <w:lang w:eastAsia="zh-CN" w:bidi="ar"/>
        </w:rPr>
        <w:t>修复费用</w:t>
      </w:r>
    </w:p>
    <w:p w14:paraId="603AAD7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保修期内，修复的费用按照以下约定处理：</w:t>
      </w:r>
    </w:p>
    <w:p w14:paraId="5725BFC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）保修期内，因承包人原因造成工程的缺陷、损坏，承包人应负责修复，并承担修复的费用以及因工程的缺陷、损坏造成的人身伤害和财产损失；</w:t>
      </w:r>
    </w:p>
    <w:p w14:paraId="6CE2CF4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）保修期内，因发包人使用不当造成工程的缺陷、损坏，可以委托承包人修复，但发包人应承担修复的费用，并支付承包人合理利润；</w:t>
      </w:r>
    </w:p>
    <w:p w14:paraId="737EA26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）因其他原因造成工程的缺陷、损坏，可以委托承包人修复，发包人应承担修复的费用，并支付承包人合理的利润，因工程的缺陷、损坏造成的人身伤害和财产损失由责任方承担。</w:t>
      </w:r>
    </w:p>
    <w:p w14:paraId="4865DEC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15.4.3 </w:t>
      </w:r>
      <w:r>
        <w:rPr>
          <w:rFonts w:hint="eastAsia" w:ascii="Times New Roman" w:hAnsi="Times New Roman" w:eastAsia="仿宋_GB2312" w:cs="仿宋_GB2312"/>
          <w:color w:val="auto"/>
          <w:kern w:val="0"/>
          <w:sz w:val="30"/>
          <w:szCs w:val="32"/>
          <w:highlight w:val="none"/>
          <w:lang w:eastAsia="zh-CN" w:bidi="ar"/>
        </w:rPr>
        <w:t>修复通知</w:t>
      </w:r>
    </w:p>
    <w:p w14:paraId="1C18DD5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在保修期内，发包人在使用过程中，发现已接收的工程存在缺陷或损坏的，应书面通知承包人予以修复，但情况紧急必须立即修复缺陷或损坏的，发包人可以口头通知承包人并在口头通知后</w:t>
      </w:r>
      <w:r>
        <w:rPr>
          <w:rFonts w:ascii="Times New Roman" w:hAnsi="Times New Roman" w:eastAsia="仿宋_GB2312" w:cs="Times New Roman"/>
          <w:color w:val="auto"/>
          <w:kern w:val="0"/>
          <w:sz w:val="30"/>
          <w:szCs w:val="32"/>
          <w:highlight w:val="none"/>
          <w:lang w:eastAsia="zh-CN" w:bidi="ar"/>
        </w:rPr>
        <w:t>48</w:t>
      </w:r>
      <w:r>
        <w:rPr>
          <w:rFonts w:hint="eastAsia" w:ascii="Times New Roman" w:hAnsi="Times New Roman" w:eastAsia="仿宋_GB2312" w:cs="仿宋_GB2312"/>
          <w:color w:val="auto"/>
          <w:kern w:val="0"/>
          <w:sz w:val="30"/>
          <w:szCs w:val="32"/>
          <w:highlight w:val="none"/>
          <w:lang w:eastAsia="zh-CN" w:bidi="ar"/>
        </w:rPr>
        <w:t>小时内书面确认，承包人应在专用合同条款约定的合理期限内到达工程现场并修复缺陷或损坏。</w:t>
      </w:r>
    </w:p>
    <w:p w14:paraId="39CDC2B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15.4.4 </w:t>
      </w:r>
      <w:r>
        <w:rPr>
          <w:rFonts w:hint="eastAsia" w:ascii="Times New Roman" w:hAnsi="Times New Roman" w:eastAsia="仿宋_GB2312" w:cs="仿宋_GB2312"/>
          <w:color w:val="auto"/>
          <w:kern w:val="0"/>
          <w:sz w:val="30"/>
          <w:szCs w:val="32"/>
          <w:highlight w:val="none"/>
          <w:lang w:eastAsia="zh-CN" w:bidi="ar"/>
        </w:rPr>
        <w:t>未能修复</w:t>
      </w:r>
    </w:p>
    <w:p w14:paraId="3F6090B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B556EB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15.4.5 </w:t>
      </w:r>
      <w:r>
        <w:rPr>
          <w:rFonts w:hint="eastAsia" w:ascii="Times New Roman" w:hAnsi="Times New Roman" w:eastAsia="仿宋_GB2312" w:cs="仿宋_GB2312"/>
          <w:color w:val="auto"/>
          <w:kern w:val="0"/>
          <w:sz w:val="30"/>
          <w:szCs w:val="32"/>
          <w:highlight w:val="none"/>
          <w:lang w:eastAsia="zh-CN" w:bidi="ar"/>
        </w:rPr>
        <w:t>承包人出入权</w:t>
      </w:r>
    </w:p>
    <w:p w14:paraId="16AA6E7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在保修期内，为了修复缺陷或损坏，承包人有权出入工程现场，除情况紧急必须立即修复缺陷或损坏外，承包人应提前</w:t>
      </w:r>
      <w:r>
        <w:rPr>
          <w:rFonts w:ascii="Times New Roman" w:hAnsi="Times New Roman" w:eastAsia="仿宋_GB2312" w:cs="Times New Roman"/>
          <w:color w:val="auto"/>
          <w:kern w:val="0"/>
          <w:sz w:val="30"/>
          <w:szCs w:val="32"/>
          <w:highlight w:val="none"/>
          <w:lang w:eastAsia="zh-CN" w:bidi="ar"/>
        </w:rPr>
        <w:t>24</w:t>
      </w:r>
      <w:r>
        <w:rPr>
          <w:rFonts w:hint="eastAsia" w:ascii="Times New Roman" w:hAnsi="Times New Roman" w:eastAsia="仿宋_GB2312" w:cs="仿宋_GB2312"/>
          <w:color w:val="auto"/>
          <w:kern w:val="0"/>
          <w:sz w:val="30"/>
          <w:szCs w:val="32"/>
          <w:highlight w:val="none"/>
          <w:lang w:eastAsia="zh-CN" w:bidi="ar"/>
        </w:rPr>
        <w:t>小时通知发包人进场修复的时间。承包人进入工程现场前应获得发包人同意，且不应影响发包人正常的生产经营，并应遵守发包人有关保安和保密等规定。</w:t>
      </w:r>
    </w:p>
    <w:p w14:paraId="1FB7FF3A">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576" w:name="_Toc351203603"/>
      <w:bookmarkStart w:id="577" w:name="_Toc163768453"/>
      <w:bookmarkStart w:id="578" w:name="_Toc163768571"/>
      <w:bookmarkStart w:id="579" w:name="_Toc337558820"/>
      <w:r>
        <w:rPr>
          <w:rFonts w:ascii="Times New Roman" w:hAnsi="Times New Roman" w:eastAsia="黑体" w:cs="Times New Roman"/>
          <w:b/>
          <w:bCs/>
          <w:color w:val="auto"/>
          <w:sz w:val="32"/>
          <w:szCs w:val="32"/>
          <w:highlight w:val="none"/>
          <w:lang w:val="en-US" w:eastAsia="zh-CN" w:bidi="en-US"/>
        </w:rPr>
        <w:t xml:space="preserve">16. </w:t>
      </w:r>
      <w:r>
        <w:rPr>
          <w:rFonts w:hint="eastAsia" w:ascii="Times New Roman" w:hAnsi="Times New Roman" w:eastAsia="黑体" w:cs="黑体"/>
          <w:b/>
          <w:bCs/>
          <w:color w:val="auto"/>
          <w:sz w:val="32"/>
          <w:szCs w:val="32"/>
          <w:highlight w:val="none"/>
          <w:lang w:val="en-US" w:eastAsia="zh-CN" w:bidi="en-US"/>
        </w:rPr>
        <w:t>违约</w:t>
      </w:r>
      <w:bookmarkEnd w:id="576"/>
      <w:bookmarkEnd w:id="577"/>
      <w:bookmarkEnd w:id="578"/>
    </w:p>
    <w:bookmarkEnd w:id="579"/>
    <w:p w14:paraId="3465259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80" w:name="_Toc296346630"/>
      <w:bookmarkStart w:id="581" w:name="_Toc296503129"/>
      <w:bookmarkStart w:id="582" w:name="_Toc351203604"/>
      <w:bookmarkStart w:id="583" w:name="_Toc337558821"/>
      <w:r>
        <w:rPr>
          <w:rFonts w:ascii="Times New Roman" w:hAnsi="Times New Roman" w:eastAsia="黑体" w:cs="Times New Roman"/>
          <w:b w:val="0"/>
          <w:bCs/>
          <w:color w:val="auto"/>
          <w:kern w:val="2"/>
          <w:sz w:val="30"/>
          <w:szCs w:val="32"/>
          <w:highlight w:val="none"/>
          <w:lang w:val="en-US" w:eastAsia="zh-CN" w:bidi="ar-SA"/>
        </w:rPr>
        <w:t xml:space="preserve">16.1 </w:t>
      </w:r>
      <w:r>
        <w:rPr>
          <w:rFonts w:hint="eastAsia" w:ascii="Times New Roman" w:hAnsi="Times New Roman" w:eastAsia="黑体" w:cs="黑体"/>
          <w:b w:val="0"/>
          <w:bCs/>
          <w:color w:val="auto"/>
          <w:kern w:val="2"/>
          <w:sz w:val="30"/>
          <w:szCs w:val="32"/>
          <w:highlight w:val="none"/>
          <w:lang w:val="en-US" w:eastAsia="zh-CN" w:bidi="ar-SA"/>
        </w:rPr>
        <w:t>发</w:t>
      </w:r>
      <w:bookmarkEnd w:id="580"/>
      <w:bookmarkEnd w:id="581"/>
      <w:r>
        <w:rPr>
          <w:rFonts w:hint="eastAsia" w:ascii="Times New Roman" w:hAnsi="Times New Roman" w:eastAsia="黑体" w:cs="黑体"/>
          <w:b w:val="0"/>
          <w:bCs/>
          <w:color w:val="auto"/>
          <w:kern w:val="2"/>
          <w:sz w:val="30"/>
          <w:szCs w:val="32"/>
          <w:highlight w:val="none"/>
          <w:lang w:val="en-US" w:eastAsia="zh-CN" w:bidi="ar-SA"/>
        </w:rPr>
        <w:t>包人违约</w:t>
      </w:r>
      <w:bookmarkEnd w:id="582"/>
    </w:p>
    <w:bookmarkEnd w:id="583"/>
    <w:p w14:paraId="650B846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16.1.1 </w:t>
      </w:r>
      <w:r>
        <w:rPr>
          <w:rFonts w:hint="eastAsia" w:ascii="Times New Roman" w:hAnsi="Times New Roman" w:eastAsia="仿宋_GB2312" w:cs="仿宋_GB2312"/>
          <w:color w:val="auto"/>
          <w:kern w:val="0"/>
          <w:sz w:val="30"/>
          <w:szCs w:val="32"/>
          <w:highlight w:val="none"/>
          <w:lang w:eastAsia="zh-CN" w:bidi="ar"/>
        </w:rPr>
        <w:t>发包人违约的情形</w:t>
      </w:r>
    </w:p>
    <w:p w14:paraId="7AB3C81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在合同履行过程中发生的下列情形，属于发包人违约：</w:t>
      </w:r>
    </w:p>
    <w:p w14:paraId="0C5A2DC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）因发包人原因未能在计划开工日期前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天内下达开工通知的；</w:t>
      </w:r>
    </w:p>
    <w:p w14:paraId="40998F5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）因发包人原因未能按合同约定支付合同价款的；</w:t>
      </w:r>
    </w:p>
    <w:p w14:paraId="6926488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）发包人违反第</w:t>
      </w:r>
      <w:r>
        <w:rPr>
          <w:rFonts w:ascii="Times New Roman" w:hAnsi="Times New Roman" w:eastAsia="仿宋_GB2312" w:cs="Times New Roman"/>
          <w:color w:val="auto"/>
          <w:kern w:val="0"/>
          <w:sz w:val="30"/>
          <w:szCs w:val="32"/>
          <w:highlight w:val="none"/>
          <w:lang w:eastAsia="zh-CN" w:bidi="ar"/>
        </w:rPr>
        <w:t>10.1</w:t>
      </w:r>
      <w:r>
        <w:rPr>
          <w:rFonts w:hint="eastAsia" w:ascii="Times New Roman" w:hAnsi="Times New Roman" w:eastAsia="仿宋_GB2312" w:cs="仿宋_GB2312"/>
          <w:color w:val="auto"/>
          <w:kern w:val="0"/>
          <w:sz w:val="30"/>
          <w:szCs w:val="32"/>
          <w:highlight w:val="none"/>
          <w:lang w:eastAsia="zh-CN" w:bidi="ar"/>
        </w:rPr>
        <w:t>款〔变更的范围〕第（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）项约定，自行实施被取消的工作或转由他人实施的；</w:t>
      </w:r>
    </w:p>
    <w:p w14:paraId="69A6561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）发包人提供的材料、工程设备的规格、数量或质量不符合合同约定，或因发包人原因导致交货日期延误或交货地点变更等情况的；</w:t>
      </w:r>
    </w:p>
    <w:p w14:paraId="462A3A5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）因发包人违反合同约定造成暂停施工的；</w:t>
      </w:r>
    </w:p>
    <w:p w14:paraId="61832B6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）发包人无正当理由没有在约定期限内发出复工指示，导致承包人无法复工的；</w:t>
      </w:r>
    </w:p>
    <w:p w14:paraId="02CCD05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）发包人明确表示或者以其行为表明不履行合同主要义务的；</w:t>
      </w:r>
    </w:p>
    <w:p w14:paraId="69C525C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8</w:t>
      </w:r>
      <w:r>
        <w:rPr>
          <w:rFonts w:hint="eastAsia" w:ascii="Times New Roman" w:hAnsi="Times New Roman" w:eastAsia="仿宋_GB2312" w:cs="仿宋_GB2312"/>
          <w:color w:val="auto"/>
          <w:kern w:val="0"/>
          <w:sz w:val="30"/>
          <w:szCs w:val="32"/>
          <w:highlight w:val="none"/>
          <w:lang w:eastAsia="zh-CN" w:bidi="ar"/>
        </w:rPr>
        <w:t>）发包人未能按照合同约定履行其他义务的。</w:t>
      </w:r>
    </w:p>
    <w:p w14:paraId="2640067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发包人发生除本项第（</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）目以外的违约情况时，承包人可向发包人发出通知，要求发包人采取有效措施纠正违约行为。发包人收到承包人通知后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天内仍不纠正违约行为的，承包人有权暂停相应部位工程施工，并通知监理人。</w:t>
      </w:r>
    </w:p>
    <w:p w14:paraId="1457E3F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16.1.2 </w:t>
      </w:r>
      <w:r>
        <w:rPr>
          <w:rFonts w:hint="eastAsia" w:ascii="Times New Roman" w:hAnsi="Times New Roman" w:eastAsia="仿宋_GB2312" w:cs="仿宋_GB2312"/>
          <w:color w:val="auto"/>
          <w:kern w:val="0"/>
          <w:sz w:val="30"/>
          <w:szCs w:val="32"/>
          <w:highlight w:val="none"/>
          <w:lang w:eastAsia="zh-CN" w:bidi="ar"/>
        </w:rPr>
        <w:t>发包人违约的责任</w:t>
      </w:r>
    </w:p>
    <w:p w14:paraId="3270B62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发包人应承担因其违约给承包人增加的费用和（或）延误的工期，并支付承包人合理的利润。此外，合同当事人可在专用合同条款中另行约定发包人违约责任的承担方式和计算方法。</w:t>
      </w:r>
    </w:p>
    <w:p w14:paraId="472D2A7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16.1.3 </w:t>
      </w:r>
      <w:r>
        <w:rPr>
          <w:rFonts w:hint="eastAsia" w:ascii="Times New Roman" w:hAnsi="Times New Roman" w:eastAsia="仿宋_GB2312" w:cs="仿宋_GB2312"/>
          <w:color w:val="auto"/>
          <w:kern w:val="0"/>
          <w:sz w:val="30"/>
          <w:szCs w:val="32"/>
          <w:highlight w:val="none"/>
          <w:lang w:eastAsia="zh-CN" w:bidi="ar"/>
        </w:rPr>
        <w:t>因发包人违约解除合同</w:t>
      </w:r>
    </w:p>
    <w:p w14:paraId="12ABD6B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除专用合同条款另有约定外，承包人按第</w:t>
      </w:r>
      <w:r>
        <w:rPr>
          <w:rFonts w:ascii="Times New Roman" w:hAnsi="Times New Roman" w:eastAsia="仿宋_GB2312" w:cs="Times New Roman"/>
          <w:color w:val="auto"/>
          <w:kern w:val="0"/>
          <w:sz w:val="30"/>
          <w:szCs w:val="32"/>
          <w:highlight w:val="none"/>
          <w:lang w:eastAsia="zh-CN" w:bidi="ar"/>
        </w:rPr>
        <w:t>16.1.1</w:t>
      </w:r>
      <w:r>
        <w:rPr>
          <w:rFonts w:hint="eastAsia" w:ascii="Times New Roman" w:hAnsi="Times New Roman" w:eastAsia="仿宋_GB2312" w:cs="仿宋_GB2312"/>
          <w:color w:val="auto"/>
          <w:kern w:val="0"/>
          <w:sz w:val="30"/>
          <w:szCs w:val="32"/>
          <w:highlight w:val="none"/>
          <w:lang w:eastAsia="zh-CN" w:bidi="ar"/>
        </w:rPr>
        <w:t>项〔发包人违约的情形〕约定暂停施工满</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天后，发包人仍不纠正其违约行为并致使合同目的不能实现的，或出现第</w:t>
      </w:r>
      <w:r>
        <w:rPr>
          <w:rFonts w:ascii="Times New Roman" w:hAnsi="Times New Roman" w:eastAsia="仿宋_GB2312" w:cs="Times New Roman"/>
          <w:color w:val="auto"/>
          <w:kern w:val="0"/>
          <w:sz w:val="30"/>
          <w:szCs w:val="32"/>
          <w:highlight w:val="none"/>
          <w:lang w:eastAsia="zh-CN" w:bidi="ar"/>
        </w:rPr>
        <w:t>16.1.1</w:t>
      </w:r>
      <w:r>
        <w:rPr>
          <w:rFonts w:hint="eastAsia" w:ascii="Times New Roman" w:hAnsi="Times New Roman" w:eastAsia="仿宋_GB2312" w:cs="仿宋_GB2312"/>
          <w:color w:val="auto"/>
          <w:kern w:val="0"/>
          <w:sz w:val="30"/>
          <w:szCs w:val="32"/>
          <w:highlight w:val="none"/>
          <w:lang w:eastAsia="zh-CN" w:bidi="ar"/>
        </w:rPr>
        <w:t>项〔发包人违约的情形〕第（</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）目约定的违约情况，承包人有权解除合同，发包人应承担由此增加的费用，并支付承包人合理的利润。</w:t>
      </w:r>
    </w:p>
    <w:p w14:paraId="78BE74E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16.1.4 </w:t>
      </w:r>
      <w:r>
        <w:rPr>
          <w:rFonts w:hint="eastAsia" w:ascii="Times New Roman" w:hAnsi="Times New Roman" w:eastAsia="仿宋_GB2312" w:cs="仿宋_GB2312"/>
          <w:color w:val="auto"/>
          <w:kern w:val="0"/>
          <w:sz w:val="30"/>
          <w:szCs w:val="32"/>
          <w:highlight w:val="none"/>
          <w:lang w:eastAsia="zh-CN" w:bidi="ar"/>
        </w:rPr>
        <w:t>因发包人违约解除合同后的付款</w:t>
      </w:r>
    </w:p>
    <w:p w14:paraId="6F01C5D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承包人按照本款约定解除合同的，发包人应在解除合同后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天内支付下列款项，并解除履约担保：</w:t>
      </w:r>
    </w:p>
    <w:p w14:paraId="1860650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）合同解除前所完成工作的价款；</w:t>
      </w:r>
    </w:p>
    <w:p w14:paraId="274C2B9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）承包人为工程施工订购并已付款的材料、工程设备和其他物品的价款；</w:t>
      </w:r>
    </w:p>
    <w:p w14:paraId="51943CE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）承包人撤离施工现场以及遣散承包人人员的款项；</w:t>
      </w:r>
    </w:p>
    <w:p w14:paraId="5835D63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）按照合同约定在合同解除前应支付的违约金；</w:t>
      </w:r>
    </w:p>
    <w:p w14:paraId="11BC25F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）按照合同约定应当支付给承包人的其他款项；</w:t>
      </w:r>
    </w:p>
    <w:p w14:paraId="68C6224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）按照合同约定应退还的质量保证金；</w:t>
      </w:r>
    </w:p>
    <w:p w14:paraId="7C111E2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）因解除合同给承包人造成的损失。</w:t>
      </w:r>
    </w:p>
    <w:p w14:paraId="031243B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合同当事人未能就解除合同后的结清达成一致的，按照第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条〔争议解决〕的约定处理。</w:t>
      </w:r>
    </w:p>
    <w:p w14:paraId="5250094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承包人应妥善做好已完工程和与工程有关的已购材料、工程设备的保护和移交工作，并将施工设备和人员撤出施工现场，发包人应为承包人撤出提供必要条件。</w:t>
      </w:r>
    </w:p>
    <w:p w14:paraId="00060799">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84" w:name="_Toc351203605"/>
      <w:bookmarkStart w:id="585" w:name="_Toc296346632"/>
      <w:bookmarkStart w:id="586" w:name="_Toc296503131"/>
      <w:bookmarkStart w:id="587" w:name="_Toc337558822"/>
      <w:r>
        <w:rPr>
          <w:rFonts w:ascii="Times New Roman" w:hAnsi="Times New Roman" w:eastAsia="黑体" w:cs="Times New Roman"/>
          <w:b w:val="0"/>
          <w:bCs/>
          <w:color w:val="auto"/>
          <w:kern w:val="2"/>
          <w:sz w:val="30"/>
          <w:szCs w:val="32"/>
          <w:highlight w:val="none"/>
          <w:lang w:val="en-US" w:eastAsia="zh-CN" w:bidi="ar-SA"/>
        </w:rPr>
        <w:t xml:space="preserve">16.2 </w:t>
      </w:r>
      <w:r>
        <w:rPr>
          <w:rFonts w:hint="eastAsia" w:ascii="Times New Roman" w:hAnsi="Times New Roman" w:eastAsia="黑体" w:cs="黑体"/>
          <w:b w:val="0"/>
          <w:bCs/>
          <w:color w:val="auto"/>
          <w:kern w:val="2"/>
          <w:sz w:val="30"/>
          <w:szCs w:val="32"/>
          <w:highlight w:val="none"/>
          <w:lang w:val="en-US" w:eastAsia="zh-CN" w:bidi="ar-SA"/>
        </w:rPr>
        <w:t>承包人违约</w:t>
      </w:r>
      <w:bookmarkEnd w:id="584"/>
    </w:p>
    <w:bookmarkEnd w:id="585"/>
    <w:bookmarkEnd w:id="586"/>
    <w:bookmarkEnd w:id="587"/>
    <w:p w14:paraId="2E4AAC5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16.2.1 </w:t>
      </w:r>
      <w:r>
        <w:rPr>
          <w:rFonts w:hint="eastAsia" w:ascii="Times New Roman" w:hAnsi="Times New Roman" w:eastAsia="仿宋_GB2312" w:cs="仿宋_GB2312"/>
          <w:color w:val="auto"/>
          <w:kern w:val="0"/>
          <w:sz w:val="30"/>
          <w:szCs w:val="32"/>
          <w:highlight w:val="none"/>
          <w:lang w:eastAsia="zh-CN" w:bidi="ar"/>
        </w:rPr>
        <w:t>承包人违约的情形</w:t>
      </w:r>
    </w:p>
    <w:p w14:paraId="5F4A8F5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在合同履行过程中发生的下列情形，属于承包人违约：</w:t>
      </w:r>
    </w:p>
    <w:p w14:paraId="4E706BC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）承包人违反合同约定进行转包或违法分包的；</w:t>
      </w:r>
    </w:p>
    <w:p w14:paraId="71462E6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）承包人违反合同约定采购和使用不合格的材料和工程设备的；</w:t>
      </w:r>
    </w:p>
    <w:p w14:paraId="090727C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）因承包人原因导致工程质量不符合合同要求的；</w:t>
      </w:r>
      <w:r>
        <w:rPr>
          <w:rFonts w:ascii="Times New Roman" w:hAnsi="Times New Roman" w:eastAsia="仿宋_GB2312" w:cs="Times New Roman"/>
          <w:color w:val="auto"/>
          <w:kern w:val="0"/>
          <w:sz w:val="30"/>
          <w:szCs w:val="32"/>
          <w:highlight w:val="none"/>
          <w:lang w:eastAsia="zh-CN" w:bidi="ar"/>
        </w:rPr>
        <w:t xml:space="preserve"> </w:t>
      </w:r>
    </w:p>
    <w:p w14:paraId="624F5BF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）承包人违反第</w:t>
      </w:r>
      <w:r>
        <w:rPr>
          <w:rFonts w:ascii="Times New Roman" w:hAnsi="Times New Roman" w:eastAsia="仿宋_GB2312" w:cs="Times New Roman"/>
          <w:color w:val="auto"/>
          <w:kern w:val="0"/>
          <w:sz w:val="30"/>
          <w:szCs w:val="32"/>
          <w:highlight w:val="none"/>
          <w:lang w:eastAsia="zh-CN" w:bidi="ar"/>
        </w:rPr>
        <w:t>8.9</w:t>
      </w:r>
      <w:r>
        <w:rPr>
          <w:rFonts w:hint="eastAsia" w:ascii="Times New Roman" w:hAnsi="Times New Roman" w:eastAsia="仿宋_GB2312" w:cs="仿宋_GB2312"/>
          <w:color w:val="auto"/>
          <w:kern w:val="0"/>
          <w:sz w:val="30"/>
          <w:szCs w:val="32"/>
          <w:highlight w:val="none"/>
          <w:lang w:eastAsia="zh-CN" w:bidi="ar"/>
        </w:rPr>
        <w:t>款〔材料与设备专用要求〕的约定，未经批准，私自将已按照合同约定进入施工现场的材料或设备撤离施工现场的；</w:t>
      </w:r>
    </w:p>
    <w:p w14:paraId="5695BB3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）承包人未能按施工进度计划及时完成合同约定的工作，造成工期延误的；</w:t>
      </w:r>
    </w:p>
    <w:p w14:paraId="3F55D39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）承包人在缺陷责任期及保修期内，未能在合理期限对工程缺陷进行修复，或拒绝按发包人要求进行修复的；</w:t>
      </w:r>
    </w:p>
    <w:p w14:paraId="3B16180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）承包人明确表示或者以其行为表明不履行合同主要义务的；</w:t>
      </w:r>
    </w:p>
    <w:p w14:paraId="7C58028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8</w:t>
      </w:r>
      <w:r>
        <w:rPr>
          <w:rFonts w:hint="eastAsia" w:ascii="Times New Roman" w:hAnsi="Times New Roman" w:eastAsia="仿宋_GB2312" w:cs="仿宋_GB2312"/>
          <w:color w:val="auto"/>
          <w:kern w:val="0"/>
          <w:sz w:val="30"/>
          <w:szCs w:val="32"/>
          <w:highlight w:val="none"/>
          <w:lang w:eastAsia="zh-CN" w:bidi="ar"/>
        </w:rPr>
        <w:t>）承包人未能按照合同约定履行其他义务的。</w:t>
      </w:r>
    </w:p>
    <w:p w14:paraId="4C9B449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承包人发生除本项第（</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）目约定以外的其他违约情况时，监理人可向承包人发出整改通知，要求其在指定的期限内改正。</w:t>
      </w:r>
    </w:p>
    <w:p w14:paraId="24488A0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16.2.2 </w:t>
      </w:r>
      <w:r>
        <w:rPr>
          <w:rFonts w:hint="eastAsia" w:ascii="Times New Roman" w:hAnsi="Times New Roman" w:eastAsia="仿宋_GB2312" w:cs="仿宋_GB2312"/>
          <w:color w:val="auto"/>
          <w:kern w:val="0"/>
          <w:sz w:val="30"/>
          <w:szCs w:val="32"/>
          <w:highlight w:val="none"/>
          <w:lang w:eastAsia="zh-CN" w:bidi="ar"/>
        </w:rPr>
        <w:t>承包人违约的责任</w:t>
      </w:r>
    </w:p>
    <w:p w14:paraId="3727965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承包人应承担因其违约行为而增加的费用和（或）延误的工期。此外，合同当事人可在专用合同条款中另行约定承包人违约责任的承担方式和计算方法。</w:t>
      </w:r>
    </w:p>
    <w:p w14:paraId="631A1EC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16.2.3 </w:t>
      </w:r>
      <w:r>
        <w:rPr>
          <w:rFonts w:hint="eastAsia" w:ascii="Times New Roman" w:hAnsi="Times New Roman" w:eastAsia="仿宋_GB2312" w:cs="仿宋_GB2312"/>
          <w:color w:val="auto"/>
          <w:kern w:val="0"/>
          <w:sz w:val="30"/>
          <w:szCs w:val="32"/>
          <w:highlight w:val="none"/>
          <w:lang w:eastAsia="zh-CN" w:bidi="ar"/>
        </w:rPr>
        <w:t>因承包人违约解除合同</w:t>
      </w:r>
    </w:p>
    <w:p w14:paraId="63F1489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除专用合同条款另有约定外，出现第</w:t>
      </w:r>
      <w:r>
        <w:rPr>
          <w:rFonts w:ascii="Times New Roman" w:hAnsi="Times New Roman" w:eastAsia="仿宋_GB2312" w:cs="Times New Roman"/>
          <w:color w:val="auto"/>
          <w:kern w:val="0"/>
          <w:sz w:val="30"/>
          <w:szCs w:val="32"/>
          <w:highlight w:val="none"/>
          <w:lang w:eastAsia="zh-CN" w:bidi="ar"/>
        </w:rPr>
        <w:t>16.2.1</w:t>
      </w:r>
      <w:r>
        <w:rPr>
          <w:rFonts w:hint="eastAsia" w:ascii="Times New Roman" w:hAnsi="Times New Roman" w:eastAsia="仿宋_GB2312" w:cs="仿宋_GB2312"/>
          <w:color w:val="auto"/>
          <w:kern w:val="0"/>
          <w:sz w:val="30"/>
          <w:szCs w:val="32"/>
          <w:highlight w:val="none"/>
          <w:lang w:eastAsia="zh-CN" w:bidi="ar"/>
        </w:rPr>
        <w:t>项〔承包人违约的情形〕第（</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38BD91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16.2.4</w:t>
      </w:r>
      <w:r>
        <w:rPr>
          <w:rFonts w:hint="eastAsia" w:ascii="Times New Roman" w:hAnsi="Times New Roman" w:eastAsia="仿宋_GB2312" w:cs="仿宋_GB2312"/>
          <w:color w:val="auto"/>
          <w:kern w:val="0"/>
          <w:sz w:val="30"/>
          <w:szCs w:val="32"/>
          <w:highlight w:val="none"/>
          <w:lang w:eastAsia="zh-CN" w:bidi="ar"/>
        </w:rPr>
        <w:t>因承包人违约解除合同后的处理</w:t>
      </w:r>
    </w:p>
    <w:p w14:paraId="63F8C76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因承包人原因导致合同解除的，则合同当事人应在合同解除后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天内完成估价、付款和清算，并按以下约定执行：</w:t>
      </w:r>
    </w:p>
    <w:p w14:paraId="737DB0A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）合同解除后，按第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款〔商定或确定〕商定或确定承包人实际完成工作对应的合同价款，以及承包人已提供的材料、工程设备、施工设备和临时工程等的价值；</w:t>
      </w:r>
    </w:p>
    <w:p w14:paraId="7CFD752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）合同解除后，承包人应支付的违约金；</w:t>
      </w:r>
    </w:p>
    <w:p w14:paraId="62F0FE6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）合同解除后，因解除合同给发包人造成的损失；</w:t>
      </w:r>
    </w:p>
    <w:p w14:paraId="5BA8740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）合同解除后，承包人应按照发包人要求和监理人的指示完成现场的清理和撤离；</w:t>
      </w:r>
    </w:p>
    <w:p w14:paraId="43D03F7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）发包人和承包人应在合同解除后进行清算，出具最终结清付款证书，结清全部款项。</w:t>
      </w:r>
    </w:p>
    <w:p w14:paraId="6F67769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因承包人违约解除合同的，发包人有权暂停对承包人的付款，查清各项付款和已扣款项。发包人和承包人未能就合同解除后的清算和款项支付达成一致的，按照第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条〔争议解决〕的约定处理。</w:t>
      </w:r>
    </w:p>
    <w:p w14:paraId="7F6AF9D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16.2.5</w:t>
      </w:r>
      <w:r>
        <w:rPr>
          <w:rFonts w:hint="eastAsia" w:ascii="Times New Roman" w:hAnsi="Times New Roman" w:eastAsia="仿宋_GB2312" w:cs="仿宋_GB2312"/>
          <w:color w:val="auto"/>
          <w:kern w:val="0"/>
          <w:sz w:val="30"/>
          <w:szCs w:val="32"/>
          <w:highlight w:val="none"/>
          <w:lang w:eastAsia="zh-CN" w:bidi="ar"/>
        </w:rPr>
        <w:t>采购合同权益转让</w:t>
      </w:r>
    </w:p>
    <w:p w14:paraId="0361CA3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因承包人违约解除合同的，发包人有权要求承包人将其为实施合同而签订的材料和设备的采购合同的权益转让给发包人，承包人应在收到解除合同通知后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天内，协助发包人与采购合同的供应商达成相关的转让协议。</w:t>
      </w:r>
    </w:p>
    <w:p w14:paraId="2075B58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88" w:name="_Toc351203606"/>
      <w:r>
        <w:rPr>
          <w:rFonts w:ascii="Times New Roman" w:hAnsi="Times New Roman" w:eastAsia="黑体" w:cs="Times New Roman"/>
          <w:b w:val="0"/>
          <w:bCs/>
          <w:color w:val="auto"/>
          <w:kern w:val="2"/>
          <w:sz w:val="30"/>
          <w:szCs w:val="32"/>
          <w:highlight w:val="none"/>
          <w:lang w:val="en-US" w:eastAsia="zh-CN" w:bidi="ar-SA"/>
        </w:rPr>
        <w:t xml:space="preserve">16.3 </w:t>
      </w:r>
      <w:r>
        <w:rPr>
          <w:rFonts w:hint="eastAsia" w:ascii="Times New Roman" w:hAnsi="Times New Roman" w:eastAsia="黑体" w:cs="黑体"/>
          <w:b w:val="0"/>
          <w:bCs/>
          <w:color w:val="auto"/>
          <w:kern w:val="2"/>
          <w:sz w:val="30"/>
          <w:szCs w:val="32"/>
          <w:highlight w:val="none"/>
          <w:lang w:val="en-US" w:eastAsia="zh-CN" w:bidi="ar-SA"/>
        </w:rPr>
        <w:t>第三人造成的违约</w:t>
      </w:r>
      <w:bookmarkEnd w:id="588"/>
    </w:p>
    <w:p w14:paraId="640FA61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在履行合同过程中，一方当事人因第三人的原因造成违约的，应当向对方当事人承担违约责任。一方当事人和第三人之间的纠纷，依照法律规定或者按照约定解决。</w:t>
      </w:r>
    </w:p>
    <w:p w14:paraId="70386B07">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589" w:name="_Toc163768572"/>
      <w:bookmarkStart w:id="590" w:name="_Toc163768454"/>
      <w:bookmarkStart w:id="591" w:name="_Toc351203607"/>
      <w:bookmarkStart w:id="592" w:name="_Toc296346617"/>
      <w:bookmarkStart w:id="593" w:name="_Toc337558823"/>
      <w:bookmarkStart w:id="594" w:name="_Toc296503116"/>
      <w:r>
        <w:rPr>
          <w:rFonts w:ascii="Times New Roman" w:hAnsi="Times New Roman" w:eastAsia="黑体" w:cs="Times New Roman"/>
          <w:b/>
          <w:bCs/>
          <w:color w:val="auto"/>
          <w:sz w:val="32"/>
          <w:szCs w:val="32"/>
          <w:highlight w:val="none"/>
          <w:lang w:val="en-US" w:eastAsia="zh-CN" w:bidi="en-US"/>
        </w:rPr>
        <w:t xml:space="preserve">17. </w:t>
      </w:r>
      <w:r>
        <w:rPr>
          <w:rFonts w:hint="eastAsia" w:ascii="Times New Roman" w:hAnsi="Times New Roman" w:eastAsia="黑体" w:cs="黑体"/>
          <w:b/>
          <w:bCs/>
          <w:color w:val="auto"/>
          <w:sz w:val="32"/>
          <w:szCs w:val="32"/>
          <w:highlight w:val="none"/>
          <w:lang w:val="en-US" w:eastAsia="zh-CN" w:bidi="en-US"/>
        </w:rPr>
        <w:t>不可抗力</w:t>
      </w:r>
      <w:bookmarkEnd w:id="589"/>
      <w:bookmarkEnd w:id="590"/>
      <w:bookmarkEnd w:id="591"/>
      <w:r>
        <w:rPr>
          <w:rFonts w:ascii="Times New Roman" w:hAnsi="Times New Roman" w:eastAsia="黑体" w:cs="Times New Roman"/>
          <w:b/>
          <w:bCs/>
          <w:color w:val="auto"/>
          <w:sz w:val="32"/>
          <w:szCs w:val="32"/>
          <w:highlight w:val="none"/>
          <w:lang w:val="en-US" w:eastAsia="zh-CN" w:bidi="en-US"/>
        </w:rPr>
        <w:t xml:space="preserve"> </w:t>
      </w:r>
      <w:bookmarkEnd w:id="592"/>
      <w:bookmarkEnd w:id="593"/>
      <w:bookmarkEnd w:id="594"/>
    </w:p>
    <w:p w14:paraId="27CA03A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95" w:name="_Toc351203608"/>
      <w:bookmarkStart w:id="596" w:name="_Toc337558824"/>
      <w:bookmarkStart w:id="597" w:name="_Toc296503117"/>
      <w:bookmarkStart w:id="598" w:name="_Toc296346618"/>
      <w:r>
        <w:rPr>
          <w:rFonts w:ascii="Times New Roman" w:hAnsi="Times New Roman" w:eastAsia="黑体" w:cs="Times New Roman"/>
          <w:b w:val="0"/>
          <w:bCs/>
          <w:color w:val="auto"/>
          <w:kern w:val="2"/>
          <w:sz w:val="30"/>
          <w:szCs w:val="32"/>
          <w:highlight w:val="none"/>
          <w:lang w:val="en-US" w:eastAsia="zh-CN" w:bidi="ar-SA"/>
        </w:rPr>
        <w:t xml:space="preserve">17.1 </w:t>
      </w:r>
      <w:r>
        <w:rPr>
          <w:rFonts w:hint="eastAsia" w:ascii="Times New Roman" w:hAnsi="Times New Roman" w:eastAsia="黑体" w:cs="黑体"/>
          <w:b w:val="0"/>
          <w:bCs/>
          <w:color w:val="auto"/>
          <w:kern w:val="2"/>
          <w:sz w:val="30"/>
          <w:szCs w:val="32"/>
          <w:highlight w:val="none"/>
          <w:lang w:val="en-US" w:eastAsia="zh-CN" w:bidi="ar-SA"/>
        </w:rPr>
        <w:t>不可抗力的确认</w:t>
      </w:r>
      <w:bookmarkEnd w:id="595"/>
    </w:p>
    <w:bookmarkEnd w:id="596"/>
    <w:bookmarkEnd w:id="597"/>
    <w:bookmarkEnd w:id="598"/>
    <w:p w14:paraId="7366399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不可抗力是指合同当事人在签订合同时不可预见，在合同履行过程中不可避免且不能克服的自然灾害和社会性突发事件，如地震、海啸、瘟疫、骚乱、戒严、暴动、战争和专用合同条款中约定的其他情形。</w:t>
      </w:r>
    </w:p>
    <w:p w14:paraId="553DE90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不可抗力发生后，发包人和承包人应收集证明不可抗力发生及不可抗力造成损失的证据，并及时认真统计所造成的损失。合同当事人对是否属于不可抗力或其损失的意见不一致的，由监理人按第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款〔商定或确定〕的约定处理。发生争议时，按第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条〔争议解决〕的约定处理。</w:t>
      </w:r>
    </w:p>
    <w:p w14:paraId="1A3217D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599" w:name="_Toc351203609"/>
      <w:bookmarkStart w:id="600" w:name="_Toc296503118"/>
      <w:bookmarkStart w:id="601" w:name="_Toc337558825"/>
      <w:bookmarkStart w:id="602" w:name="_Toc296346619"/>
      <w:r>
        <w:rPr>
          <w:rFonts w:ascii="Times New Roman" w:hAnsi="Times New Roman" w:eastAsia="黑体" w:cs="Times New Roman"/>
          <w:b w:val="0"/>
          <w:bCs/>
          <w:color w:val="auto"/>
          <w:kern w:val="2"/>
          <w:sz w:val="30"/>
          <w:szCs w:val="32"/>
          <w:highlight w:val="none"/>
          <w:lang w:val="en-US" w:eastAsia="zh-CN" w:bidi="ar-SA"/>
        </w:rPr>
        <w:t xml:space="preserve">17.2 </w:t>
      </w:r>
      <w:r>
        <w:rPr>
          <w:rFonts w:hint="eastAsia" w:ascii="Times New Roman" w:hAnsi="Times New Roman" w:eastAsia="黑体" w:cs="黑体"/>
          <w:b w:val="0"/>
          <w:bCs/>
          <w:color w:val="auto"/>
          <w:kern w:val="2"/>
          <w:sz w:val="30"/>
          <w:szCs w:val="32"/>
          <w:highlight w:val="none"/>
          <w:lang w:val="en-US" w:eastAsia="zh-CN" w:bidi="ar-SA"/>
        </w:rPr>
        <w:t>不可抗力的通知</w:t>
      </w:r>
      <w:bookmarkEnd w:id="599"/>
    </w:p>
    <w:bookmarkEnd w:id="600"/>
    <w:bookmarkEnd w:id="601"/>
    <w:bookmarkEnd w:id="602"/>
    <w:p w14:paraId="69AF98C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合同一方当事人遇到不可抗力事件，使其履行合同义务受到阻碍时，应立即通知合同另一方当事人和监理人，书面说明不可抗力和受阻碍的详细情况，并提供必要的证明。</w:t>
      </w:r>
    </w:p>
    <w:p w14:paraId="7AA4FB2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不可抗力持续发生的，合同一方当事人应及时向合同另一方当事人和监理人提交中间报告，说明不可抗力和履行合同受阻的情况，并于不可抗力事件结束后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天内提交最终报告及有关资料。</w:t>
      </w:r>
    </w:p>
    <w:p w14:paraId="6011102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03" w:name="_Toc351203610"/>
      <w:bookmarkStart w:id="604" w:name="_Toc296346620"/>
      <w:bookmarkStart w:id="605" w:name="_Toc296503119"/>
      <w:bookmarkStart w:id="606" w:name="_Toc337558826"/>
      <w:r>
        <w:rPr>
          <w:rFonts w:ascii="Times New Roman" w:hAnsi="Times New Roman" w:eastAsia="黑体" w:cs="Times New Roman"/>
          <w:b w:val="0"/>
          <w:bCs/>
          <w:color w:val="auto"/>
          <w:kern w:val="2"/>
          <w:sz w:val="30"/>
          <w:szCs w:val="32"/>
          <w:highlight w:val="none"/>
          <w:lang w:val="en-US" w:eastAsia="zh-CN" w:bidi="ar-SA"/>
        </w:rPr>
        <w:t xml:space="preserve">17.3 </w:t>
      </w:r>
      <w:r>
        <w:rPr>
          <w:rFonts w:hint="eastAsia" w:ascii="Times New Roman" w:hAnsi="Times New Roman" w:eastAsia="黑体" w:cs="黑体"/>
          <w:b w:val="0"/>
          <w:bCs/>
          <w:color w:val="auto"/>
          <w:kern w:val="2"/>
          <w:sz w:val="30"/>
          <w:szCs w:val="32"/>
          <w:highlight w:val="none"/>
          <w:lang w:val="en-US" w:eastAsia="zh-CN" w:bidi="ar-SA"/>
        </w:rPr>
        <w:t>不可抗力后果的承担</w:t>
      </w:r>
      <w:bookmarkEnd w:id="603"/>
    </w:p>
    <w:bookmarkEnd w:id="604"/>
    <w:bookmarkEnd w:id="605"/>
    <w:bookmarkEnd w:id="606"/>
    <w:p w14:paraId="0C0C195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17.3.1 </w:t>
      </w:r>
      <w:r>
        <w:rPr>
          <w:rFonts w:hint="eastAsia" w:ascii="Times New Roman" w:hAnsi="Times New Roman" w:eastAsia="仿宋_GB2312" w:cs="仿宋_GB2312"/>
          <w:color w:val="auto"/>
          <w:kern w:val="0"/>
          <w:sz w:val="30"/>
          <w:szCs w:val="32"/>
          <w:highlight w:val="none"/>
          <w:lang w:eastAsia="zh-CN" w:bidi="ar"/>
        </w:rPr>
        <w:t>不可抗力引起的后果及造成的损失由合同当事人按照法律规定及合同约定各自承担。不可抗力发生前已完成的工程应当按照合同约定进行计量支付。</w:t>
      </w:r>
    </w:p>
    <w:p w14:paraId="385356B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17.3.2 </w:t>
      </w:r>
      <w:r>
        <w:rPr>
          <w:rFonts w:hint="eastAsia" w:ascii="Times New Roman" w:hAnsi="Times New Roman" w:eastAsia="仿宋_GB2312" w:cs="仿宋_GB2312"/>
          <w:color w:val="auto"/>
          <w:kern w:val="0"/>
          <w:sz w:val="30"/>
          <w:szCs w:val="32"/>
          <w:highlight w:val="none"/>
          <w:lang w:eastAsia="zh-CN" w:bidi="ar"/>
        </w:rPr>
        <w:t>不可抗力导致的人员伤亡、财产损失、费用增加和（或）工期延误等后果，由合同当事人按以下原则承担：</w:t>
      </w:r>
    </w:p>
    <w:p w14:paraId="52FB993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）永久工程、已运至施工现场的材料和工程设备的损坏，以及因工程损坏造成的第三人人员伤亡和财产损失由发包人承担；</w:t>
      </w:r>
    </w:p>
    <w:p w14:paraId="39267DA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）承包人施工设备的损坏由承包人承担；</w:t>
      </w:r>
    </w:p>
    <w:p w14:paraId="69D0449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）发包人和承包人承担各自人员伤亡和财产的损失；</w:t>
      </w:r>
    </w:p>
    <w:p w14:paraId="2EC0948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）因不可抗力影响承包人履行合同约定的义务，已经引起或将引起工期延误的，应当顺延工期，由此导致承包人停工的费用损失由发包人和承包人合理分担，停工期间必须支付的工人工资由发包人承担；</w:t>
      </w:r>
    </w:p>
    <w:p w14:paraId="4E62A3B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）因不可抗力引起或将引起工期延误，发包人要求赶工的，由此增加的赶工费用由发包人承担；</w:t>
      </w:r>
    </w:p>
    <w:p w14:paraId="519DAA0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）承包人在停工期间按照发包人要求照管、清理和修复工程的费用由发包人承担。</w:t>
      </w:r>
    </w:p>
    <w:p w14:paraId="58F9861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不可抗力发生后，合同当事人均应采取措施尽量避免和减少损失的扩大，任何一方当事人没有采取有效措施导致损失扩大的，应对扩大的损失承担责任。</w:t>
      </w:r>
    </w:p>
    <w:p w14:paraId="1BF25A1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因合同一方迟延履行合同义务，在迟延履行期间遭遇不可抗力的，不免除其违约责任。</w:t>
      </w:r>
    </w:p>
    <w:p w14:paraId="362370D0">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07" w:name="_Toc351203611"/>
      <w:bookmarkStart w:id="608" w:name="_Toc337558827"/>
      <w:r>
        <w:rPr>
          <w:rFonts w:ascii="Times New Roman" w:hAnsi="Times New Roman" w:eastAsia="黑体" w:cs="Times New Roman"/>
          <w:b w:val="0"/>
          <w:bCs/>
          <w:color w:val="auto"/>
          <w:kern w:val="2"/>
          <w:sz w:val="30"/>
          <w:szCs w:val="32"/>
          <w:highlight w:val="none"/>
          <w:lang w:val="en-US" w:eastAsia="zh-CN" w:bidi="ar-SA"/>
        </w:rPr>
        <w:t xml:space="preserve">17.4 </w:t>
      </w:r>
      <w:r>
        <w:rPr>
          <w:rFonts w:hint="eastAsia" w:ascii="Times New Roman" w:hAnsi="Times New Roman" w:eastAsia="黑体" w:cs="黑体"/>
          <w:b w:val="0"/>
          <w:bCs/>
          <w:color w:val="auto"/>
          <w:kern w:val="2"/>
          <w:sz w:val="30"/>
          <w:szCs w:val="32"/>
          <w:highlight w:val="none"/>
          <w:lang w:val="en-US" w:eastAsia="zh-CN" w:bidi="ar-SA"/>
        </w:rPr>
        <w:t>因不可抗力解除合同</w:t>
      </w:r>
      <w:bookmarkEnd w:id="607"/>
    </w:p>
    <w:bookmarkEnd w:id="608"/>
    <w:p w14:paraId="0480116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因不可抗力导致合同无法履行连续超过</w:t>
      </w:r>
      <w:r>
        <w:rPr>
          <w:rFonts w:ascii="Times New Roman" w:hAnsi="Times New Roman" w:eastAsia="仿宋_GB2312" w:cs="Times New Roman"/>
          <w:color w:val="auto"/>
          <w:kern w:val="0"/>
          <w:sz w:val="30"/>
          <w:szCs w:val="32"/>
          <w:highlight w:val="none"/>
          <w:lang w:eastAsia="zh-CN" w:bidi="ar"/>
        </w:rPr>
        <w:t>84</w:t>
      </w:r>
      <w:r>
        <w:rPr>
          <w:rFonts w:hint="eastAsia" w:ascii="Times New Roman" w:hAnsi="Times New Roman" w:eastAsia="仿宋_GB2312" w:cs="仿宋_GB2312"/>
          <w:color w:val="auto"/>
          <w:kern w:val="0"/>
          <w:sz w:val="30"/>
          <w:szCs w:val="32"/>
          <w:highlight w:val="none"/>
          <w:lang w:eastAsia="zh-CN" w:bidi="ar"/>
        </w:rPr>
        <w:t>天或累计超过</w:t>
      </w:r>
      <w:r>
        <w:rPr>
          <w:rFonts w:ascii="Times New Roman" w:hAnsi="Times New Roman" w:eastAsia="仿宋_GB2312" w:cs="Times New Roman"/>
          <w:color w:val="auto"/>
          <w:kern w:val="0"/>
          <w:sz w:val="30"/>
          <w:szCs w:val="32"/>
          <w:highlight w:val="none"/>
          <w:lang w:eastAsia="zh-CN" w:bidi="ar"/>
        </w:rPr>
        <w:t>140</w:t>
      </w:r>
      <w:r>
        <w:rPr>
          <w:rFonts w:hint="eastAsia" w:ascii="Times New Roman" w:hAnsi="Times New Roman" w:eastAsia="仿宋_GB2312" w:cs="仿宋_GB2312"/>
          <w:color w:val="auto"/>
          <w:kern w:val="0"/>
          <w:sz w:val="30"/>
          <w:szCs w:val="32"/>
          <w:highlight w:val="none"/>
          <w:lang w:eastAsia="zh-CN" w:bidi="ar"/>
        </w:rPr>
        <w:t>天的，发包人和承包人均有权解除合同。合同解除后，由双方当事人按照第</w:t>
      </w:r>
      <w:r>
        <w:rPr>
          <w:rFonts w:ascii="Times New Roman" w:hAnsi="Times New Roman" w:eastAsia="仿宋_GB2312" w:cs="Times New Roman"/>
          <w:color w:val="auto"/>
          <w:kern w:val="0"/>
          <w:sz w:val="30"/>
          <w:szCs w:val="32"/>
          <w:highlight w:val="none"/>
          <w:lang w:eastAsia="zh-CN" w:bidi="ar"/>
        </w:rPr>
        <w:t>4.4</w:t>
      </w:r>
      <w:r>
        <w:rPr>
          <w:rFonts w:hint="eastAsia" w:ascii="Times New Roman" w:hAnsi="Times New Roman" w:eastAsia="仿宋_GB2312" w:cs="仿宋_GB2312"/>
          <w:color w:val="auto"/>
          <w:kern w:val="0"/>
          <w:sz w:val="30"/>
          <w:szCs w:val="32"/>
          <w:highlight w:val="none"/>
          <w:lang w:eastAsia="zh-CN" w:bidi="ar"/>
        </w:rPr>
        <w:t>款〔商定或确定〕商定或确定发包人应支付的款项，该款项包括：</w:t>
      </w:r>
    </w:p>
    <w:p w14:paraId="0592C54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）合同解除前承包人已完成工作的价款；</w:t>
      </w:r>
    </w:p>
    <w:p w14:paraId="3143636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）承包人为工程订购的并已交付给承包人，或承包人有责任接受交付的材料、工程设备和其他物品的价款；</w:t>
      </w:r>
    </w:p>
    <w:p w14:paraId="3B61F79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）发包人要求承包人退货或解除订货合同而产生的费用，或因不能退货或解除合同而产生的损失；</w:t>
      </w:r>
    </w:p>
    <w:p w14:paraId="39515D8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）承包人撤离施工现场以及遣散承包人人员的费用；</w:t>
      </w:r>
    </w:p>
    <w:p w14:paraId="0E8F93C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）按照合同约定在合同解除前应支付给承包人的其他款项；</w:t>
      </w:r>
    </w:p>
    <w:p w14:paraId="13EBE44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）扣减承包人按照合同约定应向发包人支付的款项；</w:t>
      </w:r>
    </w:p>
    <w:p w14:paraId="62117F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）双方商定或确定的其他款项。</w:t>
      </w:r>
    </w:p>
    <w:p w14:paraId="3E97F27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除专用合同条款另有约定外，合同解除后，发包人应在商定或确定上述款项后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天内完成上述款项的支付。</w:t>
      </w:r>
    </w:p>
    <w:p w14:paraId="32169701">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609" w:name="_Toc163768573"/>
      <w:bookmarkStart w:id="610" w:name="_Toc351203612"/>
      <w:bookmarkStart w:id="611" w:name="_Toc163768455"/>
      <w:bookmarkStart w:id="612" w:name="_Toc296503120"/>
      <w:bookmarkStart w:id="613" w:name="_Toc296346621"/>
      <w:bookmarkStart w:id="614" w:name="_Toc337558828"/>
      <w:r>
        <w:rPr>
          <w:rFonts w:ascii="Times New Roman" w:hAnsi="Times New Roman" w:eastAsia="黑体" w:cs="Times New Roman"/>
          <w:b/>
          <w:bCs/>
          <w:color w:val="auto"/>
          <w:sz w:val="32"/>
          <w:szCs w:val="32"/>
          <w:highlight w:val="none"/>
          <w:lang w:val="en-US" w:eastAsia="zh-CN" w:bidi="en-US"/>
        </w:rPr>
        <w:t xml:space="preserve">18. </w:t>
      </w:r>
      <w:r>
        <w:rPr>
          <w:rFonts w:hint="eastAsia" w:ascii="Times New Roman" w:hAnsi="Times New Roman" w:eastAsia="黑体" w:cs="黑体"/>
          <w:b/>
          <w:bCs/>
          <w:color w:val="auto"/>
          <w:sz w:val="32"/>
          <w:szCs w:val="32"/>
          <w:highlight w:val="none"/>
          <w:lang w:val="en-US" w:eastAsia="zh-CN" w:bidi="en-US"/>
        </w:rPr>
        <w:t>保险</w:t>
      </w:r>
      <w:bookmarkEnd w:id="609"/>
      <w:bookmarkEnd w:id="610"/>
      <w:bookmarkEnd w:id="611"/>
    </w:p>
    <w:bookmarkEnd w:id="612"/>
    <w:bookmarkEnd w:id="613"/>
    <w:bookmarkEnd w:id="614"/>
    <w:p w14:paraId="2491D435">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15" w:name="_Toc351203613"/>
      <w:bookmarkStart w:id="616" w:name="_Toc337558829"/>
      <w:bookmarkStart w:id="617" w:name="_Toc296346622"/>
      <w:bookmarkStart w:id="618" w:name="_Toc296503121"/>
      <w:r>
        <w:rPr>
          <w:rFonts w:ascii="Times New Roman" w:hAnsi="Times New Roman" w:eastAsia="黑体" w:cs="Times New Roman"/>
          <w:b w:val="0"/>
          <w:bCs/>
          <w:color w:val="auto"/>
          <w:kern w:val="2"/>
          <w:sz w:val="30"/>
          <w:szCs w:val="32"/>
          <w:highlight w:val="none"/>
          <w:lang w:val="en-US" w:eastAsia="zh-CN" w:bidi="ar-SA"/>
        </w:rPr>
        <w:t xml:space="preserve">18.1 </w:t>
      </w:r>
      <w:r>
        <w:rPr>
          <w:rFonts w:hint="eastAsia" w:ascii="Times New Roman" w:hAnsi="Times New Roman" w:eastAsia="黑体" w:cs="黑体"/>
          <w:b w:val="0"/>
          <w:bCs/>
          <w:color w:val="auto"/>
          <w:kern w:val="2"/>
          <w:sz w:val="30"/>
          <w:szCs w:val="32"/>
          <w:highlight w:val="none"/>
          <w:lang w:val="en-US" w:eastAsia="zh-CN" w:bidi="ar-SA"/>
        </w:rPr>
        <w:t>工程保险</w:t>
      </w:r>
      <w:bookmarkEnd w:id="615"/>
    </w:p>
    <w:bookmarkEnd w:id="616"/>
    <w:bookmarkEnd w:id="617"/>
    <w:bookmarkEnd w:id="618"/>
    <w:p w14:paraId="24C4FAE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除专用合同条款另有约定外，发包人应投保建筑工程一切险或安装工程一切险；发包人委托承包人投保的，因投保产生的保险费和其他相关费用由发包人承担。</w:t>
      </w:r>
    </w:p>
    <w:p w14:paraId="01458DE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19" w:name="_Toc351203614"/>
      <w:bookmarkStart w:id="620" w:name="_Toc296503122"/>
      <w:bookmarkStart w:id="621" w:name="_Toc296346623"/>
      <w:bookmarkStart w:id="622" w:name="_Toc337558830"/>
      <w:r>
        <w:rPr>
          <w:rFonts w:ascii="Times New Roman" w:hAnsi="Times New Roman" w:eastAsia="黑体" w:cs="Times New Roman"/>
          <w:b w:val="0"/>
          <w:bCs/>
          <w:color w:val="auto"/>
          <w:kern w:val="2"/>
          <w:sz w:val="30"/>
          <w:szCs w:val="32"/>
          <w:highlight w:val="none"/>
          <w:lang w:val="en-US" w:eastAsia="zh-CN" w:bidi="ar-SA"/>
        </w:rPr>
        <w:t xml:space="preserve">18.2 </w:t>
      </w:r>
      <w:r>
        <w:rPr>
          <w:rFonts w:hint="eastAsia" w:ascii="Times New Roman" w:hAnsi="Times New Roman" w:eastAsia="黑体" w:cs="黑体"/>
          <w:b w:val="0"/>
          <w:bCs/>
          <w:color w:val="auto"/>
          <w:kern w:val="2"/>
          <w:sz w:val="30"/>
          <w:szCs w:val="32"/>
          <w:highlight w:val="none"/>
          <w:lang w:val="en-US" w:eastAsia="zh-CN" w:bidi="ar-SA"/>
        </w:rPr>
        <w:t>工伤保险</w:t>
      </w:r>
      <w:bookmarkEnd w:id="619"/>
    </w:p>
    <w:bookmarkEnd w:id="620"/>
    <w:bookmarkEnd w:id="621"/>
    <w:bookmarkEnd w:id="622"/>
    <w:p w14:paraId="70A8C05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18.2.1 </w:t>
      </w:r>
      <w:r>
        <w:rPr>
          <w:rFonts w:hint="eastAsia" w:ascii="Times New Roman" w:hAnsi="Times New Roman" w:eastAsia="仿宋_GB2312" w:cs="仿宋_GB2312"/>
          <w:color w:val="auto"/>
          <w:kern w:val="0"/>
          <w:sz w:val="30"/>
          <w:szCs w:val="32"/>
          <w:highlight w:val="none"/>
          <w:lang w:eastAsia="zh-CN" w:bidi="ar"/>
        </w:rPr>
        <w:t>发包人应依照法律规定参加工伤保险，并为在施工现场的全部员工办理工伤保险，缴纳工伤保险费，并要求监理人及由发包人为履行合同聘请的第三方依法参加工伤保险。</w:t>
      </w:r>
    </w:p>
    <w:p w14:paraId="4DA4577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18.2.2 </w:t>
      </w:r>
      <w:r>
        <w:rPr>
          <w:rFonts w:hint="eastAsia" w:ascii="Times New Roman" w:hAnsi="Times New Roman" w:eastAsia="仿宋_GB2312" w:cs="仿宋_GB2312"/>
          <w:color w:val="auto"/>
          <w:kern w:val="0"/>
          <w:sz w:val="30"/>
          <w:szCs w:val="32"/>
          <w:highlight w:val="none"/>
          <w:lang w:eastAsia="zh-CN" w:bidi="ar"/>
        </w:rPr>
        <w:t>承包人应依照法律规定参加工伤保险，并为其履行合同的全部员工办理工伤保险，缴纳工伤保险费，并要求分包人及由承包人为履行合同聘请的第三方依法参加工伤保险。</w:t>
      </w:r>
    </w:p>
    <w:p w14:paraId="78EB517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23" w:name="_Toc351203615"/>
      <w:bookmarkStart w:id="624" w:name="_Toc296503125"/>
      <w:bookmarkStart w:id="625" w:name="_Toc337558831"/>
      <w:bookmarkStart w:id="626" w:name="_Toc296346626"/>
      <w:r>
        <w:rPr>
          <w:rFonts w:ascii="Times New Roman" w:hAnsi="Times New Roman" w:eastAsia="黑体" w:cs="Times New Roman"/>
          <w:b w:val="0"/>
          <w:bCs/>
          <w:color w:val="auto"/>
          <w:kern w:val="2"/>
          <w:sz w:val="30"/>
          <w:szCs w:val="32"/>
          <w:highlight w:val="none"/>
          <w:lang w:val="en-US" w:eastAsia="zh-CN" w:bidi="ar-SA"/>
        </w:rPr>
        <w:t>18.3</w:t>
      </w:r>
      <w:r>
        <w:rPr>
          <w:rFonts w:hint="eastAsia" w:ascii="Times New Roman" w:hAnsi="Times New Roman" w:eastAsia="黑体" w:cs="黑体"/>
          <w:b w:val="0"/>
          <w:bCs/>
          <w:color w:val="auto"/>
          <w:kern w:val="2"/>
          <w:sz w:val="30"/>
          <w:szCs w:val="32"/>
          <w:highlight w:val="none"/>
          <w:lang w:val="en-US" w:eastAsia="zh-CN" w:bidi="ar-SA"/>
        </w:rPr>
        <w:t>其他保险</w:t>
      </w:r>
      <w:bookmarkEnd w:id="623"/>
    </w:p>
    <w:bookmarkEnd w:id="624"/>
    <w:bookmarkEnd w:id="625"/>
    <w:bookmarkEnd w:id="626"/>
    <w:p w14:paraId="2B754EE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发包人和承包人可以为其施工现场的全部人员办理意外伤害保险并支付保险费，包括其员工及为履行合同聘请的第三方的人员，具体事项由合同当事人在专用合同条款约定。</w:t>
      </w:r>
    </w:p>
    <w:p w14:paraId="7BFA98B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除专用合同条款另有约定外，承包人应为其施工设备等办理财产保险。</w:t>
      </w:r>
    </w:p>
    <w:p w14:paraId="7B04CE5B">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27" w:name="_Toc351203616"/>
      <w:r>
        <w:rPr>
          <w:rFonts w:ascii="Times New Roman" w:hAnsi="Times New Roman" w:eastAsia="黑体" w:cs="Times New Roman"/>
          <w:b w:val="0"/>
          <w:bCs/>
          <w:color w:val="auto"/>
          <w:kern w:val="2"/>
          <w:sz w:val="30"/>
          <w:szCs w:val="32"/>
          <w:highlight w:val="none"/>
          <w:lang w:val="en-US" w:eastAsia="zh-CN" w:bidi="ar-SA"/>
        </w:rPr>
        <w:t>18.4</w:t>
      </w:r>
      <w:r>
        <w:rPr>
          <w:rFonts w:hint="eastAsia" w:ascii="Times New Roman" w:hAnsi="Times New Roman" w:eastAsia="黑体" w:cs="黑体"/>
          <w:b w:val="0"/>
          <w:bCs/>
          <w:color w:val="auto"/>
          <w:kern w:val="2"/>
          <w:sz w:val="30"/>
          <w:szCs w:val="32"/>
          <w:highlight w:val="none"/>
          <w:lang w:val="en-US" w:eastAsia="zh-CN" w:bidi="ar-SA"/>
        </w:rPr>
        <w:t>持续保险</w:t>
      </w:r>
      <w:bookmarkEnd w:id="627"/>
    </w:p>
    <w:p w14:paraId="248E83A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合同当事人应与保险人保持联系，使保险人能够随时了解工程实施中的变动，并确保按保险合同条款要求持续保险。</w:t>
      </w:r>
    </w:p>
    <w:p w14:paraId="45DD2E7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28" w:name="_Toc351203617"/>
      <w:bookmarkStart w:id="629" w:name="_Toc296346627"/>
      <w:bookmarkStart w:id="630" w:name="_Toc337558832"/>
      <w:bookmarkStart w:id="631" w:name="_Toc296503126"/>
      <w:r>
        <w:rPr>
          <w:rFonts w:ascii="Times New Roman" w:hAnsi="Times New Roman" w:eastAsia="黑体" w:cs="Times New Roman"/>
          <w:b w:val="0"/>
          <w:bCs/>
          <w:color w:val="auto"/>
          <w:kern w:val="2"/>
          <w:sz w:val="30"/>
          <w:szCs w:val="32"/>
          <w:highlight w:val="none"/>
          <w:lang w:val="en-US" w:eastAsia="zh-CN" w:bidi="ar-SA"/>
        </w:rPr>
        <w:t xml:space="preserve">18.5 </w:t>
      </w:r>
      <w:r>
        <w:rPr>
          <w:rFonts w:hint="eastAsia" w:ascii="Times New Roman" w:hAnsi="Times New Roman" w:eastAsia="黑体" w:cs="黑体"/>
          <w:b w:val="0"/>
          <w:bCs/>
          <w:color w:val="auto"/>
          <w:kern w:val="2"/>
          <w:sz w:val="30"/>
          <w:szCs w:val="32"/>
          <w:highlight w:val="none"/>
          <w:lang w:val="en-US" w:eastAsia="zh-CN" w:bidi="ar-SA"/>
        </w:rPr>
        <w:t>保险凭证</w:t>
      </w:r>
      <w:bookmarkEnd w:id="628"/>
    </w:p>
    <w:bookmarkEnd w:id="629"/>
    <w:bookmarkEnd w:id="630"/>
    <w:bookmarkEnd w:id="631"/>
    <w:p w14:paraId="517620D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合同当事人应及时向另一方当事人提交其已投保的各项保险的凭证和保险单复印件。</w:t>
      </w:r>
    </w:p>
    <w:p w14:paraId="4365FDF4">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32" w:name="_Toc351203618"/>
      <w:bookmarkStart w:id="633" w:name="_Toc337558833"/>
      <w:bookmarkStart w:id="634" w:name="_Toc296346628"/>
      <w:bookmarkStart w:id="635" w:name="_Toc296503127"/>
      <w:r>
        <w:rPr>
          <w:rFonts w:ascii="Times New Roman" w:hAnsi="Times New Roman" w:eastAsia="黑体" w:cs="Times New Roman"/>
          <w:b w:val="0"/>
          <w:bCs/>
          <w:color w:val="auto"/>
          <w:kern w:val="2"/>
          <w:sz w:val="30"/>
          <w:szCs w:val="32"/>
          <w:highlight w:val="none"/>
          <w:lang w:val="en-US" w:eastAsia="zh-CN" w:bidi="ar-SA"/>
        </w:rPr>
        <w:t xml:space="preserve">18.6 </w:t>
      </w:r>
      <w:r>
        <w:rPr>
          <w:rFonts w:hint="eastAsia" w:ascii="Times New Roman" w:hAnsi="Times New Roman" w:eastAsia="黑体" w:cs="黑体"/>
          <w:b w:val="0"/>
          <w:bCs/>
          <w:color w:val="auto"/>
          <w:kern w:val="2"/>
          <w:sz w:val="30"/>
          <w:szCs w:val="32"/>
          <w:highlight w:val="none"/>
          <w:lang w:val="en-US" w:eastAsia="zh-CN" w:bidi="ar-SA"/>
        </w:rPr>
        <w:t>未按约定投保的补救</w:t>
      </w:r>
      <w:bookmarkEnd w:id="632"/>
    </w:p>
    <w:bookmarkEnd w:id="633"/>
    <w:bookmarkEnd w:id="634"/>
    <w:bookmarkEnd w:id="635"/>
    <w:p w14:paraId="23A3B71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18.6.1</w:t>
      </w:r>
      <w:r>
        <w:rPr>
          <w:rFonts w:hint="eastAsia" w:ascii="Times New Roman" w:hAnsi="Times New Roman" w:eastAsia="仿宋_GB2312" w:cs="仿宋_GB2312"/>
          <w:color w:val="auto"/>
          <w:kern w:val="2"/>
          <w:sz w:val="30"/>
          <w:szCs w:val="32"/>
          <w:highlight w:val="none"/>
          <w:lang w:eastAsia="zh-CN" w:bidi="ar"/>
        </w:rPr>
        <w:t>发包人未按合同约定办理保险，或未能使保险持续有效的，则承包人可代为办理，所需费用由发包人承担。发包人未按合同约定办理保险，导致未能得到足额赔偿的，由发包人负责补足。</w:t>
      </w:r>
    </w:p>
    <w:p w14:paraId="00D9CD6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18.6.2</w:t>
      </w:r>
      <w:r>
        <w:rPr>
          <w:rFonts w:hint="eastAsia" w:ascii="Times New Roman" w:hAnsi="Times New Roman" w:eastAsia="仿宋_GB2312" w:cs="仿宋_GB2312"/>
          <w:color w:val="auto"/>
          <w:kern w:val="2"/>
          <w:sz w:val="30"/>
          <w:szCs w:val="32"/>
          <w:highlight w:val="none"/>
          <w:lang w:eastAsia="zh-CN" w:bidi="ar"/>
        </w:rPr>
        <w:t>承包人未按合同约定办理保险，或未能使保险持续有效的，则发包人可代为办理，所需费用由承包人承担。承包人未按合同约定办理保险，导致未能得到足额赔偿的，由承包人负责补足。</w:t>
      </w:r>
    </w:p>
    <w:p w14:paraId="1E62A84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36" w:name="_Toc351203619"/>
      <w:bookmarkStart w:id="637" w:name="_Toc337558834"/>
      <w:r>
        <w:rPr>
          <w:rFonts w:ascii="Times New Roman" w:hAnsi="Times New Roman" w:eastAsia="黑体" w:cs="Times New Roman"/>
          <w:b w:val="0"/>
          <w:bCs/>
          <w:color w:val="auto"/>
          <w:kern w:val="2"/>
          <w:sz w:val="30"/>
          <w:szCs w:val="32"/>
          <w:highlight w:val="none"/>
          <w:lang w:val="en-US" w:eastAsia="zh-CN" w:bidi="ar-SA"/>
        </w:rPr>
        <w:t xml:space="preserve">18.7 </w:t>
      </w:r>
      <w:r>
        <w:rPr>
          <w:rFonts w:hint="eastAsia" w:ascii="Times New Roman" w:hAnsi="Times New Roman" w:eastAsia="黑体" w:cs="黑体"/>
          <w:b w:val="0"/>
          <w:bCs/>
          <w:color w:val="auto"/>
          <w:kern w:val="2"/>
          <w:sz w:val="30"/>
          <w:szCs w:val="32"/>
          <w:highlight w:val="none"/>
          <w:lang w:val="en-US" w:eastAsia="zh-CN" w:bidi="ar-SA"/>
        </w:rPr>
        <w:t>通知义务</w:t>
      </w:r>
      <w:bookmarkEnd w:id="636"/>
    </w:p>
    <w:bookmarkEnd w:id="637"/>
    <w:p w14:paraId="7DA5A80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除专用合同条款另有约定外，发包人变更除工伤保险之外的保险合同时，应事先征得承包人同意，并通知监理人；承包人变更除工伤保险之外的保险合同时，应事先征得发包人同意，并通知监理人。</w:t>
      </w:r>
    </w:p>
    <w:p w14:paraId="5DDBE48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保险事故发生时，投保人应按照保险合同规定的条件和期限及时向保险人报告。发包人和承包人应当在知道保险事故发生后及时通知对方。</w:t>
      </w:r>
    </w:p>
    <w:p w14:paraId="2CED6E4C">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638" w:name="_Toc351203620"/>
      <w:bookmarkStart w:id="639" w:name="_Toc163768574"/>
      <w:bookmarkStart w:id="640" w:name="_Toc163768456"/>
      <w:bookmarkStart w:id="641" w:name="_Toc296503140"/>
      <w:bookmarkStart w:id="642" w:name="_Toc337558835"/>
      <w:bookmarkStart w:id="643" w:name="_Toc296346641"/>
      <w:r>
        <w:rPr>
          <w:rFonts w:ascii="Times New Roman" w:hAnsi="Times New Roman" w:eastAsia="黑体" w:cs="Times New Roman"/>
          <w:b/>
          <w:bCs/>
          <w:color w:val="auto"/>
          <w:sz w:val="32"/>
          <w:szCs w:val="32"/>
          <w:highlight w:val="none"/>
          <w:lang w:val="en-US" w:eastAsia="zh-CN" w:bidi="en-US"/>
        </w:rPr>
        <w:t xml:space="preserve">19. </w:t>
      </w:r>
      <w:r>
        <w:rPr>
          <w:rFonts w:hint="eastAsia" w:ascii="Times New Roman" w:hAnsi="Times New Roman" w:eastAsia="黑体" w:cs="黑体"/>
          <w:b/>
          <w:bCs/>
          <w:color w:val="auto"/>
          <w:sz w:val="32"/>
          <w:szCs w:val="32"/>
          <w:highlight w:val="none"/>
          <w:lang w:val="en-US" w:eastAsia="zh-CN" w:bidi="en-US"/>
        </w:rPr>
        <w:t>索赔</w:t>
      </w:r>
      <w:bookmarkEnd w:id="638"/>
      <w:bookmarkEnd w:id="639"/>
      <w:bookmarkEnd w:id="640"/>
    </w:p>
    <w:bookmarkEnd w:id="641"/>
    <w:bookmarkEnd w:id="642"/>
    <w:bookmarkEnd w:id="643"/>
    <w:p w14:paraId="2BF3593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44" w:name="_Toc351203621"/>
      <w:bookmarkStart w:id="645" w:name="_Toc337558836"/>
      <w:bookmarkStart w:id="646" w:name="_Toc296346642"/>
      <w:bookmarkStart w:id="647" w:name="_Toc296503141"/>
      <w:r>
        <w:rPr>
          <w:rFonts w:ascii="Times New Roman" w:hAnsi="Times New Roman" w:eastAsia="黑体" w:cs="Times New Roman"/>
          <w:b w:val="0"/>
          <w:bCs/>
          <w:color w:val="auto"/>
          <w:kern w:val="2"/>
          <w:sz w:val="30"/>
          <w:szCs w:val="32"/>
          <w:highlight w:val="none"/>
          <w:lang w:val="en-US" w:eastAsia="zh-CN" w:bidi="ar-SA"/>
        </w:rPr>
        <w:t>19.1</w:t>
      </w:r>
      <w:r>
        <w:rPr>
          <w:rFonts w:hint="eastAsia" w:ascii="Times New Roman" w:hAnsi="Times New Roman" w:eastAsia="黑体" w:cs="黑体"/>
          <w:b w:val="0"/>
          <w:bCs/>
          <w:color w:val="auto"/>
          <w:kern w:val="2"/>
          <w:sz w:val="30"/>
          <w:szCs w:val="32"/>
          <w:highlight w:val="none"/>
          <w:lang w:val="en-US" w:eastAsia="zh-CN" w:bidi="ar-SA"/>
        </w:rPr>
        <w:t>承包人的索赔</w:t>
      </w:r>
      <w:bookmarkEnd w:id="644"/>
    </w:p>
    <w:bookmarkEnd w:id="645"/>
    <w:bookmarkEnd w:id="646"/>
    <w:bookmarkEnd w:id="647"/>
    <w:p w14:paraId="60F844B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根据合同约定，承包人认为有权得到追加付款和（或）延长工期的，应按以下程序向发包人提出索赔：</w:t>
      </w:r>
    </w:p>
    <w:p w14:paraId="70DB718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）承包人应在知道或应当知道索赔事件发生后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天内，向监理人递交索赔意向通知书，并说明发生索赔事件的事由；承包人未在前述</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天内发出索赔意向通知书的，丧失要求追加付款和（或）延长工期的权利；</w:t>
      </w:r>
    </w:p>
    <w:p w14:paraId="1ACFDC3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）承包人应在发出索赔意向通知书后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天内，向监理人正式递交索赔报告；索赔报告应详细说明索赔理由以及要求追加的付款金额和（或）延长的工期，并附必要的记录和证明材料；</w:t>
      </w:r>
    </w:p>
    <w:p w14:paraId="2F929DA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）索赔事件具有持续影响的，承包人应按合理时间间隔继续递交延续索赔通知，说明持续影响的实际情况和记录，列出累计的追加付款金额和（或）工期延长天数；</w:t>
      </w:r>
    </w:p>
    <w:p w14:paraId="5F6FCEE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）在索赔事件影响结束后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天内，承包人应向监理人递交最终索赔报告，说明最终要求索赔的追加付款金额和（或）延长的工期，并附必要的记录和证明材料。</w:t>
      </w:r>
    </w:p>
    <w:p w14:paraId="00265122">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48" w:name="_Toc351203622"/>
      <w:bookmarkStart w:id="649" w:name="_Toc296503142"/>
      <w:bookmarkStart w:id="650" w:name="_Toc296346643"/>
      <w:bookmarkStart w:id="651" w:name="_Toc337558837"/>
      <w:r>
        <w:rPr>
          <w:rFonts w:ascii="Times New Roman" w:hAnsi="Times New Roman" w:eastAsia="黑体" w:cs="Times New Roman"/>
          <w:b w:val="0"/>
          <w:bCs/>
          <w:color w:val="auto"/>
          <w:kern w:val="2"/>
          <w:sz w:val="30"/>
          <w:szCs w:val="32"/>
          <w:highlight w:val="none"/>
          <w:lang w:val="en-US" w:eastAsia="zh-CN" w:bidi="ar-SA"/>
        </w:rPr>
        <w:t xml:space="preserve">19.2 </w:t>
      </w:r>
      <w:r>
        <w:rPr>
          <w:rFonts w:hint="eastAsia" w:ascii="Times New Roman" w:hAnsi="Times New Roman" w:eastAsia="黑体" w:cs="黑体"/>
          <w:b w:val="0"/>
          <w:bCs/>
          <w:color w:val="auto"/>
          <w:kern w:val="2"/>
          <w:sz w:val="30"/>
          <w:szCs w:val="32"/>
          <w:highlight w:val="none"/>
          <w:lang w:val="en-US" w:eastAsia="zh-CN" w:bidi="ar-SA"/>
        </w:rPr>
        <w:t>对承包人索赔的处理</w:t>
      </w:r>
      <w:bookmarkEnd w:id="648"/>
    </w:p>
    <w:bookmarkEnd w:id="649"/>
    <w:bookmarkEnd w:id="650"/>
    <w:bookmarkEnd w:id="651"/>
    <w:p w14:paraId="30546ED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对承包人索赔的处理如下：</w:t>
      </w:r>
    </w:p>
    <w:p w14:paraId="698BDAD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）监理人应在收到索赔报告后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天内完成审查并报送发包人。监理人对索赔报告存在异议的，有权要求承包人提交全部原始记录副本；</w:t>
      </w:r>
    </w:p>
    <w:p w14:paraId="2EFF7AA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）发包人应在监理人收到索赔报告或有关索赔的进一步证明材料后的</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天内，由监理人向承包人出具经发包人签认的索赔处理结果。发包人逾期答复的，则视为认可承包人的索赔要求；</w:t>
      </w:r>
    </w:p>
    <w:p w14:paraId="54810DD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）承包人接受索赔处理结果的，索赔款项在当期进度款中进行支付；承包人不接受索赔处理结果的，按照第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条〔争议解决〕约定处理。</w:t>
      </w:r>
    </w:p>
    <w:p w14:paraId="2CECB6D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52" w:name="_Toc351203623"/>
      <w:bookmarkStart w:id="653" w:name="_Toc337558838"/>
      <w:bookmarkStart w:id="654" w:name="_Toc296503143"/>
      <w:bookmarkStart w:id="655" w:name="_Toc296346644"/>
      <w:r>
        <w:rPr>
          <w:rFonts w:ascii="Times New Roman" w:hAnsi="Times New Roman" w:eastAsia="黑体" w:cs="Times New Roman"/>
          <w:b w:val="0"/>
          <w:bCs/>
          <w:color w:val="auto"/>
          <w:kern w:val="2"/>
          <w:sz w:val="30"/>
          <w:szCs w:val="32"/>
          <w:highlight w:val="none"/>
          <w:lang w:val="en-US" w:eastAsia="zh-CN" w:bidi="ar-SA"/>
        </w:rPr>
        <w:t>19.3</w:t>
      </w:r>
      <w:r>
        <w:rPr>
          <w:rFonts w:hint="eastAsia" w:ascii="Times New Roman" w:hAnsi="Times New Roman" w:eastAsia="黑体" w:cs="黑体"/>
          <w:b w:val="0"/>
          <w:bCs/>
          <w:color w:val="auto"/>
          <w:kern w:val="2"/>
          <w:sz w:val="30"/>
          <w:szCs w:val="32"/>
          <w:highlight w:val="none"/>
          <w:lang w:val="en-US" w:eastAsia="zh-CN" w:bidi="ar-SA"/>
        </w:rPr>
        <w:t>发包人的索赔</w:t>
      </w:r>
      <w:bookmarkEnd w:id="652"/>
    </w:p>
    <w:bookmarkEnd w:id="653"/>
    <w:bookmarkEnd w:id="654"/>
    <w:bookmarkEnd w:id="655"/>
    <w:p w14:paraId="4B29E6C2">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根据合同约定，发包人认为有权得到赔付金额和（或）延长缺陷责任期的，监理人应向承包人发出通知并附有详细的证明。</w:t>
      </w:r>
    </w:p>
    <w:p w14:paraId="60C5F1E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发包人应在知道或应当知道索赔事件发生后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天内通过监理人向承包人提出索赔意向通知书，发包人未在前述</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天内发出索赔意向通知书的，丧失要求赔付金额和（或）延长缺陷责任期的权利。发包人应在发出索赔意向通知书后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天内，通过监理人向承包人正式递交索赔报告。</w:t>
      </w:r>
    </w:p>
    <w:p w14:paraId="13FF7753">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56" w:name="_Toc351203624"/>
      <w:bookmarkStart w:id="657" w:name="_Toc296503144"/>
      <w:bookmarkStart w:id="658" w:name="_Toc337558839"/>
      <w:bookmarkStart w:id="659" w:name="_Toc296346645"/>
      <w:r>
        <w:rPr>
          <w:rFonts w:ascii="Times New Roman" w:hAnsi="Times New Roman" w:eastAsia="黑体" w:cs="Times New Roman"/>
          <w:b w:val="0"/>
          <w:bCs/>
          <w:color w:val="auto"/>
          <w:kern w:val="2"/>
          <w:sz w:val="30"/>
          <w:szCs w:val="32"/>
          <w:highlight w:val="none"/>
          <w:lang w:val="en-US" w:eastAsia="zh-CN" w:bidi="ar-SA"/>
        </w:rPr>
        <w:t xml:space="preserve">19.4 </w:t>
      </w:r>
      <w:r>
        <w:rPr>
          <w:rFonts w:hint="eastAsia" w:ascii="Times New Roman" w:hAnsi="Times New Roman" w:eastAsia="黑体" w:cs="黑体"/>
          <w:b w:val="0"/>
          <w:bCs/>
          <w:color w:val="auto"/>
          <w:kern w:val="2"/>
          <w:sz w:val="30"/>
          <w:szCs w:val="32"/>
          <w:highlight w:val="none"/>
          <w:lang w:val="en-US" w:eastAsia="zh-CN" w:bidi="ar-SA"/>
        </w:rPr>
        <w:t>对发包人索赔的处理</w:t>
      </w:r>
      <w:bookmarkEnd w:id="656"/>
    </w:p>
    <w:bookmarkEnd w:id="657"/>
    <w:bookmarkEnd w:id="658"/>
    <w:bookmarkEnd w:id="659"/>
    <w:p w14:paraId="40B227BD">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对发包人索赔的处理如下：</w:t>
      </w:r>
    </w:p>
    <w:p w14:paraId="19F3F33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）承包人收到发包人提交的索赔报告后，应及时审查索赔报告的内容、查验发包人证明材料；</w:t>
      </w:r>
    </w:p>
    <w:p w14:paraId="1E7D3BE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）承包人应在收到索赔报告或有关索赔的进一步证明材料后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天内，将索赔处理结果答复发包人。如果承包人未在上述期限内作出答复的，则视为对发包人索赔要求的认可；</w:t>
      </w:r>
    </w:p>
    <w:p w14:paraId="1ED4C07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）承包人接受索赔处理结果的，发包人可从应支付给承包人的合同价款中扣除赔付的金额或延长缺陷责任期；发包人不接受索赔处理结果的，按第</w:t>
      </w:r>
      <w:r>
        <w:rPr>
          <w:rFonts w:ascii="Times New Roman" w:hAnsi="Times New Roman" w:eastAsia="仿宋_GB2312" w:cs="Times New Roman"/>
          <w:color w:val="auto"/>
          <w:kern w:val="0"/>
          <w:sz w:val="30"/>
          <w:szCs w:val="32"/>
          <w:highlight w:val="none"/>
          <w:lang w:eastAsia="zh-CN" w:bidi="ar"/>
        </w:rPr>
        <w:t>20</w:t>
      </w:r>
      <w:r>
        <w:rPr>
          <w:rFonts w:hint="eastAsia" w:ascii="Times New Roman" w:hAnsi="Times New Roman" w:eastAsia="仿宋_GB2312" w:cs="仿宋_GB2312"/>
          <w:color w:val="auto"/>
          <w:kern w:val="0"/>
          <w:sz w:val="30"/>
          <w:szCs w:val="32"/>
          <w:highlight w:val="none"/>
          <w:lang w:eastAsia="zh-CN" w:bidi="ar"/>
        </w:rPr>
        <w:t>条〔争议解决〕约定处理。</w:t>
      </w:r>
    </w:p>
    <w:p w14:paraId="58666901">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60" w:name="_Toc351203625"/>
      <w:r>
        <w:rPr>
          <w:rFonts w:ascii="Times New Roman" w:hAnsi="Times New Roman" w:eastAsia="黑体" w:cs="Times New Roman"/>
          <w:b w:val="0"/>
          <w:bCs/>
          <w:color w:val="auto"/>
          <w:kern w:val="2"/>
          <w:sz w:val="30"/>
          <w:szCs w:val="32"/>
          <w:highlight w:val="none"/>
          <w:lang w:val="en-US" w:eastAsia="zh-CN" w:bidi="ar-SA"/>
        </w:rPr>
        <w:t xml:space="preserve">19.5 </w:t>
      </w:r>
      <w:r>
        <w:rPr>
          <w:rFonts w:hint="eastAsia" w:ascii="Times New Roman" w:hAnsi="Times New Roman" w:eastAsia="黑体" w:cs="黑体"/>
          <w:b w:val="0"/>
          <w:bCs/>
          <w:color w:val="auto"/>
          <w:kern w:val="2"/>
          <w:sz w:val="30"/>
          <w:szCs w:val="32"/>
          <w:highlight w:val="none"/>
          <w:lang w:val="en-US" w:eastAsia="zh-CN" w:bidi="ar-SA"/>
        </w:rPr>
        <w:t>提出索赔的期限</w:t>
      </w:r>
      <w:bookmarkEnd w:id="660"/>
    </w:p>
    <w:p w14:paraId="53B29101">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）承包人按第</w:t>
      </w:r>
      <w:r>
        <w:rPr>
          <w:rFonts w:ascii="Times New Roman" w:hAnsi="Times New Roman" w:eastAsia="仿宋_GB2312" w:cs="Times New Roman"/>
          <w:color w:val="auto"/>
          <w:kern w:val="0"/>
          <w:sz w:val="30"/>
          <w:szCs w:val="32"/>
          <w:highlight w:val="none"/>
          <w:lang w:eastAsia="zh-CN" w:bidi="ar"/>
        </w:rPr>
        <w:t>14.2</w:t>
      </w:r>
      <w:r>
        <w:rPr>
          <w:rFonts w:hint="eastAsia" w:ascii="Times New Roman" w:hAnsi="Times New Roman" w:eastAsia="仿宋_GB2312" w:cs="仿宋_GB2312"/>
          <w:color w:val="auto"/>
          <w:kern w:val="0"/>
          <w:sz w:val="30"/>
          <w:szCs w:val="32"/>
          <w:highlight w:val="none"/>
          <w:lang w:eastAsia="zh-CN" w:bidi="ar"/>
        </w:rPr>
        <w:t>款〔竣工结算审核〕约定接收竣工付款证书后，应被视为已无权再提出在工程接收证书颁发前所发生的任何索赔。</w:t>
      </w:r>
    </w:p>
    <w:p w14:paraId="4B7758F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）承包人按第</w:t>
      </w:r>
      <w:r>
        <w:rPr>
          <w:rFonts w:ascii="Times New Roman" w:hAnsi="Times New Roman" w:eastAsia="仿宋_GB2312" w:cs="Times New Roman"/>
          <w:color w:val="auto"/>
          <w:kern w:val="0"/>
          <w:sz w:val="30"/>
          <w:szCs w:val="32"/>
          <w:highlight w:val="none"/>
          <w:lang w:eastAsia="zh-CN" w:bidi="ar"/>
        </w:rPr>
        <w:t>14.4</w:t>
      </w:r>
      <w:r>
        <w:rPr>
          <w:rFonts w:hint="eastAsia" w:ascii="Times New Roman" w:hAnsi="Times New Roman" w:eastAsia="仿宋_GB2312" w:cs="仿宋_GB2312"/>
          <w:color w:val="auto"/>
          <w:kern w:val="0"/>
          <w:sz w:val="30"/>
          <w:szCs w:val="32"/>
          <w:highlight w:val="none"/>
          <w:lang w:eastAsia="zh-CN" w:bidi="ar"/>
        </w:rPr>
        <w:t>款〔最终结清〕提交的最终结清申请单中，只限于提出工程接收证书颁发后发生的索赔。提出索赔的期限自接受最终结清证书时终止。</w:t>
      </w:r>
    </w:p>
    <w:p w14:paraId="7181ACAD">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661" w:name="_Toc163768575"/>
      <w:bookmarkStart w:id="662" w:name="_Toc163768457"/>
      <w:bookmarkStart w:id="663" w:name="_Toc351203626"/>
      <w:r>
        <w:rPr>
          <w:rFonts w:ascii="Times New Roman" w:hAnsi="Times New Roman" w:eastAsia="黑体" w:cs="Times New Roman"/>
          <w:b/>
          <w:bCs/>
          <w:color w:val="auto"/>
          <w:sz w:val="32"/>
          <w:szCs w:val="32"/>
          <w:highlight w:val="none"/>
          <w:lang w:val="en-US" w:eastAsia="zh-CN" w:bidi="en-US"/>
        </w:rPr>
        <w:t>20</w:t>
      </w:r>
      <w:bookmarkStart w:id="664" w:name="_Toc296503146"/>
      <w:bookmarkStart w:id="665" w:name="_Toc337558840"/>
      <w:bookmarkStart w:id="666" w:name="_Toc296346647"/>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争议解决</w:t>
      </w:r>
      <w:bookmarkEnd w:id="661"/>
      <w:bookmarkEnd w:id="662"/>
      <w:bookmarkEnd w:id="663"/>
    </w:p>
    <w:bookmarkEnd w:id="664"/>
    <w:bookmarkEnd w:id="665"/>
    <w:bookmarkEnd w:id="666"/>
    <w:p w14:paraId="7E1DF78D">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67" w:name="_Toc351203627"/>
      <w:bookmarkStart w:id="668" w:name="_Toc337558841"/>
      <w:bookmarkStart w:id="669" w:name="_Toc296503147"/>
      <w:bookmarkStart w:id="670" w:name="_Toc296346648"/>
      <w:r>
        <w:rPr>
          <w:rFonts w:ascii="Times New Roman" w:hAnsi="Times New Roman" w:eastAsia="黑体" w:cs="Times New Roman"/>
          <w:b w:val="0"/>
          <w:bCs/>
          <w:color w:val="auto"/>
          <w:kern w:val="2"/>
          <w:sz w:val="30"/>
          <w:szCs w:val="32"/>
          <w:highlight w:val="none"/>
          <w:lang w:val="en-US" w:eastAsia="zh-CN" w:bidi="ar-SA"/>
        </w:rPr>
        <w:t>20.1</w:t>
      </w:r>
      <w:r>
        <w:rPr>
          <w:rFonts w:hint="eastAsia" w:ascii="Times New Roman" w:hAnsi="Times New Roman" w:eastAsia="黑体" w:cs="黑体"/>
          <w:b w:val="0"/>
          <w:bCs/>
          <w:color w:val="auto"/>
          <w:kern w:val="2"/>
          <w:sz w:val="30"/>
          <w:szCs w:val="32"/>
          <w:highlight w:val="none"/>
          <w:lang w:val="en-US" w:eastAsia="zh-CN" w:bidi="ar-SA"/>
        </w:rPr>
        <w:t>和解</w:t>
      </w:r>
      <w:bookmarkEnd w:id="667"/>
    </w:p>
    <w:bookmarkEnd w:id="668"/>
    <w:bookmarkEnd w:id="669"/>
    <w:bookmarkEnd w:id="670"/>
    <w:p w14:paraId="6C036D6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合同当事人可以就争议自行和解，自行和解达成协议的经双方签字并盖章后作为合同补充文件，双方均应遵照执行。</w:t>
      </w:r>
    </w:p>
    <w:p w14:paraId="15DAB316">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71" w:name="_Toc351203628"/>
      <w:r>
        <w:rPr>
          <w:rFonts w:ascii="Times New Roman" w:hAnsi="Times New Roman" w:eastAsia="黑体" w:cs="Times New Roman"/>
          <w:b w:val="0"/>
          <w:bCs/>
          <w:color w:val="auto"/>
          <w:kern w:val="2"/>
          <w:sz w:val="30"/>
          <w:szCs w:val="32"/>
          <w:highlight w:val="none"/>
          <w:lang w:val="en-US" w:eastAsia="zh-CN" w:bidi="ar-SA"/>
        </w:rPr>
        <w:t>20</w:t>
      </w:r>
      <w:bookmarkStart w:id="672" w:name="_Toc296503148"/>
      <w:bookmarkStart w:id="673" w:name="_Toc296346649"/>
      <w:bookmarkStart w:id="674" w:name="_Toc337558842"/>
      <w:r>
        <w:rPr>
          <w:rFonts w:ascii="Times New Roman" w:hAnsi="Times New Roman" w:eastAsia="黑体" w:cs="Times New Roman"/>
          <w:b w:val="0"/>
          <w:bCs/>
          <w:color w:val="auto"/>
          <w:kern w:val="2"/>
          <w:sz w:val="30"/>
          <w:szCs w:val="32"/>
          <w:highlight w:val="none"/>
          <w:lang w:val="en-US" w:eastAsia="zh-CN" w:bidi="ar-SA"/>
        </w:rPr>
        <w:t>.2</w:t>
      </w:r>
      <w:r>
        <w:rPr>
          <w:rFonts w:hint="eastAsia" w:ascii="Times New Roman" w:hAnsi="Times New Roman" w:eastAsia="黑体" w:cs="黑体"/>
          <w:b w:val="0"/>
          <w:bCs/>
          <w:color w:val="auto"/>
          <w:kern w:val="2"/>
          <w:sz w:val="30"/>
          <w:szCs w:val="32"/>
          <w:highlight w:val="none"/>
          <w:lang w:val="en-US" w:eastAsia="zh-CN" w:bidi="ar-SA"/>
        </w:rPr>
        <w:t>调解</w:t>
      </w:r>
      <w:bookmarkEnd w:id="671"/>
    </w:p>
    <w:bookmarkEnd w:id="672"/>
    <w:bookmarkEnd w:id="673"/>
    <w:bookmarkEnd w:id="674"/>
    <w:p w14:paraId="5D2953E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合同当事人可以就争议请求建设行政主管部门、行业协会或其他第三方进行调解，调解达成协议的，经双方签字并盖章后作为合同补充文件，双方均应遵照执行。</w:t>
      </w:r>
    </w:p>
    <w:p w14:paraId="18DE0627">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75" w:name="_Toc351203629"/>
      <w:bookmarkStart w:id="676" w:name="_Toc337558843"/>
      <w:bookmarkStart w:id="677" w:name="_Toc296503149"/>
      <w:bookmarkStart w:id="678" w:name="_Toc296346650"/>
      <w:r>
        <w:rPr>
          <w:rFonts w:ascii="Times New Roman" w:hAnsi="Times New Roman" w:eastAsia="黑体" w:cs="Times New Roman"/>
          <w:b w:val="0"/>
          <w:bCs/>
          <w:color w:val="auto"/>
          <w:kern w:val="2"/>
          <w:sz w:val="30"/>
          <w:szCs w:val="32"/>
          <w:highlight w:val="none"/>
          <w:lang w:val="en-US" w:eastAsia="zh-CN" w:bidi="ar-SA"/>
        </w:rPr>
        <w:t>20.3</w:t>
      </w:r>
      <w:r>
        <w:rPr>
          <w:rFonts w:hint="eastAsia" w:ascii="Times New Roman" w:hAnsi="Times New Roman" w:eastAsia="黑体" w:cs="黑体"/>
          <w:b w:val="0"/>
          <w:bCs/>
          <w:color w:val="auto"/>
          <w:kern w:val="2"/>
          <w:sz w:val="30"/>
          <w:szCs w:val="32"/>
          <w:highlight w:val="none"/>
          <w:lang w:val="en-US" w:eastAsia="zh-CN" w:bidi="ar-SA"/>
        </w:rPr>
        <w:t>争议评审</w:t>
      </w:r>
      <w:bookmarkEnd w:id="675"/>
    </w:p>
    <w:bookmarkEnd w:id="676"/>
    <w:bookmarkEnd w:id="677"/>
    <w:bookmarkEnd w:id="678"/>
    <w:p w14:paraId="4041E73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合同当事人在专用合同条款中约定采取争议评审方式解决争议以及评审规则，并按下列约定执行：</w:t>
      </w:r>
      <w:r>
        <w:rPr>
          <w:rFonts w:ascii="Times New Roman" w:hAnsi="Times New Roman" w:eastAsia="仿宋_GB2312" w:cs="Times New Roman"/>
          <w:color w:val="auto"/>
          <w:kern w:val="0"/>
          <w:sz w:val="30"/>
          <w:szCs w:val="32"/>
          <w:highlight w:val="none"/>
          <w:lang w:eastAsia="zh-CN" w:bidi="ar"/>
        </w:rPr>
        <w:t xml:space="preserve"> </w:t>
      </w:r>
    </w:p>
    <w:p w14:paraId="1455EE6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20.3.1 </w:t>
      </w:r>
      <w:r>
        <w:rPr>
          <w:rFonts w:hint="eastAsia" w:ascii="Times New Roman" w:hAnsi="Times New Roman" w:eastAsia="仿宋_GB2312" w:cs="仿宋_GB2312"/>
          <w:color w:val="auto"/>
          <w:kern w:val="0"/>
          <w:sz w:val="30"/>
          <w:szCs w:val="32"/>
          <w:highlight w:val="none"/>
          <w:lang w:eastAsia="zh-CN" w:bidi="ar"/>
        </w:rPr>
        <w:t>争议评审小组的确定</w:t>
      </w:r>
    </w:p>
    <w:p w14:paraId="276FD5A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合同当事人可以共同选择一名或三名争议评审员，组成争议评审小组。除专用合同条款另有约定外，合同当事人应当自合同签订后</w:t>
      </w:r>
      <w:r>
        <w:rPr>
          <w:rFonts w:ascii="Times New Roman" w:hAnsi="Times New Roman" w:eastAsia="仿宋_GB2312" w:cs="Times New Roman"/>
          <w:color w:val="auto"/>
          <w:kern w:val="0"/>
          <w:sz w:val="30"/>
          <w:szCs w:val="32"/>
          <w:highlight w:val="none"/>
          <w:lang w:eastAsia="zh-CN" w:bidi="ar"/>
        </w:rPr>
        <w:t>28</w:t>
      </w:r>
      <w:r>
        <w:rPr>
          <w:rFonts w:hint="eastAsia" w:ascii="Times New Roman" w:hAnsi="Times New Roman" w:eastAsia="仿宋_GB2312" w:cs="仿宋_GB2312"/>
          <w:color w:val="auto"/>
          <w:kern w:val="0"/>
          <w:sz w:val="30"/>
          <w:szCs w:val="32"/>
          <w:highlight w:val="none"/>
          <w:lang w:eastAsia="zh-CN" w:bidi="ar"/>
        </w:rPr>
        <w:t>天内，或者争议发生后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天内，选定争议评审员。</w:t>
      </w:r>
    </w:p>
    <w:p w14:paraId="6D7CCFF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Pr>
          <w:rFonts w:ascii="Times New Roman" w:hAnsi="Times New Roman" w:eastAsia="仿宋_GB2312" w:cs="Times New Roman"/>
          <w:color w:val="auto"/>
          <w:kern w:val="0"/>
          <w:sz w:val="30"/>
          <w:szCs w:val="32"/>
          <w:highlight w:val="none"/>
          <w:lang w:eastAsia="zh-CN" w:bidi="ar"/>
        </w:rPr>
        <w:t xml:space="preserve"> </w:t>
      </w:r>
    </w:p>
    <w:p w14:paraId="358DE37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除专用合同条款另有约定外，评审员报酬由发包人和承包人各承担一半。</w:t>
      </w:r>
    </w:p>
    <w:p w14:paraId="7D5202A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20.3.2 </w:t>
      </w:r>
      <w:r>
        <w:rPr>
          <w:rFonts w:hint="eastAsia" w:ascii="Times New Roman" w:hAnsi="Times New Roman" w:eastAsia="仿宋_GB2312" w:cs="仿宋_GB2312"/>
          <w:color w:val="auto"/>
          <w:kern w:val="0"/>
          <w:sz w:val="30"/>
          <w:szCs w:val="32"/>
          <w:highlight w:val="none"/>
          <w:lang w:eastAsia="zh-CN" w:bidi="ar"/>
        </w:rPr>
        <w:t>争议评审小组的决定</w:t>
      </w:r>
    </w:p>
    <w:p w14:paraId="02743DB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Times New Roman" w:hAnsi="Times New Roman" w:eastAsia="仿宋_GB2312" w:cs="Times New Roman"/>
          <w:color w:val="auto"/>
          <w:kern w:val="0"/>
          <w:sz w:val="30"/>
          <w:szCs w:val="32"/>
          <w:highlight w:val="none"/>
          <w:lang w:eastAsia="zh-CN" w:bidi="ar"/>
        </w:rPr>
        <w:t>14</w:t>
      </w:r>
      <w:r>
        <w:rPr>
          <w:rFonts w:hint="eastAsia" w:ascii="Times New Roman" w:hAnsi="Times New Roman" w:eastAsia="仿宋_GB2312" w:cs="仿宋_GB2312"/>
          <w:color w:val="auto"/>
          <w:kern w:val="0"/>
          <w:sz w:val="30"/>
          <w:szCs w:val="32"/>
          <w:highlight w:val="none"/>
          <w:lang w:eastAsia="zh-CN" w:bidi="ar"/>
        </w:rPr>
        <w:t>天内作出书面决定，并说明理由。合同当事人可以在专用合同条款中对本项事项另行约定。</w:t>
      </w:r>
    </w:p>
    <w:p w14:paraId="23CCA098">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20.3.3 </w:t>
      </w:r>
      <w:r>
        <w:rPr>
          <w:rFonts w:hint="eastAsia" w:ascii="Times New Roman" w:hAnsi="Times New Roman" w:eastAsia="仿宋_GB2312" w:cs="仿宋_GB2312"/>
          <w:color w:val="auto"/>
          <w:kern w:val="0"/>
          <w:sz w:val="30"/>
          <w:szCs w:val="32"/>
          <w:highlight w:val="none"/>
          <w:lang w:eastAsia="zh-CN" w:bidi="ar"/>
        </w:rPr>
        <w:t>争议评审小组决定的效力</w:t>
      </w:r>
    </w:p>
    <w:p w14:paraId="0317FDB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争议评审小组作出的书面决定经合同当事人签字确认后，对双方具有约束力，双方应遵照执行。</w:t>
      </w:r>
    </w:p>
    <w:p w14:paraId="397564D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任何一方当事人不接受争议评审小组决定或不履行争议评审小组决定的，双方可选择采用其他争议解决方式。</w:t>
      </w:r>
    </w:p>
    <w:p w14:paraId="469A191F">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79" w:name="_Toc351203630"/>
      <w:bookmarkStart w:id="680" w:name="_Toc296503150"/>
      <w:bookmarkStart w:id="681" w:name="_Toc337558844"/>
      <w:bookmarkStart w:id="682" w:name="_Toc296346651"/>
      <w:r>
        <w:rPr>
          <w:rFonts w:ascii="Times New Roman" w:hAnsi="Times New Roman" w:eastAsia="黑体" w:cs="Times New Roman"/>
          <w:b w:val="0"/>
          <w:bCs/>
          <w:color w:val="auto"/>
          <w:kern w:val="2"/>
          <w:sz w:val="30"/>
          <w:szCs w:val="32"/>
          <w:highlight w:val="none"/>
          <w:lang w:val="en-US" w:eastAsia="zh-CN" w:bidi="ar-SA"/>
        </w:rPr>
        <w:t>20.4</w:t>
      </w:r>
      <w:r>
        <w:rPr>
          <w:rFonts w:hint="eastAsia" w:ascii="Times New Roman" w:hAnsi="Times New Roman" w:eastAsia="黑体" w:cs="黑体"/>
          <w:b w:val="0"/>
          <w:bCs/>
          <w:color w:val="auto"/>
          <w:kern w:val="2"/>
          <w:sz w:val="30"/>
          <w:szCs w:val="32"/>
          <w:highlight w:val="none"/>
          <w:lang w:val="en-US" w:eastAsia="zh-CN" w:bidi="ar-SA"/>
        </w:rPr>
        <w:t>仲裁或诉讼</w:t>
      </w:r>
      <w:bookmarkEnd w:id="679"/>
    </w:p>
    <w:bookmarkEnd w:id="680"/>
    <w:bookmarkEnd w:id="681"/>
    <w:bookmarkEnd w:id="682"/>
    <w:p w14:paraId="1F0ACD4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因合同及合同有关事项产生的争议，合同当事人可以在专用合同条款中约定以下一种方式解决争议：</w:t>
      </w:r>
    </w:p>
    <w:p w14:paraId="141F843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）向约定的仲裁委员会申请仲裁；</w:t>
      </w:r>
    </w:p>
    <w:p w14:paraId="0405031F">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）向有管辖权的人民法院起诉。</w:t>
      </w:r>
    </w:p>
    <w:p w14:paraId="7CCE0D3A">
      <w:pPr>
        <w:keepNext/>
        <w:keepLines/>
        <w:widowControl/>
        <w:shd w:val="clear"/>
        <w:spacing w:before="120" w:after="120" w:line="360" w:lineRule="auto"/>
        <w:ind w:firstLine="600" w:firstLineChars="200"/>
        <w:jc w:val="both"/>
        <w:outlineLvl w:val="3"/>
        <w:rPr>
          <w:rFonts w:ascii="Times New Roman" w:hAnsi="Times New Roman" w:eastAsia="黑体" w:cs="Times New Roman"/>
          <w:b w:val="0"/>
          <w:bCs/>
          <w:color w:val="auto"/>
          <w:kern w:val="2"/>
          <w:sz w:val="30"/>
          <w:szCs w:val="32"/>
          <w:highlight w:val="none"/>
          <w:lang w:val="en-US" w:eastAsia="zh-CN" w:bidi="ar-SA"/>
        </w:rPr>
      </w:pPr>
      <w:bookmarkStart w:id="683" w:name="_Toc351203631"/>
      <w:bookmarkStart w:id="684" w:name="_Toc337558845"/>
      <w:bookmarkStart w:id="685" w:name="_Toc296503152"/>
      <w:bookmarkStart w:id="686" w:name="_Toc296346653"/>
      <w:r>
        <w:rPr>
          <w:rFonts w:ascii="Times New Roman" w:hAnsi="Times New Roman" w:eastAsia="黑体" w:cs="Times New Roman"/>
          <w:b w:val="0"/>
          <w:bCs/>
          <w:color w:val="auto"/>
          <w:kern w:val="2"/>
          <w:sz w:val="30"/>
          <w:szCs w:val="32"/>
          <w:highlight w:val="none"/>
          <w:lang w:val="en-US" w:eastAsia="zh-CN" w:bidi="ar-SA"/>
        </w:rPr>
        <w:t>20.5</w:t>
      </w:r>
      <w:r>
        <w:rPr>
          <w:rFonts w:hint="eastAsia" w:ascii="Times New Roman" w:hAnsi="Times New Roman" w:eastAsia="黑体" w:cs="黑体"/>
          <w:b w:val="0"/>
          <w:bCs/>
          <w:color w:val="auto"/>
          <w:kern w:val="2"/>
          <w:sz w:val="30"/>
          <w:szCs w:val="32"/>
          <w:highlight w:val="none"/>
          <w:lang w:val="en-US" w:eastAsia="zh-CN" w:bidi="ar-SA"/>
        </w:rPr>
        <w:t>争议解决条款效力</w:t>
      </w:r>
      <w:bookmarkEnd w:id="683"/>
    </w:p>
    <w:bookmarkEnd w:id="684"/>
    <w:bookmarkEnd w:id="685"/>
    <w:bookmarkEnd w:id="686"/>
    <w:p w14:paraId="367B8050">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合同有关争议解决的条款独立存在，合同的变更、解除、终止、无效或者被撤销均不影响其效力。</w:t>
      </w:r>
      <w:r>
        <w:rPr>
          <w:rFonts w:ascii="Times New Roman" w:hAnsi="Times New Roman" w:eastAsia="仿宋_GB2312" w:cs="Times New Roman"/>
          <w:color w:val="auto"/>
          <w:kern w:val="0"/>
          <w:sz w:val="30"/>
          <w:szCs w:val="32"/>
          <w:highlight w:val="none"/>
          <w:lang w:eastAsia="zh-CN" w:bidi="ar"/>
        </w:rPr>
        <w:t xml:space="preserve"> </w:t>
      </w:r>
    </w:p>
    <w:p w14:paraId="2F248DB6">
      <w:pPr>
        <w:widowControl/>
        <w:shd w:val="clear"/>
        <w:tabs>
          <w:tab w:val="left" w:pos="540"/>
        </w:tabs>
        <w:adjustRightInd w:val="0"/>
        <w:snapToGrid w:val="0"/>
        <w:spacing w:line="360" w:lineRule="auto"/>
        <w:jc w:val="center"/>
        <w:outlineLvl w:val="1"/>
        <w:rPr>
          <w:rFonts w:ascii="华文中宋" w:hAnsi="华文中宋" w:eastAsia="华文中宋" w:cs="华文中宋"/>
          <w:b/>
          <w:color w:val="auto"/>
          <w:sz w:val="44"/>
          <w:szCs w:val="44"/>
          <w:highlight w:val="none"/>
          <w:lang w:val="en-US" w:eastAsia="zh-CN" w:bidi="en-US"/>
        </w:rPr>
      </w:pPr>
      <w:r>
        <w:rPr>
          <w:rFonts w:hint="eastAsia" w:ascii="华文中宋" w:hAnsi="华文中宋" w:eastAsia="华文中宋" w:cs="Times New Roman"/>
          <w:b/>
          <w:bCs/>
          <w:color w:val="auto"/>
          <w:kern w:val="2"/>
          <w:sz w:val="44"/>
          <w:szCs w:val="44"/>
          <w:highlight w:val="none"/>
          <w:lang w:val="en-US" w:eastAsia="zh-CN" w:bidi="ar"/>
        </w:rPr>
        <w:br w:type="page"/>
      </w:r>
      <w:bookmarkStart w:id="687" w:name="_Toc24953"/>
      <w:bookmarkStart w:id="688" w:name="_Toc163768576"/>
      <w:bookmarkStart w:id="689" w:name="_Toc351203632"/>
      <w:bookmarkStart w:id="690" w:name="_Toc163768458"/>
      <w:r>
        <w:rPr>
          <w:rFonts w:hint="eastAsia" w:ascii="华文中宋" w:hAnsi="华文中宋" w:eastAsia="华文中宋" w:cs="华文中宋"/>
          <w:b/>
          <w:color w:val="auto"/>
          <w:sz w:val="44"/>
          <w:szCs w:val="44"/>
          <w:highlight w:val="none"/>
          <w:lang w:val="en-US" w:eastAsia="zh-CN" w:bidi="en-US"/>
        </w:rPr>
        <w:t>第三部分 专用合同条款</w:t>
      </w:r>
      <w:bookmarkEnd w:id="687"/>
      <w:bookmarkEnd w:id="688"/>
      <w:bookmarkEnd w:id="689"/>
      <w:bookmarkEnd w:id="690"/>
    </w:p>
    <w:p w14:paraId="323B92A6">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691" w:name="_Toc163768577"/>
      <w:bookmarkStart w:id="692" w:name="_Toc351203633"/>
      <w:bookmarkStart w:id="693" w:name="_Toc163768459"/>
      <w:r>
        <w:rPr>
          <w:rFonts w:ascii="Times New Roman" w:hAnsi="Times New Roman" w:eastAsia="黑体" w:cs="Times New Roman"/>
          <w:b/>
          <w:bCs/>
          <w:color w:val="auto"/>
          <w:sz w:val="32"/>
          <w:szCs w:val="32"/>
          <w:highlight w:val="none"/>
          <w:lang w:val="en-US" w:eastAsia="zh-CN" w:bidi="en-US"/>
        </w:rPr>
        <w:t>1</w:t>
      </w:r>
      <w:bookmarkStart w:id="694" w:name="_Toc296891196"/>
      <w:bookmarkStart w:id="695" w:name="_Toc296944495"/>
      <w:bookmarkStart w:id="696" w:name="_Toc296346657"/>
      <w:bookmarkStart w:id="697" w:name="_Toc297120456"/>
      <w:bookmarkStart w:id="698" w:name="_Toc292559361"/>
      <w:bookmarkStart w:id="699" w:name="_Toc296503156"/>
      <w:bookmarkStart w:id="700" w:name="_Toc297048342"/>
      <w:bookmarkStart w:id="701" w:name="_Toc296347155"/>
      <w:bookmarkStart w:id="702" w:name="_Toc296890984"/>
      <w:bookmarkStart w:id="703" w:name="_Toc292559866"/>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一般约定</w:t>
      </w:r>
      <w:bookmarkEnd w:id="691"/>
      <w:bookmarkEnd w:id="692"/>
      <w:bookmarkEnd w:id="693"/>
    </w:p>
    <w:bookmarkEnd w:id="694"/>
    <w:bookmarkEnd w:id="695"/>
    <w:bookmarkEnd w:id="696"/>
    <w:bookmarkEnd w:id="697"/>
    <w:bookmarkEnd w:id="698"/>
    <w:bookmarkEnd w:id="699"/>
    <w:bookmarkEnd w:id="700"/>
    <w:bookmarkEnd w:id="701"/>
    <w:bookmarkEnd w:id="702"/>
    <w:bookmarkEnd w:id="703"/>
    <w:p w14:paraId="4844867E">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1.1 </w:t>
      </w:r>
      <w:r>
        <w:rPr>
          <w:rFonts w:hint="eastAsia" w:ascii="Times New Roman" w:hAnsi="Times New Roman" w:eastAsia="黑体" w:cs="黑体"/>
          <w:color w:val="auto"/>
          <w:kern w:val="2"/>
          <w:sz w:val="30"/>
          <w:szCs w:val="32"/>
          <w:highlight w:val="none"/>
          <w:lang w:eastAsia="zh-CN" w:bidi="ar"/>
        </w:rPr>
        <w:t>词语定义</w:t>
      </w:r>
    </w:p>
    <w:p w14:paraId="56E9552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1.1.1</w:t>
      </w:r>
      <w:r>
        <w:rPr>
          <w:rFonts w:hint="eastAsia" w:ascii="Times New Roman" w:hAnsi="Times New Roman" w:eastAsia="仿宋_GB2312" w:cs="仿宋_GB2312"/>
          <w:color w:val="auto"/>
          <w:kern w:val="0"/>
          <w:sz w:val="30"/>
          <w:szCs w:val="32"/>
          <w:highlight w:val="none"/>
          <w:lang w:eastAsia="zh-CN" w:bidi="ar"/>
        </w:rPr>
        <w:t>合同</w:t>
      </w:r>
    </w:p>
    <w:p w14:paraId="1B37538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1.1.1.10</w:t>
      </w:r>
      <w:r>
        <w:rPr>
          <w:rFonts w:hint="eastAsia" w:ascii="Times New Roman" w:hAnsi="Times New Roman" w:eastAsia="仿宋_GB2312" w:cs="仿宋_GB2312"/>
          <w:color w:val="auto"/>
          <w:kern w:val="0"/>
          <w:sz w:val="30"/>
          <w:szCs w:val="32"/>
          <w:highlight w:val="none"/>
          <w:lang w:eastAsia="zh-CN" w:bidi="ar"/>
        </w:rPr>
        <w:t>其他合同文件包括：</w:t>
      </w:r>
      <w:r>
        <w:rPr>
          <w:rFonts w:ascii="Times New Roman" w:hAnsi="Times New Roman" w:eastAsia="仿宋_GB2312" w:cs="Times New Roman"/>
          <w:color w:val="auto"/>
          <w:kern w:val="2"/>
          <w:sz w:val="30"/>
          <w:szCs w:val="32"/>
          <w:highlight w:val="none"/>
          <w:u w:val="single"/>
          <w:lang w:eastAsia="zh-CN" w:bidi="ar"/>
        </w:rPr>
        <w:t xml:space="preserve">                      </w:t>
      </w:r>
    </w:p>
    <w:p w14:paraId="3F8A998F">
      <w:pPr>
        <w:shd w:val="clear"/>
        <w:spacing w:line="360" w:lineRule="auto"/>
        <w:ind w:left="1650" w:hanging="1650" w:hangingChars="550"/>
        <w:jc w:val="both"/>
        <w:rPr>
          <w:rFonts w:ascii="Times New Roman" w:hAnsi="Times New Roman" w:eastAsia="仿宋_GB2312" w:cs="Times New Roman"/>
          <w:color w:val="auto"/>
          <w:kern w:val="0"/>
          <w:sz w:val="30"/>
          <w:szCs w:val="32"/>
          <w:highlight w:val="none"/>
          <w:u w:val="singl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w:t>
      </w:r>
    </w:p>
    <w:p w14:paraId="5E0EB0F9">
      <w:pPr>
        <w:shd w:val="clear"/>
        <w:spacing w:line="360" w:lineRule="auto"/>
        <w:ind w:left="1650" w:hanging="1650" w:hangingChars="55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6CAEA9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1.1.2 </w:t>
      </w:r>
      <w:r>
        <w:rPr>
          <w:rFonts w:hint="eastAsia" w:ascii="Times New Roman" w:hAnsi="Times New Roman" w:eastAsia="仿宋_GB2312" w:cs="仿宋_GB2312"/>
          <w:color w:val="auto"/>
          <w:kern w:val="2"/>
          <w:sz w:val="30"/>
          <w:szCs w:val="32"/>
          <w:highlight w:val="none"/>
          <w:lang w:eastAsia="zh-CN" w:bidi="ar"/>
        </w:rPr>
        <w:t>合同当事人及其他相关方</w:t>
      </w:r>
    </w:p>
    <w:p w14:paraId="7B34EAF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1.1.2.4</w:t>
      </w:r>
      <w:r>
        <w:rPr>
          <w:rFonts w:hint="eastAsia" w:ascii="Times New Roman" w:hAnsi="Times New Roman" w:eastAsia="仿宋_GB2312" w:cs="仿宋_GB2312"/>
          <w:color w:val="auto"/>
          <w:kern w:val="2"/>
          <w:sz w:val="30"/>
          <w:szCs w:val="32"/>
          <w:highlight w:val="none"/>
          <w:lang w:eastAsia="zh-CN" w:bidi="ar"/>
        </w:rPr>
        <w:t>监理人：</w:t>
      </w:r>
    </w:p>
    <w:p w14:paraId="134EE3F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名</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称：</w:t>
      </w:r>
      <w:r>
        <w:rPr>
          <w:rFonts w:ascii="Times New Roman" w:hAnsi="Times New Roman" w:eastAsia="仿宋_GB2312" w:cs="Times New Roman"/>
          <w:color w:val="auto"/>
          <w:kern w:val="2"/>
          <w:sz w:val="30"/>
          <w:szCs w:val="32"/>
          <w:highlight w:val="none"/>
          <w:u w:val="single"/>
          <w:lang w:eastAsia="zh-CN" w:bidi="ar"/>
        </w:rPr>
        <w:t xml:space="preserve">                </w:t>
      </w:r>
      <w:r>
        <w:rPr>
          <w:rFonts w:hint="eastAsia" w:ascii="Times New Roman" w:hAnsi="Times New Roman" w:eastAsia="仿宋_GB2312" w:cs="仿宋_GB2312"/>
          <w:color w:val="auto"/>
          <w:kern w:val="2"/>
          <w:sz w:val="30"/>
          <w:szCs w:val="32"/>
          <w:highlight w:val="none"/>
          <w:lang w:eastAsia="zh-CN" w:bidi="ar"/>
        </w:rPr>
        <w:t>；</w:t>
      </w:r>
    </w:p>
    <w:p w14:paraId="0C14D27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资质类别和等级：</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3240A83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联系电话：</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7FD4B84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电子信箱：</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6784E1D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通信地址：</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1D12AC06">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1.1.2.5 </w:t>
      </w:r>
      <w:r>
        <w:rPr>
          <w:rFonts w:hint="eastAsia" w:ascii="Times New Roman" w:hAnsi="Times New Roman" w:eastAsia="仿宋_GB2312" w:cs="仿宋_GB2312"/>
          <w:color w:val="auto"/>
          <w:kern w:val="2"/>
          <w:sz w:val="30"/>
          <w:szCs w:val="32"/>
          <w:highlight w:val="none"/>
          <w:lang w:eastAsia="zh-CN" w:bidi="ar"/>
        </w:rPr>
        <w:t>设计人：</w:t>
      </w:r>
    </w:p>
    <w:p w14:paraId="598D403B">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名</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称：</w:t>
      </w:r>
      <w:r>
        <w:rPr>
          <w:rFonts w:ascii="Times New Roman" w:hAnsi="Times New Roman" w:eastAsia="仿宋_GB2312" w:cs="Times New Roman"/>
          <w:color w:val="auto"/>
          <w:kern w:val="2"/>
          <w:sz w:val="30"/>
          <w:szCs w:val="32"/>
          <w:highlight w:val="none"/>
          <w:u w:val="single"/>
          <w:lang w:eastAsia="zh-CN" w:bidi="ar"/>
        </w:rPr>
        <w:t xml:space="preserve">                 </w:t>
      </w:r>
      <w:r>
        <w:rPr>
          <w:rFonts w:hint="eastAsia" w:ascii="Times New Roman" w:hAnsi="Times New Roman" w:eastAsia="仿宋_GB2312" w:cs="仿宋_GB2312"/>
          <w:color w:val="auto"/>
          <w:kern w:val="2"/>
          <w:sz w:val="30"/>
          <w:szCs w:val="32"/>
          <w:highlight w:val="none"/>
          <w:lang w:eastAsia="zh-CN" w:bidi="ar"/>
        </w:rPr>
        <w:t>；</w:t>
      </w:r>
    </w:p>
    <w:p w14:paraId="4F73489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资质类别和等级：</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6F82F1A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联系电话：</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0E1F6B1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电子信箱：</w:t>
      </w:r>
      <w:r>
        <w:rPr>
          <w:rFonts w:ascii="Times New Roman" w:hAnsi="Times New Roman" w:eastAsia="仿宋_GB2312" w:cs="Times New Roman"/>
          <w:color w:val="auto"/>
          <w:kern w:val="2"/>
          <w:sz w:val="30"/>
          <w:szCs w:val="32"/>
          <w:highlight w:val="none"/>
          <w:u w:val="single"/>
          <w:lang w:eastAsia="zh-CN" w:bidi="ar"/>
        </w:rPr>
        <w:t xml:space="preserve">                    </w:t>
      </w:r>
      <w:r>
        <w:rPr>
          <w:rFonts w:hint="eastAsia" w:ascii="Times New Roman" w:hAnsi="Times New Roman" w:eastAsia="仿宋_GB2312" w:cs="仿宋_GB2312"/>
          <w:color w:val="auto"/>
          <w:kern w:val="2"/>
          <w:sz w:val="30"/>
          <w:szCs w:val="32"/>
          <w:highlight w:val="none"/>
          <w:lang w:eastAsia="zh-CN" w:bidi="ar"/>
        </w:rPr>
        <w:t>；</w:t>
      </w:r>
    </w:p>
    <w:p w14:paraId="2B518A0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通信地址：</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5386379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1.1.3 </w:t>
      </w:r>
      <w:r>
        <w:rPr>
          <w:rFonts w:hint="eastAsia" w:ascii="Times New Roman" w:hAnsi="Times New Roman" w:eastAsia="仿宋_GB2312" w:cs="仿宋_GB2312"/>
          <w:color w:val="auto"/>
          <w:kern w:val="2"/>
          <w:sz w:val="30"/>
          <w:szCs w:val="32"/>
          <w:highlight w:val="none"/>
          <w:lang w:eastAsia="zh-CN" w:bidi="ar"/>
        </w:rPr>
        <w:t>工程和设备</w:t>
      </w:r>
    </w:p>
    <w:p w14:paraId="5415A623">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 xml:space="preserve">1.1.3.7 </w:t>
      </w:r>
      <w:r>
        <w:rPr>
          <w:rFonts w:hint="eastAsia" w:ascii="Times New Roman" w:hAnsi="Times New Roman" w:eastAsia="仿宋_GB2312" w:cs="仿宋_GB2312"/>
          <w:color w:val="auto"/>
          <w:kern w:val="2"/>
          <w:sz w:val="30"/>
          <w:szCs w:val="32"/>
          <w:highlight w:val="none"/>
          <w:lang w:eastAsia="zh-CN" w:bidi="ar"/>
        </w:rPr>
        <w:t>作为施工现场组成部分的其他场所包括：</w:t>
      </w:r>
      <w:r>
        <w:rPr>
          <w:rFonts w:ascii="Times New Roman" w:hAnsi="Times New Roman" w:eastAsia="仿宋_GB2312" w:cs="Times New Roman"/>
          <w:color w:val="auto"/>
          <w:kern w:val="2"/>
          <w:sz w:val="30"/>
          <w:szCs w:val="32"/>
          <w:highlight w:val="none"/>
          <w:u w:val="single"/>
          <w:lang w:eastAsia="zh-CN" w:bidi="ar"/>
        </w:rPr>
        <w:t xml:space="preserve">           </w:t>
      </w:r>
    </w:p>
    <w:p w14:paraId="1CFA17F0">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53C9164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0"/>
          <w:sz w:val="30"/>
          <w:szCs w:val="32"/>
          <w:highlight w:val="none"/>
          <w:lang w:eastAsia="zh-CN" w:bidi="ar"/>
        </w:rPr>
        <w:t xml:space="preserve">1.1.3.9 </w:t>
      </w:r>
      <w:r>
        <w:rPr>
          <w:rFonts w:hint="eastAsia" w:ascii="Times New Roman" w:hAnsi="Times New Roman" w:eastAsia="仿宋_GB2312" w:cs="仿宋_GB2312"/>
          <w:color w:val="auto"/>
          <w:kern w:val="0"/>
          <w:sz w:val="30"/>
          <w:szCs w:val="32"/>
          <w:highlight w:val="none"/>
          <w:lang w:eastAsia="zh-CN" w:bidi="ar"/>
        </w:rPr>
        <w:t>永久占地包括：</w:t>
      </w:r>
      <w:r>
        <w:rPr>
          <w:rFonts w:ascii="Times New Roman" w:hAnsi="Times New Roman" w:eastAsia="仿宋_GB2312" w:cs="Times New Roman"/>
          <w:color w:val="auto"/>
          <w:kern w:val="2"/>
          <w:sz w:val="30"/>
          <w:szCs w:val="32"/>
          <w:highlight w:val="none"/>
          <w:u w:val="single"/>
          <w:lang w:eastAsia="zh-CN" w:bidi="ar"/>
        </w:rPr>
        <w:t xml:space="preserve">                        </w:t>
      </w:r>
      <w:r>
        <w:rPr>
          <w:rFonts w:hint="eastAsia" w:ascii="Times New Roman" w:hAnsi="Times New Roman" w:eastAsia="仿宋_GB2312" w:cs="仿宋_GB2312"/>
          <w:color w:val="auto"/>
          <w:kern w:val="0"/>
          <w:sz w:val="30"/>
          <w:szCs w:val="32"/>
          <w:highlight w:val="none"/>
          <w:lang w:eastAsia="zh-CN" w:bidi="ar"/>
        </w:rPr>
        <w:t>。</w:t>
      </w:r>
    </w:p>
    <w:p w14:paraId="2428B2D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1.1.3.10 </w:t>
      </w:r>
      <w:r>
        <w:rPr>
          <w:rFonts w:hint="eastAsia" w:ascii="Times New Roman" w:hAnsi="Times New Roman" w:eastAsia="仿宋_GB2312" w:cs="仿宋_GB2312"/>
          <w:color w:val="auto"/>
          <w:kern w:val="0"/>
          <w:sz w:val="30"/>
          <w:szCs w:val="32"/>
          <w:highlight w:val="none"/>
          <w:lang w:eastAsia="zh-CN" w:bidi="ar"/>
        </w:rPr>
        <w:t>临时占地包括：</w:t>
      </w:r>
      <w:r>
        <w:rPr>
          <w:rFonts w:ascii="Times New Roman" w:hAnsi="Times New Roman" w:eastAsia="仿宋_GB2312" w:cs="Times New Roman"/>
          <w:color w:val="auto"/>
          <w:kern w:val="2"/>
          <w:sz w:val="30"/>
          <w:szCs w:val="32"/>
          <w:highlight w:val="none"/>
          <w:u w:val="single"/>
          <w:lang w:eastAsia="zh-CN" w:bidi="ar"/>
        </w:rPr>
        <w:t xml:space="preserve">                       </w:t>
      </w:r>
      <w:r>
        <w:rPr>
          <w:rFonts w:hint="eastAsia" w:ascii="Times New Roman" w:hAnsi="Times New Roman" w:eastAsia="仿宋_GB2312" w:cs="仿宋_GB2312"/>
          <w:color w:val="auto"/>
          <w:kern w:val="0"/>
          <w:sz w:val="30"/>
          <w:szCs w:val="32"/>
          <w:highlight w:val="none"/>
          <w:lang w:eastAsia="zh-CN" w:bidi="ar"/>
        </w:rPr>
        <w:t>。</w:t>
      </w:r>
    </w:p>
    <w:p w14:paraId="22B08003">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1.3</w:t>
      </w:r>
      <w:r>
        <w:rPr>
          <w:rFonts w:hint="eastAsia" w:ascii="Times New Roman" w:hAnsi="Times New Roman" w:eastAsia="黑体" w:cs="黑体"/>
          <w:color w:val="auto"/>
          <w:kern w:val="2"/>
          <w:sz w:val="30"/>
          <w:szCs w:val="32"/>
          <w:highlight w:val="none"/>
          <w:lang w:eastAsia="zh-CN" w:bidi="ar"/>
        </w:rPr>
        <w:t>法律</w:t>
      </w:r>
      <w:r>
        <w:rPr>
          <w:rFonts w:ascii="Times New Roman" w:hAnsi="Times New Roman" w:eastAsia="黑体" w:cs="Times New Roman"/>
          <w:color w:val="auto"/>
          <w:kern w:val="2"/>
          <w:sz w:val="30"/>
          <w:szCs w:val="32"/>
          <w:highlight w:val="none"/>
          <w:lang w:eastAsia="zh-CN" w:bidi="ar"/>
        </w:rPr>
        <w:t xml:space="preserve"> </w:t>
      </w:r>
    </w:p>
    <w:p w14:paraId="224E1105">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shd w:val="clear"/>
          <w:lang w:eastAsia="en-US" w:bidi="en-US"/>
        </w:rPr>
      </w:pPr>
      <w:r>
        <w:rPr>
          <w:rFonts w:hint="eastAsia" w:ascii="Times New Roman" w:hAnsi="Times New Roman" w:eastAsia="仿宋_GB2312" w:cs="仿宋_GB2312"/>
          <w:color w:val="auto"/>
          <w:kern w:val="2"/>
          <w:sz w:val="30"/>
          <w:szCs w:val="32"/>
          <w:highlight w:val="none"/>
          <w:lang w:eastAsia="zh-CN" w:bidi="ar"/>
        </w:rPr>
        <w:t>适用于合同的其他规范性文件：</w:t>
      </w:r>
      <w:r>
        <w:rPr>
          <w:rFonts w:hint="eastAsia" w:eastAsia="仿宋_GB2312" w:cs="Times New Roman"/>
          <w:color w:val="auto"/>
          <w:kern w:val="2"/>
          <w:sz w:val="30"/>
          <w:szCs w:val="32"/>
          <w:highlight w:val="none"/>
          <w:u w:val="single"/>
          <w:shd w:val="clear"/>
          <w:lang w:val="en-US" w:eastAsia="zh-CN" w:bidi="ar"/>
        </w:rPr>
        <w:t>承包人</w:t>
      </w:r>
      <w:r>
        <w:rPr>
          <w:rFonts w:hint="eastAsia" w:ascii="Times New Roman" w:hAnsi="Times New Roman" w:eastAsia="仿宋_GB2312" w:cs="Times New Roman"/>
          <w:color w:val="auto"/>
          <w:kern w:val="2"/>
          <w:sz w:val="30"/>
          <w:szCs w:val="32"/>
          <w:highlight w:val="none"/>
          <w:u w:val="single"/>
          <w:shd w:val="clear"/>
          <w:lang w:eastAsia="zh-CN" w:bidi="ar"/>
        </w:rPr>
        <w:t>在灯组布线施工时应充分考虑用电安全，供电线缆符合相关技术规范</w:t>
      </w:r>
      <w:r>
        <w:rPr>
          <w:rFonts w:hint="eastAsia" w:ascii="Times New Roman" w:hAnsi="Times New Roman" w:eastAsia="仿宋_GB2312" w:cs="仿宋_GB2312"/>
          <w:color w:val="auto"/>
          <w:kern w:val="2"/>
          <w:sz w:val="30"/>
          <w:szCs w:val="32"/>
          <w:highlight w:val="none"/>
          <w:shd w:val="clear"/>
          <w:lang w:eastAsia="zh-CN" w:bidi="ar"/>
        </w:rPr>
        <w:t>。</w:t>
      </w:r>
    </w:p>
    <w:p w14:paraId="6A1E35CE">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1.4 </w:t>
      </w:r>
      <w:r>
        <w:rPr>
          <w:rFonts w:hint="eastAsia" w:ascii="Times New Roman" w:hAnsi="Times New Roman" w:eastAsia="黑体" w:cs="黑体"/>
          <w:color w:val="auto"/>
          <w:kern w:val="2"/>
          <w:sz w:val="30"/>
          <w:szCs w:val="32"/>
          <w:highlight w:val="none"/>
          <w:lang w:eastAsia="zh-CN" w:bidi="ar"/>
        </w:rPr>
        <w:t>标准和规范</w:t>
      </w:r>
    </w:p>
    <w:p w14:paraId="56B88BB9">
      <w:pPr>
        <w:shd w:val="clear"/>
        <w:spacing w:line="360" w:lineRule="auto"/>
        <w:ind w:left="596" w:leftChars="284"/>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1.4.1</w:t>
      </w:r>
      <w:r>
        <w:rPr>
          <w:rFonts w:hint="eastAsia" w:ascii="Times New Roman" w:hAnsi="Times New Roman" w:eastAsia="仿宋_GB2312" w:cs="仿宋_GB2312"/>
          <w:color w:val="auto"/>
          <w:kern w:val="2"/>
          <w:sz w:val="30"/>
          <w:szCs w:val="32"/>
          <w:highlight w:val="none"/>
          <w:lang w:eastAsia="zh-CN" w:bidi="ar"/>
        </w:rPr>
        <w:t>适用于工程的标准规范包括：</w:t>
      </w:r>
      <w:r>
        <w:rPr>
          <w:rFonts w:ascii="Times New Roman" w:hAnsi="Times New Roman" w:eastAsia="仿宋_GB2312" w:cs="Times New Roman"/>
          <w:color w:val="auto"/>
          <w:kern w:val="2"/>
          <w:sz w:val="30"/>
          <w:szCs w:val="32"/>
          <w:highlight w:val="none"/>
          <w:u w:val="single"/>
          <w:lang w:eastAsia="zh-CN" w:bidi="ar"/>
        </w:rPr>
        <w:t>          </w:t>
      </w:r>
      <w:r>
        <w:rPr>
          <w:rFonts w:ascii="Times New Roman" w:hAnsi="Times New Roman" w:eastAsia="仿宋_GB2312" w:cs="Times New Roman"/>
          <w:color w:val="auto"/>
          <w:kern w:val="2"/>
          <w:sz w:val="30"/>
          <w:szCs w:val="32"/>
          <w:highlight w:val="none"/>
          <w:lang w:eastAsia="zh-CN" w:bidi="ar"/>
        </w:rPr>
        <w:t xml:space="preserve"> </w:t>
      </w:r>
    </w:p>
    <w:p w14:paraId="3FCB469D">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2"/>
          <w:sz w:val="30"/>
          <w:szCs w:val="32"/>
          <w:highlight w:val="none"/>
          <w:lang w:eastAsia="zh-CN" w:bidi="ar"/>
        </w:rPr>
        <w:t>。</w:t>
      </w:r>
    </w:p>
    <w:p w14:paraId="0B5DCEFF">
      <w:pPr>
        <w:shd w:val="clear"/>
        <w:jc w:val="both"/>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0"/>
          <w:sz w:val="30"/>
          <w:szCs w:val="32"/>
          <w:highlight w:val="none"/>
          <w:lang w:eastAsia="zh-CN" w:bidi="ar"/>
        </w:rPr>
        <w:t xml:space="preserve">1.4.2 </w:t>
      </w:r>
      <w:r>
        <w:rPr>
          <w:rFonts w:hint="eastAsia" w:ascii="Times New Roman" w:hAnsi="Times New Roman" w:eastAsia="仿宋_GB2312" w:cs="仿宋_GB2312"/>
          <w:color w:val="auto"/>
          <w:kern w:val="0"/>
          <w:sz w:val="30"/>
          <w:szCs w:val="32"/>
          <w:highlight w:val="none"/>
          <w:lang w:eastAsia="zh-CN" w:bidi="ar"/>
        </w:rPr>
        <w:t>发包人提供国外标准、规范的名称：</w:t>
      </w:r>
      <w:r>
        <w:rPr>
          <w:rFonts w:ascii="Times New Roman" w:hAnsi="Times New Roman" w:eastAsia="仿宋_GB2312" w:cs="Times New Roman"/>
          <w:color w:val="auto"/>
          <w:kern w:val="0"/>
          <w:sz w:val="30"/>
          <w:szCs w:val="32"/>
          <w:highlight w:val="none"/>
          <w:u w:val="single"/>
          <w:lang w:eastAsia="zh-CN" w:bidi="ar"/>
        </w:rPr>
        <w:t xml:space="preserve">                 </w:t>
      </w:r>
    </w:p>
    <w:p w14:paraId="417AC0B9">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4AAAAAC1">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发包人提供国外标准、规范的份数：</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790DC0F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发包人提供国外标准、规范的名称：</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187AA457">
      <w:pPr>
        <w:shd w:val="clear"/>
        <w:spacing w:line="360" w:lineRule="auto"/>
        <w:ind w:left="596" w:leftChars="284"/>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1.4.3</w:t>
      </w:r>
      <w:r>
        <w:rPr>
          <w:rFonts w:hint="eastAsia" w:ascii="Times New Roman" w:hAnsi="Times New Roman" w:eastAsia="仿宋_GB2312" w:cs="仿宋_GB2312"/>
          <w:color w:val="auto"/>
          <w:kern w:val="2"/>
          <w:sz w:val="30"/>
          <w:szCs w:val="32"/>
          <w:highlight w:val="none"/>
          <w:lang w:eastAsia="zh-CN" w:bidi="ar"/>
        </w:rPr>
        <w:t>发包人对工程的技术标准和功能要求的特殊要求：</w:t>
      </w:r>
    </w:p>
    <w:p w14:paraId="0767EEF8">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                                                               </w:t>
      </w:r>
      <w:r>
        <w:rPr>
          <w:rFonts w:hint="eastAsia" w:ascii="Times New Roman" w:hAnsi="Times New Roman" w:eastAsia="仿宋_GB2312" w:cs="仿宋_GB2312"/>
          <w:color w:val="auto"/>
          <w:kern w:val="2"/>
          <w:sz w:val="30"/>
          <w:szCs w:val="32"/>
          <w:highlight w:val="none"/>
          <w:lang w:eastAsia="zh-CN" w:bidi="ar"/>
        </w:rPr>
        <w:t>。</w:t>
      </w:r>
    </w:p>
    <w:p w14:paraId="15100AB9">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1.5 </w:t>
      </w:r>
      <w:r>
        <w:rPr>
          <w:rFonts w:hint="eastAsia" w:ascii="Times New Roman" w:hAnsi="Times New Roman" w:eastAsia="黑体" w:cs="黑体"/>
          <w:color w:val="auto"/>
          <w:kern w:val="2"/>
          <w:sz w:val="30"/>
          <w:szCs w:val="32"/>
          <w:highlight w:val="none"/>
          <w:lang w:eastAsia="zh-CN" w:bidi="ar"/>
        </w:rPr>
        <w:t>合同文件的优先顺序</w:t>
      </w:r>
    </w:p>
    <w:p w14:paraId="364CFFD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合同文件组成及优先顺序为：</w:t>
      </w:r>
      <w:r>
        <w:rPr>
          <w:rFonts w:ascii="Times New Roman" w:hAnsi="Times New Roman" w:eastAsia="仿宋_GB2312" w:cs="Times New Roman"/>
          <w:color w:val="auto"/>
          <w:kern w:val="2"/>
          <w:sz w:val="30"/>
          <w:szCs w:val="32"/>
          <w:highlight w:val="none"/>
          <w:u w:val="single"/>
          <w:lang w:eastAsia="zh-CN" w:bidi="ar"/>
        </w:rPr>
        <w:t></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                                                 </w:t>
      </w:r>
      <w:r>
        <w:rPr>
          <w:rFonts w:hint="eastAsia" w:ascii="Times New Roman" w:hAnsi="Times New Roman" w:eastAsia="仿宋_GB2312" w:cs="仿宋_GB2312"/>
          <w:color w:val="auto"/>
          <w:kern w:val="2"/>
          <w:sz w:val="30"/>
          <w:szCs w:val="32"/>
          <w:highlight w:val="none"/>
          <w:lang w:eastAsia="zh-CN" w:bidi="ar"/>
        </w:rPr>
        <w:t>。</w:t>
      </w:r>
    </w:p>
    <w:p w14:paraId="309428F8">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1.6 </w:t>
      </w:r>
      <w:r>
        <w:rPr>
          <w:rFonts w:hint="eastAsia" w:ascii="Times New Roman" w:hAnsi="Times New Roman" w:eastAsia="黑体" w:cs="黑体"/>
          <w:color w:val="auto"/>
          <w:kern w:val="2"/>
          <w:sz w:val="30"/>
          <w:szCs w:val="32"/>
          <w:highlight w:val="none"/>
          <w:lang w:eastAsia="zh-CN" w:bidi="ar"/>
        </w:rPr>
        <w:t>图纸和承包人文件</w:t>
      </w:r>
      <w:r>
        <w:rPr>
          <w:rFonts w:ascii="Times New Roman" w:hAnsi="Times New Roman" w:eastAsia="黑体" w:cs="Times New Roman"/>
          <w:color w:val="auto"/>
          <w:kern w:val="2"/>
          <w:sz w:val="30"/>
          <w:szCs w:val="32"/>
          <w:highlight w:val="none"/>
          <w:lang w:eastAsia="zh-CN" w:bidi="ar"/>
        </w:rPr>
        <w:tab/>
      </w:r>
    </w:p>
    <w:p w14:paraId="35EE311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1.6.1 </w:t>
      </w:r>
      <w:r>
        <w:rPr>
          <w:rFonts w:hint="eastAsia" w:ascii="Times New Roman" w:hAnsi="Times New Roman" w:eastAsia="仿宋_GB2312" w:cs="仿宋_GB2312"/>
          <w:color w:val="auto"/>
          <w:kern w:val="2"/>
          <w:sz w:val="30"/>
          <w:szCs w:val="32"/>
          <w:highlight w:val="none"/>
          <w:lang w:eastAsia="zh-CN" w:bidi="ar"/>
        </w:rPr>
        <w:t>图纸的提供</w:t>
      </w:r>
    </w:p>
    <w:p w14:paraId="7B95B78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发包人向承包人提供图纸的期限：</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0AB72DA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发包人向承包人提供图纸的数量：</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63B1EF4B">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发包人向承包人提供图纸的内容：</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33F70B5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lang w:eastAsia="zh-CN" w:bidi="ar"/>
        </w:rPr>
        <w:t xml:space="preserve">1.6.4 </w:t>
      </w:r>
      <w:r>
        <w:rPr>
          <w:rFonts w:hint="eastAsia" w:ascii="Times New Roman" w:hAnsi="Times New Roman" w:eastAsia="仿宋_GB2312" w:cs="仿宋_GB2312"/>
          <w:color w:val="auto"/>
          <w:kern w:val="2"/>
          <w:sz w:val="30"/>
          <w:szCs w:val="32"/>
          <w:highlight w:val="none"/>
          <w:lang w:eastAsia="zh-CN" w:bidi="ar"/>
        </w:rPr>
        <w:t>承包人文件</w:t>
      </w:r>
    </w:p>
    <w:p w14:paraId="093E90D5">
      <w:pPr>
        <w:shd w:val="clear"/>
        <w:spacing w:line="360" w:lineRule="auto"/>
        <w:ind w:left="596" w:leftChars="284"/>
        <w:jc w:val="left"/>
        <w:rPr>
          <w:rFonts w:ascii="Times New Roman" w:hAnsi="Times New Roman" w:eastAsia="仿宋_GB2312" w:cs="Times New Roman"/>
          <w:color w:val="auto"/>
          <w:kern w:val="0"/>
          <w:sz w:val="30"/>
          <w:szCs w:val="32"/>
          <w:highlight w:val="none"/>
          <w:u w:val="single"/>
          <w:lang w:eastAsia="en-US" w:bidi="en-US"/>
        </w:rPr>
      </w:pPr>
      <w:r>
        <w:rPr>
          <w:rFonts w:hint="eastAsia" w:ascii="Times New Roman" w:hAnsi="Times New Roman" w:eastAsia="仿宋_GB2312" w:cs="仿宋_GB2312"/>
          <w:color w:val="auto"/>
          <w:kern w:val="2"/>
          <w:sz w:val="30"/>
          <w:szCs w:val="32"/>
          <w:highlight w:val="none"/>
          <w:lang w:eastAsia="zh-CN" w:bidi="ar"/>
        </w:rPr>
        <w:t>需要由承包人提供的文件，包括：</w:t>
      </w:r>
      <w:r>
        <w:rPr>
          <w:rFonts w:ascii="Times New Roman" w:hAnsi="Times New Roman" w:eastAsia="仿宋_GB2312" w:cs="Times New Roman"/>
          <w:color w:val="auto"/>
          <w:kern w:val="2"/>
          <w:sz w:val="30"/>
          <w:szCs w:val="32"/>
          <w:highlight w:val="none"/>
          <w:u w:val="single"/>
          <w:lang w:eastAsia="zh-CN" w:bidi="ar"/>
        </w:rPr>
        <w:t>          </w:t>
      </w:r>
    </w:p>
    <w:p w14:paraId="7EB06B9C">
      <w:pPr>
        <w:shd w:val="clear"/>
        <w:spacing w:line="360" w:lineRule="auto"/>
        <w:ind w:left="596" w:leftChars="284"/>
        <w:jc w:val="left"/>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2"/>
          <w:sz w:val="30"/>
          <w:szCs w:val="32"/>
          <w:highlight w:val="none"/>
          <w:lang w:eastAsia="zh-CN" w:bidi="ar"/>
        </w:rPr>
        <w:t>；</w:t>
      </w:r>
    </w:p>
    <w:p w14:paraId="1C09E136">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承包人提供的文件的期限为：</w:t>
      </w: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2"/>
          <w:sz w:val="30"/>
          <w:szCs w:val="32"/>
          <w:highlight w:val="none"/>
          <w:lang w:eastAsia="zh-CN" w:bidi="ar"/>
        </w:rPr>
        <w:t>；</w:t>
      </w:r>
    </w:p>
    <w:p w14:paraId="7B27514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承包人提供的文件的数量为：</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4F1FF93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承包人提供的文件的形式为：</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5441FE4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发包人审批承包人文件的期限：</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65937EBB">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1.6.5 </w:t>
      </w:r>
      <w:r>
        <w:rPr>
          <w:rFonts w:hint="eastAsia" w:ascii="Times New Roman" w:hAnsi="Times New Roman" w:eastAsia="仿宋_GB2312" w:cs="仿宋_GB2312"/>
          <w:color w:val="auto"/>
          <w:kern w:val="2"/>
          <w:sz w:val="30"/>
          <w:szCs w:val="32"/>
          <w:highlight w:val="none"/>
          <w:lang w:eastAsia="zh-CN" w:bidi="ar"/>
        </w:rPr>
        <w:t>现场图纸准备</w:t>
      </w:r>
    </w:p>
    <w:p w14:paraId="3A1602C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关于现场图纸准备的约定：</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0DCB292A">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1.7 </w:t>
      </w:r>
      <w:r>
        <w:rPr>
          <w:rFonts w:hint="eastAsia" w:ascii="Times New Roman" w:hAnsi="Times New Roman" w:eastAsia="黑体" w:cs="黑体"/>
          <w:color w:val="auto"/>
          <w:kern w:val="2"/>
          <w:sz w:val="30"/>
          <w:szCs w:val="32"/>
          <w:highlight w:val="none"/>
          <w:lang w:eastAsia="zh-CN" w:bidi="ar"/>
        </w:rPr>
        <w:t>联络</w:t>
      </w:r>
    </w:p>
    <w:p w14:paraId="0124461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1.7.1</w:t>
      </w:r>
      <w:r>
        <w:rPr>
          <w:rFonts w:hint="eastAsia" w:ascii="Times New Roman" w:hAnsi="Times New Roman" w:eastAsia="仿宋_GB2312" w:cs="仿宋_GB2312"/>
          <w:color w:val="auto"/>
          <w:kern w:val="0"/>
          <w:sz w:val="30"/>
          <w:szCs w:val="32"/>
          <w:highlight w:val="none"/>
          <w:lang w:eastAsia="zh-CN" w:bidi="ar"/>
        </w:rPr>
        <w:t>发包人和承包人应当在</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天内将与合同有关的通知、批准、证明、证书、指示、指令、要求、请求、同意、意见、确定和决定等书面函件送达对方当事人。</w:t>
      </w:r>
    </w:p>
    <w:p w14:paraId="6B83C4C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1.7.2 </w:t>
      </w:r>
      <w:r>
        <w:rPr>
          <w:rFonts w:hint="eastAsia" w:ascii="Times New Roman" w:hAnsi="Times New Roman" w:eastAsia="仿宋_GB2312" w:cs="仿宋_GB2312"/>
          <w:color w:val="auto"/>
          <w:kern w:val="0"/>
          <w:sz w:val="30"/>
          <w:szCs w:val="32"/>
          <w:highlight w:val="none"/>
          <w:lang w:eastAsia="zh-CN" w:bidi="ar"/>
        </w:rPr>
        <w:t>发包人接收文件的地点：</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0"/>
          <w:sz w:val="30"/>
          <w:szCs w:val="32"/>
          <w:highlight w:val="none"/>
          <w:lang w:eastAsia="zh-CN" w:bidi="ar"/>
        </w:rPr>
        <w:t>；</w:t>
      </w:r>
    </w:p>
    <w:p w14:paraId="436AFF2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发包人指定的接收人为：</w:t>
      </w: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0"/>
          <w:sz w:val="30"/>
          <w:szCs w:val="32"/>
          <w:highlight w:val="none"/>
          <w:lang w:eastAsia="zh-CN" w:bidi="ar"/>
        </w:rPr>
        <w:t>。</w:t>
      </w:r>
    </w:p>
    <w:p w14:paraId="6B1007E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承包人接收文件的地点：</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0"/>
          <w:sz w:val="30"/>
          <w:szCs w:val="32"/>
          <w:highlight w:val="none"/>
          <w:lang w:eastAsia="zh-CN" w:bidi="ar"/>
        </w:rPr>
        <w:t>；</w:t>
      </w:r>
    </w:p>
    <w:p w14:paraId="79B216B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承包人指定的接收人为：</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0"/>
          <w:sz w:val="30"/>
          <w:szCs w:val="32"/>
          <w:highlight w:val="none"/>
          <w:lang w:eastAsia="zh-CN" w:bidi="ar"/>
        </w:rPr>
        <w:t>。</w:t>
      </w:r>
    </w:p>
    <w:p w14:paraId="74984A9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监理人接收文件的地点：</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0"/>
          <w:sz w:val="30"/>
          <w:szCs w:val="32"/>
          <w:highlight w:val="none"/>
          <w:lang w:eastAsia="zh-CN" w:bidi="ar"/>
        </w:rPr>
        <w:t>；</w:t>
      </w:r>
    </w:p>
    <w:p w14:paraId="537895B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监理人指定的接收人为：</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0"/>
          <w:sz w:val="30"/>
          <w:szCs w:val="32"/>
          <w:highlight w:val="none"/>
          <w:lang w:eastAsia="zh-CN" w:bidi="ar"/>
        </w:rPr>
        <w:t>。</w:t>
      </w:r>
    </w:p>
    <w:p w14:paraId="6BBBA3A1">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1.10 </w:t>
      </w:r>
      <w:r>
        <w:rPr>
          <w:rFonts w:hint="eastAsia" w:ascii="Times New Roman" w:hAnsi="Times New Roman" w:eastAsia="黑体" w:cs="黑体"/>
          <w:color w:val="auto"/>
          <w:kern w:val="2"/>
          <w:sz w:val="30"/>
          <w:szCs w:val="32"/>
          <w:highlight w:val="none"/>
          <w:lang w:eastAsia="zh-CN" w:bidi="ar"/>
        </w:rPr>
        <w:t>交通运输</w:t>
      </w:r>
    </w:p>
    <w:p w14:paraId="217609EF">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w:t>
      </w:r>
      <w:bookmarkStart w:id="704" w:name="_Toc300934943"/>
      <w:bookmarkStart w:id="705" w:name="_Toc303539100"/>
      <w:bookmarkStart w:id="706" w:name="_Toc304295521"/>
      <w:bookmarkStart w:id="707" w:name="_Toc318581155"/>
      <w:bookmarkStart w:id="708" w:name="_Toc312677986"/>
      <w:r>
        <w:rPr>
          <w:rFonts w:ascii="Times New Roman" w:hAnsi="Times New Roman" w:eastAsia="仿宋_GB2312" w:cs="Times New Roman"/>
          <w:color w:val="auto"/>
          <w:kern w:val="2"/>
          <w:sz w:val="30"/>
          <w:szCs w:val="32"/>
          <w:highlight w:val="none"/>
          <w:lang w:eastAsia="zh-CN" w:bidi="ar"/>
        </w:rPr>
        <w:t xml:space="preserve">.10.1 </w:t>
      </w:r>
      <w:r>
        <w:rPr>
          <w:rFonts w:hint="eastAsia" w:ascii="Times New Roman" w:hAnsi="Times New Roman" w:eastAsia="仿宋_GB2312" w:cs="仿宋_GB2312"/>
          <w:color w:val="auto"/>
          <w:kern w:val="2"/>
          <w:sz w:val="30"/>
          <w:szCs w:val="32"/>
          <w:highlight w:val="none"/>
          <w:lang w:eastAsia="zh-CN" w:bidi="ar"/>
        </w:rPr>
        <w:t>出入现场的权利</w:t>
      </w:r>
    </w:p>
    <w:p w14:paraId="67FAAD5D">
      <w:pPr>
        <w:shd w:val="clear"/>
        <w:spacing w:line="360" w:lineRule="auto"/>
        <w:ind w:left="596" w:leftChars="284"/>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关于出入现场的权利的约定：</w:t>
      </w:r>
      <w:r>
        <w:rPr>
          <w:rFonts w:ascii="Times New Roman" w:hAnsi="Times New Roman" w:eastAsia="仿宋_GB2312" w:cs="Times New Roman"/>
          <w:color w:val="auto"/>
          <w:kern w:val="2"/>
          <w:sz w:val="30"/>
          <w:szCs w:val="32"/>
          <w:highlight w:val="none"/>
          <w:u w:val="single"/>
          <w:lang w:eastAsia="zh-CN" w:bidi="ar"/>
        </w:rPr>
        <w:t>  </w:t>
      </w:r>
    </w:p>
    <w:p w14:paraId="12DF1856">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                            </w:t>
      </w:r>
      <w:r>
        <w:rPr>
          <w:rFonts w:hint="eastAsia" w:ascii="Times New Roman" w:hAnsi="Times New Roman" w:eastAsia="仿宋_GB2312" w:cs="仿宋_GB2312"/>
          <w:color w:val="auto"/>
          <w:kern w:val="2"/>
          <w:sz w:val="30"/>
          <w:szCs w:val="32"/>
          <w:highlight w:val="none"/>
          <w:lang w:eastAsia="zh-CN" w:bidi="ar"/>
        </w:rPr>
        <w:t>。</w:t>
      </w:r>
    </w:p>
    <w:bookmarkEnd w:id="704"/>
    <w:bookmarkEnd w:id="705"/>
    <w:bookmarkEnd w:id="706"/>
    <w:bookmarkEnd w:id="707"/>
    <w:bookmarkEnd w:id="708"/>
    <w:p w14:paraId="7FE6F68A">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w:t>
      </w:r>
      <w:bookmarkStart w:id="709" w:name="_Toc318581156"/>
      <w:bookmarkStart w:id="710" w:name="_Toc300934944"/>
      <w:bookmarkStart w:id="711" w:name="_Toc312677987"/>
      <w:bookmarkStart w:id="712" w:name="_Toc304295522"/>
      <w:bookmarkStart w:id="713" w:name="_Toc303539101"/>
      <w:r>
        <w:rPr>
          <w:rFonts w:ascii="Times New Roman" w:hAnsi="Times New Roman" w:eastAsia="仿宋_GB2312" w:cs="Times New Roman"/>
          <w:color w:val="auto"/>
          <w:kern w:val="2"/>
          <w:sz w:val="30"/>
          <w:szCs w:val="32"/>
          <w:highlight w:val="none"/>
          <w:lang w:eastAsia="zh-CN" w:bidi="ar"/>
        </w:rPr>
        <w:t xml:space="preserve">.10.3 </w:t>
      </w:r>
      <w:r>
        <w:rPr>
          <w:rFonts w:hint="eastAsia" w:ascii="Times New Roman" w:hAnsi="Times New Roman" w:eastAsia="仿宋_GB2312" w:cs="仿宋_GB2312"/>
          <w:color w:val="auto"/>
          <w:kern w:val="2"/>
          <w:sz w:val="30"/>
          <w:szCs w:val="32"/>
          <w:highlight w:val="none"/>
          <w:lang w:eastAsia="zh-CN" w:bidi="ar"/>
        </w:rPr>
        <w:t>场内交通</w:t>
      </w:r>
    </w:p>
    <w:p w14:paraId="30D426C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关于场外交通和场内交通的边界的约定：</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43D425D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关于发包人向承包人免费提供满足工程施工需要的场内道路和交通设施的约定：</w:t>
      </w:r>
      <w:r>
        <w:rPr>
          <w:rFonts w:ascii="Times New Roman" w:hAnsi="Times New Roman" w:eastAsia="仿宋_GB2312" w:cs="Times New Roman"/>
          <w:color w:val="auto"/>
          <w:kern w:val="2"/>
          <w:sz w:val="30"/>
          <w:szCs w:val="32"/>
          <w:highlight w:val="none"/>
          <w:u w:val="single"/>
          <w:lang w:eastAsia="zh-CN" w:bidi="ar"/>
        </w:rPr>
        <w:t>                                        </w:t>
      </w:r>
      <w:r>
        <w:rPr>
          <w:rFonts w:hint="eastAsia" w:ascii="Times New Roman" w:hAnsi="Times New Roman" w:eastAsia="仿宋_GB2312" w:cs="仿宋_GB2312"/>
          <w:color w:val="auto"/>
          <w:kern w:val="2"/>
          <w:sz w:val="30"/>
          <w:szCs w:val="32"/>
          <w:highlight w:val="none"/>
          <w:lang w:eastAsia="zh-CN" w:bidi="ar"/>
        </w:rPr>
        <w:t>。</w:t>
      </w:r>
      <w:bookmarkEnd w:id="709"/>
      <w:bookmarkEnd w:id="710"/>
      <w:bookmarkEnd w:id="711"/>
      <w:bookmarkEnd w:id="712"/>
      <w:bookmarkEnd w:id="713"/>
      <w:r>
        <w:rPr>
          <w:rFonts w:ascii="Times New Roman" w:hAnsi="Times New Roman" w:eastAsia="仿宋_GB2312" w:cs="Times New Roman"/>
          <w:color w:val="auto"/>
          <w:kern w:val="2"/>
          <w:sz w:val="30"/>
          <w:szCs w:val="32"/>
          <w:highlight w:val="none"/>
          <w:lang w:eastAsia="zh-CN" w:bidi="ar"/>
        </w:rPr>
        <w:t xml:space="preserve">  </w:t>
      </w:r>
      <w:bookmarkStart w:id="714" w:name="_Toc318581157"/>
    </w:p>
    <w:p w14:paraId="116728D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1.10.4</w:t>
      </w:r>
      <w:r>
        <w:rPr>
          <w:rFonts w:hint="eastAsia" w:ascii="Times New Roman" w:hAnsi="Times New Roman" w:eastAsia="仿宋_GB2312" w:cs="仿宋_GB2312"/>
          <w:color w:val="auto"/>
          <w:kern w:val="2"/>
          <w:sz w:val="30"/>
          <w:szCs w:val="32"/>
          <w:highlight w:val="none"/>
          <w:lang w:eastAsia="zh-CN" w:bidi="ar"/>
        </w:rPr>
        <w:t>超大件和超重件的运输</w:t>
      </w:r>
    </w:p>
    <w:p w14:paraId="5F3CF5B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运输超大件或超重件所需的道路和桥梁临时加固改造费用和其他有关费用由</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承担。</w:t>
      </w:r>
    </w:p>
    <w:bookmarkEnd w:id="714"/>
    <w:p w14:paraId="4426B8BD">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1.11 </w:t>
      </w:r>
      <w:r>
        <w:rPr>
          <w:rFonts w:hint="eastAsia" w:ascii="Times New Roman" w:hAnsi="Times New Roman" w:eastAsia="黑体" w:cs="黑体"/>
          <w:color w:val="auto"/>
          <w:kern w:val="2"/>
          <w:sz w:val="30"/>
          <w:szCs w:val="32"/>
          <w:highlight w:val="none"/>
          <w:lang w:eastAsia="zh-CN" w:bidi="ar"/>
        </w:rPr>
        <w:t>知识产权</w:t>
      </w:r>
    </w:p>
    <w:p w14:paraId="0C745220">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1.11.1</w:t>
      </w:r>
      <w:r>
        <w:rPr>
          <w:rFonts w:hint="eastAsia" w:ascii="Times New Roman" w:hAnsi="Times New Roman" w:eastAsia="仿宋_GB2312" w:cs="仿宋_GB2312"/>
          <w:color w:val="auto"/>
          <w:kern w:val="2"/>
          <w:sz w:val="30"/>
          <w:szCs w:val="32"/>
          <w:highlight w:val="none"/>
          <w:lang w:eastAsia="zh-CN" w:bidi="ar"/>
        </w:rPr>
        <w:t>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s="Times New Roman"/>
          <w:color w:val="auto"/>
          <w:kern w:val="2"/>
          <w:sz w:val="30"/>
          <w:szCs w:val="32"/>
          <w:highlight w:val="none"/>
          <w:u w:val="single"/>
          <w:lang w:eastAsia="zh-CN" w:bidi="ar"/>
        </w:rPr>
        <w:t>                     </w:t>
      </w:r>
    </w:p>
    <w:p w14:paraId="7EC33126">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                            </w:t>
      </w:r>
      <w:r>
        <w:rPr>
          <w:rFonts w:hint="eastAsia" w:ascii="Times New Roman" w:hAnsi="Times New Roman" w:eastAsia="仿宋_GB2312" w:cs="仿宋_GB2312"/>
          <w:color w:val="auto"/>
          <w:kern w:val="2"/>
          <w:sz w:val="30"/>
          <w:szCs w:val="32"/>
          <w:highlight w:val="none"/>
          <w:lang w:eastAsia="zh-CN" w:bidi="ar"/>
        </w:rPr>
        <w:t>。</w:t>
      </w:r>
    </w:p>
    <w:p w14:paraId="27367056">
      <w:pPr>
        <w:shd w:val="clear"/>
        <w:spacing w:line="360" w:lineRule="auto"/>
        <w:ind w:left="596" w:leftChars="284"/>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关于发包人提供的上述文件的使用限制的要求：</w:t>
      </w:r>
      <w:r>
        <w:rPr>
          <w:rFonts w:ascii="Times New Roman" w:hAnsi="Times New Roman" w:eastAsia="仿宋_GB2312" w:cs="Times New Roman"/>
          <w:color w:val="auto"/>
          <w:kern w:val="2"/>
          <w:sz w:val="30"/>
          <w:szCs w:val="32"/>
          <w:highlight w:val="none"/>
          <w:u w:val="single"/>
          <w:lang w:eastAsia="zh-CN" w:bidi="ar"/>
        </w:rPr>
        <w:t xml:space="preserve">             </w:t>
      </w:r>
    </w:p>
    <w:p w14:paraId="54DD1F90">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BA4479B">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1.11.2 </w:t>
      </w:r>
      <w:r>
        <w:rPr>
          <w:rFonts w:hint="eastAsia" w:ascii="Times New Roman" w:hAnsi="Times New Roman" w:eastAsia="仿宋_GB2312" w:cs="仿宋_GB2312"/>
          <w:color w:val="auto"/>
          <w:kern w:val="2"/>
          <w:sz w:val="30"/>
          <w:szCs w:val="32"/>
          <w:highlight w:val="none"/>
          <w:lang w:eastAsia="zh-CN" w:bidi="ar"/>
        </w:rPr>
        <w:t>关于承包人为实施工程所编制文件的著作权的归属：</w:t>
      </w:r>
      <w:r>
        <w:rPr>
          <w:rFonts w:ascii="Times New Roman" w:hAnsi="Times New Roman" w:eastAsia="仿宋_GB2312" w:cs="Times New Roman"/>
          <w:color w:val="auto"/>
          <w:kern w:val="2"/>
          <w:sz w:val="30"/>
          <w:szCs w:val="32"/>
          <w:highlight w:val="none"/>
          <w:u w:val="single"/>
          <w:lang w:eastAsia="zh-CN" w:bidi="ar"/>
        </w:rPr>
        <w:t xml:space="preserve">    </w:t>
      </w:r>
    </w:p>
    <w:p w14:paraId="26903A46">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43132CB8">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关于承包人提供的上述文件的使用限制的要求：</w:t>
      </w:r>
      <w:r>
        <w:rPr>
          <w:rFonts w:ascii="Times New Roman" w:hAnsi="Times New Roman" w:eastAsia="仿宋_GB2312" w:cs="Times New Roman"/>
          <w:color w:val="auto"/>
          <w:kern w:val="2"/>
          <w:sz w:val="30"/>
          <w:szCs w:val="32"/>
          <w:highlight w:val="none"/>
          <w:u w:val="single"/>
          <w:lang w:eastAsia="zh-CN" w:bidi="ar"/>
        </w:rPr>
        <w:t>   </w:t>
      </w:r>
    </w:p>
    <w:p w14:paraId="70378F42">
      <w:pPr>
        <w:shd w:val="clear"/>
        <w:spacing w:line="360" w:lineRule="auto"/>
        <w:jc w:val="both"/>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                 </w:t>
      </w:r>
      <w:r>
        <w:rPr>
          <w:rFonts w:hint="eastAsia" w:ascii="Times New Roman" w:hAnsi="Times New Roman" w:eastAsia="仿宋_GB2312" w:cs="仿宋_GB2312"/>
          <w:color w:val="auto"/>
          <w:kern w:val="2"/>
          <w:sz w:val="30"/>
          <w:szCs w:val="32"/>
          <w:highlight w:val="none"/>
          <w:lang w:eastAsia="zh-CN" w:bidi="ar"/>
        </w:rPr>
        <w:t>。</w:t>
      </w:r>
    </w:p>
    <w:p w14:paraId="2AE83011">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1.11.4 </w:t>
      </w:r>
      <w:r>
        <w:rPr>
          <w:rFonts w:hint="eastAsia" w:ascii="Times New Roman" w:hAnsi="Times New Roman" w:eastAsia="仿宋_GB2312" w:cs="仿宋_GB2312"/>
          <w:color w:val="auto"/>
          <w:kern w:val="2"/>
          <w:sz w:val="30"/>
          <w:szCs w:val="32"/>
          <w:highlight w:val="none"/>
          <w:lang w:eastAsia="zh-CN" w:bidi="ar"/>
        </w:rPr>
        <w:t>承包人在施工过程中所采用的专利、专有技术、技术秘密的使用费的承担方式：</w:t>
      </w: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0"/>
          <w:sz w:val="30"/>
          <w:szCs w:val="32"/>
          <w:highlight w:val="none"/>
          <w:lang w:eastAsia="zh-CN" w:bidi="ar"/>
        </w:rPr>
        <w:t>。</w:t>
      </w:r>
    </w:p>
    <w:p w14:paraId="5D0626B6">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1.13</w:t>
      </w:r>
      <w:r>
        <w:rPr>
          <w:rFonts w:hint="eastAsia" w:ascii="Times New Roman" w:hAnsi="Times New Roman" w:eastAsia="黑体" w:cs="黑体"/>
          <w:color w:val="auto"/>
          <w:kern w:val="2"/>
          <w:sz w:val="30"/>
          <w:szCs w:val="32"/>
          <w:highlight w:val="none"/>
          <w:lang w:eastAsia="zh-CN" w:bidi="ar"/>
        </w:rPr>
        <w:t>工程量清单错误的修正</w:t>
      </w:r>
    </w:p>
    <w:p w14:paraId="523AF93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出现工程量清单错误时，是否调整合同价格：</w:t>
      </w: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0"/>
          <w:sz w:val="30"/>
          <w:szCs w:val="32"/>
          <w:highlight w:val="none"/>
          <w:lang w:eastAsia="zh-CN" w:bidi="ar"/>
        </w:rPr>
        <w:t>。</w:t>
      </w:r>
    </w:p>
    <w:p w14:paraId="33F9D4E6">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允许调整合同价格的工程量偏差范围：</w:t>
      </w:r>
      <w:r>
        <w:rPr>
          <w:rFonts w:ascii="Times New Roman" w:hAnsi="Times New Roman" w:eastAsia="仿宋_GB2312" w:cs="Times New Roman"/>
          <w:color w:val="auto"/>
          <w:kern w:val="2"/>
          <w:sz w:val="30"/>
          <w:szCs w:val="32"/>
          <w:highlight w:val="none"/>
          <w:u w:val="single"/>
          <w:lang w:eastAsia="zh-CN" w:bidi="ar"/>
        </w:rPr>
        <w:t xml:space="preserve">                  </w:t>
      </w:r>
    </w:p>
    <w:p w14:paraId="325109F9">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0"/>
          <w:sz w:val="30"/>
          <w:szCs w:val="32"/>
          <w:highlight w:val="none"/>
          <w:lang w:eastAsia="zh-CN" w:bidi="ar"/>
        </w:rPr>
        <w:t>。</w:t>
      </w:r>
    </w:p>
    <w:p w14:paraId="5F64E1D6">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715" w:name="_Toc351203634"/>
      <w:bookmarkStart w:id="716" w:name="_Toc163768460"/>
      <w:bookmarkStart w:id="717" w:name="_Toc163768578"/>
      <w:r>
        <w:rPr>
          <w:rFonts w:ascii="Times New Roman" w:hAnsi="Times New Roman" w:eastAsia="黑体" w:cs="Times New Roman"/>
          <w:b/>
          <w:bCs/>
          <w:color w:val="auto"/>
          <w:sz w:val="32"/>
          <w:szCs w:val="32"/>
          <w:highlight w:val="none"/>
          <w:lang w:val="en-US" w:eastAsia="zh-CN" w:bidi="en-US"/>
        </w:rPr>
        <w:t>2</w:t>
      </w:r>
      <w:bookmarkStart w:id="718" w:name="_Toc296346658"/>
      <w:bookmarkStart w:id="719" w:name="_Toc296347156"/>
      <w:bookmarkStart w:id="720" w:name="_Toc292559362"/>
      <w:bookmarkStart w:id="721" w:name="_Toc297048343"/>
      <w:bookmarkStart w:id="722" w:name="_Toc297120457"/>
      <w:bookmarkStart w:id="723" w:name="_Toc292559867"/>
      <w:bookmarkStart w:id="724" w:name="_Toc296944496"/>
      <w:bookmarkStart w:id="725" w:name="_Toc296890985"/>
      <w:bookmarkStart w:id="726" w:name="_Toc296891197"/>
      <w:bookmarkStart w:id="727" w:name="_Toc296503157"/>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发包人</w:t>
      </w:r>
      <w:bookmarkEnd w:id="715"/>
      <w:bookmarkEnd w:id="716"/>
      <w:bookmarkEnd w:id="717"/>
    </w:p>
    <w:bookmarkEnd w:id="718"/>
    <w:bookmarkEnd w:id="719"/>
    <w:bookmarkEnd w:id="720"/>
    <w:bookmarkEnd w:id="721"/>
    <w:bookmarkEnd w:id="722"/>
    <w:bookmarkEnd w:id="723"/>
    <w:bookmarkEnd w:id="724"/>
    <w:bookmarkEnd w:id="725"/>
    <w:bookmarkEnd w:id="726"/>
    <w:bookmarkEnd w:id="727"/>
    <w:p w14:paraId="7D914304">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2.2 </w:t>
      </w:r>
      <w:r>
        <w:rPr>
          <w:rFonts w:hint="eastAsia" w:ascii="Times New Roman" w:hAnsi="Times New Roman" w:eastAsia="黑体" w:cs="黑体"/>
          <w:color w:val="auto"/>
          <w:kern w:val="2"/>
          <w:sz w:val="30"/>
          <w:szCs w:val="32"/>
          <w:highlight w:val="none"/>
          <w:lang w:eastAsia="zh-CN" w:bidi="ar"/>
        </w:rPr>
        <w:t>发包人代表</w:t>
      </w:r>
    </w:p>
    <w:p w14:paraId="132967AB">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发包人代表：</w:t>
      </w:r>
    </w:p>
    <w:p w14:paraId="5DEB76F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姓</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名：</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7660E00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身份证号：</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3AB706E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职</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务：</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19D519AE">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联系电话：</w:t>
      </w: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2"/>
          <w:sz w:val="30"/>
          <w:szCs w:val="32"/>
          <w:highlight w:val="none"/>
          <w:lang w:eastAsia="zh-CN" w:bidi="ar"/>
        </w:rPr>
        <w:t>；</w:t>
      </w:r>
    </w:p>
    <w:p w14:paraId="356F224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电子信箱：</w:t>
      </w: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2"/>
          <w:sz w:val="30"/>
          <w:szCs w:val="32"/>
          <w:highlight w:val="none"/>
          <w:lang w:eastAsia="zh-CN" w:bidi="ar"/>
        </w:rPr>
        <w:t>；</w:t>
      </w:r>
    </w:p>
    <w:p w14:paraId="55FD02F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通信地址：</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500B66C3">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发包人对发包人代表的授权范围如下：</w:t>
      </w:r>
      <w:r>
        <w:rPr>
          <w:rFonts w:ascii="Times New Roman" w:hAnsi="Times New Roman" w:eastAsia="仿宋_GB2312" w:cs="Times New Roman"/>
          <w:color w:val="auto"/>
          <w:kern w:val="2"/>
          <w:sz w:val="30"/>
          <w:szCs w:val="32"/>
          <w:highlight w:val="none"/>
          <w:u w:val="single"/>
          <w:lang w:eastAsia="zh-CN" w:bidi="ar"/>
        </w:rPr>
        <w:t>     </w:t>
      </w:r>
    </w:p>
    <w:p w14:paraId="75CB4330">
      <w:pPr>
        <w:shd w:val="clear"/>
        <w:spacing w:line="360" w:lineRule="auto"/>
        <w:jc w:val="both"/>
        <w:rPr>
          <w:rFonts w:ascii="Times New Roman" w:hAnsi="Times New Roman" w:eastAsia="仿宋_GB2312" w:cs="Times New Roman"/>
          <w:b/>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2"/>
          <w:sz w:val="30"/>
          <w:szCs w:val="32"/>
          <w:highlight w:val="none"/>
          <w:lang w:eastAsia="zh-CN" w:bidi="ar"/>
        </w:rPr>
        <w:t>。</w:t>
      </w:r>
    </w:p>
    <w:p w14:paraId="4AF0CF24">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2.4 </w:t>
      </w:r>
      <w:r>
        <w:rPr>
          <w:rFonts w:hint="eastAsia" w:ascii="Times New Roman" w:hAnsi="Times New Roman" w:eastAsia="黑体" w:cs="黑体"/>
          <w:color w:val="auto"/>
          <w:kern w:val="2"/>
          <w:sz w:val="30"/>
          <w:szCs w:val="32"/>
          <w:highlight w:val="none"/>
          <w:lang w:eastAsia="zh-CN" w:bidi="ar"/>
        </w:rPr>
        <w:t>施工现场、施工条件和基础资料的提供</w:t>
      </w:r>
    </w:p>
    <w:p w14:paraId="3B42F71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2.4.1 </w:t>
      </w:r>
      <w:r>
        <w:rPr>
          <w:rFonts w:hint="eastAsia" w:ascii="Times New Roman" w:hAnsi="Times New Roman" w:eastAsia="仿宋_GB2312" w:cs="仿宋_GB2312"/>
          <w:color w:val="auto"/>
          <w:kern w:val="2"/>
          <w:sz w:val="30"/>
          <w:szCs w:val="32"/>
          <w:highlight w:val="none"/>
          <w:lang w:eastAsia="zh-CN" w:bidi="ar"/>
        </w:rPr>
        <w:t>提供施工现场</w:t>
      </w:r>
    </w:p>
    <w:p w14:paraId="30D886F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关于发包人移交施工现场的期限要求：</w:t>
      </w:r>
      <w:r>
        <w:rPr>
          <w:rFonts w:hint="eastAsia" w:eastAsia="仿宋_GB2312" w:cs="Times New Roman"/>
          <w:color w:val="auto"/>
          <w:kern w:val="2"/>
          <w:sz w:val="30"/>
          <w:szCs w:val="32"/>
          <w:highlight w:val="none"/>
          <w:u w:val="single"/>
          <w:shd w:val="clear"/>
          <w:lang w:val="en-US" w:eastAsia="zh-CN" w:bidi="ar"/>
        </w:rPr>
        <w:t xml:space="preserve">                    </w:t>
      </w:r>
      <w:r>
        <w:rPr>
          <w:rFonts w:hint="eastAsia" w:ascii="Times New Roman" w:hAnsi="Times New Roman" w:eastAsia="仿宋_GB2312" w:cs="仿宋_GB2312"/>
          <w:color w:val="auto"/>
          <w:kern w:val="2"/>
          <w:sz w:val="30"/>
          <w:szCs w:val="32"/>
          <w:highlight w:val="none"/>
          <w:shd w:val="clear"/>
          <w:lang w:eastAsia="zh-CN" w:bidi="ar"/>
        </w:rPr>
        <w:t>。</w:t>
      </w:r>
    </w:p>
    <w:p w14:paraId="19F6324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2.4.2 </w:t>
      </w:r>
      <w:r>
        <w:rPr>
          <w:rFonts w:hint="eastAsia" w:ascii="Times New Roman" w:hAnsi="Times New Roman" w:eastAsia="仿宋_GB2312" w:cs="仿宋_GB2312"/>
          <w:color w:val="auto"/>
          <w:kern w:val="2"/>
          <w:sz w:val="30"/>
          <w:szCs w:val="32"/>
          <w:highlight w:val="none"/>
          <w:lang w:eastAsia="zh-CN" w:bidi="ar"/>
        </w:rPr>
        <w:t>提供施工条件</w:t>
      </w:r>
    </w:p>
    <w:p w14:paraId="12E6489D">
      <w:pPr>
        <w:shd w:val="clear"/>
        <w:spacing w:line="360" w:lineRule="auto"/>
        <w:ind w:firstLine="600" w:firstLineChars="200"/>
        <w:jc w:val="both"/>
        <w:rPr>
          <w:rFonts w:hint="eastAsia" w:eastAsia="仿宋_GB2312" w:cs="仿宋_GB2312"/>
          <w:color w:val="auto"/>
          <w:kern w:val="2"/>
          <w:sz w:val="30"/>
          <w:szCs w:val="32"/>
          <w:highlight w:val="none"/>
          <w:shd w:val="clear"/>
          <w:lang w:eastAsia="zh-CN" w:bidi="ar"/>
        </w:rPr>
      </w:pPr>
      <w:r>
        <w:rPr>
          <w:rFonts w:hint="eastAsia" w:ascii="Times New Roman" w:hAnsi="Times New Roman" w:eastAsia="仿宋_GB2312" w:cs="仿宋_GB2312"/>
          <w:color w:val="auto"/>
          <w:kern w:val="2"/>
          <w:sz w:val="30"/>
          <w:szCs w:val="32"/>
          <w:highlight w:val="none"/>
          <w:lang w:eastAsia="zh-CN" w:bidi="ar"/>
        </w:rPr>
        <w:t>关于发包人应负责提供施工所需要的条件，包括：</w:t>
      </w:r>
      <w:r>
        <w:rPr>
          <w:rFonts w:hint="eastAsia" w:eastAsia="仿宋_GB2312" w:cs="Times New Roman"/>
          <w:color w:val="auto"/>
          <w:kern w:val="2"/>
          <w:sz w:val="30"/>
          <w:szCs w:val="32"/>
          <w:highlight w:val="none"/>
          <w:u w:val="single"/>
          <w:shd w:val="clear"/>
          <w:lang w:val="en-US" w:eastAsia="zh-CN" w:bidi="ar"/>
        </w:rPr>
        <w:t>发包人</w:t>
      </w:r>
      <w:r>
        <w:rPr>
          <w:rFonts w:hint="eastAsia" w:ascii="Times New Roman" w:hAnsi="Times New Roman" w:eastAsia="仿宋_GB2312" w:cs="Times New Roman"/>
          <w:color w:val="auto"/>
          <w:kern w:val="2"/>
          <w:sz w:val="30"/>
          <w:szCs w:val="32"/>
          <w:highlight w:val="none"/>
          <w:u w:val="single"/>
          <w:shd w:val="clear"/>
          <w:lang w:eastAsia="zh-CN" w:bidi="ar"/>
        </w:rPr>
        <w:t>提供灯组制作期间水电及施工场地</w:t>
      </w:r>
      <w:r>
        <w:rPr>
          <w:rFonts w:hint="eastAsia" w:eastAsia="仿宋_GB2312" w:cs="仿宋_GB2312"/>
          <w:color w:val="auto"/>
          <w:kern w:val="2"/>
          <w:sz w:val="30"/>
          <w:szCs w:val="32"/>
          <w:highlight w:val="none"/>
          <w:shd w:val="clear"/>
          <w:lang w:eastAsia="zh-CN" w:bidi="ar"/>
        </w:rPr>
        <w:t>；</w:t>
      </w:r>
    </w:p>
    <w:p w14:paraId="115B1056">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2.5 </w:t>
      </w:r>
      <w:r>
        <w:rPr>
          <w:rFonts w:hint="eastAsia" w:ascii="Times New Roman" w:hAnsi="Times New Roman" w:eastAsia="黑体" w:cs="黑体"/>
          <w:color w:val="auto"/>
          <w:kern w:val="2"/>
          <w:sz w:val="30"/>
          <w:szCs w:val="32"/>
          <w:highlight w:val="none"/>
          <w:lang w:eastAsia="zh-CN" w:bidi="ar"/>
        </w:rPr>
        <w:t>资金来源证明及支付担保</w:t>
      </w:r>
    </w:p>
    <w:p w14:paraId="1262686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发包人提供资金来源证明的期限要求：</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796936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发包人是否提供支付担保：</w:t>
      </w: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2"/>
          <w:sz w:val="30"/>
          <w:szCs w:val="32"/>
          <w:highlight w:val="none"/>
          <w:lang w:eastAsia="zh-CN" w:bidi="ar"/>
        </w:rPr>
        <w:t>。</w:t>
      </w:r>
    </w:p>
    <w:p w14:paraId="57E9B364">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发包人提供支付担保的形式：</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45163776">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728" w:name="_Toc351203635"/>
      <w:bookmarkStart w:id="729" w:name="_Toc163768579"/>
      <w:bookmarkStart w:id="730" w:name="_Toc163768461"/>
      <w:r>
        <w:rPr>
          <w:rFonts w:ascii="Times New Roman" w:hAnsi="Times New Roman" w:eastAsia="黑体" w:cs="Times New Roman"/>
          <w:b/>
          <w:bCs/>
          <w:color w:val="auto"/>
          <w:sz w:val="32"/>
          <w:szCs w:val="32"/>
          <w:highlight w:val="none"/>
          <w:lang w:val="en-US" w:eastAsia="zh-CN" w:bidi="en-US"/>
        </w:rPr>
        <w:t>3</w:t>
      </w:r>
      <w:bookmarkStart w:id="731" w:name="_Toc296890986"/>
      <w:bookmarkStart w:id="732" w:name="_Toc292559868"/>
      <w:bookmarkStart w:id="733" w:name="_Toc297048344"/>
      <w:bookmarkStart w:id="734" w:name="_Toc296503158"/>
      <w:bookmarkStart w:id="735" w:name="_Toc296944497"/>
      <w:bookmarkStart w:id="736" w:name="_Toc292559363"/>
      <w:bookmarkStart w:id="737" w:name="_Toc296347157"/>
      <w:bookmarkStart w:id="738" w:name="_Toc297120458"/>
      <w:bookmarkStart w:id="739" w:name="_Toc296891198"/>
      <w:bookmarkStart w:id="740" w:name="_Toc296346659"/>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承包人</w:t>
      </w:r>
      <w:bookmarkEnd w:id="728"/>
      <w:bookmarkEnd w:id="729"/>
      <w:bookmarkEnd w:id="730"/>
    </w:p>
    <w:bookmarkEnd w:id="731"/>
    <w:bookmarkEnd w:id="732"/>
    <w:bookmarkEnd w:id="733"/>
    <w:bookmarkEnd w:id="734"/>
    <w:bookmarkEnd w:id="735"/>
    <w:bookmarkEnd w:id="736"/>
    <w:bookmarkEnd w:id="737"/>
    <w:bookmarkEnd w:id="738"/>
    <w:bookmarkEnd w:id="739"/>
    <w:bookmarkEnd w:id="740"/>
    <w:p w14:paraId="42AE7CCF">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3.1 </w:t>
      </w:r>
      <w:r>
        <w:rPr>
          <w:rFonts w:hint="eastAsia" w:ascii="Times New Roman" w:hAnsi="Times New Roman" w:eastAsia="黑体" w:cs="黑体"/>
          <w:color w:val="auto"/>
          <w:kern w:val="2"/>
          <w:sz w:val="30"/>
          <w:szCs w:val="32"/>
          <w:highlight w:val="none"/>
          <w:lang w:eastAsia="zh-CN" w:bidi="ar"/>
        </w:rPr>
        <w:t>承包人的一般义务</w:t>
      </w:r>
    </w:p>
    <w:p w14:paraId="7EA9BDEE">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9</w:t>
      </w:r>
      <w:r>
        <w:rPr>
          <w:rFonts w:hint="eastAsia" w:ascii="Times New Roman" w:hAnsi="Times New Roman" w:eastAsia="仿宋_GB2312" w:cs="仿宋_GB2312"/>
          <w:color w:val="auto"/>
          <w:kern w:val="0"/>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承包人提交的竣工资料的内容：</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p>
    <w:p w14:paraId="524A59DB">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979403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承包人需要提交的竣工资料套数：</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9E70A06">
      <w:pPr>
        <w:shd w:val="clear"/>
        <w:spacing w:line="360" w:lineRule="auto"/>
        <w:ind w:left="638" w:leftChars="304"/>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承包人提交的竣工资料的费用承担：</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E3BDCFE">
      <w:pPr>
        <w:shd w:val="clear"/>
        <w:spacing w:line="360" w:lineRule="auto"/>
        <w:ind w:left="638" w:leftChars="304"/>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承包人提交的竣工资料移交时间：</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8A827B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承包人提交的竣工资料形式要求：</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846F7CE">
      <w:pPr>
        <w:numPr>
          <w:ilvl w:val="0"/>
          <w:numId w:val="11"/>
        </w:numPr>
        <w:shd w:val="clear"/>
        <w:spacing w:line="360" w:lineRule="auto"/>
        <w:ind w:firstLine="600" w:firstLineChars="200"/>
        <w:jc w:val="both"/>
        <w:rPr>
          <w:rFonts w:hint="eastAsia" w:ascii="Times New Roman" w:hAnsi="Times New Roman" w:eastAsia="仿宋_GB2312" w:cs="仿宋_GB2312"/>
          <w:color w:val="auto"/>
          <w:kern w:val="0"/>
          <w:sz w:val="30"/>
          <w:szCs w:val="32"/>
          <w:highlight w:val="none"/>
          <w:lang w:eastAsia="zh-CN" w:bidi="ar"/>
        </w:rPr>
      </w:pPr>
      <w:r>
        <w:rPr>
          <w:rFonts w:hint="eastAsia" w:ascii="Times New Roman" w:hAnsi="Times New Roman" w:eastAsia="仿宋_GB2312" w:cs="仿宋_GB2312"/>
          <w:color w:val="auto"/>
          <w:kern w:val="0"/>
          <w:sz w:val="30"/>
          <w:szCs w:val="32"/>
          <w:highlight w:val="none"/>
          <w:lang w:eastAsia="zh-CN" w:bidi="ar"/>
        </w:rPr>
        <w:t>承包人应履行的其他义务：</w:t>
      </w:r>
    </w:p>
    <w:p w14:paraId="00268A2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00" w:firstLineChars="200"/>
        <w:jc w:val="both"/>
        <w:textAlignment w:val="auto"/>
        <w:rPr>
          <w:rFonts w:hint="eastAsia" w:eastAsia="仿宋_GB2312" w:cs="仿宋_GB2312"/>
          <w:color w:val="auto"/>
          <w:kern w:val="0"/>
          <w:sz w:val="30"/>
          <w:szCs w:val="32"/>
          <w:highlight w:val="none"/>
          <w:u w:val="single"/>
          <w:lang w:eastAsia="zh-CN" w:bidi="ar"/>
        </w:rPr>
      </w:pPr>
      <w:r>
        <w:rPr>
          <w:rFonts w:hint="eastAsia" w:ascii="Times New Roman" w:hAnsi="Times New Roman" w:eastAsia="仿宋_GB2312" w:cs="仿宋_GB2312"/>
          <w:color w:val="auto"/>
          <w:kern w:val="0"/>
          <w:sz w:val="30"/>
          <w:szCs w:val="32"/>
          <w:u w:val="single"/>
          <w:lang w:val="en-US" w:eastAsia="zh-CN" w:bidi="ar"/>
        </w:rPr>
        <w:t>1）</w:t>
      </w:r>
      <w:r>
        <w:rPr>
          <w:rFonts w:hint="eastAsia" w:ascii="Times New Roman" w:hAnsi="Times New Roman" w:eastAsia="仿宋_GB2312" w:cs="仿宋_GB2312"/>
          <w:color w:val="auto"/>
          <w:kern w:val="0"/>
          <w:sz w:val="30"/>
          <w:szCs w:val="32"/>
          <w:highlight w:val="none"/>
          <w:u w:val="single"/>
          <w:lang w:eastAsia="zh-CN" w:bidi="ar"/>
        </w:rPr>
        <w:t>灯组主电缆由</w:t>
      </w:r>
      <w:r>
        <w:rPr>
          <w:rFonts w:hint="eastAsia" w:eastAsia="仿宋_GB2312" w:cs="仿宋_GB2312"/>
          <w:color w:val="auto"/>
          <w:kern w:val="0"/>
          <w:sz w:val="30"/>
          <w:szCs w:val="32"/>
          <w:highlight w:val="none"/>
          <w:u w:val="single"/>
          <w:lang w:val="en-US" w:eastAsia="zh-CN" w:bidi="ar"/>
        </w:rPr>
        <w:t>承包人</w:t>
      </w:r>
      <w:r>
        <w:rPr>
          <w:rFonts w:hint="eastAsia" w:ascii="Times New Roman" w:hAnsi="Times New Roman" w:eastAsia="仿宋_GB2312" w:cs="仿宋_GB2312"/>
          <w:color w:val="auto"/>
          <w:kern w:val="0"/>
          <w:sz w:val="30"/>
          <w:szCs w:val="32"/>
          <w:highlight w:val="none"/>
          <w:u w:val="single"/>
          <w:lang w:eastAsia="zh-CN" w:bidi="ar"/>
        </w:rPr>
        <w:t>负责(380伏三相四线制)</w:t>
      </w:r>
      <w:r>
        <w:rPr>
          <w:rFonts w:hint="eastAsia" w:eastAsia="仿宋_GB2312" w:cs="仿宋_GB2312"/>
          <w:color w:val="auto"/>
          <w:kern w:val="0"/>
          <w:sz w:val="30"/>
          <w:szCs w:val="32"/>
          <w:highlight w:val="none"/>
          <w:u w:val="single"/>
          <w:lang w:eastAsia="zh-CN" w:bidi="ar"/>
        </w:rPr>
        <w:t>；</w:t>
      </w:r>
    </w:p>
    <w:p w14:paraId="7389FA6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00" w:firstLineChars="200"/>
        <w:jc w:val="both"/>
        <w:textAlignment w:val="auto"/>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0"/>
          <w:sz w:val="30"/>
          <w:szCs w:val="32"/>
          <w:u w:val="single"/>
          <w:lang w:val="en-US" w:eastAsia="zh-CN" w:bidi="en-US"/>
        </w:rPr>
        <w:t>2）</w:t>
      </w:r>
      <w:r>
        <w:rPr>
          <w:rFonts w:hint="eastAsia" w:eastAsia="仿宋_GB2312" w:cs="仿宋_GB2312"/>
          <w:color w:val="auto"/>
          <w:kern w:val="0"/>
          <w:sz w:val="30"/>
          <w:szCs w:val="32"/>
          <w:highlight w:val="none"/>
          <w:u w:val="single"/>
          <w:lang w:val="en-US" w:eastAsia="zh-CN" w:bidi="ar"/>
        </w:rPr>
        <w:t>承包人负责灯组展出期间的电气维护及用电安全、雪停清雪、倒伏恢复工作；</w:t>
      </w:r>
    </w:p>
    <w:p w14:paraId="34793C7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00" w:firstLineChars="200"/>
        <w:jc w:val="both"/>
        <w:textAlignment w:val="auto"/>
        <w:rPr>
          <w:rFonts w:hint="eastAsia" w:ascii="Times New Roman" w:hAnsi="Times New Roman" w:eastAsia="仿宋_GB2312" w:cs="Times New Roman"/>
          <w:color w:val="auto"/>
          <w:kern w:val="0"/>
          <w:sz w:val="30"/>
          <w:szCs w:val="32"/>
          <w:u w:val="single"/>
          <w:lang w:val="en-US" w:eastAsia="zh-CN" w:bidi="en-US"/>
        </w:rPr>
      </w:pPr>
      <w:r>
        <w:rPr>
          <w:rFonts w:ascii="Times New Roman" w:hAnsi="Times New Roman" w:eastAsia="仿宋_GB2312" w:cs="Times New Roman"/>
          <w:color w:val="auto"/>
          <w:kern w:val="0"/>
          <w:sz w:val="30"/>
          <w:szCs w:val="32"/>
          <w:u w:val="single"/>
          <w:lang w:val="en-US" w:eastAsia="zh-CN" w:bidi="en-US"/>
        </w:rPr>
        <w:t>3）</w:t>
      </w:r>
      <w:r>
        <w:rPr>
          <w:rFonts w:hint="eastAsia" w:eastAsia="仿宋_GB2312" w:cs="Times New Roman"/>
          <w:color w:val="auto"/>
          <w:kern w:val="0"/>
          <w:sz w:val="30"/>
          <w:szCs w:val="32"/>
          <w:u w:val="single"/>
          <w:lang w:val="en-US" w:eastAsia="zh-CN" w:bidi="en-US"/>
        </w:rPr>
        <w:t>承包人</w:t>
      </w:r>
      <w:r>
        <w:rPr>
          <w:rFonts w:hint="eastAsia" w:ascii="Times New Roman" w:hAnsi="Times New Roman" w:eastAsia="仿宋_GB2312" w:cs="Times New Roman"/>
          <w:color w:val="auto"/>
          <w:kern w:val="0"/>
          <w:sz w:val="30"/>
          <w:szCs w:val="32"/>
          <w:u w:val="single"/>
          <w:lang w:val="en-US" w:eastAsia="zh-CN" w:bidi="en-US"/>
        </w:rPr>
        <w:t>负责按照</w:t>
      </w:r>
      <w:r>
        <w:rPr>
          <w:rFonts w:hint="eastAsia" w:eastAsia="仿宋_GB2312" w:cs="Times New Roman"/>
          <w:color w:val="auto"/>
          <w:kern w:val="0"/>
          <w:sz w:val="30"/>
          <w:szCs w:val="32"/>
          <w:u w:val="single"/>
          <w:lang w:val="en-US" w:eastAsia="zh-CN" w:bidi="en-US"/>
        </w:rPr>
        <w:t>发包人</w:t>
      </w:r>
      <w:r>
        <w:rPr>
          <w:rFonts w:hint="eastAsia" w:ascii="Times New Roman" w:hAnsi="Times New Roman" w:eastAsia="仿宋_GB2312" w:cs="Times New Roman"/>
          <w:color w:val="auto"/>
          <w:kern w:val="0"/>
          <w:sz w:val="30"/>
          <w:szCs w:val="32"/>
          <w:u w:val="single"/>
          <w:lang w:val="en-US" w:eastAsia="zh-CN" w:bidi="en-US"/>
        </w:rPr>
        <w:t>要求时限内拆除现场灯组，需保护性的拆除点位，应遵照</w:t>
      </w:r>
      <w:r>
        <w:rPr>
          <w:rFonts w:hint="eastAsia" w:eastAsia="仿宋_GB2312" w:cs="Times New Roman"/>
          <w:color w:val="auto"/>
          <w:kern w:val="0"/>
          <w:sz w:val="30"/>
          <w:szCs w:val="32"/>
          <w:u w:val="single"/>
          <w:lang w:val="en-US" w:eastAsia="zh-CN" w:bidi="en-US"/>
        </w:rPr>
        <w:t>发包人</w:t>
      </w:r>
      <w:r>
        <w:rPr>
          <w:rFonts w:hint="eastAsia" w:ascii="Times New Roman" w:hAnsi="Times New Roman" w:eastAsia="仿宋_GB2312" w:cs="Times New Roman"/>
          <w:color w:val="auto"/>
          <w:kern w:val="0"/>
          <w:sz w:val="30"/>
          <w:szCs w:val="32"/>
          <w:u w:val="single"/>
          <w:lang w:val="en-US" w:eastAsia="zh-CN" w:bidi="en-US"/>
        </w:rPr>
        <w:t>要求，拆除灯组运至</w:t>
      </w:r>
      <w:r>
        <w:rPr>
          <w:rFonts w:hint="eastAsia" w:eastAsia="仿宋_GB2312" w:cs="Times New Roman"/>
          <w:color w:val="auto"/>
          <w:kern w:val="0"/>
          <w:sz w:val="30"/>
          <w:szCs w:val="32"/>
          <w:u w:val="single"/>
          <w:lang w:val="en-US" w:eastAsia="zh-CN" w:bidi="en-US"/>
        </w:rPr>
        <w:t>发包人</w:t>
      </w:r>
      <w:r>
        <w:rPr>
          <w:rFonts w:hint="eastAsia" w:ascii="Times New Roman" w:hAnsi="Times New Roman" w:eastAsia="仿宋_GB2312" w:cs="Times New Roman"/>
          <w:color w:val="auto"/>
          <w:kern w:val="0"/>
          <w:sz w:val="30"/>
          <w:szCs w:val="32"/>
          <w:u w:val="single"/>
          <w:lang w:val="en-US" w:eastAsia="zh-CN" w:bidi="en-US"/>
        </w:rPr>
        <w:t>指定地点；</w:t>
      </w:r>
    </w:p>
    <w:p w14:paraId="64CD3CA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00" w:firstLineChars="200"/>
        <w:jc w:val="both"/>
        <w:textAlignment w:val="auto"/>
        <w:rPr>
          <w:rFonts w:ascii="Times New Roman" w:hAnsi="Times New Roman" w:eastAsia="仿宋_GB2312" w:cs="Times New Roman"/>
          <w:color w:val="auto"/>
          <w:kern w:val="0"/>
          <w:sz w:val="30"/>
          <w:szCs w:val="32"/>
          <w:highlight w:val="none"/>
          <w:u w:val="single"/>
          <w:lang w:eastAsia="zh-CN" w:bidi="en-US"/>
        </w:rPr>
      </w:pPr>
      <w:r>
        <w:rPr>
          <w:rFonts w:hint="eastAsia" w:eastAsia="仿宋_GB2312" w:cs="Times New Roman"/>
          <w:color w:val="auto"/>
          <w:kern w:val="0"/>
          <w:sz w:val="30"/>
          <w:szCs w:val="32"/>
          <w:u w:val="single"/>
          <w:lang w:val="en-US" w:eastAsia="zh-CN" w:bidi="en-US"/>
        </w:rPr>
        <w:t>4</w:t>
      </w:r>
      <w:r>
        <w:rPr>
          <w:rFonts w:ascii="Times New Roman" w:hAnsi="Times New Roman" w:eastAsia="仿宋_GB2312" w:cs="Times New Roman"/>
          <w:color w:val="auto"/>
          <w:kern w:val="0"/>
          <w:sz w:val="30"/>
          <w:szCs w:val="32"/>
          <w:u w:val="single"/>
          <w:lang w:val="en-US" w:eastAsia="zh-CN" w:bidi="en-US"/>
        </w:rPr>
        <w:t>）</w:t>
      </w:r>
      <w:r>
        <w:rPr>
          <w:rFonts w:hint="eastAsia" w:eastAsia="仿宋_GB2312" w:cs="Times New Roman"/>
          <w:color w:val="auto"/>
          <w:kern w:val="0"/>
          <w:sz w:val="30"/>
          <w:szCs w:val="32"/>
          <w:u w:val="single"/>
          <w:lang w:val="en-US" w:eastAsia="zh-CN" w:bidi="en-US"/>
        </w:rPr>
        <w:t>承包人</w:t>
      </w:r>
      <w:r>
        <w:rPr>
          <w:rFonts w:hint="eastAsia" w:ascii="Times New Roman" w:hAnsi="Times New Roman" w:eastAsia="仿宋_GB2312" w:cs="Times New Roman"/>
          <w:color w:val="auto"/>
          <w:kern w:val="0"/>
          <w:sz w:val="30"/>
          <w:szCs w:val="32"/>
          <w:u w:val="single"/>
          <w:lang w:val="en-US" w:eastAsia="zh-CN" w:bidi="en-US"/>
        </w:rPr>
        <w:t>在灯组布线施工时应充分考虑用电安全，供电线缆符合相关技术规范</w:t>
      </w:r>
      <w:r>
        <w:rPr>
          <w:rFonts w:hint="eastAsia" w:ascii="Times New Roman" w:hAnsi="Times New Roman" w:eastAsia="仿宋_GB2312" w:cs="仿宋_GB2312"/>
          <w:color w:val="auto"/>
          <w:kern w:val="2"/>
          <w:sz w:val="30"/>
          <w:szCs w:val="32"/>
          <w:highlight w:val="none"/>
          <w:u w:val="single"/>
          <w:lang w:eastAsia="zh-CN" w:bidi="ar"/>
        </w:rPr>
        <w:t>。</w:t>
      </w:r>
    </w:p>
    <w:p w14:paraId="566C60F9">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3.2 </w:t>
      </w:r>
      <w:r>
        <w:rPr>
          <w:rFonts w:hint="eastAsia" w:ascii="Times New Roman" w:hAnsi="Times New Roman" w:eastAsia="黑体" w:cs="黑体"/>
          <w:color w:val="auto"/>
          <w:kern w:val="2"/>
          <w:sz w:val="30"/>
          <w:szCs w:val="32"/>
          <w:highlight w:val="none"/>
          <w:lang w:eastAsia="zh-CN" w:bidi="ar"/>
        </w:rPr>
        <w:t>项目经理</w:t>
      </w:r>
    </w:p>
    <w:p w14:paraId="473CDF2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3.2.1 </w:t>
      </w:r>
      <w:r>
        <w:rPr>
          <w:rFonts w:hint="eastAsia" w:ascii="Times New Roman" w:hAnsi="Times New Roman" w:eastAsia="仿宋_GB2312" w:cs="仿宋_GB2312"/>
          <w:color w:val="auto"/>
          <w:kern w:val="2"/>
          <w:sz w:val="30"/>
          <w:szCs w:val="32"/>
          <w:highlight w:val="none"/>
          <w:lang w:eastAsia="zh-CN" w:bidi="ar"/>
        </w:rPr>
        <w:t>项目经理：</w:t>
      </w:r>
    </w:p>
    <w:p w14:paraId="33B3E8E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姓</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名：</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3F959CCA">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身份证号：</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0579828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建造师执业资格等级：</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6A7143C6">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建造师注册证书号：</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158B91A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建造师执业印章号：</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34F8907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安全生产考核合格证书号：</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27F61D2F">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联系电话：</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59E967E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电子信箱：</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70C927E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通信地址：</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54E7AC41">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承包人对项目经理的授权范围如下：</w:t>
      </w:r>
      <w:r>
        <w:rPr>
          <w:rFonts w:ascii="Times New Roman" w:hAnsi="Times New Roman" w:eastAsia="仿宋_GB2312" w:cs="Times New Roman"/>
          <w:color w:val="auto"/>
          <w:kern w:val="2"/>
          <w:sz w:val="30"/>
          <w:szCs w:val="32"/>
          <w:highlight w:val="none"/>
          <w:u w:val="single"/>
          <w:lang w:eastAsia="zh-CN" w:bidi="ar"/>
        </w:rPr>
        <w:t xml:space="preserve">                                                        </w:t>
      </w:r>
      <w:r>
        <w:rPr>
          <w:rFonts w:hint="eastAsia" w:ascii="Times New Roman" w:hAnsi="Times New Roman" w:eastAsia="仿宋_GB2312" w:cs="仿宋_GB2312"/>
          <w:color w:val="auto"/>
          <w:kern w:val="2"/>
          <w:sz w:val="30"/>
          <w:szCs w:val="32"/>
          <w:highlight w:val="none"/>
          <w:lang w:eastAsia="zh-CN" w:bidi="ar"/>
        </w:rPr>
        <w:t>。</w:t>
      </w:r>
    </w:p>
    <w:p w14:paraId="7D5154D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关于项目经理每月在施工现场的时间要求：</w:t>
      </w:r>
      <w:r>
        <w:rPr>
          <w:rFonts w:ascii="Times New Roman" w:hAnsi="Times New Roman" w:eastAsia="仿宋_GB2312" w:cs="Times New Roman"/>
          <w:color w:val="auto"/>
          <w:kern w:val="2"/>
          <w:sz w:val="30"/>
          <w:szCs w:val="32"/>
          <w:highlight w:val="none"/>
          <w:u w:val="single"/>
          <w:lang w:eastAsia="zh-CN" w:bidi="ar"/>
        </w:rPr>
        <w:t xml:space="preserve">          </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2B075A7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承包人未提交劳动合同，以及没有为项目经理缴纳社会保险证明的违约责任：</w:t>
      </w:r>
      <w:r>
        <w:rPr>
          <w:rFonts w:ascii="Times New Roman" w:hAnsi="Times New Roman" w:eastAsia="仿宋_GB2312" w:cs="Times New Roman"/>
          <w:color w:val="auto"/>
          <w:kern w:val="2"/>
          <w:sz w:val="30"/>
          <w:szCs w:val="32"/>
          <w:highlight w:val="none"/>
          <w:u w:val="single"/>
          <w:lang w:eastAsia="zh-CN" w:bidi="ar"/>
        </w:rPr>
        <w:t xml:space="preserve">                                                                                     </w:t>
      </w:r>
      <w:r>
        <w:rPr>
          <w:rFonts w:hint="eastAsia" w:ascii="Times New Roman" w:hAnsi="Times New Roman" w:eastAsia="仿宋_GB2312" w:cs="仿宋_GB2312"/>
          <w:color w:val="auto"/>
          <w:kern w:val="2"/>
          <w:sz w:val="30"/>
          <w:szCs w:val="32"/>
          <w:highlight w:val="none"/>
          <w:lang w:eastAsia="zh-CN" w:bidi="ar"/>
        </w:rPr>
        <w:t>。</w:t>
      </w:r>
    </w:p>
    <w:p w14:paraId="73D79529">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项目经理未经批准，擅自离开施工现场的违约责任：</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                                        </w:t>
      </w:r>
      <w:r>
        <w:rPr>
          <w:rFonts w:hint="eastAsia" w:ascii="Times New Roman" w:hAnsi="Times New Roman" w:eastAsia="仿宋_GB2312" w:cs="仿宋_GB2312"/>
          <w:color w:val="auto"/>
          <w:kern w:val="2"/>
          <w:sz w:val="30"/>
          <w:szCs w:val="32"/>
          <w:highlight w:val="none"/>
          <w:lang w:eastAsia="zh-CN" w:bidi="ar"/>
        </w:rPr>
        <w:t>。</w:t>
      </w:r>
    </w:p>
    <w:p w14:paraId="6CB3BDC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3.2.3 </w:t>
      </w:r>
      <w:r>
        <w:rPr>
          <w:rFonts w:hint="eastAsia" w:ascii="Times New Roman" w:hAnsi="Times New Roman" w:eastAsia="仿宋_GB2312" w:cs="仿宋_GB2312"/>
          <w:color w:val="auto"/>
          <w:kern w:val="2"/>
          <w:sz w:val="30"/>
          <w:szCs w:val="32"/>
          <w:highlight w:val="none"/>
          <w:lang w:eastAsia="zh-CN" w:bidi="ar"/>
        </w:rPr>
        <w:t>承包人擅自更换项目经理的违约责任：</w:t>
      </w:r>
      <w:r>
        <w:rPr>
          <w:rFonts w:ascii="Times New Roman" w:hAnsi="Times New Roman" w:eastAsia="仿宋_GB2312" w:cs="Times New Roman"/>
          <w:color w:val="auto"/>
          <w:kern w:val="2"/>
          <w:sz w:val="30"/>
          <w:szCs w:val="32"/>
          <w:highlight w:val="none"/>
          <w:u w:val="single"/>
          <w:lang w:eastAsia="zh-CN" w:bidi="ar"/>
        </w:rPr>
        <w:t xml:space="preserve">              </w:t>
      </w:r>
    </w:p>
    <w:p w14:paraId="4541C9C5">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                                    </w:t>
      </w:r>
      <w:r>
        <w:rPr>
          <w:rFonts w:hint="eastAsia" w:ascii="Times New Roman" w:hAnsi="Times New Roman" w:eastAsia="仿宋_GB2312" w:cs="仿宋_GB2312"/>
          <w:color w:val="auto"/>
          <w:kern w:val="2"/>
          <w:sz w:val="30"/>
          <w:szCs w:val="32"/>
          <w:highlight w:val="none"/>
          <w:lang w:eastAsia="zh-CN" w:bidi="ar"/>
        </w:rPr>
        <w:t>。</w:t>
      </w:r>
    </w:p>
    <w:p w14:paraId="3CA287B1">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    3.2.4 </w:t>
      </w:r>
      <w:r>
        <w:rPr>
          <w:rFonts w:hint="eastAsia" w:ascii="Times New Roman" w:hAnsi="Times New Roman" w:eastAsia="仿宋_GB2312" w:cs="仿宋_GB2312"/>
          <w:color w:val="auto"/>
          <w:kern w:val="2"/>
          <w:sz w:val="30"/>
          <w:szCs w:val="32"/>
          <w:highlight w:val="none"/>
          <w:lang w:eastAsia="zh-CN" w:bidi="ar"/>
        </w:rPr>
        <w:t>承包人无正当理由拒绝更换项目经理的违约责任：</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181C7549">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3.3 </w:t>
      </w:r>
      <w:r>
        <w:rPr>
          <w:rFonts w:hint="eastAsia" w:ascii="Times New Roman" w:hAnsi="Times New Roman" w:eastAsia="黑体" w:cs="黑体"/>
          <w:color w:val="auto"/>
          <w:kern w:val="2"/>
          <w:sz w:val="30"/>
          <w:szCs w:val="32"/>
          <w:highlight w:val="none"/>
          <w:lang w:eastAsia="zh-CN" w:bidi="ar"/>
        </w:rPr>
        <w:t>承包人人员</w:t>
      </w:r>
    </w:p>
    <w:p w14:paraId="24A4459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3.3.1 </w:t>
      </w:r>
      <w:r>
        <w:rPr>
          <w:rFonts w:hint="eastAsia" w:ascii="Times New Roman" w:hAnsi="Times New Roman" w:eastAsia="仿宋_GB2312" w:cs="仿宋_GB2312"/>
          <w:color w:val="auto"/>
          <w:kern w:val="2"/>
          <w:sz w:val="30"/>
          <w:szCs w:val="32"/>
          <w:highlight w:val="none"/>
          <w:lang w:eastAsia="zh-CN" w:bidi="ar"/>
        </w:rPr>
        <w:t>承包人提交项目管理机构及施工现场管理人员安排报告的期限：</w:t>
      </w:r>
      <w:r>
        <w:rPr>
          <w:rFonts w:ascii="Times New Roman" w:hAnsi="Times New Roman" w:eastAsia="仿宋_GB2312" w:cs="Times New Roman"/>
          <w:color w:val="auto"/>
          <w:kern w:val="2"/>
          <w:sz w:val="30"/>
          <w:szCs w:val="32"/>
          <w:highlight w:val="none"/>
          <w:u w:val="single"/>
          <w:lang w:eastAsia="zh-CN" w:bidi="ar"/>
        </w:rPr>
        <w:t xml:space="preserve">                                          </w:t>
      </w:r>
      <w:r>
        <w:rPr>
          <w:rFonts w:hint="eastAsia" w:ascii="Times New Roman" w:hAnsi="Times New Roman" w:eastAsia="仿宋_GB2312" w:cs="仿宋_GB2312"/>
          <w:color w:val="auto"/>
          <w:kern w:val="2"/>
          <w:sz w:val="30"/>
          <w:szCs w:val="32"/>
          <w:highlight w:val="none"/>
          <w:lang w:eastAsia="zh-CN" w:bidi="ar"/>
        </w:rPr>
        <w:t>。</w:t>
      </w:r>
    </w:p>
    <w:p w14:paraId="7A59121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3.3.3 </w:t>
      </w:r>
      <w:r>
        <w:rPr>
          <w:rFonts w:hint="eastAsia" w:ascii="Times New Roman" w:hAnsi="Times New Roman" w:eastAsia="仿宋_GB2312" w:cs="仿宋_GB2312"/>
          <w:color w:val="auto"/>
          <w:kern w:val="2"/>
          <w:sz w:val="30"/>
          <w:szCs w:val="32"/>
          <w:highlight w:val="none"/>
          <w:lang w:eastAsia="zh-CN" w:bidi="ar"/>
        </w:rPr>
        <w:t>承包人无正当理由拒绝撤换主要施工管理人员的违约责任：</w:t>
      </w:r>
      <w:r>
        <w:rPr>
          <w:rFonts w:ascii="Times New Roman" w:hAnsi="Times New Roman" w:eastAsia="仿宋_GB2312" w:cs="Times New Roman"/>
          <w:color w:val="auto"/>
          <w:kern w:val="2"/>
          <w:sz w:val="30"/>
          <w:szCs w:val="32"/>
          <w:highlight w:val="none"/>
          <w:u w:val="single"/>
          <w:lang w:eastAsia="zh-CN" w:bidi="ar"/>
        </w:rPr>
        <w:t xml:space="preserve">                                              </w:t>
      </w:r>
      <w:r>
        <w:rPr>
          <w:rFonts w:hint="eastAsia" w:ascii="Times New Roman" w:hAnsi="Times New Roman" w:eastAsia="仿宋_GB2312" w:cs="仿宋_GB2312"/>
          <w:color w:val="auto"/>
          <w:kern w:val="2"/>
          <w:sz w:val="30"/>
          <w:szCs w:val="32"/>
          <w:highlight w:val="none"/>
          <w:lang w:eastAsia="zh-CN" w:bidi="ar"/>
        </w:rPr>
        <w:t>。</w:t>
      </w:r>
    </w:p>
    <w:p w14:paraId="77BBD109">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 xml:space="preserve">3.3.4 </w:t>
      </w:r>
      <w:r>
        <w:rPr>
          <w:rFonts w:hint="eastAsia" w:ascii="Times New Roman" w:hAnsi="Times New Roman" w:eastAsia="仿宋_GB2312" w:cs="仿宋_GB2312"/>
          <w:color w:val="auto"/>
          <w:kern w:val="2"/>
          <w:sz w:val="30"/>
          <w:szCs w:val="32"/>
          <w:highlight w:val="none"/>
          <w:lang w:eastAsia="zh-CN" w:bidi="ar"/>
        </w:rPr>
        <w:t>承包人主要施工管理人员离开施工现场的批准要求：</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D4D04E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3.3.5</w:t>
      </w:r>
      <w:r>
        <w:rPr>
          <w:rFonts w:hint="eastAsia" w:ascii="Times New Roman" w:hAnsi="Times New Roman" w:eastAsia="仿宋_GB2312" w:cs="仿宋_GB2312"/>
          <w:color w:val="auto"/>
          <w:kern w:val="2"/>
          <w:sz w:val="30"/>
          <w:szCs w:val="32"/>
          <w:highlight w:val="none"/>
          <w:lang w:eastAsia="zh-CN" w:bidi="ar"/>
        </w:rPr>
        <w:t>承包人擅自更换主要施工管理人员的违约责任：</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A584027">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承包人主要施工管理人员擅自离开施工现场的违约责任：</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297B0FD">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3</w:t>
      </w:r>
      <w:bookmarkStart w:id="741" w:name="_Toc296890987"/>
      <w:bookmarkStart w:id="742" w:name="_Toc292559869"/>
      <w:bookmarkStart w:id="743" w:name="_Toc296944498"/>
      <w:bookmarkStart w:id="744" w:name="_Toc296346660"/>
      <w:bookmarkStart w:id="745" w:name="_Toc296503159"/>
      <w:bookmarkStart w:id="746" w:name="_Toc297216151"/>
      <w:bookmarkStart w:id="747" w:name="_Toc304295523"/>
      <w:bookmarkStart w:id="748" w:name="_Toc296347158"/>
      <w:bookmarkStart w:id="749" w:name="_Toc297123492"/>
      <w:bookmarkStart w:id="750" w:name="_Toc297048345"/>
      <w:bookmarkStart w:id="751" w:name="_Toc312677988"/>
      <w:bookmarkStart w:id="752" w:name="_Toc296891199"/>
      <w:bookmarkStart w:id="753" w:name="_Toc292559364"/>
      <w:bookmarkStart w:id="754" w:name="_Toc300934945"/>
      <w:bookmarkStart w:id="755" w:name="_Toc303539102"/>
      <w:bookmarkStart w:id="756" w:name="_Toc297120459"/>
      <w:r>
        <w:rPr>
          <w:rFonts w:ascii="Times New Roman" w:hAnsi="Times New Roman" w:eastAsia="黑体" w:cs="Times New Roman"/>
          <w:color w:val="auto"/>
          <w:kern w:val="2"/>
          <w:sz w:val="30"/>
          <w:szCs w:val="32"/>
          <w:highlight w:val="none"/>
          <w:lang w:eastAsia="zh-CN" w:bidi="ar"/>
        </w:rPr>
        <w:t xml:space="preserve">.5 </w:t>
      </w:r>
      <w:r>
        <w:rPr>
          <w:rFonts w:hint="eastAsia" w:ascii="Times New Roman" w:hAnsi="Times New Roman" w:eastAsia="黑体" w:cs="黑体"/>
          <w:color w:val="auto"/>
          <w:kern w:val="2"/>
          <w:sz w:val="30"/>
          <w:szCs w:val="32"/>
          <w:highlight w:val="none"/>
          <w:lang w:eastAsia="zh-CN" w:bidi="ar"/>
        </w:rPr>
        <w:t>分包</w:t>
      </w:r>
    </w:p>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14:paraId="668C6009">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3</w:t>
      </w:r>
      <w:bookmarkStart w:id="757" w:name="_Toc300934946"/>
      <w:bookmarkStart w:id="758" w:name="_Toc297048346"/>
      <w:bookmarkStart w:id="759" w:name="_Toc296944499"/>
      <w:bookmarkStart w:id="760" w:name="_Toc296346661"/>
      <w:bookmarkStart w:id="761" w:name="_Toc296347159"/>
      <w:bookmarkStart w:id="762" w:name="_Toc296890988"/>
      <w:bookmarkStart w:id="763" w:name="_Toc296891200"/>
      <w:bookmarkStart w:id="764" w:name="_Toc297216152"/>
      <w:bookmarkStart w:id="765" w:name="_Toc304295524"/>
      <w:bookmarkStart w:id="766" w:name="_Toc297120460"/>
      <w:bookmarkStart w:id="767" w:name="_Toc292559365"/>
      <w:bookmarkStart w:id="768" w:name="_Toc297123493"/>
      <w:bookmarkStart w:id="769" w:name="_Toc303539103"/>
      <w:bookmarkStart w:id="770" w:name="_Toc292559870"/>
      <w:bookmarkStart w:id="771" w:name="_Toc296503160"/>
      <w:bookmarkStart w:id="772" w:name="_Toc312677989"/>
      <w:bookmarkStart w:id="773" w:name="_Toc318581158"/>
      <w:r>
        <w:rPr>
          <w:rFonts w:ascii="Times New Roman" w:hAnsi="Times New Roman" w:eastAsia="仿宋_GB2312" w:cs="Times New Roman"/>
          <w:color w:val="auto"/>
          <w:kern w:val="2"/>
          <w:sz w:val="30"/>
          <w:szCs w:val="32"/>
          <w:highlight w:val="none"/>
          <w:lang w:eastAsia="zh-CN" w:bidi="ar"/>
        </w:rPr>
        <w:t xml:space="preserve">.5.1 </w:t>
      </w:r>
      <w:r>
        <w:rPr>
          <w:rFonts w:hint="eastAsia" w:ascii="Times New Roman" w:hAnsi="Times New Roman" w:eastAsia="仿宋_GB2312" w:cs="仿宋_GB2312"/>
          <w:color w:val="auto"/>
          <w:kern w:val="2"/>
          <w:sz w:val="30"/>
          <w:szCs w:val="32"/>
          <w:highlight w:val="none"/>
          <w:lang w:eastAsia="zh-CN" w:bidi="ar"/>
        </w:rPr>
        <w:t>分包的一般约定</w:t>
      </w:r>
    </w:p>
    <w:p w14:paraId="135A2C0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禁止分包的工程包括：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FDD4594">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主体结构、关键性工作的范围：</w:t>
      </w:r>
      <w:r>
        <w:rPr>
          <w:rFonts w:ascii="Times New Roman" w:hAnsi="Times New Roman" w:eastAsia="仿宋_GB2312" w:cs="Times New Roman"/>
          <w:color w:val="auto"/>
          <w:kern w:val="2"/>
          <w:sz w:val="30"/>
          <w:szCs w:val="32"/>
          <w:highlight w:val="none"/>
          <w:u w:val="single"/>
          <w:lang w:eastAsia="zh-CN" w:bidi="ar"/>
        </w:rPr>
        <w:t xml:space="preserve">                      </w:t>
      </w:r>
    </w:p>
    <w:p w14:paraId="68D1B4C3">
      <w:pPr>
        <w:shd w:val="clear"/>
        <w:spacing w:line="360" w:lineRule="auto"/>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Start w:id="774" w:name="_Toc296503161"/>
      <w:bookmarkStart w:id="775" w:name="_Toc296891201"/>
      <w:bookmarkStart w:id="776" w:name="_Toc296346662"/>
      <w:bookmarkStart w:id="777" w:name="_Toc296347160"/>
      <w:bookmarkStart w:id="778" w:name="_Toc303539104"/>
      <w:bookmarkStart w:id="779" w:name="_Toc297048347"/>
      <w:bookmarkStart w:id="780" w:name="_Toc297120461"/>
      <w:bookmarkStart w:id="781" w:name="_Toc297216153"/>
      <w:bookmarkStart w:id="782" w:name="_Toc296890989"/>
      <w:bookmarkStart w:id="783" w:name="_Toc300934947"/>
      <w:bookmarkStart w:id="784" w:name="_Toc304295525"/>
      <w:bookmarkStart w:id="785" w:name="_Toc296944500"/>
      <w:bookmarkStart w:id="786" w:name="_Toc297123494"/>
    </w:p>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14:paraId="4DD07CD0">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    3</w:t>
      </w:r>
      <w:bookmarkStart w:id="787" w:name="_Toc318581159"/>
      <w:bookmarkStart w:id="788" w:name="_Toc312677990"/>
      <w:r>
        <w:rPr>
          <w:rFonts w:ascii="Times New Roman" w:hAnsi="Times New Roman" w:eastAsia="仿宋_GB2312" w:cs="Times New Roman"/>
          <w:color w:val="auto"/>
          <w:kern w:val="2"/>
          <w:sz w:val="30"/>
          <w:szCs w:val="32"/>
          <w:highlight w:val="none"/>
          <w:lang w:eastAsia="zh-CN" w:bidi="ar"/>
        </w:rPr>
        <w:t>.5.2</w:t>
      </w:r>
      <w:r>
        <w:rPr>
          <w:rFonts w:hint="eastAsia" w:ascii="Times New Roman" w:hAnsi="Times New Roman" w:eastAsia="仿宋_GB2312" w:cs="仿宋_GB2312"/>
          <w:color w:val="auto"/>
          <w:kern w:val="2"/>
          <w:sz w:val="30"/>
          <w:szCs w:val="32"/>
          <w:highlight w:val="none"/>
          <w:lang w:eastAsia="zh-CN" w:bidi="ar"/>
        </w:rPr>
        <w:t>分包的确定</w:t>
      </w:r>
    </w:p>
    <w:p w14:paraId="04F91820">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允许分包的专业工程包括：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6B2028E">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其他关于分包的约定：</w:t>
      </w:r>
      <w:r>
        <w:rPr>
          <w:rFonts w:ascii="Times New Roman" w:hAnsi="Times New Roman" w:eastAsia="仿宋_GB2312" w:cs="Times New Roman"/>
          <w:color w:val="auto"/>
          <w:kern w:val="2"/>
          <w:sz w:val="30"/>
          <w:szCs w:val="32"/>
          <w:highlight w:val="none"/>
          <w:u w:val="single"/>
          <w:lang w:eastAsia="zh-CN" w:bidi="ar"/>
        </w:rPr>
        <w:t xml:space="preserve">                                  </w:t>
      </w:r>
    </w:p>
    <w:p w14:paraId="4CA2C799">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8903DB3">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3.5.4 </w:t>
      </w:r>
      <w:r>
        <w:rPr>
          <w:rFonts w:hint="eastAsia" w:ascii="Times New Roman" w:hAnsi="Times New Roman" w:eastAsia="仿宋_GB2312" w:cs="仿宋_GB2312"/>
          <w:color w:val="auto"/>
          <w:kern w:val="2"/>
          <w:sz w:val="30"/>
          <w:szCs w:val="32"/>
          <w:highlight w:val="none"/>
          <w:lang w:eastAsia="zh-CN" w:bidi="ar"/>
        </w:rPr>
        <w:t>分包合同价款</w:t>
      </w:r>
    </w:p>
    <w:p w14:paraId="0FF935B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关于分包合同价款支付的约定：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787"/>
    <w:bookmarkEnd w:id="788"/>
    <w:p w14:paraId="4E6A1C32">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3.6 </w:t>
      </w:r>
      <w:r>
        <w:rPr>
          <w:rFonts w:hint="eastAsia" w:ascii="Times New Roman" w:hAnsi="Times New Roman" w:eastAsia="黑体" w:cs="黑体"/>
          <w:color w:val="auto"/>
          <w:kern w:val="2"/>
          <w:sz w:val="30"/>
          <w:szCs w:val="32"/>
          <w:highlight w:val="none"/>
          <w:lang w:eastAsia="zh-CN" w:bidi="ar"/>
        </w:rPr>
        <w:t>工程照管与成品、半成品保护</w:t>
      </w:r>
    </w:p>
    <w:p w14:paraId="272F911A">
      <w:pPr>
        <w:shd w:val="clear"/>
        <w:spacing w:before="120" w:after="120"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承包人负责照管工程及工程相关的材料、工程设备的起始时间：</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0722B2A4">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3.7 </w:t>
      </w:r>
      <w:r>
        <w:rPr>
          <w:rFonts w:hint="eastAsia" w:ascii="Times New Roman" w:hAnsi="Times New Roman" w:eastAsia="黑体" w:cs="黑体"/>
          <w:color w:val="auto"/>
          <w:kern w:val="2"/>
          <w:sz w:val="30"/>
          <w:szCs w:val="32"/>
          <w:highlight w:val="none"/>
          <w:lang w:eastAsia="zh-CN" w:bidi="ar"/>
        </w:rPr>
        <w:t>履约担保</w:t>
      </w:r>
    </w:p>
    <w:p w14:paraId="79C4E58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承包人是否提供履约担保：</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2C58670">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承包人提供履约担保的形式、金额及期限的：</w:t>
      </w:r>
      <w:r>
        <w:rPr>
          <w:rFonts w:ascii="Times New Roman" w:hAnsi="Times New Roman" w:eastAsia="仿宋_GB2312" w:cs="Times New Roman"/>
          <w:color w:val="auto"/>
          <w:kern w:val="2"/>
          <w:sz w:val="30"/>
          <w:szCs w:val="32"/>
          <w:highlight w:val="none"/>
          <w:u w:val="single"/>
          <w:lang w:eastAsia="zh-CN" w:bidi="ar"/>
        </w:rPr>
        <w:t xml:space="preserve">              </w:t>
      </w:r>
    </w:p>
    <w:p w14:paraId="0A74B392">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53F2290">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789" w:name="_Toc163768462"/>
      <w:bookmarkStart w:id="790" w:name="_Toc163768580"/>
      <w:bookmarkStart w:id="791" w:name="_Toc351203636"/>
      <w:r>
        <w:rPr>
          <w:rFonts w:ascii="Times New Roman" w:hAnsi="Times New Roman" w:eastAsia="黑体" w:cs="Times New Roman"/>
          <w:b/>
          <w:bCs/>
          <w:color w:val="auto"/>
          <w:sz w:val="32"/>
          <w:szCs w:val="32"/>
          <w:highlight w:val="none"/>
          <w:lang w:val="en-US" w:eastAsia="zh-CN" w:bidi="en-US"/>
        </w:rPr>
        <w:t>4</w:t>
      </w:r>
      <w:bookmarkStart w:id="792" w:name="_Toc292559366"/>
      <w:bookmarkStart w:id="793" w:name="_Toc267251413"/>
      <w:bookmarkStart w:id="794" w:name="_Toc296944501"/>
      <w:bookmarkStart w:id="795" w:name="_Toc296347161"/>
      <w:bookmarkStart w:id="796" w:name="_Toc296890990"/>
      <w:bookmarkStart w:id="797" w:name="_Toc296503162"/>
      <w:bookmarkStart w:id="798" w:name="_Toc297120462"/>
      <w:bookmarkStart w:id="799" w:name="_Toc296346663"/>
      <w:bookmarkStart w:id="800" w:name="_Toc297048348"/>
      <w:bookmarkStart w:id="801" w:name="_Toc292559871"/>
      <w:bookmarkStart w:id="802" w:name="_Toc296891202"/>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监</w:t>
      </w:r>
      <w:bookmarkEnd w:id="792"/>
      <w:bookmarkEnd w:id="793"/>
      <w:bookmarkEnd w:id="794"/>
      <w:bookmarkEnd w:id="795"/>
      <w:bookmarkEnd w:id="796"/>
      <w:bookmarkEnd w:id="797"/>
      <w:bookmarkEnd w:id="798"/>
      <w:bookmarkEnd w:id="799"/>
      <w:bookmarkEnd w:id="800"/>
      <w:bookmarkEnd w:id="801"/>
      <w:bookmarkEnd w:id="802"/>
      <w:r>
        <w:rPr>
          <w:rFonts w:hint="eastAsia" w:ascii="Times New Roman" w:hAnsi="Times New Roman" w:eastAsia="黑体" w:cs="黑体"/>
          <w:b/>
          <w:bCs/>
          <w:color w:val="auto"/>
          <w:sz w:val="32"/>
          <w:szCs w:val="32"/>
          <w:highlight w:val="none"/>
          <w:lang w:val="en-US" w:eastAsia="zh-CN" w:bidi="en-US"/>
        </w:rPr>
        <w:t>理人</w:t>
      </w:r>
      <w:bookmarkEnd w:id="789"/>
      <w:bookmarkEnd w:id="790"/>
      <w:bookmarkEnd w:id="791"/>
    </w:p>
    <w:p w14:paraId="48BCDB25">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4.1</w:t>
      </w:r>
      <w:r>
        <w:rPr>
          <w:rFonts w:hint="eastAsia" w:ascii="Times New Roman" w:hAnsi="Times New Roman" w:eastAsia="黑体" w:cs="黑体"/>
          <w:color w:val="auto"/>
          <w:kern w:val="2"/>
          <w:sz w:val="30"/>
          <w:szCs w:val="32"/>
          <w:highlight w:val="none"/>
          <w:lang w:eastAsia="zh-CN" w:bidi="ar"/>
        </w:rPr>
        <w:t>监理人的一般规定</w:t>
      </w:r>
    </w:p>
    <w:p w14:paraId="3BAC68F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关于监理人的监理内容：</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268539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关于监理人的监理权限：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1F5569BE">
      <w:pPr>
        <w:shd w:val="clear"/>
        <w:spacing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关于监理人在施工现场的办公场所、生活场所的提供和费用承担的约定：</w:t>
      </w:r>
      <w:r>
        <w:rPr>
          <w:rFonts w:ascii="Times New Roman" w:hAnsi="Times New Roman" w:eastAsia="仿宋_GB2312" w:cs="Times New Roman"/>
          <w:color w:val="auto"/>
          <w:kern w:val="2"/>
          <w:sz w:val="30"/>
          <w:szCs w:val="32"/>
          <w:highlight w:val="none"/>
          <w:u w:val="single"/>
          <w:lang w:eastAsia="zh-CN" w:bidi="ar"/>
        </w:rPr>
        <w:t xml:space="preserve">                                                </w:t>
      </w:r>
    </w:p>
    <w:p w14:paraId="6C2A7A03">
      <w:pPr>
        <w:shd w:val="clear"/>
        <w:spacing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18E4D9C">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4.2 </w:t>
      </w:r>
      <w:r>
        <w:rPr>
          <w:rFonts w:hint="eastAsia" w:ascii="Times New Roman" w:hAnsi="Times New Roman" w:eastAsia="黑体" w:cs="黑体"/>
          <w:color w:val="auto"/>
          <w:kern w:val="2"/>
          <w:sz w:val="30"/>
          <w:szCs w:val="32"/>
          <w:highlight w:val="none"/>
          <w:lang w:eastAsia="zh-CN" w:bidi="ar"/>
        </w:rPr>
        <w:t>监理人员</w:t>
      </w:r>
    </w:p>
    <w:p w14:paraId="10B9816C">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总监理工程师：</w:t>
      </w:r>
    </w:p>
    <w:p w14:paraId="3ED07C88">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姓</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名：</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555E2EDD">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职</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务：</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4E8A223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监理工程师执业资格证书号：</w:t>
      </w:r>
      <w:r>
        <w:rPr>
          <w:rFonts w:ascii="Times New Roman" w:hAnsi="Times New Roman" w:eastAsia="仿宋_GB2312" w:cs="Times New Roman"/>
          <w:color w:val="auto"/>
          <w:kern w:val="2"/>
          <w:sz w:val="30"/>
          <w:szCs w:val="32"/>
          <w:highlight w:val="none"/>
          <w:u w:val="single"/>
          <w:lang w:eastAsia="zh-CN" w:bidi="ar"/>
        </w:rPr>
        <w:t> </w:t>
      </w:r>
      <w:r>
        <w:rPr>
          <w:rFonts w:hint="eastAsia" w:ascii="Times New Roman" w:hAnsi="Times New Roman" w:eastAsia="仿宋_GB2312" w:cs="仿宋_GB2312"/>
          <w:color w:val="auto"/>
          <w:kern w:val="2"/>
          <w:sz w:val="30"/>
          <w:szCs w:val="32"/>
          <w:highlight w:val="none"/>
          <w:lang w:eastAsia="zh-CN" w:bidi="ar"/>
        </w:rPr>
        <w:t>；</w:t>
      </w:r>
    </w:p>
    <w:p w14:paraId="3FE51EB0">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联系电话：</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6D990032">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电子信箱：</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2A893235">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2"/>
          <w:sz w:val="30"/>
          <w:szCs w:val="32"/>
          <w:highlight w:val="none"/>
          <w:lang w:eastAsia="zh-CN" w:bidi="ar"/>
        </w:rPr>
        <w:t>通信地址：</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2C6063F1">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关于监理人的其他约定：</w:t>
      </w:r>
      <w:r>
        <w:rPr>
          <w:rFonts w:ascii="Times New Roman" w:hAnsi="Times New Roman" w:eastAsia="仿宋_GB2312" w:cs="Times New Roman"/>
          <w:color w:val="auto"/>
          <w:kern w:val="2"/>
          <w:sz w:val="30"/>
          <w:szCs w:val="32"/>
          <w:highlight w:val="none"/>
          <w:u w:val="single"/>
          <w:lang w:eastAsia="zh-CN" w:bidi="ar"/>
        </w:rPr>
        <w:t>   </w:t>
      </w:r>
      <w:r>
        <w:rPr>
          <w:rFonts w:hint="eastAsia" w:ascii="Times New Roman" w:hAnsi="Times New Roman" w:eastAsia="仿宋_GB2312" w:cs="仿宋_GB2312"/>
          <w:color w:val="auto"/>
          <w:kern w:val="2"/>
          <w:sz w:val="30"/>
          <w:szCs w:val="32"/>
          <w:highlight w:val="none"/>
          <w:lang w:eastAsia="zh-CN" w:bidi="ar"/>
        </w:rPr>
        <w:t>。</w:t>
      </w:r>
    </w:p>
    <w:p w14:paraId="22611B0A">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4.4 </w:t>
      </w:r>
      <w:r>
        <w:rPr>
          <w:rFonts w:hint="eastAsia" w:ascii="Times New Roman" w:hAnsi="Times New Roman" w:eastAsia="黑体" w:cs="黑体"/>
          <w:color w:val="auto"/>
          <w:kern w:val="2"/>
          <w:sz w:val="30"/>
          <w:szCs w:val="32"/>
          <w:highlight w:val="none"/>
          <w:lang w:eastAsia="zh-CN" w:bidi="ar"/>
        </w:rPr>
        <w:t>商定或确定</w:t>
      </w:r>
    </w:p>
    <w:p w14:paraId="44BF36A4">
      <w:pPr>
        <w:shd w:val="clear"/>
        <w:spacing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bookmarkStart w:id="803" w:name="_Toc267251418"/>
      <w:r>
        <w:rPr>
          <w:rFonts w:hint="eastAsia" w:ascii="Times New Roman" w:hAnsi="Times New Roman" w:eastAsia="仿宋_GB2312" w:cs="仿宋_GB2312"/>
          <w:color w:val="auto"/>
          <w:kern w:val="2"/>
          <w:sz w:val="30"/>
          <w:szCs w:val="32"/>
          <w:highlight w:val="none"/>
          <w:lang w:eastAsia="zh-CN" w:bidi="ar"/>
        </w:rPr>
        <w:t>在发包人和承包人不能通过协商达成一致意见时，发包人授权监理人对以下事项进行确定：</w:t>
      </w:r>
    </w:p>
    <w:p w14:paraId="35641F99">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C691A5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27F4A1C">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F8C7A3E">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804" w:name="_Toc163768581"/>
      <w:bookmarkStart w:id="805" w:name="_Toc351203637"/>
      <w:bookmarkStart w:id="806" w:name="_Toc163768463"/>
      <w:r>
        <w:rPr>
          <w:rFonts w:ascii="Times New Roman" w:hAnsi="Times New Roman" w:eastAsia="黑体" w:cs="Times New Roman"/>
          <w:b/>
          <w:bCs/>
          <w:color w:val="auto"/>
          <w:sz w:val="32"/>
          <w:szCs w:val="32"/>
          <w:highlight w:val="none"/>
          <w:lang w:val="en-US" w:eastAsia="zh-CN" w:bidi="en-US"/>
        </w:rPr>
        <w:t>5</w:t>
      </w:r>
      <w:bookmarkEnd w:id="803"/>
      <w:bookmarkStart w:id="807" w:name="_Toc296503163"/>
      <w:bookmarkStart w:id="808" w:name="_Toc292559872"/>
      <w:bookmarkStart w:id="809" w:name="_Toc292559367"/>
      <w:bookmarkStart w:id="810" w:name="_Toc296347162"/>
      <w:bookmarkStart w:id="811" w:name="_Toc297048349"/>
      <w:bookmarkStart w:id="812" w:name="_Toc297120463"/>
      <w:bookmarkStart w:id="813" w:name="_Toc296891203"/>
      <w:bookmarkStart w:id="814" w:name="_Toc296890991"/>
      <w:bookmarkStart w:id="815" w:name="_Toc296944502"/>
      <w:bookmarkStart w:id="816" w:name="_Toc296346664"/>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黑体"/>
          <w:b/>
          <w:bCs/>
          <w:color w:val="auto"/>
          <w:sz w:val="32"/>
          <w:szCs w:val="32"/>
          <w:highlight w:val="none"/>
          <w:lang w:val="en-US" w:eastAsia="zh-CN" w:bidi="en-US"/>
        </w:rPr>
        <w:t>工程质量</w:t>
      </w:r>
      <w:bookmarkEnd w:id="804"/>
      <w:bookmarkEnd w:id="805"/>
      <w:bookmarkEnd w:id="806"/>
    </w:p>
    <w:p w14:paraId="6F4196B0">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5.1 </w:t>
      </w:r>
      <w:r>
        <w:rPr>
          <w:rFonts w:hint="eastAsia" w:ascii="Times New Roman" w:hAnsi="Times New Roman" w:eastAsia="黑体" w:cs="黑体"/>
          <w:color w:val="auto"/>
          <w:kern w:val="2"/>
          <w:sz w:val="30"/>
          <w:szCs w:val="32"/>
          <w:highlight w:val="none"/>
          <w:lang w:eastAsia="zh-CN" w:bidi="ar"/>
        </w:rPr>
        <w:t>质量要求</w:t>
      </w:r>
    </w:p>
    <w:p w14:paraId="3C591400">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5</w:t>
      </w:r>
      <w:bookmarkStart w:id="817" w:name="_Toc312677997"/>
      <w:bookmarkStart w:id="818" w:name="_Toc318581164"/>
      <w:bookmarkStart w:id="819" w:name="_Toc303539106"/>
      <w:bookmarkStart w:id="820" w:name="_Toc304295527"/>
      <w:bookmarkStart w:id="821" w:name="_Toc300934949"/>
      <w:bookmarkStart w:id="822" w:name="_Toc297123496"/>
      <w:bookmarkStart w:id="823" w:name="_Toc297216155"/>
      <w:r>
        <w:rPr>
          <w:rFonts w:ascii="Times New Roman" w:hAnsi="Times New Roman" w:eastAsia="仿宋_GB2312" w:cs="Times New Roman"/>
          <w:color w:val="auto"/>
          <w:kern w:val="2"/>
          <w:sz w:val="30"/>
          <w:szCs w:val="32"/>
          <w:highlight w:val="none"/>
          <w:lang w:eastAsia="zh-CN" w:bidi="ar"/>
        </w:rPr>
        <w:t xml:space="preserve">.1.1 </w:t>
      </w:r>
      <w:r>
        <w:rPr>
          <w:rFonts w:hint="eastAsia" w:ascii="Times New Roman" w:hAnsi="Times New Roman" w:eastAsia="仿宋_GB2312" w:cs="仿宋_GB2312"/>
          <w:color w:val="auto"/>
          <w:kern w:val="2"/>
          <w:sz w:val="30"/>
          <w:szCs w:val="32"/>
          <w:highlight w:val="none"/>
          <w:lang w:eastAsia="zh-CN" w:bidi="ar"/>
        </w:rPr>
        <w:t>特殊质量标准和要求：</w:t>
      </w:r>
      <w:r>
        <w:rPr>
          <w:rFonts w:ascii="Times New Roman" w:hAnsi="Times New Roman" w:eastAsia="仿宋_GB2312" w:cs="Times New Roman"/>
          <w:color w:val="auto"/>
          <w:kern w:val="2"/>
          <w:sz w:val="30"/>
          <w:szCs w:val="32"/>
          <w:highlight w:val="none"/>
          <w:u w:val="single"/>
          <w:lang w:eastAsia="zh-CN" w:bidi="ar"/>
        </w:rPr>
        <w:t xml:space="preserve">                             </w:t>
      </w:r>
    </w:p>
    <w:p w14:paraId="77CB3AD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85ECD7E">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关于工程奖项的约定：</w:t>
      </w:r>
      <w:r>
        <w:rPr>
          <w:rFonts w:ascii="Times New Roman" w:hAnsi="Times New Roman" w:eastAsia="仿宋_GB2312" w:cs="Times New Roman"/>
          <w:color w:val="auto"/>
          <w:kern w:val="2"/>
          <w:sz w:val="30"/>
          <w:szCs w:val="32"/>
          <w:highlight w:val="none"/>
          <w:u w:val="single"/>
          <w:lang w:eastAsia="zh-CN" w:bidi="ar"/>
        </w:rPr>
        <w:t xml:space="preserve">                                  </w:t>
      </w:r>
    </w:p>
    <w:p w14:paraId="7FB86D25">
      <w:pPr>
        <w:shd w:val="clear"/>
        <w:spacing w:line="360" w:lineRule="auto"/>
        <w:jc w:val="left"/>
        <w:rPr>
          <w:rFonts w:ascii="Times New Roman" w:hAnsi="Times New Roman" w:eastAsia="黑体"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05F31B9">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5.3 </w:t>
      </w:r>
      <w:r>
        <w:rPr>
          <w:rFonts w:hint="eastAsia" w:ascii="Times New Roman" w:hAnsi="Times New Roman" w:eastAsia="黑体" w:cs="黑体"/>
          <w:color w:val="auto"/>
          <w:kern w:val="2"/>
          <w:sz w:val="30"/>
          <w:szCs w:val="32"/>
          <w:highlight w:val="none"/>
          <w:lang w:eastAsia="zh-CN" w:bidi="ar"/>
        </w:rPr>
        <w:t>隐蔽工程检查</w:t>
      </w:r>
    </w:p>
    <w:p w14:paraId="1F993D65">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5.3.2</w:t>
      </w:r>
      <w:r>
        <w:rPr>
          <w:rFonts w:hint="eastAsia" w:ascii="Times New Roman" w:hAnsi="Times New Roman" w:eastAsia="仿宋_GB2312" w:cs="仿宋_GB2312"/>
          <w:color w:val="auto"/>
          <w:kern w:val="2"/>
          <w:sz w:val="30"/>
          <w:szCs w:val="32"/>
          <w:highlight w:val="none"/>
          <w:lang w:eastAsia="zh-CN" w:bidi="ar"/>
        </w:rPr>
        <w:t>承包人提前通知监理人隐蔽工程检查的期限的约定：</w:t>
      </w:r>
      <w:r>
        <w:rPr>
          <w:rFonts w:ascii="Times New Roman" w:hAnsi="Times New Roman" w:eastAsia="仿宋_GB2312" w:cs="Times New Roman"/>
          <w:color w:val="auto"/>
          <w:kern w:val="2"/>
          <w:sz w:val="30"/>
          <w:szCs w:val="32"/>
          <w:highlight w:val="none"/>
          <w:u w:val="single"/>
          <w:lang w:eastAsia="zh-CN" w:bidi="ar"/>
        </w:rPr>
        <w:t xml:space="preserve">    </w:t>
      </w:r>
    </w:p>
    <w:p w14:paraId="3AEC12E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456D84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监理人不能按时进行检查时，应提前</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小时提交书面延期要求。</w:t>
      </w:r>
    </w:p>
    <w:p w14:paraId="7C0A0A4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关于延期最长不得超过：</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小时。</w:t>
      </w:r>
    </w:p>
    <w:p w14:paraId="04B25B64">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824" w:name="_Toc351203638"/>
      <w:bookmarkStart w:id="825" w:name="_Toc163768582"/>
      <w:bookmarkStart w:id="826" w:name="_Toc163768464"/>
      <w:r>
        <w:rPr>
          <w:rFonts w:ascii="Times New Roman" w:hAnsi="Times New Roman" w:eastAsia="黑体" w:cs="Times New Roman"/>
          <w:b/>
          <w:bCs/>
          <w:color w:val="auto"/>
          <w:sz w:val="32"/>
          <w:szCs w:val="32"/>
          <w:highlight w:val="none"/>
          <w:lang w:val="en-US" w:eastAsia="zh-CN" w:bidi="en-US"/>
        </w:rPr>
        <w:t xml:space="preserve">6. </w:t>
      </w:r>
      <w:r>
        <w:rPr>
          <w:rFonts w:hint="eastAsia" w:ascii="Times New Roman" w:hAnsi="Times New Roman" w:eastAsia="黑体" w:cs="Times New Roman"/>
          <w:b/>
          <w:bCs/>
          <w:color w:val="auto"/>
          <w:sz w:val="32"/>
          <w:szCs w:val="32"/>
          <w:highlight w:val="none"/>
          <w:lang w:val="en-US" w:eastAsia="zh-CN" w:bidi="en-US"/>
        </w:rPr>
        <w:t>安全文明施工与环境保护</w:t>
      </w:r>
      <w:bookmarkEnd w:id="824"/>
      <w:bookmarkEnd w:id="825"/>
      <w:bookmarkEnd w:id="826"/>
    </w:p>
    <w:p w14:paraId="7CA134B0">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6.1</w:t>
      </w:r>
      <w:r>
        <w:rPr>
          <w:rFonts w:hint="eastAsia" w:ascii="Times New Roman" w:hAnsi="Times New Roman" w:eastAsia="黑体" w:cs="黑体"/>
          <w:color w:val="auto"/>
          <w:kern w:val="2"/>
          <w:sz w:val="30"/>
          <w:szCs w:val="32"/>
          <w:highlight w:val="none"/>
          <w:lang w:eastAsia="zh-CN" w:bidi="ar"/>
        </w:rPr>
        <w:t>安全文明施工</w:t>
      </w:r>
    </w:p>
    <w:p w14:paraId="709B40F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 xml:space="preserve">6.1.1 </w:t>
      </w:r>
      <w:r>
        <w:rPr>
          <w:rFonts w:hint="eastAsia" w:ascii="Times New Roman" w:hAnsi="Times New Roman" w:eastAsia="仿宋_GB2312" w:cs="仿宋_GB2312"/>
          <w:color w:val="auto"/>
          <w:kern w:val="2"/>
          <w:sz w:val="30"/>
          <w:szCs w:val="32"/>
          <w:highlight w:val="none"/>
          <w:lang w:eastAsia="zh-CN" w:bidi="ar"/>
        </w:rPr>
        <w:t>项目安全生产的达标目标及相应事项的约定：</w:t>
      </w:r>
      <w:r>
        <w:rPr>
          <w:rFonts w:ascii="Times New Roman" w:hAnsi="Times New Roman" w:eastAsia="仿宋_GB2312" w:cs="Times New Roman"/>
          <w:color w:val="auto"/>
          <w:kern w:val="2"/>
          <w:sz w:val="30"/>
          <w:szCs w:val="32"/>
          <w:highlight w:val="none"/>
          <w:u w:val="single"/>
          <w:lang w:eastAsia="zh-CN" w:bidi="ar"/>
        </w:rPr>
        <w:t xml:space="preserve">         </w:t>
      </w:r>
    </w:p>
    <w:p w14:paraId="2630FC4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D60CCD9">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 xml:space="preserve">6.1.4 </w:t>
      </w:r>
      <w:r>
        <w:rPr>
          <w:rFonts w:hint="eastAsia" w:ascii="Times New Roman" w:hAnsi="Times New Roman" w:eastAsia="仿宋_GB2312" w:cs="仿宋_GB2312"/>
          <w:color w:val="auto"/>
          <w:kern w:val="2"/>
          <w:sz w:val="30"/>
          <w:szCs w:val="32"/>
          <w:highlight w:val="none"/>
          <w:lang w:eastAsia="zh-CN" w:bidi="ar"/>
        </w:rPr>
        <w:t>关于治安保卫的特别约定：</w:t>
      </w:r>
      <w:r>
        <w:rPr>
          <w:rFonts w:ascii="Times New Roman" w:hAnsi="Times New Roman" w:eastAsia="仿宋_GB2312" w:cs="Times New Roman"/>
          <w:color w:val="auto"/>
          <w:kern w:val="2"/>
          <w:sz w:val="30"/>
          <w:szCs w:val="32"/>
          <w:highlight w:val="none"/>
          <w:u w:val="single"/>
          <w:lang w:eastAsia="zh-CN" w:bidi="ar"/>
        </w:rPr>
        <w:t xml:space="preserve">                         </w:t>
      </w:r>
    </w:p>
    <w:p w14:paraId="24ED234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71B50F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关于编制施工场地治安管理计划的约定：</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br w:type="textWrapping"/>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7B3140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6.1.5 </w:t>
      </w:r>
      <w:r>
        <w:rPr>
          <w:rFonts w:hint="eastAsia" w:ascii="Times New Roman" w:hAnsi="Times New Roman" w:eastAsia="仿宋_GB2312" w:cs="仿宋_GB2312"/>
          <w:color w:val="auto"/>
          <w:kern w:val="2"/>
          <w:sz w:val="30"/>
          <w:szCs w:val="32"/>
          <w:highlight w:val="none"/>
          <w:lang w:eastAsia="zh-CN" w:bidi="ar"/>
        </w:rPr>
        <w:t>文明施工</w:t>
      </w:r>
    </w:p>
    <w:p w14:paraId="6CB423D9">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合同当事人对文明施工的要求：</w:t>
      </w:r>
      <w:r>
        <w:rPr>
          <w:rFonts w:ascii="Times New Roman" w:hAnsi="Times New Roman" w:eastAsia="仿宋_GB2312" w:cs="Times New Roman"/>
          <w:color w:val="auto"/>
          <w:kern w:val="2"/>
          <w:sz w:val="30"/>
          <w:szCs w:val="32"/>
          <w:highlight w:val="none"/>
          <w:u w:val="single"/>
          <w:lang w:eastAsia="zh-CN" w:bidi="ar"/>
        </w:rPr>
        <w:t xml:space="preserve">                          </w:t>
      </w:r>
    </w:p>
    <w:p w14:paraId="250994A1">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8C280F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6.1.6 </w:t>
      </w:r>
      <w:r>
        <w:rPr>
          <w:rFonts w:hint="eastAsia" w:ascii="Times New Roman" w:hAnsi="Times New Roman" w:eastAsia="仿宋_GB2312" w:cs="仿宋_GB2312"/>
          <w:color w:val="auto"/>
          <w:kern w:val="2"/>
          <w:sz w:val="30"/>
          <w:szCs w:val="32"/>
          <w:highlight w:val="none"/>
          <w:lang w:eastAsia="zh-CN" w:bidi="ar"/>
        </w:rPr>
        <w:t>关于安全文明施工费支付比例和支付期限的约定：</w:t>
      </w:r>
      <w:r>
        <w:rPr>
          <w:rFonts w:ascii="Times New Roman" w:hAnsi="Times New Roman" w:eastAsia="仿宋_GB2312" w:cs="Times New Roman"/>
          <w:color w:val="auto"/>
          <w:kern w:val="2"/>
          <w:sz w:val="30"/>
          <w:szCs w:val="32"/>
          <w:highlight w:val="none"/>
          <w:u w:val="single"/>
          <w:lang w:eastAsia="zh-CN" w:bidi="ar"/>
        </w:rPr>
        <w:t xml:space="preserve">     </w:t>
      </w:r>
    </w:p>
    <w:p w14:paraId="2906BC10">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817"/>
    <w:bookmarkEnd w:id="818"/>
    <w:bookmarkEnd w:id="819"/>
    <w:bookmarkEnd w:id="820"/>
    <w:bookmarkEnd w:id="821"/>
    <w:bookmarkEnd w:id="822"/>
    <w:bookmarkEnd w:id="823"/>
    <w:p w14:paraId="5C189E64">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827" w:name="_Toc163768583"/>
      <w:bookmarkStart w:id="828" w:name="_Toc351203639"/>
      <w:bookmarkStart w:id="829" w:name="_Toc163768465"/>
      <w:r>
        <w:rPr>
          <w:rFonts w:ascii="Times New Roman" w:hAnsi="Times New Roman" w:eastAsia="黑体" w:cs="Times New Roman"/>
          <w:b/>
          <w:bCs/>
          <w:color w:val="auto"/>
          <w:sz w:val="32"/>
          <w:szCs w:val="32"/>
          <w:highlight w:val="none"/>
          <w:lang w:val="en-US" w:eastAsia="zh-CN" w:bidi="en-US"/>
        </w:rPr>
        <w:t xml:space="preserve">7. </w:t>
      </w:r>
      <w:r>
        <w:rPr>
          <w:rFonts w:hint="eastAsia" w:ascii="Times New Roman" w:hAnsi="Times New Roman" w:eastAsia="黑体" w:cs="Times New Roman"/>
          <w:b/>
          <w:bCs/>
          <w:color w:val="auto"/>
          <w:sz w:val="32"/>
          <w:szCs w:val="32"/>
          <w:highlight w:val="none"/>
          <w:lang w:val="en-US" w:eastAsia="zh-CN" w:bidi="en-US"/>
        </w:rPr>
        <w:t>工期和进度</w:t>
      </w:r>
      <w:bookmarkEnd w:id="827"/>
      <w:bookmarkEnd w:id="828"/>
      <w:bookmarkEnd w:id="829"/>
    </w:p>
    <w:p w14:paraId="485F89BF">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7.1 </w:t>
      </w:r>
      <w:r>
        <w:rPr>
          <w:rFonts w:hint="eastAsia" w:ascii="Times New Roman" w:hAnsi="Times New Roman" w:eastAsia="黑体" w:cs="黑体"/>
          <w:color w:val="auto"/>
          <w:kern w:val="2"/>
          <w:sz w:val="30"/>
          <w:szCs w:val="32"/>
          <w:highlight w:val="none"/>
          <w:lang w:eastAsia="zh-CN" w:bidi="ar"/>
        </w:rPr>
        <w:t>施工组织设计</w:t>
      </w:r>
    </w:p>
    <w:p w14:paraId="718A8AA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 xml:space="preserve">7.1.1 </w:t>
      </w:r>
      <w:r>
        <w:rPr>
          <w:rFonts w:hint="eastAsia" w:ascii="Times New Roman" w:hAnsi="Times New Roman" w:eastAsia="仿宋_GB2312" w:cs="仿宋_GB2312"/>
          <w:color w:val="auto"/>
          <w:kern w:val="2"/>
          <w:sz w:val="30"/>
          <w:szCs w:val="32"/>
          <w:highlight w:val="none"/>
          <w:lang w:eastAsia="zh-CN" w:bidi="ar"/>
        </w:rPr>
        <w:t>合</w:t>
      </w:r>
      <w:r>
        <w:rPr>
          <w:rFonts w:hint="eastAsia" w:ascii="Times New Roman" w:hAnsi="Times New Roman" w:eastAsia="仿宋_GB2312" w:cs="仿宋_GB2312"/>
          <w:color w:val="auto"/>
          <w:kern w:val="0"/>
          <w:sz w:val="30"/>
          <w:szCs w:val="32"/>
          <w:highlight w:val="none"/>
          <w:lang w:eastAsia="zh-CN" w:bidi="ar"/>
        </w:rPr>
        <w:t>同当事人约定的施工组织设计应包括的其他内容：</w:t>
      </w:r>
      <w:r>
        <w:rPr>
          <w:rFonts w:ascii="Times New Roman" w:hAnsi="Times New Roman" w:eastAsia="仿宋_GB2312" w:cs="Times New Roman"/>
          <w:color w:val="auto"/>
          <w:kern w:val="2"/>
          <w:sz w:val="30"/>
          <w:szCs w:val="32"/>
          <w:highlight w:val="none"/>
          <w:u w:val="single"/>
          <w:lang w:eastAsia="zh-CN" w:bidi="ar"/>
        </w:rPr>
        <w:t xml:space="preserve">   </w:t>
      </w:r>
    </w:p>
    <w:p w14:paraId="64D85DF3">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5CB447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7.1.2 </w:t>
      </w:r>
      <w:r>
        <w:rPr>
          <w:rFonts w:hint="eastAsia" w:ascii="Times New Roman" w:hAnsi="Times New Roman" w:eastAsia="仿宋_GB2312" w:cs="仿宋_GB2312"/>
          <w:color w:val="auto"/>
          <w:kern w:val="0"/>
          <w:sz w:val="30"/>
          <w:szCs w:val="32"/>
          <w:highlight w:val="none"/>
          <w:lang w:eastAsia="zh-CN" w:bidi="ar"/>
        </w:rPr>
        <w:t>施工组织设计的提交和修改</w:t>
      </w:r>
    </w:p>
    <w:p w14:paraId="0A7E4423">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承包人提交详细施工组织设计的期限的约定：</w:t>
      </w:r>
      <w:r>
        <w:rPr>
          <w:rFonts w:ascii="Times New Roman" w:hAnsi="Times New Roman" w:eastAsia="仿宋_GB2312" w:cs="Times New Roman"/>
          <w:color w:val="auto"/>
          <w:kern w:val="2"/>
          <w:sz w:val="30"/>
          <w:szCs w:val="32"/>
          <w:highlight w:val="none"/>
          <w:u w:val="single"/>
          <w:lang w:eastAsia="zh-CN" w:bidi="ar"/>
        </w:rPr>
        <w:t xml:space="preserve">              </w:t>
      </w:r>
    </w:p>
    <w:p w14:paraId="01573CBB">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118F7A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发包人和监理人在收到详细的施工组织设计后确认或提出修改意见的期限：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1996CA8">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7</w:t>
      </w:r>
      <w:bookmarkStart w:id="830" w:name="_Toc297123514"/>
      <w:bookmarkStart w:id="831" w:name="_Toc297216173"/>
      <w:bookmarkStart w:id="832" w:name="_Toc312677479"/>
      <w:bookmarkStart w:id="833" w:name="_Toc304295541"/>
      <w:bookmarkStart w:id="834" w:name="_Toc312678005"/>
      <w:bookmarkStart w:id="835" w:name="_Toc300934966"/>
      <w:bookmarkStart w:id="836" w:name="_Toc303539123"/>
      <w:r>
        <w:rPr>
          <w:rFonts w:ascii="Times New Roman" w:hAnsi="Times New Roman" w:eastAsia="黑体" w:cs="Times New Roman"/>
          <w:color w:val="auto"/>
          <w:kern w:val="2"/>
          <w:sz w:val="30"/>
          <w:szCs w:val="32"/>
          <w:highlight w:val="none"/>
          <w:lang w:eastAsia="zh-CN" w:bidi="ar"/>
        </w:rPr>
        <w:t xml:space="preserve">.2 </w:t>
      </w:r>
      <w:r>
        <w:rPr>
          <w:rFonts w:hint="eastAsia" w:ascii="Times New Roman" w:hAnsi="Times New Roman" w:eastAsia="黑体" w:cs="黑体"/>
          <w:color w:val="auto"/>
          <w:kern w:val="2"/>
          <w:sz w:val="30"/>
          <w:szCs w:val="32"/>
          <w:highlight w:val="none"/>
          <w:lang w:eastAsia="zh-CN" w:bidi="ar"/>
        </w:rPr>
        <w:t>施工进度计划</w:t>
      </w:r>
    </w:p>
    <w:p w14:paraId="0E1A9FF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7.2.2 </w:t>
      </w:r>
      <w:r>
        <w:rPr>
          <w:rFonts w:hint="eastAsia" w:ascii="Times New Roman" w:hAnsi="Times New Roman" w:eastAsia="仿宋_GB2312" w:cs="仿宋_GB2312"/>
          <w:color w:val="auto"/>
          <w:kern w:val="2"/>
          <w:sz w:val="30"/>
          <w:szCs w:val="32"/>
          <w:highlight w:val="none"/>
          <w:lang w:eastAsia="zh-CN" w:bidi="ar"/>
        </w:rPr>
        <w:t>施工进度计划的修订</w:t>
      </w:r>
    </w:p>
    <w:p w14:paraId="521A8DD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发包人和监理人在收到修订的施工进度计划后确认或提出修改意见的期限：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CDD04BF">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7.3 </w:t>
      </w:r>
      <w:r>
        <w:rPr>
          <w:rFonts w:hint="eastAsia" w:ascii="Times New Roman" w:hAnsi="Times New Roman" w:eastAsia="黑体" w:cs="黑体"/>
          <w:color w:val="auto"/>
          <w:kern w:val="2"/>
          <w:sz w:val="30"/>
          <w:szCs w:val="32"/>
          <w:highlight w:val="none"/>
          <w:lang w:eastAsia="zh-CN" w:bidi="ar"/>
        </w:rPr>
        <w:t>开工</w:t>
      </w:r>
    </w:p>
    <w:p w14:paraId="031853D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7.3.1 </w:t>
      </w:r>
      <w:r>
        <w:rPr>
          <w:rFonts w:hint="eastAsia" w:ascii="Times New Roman" w:hAnsi="Times New Roman" w:eastAsia="仿宋_GB2312" w:cs="仿宋_GB2312"/>
          <w:color w:val="auto"/>
          <w:kern w:val="2"/>
          <w:sz w:val="30"/>
          <w:szCs w:val="32"/>
          <w:highlight w:val="none"/>
          <w:lang w:eastAsia="zh-CN" w:bidi="ar"/>
        </w:rPr>
        <w:t>开工准备</w:t>
      </w:r>
    </w:p>
    <w:p w14:paraId="796F320A">
      <w:pPr>
        <w:shd w:val="clear"/>
        <w:spacing w:line="360" w:lineRule="auto"/>
        <w:ind w:firstLine="645"/>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关于承包人提交</w:t>
      </w:r>
      <w:r>
        <w:rPr>
          <w:rFonts w:hint="eastAsia" w:ascii="Times New Roman" w:hAnsi="Times New Roman" w:eastAsia="仿宋_GB2312" w:cs="仿宋_GB2312"/>
          <w:color w:val="auto"/>
          <w:kern w:val="0"/>
          <w:sz w:val="30"/>
          <w:szCs w:val="32"/>
          <w:highlight w:val="none"/>
          <w:lang w:eastAsia="zh-CN" w:bidi="ar"/>
        </w:rPr>
        <w:t>工程开工报审表的期限：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075D053">
      <w:pPr>
        <w:shd w:val="clear"/>
        <w:spacing w:line="360" w:lineRule="auto"/>
        <w:ind w:firstLine="645"/>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关于发包人应完成的其他开工准备工作及期限：</w:t>
      </w:r>
      <w:r>
        <w:rPr>
          <w:rFonts w:ascii="Times New Roman" w:hAnsi="Times New Roman" w:eastAsia="仿宋_GB2312" w:cs="Times New Roman"/>
          <w:color w:val="auto"/>
          <w:kern w:val="2"/>
          <w:sz w:val="30"/>
          <w:szCs w:val="32"/>
          <w:highlight w:val="none"/>
          <w:u w:val="single"/>
          <w:lang w:eastAsia="zh-CN" w:bidi="ar"/>
        </w:rPr>
        <w:t xml:space="preserve">             </w:t>
      </w:r>
    </w:p>
    <w:p w14:paraId="2EFAD467">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1FE2F42">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关于承包人应完成的其他开工准备工作及期限：</w:t>
      </w:r>
      <w:r>
        <w:rPr>
          <w:rFonts w:ascii="Times New Roman" w:hAnsi="Times New Roman" w:eastAsia="仿宋_GB2312" w:cs="Times New Roman"/>
          <w:color w:val="auto"/>
          <w:kern w:val="2"/>
          <w:sz w:val="30"/>
          <w:szCs w:val="32"/>
          <w:highlight w:val="none"/>
          <w:u w:val="single"/>
          <w:lang w:eastAsia="zh-CN" w:bidi="ar"/>
        </w:rPr>
        <w:t xml:space="preserve">            </w:t>
      </w:r>
    </w:p>
    <w:p w14:paraId="1921EF2B">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0C13CA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7.3.2</w:t>
      </w:r>
      <w:r>
        <w:rPr>
          <w:rFonts w:hint="eastAsia" w:ascii="Times New Roman" w:hAnsi="Times New Roman" w:eastAsia="仿宋_GB2312" w:cs="仿宋_GB2312"/>
          <w:color w:val="auto"/>
          <w:kern w:val="2"/>
          <w:sz w:val="30"/>
          <w:szCs w:val="32"/>
          <w:highlight w:val="none"/>
          <w:lang w:eastAsia="zh-CN" w:bidi="ar"/>
        </w:rPr>
        <w:t>开工通知</w:t>
      </w:r>
    </w:p>
    <w:p w14:paraId="7DA5C6D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因发包人原因造成监理人未能在计划开工日期之日起</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天内发出开工通知的，承包人有权提出价格调整要求，或者解除合同。</w:t>
      </w:r>
    </w:p>
    <w:bookmarkEnd w:id="830"/>
    <w:bookmarkEnd w:id="831"/>
    <w:bookmarkEnd w:id="832"/>
    <w:bookmarkEnd w:id="833"/>
    <w:bookmarkEnd w:id="834"/>
    <w:bookmarkEnd w:id="835"/>
    <w:bookmarkEnd w:id="836"/>
    <w:p w14:paraId="74C6FF63">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7.4 </w:t>
      </w:r>
      <w:r>
        <w:rPr>
          <w:rFonts w:hint="eastAsia" w:ascii="Times New Roman" w:hAnsi="Times New Roman" w:eastAsia="黑体" w:cs="黑体"/>
          <w:color w:val="auto"/>
          <w:kern w:val="2"/>
          <w:sz w:val="30"/>
          <w:szCs w:val="32"/>
          <w:highlight w:val="none"/>
          <w:lang w:eastAsia="zh-CN" w:bidi="ar"/>
        </w:rPr>
        <w:t>测量放线</w:t>
      </w:r>
    </w:p>
    <w:p w14:paraId="7FD016F4">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7.4.1</w:t>
      </w:r>
      <w:r>
        <w:rPr>
          <w:rFonts w:hint="eastAsia" w:ascii="Times New Roman" w:hAnsi="Times New Roman" w:eastAsia="仿宋_GB2312" w:cs="仿宋_GB2312"/>
          <w:color w:val="auto"/>
          <w:kern w:val="2"/>
          <w:sz w:val="30"/>
          <w:szCs w:val="32"/>
          <w:highlight w:val="none"/>
          <w:lang w:eastAsia="zh-CN" w:bidi="ar"/>
        </w:rPr>
        <w:t>发包人通过监理人向承包人提供测量基准点、基准线和水准点及其书面资料的期限：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1F6A16A">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7</w:t>
      </w:r>
      <w:bookmarkStart w:id="837" w:name="_Toc312678010"/>
      <w:bookmarkStart w:id="838" w:name="_Toc300934968"/>
      <w:bookmarkStart w:id="839" w:name="_Toc303539125"/>
      <w:bookmarkStart w:id="840" w:name="_Toc297123516"/>
      <w:bookmarkStart w:id="841" w:name="_Toc297216175"/>
      <w:bookmarkStart w:id="842" w:name="_Toc304295546"/>
      <w:bookmarkStart w:id="843" w:name="_Toc312677484"/>
      <w:r>
        <w:rPr>
          <w:rFonts w:ascii="Times New Roman" w:hAnsi="Times New Roman" w:eastAsia="黑体" w:cs="Times New Roman"/>
          <w:color w:val="auto"/>
          <w:kern w:val="2"/>
          <w:sz w:val="30"/>
          <w:szCs w:val="32"/>
          <w:highlight w:val="none"/>
          <w:lang w:eastAsia="zh-CN" w:bidi="ar"/>
        </w:rPr>
        <w:t xml:space="preserve">.5 </w:t>
      </w:r>
      <w:r>
        <w:rPr>
          <w:rFonts w:hint="eastAsia" w:ascii="Times New Roman" w:hAnsi="Times New Roman" w:eastAsia="黑体" w:cs="黑体"/>
          <w:color w:val="auto"/>
          <w:kern w:val="2"/>
          <w:sz w:val="30"/>
          <w:szCs w:val="32"/>
          <w:highlight w:val="none"/>
          <w:lang w:eastAsia="zh-CN" w:bidi="ar"/>
        </w:rPr>
        <w:t>工期延误</w:t>
      </w:r>
    </w:p>
    <w:bookmarkEnd w:id="837"/>
    <w:bookmarkEnd w:id="838"/>
    <w:bookmarkEnd w:id="839"/>
    <w:bookmarkEnd w:id="840"/>
    <w:bookmarkEnd w:id="841"/>
    <w:bookmarkEnd w:id="842"/>
    <w:bookmarkEnd w:id="843"/>
    <w:p w14:paraId="34C6E28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7.5.1 </w:t>
      </w:r>
      <w:r>
        <w:rPr>
          <w:rFonts w:hint="eastAsia" w:ascii="Times New Roman" w:hAnsi="Times New Roman" w:eastAsia="仿宋_GB2312" w:cs="仿宋_GB2312"/>
          <w:color w:val="auto"/>
          <w:kern w:val="2"/>
          <w:sz w:val="30"/>
          <w:szCs w:val="32"/>
          <w:highlight w:val="none"/>
          <w:lang w:eastAsia="zh-CN" w:bidi="ar"/>
        </w:rPr>
        <w:t>因发包人原因导致工期延误</w:t>
      </w:r>
    </w:p>
    <w:p w14:paraId="3FB53C0F">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7</w:t>
      </w:r>
      <w:r>
        <w:rPr>
          <w:rFonts w:hint="eastAsia" w:ascii="Times New Roman" w:hAnsi="Times New Roman" w:eastAsia="仿宋_GB2312" w:cs="仿宋_GB2312"/>
          <w:color w:val="auto"/>
          <w:kern w:val="2"/>
          <w:sz w:val="30"/>
          <w:szCs w:val="32"/>
          <w:highlight w:val="none"/>
          <w:lang w:eastAsia="zh-CN" w:bidi="ar"/>
        </w:rPr>
        <w:t>）因发包人原因导致工期延误的其他情形：</w:t>
      </w:r>
      <w:r>
        <w:rPr>
          <w:rFonts w:ascii="Times New Roman" w:hAnsi="Times New Roman" w:eastAsia="仿宋_GB2312" w:cs="Times New Roman"/>
          <w:color w:val="auto"/>
          <w:kern w:val="2"/>
          <w:sz w:val="30"/>
          <w:szCs w:val="32"/>
          <w:highlight w:val="none"/>
          <w:u w:val="single"/>
          <w:lang w:eastAsia="zh-CN" w:bidi="ar"/>
        </w:rPr>
        <w:t xml:space="preserve">              </w:t>
      </w:r>
    </w:p>
    <w:p w14:paraId="554D3B0A">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486800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7</w:t>
      </w:r>
      <w:bookmarkStart w:id="844" w:name="_Toc312678012"/>
      <w:bookmarkStart w:id="845" w:name="_Toc318581169"/>
      <w:bookmarkStart w:id="846" w:name="_Toc312677486"/>
      <w:bookmarkStart w:id="847" w:name="_Toc297123518"/>
      <w:bookmarkStart w:id="848" w:name="_Toc304295548"/>
      <w:bookmarkStart w:id="849" w:name="_Toc300934970"/>
      <w:bookmarkStart w:id="850" w:name="_Toc303539127"/>
      <w:bookmarkStart w:id="851" w:name="_Toc297216177"/>
      <w:r>
        <w:rPr>
          <w:rFonts w:ascii="Times New Roman" w:hAnsi="Times New Roman" w:eastAsia="仿宋_GB2312" w:cs="Times New Roman"/>
          <w:color w:val="auto"/>
          <w:kern w:val="2"/>
          <w:sz w:val="30"/>
          <w:szCs w:val="32"/>
          <w:highlight w:val="none"/>
          <w:lang w:eastAsia="zh-CN" w:bidi="ar"/>
        </w:rPr>
        <w:t xml:space="preserve">.5.2 </w:t>
      </w:r>
      <w:r>
        <w:rPr>
          <w:rFonts w:hint="eastAsia" w:ascii="Times New Roman" w:hAnsi="Times New Roman" w:eastAsia="仿宋_GB2312" w:cs="仿宋_GB2312"/>
          <w:color w:val="auto"/>
          <w:kern w:val="2"/>
          <w:sz w:val="30"/>
          <w:szCs w:val="32"/>
          <w:highlight w:val="none"/>
          <w:lang w:eastAsia="zh-CN" w:bidi="ar"/>
        </w:rPr>
        <w:t>因承包人原因导致工期延误</w:t>
      </w:r>
    </w:p>
    <w:bookmarkEnd w:id="844"/>
    <w:bookmarkEnd w:id="845"/>
    <w:bookmarkEnd w:id="846"/>
    <w:p w14:paraId="7D773B64">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因</w:t>
      </w:r>
      <w:bookmarkStart w:id="852" w:name="_Toc312678013"/>
      <w:bookmarkStart w:id="853" w:name="_Toc312677487"/>
      <w:bookmarkStart w:id="854" w:name="_Toc318581170"/>
      <w:r>
        <w:rPr>
          <w:rFonts w:hint="eastAsia" w:ascii="Times New Roman" w:hAnsi="Times New Roman" w:eastAsia="仿宋_GB2312" w:cs="仿宋_GB2312"/>
          <w:color w:val="auto"/>
          <w:kern w:val="2"/>
          <w:sz w:val="30"/>
          <w:szCs w:val="32"/>
          <w:highlight w:val="none"/>
          <w:lang w:eastAsia="zh-CN" w:bidi="ar"/>
        </w:rPr>
        <w:t>承包人原因造成工期延误，逾期竣工违约金的计算方法为：</w:t>
      </w:r>
    </w:p>
    <w:p w14:paraId="203D35E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bookmarkEnd w:id="847"/>
      <w:bookmarkEnd w:id="848"/>
      <w:bookmarkEnd w:id="849"/>
      <w:bookmarkEnd w:id="850"/>
      <w:bookmarkEnd w:id="851"/>
      <w:bookmarkEnd w:id="852"/>
      <w:bookmarkEnd w:id="853"/>
    </w:p>
    <w:bookmarkEnd w:id="854"/>
    <w:p w14:paraId="35C94C9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因承包人原因造成工期延误，逾</w:t>
      </w:r>
      <w:bookmarkStart w:id="855" w:name="_Toc318581171"/>
      <w:bookmarkStart w:id="856" w:name="_Toc312678014"/>
      <w:r>
        <w:rPr>
          <w:rFonts w:hint="eastAsia" w:ascii="Times New Roman" w:hAnsi="Times New Roman" w:eastAsia="仿宋_GB2312" w:cs="仿宋_GB2312"/>
          <w:color w:val="auto"/>
          <w:kern w:val="2"/>
          <w:sz w:val="30"/>
          <w:szCs w:val="32"/>
          <w:highlight w:val="none"/>
          <w:lang w:eastAsia="zh-CN" w:bidi="ar"/>
        </w:rPr>
        <w:t>期竣工违约金的上限：</w:t>
      </w:r>
      <w:r>
        <w:rPr>
          <w:rFonts w:ascii="Times New Roman" w:hAnsi="Times New Roman" w:eastAsia="仿宋_GB2312" w:cs="Times New Roman"/>
          <w:color w:val="auto"/>
          <w:kern w:val="2"/>
          <w:sz w:val="30"/>
          <w:szCs w:val="32"/>
          <w:highlight w:val="none"/>
          <w:u w:val="single"/>
          <w:lang w:eastAsia="zh-CN" w:bidi="ar"/>
        </w:rPr>
        <w:t xml:space="preserve">       </w:t>
      </w:r>
    </w:p>
    <w:p w14:paraId="7EE5419A">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855"/>
    <w:bookmarkEnd w:id="856"/>
    <w:p w14:paraId="5B5B60F0">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7</w:t>
      </w:r>
      <w:bookmarkStart w:id="857" w:name="_Toc312678015"/>
      <w:bookmarkStart w:id="858" w:name="_Toc297123519"/>
      <w:bookmarkStart w:id="859" w:name="_Toc297216178"/>
      <w:bookmarkStart w:id="860" w:name="_Toc304295549"/>
      <w:bookmarkStart w:id="861" w:name="_Toc300934971"/>
      <w:bookmarkStart w:id="862" w:name="_Toc303539128"/>
      <w:r>
        <w:rPr>
          <w:rFonts w:ascii="Times New Roman" w:hAnsi="Times New Roman" w:eastAsia="黑体" w:cs="Times New Roman"/>
          <w:color w:val="auto"/>
          <w:kern w:val="2"/>
          <w:sz w:val="30"/>
          <w:szCs w:val="32"/>
          <w:highlight w:val="none"/>
          <w:lang w:eastAsia="zh-CN" w:bidi="ar"/>
        </w:rPr>
        <w:t xml:space="preserve">.6 </w:t>
      </w:r>
      <w:r>
        <w:rPr>
          <w:rFonts w:hint="eastAsia" w:ascii="Times New Roman" w:hAnsi="Times New Roman" w:eastAsia="黑体" w:cs="黑体"/>
          <w:color w:val="auto"/>
          <w:kern w:val="2"/>
          <w:sz w:val="30"/>
          <w:szCs w:val="32"/>
          <w:highlight w:val="none"/>
          <w:lang w:eastAsia="zh-CN" w:bidi="ar"/>
        </w:rPr>
        <w:t>不</w:t>
      </w:r>
      <w:bookmarkEnd w:id="857"/>
      <w:bookmarkEnd w:id="858"/>
      <w:bookmarkEnd w:id="859"/>
      <w:bookmarkEnd w:id="860"/>
      <w:bookmarkEnd w:id="861"/>
      <w:bookmarkEnd w:id="862"/>
      <w:r>
        <w:rPr>
          <w:rFonts w:hint="eastAsia" w:ascii="Times New Roman" w:hAnsi="Times New Roman" w:eastAsia="黑体" w:cs="黑体"/>
          <w:color w:val="auto"/>
          <w:kern w:val="2"/>
          <w:sz w:val="30"/>
          <w:szCs w:val="32"/>
          <w:highlight w:val="none"/>
          <w:lang w:eastAsia="zh-CN" w:bidi="ar"/>
        </w:rPr>
        <w:t>利物质条件</w:t>
      </w:r>
    </w:p>
    <w:p w14:paraId="24BE8E3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bookmarkStart w:id="863" w:name="_Toc300934972"/>
      <w:bookmarkStart w:id="864" w:name="_Toc318581172"/>
      <w:bookmarkStart w:id="865" w:name="_Toc303539129"/>
      <w:bookmarkStart w:id="866" w:name="_Toc297216179"/>
      <w:bookmarkStart w:id="867" w:name="_Toc304295550"/>
      <w:bookmarkStart w:id="868" w:name="_Toc297123520"/>
      <w:bookmarkStart w:id="869" w:name="_Toc312678016"/>
      <w:r>
        <w:rPr>
          <w:rFonts w:hint="eastAsia" w:ascii="Times New Roman" w:hAnsi="Times New Roman" w:eastAsia="仿宋_GB2312" w:cs="仿宋_GB2312"/>
          <w:color w:val="auto"/>
          <w:kern w:val="2"/>
          <w:sz w:val="30"/>
          <w:szCs w:val="32"/>
          <w:highlight w:val="none"/>
          <w:lang w:eastAsia="zh-CN" w:bidi="ar"/>
        </w:rPr>
        <w:t>不利物质条件的其他情形和有关约定：</w:t>
      </w:r>
      <w:r>
        <w:rPr>
          <w:rFonts w:ascii="Times New Roman" w:hAnsi="Times New Roman" w:eastAsia="仿宋_GB2312" w:cs="Times New Roman"/>
          <w:color w:val="auto"/>
          <w:kern w:val="2"/>
          <w:sz w:val="30"/>
          <w:szCs w:val="32"/>
          <w:highlight w:val="none"/>
          <w:u w:val="single"/>
          <w:lang w:eastAsia="zh-CN" w:bidi="ar"/>
        </w:rPr>
        <w:t xml:space="preserve">                    </w:t>
      </w:r>
    </w:p>
    <w:p w14:paraId="69CECCED">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863"/>
    <w:bookmarkEnd w:id="864"/>
    <w:bookmarkEnd w:id="865"/>
    <w:bookmarkEnd w:id="866"/>
    <w:bookmarkEnd w:id="867"/>
    <w:bookmarkEnd w:id="868"/>
    <w:bookmarkEnd w:id="869"/>
    <w:p w14:paraId="1D26267B">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7</w:t>
      </w:r>
      <w:bookmarkStart w:id="870" w:name="_Toc297216180"/>
      <w:bookmarkStart w:id="871" w:name="_Toc304295551"/>
      <w:bookmarkStart w:id="872" w:name="_Toc300934973"/>
      <w:bookmarkStart w:id="873" w:name="_Toc297123521"/>
      <w:bookmarkStart w:id="874" w:name="_Toc312678017"/>
      <w:bookmarkStart w:id="875" w:name="_Toc303539130"/>
      <w:r>
        <w:rPr>
          <w:rFonts w:ascii="Times New Roman" w:hAnsi="Times New Roman" w:eastAsia="黑体" w:cs="Times New Roman"/>
          <w:color w:val="auto"/>
          <w:kern w:val="2"/>
          <w:sz w:val="30"/>
          <w:szCs w:val="32"/>
          <w:highlight w:val="none"/>
          <w:lang w:eastAsia="zh-CN" w:bidi="ar"/>
        </w:rPr>
        <w:t>.7</w:t>
      </w:r>
      <w:r>
        <w:rPr>
          <w:rFonts w:hint="eastAsia" w:ascii="Times New Roman" w:hAnsi="Times New Roman" w:eastAsia="黑体" w:cs="黑体"/>
          <w:color w:val="auto"/>
          <w:kern w:val="2"/>
          <w:sz w:val="30"/>
          <w:szCs w:val="32"/>
          <w:highlight w:val="none"/>
          <w:lang w:eastAsia="zh-CN" w:bidi="ar"/>
        </w:rPr>
        <w:t>异常恶劣的气候条件</w:t>
      </w:r>
    </w:p>
    <w:bookmarkEnd w:id="870"/>
    <w:bookmarkEnd w:id="871"/>
    <w:bookmarkEnd w:id="872"/>
    <w:bookmarkEnd w:id="873"/>
    <w:bookmarkEnd w:id="874"/>
    <w:bookmarkEnd w:id="875"/>
    <w:p w14:paraId="1D5AA01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发包人和承包人同意以下情形视为异常恶劣的气候条件：</w:t>
      </w:r>
    </w:p>
    <w:p w14:paraId="1B3C064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FCC3DD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C5CA6F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183237D">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7.9 </w:t>
      </w:r>
      <w:r>
        <w:rPr>
          <w:rFonts w:hint="eastAsia" w:ascii="Times New Roman" w:hAnsi="Times New Roman" w:eastAsia="黑体" w:cs="黑体"/>
          <w:color w:val="auto"/>
          <w:kern w:val="2"/>
          <w:sz w:val="30"/>
          <w:szCs w:val="32"/>
          <w:highlight w:val="none"/>
          <w:lang w:eastAsia="zh-CN" w:bidi="ar"/>
        </w:rPr>
        <w:t>提前竣工的奖励</w:t>
      </w:r>
    </w:p>
    <w:p w14:paraId="7D64BDC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7.9.2</w:t>
      </w:r>
      <w:r>
        <w:rPr>
          <w:rFonts w:hint="eastAsia" w:ascii="Times New Roman" w:hAnsi="Times New Roman" w:eastAsia="仿宋_GB2312" w:cs="仿宋_GB2312"/>
          <w:color w:val="auto"/>
          <w:kern w:val="2"/>
          <w:sz w:val="30"/>
          <w:szCs w:val="32"/>
          <w:highlight w:val="none"/>
          <w:lang w:eastAsia="zh-CN" w:bidi="ar"/>
        </w:rPr>
        <w:t>提前竣工的奖励：</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7539A73">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876" w:name="_Toc163768584"/>
      <w:bookmarkStart w:id="877" w:name="_Toc163768466"/>
      <w:bookmarkStart w:id="878" w:name="_Toc351203640"/>
      <w:r>
        <w:rPr>
          <w:rFonts w:ascii="Times New Roman" w:hAnsi="Times New Roman" w:eastAsia="黑体" w:cs="Times New Roman"/>
          <w:b/>
          <w:bCs/>
          <w:color w:val="auto"/>
          <w:sz w:val="32"/>
          <w:szCs w:val="32"/>
          <w:highlight w:val="none"/>
          <w:lang w:val="en-US" w:eastAsia="zh-CN" w:bidi="en-US"/>
        </w:rPr>
        <w:t xml:space="preserve">8. </w:t>
      </w:r>
      <w:r>
        <w:rPr>
          <w:rFonts w:hint="eastAsia" w:ascii="Times New Roman" w:hAnsi="Times New Roman" w:eastAsia="黑体" w:cs="Times New Roman"/>
          <w:b/>
          <w:bCs/>
          <w:color w:val="auto"/>
          <w:sz w:val="32"/>
          <w:szCs w:val="32"/>
          <w:highlight w:val="none"/>
          <w:lang w:val="en-US" w:eastAsia="zh-CN" w:bidi="en-US"/>
        </w:rPr>
        <w:t>材料与设备</w:t>
      </w:r>
      <w:bookmarkEnd w:id="876"/>
      <w:bookmarkEnd w:id="877"/>
      <w:bookmarkEnd w:id="878"/>
    </w:p>
    <w:bookmarkEnd w:id="807"/>
    <w:bookmarkEnd w:id="808"/>
    <w:bookmarkEnd w:id="809"/>
    <w:bookmarkEnd w:id="810"/>
    <w:bookmarkEnd w:id="811"/>
    <w:bookmarkEnd w:id="812"/>
    <w:bookmarkEnd w:id="813"/>
    <w:bookmarkEnd w:id="814"/>
    <w:bookmarkEnd w:id="815"/>
    <w:bookmarkEnd w:id="816"/>
    <w:p w14:paraId="6727991C">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8</w:t>
      </w:r>
      <w:bookmarkStart w:id="879" w:name="_Toc280868654"/>
      <w:bookmarkStart w:id="880" w:name="_Toc296347166"/>
      <w:bookmarkStart w:id="881" w:name="_Toc296944506"/>
      <w:bookmarkStart w:id="882" w:name="_Toc300934979"/>
      <w:bookmarkStart w:id="883" w:name="_Toc312678019"/>
      <w:bookmarkStart w:id="884" w:name="_Toc296503167"/>
      <w:bookmarkStart w:id="885" w:name="_Toc297120467"/>
      <w:bookmarkStart w:id="886" w:name="_Toc292559372"/>
      <w:bookmarkStart w:id="887" w:name="_Toc292559877"/>
      <w:bookmarkStart w:id="888" w:name="_Toc297216186"/>
      <w:bookmarkStart w:id="889" w:name="_Toc297048353"/>
      <w:bookmarkStart w:id="890" w:name="_Toc312677493"/>
      <w:bookmarkStart w:id="891" w:name="_Toc297123527"/>
      <w:bookmarkStart w:id="892" w:name="_Toc296346668"/>
      <w:bookmarkStart w:id="893" w:name="_Toc304295556"/>
      <w:bookmarkStart w:id="894" w:name="_Toc303539136"/>
      <w:bookmarkStart w:id="895" w:name="_Toc296891207"/>
      <w:bookmarkStart w:id="896" w:name="_Toc296890995"/>
      <w:bookmarkStart w:id="897" w:name="_Toc280868656"/>
      <w:bookmarkStart w:id="898" w:name="_Toc267251424"/>
      <w:bookmarkStart w:id="899" w:name="_Toc280868655"/>
      <w:r>
        <w:rPr>
          <w:rFonts w:ascii="Times New Roman" w:hAnsi="Times New Roman" w:eastAsia="黑体" w:cs="Times New Roman"/>
          <w:color w:val="auto"/>
          <w:kern w:val="2"/>
          <w:sz w:val="30"/>
          <w:szCs w:val="32"/>
          <w:highlight w:val="none"/>
          <w:lang w:eastAsia="zh-CN" w:bidi="ar"/>
        </w:rPr>
        <w:t>.4</w:t>
      </w:r>
      <w:r>
        <w:rPr>
          <w:rFonts w:hint="eastAsia" w:ascii="Times New Roman" w:hAnsi="Times New Roman" w:eastAsia="黑体" w:cs="黑体"/>
          <w:color w:val="auto"/>
          <w:kern w:val="2"/>
          <w:sz w:val="30"/>
          <w:szCs w:val="32"/>
          <w:highlight w:val="none"/>
          <w:lang w:eastAsia="zh-CN" w:bidi="ar"/>
        </w:rPr>
        <w:t>材料与工程设备的保管与使用</w:t>
      </w:r>
    </w:p>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14:paraId="50916EBC">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8</w:t>
      </w:r>
      <w:bookmarkStart w:id="900" w:name="_Toc292559373"/>
      <w:bookmarkStart w:id="901" w:name="_Toc292559878"/>
      <w:bookmarkStart w:id="902" w:name="_Toc297216187"/>
      <w:bookmarkStart w:id="903" w:name="_Toc300934980"/>
      <w:bookmarkStart w:id="904" w:name="_Toc312677494"/>
      <w:bookmarkStart w:id="905" w:name="_Toc312678020"/>
      <w:bookmarkStart w:id="906" w:name="_Toc303539137"/>
      <w:bookmarkStart w:id="907" w:name="_Toc304295557"/>
      <w:bookmarkStart w:id="908" w:name="_Toc318581173"/>
      <w:bookmarkStart w:id="909" w:name="_Toc297123528"/>
      <w:bookmarkStart w:id="910" w:name="_Toc296944507"/>
      <w:bookmarkStart w:id="911" w:name="_Toc297048354"/>
      <w:bookmarkStart w:id="912" w:name="_Toc296890996"/>
      <w:bookmarkStart w:id="913" w:name="_Toc296347167"/>
      <w:bookmarkStart w:id="914" w:name="_Toc297120468"/>
      <w:bookmarkStart w:id="915" w:name="_Toc296503168"/>
      <w:bookmarkStart w:id="916" w:name="_Toc296346669"/>
      <w:bookmarkStart w:id="917" w:name="_Toc296891208"/>
      <w:r>
        <w:rPr>
          <w:rFonts w:ascii="Times New Roman" w:hAnsi="Times New Roman" w:eastAsia="仿宋_GB2312" w:cs="Times New Roman"/>
          <w:color w:val="auto"/>
          <w:kern w:val="2"/>
          <w:sz w:val="30"/>
          <w:szCs w:val="32"/>
          <w:highlight w:val="none"/>
          <w:lang w:eastAsia="zh-CN" w:bidi="ar"/>
        </w:rPr>
        <w:t>.4.1</w:t>
      </w:r>
      <w:r>
        <w:rPr>
          <w:rFonts w:hint="eastAsia" w:ascii="Times New Roman" w:hAnsi="Times New Roman" w:eastAsia="仿宋_GB2312" w:cs="仿宋_GB2312"/>
          <w:color w:val="auto"/>
          <w:kern w:val="2"/>
          <w:sz w:val="30"/>
          <w:szCs w:val="32"/>
          <w:highlight w:val="none"/>
          <w:lang w:eastAsia="zh-CN" w:bidi="ar"/>
        </w:rPr>
        <w:t>发包人供应的材料设备的保管费用的承担：</w:t>
      </w:r>
      <w:r>
        <w:rPr>
          <w:rFonts w:ascii="Times New Roman" w:hAnsi="Times New Roman" w:eastAsia="仿宋_GB2312" w:cs="Times New Roman"/>
          <w:color w:val="auto"/>
          <w:kern w:val="2"/>
          <w:sz w:val="30"/>
          <w:szCs w:val="32"/>
          <w:highlight w:val="none"/>
          <w:u w:val="single"/>
          <w:lang w:eastAsia="zh-CN" w:bidi="ar"/>
        </w:rPr>
        <w:t xml:space="preserve">            </w:t>
      </w:r>
    </w:p>
    <w:p w14:paraId="3952435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bookmarkEnd w:id="900"/>
      <w:bookmarkEnd w:id="901"/>
    </w:p>
    <w:p w14:paraId="60907481">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8.6 </w:t>
      </w:r>
      <w:r>
        <w:rPr>
          <w:rFonts w:hint="eastAsia" w:ascii="Times New Roman" w:hAnsi="Times New Roman" w:eastAsia="黑体" w:cs="黑体"/>
          <w:color w:val="auto"/>
          <w:kern w:val="2"/>
          <w:sz w:val="30"/>
          <w:szCs w:val="32"/>
          <w:highlight w:val="none"/>
          <w:lang w:eastAsia="zh-CN" w:bidi="ar"/>
        </w:rPr>
        <w:t>样品</w:t>
      </w:r>
    </w:p>
    <w:p w14:paraId="5CB4F04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8.6.1</w:t>
      </w:r>
      <w:r>
        <w:rPr>
          <w:rFonts w:ascii="Times New Roman" w:hAnsi="Times New Roman" w:eastAsia="仿宋_GB2312" w:cs="Times New Roman"/>
          <w:color w:val="auto"/>
          <w:kern w:val="0"/>
          <w:sz w:val="30"/>
          <w:szCs w:val="32"/>
          <w:highlight w:val="none"/>
          <w:lang w:eastAsia="zh-CN" w:bidi="ar"/>
        </w:rPr>
        <w:tab/>
      </w:r>
      <w:r>
        <w:rPr>
          <w:rFonts w:hint="eastAsia" w:ascii="Times New Roman" w:hAnsi="Times New Roman" w:eastAsia="仿宋_GB2312" w:cs="仿宋_GB2312"/>
          <w:color w:val="auto"/>
          <w:kern w:val="0"/>
          <w:sz w:val="30"/>
          <w:szCs w:val="32"/>
          <w:highlight w:val="none"/>
          <w:lang w:eastAsia="zh-CN" w:bidi="ar"/>
        </w:rPr>
        <w:t>样品的报送与封存</w:t>
      </w:r>
    </w:p>
    <w:p w14:paraId="4FED3B46">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需要承包人报送样品的材料或工程设备，样品的种类、名称、规格、数量要求：</w:t>
      </w:r>
      <w:r>
        <w:rPr>
          <w:rFonts w:ascii="Times New Roman" w:hAnsi="Times New Roman" w:eastAsia="仿宋_GB2312" w:cs="Times New Roman"/>
          <w:color w:val="auto"/>
          <w:kern w:val="2"/>
          <w:sz w:val="30"/>
          <w:szCs w:val="32"/>
          <w:highlight w:val="none"/>
          <w:u w:val="single"/>
          <w:lang w:eastAsia="zh-CN" w:bidi="ar"/>
        </w:rPr>
        <w:t xml:space="preserve">                                          </w:t>
      </w:r>
    </w:p>
    <w:p w14:paraId="06C93142">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D037A63">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8.8 </w:t>
      </w:r>
      <w:r>
        <w:rPr>
          <w:rFonts w:hint="eastAsia" w:ascii="Times New Roman" w:hAnsi="Times New Roman" w:eastAsia="黑体" w:cs="黑体"/>
          <w:color w:val="auto"/>
          <w:kern w:val="2"/>
          <w:sz w:val="30"/>
          <w:szCs w:val="32"/>
          <w:highlight w:val="none"/>
          <w:lang w:eastAsia="zh-CN" w:bidi="ar"/>
        </w:rPr>
        <w:t>施工设备和临时设施</w:t>
      </w:r>
    </w:p>
    <w:p w14:paraId="6D3748C7">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8.8.1 </w:t>
      </w:r>
      <w:r>
        <w:rPr>
          <w:rFonts w:hint="eastAsia" w:ascii="Times New Roman" w:hAnsi="Times New Roman" w:eastAsia="仿宋_GB2312" w:cs="仿宋_GB2312"/>
          <w:color w:val="auto"/>
          <w:kern w:val="2"/>
          <w:sz w:val="30"/>
          <w:szCs w:val="32"/>
          <w:highlight w:val="none"/>
          <w:lang w:eastAsia="zh-CN" w:bidi="ar"/>
        </w:rPr>
        <w:t>承包人提供的施工设备和临时设施</w:t>
      </w:r>
    </w:p>
    <w:p w14:paraId="23E9EF9B">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关于修建临时设施费用承担的约定：</w:t>
      </w:r>
      <w:r>
        <w:rPr>
          <w:rFonts w:ascii="Times New Roman" w:hAnsi="Times New Roman" w:eastAsia="仿宋_GB2312" w:cs="Times New Roman"/>
          <w:color w:val="auto"/>
          <w:kern w:val="2"/>
          <w:sz w:val="30"/>
          <w:szCs w:val="32"/>
          <w:highlight w:val="none"/>
          <w:u w:val="single"/>
          <w:lang w:eastAsia="zh-CN" w:bidi="ar"/>
        </w:rPr>
        <w:t xml:space="preserve">                     </w:t>
      </w:r>
    </w:p>
    <w:p w14:paraId="4D00DA33">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14:paraId="1F3AB118">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918" w:name="_Toc351203641"/>
      <w:bookmarkStart w:id="919" w:name="_Toc163768467"/>
      <w:bookmarkStart w:id="920" w:name="_Toc163768585"/>
      <w:r>
        <w:rPr>
          <w:rFonts w:ascii="Times New Roman" w:hAnsi="Times New Roman" w:eastAsia="黑体" w:cs="Times New Roman"/>
          <w:b/>
          <w:bCs/>
          <w:color w:val="auto"/>
          <w:sz w:val="32"/>
          <w:szCs w:val="32"/>
          <w:highlight w:val="none"/>
          <w:lang w:val="en-US" w:eastAsia="zh-CN" w:bidi="en-US"/>
        </w:rPr>
        <w:t>9</w:t>
      </w:r>
      <w:bookmarkEnd w:id="897"/>
      <w:bookmarkEnd w:id="898"/>
      <w:bookmarkEnd w:id="899"/>
      <w:bookmarkStart w:id="921" w:name="_Toc297216192"/>
      <w:bookmarkStart w:id="922" w:name="_Toc312677495"/>
      <w:bookmarkStart w:id="923" w:name="_Toc297123533"/>
      <w:bookmarkStart w:id="924" w:name="_Toc300934982"/>
      <w:bookmarkStart w:id="925" w:name="_Toc312678021"/>
      <w:bookmarkStart w:id="926" w:name="_Toc303539139"/>
      <w:bookmarkStart w:id="927" w:name="_Toc304295559"/>
      <w:bookmarkStart w:id="928" w:name="_Toc296891213"/>
      <w:bookmarkStart w:id="929" w:name="_Toc292559883"/>
      <w:bookmarkStart w:id="930" w:name="_Toc267251427"/>
      <w:bookmarkStart w:id="931" w:name="_Toc297120473"/>
      <w:bookmarkStart w:id="932" w:name="_Toc297048359"/>
      <w:bookmarkStart w:id="933" w:name="_Toc296503173"/>
      <w:bookmarkStart w:id="934" w:name="_Toc296944512"/>
      <w:bookmarkStart w:id="935" w:name="_Toc267251428"/>
      <w:bookmarkStart w:id="936" w:name="_Toc296346674"/>
      <w:bookmarkStart w:id="937" w:name="_Toc292559378"/>
      <w:bookmarkStart w:id="938" w:name="_Toc296891001"/>
      <w:bookmarkStart w:id="939" w:name="_Toc296347172"/>
      <w:r>
        <w:rPr>
          <w:rFonts w:ascii="Times New Roman" w:hAnsi="Times New Roman" w:eastAsia="黑体" w:cs="Times New Roman"/>
          <w:b/>
          <w:bCs/>
          <w:color w:val="auto"/>
          <w:sz w:val="32"/>
          <w:szCs w:val="32"/>
          <w:highlight w:val="none"/>
          <w:lang w:val="en-US" w:eastAsia="zh-CN" w:bidi="en-US"/>
        </w:rPr>
        <w:t xml:space="preserve">. </w:t>
      </w:r>
      <w:r>
        <w:rPr>
          <w:rFonts w:hint="eastAsia" w:ascii="Times New Roman" w:hAnsi="Times New Roman" w:eastAsia="黑体" w:cs="Times New Roman"/>
          <w:b/>
          <w:bCs/>
          <w:color w:val="auto"/>
          <w:sz w:val="32"/>
          <w:szCs w:val="32"/>
          <w:highlight w:val="none"/>
          <w:lang w:val="en-US" w:eastAsia="zh-CN" w:bidi="en-US"/>
        </w:rPr>
        <w:t>试验与检验</w:t>
      </w:r>
      <w:bookmarkEnd w:id="918"/>
      <w:bookmarkEnd w:id="919"/>
      <w:bookmarkEnd w:id="920"/>
    </w:p>
    <w:bookmarkEnd w:id="921"/>
    <w:bookmarkEnd w:id="922"/>
    <w:bookmarkEnd w:id="923"/>
    <w:bookmarkEnd w:id="924"/>
    <w:bookmarkEnd w:id="925"/>
    <w:bookmarkEnd w:id="926"/>
    <w:bookmarkEnd w:id="927"/>
    <w:p w14:paraId="0CB0094B">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9</w:t>
      </w:r>
      <w:bookmarkStart w:id="940" w:name="_Toc312677496"/>
      <w:bookmarkStart w:id="941" w:name="_Toc312678022"/>
      <w:bookmarkStart w:id="942" w:name="_Toc303539140"/>
      <w:bookmarkStart w:id="943" w:name="_Toc304295560"/>
      <w:bookmarkStart w:id="944" w:name="_Toc297216193"/>
      <w:bookmarkStart w:id="945" w:name="_Toc300934983"/>
      <w:bookmarkStart w:id="946" w:name="_Toc297123534"/>
      <w:r>
        <w:rPr>
          <w:rFonts w:ascii="Times New Roman" w:hAnsi="Times New Roman" w:eastAsia="黑体" w:cs="Times New Roman"/>
          <w:color w:val="auto"/>
          <w:kern w:val="2"/>
          <w:sz w:val="30"/>
          <w:szCs w:val="32"/>
          <w:highlight w:val="none"/>
          <w:lang w:eastAsia="zh-CN" w:bidi="ar"/>
        </w:rPr>
        <w:t>.1</w:t>
      </w:r>
      <w:r>
        <w:rPr>
          <w:rFonts w:hint="eastAsia" w:ascii="Times New Roman" w:hAnsi="Times New Roman" w:eastAsia="黑体" w:cs="黑体"/>
          <w:color w:val="auto"/>
          <w:kern w:val="2"/>
          <w:sz w:val="30"/>
          <w:szCs w:val="32"/>
          <w:highlight w:val="none"/>
          <w:lang w:eastAsia="zh-CN" w:bidi="ar"/>
        </w:rPr>
        <w:t>试验设备与试验人员</w:t>
      </w:r>
    </w:p>
    <w:bookmarkEnd w:id="940"/>
    <w:bookmarkEnd w:id="941"/>
    <w:bookmarkEnd w:id="942"/>
    <w:bookmarkEnd w:id="943"/>
    <w:bookmarkEnd w:id="944"/>
    <w:bookmarkEnd w:id="945"/>
    <w:bookmarkEnd w:id="946"/>
    <w:p w14:paraId="699F599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9</w:t>
      </w:r>
      <w:bookmarkStart w:id="947" w:name="_Toc304295561"/>
      <w:bookmarkStart w:id="948" w:name="_Toc312677497"/>
      <w:bookmarkStart w:id="949" w:name="_Toc303539141"/>
      <w:bookmarkStart w:id="950" w:name="_Toc312678023"/>
      <w:bookmarkStart w:id="951" w:name="_Toc300934984"/>
      <w:bookmarkStart w:id="952" w:name="_Toc297216194"/>
      <w:bookmarkStart w:id="953" w:name="_Toc297123535"/>
      <w:bookmarkStart w:id="954" w:name="_Toc318581174"/>
      <w:r>
        <w:rPr>
          <w:rFonts w:ascii="Times New Roman" w:hAnsi="Times New Roman" w:eastAsia="仿宋_GB2312" w:cs="Times New Roman"/>
          <w:color w:val="auto"/>
          <w:kern w:val="2"/>
          <w:sz w:val="30"/>
          <w:szCs w:val="32"/>
          <w:highlight w:val="none"/>
          <w:lang w:eastAsia="zh-CN" w:bidi="ar"/>
        </w:rPr>
        <w:t xml:space="preserve">.1.2 </w:t>
      </w:r>
      <w:r>
        <w:rPr>
          <w:rFonts w:hint="eastAsia" w:ascii="Times New Roman" w:hAnsi="Times New Roman" w:eastAsia="仿宋_GB2312" w:cs="仿宋_GB2312"/>
          <w:color w:val="auto"/>
          <w:kern w:val="2"/>
          <w:sz w:val="30"/>
          <w:szCs w:val="32"/>
          <w:highlight w:val="none"/>
          <w:lang w:eastAsia="zh-CN" w:bidi="ar"/>
        </w:rPr>
        <w:t>试验设备</w:t>
      </w:r>
    </w:p>
    <w:p w14:paraId="6B9C0791">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施工现场需要配置的试验场所：</w:t>
      </w:r>
      <w:bookmarkEnd w:id="947"/>
      <w:bookmarkEnd w:id="948"/>
      <w:bookmarkEnd w:id="949"/>
      <w:bookmarkEnd w:id="950"/>
      <w:bookmarkEnd w:id="951"/>
      <w:bookmarkEnd w:id="952"/>
      <w:bookmarkEnd w:id="953"/>
      <w:bookmarkStart w:id="955" w:name="_Toc304295562"/>
      <w:bookmarkStart w:id="956" w:name="_Toc303539142"/>
      <w:bookmarkStart w:id="957" w:name="_Toc300934985"/>
      <w:bookmarkStart w:id="958" w:name="_Toc297123536"/>
      <w:bookmarkStart w:id="959" w:name="_Toc312678024"/>
      <w:bookmarkStart w:id="960" w:name="_Toc312677498"/>
      <w:bookmarkStart w:id="961" w:name="_Toc297216195"/>
      <w:r>
        <w:rPr>
          <w:rFonts w:ascii="Times New Roman" w:hAnsi="Times New Roman" w:eastAsia="仿宋_GB2312" w:cs="Times New Roman"/>
          <w:color w:val="auto"/>
          <w:kern w:val="2"/>
          <w:sz w:val="30"/>
          <w:szCs w:val="32"/>
          <w:highlight w:val="none"/>
          <w:u w:val="single"/>
          <w:lang w:eastAsia="zh-CN" w:bidi="ar"/>
        </w:rPr>
        <w:t xml:space="preserve">                           </w:t>
      </w:r>
    </w:p>
    <w:p w14:paraId="218B5A4B">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660210F5">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施工现场需要配备的试验设备：</w:t>
      </w:r>
      <w:r>
        <w:rPr>
          <w:rFonts w:ascii="Times New Roman" w:hAnsi="Times New Roman" w:eastAsia="仿宋_GB2312" w:cs="Times New Roman"/>
          <w:color w:val="auto"/>
          <w:kern w:val="2"/>
          <w:sz w:val="30"/>
          <w:szCs w:val="32"/>
          <w:highlight w:val="none"/>
          <w:u w:val="single"/>
          <w:lang w:eastAsia="zh-CN" w:bidi="ar"/>
        </w:rPr>
        <w:t xml:space="preserve">                           </w:t>
      </w:r>
    </w:p>
    <w:p w14:paraId="1675487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7837DF6">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施工现场需要具备的其他试验条件：</w:t>
      </w:r>
      <w:r>
        <w:rPr>
          <w:rFonts w:ascii="Times New Roman" w:hAnsi="Times New Roman" w:eastAsia="仿宋_GB2312" w:cs="Times New Roman"/>
          <w:color w:val="auto"/>
          <w:kern w:val="2"/>
          <w:sz w:val="30"/>
          <w:szCs w:val="32"/>
          <w:highlight w:val="none"/>
          <w:u w:val="single"/>
          <w:lang w:eastAsia="zh-CN" w:bidi="ar"/>
        </w:rPr>
        <w:t xml:space="preserve">                      </w:t>
      </w:r>
    </w:p>
    <w:p w14:paraId="114FCB64">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86D8CAE">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9.4 </w:t>
      </w:r>
      <w:r>
        <w:rPr>
          <w:rFonts w:hint="eastAsia" w:ascii="Times New Roman" w:hAnsi="Times New Roman" w:eastAsia="黑体" w:cs="黑体"/>
          <w:color w:val="auto"/>
          <w:kern w:val="2"/>
          <w:sz w:val="30"/>
          <w:szCs w:val="32"/>
          <w:highlight w:val="none"/>
          <w:lang w:eastAsia="zh-CN" w:bidi="ar"/>
        </w:rPr>
        <w:t>现场工艺试验</w:t>
      </w:r>
      <w:r>
        <w:rPr>
          <w:rFonts w:ascii="Times New Roman" w:hAnsi="Times New Roman" w:eastAsia="黑体" w:cs="Times New Roman"/>
          <w:color w:val="auto"/>
          <w:kern w:val="2"/>
          <w:sz w:val="30"/>
          <w:szCs w:val="32"/>
          <w:highlight w:val="none"/>
          <w:lang w:eastAsia="zh-CN" w:bidi="ar"/>
        </w:rPr>
        <w:t xml:space="preserve"> </w:t>
      </w:r>
    </w:p>
    <w:p w14:paraId="4938695F">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现场工艺试验的有关约定：</w:t>
      </w:r>
      <w:r>
        <w:rPr>
          <w:rFonts w:ascii="Times New Roman" w:hAnsi="Times New Roman" w:eastAsia="仿宋_GB2312" w:cs="Times New Roman"/>
          <w:color w:val="auto"/>
          <w:kern w:val="2"/>
          <w:sz w:val="30"/>
          <w:szCs w:val="32"/>
          <w:highlight w:val="none"/>
          <w:u w:val="single"/>
          <w:lang w:eastAsia="zh-CN" w:bidi="ar"/>
        </w:rPr>
        <w:t xml:space="preserve">                              </w:t>
      </w:r>
    </w:p>
    <w:p w14:paraId="7A7CEC75">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954"/>
    <w:bookmarkEnd w:id="955"/>
    <w:bookmarkEnd w:id="956"/>
    <w:bookmarkEnd w:id="957"/>
    <w:bookmarkEnd w:id="958"/>
    <w:bookmarkEnd w:id="959"/>
    <w:bookmarkEnd w:id="960"/>
    <w:bookmarkEnd w:id="961"/>
    <w:p w14:paraId="2C9BFDBE">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962" w:name="_Toc351203642"/>
      <w:bookmarkStart w:id="963" w:name="_Toc163768586"/>
      <w:bookmarkStart w:id="964" w:name="_Toc163768468"/>
      <w:r>
        <w:rPr>
          <w:rFonts w:ascii="Times New Roman" w:hAnsi="Times New Roman" w:eastAsia="黑体" w:cs="Times New Roman"/>
          <w:b/>
          <w:bCs/>
          <w:color w:val="auto"/>
          <w:sz w:val="32"/>
          <w:szCs w:val="32"/>
          <w:highlight w:val="none"/>
          <w:lang w:val="en-US" w:eastAsia="zh-CN" w:bidi="en-US"/>
        </w:rPr>
        <w:t>1</w:t>
      </w:r>
      <w:bookmarkEnd w:id="928"/>
      <w:bookmarkEnd w:id="929"/>
      <w:bookmarkEnd w:id="930"/>
      <w:bookmarkEnd w:id="931"/>
      <w:bookmarkEnd w:id="932"/>
      <w:bookmarkEnd w:id="933"/>
      <w:bookmarkEnd w:id="934"/>
      <w:bookmarkEnd w:id="935"/>
      <w:bookmarkEnd w:id="936"/>
      <w:bookmarkEnd w:id="937"/>
      <w:bookmarkEnd w:id="938"/>
      <w:bookmarkEnd w:id="939"/>
      <w:bookmarkStart w:id="965" w:name="_Toc296891233"/>
      <w:bookmarkStart w:id="966" w:name="_Toc296346694"/>
      <w:bookmarkStart w:id="967" w:name="_Toc297120493"/>
      <w:bookmarkStart w:id="968" w:name="_Toc303539146"/>
      <w:bookmarkStart w:id="969" w:name="_Toc292559903"/>
      <w:bookmarkStart w:id="970" w:name="_Toc296891021"/>
      <w:bookmarkStart w:id="971" w:name="_Toc300934989"/>
      <w:bookmarkStart w:id="972" w:name="_Toc304295566"/>
      <w:bookmarkStart w:id="973" w:name="_Toc292559398"/>
      <w:bookmarkStart w:id="974" w:name="_Toc297216199"/>
      <w:bookmarkStart w:id="975" w:name="_Toc297123540"/>
      <w:bookmarkStart w:id="976" w:name="_Toc296944532"/>
      <w:bookmarkStart w:id="977" w:name="_Toc297048379"/>
      <w:bookmarkStart w:id="978" w:name="_Toc296503193"/>
      <w:bookmarkStart w:id="979" w:name="_Toc296347192"/>
      <w:bookmarkStart w:id="980" w:name="_Toc312677499"/>
      <w:bookmarkStart w:id="981" w:name="_Toc312678025"/>
      <w:bookmarkStart w:id="982" w:name="_Toc267251439"/>
      <w:bookmarkStart w:id="983" w:name="_Toc267251440"/>
      <w:bookmarkStart w:id="984" w:name="_Toc267251433"/>
      <w:bookmarkStart w:id="985" w:name="_Toc267251441"/>
      <w:bookmarkStart w:id="986" w:name="_Toc267251437"/>
      <w:bookmarkStart w:id="987" w:name="_Toc267251435"/>
      <w:bookmarkStart w:id="988" w:name="_Toc267251442"/>
      <w:r>
        <w:rPr>
          <w:rFonts w:ascii="Times New Roman" w:hAnsi="Times New Roman" w:eastAsia="黑体" w:cs="Times New Roman"/>
          <w:b/>
          <w:bCs/>
          <w:color w:val="auto"/>
          <w:sz w:val="32"/>
          <w:szCs w:val="32"/>
          <w:highlight w:val="none"/>
          <w:lang w:val="en-US" w:eastAsia="zh-CN" w:bidi="en-US"/>
        </w:rPr>
        <w:t xml:space="preserve">0. </w:t>
      </w:r>
      <w:r>
        <w:rPr>
          <w:rFonts w:hint="eastAsia" w:ascii="Times New Roman" w:hAnsi="Times New Roman" w:eastAsia="黑体" w:cs="黑体"/>
          <w:b/>
          <w:bCs/>
          <w:color w:val="auto"/>
          <w:sz w:val="32"/>
          <w:szCs w:val="32"/>
          <w:highlight w:val="none"/>
          <w:lang w:val="en-US" w:eastAsia="zh-CN" w:bidi="en-US"/>
        </w:rPr>
        <w:t>变更</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bookmarkEnd w:id="980"/>
    <w:bookmarkEnd w:id="981"/>
    <w:p w14:paraId="1ACAA74B">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w:t>
      </w:r>
      <w:bookmarkStart w:id="989" w:name="_Toc312678026"/>
      <w:bookmarkStart w:id="990" w:name="_Toc304295567"/>
      <w:bookmarkStart w:id="991" w:name="_Toc296346695"/>
      <w:bookmarkStart w:id="992" w:name="_Toc296944533"/>
      <w:bookmarkStart w:id="993" w:name="_Toc296347193"/>
      <w:bookmarkStart w:id="994" w:name="_Toc300934990"/>
      <w:bookmarkStart w:id="995" w:name="_Toc292559904"/>
      <w:bookmarkStart w:id="996" w:name="_Toc297120494"/>
      <w:bookmarkStart w:id="997" w:name="_Toc297216200"/>
      <w:bookmarkStart w:id="998" w:name="_Toc296503194"/>
      <w:bookmarkStart w:id="999" w:name="_Toc303539147"/>
      <w:bookmarkStart w:id="1000" w:name="_Toc297048380"/>
      <w:bookmarkStart w:id="1001" w:name="_Toc292559399"/>
      <w:bookmarkStart w:id="1002" w:name="_Toc296891022"/>
      <w:bookmarkStart w:id="1003" w:name="_Toc297123541"/>
      <w:bookmarkStart w:id="1004" w:name="_Toc312677500"/>
      <w:bookmarkStart w:id="1005" w:name="_Toc296891234"/>
      <w:r>
        <w:rPr>
          <w:rFonts w:ascii="Times New Roman" w:hAnsi="Times New Roman" w:eastAsia="黑体" w:cs="Times New Roman"/>
          <w:color w:val="auto"/>
          <w:kern w:val="2"/>
          <w:sz w:val="30"/>
          <w:szCs w:val="32"/>
          <w:highlight w:val="none"/>
          <w:lang w:eastAsia="zh-CN" w:bidi="ar"/>
        </w:rPr>
        <w:t>0.1</w:t>
      </w:r>
      <w:r>
        <w:rPr>
          <w:rFonts w:hint="eastAsia" w:ascii="Times New Roman" w:hAnsi="Times New Roman" w:eastAsia="黑体" w:cs="黑体"/>
          <w:color w:val="auto"/>
          <w:kern w:val="2"/>
          <w:sz w:val="30"/>
          <w:szCs w:val="32"/>
          <w:highlight w:val="none"/>
          <w:lang w:eastAsia="zh-CN" w:bidi="ar"/>
        </w:rPr>
        <w:t>变更的范围</w:t>
      </w:r>
    </w:p>
    <w:p w14:paraId="5AFFAC09">
      <w:pPr>
        <w:shd w:val="clear"/>
        <w:spacing w:line="360" w:lineRule="auto"/>
        <w:ind w:firstLine="6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关于变更的范围的约定：</w:t>
      </w:r>
      <w:r>
        <w:rPr>
          <w:rFonts w:ascii="Times New Roman" w:hAnsi="Times New Roman" w:eastAsia="仿宋_GB2312" w:cs="Times New Roman"/>
          <w:color w:val="auto"/>
          <w:kern w:val="2"/>
          <w:sz w:val="30"/>
          <w:szCs w:val="32"/>
          <w:highlight w:val="none"/>
          <w:u w:val="single"/>
          <w:lang w:eastAsia="zh-CN" w:bidi="ar"/>
        </w:rPr>
        <w:t xml:space="preserve">                                </w:t>
      </w:r>
    </w:p>
    <w:p w14:paraId="22713610">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5ACBC41">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10.4 </w:t>
      </w:r>
      <w:r>
        <w:rPr>
          <w:rFonts w:hint="eastAsia" w:ascii="Times New Roman" w:hAnsi="Times New Roman" w:eastAsia="黑体" w:cs="黑体"/>
          <w:color w:val="auto"/>
          <w:kern w:val="2"/>
          <w:sz w:val="30"/>
          <w:szCs w:val="32"/>
          <w:highlight w:val="none"/>
          <w:lang w:eastAsia="zh-CN" w:bidi="ar"/>
        </w:rPr>
        <w:t>变更估价</w:t>
      </w:r>
    </w:p>
    <w:p w14:paraId="2F848B3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10.4.1 </w:t>
      </w:r>
      <w:r>
        <w:rPr>
          <w:rFonts w:hint="eastAsia" w:ascii="Times New Roman" w:hAnsi="Times New Roman" w:eastAsia="仿宋_GB2312" w:cs="仿宋_GB2312"/>
          <w:color w:val="auto"/>
          <w:kern w:val="2"/>
          <w:sz w:val="30"/>
          <w:szCs w:val="32"/>
          <w:highlight w:val="none"/>
          <w:lang w:eastAsia="zh-CN" w:bidi="ar"/>
        </w:rPr>
        <w:t>变更估价原则</w:t>
      </w:r>
    </w:p>
    <w:p w14:paraId="5A5416AA">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关于变更估价的约定</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2"/>
          <w:sz w:val="30"/>
          <w:szCs w:val="32"/>
          <w:highlight w:val="none"/>
          <w:u w:val="single"/>
          <w:lang w:eastAsia="zh-CN" w:bidi="ar"/>
        </w:rPr>
        <w:t xml:space="preserve">                                   </w:t>
      </w:r>
    </w:p>
    <w:p w14:paraId="1A1AF107">
      <w:pPr>
        <w:shd w:val="clear"/>
        <w:spacing w:line="360" w:lineRule="auto"/>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55AECE3">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Start w:id="1006" w:name="_Toc296346698"/>
      <w:bookmarkStart w:id="1007" w:name="_Toc303539150"/>
      <w:bookmarkStart w:id="1008" w:name="_Toc300934993"/>
      <w:bookmarkStart w:id="1009" w:name="_Toc296503197"/>
      <w:bookmarkStart w:id="1010" w:name="_Toc297120497"/>
      <w:bookmarkStart w:id="1011" w:name="_Toc296944536"/>
      <w:bookmarkStart w:id="1012" w:name="_Toc292559907"/>
      <w:bookmarkStart w:id="1013" w:name="_Toc296347196"/>
      <w:bookmarkStart w:id="1014" w:name="_Toc292559402"/>
      <w:bookmarkStart w:id="1015" w:name="_Toc297123544"/>
      <w:bookmarkStart w:id="1016" w:name="_Toc297048383"/>
      <w:bookmarkStart w:id="1017" w:name="_Toc297216203"/>
      <w:bookmarkStart w:id="1018" w:name="_Toc296891025"/>
      <w:bookmarkStart w:id="1019" w:name="_Toc296891237"/>
      <w:bookmarkStart w:id="1020" w:name="_Toc312678029"/>
      <w:bookmarkStart w:id="1021" w:name="_Toc304295570"/>
      <w:bookmarkStart w:id="1022" w:name="_Toc312677503"/>
      <w:r>
        <w:rPr>
          <w:rFonts w:ascii="Times New Roman" w:hAnsi="Times New Roman" w:eastAsia="黑体" w:cs="Times New Roman"/>
          <w:color w:val="auto"/>
          <w:kern w:val="2"/>
          <w:sz w:val="30"/>
          <w:szCs w:val="32"/>
          <w:highlight w:val="none"/>
          <w:lang w:eastAsia="zh-CN" w:bidi="ar"/>
        </w:rPr>
        <w:t>0.5</w:t>
      </w:r>
      <w:r>
        <w:rPr>
          <w:rFonts w:hint="eastAsia" w:ascii="Times New Roman" w:hAnsi="Times New Roman" w:eastAsia="黑体" w:cs="黑体"/>
          <w:color w:val="auto"/>
          <w:kern w:val="2"/>
          <w:sz w:val="30"/>
          <w:szCs w:val="32"/>
          <w:highlight w:val="none"/>
          <w:lang w:eastAsia="zh-CN" w:bidi="ar"/>
        </w:rPr>
        <w:t>承</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Start w:id="1023" w:name="_Toc297120503"/>
      <w:bookmarkStart w:id="1024" w:name="_Toc297048389"/>
      <w:bookmarkStart w:id="1025" w:name="_Toc296503203"/>
      <w:bookmarkStart w:id="1026" w:name="_Toc300934994"/>
      <w:bookmarkStart w:id="1027" w:name="_Toc292559408"/>
      <w:bookmarkStart w:id="1028" w:name="_Toc296346704"/>
      <w:bookmarkStart w:id="1029" w:name="_Toc297216204"/>
      <w:bookmarkStart w:id="1030" w:name="_Toc303539151"/>
      <w:bookmarkStart w:id="1031" w:name="_Toc296891243"/>
      <w:bookmarkStart w:id="1032" w:name="_Toc296891031"/>
      <w:bookmarkStart w:id="1033" w:name="_Toc296347202"/>
      <w:bookmarkStart w:id="1034" w:name="_Toc296944542"/>
      <w:bookmarkStart w:id="1035" w:name="_Toc292559913"/>
      <w:bookmarkStart w:id="1036" w:name="_Toc297123545"/>
      <w:r>
        <w:rPr>
          <w:rFonts w:hint="eastAsia" w:ascii="Times New Roman" w:hAnsi="Times New Roman" w:eastAsia="黑体" w:cs="黑体"/>
          <w:color w:val="auto"/>
          <w:kern w:val="2"/>
          <w:sz w:val="30"/>
          <w:szCs w:val="32"/>
          <w:highlight w:val="none"/>
          <w:lang w:eastAsia="zh-CN" w:bidi="ar"/>
        </w:rPr>
        <w:t>包人的合理化建议</w:t>
      </w:r>
    </w:p>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14:paraId="2BB6D1D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监理人审查承包人合理化建议的期限：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24C8FE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发包人审批承包人合理化建议的期限：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8C89E5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承</w:t>
      </w:r>
      <w:bookmarkStart w:id="1037" w:name="_Toc297216205"/>
      <w:bookmarkStart w:id="1038" w:name="_Toc296346705"/>
      <w:bookmarkStart w:id="1039" w:name="_Toc304295571"/>
      <w:bookmarkStart w:id="1040" w:name="_Toc303539152"/>
      <w:bookmarkStart w:id="1041" w:name="_Toc296891244"/>
      <w:bookmarkStart w:id="1042" w:name="_Toc296503204"/>
      <w:bookmarkStart w:id="1043" w:name="_Toc292559409"/>
      <w:bookmarkStart w:id="1044" w:name="_Toc312677504"/>
      <w:bookmarkStart w:id="1045" w:name="_Toc300934995"/>
      <w:bookmarkStart w:id="1046" w:name="_Toc296347203"/>
      <w:bookmarkStart w:id="1047" w:name="_Toc297048390"/>
      <w:bookmarkStart w:id="1048" w:name="_Toc296944543"/>
      <w:bookmarkStart w:id="1049" w:name="_Toc297120504"/>
      <w:bookmarkStart w:id="1050" w:name="_Toc318581175"/>
      <w:bookmarkStart w:id="1051" w:name="_Toc296891032"/>
      <w:bookmarkStart w:id="1052" w:name="_Toc292559914"/>
      <w:bookmarkStart w:id="1053" w:name="_Toc312678030"/>
      <w:bookmarkStart w:id="1054" w:name="_Toc297123546"/>
      <w:r>
        <w:rPr>
          <w:rFonts w:hint="eastAsia" w:ascii="Times New Roman" w:hAnsi="Times New Roman" w:eastAsia="仿宋_GB2312" w:cs="仿宋_GB2312"/>
          <w:color w:val="auto"/>
          <w:kern w:val="2"/>
          <w:sz w:val="30"/>
          <w:szCs w:val="32"/>
          <w:highlight w:val="none"/>
          <w:lang w:eastAsia="zh-CN" w:bidi="ar"/>
        </w:rPr>
        <w:t>包人提出的合理化建议降低了合同价格或者提高了工程经济效益的奖励的方法和金额为：</w:t>
      </w:r>
      <w:r>
        <w:rPr>
          <w:rFonts w:ascii="Times New Roman" w:hAnsi="Times New Roman" w:eastAsia="仿宋_GB2312" w:cs="Times New Roman"/>
          <w:color w:val="auto"/>
          <w:kern w:val="2"/>
          <w:sz w:val="30"/>
          <w:szCs w:val="32"/>
          <w:highlight w:val="none"/>
          <w:u w:val="single"/>
          <w:lang w:eastAsia="zh-CN" w:bidi="ar"/>
        </w:rPr>
        <w:t xml:space="preserve">                                </w:t>
      </w:r>
    </w:p>
    <w:p w14:paraId="3B2BAE3B">
      <w:pPr>
        <w:shd w:val="clear"/>
        <w:spacing w:line="360" w:lineRule="auto"/>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14:paraId="289EC9EC">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w:t>
      </w:r>
      <w:bookmarkStart w:id="1055" w:name="_Toc296891239"/>
      <w:bookmarkStart w:id="1056" w:name="_Toc300934997"/>
      <w:bookmarkStart w:id="1057" w:name="_Toc297216207"/>
      <w:bookmarkStart w:id="1058" w:name="_Toc296347198"/>
      <w:bookmarkStart w:id="1059" w:name="_Toc292559909"/>
      <w:bookmarkStart w:id="1060" w:name="_Toc312678033"/>
      <w:bookmarkStart w:id="1061" w:name="_Toc296944538"/>
      <w:bookmarkStart w:id="1062" w:name="_Toc297123548"/>
      <w:bookmarkStart w:id="1063" w:name="_Toc304295574"/>
      <w:bookmarkStart w:id="1064" w:name="_Toc297048385"/>
      <w:bookmarkStart w:id="1065" w:name="_Toc303539154"/>
      <w:bookmarkStart w:id="1066" w:name="_Toc312677507"/>
      <w:bookmarkStart w:id="1067" w:name="_Toc296891027"/>
      <w:bookmarkStart w:id="1068" w:name="_Toc292559404"/>
      <w:bookmarkStart w:id="1069" w:name="_Toc296503199"/>
      <w:bookmarkStart w:id="1070" w:name="_Toc297120499"/>
      <w:bookmarkStart w:id="1071" w:name="_Toc296346700"/>
      <w:r>
        <w:rPr>
          <w:rFonts w:ascii="Times New Roman" w:hAnsi="Times New Roman" w:eastAsia="黑体" w:cs="Times New Roman"/>
          <w:color w:val="auto"/>
          <w:kern w:val="2"/>
          <w:sz w:val="30"/>
          <w:szCs w:val="32"/>
          <w:highlight w:val="none"/>
          <w:lang w:eastAsia="zh-CN" w:bidi="ar"/>
        </w:rPr>
        <w:t xml:space="preserve">0.7 </w:t>
      </w:r>
      <w:r>
        <w:rPr>
          <w:rFonts w:hint="eastAsia" w:ascii="Times New Roman" w:hAnsi="Times New Roman" w:eastAsia="黑体" w:cs="黑体"/>
          <w:color w:val="auto"/>
          <w:kern w:val="2"/>
          <w:sz w:val="30"/>
          <w:szCs w:val="32"/>
          <w:highlight w:val="none"/>
          <w:lang w:eastAsia="zh-CN" w:bidi="ar"/>
        </w:rPr>
        <w:t>暂估价</w:t>
      </w:r>
    </w:p>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14:paraId="48E650D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暂</w:t>
      </w:r>
      <w:bookmarkStart w:id="1072" w:name="_Toc312678034"/>
      <w:bookmarkStart w:id="1073" w:name="_Toc318581176"/>
      <w:bookmarkStart w:id="1074" w:name="_Toc312677508"/>
      <w:r>
        <w:rPr>
          <w:rFonts w:hint="eastAsia" w:ascii="Times New Roman" w:hAnsi="Times New Roman" w:eastAsia="仿宋_GB2312" w:cs="仿宋_GB2312"/>
          <w:color w:val="auto"/>
          <w:kern w:val="0"/>
          <w:sz w:val="30"/>
          <w:szCs w:val="32"/>
          <w:highlight w:val="none"/>
          <w:lang w:eastAsia="zh-CN" w:bidi="ar"/>
        </w:rPr>
        <w:t>估价材料和工程设备的明细详见附件</w:t>
      </w:r>
      <w:r>
        <w:rPr>
          <w:rFonts w:ascii="Times New Roman" w:hAnsi="Times New Roman" w:eastAsia="仿宋_GB2312" w:cs="Times New Roman"/>
          <w:color w:val="auto"/>
          <w:kern w:val="0"/>
          <w:sz w:val="30"/>
          <w:szCs w:val="32"/>
          <w:highlight w:val="none"/>
          <w:lang w:eastAsia="zh-CN" w:bidi="ar"/>
        </w:rPr>
        <w:t>11</w:t>
      </w:r>
      <w:r>
        <w:rPr>
          <w:rFonts w:hint="eastAsia" w:ascii="Times New Roman" w:hAnsi="Times New Roman" w:eastAsia="仿宋_GB2312" w:cs="仿宋_GB2312"/>
          <w:color w:val="auto"/>
          <w:kern w:val="0"/>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暂估价一览表》</w:t>
      </w:r>
      <w:r>
        <w:rPr>
          <w:rFonts w:hint="eastAsia" w:ascii="Times New Roman" w:hAnsi="Times New Roman" w:eastAsia="仿宋_GB2312" w:cs="仿宋_GB2312"/>
          <w:color w:val="auto"/>
          <w:kern w:val="0"/>
          <w:sz w:val="30"/>
          <w:szCs w:val="32"/>
          <w:highlight w:val="none"/>
          <w:lang w:eastAsia="zh-CN" w:bidi="ar"/>
        </w:rPr>
        <w:t>。</w:t>
      </w:r>
    </w:p>
    <w:bookmarkEnd w:id="1072"/>
    <w:bookmarkEnd w:id="1073"/>
    <w:bookmarkEnd w:id="1074"/>
    <w:p w14:paraId="1C36B32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w:t>
      </w:r>
      <w:bookmarkStart w:id="1075" w:name="_Toc312677509"/>
      <w:bookmarkStart w:id="1076" w:name="_Toc312678035"/>
      <w:bookmarkStart w:id="1077" w:name="_Toc318581177"/>
      <w:r>
        <w:rPr>
          <w:rFonts w:ascii="Times New Roman" w:hAnsi="Times New Roman" w:eastAsia="仿宋_GB2312" w:cs="Times New Roman"/>
          <w:color w:val="auto"/>
          <w:kern w:val="2"/>
          <w:sz w:val="30"/>
          <w:szCs w:val="32"/>
          <w:highlight w:val="none"/>
          <w:lang w:eastAsia="zh-CN" w:bidi="ar"/>
        </w:rPr>
        <w:t xml:space="preserve">0.7.1 </w:t>
      </w:r>
      <w:r>
        <w:rPr>
          <w:rFonts w:hint="eastAsia" w:ascii="Times New Roman" w:hAnsi="Times New Roman" w:eastAsia="仿宋_GB2312" w:cs="仿宋_GB2312"/>
          <w:color w:val="auto"/>
          <w:kern w:val="2"/>
          <w:sz w:val="30"/>
          <w:szCs w:val="32"/>
          <w:highlight w:val="none"/>
          <w:lang w:eastAsia="zh-CN" w:bidi="ar"/>
        </w:rPr>
        <w:t>依法必须招标的暂估价项目</w:t>
      </w:r>
    </w:p>
    <w:bookmarkEnd w:id="1075"/>
    <w:bookmarkEnd w:id="1076"/>
    <w:bookmarkEnd w:id="1077"/>
    <w:p w14:paraId="310AFFE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对于依法必须招标的暂估价项目的确认和批准采取第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种方式确定。</w:t>
      </w:r>
    </w:p>
    <w:p w14:paraId="181E2AD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10.7.2 </w:t>
      </w:r>
      <w:r>
        <w:rPr>
          <w:rFonts w:hint="eastAsia" w:ascii="Times New Roman" w:hAnsi="Times New Roman" w:eastAsia="仿宋_GB2312" w:cs="仿宋_GB2312"/>
          <w:color w:val="auto"/>
          <w:kern w:val="2"/>
          <w:sz w:val="30"/>
          <w:szCs w:val="32"/>
          <w:highlight w:val="none"/>
          <w:lang w:eastAsia="zh-CN" w:bidi="ar"/>
        </w:rPr>
        <w:t>不属于依法必须招标的暂估价项目</w:t>
      </w:r>
    </w:p>
    <w:p w14:paraId="58A01F8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对于不属于依法必须招标的暂估价项目的确认和批准采取第</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种方式确定。</w:t>
      </w:r>
    </w:p>
    <w:p w14:paraId="5274712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种方式：</w:t>
      </w:r>
      <w:r>
        <w:rPr>
          <w:rFonts w:hint="eastAsia" w:ascii="Times New Roman" w:hAnsi="Times New Roman" w:eastAsia="仿宋_GB2312" w:cs="仿宋_GB2312"/>
          <w:color w:val="auto"/>
          <w:kern w:val="0"/>
          <w:sz w:val="30"/>
          <w:szCs w:val="32"/>
          <w:highlight w:val="none"/>
          <w:lang w:eastAsia="zh-CN" w:bidi="ar"/>
        </w:rPr>
        <w:t>承包人直接实施的暂估价项目</w:t>
      </w:r>
    </w:p>
    <w:p w14:paraId="3DAA118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承包人直接实施的暂估价项目的约定：</w:t>
      </w:r>
      <w:r>
        <w:rPr>
          <w:rFonts w:ascii="Times New Roman" w:hAnsi="Times New Roman" w:eastAsia="仿宋_GB2312" w:cs="Times New Roman"/>
          <w:color w:val="auto"/>
          <w:kern w:val="2"/>
          <w:sz w:val="30"/>
          <w:szCs w:val="32"/>
          <w:highlight w:val="none"/>
          <w:u w:val="single"/>
          <w:lang w:eastAsia="zh-CN" w:bidi="ar"/>
        </w:rPr>
        <w:t xml:space="preserve">                     </w:t>
      </w:r>
    </w:p>
    <w:p w14:paraId="4A229520">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8FC8286">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10.8 </w:t>
      </w:r>
      <w:r>
        <w:rPr>
          <w:rFonts w:hint="eastAsia" w:ascii="Times New Roman" w:hAnsi="Times New Roman" w:eastAsia="黑体" w:cs="黑体"/>
          <w:color w:val="auto"/>
          <w:kern w:val="2"/>
          <w:sz w:val="30"/>
          <w:szCs w:val="32"/>
          <w:highlight w:val="none"/>
          <w:lang w:eastAsia="zh-CN" w:bidi="ar"/>
        </w:rPr>
        <w:t>暂列金额</w:t>
      </w:r>
    </w:p>
    <w:p w14:paraId="5A7F8DA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合同当事人关于暂列金额使用的约定：</w:t>
      </w:r>
      <w:r>
        <w:rPr>
          <w:rFonts w:ascii="Times New Roman" w:hAnsi="Times New Roman" w:eastAsia="仿宋_GB2312" w:cs="Times New Roman"/>
          <w:color w:val="auto"/>
          <w:kern w:val="2"/>
          <w:sz w:val="30"/>
          <w:szCs w:val="32"/>
          <w:highlight w:val="none"/>
          <w:u w:val="single"/>
          <w:lang w:eastAsia="zh-CN" w:bidi="ar"/>
        </w:rPr>
        <w:t xml:space="preserve">                     </w:t>
      </w:r>
    </w:p>
    <w:p w14:paraId="48B392E0">
      <w:pPr>
        <w:shd w:val="clear"/>
        <w:autoSpaceDE w:val="0"/>
        <w:autoSpaceDN w:val="0"/>
        <w:adjustRightInd w:val="0"/>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763C7D42">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078" w:name="_Toc163768469"/>
      <w:bookmarkStart w:id="1079" w:name="_Toc351203643"/>
      <w:bookmarkStart w:id="1080" w:name="_Toc163768587"/>
      <w:r>
        <w:rPr>
          <w:rFonts w:ascii="Times New Roman" w:hAnsi="Times New Roman" w:eastAsia="黑体" w:cs="Times New Roman"/>
          <w:b/>
          <w:bCs/>
          <w:color w:val="auto"/>
          <w:sz w:val="32"/>
          <w:szCs w:val="32"/>
          <w:highlight w:val="none"/>
          <w:lang w:val="en-US" w:eastAsia="zh-CN" w:bidi="en-US"/>
        </w:rPr>
        <w:t xml:space="preserve">11. </w:t>
      </w:r>
      <w:r>
        <w:rPr>
          <w:rFonts w:hint="eastAsia" w:ascii="Times New Roman" w:hAnsi="Times New Roman" w:eastAsia="黑体" w:cs="黑体"/>
          <w:b/>
          <w:bCs/>
          <w:color w:val="auto"/>
          <w:sz w:val="32"/>
          <w:szCs w:val="32"/>
          <w:highlight w:val="none"/>
          <w:lang w:val="en-US" w:eastAsia="zh-CN" w:bidi="en-US"/>
        </w:rPr>
        <w:t>价格调整</w:t>
      </w:r>
      <w:bookmarkEnd w:id="1078"/>
      <w:bookmarkEnd w:id="1079"/>
      <w:bookmarkEnd w:id="1080"/>
    </w:p>
    <w:p w14:paraId="1ED36D34">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bookmarkStart w:id="1081" w:name="_Toc297123550"/>
      <w:bookmarkStart w:id="1082" w:name="_Toc297048387"/>
      <w:bookmarkStart w:id="1083" w:name="_Toc296944540"/>
      <w:bookmarkStart w:id="1084" w:name="_Toc304295577"/>
      <w:bookmarkStart w:id="1085" w:name="_Toc296346702"/>
      <w:bookmarkStart w:id="1086" w:name="_Toc296503201"/>
      <w:bookmarkStart w:id="1087" w:name="_Toc297120501"/>
      <w:bookmarkStart w:id="1088" w:name="_Toc292559911"/>
      <w:bookmarkStart w:id="1089" w:name="_Toc296891241"/>
      <w:bookmarkStart w:id="1090" w:name="_Toc312678039"/>
      <w:bookmarkStart w:id="1091" w:name="_Toc297216209"/>
      <w:bookmarkStart w:id="1092" w:name="_Toc296347200"/>
      <w:bookmarkStart w:id="1093" w:name="_Toc303539157"/>
      <w:bookmarkStart w:id="1094" w:name="_Toc292559406"/>
      <w:bookmarkStart w:id="1095" w:name="_Toc296891029"/>
      <w:bookmarkStart w:id="1096" w:name="_Toc300935000"/>
      <w:r>
        <w:rPr>
          <w:rFonts w:ascii="Times New Roman" w:hAnsi="Times New Roman" w:eastAsia="黑体" w:cs="Times New Roman"/>
          <w:color w:val="auto"/>
          <w:kern w:val="2"/>
          <w:sz w:val="30"/>
          <w:szCs w:val="32"/>
          <w:highlight w:val="none"/>
          <w:lang w:eastAsia="zh-CN" w:bidi="ar"/>
        </w:rPr>
        <w:t xml:space="preserve">11.1 </w:t>
      </w:r>
      <w:r>
        <w:rPr>
          <w:rFonts w:hint="eastAsia" w:ascii="Times New Roman" w:hAnsi="Times New Roman" w:eastAsia="黑体" w:cs="黑体"/>
          <w:color w:val="auto"/>
          <w:kern w:val="2"/>
          <w:sz w:val="30"/>
          <w:szCs w:val="32"/>
          <w:highlight w:val="none"/>
          <w:lang w:eastAsia="zh-CN" w:bidi="ar"/>
        </w:rPr>
        <w:t>市场价格波动引起的调整</w:t>
      </w:r>
    </w:p>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14:paraId="3D28A15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市场价格波动是否调整合同价格的约定：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6920FF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因市场价格波动调整合同价格，采用以下第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种方式对合同价格进行调整：</w:t>
      </w:r>
    </w:p>
    <w:p w14:paraId="4223473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种方式：采用价格指数进行价格调整。</w:t>
      </w:r>
    </w:p>
    <w:p w14:paraId="74C443AE">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关于各可调因子、定值和变值权重，以及基本价格指数及其来源的约定：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6A27B4A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种方式：采用造价信息进行价格调整。</w:t>
      </w:r>
    </w:p>
    <w:p w14:paraId="0B423C3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）关于基准价格的约定：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647EB4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专用合同条款</w:t>
      </w:r>
      <w:r>
        <w:rPr>
          <w:rFonts w:hint="eastAsia" w:ascii="宋体" w:hAnsi="宋体" w:eastAsia="宋体" w:cs="宋体"/>
          <w:color w:val="auto"/>
          <w:kern w:val="2"/>
          <w:sz w:val="30"/>
          <w:szCs w:val="32"/>
          <w:highlight w:val="none"/>
          <w:lang w:eastAsia="zh-CN" w:bidi="ar"/>
        </w:rPr>
        <w:t>①</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承包人在已标价工程量清单或预算书中载明的材料单价低于基准价格的：专用合同条款合同履行期间材料单价涨幅以基准价格为基础超过</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时，或材料单价跌幅以已标价工程量清单或预算书中载明材料单价为基础超过</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时，其超过部分据实调整。</w:t>
      </w:r>
    </w:p>
    <w:p w14:paraId="107F619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②</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承包人在已标价工程量清单或预算书中载明的材料单价高于基准价格的：专用合同条款合同履行期间材料单价跌幅以基准价格为基础超过</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时，材料单价涨幅以已标价工程量清单或预算书中载明材料单价为基础超过</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时，其超过部分据实调整。</w:t>
      </w:r>
    </w:p>
    <w:p w14:paraId="0C988ACE">
      <w:pPr>
        <w:shd w:val="clear"/>
        <w:spacing w:line="360" w:lineRule="auto"/>
        <w:ind w:firstLine="645"/>
        <w:jc w:val="left"/>
        <w:rPr>
          <w:rFonts w:ascii="Times New Roman" w:hAnsi="Times New Roman" w:eastAsia="仿宋_GB2312" w:cs="Times New Roman"/>
          <w:color w:val="auto"/>
          <w:kern w:val="0"/>
          <w:sz w:val="30"/>
          <w:szCs w:val="32"/>
          <w:highlight w:val="none"/>
          <w:lang w:eastAsia="zh-CN" w:bidi="en-US"/>
        </w:rPr>
      </w:pPr>
      <w:r>
        <w:rPr>
          <w:rFonts w:hint="eastAsia" w:ascii="宋体" w:hAnsi="宋体" w:eastAsia="宋体" w:cs="宋体"/>
          <w:color w:val="auto"/>
          <w:kern w:val="2"/>
          <w:sz w:val="30"/>
          <w:szCs w:val="32"/>
          <w:highlight w:val="none"/>
          <w:lang w:eastAsia="zh-CN" w:bidi="ar"/>
        </w:rPr>
        <w:t>③</w:t>
      </w:r>
      <w:r>
        <w:rPr>
          <w:rFonts w:hint="eastAsia" w:ascii="Times New Roman" w:hAnsi="Times New Roman" w:eastAsia="仿宋_GB2312" w:cs="仿宋_GB2312"/>
          <w:color w:val="auto"/>
          <w:kern w:val="2"/>
          <w:sz w:val="30"/>
          <w:szCs w:val="32"/>
          <w:highlight w:val="none"/>
          <w:lang w:eastAsia="zh-CN" w:bidi="ar"/>
        </w:rPr>
        <w:t>承包人在已标价工程量清单或预算书中载明的材料单价等于基准单价的：专用合同条款合同履行期间材料单价涨跌幅以基准单价为基础超过</w:t>
      </w:r>
      <w:r>
        <w:rPr>
          <w:rFonts w:ascii="Times New Roman" w:hAnsi="Times New Roman" w:eastAsia="仿宋_GB2312" w:cs="Times New Roman"/>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w:t>
      </w:r>
      <w:r>
        <w:rPr>
          <w:rFonts w:hint="eastAsia" w:ascii="Times New Roman" w:hAnsi="Times New Roman" w:eastAsia="仿宋_GB2312" w:cs="仿宋_GB2312"/>
          <w:color w:val="auto"/>
          <w:kern w:val="2"/>
          <w:sz w:val="30"/>
          <w:szCs w:val="32"/>
          <w:highlight w:val="none"/>
          <w:lang w:eastAsia="zh-CN" w:bidi="ar"/>
        </w:rPr>
        <w:t>时，其超过部分据实调整。</w:t>
      </w:r>
    </w:p>
    <w:p w14:paraId="4B61FE5E">
      <w:pPr>
        <w:shd w:val="clear"/>
        <w:spacing w:line="360" w:lineRule="auto"/>
        <w:ind w:firstLine="645"/>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第</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种方式：其他价格调整方式：</w:t>
      </w:r>
      <w:r>
        <w:rPr>
          <w:rFonts w:ascii="Times New Roman" w:hAnsi="Times New Roman" w:eastAsia="仿宋_GB2312" w:cs="Times New Roman"/>
          <w:color w:val="auto"/>
          <w:kern w:val="2"/>
          <w:sz w:val="30"/>
          <w:szCs w:val="32"/>
          <w:highlight w:val="none"/>
          <w:u w:val="single"/>
          <w:lang w:eastAsia="zh-CN" w:bidi="ar"/>
        </w:rPr>
        <w:t xml:space="preserve">                        </w:t>
      </w:r>
    </w:p>
    <w:p w14:paraId="66F20535">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982"/>
    <w:bookmarkEnd w:id="983"/>
    <w:bookmarkEnd w:id="984"/>
    <w:bookmarkEnd w:id="985"/>
    <w:bookmarkEnd w:id="986"/>
    <w:bookmarkEnd w:id="987"/>
    <w:p w14:paraId="73F1BF3B">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097" w:name="_Toc296347204"/>
      <w:bookmarkStart w:id="1098" w:name="_Toc296503205"/>
      <w:bookmarkStart w:id="1099" w:name="_Toc297048391"/>
      <w:bookmarkStart w:id="1100" w:name="_Toc292559915"/>
      <w:bookmarkStart w:id="1101" w:name="_Toc296944544"/>
      <w:bookmarkStart w:id="1102" w:name="_Toc296891033"/>
      <w:bookmarkStart w:id="1103" w:name="_Toc296891245"/>
      <w:bookmarkStart w:id="1104" w:name="_Toc292559410"/>
      <w:bookmarkStart w:id="1105" w:name="_Toc297120505"/>
      <w:bookmarkStart w:id="1106" w:name="_Toc296346706"/>
      <w:bookmarkStart w:id="1107" w:name="_Toc163768470"/>
      <w:bookmarkStart w:id="1108" w:name="_Toc163768588"/>
      <w:bookmarkStart w:id="1109" w:name="_Toc351203644"/>
      <w:bookmarkStart w:id="1110" w:name="_Toc303539159"/>
      <w:bookmarkStart w:id="1111" w:name="_Toc304295579"/>
      <w:bookmarkStart w:id="1112" w:name="_Toc297216211"/>
      <w:bookmarkStart w:id="1113" w:name="_Toc312678040"/>
      <w:bookmarkStart w:id="1114" w:name="_Toc300935002"/>
      <w:bookmarkStart w:id="1115" w:name="_Toc297123552"/>
      <w:r>
        <w:rPr>
          <w:rFonts w:ascii="Times New Roman" w:hAnsi="Times New Roman" w:eastAsia="黑体" w:cs="Times New Roman"/>
          <w:b/>
          <w:bCs/>
          <w:color w:val="auto"/>
          <w:sz w:val="32"/>
          <w:szCs w:val="32"/>
          <w:highlight w:val="none"/>
          <w:lang w:val="en-US" w:eastAsia="zh-CN" w:bidi="en-US"/>
        </w:rPr>
        <w:t xml:space="preserve">12. </w:t>
      </w:r>
      <w:bookmarkEnd w:id="1097"/>
      <w:bookmarkEnd w:id="1098"/>
      <w:bookmarkEnd w:id="1099"/>
      <w:bookmarkEnd w:id="1100"/>
      <w:bookmarkEnd w:id="1101"/>
      <w:bookmarkEnd w:id="1102"/>
      <w:bookmarkEnd w:id="1103"/>
      <w:bookmarkEnd w:id="1104"/>
      <w:bookmarkEnd w:id="1105"/>
      <w:bookmarkEnd w:id="1106"/>
      <w:r>
        <w:rPr>
          <w:rFonts w:hint="eastAsia" w:ascii="Times New Roman" w:hAnsi="Times New Roman" w:eastAsia="黑体" w:cs="Times New Roman"/>
          <w:b/>
          <w:bCs/>
          <w:color w:val="auto"/>
          <w:sz w:val="32"/>
          <w:szCs w:val="32"/>
          <w:highlight w:val="none"/>
          <w:lang w:val="en-US" w:eastAsia="zh-CN" w:bidi="en-US"/>
        </w:rPr>
        <w:t>合同价格、计量与支付</w:t>
      </w:r>
      <w:bookmarkEnd w:id="1107"/>
      <w:bookmarkEnd w:id="1108"/>
      <w:bookmarkEnd w:id="1109"/>
    </w:p>
    <w:bookmarkEnd w:id="1110"/>
    <w:bookmarkEnd w:id="1111"/>
    <w:bookmarkEnd w:id="1112"/>
    <w:bookmarkEnd w:id="1113"/>
    <w:bookmarkEnd w:id="1114"/>
    <w:bookmarkEnd w:id="1115"/>
    <w:p w14:paraId="7431AA03">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bookmarkStart w:id="1116" w:name="_Toc292559411"/>
      <w:bookmarkStart w:id="1117" w:name="_Toc267251461"/>
      <w:bookmarkStart w:id="1118" w:name="_Toc292559916"/>
      <w:bookmarkStart w:id="1119" w:name="_Toc296891034"/>
      <w:bookmarkStart w:id="1120" w:name="_Toc296944545"/>
      <w:bookmarkStart w:id="1121" w:name="_Toc296346707"/>
      <w:bookmarkStart w:id="1122" w:name="_Toc296347205"/>
      <w:bookmarkStart w:id="1123" w:name="_Toc296503206"/>
      <w:bookmarkStart w:id="1124" w:name="_Toc297120506"/>
      <w:bookmarkStart w:id="1125" w:name="_Toc296891246"/>
      <w:bookmarkStart w:id="1126" w:name="_Toc297048392"/>
      <w:bookmarkStart w:id="1127" w:name="_Toc312678041"/>
      <w:bookmarkStart w:id="1128" w:name="_Toc297216212"/>
      <w:bookmarkStart w:id="1129" w:name="_Toc300935003"/>
      <w:bookmarkStart w:id="1130" w:name="_Toc304295580"/>
      <w:bookmarkStart w:id="1131" w:name="_Toc303539160"/>
      <w:bookmarkStart w:id="1132" w:name="_Toc297123553"/>
      <w:r>
        <w:rPr>
          <w:rFonts w:ascii="Times New Roman" w:hAnsi="Times New Roman" w:eastAsia="黑体" w:cs="Times New Roman"/>
          <w:color w:val="auto"/>
          <w:kern w:val="2"/>
          <w:sz w:val="30"/>
          <w:szCs w:val="32"/>
          <w:highlight w:val="none"/>
          <w:lang w:eastAsia="zh-CN" w:bidi="ar"/>
        </w:rPr>
        <w:t xml:space="preserve">12.1 </w:t>
      </w:r>
      <w:r>
        <w:rPr>
          <w:rFonts w:hint="eastAsia" w:ascii="Times New Roman" w:hAnsi="Times New Roman" w:eastAsia="黑体" w:cs="黑体"/>
          <w:color w:val="auto"/>
          <w:kern w:val="2"/>
          <w:sz w:val="30"/>
          <w:szCs w:val="32"/>
          <w:highlight w:val="none"/>
          <w:lang w:eastAsia="zh-CN" w:bidi="ar"/>
        </w:rPr>
        <w:t>合</w:t>
      </w:r>
      <w:bookmarkEnd w:id="1116"/>
      <w:bookmarkEnd w:id="1117"/>
      <w:bookmarkEnd w:id="1118"/>
      <w:r>
        <w:rPr>
          <w:rFonts w:hint="eastAsia" w:ascii="Times New Roman" w:hAnsi="Times New Roman" w:eastAsia="黑体" w:cs="黑体"/>
          <w:color w:val="auto"/>
          <w:kern w:val="2"/>
          <w:sz w:val="30"/>
          <w:szCs w:val="32"/>
          <w:highlight w:val="none"/>
          <w:lang w:eastAsia="zh-CN" w:bidi="ar"/>
        </w:rPr>
        <w:t>同价</w:t>
      </w:r>
      <w:bookmarkEnd w:id="1119"/>
      <w:bookmarkEnd w:id="1120"/>
      <w:bookmarkEnd w:id="1121"/>
      <w:bookmarkEnd w:id="1122"/>
      <w:bookmarkEnd w:id="1123"/>
      <w:bookmarkEnd w:id="1124"/>
      <w:bookmarkEnd w:id="1125"/>
      <w:bookmarkEnd w:id="1126"/>
      <w:r>
        <w:rPr>
          <w:rFonts w:hint="eastAsia" w:ascii="Times New Roman" w:hAnsi="Times New Roman" w:eastAsia="黑体" w:cs="黑体"/>
          <w:color w:val="auto"/>
          <w:kern w:val="2"/>
          <w:sz w:val="30"/>
          <w:szCs w:val="32"/>
          <w:highlight w:val="none"/>
          <w:lang w:eastAsia="zh-CN" w:bidi="ar"/>
        </w:rPr>
        <w:t>格形式</w:t>
      </w:r>
    </w:p>
    <w:bookmarkEnd w:id="1127"/>
    <w:bookmarkEnd w:id="1128"/>
    <w:bookmarkEnd w:id="1129"/>
    <w:bookmarkEnd w:id="1130"/>
    <w:bookmarkEnd w:id="1131"/>
    <w:bookmarkEnd w:id="1132"/>
    <w:p w14:paraId="0CB2139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、单价合同。</w:t>
      </w:r>
    </w:p>
    <w:p w14:paraId="7BA63B1A">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综合单价包含的风险范围：</w:t>
      </w:r>
      <w:r>
        <w:rPr>
          <w:rFonts w:ascii="Times New Roman" w:hAnsi="Times New Roman" w:eastAsia="仿宋_GB2312" w:cs="Times New Roman"/>
          <w:color w:val="auto"/>
          <w:kern w:val="2"/>
          <w:sz w:val="30"/>
          <w:szCs w:val="32"/>
          <w:highlight w:val="none"/>
          <w:u w:val="single"/>
          <w:lang w:eastAsia="zh-CN" w:bidi="ar"/>
        </w:rPr>
        <w:t xml:space="preserve">                               </w:t>
      </w:r>
    </w:p>
    <w:p w14:paraId="52394B70">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BC59671">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风险费用的计算方法：</w:t>
      </w:r>
      <w:r>
        <w:rPr>
          <w:rFonts w:ascii="Times New Roman" w:hAnsi="Times New Roman" w:eastAsia="仿宋_GB2312" w:cs="Times New Roman"/>
          <w:color w:val="auto"/>
          <w:kern w:val="2"/>
          <w:sz w:val="30"/>
          <w:szCs w:val="32"/>
          <w:highlight w:val="none"/>
          <w:u w:val="single"/>
          <w:lang w:eastAsia="zh-CN" w:bidi="ar"/>
        </w:rPr>
        <w:t xml:space="preserve">                                  </w:t>
      </w:r>
    </w:p>
    <w:p w14:paraId="4BCBAC2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45E443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风险范围以外合同价格的调整方法：</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p>
    <w:p w14:paraId="2315F6D8">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7FCC61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、总价合同。</w:t>
      </w:r>
    </w:p>
    <w:p w14:paraId="387918EE">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总价包含的风险范围：</w:t>
      </w:r>
      <w:r>
        <w:rPr>
          <w:rFonts w:ascii="Times New Roman" w:hAnsi="Times New Roman" w:eastAsia="仿宋_GB2312" w:cs="Times New Roman"/>
          <w:color w:val="auto"/>
          <w:kern w:val="2"/>
          <w:sz w:val="30"/>
          <w:szCs w:val="32"/>
          <w:highlight w:val="none"/>
          <w:u w:val="single"/>
          <w:lang w:eastAsia="zh-CN" w:bidi="ar"/>
        </w:rPr>
        <w:t xml:space="preserve">                                   </w:t>
      </w:r>
    </w:p>
    <w:p w14:paraId="7400D687">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E6A2B3F">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风险费用的计算方法：</w:t>
      </w:r>
      <w:r>
        <w:rPr>
          <w:rFonts w:ascii="Times New Roman" w:hAnsi="Times New Roman" w:eastAsia="仿宋_GB2312" w:cs="Times New Roman"/>
          <w:color w:val="auto"/>
          <w:kern w:val="2"/>
          <w:sz w:val="30"/>
          <w:szCs w:val="32"/>
          <w:highlight w:val="none"/>
          <w:u w:val="single"/>
          <w:lang w:eastAsia="zh-CN" w:bidi="ar"/>
        </w:rPr>
        <w:t xml:space="preserve">                                   </w:t>
      </w:r>
    </w:p>
    <w:p w14:paraId="416401C1">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6A83DB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风险范围以外合同价格的调整方法：</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p>
    <w:p w14:paraId="4F9E5E2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4B5C51E">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、其他价格方式：</w:t>
      </w:r>
      <w:r>
        <w:rPr>
          <w:rFonts w:ascii="Times New Roman" w:hAnsi="Times New Roman" w:eastAsia="仿宋_GB2312" w:cs="Times New Roman"/>
          <w:color w:val="auto"/>
          <w:kern w:val="2"/>
          <w:sz w:val="30"/>
          <w:szCs w:val="32"/>
          <w:highlight w:val="none"/>
          <w:u w:val="single"/>
          <w:lang w:eastAsia="zh-CN" w:bidi="ar"/>
        </w:rPr>
        <w:t xml:space="preserve">                                     </w:t>
      </w:r>
    </w:p>
    <w:p w14:paraId="003A023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ED43CB0">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bookmarkStart w:id="1133" w:name="_Toc297123554"/>
      <w:bookmarkStart w:id="1134" w:name="_Toc303539161"/>
      <w:bookmarkStart w:id="1135" w:name="_Toc304295581"/>
      <w:bookmarkStart w:id="1136" w:name="_Toc312678042"/>
      <w:bookmarkStart w:id="1137" w:name="_Toc300935004"/>
      <w:bookmarkStart w:id="1138" w:name="_Toc297216213"/>
      <w:bookmarkStart w:id="1139" w:name="_Toc292559412"/>
      <w:bookmarkStart w:id="1140" w:name="_Toc297048393"/>
      <w:bookmarkStart w:id="1141" w:name="_Toc296347206"/>
      <w:bookmarkStart w:id="1142" w:name="_Toc292559917"/>
      <w:bookmarkStart w:id="1143" w:name="_Toc297120507"/>
      <w:bookmarkStart w:id="1144" w:name="_Toc296944546"/>
      <w:bookmarkStart w:id="1145" w:name="_Toc296891247"/>
      <w:bookmarkStart w:id="1146" w:name="_Toc296346708"/>
      <w:bookmarkStart w:id="1147" w:name="_Toc296891035"/>
      <w:bookmarkStart w:id="1148" w:name="_Toc296503207"/>
      <w:r>
        <w:rPr>
          <w:rFonts w:ascii="Times New Roman" w:hAnsi="Times New Roman" w:eastAsia="黑体" w:cs="Times New Roman"/>
          <w:color w:val="auto"/>
          <w:kern w:val="2"/>
          <w:sz w:val="30"/>
          <w:szCs w:val="32"/>
          <w:highlight w:val="none"/>
          <w:lang w:eastAsia="zh-CN" w:bidi="ar"/>
        </w:rPr>
        <w:t xml:space="preserve">12.2 </w:t>
      </w:r>
      <w:r>
        <w:rPr>
          <w:rFonts w:hint="eastAsia" w:ascii="Times New Roman" w:hAnsi="Times New Roman" w:eastAsia="黑体" w:cs="黑体"/>
          <w:color w:val="auto"/>
          <w:kern w:val="2"/>
          <w:sz w:val="30"/>
          <w:szCs w:val="32"/>
          <w:highlight w:val="none"/>
          <w:lang w:eastAsia="zh-CN" w:bidi="ar"/>
        </w:rPr>
        <w:t>预付款</w:t>
      </w:r>
    </w:p>
    <w:bookmarkEnd w:id="1133"/>
    <w:bookmarkEnd w:id="1134"/>
    <w:bookmarkEnd w:id="1135"/>
    <w:bookmarkEnd w:id="1136"/>
    <w:bookmarkEnd w:id="1137"/>
    <w:bookmarkEnd w:id="1138"/>
    <w:p w14:paraId="6665645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12.2.1 </w:t>
      </w:r>
      <w:r>
        <w:rPr>
          <w:rFonts w:hint="eastAsia" w:ascii="Times New Roman" w:hAnsi="Times New Roman" w:eastAsia="仿宋_GB2312" w:cs="仿宋_GB2312"/>
          <w:color w:val="auto"/>
          <w:kern w:val="2"/>
          <w:sz w:val="30"/>
          <w:szCs w:val="32"/>
          <w:highlight w:val="none"/>
          <w:lang w:eastAsia="zh-CN" w:bidi="ar"/>
        </w:rPr>
        <w:t>预付款的支付</w:t>
      </w:r>
    </w:p>
    <w:p w14:paraId="6378018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预付款支付比例或金额：</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F390FB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预付款支付期限：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0FE4F5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预付款扣回的方式：</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C5C460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12.2.2 </w:t>
      </w:r>
      <w:r>
        <w:rPr>
          <w:rFonts w:hint="eastAsia" w:ascii="Times New Roman" w:hAnsi="Times New Roman" w:eastAsia="仿宋_GB2312" w:cs="仿宋_GB2312"/>
          <w:color w:val="auto"/>
          <w:kern w:val="2"/>
          <w:sz w:val="30"/>
          <w:szCs w:val="32"/>
          <w:highlight w:val="none"/>
          <w:lang w:eastAsia="zh-CN" w:bidi="ar"/>
        </w:rPr>
        <w:t>预付款担保</w:t>
      </w:r>
    </w:p>
    <w:p w14:paraId="53AC683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承包人提交预付款担保的期限：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7E76EE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预付款担保的形式为：</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139"/>
    <w:bookmarkEnd w:id="1140"/>
    <w:bookmarkEnd w:id="1141"/>
    <w:bookmarkEnd w:id="1142"/>
    <w:bookmarkEnd w:id="1143"/>
    <w:bookmarkEnd w:id="1144"/>
    <w:bookmarkEnd w:id="1145"/>
    <w:bookmarkEnd w:id="1146"/>
    <w:bookmarkEnd w:id="1147"/>
    <w:bookmarkEnd w:id="1148"/>
    <w:p w14:paraId="058A3A25">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12.3 </w:t>
      </w:r>
      <w:r>
        <w:rPr>
          <w:rFonts w:hint="eastAsia" w:ascii="Times New Roman" w:hAnsi="Times New Roman" w:eastAsia="黑体" w:cs="黑体"/>
          <w:color w:val="auto"/>
          <w:kern w:val="2"/>
          <w:sz w:val="30"/>
          <w:szCs w:val="32"/>
          <w:highlight w:val="none"/>
          <w:lang w:eastAsia="zh-CN" w:bidi="ar"/>
        </w:rPr>
        <w:t>计量</w:t>
      </w:r>
    </w:p>
    <w:p w14:paraId="110BDDF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12.3.1 </w:t>
      </w:r>
      <w:r>
        <w:rPr>
          <w:rFonts w:hint="eastAsia" w:ascii="Times New Roman" w:hAnsi="Times New Roman" w:eastAsia="仿宋_GB2312" w:cs="仿宋_GB2312"/>
          <w:color w:val="auto"/>
          <w:kern w:val="2"/>
          <w:sz w:val="30"/>
          <w:szCs w:val="32"/>
          <w:highlight w:val="none"/>
          <w:lang w:eastAsia="zh-CN" w:bidi="ar"/>
        </w:rPr>
        <w:t>计量原则</w:t>
      </w:r>
    </w:p>
    <w:p w14:paraId="2C25286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工程量计算规则：</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468D44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12.3.2 </w:t>
      </w:r>
      <w:r>
        <w:rPr>
          <w:rFonts w:hint="eastAsia" w:ascii="Times New Roman" w:hAnsi="Times New Roman" w:eastAsia="仿宋_GB2312" w:cs="仿宋_GB2312"/>
          <w:color w:val="auto"/>
          <w:kern w:val="2"/>
          <w:sz w:val="30"/>
          <w:szCs w:val="32"/>
          <w:highlight w:val="none"/>
          <w:lang w:eastAsia="zh-CN" w:bidi="ar"/>
        </w:rPr>
        <w:t>计量周期</w:t>
      </w:r>
    </w:p>
    <w:p w14:paraId="1EC8DC4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关于计量周期的约定：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F1947E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12.3.3 </w:t>
      </w:r>
      <w:r>
        <w:rPr>
          <w:rFonts w:hint="eastAsia" w:ascii="Times New Roman" w:hAnsi="Times New Roman" w:eastAsia="仿宋_GB2312" w:cs="仿宋_GB2312"/>
          <w:color w:val="auto"/>
          <w:kern w:val="2"/>
          <w:sz w:val="30"/>
          <w:szCs w:val="32"/>
          <w:highlight w:val="none"/>
          <w:lang w:eastAsia="zh-CN" w:bidi="ar"/>
        </w:rPr>
        <w:t>单价合同的计量</w:t>
      </w:r>
    </w:p>
    <w:p w14:paraId="51228AD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关于单价合同计量的约定：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FB4C24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12.3.4 </w:t>
      </w:r>
      <w:r>
        <w:rPr>
          <w:rFonts w:hint="eastAsia" w:ascii="Times New Roman" w:hAnsi="Times New Roman" w:eastAsia="仿宋_GB2312" w:cs="仿宋_GB2312"/>
          <w:color w:val="auto"/>
          <w:kern w:val="2"/>
          <w:sz w:val="30"/>
          <w:szCs w:val="32"/>
          <w:highlight w:val="none"/>
          <w:lang w:eastAsia="zh-CN" w:bidi="ar"/>
        </w:rPr>
        <w:t>总价合同的计量</w:t>
      </w:r>
    </w:p>
    <w:p w14:paraId="2B1E10E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关于总价合同计量的约定：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5A937A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12.3.5</w:t>
      </w:r>
      <w:r>
        <w:rPr>
          <w:rFonts w:hint="eastAsia" w:ascii="Times New Roman" w:hAnsi="Times New Roman" w:eastAsia="仿宋_GB2312" w:cs="仿宋_GB2312"/>
          <w:color w:val="auto"/>
          <w:kern w:val="2"/>
          <w:sz w:val="30"/>
          <w:szCs w:val="32"/>
          <w:highlight w:val="none"/>
          <w:lang w:eastAsia="zh-CN" w:bidi="ar"/>
        </w:rPr>
        <w:t>总价合同采用支付分解表计量支付的，是否适用第</w:t>
      </w:r>
      <w:r>
        <w:rPr>
          <w:rFonts w:ascii="Times New Roman" w:hAnsi="Times New Roman" w:eastAsia="仿宋_GB2312" w:cs="Times New Roman"/>
          <w:color w:val="auto"/>
          <w:kern w:val="0"/>
          <w:sz w:val="30"/>
          <w:szCs w:val="32"/>
          <w:highlight w:val="none"/>
          <w:lang w:eastAsia="zh-CN" w:bidi="ar"/>
        </w:rPr>
        <w:t xml:space="preserve">12.3.4 </w:t>
      </w:r>
      <w:r>
        <w:rPr>
          <w:rFonts w:hint="eastAsia" w:ascii="Times New Roman" w:hAnsi="Times New Roman" w:eastAsia="仿宋_GB2312" w:cs="仿宋_GB2312"/>
          <w:color w:val="auto"/>
          <w:kern w:val="2"/>
          <w:sz w:val="30"/>
          <w:szCs w:val="32"/>
          <w:highlight w:val="none"/>
          <w:lang w:eastAsia="zh-CN" w:bidi="ar"/>
        </w:rPr>
        <w:t>项</w:t>
      </w:r>
      <w:r>
        <w:rPr>
          <w:rFonts w:hint="eastAsia" w:ascii="Times New Roman" w:hAnsi="Times New Roman" w:eastAsia="仿宋_GB2312" w:cs="仿宋_GB2312"/>
          <w:color w:val="auto"/>
          <w:kern w:val="0"/>
          <w:sz w:val="30"/>
          <w:szCs w:val="32"/>
          <w:highlight w:val="none"/>
          <w:lang w:eastAsia="zh-CN" w:bidi="ar"/>
        </w:rPr>
        <w:t>〔总价合同的计量〕</w:t>
      </w:r>
      <w:r>
        <w:rPr>
          <w:rFonts w:hint="eastAsia" w:ascii="Times New Roman" w:hAnsi="Times New Roman" w:eastAsia="仿宋_GB2312" w:cs="仿宋_GB2312"/>
          <w:color w:val="auto"/>
          <w:kern w:val="2"/>
          <w:sz w:val="30"/>
          <w:szCs w:val="32"/>
          <w:highlight w:val="none"/>
          <w:lang w:eastAsia="zh-CN" w:bidi="ar"/>
        </w:rPr>
        <w:t>约定进行计量：</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D1D6B8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12.3.6 </w:t>
      </w:r>
      <w:r>
        <w:rPr>
          <w:rFonts w:hint="eastAsia" w:ascii="Times New Roman" w:hAnsi="Times New Roman" w:eastAsia="仿宋_GB2312" w:cs="仿宋_GB2312"/>
          <w:color w:val="auto"/>
          <w:kern w:val="2"/>
          <w:sz w:val="30"/>
          <w:szCs w:val="32"/>
          <w:highlight w:val="none"/>
          <w:lang w:eastAsia="zh-CN" w:bidi="ar"/>
        </w:rPr>
        <w:t>其他价格形式合同的计量</w:t>
      </w:r>
    </w:p>
    <w:p w14:paraId="314B55CC">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其他价格形式的计量方式和程序：</w:t>
      </w:r>
      <w:r>
        <w:rPr>
          <w:rFonts w:ascii="Times New Roman" w:hAnsi="Times New Roman" w:eastAsia="仿宋_GB2312" w:cs="Times New Roman"/>
          <w:color w:val="auto"/>
          <w:kern w:val="2"/>
          <w:sz w:val="30"/>
          <w:szCs w:val="32"/>
          <w:highlight w:val="none"/>
          <w:u w:val="single"/>
          <w:lang w:eastAsia="zh-CN" w:bidi="ar"/>
        </w:rPr>
        <w:t xml:space="preserve">                         </w:t>
      </w:r>
    </w:p>
    <w:p w14:paraId="6F16D24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F8DB4FC">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12.4 </w:t>
      </w:r>
      <w:r>
        <w:rPr>
          <w:rFonts w:hint="eastAsia" w:ascii="Times New Roman" w:hAnsi="Times New Roman" w:eastAsia="黑体" w:cs="黑体"/>
          <w:color w:val="auto"/>
          <w:kern w:val="2"/>
          <w:sz w:val="30"/>
          <w:szCs w:val="32"/>
          <w:highlight w:val="none"/>
          <w:lang w:eastAsia="zh-CN" w:bidi="ar"/>
        </w:rPr>
        <w:t>工程进度款支付</w:t>
      </w:r>
    </w:p>
    <w:p w14:paraId="4A3227C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bookmarkStart w:id="1149" w:name="_Toc296891251"/>
      <w:bookmarkStart w:id="1150" w:name="_Toc303539163"/>
      <w:bookmarkStart w:id="1151" w:name="_Toc297123556"/>
      <w:bookmarkStart w:id="1152" w:name="_Toc296944550"/>
      <w:bookmarkStart w:id="1153" w:name="_Toc296346712"/>
      <w:bookmarkStart w:id="1154" w:name="_Toc296503211"/>
      <w:bookmarkStart w:id="1155" w:name="_Toc292559921"/>
      <w:bookmarkStart w:id="1156" w:name="_Toc296347210"/>
      <w:bookmarkStart w:id="1157" w:name="_Toc297216215"/>
      <w:bookmarkStart w:id="1158" w:name="_Toc296891039"/>
      <w:bookmarkStart w:id="1159" w:name="_Toc292559416"/>
      <w:bookmarkStart w:id="1160" w:name="_Toc297120511"/>
      <w:bookmarkStart w:id="1161" w:name="_Toc297048397"/>
      <w:bookmarkStart w:id="1162" w:name="_Toc300935006"/>
      <w:r>
        <w:rPr>
          <w:rFonts w:ascii="Times New Roman" w:hAnsi="Times New Roman" w:eastAsia="仿宋_GB2312" w:cs="Times New Roman"/>
          <w:color w:val="auto"/>
          <w:kern w:val="2"/>
          <w:sz w:val="30"/>
          <w:szCs w:val="32"/>
          <w:highlight w:val="none"/>
          <w:lang w:eastAsia="zh-CN" w:bidi="ar"/>
        </w:rPr>
        <w:t xml:space="preserve">12.4.1 </w:t>
      </w:r>
      <w:r>
        <w:rPr>
          <w:rFonts w:hint="eastAsia" w:ascii="Times New Roman" w:hAnsi="Times New Roman" w:eastAsia="仿宋_GB2312" w:cs="仿宋_GB2312"/>
          <w:color w:val="auto"/>
          <w:kern w:val="2"/>
          <w:sz w:val="30"/>
          <w:szCs w:val="32"/>
          <w:highlight w:val="none"/>
          <w:lang w:eastAsia="zh-CN" w:bidi="ar"/>
        </w:rPr>
        <w:t>付款周期</w:t>
      </w:r>
    </w:p>
    <w:p w14:paraId="10EEDDD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关于付款周期的约定：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8B845A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12.4.2 </w:t>
      </w:r>
      <w:r>
        <w:rPr>
          <w:rFonts w:hint="eastAsia" w:ascii="Times New Roman" w:hAnsi="Times New Roman" w:eastAsia="仿宋_GB2312" w:cs="仿宋_GB2312"/>
          <w:color w:val="auto"/>
          <w:kern w:val="2"/>
          <w:sz w:val="30"/>
          <w:szCs w:val="32"/>
          <w:highlight w:val="none"/>
          <w:lang w:eastAsia="zh-CN" w:bidi="ar"/>
        </w:rPr>
        <w:t>进度付款申请单的编制</w:t>
      </w:r>
    </w:p>
    <w:p w14:paraId="75E78A22">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关于进度付款申请单编制的约定：</w:t>
      </w:r>
      <w:r>
        <w:rPr>
          <w:rFonts w:ascii="Times New Roman" w:hAnsi="Times New Roman" w:eastAsia="仿宋_GB2312" w:cs="Times New Roman"/>
          <w:color w:val="auto"/>
          <w:kern w:val="2"/>
          <w:sz w:val="30"/>
          <w:szCs w:val="32"/>
          <w:highlight w:val="none"/>
          <w:u w:val="single"/>
          <w:lang w:eastAsia="zh-CN" w:bidi="ar"/>
        </w:rPr>
        <w:t xml:space="preserve">                       </w:t>
      </w:r>
    </w:p>
    <w:p w14:paraId="676151D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7E8C52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Pr>
          <w:rFonts w:ascii="Times New Roman" w:hAnsi="Times New Roman" w:eastAsia="仿宋_GB2312" w:cs="Times New Roman"/>
          <w:color w:val="auto"/>
          <w:kern w:val="2"/>
          <w:sz w:val="30"/>
          <w:szCs w:val="32"/>
          <w:highlight w:val="none"/>
          <w:lang w:eastAsia="zh-CN" w:bidi="ar"/>
        </w:rPr>
        <w:t xml:space="preserve">2.4.3 </w:t>
      </w:r>
      <w:r>
        <w:rPr>
          <w:rFonts w:hint="eastAsia" w:ascii="Times New Roman" w:hAnsi="Times New Roman" w:eastAsia="仿宋_GB2312" w:cs="仿宋_GB2312"/>
          <w:color w:val="auto"/>
          <w:kern w:val="2"/>
          <w:sz w:val="30"/>
          <w:szCs w:val="32"/>
          <w:highlight w:val="none"/>
          <w:lang w:eastAsia="zh-CN" w:bidi="ar"/>
        </w:rPr>
        <w:t>进度付款申请单的提交</w:t>
      </w:r>
    </w:p>
    <w:p w14:paraId="00AC0A5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）单价合同进度付款申请单提交的约定：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94AE22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）总价合同进度付款申请单提交的约定：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D7E1234">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）其他价格形式合同进度付款申请单提交的约定：</w:t>
      </w:r>
      <w:r>
        <w:rPr>
          <w:rFonts w:ascii="Times New Roman" w:hAnsi="Times New Roman" w:eastAsia="仿宋_GB2312" w:cs="Times New Roman"/>
          <w:color w:val="auto"/>
          <w:kern w:val="2"/>
          <w:sz w:val="30"/>
          <w:szCs w:val="32"/>
          <w:highlight w:val="none"/>
          <w:u w:val="single"/>
          <w:lang w:eastAsia="zh-CN" w:bidi="ar"/>
        </w:rPr>
        <w:t xml:space="preserve">       </w:t>
      </w:r>
    </w:p>
    <w:p w14:paraId="09752AA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087A4B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12.4.4 </w:t>
      </w:r>
      <w:r>
        <w:rPr>
          <w:rFonts w:hint="eastAsia" w:ascii="Times New Roman" w:hAnsi="Times New Roman" w:eastAsia="仿宋_GB2312" w:cs="仿宋_GB2312"/>
          <w:color w:val="auto"/>
          <w:kern w:val="2"/>
          <w:sz w:val="30"/>
          <w:szCs w:val="32"/>
          <w:highlight w:val="none"/>
          <w:lang w:eastAsia="zh-CN" w:bidi="ar"/>
        </w:rPr>
        <w:t>进度款审核和支付</w:t>
      </w:r>
    </w:p>
    <w:p w14:paraId="79344076">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）监理人审查并报送发包人的期限：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1739200">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发包人完成审批并签发进度款支付证书的期限：</w:t>
      </w:r>
      <w:r>
        <w:rPr>
          <w:rFonts w:ascii="Times New Roman" w:hAnsi="Times New Roman" w:eastAsia="仿宋_GB2312" w:cs="Times New Roman"/>
          <w:color w:val="auto"/>
          <w:kern w:val="2"/>
          <w:sz w:val="30"/>
          <w:szCs w:val="32"/>
          <w:highlight w:val="none"/>
          <w:u w:val="single"/>
          <w:lang w:eastAsia="zh-CN" w:bidi="ar"/>
        </w:rPr>
        <w:t xml:space="preserve">           </w:t>
      </w:r>
    </w:p>
    <w:p w14:paraId="0F76CC70">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868768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）发包人支付进度款的期限：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74EBAE0">
      <w:pPr>
        <w:shd w:val="clear"/>
        <w:spacing w:line="360" w:lineRule="auto"/>
        <w:ind w:firstLine="750" w:firstLineChars="25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发包人逾期支付进度款的违约金的计算方式：</w:t>
      </w:r>
      <w:r>
        <w:rPr>
          <w:rFonts w:ascii="Times New Roman" w:hAnsi="Times New Roman" w:eastAsia="仿宋_GB2312" w:cs="Times New Roman"/>
          <w:color w:val="auto"/>
          <w:kern w:val="2"/>
          <w:sz w:val="30"/>
          <w:szCs w:val="32"/>
          <w:highlight w:val="none"/>
          <w:u w:val="single"/>
          <w:lang w:eastAsia="zh-CN" w:bidi="ar"/>
        </w:rPr>
        <w:t xml:space="preserve">            </w:t>
      </w:r>
    </w:p>
    <w:p w14:paraId="281E2247">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A342B46">
      <w:pPr>
        <w:shd w:val="clear"/>
        <w:spacing w:line="360" w:lineRule="auto"/>
        <w:ind w:firstLine="750" w:firstLineChars="25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12.4.6 </w:t>
      </w:r>
      <w:r>
        <w:rPr>
          <w:rFonts w:hint="eastAsia" w:ascii="Times New Roman" w:hAnsi="Times New Roman" w:eastAsia="仿宋_GB2312" w:cs="仿宋_GB2312"/>
          <w:color w:val="auto"/>
          <w:kern w:val="2"/>
          <w:sz w:val="30"/>
          <w:szCs w:val="32"/>
          <w:highlight w:val="none"/>
          <w:lang w:eastAsia="zh-CN" w:bidi="ar"/>
        </w:rPr>
        <w:t>支付分解表的编制</w:t>
      </w:r>
    </w:p>
    <w:p w14:paraId="586B5615">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、总价合同支付分解表的编制与审批：</w:t>
      </w:r>
      <w:r>
        <w:rPr>
          <w:rFonts w:ascii="Times New Roman" w:hAnsi="Times New Roman" w:eastAsia="仿宋_GB2312" w:cs="Times New Roman"/>
          <w:color w:val="auto"/>
          <w:kern w:val="2"/>
          <w:sz w:val="30"/>
          <w:szCs w:val="32"/>
          <w:highlight w:val="none"/>
          <w:u w:val="single"/>
          <w:lang w:eastAsia="zh-CN" w:bidi="ar"/>
        </w:rPr>
        <w:t xml:space="preserve">                  </w:t>
      </w:r>
    </w:p>
    <w:p w14:paraId="455C0DCF">
      <w:pPr>
        <w:shd w:val="clear"/>
        <w:spacing w:line="360" w:lineRule="auto"/>
        <w:ind w:left="6000" w:hanging="6000" w:hangingChars="20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D649E42">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、单价合同的总价项目支付分解表的编制与审批：</w:t>
      </w:r>
      <w:r>
        <w:rPr>
          <w:rFonts w:ascii="Times New Roman" w:hAnsi="Times New Roman" w:eastAsia="仿宋_GB2312" w:cs="Times New Roman"/>
          <w:color w:val="auto"/>
          <w:kern w:val="2"/>
          <w:sz w:val="30"/>
          <w:szCs w:val="32"/>
          <w:highlight w:val="none"/>
          <w:u w:val="single"/>
          <w:lang w:eastAsia="zh-CN" w:bidi="ar"/>
        </w:rPr>
        <w:t xml:space="preserve">         </w:t>
      </w:r>
      <w:r>
        <w:rPr>
          <w:rFonts w:ascii="Times New Roman" w:hAnsi="Times New Roman" w:eastAsia="仿宋_GB2312" w:cs="Times New Roman"/>
          <w:color w:val="auto"/>
          <w:kern w:val="2"/>
          <w:sz w:val="30"/>
          <w:szCs w:val="32"/>
          <w:highlight w:val="none"/>
          <w:lang w:eastAsia="zh-CN" w:bidi="ar"/>
        </w:rPr>
        <w:t xml:space="preserve">   </w:t>
      </w:r>
    </w:p>
    <w:p w14:paraId="4720F45F">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988"/>
    <w:p w14:paraId="50F91A88">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163" w:name="_Toc163768471"/>
      <w:bookmarkStart w:id="1164" w:name="_Toc351203645"/>
      <w:bookmarkStart w:id="1165" w:name="_Toc163768589"/>
      <w:bookmarkStart w:id="1166" w:name="_Toc303539172"/>
      <w:bookmarkStart w:id="1167" w:name="_Toc296347218"/>
      <w:bookmarkStart w:id="1168" w:name="_Toc297123564"/>
      <w:bookmarkStart w:id="1169" w:name="_Toc296944558"/>
      <w:bookmarkStart w:id="1170" w:name="_Toc312678053"/>
      <w:bookmarkStart w:id="1171" w:name="_Toc296891259"/>
      <w:bookmarkStart w:id="1172" w:name="_Toc296891047"/>
      <w:bookmarkStart w:id="1173" w:name="_Toc297048405"/>
      <w:bookmarkStart w:id="1174" w:name="_Toc297216223"/>
      <w:bookmarkStart w:id="1175" w:name="_Toc296503219"/>
      <w:bookmarkStart w:id="1176" w:name="_Toc296346720"/>
      <w:bookmarkStart w:id="1177" w:name="_Toc300935015"/>
      <w:bookmarkStart w:id="1178" w:name="_Toc297120519"/>
      <w:bookmarkStart w:id="1179" w:name="_Toc292559929"/>
      <w:bookmarkStart w:id="1180" w:name="_Toc304295593"/>
      <w:bookmarkStart w:id="1181" w:name="_Toc292559424"/>
      <w:r>
        <w:rPr>
          <w:rFonts w:ascii="Times New Roman" w:hAnsi="Times New Roman" w:eastAsia="黑体" w:cs="Times New Roman"/>
          <w:b/>
          <w:bCs/>
          <w:color w:val="auto"/>
          <w:sz w:val="32"/>
          <w:szCs w:val="32"/>
          <w:highlight w:val="none"/>
          <w:lang w:val="en-US" w:eastAsia="zh-CN" w:bidi="en-US"/>
        </w:rPr>
        <w:t xml:space="preserve">13. </w:t>
      </w:r>
      <w:r>
        <w:rPr>
          <w:rFonts w:hint="eastAsia" w:ascii="Times New Roman" w:hAnsi="Times New Roman" w:eastAsia="黑体" w:cs="Times New Roman"/>
          <w:b/>
          <w:bCs/>
          <w:color w:val="auto"/>
          <w:sz w:val="32"/>
          <w:szCs w:val="32"/>
          <w:highlight w:val="none"/>
          <w:lang w:val="en-US" w:eastAsia="zh-CN" w:bidi="en-US"/>
        </w:rPr>
        <w:t>验收和工程试车</w:t>
      </w:r>
      <w:bookmarkEnd w:id="1163"/>
      <w:bookmarkEnd w:id="1164"/>
      <w:bookmarkEnd w:id="1165"/>
    </w:p>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14:paraId="2ADBB278">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13.1 </w:t>
      </w:r>
      <w:r>
        <w:rPr>
          <w:rFonts w:hint="eastAsia" w:ascii="Times New Roman" w:hAnsi="Times New Roman" w:eastAsia="黑体" w:cs="黑体"/>
          <w:color w:val="auto"/>
          <w:kern w:val="2"/>
          <w:sz w:val="30"/>
          <w:szCs w:val="32"/>
          <w:highlight w:val="none"/>
          <w:lang w:eastAsia="zh-CN" w:bidi="ar"/>
        </w:rPr>
        <w:t>分部分项工程验收</w:t>
      </w:r>
    </w:p>
    <w:p w14:paraId="1D06164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13.1.2</w:t>
      </w:r>
      <w:r>
        <w:rPr>
          <w:rFonts w:hint="eastAsia" w:ascii="Times New Roman" w:hAnsi="Times New Roman" w:eastAsia="仿宋_GB2312" w:cs="仿宋_GB2312"/>
          <w:color w:val="auto"/>
          <w:kern w:val="2"/>
          <w:sz w:val="30"/>
          <w:szCs w:val="32"/>
          <w:highlight w:val="none"/>
          <w:lang w:eastAsia="zh-CN" w:bidi="ar"/>
        </w:rPr>
        <w:t>监理人不能按时进行验收时，应提前</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小时提交书面延期要求。</w:t>
      </w:r>
    </w:p>
    <w:p w14:paraId="62E4E935">
      <w:pPr>
        <w:shd w:val="clear"/>
        <w:spacing w:line="360" w:lineRule="auto"/>
        <w:ind w:firstLine="600" w:firstLineChars="200"/>
        <w:jc w:val="left"/>
        <w:rPr>
          <w:rFonts w:ascii="Times New Roman" w:hAnsi="Times New Roman" w:eastAsia="仿宋_GB2312" w:cs="Times New Roman"/>
          <w:b/>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关于延期最长不得超过：</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小时。</w:t>
      </w:r>
    </w:p>
    <w:p w14:paraId="29CCF3D0">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bookmarkStart w:id="1182" w:name="_Toc297120523"/>
      <w:bookmarkStart w:id="1183" w:name="_Toc312678056"/>
      <w:bookmarkStart w:id="1184" w:name="_Toc296347222"/>
      <w:bookmarkStart w:id="1185" w:name="_Toc296891263"/>
      <w:bookmarkStart w:id="1186" w:name="_Toc297048409"/>
      <w:bookmarkStart w:id="1187" w:name="_Toc303539173"/>
      <w:bookmarkStart w:id="1188" w:name="_Toc296346724"/>
      <w:bookmarkStart w:id="1189" w:name="_Toc292559428"/>
      <w:bookmarkStart w:id="1190" w:name="_Toc297123565"/>
      <w:bookmarkStart w:id="1191" w:name="_Toc296503223"/>
      <w:bookmarkStart w:id="1192" w:name="_Toc300935016"/>
      <w:bookmarkStart w:id="1193" w:name="_Toc297216224"/>
      <w:bookmarkStart w:id="1194" w:name="_Toc296944562"/>
      <w:bookmarkStart w:id="1195" w:name="_Toc304295596"/>
      <w:bookmarkStart w:id="1196" w:name="_Toc296891051"/>
      <w:bookmarkStart w:id="1197" w:name="_Toc292559933"/>
      <w:bookmarkStart w:id="1198" w:name="_Toc267251475"/>
      <w:bookmarkStart w:id="1199" w:name="_Toc267251474"/>
      <w:bookmarkStart w:id="1200" w:name="_Toc267251473"/>
      <w:bookmarkStart w:id="1201" w:name="_Toc267251472"/>
      <w:bookmarkStart w:id="1202" w:name="_Toc267251470"/>
      <w:bookmarkStart w:id="1203" w:name="_Toc267251476"/>
      <w:bookmarkStart w:id="1204" w:name="_Toc267251471"/>
      <w:r>
        <w:rPr>
          <w:rFonts w:ascii="Times New Roman" w:hAnsi="Times New Roman" w:eastAsia="黑体" w:cs="Times New Roman"/>
          <w:color w:val="auto"/>
          <w:kern w:val="2"/>
          <w:sz w:val="30"/>
          <w:szCs w:val="32"/>
          <w:highlight w:val="none"/>
          <w:lang w:eastAsia="zh-CN" w:bidi="ar"/>
        </w:rPr>
        <w:t xml:space="preserve">13.2 </w:t>
      </w:r>
      <w:r>
        <w:rPr>
          <w:rFonts w:hint="eastAsia" w:ascii="Times New Roman" w:hAnsi="Times New Roman" w:eastAsia="黑体" w:cs="黑体"/>
          <w:color w:val="auto"/>
          <w:kern w:val="2"/>
          <w:sz w:val="30"/>
          <w:szCs w:val="32"/>
          <w:highlight w:val="none"/>
          <w:lang w:eastAsia="zh-CN" w:bidi="ar"/>
        </w:rPr>
        <w:t>竣工验收</w:t>
      </w:r>
    </w:p>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14:paraId="7154E49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bookmarkStart w:id="1205" w:name="_Toc280868704"/>
      <w:bookmarkStart w:id="1206" w:name="_Toc280868705"/>
      <w:bookmarkStart w:id="1207" w:name="_Toc280868706"/>
      <w:bookmarkStart w:id="1208" w:name="_Toc280868707"/>
      <w:bookmarkStart w:id="1209" w:name="_Toc280868708"/>
      <w:bookmarkStart w:id="1210" w:name="_Toc280868709"/>
      <w:r>
        <w:rPr>
          <w:rFonts w:ascii="Times New Roman" w:hAnsi="Times New Roman" w:eastAsia="仿宋_GB2312" w:cs="Times New Roman"/>
          <w:color w:val="auto"/>
          <w:kern w:val="2"/>
          <w:sz w:val="30"/>
          <w:szCs w:val="32"/>
          <w:highlight w:val="none"/>
          <w:lang w:eastAsia="zh-CN" w:bidi="ar"/>
        </w:rPr>
        <w:t>13.2.2</w:t>
      </w:r>
      <w:r>
        <w:rPr>
          <w:rFonts w:hint="eastAsia" w:ascii="Times New Roman" w:hAnsi="Times New Roman" w:eastAsia="仿宋_GB2312" w:cs="仿宋_GB2312"/>
          <w:color w:val="auto"/>
          <w:kern w:val="2"/>
          <w:sz w:val="30"/>
          <w:szCs w:val="32"/>
          <w:highlight w:val="none"/>
          <w:lang w:eastAsia="zh-CN" w:bidi="ar"/>
        </w:rPr>
        <w:t>竣工验收程序</w:t>
      </w:r>
    </w:p>
    <w:bookmarkEnd w:id="1205"/>
    <w:p w14:paraId="554C6AA2">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关于竣工验收程序的约定：</w:t>
      </w:r>
      <w:r>
        <w:rPr>
          <w:rFonts w:ascii="Times New Roman" w:hAnsi="Times New Roman" w:eastAsia="仿宋_GB2312" w:cs="Times New Roman"/>
          <w:color w:val="auto"/>
          <w:kern w:val="2"/>
          <w:sz w:val="30"/>
          <w:szCs w:val="32"/>
          <w:highlight w:val="none"/>
          <w:u w:val="single"/>
          <w:lang w:eastAsia="zh-CN" w:bidi="ar"/>
        </w:rPr>
        <w:t xml:space="preserve">                              </w:t>
      </w:r>
    </w:p>
    <w:p w14:paraId="5A850DD9">
      <w:pPr>
        <w:shd w:val="clear"/>
        <w:spacing w:line="360" w:lineRule="auto"/>
        <w:ind w:left="6000" w:hanging="6000" w:hangingChars="20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08EC944">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发包人不按照本项约定组织竣工验收、颁发工程接收证书的违约金的计算方法：</w:t>
      </w:r>
      <w:r>
        <w:rPr>
          <w:rFonts w:ascii="Times New Roman" w:hAnsi="Times New Roman" w:eastAsia="仿宋_GB2312" w:cs="Times New Roman"/>
          <w:color w:val="auto"/>
          <w:kern w:val="2"/>
          <w:sz w:val="30"/>
          <w:szCs w:val="32"/>
          <w:highlight w:val="none"/>
          <w:u w:val="single"/>
          <w:lang w:eastAsia="zh-CN" w:bidi="ar"/>
        </w:rPr>
        <w:t xml:space="preserve">                                         </w:t>
      </w:r>
    </w:p>
    <w:p w14:paraId="60EE2DE2">
      <w:pPr>
        <w:shd w:val="clear"/>
        <w:spacing w:line="360" w:lineRule="auto"/>
        <w:jc w:val="left"/>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206"/>
    <w:p w14:paraId="76FB724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ascii="Times New Roman" w:hAnsi="Times New Roman" w:eastAsia="仿宋_GB2312" w:cs="Times New Roman"/>
          <w:color w:val="auto"/>
          <w:kern w:val="2"/>
          <w:sz w:val="30"/>
          <w:szCs w:val="32"/>
          <w:highlight w:val="none"/>
          <w:lang w:eastAsia="zh-CN" w:bidi="ar"/>
        </w:rPr>
        <w:t>13.2.5</w:t>
      </w:r>
      <w:r>
        <w:rPr>
          <w:rFonts w:hint="eastAsia" w:ascii="Times New Roman" w:hAnsi="Times New Roman" w:eastAsia="仿宋_GB2312" w:cs="仿宋_GB2312"/>
          <w:color w:val="auto"/>
          <w:kern w:val="2"/>
          <w:sz w:val="30"/>
          <w:szCs w:val="32"/>
          <w:highlight w:val="none"/>
          <w:lang w:eastAsia="zh-CN" w:bidi="ar"/>
        </w:rPr>
        <w:t>移交、接收全部与部分工程</w:t>
      </w:r>
    </w:p>
    <w:bookmarkEnd w:id="1207"/>
    <w:p w14:paraId="272258E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承包人向发包人移交工程的期限：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768D32EA">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发包人未按本合同约定接收全部或部分工程的，违约金的计算方法为：</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208"/>
    <w:p w14:paraId="41EF6E2C">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承包人未按时移交工程的，违约金的计算方法为：</w:t>
      </w:r>
      <w:r>
        <w:rPr>
          <w:rFonts w:ascii="Times New Roman" w:hAnsi="Times New Roman" w:eastAsia="仿宋_GB2312" w:cs="Times New Roman"/>
          <w:color w:val="auto"/>
          <w:kern w:val="2"/>
          <w:sz w:val="30"/>
          <w:szCs w:val="32"/>
          <w:highlight w:val="none"/>
          <w:u w:val="single"/>
          <w:lang w:eastAsia="zh-CN" w:bidi="ar"/>
        </w:rPr>
        <w:t xml:space="preserve">          </w:t>
      </w:r>
    </w:p>
    <w:p w14:paraId="52430BF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E9A8024">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13.3 </w:t>
      </w:r>
      <w:r>
        <w:rPr>
          <w:rFonts w:hint="eastAsia" w:ascii="Times New Roman" w:hAnsi="Times New Roman" w:eastAsia="黑体" w:cs="黑体"/>
          <w:color w:val="auto"/>
          <w:kern w:val="2"/>
          <w:sz w:val="30"/>
          <w:szCs w:val="32"/>
          <w:highlight w:val="none"/>
          <w:lang w:eastAsia="zh-CN" w:bidi="ar"/>
        </w:rPr>
        <w:t>工程试车</w:t>
      </w:r>
    </w:p>
    <w:bookmarkEnd w:id="1209"/>
    <w:p w14:paraId="3A17C1E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13.3.1 </w:t>
      </w:r>
      <w:r>
        <w:rPr>
          <w:rFonts w:hint="eastAsia" w:ascii="Times New Roman" w:hAnsi="Times New Roman" w:eastAsia="仿宋_GB2312" w:cs="仿宋_GB2312"/>
          <w:color w:val="auto"/>
          <w:kern w:val="0"/>
          <w:sz w:val="30"/>
          <w:szCs w:val="32"/>
          <w:highlight w:val="none"/>
          <w:lang w:eastAsia="zh-CN" w:bidi="ar"/>
        </w:rPr>
        <w:t>试车程序</w:t>
      </w:r>
    </w:p>
    <w:p w14:paraId="0FF876D2">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工程试车内容：</w:t>
      </w:r>
      <w:r>
        <w:rPr>
          <w:rFonts w:ascii="Times New Roman" w:hAnsi="Times New Roman" w:eastAsia="仿宋_GB2312" w:cs="Times New Roman"/>
          <w:color w:val="auto"/>
          <w:kern w:val="2"/>
          <w:sz w:val="30"/>
          <w:szCs w:val="32"/>
          <w:highlight w:val="none"/>
          <w:u w:val="single"/>
          <w:lang w:eastAsia="zh-CN" w:bidi="ar"/>
        </w:rPr>
        <w:t xml:space="preserve">                                        </w:t>
      </w:r>
    </w:p>
    <w:p w14:paraId="3C9BB91F">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254D68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）单机无负荷试车费用由</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承担；</w:t>
      </w:r>
    </w:p>
    <w:p w14:paraId="7FF703C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）无负荷联动试车费用由</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承担。</w:t>
      </w:r>
    </w:p>
    <w:p w14:paraId="54D4BA9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13.3.3 </w:t>
      </w:r>
      <w:r>
        <w:rPr>
          <w:rFonts w:hint="eastAsia" w:ascii="Times New Roman" w:hAnsi="Times New Roman" w:eastAsia="仿宋_GB2312" w:cs="仿宋_GB2312"/>
          <w:color w:val="auto"/>
          <w:kern w:val="0"/>
          <w:sz w:val="30"/>
          <w:szCs w:val="32"/>
          <w:highlight w:val="none"/>
          <w:lang w:eastAsia="zh-CN" w:bidi="ar"/>
        </w:rPr>
        <w:t>投料试车</w:t>
      </w:r>
    </w:p>
    <w:p w14:paraId="4B209BD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关于投料试车相关事项的约定：</w:t>
      </w:r>
      <w:r>
        <w:rPr>
          <w:rFonts w:ascii="Times New Roman" w:hAnsi="Times New Roman" w:eastAsia="仿宋_GB2312" w:cs="Times New Roman"/>
          <w:color w:val="auto"/>
          <w:kern w:val="2"/>
          <w:sz w:val="30"/>
          <w:szCs w:val="32"/>
          <w:highlight w:val="none"/>
          <w:u w:val="single"/>
          <w:lang w:eastAsia="zh-CN" w:bidi="ar"/>
        </w:rPr>
        <w:t xml:space="preserve">                           </w:t>
      </w:r>
    </w:p>
    <w:p w14:paraId="03E1C1A8">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FBD5967">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13.6 </w:t>
      </w:r>
      <w:r>
        <w:rPr>
          <w:rFonts w:hint="eastAsia" w:ascii="Times New Roman" w:hAnsi="Times New Roman" w:eastAsia="黑体" w:cs="黑体"/>
          <w:color w:val="auto"/>
          <w:kern w:val="2"/>
          <w:sz w:val="30"/>
          <w:szCs w:val="32"/>
          <w:highlight w:val="none"/>
          <w:lang w:eastAsia="zh-CN" w:bidi="ar"/>
        </w:rPr>
        <w:t>竣工退场</w:t>
      </w:r>
    </w:p>
    <w:p w14:paraId="4E79626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13.6.1 </w:t>
      </w:r>
      <w:r>
        <w:rPr>
          <w:rFonts w:hint="eastAsia" w:ascii="Times New Roman" w:hAnsi="Times New Roman" w:eastAsia="仿宋_GB2312" w:cs="仿宋_GB2312"/>
          <w:color w:val="auto"/>
          <w:kern w:val="0"/>
          <w:sz w:val="30"/>
          <w:szCs w:val="32"/>
          <w:highlight w:val="none"/>
          <w:lang w:eastAsia="zh-CN" w:bidi="ar"/>
        </w:rPr>
        <w:t>竣工退场</w:t>
      </w:r>
    </w:p>
    <w:p w14:paraId="19160F4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承包人完成竣工退场的期限：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3FA63D64">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11" w:name="_Toc163768472"/>
      <w:bookmarkStart w:id="1212" w:name="_Toc351203646"/>
      <w:bookmarkStart w:id="1213" w:name="_Toc163768590"/>
      <w:r>
        <w:rPr>
          <w:rFonts w:ascii="Times New Roman" w:hAnsi="Times New Roman" w:eastAsia="黑体" w:cs="Times New Roman"/>
          <w:b/>
          <w:bCs/>
          <w:color w:val="auto"/>
          <w:sz w:val="32"/>
          <w:szCs w:val="32"/>
          <w:highlight w:val="none"/>
          <w:lang w:val="en-US" w:eastAsia="zh-CN" w:bidi="en-US"/>
        </w:rPr>
        <w:t xml:space="preserve">14. </w:t>
      </w:r>
      <w:r>
        <w:rPr>
          <w:rFonts w:hint="eastAsia" w:ascii="Times New Roman" w:hAnsi="Times New Roman" w:eastAsia="黑体" w:cs="黑体"/>
          <w:b/>
          <w:bCs/>
          <w:color w:val="auto"/>
          <w:sz w:val="32"/>
          <w:szCs w:val="32"/>
          <w:highlight w:val="none"/>
          <w:lang w:val="en-US" w:eastAsia="zh-CN" w:bidi="en-US"/>
        </w:rPr>
        <w:t>竣工结算</w:t>
      </w:r>
      <w:bookmarkEnd w:id="1211"/>
      <w:bookmarkEnd w:id="1212"/>
      <w:bookmarkEnd w:id="1213"/>
    </w:p>
    <w:p w14:paraId="6B08C556">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14.1 </w:t>
      </w:r>
      <w:r>
        <w:rPr>
          <w:rFonts w:hint="eastAsia" w:ascii="Times New Roman" w:hAnsi="Times New Roman" w:eastAsia="黑体" w:cs="黑体"/>
          <w:color w:val="auto"/>
          <w:kern w:val="2"/>
          <w:sz w:val="30"/>
          <w:szCs w:val="32"/>
          <w:highlight w:val="none"/>
          <w:lang w:eastAsia="zh-CN" w:bidi="ar"/>
        </w:rPr>
        <w:t>竣工结算申请</w:t>
      </w:r>
    </w:p>
    <w:p w14:paraId="710C5FB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承包人提交竣工结算申请单的期限：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268907E6">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竣工结算申请单应包括的内容：</w:t>
      </w:r>
      <w:r>
        <w:rPr>
          <w:rFonts w:ascii="Times New Roman" w:hAnsi="Times New Roman" w:eastAsia="仿宋_GB2312" w:cs="Times New Roman"/>
          <w:color w:val="auto"/>
          <w:kern w:val="2"/>
          <w:sz w:val="30"/>
          <w:szCs w:val="32"/>
          <w:highlight w:val="none"/>
          <w:u w:val="single"/>
          <w:lang w:eastAsia="zh-CN" w:bidi="ar"/>
        </w:rPr>
        <w:t xml:space="preserve">                        </w:t>
      </w:r>
    </w:p>
    <w:p w14:paraId="14F5CC0F">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789B83B">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14.2 </w:t>
      </w:r>
      <w:r>
        <w:rPr>
          <w:rFonts w:hint="eastAsia" w:ascii="Times New Roman" w:hAnsi="Times New Roman" w:eastAsia="黑体" w:cs="黑体"/>
          <w:color w:val="auto"/>
          <w:kern w:val="2"/>
          <w:sz w:val="30"/>
          <w:szCs w:val="32"/>
          <w:highlight w:val="none"/>
          <w:lang w:eastAsia="zh-CN" w:bidi="ar"/>
        </w:rPr>
        <w:t>竣工结算审核</w:t>
      </w:r>
    </w:p>
    <w:p w14:paraId="2D9087E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发包人审批竣工付款申请单的期限：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F1538E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发包人完成竣工付款的期限：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B021EEC">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关于竣工付款证书异议部分复核的方式和程序：</w:t>
      </w:r>
      <w:r>
        <w:rPr>
          <w:rFonts w:ascii="Times New Roman" w:hAnsi="Times New Roman" w:eastAsia="仿宋_GB2312" w:cs="Times New Roman"/>
          <w:color w:val="auto"/>
          <w:kern w:val="2"/>
          <w:sz w:val="30"/>
          <w:szCs w:val="32"/>
          <w:highlight w:val="none"/>
          <w:u w:val="single"/>
          <w:lang w:eastAsia="zh-CN" w:bidi="ar"/>
        </w:rPr>
        <w:t xml:space="preserve">          </w:t>
      </w:r>
    </w:p>
    <w:p w14:paraId="264E5344">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1110AB9B">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14.4 </w:t>
      </w:r>
      <w:r>
        <w:rPr>
          <w:rFonts w:hint="eastAsia" w:ascii="Times New Roman" w:hAnsi="Times New Roman" w:eastAsia="黑体" w:cs="黑体"/>
          <w:color w:val="auto"/>
          <w:kern w:val="2"/>
          <w:sz w:val="30"/>
          <w:szCs w:val="32"/>
          <w:highlight w:val="none"/>
          <w:lang w:eastAsia="zh-CN" w:bidi="ar"/>
        </w:rPr>
        <w:t>最终结清</w:t>
      </w:r>
    </w:p>
    <w:p w14:paraId="1CDE4997">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14.4.1 </w:t>
      </w:r>
      <w:r>
        <w:rPr>
          <w:rFonts w:hint="eastAsia" w:ascii="Times New Roman" w:hAnsi="Times New Roman" w:eastAsia="仿宋_GB2312" w:cs="仿宋_GB2312"/>
          <w:color w:val="auto"/>
          <w:kern w:val="0"/>
          <w:sz w:val="30"/>
          <w:szCs w:val="32"/>
          <w:highlight w:val="none"/>
          <w:lang w:eastAsia="zh-CN" w:bidi="ar"/>
        </w:rPr>
        <w:t>最终结清申请单</w:t>
      </w:r>
    </w:p>
    <w:p w14:paraId="2683D9C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承包人提交最终结清申请单的份数：</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5AB1C79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承包人提交最终结算申请单的期限：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73F7F8C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14.4.2 </w:t>
      </w:r>
      <w:r>
        <w:rPr>
          <w:rFonts w:hint="eastAsia" w:ascii="Times New Roman" w:hAnsi="Times New Roman" w:eastAsia="仿宋_GB2312" w:cs="仿宋_GB2312"/>
          <w:color w:val="auto"/>
          <w:kern w:val="2"/>
          <w:sz w:val="30"/>
          <w:szCs w:val="32"/>
          <w:highlight w:val="none"/>
          <w:lang w:eastAsia="zh-CN" w:bidi="ar"/>
        </w:rPr>
        <w:t>最终结清证书和支付</w:t>
      </w:r>
    </w:p>
    <w:p w14:paraId="5C349CF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）发包人完成最终结清申请单的审批并颁发最终结清证书的期限：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C781D7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）发包人完成支付的期限：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198"/>
    <w:bookmarkEnd w:id="1199"/>
    <w:bookmarkEnd w:id="1200"/>
    <w:bookmarkEnd w:id="1201"/>
    <w:bookmarkEnd w:id="1202"/>
    <w:bookmarkEnd w:id="1203"/>
    <w:bookmarkEnd w:id="1204"/>
    <w:bookmarkEnd w:id="1210"/>
    <w:p w14:paraId="2F8FEC81">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14" w:name="_Toc163768473"/>
      <w:bookmarkStart w:id="1215" w:name="_Toc163768591"/>
      <w:bookmarkStart w:id="1216" w:name="_Toc351203647"/>
      <w:bookmarkStart w:id="1217" w:name="_Toc267251483"/>
      <w:bookmarkStart w:id="1218" w:name="_Toc267251484"/>
      <w:bookmarkStart w:id="1219" w:name="_Toc267251482"/>
      <w:bookmarkStart w:id="1220" w:name="_Toc267251485"/>
      <w:bookmarkStart w:id="1221" w:name="_Toc267251489"/>
      <w:bookmarkStart w:id="1222" w:name="_Toc267251486"/>
      <w:bookmarkStart w:id="1223" w:name="_Toc267251490"/>
      <w:bookmarkStart w:id="1224" w:name="_Toc267251488"/>
      <w:bookmarkStart w:id="1225" w:name="_Toc267251495"/>
      <w:bookmarkStart w:id="1226" w:name="_Toc267251491"/>
      <w:bookmarkStart w:id="1227" w:name="_Toc267251497"/>
      <w:bookmarkStart w:id="1228" w:name="_Toc267251503"/>
      <w:bookmarkStart w:id="1229" w:name="_Toc267251493"/>
      <w:bookmarkStart w:id="1230" w:name="_Toc267251502"/>
      <w:bookmarkStart w:id="1231" w:name="_Toc267251492"/>
      <w:bookmarkStart w:id="1232" w:name="_Toc267251494"/>
      <w:bookmarkStart w:id="1233" w:name="_Toc267251496"/>
      <w:bookmarkStart w:id="1234" w:name="_Toc267251498"/>
      <w:bookmarkStart w:id="1235" w:name="_Toc267251501"/>
      <w:bookmarkStart w:id="1236" w:name="_Toc267251499"/>
      <w:bookmarkStart w:id="1237" w:name="_Toc267251506"/>
      <w:bookmarkStart w:id="1238" w:name="_Toc267251504"/>
      <w:bookmarkStart w:id="1239" w:name="_Toc267251507"/>
      <w:bookmarkStart w:id="1240" w:name="_Toc267251508"/>
      <w:bookmarkStart w:id="1241" w:name="_Toc267251509"/>
      <w:bookmarkStart w:id="1242" w:name="_Toc267251511"/>
      <w:bookmarkStart w:id="1243" w:name="_Toc267251510"/>
      <w:bookmarkStart w:id="1244" w:name="_Toc267251513"/>
      <w:bookmarkStart w:id="1245" w:name="_Toc267251514"/>
      <w:bookmarkStart w:id="1246" w:name="_Toc267251515"/>
      <w:r>
        <w:rPr>
          <w:rFonts w:ascii="Times New Roman" w:hAnsi="Times New Roman" w:eastAsia="黑体" w:cs="Times New Roman"/>
          <w:b/>
          <w:bCs/>
          <w:color w:val="auto"/>
          <w:sz w:val="32"/>
          <w:szCs w:val="32"/>
          <w:highlight w:val="none"/>
          <w:lang w:val="en-US" w:eastAsia="zh-CN" w:bidi="en-US"/>
        </w:rPr>
        <w:t xml:space="preserve">15. </w:t>
      </w:r>
      <w:r>
        <w:rPr>
          <w:rFonts w:hint="eastAsia" w:ascii="Times New Roman" w:hAnsi="Times New Roman" w:eastAsia="黑体" w:cs="Times New Roman"/>
          <w:b/>
          <w:bCs/>
          <w:color w:val="auto"/>
          <w:sz w:val="32"/>
          <w:szCs w:val="32"/>
          <w:highlight w:val="none"/>
          <w:lang w:val="en-US" w:eastAsia="zh-CN" w:bidi="en-US"/>
        </w:rPr>
        <w:t>缺陷责任期与保修</w:t>
      </w:r>
      <w:bookmarkEnd w:id="1214"/>
      <w:bookmarkEnd w:id="1215"/>
      <w:bookmarkEnd w:id="1216"/>
    </w:p>
    <w:p w14:paraId="2E2F572C">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15.2</w:t>
      </w:r>
      <w:r>
        <w:rPr>
          <w:rFonts w:hint="eastAsia" w:ascii="Times New Roman" w:hAnsi="Times New Roman" w:eastAsia="黑体" w:cs="黑体"/>
          <w:color w:val="auto"/>
          <w:kern w:val="2"/>
          <w:sz w:val="30"/>
          <w:szCs w:val="32"/>
          <w:highlight w:val="none"/>
          <w:lang w:eastAsia="zh-CN" w:bidi="ar"/>
        </w:rPr>
        <w:t>缺陷责任期</w:t>
      </w:r>
      <w:bookmarkEnd w:id="1217"/>
    </w:p>
    <w:p w14:paraId="29F31E67">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缺陷责任期的具体期限：</w:t>
      </w:r>
      <w:r>
        <w:rPr>
          <w:rFonts w:hint="eastAsia" w:ascii="Times New Roman" w:hAnsi="Times New Roman" w:eastAsia="仿宋_GB2312" w:cs="Times New Roman"/>
          <w:color w:val="auto"/>
          <w:kern w:val="2"/>
          <w:sz w:val="30"/>
          <w:szCs w:val="32"/>
          <w:highlight w:val="none"/>
          <w:u w:val="single"/>
          <w:shd w:val="clear"/>
          <w:lang w:eastAsia="zh-CN" w:bidi="ar"/>
        </w:rPr>
        <w:t>180日历天（出现质量问题无条件更换）</w:t>
      </w:r>
      <w:r>
        <w:rPr>
          <w:rFonts w:hint="eastAsia" w:ascii="Times New Roman" w:hAnsi="Times New Roman" w:eastAsia="仿宋_GB2312" w:cs="仿宋_GB2312"/>
          <w:color w:val="auto"/>
          <w:kern w:val="2"/>
          <w:sz w:val="30"/>
          <w:szCs w:val="32"/>
          <w:highlight w:val="none"/>
          <w:lang w:eastAsia="zh-CN" w:bidi="ar"/>
        </w:rPr>
        <w:t>。</w:t>
      </w:r>
    </w:p>
    <w:p w14:paraId="6EE7F91C">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15.3 </w:t>
      </w:r>
      <w:r>
        <w:rPr>
          <w:rFonts w:hint="eastAsia" w:ascii="Times New Roman" w:hAnsi="Times New Roman" w:eastAsia="黑体" w:cs="黑体"/>
          <w:color w:val="auto"/>
          <w:kern w:val="2"/>
          <w:sz w:val="30"/>
          <w:szCs w:val="32"/>
          <w:highlight w:val="none"/>
          <w:lang w:eastAsia="zh-CN" w:bidi="ar"/>
        </w:rPr>
        <w:t>质量保证金</w:t>
      </w:r>
    </w:p>
    <w:p w14:paraId="4C2EF4FD">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关于是否扣留质量保证金的约定：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hint="eastAsia" w:ascii="Calibri" w:hAnsi="Calibri" w:eastAsia="仿宋_GB2312" w:cs="仿宋_GB2312"/>
          <w:color w:val="auto"/>
          <w:kern w:val="2"/>
          <w:sz w:val="30"/>
          <w:szCs w:val="32"/>
          <w:highlight w:val="none"/>
          <w:lang w:eastAsia="zh-CN" w:bidi="ar"/>
        </w:rPr>
        <w:t>在工程项目竣工前，承包人按专用合同条款第</w:t>
      </w:r>
      <w:r>
        <w:rPr>
          <w:rFonts w:ascii="Calibri" w:hAnsi="Calibri" w:eastAsia="仿宋_GB2312" w:cs="Times New Roman"/>
          <w:color w:val="auto"/>
          <w:kern w:val="2"/>
          <w:sz w:val="30"/>
          <w:szCs w:val="32"/>
          <w:highlight w:val="none"/>
          <w:lang w:eastAsia="zh-CN" w:bidi="ar"/>
        </w:rPr>
        <w:t>3.7</w:t>
      </w:r>
      <w:r>
        <w:rPr>
          <w:rFonts w:hint="eastAsia" w:ascii="Calibri" w:hAnsi="Calibri" w:eastAsia="仿宋_GB2312" w:cs="仿宋_GB2312"/>
          <w:color w:val="auto"/>
          <w:kern w:val="2"/>
          <w:sz w:val="30"/>
          <w:szCs w:val="32"/>
          <w:highlight w:val="none"/>
          <w:lang w:eastAsia="zh-CN" w:bidi="ar"/>
        </w:rPr>
        <w:t>条提供履约担保的，发包人不得同时预留工程质量保证金。</w:t>
      </w:r>
    </w:p>
    <w:p w14:paraId="65511CD1">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p>
    <w:p w14:paraId="4B5A9624">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15.3.1 </w:t>
      </w:r>
      <w:r>
        <w:rPr>
          <w:rFonts w:hint="eastAsia" w:ascii="Times New Roman" w:hAnsi="Times New Roman" w:eastAsia="仿宋_GB2312" w:cs="仿宋_GB2312"/>
          <w:color w:val="auto"/>
          <w:kern w:val="2"/>
          <w:sz w:val="30"/>
          <w:szCs w:val="32"/>
          <w:highlight w:val="none"/>
          <w:lang w:eastAsia="zh-CN" w:bidi="ar"/>
        </w:rPr>
        <w:t>承包人提供质量保证金的方式</w:t>
      </w:r>
    </w:p>
    <w:p w14:paraId="5B05B15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质量保证金采用以下第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w:t>
      </w:r>
    </w:p>
    <w:p w14:paraId="42B1550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）质量保证金保函，保证金额为：</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 xml:space="preserve"> </w:t>
      </w:r>
    </w:p>
    <w:p w14:paraId="35DFFCA1">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u w:val="single"/>
          <w:lang w:eastAsia="zh-CN" w:bidi="ar"/>
        </w:rPr>
        <w:t xml:space="preserve">      </w:t>
      </w:r>
      <w:r>
        <w:rPr>
          <w:rFonts w:ascii="Times New Roman" w:hAnsi="Times New Roman" w:eastAsia="仿宋_GB2312" w:cs="Times New Roman"/>
          <w:color w:val="auto"/>
          <w:kern w:val="0"/>
          <w:sz w:val="30"/>
          <w:szCs w:val="32"/>
          <w:highlight w:val="none"/>
          <w:lang w:eastAsia="zh-CN" w:bidi="ar"/>
        </w:rPr>
        <w:t>%</w:t>
      </w:r>
      <w:r>
        <w:rPr>
          <w:rFonts w:hint="eastAsia" w:ascii="Times New Roman" w:hAnsi="Times New Roman" w:eastAsia="仿宋_GB2312" w:cs="仿宋_GB2312"/>
          <w:color w:val="auto"/>
          <w:kern w:val="0"/>
          <w:sz w:val="30"/>
          <w:szCs w:val="32"/>
          <w:highlight w:val="none"/>
          <w:lang w:eastAsia="zh-CN" w:bidi="ar"/>
        </w:rPr>
        <w:t>的工程款；</w:t>
      </w:r>
    </w:p>
    <w:p w14:paraId="44786D75">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en-US"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）其他方式</w:t>
      </w:r>
      <w:r>
        <w:rPr>
          <w:rFonts w:ascii="Times New Roman" w:hAnsi="Times New Roman" w:eastAsia="仿宋_GB2312" w:cs="Times New Roman"/>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04652479">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15.3.2 </w:t>
      </w:r>
      <w:r>
        <w:rPr>
          <w:rFonts w:hint="eastAsia" w:ascii="Times New Roman" w:hAnsi="Times New Roman" w:eastAsia="仿宋_GB2312" w:cs="仿宋_GB2312"/>
          <w:color w:val="auto"/>
          <w:kern w:val="2"/>
          <w:sz w:val="30"/>
          <w:szCs w:val="32"/>
          <w:highlight w:val="none"/>
          <w:lang w:eastAsia="zh-CN" w:bidi="ar"/>
        </w:rPr>
        <w:t>质量保证金的扣留</w:t>
      </w:r>
      <w:r>
        <w:rPr>
          <w:rFonts w:ascii="Times New Roman" w:hAnsi="Times New Roman" w:eastAsia="仿宋_GB2312" w:cs="Times New Roman"/>
          <w:color w:val="auto"/>
          <w:kern w:val="2"/>
          <w:sz w:val="30"/>
          <w:szCs w:val="32"/>
          <w:highlight w:val="none"/>
          <w:lang w:eastAsia="zh-CN" w:bidi="ar"/>
        </w:rPr>
        <w:t xml:space="preserve"> </w:t>
      </w:r>
    </w:p>
    <w:p w14:paraId="59DEC0B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质量保证金的扣留采取以下第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w:t>
      </w:r>
    </w:p>
    <w:p w14:paraId="7AC367EA">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）在支付工程进度款时逐次扣留，在此情形下，质量保证金的计算基数不包括预付款的支付、扣回以及价格调整的金额；</w:t>
      </w:r>
    </w:p>
    <w:p w14:paraId="557AE293">
      <w:pPr>
        <w:shd w:val="clear"/>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）工程竣工结算时一次性扣留质量保证金；</w:t>
      </w:r>
    </w:p>
    <w:p w14:paraId="5F2E2104">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）其他扣留方式</w:t>
      </w:r>
      <w:r>
        <w:rPr>
          <w:rFonts w:ascii="Times New Roman" w:hAnsi="Times New Roman" w:eastAsia="仿宋_GB2312" w:cs="Times New Roman"/>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234BF4C0">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关于质量保证金的补充约定：</w:t>
      </w:r>
      <w:r>
        <w:rPr>
          <w:rFonts w:ascii="Times New Roman" w:hAnsi="Times New Roman" w:eastAsia="仿宋_GB2312" w:cs="Times New Roman"/>
          <w:color w:val="auto"/>
          <w:kern w:val="0"/>
          <w:sz w:val="30"/>
          <w:szCs w:val="32"/>
          <w:highlight w:val="none"/>
          <w:u w:val="single"/>
          <w:lang w:eastAsia="zh-CN" w:bidi="ar"/>
        </w:rPr>
        <w:t xml:space="preserve">                            </w:t>
      </w:r>
    </w:p>
    <w:p w14:paraId="259FD78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bookmarkEnd w:id="1218"/>
    <w:bookmarkEnd w:id="1219"/>
    <w:p w14:paraId="0D58D94A">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15.4</w:t>
      </w:r>
      <w:r>
        <w:rPr>
          <w:rFonts w:hint="eastAsia" w:ascii="Times New Roman" w:hAnsi="Times New Roman" w:eastAsia="黑体" w:cs="黑体"/>
          <w:color w:val="auto"/>
          <w:kern w:val="2"/>
          <w:sz w:val="30"/>
          <w:szCs w:val="32"/>
          <w:highlight w:val="none"/>
          <w:lang w:eastAsia="zh-CN" w:bidi="ar"/>
        </w:rPr>
        <w:t>保修</w:t>
      </w:r>
    </w:p>
    <w:bookmarkEnd w:id="1220"/>
    <w:p w14:paraId="016FFA20">
      <w:pPr>
        <w:shd w:val="clear"/>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15.4.1 </w:t>
      </w:r>
      <w:r>
        <w:rPr>
          <w:rFonts w:hint="eastAsia" w:ascii="Times New Roman" w:hAnsi="Times New Roman" w:eastAsia="仿宋_GB2312" w:cs="仿宋_GB2312"/>
          <w:color w:val="auto"/>
          <w:kern w:val="2"/>
          <w:sz w:val="30"/>
          <w:szCs w:val="32"/>
          <w:highlight w:val="none"/>
          <w:lang w:eastAsia="zh-CN" w:bidi="ar"/>
        </w:rPr>
        <w:t>保修责任</w:t>
      </w:r>
    </w:p>
    <w:p w14:paraId="196483D5">
      <w:pPr>
        <w:shd w:val="clear"/>
        <w:spacing w:line="360" w:lineRule="auto"/>
        <w:ind w:firstLine="585" w:firstLineChars="195"/>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工程保修期为：</w:t>
      </w:r>
      <w:r>
        <w:rPr>
          <w:rFonts w:ascii="Times New Roman" w:hAnsi="Times New Roman" w:eastAsia="仿宋_GB2312" w:cs="Times New Roman"/>
          <w:color w:val="auto"/>
          <w:kern w:val="0"/>
          <w:sz w:val="30"/>
          <w:szCs w:val="32"/>
          <w:highlight w:val="none"/>
          <w:u w:val="single"/>
          <w:lang w:eastAsia="zh-CN" w:bidi="ar"/>
        </w:rPr>
        <w:t xml:space="preserve">                                        </w:t>
      </w:r>
    </w:p>
    <w:p w14:paraId="74BDEEC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219E57A4">
      <w:pPr>
        <w:shd w:val="clear"/>
        <w:spacing w:line="360" w:lineRule="auto"/>
        <w:ind w:firstLine="585" w:firstLineChars="195"/>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15.4.3 </w:t>
      </w:r>
      <w:r>
        <w:rPr>
          <w:rFonts w:hint="eastAsia" w:ascii="Times New Roman" w:hAnsi="Times New Roman" w:eastAsia="仿宋_GB2312" w:cs="仿宋_GB2312"/>
          <w:color w:val="auto"/>
          <w:kern w:val="2"/>
          <w:sz w:val="30"/>
          <w:szCs w:val="32"/>
          <w:highlight w:val="none"/>
          <w:lang w:eastAsia="zh-CN" w:bidi="ar"/>
        </w:rPr>
        <w:t>修复通知</w:t>
      </w:r>
    </w:p>
    <w:p w14:paraId="6C64E0A2">
      <w:pPr>
        <w:shd w:val="clear"/>
        <w:spacing w:line="360" w:lineRule="auto"/>
        <w:ind w:firstLine="585" w:firstLineChars="195"/>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承包人收到保修通知并到达工程现场的合理时间：</w:t>
      </w:r>
      <w:r>
        <w:rPr>
          <w:rFonts w:ascii="Times New Roman" w:hAnsi="Times New Roman" w:eastAsia="仿宋_GB2312" w:cs="Times New Roman"/>
          <w:color w:val="auto"/>
          <w:kern w:val="0"/>
          <w:sz w:val="30"/>
          <w:szCs w:val="32"/>
          <w:highlight w:val="none"/>
          <w:u w:val="single"/>
          <w:lang w:eastAsia="zh-CN" w:bidi="ar"/>
        </w:rPr>
        <w:t xml:space="preserve">          </w:t>
      </w:r>
    </w:p>
    <w:p w14:paraId="4C36E41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bookmarkEnd w:id="1221"/>
    <w:bookmarkEnd w:id="1222"/>
    <w:bookmarkEnd w:id="1223"/>
    <w:bookmarkEnd w:id="1224"/>
    <w:p w14:paraId="557E9A06">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47" w:name="_Toc163768474"/>
      <w:bookmarkStart w:id="1248" w:name="_Toc351203648"/>
      <w:bookmarkStart w:id="1249" w:name="_Toc163768592"/>
      <w:bookmarkStart w:id="1250" w:name="_Toc280868717"/>
      <w:bookmarkStart w:id="1251" w:name="_Toc280868718"/>
      <w:r>
        <w:rPr>
          <w:rFonts w:ascii="Times New Roman" w:hAnsi="Times New Roman" w:eastAsia="黑体" w:cs="Times New Roman"/>
          <w:b/>
          <w:bCs/>
          <w:color w:val="auto"/>
          <w:sz w:val="32"/>
          <w:szCs w:val="32"/>
          <w:highlight w:val="none"/>
          <w:lang w:val="en-US" w:eastAsia="zh-CN" w:bidi="en-US"/>
        </w:rPr>
        <w:t xml:space="preserve">16. </w:t>
      </w:r>
      <w:r>
        <w:rPr>
          <w:rFonts w:hint="eastAsia" w:ascii="Times New Roman" w:hAnsi="Times New Roman" w:eastAsia="黑体" w:cs="黑体"/>
          <w:b/>
          <w:bCs/>
          <w:color w:val="auto"/>
          <w:sz w:val="32"/>
          <w:szCs w:val="32"/>
          <w:highlight w:val="none"/>
          <w:lang w:val="en-US" w:eastAsia="zh-CN" w:bidi="en-US"/>
        </w:rPr>
        <w:t>违约</w:t>
      </w:r>
      <w:bookmarkEnd w:id="1247"/>
      <w:bookmarkEnd w:id="1248"/>
      <w:bookmarkEnd w:id="1249"/>
    </w:p>
    <w:p w14:paraId="2E2B5E5B">
      <w:pPr>
        <w:keepNext/>
        <w:keepLines/>
        <w:widowControl/>
        <w:shd w:val="clear"/>
        <w:spacing w:before="280" w:after="290" w:line="372" w:lineRule="auto"/>
        <w:jc w:val="both"/>
        <w:outlineLvl w:val="3"/>
        <w:rPr>
          <w:rFonts w:ascii="Times New Roman" w:hAnsi="Times New Roman" w:eastAsia="黑体" w:cs="Times New Roman"/>
          <w:b/>
          <w:bCs/>
          <w:color w:val="auto"/>
          <w:kern w:val="2"/>
          <w:sz w:val="30"/>
          <w:szCs w:val="32"/>
          <w:highlight w:val="none"/>
          <w:lang w:val="en-US" w:eastAsia="zh-CN" w:bidi="ar-SA"/>
        </w:rPr>
      </w:pPr>
      <w:r>
        <w:rPr>
          <w:rFonts w:ascii="Times New Roman" w:hAnsi="Times New Roman" w:eastAsia="黑体" w:cs="Times New Roman"/>
          <w:b/>
          <w:bCs/>
          <w:color w:val="auto"/>
          <w:kern w:val="2"/>
          <w:sz w:val="30"/>
          <w:szCs w:val="32"/>
          <w:highlight w:val="none"/>
          <w:lang w:val="en-US" w:eastAsia="zh-CN" w:bidi="ar-SA"/>
        </w:rPr>
        <w:t xml:space="preserve">16.1 </w:t>
      </w:r>
      <w:r>
        <w:rPr>
          <w:rFonts w:hint="eastAsia" w:ascii="Times New Roman" w:hAnsi="Times New Roman" w:eastAsia="黑体" w:cs="黑体"/>
          <w:b/>
          <w:bCs/>
          <w:color w:val="auto"/>
          <w:kern w:val="2"/>
          <w:sz w:val="30"/>
          <w:szCs w:val="32"/>
          <w:highlight w:val="none"/>
          <w:lang w:val="en-US" w:eastAsia="zh-CN" w:bidi="ar-SA"/>
        </w:rPr>
        <w:t>发包人违约</w:t>
      </w:r>
    </w:p>
    <w:p w14:paraId="503BA932">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16.1.1</w:t>
      </w:r>
      <w:r>
        <w:rPr>
          <w:rFonts w:hint="eastAsia" w:ascii="Times New Roman" w:hAnsi="Times New Roman" w:eastAsia="仿宋_GB2312" w:cs="仿宋_GB2312"/>
          <w:color w:val="auto"/>
          <w:kern w:val="2"/>
          <w:sz w:val="30"/>
          <w:szCs w:val="32"/>
          <w:highlight w:val="none"/>
          <w:lang w:eastAsia="zh-CN" w:bidi="ar"/>
        </w:rPr>
        <w:t>发包人违约的情形</w:t>
      </w:r>
    </w:p>
    <w:p w14:paraId="1B77BD99">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发包人违约的其他情形：</w:t>
      </w:r>
      <w:r>
        <w:rPr>
          <w:rFonts w:ascii="Times New Roman" w:hAnsi="Times New Roman" w:eastAsia="仿宋_GB2312" w:cs="Times New Roman"/>
          <w:color w:val="auto"/>
          <w:kern w:val="0"/>
          <w:sz w:val="30"/>
          <w:szCs w:val="32"/>
          <w:highlight w:val="none"/>
          <w:u w:val="single"/>
          <w:lang w:eastAsia="zh-CN" w:bidi="ar"/>
        </w:rPr>
        <w:t xml:space="preserve">                                </w:t>
      </w:r>
    </w:p>
    <w:p w14:paraId="2176C3AA">
      <w:pPr>
        <w:shd w:val="clear"/>
        <w:spacing w:line="360" w:lineRule="auto"/>
        <w:ind w:left="1500" w:hanging="1500" w:hangingChars="5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7EF73029">
      <w:pPr>
        <w:shd w:val="clear"/>
        <w:spacing w:line="360" w:lineRule="auto"/>
        <w:ind w:left="1500" w:hanging="1500" w:hangingChars="5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    16.1.2 </w:t>
      </w:r>
      <w:r>
        <w:rPr>
          <w:rFonts w:hint="eastAsia" w:ascii="Times New Roman" w:hAnsi="Times New Roman" w:eastAsia="仿宋_GB2312" w:cs="仿宋_GB2312"/>
          <w:color w:val="auto"/>
          <w:kern w:val="0"/>
          <w:sz w:val="30"/>
          <w:szCs w:val="32"/>
          <w:highlight w:val="none"/>
          <w:lang w:eastAsia="zh-CN" w:bidi="ar"/>
        </w:rPr>
        <w:t>发包人违约的责任</w:t>
      </w:r>
    </w:p>
    <w:p w14:paraId="141B04F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发包人违约责任的承担方式和计算方法：</w:t>
      </w:r>
    </w:p>
    <w:p w14:paraId="2A77B923">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1</w:t>
      </w:r>
      <w:r>
        <w:rPr>
          <w:rFonts w:hint="eastAsia" w:ascii="Times New Roman" w:hAnsi="Times New Roman" w:eastAsia="仿宋_GB2312" w:cs="仿宋_GB2312"/>
          <w:color w:val="auto"/>
          <w:kern w:val="0"/>
          <w:sz w:val="30"/>
          <w:szCs w:val="32"/>
          <w:highlight w:val="none"/>
          <w:lang w:eastAsia="zh-CN" w:bidi="ar"/>
        </w:rPr>
        <w:t>）因发包人原因未能在计划开工日期前</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天内下达开工通知的违约责任：</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616D32D9">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）因发包人原因未能按合同约定支付合同价款的违约责任：</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1C3E0D4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3</w:t>
      </w:r>
      <w:r>
        <w:rPr>
          <w:rFonts w:hint="eastAsia" w:ascii="Times New Roman" w:hAnsi="Times New Roman" w:eastAsia="仿宋_GB2312" w:cs="仿宋_GB2312"/>
          <w:color w:val="auto"/>
          <w:kern w:val="0"/>
          <w:sz w:val="30"/>
          <w:szCs w:val="32"/>
          <w:highlight w:val="none"/>
          <w:lang w:eastAsia="zh-CN" w:bidi="ar"/>
        </w:rPr>
        <w:t>）发包人违反第</w:t>
      </w:r>
      <w:r>
        <w:rPr>
          <w:rFonts w:ascii="Times New Roman" w:hAnsi="Times New Roman" w:eastAsia="仿宋_GB2312" w:cs="Times New Roman"/>
          <w:color w:val="auto"/>
          <w:kern w:val="0"/>
          <w:sz w:val="30"/>
          <w:szCs w:val="32"/>
          <w:highlight w:val="none"/>
          <w:lang w:eastAsia="zh-CN" w:bidi="ar"/>
        </w:rPr>
        <w:t>10.1</w:t>
      </w:r>
      <w:r>
        <w:rPr>
          <w:rFonts w:hint="eastAsia" w:ascii="Times New Roman" w:hAnsi="Times New Roman" w:eastAsia="仿宋_GB2312" w:cs="仿宋_GB2312"/>
          <w:color w:val="auto"/>
          <w:kern w:val="0"/>
          <w:sz w:val="30"/>
          <w:szCs w:val="32"/>
          <w:highlight w:val="none"/>
          <w:lang w:eastAsia="zh-CN" w:bidi="ar"/>
        </w:rPr>
        <w:t>款〔变更的范围〕第（</w:t>
      </w:r>
      <w:r>
        <w:rPr>
          <w:rFonts w:ascii="Times New Roman" w:hAnsi="Times New Roman" w:eastAsia="仿宋_GB2312" w:cs="Times New Roman"/>
          <w:color w:val="auto"/>
          <w:kern w:val="0"/>
          <w:sz w:val="30"/>
          <w:szCs w:val="32"/>
          <w:highlight w:val="none"/>
          <w:lang w:eastAsia="zh-CN" w:bidi="ar"/>
        </w:rPr>
        <w:t>2</w:t>
      </w:r>
      <w:r>
        <w:rPr>
          <w:rFonts w:hint="eastAsia" w:ascii="Times New Roman" w:hAnsi="Times New Roman" w:eastAsia="仿宋_GB2312" w:cs="仿宋_GB2312"/>
          <w:color w:val="auto"/>
          <w:kern w:val="0"/>
          <w:sz w:val="30"/>
          <w:szCs w:val="32"/>
          <w:highlight w:val="none"/>
          <w:lang w:eastAsia="zh-CN" w:bidi="ar"/>
        </w:rPr>
        <w:t>）项约定，自行实施被取消的工作或转由他人实施的违约责任：</w:t>
      </w:r>
      <w:r>
        <w:rPr>
          <w:rFonts w:ascii="Times New Roman" w:hAnsi="Times New Roman" w:eastAsia="仿宋_GB2312" w:cs="Times New Roman"/>
          <w:color w:val="auto"/>
          <w:kern w:val="0"/>
          <w:sz w:val="30"/>
          <w:szCs w:val="32"/>
          <w:highlight w:val="none"/>
          <w:u w:val="single"/>
          <w:lang w:eastAsia="zh-CN" w:bidi="ar"/>
        </w:rPr>
        <w:t xml:space="preserve">              </w:t>
      </w:r>
    </w:p>
    <w:p w14:paraId="09C3485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1CF88FE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4</w:t>
      </w:r>
      <w:r>
        <w:rPr>
          <w:rFonts w:hint="eastAsia" w:ascii="Times New Roman" w:hAnsi="Times New Roman" w:eastAsia="仿宋_GB2312" w:cs="仿宋_GB2312"/>
          <w:color w:val="auto"/>
          <w:kern w:val="0"/>
          <w:sz w:val="30"/>
          <w:szCs w:val="32"/>
          <w:highlight w:val="none"/>
          <w:lang w:eastAsia="zh-CN" w:bidi="ar"/>
        </w:rPr>
        <w:t>）发包人提供的材料、工程设备的规格、数量或质量不符合合同约定，或因发包人原因导致交货日期延误或交货地点变更等情况的违约责任：</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38AF1425">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5</w:t>
      </w:r>
      <w:r>
        <w:rPr>
          <w:rFonts w:hint="eastAsia" w:ascii="Times New Roman" w:hAnsi="Times New Roman" w:eastAsia="仿宋_GB2312" w:cs="仿宋_GB2312"/>
          <w:color w:val="auto"/>
          <w:kern w:val="0"/>
          <w:sz w:val="30"/>
          <w:szCs w:val="32"/>
          <w:highlight w:val="none"/>
          <w:lang w:eastAsia="zh-CN" w:bidi="ar"/>
        </w:rPr>
        <w:t>）因发包人违反合同约定造成暂停施工的违约责任：</w:t>
      </w:r>
      <w:r>
        <w:rPr>
          <w:rFonts w:ascii="Times New Roman" w:hAnsi="Times New Roman" w:eastAsia="仿宋_GB2312" w:cs="Times New Roman"/>
          <w:color w:val="auto"/>
          <w:kern w:val="0"/>
          <w:sz w:val="30"/>
          <w:szCs w:val="32"/>
          <w:highlight w:val="none"/>
          <w:u w:val="single"/>
          <w:lang w:eastAsia="zh-CN" w:bidi="ar"/>
        </w:rPr>
        <w:t xml:space="preserve">     </w:t>
      </w:r>
    </w:p>
    <w:p w14:paraId="3B82ED83">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0B610345">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6</w:t>
      </w:r>
      <w:r>
        <w:rPr>
          <w:rFonts w:hint="eastAsia" w:ascii="Times New Roman" w:hAnsi="Times New Roman" w:eastAsia="仿宋_GB2312" w:cs="仿宋_GB2312"/>
          <w:color w:val="auto"/>
          <w:kern w:val="0"/>
          <w:sz w:val="30"/>
          <w:szCs w:val="32"/>
          <w:highlight w:val="none"/>
          <w:lang w:eastAsia="zh-CN" w:bidi="ar"/>
        </w:rPr>
        <w:t>）发包人无正当理由没有在约定期限内发出复工指示，导致承包人无法复工的违约责任：</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615CA33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0"/>
          <w:sz w:val="30"/>
          <w:szCs w:val="32"/>
          <w:highlight w:val="none"/>
          <w:lang w:eastAsia="zh-CN" w:bidi="ar"/>
        </w:rPr>
        <w:t>7</w:t>
      </w:r>
      <w:r>
        <w:rPr>
          <w:rFonts w:hint="eastAsia" w:ascii="Times New Roman" w:hAnsi="Times New Roman" w:eastAsia="仿宋_GB2312" w:cs="仿宋_GB2312"/>
          <w:color w:val="auto"/>
          <w:kern w:val="0"/>
          <w:sz w:val="30"/>
          <w:szCs w:val="32"/>
          <w:highlight w:val="none"/>
          <w:lang w:eastAsia="zh-CN" w:bidi="ar"/>
        </w:rPr>
        <w:t>）其他：</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73D0E43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16.1.3 </w:t>
      </w:r>
      <w:r>
        <w:rPr>
          <w:rFonts w:hint="eastAsia" w:ascii="Times New Roman" w:hAnsi="Times New Roman" w:eastAsia="仿宋_GB2312" w:cs="仿宋_GB2312"/>
          <w:color w:val="auto"/>
          <w:kern w:val="2"/>
          <w:sz w:val="30"/>
          <w:szCs w:val="32"/>
          <w:highlight w:val="none"/>
          <w:lang w:eastAsia="zh-CN" w:bidi="ar"/>
        </w:rPr>
        <w:t>因发包人违约解除合同</w:t>
      </w:r>
    </w:p>
    <w:p w14:paraId="42B3229E">
      <w:pPr>
        <w:shd w:val="clear"/>
        <w:autoSpaceDE w:val="0"/>
        <w:autoSpaceDN w:val="0"/>
        <w:adjustRightInd w:val="0"/>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承包人按</w:t>
      </w:r>
      <w:r>
        <w:rPr>
          <w:rFonts w:ascii="Times New Roman" w:hAnsi="Times New Roman" w:eastAsia="仿宋_GB2312" w:cs="Times New Roman"/>
          <w:color w:val="auto"/>
          <w:kern w:val="0"/>
          <w:sz w:val="30"/>
          <w:szCs w:val="32"/>
          <w:highlight w:val="none"/>
          <w:lang w:eastAsia="zh-CN" w:bidi="ar"/>
        </w:rPr>
        <w:t>16.1.1</w:t>
      </w:r>
      <w:r>
        <w:rPr>
          <w:rFonts w:hint="eastAsia" w:ascii="Times New Roman" w:hAnsi="Times New Roman" w:eastAsia="仿宋_GB2312" w:cs="仿宋_GB2312"/>
          <w:color w:val="auto"/>
          <w:kern w:val="0"/>
          <w:sz w:val="30"/>
          <w:szCs w:val="32"/>
          <w:highlight w:val="none"/>
          <w:lang w:eastAsia="zh-CN" w:bidi="ar"/>
        </w:rPr>
        <w:t>项〔发包人违约的情形〕约定暂停施工满</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天后发包人仍不纠正其违约行为并致使合同目的不能实现的，承包人有权解除合同。</w:t>
      </w:r>
    </w:p>
    <w:p w14:paraId="3DA43264">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16.2 </w:t>
      </w:r>
      <w:r>
        <w:rPr>
          <w:rFonts w:hint="eastAsia" w:ascii="Times New Roman" w:hAnsi="Times New Roman" w:eastAsia="黑体" w:cs="黑体"/>
          <w:color w:val="auto"/>
          <w:kern w:val="2"/>
          <w:sz w:val="30"/>
          <w:szCs w:val="32"/>
          <w:highlight w:val="none"/>
          <w:lang w:eastAsia="zh-CN" w:bidi="ar"/>
        </w:rPr>
        <w:t>承包人违约</w:t>
      </w:r>
    </w:p>
    <w:p w14:paraId="18940C00">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16.2.1 </w:t>
      </w:r>
      <w:r>
        <w:rPr>
          <w:rFonts w:hint="eastAsia" w:ascii="Times New Roman" w:hAnsi="Times New Roman" w:eastAsia="仿宋_GB2312" w:cs="仿宋_GB2312"/>
          <w:color w:val="auto"/>
          <w:kern w:val="0"/>
          <w:sz w:val="30"/>
          <w:szCs w:val="32"/>
          <w:highlight w:val="none"/>
          <w:lang w:eastAsia="zh-CN" w:bidi="ar"/>
        </w:rPr>
        <w:t>承包人违约的情形</w:t>
      </w:r>
    </w:p>
    <w:p w14:paraId="14B02B17">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承包人违约的其他情形：</w:t>
      </w:r>
      <w:r>
        <w:rPr>
          <w:rFonts w:ascii="Times New Roman" w:hAnsi="Times New Roman" w:eastAsia="仿宋_GB2312" w:cs="Times New Roman"/>
          <w:color w:val="auto"/>
          <w:kern w:val="0"/>
          <w:sz w:val="30"/>
          <w:szCs w:val="32"/>
          <w:highlight w:val="none"/>
          <w:u w:val="single"/>
          <w:lang w:eastAsia="zh-CN" w:bidi="ar"/>
        </w:rPr>
        <w:t xml:space="preserve">                                </w:t>
      </w:r>
    </w:p>
    <w:p w14:paraId="2C8011B8">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227FEF1E">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16.2.2</w:t>
      </w:r>
      <w:r>
        <w:rPr>
          <w:rFonts w:hint="eastAsia" w:ascii="Times New Roman" w:hAnsi="Times New Roman" w:eastAsia="仿宋_GB2312" w:cs="仿宋_GB2312"/>
          <w:color w:val="auto"/>
          <w:kern w:val="0"/>
          <w:sz w:val="30"/>
          <w:szCs w:val="32"/>
          <w:highlight w:val="none"/>
          <w:lang w:eastAsia="zh-CN" w:bidi="ar"/>
        </w:rPr>
        <w:t>承包人违约的责任</w:t>
      </w:r>
    </w:p>
    <w:p w14:paraId="1F66B005">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承包人违约责任的承担方式和计算方法：</w:t>
      </w:r>
      <w:r>
        <w:rPr>
          <w:rFonts w:ascii="Times New Roman" w:hAnsi="Times New Roman" w:eastAsia="仿宋_GB2312" w:cs="Times New Roman"/>
          <w:color w:val="auto"/>
          <w:kern w:val="0"/>
          <w:sz w:val="30"/>
          <w:szCs w:val="32"/>
          <w:highlight w:val="none"/>
          <w:u w:val="single"/>
          <w:lang w:eastAsia="zh-CN" w:bidi="ar"/>
        </w:rPr>
        <w:t xml:space="preserve">                  </w:t>
      </w:r>
    </w:p>
    <w:p w14:paraId="03345415">
      <w:pPr>
        <w:shd w:val="clear"/>
        <w:spacing w:line="360" w:lineRule="auto"/>
        <w:ind w:left="1500" w:hanging="1500" w:hangingChars="500"/>
        <w:jc w:val="left"/>
        <w:rPr>
          <w:rFonts w:ascii="Times New Roman" w:hAnsi="Times New Roman" w:eastAsia="仿宋_GB2312" w:cs="Times New Roman"/>
          <w:color w:val="auto"/>
          <w:kern w:val="0"/>
          <w:sz w:val="30"/>
          <w:szCs w:val="32"/>
          <w:highlight w:val="none"/>
          <w:u w:val="singl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469A8A6B">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16.2.3 </w:t>
      </w:r>
      <w:r>
        <w:rPr>
          <w:rFonts w:hint="eastAsia" w:ascii="Times New Roman" w:hAnsi="Times New Roman" w:eastAsia="仿宋_GB2312" w:cs="仿宋_GB2312"/>
          <w:color w:val="auto"/>
          <w:kern w:val="2"/>
          <w:sz w:val="30"/>
          <w:szCs w:val="32"/>
          <w:highlight w:val="none"/>
          <w:lang w:eastAsia="zh-CN" w:bidi="ar"/>
        </w:rPr>
        <w:t>因承包人违约解除合同</w:t>
      </w:r>
    </w:p>
    <w:p w14:paraId="2EAF5511">
      <w:pPr>
        <w:shd w:val="clear"/>
        <w:spacing w:before="120" w:after="120" w:line="360" w:lineRule="auto"/>
        <w:ind w:firstLine="600" w:firstLineChars="200"/>
        <w:jc w:val="both"/>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关于承包人违约解除合同的特别约定：</w:t>
      </w:r>
      <w:r>
        <w:rPr>
          <w:rFonts w:ascii="Times New Roman" w:hAnsi="Times New Roman" w:eastAsia="仿宋_GB2312" w:cs="Times New Roman"/>
          <w:color w:val="auto"/>
          <w:kern w:val="0"/>
          <w:sz w:val="30"/>
          <w:szCs w:val="32"/>
          <w:highlight w:val="none"/>
          <w:u w:val="single"/>
          <w:lang w:eastAsia="zh-CN" w:bidi="ar"/>
        </w:rPr>
        <w:t xml:space="preserve">                    </w:t>
      </w:r>
    </w:p>
    <w:p w14:paraId="144A3DEB">
      <w:pPr>
        <w:shd w:val="clear"/>
        <w:spacing w:before="120" w:after="120" w:line="360" w:lineRule="auto"/>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3FE9481E">
      <w:pPr>
        <w:shd w:val="clear"/>
        <w:spacing w:before="120" w:after="120" w:line="360" w:lineRule="auto"/>
        <w:ind w:firstLine="600" w:firstLineChars="200"/>
        <w:jc w:val="both"/>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0"/>
          <w:sz w:val="30"/>
          <w:szCs w:val="32"/>
          <w:highlight w:val="none"/>
          <w:lang w:eastAsia="zh-CN" w:bidi="ar"/>
        </w:rPr>
        <w:t>发包人继续使用承包人在施工现场的材料、设备、临时工程、承包人文件和由承包人或以其名义编制的其他文件的费用承担方式：</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3B2603F4">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52" w:name="_Toc163768593"/>
      <w:bookmarkStart w:id="1253" w:name="_Toc351203649"/>
      <w:bookmarkStart w:id="1254" w:name="_Toc163768475"/>
      <w:r>
        <w:rPr>
          <w:rFonts w:ascii="Times New Roman" w:hAnsi="Times New Roman" w:eastAsia="黑体" w:cs="Times New Roman"/>
          <w:b/>
          <w:bCs/>
          <w:color w:val="auto"/>
          <w:sz w:val="32"/>
          <w:szCs w:val="32"/>
          <w:highlight w:val="none"/>
          <w:lang w:val="en-US" w:eastAsia="zh-CN" w:bidi="en-US"/>
        </w:rPr>
        <w:t xml:space="preserve">17. </w:t>
      </w:r>
      <w:r>
        <w:rPr>
          <w:rFonts w:hint="eastAsia" w:ascii="Times New Roman" w:hAnsi="Times New Roman" w:eastAsia="黑体" w:cs="黑体"/>
          <w:b/>
          <w:bCs/>
          <w:color w:val="auto"/>
          <w:sz w:val="32"/>
          <w:szCs w:val="32"/>
          <w:highlight w:val="none"/>
          <w:lang w:val="en-US" w:eastAsia="zh-CN" w:bidi="en-US"/>
        </w:rPr>
        <w:t>不可抗力</w:t>
      </w:r>
      <w:bookmarkEnd w:id="1252"/>
      <w:bookmarkEnd w:id="1253"/>
      <w:bookmarkEnd w:id="1254"/>
      <w:r>
        <w:rPr>
          <w:rFonts w:ascii="Times New Roman" w:hAnsi="Times New Roman" w:eastAsia="黑体" w:cs="Times New Roman"/>
          <w:b/>
          <w:bCs/>
          <w:color w:val="auto"/>
          <w:sz w:val="32"/>
          <w:szCs w:val="32"/>
          <w:highlight w:val="none"/>
          <w:lang w:val="en-US" w:eastAsia="zh-CN" w:bidi="en-US"/>
        </w:rPr>
        <w:t xml:space="preserve"> </w:t>
      </w:r>
      <w:bookmarkEnd w:id="1250"/>
    </w:p>
    <w:p w14:paraId="5849DA78">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17.1 </w:t>
      </w:r>
      <w:r>
        <w:rPr>
          <w:rFonts w:hint="eastAsia" w:ascii="Times New Roman" w:hAnsi="Times New Roman" w:eastAsia="黑体" w:cs="黑体"/>
          <w:color w:val="auto"/>
          <w:kern w:val="2"/>
          <w:sz w:val="30"/>
          <w:szCs w:val="32"/>
          <w:highlight w:val="none"/>
          <w:lang w:eastAsia="zh-CN" w:bidi="ar"/>
        </w:rPr>
        <w:t>不可抗力的确认</w:t>
      </w:r>
    </w:p>
    <w:p w14:paraId="202E455F">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除通用合同条款约定的不可抗力事件之外，视为不可抗力的其他情形：</w:t>
      </w:r>
      <w:r>
        <w:rPr>
          <w:rFonts w:ascii="Times New Roman" w:hAnsi="Times New Roman" w:eastAsia="仿宋_GB2312" w:cs="Times New Roman"/>
          <w:color w:val="auto"/>
          <w:kern w:val="2"/>
          <w:sz w:val="30"/>
          <w:szCs w:val="32"/>
          <w:highlight w:val="none"/>
          <w:lang w:eastAsia="zh-CN" w:bidi="ar"/>
        </w:rPr>
        <w:t xml:space="preserve"> </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13BC22A5">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17.4 </w:t>
      </w:r>
      <w:r>
        <w:rPr>
          <w:rFonts w:hint="eastAsia" w:ascii="Times New Roman" w:hAnsi="Times New Roman" w:eastAsia="黑体" w:cs="黑体"/>
          <w:color w:val="auto"/>
          <w:kern w:val="2"/>
          <w:sz w:val="30"/>
          <w:szCs w:val="32"/>
          <w:highlight w:val="none"/>
          <w:lang w:eastAsia="zh-CN" w:bidi="ar"/>
        </w:rPr>
        <w:t>因不可抗力解除合同</w:t>
      </w:r>
    </w:p>
    <w:p w14:paraId="3179BAA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合同解除后，发包人应在商定或确定发包人应支付款项后</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天内完成款项的支付。</w:t>
      </w:r>
    </w:p>
    <w:p w14:paraId="6C2C0A70">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55" w:name="_Toc163768476"/>
      <w:bookmarkStart w:id="1256" w:name="_Toc163768594"/>
      <w:bookmarkStart w:id="1257" w:name="_Toc351203650"/>
      <w:r>
        <w:rPr>
          <w:rFonts w:ascii="Times New Roman" w:hAnsi="Times New Roman" w:eastAsia="黑体" w:cs="Times New Roman"/>
          <w:b/>
          <w:bCs/>
          <w:color w:val="auto"/>
          <w:sz w:val="32"/>
          <w:szCs w:val="32"/>
          <w:highlight w:val="none"/>
          <w:lang w:val="en-US" w:eastAsia="zh-CN" w:bidi="en-US"/>
        </w:rPr>
        <w:t xml:space="preserve">18. </w:t>
      </w:r>
      <w:r>
        <w:rPr>
          <w:rFonts w:hint="eastAsia" w:ascii="Times New Roman" w:hAnsi="Times New Roman" w:eastAsia="黑体" w:cs="黑体"/>
          <w:b/>
          <w:bCs/>
          <w:color w:val="auto"/>
          <w:sz w:val="32"/>
          <w:szCs w:val="32"/>
          <w:highlight w:val="none"/>
          <w:lang w:val="en-US" w:eastAsia="zh-CN" w:bidi="en-US"/>
        </w:rPr>
        <w:t>保险</w:t>
      </w:r>
      <w:bookmarkEnd w:id="1255"/>
      <w:bookmarkEnd w:id="1256"/>
      <w:bookmarkEnd w:id="1257"/>
    </w:p>
    <w:bookmarkEnd w:id="1251"/>
    <w:p w14:paraId="2B54E25A">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18.1 </w:t>
      </w:r>
      <w:r>
        <w:rPr>
          <w:rFonts w:hint="eastAsia" w:ascii="Times New Roman" w:hAnsi="Times New Roman" w:eastAsia="黑体" w:cs="黑体"/>
          <w:color w:val="auto"/>
          <w:kern w:val="2"/>
          <w:sz w:val="30"/>
          <w:szCs w:val="32"/>
          <w:highlight w:val="none"/>
          <w:lang w:eastAsia="zh-CN" w:bidi="ar"/>
        </w:rPr>
        <w:t>工程保险</w:t>
      </w:r>
    </w:p>
    <w:p w14:paraId="2DBE308C">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关于工程保险的特别约定：</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70B04CBA">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18.3 </w:t>
      </w:r>
      <w:r>
        <w:rPr>
          <w:rFonts w:hint="eastAsia" w:ascii="Times New Roman" w:hAnsi="Times New Roman" w:eastAsia="黑体" w:cs="黑体"/>
          <w:color w:val="auto"/>
          <w:kern w:val="2"/>
          <w:sz w:val="30"/>
          <w:szCs w:val="32"/>
          <w:highlight w:val="none"/>
          <w:lang w:eastAsia="zh-CN" w:bidi="ar"/>
        </w:rPr>
        <w:t>其他保险</w:t>
      </w:r>
    </w:p>
    <w:p w14:paraId="633BF2A3">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关于其他保险的约定：</w:t>
      </w:r>
      <w:r>
        <w:rPr>
          <w:rFonts w:ascii="Times New Roman" w:hAnsi="Times New Roman" w:eastAsia="仿宋_GB2312" w:cs="Times New Roman"/>
          <w:color w:val="auto"/>
          <w:kern w:val="0"/>
          <w:sz w:val="30"/>
          <w:szCs w:val="32"/>
          <w:highlight w:val="none"/>
          <w:u w:val="single"/>
          <w:lang w:eastAsia="zh-CN" w:bidi="ar"/>
        </w:rPr>
        <w:t xml:space="preserve">                                  </w:t>
      </w:r>
      <w:r>
        <w:rPr>
          <w:rFonts w:hint="eastAsia" w:ascii="Times New Roman" w:hAnsi="Times New Roman" w:eastAsia="仿宋_GB2312" w:cs="仿宋_GB2312"/>
          <w:color w:val="auto"/>
          <w:kern w:val="0"/>
          <w:sz w:val="30"/>
          <w:szCs w:val="32"/>
          <w:highlight w:val="none"/>
          <w:lang w:eastAsia="zh-CN" w:bidi="ar"/>
        </w:rPr>
        <w:t>。</w:t>
      </w:r>
    </w:p>
    <w:p w14:paraId="3D673C63">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承包人是否应为其施工设备等办理财产保险：</w:t>
      </w:r>
      <w:r>
        <w:rPr>
          <w:rFonts w:ascii="Times New Roman" w:hAnsi="Times New Roman" w:eastAsia="仿宋_GB2312" w:cs="Times New Roman"/>
          <w:color w:val="auto"/>
          <w:kern w:val="2"/>
          <w:sz w:val="30"/>
          <w:szCs w:val="32"/>
          <w:highlight w:val="none"/>
          <w:u w:val="single"/>
          <w:lang w:eastAsia="zh-CN" w:bidi="ar"/>
        </w:rPr>
        <w:t xml:space="preserve">              </w:t>
      </w:r>
    </w:p>
    <w:p w14:paraId="7476EAA2">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2F25AC3">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18.7 </w:t>
      </w:r>
      <w:r>
        <w:rPr>
          <w:rFonts w:hint="eastAsia" w:ascii="Times New Roman" w:hAnsi="Times New Roman" w:eastAsia="黑体" w:cs="黑体"/>
          <w:color w:val="auto"/>
          <w:kern w:val="2"/>
          <w:sz w:val="30"/>
          <w:szCs w:val="32"/>
          <w:highlight w:val="none"/>
          <w:lang w:eastAsia="zh-CN" w:bidi="ar"/>
        </w:rPr>
        <w:t>通知义务</w:t>
      </w:r>
    </w:p>
    <w:p w14:paraId="43949CA8">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0"/>
          <w:sz w:val="30"/>
          <w:szCs w:val="32"/>
          <w:highlight w:val="none"/>
          <w:lang w:eastAsia="zh-CN" w:bidi="ar"/>
        </w:rPr>
        <w:t>关于变更保险合同时的通知义务的约定：</w:t>
      </w:r>
      <w:r>
        <w:rPr>
          <w:rFonts w:ascii="Times New Roman" w:hAnsi="Times New Roman" w:eastAsia="仿宋_GB2312" w:cs="Times New Roman"/>
          <w:color w:val="auto"/>
          <w:kern w:val="2"/>
          <w:sz w:val="30"/>
          <w:szCs w:val="32"/>
          <w:highlight w:val="none"/>
          <w:u w:val="single"/>
          <w:lang w:eastAsia="zh-CN" w:bidi="ar"/>
        </w:rPr>
        <w:t xml:space="preserve">                  </w:t>
      </w:r>
    </w:p>
    <w:p w14:paraId="6D52E8FD">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bookmarkEnd w:id="1225"/>
    <w:bookmarkEnd w:id="1226"/>
    <w:bookmarkEnd w:id="1227"/>
    <w:bookmarkEnd w:id="1228"/>
    <w:bookmarkEnd w:id="1229"/>
    <w:bookmarkEnd w:id="1230"/>
    <w:bookmarkEnd w:id="1231"/>
    <w:bookmarkEnd w:id="1232"/>
    <w:bookmarkEnd w:id="1233"/>
    <w:bookmarkEnd w:id="1234"/>
    <w:bookmarkEnd w:id="1235"/>
    <w:bookmarkEnd w:id="1236"/>
    <w:p w14:paraId="1E320797">
      <w:pPr>
        <w:keepNext/>
        <w:keepLines/>
        <w:widowControl w:val="0"/>
        <w:shd w:val="clear"/>
        <w:spacing w:before="260" w:after="260" w:line="480" w:lineRule="exact"/>
        <w:outlineLvl w:val="2"/>
        <w:rPr>
          <w:rFonts w:ascii="Times New Roman" w:hAnsi="Times New Roman" w:eastAsia="黑体" w:cs="Times New Roman"/>
          <w:b/>
          <w:bCs/>
          <w:color w:val="auto"/>
          <w:sz w:val="32"/>
          <w:szCs w:val="32"/>
          <w:highlight w:val="none"/>
          <w:lang w:val="en-US" w:eastAsia="zh-CN" w:bidi="en-US"/>
        </w:rPr>
      </w:pPr>
      <w:bookmarkStart w:id="1258" w:name="_Toc163768595"/>
      <w:bookmarkStart w:id="1259" w:name="_Toc163768477"/>
      <w:bookmarkStart w:id="1260" w:name="_Toc351203651"/>
      <w:r>
        <w:rPr>
          <w:rFonts w:ascii="Times New Roman" w:hAnsi="Times New Roman" w:eastAsia="黑体" w:cs="Times New Roman"/>
          <w:b/>
          <w:bCs/>
          <w:color w:val="auto"/>
          <w:sz w:val="32"/>
          <w:szCs w:val="32"/>
          <w:highlight w:val="none"/>
          <w:lang w:val="en-US" w:eastAsia="zh-CN" w:bidi="en-US"/>
        </w:rPr>
        <w:t xml:space="preserve">20. </w:t>
      </w:r>
      <w:r>
        <w:rPr>
          <w:rFonts w:hint="eastAsia" w:ascii="Times New Roman" w:hAnsi="Times New Roman" w:eastAsia="黑体" w:cs="黑体"/>
          <w:b/>
          <w:bCs/>
          <w:color w:val="auto"/>
          <w:sz w:val="32"/>
          <w:szCs w:val="32"/>
          <w:highlight w:val="none"/>
          <w:lang w:val="en-US" w:eastAsia="zh-CN" w:bidi="en-US"/>
        </w:rPr>
        <w:t>争议解决</w:t>
      </w:r>
      <w:bookmarkEnd w:id="1258"/>
      <w:bookmarkEnd w:id="1259"/>
      <w:bookmarkEnd w:id="1260"/>
    </w:p>
    <w:bookmarkEnd w:id="1237"/>
    <w:bookmarkEnd w:id="1238"/>
    <w:p w14:paraId="3DEAE40B">
      <w:pPr>
        <w:shd w:val="clear"/>
        <w:spacing w:after="120" w:line="360" w:lineRule="auto"/>
        <w:ind w:firstLine="600" w:firstLineChars="200"/>
        <w:jc w:val="both"/>
        <w:outlineLvl w:val="3"/>
        <w:rPr>
          <w:rFonts w:ascii="Times New Roman" w:hAnsi="Times New Roman" w:eastAsia="黑体" w:cs="Times New Roman"/>
          <w:color w:val="auto"/>
          <w:kern w:val="0"/>
          <w:sz w:val="30"/>
          <w:szCs w:val="32"/>
          <w:highlight w:val="none"/>
          <w:lang w:eastAsia="zh-CN" w:bidi="en-US"/>
        </w:rPr>
      </w:pPr>
      <w:r>
        <w:rPr>
          <w:rFonts w:ascii="Times New Roman" w:hAnsi="Times New Roman" w:eastAsia="黑体" w:cs="Times New Roman"/>
          <w:color w:val="auto"/>
          <w:kern w:val="2"/>
          <w:sz w:val="30"/>
          <w:szCs w:val="32"/>
          <w:highlight w:val="none"/>
          <w:lang w:eastAsia="zh-CN" w:bidi="ar"/>
        </w:rPr>
        <w:t xml:space="preserve">20.3 </w:t>
      </w:r>
      <w:r>
        <w:rPr>
          <w:rFonts w:hint="eastAsia" w:ascii="Times New Roman" w:hAnsi="Times New Roman" w:eastAsia="黑体" w:cs="黑体"/>
          <w:color w:val="auto"/>
          <w:kern w:val="2"/>
          <w:sz w:val="30"/>
          <w:szCs w:val="32"/>
          <w:highlight w:val="none"/>
          <w:lang w:eastAsia="zh-CN" w:bidi="ar"/>
        </w:rPr>
        <w:t>争</w:t>
      </w:r>
      <w:bookmarkEnd w:id="1239"/>
      <w:r>
        <w:rPr>
          <w:rFonts w:hint="eastAsia" w:ascii="Times New Roman" w:hAnsi="Times New Roman" w:eastAsia="黑体" w:cs="黑体"/>
          <w:color w:val="auto"/>
          <w:kern w:val="2"/>
          <w:sz w:val="30"/>
          <w:szCs w:val="32"/>
          <w:highlight w:val="none"/>
          <w:lang w:eastAsia="zh-CN" w:bidi="ar"/>
        </w:rPr>
        <w:t>议评审</w:t>
      </w:r>
    </w:p>
    <w:p w14:paraId="1DF2F8D2">
      <w:pPr>
        <w:shd w:val="clear"/>
        <w:spacing w:line="360" w:lineRule="auto"/>
        <w:ind w:left="149" w:leftChars="71" w:firstLine="450" w:firstLineChars="15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合同当事人是否同意将工程争议提交争议评审小组决定：</w:t>
      </w:r>
      <w:r>
        <w:rPr>
          <w:rFonts w:ascii="Times New Roman" w:hAnsi="Times New Roman" w:eastAsia="仿宋_GB2312" w:cs="Times New Roman"/>
          <w:color w:val="auto"/>
          <w:kern w:val="2"/>
          <w:sz w:val="30"/>
          <w:szCs w:val="32"/>
          <w:highlight w:val="none"/>
          <w:u w:val="single"/>
          <w:lang w:eastAsia="zh-CN" w:bidi="ar"/>
        </w:rPr>
        <w:t xml:space="preserve">    </w:t>
      </w:r>
    </w:p>
    <w:p w14:paraId="699EF7BD">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 xml:space="preserve">  </w:t>
      </w:r>
    </w:p>
    <w:p w14:paraId="1494F341">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t xml:space="preserve">20.3.1 </w:t>
      </w:r>
      <w:r>
        <w:rPr>
          <w:rFonts w:hint="eastAsia" w:ascii="Times New Roman" w:hAnsi="Times New Roman" w:eastAsia="仿宋_GB2312" w:cs="仿宋_GB2312"/>
          <w:color w:val="auto"/>
          <w:kern w:val="2"/>
          <w:sz w:val="30"/>
          <w:szCs w:val="32"/>
          <w:highlight w:val="none"/>
          <w:lang w:eastAsia="zh-CN" w:bidi="ar"/>
        </w:rPr>
        <w:t>争议评审小组的确定</w:t>
      </w:r>
    </w:p>
    <w:p w14:paraId="5667F909">
      <w:pPr>
        <w:shd w:val="clear"/>
        <w:spacing w:line="360" w:lineRule="auto"/>
        <w:ind w:firstLine="600" w:firstLineChars="200"/>
        <w:jc w:val="left"/>
        <w:rPr>
          <w:rFonts w:ascii="Times New Roman" w:hAnsi="Times New Roman" w:eastAsia="仿宋_GB2312" w:cs="Times New Roman"/>
          <w:color w:val="auto"/>
          <w:kern w:val="0"/>
          <w:sz w:val="30"/>
          <w:szCs w:val="32"/>
          <w:highlight w:val="none"/>
          <w:u w:val="single"/>
          <w:lang w:eastAsia="zh-CN" w:bidi="en-US"/>
        </w:rPr>
      </w:pPr>
      <w:r>
        <w:rPr>
          <w:rFonts w:hint="eastAsia" w:ascii="Times New Roman" w:hAnsi="Times New Roman" w:eastAsia="仿宋_GB2312" w:cs="仿宋_GB2312"/>
          <w:color w:val="auto"/>
          <w:kern w:val="2"/>
          <w:sz w:val="30"/>
          <w:szCs w:val="32"/>
          <w:highlight w:val="none"/>
          <w:lang w:eastAsia="zh-CN" w:bidi="ar"/>
        </w:rPr>
        <w:t>争议评审小组成员的确定：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001FB3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选定争议评审员的期限：</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086EC8E6">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争议评审小组成员的报酬承担方式：</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35986598">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其他事项的约定：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6FC01A3B">
      <w:pPr>
        <w:shd w:val="clear"/>
        <w:jc w:val="both"/>
        <w:rPr>
          <w:rFonts w:ascii="Times New Roman" w:hAnsi="Times New Roman" w:eastAsia="仿宋_GB2312" w:cs="Times New Roman"/>
          <w:color w:val="auto"/>
          <w:kern w:val="0"/>
          <w:sz w:val="30"/>
          <w:szCs w:val="32"/>
          <w:highlight w:val="none"/>
          <w:lang w:eastAsia="zh-CN" w:bidi="en-US"/>
        </w:rPr>
      </w:pPr>
      <w:r>
        <w:rPr>
          <w:rFonts w:ascii="Times New Roman" w:hAnsi="Times New Roman" w:eastAsia="仿宋_GB2312" w:cs="Times New Roman"/>
          <w:color w:val="auto"/>
          <w:kern w:val="0"/>
          <w:sz w:val="30"/>
          <w:szCs w:val="32"/>
          <w:highlight w:val="none"/>
          <w:lang w:eastAsia="zh-CN" w:bidi="ar"/>
        </w:rPr>
        <w:t xml:space="preserve">20.3.2 </w:t>
      </w:r>
      <w:r>
        <w:rPr>
          <w:rFonts w:hint="eastAsia" w:ascii="Times New Roman" w:hAnsi="Times New Roman" w:eastAsia="仿宋_GB2312" w:cs="仿宋_GB2312"/>
          <w:color w:val="auto"/>
          <w:kern w:val="0"/>
          <w:sz w:val="30"/>
          <w:szCs w:val="32"/>
          <w:highlight w:val="none"/>
          <w:lang w:eastAsia="zh-CN" w:bidi="ar"/>
        </w:rPr>
        <w:t>争议评审小组的决定</w:t>
      </w:r>
    </w:p>
    <w:p w14:paraId="3C5C48AF">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合同当事人关于本项的约定：</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w:t>
      </w:r>
    </w:p>
    <w:p w14:paraId="400C87FB">
      <w:pPr>
        <w:keepNext/>
        <w:keepLines/>
        <w:widowControl/>
        <w:shd w:val="clear"/>
        <w:spacing w:before="280" w:after="290" w:line="372" w:lineRule="auto"/>
        <w:jc w:val="both"/>
        <w:outlineLvl w:val="3"/>
        <w:rPr>
          <w:rFonts w:ascii="Times New Roman" w:hAnsi="Times New Roman" w:eastAsia="黑体" w:cs="Times New Roman"/>
          <w:b/>
          <w:bCs/>
          <w:color w:val="auto"/>
          <w:kern w:val="2"/>
          <w:sz w:val="30"/>
          <w:szCs w:val="32"/>
          <w:highlight w:val="none"/>
          <w:lang w:val="en-US" w:eastAsia="zh-CN" w:bidi="ar-SA"/>
        </w:rPr>
      </w:pPr>
      <w:r>
        <w:rPr>
          <w:rFonts w:ascii="Times New Roman" w:hAnsi="Times New Roman" w:eastAsia="黑体" w:cs="Times New Roman"/>
          <w:b/>
          <w:bCs/>
          <w:color w:val="auto"/>
          <w:kern w:val="2"/>
          <w:sz w:val="30"/>
          <w:szCs w:val="32"/>
          <w:highlight w:val="none"/>
          <w:lang w:val="en-US" w:eastAsia="zh-CN" w:bidi="ar-SA"/>
        </w:rPr>
        <w:t>20.4</w:t>
      </w:r>
      <w:r>
        <w:rPr>
          <w:rFonts w:hint="eastAsia" w:ascii="Times New Roman" w:hAnsi="Times New Roman" w:eastAsia="黑体" w:cs="黑体"/>
          <w:b/>
          <w:bCs/>
          <w:color w:val="auto"/>
          <w:kern w:val="2"/>
          <w:sz w:val="30"/>
          <w:szCs w:val="32"/>
          <w:highlight w:val="none"/>
          <w:lang w:val="en-US" w:eastAsia="zh-CN" w:bidi="ar-SA"/>
        </w:rPr>
        <w:t>仲裁或诉讼</w:t>
      </w:r>
      <w:bookmarkEnd w:id="1240"/>
    </w:p>
    <w:p w14:paraId="5A9271B4">
      <w:pPr>
        <w:shd w:val="clear"/>
        <w:spacing w:after="120" w:line="360" w:lineRule="auto"/>
        <w:ind w:firstLine="600" w:firstLineChars="200"/>
        <w:jc w:val="both"/>
        <w:rPr>
          <w:rFonts w:ascii="Times New Roman" w:hAnsi="Times New Roman" w:eastAsia="黑体"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因合同及合同有关事项发生的争议，按下列第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种方式解决：</w:t>
      </w:r>
    </w:p>
    <w:p w14:paraId="1197C544">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）向</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仲裁委员会申请仲裁；</w:t>
      </w:r>
    </w:p>
    <w:p w14:paraId="16D8FF0A">
      <w:pPr>
        <w:shd w:val="clear"/>
        <w:spacing w:line="360" w:lineRule="auto"/>
        <w:ind w:firstLine="600" w:firstLineChars="200"/>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）向</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人民法院起诉。</w:t>
      </w:r>
      <w:bookmarkEnd w:id="1241"/>
      <w:bookmarkEnd w:id="1242"/>
      <w:bookmarkEnd w:id="1243"/>
      <w:bookmarkEnd w:id="1244"/>
      <w:bookmarkEnd w:id="1245"/>
      <w:bookmarkEnd w:id="1246"/>
    </w:p>
    <w:p w14:paraId="49EE2A55">
      <w:pPr>
        <w:shd w:val="clear"/>
        <w:spacing w:line="360" w:lineRule="auto"/>
        <w:jc w:val="left"/>
        <w:rPr>
          <w:rFonts w:ascii="Times New Roman" w:hAnsi="Times New Roman" w:eastAsia="黑体" w:cs="Times New Roman"/>
          <w:b/>
          <w:color w:val="auto"/>
          <w:kern w:val="0"/>
          <w:sz w:val="32"/>
          <w:szCs w:val="32"/>
          <w:highlight w:val="none"/>
          <w:lang w:eastAsia="zh-CN" w:bidi="en-US"/>
        </w:rPr>
      </w:pPr>
      <w:r>
        <w:rPr>
          <w:rFonts w:ascii="Times New Roman" w:hAnsi="Times New Roman" w:eastAsia="仿宋_GB2312" w:cs="Times New Roman"/>
          <w:color w:val="auto"/>
          <w:kern w:val="2"/>
          <w:sz w:val="30"/>
          <w:szCs w:val="32"/>
          <w:highlight w:val="none"/>
          <w:lang w:eastAsia="zh-CN" w:bidi="ar"/>
        </w:rPr>
        <w:br w:type="page"/>
      </w:r>
      <w:bookmarkStart w:id="1261" w:name="_Toc351203652"/>
      <w:r>
        <w:rPr>
          <w:rFonts w:hint="eastAsia" w:ascii="Times New Roman" w:hAnsi="Times New Roman" w:eastAsia="黑体" w:cs="黑体"/>
          <w:b/>
          <w:color w:val="auto"/>
          <w:kern w:val="2"/>
          <w:sz w:val="32"/>
          <w:szCs w:val="32"/>
          <w:highlight w:val="none"/>
          <w:lang w:eastAsia="zh-CN" w:bidi="ar"/>
        </w:rPr>
        <w:t>附件</w:t>
      </w:r>
      <w:bookmarkEnd w:id="1261"/>
    </w:p>
    <w:p w14:paraId="295CFFC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协议书附件：</w:t>
      </w:r>
    </w:p>
    <w:p w14:paraId="60768AEE">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：承包人承揽工程项目一览表</w:t>
      </w:r>
    </w:p>
    <w:p w14:paraId="60CBE181">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专用合同条款附件：</w:t>
      </w:r>
    </w:p>
    <w:p w14:paraId="323D067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：发包人供应材料设备一览表</w:t>
      </w:r>
    </w:p>
    <w:p w14:paraId="779159F1">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3</w:t>
      </w:r>
      <w:r>
        <w:rPr>
          <w:rFonts w:hint="eastAsia" w:ascii="Times New Roman" w:hAnsi="Times New Roman" w:eastAsia="仿宋_GB2312" w:cs="仿宋_GB2312"/>
          <w:color w:val="auto"/>
          <w:kern w:val="2"/>
          <w:sz w:val="30"/>
          <w:szCs w:val="32"/>
          <w:highlight w:val="none"/>
          <w:lang w:eastAsia="zh-CN" w:bidi="ar"/>
        </w:rPr>
        <w:t>：工程质量保修书</w:t>
      </w:r>
    </w:p>
    <w:p w14:paraId="3F34E8DC">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4</w:t>
      </w:r>
      <w:r>
        <w:rPr>
          <w:rFonts w:hint="eastAsia" w:ascii="Times New Roman" w:hAnsi="Times New Roman" w:eastAsia="仿宋_GB2312" w:cs="仿宋_GB2312"/>
          <w:color w:val="auto"/>
          <w:kern w:val="2"/>
          <w:sz w:val="30"/>
          <w:szCs w:val="32"/>
          <w:highlight w:val="none"/>
          <w:lang w:eastAsia="zh-CN" w:bidi="ar"/>
        </w:rPr>
        <w:t>：主要建设工程文件目录</w:t>
      </w:r>
    </w:p>
    <w:p w14:paraId="439ACF2B">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5</w:t>
      </w:r>
      <w:r>
        <w:rPr>
          <w:rFonts w:hint="eastAsia" w:ascii="Times New Roman" w:hAnsi="Times New Roman" w:eastAsia="仿宋_GB2312" w:cs="仿宋_GB2312"/>
          <w:color w:val="auto"/>
          <w:kern w:val="2"/>
          <w:sz w:val="30"/>
          <w:szCs w:val="32"/>
          <w:highlight w:val="none"/>
          <w:lang w:eastAsia="zh-CN" w:bidi="ar"/>
        </w:rPr>
        <w:t>：承包人用于本工程施工的机械设备表</w:t>
      </w:r>
    </w:p>
    <w:p w14:paraId="677BB31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6</w:t>
      </w:r>
      <w:r>
        <w:rPr>
          <w:rFonts w:hint="eastAsia" w:ascii="Times New Roman" w:hAnsi="Times New Roman" w:eastAsia="仿宋_GB2312" w:cs="仿宋_GB2312"/>
          <w:color w:val="auto"/>
          <w:kern w:val="2"/>
          <w:sz w:val="30"/>
          <w:szCs w:val="32"/>
          <w:highlight w:val="none"/>
          <w:lang w:eastAsia="zh-CN" w:bidi="ar"/>
        </w:rPr>
        <w:t>：承包人主要施工管理人员表</w:t>
      </w:r>
    </w:p>
    <w:p w14:paraId="3E885326">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7</w:t>
      </w:r>
      <w:r>
        <w:rPr>
          <w:rFonts w:hint="eastAsia" w:ascii="Times New Roman" w:hAnsi="Times New Roman" w:eastAsia="仿宋_GB2312" w:cs="仿宋_GB2312"/>
          <w:color w:val="auto"/>
          <w:kern w:val="2"/>
          <w:sz w:val="30"/>
          <w:szCs w:val="32"/>
          <w:highlight w:val="none"/>
          <w:lang w:eastAsia="zh-CN" w:bidi="ar"/>
        </w:rPr>
        <w:t>：分包人主要施工管理人员表</w:t>
      </w:r>
    </w:p>
    <w:p w14:paraId="0E4675E4">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8</w:t>
      </w:r>
      <w:r>
        <w:rPr>
          <w:rFonts w:hint="eastAsia" w:ascii="Times New Roman" w:hAnsi="Times New Roman" w:eastAsia="仿宋_GB2312" w:cs="仿宋_GB2312"/>
          <w:color w:val="auto"/>
          <w:kern w:val="2"/>
          <w:sz w:val="30"/>
          <w:szCs w:val="32"/>
          <w:highlight w:val="none"/>
          <w:lang w:eastAsia="zh-CN" w:bidi="ar"/>
        </w:rPr>
        <w:t>：履约担保格式</w:t>
      </w:r>
    </w:p>
    <w:p w14:paraId="277438E7">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9</w:t>
      </w:r>
      <w:r>
        <w:rPr>
          <w:rFonts w:hint="eastAsia" w:ascii="Times New Roman" w:hAnsi="Times New Roman" w:eastAsia="仿宋_GB2312" w:cs="仿宋_GB2312"/>
          <w:color w:val="auto"/>
          <w:kern w:val="2"/>
          <w:sz w:val="30"/>
          <w:szCs w:val="32"/>
          <w:highlight w:val="none"/>
          <w:lang w:eastAsia="zh-CN" w:bidi="ar"/>
        </w:rPr>
        <w:t>：预付款担保格式</w:t>
      </w:r>
    </w:p>
    <w:p w14:paraId="38F96119">
      <w:pPr>
        <w:shd w:val="clear"/>
        <w:spacing w:line="360" w:lineRule="auto"/>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10</w:t>
      </w:r>
      <w:r>
        <w:rPr>
          <w:rFonts w:hint="eastAsia" w:ascii="Times New Roman" w:hAnsi="Times New Roman" w:eastAsia="仿宋_GB2312" w:cs="仿宋_GB2312"/>
          <w:color w:val="auto"/>
          <w:kern w:val="2"/>
          <w:sz w:val="30"/>
          <w:szCs w:val="32"/>
          <w:highlight w:val="none"/>
          <w:lang w:eastAsia="zh-CN" w:bidi="ar"/>
        </w:rPr>
        <w:t>：支付担保格式</w:t>
      </w:r>
    </w:p>
    <w:p w14:paraId="6CBA46BB">
      <w:pPr>
        <w:shd w:val="clear"/>
        <w:spacing w:line="360" w:lineRule="auto"/>
        <w:jc w:val="left"/>
        <w:rPr>
          <w:rFonts w:ascii="Times New Roman" w:hAnsi="Times New Roman" w:eastAsia="黑体"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附件</w:t>
      </w:r>
      <w:r>
        <w:rPr>
          <w:rFonts w:ascii="Times New Roman" w:hAnsi="Times New Roman" w:eastAsia="仿宋_GB2312" w:cs="Times New Roman"/>
          <w:color w:val="auto"/>
          <w:kern w:val="2"/>
          <w:sz w:val="30"/>
          <w:szCs w:val="32"/>
          <w:highlight w:val="none"/>
          <w:lang w:eastAsia="zh-CN" w:bidi="ar"/>
        </w:rPr>
        <w:t>11</w:t>
      </w:r>
      <w:r>
        <w:rPr>
          <w:rFonts w:hint="eastAsia" w:ascii="Times New Roman" w:hAnsi="Times New Roman" w:eastAsia="仿宋_GB2312" w:cs="仿宋_GB2312"/>
          <w:color w:val="auto"/>
          <w:kern w:val="2"/>
          <w:sz w:val="30"/>
          <w:szCs w:val="32"/>
          <w:highlight w:val="none"/>
          <w:lang w:eastAsia="zh-CN" w:bidi="ar"/>
        </w:rPr>
        <w:t>：暂估价一览表</w:t>
      </w:r>
    </w:p>
    <w:p w14:paraId="3EBE5CA8">
      <w:pPr>
        <w:shd w:val="clear"/>
        <w:spacing w:line="360" w:lineRule="auto"/>
        <w:rPr>
          <w:rFonts w:eastAsia="黑体"/>
          <w:color w:val="auto"/>
          <w:kern w:val="2"/>
          <w:sz w:val="30"/>
          <w:szCs w:val="30"/>
          <w:highlight w:val="none"/>
          <w:lang w:eastAsia="zh-CN" w:bidi="ar"/>
        </w:rPr>
        <w:sectPr>
          <w:headerReference r:id="rId10" w:type="default"/>
          <w:footerReference r:id="rId11" w:type="default"/>
          <w:pgSz w:w="11906" w:h="16838"/>
          <w:pgMar w:top="1418" w:right="1555" w:bottom="1418" w:left="1531" w:header="851" w:footer="992" w:gutter="0"/>
          <w:cols w:space="425" w:num="1"/>
          <w:docGrid w:type="lines" w:linePitch="312" w:charSpace="0"/>
        </w:sectPr>
      </w:pPr>
    </w:p>
    <w:p w14:paraId="34695BEE">
      <w:pPr>
        <w:shd w:val="clear"/>
        <w:spacing w:before="156" w:beforeLines="50" w:after="156" w:afterLines="50" w:line="440" w:lineRule="exact"/>
        <w:jc w:val="left"/>
        <w:rPr>
          <w:rFonts w:ascii="仿宋_GB2312" w:hAnsi="Times New Roman" w:eastAsia="仿宋_GB2312" w:cs="仿宋_GB2312"/>
          <w:color w:val="auto"/>
          <w:kern w:val="0"/>
          <w:sz w:val="30"/>
          <w:szCs w:val="30"/>
          <w:highlight w:val="none"/>
          <w:lang w:eastAsia="zh-CN" w:bidi="en-US"/>
        </w:rPr>
      </w:pPr>
      <w:r>
        <w:rPr>
          <w:rFonts w:hint="eastAsia" w:ascii="仿宋_GB2312" w:hAnsi="Times New Roman" w:eastAsia="仿宋_GB2312" w:cs="仿宋_GB2312"/>
          <w:color w:val="auto"/>
          <w:kern w:val="2"/>
          <w:sz w:val="30"/>
          <w:szCs w:val="30"/>
          <w:highlight w:val="none"/>
          <w:lang w:eastAsia="zh-CN" w:bidi="ar"/>
        </w:rPr>
        <w:t>附件1：</w:t>
      </w:r>
    </w:p>
    <w:p w14:paraId="34F98AE0">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262" w:name="_Toc8599"/>
      <w:bookmarkStart w:id="1263" w:name="_Toc163768596"/>
      <w:bookmarkStart w:id="1264" w:name="_Toc163768478"/>
      <w:r>
        <w:rPr>
          <w:rFonts w:hint="eastAsia" w:ascii="Times New Roman" w:hAnsi="Times New Roman" w:eastAsia="黑体" w:cs="黑体"/>
          <w:b/>
          <w:color w:val="auto"/>
          <w:sz w:val="30"/>
          <w:szCs w:val="30"/>
          <w:highlight w:val="none"/>
          <w:lang w:val="en-US" w:eastAsia="zh-CN" w:bidi="en-US"/>
        </w:rPr>
        <w:t>承包人承揽工程项目一览表</w:t>
      </w:r>
      <w:bookmarkEnd w:id="1262"/>
      <w:bookmarkEnd w:id="1263"/>
      <w:bookmarkEnd w:id="1264"/>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1337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left w:val="single" w:color="auto" w:sz="12" w:space="0"/>
              <w:bottom w:val="double" w:color="auto" w:sz="6" w:space="0"/>
              <w:right w:val="single" w:color="auto" w:sz="6" w:space="0"/>
            </w:tcBorders>
            <w:shd w:val="clear" w:color="auto" w:fill="auto"/>
            <w:vAlign w:val="center"/>
          </w:tcPr>
          <w:p w14:paraId="5670979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单位工程名称</w:t>
            </w:r>
          </w:p>
        </w:tc>
        <w:tc>
          <w:tcPr>
            <w:tcW w:w="1843" w:type="dxa"/>
            <w:tcBorders>
              <w:top w:val="single" w:color="auto" w:sz="12" w:space="0"/>
              <w:left w:val="single" w:color="auto" w:sz="6" w:space="0"/>
              <w:bottom w:val="double" w:color="auto" w:sz="6" w:space="0"/>
              <w:right w:val="single" w:color="auto" w:sz="6" w:space="0"/>
            </w:tcBorders>
            <w:shd w:val="clear" w:color="auto" w:fill="auto"/>
            <w:vAlign w:val="center"/>
          </w:tcPr>
          <w:p w14:paraId="1757A8D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建设规模</w:t>
            </w:r>
          </w:p>
        </w:tc>
        <w:tc>
          <w:tcPr>
            <w:tcW w:w="1417" w:type="dxa"/>
            <w:tcBorders>
              <w:top w:val="single" w:color="auto" w:sz="12" w:space="0"/>
              <w:left w:val="single" w:color="auto" w:sz="6" w:space="0"/>
              <w:bottom w:val="double" w:color="auto" w:sz="6" w:space="0"/>
              <w:right w:val="single" w:color="auto" w:sz="6" w:space="0"/>
            </w:tcBorders>
            <w:shd w:val="clear" w:color="auto" w:fill="auto"/>
            <w:vAlign w:val="center"/>
          </w:tcPr>
          <w:p w14:paraId="77B2585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建筑面积</w:t>
            </w:r>
            <w:r>
              <w:rPr>
                <w:rFonts w:ascii="Times New Roman" w:hAnsi="Times New Roman" w:eastAsia="仿宋_GB2312" w:cs="Times New Roman"/>
                <w:color w:val="auto"/>
                <w:kern w:val="2"/>
                <w:sz w:val="28"/>
                <w:szCs w:val="30"/>
                <w:highlight w:val="none"/>
                <w:lang w:val="en-US" w:eastAsia="zh-CN" w:bidi="ar"/>
              </w:rPr>
              <w:t>(</w:t>
            </w:r>
            <w:r>
              <w:rPr>
                <w:rFonts w:hint="eastAsia" w:ascii="Times New Roman" w:hAnsi="Times New Roman" w:eastAsia="仿宋_GB2312" w:cs="仿宋_GB2312"/>
                <w:color w:val="auto"/>
                <w:kern w:val="2"/>
                <w:sz w:val="28"/>
                <w:szCs w:val="30"/>
                <w:highlight w:val="none"/>
                <w:lang w:val="en-US" w:eastAsia="zh-CN" w:bidi="ar"/>
              </w:rPr>
              <w:t>平方米</w:t>
            </w:r>
            <w:r>
              <w:rPr>
                <w:rFonts w:ascii="Times New Roman" w:hAnsi="Times New Roman" w:eastAsia="仿宋_GB2312" w:cs="Times New Roman"/>
                <w:color w:val="auto"/>
                <w:kern w:val="2"/>
                <w:sz w:val="28"/>
                <w:szCs w:val="30"/>
                <w:highlight w:val="none"/>
                <w:lang w:val="en-US" w:eastAsia="zh-CN" w:bidi="ar"/>
              </w:rPr>
              <w:t>)</w:t>
            </w:r>
          </w:p>
        </w:tc>
        <w:tc>
          <w:tcPr>
            <w:tcW w:w="2410" w:type="dxa"/>
            <w:tcBorders>
              <w:top w:val="single" w:color="auto" w:sz="12" w:space="0"/>
              <w:left w:val="single" w:color="auto" w:sz="6" w:space="0"/>
              <w:bottom w:val="double" w:color="auto" w:sz="6" w:space="0"/>
              <w:right w:val="single" w:color="auto" w:sz="6" w:space="0"/>
            </w:tcBorders>
            <w:shd w:val="clear" w:color="auto" w:fill="auto"/>
            <w:vAlign w:val="center"/>
          </w:tcPr>
          <w:p w14:paraId="1A9190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结构形式</w:t>
            </w:r>
          </w:p>
        </w:tc>
        <w:tc>
          <w:tcPr>
            <w:tcW w:w="850" w:type="dxa"/>
            <w:tcBorders>
              <w:top w:val="single" w:color="auto" w:sz="12" w:space="0"/>
              <w:left w:val="single" w:color="auto" w:sz="6" w:space="0"/>
              <w:bottom w:val="double" w:color="auto" w:sz="6" w:space="0"/>
              <w:right w:val="single" w:color="auto" w:sz="6" w:space="0"/>
            </w:tcBorders>
            <w:shd w:val="clear" w:color="auto" w:fill="auto"/>
            <w:vAlign w:val="center"/>
          </w:tcPr>
          <w:p w14:paraId="7C0B0C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层数</w:t>
            </w:r>
          </w:p>
        </w:tc>
        <w:tc>
          <w:tcPr>
            <w:tcW w:w="1560" w:type="dxa"/>
            <w:tcBorders>
              <w:top w:val="single" w:color="auto" w:sz="12" w:space="0"/>
              <w:left w:val="single" w:color="auto" w:sz="6" w:space="0"/>
              <w:bottom w:val="double" w:color="auto" w:sz="6" w:space="0"/>
              <w:right w:val="single" w:color="auto" w:sz="6" w:space="0"/>
            </w:tcBorders>
            <w:shd w:val="clear" w:color="auto" w:fill="auto"/>
            <w:vAlign w:val="center"/>
          </w:tcPr>
          <w:p w14:paraId="5A05653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生产能力</w:t>
            </w:r>
          </w:p>
        </w:tc>
        <w:tc>
          <w:tcPr>
            <w:tcW w:w="2126" w:type="dxa"/>
            <w:tcBorders>
              <w:top w:val="single" w:color="auto" w:sz="12" w:space="0"/>
              <w:left w:val="single" w:color="auto" w:sz="6" w:space="0"/>
              <w:bottom w:val="double" w:color="auto" w:sz="6" w:space="0"/>
              <w:right w:val="single" w:color="auto" w:sz="6" w:space="0"/>
            </w:tcBorders>
            <w:shd w:val="clear" w:color="auto" w:fill="auto"/>
            <w:vAlign w:val="center"/>
          </w:tcPr>
          <w:p w14:paraId="4F860EB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设备安装内容</w:t>
            </w:r>
          </w:p>
        </w:tc>
        <w:tc>
          <w:tcPr>
            <w:tcW w:w="1417" w:type="dxa"/>
            <w:tcBorders>
              <w:top w:val="single" w:color="auto" w:sz="12" w:space="0"/>
              <w:left w:val="single" w:color="auto" w:sz="6" w:space="0"/>
              <w:bottom w:val="double" w:color="auto" w:sz="6" w:space="0"/>
              <w:right w:val="single" w:color="auto" w:sz="6" w:space="0"/>
            </w:tcBorders>
            <w:shd w:val="clear" w:color="auto" w:fill="auto"/>
            <w:vAlign w:val="center"/>
          </w:tcPr>
          <w:p w14:paraId="7F8F4E4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合同价格（元）</w:t>
            </w:r>
          </w:p>
        </w:tc>
        <w:tc>
          <w:tcPr>
            <w:tcW w:w="851" w:type="dxa"/>
            <w:tcBorders>
              <w:top w:val="single" w:color="auto" w:sz="12" w:space="0"/>
              <w:left w:val="single" w:color="auto" w:sz="6" w:space="0"/>
              <w:bottom w:val="double" w:color="auto" w:sz="6" w:space="0"/>
              <w:right w:val="single" w:color="auto" w:sz="6" w:space="0"/>
            </w:tcBorders>
            <w:shd w:val="clear" w:color="auto" w:fill="auto"/>
            <w:vAlign w:val="center"/>
          </w:tcPr>
          <w:p w14:paraId="003BC5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开工日期</w:t>
            </w:r>
          </w:p>
        </w:tc>
        <w:tc>
          <w:tcPr>
            <w:tcW w:w="850" w:type="dxa"/>
            <w:tcBorders>
              <w:top w:val="single" w:color="auto" w:sz="12" w:space="0"/>
              <w:left w:val="single" w:color="auto" w:sz="6" w:space="0"/>
              <w:bottom w:val="double" w:color="auto" w:sz="6" w:space="0"/>
              <w:right w:val="single" w:color="auto" w:sz="12" w:space="0"/>
            </w:tcBorders>
            <w:shd w:val="clear" w:color="auto" w:fill="auto"/>
            <w:vAlign w:val="center"/>
          </w:tcPr>
          <w:p w14:paraId="4CC7652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竣工日期</w:t>
            </w:r>
          </w:p>
        </w:tc>
      </w:tr>
      <w:tr w14:paraId="5B077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left w:val="single" w:color="auto" w:sz="12" w:space="0"/>
              <w:bottom w:val="single" w:color="auto" w:sz="6" w:space="0"/>
              <w:right w:val="single" w:color="auto" w:sz="6" w:space="0"/>
            </w:tcBorders>
            <w:shd w:val="clear" w:color="auto" w:fill="auto"/>
            <w:vAlign w:val="center"/>
          </w:tcPr>
          <w:p w14:paraId="14BD0A1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double" w:color="auto" w:sz="6" w:space="0"/>
              <w:left w:val="single" w:color="auto" w:sz="6" w:space="0"/>
              <w:bottom w:val="single" w:color="auto" w:sz="6" w:space="0"/>
              <w:right w:val="single" w:color="auto" w:sz="6" w:space="0"/>
            </w:tcBorders>
            <w:shd w:val="clear" w:color="auto" w:fill="auto"/>
            <w:vAlign w:val="center"/>
          </w:tcPr>
          <w:p w14:paraId="7616F2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double" w:color="auto" w:sz="6" w:space="0"/>
              <w:left w:val="single" w:color="auto" w:sz="6" w:space="0"/>
              <w:bottom w:val="single" w:color="auto" w:sz="6" w:space="0"/>
              <w:right w:val="single" w:color="auto" w:sz="6" w:space="0"/>
            </w:tcBorders>
            <w:shd w:val="clear" w:color="auto" w:fill="auto"/>
            <w:vAlign w:val="center"/>
          </w:tcPr>
          <w:p w14:paraId="63B3CBF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double" w:color="auto" w:sz="6" w:space="0"/>
              <w:left w:val="single" w:color="auto" w:sz="6" w:space="0"/>
              <w:bottom w:val="single" w:color="auto" w:sz="6" w:space="0"/>
              <w:right w:val="single" w:color="auto" w:sz="6" w:space="0"/>
            </w:tcBorders>
            <w:shd w:val="clear" w:color="auto" w:fill="auto"/>
            <w:vAlign w:val="center"/>
          </w:tcPr>
          <w:p w14:paraId="72BE23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double" w:color="auto" w:sz="6" w:space="0"/>
              <w:left w:val="single" w:color="auto" w:sz="6" w:space="0"/>
              <w:bottom w:val="single" w:color="auto" w:sz="6" w:space="0"/>
              <w:right w:val="single" w:color="auto" w:sz="6" w:space="0"/>
            </w:tcBorders>
            <w:shd w:val="clear" w:color="auto" w:fill="auto"/>
            <w:vAlign w:val="center"/>
          </w:tcPr>
          <w:p w14:paraId="4BEFB47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double" w:color="auto" w:sz="6" w:space="0"/>
              <w:left w:val="single" w:color="auto" w:sz="6" w:space="0"/>
              <w:bottom w:val="single" w:color="auto" w:sz="6" w:space="0"/>
              <w:right w:val="single" w:color="auto" w:sz="6" w:space="0"/>
            </w:tcBorders>
            <w:shd w:val="clear" w:color="auto" w:fill="auto"/>
            <w:vAlign w:val="center"/>
          </w:tcPr>
          <w:p w14:paraId="05FAD23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double" w:color="auto" w:sz="6" w:space="0"/>
              <w:left w:val="single" w:color="auto" w:sz="6" w:space="0"/>
              <w:bottom w:val="single" w:color="auto" w:sz="6" w:space="0"/>
              <w:right w:val="single" w:color="auto" w:sz="6" w:space="0"/>
            </w:tcBorders>
            <w:shd w:val="clear" w:color="auto" w:fill="auto"/>
            <w:vAlign w:val="center"/>
          </w:tcPr>
          <w:p w14:paraId="2B36AE1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double" w:color="auto" w:sz="6" w:space="0"/>
              <w:left w:val="single" w:color="auto" w:sz="6" w:space="0"/>
              <w:bottom w:val="single" w:color="auto" w:sz="6" w:space="0"/>
              <w:right w:val="single" w:color="auto" w:sz="6" w:space="0"/>
            </w:tcBorders>
            <w:shd w:val="clear" w:color="auto" w:fill="auto"/>
            <w:vAlign w:val="center"/>
          </w:tcPr>
          <w:p w14:paraId="53B3640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double" w:color="auto" w:sz="6" w:space="0"/>
              <w:left w:val="single" w:color="auto" w:sz="6" w:space="0"/>
              <w:bottom w:val="single" w:color="auto" w:sz="6" w:space="0"/>
              <w:right w:val="single" w:color="auto" w:sz="6" w:space="0"/>
            </w:tcBorders>
            <w:shd w:val="clear" w:color="auto" w:fill="auto"/>
            <w:vAlign w:val="center"/>
          </w:tcPr>
          <w:p w14:paraId="4865520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double" w:color="auto" w:sz="6" w:space="0"/>
              <w:left w:val="single" w:color="auto" w:sz="6" w:space="0"/>
              <w:bottom w:val="single" w:color="auto" w:sz="6" w:space="0"/>
              <w:right w:val="single" w:color="auto" w:sz="12" w:space="0"/>
            </w:tcBorders>
            <w:shd w:val="clear" w:color="auto" w:fill="auto"/>
            <w:vAlign w:val="center"/>
          </w:tcPr>
          <w:p w14:paraId="130BCC9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9636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4971B5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77514C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2F462F2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288CE9C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3EEB9FF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1817CCD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50F30FE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2C66D4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1F1663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0BB38C0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A055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5FC5F6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279C06E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1FBC27D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4030504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09F0F48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410A532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4AC2BD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788E146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55C627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00768AA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720C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6" w:space="0"/>
              <w:right w:val="single" w:color="auto" w:sz="6" w:space="0"/>
            </w:tcBorders>
            <w:shd w:val="clear" w:color="auto" w:fill="auto"/>
            <w:vAlign w:val="center"/>
          </w:tcPr>
          <w:p w14:paraId="201498C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515A934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74AF2B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single" w:color="auto" w:sz="6" w:space="0"/>
              <w:left w:val="single" w:color="auto" w:sz="6" w:space="0"/>
              <w:bottom w:val="single" w:color="auto" w:sz="6" w:space="0"/>
              <w:right w:val="single" w:color="auto" w:sz="6" w:space="0"/>
            </w:tcBorders>
            <w:shd w:val="clear" w:color="auto" w:fill="auto"/>
            <w:vAlign w:val="center"/>
          </w:tcPr>
          <w:p w14:paraId="3769028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128858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tcPr>
          <w:p w14:paraId="17C3D7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single" w:color="auto" w:sz="6" w:space="0"/>
              <w:left w:val="single" w:color="auto" w:sz="6" w:space="0"/>
              <w:bottom w:val="single" w:color="auto" w:sz="6" w:space="0"/>
              <w:right w:val="single" w:color="auto" w:sz="6" w:space="0"/>
            </w:tcBorders>
            <w:shd w:val="clear" w:color="auto" w:fill="auto"/>
            <w:vAlign w:val="center"/>
          </w:tcPr>
          <w:p w14:paraId="32FDD59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7399B1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A9FAD2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12" w:space="0"/>
            </w:tcBorders>
            <w:shd w:val="clear" w:color="auto" w:fill="auto"/>
            <w:vAlign w:val="center"/>
          </w:tcPr>
          <w:p w14:paraId="73A435F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035D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2AC41E9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7188DE1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07C365D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500E16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0CF85FE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3A6D2D7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7C9FEFE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6AAA8AC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7511383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7A39E56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0F0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6" w:space="0"/>
              <w:right w:val="single" w:color="auto" w:sz="6" w:space="0"/>
            </w:tcBorders>
            <w:shd w:val="clear" w:color="auto" w:fill="auto"/>
            <w:vAlign w:val="center"/>
          </w:tcPr>
          <w:p w14:paraId="62FCB8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5ECE4E6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41C30AB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single" w:color="auto" w:sz="6" w:space="0"/>
              <w:left w:val="single" w:color="auto" w:sz="6" w:space="0"/>
              <w:bottom w:val="single" w:color="auto" w:sz="6" w:space="0"/>
              <w:right w:val="single" w:color="auto" w:sz="6" w:space="0"/>
            </w:tcBorders>
            <w:shd w:val="clear" w:color="auto" w:fill="auto"/>
            <w:vAlign w:val="center"/>
          </w:tcPr>
          <w:p w14:paraId="15D432B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6BEA7DD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tcPr>
          <w:p w14:paraId="7D2EC8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single" w:color="auto" w:sz="6" w:space="0"/>
              <w:left w:val="single" w:color="auto" w:sz="6" w:space="0"/>
              <w:bottom w:val="single" w:color="auto" w:sz="6" w:space="0"/>
              <w:right w:val="single" w:color="auto" w:sz="6" w:space="0"/>
            </w:tcBorders>
            <w:shd w:val="clear" w:color="auto" w:fill="auto"/>
            <w:vAlign w:val="center"/>
          </w:tcPr>
          <w:p w14:paraId="2AC7FFE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0339469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441AC3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12" w:space="0"/>
            </w:tcBorders>
            <w:shd w:val="clear" w:color="auto" w:fill="auto"/>
            <w:vAlign w:val="center"/>
          </w:tcPr>
          <w:p w14:paraId="216A81E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C59C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35C23E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6F750EC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220D6E6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6EFB7D6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6EF6CC4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7B02082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21CC73A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1F1AB59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4359B34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747C528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FAFA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7FEC47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0131E29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55FD7C1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31D66D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2DE6A6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52566EA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5F50455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0059955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08F6CD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2CFEF66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40C7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6" w:space="0"/>
              <w:right w:val="single" w:color="auto" w:sz="6" w:space="0"/>
            </w:tcBorders>
            <w:shd w:val="clear" w:color="auto" w:fill="auto"/>
            <w:vAlign w:val="center"/>
          </w:tcPr>
          <w:p w14:paraId="54062B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495C992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4A27714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single" w:color="auto" w:sz="6" w:space="0"/>
              <w:left w:val="single" w:color="auto" w:sz="6" w:space="0"/>
              <w:bottom w:val="single" w:color="auto" w:sz="6" w:space="0"/>
              <w:right w:val="single" w:color="auto" w:sz="6" w:space="0"/>
            </w:tcBorders>
            <w:shd w:val="clear" w:color="auto" w:fill="auto"/>
            <w:vAlign w:val="center"/>
          </w:tcPr>
          <w:p w14:paraId="11CD66D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2F25042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single" w:color="auto" w:sz="6" w:space="0"/>
              <w:left w:val="single" w:color="auto" w:sz="6" w:space="0"/>
              <w:bottom w:val="single" w:color="auto" w:sz="6" w:space="0"/>
              <w:right w:val="single" w:color="auto" w:sz="6" w:space="0"/>
            </w:tcBorders>
            <w:shd w:val="clear" w:color="auto" w:fill="auto"/>
            <w:vAlign w:val="center"/>
          </w:tcPr>
          <w:p w14:paraId="07FD0E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single" w:color="auto" w:sz="6" w:space="0"/>
              <w:left w:val="single" w:color="auto" w:sz="6" w:space="0"/>
              <w:bottom w:val="single" w:color="auto" w:sz="6" w:space="0"/>
              <w:right w:val="single" w:color="auto" w:sz="6" w:space="0"/>
            </w:tcBorders>
            <w:shd w:val="clear" w:color="auto" w:fill="auto"/>
            <w:vAlign w:val="center"/>
          </w:tcPr>
          <w:p w14:paraId="31BA3F4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6" w:space="0"/>
              <w:right w:val="single" w:color="auto" w:sz="6" w:space="0"/>
            </w:tcBorders>
            <w:shd w:val="clear" w:color="auto" w:fill="auto"/>
            <w:vAlign w:val="center"/>
          </w:tcPr>
          <w:p w14:paraId="39C9CD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4892E9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12" w:space="0"/>
            </w:tcBorders>
            <w:shd w:val="clear" w:color="auto" w:fill="auto"/>
            <w:vAlign w:val="center"/>
          </w:tcPr>
          <w:p w14:paraId="06E762F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A778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shd w:val="clear" w:color="auto" w:fill="auto"/>
            <w:vAlign w:val="center"/>
          </w:tcPr>
          <w:p w14:paraId="30D70EC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nil"/>
              <w:left w:val="single" w:color="auto" w:sz="6" w:space="0"/>
              <w:bottom w:val="single" w:color="auto" w:sz="6" w:space="0"/>
              <w:right w:val="single" w:color="auto" w:sz="6" w:space="0"/>
            </w:tcBorders>
            <w:shd w:val="clear" w:color="auto" w:fill="auto"/>
            <w:vAlign w:val="center"/>
          </w:tcPr>
          <w:p w14:paraId="59FFBF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05A405B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nil"/>
              <w:left w:val="single" w:color="auto" w:sz="6" w:space="0"/>
              <w:bottom w:val="single" w:color="auto" w:sz="6" w:space="0"/>
              <w:right w:val="single" w:color="auto" w:sz="6" w:space="0"/>
            </w:tcBorders>
            <w:shd w:val="clear" w:color="auto" w:fill="auto"/>
            <w:vAlign w:val="center"/>
          </w:tcPr>
          <w:p w14:paraId="010B61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7B5408F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nil"/>
              <w:left w:val="single" w:color="auto" w:sz="6" w:space="0"/>
              <w:bottom w:val="single" w:color="auto" w:sz="6" w:space="0"/>
              <w:right w:val="single" w:color="auto" w:sz="6" w:space="0"/>
            </w:tcBorders>
            <w:shd w:val="clear" w:color="auto" w:fill="auto"/>
            <w:vAlign w:val="center"/>
          </w:tcPr>
          <w:p w14:paraId="5E996DC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nil"/>
              <w:left w:val="single" w:color="auto" w:sz="6" w:space="0"/>
              <w:bottom w:val="single" w:color="auto" w:sz="6" w:space="0"/>
              <w:right w:val="single" w:color="auto" w:sz="6" w:space="0"/>
            </w:tcBorders>
            <w:shd w:val="clear" w:color="auto" w:fill="auto"/>
            <w:vAlign w:val="center"/>
          </w:tcPr>
          <w:p w14:paraId="216411D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nil"/>
              <w:left w:val="single" w:color="auto" w:sz="6" w:space="0"/>
              <w:bottom w:val="single" w:color="auto" w:sz="6" w:space="0"/>
              <w:right w:val="single" w:color="auto" w:sz="6" w:space="0"/>
            </w:tcBorders>
            <w:shd w:val="clear" w:color="auto" w:fill="auto"/>
            <w:vAlign w:val="center"/>
          </w:tcPr>
          <w:p w14:paraId="3F0833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474DC5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12" w:space="0"/>
            </w:tcBorders>
            <w:shd w:val="clear" w:color="auto" w:fill="auto"/>
            <w:vAlign w:val="center"/>
          </w:tcPr>
          <w:p w14:paraId="29AA5EF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1707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12" w:space="0"/>
              <w:right w:val="single" w:color="auto" w:sz="6" w:space="0"/>
            </w:tcBorders>
            <w:shd w:val="clear" w:color="auto" w:fill="auto"/>
            <w:vAlign w:val="center"/>
          </w:tcPr>
          <w:p w14:paraId="0DBB337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843" w:type="dxa"/>
            <w:tcBorders>
              <w:top w:val="single" w:color="auto" w:sz="6" w:space="0"/>
              <w:left w:val="single" w:color="auto" w:sz="6" w:space="0"/>
              <w:bottom w:val="single" w:color="auto" w:sz="12" w:space="0"/>
              <w:right w:val="single" w:color="auto" w:sz="6" w:space="0"/>
            </w:tcBorders>
            <w:shd w:val="clear" w:color="auto" w:fill="auto"/>
            <w:vAlign w:val="center"/>
          </w:tcPr>
          <w:p w14:paraId="204DB3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12" w:space="0"/>
              <w:right w:val="single" w:color="auto" w:sz="6" w:space="0"/>
            </w:tcBorders>
            <w:shd w:val="clear" w:color="auto" w:fill="auto"/>
            <w:vAlign w:val="center"/>
          </w:tcPr>
          <w:p w14:paraId="710AC75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410" w:type="dxa"/>
            <w:tcBorders>
              <w:top w:val="single" w:color="auto" w:sz="6" w:space="0"/>
              <w:left w:val="single" w:color="auto" w:sz="6" w:space="0"/>
              <w:bottom w:val="single" w:color="auto" w:sz="12" w:space="0"/>
              <w:right w:val="single" w:color="auto" w:sz="6" w:space="0"/>
            </w:tcBorders>
            <w:shd w:val="clear" w:color="auto" w:fill="auto"/>
            <w:vAlign w:val="center"/>
          </w:tcPr>
          <w:p w14:paraId="1F8FC6C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12" w:space="0"/>
              <w:right w:val="single" w:color="auto" w:sz="6" w:space="0"/>
            </w:tcBorders>
            <w:shd w:val="clear" w:color="auto" w:fill="auto"/>
            <w:vAlign w:val="center"/>
          </w:tcPr>
          <w:p w14:paraId="783BEA0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560" w:type="dxa"/>
            <w:tcBorders>
              <w:top w:val="single" w:color="auto" w:sz="6" w:space="0"/>
              <w:left w:val="single" w:color="auto" w:sz="6" w:space="0"/>
              <w:bottom w:val="single" w:color="auto" w:sz="12" w:space="0"/>
              <w:right w:val="single" w:color="auto" w:sz="6" w:space="0"/>
            </w:tcBorders>
            <w:shd w:val="clear" w:color="auto" w:fill="auto"/>
            <w:vAlign w:val="center"/>
          </w:tcPr>
          <w:p w14:paraId="2CDA0C5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2126" w:type="dxa"/>
            <w:tcBorders>
              <w:top w:val="single" w:color="auto" w:sz="6" w:space="0"/>
              <w:left w:val="single" w:color="auto" w:sz="6" w:space="0"/>
              <w:bottom w:val="single" w:color="auto" w:sz="12" w:space="0"/>
              <w:right w:val="single" w:color="auto" w:sz="6" w:space="0"/>
            </w:tcBorders>
            <w:shd w:val="clear" w:color="auto" w:fill="auto"/>
            <w:vAlign w:val="center"/>
          </w:tcPr>
          <w:p w14:paraId="2B9E08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7" w:type="dxa"/>
            <w:tcBorders>
              <w:top w:val="single" w:color="auto" w:sz="6" w:space="0"/>
              <w:left w:val="single" w:color="auto" w:sz="6" w:space="0"/>
              <w:bottom w:val="single" w:color="auto" w:sz="12" w:space="0"/>
              <w:right w:val="single" w:color="auto" w:sz="6" w:space="0"/>
            </w:tcBorders>
            <w:shd w:val="clear" w:color="auto" w:fill="auto"/>
            <w:vAlign w:val="center"/>
          </w:tcPr>
          <w:p w14:paraId="28A64CD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12" w:space="0"/>
              <w:right w:val="single" w:color="auto" w:sz="6" w:space="0"/>
            </w:tcBorders>
            <w:shd w:val="clear" w:color="auto" w:fill="auto"/>
            <w:vAlign w:val="center"/>
          </w:tcPr>
          <w:p w14:paraId="7A082A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12" w:space="0"/>
              <w:right w:val="single" w:color="auto" w:sz="12" w:space="0"/>
            </w:tcBorders>
            <w:shd w:val="clear" w:color="auto" w:fill="auto"/>
            <w:vAlign w:val="center"/>
          </w:tcPr>
          <w:p w14:paraId="2095E53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bl>
    <w:p w14:paraId="5E46B04C">
      <w:pPr>
        <w:shd w:val="clear"/>
        <w:rPr>
          <w:rFonts w:eastAsia="仿宋_GB2312"/>
          <w:b/>
          <w:color w:val="auto"/>
          <w:kern w:val="2"/>
          <w:sz w:val="30"/>
          <w:szCs w:val="30"/>
          <w:highlight w:val="none"/>
          <w:lang w:eastAsia="zh-CN" w:bidi="ar"/>
        </w:rPr>
        <w:sectPr>
          <w:pgSz w:w="16838" w:h="11906" w:orient="landscape"/>
          <w:pgMar w:top="1554" w:right="1418" w:bottom="1531" w:left="1418" w:header="851" w:footer="992" w:gutter="0"/>
          <w:cols w:space="425" w:num="1"/>
          <w:docGrid w:type="linesAndChars" w:linePitch="312" w:charSpace="0"/>
        </w:sectPr>
      </w:pPr>
    </w:p>
    <w:p w14:paraId="73461DCE">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附</w:t>
      </w:r>
      <w:bookmarkStart w:id="1265" w:name="_Toc296346726"/>
      <w:bookmarkStart w:id="1266" w:name="_Toc296503225"/>
      <w:bookmarkStart w:id="1267" w:name="_Toc296891265"/>
      <w:bookmarkStart w:id="1268" w:name="_Toc296347224"/>
      <w:bookmarkStart w:id="1269" w:name="_Toc296891053"/>
      <w:bookmarkStart w:id="1270" w:name="_Toc267261692"/>
      <w:bookmarkStart w:id="1271" w:name="_Toc296944564"/>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2</w:t>
      </w:r>
      <w:r>
        <w:rPr>
          <w:rFonts w:hint="eastAsia" w:ascii="Times New Roman" w:hAnsi="Times New Roman" w:eastAsia="仿宋_GB2312" w:cs="仿宋_GB2312"/>
          <w:color w:val="auto"/>
          <w:kern w:val="2"/>
          <w:sz w:val="30"/>
          <w:szCs w:val="30"/>
          <w:highlight w:val="none"/>
          <w:lang w:eastAsia="zh-CN" w:bidi="ar"/>
        </w:rPr>
        <w:t>：</w:t>
      </w:r>
    </w:p>
    <w:bookmarkEnd w:id="1265"/>
    <w:bookmarkEnd w:id="1266"/>
    <w:bookmarkEnd w:id="1267"/>
    <w:bookmarkEnd w:id="1268"/>
    <w:bookmarkEnd w:id="1269"/>
    <w:bookmarkEnd w:id="1270"/>
    <w:bookmarkEnd w:id="1271"/>
    <w:p w14:paraId="7BB5DA35">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272" w:name="_Toc163768597"/>
      <w:bookmarkStart w:id="1273" w:name="_Toc29294"/>
      <w:bookmarkStart w:id="1274" w:name="_Toc163768479"/>
      <w:r>
        <w:rPr>
          <w:rFonts w:hint="eastAsia" w:ascii="Times New Roman" w:hAnsi="Times New Roman" w:eastAsia="黑体" w:cs="黑体"/>
          <w:b/>
          <w:color w:val="auto"/>
          <w:sz w:val="30"/>
          <w:szCs w:val="30"/>
          <w:highlight w:val="none"/>
          <w:lang w:val="en-US" w:eastAsia="zh-CN" w:bidi="en-US"/>
        </w:rPr>
        <w:t>发包人供应材料设备一览表</w:t>
      </w:r>
      <w:bookmarkEnd w:id="1272"/>
      <w:bookmarkEnd w:id="1273"/>
      <w:bookmarkEnd w:id="1274"/>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B25C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left w:val="single" w:color="auto" w:sz="12" w:space="0"/>
              <w:bottom w:val="double" w:color="auto" w:sz="6" w:space="0"/>
              <w:right w:val="single" w:color="auto" w:sz="6" w:space="0"/>
            </w:tcBorders>
            <w:shd w:val="clear" w:color="auto" w:fill="auto"/>
            <w:vAlign w:val="center"/>
          </w:tcPr>
          <w:p w14:paraId="0AAF144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序号</w:t>
            </w:r>
          </w:p>
        </w:tc>
        <w:tc>
          <w:tcPr>
            <w:tcW w:w="1276" w:type="dxa"/>
            <w:tcBorders>
              <w:top w:val="single" w:color="auto" w:sz="12" w:space="0"/>
              <w:left w:val="single" w:color="auto" w:sz="6" w:space="0"/>
              <w:bottom w:val="double" w:color="auto" w:sz="6" w:space="0"/>
              <w:right w:val="single" w:color="auto" w:sz="6" w:space="0"/>
            </w:tcBorders>
            <w:shd w:val="clear" w:color="auto" w:fill="auto"/>
            <w:vAlign w:val="center"/>
          </w:tcPr>
          <w:p w14:paraId="318EA14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ascii="Times New Roman" w:hAnsi="Times New Roman" w:eastAsia="仿宋_GB2312" w:cs="Times New Roman"/>
                <w:color w:val="auto"/>
                <w:kern w:val="2"/>
                <w:sz w:val="28"/>
                <w:szCs w:val="30"/>
                <w:highlight w:val="none"/>
                <w:lang w:val="en-US" w:eastAsia="zh-CN" w:bidi="ar"/>
              </w:rPr>
              <w:t xml:space="preserve">  </w:t>
            </w:r>
            <w:r>
              <w:rPr>
                <w:rFonts w:hint="eastAsia" w:ascii="Times New Roman" w:hAnsi="Times New Roman" w:eastAsia="仿宋_GB2312" w:cs="仿宋_GB2312"/>
                <w:color w:val="auto"/>
                <w:kern w:val="2"/>
                <w:sz w:val="28"/>
                <w:szCs w:val="30"/>
                <w:highlight w:val="none"/>
                <w:lang w:val="en-US" w:eastAsia="zh-CN" w:bidi="ar"/>
              </w:rPr>
              <w:t>材料、</w:t>
            </w:r>
          </w:p>
          <w:p w14:paraId="587A7D92">
            <w:pPr>
              <w:keepNext/>
              <w:widowControl w:val="0"/>
              <w:shd w:val="clear"/>
              <w:adjustRightInd w:val="0"/>
              <w:spacing w:line="440" w:lineRule="exact"/>
              <w:ind w:right="63" w:rightChars="30"/>
              <w:jc w:val="both"/>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设备品种</w:t>
            </w:r>
          </w:p>
        </w:tc>
        <w:tc>
          <w:tcPr>
            <w:tcW w:w="1418" w:type="dxa"/>
            <w:tcBorders>
              <w:top w:val="single" w:color="auto" w:sz="12" w:space="0"/>
              <w:left w:val="single" w:color="auto" w:sz="6" w:space="0"/>
              <w:bottom w:val="double" w:color="auto" w:sz="6" w:space="0"/>
              <w:right w:val="single" w:color="auto" w:sz="6" w:space="0"/>
            </w:tcBorders>
            <w:shd w:val="clear" w:color="auto" w:fill="auto"/>
            <w:vAlign w:val="center"/>
          </w:tcPr>
          <w:p w14:paraId="0DF4A9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规格型号</w:t>
            </w:r>
          </w:p>
        </w:tc>
        <w:tc>
          <w:tcPr>
            <w:tcW w:w="940" w:type="dxa"/>
            <w:tcBorders>
              <w:top w:val="single" w:color="auto" w:sz="12" w:space="0"/>
              <w:left w:val="single" w:color="auto" w:sz="6" w:space="0"/>
              <w:bottom w:val="double" w:color="auto" w:sz="6" w:space="0"/>
              <w:right w:val="single" w:color="auto" w:sz="6" w:space="0"/>
            </w:tcBorders>
            <w:shd w:val="clear" w:color="auto" w:fill="auto"/>
            <w:vAlign w:val="center"/>
          </w:tcPr>
          <w:p w14:paraId="42AAEE8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单位</w:t>
            </w:r>
          </w:p>
        </w:tc>
        <w:tc>
          <w:tcPr>
            <w:tcW w:w="851" w:type="dxa"/>
            <w:tcBorders>
              <w:top w:val="single" w:color="auto" w:sz="12" w:space="0"/>
              <w:left w:val="single" w:color="auto" w:sz="6" w:space="0"/>
              <w:bottom w:val="double" w:color="auto" w:sz="6" w:space="0"/>
              <w:right w:val="single" w:color="auto" w:sz="6" w:space="0"/>
            </w:tcBorders>
            <w:shd w:val="clear" w:color="auto" w:fill="auto"/>
            <w:vAlign w:val="center"/>
          </w:tcPr>
          <w:p w14:paraId="6AE1F60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数量</w:t>
            </w:r>
          </w:p>
        </w:tc>
        <w:tc>
          <w:tcPr>
            <w:tcW w:w="1044" w:type="dxa"/>
            <w:tcBorders>
              <w:top w:val="single" w:color="auto" w:sz="12" w:space="0"/>
              <w:left w:val="single" w:color="auto" w:sz="6" w:space="0"/>
              <w:bottom w:val="double" w:color="auto" w:sz="6" w:space="0"/>
              <w:right w:val="single" w:color="auto" w:sz="6" w:space="0"/>
            </w:tcBorders>
            <w:shd w:val="clear" w:color="auto" w:fill="auto"/>
            <w:vAlign w:val="center"/>
          </w:tcPr>
          <w:p w14:paraId="56A52BE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单价（元）</w:t>
            </w:r>
          </w:p>
        </w:tc>
        <w:tc>
          <w:tcPr>
            <w:tcW w:w="992" w:type="dxa"/>
            <w:tcBorders>
              <w:top w:val="single" w:color="auto" w:sz="12" w:space="0"/>
              <w:left w:val="single" w:color="auto" w:sz="6" w:space="0"/>
              <w:bottom w:val="double" w:color="auto" w:sz="6" w:space="0"/>
              <w:right w:val="single" w:color="auto" w:sz="6" w:space="0"/>
            </w:tcBorders>
            <w:shd w:val="clear" w:color="auto" w:fill="auto"/>
            <w:vAlign w:val="center"/>
          </w:tcPr>
          <w:p w14:paraId="011D359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质量等级</w:t>
            </w:r>
          </w:p>
        </w:tc>
        <w:tc>
          <w:tcPr>
            <w:tcW w:w="851" w:type="dxa"/>
            <w:tcBorders>
              <w:top w:val="single" w:color="auto" w:sz="12" w:space="0"/>
              <w:left w:val="single" w:color="auto" w:sz="6" w:space="0"/>
              <w:bottom w:val="double" w:color="auto" w:sz="6" w:space="0"/>
              <w:right w:val="single" w:color="auto" w:sz="6" w:space="0"/>
            </w:tcBorders>
            <w:shd w:val="clear" w:color="auto" w:fill="auto"/>
            <w:vAlign w:val="center"/>
          </w:tcPr>
          <w:p w14:paraId="1B9B47F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供应时间</w:t>
            </w:r>
          </w:p>
        </w:tc>
        <w:tc>
          <w:tcPr>
            <w:tcW w:w="1487" w:type="dxa"/>
            <w:tcBorders>
              <w:top w:val="single" w:color="auto" w:sz="12" w:space="0"/>
              <w:left w:val="single" w:color="auto" w:sz="6" w:space="0"/>
              <w:bottom w:val="double" w:color="auto" w:sz="6" w:space="0"/>
              <w:right w:val="single" w:color="auto" w:sz="6" w:space="0"/>
            </w:tcBorders>
            <w:shd w:val="clear" w:color="auto" w:fill="auto"/>
            <w:vAlign w:val="center"/>
          </w:tcPr>
          <w:p w14:paraId="6744C88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送达地点</w:t>
            </w:r>
          </w:p>
        </w:tc>
        <w:tc>
          <w:tcPr>
            <w:tcW w:w="992" w:type="dxa"/>
            <w:tcBorders>
              <w:top w:val="single" w:color="auto" w:sz="12" w:space="0"/>
              <w:left w:val="single" w:color="auto" w:sz="6" w:space="0"/>
              <w:bottom w:val="double" w:color="auto" w:sz="6" w:space="0"/>
              <w:right w:val="single" w:color="auto" w:sz="12" w:space="0"/>
            </w:tcBorders>
            <w:shd w:val="clear" w:color="auto" w:fill="auto"/>
            <w:vAlign w:val="center"/>
          </w:tcPr>
          <w:p w14:paraId="7ECA8D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备注</w:t>
            </w:r>
          </w:p>
        </w:tc>
      </w:tr>
      <w:tr w14:paraId="7B721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left w:val="single" w:color="auto" w:sz="12" w:space="0"/>
              <w:bottom w:val="single" w:color="auto" w:sz="6" w:space="0"/>
              <w:right w:val="single" w:color="auto" w:sz="6" w:space="0"/>
            </w:tcBorders>
            <w:shd w:val="clear" w:color="auto" w:fill="auto"/>
            <w:vAlign w:val="center"/>
          </w:tcPr>
          <w:p w14:paraId="6745714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double" w:color="auto" w:sz="6" w:space="0"/>
              <w:left w:val="single" w:color="auto" w:sz="6" w:space="0"/>
              <w:bottom w:val="single" w:color="auto" w:sz="6" w:space="0"/>
              <w:right w:val="single" w:color="auto" w:sz="6" w:space="0"/>
            </w:tcBorders>
            <w:shd w:val="clear" w:color="auto" w:fill="auto"/>
            <w:vAlign w:val="center"/>
          </w:tcPr>
          <w:p w14:paraId="5CE690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double" w:color="auto" w:sz="6" w:space="0"/>
              <w:left w:val="single" w:color="auto" w:sz="6" w:space="0"/>
              <w:bottom w:val="single" w:color="auto" w:sz="6" w:space="0"/>
              <w:right w:val="single" w:color="auto" w:sz="6" w:space="0"/>
            </w:tcBorders>
            <w:shd w:val="clear" w:color="auto" w:fill="auto"/>
            <w:vAlign w:val="center"/>
          </w:tcPr>
          <w:p w14:paraId="76CC93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double" w:color="auto" w:sz="6" w:space="0"/>
              <w:left w:val="single" w:color="auto" w:sz="6" w:space="0"/>
              <w:bottom w:val="single" w:color="auto" w:sz="6" w:space="0"/>
              <w:right w:val="single" w:color="auto" w:sz="6" w:space="0"/>
            </w:tcBorders>
            <w:shd w:val="clear" w:color="auto" w:fill="auto"/>
            <w:vAlign w:val="center"/>
          </w:tcPr>
          <w:p w14:paraId="78C316D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double" w:color="auto" w:sz="6" w:space="0"/>
              <w:left w:val="single" w:color="auto" w:sz="6" w:space="0"/>
              <w:bottom w:val="single" w:color="auto" w:sz="6" w:space="0"/>
              <w:right w:val="single" w:color="auto" w:sz="6" w:space="0"/>
            </w:tcBorders>
            <w:shd w:val="clear" w:color="auto" w:fill="auto"/>
            <w:vAlign w:val="center"/>
          </w:tcPr>
          <w:p w14:paraId="72301E3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double" w:color="auto" w:sz="6" w:space="0"/>
              <w:left w:val="single" w:color="auto" w:sz="6" w:space="0"/>
              <w:bottom w:val="single" w:color="auto" w:sz="6" w:space="0"/>
              <w:right w:val="single" w:color="auto" w:sz="6" w:space="0"/>
            </w:tcBorders>
            <w:shd w:val="clear" w:color="auto" w:fill="auto"/>
            <w:vAlign w:val="center"/>
          </w:tcPr>
          <w:p w14:paraId="647264B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double" w:color="auto" w:sz="6" w:space="0"/>
              <w:left w:val="single" w:color="auto" w:sz="6" w:space="0"/>
              <w:bottom w:val="single" w:color="auto" w:sz="6" w:space="0"/>
              <w:right w:val="single" w:color="auto" w:sz="6" w:space="0"/>
            </w:tcBorders>
            <w:shd w:val="clear" w:color="auto" w:fill="auto"/>
            <w:vAlign w:val="center"/>
          </w:tcPr>
          <w:p w14:paraId="1E88A99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double" w:color="auto" w:sz="6" w:space="0"/>
              <w:left w:val="single" w:color="auto" w:sz="6" w:space="0"/>
              <w:bottom w:val="single" w:color="auto" w:sz="6" w:space="0"/>
              <w:right w:val="single" w:color="auto" w:sz="6" w:space="0"/>
            </w:tcBorders>
            <w:shd w:val="clear" w:color="auto" w:fill="auto"/>
            <w:vAlign w:val="center"/>
          </w:tcPr>
          <w:p w14:paraId="2206DC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double" w:color="auto" w:sz="6" w:space="0"/>
              <w:left w:val="single" w:color="auto" w:sz="6" w:space="0"/>
              <w:bottom w:val="single" w:color="auto" w:sz="6" w:space="0"/>
              <w:right w:val="single" w:color="auto" w:sz="6" w:space="0"/>
            </w:tcBorders>
            <w:shd w:val="clear" w:color="auto" w:fill="auto"/>
            <w:vAlign w:val="center"/>
          </w:tcPr>
          <w:p w14:paraId="0E83A05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double" w:color="auto" w:sz="6" w:space="0"/>
              <w:left w:val="single" w:color="auto" w:sz="6" w:space="0"/>
              <w:bottom w:val="single" w:color="auto" w:sz="6" w:space="0"/>
              <w:right w:val="single" w:color="auto" w:sz="12" w:space="0"/>
            </w:tcBorders>
            <w:shd w:val="clear" w:color="auto" w:fill="auto"/>
            <w:vAlign w:val="center"/>
          </w:tcPr>
          <w:p w14:paraId="5D0ADC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427DA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left w:val="single" w:color="auto" w:sz="12" w:space="0"/>
              <w:bottom w:val="single" w:color="auto" w:sz="6" w:space="0"/>
              <w:right w:val="single" w:color="auto" w:sz="6" w:space="0"/>
            </w:tcBorders>
            <w:shd w:val="clear" w:color="auto" w:fill="auto"/>
            <w:vAlign w:val="center"/>
          </w:tcPr>
          <w:p w14:paraId="3E12DA5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nil"/>
              <w:left w:val="single" w:color="auto" w:sz="6" w:space="0"/>
              <w:bottom w:val="single" w:color="auto" w:sz="6" w:space="0"/>
              <w:right w:val="single" w:color="auto" w:sz="6" w:space="0"/>
            </w:tcBorders>
            <w:shd w:val="clear" w:color="auto" w:fill="auto"/>
            <w:vAlign w:val="center"/>
          </w:tcPr>
          <w:p w14:paraId="06C54CC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nil"/>
              <w:left w:val="single" w:color="auto" w:sz="6" w:space="0"/>
              <w:bottom w:val="single" w:color="auto" w:sz="6" w:space="0"/>
              <w:right w:val="single" w:color="auto" w:sz="6" w:space="0"/>
            </w:tcBorders>
            <w:shd w:val="clear" w:color="auto" w:fill="auto"/>
            <w:vAlign w:val="center"/>
          </w:tcPr>
          <w:p w14:paraId="2055504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nil"/>
              <w:left w:val="single" w:color="auto" w:sz="6" w:space="0"/>
              <w:bottom w:val="single" w:color="auto" w:sz="6" w:space="0"/>
              <w:right w:val="single" w:color="auto" w:sz="6" w:space="0"/>
            </w:tcBorders>
            <w:shd w:val="clear" w:color="auto" w:fill="auto"/>
            <w:vAlign w:val="center"/>
          </w:tcPr>
          <w:p w14:paraId="77E737A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495CF6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nil"/>
              <w:left w:val="single" w:color="auto" w:sz="6" w:space="0"/>
              <w:bottom w:val="single" w:color="auto" w:sz="6" w:space="0"/>
              <w:right w:val="single" w:color="auto" w:sz="6" w:space="0"/>
            </w:tcBorders>
            <w:shd w:val="clear" w:color="auto" w:fill="auto"/>
            <w:vAlign w:val="center"/>
          </w:tcPr>
          <w:p w14:paraId="1DC679D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nil"/>
              <w:left w:val="single" w:color="auto" w:sz="6" w:space="0"/>
              <w:bottom w:val="single" w:color="auto" w:sz="6" w:space="0"/>
              <w:right w:val="single" w:color="auto" w:sz="6" w:space="0"/>
            </w:tcBorders>
            <w:shd w:val="clear" w:color="auto" w:fill="auto"/>
            <w:vAlign w:val="center"/>
          </w:tcPr>
          <w:p w14:paraId="1850021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nil"/>
              <w:left w:val="single" w:color="auto" w:sz="6" w:space="0"/>
              <w:bottom w:val="single" w:color="auto" w:sz="6" w:space="0"/>
              <w:right w:val="single" w:color="auto" w:sz="6" w:space="0"/>
            </w:tcBorders>
            <w:shd w:val="clear" w:color="auto" w:fill="auto"/>
            <w:vAlign w:val="center"/>
          </w:tcPr>
          <w:p w14:paraId="40CBAC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nil"/>
              <w:left w:val="single" w:color="auto" w:sz="6" w:space="0"/>
              <w:bottom w:val="single" w:color="auto" w:sz="6" w:space="0"/>
              <w:right w:val="single" w:color="auto" w:sz="6" w:space="0"/>
            </w:tcBorders>
            <w:shd w:val="clear" w:color="auto" w:fill="auto"/>
            <w:vAlign w:val="center"/>
          </w:tcPr>
          <w:p w14:paraId="1D914D5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nil"/>
              <w:left w:val="single" w:color="auto" w:sz="6" w:space="0"/>
              <w:bottom w:val="single" w:color="auto" w:sz="6" w:space="0"/>
              <w:right w:val="single" w:color="auto" w:sz="12" w:space="0"/>
            </w:tcBorders>
            <w:shd w:val="clear" w:color="auto" w:fill="auto"/>
            <w:vAlign w:val="center"/>
          </w:tcPr>
          <w:p w14:paraId="3D75EBD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7C71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0A894AD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20C3752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2C07B1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0D1766E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CBAB8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3BF06FC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56FB166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5EC9D81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5E2A230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760746B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A706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15DE4B6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04DCC4D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5DD17F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3374A1E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33AEC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0834A40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605174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FF049A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4760346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4AE40B1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E065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3A8D660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2880D16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4B16BE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0EEF39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0A081B8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6E7D043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46B7A18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84D79A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574B9A2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65AD989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67E2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4DF1018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05A61A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0BB071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184D6E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2BCE773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408FA4F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0BE12CC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DC5082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284D5D1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638E5B6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39C0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06CF6D8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199721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02AFED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26B1F9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1E12CF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0B4505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634F7E4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7E7050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40D9AE1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6F6888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5445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707FD50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197CB79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099B67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3961BFA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035A0F2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224362A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2EC3055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0952C78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73C7482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09BD1BA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D1A7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3A942439">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6F57F27C">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3034AAA4">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6EEAD300">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F41037F">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55BEDF86">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67EB6997">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57C41C60">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14AA05D8">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110F68C2">
            <w:pPr>
              <w:shd w:val="clear"/>
              <w:jc w:val="center"/>
              <w:rPr>
                <w:rFonts w:ascii="Times New Roman" w:hAnsi="Times New Roman" w:eastAsia="仿宋_GB2312" w:cs="Times New Roman"/>
                <w:color w:val="auto"/>
                <w:kern w:val="0"/>
                <w:sz w:val="30"/>
                <w:szCs w:val="30"/>
                <w:highlight w:val="none"/>
                <w:lang w:eastAsia="en-US" w:bidi="en-US"/>
              </w:rPr>
            </w:pPr>
          </w:p>
        </w:tc>
      </w:tr>
      <w:tr w14:paraId="20D4B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2CCC03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452E6CF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610E6EA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146BC23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C44A2A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3799CEA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7C4255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47CCE09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778EE8C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6045C98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7548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6F0D9CB0">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F2DAB53">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912D9B1">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5AD50882">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C3B87F6">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03F3CA37">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6C23DE9C">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1D2BF02">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598157E2">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1474F29C">
            <w:pPr>
              <w:shd w:val="clear"/>
              <w:jc w:val="center"/>
              <w:rPr>
                <w:rFonts w:ascii="Times New Roman" w:hAnsi="Times New Roman" w:eastAsia="仿宋_GB2312" w:cs="Times New Roman"/>
                <w:color w:val="auto"/>
                <w:kern w:val="0"/>
                <w:sz w:val="30"/>
                <w:szCs w:val="30"/>
                <w:highlight w:val="none"/>
                <w:lang w:eastAsia="en-US" w:bidi="en-US"/>
              </w:rPr>
            </w:pPr>
          </w:p>
        </w:tc>
      </w:tr>
      <w:tr w14:paraId="21EA43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51A40680">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747F7CC3">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D6C1381">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47BB1531">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39C401D">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343ADBA5">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0EED0C60">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25622C34">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45F0B0F7">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636A4D2E">
            <w:pPr>
              <w:shd w:val="clear"/>
              <w:jc w:val="center"/>
              <w:rPr>
                <w:rFonts w:ascii="Times New Roman" w:hAnsi="Times New Roman" w:eastAsia="仿宋_GB2312" w:cs="Times New Roman"/>
                <w:color w:val="auto"/>
                <w:kern w:val="0"/>
                <w:sz w:val="30"/>
                <w:szCs w:val="30"/>
                <w:highlight w:val="none"/>
                <w:lang w:eastAsia="en-US" w:bidi="en-US"/>
              </w:rPr>
            </w:pPr>
          </w:p>
        </w:tc>
      </w:tr>
      <w:tr w14:paraId="71F43F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2DE0D717">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5FFA9F6A">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D83CE05">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760D57C2">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F3AE3B4">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1F48A0F4">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314C3531">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620B5C92">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40C8E7E3">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2CEAF8A6">
            <w:pPr>
              <w:shd w:val="clear"/>
              <w:jc w:val="center"/>
              <w:rPr>
                <w:rFonts w:ascii="Times New Roman" w:hAnsi="Times New Roman" w:eastAsia="仿宋_GB2312" w:cs="Times New Roman"/>
                <w:color w:val="auto"/>
                <w:kern w:val="0"/>
                <w:sz w:val="30"/>
                <w:szCs w:val="30"/>
                <w:highlight w:val="none"/>
                <w:lang w:eastAsia="en-US" w:bidi="en-US"/>
              </w:rPr>
            </w:pPr>
          </w:p>
        </w:tc>
      </w:tr>
      <w:tr w14:paraId="2D8A0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40A4DEEA">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4D566914">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15ED553">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37F2CFCC">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44A11F00">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74470B2C">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0792E1D6">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F42D464">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26C269D5">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5F837A27">
            <w:pPr>
              <w:shd w:val="clear"/>
              <w:jc w:val="center"/>
              <w:rPr>
                <w:rFonts w:ascii="Times New Roman" w:hAnsi="Times New Roman" w:eastAsia="仿宋_GB2312" w:cs="Times New Roman"/>
                <w:color w:val="auto"/>
                <w:kern w:val="0"/>
                <w:sz w:val="30"/>
                <w:szCs w:val="30"/>
                <w:highlight w:val="none"/>
                <w:lang w:eastAsia="en-US" w:bidi="en-US"/>
              </w:rPr>
            </w:pPr>
          </w:p>
        </w:tc>
      </w:tr>
      <w:tr w14:paraId="6024A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61E49396">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69955875">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9BCFD1A">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03B4D711">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1DF95A5E">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0DAA64CA">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629DEC83">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1CC1D16">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124128AF">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721886FB">
            <w:pPr>
              <w:shd w:val="clear"/>
              <w:jc w:val="center"/>
              <w:rPr>
                <w:rFonts w:ascii="Times New Roman" w:hAnsi="Times New Roman" w:eastAsia="仿宋_GB2312" w:cs="Times New Roman"/>
                <w:color w:val="auto"/>
                <w:kern w:val="0"/>
                <w:sz w:val="30"/>
                <w:szCs w:val="30"/>
                <w:highlight w:val="none"/>
                <w:lang w:eastAsia="en-US" w:bidi="en-US"/>
              </w:rPr>
            </w:pPr>
          </w:p>
        </w:tc>
      </w:tr>
      <w:tr w14:paraId="089D8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77D120CB">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C5CCC60">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6EB79E2">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4EA44F89">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1EB6BBD">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66A422D5">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16D306DD">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5744AD4B">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07CCE7E6">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0E4507FF">
            <w:pPr>
              <w:shd w:val="clear"/>
              <w:jc w:val="center"/>
              <w:rPr>
                <w:rFonts w:ascii="Times New Roman" w:hAnsi="Times New Roman" w:eastAsia="仿宋_GB2312" w:cs="Times New Roman"/>
                <w:color w:val="auto"/>
                <w:kern w:val="0"/>
                <w:sz w:val="30"/>
                <w:szCs w:val="30"/>
                <w:highlight w:val="none"/>
                <w:lang w:eastAsia="en-US" w:bidi="en-US"/>
              </w:rPr>
            </w:pPr>
          </w:p>
        </w:tc>
      </w:tr>
      <w:tr w14:paraId="199FB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shd w:val="clear" w:color="auto" w:fill="auto"/>
            <w:vAlign w:val="center"/>
          </w:tcPr>
          <w:p w14:paraId="697CCD45">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54C380D">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D64A1FC">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6" w:space="0"/>
              <w:right w:val="single" w:color="auto" w:sz="6" w:space="0"/>
            </w:tcBorders>
            <w:shd w:val="clear" w:color="auto" w:fill="auto"/>
            <w:vAlign w:val="center"/>
          </w:tcPr>
          <w:p w14:paraId="1347EF30">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38212F67">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6" w:space="0"/>
              <w:right w:val="single" w:color="auto" w:sz="6" w:space="0"/>
            </w:tcBorders>
            <w:shd w:val="clear" w:color="auto" w:fill="auto"/>
            <w:vAlign w:val="center"/>
          </w:tcPr>
          <w:p w14:paraId="57A1240E">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6" w:space="0"/>
            </w:tcBorders>
            <w:shd w:val="clear" w:color="auto" w:fill="auto"/>
            <w:vAlign w:val="center"/>
          </w:tcPr>
          <w:p w14:paraId="3446889E">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243E93DF">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6" w:space="0"/>
              <w:right w:val="single" w:color="auto" w:sz="6" w:space="0"/>
            </w:tcBorders>
            <w:shd w:val="clear" w:color="auto" w:fill="auto"/>
            <w:vAlign w:val="center"/>
          </w:tcPr>
          <w:p w14:paraId="670A08B8">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6" w:space="0"/>
              <w:right w:val="single" w:color="auto" w:sz="12" w:space="0"/>
            </w:tcBorders>
            <w:shd w:val="clear" w:color="auto" w:fill="auto"/>
            <w:vAlign w:val="center"/>
          </w:tcPr>
          <w:p w14:paraId="2F6B3D93">
            <w:pPr>
              <w:shd w:val="clear"/>
              <w:jc w:val="center"/>
              <w:rPr>
                <w:rFonts w:ascii="Times New Roman" w:hAnsi="Times New Roman" w:eastAsia="仿宋_GB2312" w:cs="Times New Roman"/>
                <w:color w:val="auto"/>
                <w:kern w:val="0"/>
                <w:sz w:val="30"/>
                <w:szCs w:val="30"/>
                <w:highlight w:val="none"/>
                <w:lang w:eastAsia="en-US" w:bidi="en-US"/>
              </w:rPr>
            </w:pPr>
          </w:p>
        </w:tc>
      </w:tr>
      <w:tr w14:paraId="5637A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single" w:color="auto" w:sz="6" w:space="0"/>
              <w:left w:val="single" w:color="auto" w:sz="12" w:space="0"/>
              <w:bottom w:val="single" w:color="auto" w:sz="12" w:space="0"/>
              <w:right w:val="single" w:color="auto" w:sz="6" w:space="0"/>
            </w:tcBorders>
            <w:shd w:val="clear" w:color="auto" w:fill="auto"/>
            <w:vAlign w:val="center"/>
          </w:tcPr>
          <w:p w14:paraId="3903DDF6">
            <w:pPr>
              <w:shd w:val="clear"/>
              <w:jc w:val="center"/>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12" w:space="0"/>
              <w:right w:val="single" w:color="auto" w:sz="6" w:space="0"/>
            </w:tcBorders>
            <w:shd w:val="clear" w:color="auto" w:fill="auto"/>
            <w:vAlign w:val="center"/>
          </w:tcPr>
          <w:p w14:paraId="0DCBC14C">
            <w:pPr>
              <w:shd w:val="clear"/>
              <w:jc w:val="center"/>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12" w:space="0"/>
              <w:right w:val="single" w:color="auto" w:sz="6" w:space="0"/>
            </w:tcBorders>
            <w:shd w:val="clear" w:color="auto" w:fill="auto"/>
            <w:vAlign w:val="center"/>
          </w:tcPr>
          <w:p w14:paraId="0CF8D999">
            <w:pPr>
              <w:shd w:val="clear"/>
              <w:jc w:val="center"/>
              <w:rPr>
                <w:rFonts w:ascii="Times New Roman" w:hAnsi="Times New Roman" w:eastAsia="仿宋_GB2312" w:cs="Times New Roman"/>
                <w:color w:val="auto"/>
                <w:kern w:val="0"/>
                <w:sz w:val="30"/>
                <w:szCs w:val="30"/>
                <w:highlight w:val="none"/>
                <w:lang w:eastAsia="en-US" w:bidi="en-US"/>
              </w:rPr>
            </w:pPr>
          </w:p>
        </w:tc>
        <w:tc>
          <w:tcPr>
            <w:tcW w:w="940" w:type="dxa"/>
            <w:tcBorders>
              <w:top w:val="single" w:color="auto" w:sz="6" w:space="0"/>
              <w:left w:val="single" w:color="auto" w:sz="6" w:space="0"/>
              <w:bottom w:val="single" w:color="auto" w:sz="12" w:space="0"/>
              <w:right w:val="single" w:color="auto" w:sz="6" w:space="0"/>
            </w:tcBorders>
            <w:shd w:val="clear" w:color="auto" w:fill="auto"/>
            <w:vAlign w:val="center"/>
          </w:tcPr>
          <w:p w14:paraId="5AB89133">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12" w:space="0"/>
              <w:right w:val="single" w:color="auto" w:sz="6" w:space="0"/>
            </w:tcBorders>
            <w:shd w:val="clear" w:color="auto" w:fill="auto"/>
            <w:vAlign w:val="center"/>
          </w:tcPr>
          <w:p w14:paraId="259CC46B">
            <w:pPr>
              <w:shd w:val="clear"/>
              <w:jc w:val="center"/>
              <w:rPr>
                <w:rFonts w:ascii="Times New Roman" w:hAnsi="Times New Roman" w:eastAsia="仿宋_GB2312" w:cs="Times New Roman"/>
                <w:color w:val="auto"/>
                <w:kern w:val="0"/>
                <w:sz w:val="30"/>
                <w:szCs w:val="30"/>
                <w:highlight w:val="none"/>
                <w:lang w:eastAsia="en-US" w:bidi="en-US"/>
              </w:rPr>
            </w:pPr>
          </w:p>
        </w:tc>
        <w:tc>
          <w:tcPr>
            <w:tcW w:w="1044" w:type="dxa"/>
            <w:tcBorders>
              <w:top w:val="single" w:color="auto" w:sz="6" w:space="0"/>
              <w:left w:val="single" w:color="auto" w:sz="6" w:space="0"/>
              <w:bottom w:val="single" w:color="auto" w:sz="12" w:space="0"/>
              <w:right w:val="single" w:color="auto" w:sz="6" w:space="0"/>
            </w:tcBorders>
            <w:shd w:val="clear" w:color="auto" w:fill="auto"/>
            <w:vAlign w:val="center"/>
          </w:tcPr>
          <w:p w14:paraId="47FBC919">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12" w:space="0"/>
              <w:right w:val="single" w:color="auto" w:sz="6" w:space="0"/>
            </w:tcBorders>
            <w:shd w:val="clear" w:color="auto" w:fill="auto"/>
            <w:vAlign w:val="center"/>
          </w:tcPr>
          <w:p w14:paraId="1B304FF2">
            <w:pPr>
              <w:shd w:val="clear"/>
              <w:jc w:val="center"/>
              <w:rPr>
                <w:rFonts w:ascii="Times New Roman" w:hAnsi="Times New Roman" w:eastAsia="仿宋_GB2312" w:cs="Times New Roman"/>
                <w:color w:val="auto"/>
                <w:kern w:val="0"/>
                <w:sz w:val="30"/>
                <w:szCs w:val="30"/>
                <w:highlight w:val="none"/>
                <w:lang w:eastAsia="en-US" w:bidi="en-US"/>
              </w:rPr>
            </w:pPr>
          </w:p>
        </w:tc>
        <w:tc>
          <w:tcPr>
            <w:tcW w:w="851" w:type="dxa"/>
            <w:tcBorders>
              <w:top w:val="single" w:color="auto" w:sz="6" w:space="0"/>
              <w:left w:val="single" w:color="auto" w:sz="6" w:space="0"/>
              <w:bottom w:val="single" w:color="auto" w:sz="12" w:space="0"/>
              <w:right w:val="single" w:color="auto" w:sz="6" w:space="0"/>
            </w:tcBorders>
            <w:shd w:val="clear" w:color="auto" w:fill="auto"/>
            <w:vAlign w:val="center"/>
          </w:tcPr>
          <w:p w14:paraId="1D70FE08">
            <w:pPr>
              <w:shd w:val="clear"/>
              <w:jc w:val="center"/>
              <w:rPr>
                <w:rFonts w:ascii="Times New Roman" w:hAnsi="Times New Roman" w:eastAsia="仿宋_GB2312" w:cs="Times New Roman"/>
                <w:color w:val="auto"/>
                <w:kern w:val="0"/>
                <w:sz w:val="30"/>
                <w:szCs w:val="30"/>
                <w:highlight w:val="none"/>
                <w:lang w:eastAsia="en-US" w:bidi="en-US"/>
              </w:rPr>
            </w:pPr>
          </w:p>
        </w:tc>
        <w:tc>
          <w:tcPr>
            <w:tcW w:w="1487" w:type="dxa"/>
            <w:tcBorders>
              <w:top w:val="single" w:color="auto" w:sz="6" w:space="0"/>
              <w:left w:val="single" w:color="auto" w:sz="6" w:space="0"/>
              <w:bottom w:val="single" w:color="auto" w:sz="12" w:space="0"/>
              <w:right w:val="single" w:color="auto" w:sz="6" w:space="0"/>
            </w:tcBorders>
            <w:shd w:val="clear" w:color="auto" w:fill="auto"/>
            <w:vAlign w:val="center"/>
          </w:tcPr>
          <w:p w14:paraId="784B716B">
            <w:pPr>
              <w:shd w:val="clear"/>
              <w:jc w:val="center"/>
              <w:rPr>
                <w:rFonts w:ascii="Times New Roman" w:hAnsi="Times New Roman" w:eastAsia="仿宋_GB2312" w:cs="Times New Roman"/>
                <w:color w:val="auto"/>
                <w:kern w:val="0"/>
                <w:sz w:val="30"/>
                <w:szCs w:val="30"/>
                <w:highlight w:val="none"/>
                <w:lang w:eastAsia="en-US" w:bidi="en-US"/>
              </w:rPr>
            </w:pPr>
          </w:p>
        </w:tc>
        <w:tc>
          <w:tcPr>
            <w:tcW w:w="992" w:type="dxa"/>
            <w:tcBorders>
              <w:top w:val="single" w:color="auto" w:sz="6" w:space="0"/>
              <w:left w:val="single" w:color="auto" w:sz="6" w:space="0"/>
              <w:bottom w:val="single" w:color="auto" w:sz="12" w:space="0"/>
              <w:right w:val="single" w:color="auto" w:sz="12" w:space="0"/>
            </w:tcBorders>
            <w:shd w:val="clear" w:color="auto" w:fill="auto"/>
            <w:vAlign w:val="center"/>
          </w:tcPr>
          <w:p w14:paraId="1A2CE0AF">
            <w:pPr>
              <w:shd w:val="clear"/>
              <w:jc w:val="center"/>
              <w:rPr>
                <w:rFonts w:ascii="Times New Roman" w:hAnsi="Times New Roman" w:eastAsia="仿宋_GB2312" w:cs="Times New Roman"/>
                <w:color w:val="auto"/>
                <w:kern w:val="0"/>
                <w:sz w:val="30"/>
                <w:szCs w:val="30"/>
                <w:highlight w:val="none"/>
                <w:lang w:eastAsia="en-US" w:bidi="en-US"/>
              </w:rPr>
            </w:pPr>
          </w:p>
        </w:tc>
      </w:tr>
    </w:tbl>
    <w:p w14:paraId="147C3B98">
      <w:pPr>
        <w:shd w:val="clear"/>
        <w:spacing w:line="440" w:lineRule="exact"/>
        <w:jc w:val="both"/>
        <w:rPr>
          <w:rFonts w:ascii="Times New Roman" w:hAnsi="Times New Roman" w:eastAsia="仿宋_GB2312" w:cs="Times New Roman"/>
          <w:color w:val="auto"/>
          <w:kern w:val="0"/>
          <w:sz w:val="30"/>
          <w:szCs w:val="30"/>
          <w:highlight w:val="none"/>
          <w:lang w:eastAsia="en-US" w:bidi="en-US"/>
        </w:rPr>
      </w:pPr>
    </w:p>
    <w:p w14:paraId="5411A76A">
      <w:pPr>
        <w:jc w:val="left"/>
        <w:rPr>
          <w:rFonts w:hint="eastAsia" w:ascii="Times New Roman" w:hAnsi="Times New Roman" w:eastAsia="仿宋_GB2312" w:cs="仿宋_GB2312"/>
          <w:color w:val="auto"/>
          <w:kern w:val="2"/>
          <w:sz w:val="30"/>
          <w:szCs w:val="30"/>
          <w:highlight w:val="none"/>
          <w:lang w:eastAsia="zh-CN" w:bidi="ar"/>
        </w:rPr>
      </w:pPr>
      <w:r>
        <w:rPr>
          <w:rFonts w:hint="eastAsia" w:ascii="Times New Roman" w:hAnsi="Times New Roman" w:eastAsia="仿宋_GB2312" w:cs="仿宋_GB2312"/>
          <w:color w:val="auto"/>
          <w:kern w:val="2"/>
          <w:sz w:val="30"/>
          <w:szCs w:val="30"/>
          <w:highlight w:val="none"/>
          <w:lang w:eastAsia="zh-CN" w:bidi="ar"/>
        </w:rPr>
        <w:br w:type="page"/>
      </w:r>
    </w:p>
    <w:p w14:paraId="2872C10A">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附</w:t>
      </w:r>
      <w:bookmarkStart w:id="1275" w:name="_Toc296891266"/>
      <w:bookmarkStart w:id="1276" w:name="_Toc296503226"/>
      <w:bookmarkStart w:id="1277" w:name="_Toc296891054"/>
      <w:bookmarkStart w:id="1278" w:name="_Toc296346727"/>
      <w:bookmarkStart w:id="1279" w:name="_Toc296347225"/>
      <w:bookmarkStart w:id="1280" w:name="_Toc296944565"/>
      <w:bookmarkStart w:id="1281" w:name="_Toc267261693"/>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3</w:t>
      </w:r>
      <w:r>
        <w:rPr>
          <w:rFonts w:hint="eastAsia" w:ascii="Times New Roman" w:hAnsi="Times New Roman" w:eastAsia="仿宋_GB2312" w:cs="仿宋_GB2312"/>
          <w:color w:val="auto"/>
          <w:kern w:val="2"/>
          <w:sz w:val="30"/>
          <w:szCs w:val="30"/>
          <w:highlight w:val="none"/>
          <w:lang w:eastAsia="zh-CN" w:bidi="ar"/>
        </w:rPr>
        <w:t>：</w:t>
      </w:r>
      <w:bookmarkEnd w:id="1275"/>
      <w:bookmarkEnd w:id="1276"/>
      <w:bookmarkEnd w:id="1277"/>
      <w:bookmarkEnd w:id="1278"/>
      <w:bookmarkEnd w:id="1279"/>
      <w:bookmarkEnd w:id="1280"/>
      <w:bookmarkEnd w:id="1281"/>
      <w:r>
        <w:rPr>
          <w:rFonts w:ascii="Times New Roman" w:hAnsi="Times New Roman" w:eastAsia="黑体" w:cs="Times New Roman"/>
          <w:color w:val="auto"/>
          <w:kern w:val="2"/>
          <w:sz w:val="30"/>
          <w:szCs w:val="30"/>
          <w:highlight w:val="none"/>
          <w:lang w:eastAsia="zh-CN" w:bidi="ar"/>
        </w:rPr>
        <w:t xml:space="preserve">    </w:t>
      </w:r>
    </w:p>
    <w:p w14:paraId="5222B716">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en-US" w:bidi="en-US"/>
        </w:rPr>
      </w:pPr>
      <w:bookmarkStart w:id="1282" w:name="_Toc163768480"/>
      <w:bookmarkStart w:id="1283" w:name="_Toc19907"/>
      <w:bookmarkStart w:id="1284" w:name="_Toc163768598"/>
      <w:r>
        <w:rPr>
          <w:rFonts w:hint="eastAsia" w:ascii="Times New Roman" w:hAnsi="Times New Roman" w:eastAsia="黑体" w:cs="黑体"/>
          <w:b/>
          <w:color w:val="auto"/>
          <w:sz w:val="30"/>
          <w:szCs w:val="30"/>
          <w:highlight w:val="none"/>
          <w:lang w:val="en-US" w:eastAsia="zh-CN" w:bidi="en-US"/>
        </w:rPr>
        <w:t>工程质量保修书</w:t>
      </w:r>
      <w:bookmarkEnd w:id="1282"/>
      <w:bookmarkEnd w:id="1283"/>
      <w:bookmarkEnd w:id="1284"/>
    </w:p>
    <w:p w14:paraId="41514AF5">
      <w:pPr>
        <w:shd w:val="clear"/>
        <w:spacing w:line="440" w:lineRule="exact"/>
        <w:ind w:firstLine="600" w:firstLineChars="200"/>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发包人（全称）：</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p>
    <w:p w14:paraId="16B3FDFD">
      <w:pPr>
        <w:shd w:val="clear"/>
        <w:spacing w:line="440" w:lineRule="exact"/>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承包人（全称）：</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p>
    <w:p w14:paraId="70E6B5B1">
      <w:pPr>
        <w:shd w:val="clear"/>
        <w:spacing w:line="440" w:lineRule="exact"/>
        <w:jc w:val="both"/>
        <w:rPr>
          <w:rFonts w:ascii="Times New Roman" w:hAnsi="Times New Roman" w:eastAsia="仿宋_GB2312" w:cs="Times New Roman"/>
          <w:color w:val="auto"/>
          <w:kern w:val="0"/>
          <w:sz w:val="30"/>
          <w:szCs w:val="30"/>
          <w:highlight w:val="none"/>
          <w:lang w:eastAsia="zh-CN" w:bidi="en-US"/>
        </w:rPr>
      </w:pPr>
    </w:p>
    <w:p w14:paraId="63E2F406">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发包人和承包人根据《中华人民共和国建筑法》和《建设工程质量管理条例》，经协商一致就</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（工程全称）签订工程质量保修书。</w:t>
      </w:r>
    </w:p>
    <w:p w14:paraId="329AF21A">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　　一、工程质量保修范围和内容</w:t>
      </w:r>
    </w:p>
    <w:p w14:paraId="391B08BE">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承包人在质量保修期内，按照有关法律规定和合同约定，承担工程质量保修责任。</w:t>
      </w:r>
    </w:p>
    <w:p w14:paraId="1B8E24EE">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C400438">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0FB53A8D">
      <w:pPr>
        <w:shd w:val="clear"/>
        <w:jc w:val="left"/>
        <w:rPr>
          <w:rFonts w:ascii="Times New Roman" w:hAnsi="Times New Roman" w:eastAsia="黑体" w:cs="Times New Roman"/>
          <w:color w:val="auto"/>
          <w:kern w:val="0"/>
          <w:sz w:val="30"/>
          <w:szCs w:val="30"/>
          <w:highlight w:val="none"/>
          <w:lang w:eastAsia="zh-CN" w:bidi="en-US"/>
        </w:rPr>
      </w:pPr>
      <w:r>
        <w:rPr>
          <w:rFonts w:hint="eastAsia" w:ascii="Times New Roman" w:hAnsi="Times New Roman" w:eastAsia="仿宋_GB2312" w:cs="仿宋_GB2312"/>
          <w:b/>
          <w:color w:val="auto"/>
          <w:kern w:val="2"/>
          <w:sz w:val="30"/>
          <w:szCs w:val="30"/>
          <w:highlight w:val="none"/>
          <w:lang w:eastAsia="zh-CN" w:bidi="ar"/>
        </w:rPr>
        <w:t>　　</w:t>
      </w:r>
      <w:r>
        <w:rPr>
          <w:rFonts w:hint="eastAsia" w:ascii="Times New Roman" w:hAnsi="Times New Roman" w:eastAsia="黑体" w:cs="黑体"/>
          <w:color w:val="auto"/>
          <w:kern w:val="2"/>
          <w:sz w:val="30"/>
          <w:szCs w:val="30"/>
          <w:highlight w:val="none"/>
          <w:lang w:eastAsia="zh-CN" w:bidi="ar"/>
        </w:rPr>
        <w:t>二、质量保修期</w:t>
      </w:r>
    </w:p>
    <w:p w14:paraId="66B95658">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根据《建设工程质量管理条例》及有关规定，工程的质量保修期如下：</w:t>
      </w:r>
    </w:p>
    <w:p w14:paraId="2A5334B6">
      <w:pPr>
        <w:shd w:val="clear"/>
        <w:jc w:val="left"/>
        <w:rPr>
          <w:rFonts w:ascii="仿宋_GB2312" w:hAnsi="Times New Roman" w:eastAsia="仿宋_GB2312" w:cs="仿宋_GB2312"/>
          <w:color w:val="auto"/>
          <w:kern w:val="0"/>
          <w:sz w:val="30"/>
          <w:szCs w:val="30"/>
          <w:highlight w:val="none"/>
          <w:lang w:eastAsia="zh-CN" w:bidi="en-US"/>
        </w:rPr>
      </w:pPr>
      <w:r>
        <w:rPr>
          <w:rFonts w:hint="eastAsia" w:ascii="仿宋_GB2312" w:hAnsi="Calibri" w:eastAsia="仿宋_GB2312" w:cs="仿宋_GB2312"/>
          <w:color w:val="auto"/>
          <w:kern w:val="2"/>
          <w:sz w:val="30"/>
          <w:szCs w:val="30"/>
          <w:highlight w:val="none"/>
          <w:lang w:eastAsia="zh-CN" w:bidi="ar"/>
        </w:rPr>
        <w:t>1</w:t>
      </w:r>
      <w:r>
        <w:rPr>
          <w:rFonts w:hint="eastAsia" w:ascii="Times New Roman" w:hAnsi="Times New Roman" w:eastAsia="仿宋_GB2312" w:cs="仿宋_GB2312"/>
          <w:color w:val="auto"/>
          <w:kern w:val="2"/>
          <w:sz w:val="30"/>
          <w:szCs w:val="30"/>
          <w:highlight w:val="none"/>
          <w:lang w:eastAsia="zh-CN" w:bidi="ar"/>
        </w:rPr>
        <w:t>．</w:t>
      </w:r>
      <w:r>
        <w:rPr>
          <w:rFonts w:hint="eastAsia" w:ascii="仿宋_GB2312" w:hAnsi="Calibri" w:eastAsia="仿宋_GB2312" w:cs="仿宋_GB2312"/>
          <w:color w:val="auto"/>
          <w:kern w:val="2"/>
          <w:sz w:val="30"/>
          <w:szCs w:val="30"/>
          <w:highlight w:val="none"/>
          <w:lang w:eastAsia="zh-CN" w:bidi="ar"/>
        </w:rPr>
        <w:t>地基基础工程和主体结构工程为设计文件规定的工程合理使用年限；</w:t>
      </w:r>
    </w:p>
    <w:p w14:paraId="6256FDA6">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2</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屋面防水工程、有防水要求的卫生间、房间和外墙面的防渗</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p>
    <w:p w14:paraId="5E64A230">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3</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装修工程为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p>
    <w:p w14:paraId="75ED0C74">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4</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电气管线、给排水管道、设备安装工程为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p>
    <w:p w14:paraId="3ECEAA6C">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5</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供热与供冷系统为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个采暖期、供冷期；</w:t>
      </w:r>
    </w:p>
    <w:p w14:paraId="035800D1">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6</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住宅小区内的给排水设施、道路等配套工程为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p>
    <w:p w14:paraId="603F0D97">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7</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其他项目保修期限约定如下：</w:t>
      </w:r>
    </w:p>
    <w:p w14:paraId="5C33697A">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33BEB1D3">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质量保修期自工程竣工验收合格之日起计算。</w:t>
      </w:r>
    </w:p>
    <w:p w14:paraId="19DCE666">
      <w:pPr>
        <w:shd w:val="clear"/>
        <w:jc w:val="left"/>
        <w:rPr>
          <w:rFonts w:ascii="Times New Roman" w:hAnsi="Times New Roman" w:eastAsia="黑体" w:cs="Times New Roman"/>
          <w:color w:val="auto"/>
          <w:kern w:val="0"/>
          <w:sz w:val="30"/>
          <w:szCs w:val="30"/>
          <w:highlight w:val="none"/>
          <w:lang w:eastAsia="zh-CN" w:bidi="en-US"/>
        </w:rPr>
      </w:pPr>
      <w:r>
        <w:rPr>
          <w:rFonts w:hint="eastAsia" w:ascii="Times New Roman" w:hAnsi="Times New Roman" w:eastAsia="黑体" w:cs="黑体"/>
          <w:color w:val="auto"/>
          <w:kern w:val="2"/>
          <w:sz w:val="30"/>
          <w:szCs w:val="30"/>
          <w:highlight w:val="none"/>
          <w:lang w:eastAsia="zh-CN" w:bidi="ar"/>
        </w:rPr>
        <w:t>　　三、缺陷责任期</w:t>
      </w:r>
    </w:p>
    <w:p w14:paraId="4D2DD6D4">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工程缺陷责任期为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个月，缺陷责任期自工程通过竣工验收之日起计算。单位工程先于全部工程进行验收，单位工程缺陷责任期自单位工程验收合格之日起算。</w:t>
      </w:r>
    </w:p>
    <w:p w14:paraId="7E9B20B2">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缺陷责任期终止后，发包人应退还剩余的质量保证金。</w:t>
      </w:r>
    </w:p>
    <w:p w14:paraId="79C841A6">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　　四、质量保修责任</w:t>
      </w:r>
    </w:p>
    <w:p w14:paraId="42341CED">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1</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属于保修范围、内容的项目，承包人应当在接到保修通知之日起</w:t>
      </w:r>
      <w:r>
        <w:rPr>
          <w:rFonts w:ascii="Times New Roman" w:hAnsi="Times New Roman" w:eastAsia="仿宋_GB2312" w:cs="Times New Roman"/>
          <w:color w:val="auto"/>
          <w:kern w:val="2"/>
          <w:sz w:val="30"/>
          <w:szCs w:val="30"/>
          <w:highlight w:val="none"/>
          <w:lang w:eastAsia="zh-CN" w:bidi="ar"/>
        </w:rPr>
        <w:t>7</w:t>
      </w:r>
      <w:r>
        <w:rPr>
          <w:rFonts w:hint="eastAsia" w:ascii="Times New Roman" w:hAnsi="Times New Roman" w:eastAsia="仿宋_GB2312" w:cs="仿宋_GB2312"/>
          <w:color w:val="auto"/>
          <w:kern w:val="2"/>
          <w:sz w:val="30"/>
          <w:szCs w:val="30"/>
          <w:highlight w:val="none"/>
          <w:lang w:eastAsia="zh-CN" w:bidi="ar"/>
        </w:rPr>
        <w:t>天内派人保修。承包人不在约定期限内派人保修的，发包人可以委托他人修理。</w:t>
      </w:r>
    </w:p>
    <w:p w14:paraId="2539C3F4">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2</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发生紧急事故需抢修的，承包人在接到事故通知后，应当立即到达事故现场抢修。</w:t>
      </w:r>
    </w:p>
    <w:p w14:paraId="555CDCAF">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3</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46DE67F">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4</w:t>
      </w:r>
      <w:r>
        <w:rPr>
          <w:rFonts w:hint="eastAsia" w:ascii="仿宋_GB2312" w:hAnsi="Calibri" w:eastAsia="仿宋_GB2312" w:cs="仿宋_GB2312"/>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质量保修完成后，由发包人组织验收。</w:t>
      </w:r>
    </w:p>
    <w:p w14:paraId="19A68860">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　　五、保修费用</w:t>
      </w:r>
    </w:p>
    <w:p w14:paraId="74B1864D">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　　保修费用由造成质量缺陷的责任方承担。</w:t>
      </w:r>
    </w:p>
    <w:p w14:paraId="524437CE">
      <w:pPr>
        <w:shd w:val="clear"/>
        <w:jc w:val="left"/>
        <w:rPr>
          <w:rFonts w:ascii="Times New Roman" w:hAnsi="Times New Roman" w:eastAsia="仿宋_GB2312" w:cs="Times New Roman"/>
          <w:color w:val="auto"/>
          <w:kern w:val="0"/>
          <w:sz w:val="24"/>
          <w:highlight w:val="none"/>
          <w:u w:val="single"/>
          <w:lang w:eastAsia="zh-CN" w:bidi="en-US"/>
        </w:rPr>
      </w:pPr>
      <w:r>
        <w:rPr>
          <w:rFonts w:hint="eastAsia" w:ascii="Times New Roman" w:hAnsi="Times New Roman" w:eastAsia="黑体" w:cs="Times New Roman"/>
          <w:color w:val="auto"/>
          <w:kern w:val="0"/>
          <w:sz w:val="24"/>
          <w:highlight w:val="none"/>
          <w:lang w:eastAsia="zh-CN" w:bidi="en-US"/>
        </w:rPr>
        <w:t>　　</w:t>
      </w:r>
      <w:r>
        <w:rPr>
          <w:rFonts w:hint="eastAsia" w:ascii="Times New Roman" w:hAnsi="Times New Roman" w:eastAsia="黑体" w:cs="Times New Roman"/>
          <w:bCs/>
          <w:color w:val="auto"/>
          <w:kern w:val="0"/>
          <w:sz w:val="24"/>
          <w:highlight w:val="none"/>
          <w:lang w:eastAsia="zh-CN" w:bidi="en-US"/>
        </w:rPr>
        <w:t>六</w:t>
      </w:r>
      <w:r>
        <w:rPr>
          <w:rFonts w:hint="eastAsia" w:ascii="Times New Roman" w:hAnsi="Times New Roman" w:eastAsia="黑体" w:cs="Times New Roman"/>
          <w:color w:val="auto"/>
          <w:kern w:val="0"/>
          <w:sz w:val="24"/>
          <w:highlight w:val="none"/>
          <w:lang w:eastAsia="zh-CN" w:bidi="en-US"/>
        </w:rPr>
        <w:t>、双方约定的其他工程质量保修事项</w:t>
      </w:r>
      <w:r>
        <w:rPr>
          <w:rFonts w:hint="eastAsia" w:ascii="Times New Roman" w:hAnsi="Times New Roman" w:eastAsia="仿宋_GB2312" w:cs="仿宋_GB2312"/>
          <w:color w:val="auto"/>
          <w:kern w:val="0"/>
          <w:sz w:val="24"/>
          <w:highlight w:val="none"/>
          <w:lang w:eastAsia="zh-CN" w:bidi="en-US"/>
        </w:rPr>
        <w:t>：</w:t>
      </w:r>
      <w:r>
        <w:rPr>
          <w:rFonts w:ascii="Times New Roman" w:hAnsi="Times New Roman" w:eastAsia="仿宋_GB2312" w:cs="Times New Roman"/>
          <w:color w:val="auto"/>
          <w:kern w:val="0"/>
          <w:sz w:val="24"/>
          <w:highlight w:val="none"/>
          <w:u w:val="single"/>
          <w:lang w:eastAsia="zh-CN" w:bidi="en-US"/>
        </w:rPr>
        <w:t xml:space="preserve">                  </w:t>
      </w:r>
    </w:p>
    <w:p w14:paraId="777F1249">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5FA34D45">
      <w:pPr>
        <w:shd w:val="clear"/>
        <w:spacing w:line="360" w:lineRule="auto"/>
        <w:ind w:firstLine="570" w:firstLineChars="19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工程质量保修书由发包人、承包人在工程竣工验收前共同签署，作为施工合同附件，其有效期限至保修期满。</w:t>
      </w:r>
    </w:p>
    <w:p w14:paraId="5F79BECB">
      <w:pPr>
        <w:shd w:val="clear"/>
        <w:spacing w:line="360" w:lineRule="auto"/>
        <w:ind w:firstLine="420"/>
        <w:jc w:val="both"/>
        <w:rPr>
          <w:rFonts w:ascii="Times New Roman" w:hAnsi="Times New Roman" w:eastAsia="仿宋_GB2312" w:cs="Times New Roman"/>
          <w:color w:val="auto"/>
          <w:kern w:val="0"/>
          <w:sz w:val="30"/>
          <w:szCs w:val="30"/>
          <w:highlight w:val="none"/>
          <w:lang w:eastAsia="zh-CN" w:bidi="en-US"/>
        </w:rPr>
      </w:pPr>
    </w:p>
    <w:p w14:paraId="398CBAF1">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发包人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公章</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承包人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公章</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 </w:t>
      </w:r>
    </w:p>
    <w:p w14:paraId="6447403B">
      <w:pPr>
        <w:shd w:val="clear"/>
        <w:spacing w:line="360" w:lineRule="auto"/>
        <w:jc w:val="both"/>
        <w:rPr>
          <w:rFonts w:ascii="Times New Roman" w:hAnsi="Times New Roman" w:eastAsia="仿宋_GB2312"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      </w:t>
      </w:r>
    </w:p>
    <w:p w14:paraId="624B4C59">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法定代表人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签字</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法定代表人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签字</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p>
    <w:p w14:paraId="03D81226">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委托代理人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签字</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委托代理人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签字</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p>
    <w:p w14:paraId="03DC0844">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 xml:space="preserve">     </w:t>
      </w:r>
    </w:p>
    <w:p w14:paraId="28DA1B43">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   </w:t>
      </w:r>
    </w:p>
    <w:p w14:paraId="189FBD9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开户银行：</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开户银行：</w:t>
      </w:r>
      <w:r>
        <w:rPr>
          <w:rFonts w:ascii="Times New Roman" w:hAnsi="Times New Roman" w:eastAsia="仿宋_GB2312" w:cs="Times New Roman"/>
          <w:color w:val="auto"/>
          <w:kern w:val="2"/>
          <w:sz w:val="30"/>
          <w:szCs w:val="30"/>
          <w:highlight w:val="none"/>
          <w:u w:val="single"/>
          <w:lang w:eastAsia="zh-CN" w:bidi="ar"/>
        </w:rPr>
        <w:t xml:space="preserve">   </w:t>
      </w:r>
    </w:p>
    <w:p w14:paraId="0A244893">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账</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号：</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账</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号：</w:t>
      </w:r>
      <w:r>
        <w:rPr>
          <w:rFonts w:ascii="Times New Roman" w:hAnsi="Times New Roman" w:eastAsia="仿宋_GB2312" w:cs="Times New Roman"/>
          <w:color w:val="auto"/>
          <w:kern w:val="2"/>
          <w:sz w:val="30"/>
          <w:szCs w:val="30"/>
          <w:highlight w:val="none"/>
          <w:u w:val="single"/>
          <w:lang w:eastAsia="zh-CN" w:bidi="ar"/>
        </w:rPr>
        <w:t xml:space="preserve">     </w:t>
      </w:r>
    </w:p>
    <w:p w14:paraId="571362D0">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w:t>
      </w:r>
    </w:p>
    <w:p w14:paraId="10EF8D05">
      <w:pPr>
        <w:shd w:val="clear"/>
        <w:spacing w:line="440" w:lineRule="exact"/>
        <w:jc w:val="both"/>
        <w:rPr>
          <w:rFonts w:ascii="Times New Roman" w:hAnsi="Times New Roman" w:eastAsia="黑体" w:cs="Times New Roman"/>
          <w:color w:val="auto"/>
          <w:kern w:val="0"/>
          <w:sz w:val="30"/>
          <w:szCs w:val="30"/>
          <w:highlight w:val="none"/>
          <w:lang w:eastAsia="zh-CN" w:bidi="en-US"/>
        </w:rPr>
      </w:pPr>
      <w:r>
        <w:rPr>
          <w:rFonts w:ascii="Times New Roman" w:hAnsi="Times New Roman" w:eastAsia="仿宋_GB2312" w:cs="Times New Roman"/>
          <w:b/>
          <w:color w:val="auto"/>
          <w:kern w:val="2"/>
          <w:sz w:val="30"/>
          <w:szCs w:val="30"/>
          <w:highlight w:val="none"/>
          <w:lang w:eastAsia="zh-CN" w:bidi="ar"/>
        </w:rPr>
        <w:br w:type="page"/>
      </w:r>
      <w:r>
        <w:rPr>
          <w:rFonts w:hint="eastAsia" w:ascii="Times New Roman" w:hAnsi="Times New Roman" w:eastAsia="仿宋_GB2312" w:cs="仿宋_GB2312"/>
          <w:color w:val="auto"/>
          <w:kern w:val="2"/>
          <w:sz w:val="30"/>
          <w:szCs w:val="30"/>
          <w:highlight w:val="none"/>
          <w:lang w:eastAsia="zh-CN" w:bidi="ar"/>
        </w:rPr>
        <w:t>附件</w:t>
      </w:r>
      <w:r>
        <w:rPr>
          <w:rFonts w:ascii="Times New Roman" w:hAnsi="Times New Roman" w:eastAsia="仿宋_GB2312" w:cs="Times New Roman"/>
          <w:color w:val="auto"/>
          <w:kern w:val="2"/>
          <w:sz w:val="30"/>
          <w:szCs w:val="30"/>
          <w:highlight w:val="none"/>
          <w:lang w:eastAsia="zh-CN" w:bidi="ar"/>
        </w:rPr>
        <w:t>4</w:t>
      </w:r>
      <w:r>
        <w:rPr>
          <w:rFonts w:hint="eastAsia" w:ascii="Times New Roman" w:hAnsi="Times New Roman" w:eastAsia="仿宋_GB2312" w:cs="仿宋_GB2312"/>
          <w:color w:val="auto"/>
          <w:kern w:val="2"/>
          <w:sz w:val="30"/>
          <w:szCs w:val="30"/>
          <w:highlight w:val="none"/>
          <w:lang w:eastAsia="zh-CN" w:bidi="ar"/>
        </w:rPr>
        <w:t>：</w:t>
      </w:r>
    </w:p>
    <w:p w14:paraId="5C8BF4C6">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285" w:name="_Toc163768481"/>
      <w:bookmarkStart w:id="1286" w:name="_Toc3556"/>
      <w:bookmarkStart w:id="1287" w:name="_Toc163768599"/>
      <w:r>
        <w:rPr>
          <w:rFonts w:hint="eastAsia" w:ascii="Times New Roman" w:hAnsi="Times New Roman" w:eastAsia="黑体" w:cs="黑体"/>
          <w:b/>
          <w:color w:val="auto"/>
          <w:sz w:val="30"/>
          <w:szCs w:val="30"/>
          <w:highlight w:val="none"/>
          <w:lang w:val="en-US" w:eastAsia="zh-CN" w:bidi="en-US"/>
        </w:rPr>
        <w:t>主要建设工程文件目录</w:t>
      </w:r>
      <w:bookmarkEnd w:id="1285"/>
      <w:bookmarkEnd w:id="1286"/>
      <w:bookmarkEnd w:id="1287"/>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24833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shd w:val="clear" w:color="auto" w:fill="auto"/>
            <w:vAlign w:val="center"/>
          </w:tcPr>
          <w:p w14:paraId="16FD05D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文件名称</w:t>
            </w:r>
          </w:p>
        </w:tc>
        <w:tc>
          <w:tcPr>
            <w:tcW w:w="1276" w:type="dxa"/>
            <w:tcBorders>
              <w:top w:val="single" w:color="auto" w:sz="12" w:space="0"/>
              <w:left w:val="single" w:color="auto" w:sz="6" w:space="0"/>
              <w:bottom w:val="double" w:color="auto" w:sz="6" w:space="0"/>
              <w:right w:val="single" w:color="auto" w:sz="6" w:space="0"/>
            </w:tcBorders>
            <w:shd w:val="clear" w:color="auto" w:fill="auto"/>
            <w:vAlign w:val="center"/>
          </w:tcPr>
          <w:p w14:paraId="01F8A03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套数</w:t>
            </w:r>
          </w:p>
        </w:tc>
        <w:tc>
          <w:tcPr>
            <w:tcW w:w="1450" w:type="dxa"/>
            <w:tcBorders>
              <w:top w:val="single" w:color="auto" w:sz="12" w:space="0"/>
              <w:left w:val="single" w:color="auto" w:sz="6" w:space="0"/>
              <w:bottom w:val="double" w:color="auto" w:sz="6" w:space="0"/>
              <w:right w:val="single" w:color="auto" w:sz="6" w:space="0"/>
            </w:tcBorders>
            <w:shd w:val="clear" w:color="auto" w:fill="auto"/>
            <w:vAlign w:val="center"/>
          </w:tcPr>
          <w:p w14:paraId="0B250BE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费用（元）</w:t>
            </w:r>
          </w:p>
        </w:tc>
        <w:tc>
          <w:tcPr>
            <w:tcW w:w="1243" w:type="dxa"/>
            <w:tcBorders>
              <w:top w:val="single" w:color="auto" w:sz="12" w:space="0"/>
              <w:left w:val="single" w:color="auto" w:sz="6" w:space="0"/>
              <w:bottom w:val="double" w:color="auto" w:sz="6" w:space="0"/>
              <w:right w:val="single" w:color="auto" w:sz="6" w:space="0"/>
            </w:tcBorders>
            <w:shd w:val="clear" w:color="auto" w:fill="auto"/>
            <w:vAlign w:val="center"/>
          </w:tcPr>
          <w:p w14:paraId="4482383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质量</w:t>
            </w:r>
          </w:p>
        </w:tc>
        <w:tc>
          <w:tcPr>
            <w:tcW w:w="1450" w:type="dxa"/>
            <w:tcBorders>
              <w:top w:val="single" w:color="auto" w:sz="12" w:space="0"/>
              <w:left w:val="single" w:color="auto" w:sz="6" w:space="0"/>
              <w:bottom w:val="double" w:color="auto" w:sz="6" w:space="0"/>
              <w:right w:val="single" w:color="auto" w:sz="6" w:space="0"/>
            </w:tcBorders>
            <w:shd w:val="clear" w:color="auto" w:fill="auto"/>
          </w:tcPr>
          <w:p w14:paraId="2AE58ECF">
            <w:pPr>
              <w:shd w:val="clear"/>
              <w:spacing w:line="440" w:lineRule="exact"/>
              <w:jc w:val="center"/>
              <w:rPr>
                <w:rFonts w:ascii="Times New Roman" w:hAnsi="Times New Roman" w:eastAsia="仿宋_GB2312" w:cs="Times New Roman"/>
                <w:color w:val="auto"/>
                <w:kern w:val="0"/>
                <w:sz w:val="28"/>
                <w:szCs w:val="30"/>
                <w:highlight w:val="none"/>
                <w:lang w:eastAsia="en-US" w:bidi="en-US"/>
              </w:rPr>
            </w:pPr>
            <w:r>
              <w:rPr>
                <w:rFonts w:hint="eastAsia" w:ascii="Times New Roman" w:hAnsi="Times New Roman" w:eastAsia="仿宋_GB2312" w:cs="仿宋_GB2312"/>
                <w:color w:val="auto"/>
                <w:kern w:val="2"/>
                <w:sz w:val="28"/>
                <w:szCs w:val="30"/>
                <w:highlight w:val="none"/>
                <w:lang w:eastAsia="zh-CN" w:bidi="ar"/>
              </w:rPr>
              <w:t>移交时间</w:t>
            </w:r>
          </w:p>
        </w:tc>
        <w:tc>
          <w:tcPr>
            <w:tcW w:w="1667" w:type="dxa"/>
            <w:tcBorders>
              <w:top w:val="single" w:color="auto" w:sz="12" w:space="0"/>
              <w:left w:val="single" w:color="auto" w:sz="6" w:space="0"/>
              <w:bottom w:val="double" w:color="auto" w:sz="6" w:space="0"/>
              <w:right w:val="single" w:color="auto" w:sz="12" w:space="0"/>
            </w:tcBorders>
            <w:shd w:val="clear" w:color="auto" w:fill="auto"/>
          </w:tcPr>
          <w:p w14:paraId="263EA947">
            <w:pPr>
              <w:shd w:val="clear"/>
              <w:spacing w:line="440" w:lineRule="exact"/>
              <w:jc w:val="center"/>
              <w:rPr>
                <w:rFonts w:ascii="Times New Roman" w:hAnsi="Times New Roman" w:eastAsia="仿宋_GB2312" w:cs="Times New Roman"/>
                <w:color w:val="auto"/>
                <w:kern w:val="0"/>
                <w:sz w:val="28"/>
                <w:szCs w:val="30"/>
                <w:highlight w:val="none"/>
                <w:lang w:eastAsia="en-US" w:bidi="en-US"/>
              </w:rPr>
            </w:pPr>
            <w:r>
              <w:rPr>
                <w:rFonts w:hint="eastAsia" w:ascii="Times New Roman" w:hAnsi="Times New Roman" w:eastAsia="仿宋_GB2312" w:cs="仿宋_GB2312"/>
                <w:color w:val="auto"/>
                <w:kern w:val="2"/>
                <w:sz w:val="28"/>
                <w:szCs w:val="30"/>
                <w:highlight w:val="none"/>
                <w:lang w:eastAsia="zh-CN" w:bidi="ar"/>
              </w:rPr>
              <w:t>责任人</w:t>
            </w:r>
          </w:p>
        </w:tc>
      </w:tr>
      <w:tr w14:paraId="595A6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shd w:val="clear" w:color="auto" w:fill="auto"/>
            <w:vAlign w:val="center"/>
          </w:tcPr>
          <w:p w14:paraId="459E8B3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double" w:color="auto" w:sz="6" w:space="0"/>
              <w:left w:val="single" w:color="auto" w:sz="6" w:space="0"/>
              <w:bottom w:val="single" w:color="auto" w:sz="6" w:space="0"/>
              <w:right w:val="single" w:color="auto" w:sz="6" w:space="0"/>
            </w:tcBorders>
            <w:shd w:val="clear" w:color="auto" w:fill="auto"/>
            <w:vAlign w:val="center"/>
          </w:tcPr>
          <w:p w14:paraId="178C9A5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double" w:color="auto" w:sz="6" w:space="0"/>
              <w:left w:val="single" w:color="auto" w:sz="6" w:space="0"/>
              <w:bottom w:val="single" w:color="auto" w:sz="6" w:space="0"/>
              <w:right w:val="single" w:color="auto" w:sz="6" w:space="0"/>
            </w:tcBorders>
            <w:shd w:val="clear" w:color="auto" w:fill="auto"/>
            <w:vAlign w:val="center"/>
          </w:tcPr>
          <w:p w14:paraId="342F004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double" w:color="auto" w:sz="6" w:space="0"/>
              <w:left w:val="single" w:color="auto" w:sz="6" w:space="0"/>
              <w:bottom w:val="single" w:color="auto" w:sz="6" w:space="0"/>
              <w:right w:val="single" w:color="auto" w:sz="6" w:space="0"/>
            </w:tcBorders>
            <w:shd w:val="clear" w:color="auto" w:fill="auto"/>
            <w:vAlign w:val="center"/>
          </w:tcPr>
          <w:p w14:paraId="3789F6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double" w:color="auto" w:sz="6" w:space="0"/>
              <w:left w:val="single" w:color="auto" w:sz="6" w:space="0"/>
              <w:bottom w:val="single" w:color="auto" w:sz="6" w:space="0"/>
              <w:right w:val="single" w:color="auto" w:sz="6" w:space="0"/>
            </w:tcBorders>
            <w:shd w:val="clear" w:color="auto" w:fill="auto"/>
            <w:vAlign w:val="center"/>
          </w:tcPr>
          <w:p w14:paraId="374612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double" w:color="auto" w:sz="6" w:space="0"/>
              <w:left w:val="single" w:color="auto" w:sz="6" w:space="0"/>
              <w:bottom w:val="single" w:color="auto" w:sz="6" w:space="0"/>
              <w:right w:val="single" w:color="auto" w:sz="12" w:space="0"/>
            </w:tcBorders>
            <w:shd w:val="clear" w:color="auto" w:fill="auto"/>
            <w:vAlign w:val="center"/>
          </w:tcPr>
          <w:p w14:paraId="36803B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C9A1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nil"/>
              <w:left w:val="single" w:color="auto" w:sz="12" w:space="0"/>
              <w:bottom w:val="single" w:color="auto" w:sz="6" w:space="0"/>
              <w:right w:val="single" w:color="auto" w:sz="6" w:space="0"/>
            </w:tcBorders>
            <w:shd w:val="clear" w:color="auto" w:fill="auto"/>
            <w:vAlign w:val="center"/>
          </w:tcPr>
          <w:p w14:paraId="5DA4626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nil"/>
              <w:left w:val="single" w:color="auto" w:sz="6" w:space="0"/>
              <w:bottom w:val="single" w:color="auto" w:sz="6" w:space="0"/>
              <w:right w:val="single" w:color="auto" w:sz="6" w:space="0"/>
            </w:tcBorders>
            <w:shd w:val="clear" w:color="auto" w:fill="auto"/>
            <w:vAlign w:val="center"/>
          </w:tcPr>
          <w:p w14:paraId="49526C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nil"/>
              <w:left w:val="single" w:color="auto" w:sz="6" w:space="0"/>
              <w:bottom w:val="single" w:color="auto" w:sz="6" w:space="0"/>
              <w:right w:val="single" w:color="auto" w:sz="6" w:space="0"/>
            </w:tcBorders>
            <w:shd w:val="clear" w:color="auto" w:fill="auto"/>
            <w:vAlign w:val="center"/>
          </w:tcPr>
          <w:p w14:paraId="64468C3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nil"/>
              <w:left w:val="single" w:color="auto" w:sz="6" w:space="0"/>
              <w:bottom w:val="single" w:color="auto" w:sz="6" w:space="0"/>
              <w:right w:val="single" w:color="auto" w:sz="6" w:space="0"/>
            </w:tcBorders>
            <w:shd w:val="clear" w:color="auto" w:fill="auto"/>
            <w:vAlign w:val="center"/>
          </w:tcPr>
          <w:p w14:paraId="639DC6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nil"/>
              <w:left w:val="single" w:color="auto" w:sz="6" w:space="0"/>
              <w:bottom w:val="single" w:color="auto" w:sz="6" w:space="0"/>
              <w:right w:val="single" w:color="auto" w:sz="6" w:space="0"/>
            </w:tcBorders>
            <w:shd w:val="clear" w:color="auto" w:fill="auto"/>
            <w:vAlign w:val="center"/>
          </w:tcPr>
          <w:p w14:paraId="0B5F17D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nil"/>
              <w:left w:val="single" w:color="auto" w:sz="6" w:space="0"/>
              <w:bottom w:val="single" w:color="auto" w:sz="6" w:space="0"/>
              <w:right w:val="single" w:color="auto" w:sz="12" w:space="0"/>
            </w:tcBorders>
            <w:shd w:val="clear" w:color="auto" w:fill="auto"/>
            <w:vAlign w:val="center"/>
          </w:tcPr>
          <w:p w14:paraId="619ED2A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B58F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12D9F9A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54E5820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14C0762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525353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3DFA417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30B16F5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2068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5CCA8B6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06B71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19F92A0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70C969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3743FCF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354A8E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135C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5676091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4BB542B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6FCB2A2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0301B8A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773B3C6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2FCD37B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EF2B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78AFA5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0544404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51334F6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086EECA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55AFF36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1AAD91C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667F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46AC94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8836A1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4453EB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75003F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38E8869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3B1BD44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80D4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7027C2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FAD0A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015C490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03168F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7B845D3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1047FF4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7FD6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5E41E3B7">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252D69EC">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6B1D2563">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77149F5A">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404F2CC9">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4DE994AE">
            <w:pPr>
              <w:shd w:val="clear"/>
              <w:jc w:val="both"/>
              <w:rPr>
                <w:rFonts w:ascii="Times New Roman" w:hAnsi="Times New Roman" w:eastAsia="仿宋_GB2312" w:cs="Times New Roman"/>
                <w:color w:val="auto"/>
                <w:kern w:val="0"/>
                <w:sz w:val="30"/>
                <w:szCs w:val="30"/>
                <w:highlight w:val="none"/>
                <w:lang w:eastAsia="en-US" w:bidi="en-US"/>
              </w:rPr>
            </w:pPr>
          </w:p>
        </w:tc>
      </w:tr>
      <w:tr w14:paraId="6565D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vAlign w:val="center"/>
          </w:tcPr>
          <w:p w14:paraId="289145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4DAFF9F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71044B2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vAlign w:val="center"/>
          </w:tcPr>
          <w:p w14:paraId="63CAC93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vAlign w:val="center"/>
          </w:tcPr>
          <w:p w14:paraId="6E660FF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vAlign w:val="center"/>
          </w:tcPr>
          <w:p w14:paraId="7BB948A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FCBE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6C2F5349">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31E31085">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5F8B7B8A">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192F02DD">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1B333CF1">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672EF203">
            <w:pPr>
              <w:shd w:val="clear"/>
              <w:jc w:val="both"/>
              <w:rPr>
                <w:rFonts w:ascii="Times New Roman" w:hAnsi="Times New Roman" w:eastAsia="仿宋_GB2312" w:cs="Times New Roman"/>
                <w:color w:val="auto"/>
                <w:kern w:val="0"/>
                <w:sz w:val="30"/>
                <w:szCs w:val="30"/>
                <w:highlight w:val="none"/>
                <w:lang w:eastAsia="en-US" w:bidi="en-US"/>
              </w:rPr>
            </w:pPr>
          </w:p>
        </w:tc>
      </w:tr>
      <w:tr w14:paraId="469C5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4A6312F2">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6E1AE6C">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5C28CB93">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42AF9275">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3639C90E">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17A5467C">
            <w:pPr>
              <w:shd w:val="clear"/>
              <w:jc w:val="both"/>
              <w:rPr>
                <w:rFonts w:ascii="Times New Roman" w:hAnsi="Times New Roman" w:eastAsia="仿宋_GB2312" w:cs="Times New Roman"/>
                <w:color w:val="auto"/>
                <w:kern w:val="0"/>
                <w:sz w:val="30"/>
                <w:szCs w:val="30"/>
                <w:highlight w:val="none"/>
                <w:lang w:eastAsia="en-US" w:bidi="en-US"/>
              </w:rPr>
            </w:pPr>
          </w:p>
        </w:tc>
      </w:tr>
      <w:tr w14:paraId="67F20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79507A5E">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D37E1BF">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64D50BE3">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25E05AA6">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0B624F01">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2A194AF0">
            <w:pPr>
              <w:shd w:val="clear"/>
              <w:jc w:val="both"/>
              <w:rPr>
                <w:rFonts w:ascii="Times New Roman" w:hAnsi="Times New Roman" w:eastAsia="仿宋_GB2312" w:cs="Times New Roman"/>
                <w:color w:val="auto"/>
                <w:kern w:val="0"/>
                <w:sz w:val="30"/>
                <w:szCs w:val="30"/>
                <w:highlight w:val="none"/>
                <w:lang w:eastAsia="en-US" w:bidi="en-US"/>
              </w:rPr>
            </w:pPr>
          </w:p>
        </w:tc>
      </w:tr>
      <w:tr w14:paraId="639C3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364F6F1E">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171E350C">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38AFD2FA">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5C2383EE">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073692DF">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7A38B9CA">
            <w:pPr>
              <w:shd w:val="clear"/>
              <w:jc w:val="both"/>
              <w:rPr>
                <w:rFonts w:ascii="Times New Roman" w:hAnsi="Times New Roman" w:eastAsia="仿宋_GB2312" w:cs="Times New Roman"/>
                <w:color w:val="auto"/>
                <w:kern w:val="0"/>
                <w:sz w:val="30"/>
                <w:szCs w:val="30"/>
                <w:highlight w:val="none"/>
                <w:lang w:eastAsia="en-US" w:bidi="en-US"/>
              </w:rPr>
            </w:pPr>
          </w:p>
        </w:tc>
      </w:tr>
      <w:tr w14:paraId="11B9E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2131F672">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552A0CE0">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6E98624D">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3319265E">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697E2ECA">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7F6B9AFE">
            <w:pPr>
              <w:shd w:val="clear"/>
              <w:jc w:val="both"/>
              <w:rPr>
                <w:rFonts w:ascii="Times New Roman" w:hAnsi="Times New Roman" w:eastAsia="仿宋_GB2312" w:cs="Times New Roman"/>
                <w:color w:val="auto"/>
                <w:kern w:val="0"/>
                <w:sz w:val="30"/>
                <w:szCs w:val="30"/>
                <w:highlight w:val="none"/>
                <w:lang w:eastAsia="en-US" w:bidi="en-US"/>
              </w:rPr>
            </w:pPr>
          </w:p>
        </w:tc>
      </w:tr>
      <w:tr w14:paraId="30408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5A8E9730">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01036427">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60FA4C85">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2F166551">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746E9A75">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2D3445D5">
            <w:pPr>
              <w:shd w:val="clear"/>
              <w:jc w:val="both"/>
              <w:rPr>
                <w:rFonts w:ascii="Times New Roman" w:hAnsi="Times New Roman" w:eastAsia="仿宋_GB2312" w:cs="Times New Roman"/>
                <w:color w:val="auto"/>
                <w:kern w:val="0"/>
                <w:sz w:val="30"/>
                <w:szCs w:val="30"/>
                <w:highlight w:val="none"/>
                <w:lang w:eastAsia="en-US" w:bidi="en-US"/>
              </w:rPr>
            </w:pPr>
          </w:p>
        </w:tc>
      </w:tr>
      <w:tr w14:paraId="7C307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5C084970">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1152C0DE">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28BDF684">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2BA1AA5A">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3F003825">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6B9D0D0E">
            <w:pPr>
              <w:shd w:val="clear"/>
              <w:jc w:val="both"/>
              <w:rPr>
                <w:rFonts w:ascii="Times New Roman" w:hAnsi="Times New Roman" w:eastAsia="仿宋_GB2312" w:cs="Times New Roman"/>
                <w:color w:val="auto"/>
                <w:kern w:val="0"/>
                <w:sz w:val="30"/>
                <w:szCs w:val="30"/>
                <w:highlight w:val="none"/>
                <w:lang w:eastAsia="en-US" w:bidi="en-US"/>
              </w:rPr>
            </w:pPr>
          </w:p>
        </w:tc>
      </w:tr>
      <w:tr w14:paraId="702B4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shd w:val="clear" w:color="auto" w:fill="auto"/>
          </w:tcPr>
          <w:p w14:paraId="4601CF1F">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6" w:space="0"/>
              <w:right w:val="single" w:color="auto" w:sz="6" w:space="0"/>
            </w:tcBorders>
            <w:shd w:val="clear" w:color="auto" w:fill="auto"/>
          </w:tcPr>
          <w:p w14:paraId="699243B9">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43F7B4B7">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6" w:space="0"/>
              <w:right w:val="single" w:color="auto" w:sz="6" w:space="0"/>
            </w:tcBorders>
            <w:shd w:val="clear" w:color="auto" w:fill="auto"/>
          </w:tcPr>
          <w:p w14:paraId="6A776728">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6" w:space="0"/>
              <w:right w:val="single" w:color="auto" w:sz="6" w:space="0"/>
            </w:tcBorders>
            <w:shd w:val="clear" w:color="auto" w:fill="auto"/>
          </w:tcPr>
          <w:p w14:paraId="31C745C2">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6" w:space="0"/>
              <w:right w:val="single" w:color="auto" w:sz="12" w:space="0"/>
            </w:tcBorders>
            <w:shd w:val="clear" w:color="auto" w:fill="auto"/>
          </w:tcPr>
          <w:p w14:paraId="38FF8F0C">
            <w:pPr>
              <w:shd w:val="clear"/>
              <w:jc w:val="both"/>
              <w:rPr>
                <w:rFonts w:ascii="Times New Roman" w:hAnsi="Times New Roman" w:eastAsia="仿宋_GB2312" w:cs="Times New Roman"/>
                <w:color w:val="auto"/>
                <w:kern w:val="0"/>
                <w:sz w:val="30"/>
                <w:szCs w:val="30"/>
                <w:highlight w:val="none"/>
                <w:lang w:eastAsia="en-US" w:bidi="en-US"/>
              </w:rPr>
            </w:pPr>
          </w:p>
        </w:tc>
      </w:tr>
      <w:tr w14:paraId="79AD4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shd w:val="clear" w:color="auto" w:fill="auto"/>
          </w:tcPr>
          <w:p w14:paraId="092BAFE1">
            <w:pPr>
              <w:shd w:val="clear"/>
              <w:jc w:val="both"/>
              <w:rPr>
                <w:rFonts w:ascii="Times New Roman" w:hAnsi="Times New Roman" w:eastAsia="仿宋_GB2312" w:cs="Times New Roman"/>
                <w:color w:val="auto"/>
                <w:kern w:val="0"/>
                <w:sz w:val="30"/>
                <w:szCs w:val="30"/>
                <w:highlight w:val="none"/>
                <w:lang w:eastAsia="en-US" w:bidi="en-US"/>
              </w:rPr>
            </w:pPr>
          </w:p>
        </w:tc>
        <w:tc>
          <w:tcPr>
            <w:tcW w:w="1276" w:type="dxa"/>
            <w:tcBorders>
              <w:top w:val="single" w:color="auto" w:sz="6" w:space="0"/>
              <w:left w:val="single" w:color="auto" w:sz="6" w:space="0"/>
              <w:bottom w:val="single" w:color="auto" w:sz="12" w:space="0"/>
              <w:right w:val="single" w:color="auto" w:sz="6" w:space="0"/>
            </w:tcBorders>
            <w:shd w:val="clear" w:color="auto" w:fill="auto"/>
          </w:tcPr>
          <w:p w14:paraId="03484B44">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12" w:space="0"/>
              <w:right w:val="single" w:color="auto" w:sz="6" w:space="0"/>
            </w:tcBorders>
            <w:shd w:val="clear" w:color="auto" w:fill="auto"/>
          </w:tcPr>
          <w:p w14:paraId="62FA1910">
            <w:pPr>
              <w:shd w:val="clear"/>
              <w:jc w:val="both"/>
              <w:rPr>
                <w:rFonts w:ascii="Times New Roman" w:hAnsi="Times New Roman" w:eastAsia="仿宋_GB2312" w:cs="Times New Roman"/>
                <w:color w:val="auto"/>
                <w:kern w:val="0"/>
                <w:sz w:val="30"/>
                <w:szCs w:val="30"/>
                <w:highlight w:val="none"/>
                <w:lang w:eastAsia="en-US" w:bidi="en-US"/>
              </w:rPr>
            </w:pPr>
          </w:p>
        </w:tc>
        <w:tc>
          <w:tcPr>
            <w:tcW w:w="1243" w:type="dxa"/>
            <w:tcBorders>
              <w:top w:val="single" w:color="auto" w:sz="6" w:space="0"/>
              <w:left w:val="single" w:color="auto" w:sz="6" w:space="0"/>
              <w:bottom w:val="single" w:color="auto" w:sz="12" w:space="0"/>
              <w:right w:val="single" w:color="auto" w:sz="6" w:space="0"/>
            </w:tcBorders>
            <w:shd w:val="clear" w:color="auto" w:fill="auto"/>
          </w:tcPr>
          <w:p w14:paraId="573BDFED">
            <w:pPr>
              <w:shd w:val="clear"/>
              <w:jc w:val="both"/>
              <w:rPr>
                <w:rFonts w:ascii="Times New Roman" w:hAnsi="Times New Roman" w:eastAsia="仿宋_GB2312" w:cs="Times New Roman"/>
                <w:color w:val="auto"/>
                <w:kern w:val="0"/>
                <w:sz w:val="30"/>
                <w:szCs w:val="30"/>
                <w:highlight w:val="none"/>
                <w:lang w:eastAsia="en-US" w:bidi="en-US"/>
              </w:rPr>
            </w:pPr>
          </w:p>
        </w:tc>
        <w:tc>
          <w:tcPr>
            <w:tcW w:w="1450" w:type="dxa"/>
            <w:tcBorders>
              <w:top w:val="single" w:color="auto" w:sz="6" w:space="0"/>
              <w:left w:val="single" w:color="auto" w:sz="6" w:space="0"/>
              <w:bottom w:val="single" w:color="auto" w:sz="12" w:space="0"/>
              <w:right w:val="single" w:color="auto" w:sz="6" w:space="0"/>
            </w:tcBorders>
            <w:shd w:val="clear" w:color="auto" w:fill="auto"/>
          </w:tcPr>
          <w:p w14:paraId="57DC84D9">
            <w:pPr>
              <w:shd w:val="clear"/>
              <w:jc w:val="both"/>
              <w:rPr>
                <w:rFonts w:ascii="Times New Roman" w:hAnsi="Times New Roman" w:eastAsia="仿宋_GB2312" w:cs="Times New Roman"/>
                <w:color w:val="auto"/>
                <w:kern w:val="0"/>
                <w:sz w:val="30"/>
                <w:szCs w:val="30"/>
                <w:highlight w:val="none"/>
                <w:lang w:eastAsia="en-US" w:bidi="en-US"/>
              </w:rPr>
            </w:pPr>
          </w:p>
        </w:tc>
        <w:tc>
          <w:tcPr>
            <w:tcW w:w="1667" w:type="dxa"/>
            <w:tcBorders>
              <w:top w:val="single" w:color="auto" w:sz="6" w:space="0"/>
              <w:left w:val="single" w:color="auto" w:sz="6" w:space="0"/>
              <w:bottom w:val="single" w:color="auto" w:sz="12" w:space="0"/>
              <w:right w:val="single" w:color="auto" w:sz="12" w:space="0"/>
            </w:tcBorders>
            <w:shd w:val="clear" w:color="auto" w:fill="auto"/>
          </w:tcPr>
          <w:p w14:paraId="1704B5AD">
            <w:pPr>
              <w:shd w:val="clear"/>
              <w:jc w:val="both"/>
              <w:rPr>
                <w:rFonts w:ascii="Times New Roman" w:hAnsi="Times New Roman" w:eastAsia="仿宋_GB2312" w:cs="Times New Roman"/>
                <w:color w:val="auto"/>
                <w:kern w:val="0"/>
                <w:sz w:val="30"/>
                <w:szCs w:val="30"/>
                <w:highlight w:val="none"/>
                <w:lang w:eastAsia="en-US" w:bidi="en-US"/>
              </w:rPr>
            </w:pPr>
          </w:p>
        </w:tc>
      </w:tr>
    </w:tbl>
    <w:p w14:paraId="2C8D5B4A">
      <w:pPr>
        <w:shd w:val="clear"/>
        <w:spacing w:line="440" w:lineRule="exact"/>
        <w:jc w:val="both"/>
        <w:rPr>
          <w:rFonts w:ascii="Times New Roman" w:hAnsi="Times New Roman" w:eastAsia="仿宋_GB2312" w:cs="Times New Roman"/>
          <w:color w:val="auto"/>
          <w:kern w:val="0"/>
          <w:sz w:val="30"/>
          <w:szCs w:val="30"/>
          <w:highlight w:val="none"/>
          <w:lang w:eastAsia="en-US" w:bidi="en-US"/>
        </w:rPr>
      </w:pPr>
    </w:p>
    <w:p w14:paraId="4E7AF405">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ascii="Times New Roman" w:hAnsi="Times New Roman" w:eastAsia="仿宋_GB2312" w:cs="Times New Roman"/>
          <w:color w:val="auto"/>
          <w:kern w:val="2"/>
          <w:sz w:val="30"/>
          <w:szCs w:val="30"/>
          <w:highlight w:val="none"/>
          <w:lang w:eastAsia="zh-CN" w:bidi="ar"/>
        </w:rPr>
        <w:br w:type="page"/>
      </w:r>
      <w:r>
        <w:rPr>
          <w:rFonts w:hint="eastAsia" w:ascii="Times New Roman" w:hAnsi="Times New Roman" w:eastAsia="仿宋_GB2312" w:cs="仿宋_GB2312"/>
          <w:color w:val="auto"/>
          <w:kern w:val="2"/>
          <w:sz w:val="30"/>
          <w:szCs w:val="30"/>
          <w:highlight w:val="none"/>
          <w:lang w:eastAsia="zh-CN" w:bidi="ar"/>
        </w:rPr>
        <w:t>附</w:t>
      </w:r>
      <w:bookmarkStart w:id="1288" w:name="_Toc296346728"/>
      <w:bookmarkStart w:id="1289" w:name="_Toc296944566"/>
      <w:bookmarkStart w:id="1290" w:name="_Toc296891267"/>
      <w:bookmarkStart w:id="1291" w:name="_Toc296347226"/>
      <w:bookmarkStart w:id="1292" w:name="_Toc296503227"/>
      <w:bookmarkStart w:id="1293" w:name="_Toc267261698"/>
      <w:bookmarkStart w:id="1294" w:name="_Toc296891055"/>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5</w:t>
      </w:r>
      <w:r>
        <w:rPr>
          <w:rFonts w:hint="eastAsia" w:ascii="Times New Roman" w:hAnsi="Times New Roman" w:eastAsia="仿宋_GB2312" w:cs="仿宋_GB2312"/>
          <w:color w:val="auto"/>
          <w:kern w:val="2"/>
          <w:sz w:val="30"/>
          <w:szCs w:val="30"/>
          <w:highlight w:val="none"/>
          <w:lang w:eastAsia="zh-CN" w:bidi="ar"/>
        </w:rPr>
        <w:t>：</w:t>
      </w:r>
    </w:p>
    <w:bookmarkEnd w:id="1288"/>
    <w:bookmarkEnd w:id="1289"/>
    <w:bookmarkEnd w:id="1290"/>
    <w:bookmarkEnd w:id="1291"/>
    <w:bookmarkEnd w:id="1292"/>
    <w:bookmarkEnd w:id="1293"/>
    <w:bookmarkEnd w:id="1294"/>
    <w:p w14:paraId="28CED0BB">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295" w:name="_Toc25622"/>
      <w:bookmarkStart w:id="1296" w:name="_Toc163768482"/>
      <w:bookmarkStart w:id="1297" w:name="_Toc163768600"/>
      <w:r>
        <w:rPr>
          <w:rFonts w:hint="eastAsia" w:ascii="Times New Roman" w:hAnsi="Times New Roman" w:eastAsia="黑体" w:cs="黑体"/>
          <w:b/>
          <w:color w:val="auto"/>
          <w:sz w:val="30"/>
          <w:szCs w:val="30"/>
          <w:highlight w:val="none"/>
          <w:lang w:val="en-US" w:eastAsia="zh-CN" w:bidi="en-US"/>
        </w:rPr>
        <w:t>承包人用于本工程施工的机械设备表</w:t>
      </w:r>
      <w:bookmarkEnd w:id="1295"/>
      <w:bookmarkEnd w:id="1296"/>
      <w:bookmarkEnd w:id="1297"/>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073DA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left w:val="single" w:color="auto" w:sz="12" w:space="0"/>
              <w:bottom w:val="double" w:color="auto" w:sz="6" w:space="0"/>
              <w:right w:val="single" w:color="auto" w:sz="6" w:space="0"/>
            </w:tcBorders>
            <w:shd w:val="clear" w:color="auto" w:fill="auto"/>
            <w:vAlign w:val="center"/>
          </w:tcPr>
          <w:p w14:paraId="549BE69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序号</w:t>
            </w:r>
          </w:p>
        </w:tc>
        <w:tc>
          <w:tcPr>
            <w:tcW w:w="1418" w:type="dxa"/>
            <w:tcBorders>
              <w:top w:val="single" w:color="auto" w:sz="12" w:space="0"/>
              <w:left w:val="single" w:color="auto" w:sz="6" w:space="0"/>
              <w:bottom w:val="double" w:color="auto" w:sz="6" w:space="0"/>
              <w:right w:val="single" w:color="auto" w:sz="6" w:space="0"/>
            </w:tcBorders>
            <w:shd w:val="clear" w:color="auto" w:fill="auto"/>
            <w:vAlign w:val="center"/>
          </w:tcPr>
          <w:p w14:paraId="23E86E6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机械或设备名称</w:t>
            </w:r>
          </w:p>
        </w:tc>
        <w:tc>
          <w:tcPr>
            <w:tcW w:w="850" w:type="dxa"/>
            <w:tcBorders>
              <w:top w:val="single" w:color="auto" w:sz="12" w:space="0"/>
              <w:left w:val="single" w:color="auto" w:sz="6" w:space="0"/>
              <w:bottom w:val="double" w:color="auto" w:sz="6" w:space="0"/>
              <w:right w:val="single" w:color="auto" w:sz="6" w:space="0"/>
            </w:tcBorders>
            <w:shd w:val="clear" w:color="auto" w:fill="auto"/>
            <w:vAlign w:val="center"/>
          </w:tcPr>
          <w:p w14:paraId="2625D4C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规格型号</w:t>
            </w:r>
          </w:p>
        </w:tc>
        <w:tc>
          <w:tcPr>
            <w:tcW w:w="1058" w:type="dxa"/>
            <w:tcBorders>
              <w:top w:val="single" w:color="auto" w:sz="12" w:space="0"/>
              <w:left w:val="single" w:color="auto" w:sz="6" w:space="0"/>
              <w:bottom w:val="double" w:color="auto" w:sz="6" w:space="0"/>
              <w:right w:val="single" w:color="auto" w:sz="6" w:space="0"/>
            </w:tcBorders>
            <w:shd w:val="clear" w:color="auto" w:fill="auto"/>
            <w:vAlign w:val="center"/>
          </w:tcPr>
          <w:p w14:paraId="77DADC1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数量</w:t>
            </w:r>
          </w:p>
        </w:tc>
        <w:tc>
          <w:tcPr>
            <w:tcW w:w="880" w:type="dxa"/>
            <w:tcBorders>
              <w:top w:val="single" w:color="auto" w:sz="12" w:space="0"/>
              <w:left w:val="single" w:color="auto" w:sz="6" w:space="0"/>
              <w:bottom w:val="double" w:color="auto" w:sz="6" w:space="0"/>
              <w:right w:val="single" w:color="auto" w:sz="6" w:space="0"/>
            </w:tcBorders>
            <w:shd w:val="clear" w:color="auto" w:fill="auto"/>
            <w:vAlign w:val="center"/>
          </w:tcPr>
          <w:p w14:paraId="45BDC2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产地</w:t>
            </w:r>
          </w:p>
        </w:tc>
        <w:tc>
          <w:tcPr>
            <w:tcW w:w="1020" w:type="dxa"/>
            <w:tcBorders>
              <w:top w:val="single" w:color="auto" w:sz="12" w:space="0"/>
              <w:left w:val="single" w:color="auto" w:sz="6" w:space="0"/>
              <w:bottom w:val="double" w:color="auto" w:sz="6" w:space="0"/>
              <w:right w:val="single" w:color="auto" w:sz="6" w:space="0"/>
            </w:tcBorders>
            <w:shd w:val="clear" w:color="auto" w:fill="auto"/>
            <w:vAlign w:val="center"/>
          </w:tcPr>
          <w:p w14:paraId="2B4EEB6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制造年份</w:t>
            </w:r>
          </w:p>
        </w:tc>
        <w:tc>
          <w:tcPr>
            <w:tcW w:w="1480" w:type="dxa"/>
            <w:tcBorders>
              <w:top w:val="single" w:color="auto" w:sz="12" w:space="0"/>
              <w:left w:val="single" w:color="auto" w:sz="6" w:space="0"/>
              <w:bottom w:val="double" w:color="auto" w:sz="6" w:space="0"/>
              <w:right w:val="single" w:color="auto" w:sz="6" w:space="0"/>
            </w:tcBorders>
            <w:shd w:val="clear" w:color="auto" w:fill="auto"/>
            <w:vAlign w:val="center"/>
          </w:tcPr>
          <w:p w14:paraId="43EBE4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额定功率</w:t>
            </w:r>
            <w:r>
              <w:rPr>
                <w:rFonts w:ascii="Times New Roman" w:hAnsi="Times New Roman" w:eastAsia="仿宋_GB2312" w:cs="Times New Roman"/>
                <w:color w:val="auto"/>
                <w:kern w:val="2"/>
                <w:sz w:val="28"/>
                <w:szCs w:val="30"/>
                <w:highlight w:val="none"/>
                <w:lang w:val="en-US" w:eastAsia="zh-CN" w:bidi="ar"/>
              </w:rPr>
              <w:t>(kW)</w:t>
            </w:r>
          </w:p>
        </w:tc>
        <w:tc>
          <w:tcPr>
            <w:tcW w:w="1020" w:type="dxa"/>
            <w:tcBorders>
              <w:top w:val="single" w:color="auto" w:sz="12" w:space="0"/>
              <w:left w:val="single" w:color="auto" w:sz="6" w:space="0"/>
              <w:bottom w:val="double" w:color="auto" w:sz="6" w:space="0"/>
              <w:right w:val="single" w:color="auto" w:sz="6" w:space="0"/>
            </w:tcBorders>
            <w:shd w:val="clear" w:color="auto" w:fill="auto"/>
            <w:vAlign w:val="center"/>
          </w:tcPr>
          <w:p w14:paraId="6BFD3C3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生产能力</w:t>
            </w:r>
          </w:p>
        </w:tc>
        <w:tc>
          <w:tcPr>
            <w:tcW w:w="921" w:type="dxa"/>
            <w:tcBorders>
              <w:top w:val="single" w:color="auto" w:sz="12" w:space="0"/>
              <w:left w:val="single" w:color="auto" w:sz="6" w:space="0"/>
              <w:bottom w:val="double" w:color="auto" w:sz="6" w:space="0"/>
              <w:right w:val="single" w:color="auto" w:sz="12" w:space="0"/>
            </w:tcBorders>
            <w:shd w:val="clear" w:color="auto" w:fill="auto"/>
            <w:vAlign w:val="center"/>
          </w:tcPr>
          <w:p w14:paraId="1764227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备注</w:t>
            </w:r>
          </w:p>
        </w:tc>
      </w:tr>
      <w:tr w14:paraId="0A947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shd w:val="clear" w:color="auto" w:fill="auto"/>
            <w:vAlign w:val="center"/>
          </w:tcPr>
          <w:p w14:paraId="05C145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double" w:color="auto" w:sz="6" w:space="0"/>
              <w:left w:val="single" w:color="auto" w:sz="6" w:space="0"/>
              <w:bottom w:val="single" w:color="auto" w:sz="6" w:space="0"/>
              <w:right w:val="single" w:color="auto" w:sz="6" w:space="0"/>
            </w:tcBorders>
            <w:shd w:val="clear" w:color="auto" w:fill="auto"/>
            <w:vAlign w:val="center"/>
          </w:tcPr>
          <w:p w14:paraId="1CC9A85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double" w:color="auto" w:sz="6" w:space="0"/>
              <w:left w:val="single" w:color="auto" w:sz="6" w:space="0"/>
              <w:bottom w:val="single" w:color="auto" w:sz="6" w:space="0"/>
              <w:right w:val="single" w:color="auto" w:sz="6" w:space="0"/>
            </w:tcBorders>
            <w:shd w:val="clear" w:color="auto" w:fill="auto"/>
            <w:vAlign w:val="center"/>
          </w:tcPr>
          <w:p w14:paraId="23863B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double" w:color="auto" w:sz="6" w:space="0"/>
              <w:left w:val="single" w:color="auto" w:sz="6" w:space="0"/>
              <w:bottom w:val="single" w:color="auto" w:sz="6" w:space="0"/>
              <w:right w:val="single" w:color="auto" w:sz="6" w:space="0"/>
            </w:tcBorders>
            <w:shd w:val="clear" w:color="auto" w:fill="auto"/>
            <w:vAlign w:val="center"/>
          </w:tcPr>
          <w:p w14:paraId="05CEB8E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double" w:color="auto" w:sz="6" w:space="0"/>
              <w:left w:val="single" w:color="auto" w:sz="6" w:space="0"/>
              <w:bottom w:val="single" w:color="auto" w:sz="6" w:space="0"/>
              <w:right w:val="single" w:color="auto" w:sz="6" w:space="0"/>
            </w:tcBorders>
            <w:shd w:val="clear" w:color="auto" w:fill="auto"/>
            <w:vAlign w:val="center"/>
          </w:tcPr>
          <w:p w14:paraId="2E390E1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double" w:color="auto" w:sz="6" w:space="0"/>
              <w:left w:val="single" w:color="auto" w:sz="6" w:space="0"/>
              <w:bottom w:val="single" w:color="auto" w:sz="6" w:space="0"/>
              <w:right w:val="single" w:color="auto" w:sz="6" w:space="0"/>
            </w:tcBorders>
            <w:shd w:val="clear" w:color="auto" w:fill="auto"/>
            <w:vAlign w:val="center"/>
          </w:tcPr>
          <w:p w14:paraId="5E5DB9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double" w:color="auto" w:sz="6" w:space="0"/>
              <w:left w:val="single" w:color="auto" w:sz="6" w:space="0"/>
              <w:bottom w:val="single" w:color="auto" w:sz="6" w:space="0"/>
              <w:right w:val="single" w:color="auto" w:sz="6" w:space="0"/>
            </w:tcBorders>
            <w:shd w:val="clear" w:color="auto" w:fill="auto"/>
            <w:vAlign w:val="center"/>
          </w:tcPr>
          <w:p w14:paraId="297639A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double" w:color="auto" w:sz="6" w:space="0"/>
              <w:left w:val="single" w:color="auto" w:sz="6" w:space="0"/>
              <w:bottom w:val="single" w:color="auto" w:sz="6" w:space="0"/>
              <w:right w:val="single" w:color="auto" w:sz="6" w:space="0"/>
            </w:tcBorders>
            <w:shd w:val="clear" w:color="auto" w:fill="auto"/>
            <w:vAlign w:val="center"/>
          </w:tcPr>
          <w:p w14:paraId="79ED6F5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double" w:color="auto" w:sz="6" w:space="0"/>
              <w:left w:val="single" w:color="auto" w:sz="6" w:space="0"/>
              <w:bottom w:val="single" w:color="auto" w:sz="6" w:space="0"/>
              <w:right w:val="single" w:color="auto" w:sz="12" w:space="0"/>
            </w:tcBorders>
            <w:shd w:val="clear" w:color="auto" w:fill="auto"/>
            <w:vAlign w:val="center"/>
          </w:tcPr>
          <w:p w14:paraId="0F7583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861E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left w:val="single" w:color="auto" w:sz="12" w:space="0"/>
              <w:bottom w:val="single" w:color="auto" w:sz="6" w:space="0"/>
              <w:right w:val="single" w:color="auto" w:sz="6" w:space="0"/>
            </w:tcBorders>
            <w:shd w:val="clear" w:color="auto" w:fill="auto"/>
            <w:vAlign w:val="center"/>
          </w:tcPr>
          <w:p w14:paraId="739B50A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nil"/>
              <w:left w:val="single" w:color="auto" w:sz="6" w:space="0"/>
              <w:bottom w:val="single" w:color="auto" w:sz="6" w:space="0"/>
              <w:right w:val="single" w:color="auto" w:sz="6" w:space="0"/>
            </w:tcBorders>
            <w:shd w:val="clear" w:color="auto" w:fill="auto"/>
            <w:vAlign w:val="center"/>
          </w:tcPr>
          <w:p w14:paraId="05B0BFE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nil"/>
              <w:left w:val="single" w:color="auto" w:sz="6" w:space="0"/>
              <w:bottom w:val="single" w:color="auto" w:sz="6" w:space="0"/>
              <w:right w:val="single" w:color="auto" w:sz="6" w:space="0"/>
            </w:tcBorders>
            <w:shd w:val="clear" w:color="auto" w:fill="auto"/>
            <w:vAlign w:val="center"/>
          </w:tcPr>
          <w:p w14:paraId="18D9D72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nil"/>
              <w:left w:val="single" w:color="auto" w:sz="6" w:space="0"/>
              <w:bottom w:val="single" w:color="auto" w:sz="6" w:space="0"/>
              <w:right w:val="single" w:color="auto" w:sz="6" w:space="0"/>
            </w:tcBorders>
            <w:shd w:val="clear" w:color="auto" w:fill="auto"/>
            <w:vAlign w:val="center"/>
          </w:tcPr>
          <w:p w14:paraId="23F02B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nil"/>
              <w:left w:val="single" w:color="auto" w:sz="6" w:space="0"/>
              <w:bottom w:val="single" w:color="auto" w:sz="6" w:space="0"/>
              <w:right w:val="single" w:color="auto" w:sz="6" w:space="0"/>
            </w:tcBorders>
            <w:shd w:val="clear" w:color="auto" w:fill="auto"/>
            <w:vAlign w:val="center"/>
          </w:tcPr>
          <w:p w14:paraId="120812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nil"/>
              <w:left w:val="single" w:color="auto" w:sz="6" w:space="0"/>
              <w:bottom w:val="single" w:color="auto" w:sz="6" w:space="0"/>
              <w:right w:val="single" w:color="auto" w:sz="6" w:space="0"/>
            </w:tcBorders>
            <w:shd w:val="clear" w:color="auto" w:fill="auto"/>
            <w:vAlign w:val="center"/>
          </w:tcPr>
          <w:p w14:paraId="156B594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nil"/>
              <w:left w:val="single" w:color="auto" w:sz="6" w:space="0"/>
              <w:bottom w:val="single" w:color="auto" w:sz="6" w:space="0"/>
              <w:right w:val="single" w:color="auto" w:sz="6" w:space="0"/>
            </w:tcBorders>
            <w:shd w:val="clear" w:color="auto" w:fill="auto"/>
            <w:vAlign w:val="center"/>
          </w:tcPr>
          <w:p w14:paraId="396975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nil"/>
              <w:left w:val="single" w:color="auto" w:sz="6" w:space="0"/>
              <w:bottom w:val="single" w:color="auto" w:sz="6" w:space="0"/>
              <w:right w:val="single" w:color="auto" w:sz="6" w:space="0"/>
            </w:tcBorders>
            <w:shd w:val="clear" w:color="auto" w:fill="auto"/>
            <w:vAlign w:val="center"/>
          </w:tcPr>
          <w:p w14:paraId="2A951DD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nil"/>
              <w:left w:val="single" w:color="auto" w:sz="6" w:space="0"/>
              <w:bottom w:val="single" w:color="auto" w:sz="6" w:space="0"/>
              <w:right w:val="single" w:color="auto" w:sz="12" w:space="0"/>
            </w:tcBorders>
            <w:shd w:val="clear" w:color="auto" w:fill="auto"/>
            <w:vAlign w:val="center"/>
          </w:tcPr>
          <w:p w14:paraId="463B311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FCE7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7A8E2C8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6F51EB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1E9D7AF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09A035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709B891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24EC389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1BED8A8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6BB59CA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7E2C080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43124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33331AF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991E7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7A53A2C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13E7B3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306B302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43E6E37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0FAF626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293EFE8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43FBE95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D4BD5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68E3625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9C34F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0AB9493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36EF7A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4E3C040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23F2F4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796D54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43696C6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7E086E5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AB3E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585DBA3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578C9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6B3AEDF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1A82CB1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0035D06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077B20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2E24A9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735AC0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77168B3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915E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31FDEFC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80A6D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041C9F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44D6363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4059DBD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39523EA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371582C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10ADA4D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6C1649E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D58C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6D11574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ACFBF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0A40B1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4ED79CD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0DDDE0A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15A1E12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6464E44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03FC904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14B368F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CCBD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67F49A25">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5B4858A4">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103D513C">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667A3330">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5DE945E4">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7B39861D">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479A39FC">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4A2492A9">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0DCC516A">
            <w:pPr>
              <w:shd w:val="clear"/>
              <w:jc w:val="both"/>
              <w:rPr>
                <w:rFonts w:ascii="Times New Roman" w:hAnsi="Times New Roman" w:eastAsia="仿宋_GB2312" w:cs="Times New Roman"/>
                <w:color w:val="auto"/>
                <w:kern w:val="0"/>
                <w:sz w:val="30"/>
                <w:szCs w:val="30"/>
                <w:highlight w:val="none"/>
                <w:lang w:eastAsia="en-US" w:bidi="en-US"/>
              </w:rPr>
            </w:pPr>
          </w:p>
        </w:tc>
      </w:tr>
      <w:tr w14:paraId="2EE58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vAlign w:val="center"/>
          </w:tcPr>
          <w:p w14:paraId="20A6BAB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36D1F14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vAlign w:val="center"/>
          </w:tcPr>
          <w:p w14:paraId="60CEC95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vAlign w:val="center"/>
          </w:tcPr>
          <w:p w14:paraId="64CD06E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14:paraId="68D2139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11A4AF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vAlign w:val="center"/>
          </w:tcPr>
          <w:p w14:paraId="4688805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vAlign w:val="center"/>
          </w:tcPr>
          <w:p w14:paraId="1DB94A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vAlign w:val="center"/>
          </w:tcPr>
          <w:p w14:paraId="285E742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33F4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2E12CB63">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3119CB9E">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58E30DD3">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36B47CEF">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2586C5C2">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645109C5">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2BB0A761">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0D2B76ED">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6F8CB68B">
            <w:pPr>
              <w:shd w:val="clear"/>
              <w:jc w:val="both"/>
              <w:rPr>
                <w:rFonts w:ascii="Times New Roman" w:hAnsi="Times New Roman" w:eastAsia="仿宋_GB2312" w:cs="Times New Roman"/>
                <w:color w:val="auto"/>
                <w:kern w:val="0"/>
                <w:sz w:val="30"/>
                <w:szCs w:val="30"/>
                <w:highlight w:val="none"/>
                <w:lang w:eastAsia="en-US" w:bidi="en-US"/>
              </w:rPr>
            </w:pPr>
          </w:p>
        </w:tc>
      </w:tr>
      <w:tr w14:paraId="04FAF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0A99FA37">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5CF15D0B">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355035ED">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2BD4193D">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51810FB7">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5885805D">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3E30AFB2">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2B47351F">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346594B4">
            <w:pPr>
              <w:shd w:val="clear"/>
              <w:jc w:val="both"/>
              <w:rPr>
                <w:rFonts w:ascii="Times New Roman" w:hAnsi="Times New Roman" w:eastAsia="仿宋_GB2312" w:cs="Times New Roman"/>
                <w:color w:val="auto"/>
                <w:kern w:val="0"/>
                <w:sz w:val="30"/>
                <w:szCs w:val="30"/>
                <w:highlight w:val="none"/>
                <w:lang w:eastAsia="en-US" w:bidi="en-US"/>
              </w:rPr>
            </w:pPr>
          </w:p>
        </w:tc>
      </w:tr>
      <w:tr w14:paraId="6AB7F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29555C8B">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07CC0476">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36969897">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43DC8A29">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4D256120">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247FF50D">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3D0A6A59">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54DCCEFE">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514BD5BA">
            <w:pPr>
              <w:shd w:val="clear"/>
              <w:jc w:val="both"/>
              <w:rPr>
                <w:rFonts w:ascii="Times New Roman" w:hAnsi="Times New Roman" w:eastAsia="仿宋_GB2312" w:cs="Times New Roman"/>
                <w:color w:val="auto"/>
                <w:kern w:val="0"/>
                <w:sz w:val="30"/>
                <w:szCs w:val="30"/>
                <w:highlight w:val="none"/>
                <w:lang w:eastAsia="en-US" w:bidi="en-US"/>
              </w:rPr>
            </w:pPr>
          </w:p>
        </w:tc>
      </w:tr>
      <w:tr w14:paraId="57010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25F0B2C8">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26600CD3">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0B6BC868">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5538A37D">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7F28956F">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0465AE89">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4350AD7F">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7F757D48">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67FDB93B">
            <w:pPr>
              <w:shd w:val="clear"/>
              <w:jc w:val="both"/>
              <w:rPr>
                <w:rFonts w:ascii="Times New Roman" w:hAnsi="Times New Roman" w:eastAsia="仿宋_GB2312" w:cs="Times New Roman"/>
                <w:color w:val="auto"/>
                <w:kern w:val="0"/>
                <w:sz w:val="30"/>
                <w:szCs w:val="30"/>
                <w:highlight w:val="none"/>
                <w:lang w:eastAsia="en-US" w:bidi="en-US"/>
              </w:rPr>
            </w:pPr>
          </w:p>
        </w:tc>
      </w:tr>
      <w:tr w14:paraId="24F94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660AC7C2">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098CAA97">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7C4022ED">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0A424070">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562F0A81">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07937B24">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42062D40">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63F632C7">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434AE4DC">
            <w:pPr>
              <w:shd w:val="clear"/>
              <w:jc w:val="both"/>
              <w:rPr>
                <w:rFonts w:ascii="Times New Roman" w:hAnsi="Times New Roman" w:eastAsia="仿宋_GB2312" w:cs="Times New Roman"/>
                <w:color w:val="auto"/>
                <w:kern w:val="0"/>
                <w:sz w:val="30"/>
                <w:szCs w:val="30"/>
                <w:highlight w:val="none"/>
                <w:lang w:eastAsia="en-US" w:bidi="en-US"/>
              </w:rPr>
            </w:pPr>
          </w:p>
        </w:tc>
      </w:tr>
      <w:tr w14:paraId="73406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4ACC280D">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39C29BD2">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07CE7E8E">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11FCAC39">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3A2D1240">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09B4CEF4">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149A60F7">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268AF182">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4B76160D">
            <w:pPr>
              <w:shd w:val="clear"/>
              <w:jc w:val="both"/>
              <w:rPr>
                <w:rFonts w:ascii="Times New Roman" w:hAnsi="Times New Roman" w:eastAsia="仿宋_GB2312" w:cs="Times New Roman"/>
                <w:color w:val="auto"/>
                <w:kern w:val="0"/>
                <w:sz w:val="30"/>
                <w:szCs w:val="30"/>
                <w:highlight w:val="none"/>
                <w:lang w:eastAsia="en-US" w:bidi="en-US"/>
              </w:rPr>
            </w:pPr>
          </w:p>
        </w:tc>
      </w:tr>
      <w:tr w14:paraId="1CBEA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23EEEA1C">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20C9A2D1">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3A8C3F66">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3611C970">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32D046C3">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4199E0A5">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0B8D09ED">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2480695D">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16125380">
            <w:pPr>
              <w:shd w:val="clear"/>
              <w:jc w:val="both"/>
              <w:rPr>
                <w:rFonts w:ascii="Times New Roman" w:hAnsi="Times New Roman" w:eastAsia="仿宋_GB2312" w:cs="Times New Roman"/>
                <w:color w:val="auto"/>
                <w:kern w:val="0"/>
                <w:sz w:val="30"/>
                <w:szCs w:val="30"/>
                <w:highlight w:val="none"/>
                <w:lang w:eastAsia="en-US" w:bidi="en-US"/>
              </w:rPr>
            </w:pPr>
          </w:p>
        </w:tc>
      </w:tr>
      <w:tr w14:paraId="2D863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shd w:val="clear" w:color="auto" w:fill="auto"/>
          </w:tcPr>
          <w:p w14:paraId="20D0450D">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tcPr>
          <w:p w14:paraId="579FF3B7">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6" w:space="0"/>
              <w:right w:val="single" w:color="auto" w:sz="6" w:space="0"/>
            </w:tcBorders>
            <w:shd w:val="clear" w:color="auto" w:fill="auto"/>
          </w:tcPr>
          <w:p w14:paraId="3734E526">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6" w:space="0"/>
              <w:right w:val="single" w:color="auto" w:sz="6" w:space="0"/>
            </w:tcBorders>
            <w:shd w:val="clear" w:color="auto" w:fill="auto"/>
          </w:tcPr>
          <w:p w14:paraId="2B61FB21">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6" w:space="0"/>
              <w:right w:val="single" w:color="auto" w:sz="6" w:space="0"/>
            </w:tcBorders>
            <w:shd w:val="clear" w:color="auto" w:fill="auto"/>
          </w:tcPr>
          <w:p w14:paraId="2C0D04EC">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662EB0C7">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6" w:space="0"/>
              <w:right w:val="single" w:color="auto" w:sz="6" w:space="0"/>
            </w:tcBorders>
            <w:shd w:val="clear" w:color="auto" w:fill="auto"/>
          </w:tcPr>
          <w:p w14:paraId="718D7D7E">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6" w:space="0"/>
              <w:right w:val="single" w:color="auto" w:sz="6" w:space="0"/>
            </w:tcBorders>
            <w:shd w:val="clear" w:color="auto" w:fill="auto"/>
          </w:tcPr>
          <w:p w14:paraId="194C7503">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6" w:space="0"/>
              <w:right w:val="single" w:color="auto" w:sz="12" w:space="0"/>
            </w:tcBorders>
            <w:shd w:val="clear" w:color="auto" w:fill="auto"/>
          </w:tcPr>
          <w:p w14:paraId="5B9B0350">
            <w:pPr>
              <w:shd w:val="clear"/>
              <w:jc w:val="both"/>
              <w:rPr>
                <w:rFonts w:ascii="Times New Roman" w:hAnsi="Times New Roman" w:eastAsia="仿宋_GB2312" w:cs="Times New Roman"/>
                <w:color w:val="auto"/>
                <w:kern w:val="0"/>
                <w:sz w:val="30"/>
                <w:szCs w:val="30"/>
                <w:highlight w:val="none"/>
                <w:lang w:eastAsia="en-US" w:bidi="en-US"/>
              </w:rPr>
            </w:pPr>
          </w:p>
        </w:tc>
      </w:tr>
      <w:tr w14:paraId="4036E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shd w:val="clear" w:color="auto" w:fill="auto"/>
          </w:tcPr>
          <w:p w14:paraId="44D45DED">
            <w:pPr>
              <w:shd w:val="clear"/>
              <w:jc w:val="both"/>
              <w:rPr>
                <w:rFonts w:ascii="Times New Roman" w:hAnsi="Times New Roman" w:eastAsia="仿宋_GB2312" w:cs="Times New Roman"/>
                <w:color w:val="auto"/>
                <w:kern w:val="0"/>
                <w:sz w:val="30"/>
                <w:szCs w:val="30"/>
                <w:highlight w:val="none"/>
                <w:lang w:eastAsia="en-US" w:bidi="en-US"/>
              </w:rPr>
            </w:pPr>
          </w:p>
        </w:tc>
        <w:tc>
          <w:tcPr>
            <w:tcW w:w="1418" w:type="dxa"/>
            <w:tcBorders>
              <w:top w:val="single" w:color="auto" w:sz="6" w:space="0"/>
              <w:left w:val="single" w:color="auto" w:sz="6" w:space="0"/>
              <w:bottom w:val="single" w:color="auto" w:sz="12" w:space="0"/>
              <w:right w:val="single" w:color="auto" w:sz="6" w:space="0"/>
            </w:tcBorders>
            <w:shd w:val="clear" w:color="auto" w:fill="auto"/>
          </w:tcPr>
          <w:p w14:paraId="1BA3E2A1">
            <w:pPr>
              <w:shd w:val="clear"/>
              <w:jc w:val="both"/>
              <w:rPr>
                <w:rFonts w:ascii="Times New Roman" w:hAnsi="Times New Roman" w:eastAsia="仿宋_GB2312" w:cs="Times New Roman"/>
                <w:color w:val="auto"/>
                <w:kern w:val="0"/>
                <w:sz w:val="30"/>
                <w:szCs w:val="30"/>
                <w:highlight w:val="none"/>
                <w:lang w:eastAsia="en-US" w:bidi="en-US"/>
              </w:rPr>
            </w:pPr>
          </w:p>
        </w:tc>
        <w:tc>
          <w:tcPr>
            <w:tcW w:w="850" w:type="dxa"/>
            <w:tcBorders>
              <w:top w:val="single" w:color="auto" w:sz="6" w:space="0"/>
              <w:left w:val="single" w:color="auto" w:sz="6" w:space="0"/>
              <w:bottom w:val="single" w:color="auto" w:sz="12" w:space="0"/>
              <w:right w:val="single" w:color="auto" w:sz="6" w:space="0"/>
            </w:tcBorders>
            <w:shd w:val="clear" w:color="auto" w:fill="auto"/>
          </w:tcPr>
          <w:p w14:paraId="6226ABEB">
            <w:pPr>
              <w:shd w:val="clear"/>
              <w:jc w:val="both"/>
              <w:rPr>
                <w:rFonts w:ascii="Times New Roman" w:hAnsi="Times New Roman" w:eastAsia="仿宋_GB2312" w:cs="Times New Roman"/>
                <w:color w:val="auto"/>
                <w:kern w:val="0"/>
                <w:sz w:val="30"/>
                <w:szCs w:val="30"/>
                <w:highlight w:val="none"/>
                <w:lang w:eastAsia="en-US" w:bidi="en-US"/>
              </w:rPr>
            </w:pPr>
          </w:p>
        </w:tc>
        <w:tc>
          <w:tcPr>
            <w:tcW w:w="1058" w:type="dxa"/>
            <w:tcBorders>
              <w:top w:val="single" w:color="auto" w:sz="6" w:space="0"/>
              <w:left w:val="single" w:color="auto" w:sz="6" w:space="0"/>
              <w:bottom w:val="single" w:color="auto" w:sz="12" w:space="0"/>
              <w:right w:val="single" w:color="auto" w:sz="6" w:space="0"/>
            </w:tcBorders>
            <w:shd w:val="clear" w:color="auto" w:fill="auto"/>
          </w:tcPr>
          <w:p w14:paraId="397ECC72">
            <w:pPr>
              <w:shd w:val="clear"/>
              <w:jc w:val="both"/>
              <w:rPr>
                <w:rFonts w:ascii="Times New Roman" w:hAnsi="Times New Roman" w:eastAsia="仿宋_GB2312" w:cs="Times New Roman"/>
                <w:color w:val="auto"/>
                <w:kern w:val="0"/>
                <w:sz w:val="30"/>
                <w:szCs w:val="30"/>
                <w:highlight w:val="none"/>
                <w:lang w:eastAsia="en-US" w:bidi="en-US"/>
              </w:rPr>
            </w:pPr>
          </w:p>
        </w:tc>
        <w:tc>
          <w:tcPr>
            <w:tcW w:w="880" w:type="dxa"/>
            <w:tcBorders>
              <w:top w:val="single" w:color="auto" w:sz="6" w:space="0"/>
              <w:left w:val="single" w:color="auto" w:sz="6" w:space="0"/>
              <w:bottom w:val="single" w:color="auto" w:sz="12" w:space="0"/>
              <w:right w:val="single" w:color="auto" w:sz="6" w:space="0"/>
            </w:tcBorders>
            <w:shd w:val="clear" w:color="auto" w:fill="auto"/>
          </w:tcPr>
          <w:p w14:paraId="1C8AC837">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12" w:space="0"/>
              <w:right w:val="single" w:color="auto" w:sz="6" w:space="0"/>
            </w:tcBorders>
            <w:shd w:val="clear" w:color="auto" w:fill="auto"/>
          </w:tcPr>
          <w:p w14:paraId="636F6604">
            <w:pPr>
              <w:shd w:val="clear"/>
              <w:jc w:val="both"/>
              <w:rPr>
                <w:rFonts w:ascii="Times New Roman" w:hAnsi="Times New Roman" w:eastAsia="仿宋_GB2312" w:cs="Times New Roman"/>
                <w:color w:val="auto"/>
                <w:kern w:val="0"/>
                <w:sz w:val="30"/>
                <w:szCs w:val="30"/>
                <w:highlight w:val="none"/>
                <w:lang w:eastAsia="en-US" w:bidi="en-US"/>
              </w:rPr>
            </w:pPr>
          </w:p>
        </w:tc>
        <w:tc>
          <w:tcPr>
            <w:tcW w:w="1480" w:type="dxa"/>
            <w:tcBorders>
              <w:top w:val="single" w:color="auto" w:sz="6" w:space="0"/>
              <w:left w:val="single" w:color="auto" w:sz="6" w:space="0"/>
              <w:bottom w:val="single" w:color="auto" w:sz="12" w:space="0"/>
              <w:right w:val="single" w:color="auto" w:sz="6" w:space="0"/>
            </w:tcBorders>
            <w:shd w:val="clear" w:color="auto" w:fill="auto"/>
          </w:tcPr>
          <w:p w14:paraId="0490597F">
            <w:pPr>
              <w:shd w:val="clear"/>
              <w:jc w:val="both"/>
              <w:rPr>
                <w:rFonts w:ascii="Times New Roman" w:hAnsi="Times New Roman" w:eastAsia="仿宋_GB2312" w:cs="Times New Roman"/>
                <w:color w:val="auto"/>
                <w:kern w:val="0"/>
                <w:sz w:val="30"/>
                <w:szCs w:val="30"/>
                <w:highlight w:val="none"/>
                <w:lang w:eastAsia="en-US" w:bidi="en-US"/>
              </w:rPr>
            </w:pPr>
          </w:p>
        </w:tc>
        <w:tc>
          <w:tcPr>
            <w:tcW w:w="1020" w:type="dxa"/>
            <w:tcBorders>
              <w:top w:val="single" w:color="auto" w:sz="6" w:space="0"/>
              <w:left w:val="single" w:color="auto" w:sz="6" w:space="0"/>
              <w:bottom w:val="single" w:color="auto" w:sz="12" w:space="0"/>
              <w:right w:val="single" w:color="auto" w:sz="6" w:space="0"/>
            </w:tcBorders>
            <w:shd w:val="clear" w:color="auto" w:fill="auto"/>
          </w:tcPr>
          <w:p w14:paraId="769E4738">
            <w:pPr>
              <w:shd w:val="clear"/>
              <w:jc w:val="both"/>
              <w:rPr>
                <w:rFonts w:ascii="Times New Roman" w:hAnsi="Times New Roman" w:eastAsia="仿宋_GB2312" w:cs="Times New Roman"/>
                <w:color w:val="auto"/>
                <w:kern w:val="0"/>
                <w:sz w:val="30"/>
                <w:szCs w:val="30"/>
                <w:highlight w:val="none"/>
                <w:lang w:eastAsia="en-US" w:bidi="en-US"/>
              </w:rPr>
            </w:pPr>
          </w:p>
        </w:tc>
        <w:tc>
          <w:tcPr>
            <w:tcW w:w="921" w:type="dxa"/>
            <w:tcBorders>
              <w:top w:val="single" w:color="auto" w:sz="6" w:space="0"/>
              <w:left w:val="single" w:color="auto" w:sz="6" w:space="0"/>
              <w:bottom w:val="single" w:color="auto" w:sz="12" w:space="0"/>
              <w:right w:val="single" w:color="auto" w:sz="12" w:space="0"/>
            </w:tcBorders>
            <w:shd w:val="clear" w:color="auto" w:fill="auto"/>
          </w:tcPr>
          <w:p w14:paraId="51F5858E">
            <w:pPr>
              <w:shd w:val="clear"/>
              <w:jc w:val="both"/>
              <w:rPr>
                <w:rFonts w:ascii="Times New Roman" w:hAnsi="Times New Roman" w:eastAsia="仿宋_GB2312" w:cs="Times New Roman"/>
                <w:color w:val="auto"/>
                <w:kern w:val="0"/>
                <w:sz w:val="30"/>
                <w:szCs w:val="30"/>
                <w:highlight w:val="none"/>
                <w:lang w:eastAsia="en-US" w:bidi="en-US"/>
              </w:rPr>
            </w:pPr>
          </w:p>
        </w:tc>
      </w:tr>
    </w:tbl>
    <w:p w14:paraId="2A136B7F">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hint="eastAsia" w:ascii="Times New Roman" w:hAnsi="Times New Roman" w:eastAsia="仿宋_GB2312" w:cs="仿宋_GB2312"/>
          <w:color w:val="auto"/>
          <w:kern w:val="2"/>
          <w:sz w:val="30"/>
          <w:szCs w:val="30"/>
          <w:highlight w:val="none"/>
          <w:lang w:eastAsia="zh-CN" w:bidi="ar"/>
        </w:rPr>
        <w:t>附</w:t>
      </w:r>
      <w:bookmarkStart w:id="1298" w:name="_Toc296503228"/>
      <w:bookmarkStart w:id="1299" w:name="_Toc267261699"/>
      <w:bookmarkStart w:id="1300" w:name="_Toc296891268"/>
      <w:bookmarkStart w:id="1301" w:name="_Toc296346729"/>
      <w:bookmarkStart w:id="1302" w:name="_Toc296944567"/>
      <w:bookmarkStart w:id="1303" w:name="_Toc296891056"/>
      <w:bookmarkStart w:id="1304" w:name="_Toc296347227"/>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6</w:t>
      </w:r>
      <w:r>
        <w:rPr>
          <w:rFonts w:hint="eastAsia" w:ascii="Times New Roman" w:hAnsi="Times New Roman" w:eastAsia="仿宋_GB2312" w:cs="仿宋_GB2312"/>
          <w:color w:val="auto"/>
          <w:kern w:val="2"/>
          <w:sz w:val="30"/>
          <w:szCs w:val="30"/>
          <w:highlight w:val="none"/>
          <w:lang w:eastAsia="zh-CN" w:bidi="ar"/>
        </w:rPr>
        <w:t>：</w:t>
      </w:r>
    </w:p>
    <w:bookmarkEnd w:id="1298"/>
    <w:bookmarkEnd w:id="1299"/>
    <w:bookmarkEnd w:id="1300"/>
    <w:bookmarkEnd w:id="1301"/>
    <w:bookmarkEnd w:id="1302"/>
    <w:bookmarkEnd w:id="1303"/>
    <w:bookmarkEnd w:id="1304"/>
    <w:p w14:paraId="03004E86">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305" w:name="_Toc14065"/>
      <w:bookmarkStart w:id="1306" w:name="_Toc163768601"/>
      <w:bookmarkStart w:id="1307" w:name="_Toc163768483"/>
      <w:r>
        <w:rPr>
          <w:rFonts w:hint="eastAsia" w:ascii="Times New Roman" w:hAnsi="Times New Roman" w:eastAsia="黑体" w:cs="黑体"/>
          <w:b/>
          <w:color w:val="auto"/>
          <w:sz w:val="30"/>
          <w:szCs w:val="30"/>
          <w:highlight w:val="none"/>
          <w:lang w:val="en-US" w:eastAsia="zh-CN" w:bidi="en-US"/>
        </w:rPr>
        <w:t>承包人主要施工管理人员表</w:t>
      </w:r>
      <w:bookmarkEnd w:id="1305"/>
      <w:bookmarkEnd w:id="1306"/>
      <w:bookmarkEnd w:id="1307"/>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5"/>
        <w:gridCol w:w="1135"/>
        <w:gridCol w:w="4252"/>
      </w:tblGrid>
      <w:tr w14:paraId="6623A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shd w:val="clear" w:color="auto" w:fill="auto"/>
            <w:vAlign w:val="center"/>
          </w:tcPr>
          <w:p w14:paraId="7B1EC71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名</w:t>
            </w:r>
            <w:r>
              <w:rPr>
                <w:rFonts w:ascii="Times New Roman" w:hAnsi="Times New Roman" w:eastAsia="仿宋_GB2312" w:cs="Times New Roman"/>
                <w:color w:val="auto"/>
                <w:kern w:val="2"/>
                <w:sz w:val="28"/>
                <w:szCs w:val="30"/>
                <w:highlight w:val="none"/>
                <w:lang w:val="en-US" w:eastAsia="zh-CN" w:bidi="ar"/>
              </w:rPr>
              <w:t xml:space="preserve">    </w:t>
            </w:r>
            <w:r>
              <w:rPr>
                <w:rFonts w:hint="eastAsia" w:ascii="Times New Roman" w:hAnsi="Times New Roman" w:eastAsia="仿宋_GB2312" w:cs="仿宋_GB2312"/>
                <w:color w:val="auto"/>
                <w:kern w:val="2"/>
                <w:sz w:val="28"/>
                <w:szCs w:val="30"/>
                <w:highlight w:val="none"/>
                <w:lang w:val="en-US" w:eastAsia="zh-CN" w:bidi="ar"/>
              </w:rPr>
              <w:t>称</w:t>
            </w:r>
          </w:p>
        </w:tc>
        <w:tc>
          <w:tcPr>
            <w:tcW w:w="1418" w:type="dxa"/>
            <w:tcBorders>
              <w:top w:val="single" w:color="auto" w:sz="12" w:space="0"/>
              <w:left w:val="single" w:color="auto" w:sz="6" w:space="0"/>
              <w:bottom w:val="double" w:color="auto" w:sz="6" w:space="0"/>
              <w:right w:val="single" w:color="auto" w:sz="6" w:space="0"/>
            </w:tcBorders>
            <w:shd w:val="clear" w:color="auto" w:fill="auto"/>
            <w:vAlign w:val="center"/>
          </w:tcPr>
          <w:p w14:paraId="75D4479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姓名</w:t>
            </w:r>
          </w:p>
        </w:tc>
        <w:tc>
          <w:tcPr>
            <w:tcW w:w="1135" w:type="dxa"/>
            <w:tcBorders>
              <w:top w:val="single" w:color="auto" w:sz="12" w:space="0"/>
              <w:left w:val="single" w:color="auto" w:sz="6" w:space="0"/>
              <w:bottom w:val="double" w:color="auto" w:sz="6" w:space="0"/>
              <w:right w:val="single" w:color="auto" w:sz="6" w:space="0"/>
            </w:tcBorders>
            <w:shd w:val="clear" w:color="auto" w:fill="auto"/>
            <w:vAlign w:val="center"/>
          </w:tcPr>
          <w:p w14:paraId="31E183B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r>
              <w:rPr>
                <w:rFonts w:hint="eastAsia" w:ascii="Times New Roman" w:hAnsi="Times New Roman" w:eastAsia="仿宋_GB2312" w:cs="仿宋_GB2312"/>
                <w:color w:val="auto"/>
                <w:kern w:val="2"/>
                <w:sz w:val="30"/>
                <w:szCs w:val="30"/>
                <w:highlight w:val="none"/>
                <w:lang w:val="en-US" w:eastAsia="zh-CN" w:bidi="ar"/>
              </w:rPr>
              <w:t>职务</w:t>
            </w:r>
          </w:p>
        </w:tc>
        <w:tc>
          <w:tcPr>
            <w:tcW w:w="1135" w:type="dxa"/>
            <w:tcBorders>
              <w:top w:val="single" w:color="auto" w:sz="12" w:space="0"/>
              <w:left w:val="single" w:color="auto" w:sz="6" w:space="0"/>
              <w:bottom w:val="double" w:color="auto" w:sz="6" w:space="0"/>
              <w:right w:val="single" w:color="auto" w:sz="6" w:space="0"/>
            </w:tcBorders>
            <w:shd w:val="clear" w:color="auto" w:fill="auto"/>
            <w:vAlign w:val="center"/>
          </w:tcPr>
          <w:p w14:paraId="2102E6F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r>
              <w:rPr>
                <w:rFonts w:hint="eastAsia" w:ascii="Times New Roman" w:hAnsi="Times New Roman" w:eastAsia="仿宋_GB2312" w:cs="仿宋_GB2312"/>
                <w:color w:val="auto"/>
                <w:kern w:val="2"/>
                <w:sz w:val="30"/>
                <w:szCs w:val="30"/>
                <w:highlight w:val="none"/>
                <w:lang w:val="en-US" w:eastAsia="zh-CN" w:bidi="ar"/>
              </w:rPr>
              <w:t>职称</w:t>
            </w:r>
          </w:p>
        </w:tc>
        <w:tc>
          <w:tcPr>
            <w:tcW w:w="4252" w:type="dxa"/>
            <w:tcBorders>
              <w:top w:val="single" w:color="auto" w:sz="12" w:space="0"/>
              <w:left w:val="single" w:color="auto" w:sz="6" w:space="0"/>
              <w:bottom w:val="double" w:color="auto" w:sz="6" w:space="0"/>
              <w:right w:val="single" w:color="auto" w:sz="12" w:space="0"/>
            </w:tcBorders>
            <w:shd w:val="clear" w:color="auto" w:fill="auto"/>
            <w:vAlign w:val="center"/>
          </w:tcPr>
          <w:p w14:paraId="4FEED12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zh-CN" w:bidi="en-US"/>
              </w:rPr>
            </w:pPr>
            <w:r>
              <w:rPr>
                <w:rFonts w:hint="eastAsia" w:ascii="Times New Roman" w:hAnsi="Times New Roman" w:eastAsia="仿宋_GB2312" w:cs="仿宋_GB2312"/>
                <w:color w:val="auto"/>
                <w:kern w:val="2"/>
                <w:sz w:val="30"/>
                <w:szCs w:val="30"/>
                <w:highlight w:val="none"/>
                <w:lang w:val="en-US" w:eastAsia="zh-CN" w:bidi="ar"/>
              </w:rPr>
              <w:t>主要资历、经验及承担过的项目</w:t>
            </w:r>
          </w:p>
        </w:tc>
      </w:tr>
      <w:tr w14:paraId="38F67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shd w:val="clear" w:color="auto" w:fill="auto"/>
            <w:vAlign w:val="center"/>
          </w:tcPr>
          <w:p w14:paraId="2B7E0E0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一、总部人员</w:t>
            </w:r>
          </w:p>
        </w:tc>
      </w:tr>
      <w:tr w14:paraId="048DE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19CA49A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项目主管</w:t>
            </w:r>
          </w:p>
        </w:tc>
        <w:tc>
          <w:tcPr>
            <w:tcW w:w="1418" w:type="dxa"/>
            <w:tcBorders>
              <w:top w:val="nil"/>
              <w:left w:val="single" w:color="auto" w:sz="6" w:space="0"/>
              <w:bottom w:val="single" w:color="auto" w:sz="6" w:space="0"/>
              <w:right w:val="single" w:color="auto" w:sz="6" w:space="0"/>
            </w:tcBorders>
            <w:shd w:val="clear" w:color="auto" w:fill="auto"/>
            <w:vAlign w:val="center"/>
          </w:tcPr>
          <w:p w14:paraId="149DA77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nil"/>
              <w:left w:val="single" w:color="auto" w:sz="6" w:space="0"/>
              <w:bottom w:val="single" w:color="auto" w:sz="6" w:space="0"/>
              <w:right w:val="single" w:color="auto" w:sz="6" w:space="0"/>
            </w:tcBorders>
            <w:shd w:val="clear" w:color="auto" w:fill="auto"/>
            <w:vAlign w:val="center"/>
          </w:tcPr>
          <w:p w14:paraId="6F0231D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nil"/>
              <w:left w:val="single" w:color="auto" w:sz="6" w:space="0"/>
              <w:bottom w:val="single" w:color="auto" w:sz="6" w:space="0"/>
              <w:right w:val="single" w:color="auto" w:sz="6" w:space="0"/>
            </w:tcBorders>
            <w:shd w:val="clear" w:color="auto" w:fill="auto"/>
            <w:vAlign w:val="center"/>
          </w:tcPr>
          <w:p w14:paraId="79AD83C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nil"/>
              <w:left w:val="single" w:color="auto" w:sz="6" w:space="0"/>
              <w:bottom w:val="single" w:color="auto" w:sz="6" w:space="0"/>
              <w:right w:val="single" w:color="auto" w:sz="12" w:space="0"/>
            </w:tcBorders>
            <w:shd w:val="clear" w:color="auto" w:fill="auto"/>
            <w:vAlign w:val="center"/>
          </w:tcPr>
          <w:p w14:paraId="0A7D8A9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5B9F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nil"/>
              <w:right w:val="single" w:color="auto" w:sz="6" w:space="0"/>
            </w:tcBorders>
            <w:shd w:val="clear" w:color="auto" w:fill="auto"/>
            <w:vAlign w:val="center"/>
          </w:tcPr>
          <w:p w14:paraId="3E40F8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897659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0BE6AC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2774C2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38CAFFC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2CDA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31CCEA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其他人员</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535284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91E4A5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B19D26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871335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B820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0B6AA9A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E3380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F227BC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543CB0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8726A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342E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shd w:val="clear" w:color="auto" w:fill="auto"/>
            <w:vAlign w:val="center"/>
          </w:tcPr>
          <w:p w14:paraId="5DC9892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二、现场人员</w:t>
            </w:r>
          </w:p>
        </w:tc>
      </w:tr>
      <w:tr w14:paraId="34EE7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31EEAD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项目经理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10464E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A88CEC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E11313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42B3C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3608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5812A8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项目副经理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43819A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9F5DC8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028D5B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6D9D7F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0A1D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6286C1C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技术负责人</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2B929D8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A041BB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DA4D93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5C04AEB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11E0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22B05CF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造价管理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B6AE9D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77386E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F5EA48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25498B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7549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77832DB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质量管理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38BF621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6D0865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B5B1E6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20F8A6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B204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3614A2C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材料管理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30C1BF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058BDB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FAF59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24C89A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BF3A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5F2615B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计划管理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D1F359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6791DA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054D7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106ADD8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4EC4D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03D4F6B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安全管理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2C69059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6D678E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8FC37C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73D0A4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9913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shd w:val="clear" w:color="auto" w:fill="auto"/>
            <w:vAlign w:val="center"/>
          </w:tcPr>
          <w:p w14:paraId="79C2D5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其他人员</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F5E019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05179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E9D08E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76F6590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A2C0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6DA731BF">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nil"/>
              <w:right w:val="single" w:color="auto" w:sz="6" w:space="0"/>
            </w:tcBorders>
            <w:shd w:val="clear" w:color="auto" w:fill="auto"/>
            <w:vAlign w:val="center"/>
          </w:tcPr>
          <w:p w14:paraId="1FCC050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nil"/>
              <w:right w:val="single" w:color="auto" w:sz="6" w:space="0"/>
            </w:tcBorders>
            <w:shd w:val="clear" w:color="auto" w:fill="auto"/>
            <w:vAlign w:val="center"/>
          </w:tcPr>
          <w:p w14:paraId="69F9843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nil"/>
              <w:right w:val="single" w:color="auto" w:sz="6" w:space="0"/>
            </w:tcBorders>
            <w:shd w:val="clear" w:color="auto" w:fill="auto"/>
            <w:vAlign w:val="center"/>
          </w:tcPr>
          <w:p w14:paraId="52B4E7D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nil"/>
              <w:right w:val="single" w:color="auto" w:sz="12" w:space="0"/>
            </w:tcBorders>
            <w:shd w:val="clear" w:color="auto" w:fill="auto"/>
            <w:vAlign w:val="center"/>
          </w:tcPr>
          <w:p w14:paraId="760533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F9DF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0BBCF5C1">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A955BD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79461E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E1221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3E1008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4DDC8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31018299">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E3CA98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5A797C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F64CF5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7F4FAA9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A34B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10AE3256">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64C7BAF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98DBC1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56DDD00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9B8A0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A0E1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20EAD987">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12" w:space="0"/>
              <w:right w:val="single" w:color="auto" w:sz="6" w:space="0"/>
            </w:tcBorders>
            <w:shd w:val="clear" w:color="auto" w:fill="auto"/>
            <w:vAlign w:val="center"/>
          </w:tcPr>
          <w:p w14:paraId="10CA012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512E8ED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423AC32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12" w:space="0"/>
              <w:right w:val="single" w:color="auto" w:sz="12" w:space="0"/>
            </w:tcBorders>
            <w:shd w:val="clear" w:color="auto" w:fill="auto"/>
            <w:vAlign w:val="center"/>
          </w:tcPr>
          <w:p w14:paraId="303366A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bl>
    <w:p w14:paraId="696D3CA5">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ascii="Times New Roman" w:hAnsi="Times New Roman" w:eastAsia="仿宋_GB2312" w:cs="Times New Roman"/>
          <w:color w:val="auto"/>
          <w:kern w:val="2"/>
          <w:sz w:val="30"/>
          <w:szCs w:val="30"/>
          <w:highlight w:val="none"/>
          <w:lang w:eastAsia="zh-CN" w:bidi="ar"/>
        </w:rPr>
        <w:br w:type="page"/>
      </w:r>
      <w:r>
        <w:rPr>
          <w:rFonts w:hint="eastAsia" w:ascii="Times New Roman" w:hAnsi="Times New Roman" w:eastAsia="仿宋_GB2312" w:cs="仿宋_GB2312"/>
          <w:color w:val="auto"/>
          <w:kern w:val="2"/>
          <w:sz w:val="30"/>
          <w:szCs w:val="30"/>
          <w:highlight w:val="none"/>
          <w:lang w:eastAsia="zh-CN" w:bidi="ar"/>
        </w:rPr>
        <w:t>附</w:t>
      </w:r>
      <w:bookmarkStart w:id="1308" w:name="_Toc296347228"/>
      <w:bookmarkStart w:id="1309" w:name="_Toc296503229"/>
      <w:bookmarkStart w:id="1310" w:name="_Toc296346730"/>
      <w:bookmarkStart w:id="1311" w:name="_Toc296891269"/>
      <w:bookmarkStart w:id="1312" w:name="_Toc296891057"/>
      <w:bookmarkStart w:id="1313" w:name="_Toc296944568"/>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7</w:t>
      </w:r>
      <w:r>
        <w:rPr>
          <w:rFonts w:hint="eastAsia" w:ascii="Times New Roman" w:hAnsi="Times New Roman" w:eastAsia="仿宋_GB2312" w:cs="仿宋_GB2312"/>
          <w:color w:val="auto"/>
          <w:kern w:val="2"/>
          <w:sz w:val="30"/>
          <w:szCs w:val="30"/>
          <w:highlight w:val="none"/>
          <w:lang w:eastAsia="zh-CN" w:bidi="ar"/>
        </w:rPr>
        <w:t>：</w:t>
      </w:r>
    </w:p>
    <w:bookmarkEnd w:id="1308"/>
    <w:bookmarkEnd w:id="1309"/>
    <w:bookmarkEnd w:id="1310"/>
    <w:bookmarkEnd w:id="1311"/>
    <w:bookmarkEnd w:id="1312"/>
    <w:bookmarkEnd w:id="1313"/>
    <w:p w14:paraId="7DFEA2E4">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314" w:name="_Toc12922"/>
      <w:bookmarkStart w:id="1315" w:name="_Toc163768602"/>
      <w:bookmarkStart w:id="1316" w:name="_Toc163768484"/>
      <w:r>
        <w:rPr>
          <w:rFonts w:hint="eastAsia" w:ascii="Times New Roman" w:hAnsi="Times New Roman" w:eastAsia="黑体" w:cs="黑体"/>
          <w:b/>
          <w:color w:val="auto"/>
          <w:sz w:val="30"/>
          <w:szCs w:val="30"/>
          <w:highlight w:val="none"/>
          <w:lang w:val="en-US" w:eastAsia="zh-CN" w:bidi="en-US"/>
        </w:rPr>
        <w:t>分包人主要施工管理人员表</w:t>
      </w:r>
      <w:bookmarkEnd w:id="1314"/>
      <w:bookmarkEnd w:id="1315"/>
      <w:bookmarkEnd w:id="1316"/>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5"/>
        <w:gridCol w:w="1135"/>
        <w:gridCol w:w="4252"/>
      </w:tblGrid>
      <w:tr w14:paraId="4BBCD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shd w:val="clear" w:color="auto" w:fill="auto"/>
            <w:vAlign w:val="center"/>
          </w:tcPr>
          <w:p w14:paraId="0B9CA88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名</w:t>
            </w:r>
            <w:r>
              <w:rPr>
                <w:rFonts w:ascii="Times New Roman" w:hAnsi="Times New Roman" w:eastAsia="仿宋_GB2312" w:cs="Times New Roman"/>
                <w:color w:val="auto"/>
                <w:kern w:val="2"/>
                <w:sz w:val="28"/>
                <w:szCs w:val="30"/>
                <w:highlight w:val="none"/>
                <w:lang w:val="en-US" w:eastAsia="zh-CN" w:bidi="ar"/>
              </w:rPr>
              <w:t xml:space="preserve">    </w:t>
            </w:r>
            <w:r>
              <w:rPr>
                <w:rFonts w:hint="eastAsia" w:ascii="Times New Roman" w:hAnsi="Times New Roman" w:eastAsia="仿宋_GB2312" w:cs="仿宋_GB2312"/>
                <w:color w:val="auto"/>
                <w:kern w:val="2"/>
                <w:sz w:val="28"/>
                <w:szCs w:val="30"/>
                <w:highlight w:val="none"/>
                <w:lang w:val="en-US" w:eastAsia="zh-CN" w:bidi="ar"/>
              </w:rPr>
              <w:t>称</w:t>
            </w:r>
          </w:p>
        </w:tc>
        <w:tc>
          <w:tcPr>
            <w:tcW w:w="1418" w:type="dxa"/>
            <w:tcBorders>
              <w:top w:val="single" w:color="auto" w:sz="12" w:space="0"/>
              <w:left w:val="single" w:color="auto" w:sz="6" w:space="0"/>
              <w:bottom w:val="double" w:color="auto" w:sz="6" w:space="0"/>
              <w:right w:val="single" w:color="auto" w:sz="6" w:space="0"/>
            </w:tcBorders>
            <w:shd w:val="clear" w:color="auto" w:fill="auto"/>
            <w:vAlign w:val="center"/>
          </w:tcPr>
          <w:p w14:paraId="49F9295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姓名</w:t>
            </w:r>
          </w:p>
        </w:tc>
        <w:tc>
          <w:tcPr>
            <w:tcW w:w="1135" w:type="dxa"/>
            <w:tcBorders>
              <w:top w:val="single" w:color="auto" w:sz="12" w:space="0"/>
              <w:left w:val="single" w:color="auto" w:sz="6" w:space="0"/>
              <w:bottom w:val="double" w:color="auto" w:sz="6" w:space="0"/>
              <w:right w:val="single" w:color="auto" w:sz="6" w:space="0"/>
            </w:tcBorders>
            <w:shd w:val="clear" w:color="auto" w:fill="auto"/>
            <w:vAlign w:val="center"/>
          </w:tcPr>
          <w:p w14:paraId="568D1F0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r>
              <w:rPr>
                <w:rFonts w:hint="eastAsia" w:ascii="Times New Roman" w:hAnsi="Times New Roman" w:eastAsia="仿宋_GB2312" w:cs="仿宋_GB2312"/>
                <w:color w:val="auto"/>
                <w:kern w:val="2"/>
                <w:sz w:val="30"/>
                <w:szCs w:val="30"/>
                <w:highlight w:val="none"/>
                <w:lang w:val="en-US" w:eastAsia="zh-CN" w:bidi="ar"/>
              </w:rPr>
              <w:t>职务</w:t>
            </w:r>
          </w:p>
        </w:tc>
        <w:tc>
          <w:tcPr>
            <w:tcW w:w="1135" w:type="dxa"/>
            <w:tcBorders>
              <w:top w:val="single" w:color="auto" w:sz="12" w:space="0"/>
              <w:left w:val="single" w:color="auto" w:sz="6" w:space="0"/>
              <w:bottom w:val="double" w:color="auto" w:sz="6" w:space="0"/>
              <w:right w:val="single" w:color="auto" w:sz="6" w:space="0"/>
            </w:tcBorders>
            <w:shd w:val="clear" w:color="auto" w:fill="auto"/>
            <w:vAlign w:val="center"/>
          </w:tcPr>
          <w:p w14:paraId="398241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r>
              <w:rPr>
                <w:rFonts w:hint="eastAsia" w:ascii="Times New Roman" w:hAnsi="Times New Roman" w:eastAsia="仿宋_GB2312" w:cs="仿宋_GB2312"/>
                <w:color w:val="auto"/>
                <w:kern w:val="2"/>
                <w:sz w:val="30"/>
                <w:szCs w:val="30"/>
                <w:highlight w:val="none"/>
                <w:lang w:val="en-US" w:eastAsia="zh-CN" w:bidi="ar"/>
              </w:rPr>
              <w:t>职称</w:t>
            </w:r>
          </w:p>
        </w:tc>
        <w:tc>
          <w:tcPr>
            <w:tcW w:w="4252" w:type="dxa"/>
            <w:tcBorders>
              <w:top w:val="single" w:color="auto" w:sz="12" w:space="0"/>
              <w:left w:val="single" w:color="auto" w:sz="6" w:space="0"/>
              <w:bottom w:val="double" w:color="auto" w:sz="6" w:space="0"/>
              <w:right w:val="single" w:color="auto" w:sz="12" w:space="0"/>
            </w:tcBorders>
            <w:shd w:val="clear" w:color="auto" w:fill="auto"/>
            <w:vAlign w:val="center"/>
          </w:tcPr>
          <w:p w14:paraId="29CCAC5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zh-CN" w:bidi="en-US"/>
              </w:rPr>
            </w:pPr>
            <w:r>
              <w:rPr>
                <w:rFonts w:hint="eastAsia" w:ascii="Times New Roman" w:hAnsi="Times New Roman" w:eastAsia="仿宋_GB2312" w:cs="仿宋_GB2312"/>
                <w:color w:val="auto"/>
                <w:kern w:val="2"/>
                <w:sz w:val="30"/>
                <w:szCs w:val="30"/>
                <w:highlight w:val="none"/>
                <w:lang w:val="en-US" w:eastAsia="zh-CN" w:bidi="ar"/>
              </w:rPr>
              <w:t>主要资历、经验及承担过的项目</w:t>
            </w:r>
          </w:p>
        </w:tc>
      </w:tr>
      <w:tr w14:paraId="0C1B8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shd w:val="clear" w:color="auto" w:fill="auto"/>
            <w:vAlign w:val="center"/>
          </w:tcPr>
          <w:p w14:paraId="432040B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一、总部人员</w:t>
            </w:r>
          </w:p>
        </w:tc>
      </w:tr>
      <w:tr w14:paraId="1CF71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5EC529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项目主管</w:t>
            </w:r>
          </w:p>
        </w:tc>
        <w:tc>
          <w:tcPr>
            <w:tcW w:w="1418" w:type="dxa"/>
            <w:tcBorders>
              <w:top w:val="nil"/>
              <w:left w:val="single" w:color="auto" w:sz="6" w:space="0"/>
              <w:bottom w:val="single" w:color="auto" w:sz="6" w:space="0"/>
              <w:right w:val="single" w:color="auto" w:sz="6" w:space="0"/>
            </w:tcBorders>
            <w:shd w:val="clear" w:color="auto" w:fill="auto"/>
            <w:vAlign w:val="center"/>
          </w:tcPr>
          <w:p w14:paraId="3C864CB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nil"/>
              <w:left w:val="single" w:color="auto" w:sz="6" w:space="0"/>
              <w:bottom w:val="single" w:color="auto" w:sz="6" w:space="0"/>
              <w:right w:val="single" w:color="auto" w:sz="6" w:space="0"/>
            </w:tcBorders>
            <w:shd w:val="clear" w:color="auto" w:fill="auto"/>
            <w:vAlign w:val="center"/>
          </w:tcPr>
          <w:p w14:paraId="4240665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nil"/>
              <w:left w:val="single" w:color="auto" w:sz="6" w:space="0"/>
              <w:bottom w:val="single" w:color="auto" w:sz="6" w:space="0"/>
              <w:right w:val="single" w:color="auto" w:sz="6" w:space="0"/>
            </w:tcBorders>
            <w:shd w:val="clear" w:color="auto" w:fill="auto"/>
            <w:vAlign w:val="center"/>
          </w:tcPr>
          <w:p w14:paraId="2F5B2E9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nil"/>
              <w:left w:val="single" w:color="auto" w:sz="6" w:space="0"/>
              <w:bottom w:val="single" w:color="auto" w:sz="6" w:space="0"/>
              <w:right w:val="single" w:color="auto" w:sz="12" w:space="0"/>
            </w:tcBorders>
            <w:shd w:val="clear" w:color="auto" w:fill="auto"/>
            <w:vAlign w:val="center"/>
          </w:tcPr>
          <w:p w14:paraId="110C856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BED8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nil"/>
              <w:right w:val="single" w:color="auto" w:sz="6" w:space="0"/>
            </w:tcBorders>
            <w:shd w:val="clear" w:color="auto" w:fill="auto"/>
            <w:vAlign w:val="center"/>
          </w:tcPr>
          <w:p w14:paraId="5EE0B82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FB3F67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FBD0B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652FC0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02D6EA8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C1D1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7BFD6AA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其他人员</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6C8C9A2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3C571D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1EA411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4A22B3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07F8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nil"/>
              <w:right w:val="single" w:color="auto" w:sz="6" w:space="0"/>
            </w:tcBorders>
            <w:shd w:val="clear" w:color="auto" w:fill="auto"/>
            <w:vAlign w:val="center"/>
          </w:tcPr>
          <w:p w14:paraId="00328F3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231AC52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D3E64D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BBA38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003FBDC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34FC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shd w:val="clear" w:color="auto" w:fill="auto"/>
            <w:vAlign w:val="center"/>
          </w:tcPr>
          <w:p w14:paraId="32CC03D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二、现场人员</w:t>
            </w:r>
          </w:p>
        </w:tc>
      </w:tr>
      <w:tr w14:paraId="4C367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5908311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项目经理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3BDE92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DF3CF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1BA2C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57FD38E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1B0D0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2ECAC49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项目副经理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211B610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1EB332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80C74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146393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E283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1951A6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技术负责人</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232E65B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BE3F2E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35A5BCA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351916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87FB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058EEF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造价管理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914841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05E517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A6EF7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32A036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0BFD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31B9E0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质量管理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414DC95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88CC6B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E64C5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7EF952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64773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1D4177A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材料管理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7F509F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7ACAB7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99D96E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C112F0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46429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2033DE2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计划管理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08626C3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70677C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099F817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ED9DC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76FA6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shd w:val="clear" w:color="auto" w:fill="auto"/>
            <w:vAlign w:val="center"/>
          </w:tcPr>
          <w:p w14:paraId="4E7C91D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安全管理</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E82344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9A967A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E0B770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0F8B2C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8FAC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left w:val="single" w:color="auto" w:sz="12" w:space="0"/>
              <w:bottom w:val="single" w:color="auto" w:sz="12" w:space="0"/>
              <w:right w:val="single" w:color="auto" w:sz="6" w:space="0"/>
            </w:tcBorders>
            <w:shd w:val="clear" w:color="auto" w:fill="auto"/>
            <w:vAlign w:val="center"/>
          </w:tcPr>
          <w:p w14:paraId="5B5566B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其他人员</w:t>
            </w: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6A55C6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80437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ED22D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40756E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316B4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2BFAC0DE">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nil"/>
              <w:right w:val="single" w:color="auto" w:sz="6" w:space="0"/>
            </w:tcBorders>
            <w:shd w:val="clear" w:color="auto" w:fill="auto"/>
            <w:vAlign w:val="center"/>
          </w:tcPr>
          <w:p w14:paraId="181F944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nil"/>
              <w:right w:val="single" w:color="auto" w:sz="6" w:space="0"/>
            </w:tcBorders>
            <w:shd w:val="clear" w:color="auto" w:fill="auto"/>
            <w:vAlign w:val="center"/>
          </w:tcPr>
          <w:p w14:paraId="303681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nil"/>
              <w:right w:val="single" w:color="auto" w:sz="6" w:space="0"/>
            </w:tcBorders>
            <w:shd w:val="clear" w:color="auto" w:fill="auto"/>
            <w:vAlign w:val="center"/>
          </w:tcPr>
          <w:p w14:paraId="5D59CD5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nil"/>
              <w:right w:val="single" w:color="auto" w:sz="12" w:space="0"/>
            </w:tcBorders>
            <w:shd w:val="clear" w:color="auto" w:fill="auto"/>
            <w:vAlign w:val="center"/>
          </w:tcPr>
          <w:p w14:paraId="25BFFE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09C9C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41496692">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3D69DEE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5231D5C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17369E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62BAD9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533AA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6CFF7398">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54C3850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544204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23E423C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704FC26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96B5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19D33EDE">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6" w:space="0"/>
              <w:right w:val="single" w:color="auto" w:sz="6" w:space="0"/>
            </w:tcBorders>
            <w:shd w:val="clear" w:color="auto" w:fill="auto"/>
            <w:vAlign w:val="center"/>
          </w:tcPr>
          <w:p w14:paraId="1AA64F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2C741B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607260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6" w:space="0"/>
              <w:right w:val="single" w:color="auto" w:sz="12" w:space="0"/>
            </w:tcBorders>
            <w:shd w:val="clear" w:color="auto" w:fill="auto"/>
            <w:vAlign w:val="center"/>
          </w:tcPr>
          <w:p w14:paraId="1A1F767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r w14:paraId="246AE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shd w:val="clear" w:color="auto" w:fill="auto"/>
            <w:vAlign w:val="center"/>
          </w:tcPr>
          <w:p w14:paraId="07E2B88E">
            <w:pPr>
              <w:shd w:val="clear"/>
              <w:jc w:val="left"/>
              <w:rPr>
                <w:rFonts w:ascii="Calibri" w:hAnsi="Calibri" w:eastAsia="Times New Roman" w:cs="Times New Roman"/>
                <w:color w:val="auto"/>
                <w:kern w:val="0"/>
                <w:sz w:val="20"/>
                <w:szCs w:val="20"/>
                <w:highlight w:val="none"/>
                <w:lang w:eastAsia="en-US" w:bidi="en-US"/>
              </w:rPr>
            </w:pPr>
          </w:p>
        </w:tc>
        <w:tc>
          <w:tcPr>
            <w:tcW w:w="1418" w:type="dxa"/>
            <w:tcBorders>
              <w:top w:val="single" w:color="auto" w:sz="6" w:space="0"/>
              <w:left w:val="single" w:color="auto" w:sz="6" w:space="0"/>
              <w:bottom w:val="single" w:color="auto" w:sz="12" w:space="0"/>
              <w:right w:val="single" w:color="auto" w:sz="6" w:space="0"/>
            </w:tcBorders>
            <w:shd w:val="clear" w:color="auto" w:fill="auto"/>
            <w:vAlign w:val="center"/>
          </w:tcPr>
          <w:p w14:paraId="150BE97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21B486E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49CEF51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c>
          <w:tcPr>
            <w:tcW w:w="4252" w:type="dxa"/>
            <w:tcBorders>
              <w:top w:val="single" w:color="auto" w:sz="6" w:space="0"/>
              <w:left w:val="single" w:color="auto" w:sz="6" w:space="0"/>
              <w:bottom w:val="single" w:color="auto" w:sz="12" w:space="0"/>
              <w:right w:val="single" w:color="auto" w:sz="12" w:space="0"/>
            </w:tcBorders>
            <w:shd w:val="clear" w:color="auto" w:fill="auto"/>
            <w:vAlign w:val="center"/>
          </w:tcPr>
          <w:p w14:paraId="31DEA8F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30"/>
                <w:szCs w:val="30"/>
                <w:highlight w:val="none"/>
                <w:lang w:val="en-US" w:eastAsia="en-US" w:bidi="en-US"/>
              </w:rPr>
            </w:pPr>
          </w:p>
        </w:tc>
      </w:tr>
    </w:tbl>
    <w:p w14:paraId="2ACE6F97">
      <w:pPr>
        <w:shd w:val="clear"/>
        <w:spacing w:line="440" w:lineRule="exact"/>
        <w:jc w:val="both"/>
        <w:rPr>
          <w:rFonts w:ascii="Times New Roman" w:hAnsi="Times New Roman" w:eastAsia="黑体" w:cs="Times New Roman"/>
          <w:color w:val="auto"/>
          <w:kern w:val="0"/>
          <w:sz w:val="30"/>
          <w:szCs w:val="30"/>
          <w:highlight w:val="none"/>
          <w:lang w:eastAsia="en-US" w:bidi="en-US"/>
        </w:rPr>
      </w:pPr>
      <w:r>
        <w:rPr>
          <w:rFonts w:ascii="Times New Roman" w:hAnsi="Times New Roman" w:eastAsia="仿宋_GB2312" w:cs="Times New Roman"/>
          <w:color w:val="auto"/>
          <w:kern w:val="2"/>
          <w:sz w:val="30"/>
          <w:szCs w:val="30"/>
          <w:highlight w:val="none"/>
          <w:lang w:eastAsia="zh-CN" w:bidi="ar"/>
        </w:rPr>
        <w:br w:type="page"/>
      </w:r>
      <w:bookmarkStart w:id="1317" w:name="_Toc267261701"/>
      <w:r>
        <w:rPr>
          <w:rFonts w:hint="eastAsia" w:ascii="Times New Roman" w:hAnsi="Times New Roman" w:eastAsia="仿宋_GB2312" w:cs="仿宋_GB2312"/>
          <w:color w:val="auto"/>
          <w:kern w:val="2"/>
          <w:sz w:val="30"/>
          <w:szCs w:val="30"/>
          <w:highlight w:val="none"/>
          <w:lang w:eastAsia="zh-CN" w:bidi="ar"/>
        </w:rPr>
        <w:t>附</w:t>
      </w:r>
      <w:bookmarkStart w:id="1318" w:name="_Toc296347230"/>
      <w:bookmarkStart w:id="1319" w:name="_Toc296891271"/>
      <w:bookmarkStart w:id="1320" w:name="_Toc296346732"/>
      <w:bookmarkStart w:id="1321" w:name="_Toc296891059"/>
      <w:bookmarkStart w:id="1322" w:name="_Toc296944570"/>
      <w:bookmarkStart w:id="1323" w:name="_Toc296503231"/>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8</w:t>
      </w:r>
      <w:r>
        <w:rPr>
          <w:rFonts w:hint="eastAsia" w:ascii="Times New Roman" w:hAnsi="Times New Roman" w:eastAsia="仿宋_GB2312" w:cs="仿宋_GB2312"/>
          <w:color w:val="auto"/>
          <w:kern w:val="2"/>
          <w:sz w:val="30"/>
          <w:szCs w:val="30"/>
          <w:highlight w:val="none"/>
          <w:lang w:eastAsia="zh-CN" w:bidi="ar"/>
        </w:rPr>
        <w:t>：</w:t>
      </w:r>
    </w:p>
    <w:bookmarkEnd w:id="1317"/>
    <w:bookmarkEnd w:id="1318"/>
    <w:bookmarkEnd w:id="1319"/>
    <w:bookmarkEnd w:id="1320"/>
    <w:bookmarkEnd w:id="1321"/>
    <w:bookmarkEnd w:id="1322"/>
    <w:bookmarkEnd w:id="1323"/>
    <w:p w14:paraId="5F59CCAA">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en-US" w:bidi="en-US"/>
        </w:rPr>
      </w:pPr>
      <w:bookmarkStart w:id="1324" w:name="_Toc163768485"/>
      <w:bookmarkStart w:id="1325" w:name="_Toc163768603"/>
      <w:bookmarkStart w:id="1326" w:name="_Toc17987"/>
      <w:r>
        <w:rPr>
          <w:rFonts w:hint="eastAsia" w:ascii="Times New Roman" w:hAnsi="Times New Roman" w:eastAsia="黑体" w:cs="黑体"/>
          <w:b/>
          <w:color w:val="auto"/>
          <w:sz w:val="30"/>
          <w:szCs w:val="30"/>
          <w:highlight w:val="none"/>
          <w:lang w:val="en-US" w:eastAsia="zh-CN" w:bidi="en-US"/>
        </w:rPr>
        <w:t>履约担保</w:t>
      </w:r>
      <w:bookmarkEnd w:id="1324"/>
      <w:bookmarkEnd w:id="1325"/>
      <w:bookmarkEnd w:id="1326"/>
    </w:p>
    <w:p w14:paraId="75AB8EBB">
      <w:pPr>
        <w:shd w:val="clear"/>
        <w:spacing w:line="440" w:lineRule="exact"/>
        <w:jc w:val="both"/>
        <w:rPr>
          <w:rFonts w:ascii="Times New Roman" w:hAnsi="Times New Roman" w:eastAsia="仿宋_GB2312" w:cs="Times New Roman"/>
          <w:color w:val="auto"/>
          <w:kern w:val="0"/>
          <w:sz w:val="30"/>
          <w:szCs w:val="30"/>
          <w:highlight w:val="none"/>
          <w:lang w:eastAsia="en-US"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hint="eastAsia" w:ascii="Times New Roman" w:hAnsi="Times New Roman" w:eastAsia="仿宋_GB2312" w:cs="仿宋_GB2312"/>
          <w:color w:val="auto"/>
          <w:kern w:val="2"/>
          <w:sz w:val="30"/>
          <w:szCs w:val="30"/>
          <w:highlight w:val="none"/>
          <w:lang w:eastAsia="zh-CN" w:bidi="ar"/>
        </w:rPr>
        <w:t>（发包人名称）：</w:t>
      </w:r>
    </w:p>
    <w:p w14:paraId="2F85C4FE">
      <w:pPr>
        <w:shd w:val="clear"/>
        <w:spacing w:line="440" w:lineRule="exact"/>
        <w:jc w:val="both"/>
        <w:rPr>
          <w:rFonts w:ascii="Times New Roman" w:hAnsi="Times New Roman" w:eastAsia="仿宋_GB2312" w:cs="Times New Roman"/>
          <w:color w:val="auto"/>
          <w:kern w:val="0"/>
          <w:sz w:val="30"/>
          <w:szCs w:val="30"/>
          <w:highlight w:val="none"/>
          <w:lang w:eastAsia="en-US" w:bidi="en-US"/>
        </w:rPr>
      </w:pPr>
    </w:p>
    <w:p w14:paraId="5F2E39CE">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鉴于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（发包人名称，以下简称</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发包人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）与</w:t>
      </w:r>
    </w:p>
    <w:p w14:paraId="2C73A78A">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（承包人名称）（以下称</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承包人</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日就</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（工程名称）施工及有关事项协商一致共同签订《建设工程施工合同》。我方愿意无条件地、不可撤销地就承包人履行与你方签订的合同，向你方提供连带责任担保。</w:t>
      </w:r>
      <w:r>
        <w:rPr>
          <w:rFonts w:ascii="Times New Roman" w:hAnsi="Times New Roman" w:eastAsia="仿宋_GB2312" w:cs="Times New Roman"/>
          <w:color w:val="auto"/>
          <w:kern w:val="2"/>
          <w:sz w:val="30"/>
          <w:szCs w:val="30"/>
          <w:highlight w:val="none"/>
          <w:lang w:eastAsia="zh-CN" w:bidi="ar"/>
        </w:rPr>
        <w:t xml:space="preserve"> </w:t>
      </w:r>
    </w:p>
    <w:p w14:paraId="03728D60">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担保金额人民币（大写）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7D2A7968">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担保有效期自你方与承包人签订的合同生效之日起至你方签发或应签发工程接收证书之日止。</w:t>
      </w:r>
    </w:p>
    <w:p w14:paraId="4BEFC793">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在本担保有效期内，因承包人违反合同约定的义务给你方造成经济损失时，我方在收到你方以书面形式提出的在担保金额内的赔偿要求后，在</w:t>
      </w:r>
      <w:r>
        <w:rPr>
          <w:rFonts w:ascii="Times New Roman" w:hAnsi="Times New Roman" w:eastAsia="仿宋_GB2312" w:cs="Times New Roman"/>
          <w:color w:val="auto"/>
          <w:kern w:val="2"/>
          <w:sz w:val="30"/>
          <w:szCs w:val="30"/>
          <w:highlight w:val="none"/>
          <w:lang w:eastAsia="zh-CN" w:bidi="ar"/>
        </w:rPr>
        <w:t>7</w:t>
      </w:r>
      <w:r>
        <w:rPr>
          <w:rFonts w:hint="eastAsia" w:ascii="Times New Roman" w:hAnsi="Times New Roman" w:eastAsia="仿宋_GB2312" w:cs="仿宋_GB2312"/>
          <w:color w:val="auto"/>
          <w:kern w:val="2"/>
          <w:sz w:val="30"/>
          <w:szCs w:val="30"/>
          <w:highlight w:val="none"/>
          <w:lang w:eastAsia="zh-CN" w:bidi="ar"/>
        </w:rPr>
        <w:t>天内无条件支付。</w:t>
      </w:r>
    </w:p>
    <w:p w14:paraId="4B46C289">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4. </w:t>
      </w:r>
      <w:r>
        <w:rPr>
          <w:rFonts w:hint="eastAsia" w:ascii="Times New Roman" w:hAnsi="Times New Roman" w:eastAsia="仿宋_GB2312" w:cs="仿宋_GB2312"/>
          <w:color w:val="auto"/>
          <w:kern w:val="2"/>
          <w:sz w:val="30"/>
          <w:szCs w:val="30"/>
          <w:highlight w:val="none"/>
          <w:lang w:eastAsia="zh-CN" w:bidi="ar"/>
        </w:rPr>
        <w:t>你方和承包人按合同约定变更合同时，我方承担本担保规定的义务不变。</w:t>
      </w:r>
    </w:p>
    <w:p w14:paraId="11E12900">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5. </w:t>
      </w:r>
      <w:r>
        <w:rPr>
          <w:rFonts w:hint="eastAsia" w:ascii="Times New Roman" w:hAnsi="Times New Roman" w:eastAsia="仿宋_GB2312" w:cs="仿宋_GB2312"/>
          <w:color w:val="auto"/>
          <w:kern w:val="2"/>
          <w:sz w:val="30"/>
          <w:szCs w:val="30"/>
          <w:highlight w:val="none"/>
          <w:lang w:eastAsia="zh-CN" w:bidi="ar"/>
        </w:rPr>
        <w:t>因本保函发生的纠纷，可由双方协商解决，协商不成的，任何一方均可提请</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仲裁委员会仲裁。</w:t>
      </w:r>
    </w:p>
    <w:p w14:paraId="72FE1600">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6. </w:t>
      </w:r>
      <w:r>
        <w:rPr>
          <w:rFonts w:hint="eastAsia" w:ascii="Times New Roman" w:hAnsi="Times New Roman" w:eastAsia="仿宋_GB2312" w:cs="仿宋_GB2312"/>
          <w:color w:val="auto"/>
          <w:kern w:val="2"/>
          <w:sz w:val="30"/>
          <w:szCs w:val="30"/>
          <w:highlight w:val="none"/>
          <w:lang w:eastAsia="zh-CN" w:bidi="ar"/>
        </w:rPr>
        <w:t>本保函自我方法定代表人（或其授权代理人）签字并加盖公章之日起生效。</w:t>
      </w:r>
    </w:p>
    <w:p w14:paraId="72B8C594">
      <w:pPr>
        <w:shd w:val="clear"/>
        <w:spacing w:line="360" w:lineRule="auto"/>
        <w:jc w:val="both"/>
        <w:rPr>
          <w:rFonts w:ascii="Times New Roman" w:hAnsi="Times New Roman" w:eastAsia="仿宋_GB2312" w:cs="Times New Roman"/>
          <w:color w:val="auto"/>
          <w:kern w:val="0"/>
          <w:sz w:val="30"/>
          <w:szCs w:val="30"/>
          <w:highlight w:val="none"/>
          <w:lang w:eastAsia="zh-CN" w:bidi="en-US"/>
        </w:rPr>
      </w:pPr>
    </w:p>
    <w:p w14:paraId="15361882">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担</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保</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（盖单位章）</w:t>
      </w:r>
    </w:p>
    <w:p w14:paraId="16ABA33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法定代表人或其委托代理人：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（签字）</w:t>
      </w:r>
    </w:p>
    <w:p w14:paraId="1A07F37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w:t>
      </w:r>
    </w:p>
    <w:p w14:paraId="02D21EB5">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w:t>
      </w:r>
    </w:p>
    <w:p w14:paraId="7B5AC5D6">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 xml:space="preserve">                                      </w:t>
      </w:r>
    </w:p>
    <w:p w14:paraId="45ECBF02">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w:t>
      </w:r>
    </w:p>
    <w:p w14:paraId="46AC04D6">
      <w:pPr>
        <w:shd w:val="clear"/>
        <w:spacing w:line="360" w:lineRule="auto"/>
        <w:jc w:val="left"/>
        <w:rPr>
          <w:rFonts w:ascii="Times New Roman" w:hAnsi="Times New Roman" w:eastAsia="仿宋_GB2312" w:cs="Times New Roman"/>
          <w:color w:val="auto"/>
          <w:kern w:val="0"/>
          <w:sz w:val="30"/>
          <w:szCs w:val="30"/>
          <w:highlight w:val="none"/>
          <w:u w:val="single"/>
          <w:lang w:eastAsia="zh-CN" w:bidi="en-US"/>
        </w:rPr>
      </w:pPr>
    </w:p>
    <w:p w14:paraId="1C9D2DE5">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w:t>
      </w:r>
    </w:p>
    <w:p w14:paraId="48BFAD23">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25F2CE43">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68E76CC9">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240DFD75">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005F8607">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4835A3AF">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7DE24226">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5BF9B07C">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1FFB080A">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5CE1BD2A">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41AC783E">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08805B8D">
      <w:pPr>
        <w:shd w:val="clear"/>
        <w:spacing w:line="360" w:lineRule="auto"/>
        <w:ind w:left="1899" w:hanging="1899" w:hangingChars="633"/>
        <w:jc w:val="both"/>
        <w:rPr>
          <w:rFonts w:ascii="Times New Roman" w:hAnsi="Times New Roman" w:eastAsia="仿宋_GB2312" w:cs="Times New Roman"/>
          <w:color w:val="auto"/>
          <w:kern w:val="0"/>
          <w:sz w:val="30"/>
          <w:szCs w:val="30"/>
          <w:highlight w:val="none"/>
          <w:lang w:eastAsia="zh-CN" w:bidi="en-US"/>
        </w:rPr>
      </w:pPr>
    </w:p>
    <w:p w14:paraId="317974D0">
      <w:pPr>
        <w:shd w:val="clear"/>
        <w:spacing w:line="360" w:lineRule="auto"/>
        <w:jc w:val="both"/>
        <w:rPr>
          <w:rFonts w:ascii="Times New Roman" w:hAnsi="Times New Roman" w:eastAsia="仿宋_GB2312" w:cs="Times New Roman"/>
          <w:color w:val="auto"/>
          <w:kern w:val="0"/>
          <w:sz w:val="30"/>
          <w:szCs w:val="30"/>
          <w:highlight w:val="none"/>
          <w:lang w:eastAsia="zh-CN" w:bidi="en-US"/>
        </w:rPr>
      </w:pPr>
    </w:p>
    <w:p w14:paraId="3C3D9186">
      <w:pPr>
        <w:jc w:val="left"/>
        <w:rPr>
          <w:rFonts w:hint="eastAsia" w:ascii="Times New Roman" w:hAnsi="Times New Roman" w:eastAsia="仿宋_GB2312" w:cs="仿宋_GB2312"/>
          <w:color w:val="auto"/>
          <w:kern w:val="2"/>
          <w:sz w:val="30"/>
          <w:szCs w:val="30"/>
          <w:highlight w:val="none"/>
          <w:lang w:eastAsia="zh-CN" w:bidi="ar"/>
        </w:rPr>
      </w:pPr>
      <w:r>
        <w:rPr>
          <w:rFonts w:hint="eastAsia" w:ascii="Times New Roman" w:hAnsi="Times New Roman" w:eastAsia="仿宋_GB2312" w:cs="仿宋_GB2312"/>
          <w:color w:val="auto"/>
          <w:kern w:val="2"/>
          <w:sz w:val="30"/>
          <w:szCs w:val="30"/>
          <w:highlight w:val="none"/>
          <w:lang w:eastAsia="zh-CN" w:bidi="ar"/>
        </w:rPr>
        <w:br w:type="page"/>
      </w:r>
    </w:p>
    <w:p w14:paraId="46707A84">
      <w:pPr>
        <w:shd w:val="clear"/>
        <w:spacing w:line="360" w:lineRule="auto"/>
        <w:jc w:val="both"/>
        <w:rPr>
          <w:rFonts w:ascii="Times New Roman" w:hAnsi="Times New Roman" w:eastAsia="黑体"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附</w:t>
      </w:r>
      <w:bookmarkStart w:id="1327" w:name="_Toc296891272"/>
      <w:bookmarkStart w:id="1328" w:name="_Toc296346733"/>
      <w:bookmarkStart w:id="1329" w:name="_Toc267261702"/>
      <w:bookmarkStart w:id="1330" w:name="_Toc296347231"/>
      <w:bookmarkStart w:id="1331" w:name="_Toc296503232"/>
      <w:bookmarkStart w:id="1332" w:name="_Toc296891060"/>
      <w:bookmarkStart w:id="1333" w:name="_Toc296944571"/>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 xml:space="preserve">9 </w:t>
      </w:r>
      <w:r>
        <w:rPr>
          <w:rFonts w:hint="eastAsia" w:ascii="Times New Roman" w:hAnsi="Times New Roman" w:eastAsia="仿宋_GB2312" w:cs="仿宋_GB2312"/>
          <w:color w:val="auto"/>
          <w:kern w:val="2"/>
          <w:sz w:val="30"/>
          <w:szCs w:val="30"/>
          <w:highlight w:val="none"/>
          <w:lang w:eastAsia="zh-CN" w:bidi="ar"/>
        </w:rPr>
        <w:t>：</w:t>
      </w:r>
    </w:p>
    <w:bookmarkEnd w:id="1327"/>
    <w:bookmarkEnd w:id="1328"/>
    <w:bookmarkEnd w:id="1329"/>
    <w:bookmarkEnd w:id="1330"/>
    <w:bookmarkEnd w:id="1331"/>
    <w:bookmarkEnd w:id="1332"/>
    <w:bookmarkEnd w:id="1333"/>
    <w:p w14:paraId="10E2DDC1">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334" w:name="_Toc4009"/>
      <w:bookmarkStart w:id="1335" w:name="_Toc163768486"/>
      <w:bookmarkStart w:id="1336" w:name="_Toc163768604"/>
      <w:r>
        <w:rPr>
          <w:rFonts w:hint="eastAsia" w:ascii="Times New Roman" w:hAnsi="Times New Roman" w:eastAsia="黑体" w:cs="黑体"/>
          <w:b/>
          <w:color w:val="auto"/>
          <w:sz w:val="30"/>
          <w:szCs w:val="30"/>
          <w:highlight w:val="none"/>
          <w:lang w:val="en-US" w:eastAsia="zh-CN" w:bidi="en-US"/>
        </w:rPr>
        <w:t>预付款担保</w:t>
      </w:r>
      <w:bookmarkEnd w:id="1334"/>
      <w:bookmarkEnd w:id="1335"/>
      <w:bookmarkEnd w:id="1336"/>
    </w:p>
    <w:p w14:paraId="43BA2BA1">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（发包人名称）：</w:t>
      </w:r>
    </w:p>
    <w:p w14:paraId="2B16AFBD">
      <w:pPr>
        <w:shd w:val="clear"/>
        <w:spacing w:line="360" w:lineRule="auto"/>
        <w:jc w:val="both"/>
        <w:rPr>
          <w:rFonts w:ascii="Times New Roman" w:hAnsi="Times New Roman" w:eastAsia="仿宋_GB2312" w:cs="Times New Roman"/>
          <w:color w:val="auto"/>
          <w:kern w:val="0"/>
          <w:sz w:val="30"/>
          <w:szCs w:val="30"/>
          <w:highlight w:val="none"/>
          <w:lang w:eastAsia="zh-CN" w:bidi="en-US"/>
        </w:rPr>
      </w:pPr>
    </w:p>
    <w:p w14:paraId="6BB796FB">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根据</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（承包人名称）（以下称“承包人”）与</w:t>
      </w:r>
    </w:p>
    <w:p w14:paraId="0BA904BF">
      <w:pPr>
        <w:shd w:val="clear"/>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（发包人名称）（以下简称“发包人”）</w:t>
      </w:r>
    </w:p>
    <w:p w14:paraId="17A73A0B">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日签订的</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（工程名称）《建设工程施工合同》，承包人按约定的金额向你方提交一份预付款担保，即有权得到你方支付相等金额的预付款。我方愿意就你方提供给承包人的预付款为承包人提供连带责任担保。</w:t>
      </w:r>
    </w:p>
    <w:p w14:paraId="6555233B">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担保金额人民币（大写）</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元（</w:t>
      </w:r>
      <w:r>
        <w:rPr>
          <w:rFonts w:ascii="Times New Roman" w:hAnsi="Times New Roman" w:eastAsia="仿宋_GB2312" w:cs="Times New Roman"/>
          <w:color w:val="auto"/>
          <w:kern w:val="2"/>
          <w:sz w:val="30"/>
          <w:szCs w:val="30"/>
          <w:highlight w:val="none"/>
          <w:lang w:eastAsia="zh-CN" w:bidi="ar"/>
        </w:rPr>
        <w:t>¥</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465D6F18">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担保有效期自预付款支付给承包人起生效，至你方签发的进度款支付证书说明已完全扣清止。</w:t>
      </w:r>
    </w:p>
    <w:p w14:paraId="2B5C04AA">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24D1BEC2">
      <w:pPr>
        <w:shd w:val="clear"/>
        <w:spacing w:line="360" w:lineRule="auto"/>
        <w:ind w:firstLine="600" w:firstLineChars="200"/>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4. </w:t>
      </w:r>
      <w:r>
        <w:rPr>
          <w:rFonts w:hint="eastAsia" w:ascii="Times New Roman" w:hAnsi="Times New Roman" w:eastAsia="仿宋_GB2312" w:cs="仿宋_GB2312"/>
          <w:color w:val="auto"/>
          <w:kern w:val="2"/>
          <w:sz w:val="30"/>
          <w:szCs w:val="30"/>
          <w:highlight w:val="none"/>
          <w:lang w:eastAsia="zh-CN" w:bidi="ar"/>
        </w:rPr>
        <w:t>你方和承包人按合同约定变更合同时，我方承担本保函规定的义务不变。</w:t>
      </w:r>
    </w:p>
    <w:p w14:paraId="3C774B28">
      <w:pPr>
        <w:shd w:val="clear"/>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5. </w:t>
      </w:r>
      <w:r>
        <w:rPr>
          <w:rFonts w:hint="eastAsia" w:ascii="Times New Roman" w:hAnsi="Times New Roman" w:eastAsia="仿宋_GB2312" w:cs="仿宋_GB2312"/>
          <w:color w:val="auto"/>
          <w:kern w:val="2"/>
          <w:sz w:val="30"/>
          <w:szCs w:val="30"/>
          <w:highlight w:val="none"/>
          <w:lang w:eastAsia="zh-CN" w:bidi="ar"/>
        </w:rPr>
        <w:t>因本保函发生的纠纷，可由双方协商解决，协商不成的，任何一方均可提请</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仲裁委员会仲裁。</w:t>
      </w:r>
    </w:p>
    <w:p w14:paraId="44A78469">
      <w:pPr>
        <w:shd w:val="clear"/>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6. </w:t>
      </w:r>
      <w:r>
        <w:rPr>
          <w:rFonts w:hint="eastAsia" w:ascii="Times New Roman" w:hAnsi="Times New Roman" w:eastAsia="仿宋_GB2312" w:cs="仿宋_GB2312"/>
          <w:color w:val="auto"/>
          <w:kern w:val="2"/>
          <w:sz w:val="30"/>
          <w:szCs w:val="30"/>
          <w:highlight w:val="none"/>
          <w:lang w:eastAsia="zh-CN" w:bidi="ar"/>
        </w:rPr>
        <w:t>本保函自我方法定代表人（或其授权代理人）签字并加盖公章之日起生效。</w:t>
      </w:r>
    </w:p>
    <w:p w14:paraId="19F73F0B">
      <w:pPr>
        <w:shd w:val="clear"/>
        <w:spacing w:line="360" w:lineRule="auto"/>
        <w:jc w:val="both"/>
        <w:rPr>
          <w:rFonts w:ascii="Times New Roman" w:hAnsi="Times New Roman" w:eastAsia="仿宋_GB2312" w:cs="Times New Roman"/>
          <w:color w:val="auto"/>
          <w:kern w:val="0"/>
          <w:sz w:val="30"/>
          <w:szCs w:val="30"/>
          <w:highlight w:val="none"/>
          <w:lang w:eastAsia="zh-CN" w:bidi="en-US"/>
        </w:rPr>
      </w:pPr>
    </w:p>
    <w:p w14:paraId="49C5AEBD">
      <w:pPr>
        <w:shd w:val="clear"/>
        <w:spacing w:line="360" w:lineRule="auto"/>
        <w:jc w:val="both"/>
        <w:rPr>
          <w:rFonts w:ascii="Times New Roman" w:hAnsi="Times New Roman" w:eastAsia="仿宋_GB2312" w:cs="Times New Roman"/>
          <w:color w:val="auto"/>
          <w:kern w:val="0"/>
          <w:sz w:val="30"/>
          <w:szCs w:val="30"/>
          <w:highlight w:val="none"/>
          <w:lang w:eastAsia="zh-CN" w:bidi="en-US"/>
        </w:rPr>
      </w:pPr>
    </w:p>
    <w:p w14:paraId="7282455F">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担保人：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（盖单位章）</w:t>
      </w:r>
    </w:p>
    <w:p w14:paraId="74C21754">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法定代表人或其委托代理人：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（签字）</w:t>
      </w:r>
    </w:p>
    <w:p w14:paraId="1E86A259">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p>
    <w:p w14:paraId="5638DFB5">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p>
    <w:p w14:paraId="07BCAE1F">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r>
        <w:rPr>
          <w:rFonts w:hint="eastAsia" w:ascii="Times New Roman" w:hAnsi="Times New Roman" w:eastAsia="仿宋_GB2312" w:cs="仿宋_GB2312"/>
          <w:color w:val="auto"/>
          <w:kern w:val="2"/>
          <w:sz w:val="30"/>
          <w:szCs w:val="30"/>
          <w:highlight w:val="none"/>
          <w:lang w:eastAsia="zh-CN" w:bidi="ar"/>
        </w:rPr>
        <w:t>电</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话：</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p>
    <w:p w14:paraId="4221E439">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r>
        <w:rPr>
          <w:rFonts w:ascii="Times New Roman" w:hAnsi="Times New Roman" w:eastAsia="仿宋_GB2312" w:cs="Times New Roman"/>
          <w:color w:val="auto"/>
          <w:kern w:val="2"/>
          <w:sz w:val="30"/>
          <w:szCs w:val="30"/>
          <w:highlight w:val="none"/>
          <w:u w:val="single"/>
          <w:lang w:eastAsia="zh-CN" w:bidi="ar"/>
        </w:rPr>
        <w:tab/>
      </w:r>
    </w:p>
    <w:p w14:paraId="60D304AC">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  </w:t>
      </w:r>
    </w:p>
    <w:p w14:paraId="454D46F9">
      <w:pPr>
        <w:shd w:val="clear"/>
        <w:spacing w:line="360" w:lineRule="auto"/>
        <w:jc w:val="both"/>
        <w:rPr>
          <w:rFonts w:ascii="Times New Roman" w:hAnsi="Times New Roman" w:eastAsia="仿宋_GB2312" w:cs="Times New Roman"/>
          <w:color w:val="auto"/>
          <w:kern w:val="0"/>
          <w:sz w:val="30"/>
          <w:szCs w:val="30"/>
          <w:highlight w:val="none"/>
          <w:u w:val="single"/>
          <w:lang w:eastAsia="zh-CN" w:bidi="en-US"/>
        </w:rPr>
      </w:pPr>
    </w:p>
    <w:p w14:paraId="0BFA6166">
      <w:pPr>
        <w:shd w:val="clear"/>
        <w:spacing w:line="360" w:lineRule="auto"/>
        <w:jc w:val="both"/>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w:t>
      </w:r>
    </w:p>
    <w:p w14:paraId="779FE389">
      <w:pPr>
        <w:shd w:val="clear"/>
        <w:spacing w:line="440" w:lineRule="exact"/>
        <w:jc w:val="both"/>
        <w:rPr>
          <w:rFonts w:ascii="Times New Roman" w:hAnsi="Times New Roman" w:eastAsia="黑体" w:cs="Times New Roman"/>
          <w:color w:val="auto"/>
          <w:kern w:val="0"/>
          <w:sz w:val="30"/>
          <w:szCs w:val="30"/>
          <w:highlight w:val="none"/>
          <w:lang w:eastAsia="zh-CN" w:bidi="en-US"/>
        </w:rPr>
      </w:pPr>
      <w:r>
        <w:rPr>
          <w:rFonts w:ascii="Times New Roman" w:hAnsi="Times New Roman" w:eastAsia="仿宋_GB2312" w:cs="Times New Roman"/>
          <w:b/>
          <w:color w:val="auto"/>
          <w:kern w:val="2"/>
          <w:sz w:val="30"/>
          <w:szCs w:val="30"/>
          <w:highlight w:val="none"/>
          <w:lang w:eastAsia="zh-CN" w:bidi="ar"/>
        </w:rPr>
        <w:br w:type="page"/>
      </w:r>
      <w:r>
        <w:rPr>
          <w:rFonts w:hint="eastAsia" w:ascii="Times New Roman" w:hAnsi="Times New Roman" w:eastAsia="仿宋_GB2312" w:cs="仿宋_GB2312"/>
          <w:color w:val="auto"/>
          <w:kern w:val="2"/>
          <w:sz w:val="30"/>
          <w:szCs w:val="30"/>
          <w:highlight w:val="none"/>
          <w:lang w:eastAsia="zh-CN" w:bidi="ar"/>
        </w:rPr>
        <w:t>附</w:t>
      </w:r>
      <w:bookmarkStart w:id="1337" w:name="_Toc296346734"/>
      <w:bookmarkStart w:id="1338" w:name="_Toc296891273"/>
      <w:bookmarkStart w:id="1339" w:name="_Toc296503233"/>
      <w:bookmarkStart w:id="1340" w:name="_Toc296891061"/>
      <w:bookmarkStart w:id="1341" w:name="_Toc296944572"/>
      <w:bookmarkStart w:id="1342" w:name="_Toc296347232"/>
      <w:r>
        <w:rPr>
          <w:rFonts w:hint="eastAsia" w:ascii="Times New Roman" w:hAnsi="Times New Roman" w:eastAsia="仿宋_GB2312" w:cs="仿宋_GB2312"/>
          <w:color w:val="auto"/>
          <w:kern w:val="2"/>
          <w:sz w:val="30"/>
          <w:szCs w:val="30"/>
          <w:highlight w:val="none"/>
          <w:lang w:eastAsia="zh-CN" w:bidi="ar"/>
        </w:rPr>
        <w:t>件</w:t>
      </w:r>
      <w:r>
        <w:rPr>
          <w:rFonts w:ascii="Times New Roman" w:hAnsi="Times New Roman" w:eastAsia="仿宋_GB2312" w:cs="Times New Roman"/>
          <w:color w:val="auto"/>
          <w:kern w:val="2"/>
          <w:sz w:val="30"/>
          <w:szCs w:val="30"/>
          <w:highlight w:val="none"/>
          <w:lang w:eastAsia="zh-CN" w:bidi="ar"/>
        </w:rPr>
        <w:t xml:space="preserve">10: </w:t>
      </w:r>
      <w:r>
        <w:rPr>
          <w:rFonts w:ascii="Times New Roman" w:hAnsi="Times New Roman" w:eastAsia="黑体" w:cs="Times New Roman"/>
          <w:color w:val="auto"/>
          <w:kern w:val="2"/>
          <w:sz w:val="30"/>
          <w:szCs w:val="30"/>
          <w:highlight w:val="none"/>
          <w:lang w:eastAsia="zh-CN" w:bidi="ar"/>
        </w:rPr>
        <w:t xml:space="preserve"> </w:t>
      </w:r>
    </w:p>
    <w:bookmarkEnd w:id="1337"/>
    <w:bookmarkEnd w:id="1338"/>
    <w:bookmarkEnd w:id="1339"/>
    <w:bookmarkEnd w:id="1340"/>
    <w:bookmarkEnd w:id="1341"/>
    <w:bookmarkEnd w:id="1342"/>
    <w:p w14:paraId="25C7BB29">
      <w:pPr>
        <w:widowControl/>
        <w:shd w:val="clear"/>
        <w:tabs>
          <w:tab w:val="left" w:pos="540"/>
        </w:tabs>
        <w:adjustRightInd w:val="0"/>
        <w:snapToGrid w:val="0"/>
        <w:spacing w:line="360" w:lineRule="auto"/>
        <w:jc w:val="center"/>
        <w:outlineLvl w:val="1"/>
        <w:rPr>
          <w:rFonts w:ascii="Times New Roman" w:hAnsi="Times New Roman" w:eastAsia="黑体" w:cs="Times New Roman"/>
          <w:b/>
          <w:color w:val="auto"/>
          <w:sz w:val="30"/>
          <w:szCs w:val="30"/>
          <w:highlight w:val="none"/>
          <w:lang w:val="en-US" w:eastAsia="zh-CN" w:bidi="en-US"/>
        </w:rPr>
      </w:pPr>
      <w:bookmarkStart w:id="1343" w:name="_Toc7526"/>
      <w:bookmarkStart w:id="1344" w:name="_Toc163768605"/>
      <w:bookmarkStart w:id="1345" w:name="_Toc163768487"/>
      <w:r>
        <w:rPr>
          <w:rFonts w:hint="eastAsia" w:ascii="Times New Roman" w:hAnsi="Times New Roman" w:eastAsia="黑体" w:cs="黑体"/>
          <w:b/>
          <w:color w:val="auto"/>
          <w:sz w:val="30"/>
          <w:szCs w:val="30"/>
          <w:highlight w:val="none"/>
          <w:lang w:val="en-US" w:eastAsia="zh-CN" w:bidi="en-US"/>
        </w:rPr>
        <w:t>支付担保</w:t>
      </w:r>
      <w:bookmarkEnd w:id="1343"/>
      <w:bookmarkEnd w:id="1344"/>
      <w:bookmarkEnd w:id="1345"/>
    </w:p>
    <w:p w14:paraId="76ED2EFD">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（承包人）：</w:t>
      </w:r>
    </w:p>
    <w:p w14:paraId="01BADB78">
      <w:pPr>
        <w:shd w:val="clear"/>
        <w:jc w:val="left"/>
        <w:rPr>
          <w:rFonts w:ascii="Times New Roman" w:hAnsi="Times New Roman" w:eastAsia="仿宋_GB2312" w:cs="Times New Roman"/>
          <w:color w:val="auto"/>
          <w:kern w:val="0"/>
          <w:sz w:val="30"/>
          <w:szCs w:val="30"/>
          <w:highlight w:val="none"/>
          <w:lang w:eastAsia="zh-CN" w:bidi="en-US"/>
        </w:rPr>
      </w:pPr>
    </w:p>
    <w:p w14:paraId="223DF637">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鉴于你方作为承包人已经与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（发包人名称）（以下称“发包人”）于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日签订了</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（工程名称）《建设工程施工合同》（以下称“主合同”），应发包人的申请，我方愿就发包人履行主合同约定的工程款支付义务以保证的方式向你方提供如下担保：</w:t>
      </w:r>
    </w:p>
    <w:p w14:paraId="13C61643">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一、保证的范围及保证金额</w:t>
      </w:r>
    </w:p>
    <w:p w14:paraId="12A52A2A">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我方的保证范围是主合同约定的工程款。</w:t>
      </w:r>
    </w:p>
    <w:p w14:paraId="4CF6DAB5">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本保函所称主合同约定的工程款是指主合同约定的除工程质量保证金以外的合同价款。</w:t>
      </w:r>
    </w:p>
    <w:p w14:paraId="16100DD5">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我方保证的金额是主合同约定的工程款的</w:t>
      </w:r>
      <w:r>
        <w:rPr>
          <w:rFonts w:ascii="Times New Roman" w:hAnsi="Times New Roman" w:eastAsia="仿宋_GB2312" w:cs="Times New Roman"/>
          <w:color w:val="auto"/>
          <w:kern w:val="2"/>
          <w:sz w:val="30"/>
          <w:szCs w:val="30"/>
          <w:highlight w:val="none"/>
          <w:u w:val="single"/>
          <w:lang w:eastAsia="zh-CN" w:bidi="ar"/>
        </w:rPr>
        <w:t xml:space="preserve">      </w:t>
      </w:r>
      <w:r>
        <w:rPr>
          <w:rFonts w:ascii="Times New Roman" w:hAnsi="Times New Roman" w:eastAsia="仿宋_GB2312" w:cs="Times New Roman"/>
          <w:color w:val="auto"/>
          <w:kern w:val="2"/>
          <w:sz w:val="30"/>
          <w:szCs w:val="30"/>
          <w:highlight w:val="none"/>
          <w:lang w:eastAsia="zh-CN" w:bidi="ar"/>
        </w:rPr>
        <w:t>%</w:t>
      </w:r>
      <w:r>
        <w:rPr>
          <w:rFonts w:hint="eastAsia" w:ascii="Times New Roman" w:hAnsi="Times New Roman" w:eastAsia="仿宋_GB2312" w:cs="仿宋_GB2312"/>
          <w:color w:val="auto"/>
          <w:kern w:val="2"/>
          <w:sz w:val="30"/>
          <w:szCs w:val="30"/>
          <w:highlight w:val="none"/>
          <w:lang w:eastAsia="zh-CN" w:bidi="ar"/>
        </w:rPr>
        <w:t>，数额最高不超过人民币元（大写：</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w:t>
      </w:r>
    </w:p>
    <w:p w14:paraId="28450491">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二、保证的方式及保证期间</w:t>
      </w:r>
    </w:p>
    <w:p w14:paraId="312F77BF">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我方保证的方式为：连带责任保证。</w:t>
      </w:r>
    </w:p>
    <w:p w14:paraId="0334438F">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我方保证的期间为：自本合同生效之日起至主合同约定的工程款支付完毕之日后</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日内。</w:t>
      </w:r>
    </w:p>
    <w:p w14:paraId="25670587">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你方与发包人协议变更工程款支付日期的，经我方书面同意后，保证期间按照变更后的支付日期做相应调整。</w:t>
      </w:r>
    </w:p>
    <w:p w14:paraId="7F33FA1D">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三、承担保证责任的形式</w:t>
      </w:r>
    </w:p>
    <w:p w14:paraId="26C107EA">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我方承担保证责任的形式是代为支付。发包人未按主合同约定向你方支付工程款的，由我方在保证金额内代为支付。</w:t>
      </w:r>
    </w:p>
    <w:p w14:paraId="673DC7A7">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四、代偿的安排</w:t>
      </w:r>
    </w:p>
    <w:p w14:paraId="2B8B5B6E">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你方要求我方承担保证责任的，应向我方发出书面索赔通知及发包人未支付主合同约定工程款的证明材料。索赔通知应写明要求索赔的金额，支付款项应到达的账号。</w:t>
      </w:r>
    </w:p>
    <w:p w14:paraId="1BD81A79">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在出现你方与发包人因工程质量发生争议，发包人拒绝向你方支付工程款的情形时，你方要求我方履行保证责任代为支付的，需提供符合相应条件要求的工程质量检测机构出具的质量说明材料。</w:t>
      </w:r>
    </w:p>
    <w:p w14:paraId="77C651D2">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我方收到你方的书面索赔通知及相应的证明材料后７天内无条件支付。</w:t>
      </w:r>
    </w:p>
    <w:p w14:paraId="7E9A45BF">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五、保证责任的解除</w:t>
      </w:r>
    </w:p>
    <w:p w14:paraId="5F96CD88">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在本保函承诺的保证期间内，你方未书面向我方主张保证责任的，自保证期间届满次日起，我方保证责任解除。</w:t>
      </w:r>
    </w:p>
    <w:p w14:paraId="509FE099">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发包人按主合同约定履行了工程款的全部支付义务的，自本保函承诺的保证期间届满次日起，我方保证责任解除。</w:t>
      </w:r>
    </w:p>
    <w:p w14:paraId="42CB652A">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我方按照本保函向你方履行保证责任所支付金额达到本保函保证金额时，自我方向你方支付（支付款项从我方账户划出）之日起，保证责任即解除。</w:t>
      </w:r>
    </w:p>
    <w:p w14:paraId="5615D63D">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4. </w:t>
      </w:r>
      <w:r>
        <w:rPr>
          <w:rFonts w:hint="eastAsia" w:ascii="Times New Roman" w:hAnsi="Times New Roman" w:eastAsia="仿宋_GB2312" w:cs="仿宋_GB2312"/>
          <w:color w:val="auto"/>
          <w:kern w:val="2"/>
          <w:sz w:val="30"/>
          <w:szCs w:val="30"/>
          <w:highlight w:val="none"/>
          <w:lang w:eastAsia="zh-CN" w:bidi="ar"/>
        </w:rPr>
        <w:t>按照法律法规的规定或出现应解除我方保证责任的其他情形的，我方在本保函项下的保证责任亦解除。</w:t>
      </w:r>
    </w:p>
    <w:p w14:paraId="76B2B229">
      <w:pPr>
        <w:shd w:val="clear"/>
        <w:jc w:val="left"/>
        <w:rPr>
          <w:rFonts w:ascii="Times New Roman" w:hAnsi="Times New Roman" w:eastAsia="仿宋_GB2312" w:cs="Times New Roman"/>
          <w:color w:val="auto"/>
          <w:kern w:val="0"/>
          <w:sz w:val="30"/>
          <w:szCs w:val="30"/>
          <w:highlight w:val="none"/>
          <w:lang w:eastAsia="zh-CN" w:bidi="en-US"/>
        </w:rPr>
      </w:pPr>
    </w:p>
    <w:p w14:paraId="05554B0A">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5. </w:t>
      </w:r>
      <w:r>
        <w:rPr>
          <w:rFonts w:hint="eastAsia" w:ascii="Times New Roman" w:hAnsi="Times New Roman" w:eastAsia="仿宋_GB2312" w:cs="仿宋_GB2312"/>
          <w:color w:val="auto"/>
          <w:kern w:val="2"/>
          <w:sz w:val="30"/>
          <w:szCs w:val="30"/>
          <w:highlight w:val="none"/>
          <w:lang w:eastAsia="zh-CN" w:bidi="ar"/>
        </w:rPr>
        <w:t>我方解除保证责任后，你方应自我方保证责任解除之日起</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个工作日内，将本保函原件返还我方。</w:t>
      </w:r>
    </w:p>
    <w:p w14:paraId="3722A7BB">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六、免责条款</w:t>
      </w:r>
    </w:p>
    <w:p w14:paraId="32812721">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1. </w:t>
      </w:r>
      <w:r>
        <w:rPr>
          <w:rFonts w:hint="eastAsia" w:ascii="Times New Roman" w:hAnsi="Times New Roman" w:eastAsia="仿宋_GB2312" w:cs="仿宋_GB2312"/>
          <w:color w:val="auto"/>
          <w:kern w:val="2"/>
          <w:sz w:val="30"/>
          <w:szCs w:val="30"/>
          <w:highlight w:val="none"/>
          <w:lang w:eastAsia="zh-CN" w:bidi="ar"/>
        </w:rPr>
        <w:t>因你方违约致使发包人不能履行义务的，我方不承担保证责任。</w:t>
      </w:r>
    </w:p>
    <w:p w14:paraId="699C008E">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2. </w:t>
      </w:r>
      <w:r>
        <w:rPr>
          <w:rFonts w:hint="eastAsia" w:ascii="Times New Roman" w:hAnsi="Times New Roman" w:eastAsia="仿宋_GB2312" w:cs="仿宋_GB2312"/>
          <w:color w:val="auto"/>
          <w:kern w:val="2"/>
          <w:sz w:val="30"/>
          <w:szCs w:val="30"/>
          <w:highlight w:val="none"/>
          <w:lang w:eastAsia="zh-CN" w:bidi="ar"/>
        </w:rPr>
        <w:t>依照法律法规的规定或你方与发包人的另行约定，免除发包人部分或全部义务的，我方亦免除其相应的保证责任。</w:t>
      </w:r>
    </w:p>
    <w:p w14:paraId="67FCDEF9">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3. </w:t>
      </w:r>
      <w:r>
        <w:rPr>
          <w:rFonts w:hint="eastAsia" w:ascii="Times New Roman" w:hAnsi="Times New Roman" w:eastAsia="仿宋_GB2312" w:cs="仿宋_GB2312"/>
          <w:color w:val="auto"/>
          <w:kern w:val="2"/>
          <w:sz w:val="30"/>
          <w:szCs w:val="30"/>
          <w:highlight w:val="none"/>
          <w:lang w:eastAsia="zh-CN" w:bidi="ar"/>
        </w:rPr>
        <w:t>你方与发包人协议变更主合同的，如加重发包人责任致使我方保证责任加重的，需征得我方书面同意，否则我方不再承担因此而加重部分的保证责任，但主合同第</w:t>
      </w:r>
      <w:r>
        <w:rPr>
          <w:rFonts w:ascii="Times New Roman" w:hAnsi="Times New Roman" w:eastAsia="仿宋_GB2312" w:cs="Times New Roman"/>
          <w:color w:val="auto"/>
          <w:kern w:val="2"/>
          <w:sz w:val="30"/>
          <w:szCs w:val="30"/>
          <w:highlight w:val="none"/>
          <w:lang w:eastAsia="zh-CN" w:bidi="ar"/>
        </w:rPr>
        <w:t>10</w:t>
      </w:r>
      <w:r>
        <w:rPr>
          <w:rFonts w:hint="eastAsia" w:ascii="Times New Roman" w:hAnsi="Times New Roman" w:eastAsia="仿宋_GB2312" w:cs="仿宋_GB2312"/>
          <w:color w:val="auto"/>
          <w:kern w:val="2"/>
          <w:sz w:val="30"/>
          <w:szCs w:val="30"/>
          <w:highlight w:val="none"/>
          <w:lang w:eastAsia="zh-CN" w:bidi="ar"/>
        </w:rPr>
        <w:t>条〔变更〕约定的变更不受本款限制。</w:t>
      </w:r>
    </w:p>
    <w:p w14:paraId="7C4A7A2F">
      <w:pPr>
        <w:shd w:val="clear"/>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4. </w:t>
      </w:r>
      <w:r>
        <w:rPr>
          <w:rFonts w:hint="eastAsia" w:ascii="Times New Roman" w:hAnsi="Times New Roman" w:eastAsia="仿宋_GB2312" w:cs="仿宋_GB2312"/>
          <w:color w:val="auto"/>
          <w:kern w:val="2"/>
          <w:sz w:val="30"/>
          <w:szCs w:val="30"/>
          <w:highlight w:val="none"/>
          <w:lang w:eastAsia="zh-CN" w:bidi="ar"/>
        </w:rPr>
        <w:t>因不可抗力造成发包人不能履行义务的，我方不承担保证责任。</w:t>
      </w:r>
    </w:p>
    <w:p w14:paraId="227D257C">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七、争议解决</w:t>
      </w:r>
    </w:p>
    <w:p w14:paraId="0405A74E">
      <w:pPr>
        <w:shd w:val="clear"/>
        <w:jc w:val="left"/>
        <w:rPr>
          <w:rFonts w:ascii="Times New Roman" w:hAnsi="Times New Roman" w:eastAsia="黑体"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因本保函或本保函相关事项发生的纠纷，可由双方协商解决，协商不成的，</w:t>
      </w:r>
      <w:r>
        <w:rPr>
          <w:rFonts w:hint="eastAsia" w:ascii="Times New Roman" w:hAnsi="Times New Roman" w:eastAsia="仿宋_GB2312" w:cs="仿宋_GB2312"/>
          <w:color w:val="auto"/>
          <w:kern w:val="2"/>
          <w:sz w:val="30"/>
          <w:szCs w:val="32"/>
          <w:highlight w:val="none"/>
          <w:lang w:eastAsia="zh-CN" w:bidi="ar"/>
        </w:rPr>
        <w:t>按下列第</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种方式解决：</w:t>
      </w:r>
    </w:p>
    <w:p w14:paraId="4600709D">
      <w:pPr>
        <w:shd w:val="clear"/>
        <w:jc w:val="left"/>
        <w:rPr>
          <w:rFonts w:ascii="Times New Roman" w:hAnsi="Times New Roman" w:eastAsia="仿宋_GB2312" w:cs="Times New Roman"/>
          <w:color w:val="auto"/>
          <w:kern w:val="0"/>
          <w:sz w:val="30"/>
          <w:szCs w:val="32"/>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1</w:t>
      </w:r>
      <w:r>
        <w:rPr>
          <w:rFonts w:hint="eastAsia" w:ascii="Times New Roman" w:hAnsi="Times New Roman" w:eastAsia="仿宋_GB2312" w:cs="仿宋_GB2312"/>
          <w:color w:val="auto"/>
          <w:kern w:val="2"/>
          <w:sz w:val="30"/>
          <w:szCs w:val="32"/>
          <w:highlight w:val="none"/>
          <w:lang w:eastAsia="zh-CN" w:bidi="ar"/>
        </w:rPr>
        <w:t>）向</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仲裁委员会申请仲裁；</w:t>
      </w:r>
    </w:p>
    <w:p w14:paraId="078EEE67">
      <w:pPr>
        <w:shd w:val="clear"/>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2"/>
          <w:highlight w:val="none"/>
          <w:lang w:eastAsia="zh-CN" w:bidi="ar"/>
        </w:rPr>
        <w:t>（</w:t>
      </w:r>
      <w:r>
        <w:rPr>
          <w:rFonts w:ascii="Times New Roman" w:hAnsi="Times New Roman" w:eastAsia="仿宋_GB2312" w:cs="Times New Roman"/>
          <w:color w:val="auto"/>
          <w:kern w:val="2"/>
          <w:sz w:val="30"/>
          <w:szCs w:val="32"/>
          <w:highlight w:val="none"/>
          <w:lang w:eastAsia="zh-CN" w:bidi="ar"/>
        </w:rPr>
        <w:t>2</w:t>
      </w:r>
      <w:r>
        <w:rPr>
          <w:rFonts w:hint="eastAsia" w:ascii="Times New Roman" w:hAnsi="Times New Roman" w:eastAsia="仿宋_GB2312" w:cs="仿宋_GB2312"/>
          <w:color w:val="auto"/>
          <w:kern w:val="2"/>
          <w:sz w:val="30"/>
          <w:szCs w:val="32"/>
          <w:highlight w:val="none"/>
          <w:lang w:eastAsia="zh-CN" w:bidi="ar"/>
        </w:rPr>
        <w:t>）向</w:t>
      </w:r>
      <w:r>
        <w:rPr>
          <w:rFonts w:ascii="Times New Roman" w:hAnsi="Times New Roman" w:eastAsia="仿宋_GB2312" w:cs="Times New Roman"/>
          <w:color w:val="auto"/>
          <w:kern w:val="2"/>
          <w:sz w:val="30"/>
          <w:szCs w:val="32"/>
          <w:highlight w:val="none"/>
          <w:u w:val="single"/>
          <w:lang w:eastAsia="zh-CN" w:bidi="ar"/>
        </w:rPr>
        <w:t xml:space="preserve">                     </w:t>
      </w:r>
      <w:r>
        <w:rPr>
          <w:rFonts w:hint="eastAsia" w:ascii="Times New Roman" w:hAnsi="Times New Roman" w:eastAsia="仿宋_GB2312" w:cs="仿宋_GB2312"/>
          <w:color w:val="auto"/>
          <w:kern w:val="2"/>
          <w:sz w:val="30"/>
          <w:szCs w:val="32"/>
          <w:highlight w:val="none"/>
          <w:lang w:eastAsia="zh-CN" w:bidi="ar"/>
        </w:rPr>
        <w:t>人民法院起诉。</w:t>
      </w:r>
    </w:p>
    <w:p w14:paraId="52464878">
      <w:pPr>
        <w:shd w:val="clear"/>
        <w:jc w:val="left"/>
        <w:rPr>
          <w:rFonts w:ascii="Times New Roman" w:hAnsi="Times New Roman" w:eastAsia="黑体" w:cs="Times New Roman"/>
          <w:color w:val="auto"/>
          <w:kern w:val="0"/>
          <w:sz w:val="24"/>
          <w:highlight w:val="none"/>
          <w:lang w:eastAsia="zh-CN" w:bidi="en-US"/>
        </w:rPr>
      </w:pPr>
      <w:r>
        <w:rPr>
          <w:rFonts w:hint="eastAsia" w:ascii="Times New Roman" w:hAnsi="Times New Roman" w:eastAsia="黑体" w:cs="Times New Roman"/>
          <w:color w:val="auto"/>
          <w:kern w:val="0"/>
          <w:sz w:val="24"/>
          <w:highlight w:val="none"/>
          <w:lang w:eastAsia="zh-CN" w:bidi="en-US"/>
        </w:rPr>
        <w:t>八、保函的生效</w:t>
      </w:r>
    </w:p>
    <w:p w14:paraId="17FD51DC">
      <w:pPr>
        <w:shd w:val="clear"/>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本保函自我方法定代表人（或其授权代理人）签字并加盖公章之日起生效。</w:t>
      </w:r>
    </w:p>
    <w:p w14:paraId="42A23E01">
      <w:pPr>
        <w:shd w:val="clear"/>
        <w:spacing w:line="360" w:lineRule="auto"/>
        <w:ind w:firstLine="600" w:firstLineChars="200"/>
        <w:jc w:val="left"/>
        <w:rPr>
          <w:rFonts w:ascii="Times New Roman" w:hAnsi="Times New Roman" w:eastAsia="仿宋_GB2312" w:cs="Times New Roman"/>
          <w:color w:val="auto"/>
          <w:kern w:val="0"/>
          <w:sz w:val="30"/>
          <w:szCs w:val="30"/>
          <w:highlight w:val="none"/>
          <w:lang w:eastAsia="zh-CN" w:bidi="en-US"/>
        </w:rPr>
      </w:pPr>
    </w:p>
    <w:p w14:paraId="1F5900F6">
      <w:pPr>
        <w:shd w:val="clear"/>
        <w:spacing w:line="360" w:lineRule="auto"/>
        <w:ind w:right="600"/>
        <w:jc w:val="left"/>
        <w:rPr>
          <w:rFonts w:ascii="Times New Roman" w:hAnsi="Times New Roman" w:eastAsia="仿宋_GB2312" w:cs="Times New Roman"/>
          <w:color w:val="auto"/>
          <w:kern w:val="0"/>
          <w:sz w:val="30"/>
          <w:szCs w:val="30"/>
          <w:highlight w:val="none"/>
          <w:lang w:eastAsia="zh-CN" w:bidi="en-US"/>
        </w:rPr>
      </w:pPr>
    </w:p>
    <w:p w14:paraId="79B6FE46">
      <w:pPr>
        <w:shd w:val="clear"/>
        <w:spacing w:line="360" w:lineRule="auto"/>
        <w:ind w:right="600"/>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担保人：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（盖章）</w:t>
      </w:r>
    </w:p>
    <w:p w14:paraId="5E7895C3">
      <w:pPr>
        <w:shd w:val="clear"/>
        <w:spacing w:line="360" w:lineRule="auto"/>
        <w:ind w:right="1200"/>
        <w:jc w:val="both"/>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法定代表人或委托代理人：</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（签字）</w:t>
      </w:r>
    </w:p>
    <w:p w14:paraId="31CEEA25">
      <w:pPr>
        <w:shd w:val="clear"/>
        <w:spacing w:line="360" w:lineRule="auto"/>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地</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址：</w:t>
      </w:r>
      <w:r>
        <w:rPr>
          <w:rFonts w:ascii="Times New Roman" w:hAnsi="Times New Roman" w:eastAsia="仿宋_GB2312" w:cs="Times New Roman"/>
          <w:color w:val="auto"/>
          <w:kern w:val="2"/>
          <w:sz w:val="30"/>
          <w:szCs w:val="30"/>
          <w:highlight w:val="none"/>
          <w:u w:val="single"/>
          <w:lang w:eastAsia="zh-CN" w:bidi="ar"/>
        </w:rPr>
        <w:t xml:space="preserve">                                        </w:t>
      </w:r>
    </w:p>
    <w:p w14:paraId="48C4A7CF">
      <w:pPr>
        <w:shd w:val="clear"/>
        <w:spacing w:line="360" w:lineRule="auto"/>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邮政编码：</w:t>
      </w:r>
      <w:r>
        <w:rPr>
          <w:rFonts w:ascii="Times New Roman" w:hAnsi="Times New Roman" w:eastAsia="仿宋_GB2312" w:cs="Times New Roman"/>
          <w:color w:val="auto"/>
          <w:kern w:val="2"/>
          <w:sz w:val="30"/>
          <w:szCs w:val="30"/>
          <w:highlight w:val="none"/>
          <w:u w:val="single"/>
          <w:lang w:eastAsia="zh-CN" w:bidi="ar"/>
        </w:rPr>
        <w:t xml:space="preserve">                                        </w:t>
      </w:r>
    </w:p>
    <w:p w14:paraId="444D9B04">
      <w:pPr>
        <w:shd w:val="clear"/>
        <w:spacing w:line="360" w:lineRule="auto"/>
        <w:jc w:val="left"/>
        <w:rPr>
          <w:rFonts w:ascii="Times New Roman" w:hAnsi="Times New Roman" w:eastAsia="仿宋_GB2312" w:cs="Times New Roman"/>
          <w:color w:val="auto"/>
          <w:kern w:val="0"/>
          <w:sz w:val="30"/>
          <w:szCs w:val="30"/>
          <w:highlight w:val="none"/>
          <w:lang w:eastAsia="zh-CN" w:bidi="en-US"/>
        </w:rPr>
      </w:pPr>
      <w:r>
        <w:rPr>
          <w:rFonts w:hint="eastAsia" w:ascii="Times New Roman" w:hAnsi="Times New Roman" w:eastAsia="仿宋_GB2312" w:cs="仿宋_GB2312"/>
          <w:color w:val="auto"/>
          <w:kern w:val="2"/>
          <w:sz w:val="30"/>
          <w:szCs w:val="30"/>
          <w:highlight w:val="none"/>
          <w:lang w:eastAsia="zh-CN" w:bidi="ar"/>
        </w:rPr>
        <w:t>传</w:t>
      </w:r>
      <w:r>
        <w:rPr>
          <w:rFonts w:ascii="Times New Roman" w:hAnsi="Times New Roman" w:eastAsia="仿宋_GB2312" w:cs="Times New Roman"/>
          <w:color w:val="auto"/>
          <w:kern w:val="2"/>
          <w:sz w:val="30"/>
          <w:szCs w:val="30"/>
          <w:highlight w:val="non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真：</w:t>
      </w:r>
      <w:r>
        <w:rPr>
          <w:rFonts w:ascii="Times New Roman" w:hAnsi="Times New Roman" w:eastAsia="仿宋_GB2312" w:cs="Times New Roman"/>
          <w:color w:val="auto"/>
          <w:kern w:val="2"/>
          <w:sz w:val="30"/>
          <w:szCs w:val="30"/>
          <w:highlight w:val="none"/>
          <w:u w:val="single"/>
          <w:lang w:eastAsia="zh-CN" w:bidi="ar"/>
        </w:rPr>
        <w:t xml:space="preserve">                                        </w:t>
      </w:r>
    </w:p>
    <w:p w14:paraId="03AB69B8">
      <w:pPr>
        <w:shd w:val="clear"/>
        <w:spacing w:line="360" w:lineRule="auto"/>
        <w:ind w:right="150" w:firstLine="600" w:firstLineChars="200"/>
        <w:jc w:val="left"/>
        <w:rPr>
          <w:rFonts w:ascii="Times New Roman" w:hAnsi="Times New Roman" w:eastAsia="仿宋_GB2312" w:cs="Times New Roman"/>
          <w:color w:val="auto"/>
          <w:kern w:val="0"/>
          <w:sz w:val="30"/>
          <w:szCs w:val="30"/>
          <w:highlight w:val="none"/>
          <w:u w:val="single"/>
          <w:lang w:eastAsia="zh-CN" w:bidi="en-US"/>
        </w:rPr>
      </w:pPr>
    </w:p>
    <w:p w14:paraId="501FE99D">
      <w:pPr>
        <w:shd w:val="clear"/>
        <w:spacing w:line="360" w:lineRule="auto"/>
        <w:ind w:right="150" w:firstLine="600" w:firstLineChars="200"/>
        <w:jc w:val="left"/>
        <w:rPr>
          <w:rFonts w:ascii="Times New Roman" w:hAnsi="Times New Roman" w:eastAsia="仿宋_GB2312" w:cs="Times New Roman"/>
          <w:color w:val="auto"/>
          <w:kern w:val="0"/>
          <w:sz w:val="30"/>
          <w:szCs w:val="30"/>
          <w:highlight w:val="none"/>
          <w:lang w:eastAsia="zh-CN" w:bidi="en-US"/>
        </w:rPr>
      </w:pPr>
      <w:r>
        <w:rPr>
          <w:rFonts w:ascii="Times New Roman" w:hAnsi="Times New Roman" w:eastAsia="仿宋_GB2312" w:cs="Times New Roman"/>
          <w:color w:val="auto"/>
          <w:kern w:val="2"/>
          <w:sz w:val="30"/>
          <w:szCs w:val="30"/>
          <w:highlight w:val="none"/>
          <w:lang w:eastAsia="zh-CN" w:bidi="ar"/>
        </w:rPr>
        <w:t xml:space="preserve">             </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年</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月</w:t>
      </w:r>
      <w:r>
        <w:rPr>
          <w:rFonts w:ascii="Times New Roman" w:hAnsi="Times New Roman" w:eastAsia="仿宋_GB2312" w:cs="Times New Roman"/>
          <w:color w:val="auto"/>
          <w:kern w:val="2"/>
          <w:sz w:val="30"/>
          <w:szCs w:val="30"/>
          <w:highlight w:val="none"/>
          <w:u w:val="single"/>
          <w:lang w:eastAsia="zh-CN" w:bidi="ar"/>
        </w:rPr>
        <w:t xml:space="preserve">      </w:t>
      </w:r>
      <w:r>
        <w:rPr>
          <w:rFonts w:hint="eastAsia" w:ascii="Times New Roman" w:hAnsi="Times New Roman" w:eastAsia="仿宋_GB2312" w:cs="仿宋_GB2312"/>
          <w:color w:val="auto"/>
          <w:kern w:val="2"/>
          <w:sz w:val="30"/>
          <w:szCs w:val="30"/>
          <w:highlight w:val="none"/>
          <w:lang w:eastAsia="zh-CN" w:bidi="ar"/>
        </w:rPr>
        <w:t>日</w:t>
      </w:r>
    </w:p>
    <w:p w14:paraId="30FA818A">
      <w:pPr>
        <w:shd w:val="clear"/>
        <w:spacing w:line="440" w:lineRule="exact"/>
        <w:jc w:val="both"/>
        <w:rPr>
          <w:rFonts w:ascii="Times New Roman" w:hAnsi="Times New Roman" w:eastAsia="仿宋_GB2312" w:cs="仿宋_GB2312"/>
          <w:color w:val="auto"/>
          <w:kern w:val="2"/>
          <w:sz w:val="30"/>
          <w:szCs w:val="30"/>
          <w:highlight w:val="none"/>
          <w:lang w:eastAsia="zh-CN" w:bidi="ar"/>
        </w:rPr>
      </w:pPr>
      <w:r>
        <w:rPr>
          <w:rFonts w:ascii="Times New Roman" w:hAnsi="Times New Roman" w:eastAsia="仿宋_GB2312" w:cs="Times New Roman"/>
          <w:color w:val="auto"/>
          <w:kern w:val="2"/>
          <w:sz w:val="30"/>
          <w:szCs w:val="30"/>
          <w:highlight w:val="none"/>
          <w:lang w:eastAsia="zh-CN" w:bidi="ar"/>
        </w:rPr>
        <w:br w:type="page"/>
      </w:r>
      <w:r>
        <w:rPr>
          <w:rFonts w:hint="eastAsia" w:ascii="Times New Roman" w:hAnsi="Times New Roman" w:eastAsia="仿宋_GB2312" w:cs="仿宋_GB2312"/>
          <w:color w:val="auto"/>
          <w:kern w:val="2"/>
          <w:sz w:val="30"/>
          <w:szCs w:val="30"/>
          <w:highlight w:val="none"/>
          <w:lang w:eastAsia="zh-CN" w:bidi="ar"/>
        </w:rPr>
        <w:t>附件</w:t>
      </w:r>
      <w:r>
        <w:rPr>
          <w:rFonts w:ascii="Times New Roman" w:hAnsi="Times New Roman" w:eastAsia="仿宋_GB2312" w:cs="Times New Roman"/>
          <w:color w:val="auto"/>
          <w:kern w:val="2"/>
          <w:sz w:val="30"/>
          <w:szCs w:val="30"/>
          <w:highlight w:val="none"/>
          <w:lang w:eastAsia="zh-CN" w:bidi="ar"/>
        </w:rPr>
        <w:t>11</w:t>
      </w:r>
      <w:r>
        <w:rPr>
          <w:rFonts w:hint="eastAsia" w:ascii="Times New Roman" w:hAnsi="Times New Roman" w:eastAsia="仿宋_GB2312" w:cs="仿宋_GB2312"/>
          <w:color w:val="auto"/>
          <w:kern w:val="2"/>
          <w:sz w:val="30"/>
          <w:szCs w:val="30"/>
          <w:highlight w:val="none"/>
          <w:lang w:eastAsia="zh-CN" w:bidi="ar"/>
        </w:rPr>
        <w:t>：</w:t>
      </w:r>
    </w:p>
    <w:p w14:paraId="6A922F74">
      <w:pPr>
        <w:widowControl/>
        <w:shd w:val="clear"/>
        <w:tabs>
          <w:tab w:val="left" w:pos="540"/>
        </w:tabs>
        <w:adjustRightInd w:val="0"/>
        <w:snapToGrid w:val="0"/>
        <w:spacing w:line="360" w:lineRule="auto"/>
        <w:jc w:val="center"/>
        <w:outlineLvl w:val="1"/>
        <w:rPr>
          <w:rFonts w:hint="eastAsia" w:ascii="Times New Roman" w:hAnsi="Times New Roman" w:eastAsia="黑体" w:cs="黑体"/>
          <w:b/>
          <w:color w:val="auto"/>
          <w:sz w:val="30"/>
          <w:szCs w:val="30"/>
          <w:highlight w:val="none"/>
          <w:lang w:val="en-US" w:eastAsia="zh-CN" w:bidi="en-US"/>
        </w:rPr>
      </w:pPr>
      <w:bookmarkStart w:id="1346" w:name="_Toc163768606"/>
      <w:bookmarkStart w:id="1347" w:name="_Toc3538"/>
      <w:bookmarkStart w:id="1348" w:name="_Toc163768488"/>
      <w:r>
        <w:rPr>
          <w:rFonts w:hint="eastAsia" w:ascii="Times New Roman" w:hAnsi="Times New Roman" w:eastAsia="黑体" w:cs="黑体"/>
          <w:b/>
          <w:color w:val="auto"/>
          <w:sz w:val="30"/>
          <w:szCs w:val="30"/>
          <w:highlight w:val="none"/>
          <w:lang w:val="en-US" w:eastAsia="zh-CN" w:bidi="en-US"/>
        </w:rPr>
        <w:t>暂估价一览表</w:t>
      </w:r>
      <w:bookmarkEnd w:id="1346"/>
      <w:bookmarkEnd w:id="1347"/>
      <w:bookmarkEnd w:id="1348"/>
    </w:p>
    <w:p w14:paraId="49900223">
      <w:pPr>
        <w:shd w:val="clear"/>
        <w:jc w:val="left"/>
        <w:rPr>
          <w:rFonts w:ascii="Times New Roman" w:hAnsi="Times New Roman" w:eastAsia="黑体" w:cs="Times New Roman"/>
          <w:color w:val="auto"/>
          <w:kern w:val="0"/>
          <w:sz w:val="24"/>
          <w:highlight w:val="none"/>
          <w:lang w:eastAsia="zh-CN" w:bidi="en-US"/>
        </w:rPr>
      </w:pPr>
      <w:r>
        <w:rPr>
          <w:rFonts w:ascii="Times New Roman" w:hAnsi="Times New Roman" w:eastAsia="黑体" w:cs="Times New Roman"/>
          <w:color w:val="auto"/>
          <w:kern w:val="0"/>
          <w:sz w:val="24"/>
          <w:highlight w:val="none"/>
          <w:lang w:eastAsia="zh-CN" w:bidi="en-US"/>
        </w:rPr>
        <w:t>11-1</w:t>
      </w:r>
      <w:r>
        <w:rPr>
          <w:rFonts w:hint="eastAsia" w:ascii="Times New Roman" w:hAnsi="Times New Roman" w:eastAsia="黑体" w:cs="Times New Roman"/>
          <w:color w:val="auto"/>
          <w:kern w:val="0"/>
          <w:sz w:val="24"/>
          <w:highlight w:val="none"/>
          <w:lang w:eastAsia="zh-CN" w:bidi="en-US"/>
        </w:rPr>
        <w:t>：材料暂估价表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73"/>
        <w:gridCol w:w="2143"/>
        <w:gridCol w:w="919"/>
        <w:gridCol w:w="836"/>
        <w:gridCol w:w="1460"/>
        <w:gridCol w:w="1532"/>
        <w:gridCol w:w="1839"/>
      </w:tblGrid>
      <w:tr w14:paraId="76BE0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12" w:space="0"/>
              <w:left w:val="single" w:color="auto" w:sz="12" w:space="0"/>
              <w:bottom w:val="double" w:color="auto" w:sz="6" w:space="0"/>
              <w:right w:val="single" w:color="auto" w:sz="6" w:space="0"/>
            </w:tcBorders>
            <w:shd w:val="clear" w:color="auto" w:fill="auto"/>
            <w:vAlign w:val="top"/>
          </w:tcPr>
          <w:p w14:paraId="6CC4789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序号</w:t>
            </w:r>
          </w:p>
        </w:tc>
        <w:tc>
          <w:tcPr>
            <w:tcW w:w="2143" w:type="dxa"/>
            <w:tcBorders>
              <w:top w:val="single" w:color="auto" w:sz="12" w:space="0"/>
              <w:left w:val="single" w:color="auto" w:sz="6" w:space="0"/>
              <w:bottom w:val="double" w:color="auto" w:sz="6" w:space="0"/>
              <w:right w:val="single" w:color="auto" w:sz="6" w:space="0"/>
            </w:tcBorders>
            <w:shd w:val="clear" w:color="auto" w:fill="auto"/>
            <w:vAlign w:val="top"/>
          </w:tcPr>
          <w:p w14:paraId="5425CB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名称</w:t>
            </w:r>
          </w:p>
        </w:tc>
        <w:tc>
          <w:tcPr>
            <w:tcW w:w="919" w:type="dxa"/>
            <w:tcBorders>
              <w:top w:val="single" w:color="auto" w:sz="12" w:space="0"/>
              <w:left w:val="single" w:color="auto" w:sz="6" w:space="0"/>
              <w:bottom w:val="double" w:color="auto" w:sz="6" w:space="0"/>
              <w:right w:val="single" w:color="auto" w:sz="6" w:space="0"/>
            </w:tcBorders>
            <w:shd w:val="clear" w:color="auto" w:fill="auto"/>
            <w:vAlign w:val="top"/>
          </w:tcPr>
          <w:p w14:paraId="63A853A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单位</w:t>
            </w:r>
          </w:p>
        </w:tc>
        <w:tc>
          <w:tcPr>
            <w:tcW w:w="836" w:type="dxa"/>
            <w:tcBorders>
              <w:top w:val="single" w:color="auto" w:sz="12" w:space="0"/>
              <w:left w:val="single" w:color="auto" w:sz="6" w:space="0"/>
              <w:bottom w:val="double" w:color="auto" w:sz="6" w:space="0"/>
              <w:right w:val="single" w:color="auto" w:sz="6" w:space="0"/>
            </w:tcBorders>
            <w:shd w:val="clear" w:color="auto" w:fill="auto"/>
            <w:vAlign w:val="top"/>
          </w:tcPr>
          <w:p w14:paraId="5F137D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数量</w:t>
            </w:r>
          </w:p>
        </w:tc>
        <w:tc>
          <w:tcPr>
            <w:tcW w:w="1460" w:type="dxa"/>
            <w:tcBorders>
              <w:top w:val="single" w:color="auto" w:sz="12" w:space="0"/>
              <w:left w:val="single" w:color="auto" w:sz="6" w:space="0"/>
              <w:bottom w:val="double" w:color="auto" w:sz="6" w:space="0"/>
              <w:right w:val="single" w:color="auto" w:sz="6" w:space="0"/>
            </w:tcBorders>
            <w:shd w:val="clear" w:color="auto" w:fill="auto"/>
            <w:vAlign w:val="top"/>
          </w:tcPr>
          <w:p w14:paraId="24EE51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单价（元）</w:t>
            </w:r>
          </w:p>
        </w:tc>
        <w:tc>
          <w:tcPr>
            <w:tcW w:w="1532" w:type="dxa"/>
            <w:tcBorders>
              <w:top w:val="single" w:color="auto" w:sz="12" w:space="0"/>
              <w:left w:val="single" w:color="auto" w:sz="6" w:space="0"/>
              <w:bottom w:val="double" w:color="auto" w:sz="6" w:space="0"/>
              <w:right w:val="single" w:color="auto" w:sz="6" w:space="0"/>
            </w:tcBorders>
            <w:shd w:val="clear" w:color="auto" w:fill="auto"/>
            <w:vAlign w:val="top"/>
          </w:tcPr>
          <w:p w14:paraId="297C09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合价（元）</w:t>
            </w:r>
          </w:p>
        </w:tc>
        <w:tc>
          <w:tcPr>
            <w:tcW w:w="1839" w:type="dxa"/>
            <w:tcBorders>
              <w:top w:val="single" w:color="auto" w:sz="12" w:space="0"/>
              <w:left w:val="single" w:color="auto" w:sz="6" w:space="0"/>
              <w:bottom w:val="double" w:color="auto" w:sz="6" w:space="0"/>
              <w:right w:val="single" w:color="auto" w:sz="12" w:space="0"/>
            </w:tcBorders>
            <w:shd w:val="clear" w:color="auto" w:fill="auto"/>
            <w:vAlign w:val="top"/>
          </w:tcPr>
          <w:p w14:paraId="3DD4655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备注</w:t>
            </w:r>
          </w:p>
        </w:tc>
      </w:tr>
      <w:tr w14:paraId="01132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double" w:color="auto" w:sz="6" w:space="0"/>
              <w:left w:val="single" w:color="auto" w:sz="12" w:space="0"/>
              <w:bottom w:val="single" w:color="auto" w:sz="6" w:space="0"/>
              <w:right w:val="single" w:color="auto" w:sz="6" w:space="0"/>
            </w:tcBorders>
            <w:shd w:val="clear" w:color="auto" w:fill="auto"/>
            <w:vAlign w:val="top"/>
          </w:tcPr>
          <w:p w14:paraId="2C8C86A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double" w:color="auto" w:sz="6" w:space="0"/>
              <w:left w:val="single" w:color="auto" w:sz="6" w:space="0"/>
              <w:bottom w:val="single" w:color="auto" w:sz="6" w:space="0"/>
              <w:right w:val="single" w:color="auto" w:sz="6" w:space="0"/>
            </w:tcBorders>
            <w:shd w:val="clear" w:color="auto" w:fill="auto"/>
            <w:vAlign w:val="top"/>
          </w:tcPr>
          <w:p w14:paraId="72ADDE3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double" w:color="auto" w:sz="6" w:space="0"/>
              <w:left w:val="single" w:color="auto" w:sz="6" w:space="0"/>
              <w:bottom w:val="single" w:color="auto" w:sz="6" w:space="0"/>
              <w:right w:val="single" w:color="auto" w:sz="6" w:space="0"/>
            </w:tcBorders>
            <w:shd w:val="clear" w:color="auto" w:fill="auto"/>
            <w:vAlign w:val="top"/>
          </w:tcPr>
          <w:p w14:paraId="61B17E4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double" w:color="auto" w:sz="6" w:space="0"/>
              <w:left w:val="single" w:color="auto" w:sz="6" w:space="0"/>
              <w:bottom w:val="single" w:color="auto" w:sz="6" w:space="0"/>
              <w:right w:val="single" w:color="auto" w:sz="6" w:space="0"/>
            </w:tcBorders>
            <w:shd w:val="clear" w:color="auto" w:fill="auto"/>
            <w:vAlign w:val="top"/>
          </w:tcPr>
          <w:p w14:paraId="5C496B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double" w:color="auto" w:sz="6" w:space="0"/>
              <w:left w:val="single" w:color="auto" w:sz="6" w:space="0"/>
              <w:bottom w:val="single" w:color="auto" w:sz="6" w:space="0"/>
              <w:right w:val="single" w:color="auto" w:sz="6" w:space="0"/>
            </w:tcBorders>
            <w:shd w:val="clear" w:color="auto" w:fill="auto"/>
            <w:vAlign w:val="top"/>
          </w:tcPr>
          <w:p w14:paraId="7E015EC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double" w:color="auto" w:sz="6" w:space="0"/>
              <w:left w:val="single" w:color="auto" w:sz="6" w:space="0"/>
              <w:bottom w:val="single" w:color="auto" w:sz="6" w:space="0"/>
              <w:right w:val="single" w:color="auto" w:sz="6" w:space="0"/>
            </w:tcBorders>
            <w:shd w:val="clear" w:color="auto" w:fill="auto"/>
            <w:vAlign w:val="top"/>
          </w:tcPr>
          <w:p w14:paraId="280AB42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double" w:color="auto" w:sz="6" w:space="0"/>
              <w:left w:val="single" w:color="auto" w:sz="6" w:space="0"/>
              <w:bottom w:val="single" w:color="auto" w:sz="6" w:space="0"/>
              <w:right w:val="single" w:color="auto" w:sz="12" w:space="0"/>
            </w:tcBorders>
            <w:shd w:val="clear" w:color="auto" w:fill="auto"/>
            <w:vAlign w:val="top"/>
          </w:tcPr>
          <w:p w14:paraId="46BC779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482B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nil"/>
              <w:left w:val="single" w:color="auto" w:sz="12" w:space="0"/>
              <w:bottom w:val="single" w:color="auto" w:sz="6" w:space="0"/>
              <w:right w:val="single" w:color="auto" w:sz="6" w:space="0"/>
            </w:tcBorders>
            <w:shd w:val="clear" w:color="auto" w:fill="auto"/>
            <w:vAlign w:val="top"/>
          </w:tcPr>
          <w:p w14:paraId="6F517DF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nil"/>
              <w:left w:val="single" w:color="auto" w:sz="6" w:space="0"/>
              <w:bottom w:val="single" w:color="auto" w:sz="6" w:space="0"/>
              <w:right w:val="single" w:color="auto" w:sz="6" w:space="0"/>
            </w:tcBorders>
            <w:shd w:val="clear" w:color="auto" w:fill="auto"/>
            <w:vAlign w:val="top"/>
          </w:tcPr>
          <w:p w14:paraId="564A64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nil"/>
              <w:left w:val="single" w:color="auto" w:sz="6" w:space="0"/>
              <w:bottom w:val="single" w:color="auto" w:sz="6" w:space="0"/>
              <w:right w:val="single" w:color="auto" w:sz="6" w:space="0"/>
            </w:tcBorders>
            <w:shd w:val="clear" w:color="auto" w:fill="auto"/>
            <w:vAlign w:val="top"/>
          </w:tcPr>
          <w:p w14:paraId="304FD50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nil"/>
              <w:left w:val="single" w:color="auto" w:sz="6" w:space="0"/>
              <w:bottom w:val="single" w:color="auto" w:sz="6" w:space="0"/>
              <w:right w:val="single" w:color="auto" w:sz="6" w:space="0"/>
            </w:tcBorders>
            <w:shd w:val="clear" w:color="auto" w:fill="auto"/>
            <w:vAlign w:val="top"/>
          </w:tcPr>
          <w:p w14:paraId="0604A53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nil"/>
              <w:left w:val="single" w:color="auto" w:sz="6" w:space="0"/>
              <w:bottom w:val="single" w:color="auto" w:sz="6" w:space="0"/>
              <w:right w:val="single" w:color="auto" w:sz="6" w:space="0"/>
            </w:tcBorders>
            <w:shd w:val="clear" w:color="auto" w:fill="auto"/>
            <w:vAlign w:val="top"/>
          </w:tcPr>
          <w:p w14:paraId="4582BC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nil"/>
              <w:left w:val="single" w:color="auto" w:sz="6" w:space="0"/>
              <w:bottom w:val="single" w:color="auto" w:sz="6" w:space="0"/>
              <w:right w:val="single" w:color="auto" w:sz="6" w:space="0"/>
            </w:tcBorders>
            <w:shd w:val="clear" w:color="auto" w:fill="auto"/>
            <w:vAlign w:val="top"/>
          </w:tcPr>
          <w:p w14:paraId="67A349D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nil"/>
              <w:left w:val="single" w:color="auto" w:sz="6" w:space="0"/>
              <w:bottom w:val="single" w:color="auto" w:sz="6" w:space="0"/>
              <w:right w:val="single" w:color="auto" w:sz="12" w:space="0"/>
            </w:tcBorders>
            <w:shd w:val="clear" w:color="auto" w:fill="auto"/>
            <w:vAlign w:val="top"/>
          </w:tcPr>
          <w:p w14:paraId="4701C18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B247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6A04A05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1AC5AB8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DBD481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0FD1DF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11CD44B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3F61B9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7B52AE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0C182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9C8DB2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A8247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58B33E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44B167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224B70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77C3BEB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6C95F10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4DA55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7617037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9D7CBA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3076B0F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1C31B0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1D8D301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6242E6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4D1A91E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0C2DC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A721C0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AB1144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348AF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11D09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4F746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13BED93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0A59A5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D627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13D40F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3B353E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69B8BB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F85596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3008B82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3DFDDC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4B762B0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9A0B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73E36F5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5B6850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1BC46AB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4C4FE9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3CB23A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05B689B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4FC7E3D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1484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6FAD2BA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1B35606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7EB8E05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12092DE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5ED05A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1075CA2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456CB9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73E7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3B2B06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DC0FE6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06D44E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427AA2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6AD80E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745B315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766CFE4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78EC0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47A72D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06DC6D9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73893A2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93BB1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3FF5679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6946DF7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24CD5A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444B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B7518A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7CDD2DA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217F8BD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D65900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09BBFE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D7A98D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575B566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5DC5C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1B7A8AE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7C8E52B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0ABB9E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6F2294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4F10AB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95C407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740FA2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46FB5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B81833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0BC3C4A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25540D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7AF91CE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2DCDD90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1A3860A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24C7231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AD7C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DB6722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60C80D8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3EDC24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1AD2C46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346B88E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328571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40C5D08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F098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6BC6B2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156C441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37FFD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866D82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1402F3F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2CA13F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00A7E1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956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011BBF9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0613D25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288035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053A364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8905FA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06B4CD5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5EE6117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D7AB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439CF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88220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BB7B5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3C4E4E2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3E5D609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605090C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6E28B0B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1D62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1461C2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57C4C42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7FB1C9E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13AE51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3060610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0B2CF3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0F8094E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EDE4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75B130A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DCE74A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71AC3FF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9D92E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6871087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31F8ABE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09E1BA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742E6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7852B89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DC37C2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652763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72C3F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801A5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069124C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001EFEB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D86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12" w:space="0"/>
              <w:right w:val="single" w:color="auto" w:sz="6" w:space="0"/>
            </w:tcBorders>
            <w:shd w:val="clear" w:color="auto" w:fill="auto"/>
            <w:vAlign w:val="top"/>
          </w:tcPr>
          <w:p w14:paraId="2549840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12" w:space="0"/>
              <w:right w:val="single" w:color="auto" w:sz="6" w:space="0"/>
            </w:tcBorders>
            <w:shd w:val="clear" w:color="auto" w:fill="auto"/>
            <w:vAlign w:val="top"/>
          </w:tcPr>
          <w:p w14:paraId="60A5637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12" w:space="0"/>
              <w:right w:val="single" w:color="auto" w:sz="6" w:space="0"/>
            </w:tcBorders>
            <w:shd w:val="clear" w:color="auto" w:fill="auto"/>
            <w:vAlign w:val="top"/>
          </w:tcPr>
          <w:p w14:paraId="0313610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12" w:space="0"/>
              <w:right w:val="single" w:color="auto" w:sz="6" w:space="0"/>
            </w:tcBorders>
            <w:shd w:val="clear" w:color="auto" w:fill="auto"/>
            <w:vAlign w:val="top"/>
          </w:tcPr>
          <w:p w14:paraId="659A9F6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12" w:space="0"/>
              <w:right w:val="single" w:color="auto" w:sz="6" w:space="0"/>
            </w:tcBorders>
            <w:shd w:val="clear" w:color="auto" w:fill="auto"/>
            <w:vAlign w:val="top"/>
          </w:tcPr>
          <w:p w14:paraId="3016349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12" w:space="0"/>
              <w:right w:val="single" w:color="auto" w:sz="6" w:space="0"/>
            </w:tcBorders>
            <w:shd w:val="clear" w:color="auto" w:fill="auto"/>
            <w:vAlign w:val="top"/>
          </w:tcPr>
          <w:p w14:paraId="66DA6B4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12" w:space="0"/>
              <w:right w:val="single" w:color="auto" w:sz="12" w:space="0"/>
            </w:tcBorders>
            <w:shd w:val="clear" w:color="auto" w:fill="auto"/>
            <w:vAlign w:val="top"/>
          </w:tcPr>
          <w:p w14:paraId="7315EC0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bl>
    <w:p w14:paraId="6FC69DD3">
      <w:pPr>
        <w:shd w:val="clear"/>
        <w:spacing w:before="156" w:beforeLines="50" w:after="156" w:afterLines="50" w:line="440" w:lineRule="exact"/>
        <w:jc w:val="both"/>
        <w:rPr>
          <w:rFonts w:ascii="Times New Roman" w:hAnsi="Times New Roman" w:eastAsia="黑体" w:cs="Times New Roman"/>
          <w:color w:val="auto"/>
          <w:kern w:val="0"/>
          <w:sz w:val="30"/>
          <w:szCs w:val="30"/>
          <w:highlight w:val="none"/>
          <w:lang w:eastAsia="en-US" w:bidi="en-US"/>
        </w:rPr>
      </w:pPr>
    </w:p>
    <w:p w14:paraId="54C3762C">
      <w:pPr>
        <w:shd w:val="clear"/>
        <w:jc w:val="left"/>
        <w:rPr>
          <w:rFonts w:ascii="Times New Roman" w:hAnsi="Times New Roman" w:eastAsia="黑体" w:cs="Times New Roman"/>
          <w:color w:val="auto"/>
          <w:kern w:val="0"/>
          <w:sz w:val="24"/>
          <w:highlight w:val="none"/>
          <w:lang w:eastAsia="en-US" w:bidi="en-US"/>
        </w:rPr>
      </w:pPr>
      <w:r>
        <w:rPr>
          <w:rFonts w:ascii="Times New Roman" w:hAnsi="Times New Roman" w:eastAsia="黑体" w:cs="Times New Roman"/>
          <w:color w:val="auto"/>
          <w:kern w:val="0"/>
          <w:sz w:val="24"/>
          <w:highlight w:val="none"/>
          <w:lang w:eastAsia="en-US" w:bidi="en-US"/>
        </w:rPr>
        <w:t>11-2</w:t>
      </w:r>
      <w:r>
        <w:rPr>
          <w:rFonts w:hint="eastAsia" w:ascii="Times New Roman" w:hAnsi="Times New Roman" w:eastAsia="黑体" w:cs="Times New Roman"/>
          <w:color w:val="auto"/>
          <w:kern w:val="0"/>
          <w:sz w:val="24"/>
          <w:highlight w:val="none"/>
          <w:lang w:eastAsia="zh-CN" w:bidi="en-US"/>
        </w:rPr>
        <w:t>：工程设备暂估价表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73"/>
        <w:gridCol w:w="2143"/>
        <w:gridCol w:w="919"/>
        <w:gridCol w:w="836"/>
        <w:gridCol w:w="1460"/>
        <w:gridCol w:w="1532"/>
        <w:gridCol w:w="1839"/>
      </w:tblGrid>
      <w:tr w14:paraId="386EE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12" w:space="0"/>
              <w:left w:val="single" w:color="auto" w:sz="12" w:space="0"/>
              <w:bottom w:val="double" w:color="auto" w:sz="6" w:space="0"/>
              <w:right w:val="single" w:color="auto" w:sz="6" w:space="0"/>
            </w:tcBorders>
            <w:shd w:val="clear" w:color="auto" w:fill="auto"/>
            <w:vAlign w:val="top"/>
          </w:tcPr>
          <w:p w14:paraId="0EB2F72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序号</w:t>
            </w:r>
          </w:p>
        </w:tc>
        <w:tc>
          <w:tcPr>
            <w:tcW w:w="2143" w:type="dxa"/>
            <w:tcBorders>
              <w:top w:val="single" w:color="auto" w:sz="12" w:space="0"/>
              <w:left w:val="single" w:color="auto" w:sz="6" w:space="0"/>
              <w:bottom w:val="double" w:color="auto" w:sz="6" w:space="0"/>
              <w:right w:val="single" w:color="auto" w:sz="6" w:space="0"/>
            </w:tcBorders>
            <w:shd w:val="clear" w:color="auto" w:fill="auto"/>
            <w:vAlign w:val="top"/>
          </w:tcPr>
          <w:p w14:paraId="0AB7C0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名称</w:t>
            </w:r>
          </w:p>
        </w:tc>
        <w:tc>
          <w:tcPr>
            <w:tcW w:w="919" w:type="dxa"/>
            <w:tcBorders>
              <w:top w:val="single" w:color="auto" w:sz="12" w:space="0"/>
              <w:left w:val="single" w:color="auto" w:sz="6" w:space="0"/>
              <w:bottom w:val="double" w:color="auto" w:sz="6" w:space="0"/>
              <w:right w:val="single" w:color="auto" w:sz="6" w:space="0"/>
            </w:tcBorders>
            <w:shd w:val="clear" w:color="auto" w:fill="auto"/>
            <w:vAlign w:val="top"/>
          </w:tcPr>
          <w:p w14:paraId="3BCAD39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单位</w:t>
            </w:r>
          </w:p>
        </w:tc>
        <w:tc>
          <w:tcPr>
            <w:tcW w:w="836" w:type="dxa"/>
            <w:tcBorders>
              <w:top w:val="single" w:color="auto" w:sz="12" w:space="0"/>
              <w:left w:val="single" w:color="auto" w:sz="6" w:space="0"/>
              <w:bottom w:val="double" w:color="auto" w:sz="6" w:space="0"/>
              <w:right w:val="single" w:color="auto" w:sz="6" w:space="0"/>
            </w:tcBorders>
            <w:shd w:val="clear" w:color="auto" w:fill="auto"/>
            <w:vAlign w:val="top"/>
          </w:tcPr>
          <w:p w14:paraId="4528BC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数量</w:t>
            </w:r>
          </w:p>
        </w:tc>
        <w:tc>
          <w:tcPr>
            <w:tcW w:w="1460" w:type="dxa"/>
            <w:tcBorders>
              <w:top w:val="single" w:color="auto" w:sz="12" w:space="0"/>
              <w:left w:val="single" w:color="auto" w:sz="6" w:space="0"/>
              <w:bottom w:val="double" w:color="auto" w:sz="6" w:space="0"/>
              <w:right w:val="single" w:color="auto" w:sz="6" w:space="0"/>
            </w:tcBorders>
            <w:shd w:val="clear" w:color="auto" w:fill="auto"/>
            <w:vAlign w:val="top"/>
          </w:tcPr>
          <w:p w14:paraId="387FB8A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单价（元）</w:t>
            </w:r>
          </w:p>
        </w:tc>
        <w:tc>
          <w:tcPr>
            <w:tcW w:w="1532" w:type="dxa"/>
            <w:tcBorders>
              <w:top w:val="single" w:color="auto" w:sz="12" w:space="0"/>
              <w:left w:val="single" w:color="auto" w:sz="6" w:space="0"/>
              <w:bottom w:val="double" w:color="auto" w:sz="6" w:space="0"/>
              <w:right w:val="single" w:color="auto" w:sz="6" w:space="0"/>
            </w:tcBorders>
            <w:shd w:val="clear" w:color="auto" w:fill="auto"/>
            <w:vAlign w:val="top"/>
          </w:tcPr>
          <w:p w14:paraId="5CE312D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合价（元）</w:t>
            </w:r>
          </w:p>
        </w:tc>
        <w:tc>
          <w:tcPr>
            <w:tcW w:w="1839" w:type="dxa"/>
            <w:tcBorders>
              <w:top w:val="single" w:color="auto" w:sz="12" w:space="0"/>
              <w:left w:val="single" w:color="auto" w:sz="6" w:space="0"/>
              <w:bottom w:val="double" w:color="auto" w:sz="6" w:space="0"/>
              <w:right w:val="single" w:color="auto" w:sz="12" w:space="0"/>
            </w:tcBorders>
            <w:shd w:val="clear" w:color="auto" w:fill="auto"/>
            <w:vAlign w:val="top"/>
          </w:tcPr>
          <w:p w14:paraId="41C4E96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备注</w:t>
            </w:r>
          </w:p>
        </w:tc>
      </w:tr>
      <w:tr w14:paraId="54E4B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double" w:color="auto" w:sz="6" w:space="0"/>
              <w:left w:val="single" w:color="auto" w:sz="12" w:space="0"/>
              <w:bottom w:val="single" w:color="auto" w:sz="6" w:space="0"/>
              <w:right w:val="single" w:color="auto" w:sz="6" w:space="0"/>
            </w:tcBorders>
            <w:shd w:val="clear" w:color="auto" w:fill="auto"/>
            <w:vAlign w:val="top"/>
          </w:tcPr>
          <w:p w14:paraId="5FCDC6E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double" w:color="auto" w:sz="6" w:space="0"/>
              <w:left w:val="single" w:color="auto" w:sz="6" w:space="0"/>
              <w:bottom w:val="single" w:color="auto" w:sz="6" w:space="0"/>
              <w:right w:val="single" w:color="auto" w:sz="6" w:space="0"/>
            </w:tcBorders>
            <w:shd w:val="clear" w:color="auto" w:fill="auto"/>
            <w:vAlign w:val="top"/>
          </w:tcPr>
          <w:p w14:paraId="497F23E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double" w:color="auto" w:sz="6" w:space="0"/>
              <w:left w:val="single" w:color="auto" w:sz="6" w:space="0"/>
              <w:bottom w:val="single" w:color="auto" w:sz="6" w:space="0"/>
              <w:right w:val="single" w:color="auto" w:sz="6" w:space="0"/>
            </w:tcBorders>
            <w:shd w:val="clear" w:color="auto" w:fill="auto"/>
            <w:vAlign w:val="top"/>
          </w:tcPr>
          <w:p w14:paraId="05AADA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double" w:color="auto" w:sz="6" w:space="0"/>
              <w:left w:val="single" w:color="auto" w:sz="6" w:space="0"/>
              <w:bottom w:val="single" w:color="auto" w:sz="6" w:space="0"/>
              <w:right w:val="single" w:color="auto" w:sz="6" w:space="0"/>
            </w:tcBorders>
            <w:shd w:val="clear" w:color="auto" w:fill="auto"/>
            <w:vAlign w:val="top"/>
          </w:tcPr>
          <w:p w14:paraId="0051F6B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double" w:color="auto" w:sz="6" w:space="0"/>
              <w:left w:val="single" w:color="auto" w:sz="6" w:space="0"/>
              <w:bottom w:val="single" w:color="auto" w:sz="6" w:space="0"/>
              <w:right w:val="single" w:color="auto" w:sz="6" w:space="0"/>
            </w:tcBorders>
            <w:shd w:val="clear" w:color="auto" w:fill="auto"/>
            <w:vAlign w:val="top"/>
          </w:tcPr>
          <w:p w14:paraId="2568359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double" w:color="auto" w:sz="6" w:space="0"/>
              <w:left w:val="single" w:color="auto" w:sz="6" w:space="0"/>
              <w:bottom w:val="single" w:color="auto" w:sz="6" w:space="0"/>
              <w:right w:val="single" w:color="auto" w:sz="6" w:space="0"/>
            </w:tcBorders>
            <w:shd w:val="clear" w:color="auto" w:fill="auto"/>
            <w:vAlign w:val="top"/>
          </w:tcPr>
          <w:p w14:paraId="7FE03A5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double" w:color="auto" w:sz="6" w:space="0"/>
              <w:left w:val="single" w:color="auto" w:sz="6" w:space="0"/>
              <w:bottom w:val="single" w:color="auto" w:sz="6" w:space="0"/>
              <w:right w:val="single" w:color="auto" w:sz="12" w:space="0"/>
            </w:tcBorders>
            <w:shd w:val="clear" w:color="auto" w:fill="auto"/>
            <w:vAlign w:val="top"/>
          </w:tcPr>
          <w:p w14:paraId="1AB6F16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E436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nil"/>
              <w:left w:val="single" w:color="auto" w:sz="12" w:space="0"/>
              <w:bottom w:val="single" w:color="auto" w:sz="6" w:space="0"/>
              <w:right w:val="single" w:color="auto" w:sz="6" w:space="0"/>
            </w:tcBorders>
            <w:shd w:val="clear" w:color="auto" w:fill="auto"/>
            <w:vAlign w:val="top"/>
          </w:tcPr>
          <w:p w14:paraId="184642F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nil"/>
              <w:left w:val="single" w:color="auto" w:sz="6" w:space="0"/>
              <w:bottom w:val="single" w:color="auto" w:sz="6" w:space="0"/>
              <w:right w:val="single" w:color="auto" w:sz="6" w:space="0"/>
            </w:tcBorders>
            <w:shd w:val="clear" w:color="auto" w:fill="auto"/>
            <w:vAlign w:val="top"/>
          </w:tcPr>
          <w:p w14:paraId="617AE8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nil"/>
              <w:left w:val="single" w:color="auto" w:sz="6" w:space="0"/>
              <w:bottom w:val="single" w:color="auto" w:sz="6" w:space="0"/>
              <w:right w:val="single" w:color="auto" w:sz="6" w:space="0"/>
            </w:tcBorders>
            <w:shd w:val="clear" w:color="auto" w:fill="auto"/>
            <w:vAlign w:val="top"/>
          </w:tcPr>
          <w:p w14:paraId="41ACF87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nil"/>
              <w:left w:val="single" w:color="auto" w:sz="6" w:space="0"/>
              <w:bottom w:val="single" w:color="auto" w:sz="6" w:space="0"/>
              <w:right w:val="single" w:color="auto" w:sz="6" w:space="0"/>
            </w:tcBorders>
            <w:shd w:val="clear" w:color="auto" w:fill="auto"/>
            <w:vAlign w:val="top"/>
          </w:tcPr>
          <w:p w14:paraId="166F4F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nil"/>
              <w:left w:val="single" w:color="auto" w:sz="6" w:space="0"/>
              <w:bottom w:val="single" w:color="auto" w:sz="6" w:space="0"/>
              <w:right w:val="single" w:color="auto" w:sz="6" w:space="0"/>
            </w:tcBorders>
            <w:shd w:val="clear" w:color="auto" w:fill="auto"/>
            <w:vAlign w:val="top"/>
          </w:tcPr>
          <w:p w14:paraId="20F0FAF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nil"/>
              <w:left w:val="single" w:color="auto" w:sz="6" w:space="0"/>
              <w:bottom w:val="single" w:color="auto" w:sz="6" w:space="0"/>
              <w:right w:val="single" w:color="auto" w:sz="6" w:space="0"/>
            </w:tcBorders>
            <w:shd w:val="clear" w:color="auto" w:fill="auto"/>
            <w:vAlign w:val="top"/>
          </w:tcPr>
          <w:p w14:paraId="3EC575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nil"/>
              <w:left w:val="single" w:color="auto" w:sz="6" w:space="0"/>
              <w:bottom w:val="single" w:color="auto" w:sz="6" w:space="0"/>
              <w:right w:val="single" w:color="auto" w:sz="12" w:space="0"/>
            </w:tcBorders>
            <w:shd w:val="clear" w:color="auto" w:fill="auto"/>
            <w:vAlign w:val="top"/>
          </w:tcPr>
          <w:p w14:paraId="26F7641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52BAC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2381803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1E1E15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9FEF7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0879430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26E0511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00E6CE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34BC61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952C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B6505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5F8D84A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194B32C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716483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1931EB8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62D9BF3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A4B4E8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C260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19397F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623E8E8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BFA276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11B847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6C9774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28CB250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E1BD55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5BB09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977BF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0C076A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950A5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9C4947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887BE8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10C4A9A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61AEC62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554B8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1B905E8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715A998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365CFF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17E24FC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2F9B4F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3C3D1C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229F4BF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00303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924813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7E943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02309A0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9C453C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0AD746C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718E43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5F7897B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60EC2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67FABA8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FA80EF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5AD2F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7663AD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67EAB58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24B0D0D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CC4DF4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59B4E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5BECCA8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1C16EC1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13902B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4C4C5B4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9BE2E8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07F95A9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0D6D870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150D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5081274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97E234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3F328F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60A41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117E973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6BBE4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7ACCAC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CDC8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0CFD70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C4EC9A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CADABB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9F238A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4ED3602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31465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9E403D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48D8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7A5096E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F4E6122">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DC4A5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673D681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0D3EB7F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E4A4C4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1DA5DE9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5BC2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5B8FEE5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64DACD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522B50F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4159954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245BB5F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70858B4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4BD5985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4EF4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E2238C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4D13600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7C40579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2377AED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6EC9C33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28EAE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B27498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0657C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2A0DA94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BDA8A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6A669C7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7A6C01D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3B999B3">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32E968E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2339063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BBDA1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2E127E8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09E7FF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552076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0E600D0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5D6646E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52D44C5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515B55E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05B56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36C198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2BABDDB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2CFBA83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1D76D1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0F4CE96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0BA1166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2F75BD5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4B2C3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490E32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38F3BCE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BD8D18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71556FE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08B39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4C1F895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516717F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7480A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32A8A1A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15DA05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2860337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51F3B71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6AC3E9C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784A5A7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3402DC6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2F08F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5A1B02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70CE449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159BC2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350EE65F">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79C2525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2464849B">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2F925B1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33497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2331F616">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6EADC84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477C2E7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44BD5F6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0998787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6FCFDE25">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6A37ADF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7198D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6" w:space="0"/>
              <w:right w:val="single" w:color="auto" w:sz="6" w:space="0"/>
            </w:tcBorders>
            <w:shd w:val="clear" w:color="auto" w:fill="auto"/>
            <w:vAlign w:val="top"/>
          </w:tcPr>
          <w:p w14:paraId="4DA68CA9">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6" w:space="0"/>
              <w:right w:val="single" w:color="auto" w:sz="6" w:space="0"/>
            </w:tcBorders>
            <w:shd w:val="clear" w:color="auto" w:fill="auto"/>
            <w:vAlign w:val="top"/>
          </w:tcPr>
          <w:p w14:paraId="527411D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6" w:space="0"/>
              <w:right w:val="single" w:color="auto" w:sz="6" w:space="0"/>
            </w:tcBorders>
            <w:shd w:val="clear" w:color="auto" w:fill="auto"/>
            <w:vAlign w:val="top"/>
          </w:tcPr>
          <w:p w14:paraId="1AB6A324">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6" w:space="0"/>
              <w:right w:val="single" w:color="auto" w:sz="6" w:space="0"/>
            </w:tcBorders>
            <w:shd w:val="clear" w:color="auto" w:fill="auto"/>
            <w:vAlign w:val="top"/>
          </w:tcPr>
          <w:p w14:paraId="3510C7B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6" w:space="0"/>
              <w:right w:val="single" w:color="auto" w:sz="6" w:space="0"/>
            </w:tcBorders>
            <w:shd w:val="clear" w:color="auto" w:fill="auto"/>
            <w:vAlign w:val="top"/>
          </w:tcPr>
          <w:p w14:paraId="4BAE29B1">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6" w:space="0"/>
              <w:right w:val="single" w:color="auto" w:sz="6" w:space="0"/>
            </w:tcBorders>
            <w:shd w:val="clear" w:color="auto" w:fill="auto"/>
            <w:vAlign w:val="top"/>
          </w:tcPr>
          <w:p w14:paraId="2CE98AA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6" w:space="0"/>
              <w:right w:val="single" w:color="auto" w:sz="12" w:space="0"/>
            </w:tcBorders>
            <w:shd w:val="clear" w:color="auto" w:fill="auto"/>
            <w:vAlign w:val="top"/>
          </w:tcPr>
          <w:p w14:paraId="671412D8">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r w14:paraId="12359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073" w:type="dxa"/>
            <w:tcBorders>
              <w:top w:val="single" w:color="auto" w:sz="6" w:space="0"/>
              <w:left w:val="single" w:color="auto" w:sz="12" w:space="0"/>
              <w:bottom w:val="single" w:color="auto" w:sz="12" w:space="0"/>
              <w:right w:val="single" w:color="auto" w:sz="6" w:space="0"/>
            </w:tcBorders>
            <w:shd w:val="clear" w:color="auto" w:fill="auto"/>
            <w:vAlign w:val="top"/>
          </w:tcPr>
          <w:p w14:paraId="64D85B4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2143" w:type="dxa"/>
            <w:tcBorders>
              <w:top w:val="single" w:color="auto" w:sz="6" w:space="0"/>
              <w:left w:val="single" w:color="auto" w:sz="6" w:space="0"/>
              <w:bottom w:val="single" w:color="auto" w:sz="12" w:space="0"/>
              <w:right w:val="single" w:color="auto" w:sz="6" w:space="0"/>
            </w:tcBorders>
            <w:shd w:val="clear" w:color="auto" w:fill="auto"/>
            <w:vAlign w:val="top"/>
          </w:tcPr>
          <w:p w14:paraId="37C1C140">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919" w:type="dxa"/>
            <w:tcBorders>
              <w:top w:val="single" w:color="auto" w:sz="6" w:space="0"/>
              <w:left w:val="single" w:color="auto" w:sz="6" w:space="0"/>
              <w:bottom w:val="single" w:color="auto" w:sz="12" w:space="0"/>
              <w:right w:val="single" w:color="auto" w:sz="6" w:space="0"/>
            </w:tcBorders>
            <w:shd w:val="clear" w:color="auto" w:fill="auto"/>
            <w:vAlign w:val="top"/>
          </w:tcPr>
          <w:p w14:paraId="2DE0DC3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836" w:type="dxa"/>
            <w:tcBorders>
              <w:top w:val="single" w:color="auto" w:sz="6" w:space="0"/>
              <w:left w:val="single" w:color="auto" w:sz="6" w:space="0"/>
              <w:bottom w:val="single" w:color="auto" w:sz="12" w:space="0"/>
              <w:right w:val="single" w:color="auto" w:sz="6" w:space="0"/>
            </w:tcBorders>
            <w:shd w:val="clear" w:color="auto" w:fill="auto"/>
            <w:vAlign w:val="top"/>
          </w:tcPr>
          <w:p w14:paraId="6166FA9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460" w:type="dxa"/>
            <w:tcBorders>
              <w:top w:val="single" w:color="auto" w:sz="6" w:space="0"/>
              <w:left w:val="single" w:color="auto" w:sz="6" w:space="0"/>
              <w:bottom w:val="single" w:color="auto" w:sz="12" w:space="0"/>
              <w:right w:val="single" w:color="auto" w:sz="6" w:space="0"/>
            </w:tcBorders>
            <w:shd w:val="clear" w:color="auto" w:fill="auto"/>
            <w:vAlign w:val="top"/>
          </w:tcPr>
          <w:p w14:paraId="17F5D197">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532" w:type="dxa"/>
            <w:tcBorders>
              <w:top w:val="single" w:color="auto" w:sz="6" w:space="0"/>
              <w:left w:val="single" w:color="auto" w:sz="6" w:space="0"/>
              <w:bottom w:val="single" w:color="auto" w:sz="12" w:space="0"/>
              <w:right w:val="single" w:color="auto" w:sz="6" w:space="0"/>
            </w:tcBorders>
            <w:shd w:val="clear" w:color="auto" w:fill="auto"/>
            <w:vAlign w:val="top"/>
          </w:tcPr>
          <w:p w14:paraId="266BCB7A">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c>
          <w:tcPr>
            <w:tcW w:w="1839" w:type="dxa"/>
            <w:tcBorders>
              <w:top w:val="single" w:color="auto" w:sz="6" w:space="0"/>
              <w:left w:val="single" w:color="auto" w:sz="6" w:space="0"/>
              <w:bottom w:val="single" w:color="auto" w:sz="12" w:space="0"/>
              <w:right w:val="single" w:color="auto" w:sz="12" w:space="0"/>
            </w:tcBorders>
            <w:shd w:val="clear" w:color="auto" w:fill="auto"/>
            <w:vAlign w:val="top"/>
          </w:tcPr>
          <w:p w14:paraId="6D26FC8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p>
        </w:tc>
      </w:tr>
    </w:tbl>
    <w:p w14:paraId="5C7C5E1B">
      <w:pPr>
        <w:shd w:val="clear"/>
        <w:spacing w:line="440" w:lineRule="exact"/>
        <w:jc w:val="both"/>
        <w:rPr>
          <w:rFonts w:ascii="Times New Roman" w:hAnsi="Times New Roman" w:eastAsia="仿宋_GB2312" w:cs="Times New Roman"/>
          <w:color w:val="auto"/>
          <w:kern w:val="0"/>
          <w:sz w:val="30"/>
          <w:szCs w:val="30"/>
          <w:highlight w:val="none"/>
          <w:lang w:eastAsia="en-US" w:bidi="en-US"/>
        </w:rPr>
      </w:pPr>
    </w:p>
    <w:p w14:paraId="0EF86FC0">
      <w:pPr>
        <w:shd w:val="clear"/>
        <w:jc w:val="left"/>
        <w:rPr>
          <w:rFonts w:ascii="Times New Roman" w:hAnsi="Times New Roman" w:eastAsia="黑体" w:cs="Times New Roman"/>
          <w:color w:val="auto"/>
          <w:kern w:val="0"/>
          <w:sz w:val="24"/>
          <w:highlight w:val="none"/>
          <w:lang w:eastAsia="en-US" w:bidi="en-US"/>
        </w:rPr>
      </w:pPr>
      <w:r>
        <w:rPr>
          <w:rFonts w:ascii="Times New Roman" w:hAnsi="Times New Roman" w:eastAsia="仿宋_GB2312" w:cs="Times New Roman"/>
          <w:b/>
          <w:bCs/>
          <w:color w:val="auto"/>
          <w:kern w:val="2"/>
          <w:sz w:val="24"/>
          <w:highlight w:val="none"/>
          <w:lang w:eastAsia="zh-CN" w:bidi="ar"/>
        </w:rPr>
        <w:br w:type="page"/>
      </w:r>
      <w:r>
        <w:rPr>
          <w:rFonts w:ascii="Times New Roman" w:hAnsi="Times New Roman" w:eastAsia="黑体" w:cs="Times New Roman"/>
          <w:color w:val="auto"/>
          <w:kern w:val="0"/>
          <w:sz w:val="24"/>
          <w:highlight w:val="none"/>
          <w:lang w:eastAsia="en-US" w:bidi="en-US"/>
        </w:rPr>
        <w:t>11-3</w:t>
      </w:r>
      <w:r>
        <w:rPr>
          <w:rFonts w:hint="eastAsia" w:ascii="Times New Roman" w:hAnsi="Times New Roman" w:eastAsia="黑体" w:cs="Times New Roman"/>
          <w:color w:val="auto"/>
          <w:kern w:val="0"/>
          <w:sz w:val="24"/>
          <w:highlight w:val="none"/>
          <w:lang w:eastAsia="zh-CN" w:bidi="en-US"/>
        </w:rPr>
        <w:t>：专业工程暂估价表</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76"/>
        <w:gridCol w:w="2206"/>
        <w:gridCol w:w="5201"/>
        <w:gridCol w:w="1419"/>
      </w:tblGrid>
      <w:tr w14:paraId="67DB8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12" w:space="0"/>
              <w:left w:val="single" w:color="auto" w:sz="12" w:space="0"/>
              <w:bottom w:val="double" w:color="auto" w:sz="6" w:space="0"/>
              <w:right w:val="single" w:color="auto" w:sz="6" w:space="0"/>
            </w:tcBorders>
            <w:shd w:val="clear" w:color="auto" w:fill="auto"/>
            <w:vAlign w:val="top"/>
          </w:tcPr>
          <w:p w14:paraId="3F0A00FD">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序号</w:t>
            </w:r>
          </w:p>
        </w:tc>
        <w:tc>
          <w:tcPr>
            <w:tcW w:w="2206" w:type="dxa"/>
            <w:tcBorders>
              <w:top w:val="single" w:color="auto" w:sz="12" w:space="0"/>
              <w:left w:val="single" w:color="auto" w:sz="6" w:space="0"/>
              <w:bottom w:val="double" w:color="auto" w:sz="6" w:space="0"/>
              <w:right w:val="single" w:color="auto" w:sz="6" w:space="0"/>
            </w:tcBorders>
            <w:shd w:val="clear" w:color="auto" w:fill="auto"/>
            <w:vAlign w:val="top"/>
          </w:tcPr>
          <w:p w14:paraId="5AF5554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专业工程名称</w:t>
            </w:r>
          </w:p>
        </w:tc>
        <w:tc>
          <w:tcPr>
            <w:tcW w:w="5201" w:type="dxa"/>
            <w:tcBorders>
              <w:top w:val="single" w:color="auto" w:sz="12" w:space="0"/>
              <w:left w:val="single" w:color="auto" w:sz="6" w:space="0"/>
              <w:bottom w:val="double" w:color="auto" w:sz="6" w:space="0"/>
              <w:right w:val="single" w:color="auto" w:sz="6" w:space="0"/>
            </w:tcBorders>
            <w:shd w:val="clear" w:color="auto" w:fill="auto"/>
            <w:vAlign w:val="top"/>
          </w:tcPr>
          <w:p w14:paraId="1CC8AEBE">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工程内容</w:t>
            </w:r>
          </w:p>
        </w:tc>
        <w:tc>
          <w:tcPr>
            <w:tcW w:w="1419" w:type="dxa"/>
            <w:tcBorders>
              <w:top w:val="single" w:color="auto" w:sz="12" w:space="0"/>
              <w:left w:val="single" w:color="auto" w:sz="6" w:space="0"/>
              <w:bottom w:val="double" w:color="auto" w:sz="6" w:space="0"/>
              <w:right w:val="single" w:color="auto" w:sz="12" w:space="0"/>
            </w:tcBorders>
            <w:shd w:val="clear" w:color="auto" w:fill="auto"/>
            <w:vAlign w:val="top"/>
          </w:tcPr>
          <w:p w14:paraId="5AF7BBDC">
            <w:pPr>
              <w:keepNext/>
              <w:widowControl w:val="0"/>
              <w:shd w:val="clear"/>
              <w:adjustRightInd w:val="0"/>
              <w:spacing w:after="60" w:line="440" w:lineRule="exact"/>
              <w:ind w:left="63" w:leftChars="30" w:right="63" w:rightChars="30"/>
              <w:jc w:val="center"/>
              <w:rPr>
                <w:rFonts w:ascii="宋体" w:hAnsi="宋体" w:eastAsia="仿宋_GB2312" w:cs="宋体"/>
                <w:color w:val="auto"/>
                <w:kern w:val="2"/>
                <w:sz w:val="28"/>
                <w:szCs w:val="30"/>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金额</w:t>
            </w:r>
          </w:p>
        </w:tc>
      </w:tr>
      <w:tr w14:paraId="38FA8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double" w:color="auto" w:sz="6" w:space="0"/>
              <w:left w:val="single" w:color="auto" w:sz="12" w:space="0"/>
              <w:bottom w:val="single" w:color="auto" w:sz="6" w:space="0"/>
              <w:right w:val="single" w:color="auto" w:sz="6" w:space="0"/>
            </w:tcBorders>
            <w:shd w:val="clear" w:color="auto" w:fill="auto"/>
            <w:vAlign w:val="top"/>
          </w:tcPr>
          <w:p w14:paraId="7679BF5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double" w:color="auto" w:sz="6" w:space="0"/>
              <w:left w:val="single" w:color="auto" w:sz="6" w:space="0"/>
              <w:bottom w:val="single" w:color="auto" w:sz="6" w:space="0"/>
              <w:right w:val="single" w:color="auto" w:sz="6" w:space="0"/>
            </w:tcBorders>
            <w:shd w:val="clear" w:color="auto" w:fill="auto"/>
            <w:vAlign w:val="top"/>
          </w:tcPr>
          <w:p w14:paraId="578991C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double" w:color="auto" w:sz="6" w:space="0"/>
              <w:left w:val="single" w:color="auto" w:sz="6" w:space="0"/>
              <w:bottom w:val="single" w:color="auto" w:sz="6" w:space="0"/>
              <w:right w:val="single" w:color="auto" w:sz="6" w:space="0"/>
            </w:tcBorders>
            <w:shd w:val="clear" w:color="auto" w:fill="auto"/>
            <w:vAlign w:val="top"/>
          </w:tcPr>
          <w:p w14:paraId="0052723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double" w:color="auto" w:sz="6" w:space="0"/>
              <w:left w:val="single" w:color="auto" w:sz="6" w:space="0"/>
              <w:bottom w:val="single" w:color="auto" w:sz="6" w:space="0"/>
              <w:right w:val="single" w:color="auto" w:sz="12" w:space="0"/>
            </w:tcBorders>
            <w:shd w:val="clear" w:color="auto" w:fill="auto"/>
            <w:vAlign w:val="top"/>
          </w:tcPr>
          <w:p w14:paraId="516E5CE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48F0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nil"/>
              <w:left w:val="single" w:color="auto" w:sz="12" w:space="0"/>
              <w:bottom w:val="single" w:color="auto" w:sz="6" w:space="0"/>
              <w:right w:val="single" w:color="auto" w:sz="6" w:space="0"/>
            </w:tcBorders>
            <w:shd w:val="clear" w:color="auto" w:fill="auto"/>
            <w:vAlign w:val="top"/>
          </w:tcPr>
          <w:p w14:paraId="452862F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nil"/>
              <w:left w:val="single" w:color="auto" w:sz="6" w:space="0"/>
              <w:bottom w:val="single" w:color="auto" w:sz="6" w:space="0"/>
              <w:right w:val="single" w:color="auto" w:sz="6" w:space="0"/>
            </w:tcBorders>
            <w:shd w:val="clear" w:color="auto" w:fill="auto"/>
            <w:vAlign w:val="top"/>
          </w:tcPr>
          <w:p w14:paraId="13054D7A">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nil"/>
              <w:left w:val="single" w:color="auto" w:sz="6" w:space="0"/>
              <w:bottom w:val="single" w:color="auto" w:sz="6" w:space="0"/>
              <w:right w:val="single" w:color="auto" w:sz="6" w:space="0"/>
            </w:tcBorders>
            <w:shd w:val="clear" w:color="auto" w:fill="auto"/>
            <w:vAlign w:val="top"/>
          </w:tcPr>
          <w:p w14:paraId="592FA38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nil"/>
              <w:left w:val="single" w:color="auto" w:sz="6" w:space="0"/>
              <w:bottom w:val="single" w:color="auto" w:sz="6" w:space="0"/>
              <w:right w:val="single" w:color="auto" w:sz="12" w:space="0"/>
            </w:tcBorders>
            <w:shd w:val="clear" w:color="auto" w:fill="auto"/>
            <w:vAlign w:val="top"/>
          </w:tcPr>
          <w:p w14:paraId="1A2CEC23">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1017F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nil"/>
              <w:left w:val="single" w:color="auto" w:sz="12" w:space="0"/>
              <w:bottom w:val="single" w:color="auto" w:sz="6" w:space="0"/>
              <w:right w:val="single" w:color="auto" w:sz="6" w:space="0"/>
            </w:tcBorders>
            <w:shd w:val="clear" w:color="auto" w:fill="auto"/>
            <w:vAlign w:val="top"/>
          </w:tcPr>
          <w:p w14:paraId="0CD5B6A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nil"/>
              <w:left w:val="single" w:color="auto" w:sz="6" w:space="0"/>
              <w:bottom w:val="single" w:color="auto" w:sz="6" w:space="0"/>
              <w:right w:val="single" w:color="auto" w:sz="6" w:space="0"/>
            </w:tcBorders>
            <w:shd w:val="clear" w:color="auto" w:fill="auto"/>
            <w:vAlign w:val="top"/>
          </w:tcPr>
          <w:p w14:paraId="36302BCC">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nil"/>
              <w:left w:val="single" w:color="auto" w:sz="6" w:space="0"/>
              <w:bottom w:val="single" w:color="auto" w:sz="6" w:space="0"/>
              <w:right w:val="single" w:color="auto" w:sz="6" w:space="0"/>
            </w:tcBorders>
            <w:shd w:val="clear" w:color="auto" w:fill="auto"/>
            <w:vAlign w:val="top"/>
          </w:tcPr>
          <w:p w14:paraId="4D4267E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nil"/>
              <w:left w:val="single" w:color="auto" w:sz="6" w:space="0"/>
              <w:bottom w:val="single" w:color="auto" w:sz="6" w:space="0"/>
              <w:right w:val="single" w:color="auto" w:sz="12" w:space="0"/>
            </w:tcBorders>
            <w:shd w:val="clear" w:color="auto" w:fill="auto"/>
            <w:vAlign w:val="top"/>
          </w:tcPr>
          <w:p w14:paraId="45F485D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6E62B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2FE895B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34CAA78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287645E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6C80E1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39F1D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30F2553C">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58C12C23">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4916825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57E0405C">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46F04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03CD60B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4D7A2BA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71E31AC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2107A5B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69350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6F09539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1773273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0B6955D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2C986BE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55EB4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485E85FA">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4628A6C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039BA8D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2E23C03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13FDD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32FC194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3BE2D53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08653BE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C1ABD6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4B891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24AD357B">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4FBEE3A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3C2CE646">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F56F5D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0B1D8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662FB5A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178B539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44679A5A">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0D33D4EC">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0E406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344A4F1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0727B47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4E0E929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68B07BA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3E7E5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12DB94F4">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66717FB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236B299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2FA4315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55FAD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0FF00493">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75ECA28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2ADC1CB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6A87CEC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1A6CC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15460413">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46AB2E2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599C8D0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7BCD3824">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48DCF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0AFF984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7EF45F4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6B5CE85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7898E9A">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355B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4005053F">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234E1DB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6E82528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2BF2B3F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3201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3AC94B4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35273C3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49EB2B36">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3B45846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5D159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699DE5D7">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296372D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6EBA230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6642639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53BD7B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5D749B66">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5EF98536">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510D47C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F5CBC99">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55CD6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4537F3D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4523901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3B696DF6">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3E7170BD">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23CB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3BB5857E">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17DBCAD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3DE985D0">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421E95CB">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53EA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76" w:type="dxa"/>
            <w:tcBorders>
              <w:top w:val="single" w:color="auto" w:sz="6" w:space="0"/>
              <w:left w:val="single" w:color="auto" w:sz="12" w:space="0"/>
              <w:bottom w:val="single" w:color="auto" w:sz="6" w:space="0"/>
              <w:right w:val="single" w:color="auto" w:sz="6" w:space="0"/>
            </w:tcBorders>
            <w:shd w:val="clear" w:color="auto" w:fill="auto"/>
            <w:vAlign w:val="top"/>
          </w:tcPr>
          <w:p w14:paraId="28881188">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2206" w:type="dxa"/>
            <w:tcBorders>
              <w:top w:val="single" w:color="auto" w:sz="6" w:space="0"/>
              <w:left w:val="single" w:color="auto" w:sz="6" w:space="0"/>
              <w:bottom w:val="single" w:color="auto" w:sz="6" w:space="0"/>
              <w:right w:val="single" w:color="auto" w:sz="6" w:space="0"/>
            </w:tcBorders>
            <w:shd w:val="clear" w:color="auto" w:fill="auto"/>
            <w:vAlign w:val="top"/>
          </w:tcPr>
          <w:p w14:paraId="26F7D425">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5201" w:type="dxa"/>
            <w:tcBorders>
              <w:top w:val="single" w:color="auto" w:sz="6" w:space="0"/>
              <w:left w:val="single" w:color="auto" w:sz="6" w:space="0"/>
              <w:bottom w:val="single" w:color="auto" w:sz="6" w:space="0"/>
              <w:right w:val="single" w:color="auto" w:sz="6" w:space="0"/>
            </w:tcBorders>
            <w:shd w:val="clear" w:color="auto" w:fill="auto"/>
            <w:vAlign w:val="top"/>
          </w:tcPr>
          <w:p w14:paraId="049DEC62">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c>
          <w:tcPr>
            <w:tcW w:w="1419" w:type="dxa"/>
            <w:tcBorders>
              <w:top w:val="single" w:color="auto" w:sz="6" w:space="0"/>
              <w:left w:val="single" w:color="auto" w:sz="6" w:space="0"/>
              <w:bottom w:val="single" w:color="auto" w:sz="6" w:space="0"/>
              <w:right w:val="single" w:color="auto" w:sz="12" w:space="0"/>
            </w:tcBorders>
            <w:shd w:val="clear" w:color="auto" w:fill="auto"/>
            <w:vAlign w:val="top"/>
          </w:tcPr>
          <w:p w14:paraId="63A98811">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p>
        </w:tc>
      </w:tr>
      <w:tr w14:paraId="2332E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2" w:type="dxa"/>
            <w:gridSpan w:val="4"/>
            <w:tcBorders>
              <w:top w:val="single" w:color="auto" w:sz="6" w:space="0"/>
              <w:left w:val="single" w:color="auto" w:sz="12" w:space="0"/>
              <w:bottom w:val="single" w:color="auto" w:sz="12" w:space="0"/>
              <w:right w:val="single" w:color="auto" w:sz="12" w:space="0"/>
            </w:tcBorders>
            <w:shd w:val="clear" w:color="auto" w:fill="auto"/>
            <w:vAlign w:val="top"/>
          </w:tcPr>
          <w:p w14:paraId="17BE563A">
            <w:pPr>
              <w:keepNext/>
              <w:widowControl w:val="0"/>
              <w:shd w:val="clear"/>
              <w:adjustRightInd w:val="0"/>
              <w:spacing w:after="60" w:line="440" w:lineRule="exact"/>
              <w:ind w:left="63" w:leftChars="30" w:right="63" w:rightChars="30"/>
              <w:jc w:val="center"/>
              <w:rPr>
                <w:rFonts w:ascii="宋体" w:hAnsi="宋体" w:eastAsia="宋体" w:cs="宋体"/>
                <w:color w:val="auto"/>
                <w:kern w:val="2"/>
                <w:sz w:val="21"/>
                <w:szCs w:val="21"/>
                <w:highlight w:val="none"/>
                <w:lang w:val="en-US" w:eastAsia="en-US" w:bidi="en-US"/>
              </w:rPr>
            </w:pPr>
            <w:r>
              <w:rPr>
                <w:rFonts w:hint="eastAsia" w:ascii="Times New Roman" w:hAnsi="Times New Roman" w:eastAsia="仿宋_GB2312" w:cs="仿宋_GB2312"/>
                <w:color w:val="auto"/>
                <w:kern w:val="2"/>
                <w:sz w:val="28"/>
                <w:szCs w:val="30"/>
                <w:highlight w:val="none"/>
                <w:lang w:val="en-US" w:eastAsia="zh-CN" w:bidi="ar"/>
              </w:rPr>
              <w:t>小计：</w:t>
            </w:r>
          </w:p>
        </w:tc>
      </w:tr>
    </w:tbl>
    <w:p w14:paraId="638FA255">
      <w:pPr>
        <w:snapToGrid w:val="0"/>
        <w:spacing w:line="400" w:lineRule="exact"/>
        <w:jc w:val="center"/>
        <w:rPr>
          <w:rFonts w:ascii="方正小标宋简体" w:hAnsi="微软雅黑" w:eastAsia="方正小标宋简体" w:cs="方正小标宋简体"/>
          <w:caps/>
          <w:color w:val="auto"/>
          <w:sz w:val="32"/>
          <w:szCs w:val="32"/>
        </w:rPr>
      </w:pPr>
    </w:p>
    <w:p w14:paraId="0358BFA7">
      <w:pPr>
        <w:widowControl/>
        <w:shd w:val="clear"/>
        <w:jc w:val="center"/>
        <w:outlineLvl w:val="0"/>
        <w:rPr>
          <w:rFonts w:ascii="Times New Roman" w:hAnsi="Times New Roman" w:eastAsia="宋体" w:cs="Times New Roman"/>
          <w:color w:val="auto"/>
          <w:sz w:val="32"/>
          <w:szCs w:val="32"/>
          <w:highlight w:val="none"/>
        </w:rPr>
      </w:pPr>
      <w:r>
        <w:rPr>
          <w:rFonts w:ascii="方正小标宋简体" w:hAnsi="微软雅黑" w:eastAsia="方正小标宋简体" w:cs="方正小标宋简体"/>
          <w:caps/>
          <w:color w:val="auto"/>
          <w:sz w:val="32"/>
          <w:szCs w:val="32"/>
        </w:rPr>
        <w:br w:type="page"/>
      </w:r>
      <w:bookmarkStart w:id="1349" w:name="_Toc10581"/>
      <w:bookmarkStart w:id="1350" w:name="_Toc11689"/>
      <w:bookmarkStart w:id="1351" w:name="_Toc12898"/>
      <w:bookmarkStart w:id="1352" w:name="_Toc22084"/>
      <w:bookmarkStart w:id="1353" w:name="_Toc13663"/>
      <w:bookmarkStart w:id="1354" w:name="_Toc1195"/>
      <w:r>
        <w:rPr>
          <w:rFonts w:hint="eastAsia" w:ascii="Times New Roman" w:hAnsi="Times New Roman" w:eastAsia="宋体" w:cs="Times New Roman"/>
          <w:color w:val="auto"/>
          <w:sz w:val="32"/>
          <w:szCs w:val="32"/>
          <w:highlight w:val="none"/>
        </w:rPr>
        <w:t>第五章</w:t>
      </w:r>
      <w:r>
        <w:rPr>
          <w:rFonts w:ascii="宋体" w:hAnsi="宋体" w:eastAsia="宋体" w:cs="黑体"/>
          <w:color w:val="auto"/>
          <w:kern w:val="0"/>
          <w:sz w:val="32"/>
          <w:szCs w:val="32"/>
          <w:highlight w:val="none"/>
        </w:rPr>
        <w:t xml:space="preserve"> </w:t>
      </w:r>
      <w:r>
        <w:rPr>
          <w:rFonts w:hint="eastAsia" w:ascii="Times New Roman" w:hAnsi="Times New Roman" w:eastAsia="宋体" w:cs="Times New Roman"/>
          <w:color w:val="auto"/>
          <w:sz w:val="32"/>
          <w:szCs w:val="32"/>
          <w:highlight w:val="none"/>
        </w:rPr>
        <w:t>采购需求</w:t>
      </w:r>
      <w:bookmarkEnd w:id="1349"/>
      <w:bookmarkEnd w:id="1350"/>
      <w:bookmarkEnd w:id="1351"/>
      <w:bookmarkEnd w:id="1352"/>
    </w:p>
    <w:p w14:paraId="76213EF5">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8"/>
          <w:szCs w:val="28"/>
          <w:highlight w:val="none"/>
        </w:rPr>
      </w:pPr>
      <w:bookmarkStart w:id="1355" w:name="_Toc9060"/>
      <w:r>
        <w:rPr>
          <w:rFonts w:hint="eastAsia" w:ascii="宋体" w:hAnsi="宋体" w:eastAsia="宋体" w:cs="宋体"/>
          <w:b/>
          <w:bCs/>
          <w:color w:val="auto"/>
          <w:kern w:val="0"/>
          <w:sz w:val="28"/>
          <w:szCs w:val="28"/>
          <w:highlight w:val="none"/>
          <w:lang w:eastAsia="zh-CN"/>
        </w:rPr>
        <w:t>(</w:t>
      </w:r>
      <w:r>
        <w:rPr>
          <w:rFonts w:hint="eastAsia" w:ascii="宋体" w:hAnsi="宋体" w:eastAsia="宋体" w:cs="宋体"/>
          <w:b/>
          <w:bCs/>
          <w:color w:val="auto"/>
          <w:kern w:val="0"/>
          <w:sz w:val="28"/>
          <w:szCs w:val="28"/>
          <w:highlight w:val="none"/>
        </w:rPr>
        <w:t>一</w:t>
      </w:r>
      <w:r>
        <w:rPr>
          <w:rFonts w:hint="eastAsia" w:ascii="宋体" w:hAnsi="宋体" w:eastAsia="宋体" w:cs="宋体"/>
          <w:b/>
          <w:bCs/>
          <w:color w:val="auto"/>
          <w:kern w:val="0"/>
          <w:sz w:val="28"/>
          <w:szCs w:val="28"/>
          <w:highlight w:val="none"/>
          <w:lang w:eastAsia="zh-CN"/>
        </w:rPr>
        <w:t>)</w:t>
      </w:r>
      <w:r>
        <w:rPr>
          <w:rFonts w:hint="eastAsia" w:ascii="宋体" w:hAnsi="宋体" w:eastAsia="宋体" w:cs="宋体"/>
          <w:b/>
          <w:bCs/>
          <w:color w:val="auto"/>
          <w:kern w:val="0"/>
          <w:sz w:val="28"/>
          <w:szCs w:val="28"/>
          <w:highlight w:val="none"/>
        </w:rPr>
        <w:t>采购</w:t>
      </w:r>
      <w:r>
        <w:rPr>
          <w:rFonts w:hint="eastAsia" w:ascii="宋体" w:hAnsi="宋体" w:eastAsia="宋体" w:cs="宋体"/>
          <w:b/>
          <w:bCs/>
          <w:color w:val="auto"/>
          <w:kern w:val="0"/>
          <w:sz w:val="28"/>
          <w:szCs w:val="28"/>
          <w:highlight w:val="none"/>
          <w:lang w:val="en-US" w:eastAsia="zh-CN"/>
        </w:rPr>
        <w:t>服务</w:t>
      </w:r>
      <w:r>
        <w:rPr>
          <w:rFonts w:hint="eastAsia" w:ascii="宋体" w:hAnsi="宋体" w:eastAsia="宋体" w:cs="宋体"/>
          <w:b/>
          <w:bCs/>
          <w:color w:val="auto"/>
          <w:kern w:val="0"/>
          <w:sz w:val="28"/>
          <w:szCs w:val="28"/>
          <w:highlight w:val="none"/>
        </w:rPr>
        <w:t>需实现的功能或者目标</w:t>
      </w:r>
      <w:bookmarkEnd w:id="1355"/>
    </w:p>
    <w:p w14:paraId="29EA37FC">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采购一批昌吉市市区内花灯、庭州生态绿谷花灯（含安装）。</w:t>
      </w:r>
    </w:p>
    <w:p w14:paraId="4465BE69">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8"/>
          <w:szCs w:val="28"/>
          <w:highlight w:val="none"/>
          <w:lang w:eastAsia="zh-CN"/>
        </w:rPr>
      </w:pPr>
      <w:bookmarkStart w:id="1356" w:name="_Toc22177"/>
      <w:r>
        <w:rPr>
          <w:rFonts w:hint="eastAsia" w:ascii="宋体" w:hAnsi="宋体" w:eastAsia="宋体" w:cs="宋体"/>
          <w:b/>
          <w:bCs/>
          <w:color w:val="auto"/>
          <w:kern w:val="0"/>
          <w:sz w:val="28"/>
          <w:szCs w:val="28"/>
          <w:highlight w:val="none"/>
          <w:lang w:val="en-US" w:eastAsia="zh-CN" w:bidi="ar-SA"/>
        </w:rPr>
        <w:t>(二)</w:t>
      </w:r>
      <w:r>
        <w:rPr>
          <w:rFonts w:hint="eastAsia" w:ascii="宋体" w:hAnsi="宋体" w:eastAsia="宋体" w:cs="宋体"/>
          <w:b/>
          <w:bCs/>
          <w:color w:val="auto"/>
          <w:kern w:val="0"/>
          <w:sz w:val="28"/>
          <w:szCs w:val="28"/>
          <w:highlight w:val="none"/>
          <w:lang w:eastAsia="zh-CN"/>
        </w:rPr>
        <w:t>采购</w:t>
      </w:r>
      <w:r>
        <w:rPr>
          <w:rFonts w:hint="eastAsia" w:ascii="宋体" w:hAnsi="宋体" w:eastAsia="宋体" w:cs="宋体"/>
          <w:b/>
          <w:bCs/>
          <w:color w:val="auto"/>
          <w:kern w:val="0"/>
          <w:sz w:val="28"/>
          <w:szCs w:val="28"/>
          <w:highlight w:val="none"/>
          <w:lang w:val="en-US" w:eastAsia="zh-CN"/>
        </w:rPr>
        <w:t>服务</w:t>
      </w:r>
      <w:r>
        <w:rPr>
          <w:rFonts w:hint="eastAsia" w:ascii="宋体" w:hAnsi="宋体" w:eastAsia="宋体" w:cs="宋体"/>
          <w:b/>
          <w:bCs/>
          <w:color w:val="auto"/>
          <w:kern w:val="0"/>
          <w:sz w:val="28"/>
          <w:szCs w:val="28"/>
          <w:highlight w:val="none"/>
          <w:lang w:eastAsia="zh-CN"/>
        </w:rPr>
        <w:t>需执行的国家相关标准、行业标准、地方标准或者其他标准、规范</w:t>
      </w:r>
      <w:bookmarkEnd w:id="1356"/>
    </w:p>
    <w:p w14:paraId="0386AB74">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满足国家相关标准、行业标准、地方标准及采购人相关要求。</w:t>
      </w:r>
    </w:p>
    <w:p w14:paraId="225E20E7">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8"/>
          <w:szCs w:val="28"/>
          <w:highlight w:val="none"/>
          <w:lang w:val="en-US" w:eastAsia="zh-CN" w:bidi="ar-SA"/>
        </w:rPr>
      </w:pPr>
      <w:bookmarkStart w:id="1357" w:name="_Toc801"/>
      <w:r>
        <w:rPr>
          <w:rFonts w:hint="eastAsia" w:ascii="宋体" w:hAnsi="宋体" w:eastAsia="宋体" w:cs="宋体"/>
          <w:b/>
          <w:bCs/>
          <w:color w:val="auto"/>
          <w:kern w:val="0"/>
          <w:sz w:val="28"/>
          <w:szCs w:val="28"/>
          <w:highlight w:val="none"/>
          <w:lang w:val="en-US" w:eastAsia="zh-CN" w:bidi="ar-SA"/>
        </w:rPr>
        <w:t>(三)采购服务需满足的要求及验收标准</w:t>
      </w:r>
      <w:bookmarkEnd w:id="1357"/>
    </w:p>
    <w:p w14:paraId="21577D03">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按照合同约定执行。</w:t>
      </w:r>
    </w:p>
    <w:p w14:paraId="19BA9740">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8"/>
          <w:szCs w:val="28"/>
          <w:highlight w:val="none"/>
          <w:lang w:val="en-US" w:eastAsia="zh-CN" w:bidi="ar-SA"/>
        </w:rPr>
      </w:pPr>
      <w:bookmarkStart w:id="1358" w:name="_Toc27560"/>
      <w:r>
        <w:rPr>
          <w:rFonts w:hint="eastAsia" w:ascii="宋体" w:hAnsi="宋体" w:eastAsia="宋体" w:cs="宋体"/>
          <w:b/>
          <w:bCs/>
          <w:color w:val="auto"/>
          <w:kern w:val="0"/>
          <w:sz w:val="28"/>
          <w:szCs w:val="28"/>
          <w:highlight w:val="none"/>
          <w:lang w:val="en-US" w:eastAsia="zh-CN" w:bidi="ar-SA"/>
        </w:rPr>
        <w:t>(四)采购范围</w:t>
      </w:r>
      <w:r>
        <w:rPr>
          <w:rFonts w:hint="eastAsia" w:ascii="宋体" w:hAnsi="宋体" w:eastAsia="宋体" w:cs="宋体"/>
          <w:color w:val="auto"/>
          <w:sz w:val="21"/>
          <w:szCs w:val="21"/>
          <w:highlight w:val="none"/>
        </w:rPr>
        <w:t>★</w:t>
      </w:r>
      <w:bookmarkEnd w:id="1358"/>
    </w:p>
    <w:p w14:paraId="79168DF4">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项目名称:</w:t>
      </w:r>
      <w:r>
        <w:rPr>
          <w:rFonts w:hint="eastAsia" w:ascii="宋体" w:hAnsi="宋体" w:cs="宋体"/>
          <w:color w:val="auto"/>
          <w:kern w:val="0"/>
          <w:sz w:val="24"/>
          <w:szCs w:val="24"/>
          <w:highlight w:val="none"/>
          <w:shd w:val="clear" w:color="auto" w:fill="auto"/>
          <w:lang w:val="en-US" w:eastAsia="zh-CN" w:bidi="ar-SA"/>
        </w:rPr>
        <w:t>昌吉市城市街景节点布置</w:t>
      </w:r>
    </w:p>
    <w:p w14:paraId="77658E7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数量:1批</w:t>
      </w:r>
    </w:p>
    <w:p w14:paraId="62B1E14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预算金额(元):2</w:t>
      </w:r>
      <w:r>
        <w:rPr>
          <w:rFonts w:hint="eastAsia" w:ascii="宋体" w:hAnsi="宋体" w:cs="宋体"/>
          <w:color w:val="auto"/>
          <w:kern w:val="0"/>
          <w:sz w:val="24"/>
          <w:szCs w:val="24"/>
          <w:highlight w:val="none"/>
          <w:shd w:val="clear" w:color="auto" w:fill="auto"/>
          <w:lang w:val="en-US" w:eastAsia="zh-CN" w:bidi="ar-SA"/>
        </w:rPr>
        <w:t>4</w:t>
      </w:r>
      <w:r>
        <w:rPr>
          <w:rFonts w:hint="eastAsia" w:ascii="宋体" w:hAnsi="宋体" w:eastAsia="宋体" w:cs="宋体"/>
          <w:color w:val="auto"/>
          <w:kern w:val="0"/>
          <w:sz w:val="24"/>
          <w:szCs w:val="24"/>
          <w:highlight w:val="none"/>
          <w:shd w:val="clear" w:color="auto" w:fill="auto"/>
          <w:lang w:val="en-US" w:eastAsia="zh-CN" w:bidi="ar-SA"/>
        </w:rPr>
        <w:t>50000</w:t>
      </w:r>
    </w:p>
    <w:p w14:paraId="7764C80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0"/>
          <w:sz w:val="24"/>
          <w:szCs w:val="24"/>
          <w:highlight w:val="none"/>
          <w:shd w:val="clear" w:color="auto" w:fill="auto"/>
          <w:lang w:val="en-US" w:eastAsia="zh-CN" w:bidi="ar-SA"/>
        </w:rPr>
      </w:pPr>
      <w:r>
        <w:rPr>
          <w:rFonts w:hint="eastAsia" w:ascii="宋体" w:hAnsi="宋体" w:cs="宋体"/>
          <w:color w:val="auto"/>
          <w:kern w:val="0"/>
          <w:sz w:val="24"/>
          <w:szCs w:val="24"/>
          <w:highlight w:val="none"/>
          <w:shd w:val="clear" w:color="auto" w:fill="auto"/>
          <w:lang w:val="en-US" w:eastAsia="zh-CN" w:bidi="ar-SA"/>
        </w:rPr>
        <w:t>最高限价</w:t>
      </w:r>
      <w:r>
        <w:rPr>
          <w:rFonts w:hint="eastAsia" w:ascii="宋体" w:hAnsi="宋体" w:eastAsia="宋体" w:cs="宋体"/>
          <w:color w:val="auto"/>
          <w:kern w:val="0"/>
          <w:sz w:val="24"/>
          <w:szCs w:val="24"/>
          <w:highlight w:val="none"/>
          <w:shd w:val="clear" w:color="auto" w:fill="auto"/>
          <w:lang w:val="en-US" w:eastAsia="zh-CN" w:bidi="ar-SA"/>
        </w:rPr>
        <w:t>(元)</w:t>
      </w:r>
      <w:r>
        <w:rPr>
          <w:rFonts w:hint="eastAsia" w:ascii="宋体" w:hAnsi="宋体" w:cs="宋体"/>
          <w:color w:val="auto"/>
          <w:kern w:val="0"/>
          <w:sz w:val="24"/>
          <w:szCs w:val="24"/>
          <w:highlight w:val="none"/>
          <w:shd w:val="clear" w:color="auto" w:fill="auto"/>
          <w:lang w:val="en-US" w:eastAsia="zh-CN" w:bidi="ar-SA"/>
        </w:rPr>
        <w:t>：2448000</w:t>
      </w:r>
    </w:p>
    <w:p w14:paraId="3B206EF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采购内容:采购一批昌吉市市区内花灯、庭州生态绿谷花灯（含安装）。</w:t>
      </w:r>
    </w:p>
    <w:p w14:paraId="43A28F3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cs="宋体"/>
          <w:color w:val="auto"/>
          <w:kern w:val="0"/>
          <w:sz w:val="24"/>
          <w:szCs w:val="24"/>
          <w:highlight w:val="none"/>
          <w:shd w:val="clear" w:color="auto" w:fill="auto"/>
          <w:lang w:val="en-US" w:eastAsia="zh-CN" w:bidi="ar-SA"/>
        </w:rPr>
      </w:pPr>
      <w:r>
        <w:rPr>
          <w:rFonts w:hint="eastAsia" w:ascii="宋体" w:hAnsi="宋体" w:cs="宋体"/>
          <w:color w:val="auto"/>
          <w:kern w:val="0"/>
          <w:sz w:val="24"/>
          <w:szCs w:val="24"/>
          <w:highlight w:val="none"/>
          <w:shd w:val="clear" w:color="auto" w:fill="auto"/>
          <w:lang w:val="en-US" w:eastAsia="zh-CN" w:bidi="ar-SA"/>
        </w:rPr>
        <w:t>质量标准：合格。</w:t>
      </w:r>
    </w:p>
    <w:p w14:paraId="7ECEC8FC">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0"/>
          <w:sz w:val="24"/>
          <w:szCs w:val="24"/>
          <w:highlight w:val="none"/>
          <w:shd w:val="clear" w:color="auto" w:fill="auto"/>
          <w:lang w:val="en-US" w:eastAsia="zh-CN" w:bidi="ar-SA"/>
        </w:rPr>
      </w:pPr>
      <w:r>
        <w:rPr>
          <w:rFonts w:hint="eastAsia" w:ascii="宋体" w:hAnsi="宋体" w:cs="宋体"/>
          <w:color w:val="auto"/>
          <w:kern w:val="0"/>
          <w:sz w:val="24"/>
          <w:szCs w:val="24"/>
          <w:highlight w:val="none"/>
          <w:shd w:val="clear" w:color="auto" w:fill="auto"/>
          <w:lang w:val="en-US" w:eastAsia="zh-CN" w:bidi="ar-SA"/>
        </w:rPr>
        <w:t>缺陷责任期</w:t>
      </w:r>
      <w:r>
        <w:rPr>
          <w:rFonts w:hint="eastAsia" w:ascii="宋体" w:hAnsi="宋体" w:eastAsia="宋体" w:cs="宋体"/>
          <w:color w:val="auto"/>
          <w:kern w:val="0"/>
          <w:sz w:val="24"/>
          <w:szCs w:val="24"/>
          <w:highlight w:val="none"/>
          <w:shd w:val="clear" w:color="auto" w:fill="auto"/>
          <w:lang w:val="en-US" w:eastAsia="zh-CN" w:bidi="ar-SA"/>
        </w:rPr>
        <w:t>：</w:t>
      </w:r>
      <w:r>
        <w:rPr>
          <w:rFonts w:hint="eastAsia" w:ascii="宋体" w:hAnsi="宋体" w:cs="宋体"/>
          <w:color w:val="auto"/>
          <w:kern w:val="0"/>
          <w:sz w:val="24"/>
          <w:szCs w:val="24"/>
          <w:highlight w:val="none"/>
          <w:shd w:val="clear" w:color="auto" w:fill="auto"/>
          <w:lang w:val="en-US" w:eastAsia="zh-CN" w:bidi="ar-SA"/>
        </w:rPr>
        <w:t>180日历天</w:t>
      </w:r>
      <w:r>
        <w:rPr>
          <w:rFonts w:hint="eastAsia" w:ascii="宋体" w:hAnsi="宋体" w:eastAsia="宋体" w:cs="宋体"/>
          <w:color w:val="auto"/>
          <w:kern w:val="0"/>
          <w:sz w:val="24"/>
          <w:szCs w:val="24"/>
          <w:highlight w:val="none"/>
          <w:shd w:val="clear" w:color="auto" w:fill="auto"/>
          <w:lang w:val="en-US" w:eastAsia="zh-CN" w:bidi="ar-SA"/>
        </w:rPr>
        <w:t>（出现质量问题无条件更换）。</w:t>
      </w:r>
      <w:bookmarkStart w:id="1499" w:name="_GoBack"/>
      <w:bookmarkEnd w:id="1499"/>
    </w:p>
    <w:p w14:paraId="69C27DD9">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合同履行期限:自合同签订之日起</w:t>
      </w:r>
      <w:r>
        <w:rPr>
          <w:rFonts w:hint="eastAsia" w:ascii="宋体" w:hAnsi="宋体" w:cs="宋体"/>
          <w:color w:val="auto"/>
          <w:kern w:val="0"/>
          <w:sz w:val="24"/>
          <w:szCs w:val="24"/>
          <w:highlight w:val="none"/>
          <w:shd w:val="clear" w:color="auto" w:fill="auto"/>
          <w:lang w:val="en-US" w:eastAsia="zh-CN" w:bidi="ar-SA"/>
        </w:rPr>
        <w:t>1</w:t>
      </w:r>
      <w:r>
        <w:rPr>
          <w:rFonts w:hint="eastAsia" w:ascii="宋体" w:hAnsi="宋体" w:eastAsia="宋体" w:cs="宋体"/>
          <w:color w:val="auto"/>
          <w:kern w:val="0"/>
          <w:sz w:val="24"/>
          <w:szCs w:val="24"/>
          <w:highlight w:val="none"/>
          <w:shd w:val="clear" w:color="auto" w:fill="auto"/>
          <w:lang w:val="en-US" w:eastAsia="zh-CN" w:bidi="ar-SA"/>
        </w:rPr>
        <w:t>0日历天内</w:t>
      </w:r>
      <w:r>
        <w:rPr>
          <w:rFonts w:hint="eastAsia" w:ascii="宋体" w:hAnsi="宋体" w:cs="宋体"/>
          <w:color w:val="auto"/>
          <w:kern w:val="0"/>
          <w:sz w:val="24"/>
          <w:szCs w:val="24"/>
          <w:highlight w:val="none"/>
          <w:shd w:val="clear" w:color="auto" w:fill="auto"/>
          <w:lang w:val="en-US" w:eastAsia="zh-CN" w:bidi="ar-SA"/>
        </w:rPr>
        <w:t>竣工验收</w:t>
      </w:r>
      <w:r>
        <w:rPr>
          <w:rFonts w:hint="eastAsia" w:ascii="宋体" w:hAnsi="宋体" w:eastAsia="宋体" w:cs="宋体"/>
          <w:color w:val="auto"/>
          <w:kern w:val="0"/>
          <w:sz w:val="24"/>
          <w:szCs w:val="24"/>
          <w:highlight w:val="none"/>
          <w:shd w:val="clear" w:color="auto" w:fill="auto"/>
          <w:lang w:val="en-US" w:eastAsia="zh-CN" w:bidi="ar-SA"/>
        </w:rPr>
        <w:t>。</w:t>
      </w:r>
    </w:p>
    <w:p w14:paraId="11C96D3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kern w:val="0"/>
          <w:sz w:val="24"/>
          <w:szCs w:val="24"/>
          <w:highlight w:val="none"/>
          <w:shd w:val="clear" w:color="auto" w:fill="auto"/>
          <w:lang w:val="en-US" w:eastAsia="zh-CN" w:bidi="ar-SA"/>
        </w:rPr>
      </w:pPr>
      <w:r>
        <w:rPr>
          <w:rFonts w:hint="eastAsia" w:ascii="宋体" w:hAnsi="宋体" w:cs="宋体"/>
          <w:color w:val="auto"/>
          <w:kern w:val="0"/>
          <w:sz w:val="24"/>
          <w:szCs w:val="24"/>
          <w:highlight w:val="none"/>
          <w:shd w:val="clear" w:color="auto" w:fill="auto"/>
          <w:lang w:val="en-US" w:eastAsia="zh-CN" w:bidi="ar-SA"/>
        </w:rPr>
        <w:t>工程量清单：另册。</w:t>
      </w:r>
    </w:p>
    <w:p w14:paraId="1FF77087">
      <w:pPr>
        <w:keepNext w:val="0"/>
        <w:keepLines w:val="0"/>
        <w:pageBreakBefore w:val="0"/>
        <w:widowControl/>
        <w:numPr>
          <w:ilvl w:val="0"/>
          <w:numId w:val="0"/>
        </w:numPr>
        <w:shd w:val="clear"/>
        <w:kinsoku/>
        <w:wordWrap/>
        <w:overflowPunct/>
        <w:topLinePunct w:val="0"/>
        <w:autoSpaceDE/>
        <w:autoSpaceDN/>
        <w:bidi w:val="0"/>
        <w:adjustRightInd/>
        <w:snapToGrid/>
        <w:spacing w:beforeAutospacing="0" w:afterAutospacing="0" w:line="360" w:lineRule="auto"/>
        <w:ind w:firstLine="0" w:firstLineChars="0"/>
        <w:jc w:val="left"/>
        <w:textAlignment w:val="auto"/>
        <w:outlineLvl w:val="1"/>
        <w:rPr>
          <w:rFonts w:hint="eastAsia" w:ascii="宋体" w:hAnsi="宋体" w:eastAsia="宋体" w:cs="宋体"/>
          <w:b/>
          <w:bCs/>
          <w:color w:val="auto"/>
          <w:kern w:val="0"/>
          <w:sz w:val="28"/>
          <w:szCs w:val="28"/>
          <w:highlight w:val="none"/>
          <w:lang w:val="en-US" w:eastAsia="zh-CN" w:bidi="ar-SA"/>
        </w:rPr>
      </w:pPr>
      <w:bookmarkStart w:id="1359" w:name="_Toc26095"/>
      <w:r>
        <w:rPr>
          <w:rFonts w:hint="eastAsia" w:ascii="宋体" w:hAnsi="宋体" w:eastAsia="宋体" w:cs="宋体"/>
          <w:b/>
          <w:bCs/>
          <w:color w:val="auto"/>
          <w:kern w:val="0"/>
          <w:sz w:val="28"/>
          <w:szCs w:val="28"/>
          <w:highlight w:val="none"/>
          <w:lang w:val="en-US" w:eastAsia="zh-CN" w:bidi="ar-SA"/>
        </w:rPr>
        <w:t>(五)</w:t>
      </w:r>
      <w:r>
        <w:rPr>
          <w:rFonts w:hint="eastAsia" w:ascii="宋体" w:hAnsi="宋体" w:cs="宋体"/>
          <w:b/>
          <w:bCs/>
          <w:color w:val="auto"/>
          <w:kern w:val="0"/>
          <w:sz w:val="28"/>
          <w:szCs w:val="28"/>
          <w:highlight w:val="none"/>
          <w:lang w:val="en-US" w:eastAsia="zh-CN" w:bidi="ar-SA"/>
        </w:rPr>
        <w:t>人员</w:t>
      </w:r>
      <w:r>
        <w:rPr>
          <w:rFonts w:hint="eastAsia" w:ascii="宋体" w:hAnsi="宋体" w:eastAsia="宋体" w:cs="宋体"/>
          <w:b/>
          <w:bCs/>
          <w:color w:val="auto"/>
          <w:kern w:val="0"/>
          <w:sz w:val="28"/>
          <w:szCs w:val="28"/>
          <w:highlight w:val="none"/>
          <w:lang w:val="en-US" w:eastAsia="zh-CN" w:bidi="ar-SA"/>
        </w:rPr>
        <w:t>要求</w:t>
      </w:r>
      <w:r>
        <w:rPr>
          <w:rFonts w:hint="eastAsia" w:ascii="宋体" w:hAnsi="宋体" w:eastAsia="宋体" w:cs="宋体"/>
          <w:color w:val="auto"/>
          <w:sz w:val="21"/>
          <w:szCs w:val="21"/>
          <w:highlight w:val="none"/>
        </w:rPr>
        <w:t>★</w:t>
      </w:r>
      <w:bookmarkEnd w:id="1359"/>
    </w:p>
    <w:p w14:paraId="7464F3B6">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供应商拟派本项目负责人须具备市政公用工程专业二级建造师注册证书，注册单位名称与供应商名称一致，具备有效的安全生产考核合格证书，未在其他建设工程项目任职，并提供项目负责人无在建项目的企业承诺书（无在建承诺书承诺时间须在开标截止时间前）；</w:t>
      </w:r>
    </w:p>
    <w:p w14:paraId="330840CD">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供应商拟派本项目主要管理人员要求：拟派主要管理人员须配备技术负责人1名、质检员1名、施工员1名、安全员1名、造价员（或预算员）1名，前述主要管理人员须提供技术负责人职称证、质检员上岗证、施工员证、安全员相关证书或安全生产考核证（C证）、</w:t>
      </w:r>
      <w:r>
        <w:rPr>
          <w:rFonts w:hint="eastAsia" w:ascii="宋体" w:hAnsi="宋体" w:cs="宋体"/>
          <w:color w:val="auto"/>
          <w:kern w:val="0"/>
          <w:sz w:val="24"/>
          <w:szCs w:val="24"/>
          <w:highlight w:val="none"/>
          <w:lang w:val="en-US" w:eastAsia="zh-CN"/>
        </w:rPr>
        <w:t>二级注册造价工程师（或预算员证）</w:t>
      </w:r>
      <w:r>
        <w:rPr>
          <w:rFonts w:hint="eastAsia" w:ascii="宋体" w:hAnsi="宋体" w:eastAsia="宋体" w:cs="宋体"/>
          <w:color w:val="auto"/>
          <w:kern w:val="0"/>
          <w:sz w:val="24"/>
          <w:szCs w:val="24"/>
          <w:highlight w:val="none"/>
          <w:lang w:val="en-US" w:eastAsia="zh-CN"/>
        </w:rPr>
        <w:t>，专职安全员须提供无在建项目的企业承诺书（无在建承诺书承诺时间须在开标截止时间前）。</w:t>
      </w:r>
    </w:p>
    <w:p w14:paraId="26886BE0">
      <w:pPr>
        <w:shd w:val="clear"/>
        <w:spacing w:line="360" w:lineRule="auto"/>
        <w:outlineLvl w:val="1"/>
        <w:rPr>
          <w:rFonts w:hint="default" w:ascii="宋体" w:hAnsi="宋体" w:eastAsia="宋体" w:cs="宋体"/>
          <w:b/>
          <w:bCs/>
          <w:color w:val="auto"/>
          <w:kern w:val="0"/>
          <w:sz w:val="28"/>
          <w:szCs w:val="28"/>
          <w:highlight w:val="none"/>
          <w:lang w:val="en-US" w:eastAsia="zh-CN" w:bidi="ar-SA"/>
        </w:rPr>
      </w:pPr>
      <w:bookmarkStart w:id="1360" w:name="_Toc8630"/>
      <w:r>
        <w:rPr>
          <w:rFonts w:hint="eastAsia" w:ascii="宋体" w:hAnsi="宋体" w:eastAsia="宋体" w:cs="宋体"/>
          <w:b/>
          <w:bCs/>
          <w:color w:val="auto"/>
          <w:kern w:val="0"/>
          <w:sz w:val="28"/>
          <w:szCs w:val="28"/>
          <w:highlight w:val="none"/>
          <w:lang w:val="en-US" w:eastAsia="zh-CN" w:bidi="ar-SA"/>
        </w:rPr>
        <w:t>(六)</w:t>
      </w:r>
      <w:r>
        <w:rPr>
          <w:rFonts w:hint="eastAsia" w:ascii="宋体" w:hAnsi="宋体" w:cs="宋体"/>
          <w:b/>
          <w:bCs/>
          <w:color w:val="auto"/>
          <w:kern w:val="0"/>
          <w:sz w:val="28"/>
          <w:szCs w:val="28"/>
          <w:highlight w:val="none"/>
          <w:lang w:val="en-US" w:eastAsia="zh-CN" w:bidi="ar-SA"/>
        </w:rPr>
        <w:t>其他特别说明</w:t>
      </w:r>
      <w:bookmarkEnd w:id="1360"/>
    </w:p>
    <w:p w14:paraId="1AA0B749">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1、甲方提供灯组制作期间水电及施工场地;</w:t>
      </w:r>
    </w:p>
    <w:p w14:paraId="0F8ABF6C">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2、投标报价包含灯组设计费(设计方案需满足甲方要求)、土建基础费、制作费、安装费、机械费、设备费 管理费、调试费、灯组包装及拆除费、运输费、二次搬运费及所有人员差旅费、税金等与之有关的所有费用;</w:t>
      </w:r>
    </w:p>
    <w:p w14:paraId="163503F2">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3、灯组主电缆由乙方负责(380伏三相四线制)甲方负责展出时期的用水、用电;</w:t>
      </w:r>
    </w:p>
    <w:p w14:paraId="39B61512">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4、乙方负责灯组展出期间的电气维护及用电安全、雪停清雪、倒伏恢复工作；</w:t>
      </w:r>
    </w:p>
    <w:p w14:paraId="6447B8D1">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5、乙方负责按照甲方要求时限内拆除现场灯组，需保护性的拆除点位，应遵照甲方要求，拆除灯组运至甲方指定地点；</w:t>
      </w:r>
    </w:p>
    <w:p w14:paraId="00180A45">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6、乙方在灯组布线施工时应充分考虑用电安全，供电线缆符合相关技术规范；</w:t>
      </w:r>
    </w:p>
    <w:p w14:paraId="7CF1F92E">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7、投标报价包含安装灯组所需的各类线缆、灯带等所有附件材料。</w:t>
      </w:r>
    </w:p>
    <w:p w14:paraId="1FF3F04A">
      <w:pPr>
        <w:keepNext w:val="0"/>
        <w:keepLines w:val="0"/>
        <w:pageBreakBefore w:val="0"/>
        <w:widowControl/>
        <w:shd w:val="clear"/>
        <w:kinsoku/>
        <w:wordWrap/>
        <w:overflowPunct/>
        <w:topLinePunct w:val="0"/>
        <w:autoSpaceDE/>
        <w:autoSpaceDN/>
        <w:bidi w:val="0"/>
        <w:adjustRightInd/>
        <w:snapToGrid/>
        <w:spacing w:beforeAutospacing="0" w:afterAutospacing="0" w:line="360" w:lineRule="auto"/>
        <w:ind w:firstLine="0" w:firstLineChars="0"/>
        <w:jc w:val="left"/>
        <w:textAlignment w:val="auto"/>
        <w:rPr>
          <w:rFonts w:hint="eastAsia" w:ascii="宋体" w:hAnsi="宋体" w:eastAsia="宋体" w:cs="宋体"/>
          <w:color w:val="auto"/>
          <w:kern w:val="0"/>
          <w:sz w:val="24"/>
          <w:szCs w:val="24"/>
          <w:highlight w:val="none"/>
        </w:rPr>
      </w:pPr>
    </w:p>
    <w:p w14:paraId="437598E1">
      <w:pPr>
        <w:rPr>
          <w:rFonts w:hint="eastAsia"/>
          <w:color w:val="auto"/>
          <w:sz w:val="32"/>
          <w:szCs w:val="32"/>
        </w:rPr>
      </w:pPr>
      <w:r>
        <w:rPr>
          <w:rFonts w:hint="eastAsia"/>
          <w:color w:val="auto"/>
          <w:sz w:val="32"/>
          <w:szCs w:val="32"/>
        </w:rPr>
        <w:br w:type="page"/>
      </w:r>
    </w:p>
    <w:p w14:paraId="206484E1">
      <w:pPr>
        <w:snapToGrid w:val="0"/>
        <w:spacing w:afterLines="50"/>
        <w:jc w:val="center"/>
        <w:outlineLvl w:val="0"/>
        <w:rPr>
          <w:color w:val="auto"/>
          <w:sz w:val="32"/>
          <w:szCs w:val="32"/>
        </w:rPr>
      </w:pPr>
      <w:bookmarkStart w:id="1361" w:name="_Toc23549"/>
      <w:r>
        <w:rPr>
          <w:rFonts w:hint="eastAsia"/>
          <w:color w:val="auto"/>
          <w:sz w:val="32"/>
          <w:szCs w:val="32"/>
        </w:rPr>
        <w:t>第六章</w:t>
      </w:r>
      <w:r>
        <w:rPr>
          <w:rFonts w:ascii="宋体" w:hAnsi="宋体" w:cs="黑体"/>
          <w:color w:val="auto"/>
          <w:kern w:val="0"/>
          <w:sz w:val="32"/>
          <w:szCs w:val="32"/>
        </w:rPr>
        <w:t xml:space="preserve"> </w:t>
      </w:r>
      <w:r>
        <w:rPr>
          <w:rFonts w:hint="eastAsia"/>
          <w:color w:val="auto"/>
          <w:sz w:val="32"/>
          <w:szCs w:val="32"/>
        </w:rPr>
        <w:t>投标文件格式</w:t>
      </w:r>
      <w:bookmarkEnd w:id="1353"/>
      <w:bookmarkEnd w:id="1354"/>
      <w:bookmarkEnd w:id="1361"/>
    </w:p>
    <w:p w14:paraId="3A984277">
      <w:pPr>
        <w:snapToGrid w:val="0"/>
        <w:spacing w:afterLines="50"/>
        <w:rPr>
          <w:color w:val="auto"/>
        </w:rPr>
      </w:pPr>
    </w:p>
    <w:p w14:paraId="4871D186">
      <w:pPr>
        <w:spacing w:line="360" w:lineRule="auto"/>
        <w:jc w:val="center"/>
        <w:outlineLvl w:val="1"/>
        <w:rPr>
          <w:b/>
          <w:color w:val="auto"/>
          <w:sz w:val="30"/>
          <w:szCs w:val="30"/>
        </w:rPr>
      </w:pPr>
      <w:r>
        <w:rPr>
          <w:color w:val="auto"/>
        </w:rPr>
        <w:br w:type="page"/>
      </w:r>
      <w:bookmarkStart w:id="1362" w:name="_Toc327276295"/>
      <w:bookmarkStart w:id="1363" w:name="_Toc298745650"/>
      <w:bookmarkStart w:id="1364" w:name="_Toc332094984"/>
      <w:bookmarkStart w:id="1365" w:name="_Toc350418253"/>
      <w:bookmarkStart w:id="1366" w:name="_Toc4228"/>
      <w:bookmarkStart w:id="1367" w:name="_Toc2190"/>
      <w:bookmarkStart w:id="1368" w:name="_Toc298434671"/>
      <w:bookmarkStart w:id="1369" w:name="_Toc22735"/>
      <w:bookmarkStart w:id="1370" w:name="_Toc416103813"/>
      <w:bookmarkStart w:id="1371" w:name="_Toc23024"/>
      <w:bookmarkStart w:id="1372" w:name="_Toc414445763"/>
      <w:bookmarkStart w:id="1373" w:name="_Toc298434528"/>
      <w:bookmarkStart w:id="1374" w:name="_Toc410631171"/>
      <w:bookmarkStart w:id="1375" w:name="_Toc298458725"/>
      <w:bookmarkStart w:id="1376" w:name="_Toc298745568"/>
      <w:bookmarkStart w:id="1377" w:name="_Toc6925"/>
      <w:bookmarkStart w:id="1378" w:name="_Toc23561"/>
      <w:bookmarkStart w:id="1379" w:name="_Toc11147"/>
      <w:r>
        <w:rPr>
          <w:b/>
          <w:color w:val="auto"/>
          <w:sz w:val="30"/>
          <w:szCs w:val="30"/>
        </w:rPr>
        <w:t>评标索引</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tbl>
      <w:tblPr>
        <w:tblStyle w:val="41"/>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5"/>
        <w:gridCol w:w="1722"/>
        <w:gridCol w:w="4536"/>
        <w:gridCol w:w="1843"/>
      </w:tblGrid>
      <w:tr w14:paraId="1BB4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6B2935D9">
            <w:pPr>
              <w:snapToGrid w:val="0"/>
              <w:jc w:val="center"/>
              <w:rPr>
                <w:rFonts w:ascii="宋体"/>
                <w:color w:val="auto"/>
                <w:szCs w:val="21"/>
              </w:rPr>
            </w:pPr>
            <w:r>
              <w:rPr>
                <w:rFonts w:hint="eastAsia" w:ascii="宋体"/>
                <w:color w:val="auto"/>
                <w:szCs w:val="21"/>
              </w:rPr>
              <w:t>序号</w:t>
            </w:r>
          </w:p>
        </w:tc>
        <w:tc>
          <w:tcPr>
            <w:tcW w:w="1722" w:type="dxa"/>
            <w:vAlign w:val="center"/>
          </w:tcPr>
          <w:p w14:paraId="2F52209C">
            <w:pPr>
              <w:snapToGrid w:val="0"/>
              <w:jc w:val="center"/>
              <w:rPr>
                <w:rFonts w:ascii="宋体"/>
                <w:color w:val="auto"/>
                <w:szCs w:val="21"/>
              </w:rPr>
            </w:pPr>
            <w:r>
              <w:rPr>
                <w:rFonts w:hint="eastAsia" w:ascii="宋体"/>
                <w:color w:val="auto"/>
                <w:szCs w:val="21"/>
              </w:rPr>
              <w:t>评标办法条款号</w:t>
            </w:r>
          </w:p>
        </w:tc>
        <w:tc>
          <w:tcPr>
            <w:tcW w:w="4536" w:type="dxa"/>
            <w:vAlign w:val="center"/>
          </w:tcPr>
          <w:p w14:paraId="570DFE67">
            <w:pPr>
              <w:snapToGrid w:val="0"/>
              <w:jc w:val="center"/>
              <w:rPr>
                <w:rFonts w:ascii="宋体"/>
                <w:color w:val="auto"/>
                <w:szCs w:val="21"/>
              </w:rPr>
            </w:pPr>
            <w:r>
              <w:rPr>
                <w:rFonts w:hint="eastAsia" w:ascii="宋体"/>
                <w:color w:val="auto"/>
                <w:szCs w:val="21"/>
              </w:rPr>
              <w:t>评标办法要求</w:t>
            </w:r>
          </w:p>
        </w:tc>
        <w:tc>
          <w:tcPr>
            <w:tcW w:w="1843" w:type="dxa"/>
            <w:vAlign w:val="center"/>
          </w:tcPr>
          <w:p w14:paraId="0382F89A">
            <w:pPr>
              <w:snapToGrid w:val="0"/>
              <w:jc w:val="center"/>
              <w:rPr>
                <w:rFonts w:ascii="宋体"/>
                <w:color w:val="auto"/>
                <w:szCs w:val="21"/>
              </w:rPr>
            </w:pPr>
            <w:r>
              <w:rPr>
                <w:rFonts w:hint="eastAsia" w:ascii="宋体"/>
                <w:color w:val="auto"/>
                <w:szCs w:val="21"/>
              </w:rPr>
              <w:t>投标文件对应内容的册及页码</w:t>
            </w:r>
          </w:p>
        </w:tc>
      </w:tr>
      <w:tr w14:paraId="6C5F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B61E73D">
            <w:pPr>
              <w:snapToGrid w:val="0"/>
              <w:jc w:val="center"/>
              <w:rPr>
                <w:rFonts w:ascii="宋体"/>
                <w:color w:val="auto"/>
                <w:szCs w:val="21"/>
              </w:rPr>
            </w:pPr>
            <w:r>
              <w:rPr>
                <w:rFonts w:hint="eastAsia" w:ascii="宋体"/>
                <w:color w:val="auto"/>
                <w:szCs w:val="21"/>
              </w:rPr>
              <w:t>一</w:t>
            </w:r>
          </w:p>
        </w:tc>
        <w:tc>
          <w:tcPr>
            <w:tcW w:w="1722" w:type="dxa"/>
            <w:vAlign w:val="center"/>
          </w:tcPr>
          <w:p w14:paraId="1C9B1346">
            <w:pPr>
              <w:snapToGrid w:val="0"/>
              <w:jc w:val="center"/>
              <w:rPr>
                <w:rFonts w:ascii="宋体"/>
                <w:color w:val="auto"/>
                <w:szCs w:val="21"/>
              </w:rPr>
            </w:pPr>
            <w:r>
              <w:rPr>
                <w:rFonts w:hint="eastAsia" w:ascii="宋体"/>
                <w:color w:val="auto"/>
                <w:szCs w:val="21"/>
              </w:rPr>
              <w:t>资格审查</w:t>
            </w:r>
          </w:p>
        </w:tc>
        <w:tc>
          <w:tcPr>
            <w:tcW w:w="4536" w:type="dxa"/>
            <w:vAlign w:val="center"/>
          </w:tcPr>
          <w:p w14:paraId="23F75E7F">
            <w:pPr>
              <w:snapToGrid w:val="0"/>
              <w:jc w:val="center"/>
              <w:rPr>
                <w:rFonts w:ascii="宋体"/>
                <w:color w:val="auto"/>
                <w:szCs w:val="21"/>
              </w:rPr>
            </w:pPr>
          </w:p>
        </w:tc>
        <w:tc>
          <w:tcPr>
            <w:tcW w:w="1843" w:type="dxa"/>
            <w:vAlign w:val="center"/>
          </w:tcPr>
          <w:p w14:paraId="0B9E046D">
            <w:pPr>
              <w:snapToGrid w:val="0"/>
              <w:ind w:firstLine="480"/>
              <w:jc w:val="center"/>
              <w:rPr>
                <w:rFonts w:ascii="宋体"/>
                <w:color w:val="auto"/>
                <w:szCs w:val="21"/>
              </w:rPr>
            </w:pPr>
          </w:p>
        </w:tc>
      </w:tr>
      <w:tr w14:paraId="0F8B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5E950479">
            <w:pPr>
              <w:snapToGrid w:val="0"/>
              <w:jc w:val="center"/>
              <w:rPr>
                <w:rFonts w:ascii="宋体"/>
                <w:color w:val="auto"/>
                <w:szCs w:val="21"/>
              </w:rPr>
            </w:pPr>
            <w:r>
              <w:rPr>
                <w:rFonts w:hint="eastAsia" w:ascii="宋体"/>
                <w:color w:val="auto"/>
                <w:szCs w:val="21"/>
              </w:rPr>
              <w:t>1</w:t>
            </w:r>
          </w:p>
        </w:tc>
        <w:tc>
          <w:tcPr>
            <w:tcW w:w="1722" w:type="dxa"/>
            <w:vAlign w:val="center"/>
          </w:tcPr>
          <w:p w14:paraId="4FD55B2E">
            <w:pPr>
              <w:snapToGrid w:val="0"/>
              <w:jc w:val="center"/>
              <w:rPr>
                <w:rFonts w:ascii="宋体"/>
                <w:color w:val="auto"/>
                <w:szCs w:val="21"/>
              </w:rPr>
            </w:pPr>
          </w:p>
        </w:tc>
        <w:tc>
          <w:tcPr>
            <w:tcW w:w="4536" w:type="dxa"/>
            <w:vAlign w:val="center"/>
          </w:tcPr>
          <w:p w14:paraId="7AC4C698">
            <w:pPr>
              <w:snapToGrid w:val="0"/>
              <w:jc w:val="center"/>
              <w:rPr>
                <w:rFonts w:ascii="宋体"/>
                <w:color w:val="auto"/>
                <w:szCs w:val="21"/>
              </w:rPr>
            </w:pPr>
          </w:p>
        </w:tc>
        <w:tc>
          <w:tcPr>
            <w:tcW w:w="1843" w:type="dxa"/>
            <w:vAlign w:val="center"/>
          </w:tcPr>
          <w:p w14:paraId="05E0630C">
            <w:pPr>
              <w:snapToGrid w:val="0"/>
              <w:ind w:firstLine="480"/>
              <w:jc w:val="center"/>
              <w:rPr>
                <w:rFonts w:ascii="宋体"/>
                <w:color w:val="auto"/>
                <w:szCs w:val="21"/>
              </w:rPr>
            </w:pPr>
          </w:p>
        </w:tc>
      </w:tr>
      <w:tr w14:paraId="73EB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3CC196AE">
            <w:pPr>
              <w:snapToGrid w:val="0"/>
              <w:jc w:val="center"/>
              <w:rPr>
                <w:rFonts w:ascii="宋体"/>
                <w:color w:val="auto"/>
                <w:szCs w:val="21"/>
              </w:rPr>
            </w:pPr>
            <w:r>
              <w:rPr>
                <w:rFonts w:hint="eastAsia" w:ascii="宋体"/>
                <w:color w:val="auto"/>
                <w:szCs w:val="21"/>
              </w:rPr>
              <w:t>2</w:t>
            </w:r>
          </w:p>
        </w:tc>
        <w:tc>
          <w:tcPr>
            <w:tcW w:w="1722" w:type="dxa"/>
            <w:vAlign w:val="center"/>
          </w:tcPr>
          <w:p w14:paraId="40FF10C0">
            <w:pPr>
              <w:snapToGrid w:val="0"/>
              <w:jc w:val="center"/>
              <w:rPr>
                <w:rFonts w:ascii="宋体"/>
                <w:color w:val="auto"/>
                <w:szCs w:val="21"/>
              </w:rPr>
            </w:pPr>
          </w:p>
        </w:tc>
        <w:tc>
          <w:tcPr>
            <w:tcW w:w="4536" w:type="dxa"/>
            <w:vAlign w:val="center"/>
          </w:tcPr>
          <w:p w14:paraId="3ADF6684">
            <w:pPr>
              <w:snapToGrid w:val="0"/>
              <w:jc w:val="center"/>
              <w:rPr>
                <w:rFonts w:ascii="宋体"/>
                <w:color w:val="auto"/>
                <w:szCs w:val="21"/>
              </w:rPr>
            </w:pPr>
          </w:p>
        </w:tc>
        <w:tc>
          <w:tcPr>
            <w:tcW w:w="1843" w:type="dxa"/>
            <w:vAlign w:val="center"/>
          </w:tcPr>
          <w:p w14:paraId="70AFD4F4">
            <w:pPr>
              <w:snapToGrid w:val="0"/>
              <w:ind w:firstLine="480"/>
              <w:jc w:val="center"/>
              <w:rPr>
                <w:rFonts w:ascii="宋体"/>
                <w:color w:val="auto"/>
                <w:szCs w:val="21"/>
              </w:rPr>
            </w:pPr>
          </w:p>
        </w:tc>
      </w:tr>
      <w:tr w14:paraId="0C64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187249D1">
            <w:pPr>
              <w:snapToGrid w:val="0"/>
              <w:jc w:val="center"/>
              <w:rPr>
                <w:rFonts w:ascii="宋体"/>
                <w:color w:val="auto"/>
                <w:szCs w:val="21"/>
              </w:rPr>
            </w:pPr>
            <w:r>
              <w:rPr>
                <w:rFonts w:hint="eastAsia" w:ascii="宋体"/>
                <w:color w:val="auto"/>
                <w:szCs w:val="21"/>
              </w:rPr>
              <w:t>...</w:t>
            </w:r>
          </w:p>
        </w:tc>
        <w:tc>
          <w:tcPr>
            <w:tcW w:w="1722" w:type="dxa"/>
            <w:vAlign w:val="center"/>
          </w:tcPr>
          <w:p w14:paraId="3B5A5F03">
            <w:pPr>
              <w:snapToGrid w:val="0"/>
              <w:jc w:val="center"/>
              <w:rPr>
                <w:rFonts w:ascii="宋体"/>
                <w:color w:val="auto"/>
                <w:szCs w:val="21"/>
              </w:rPr>
            </w:pPr>
          </w:p>
        </w:tc>
        <w:tc>
          <w:tcPr>
            <w:tcW w:w="4536" w:type="dxa"/>
            <w:vAlign w:val="center"/>
          </w:tcPr>
          <w:p w14:paraId="185ADB4B">
            <w:pPr>
              <w:snapToGrid w:val="0"/>
              <w:jc w:val="center"/>
              <w:rPr>
                <w:rFonts w:ascii="宋体"/>
                <w:color w:val="auto"/>
                <w:szCs w:val="21"/>
              </w:rPr>
            </w:pPr>
          </w:p>
        </w:tc>
        <w:tc>
          <w:tcPr>
            <w:tcW w:w="1843" w:type="dxa"/>
            <w:vAlign w:val="center"/>
          </w:tcPr>
          <w:p w14:paraId="77C6197A">
            <w:pPr>
              <w:snapToGrid w:val="0"/>
              <w:ind w:firstLine="480"/>
              <w:jc w:val="center"/>
              <w:rPr>
                <w:rFonts w:ascii="宋体"/>
                <w:color w:val="auto"/>
                <w:szCs w:val="21"/>
              </w:rPr>
            </w:pPr>
          </w:p>
        </w:tc>
      </w:tr>
      <w:tr w14:paraId="2823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2B8372F8">
            <w:pPr>
              <w:snapToGrid w:val="0"/>
              <w:jc w:val="center"/>
              <w:rPr>
                <w:rFonts w:ascii="宋体"/>
                <w:color w:val="auto"/>
                <w:szCs w:val="21"/>
              </w:rPr>
            </w:pPr>
            <w:r>
              <w:rPr>
                <w:rFonts w:hint="eastAsia" w:ascii="宋体"/>
                <w:color w:val="auto"/>
                <w:szCs w:val="21"/>
              </w:rPr>
              <w:t>二</w:t>
            </w:r>
          </w:p>
        </w:tc>
        <w:tc>
          <w:tcPr>
            <w:tcW w:w="1722" w:type="dxa"/>
            <w:vAlign w:val="center"/>
          </w:tcPr>
          <w:p w14:paraId="294D622D">
            <w:pPr>
              <w:snapToGrid w:val="0"/>
              <w:jc w:val="center"/>
              <w:rPr>
                <w:rFonts w:ascii="宋体"/>
                <w:color w:val="auto"/>
                <w:szCs w:val="21"/>
              </w:rPr>
            </w:pPr>
            <w:r>
              <w:rPr>
                <w:rFonts w:hint="eastAsia" w:ascii="宋体"/>
                <w:color w:val="auto"/>
                <w:szCs w:val="21"/>
              </w:rPr>
              <w:t>符合性审查</w:t>
            </w:r>
          </w:p>
        </w:tc>
        <w:tc>
          <w:tcPr>
            <w:tcW w:w="4536" w:type="dxa"/>
            <w:vAlign w:val="center"/>
          </w:tcPr>
          <w:p w14:paraId="0A37CBAE">
            <w:pPr>
              <w:snapToGrid w:val="0"/>
              <w:jc w:val="center"/>
              <w:rPr>
                <w:rFonts w:ascii="宋体"/>
                <w:color w:val="auto"/>
                <w:szCs w:val="21"/>
              </w:rPr>
            </w:pPr>
          </w:p>
        </w:tc>
        <w:tc>
          <w:tcPr>
            <w:tcW w:w="1843" w:type="dxa"/>
            <w:vAlign w:val="center"/>
          </w:tcPr>
          <w:p w14:paraId="02614839">
            <w:pPr>
              <w:snapToGrid w:val="0"/>
              <w:ind w:firstLine="480"/>
              <w:jc w:val="center"/>
              <w:rPr>
                <w:rFonts w:ascii="宋体"/>
                <w:color w:val="auto"/>
                <w:szCs w:val="21"/>
              </w:rPr>
            </w:pPr>
          </w:p>
        </w:tc>
      </w:tr>
      <w:tr w14:paraId="0E86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411134C">
            <w:pPr>
              <w:snapToGrid w:val="0"/>
              <w:jc w:val="center"/>
              <w:rPr>
                <w:rFonts w:ascii="宋体"/>
                <w:color w:val="auto"/>
                <w:szCs w:val="21"/>
              </w:rPr>
            </w:pPr>
            <w:r>
              <w:rPr>
                <w:rFonts w:hint="eastAsia" w:ascii="宋体"/>
                <w:color w:val="auto"/>
                <w:szCs w:val="21"/>
              </w:rPr>
              <w:t>1</w:t>
            </w:r>
          </w:p>
        </w:tc>
        <w:tc>
          <w:tcPr>
            <w:tcW w:w="1722" w:type="dxa"/>
            <w:vAlign w:val="center"/>
          </w:tcPr>
          <w:p w14:paraId="7D3F6065">
            <w:pPr>
              <w:snapToGrid w:val="0"/>
              <w:jc w:val="center"/>
              <w:rPr>
                <w:rFonts w:ascii="宋体"/>
                <w:color w:val="auto"/>
                <w:szCs w:val="21"/>
              </w:rPr>
            </w:pPr>
          </w:p>
        </w:tc>
        <w:tc>
          <w:tcPr>
            <w:tcW w:w="4536" w:type="dxa"/>
            <w:vAlign w:val="center"/>
          </w:tcPr>
          <w:p w14:paraId="2D3A295B">
            <w:pPr>
              <w:snapToGrid w:val="0"/>
              <w:jc w:val="center"/>
              <w:rPr>
                <w:rFonts w:ascii="宋体"/>
                <w:color w:val="auto"/>
                <w:szCs w:val="21"/>
              </w:rPr>
            </w:pPr>
          </w:p>
        </w:tc>
        <w:tc>
          <w:tcPr>
            <w:tcW w:w="1843" w:type="dxa"/>
            <w:vAlign w:val="center"/>
          </w:tcPr>
          <w:p w14:paraId="0DF7C561">
            <w:pPr>
              <w:snapToGrid w:val="0"/>
              <w:ind w:firstLine="480"/>
              <w:jc w:val="center"/>
              <w:rPr>
                <w:rFonts w:ascii="宋体"/>
                <w:color w:val="auto"/>
                <w:szCs w:val="21"/>
              </w:rPr>
            </w:pPr>
          </w:p>
        </w:tc>
      </w:tr>
      <w:tr w14:paraId="0F6D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ECB1D48">
            <w:pPr>
              <w:snapToGrid w:val="0"/>
              <w:jc w:val="center"/>
              <w:rPr>
                <w:rFonts w:ascii="宋体"/>
                <w:color w:val="auto"/>
                <w:szCs w:val="21"/>
              </w:rPr>
            </w:pPr>
            <w:r>
              <w:rPr>
                <w:rFonts w:hint="eastAsia" w:ascii="宋体"/>
                <w:color w:val="auto"/>
                <w:szCs w:val="21"/>
              </w:rPr>
              <w:t>2</w:t>
            </w:r>
          </w:p>
        </w:tc>
        <w:tc>
          <w:tcPr>
            <w:tcW w:w="1722" w:type="dxa"/>
            <w:vAlign w:val="center"/>
          </w:tcPr>
          <w:p w14:paraId="130E1F2F">
            <w:pPr>
              <w:snapToGrid w:val="0"/>
              <w:jc w:val="center"/>
              <w:rPr>
                <w:rFonts w:ascii="宋体"/>
                <w:color w:val="auto"/>
                <w:szCs w:val="21"/>
              </w:rPr>
            </w:pPr>
          </w:p>
        </w:tc>
        <w:tc>
          <w:tcPr>
            <w:tcW w:w="4536" w:type="dxa"/>
            <w:vAlign w:val="center"/>
          </w:tcPr>
          <w:p w14:paraId="6AFDB189">
            <w:pPr>
              <w:snapToGrid w:val="0"/>
              <w:jc w:val="center"/>
              <w:rPr>
                <w:rFonts w:ascii="宋体"/>
                <w:color w:val="auto"/>
                <w:szCs w:val="21"/>
              </w:rPr>
            </w:pPr>
          </w:p>
        </w:tc>
        <w:tc>
          <w:tcPr>
            <w:tcW w:w="1843" w:type="dxa"/>
            <w:vAlign w:val="center"/>
          </w:tcPr>
          <w:p w14:paraId="3DB8845C">
            <w:pPr>
              <w:snapToGrid w:val="0"/>
              <w:ind w:firstLine="480"/>
              <w:jc w:val="center"/>
              <w:rPr>
                <w:rFonts w:ascii="宋体"/>
                <w:color w:val="auto"/>
                <w:szCs w:val="21"/>
              </w:rPr>
            </w:pPr>
          </w:p>
        </w:tc>
      </w:tr>
      <w:tr w14:paraId="784D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27F03E07">
            <w:pPr>
              <w:snapToGrid w:val="0"/>
              <w:jc w:val="center"/>
              <w:rPr>
                <w:rFonts w:ascii="宋体"/>
                <w:color w:val="auto"/>
                <w:szCs w:val="21"/>
              </w:rPr>
            </w:pPr>
            <w:r>
              <w:rPr>
                <w:rFonts w:hint="eastAsia" w:ascii="宋体"/>
                <w:color w:val="auto"/>
                <w:szCs w:val="21"/>
              </w:rPr>
              <w:t>...</w:t>
            </w:r>
          </w:p>
        </w:tc>
        <w:tc>
          <w:tcPr>
            <w:tcW w:w="1722" w:type="dxa"/>
            <w:vAlign w:val="center"/>
          </w:tcPr>
          <w:p w14:paraId="7C3685A4">
            <w:pPr>
              <w:snapToGrid w:val="0"/>
              <w:jc w:val="center"/>
              <w:rPr>
                <w:rFonts w:ascii="宋体"/>
                <w:color w:val="auto"/>
                <w:szCs w:val="21"/>
              </w:rPr>
            </w:pPr>
          </w:p>
        </w:tc>
        <w:tc>
          <w:tcPr>
            <w:tcW w:w="4536" w:type="dxa"/>
            <w:vAlign w:val="center"/>
          </w:tcPr>
          <w:p w14:paraId="26F79693">
            <w:pPr>
              <w:snapToGrid w:val="0"/>
              <w:jc w:val="center"/>
              <w:rPr>
                <w:rFonts w:ascii="宋体"/>
                <w:color w:val="auto"/>
                <w:szCs w:val="21"/>
              </w:rPr>
            </w:pPr>
          </w:p>
        </w:tc>
        <w:tc>
          <w:tcPr>
            <w:tcW w:w="1843" w:type="dxa"/>
            <w:vAlign w:val="center"/>
          </w:tcPr>
          <w:p w14:paraId="0E87AD76">
            <w:pPr>
              <w:snapToGrid w:val="0"/>
              <w:ind w:firstLine="480"/>
              <w:jc w:val="center"/>
              <w:rPr>
                <w:rFonts w:ascii="宋体"/>
                <w:color w:val="auto"/>
                <w:szCs w:val="21"/>
              </w:rPr>
            </w:pPr>
          </w:p>
        </w:tc>
      </w:tr>
      <w:tr w14:paraId="09D1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4D672F8A">
            <w:pPr>
              <w:snapToGrid w:val="0"/>
              <w:jc w:val="center"/>
              <w:rPr>
                <w:rFonts w:ascii="宋体"/>
                <w:color w:val="auto"/>
                <w:szCs w:val="21"/>
              </w:rPr>
            </w:pPr>
            <w:r>
              <w:rPr>
                <w:rFonts w:hint="eastAsia" w:ascii="宋体"/>
                <w:color w:val="auto"/>
                <w:szCs w:val="21"/>
              </w:rPr>
              <w:t>三</w:t>
            </w:r>
          </w:p>
        </w:tc>
        <w:tc>
          <w:tcPr>
            <w:tcW w:w="1722" w:type="dxa"/>
            <w:vAlign w:val="center"/>
          </w:tcPr>
          <w:p w14:paraId="5C04DA8F">
            <w:pPr>
              <w:snapToGrid w:val="0"/>
              <w:jc w:val="center"/>
              <w:rPr>
                <w:rFonts w:ascii="宋体"/>
                <w:color w:val="auto"/>
                <w:szCs w:val="21"/>
              </w:rPr>
            </w:pPr>
            <w:r>
              <w:rPr>
                <w:rFonts w:hint="eastAsia" w:ascii="宋体"/>
                <w:color w:val="auto"/>
                <w:szCs w:val="21"/>
              </w:rPr>
              <w:t>商务</w:t>
            </w:r>
            <w:r>
              <w:rPr>
                <w:rFonts w:hint="eastAsia" w:ascii="宋体"/>
                <w:color w:val="auto"/>
                <w:szCs w:val="21"/>
                <w:lang w:val="en-US" w:eastAsia="zh-CN"/>
              </w:rPr>
              <w:t>技术</w:t>
            </w:r>
            <w:r>
              <w:rPr>
                <w:rFonts w:hint="eastAsia" w:ascii="宋体"/>
                <w:color w:val="auto"/>
                <w:szCs w:val="21"/>
              </w:rPr>
              <w:t>评审</w:t>
            </w:r>
          </w:p>
        </w:tc>
        <w:tc>
          <w:tcPr>
            <w:tcW w:w="4536" w:type="dxa"/>
            <w:vAlign w:val="center"/>
          </w:tcPr>
          <w:p w14:paraId="445BE6D8">
            <w:pPr>
              <w:snapToGrid w:val="0"/>
              <w:jc w:val="center"/>
              <w:rPr>
                <w:rFonts w:ascii="宋体"/>
                <w:color w:val="auto"/>
                <w:szCs w:val="21"/>
              </w:rPr>
            </w:pPr>
          </w:p>
        </w:tc>
        <w:tc>
          <w:tcPr>
            <w:tcW w:w="1843" w:type="dxa"/>
            <w:vAlign w:val="center"/>
          </w:tcPr>
          <w:p w14:paraId="1B7D1B2D">
            <w:pPr>
              <w:snapToGrid w:val="0"/>
              <w:ind w:firstLine="480"/>
              <w:jc w:val="center"/>
              <w:rPr>
                <w:rFonts w:ascii="宋体"/>
                <w:color w:val="auto"/>
                <w:szCs w:val="21"/>
              </w:rPr>
            </w:pPr>
          </w:p>
        </w:tc>
      </w:tr>
      <w:tr w14:paraId="3962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3919FBEA">
            <w:pPr>
              <w:snapToGrid w:val="0"/>
              <w:jc w:val="center"/>
              <w:rPr>
                <w:rFonts w:ascii="宋体"/>
                <w:color w:val="auto"/>
                <w:szCs w:val="21"/>
              </w:rPr>
            </w:pPr>
            <w:r>
              <w:rPr>
                <w:rFonts w:hint="eastAsia" w:ascii="宋体"/>
                <w:color w:val="auto"/>
                <w:szCs w:val="21"/>
              </w:rPr>
              <w:t>1</w:t>
            </w:r>
          </w:p>
        </w:tc>
        <w:tc>
          <w:tcPr>
            <w:tcW w:w="1722" w:type="dxa"/>
            <w:vAlign w:val="center"/>
          </w:tcPr>
          <w:p w14:paraId="07CA19CB">
            <w:pPr>
              <w:snapToGrid w:val="0"/>
              <w:jc w:val="center"/>
              <w:rPr>
                <w:rFonts w:ascii="宋体"/>
                <w:color w:val="auto"/>
                <w:szCs w:val="21"/>
              </w:rPr>
            </w:pPr>
          </w:p>
        </w:tc>
        <w:tc>
          <w:tcPr>
            <w:tcW w:w="4536" w:type="dxa"/>
            <w:vAlign w:val="center"/>
          </w:tcPr>
          <w:p w14:paraId="30D88892">
            <w:pPr>
              <w:snapToGrid w:val="0"/>
              <w:jc w:val="center"/>
              <w:rPr>
                <w:rFonts w:ascii="宋体"/>
                <w:color w:val="auto"/>
                <w:szCs w:val="21"/>
              </w:rPr>
            </w:pPr>
          </w:p>
        </w:tc>
        <w:tc>
          <w:tcPr>
            <w:tcW w:w="1843" w:type="dxa"/>
            <w:vAlign w:val="center"/>
          </w:tcPr>
          <w:p w14:paraId="66CF7B2D">
            <w:pPr>
              <w:snapToGrid w:val="0"/>
              <w:ind w:firstLine="480"/>
              <w:jc w:val="center"/>
              <w:rPr>
                <w:rFonts w:ascii="宋体"/>
                <w:color w:val="auto"/>
                <w:szCs w:val="21"/>
              </w:rPr>
            </w:pPr>
          </w:p>
        </w:tc>
      </w:tr>
      <w:tr w14:paraId="1064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2C66CBED">
            <w:pPr>
              <w:snapToGrid w:val="0"/>
              <w:jc w:val="center"/>
              <w:rPr>
                <w:rFonts w:ascii="宋体"/>
                <w:color w:val="auto"/>
                <w:szCs w:val="21"/>
              </w:rPr>
            </w:pPr>
            <w:r>
              <w:rPr>
                <w:rFonts w:hint="eastAsia" w:ascii="宋体"/>
                <w:color w:val="auto"/>
                <w:szCs w:val="21"/>
              </w:rPr>
              <w:t>2</w:t>
            </w:r>
          </w:p>
        </w:tc>
        <w:tc>
          <w:tcPr>
            <w:tcW w:w="1722" w:type="dxa"/>
            <w:vAlign w:val="center"/>
          </w:tcPr>
          <w:p w14:paraId="0D163CE7">
            <w:pPr>
              <w:snapToGrid w:val="0"/>
              <w:jc w:val="center"/>
              <w:rPr>
                <w:rFonts w:ascii="宋体"/>
                <w:color w:val="auto"/>
                <w:szCs w:val="21"/>
              </w:rPr>
            </w:pPr>
          </w:p>
        </w:tc>
        <w:tc>
          <w:tcPr>
            <w:tcW w:w="4536" w:type="dxa"/>
            <w:vAlign w:val="center"/>
          </w:tcPr>
          <w:p w14:paraId="252C65B8">
            <w:pPr>
              <w:snapToGrid w:val="0"/>
              <w:jc w:val="center"/>
              <w:rPr>
                <w:rFonts w:ascii="宋体"/>
                <w:color w:val="auto"/>
                <w:szCs w:val="21"/>
              </w:rPr>
            </w:pPr>
          </w:p>
        </w:tc>
        <w:tc>
          <w:tcPr>
            <w:tcW w:w="1843" w:type="dxa"/>
            <w:vAlign w:val="center"/>
          </w:tcPr>
          <w:p w14:paraId="7DCE6C3A">
            <w:pPr>
              <w:snapToGrid w:val="0"/>
              <w:ind w:firstLine="480"/>
              <w:jc w:val="center"/>
              <w:rPr>
                <w:rFonts w:ascii="宋体"/>
                <w:color w:val="auto"/>
                <w:szCs w:val="21"/>
              </w:rPr>
            </w:pPr>
          </w:p>
        </w:tc>
      </w:tr>
      <w:tr w14:paraId="4CCD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65" w:type="dxa"/>
            <w:vAlign w:val="center"/>
          </w:tcPr>
          <w:p w14:paraId="7DDD4518">
            <w:pPr>
              <w:snapToGrid w:val="0"/>
              <w:jc w:val="center"/>
              <w:rPr>
                <w:rFonts w:ascii="宋体"/>
                <w:color w:val="auto"/>
                <w:szCs w:val="21"/>
              </w:rPr>
            </w:pPr>
            <w:r>
              <w:rPr>
                <w:rFonts w:hint="eastAsia" w:ascii="宋体"/>
                <w:color w:val="auto"/>
                <w:szCs w:val="21"/>
              </w:rPr>
              <w:t>...</w:t>
            </w:r>
          </w:p>
        </w:tc>
        <w:tc>
          <w:tcPr>
            <w:tcW w:w="1722" w:type="dxa"/>
            <w:vAlign w:val="center"/>
          </w:tcPr>
          <w:p w14:paraId="7BBBB552">
            <w:pPr>
              <w:snapToGrid w:val="0"/>
              <w:jc w:val="center"/>
              <w:rPr>
                <w:rFonts w:ascii="宋体"/>
                <w:color w:val="auto"/>
                <w:szCs w:val="21"/>
              </w:rPr>
            </w:pPr>
          </w:p>
        </w:tc>
        <w:tc>
          <w:tcPr>
            <w:tcW w:w="4536" w:type="dxa"/>
            <w:vAlign w:val="center"/>
          </w:tcPr>
          <w:p w14:paraId="5B278952">
            <w:pPr>
              <w:snapToGrid w:val="0"/>
              <w:jc w:val="center"/>
              <w:rPr>
                <w:rFonts w:ascii="宋体"/>
                <w:color w:val="auto"/>
                <w:szCs w:val="21"/>
              </w:rPr>
            </w:pPr>
          </w:p>
        </w:tc>
        <w:tc>
          <w:tcPr>
            <w:tcW w:w="1843" w:type="dxa"/>
            <w:vAlign w:val="center"/>
          </w:tcPr>
          <w:p w14:paraId="33E27DB3">
            <w:pPr>
              <w:snapToGrid w:val="0"/>
              <w:ind w:firstLine="480"/>
              <w:jc w:val="center"/>
              <w:rPr>
                <w:rFonts w:ascii="宋体"/>
                <w:color w:val="auto"/>
                <w:szCs w:val="21"/>
              </w:rPr>
            </w:pPr>
          </w:p>
        </w:tc>
      </w:tr>
    </w:tbl>
    <w:p w14:paraId="0830CF0A">
      <w:pPr>
        <w:spacing w:line="360" w:lineRule="auto"/>
        <w:ind w:firstLine="480"/>
        <w:jc w:val="left"/>
        <w:rPr>
          <w:rFonts w:ascii="宋体"/>
          <w:color w:val="auto"/>
          <w:szCs w:val="21"/>
        </w:rPr>
      </w:pPr>
    </w:p>
    <w:p w14:paraId="6A4A1418">
      <w:pPr>
        <w:rPr>
          <w:rFonts w:ascii="宋体"/>
          <w:color w:val="auto"/>
          <w:szCs w:val="21"/>
        </w:rPr>
      </w:pPr>
      <w:r>
        <w:rPr>
          <w:rFonts w:hint="eastAsia" w:ascii="宋体"/>
          <w:color w:val="auto"/>
          <w:szCs w:val="21"/>
        </w:rPr>
        <w:t>注</w:t>
      </w:r>
      <w:r>
        <w:rPr>
          <w:rFonts w:hint="eastAsia" w:ascii="宋体"/>
          <w:color w:val="auto"/>
          <w:szCs w:val="21"/>
          <w:lang w:eastAsia="zh-CN"/>
        </w:rPr>
        <w:t>:</w:t>
      </w:r>
      <w:r>
        <w:rPr>
          <w:rFonts w:hint="eastAsia" w:ascii="宋体"/>
          <w:color w:val="auto"/>
          <w:szCs w:val="21"/>
        </w:rPr>
        <w:t>该评标索引表格放在投标文件目录后，正文的第一页。</w:t>
      </w:r>
    </w:p>
    <w:p w14:paraId="5F126ABB">
      <w:pPr>
        <w:spacing w:line="360" w:lineRule="auto"/>
        <w:outlineLvl w:val="1"/>
        <w:rPr>
          <w:b/>
          <w:color w:val="auto"/>
          <w:sz w:val="24"/>
        </w:rPr>
      </w:pPr>
      <w:r>
        <w:rPr>
          <w:color w:val="auto"/>
          <w:sz w:val="24"/>
        </w:rPr>
        <w:br w:type="page"/>
      </w:r>
      <w:bookmarkStart w:id="1380" w:name="_A1_投标书"/>
      <w:bookmarkEnd w:id="1380"/>
      <w:bookmarkStart w:id="1381" w:name="_Toc416103814"/>
      <w:bookmarkStart w:id="1382" w:name="_Toc414445764"/>
      <w:bookmarkStart w:id="1383" w:name="_Toc410631173"/>
      <w:bookmarkStart w:id="1384" w:name="_Toc372807484"/>
      <w:bookmarkStart w:id="1385" w:name="_Toc162669084"/>
      <w:bookmarkStart w:id="1386" w:name="_Toc179091096"/>
      <w:bookmarkStart w:id="1387" w:name="_Toc128455956"/>
      <w:bookmarkStart w:id="1388" w:name="_Toc192127127"/>
      <w:bookmarkStart w:id="1389" w:name="_Toc11410"/>
      <w:bookmarkStart w:id="1390" w:name="_Toc10287"/>
      <w:bookmarkStart w:id="1391" w:name="_Toc30875"/>
      <w:bookmarkStart w:id="1392" w:name="_Toc176663528"/>
      <w:bookmarkStart w:id="1393" w:name="_Toc181038076"/>
      <w:bookmarkStart w:id="1394" w:name="_Toc192127128"/>
      <w:r>
        <w:rPr>
          <w:rFonts w:hint="eastAsia"/>
          <w:b/>
          <w:color w:val="auto"/>
          <w:sz w:val="24"/>
        </w:rPr>
        <w:t>附件1</w:t>
      </w:r>
      <w:bookmarkEnd w:id="1381"/>
      <w:bookmarkEnd w:id="1382"/>
      <w:bookmarkEnd w:id="1383"/>
      <w:bookmarkEnd w:id="1384"/>
      <w:r>
        <w:rPr>
          <w:rFonts w:hint="eastAsia" w:ascii="宋体" w:hAnsi="宋体" w:eastAsia="宋体" w:cs="宋体"/>
          <w:b/>
          <w:color w:val="auto"/>
          <w:sz w:val="24"/>
        </w:rPr>
        <w:t xml:space="preserve"> </w:t>
      </w:r>
      <w:r>
        <w:rPr>
          <w:b/>
          <w:color w:val="auto"/>
          <w:sz w:val="24"/>
        </w:rPr>
        <w:t>投标</w:t>
      </w:r>
      <w:r>
        <w:rPr>
          <w:rFonts w:hint="eastAsia"/>
          <w:b/>
          <w:color w:val="auto"/>
          <w:sz w:val="24"/>
        </w:rPr>
        <w:t>书</w:t>
      </w:r>
      <w:bookmarkEnd w:id="1385"/>
      <w:bookmarkEnd w:id="1386"/>
      <w:bookmarkEnd w:id="1387"/>
      <w:bookmarkEnd w:id="1388"/>
      <w:bookmarkEnd w:id="1389"/>
      <w:bookmarkEnd w:id="1390"/>
      <w:bookmarkEnd w:id="1391"/>
      <w:bookmarkEnd w:id="1392"/>
      <w:bookmarkEnd w:id="1393"/>
    </w:p>
    <w:p w14:paraId="4E633DF2">
      <w:pPr>
        <w:autoSpaceDE w:val="0"/>
        <w:autoSpaceDN w:val="0"/>
        <w:adjustRightInd w:val="0"/>
        <w:jc w:val="center"/>
        <w:rPr>
          <w:rFonts w:ascii="宋体" w:hAnsi="宋体" w:cs="黑体"/>
          <w:color w:val="auto"/>
          <w:kern w:val="0"/>
          <w:sz w:val="24"/>
        </w:rPr>
      </w:pPr>
    </w:p>
    <w:p w14:paraId="251F5F33">
      <w:pPr>
        <w:autoSpaceDE w:val="0"/>
        <w:autoSpaceDN w:val="0"/>
        <w:adjustRightInd w:val="0"/>
        <w:jc w:val="center"/>
        <w:rPr>
          <w:rFonts w:ascii="宋体" w:hAnsi="宋体" w:cs="黑体"/>
          <w:color w:val="auto"/>
          <w:kern w:val="0"/>
          <w:sz w:val="24"/>
        </w:rPr>
      </w:pPr>
      <w:r>
        <w:rPr>
          <w:rFonts w:hint="eastAsia" w:ascii="宋体" w:hAnsi="宋体" w:cs="黑体"/>
          <w:color w:val="auto"/>
          <w:kern w:val="0"/>
          <w:sz w:val="24"/>
        </w:rPr>
        <w:t>投标书</w:t>
      </w:r>
    </w:p>
    <w:p w14:paraId="18C15C72">
      <w:pPr>
        <w:autoSpaceDE w:val="0"/>
        <w:autoSpaceDN w:val="0"/>
        <w:adjustRightInd w:val="0"/>
        <w:jc w:val="center"/>
        <w:rPr>
          <w:rFonts w:ascii="宋体" w:hAnsi="宋体" w:cs="黑体"/>
          <w:color w:val="auto"/>
          <w:kern w:val="0"/>
          <w:sz w:val="24"/>
        </w:rPr>
      </w:pPr>
    </w:p>
    <w:p w14:paraId="2F86C03C">
      <w:pPr>
        <w:autoSpaceDE w:val="0"/>
        <w:autoSpaceDN w:val="0"/>
        <w:adjustRightInd w:val="0"/>
        <w:jc w:val="center"/>
        <w:rPr>
          <w:rFonts w:ascii="宋体" w:hAnsi="宋体" w:cs="黑体"/>
          <w:color w:val="auto"/>
          <w:kern w:val="0"/>
          <w:sz w:val="24"/>
        </w:rPr>
      </w:pPr>
    </w:p>
    <w:p w14:paraId="50016CB5">
      <w:pPr>
        <w:autoSpaceDE w:val="0"/>
        <w:autoSpaceDN w:val="0"/>
        <w:adjustRightInd w:val="0"/>
        <w:snapToGrid w:val="0"/>
        <w:spacing w:line="360" w:lineRule="auto"/>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采购人名称</w:t>
      </w:r>
      <w:r>
        <w:rPr>
          <w:rFonts w:hint="eastAsia" w:ascii="宋体" w:hAnsi="宋体" w:cs="仿宋_GB2312"/>
          <w:color w:val="auto"/>
          <w:kern w:val="0"/>
          <w:sz w:val="24"/>
          <w:lang w:eastAsia="zh-CN"/>
        </w:rPr>
        <w:t>):</w:t>
      </w:r>
    </w:p>
    <w:p w14:paraId="7234400E">
      <w:pPr>
        <w:autoSpaceDE w:val="0"/>
        <w:autoSpaceDN w:val="0"/>
        <w:adjustRightInd w:val="0"/>
        <w:snapToGrid w:val="0"/>
        <w:spacing w:line="360" w:lineRule="auto"/>
        <w:ind w:firstLine="480" w:firstLineChars="200"/>
        <w:jc w:val="left"/>
        <w:rPr>
          <w:rFonts w:ascii="宋体" w:hAnsi="宋体" w:cs="仿宋_GB2312"/>
          <w:color w:val="auto"/>
          <w:kern w:val="0"/>
          <w:sz w:val="24"/>
        </w:rPr>
      </w:pPr>
      <w:r>
        <w:rPr>
          <w:rFonts w:hint="eastAsia" w:ascii="宋体" w:hAnsi="宋体" w:cs="TimesNewRomanPSMT"/>
          <w:color w:val="auto"/>
          <w:kern w:val="0"/>
          <w:sz w:val="24"/>
        </w:rPr>
        <w:t>1.</w:t>
      </w:r>
      <w:r>
        <w:rPr>
          <w:rFonts w:hint="eastAsia" w:ascii="宋体" w:hAnsi="宋体" w:cs="仿宋_GB2312"/>
          <w:color w:val="auto"/>
          <w:kern w:val="0"/>
          <w:sz w:val="24"/>
        </w:rPr>
        <w:t>我方已仔细研究了</w:t>
      </w:r>
      <w:r>
        <w:rPr>
          <w:rFonts w:hint="eastAsia" w:ascii="宋体" w:hAnsi="宋体" w:cs="仿宋_GB2312"/>
          <w:color w:val="auto"/>
          <w:kern w:val="0"/>
          <w:sz w:val="24"/>
          <w:u w:val="single"/>
        </w:rPr>
        <w:t xml:space="preserve">  </w:t>
      </w:r>
      <w:r>
        <w:rPr>
          <w:rFonts w:hint="eastAsia" w:ascii="宋体" w:hAnsi="宋体" w:cs="仿宋_GB2312"/>
          <w:color w:val="auto"/>
          <w:kern w:val="0"/>
          <w:sz w:val="24"/>
          <w:u w:val="single"/>
          <w:lang w:eastAsia="zh-CN"/>
        </w:rPr>
        <w:t>(</w:t>
      </w:r>
      <w:r>
        <w:rPr>
          <w:rFonts w:hint="eastAsia" w:ascii="宋体" w:hAnsi="宋体" w:cs="仿宋_GB2312"/>
          <w:color w:val="auto"/>
          <w:kern w:val="0"/>
          <w:sz w:val="24"/>
          <w:u w:val="single"/>
        </w:rPr>
        <w:t>项目名称</w:t>
      </w:r>
      <w:r>
        <w:rPr>
          <w:rFonts w:hint="eastAsia" w:ascii="宋体" w:hAnsi="宋体" w:cs="仿宋_GB2312"/>
          <w:color w:val="auto"/>
          <w:kern w:val="0"/>
          <w:sz w:val="24"/>
          <w:u w:val="single"/>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招标文件</w:t>
      </w:r>
      <w:r>
        <w:rPr>
          <w:rFonts w:hint="eastAsia" w:ascii="宋体" w:hAnsi="宋体" w:cs="仿宋_GB2312"/>
          <w:color w:val="auto"/>
          <w:kern w:val="0"/>
          <w:sz w:val="24"/>
          <w:lang w:eastAsia="zh-CN"/>
        </w:rPr>
        <w:t>(</w:t>
      </w:r>
      <w:r>
        <w:rPr>
          <w:rFonts w:hint="eastAsia" w:ascii="宋体" w:hAnsi="宋体" w:cs="仿宋_GB2312"/>
          <w:color w:val="auto"/>
          <w:kern w:val="0"/>
          <w:sz w:val="24"/>
        </w:rPr>
        <w:t>包括修改、澄清文件</w:t>
      </w:r>
      <w:r>
        <w:rPr>
          <w:rFonts w:hint="eastAsia" w:ascii="宋体" w:hAnsi="宋体" w:cs="仿宋_GB2312"/>
          <w:color w:val="auto"/>
          <w:kern w:val="0"/>
          <w:sz w:val="24"/>
          <w:lang w:eastAsia="zh-CN"/>
        </w:rPr>
        <w:t>)</w:t>
      </w:r>
      <w:r>
        <w:rPr>
          <w:rFonts w:hint="eastAsia" w:ascii="宋体" w:hAnsi="宋体" w:cs="仿宋_GB2312"/>
          <w:color w:val="auto"/>
          <w:kern w:val="0"/>
          <w:sz w:val="24"/>
        </w:rPr>
        <w:t>的全部内容，且对招标文件无任何异议，并愿意以“报价表”所填写的投标总价、服务期及服务地点</w:t>
      </w:r>
      <w:r>
        <w:rPr>
          <w:rFonts w:hint="eastAsia" w:ascii="宋体" w:hAnsi="宋体" w:cs="TimesNewRomanPSMT"/>
          <w:color w:val="auto"/>
          <w:kern w:val="0"/>
          <w:sz w:val="24"/>
        </w:rPr>
        <w:t>，向你方</w:t>
      </w:r>
      <w:r>
        <w:rPr>
          <w:rFonts w:hint="eastAsia" w:ascii="宋体" w:hAnsi="宋体"/>
          <w:color w:val="auto"/>
          <w:sz w:val="24"/>
        </w:rPr>
        <w:t>提供招标文件要求的服务</w:t>
      </w:r>
      <w:r>
        <w:rPr>
          <w:rFonts w:hint="eastAsia" w:ascii="宋体" w:hAnsi="宋体" w:cs="仿宋_GB2312"/>
          <w:color w:val="auto"/>
          <w:kern w:val="0"/>
          <w:sz w:val="24"/>
        </w:rPr>
        <w:t>。</w:t>
      </w:r>
    </w:p>
    <w:p w14:paraId="4DB9098E">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2.我方承诺在投标有效期内不修改或撤销投标文件。否则，你方可不予退还我方的投标保证金。</w:t>
      </w:r>
    </w:p>
    <w:p w14:paraId="195A5308">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3.随同本投标函提交投标保证金一份，金额见“</w:t>
      </w:r>
      <w:r>
        <w:rPr>
          <w:rFonts w:hint="eastAsia" w:ascii="宋体" w:hAnsi="宋体" w:cs="仿宋_GB2312"/>
          <w:color w:val="auto"/>
          <w:kern w:val="0"/>
          <w:sz w:val="24"/>
        </w:rPr>
        <w:t>报价表”</w:t>
      </w:r>
      <w:r>
        <w:rPr>
          <w:rFonts w:hint="eastAsia" w:ascii="宋体" w:hAnsi="宋体" w:cs="TimesNewRomanPSMT"/>
          <w:color w:val="auto"/>
          <w:kern w:val="0"/>
          <w:sz w:val="24"/>
        </w:rPr>
        <w:t>。</w:t>
      </w:r>
    </w:p>
    <w:p w14:paraId="0FEBA18A">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4.本投标的投标有效期为自投标截止之日起</w:t>
      </w:r>
      <w:r>
        <w:rPr>
          <w:rFonts w:hint="eastAsia" w:ascii="宋体" w:hAnsi="宋体" w:cs="TimesNewRomanPSMT"/>
          <w:color w:val="auto"/>
          <w:kern w:val="0"/>
          <w:sz w:val="24"/>
          <w:u w:val="single"/>
        </w:rPr>
        <w:t xml:space="preserve">    </w:t>
      </w:r>
      <w:r>
        <w:rPr>
          <w:rFonts w:hint="eastAsia" w:ascii="宋体" w:hAnsi="宋体" w:cs="TimesNewRomanPSMT"/>
          <w:color w:val="auto"/>
          <w:kern w:val="0"/>
          <w:sz w:val="24"/>
        </w:rPr>
        <w:t>个日历天。</w:t>
      </w:r>
    </w:p>
    <w:p w14:paraId="6345D1B8">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5.我方承诺所提交的投标文件及有关资料是完整的、真实的和准确的，否则，我方承担由此造成的任何损失及引起的任何后果。若我方已经收到中标通知书，我方将无条件的承认该中标通知书无效，对采购人不具有任何法律约束力。</w:t>
      </w:r>
    </w:p>
    <w:p w14:paraId="449B02BD">
      <w:pPr>
        <w:autoSpaceDE w:val="0"/>
        <w:autoSpaceDN w:val="0"/>
        <w:adjustRightInd w:val="0"/>
        <w:snapToGrid w:val="0"/>
        <w:spacing w:line="360" w:lineRule="auto"/>
        <w:ind w:firstLine="480" w:firstLineChars="200"/>
        <w:jc w:val="left"/>
        <w:outlineLvl w:val="9"/>
        <w:rPr>
          <w:rFonts w:hint="eastAsia" w:ascii="宋体" w:hAnsi="宋体" w:eastAsia="宋体" w:cs="TimesNewRomanPSMT"/>
          <w:color w:val="auto"/>
          <w:kern w:val="0"/>
          <w:sz w:val="24"/>
          <w:lang w:eastAsia="zh-CN"/>
        </w:rPr>
      </w:pPr>
      <w:r>
        <w:rPr>
          <w:rFonts w:hint="eastAsia" w:ascii="宋体" w:hAnsi="宋体" w:cs="TimesNewRomanPSMT"/>
          <w:color w:val="auto"/>
          <w:kern w:val="0"/>
          <w:sz w:val="24"/>
        </w:rPr>
        <w:t>6．如我方中标</w:t>
      </w:r>
      <w:r>
        <w:rPr>
          <w:rFonts w:hint="eastAsia" w:ascii="宋体" w:hAnsi="宋体" w:cs="TimesNewRomanPSMT"/>
          <w:color w:val="auto"/>
          <w:kern w:val="0"/>
          <w:sz w:val="24"/>
          <w:lang w:eastAsia="zh-CN"/>
        </w:rPr>
        <w:t>:</w:t>
      </w:r>
    </w:p>
    <w:p w14:paraId="7508CF33">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ascii="宋体" w:hAnsi="宋体" w:cs="TimesNewRomanPSMT"/>
          <w:color w:val="auto"/>
          <w:kern w:val="0"/>
          <w:sz w:val="24"/>
        </w:rPr>
        <w:t>1</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我方承诺在收到中标通知书后，在中标通知书规定的期限内与你方签订合同。</w:t>
      </w:r>
    </w:p>
    <w:p w14:paraId="6D9E28BB">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TimesNewRomanPSMT"/>
          <w:color w:val="auto"/>
          <w:kern w:val="0"/>
          <w:sz w:val="24"/>
        </w:rPr>
        <w:t>2</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我方承诺按照招标文件规定向你方递交履约保证金。</w:t>
      </w:r>
    </w:p>
    <w:p w14:paraId="125E7A5E">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TimesNewRomanPSMT"/>
          <w:color w:val="auto"/>
          <w:kern w:val="0"/>
          <w:sz w:val="24"/>
        </w:rPr>
        <w:t>3</w:t>
      </w:r>
      <w:r>
        <w:rPr>
          <w:rFonts w:hint="eastAsia" w:ascii="宋体" w:hAnsi="宋体" w:cs="仿宋_GB2312"/>
          <w:color w:val="auto"/>
          <w:kern w:val="0"/>
          <w:sz w:val="24"/>
          <w:lang w:eastAsia="zh-CN"/>
        </w:rPr>
        <w:t>)</w:t>
      </w:r>
      <w:r>
        <w:rPr>
          <w:rFonts w:hint="eastAsia" w:ascii="宋体" w:hAnsi="宋体" w:cs="仿宋_GB2312"/>
          <w:color w:val="auto"/>
          <w:kern w:val="0"/>
          <w:sz w:val="24"/>
        </w:rPr>
        <w:t>我方承诺按合同约定的期限和地点，提供符合招标文件要求的全部的招标货物</w:t>
      </w:r>
      <w:r>
        <w:rPr>
          <w:rFonts w:hint="eastAsia" w:ascii="宋体" w:hAnsi="宋体" w:cs="仿宋_GB2312"/>
          <w:color w:val="auto"/>
          <w:kern w:val="0"/>
          <w:sz w:val="24"/>
          <w:lang w:eastAsia="zh-CN"/>
        </w:rPr>
        <w:t>(</w:t>
      </w:r>
      <w:r>
        <w:rPr>
          <w:rFonts w:hint="eastAsia" w:ascii="宋体" w:hAnsi="宋体" w:cs="仿宋_GB2312"/>
          <w:color w:val="auto"/>
          <w:kern w:val="0"/>
          <w:sz w:val="24"/>
        </w:rPr>
        <w:t>/或服务</w:t>
      </w:r>
      <w:r>
        <w:rPr>
          <w:rFonts w:hint="eastAsia" w:ascii="宋体" w:hAnsi="宋体" w:cs="仿宋_GB2312"/>
          <w:color w:val="auto"/>
          <w:kern w:val="0"/>
          <w:sz w:val="24"/>
          <w:lang w:eastAsia="zh-CN"/>
        </w:rPr>
        <w:t>)</w:t>
      </w:r>
      <w:r>
        <w:rPr>
          <w:rFonts w:hint="eastAsia" w:ascii="宋体" w:hAnsi="宋体" w:cs="仿宋_GB2312"/>
          <w:color w:val="auto"/>
          <w:kern w:val="0"/>
          <w:sz w:val="24"/>
        </w:rPr>
        <w:t>。</w:t>
      </w:r>
    </w:p>
    <w:p w14:paraId="477413E4">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仿宋_GB2312"/>
          <w:color w:val="auto"/>
          <w:kern w:val="0"/>
          <w:sz w:val="24"/>
        </w:rPr>
        <w:t>4</w:t>
      </w:r>
      <w:r>
        <w:rPr>
          <w:rFonts w:hint="eastAsia" w:ascii="宋体" w:hAnsi="宋体" w:cs="仿宋_GB2312"/>
          <w:color w:val="auto"/>
          <w:kern w:val="0"/>
          <w:sz w:val="24"/>
          <w:lang w:eastAsia="zh-CN"/>
        </w:rPr>
        <w:t>)</w:t>
      </w:r>
      <w:r>
        <w:rPr>
          <w:rFonts w:hint="eastAsia" w:ascii="宋体" w:hAnsi="宋体" w:cs="仿宋_GB2312"/>
          <w:color w:val="auto"/>
          <w:kern w:val="0"/>
          <w:sz w:val="24"/>
        </w:rPr>
        <w:t>我方将按招标文件规定提交履约保证金，作为履行合同的担保。</w:t>
      </w:r>
    </w:p>
    <w:p w14:paraId="1AA282D0">
      <w:pPr>
        <w:autoSpaceDE w:val="0"/>
        <w:autoSpaceDN w:val="0"/>
        <w:adjustRightInd w:val="0"/>
        <w:snapToGrid w:val="0"/>
        <w:spacing w:line="360" w:lineRule="auto"/>
        <w:ind w:left="359" w:leftChars="171"/>
        <w:jc w:val="left"/>
        <w:rPr>
          <w:rFonts w:ascii="宋体" w:hAnsi="宋体" w:cs="仿宋_GB2312"/>
          <w:color w:val="auto"/>
          <w:kern w:val="0"/>
          <w:sz w:val="24"/>
        </w:rPr>
      </w:pPr>
      <w:r>
        <w:rPr>
          <w:rFonts w:hint="eastAsia" w:ascii="宋体" w:hAnsi="宋体" w:cs="仿宋_GB2312"/>
          <w:color w:val="auto"/>
          <w:kern w:val="0"/>
          <w:sz w:val="24"/>
          <w:lang w:eastAsia="zh-CN"/>
        </w:rPr>
        <w:t>(</w:t>
      </w:r>
      <w:r>
        <w:rPr>
          <w:rFonts w:hint="eastAsia" w:ascii="宋体" w:hAnsi="宋体" w:cs="仿宋_GB2312"/>
          <w:color w:val="auto"/>
          <w:kern w:val="0"/>
          <w:sz w:val="24"/>
        </w:rPr>
        <w:t>5</w:t>
      </w:r>
      <w:r>
        <w:rPr>
          <w:rFonts w:hint="eastAsia" w:ascii="宋体" w:hAnsi="宋体" w:cs="仿宋_GB2312"/>
          <w:color w:val="auto"/>
          <w:kern w:val="0"/>
          <w:sz w:val="24"/>
          <w:lang w:eastAsia="zh-CN"/>
        </w:rPr>
        <w:t>)</w:t>
      </w:r>
      <w:r>
        <w:rPr>
          <w:rFonts w:hint="eastAsia" w:ascii="宋体" w:hAnsi="宋体" w:cs="仿宋_GB2312"/>
          <w:color w:val="auto"/>
          <w:kern w:val="0"/>
          <w:sz w:val="24"/>
        </w:rPr>
        <w:t>我方保证在收到中标通知书后五个工作日内按要求支付招标服务费。</w:t>
      </w:r>
    </w:p>
    <w:p w14:paraId="13A8B11D">
      <w:pPr>
        <w:autoSpaceDE w:val="0"/>
        <w:autoSpaceDN w:val="0"/>
        <w:adjustRightInd w:val="0"/>
        <w:snapToGrid w:val="0"/>
        <w:spacing w:line="360" w:lineRule="auto"/>
        <w:ind w:firstLine="480" w:firstLineChars="200"/>
        <w:jc w:val="left"/>
        <w:rPr>
          <w:rFonts w:ascii="宋体" w:hAnsi="宋体" w:cs="TimesNewRomanPSMT"/>
          <w:color w:val="auto"/>
          <w:kern w:val="0"/>
          <w:sz w:val="24"/>
        </w:rPr>
      </w:pPr>
      <w:r>
        <w:rPr>
          <w:rFonts w:hint="eastAsia" w:ascii="宋体" w:hAnsi="宋体" w:cs="TimesNewRomanPSMT"/>
          <w:color w:val="auto"/>
          <w:kern w:val="0"/>
          <w:sz w:val="24"/>
        </w:rPr>
        <w:t>7．</w:t>
      </w:r>
      <w:r>
        <w:rPr>
          <w:rFonts w:hint="eastAsia" w:ascii="宋体" w:hAnsi="宋体" w:cs="TimesNewRomanPSMT"/>
          <w:color w:val="auto"/>
          <w:kern w:val="0"/>
          <w:sz w:val="24"/>
          <w:u w:val="single"/>
        </w:rPr>
        <w:t xml:space="preserve">               </w:t>
      </w:r>
      <w:r>
        <w:rPr>
          <w:rFonts w:ascii="宋体" w:hAnsi="宋体" w:cs="TimesNewRomanPSMT"/>
          <w:color w:val="auto"/>
          <w:kern w:val="0"/>
          <w:sz w:val="24"/>
          <w:u w:val="single"/>
        </w:rPr>
        <w:t xml:space="preserve"> </w:t>
      </w:r>
      <w:r>
        <w:rPr>
          <w:rFonts w:hint="eastAsia" w:ascii="宋体" w:hAnsi="宋体" w:cs="TimesNewRomanPSMT"/>
          <w:color w:val="auto"/>
          <w:kern w:val="0"/>
          <w:sz w:val="24"/>
          <w:lang w:eastAsia="zh-CN"/>
        </w:rPr>
        <w:t>(</w:t>
      </w:r>
      <w:r>
        <w:rPr>
          <w:rFonts w:hint="eastAsia" w:ascii="宋体" w:hAnsi="宋体" w:cs="TimesNewRomanPSMT"/>
          <w:color w:val="auto"/>
          <w:kern w:val="0"/>
          <w:sz w:val="24"/>
        </w:rPr>
        <w:t>其他补充说明</w:t>
      </w:r>
      <w:r>
        <w:rPr>
          <w:rFonts w:hint="eastAsia" w:ascii="宋体" w:hAnsi="宋体" w:cs="TimesNewRomanPSMT"/>
          <w:color w:val="auto"/>
          <w:kern w:val="0"/>
          <w:sz w:val="24"/>
          <w:lang w:eastAsia="zh-CN"/>
        </w:rPr>
        <w:t>)</w:t>
      </w:r>
      <w:r>
        <w:rPr>
          <w:rFonts w:hint="eastAsia" w:ascii="宋体" w:hAnsi="宋体" w:cs="TimesNewRomanPSMT"/>
          <w:color w:val="auto"/>
          <w:kern w:val="0"/>
          <w:sz w:val="24"/>
        </w:rPr>
        <w:t>。</w:t>
      </w:r>
    </w:p>
    <w:p w14:paraId="385CBA69">
      <w:pPr>
        <w:autoSpaceDE w:val="0"/>
        <w:autoSpaceDN w:val="0"/>
        <w:adjustRightInd w:val="0"/>
        <w:snapToGrid w:val="0"/>
        <w:spacing w:line="360" w:lineRule="auto"/>
        <w:jc w:val="left"/>
        <w:rPr>
          <w:rFonts w:ascii="宋体" w:hAnsi="宋体" w:cs="仿宋_GB2312"/>
          <w:color w:val="auto"/>
          <w:kern w:val="0"/>
          <w:sz w:val="24"/>
        </w:rPr>
      </w:pPr>
    </w:p>
    <w:p w14:paraId="5CDCFD20">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投</w:t>
      </w:r>
      <w:r>
        <w:rPr>
          <w:rFonts w:ascii="宋体" w:hAnsi="宋体" w:cs="仿宋_GB2312"/>
          <w:color w:val="auto"/>
          <w:kern w:val="0"/>
          <w:sz w:val="24"/>
        </w:rPr>
        <w:t xml:space="preserve"> </w:t>
      </w:r>
      <w:r>
        <w:rPr>
          <w:rFonts w:hint="eastAsia" w:ascii="宋体" w:hAnsi="宋体" w:cs="仿宋_GB2312"/>
          <w:color w:val="auto"/>
          <w:kern w:val="0"/>
          <w:sz w:val="24"/>
        </w:rPr>
        <w:t>标</w:t>
      </w:r>
      <w:r>
        <w:rPr>
          <w:rFonts w:ascii="宋体" w:hAnsi="宋体" w:cs="仿宋_GB2312"/>
          <w:color w:val="auto"/>
          <w:kern w:val="0"/>
          <w:sz w:val="24"/>
        </w:rPr>
        <w:t xml:space="preserve"> </w:t>
      </w:r>
      <w:r>
        <w:rPr>
          <w:rFonts w:hint="eastAsia" w:ascii="宋体" w:hAnsi="宋体" w:cs="仿宋_GB2312"/>
          <w:color w:val="auto"/>
          <w:kern w:val="0"/>
          <w:sz w:val="24"/>
        </w:rPr>
        <w:t>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4C106BB8">
      <w:pPr>
        <w:autoSpaceDE w:val="0"/>
        <w:autoSpaceDN w:val="0"/>
        <w:adjustRightInd w:val="0"/>
        <w:snapToGrid w:val="0"/>
        <w:spacing w:line="360" w:lineRule="auto"/>
        <w:ind w:left="3780" w:leftChars="1800"/>
        <w:jc w:val="left"/>
        <w:outlineLvl w:val="9"/>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hint="eastAsia" w:ascii="宋体" w:hAnsi="宋体" w:cs="仿宋_GB2312"/>
          <w:color w:val="auto"/>
          <w:kern w:val="0"/>
          <w:sz w:val="24"/>
        </w:rPr>
        <w:t>签字或加盖人名章</w:t>
      </w:r>
      <w:r>
        <w:rPr>
          <w:rFonts w:hint="eastAsia" w:ascii="宋体" w:hAnsi="宋体" w:cs="仿宋_GB2312"/>
          <w:color w:val="auto"/>
          <w:kern w:val="0"/>
          <w:sz w:val="24"/>
          <w:lang w:eastAsia="zh-CN"/>
        </w:rPr>
        <w:t>)</w:t>
      </w:r>
    </w:p>
    <w:p w14:paraId="31F1812F">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地址</w:t>
      </w:r>
      <w:r>
        <w:rPr>
          <w:rFonts w:hint="eastAsia" w:ascii="宋体" w:hAnsi="宋体" w:cs="仿宋_GB2312"/>
          <w:color w:val="auto"/>
          <w:kern w:val="0"/>
          <w:sz w:val="24"/>
          <w:lang w:eastAsia="zh-CN"/>
        </w:rPr>
        <w:t>:</w:t>
      </w:r>
    </w:p>
    <w:p w14:paraId="6109855B">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电话</w:t>
      </w:r>
      <w:r>
        <w:rPr>
          <w:rFonts w:hint="eastAsia" w:ascii="宋体" w:hAnsi="宋体" w:cs="仿宋_GB2312"/>
          <w:color w:val="auto"/>
          <w:kern w:val="0"/>
          <w:sz w:val="24"/>
          <w:lang w:eastAsia="zh-CN"/>
        </w:rPr>
        <w:t>:</w:t>
      </w:r>
    </w:p>
    <w:p w14:paraId="64106371">
      <w:pPr>
        <w:autoSpaceDE w:val="0"/>
        <w:autoSpaceDN w:val="0"/>
        <w:adjustRightInd w:val="0"/>
        <w:snapToGrid w:val="0"/>
        <w:spacing w:line="360" w:lineRule="auto"/>
        <w:ind w:left="3780" w:leftChars="18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传真</w:t>
      </w:r>
      <w:r>
        <w:rPr>
          <w:rFonts w:hint="eastAsia" w:ascii="宋体" w:hAnsi="宋体" w:cs="仿宋_GB2312"/>
          <w:color w:val="auto"/>
          <w:kern w:val="0"/>
          <w:sz w:val="24"/>
          <w:lang w:eastAsia="zh-CN"/>
        </w:rPr>
        <w:t>:</w:t>
      </w:r>
    </w:p>
    <w:p w14:paraId="79DAA773">
      <w:pPr>
        <w:autoSpaceDE w:val="0"/>
        <w:autoSpaceDN w:val="0"/>
        <w:adjustRightInd w:val="0"/>
        <w:snapToGrid w:val="0"/>
        <w:spacing w:line="360" w:lineRule="auto"/>
        <w:ind w:left="5939" w:leftChars="2828"/>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0BC1AA5D">
      <w:pPr>
        <w:spacing w:line="360" w:lineRule="auto"/>
        <w:outlineLvl w:val="1"/>
        <w:rPr>
          <w:b/>
          <w:color w:val="auto"/>
          <w:sz w:val="24"/>
        </w:rPr>
      </w:pPr>
      <w:r>
        <w:rPr>
          <w:color w:val="auto"/>
        </w:rPr>
        <w:br w:type="page"/>
      </w:r>
      <w:bookmarkEnd w:id="1394"/>
      <w:bookmarkStart w:id="1395" w:name="_Toc3327"/>
      <w:bookmarkStart w:id="1396" w:name="_Toc7306"/>
      <w:bookmarkStart w:id="1397" w:name="_Toc5131"/>
      <w:bookmarkStart w:id="1398" w:name="_Toc195922057"/>
      <w:bookmarkStart w:id="1399" w:name="_Toc192127131"/>
      <w:r>
        <w:rPr>
          <w:rFonts w:hint="eastAsia"/>
          <w:b/>
          <w:color w:val="auto"/>
          <w:sz w:val="24"/>
        </w:rPr>
        <w:t>附件2</w:t>
      </w:r>
      <w:r>
        <w:rPr>
          <w:rFonts w:hint="eastAsia" w:ascii="宋体" w:hAnsi="宋体" w:eastAsia="宋体" w:cs="宋体"/>
          <w:b/>
          <w:color w:val="auto"/>
          <w:sz w:val="24"/>
        </w:rPr>
        <w:t xml:space="preserve"> </w:t>
      </w:r>
      <w:r>
        <w:rPr>
          <w:rFonts w:hint="eastAsia"/>
          <w:b/>
          <w:color w:val="auto"/>
          <w:sz w:val="24"/>
        </w:rPr>
        <w:t>报价表</w:t>
      </w:r>
      <w:bookmarkEnd w:id="1395"/>
      <w:bookmarkEnd w:id="1396"/>
      <w:bookmarkEnd w:id="1397"/>
    </w:p>
    <w:p w14:paraId="0354593F">
      <w:pPr>
        <w:spacing w:line="360" w:lineRule="auto"/>
        <w:rPr>
          <w:rFonts w:hint="eastAsia" w:ascii="宋体" w:hAnsi="宋体" w:cs="宋体"/>
          <w:color w:val="auto"/>
          <w:sz w:val="24"/>
        </w:rPr>
      </w:pPr>
    </w:p>
    <w:p w14:paraId="15AFAD1A">
      <w:pPr>
        <w:spacing w:line="360" w:lineRule="auto"/>
        <w:jc w:val="center"/>
        <w:rPr>
          <w:rFonts w:hint="eastAsia" w:ascii="宋体" w:hAnsi="宋体" w:cs="宋体"/>
          <w:color w:val="auto"/>
          <w:sz w:val="24"/>
        </w:rPr>
      </w:pPr>
      <w:r>
        <w:rPr>
          <w:rFonts w:hint="eastAsia" w:ascii="宋体" w:hAnsi="宋体" w:cs="宋体"/>
          <w:color w:val="auto"/>
          <w:sz w:val="24"/>
        </w:rPr>
        <w:t>报价表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4"/>
        <w:gridCol w:w="7462"/>
      </w:tblGrid>
      <w:tr w14:paraId="3A8F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1946" w:type="dxa"/>
            <w:vAlign w:val="center"/>
          </w:tcPr>
          <w:p w14:paraId="45025E1A">
            <w:pPr>
              <w:ind w:left="141" w:leftChars="67" w:right="103" w:rightChars="49"/>
              <w:jc w:val="center"/>
              <w:rPr>
                <w:rFonts w:hint="eastAsia" w:ascii="宋体" w:hAnsi="宋体" w:eastAsia="宋体" w:cs="宋体"/>
                <w:b/>
                <w:color w:val="auto"/>
                <w:sz w:val="24"/>
              </w:rPr>
            </w:pPr>
            <w:r>
              <w:rPr>
                <w:rFonts w:hint="eastAsia" w:ascii="宋体" w:hAnsi="宋体" w:eastAsia="宋体" w:cs="宋体"/>
                <w:b/>
                <w:color w:val="auto"/>
                <w:sz w:val="24"/>
              </w:rPr>
              <w:t>项目编号</w:t>
            </w:r>
          </w:p>
          <w:p w14:paraId="369913F0">
            <w:pPr>
              <w:ind w:left="141" w:leftChars="67" w:right="103" w:rightChars="49"/>
              <w:jc w:val="center"/>
              <w:rPr>
                <w:rFonts w:hint="eastAsia" w:ascii="宋体" w:hAnsi="宋体" w:eastAsia="宋体" w:cs="宋体"/>
                <w:b/>
                <w:color w:val="auto"/>
                <w:sz w:val="24"/>
              </w:rPr>
            </w:pPr>
            <w:r>
              <w:rPr>
                <w:rFonts w:hint="eastAsia" w:ascii="宋体" w:hAnsi="宋体" w:eastAsia="宋体" w:cs="宋体"/>
                <w:b/>
                <w:color w:val="auto"/>
                <w:sz w:val="24"/>
              </w:rPr>
              <w:t>及投标</w:t>
            </w:r>
            <w:r>
              <w:rPr>
                <w:rFonts w:hint="eastAsia" w:ascii="宋体" w:hAnsi="宋体" w:eastAsia="宋体" w:cs="宋体"/>
                <w:b/>
                <w:color w:val="auto"/>
                <w:sz w:val="24"/>
                <w:lang w:val="en-US" w:eastAsia="zh-CN"/>
              </w:rPr>
              <w:t>项目</w:t>
            </w:r>
            <w:r>
              <w:rPr>
                <w:rFonts w:hint="eastAsia" w:ascii="宋体" w:hAnsi="宋体" w:eastAsia="宋体" w:cs="宋体"/>
                <w:b/>
                <w:color w:val="auto"/>
                <w:sz w:val="24"/>
              </w:rPr>
              <w:t>名称</w:t>
            </w:r>
          </w:p>
        </w:tc>
        <w:tc>
          <w:tcPr>
            <w:tcW w:w="6329" w:type="dxa"/>
            <w:vAlign w:val="center"/>
          </w:tcPr>
          <w:p w14:paraId="427ED011">
            <w:pPr>
              <w:ind w:left="189" w:leftChars="90" w:firstLine="1"/>
              <w:rPr>
                <w:rFonts w:hint="eastAsia" w:ascii="宋体" w:hAnsi="宋体" w:eastAsia="宋体" w:cs="宋体"/>
                <w:color w:val="auto"/>
                <w:sz w:val="24"/>
                <w:lang w:eastAsia="zh-CN"/>
              </w:rPr>
            </w:pPr>
            <w:r>
              <w:rPr>
                <w:rFonts w:hint="eastAsia" w:ascii="宋体" w:hAnsi="宋体" w:eastAsia="宋体" w:cs="宋体"/>
                <w:color w:val="auto"/>
                <w:sz w:val="24"/>
              </w:rPr>
              <w:t>项目编号</w:t>
            </w:r>
            <w:r>
              <w:rPr>
                <w:rFonts w:hint="eastAsia" w:ascii="宋体" w:hAnsi="宋体" w:cs="宋体"/>
                <w:color w:val="auto"/>
                <w:sz w:val="24"/>
                <w:lang w:eastAsia="zh-CN"/>
              </w:rPr>
              <w:t>:</w:t>
            </w:r>
          </w:p>
          <w:p w14:paraId="1384767A">
            <w:pPr>
              <w:ind w:left="189" w:leftChars="90" w:firstLine="1"/>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项目</w:t>
            </w:r>
            <w:r>
              <w:rPr>
                <w:rFonts w:hint="eastAsia" w:ascii="宋体" w:hAnsi="宋体" w:eastAsia="宋体" w:cs="宋体"/>
                <w:color w:val="auto"/>
                <w:sz w:val="24"/>
              </w:rPr>
              <w:t>名称</w:t>
            </w:r>
            <w:r>
              <w:rPr>
                <w:rFonts w:hint="eastAsia" w:ascii="宋体" w:hAnsi="宋体" w:cs="宋体"/>
                <w:color w:val="auto"/>
                <w:sz w:val="24"/>
                <w:lang w:eastAsia="zh-CN"/>
              </w:rPr>
              <w:t>:</w:t>
            </w:r>
          </w:p>
        </w:tc>
      </w:tr>
      <w:tr w14:paraId="0B2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1946" w:type="dxa"/>
            <w:vAlign w:val="center"/>
          </w:tcPr>
          <w:p w14:paraId="53795C21">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投标总价</w:t>
            </w:r>
          </w:p>
        </w:tc>
        <w:tc>
          <w:tcPr>
            <w:tcW w:w="6329" w:type="dxa"/>
            <w:vAlign w:val="center"/>
          </w:tcPr>
          <w:p w14:paraId="3DDE4E98">
            <w:pPr>
              <w:ind w:left="189" w:leftChars="90" w:firstLine="1"/>
              <w:jc w:val="both"/>
              <w:rPr>
                <w:rFonts w:hint="eastAsia" w:ascii="宋体" w:hAnsi="宋体" w:eastAsia="宋体" w:cs="宋体"/>
                <w:color w:val="auto"/>
                <w:sz w:val="24"/>
              </w:rPr>
            </w:pPr>
            <w:r>
              <w:rPr>
                <w:rFonts w:hint="eastAsia" w:ascii="宋体" w:hAnsi="宋体" w:eastAsia="宋体" w:cs="宋体"/>
                <w:color w:val="auto"/>
                <w:sz w:val="24"/>
              </w:rPr>
              <w:t>人民币</w:t>
            </w:r>
            <w:r>
              <w:rPr>
                <w:rFonts w:hint="eastAsia" w:ascii="宋体" w:hAnsi="宋体" w:cs="宋体"/>
                <w:color w:val="auto"/>
                <w:sz w:val="24"/>
                <w:lang w:eastAsia="zh-CN"/>
              </w:rPr>
              <w:t>(</w:t>
            </w:r>
            <w:r>
              <w:rPr>
                <w:rFonts w:hint="eastAsia" w:ascii="宋体" w:hAnsi="宋体" w:eastAsia="宋体" w:cs="宋体"/>
                <w:color w:val="auto"/>
                <w:sz w:val="24"/>
              </w:rPr>
              <w:t>小写金额</w:t>
            </w:r>
            <w:r>
              <w:rPr>
                <w:rFonts w:hint="eastAsia" w:ascii="宋体" w:hAnsi="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元</w:t>
            </w:r>
          </w:p>
          <w:p w14:paraId="28307D66">
            <w:pPr>
              <w:ind w:left="189" w:leftChars="90" w:firstLine="1"/>
              <w:jc w:val="both"/>
              <w:rPr>
                <w:rFonts w:hint="eastAsia" w:ascii="宋体" w:hAnsi="宋体" w:eastAsia="宋体" w:cs="宋体"/>
                <w:color w:val="auto"/>
                <w:sz w:val="24"/>
                <w:u w:val="single"/>
                <w:lang w:val="en-US" w:eastAsia="zh-CN"/>
              </w:rPr>
            </w:pPr>
            <w:r>
              <w:rPr>
                <w:rFonts w:hint="eastAsia" w:ascii="宋体" w:hAnsi="宋体" w:eastAsia="宋体" w:cs="宋体"/>
                <w:color w:val="auto"/>
                <w:sz w:val="24"/>
              </w:rPr>
              <w:t>人民币</w:t>
            </w:r>
            <w:r>
              <w:rPr>
                <w:rFonts w:hint="eastAsia" w:ascii="宋体" w:hAnsi="宋体" w:cs="宋体"/>
                <w:color w:val="auto"/>
                <w:sz w:val="24"/>
                <w:lang w:eastAsia="zh-CN"/>
              </w:rPr>
              <w:t>(</w:t>
            </w:r>
            <w:r>
              <w:rPr>
                <w:rFonts w:hint="eastAsia" w:ascii="宋体" w:hAnsi="宋体" w:eastAsia="宋体" w:cs="宋体"/>
                <w:color w:val="auto"/>
                <w:sz w:val="24"/>
              </w:rPr>
              <w:t>大写金额</w:t>
            </w:r>
            <w:r>
              <w:rPr>
                <w:rFonts w:hint="eastAsia" w:ascii="宋体" w:hAnsi="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p>
          <w:p w14:paraId="6CD2A5E6">
            <w:pPr>
              <w:ind w:left="189" w:leftChars="90" w:firstLine="1"/>
              <w:jc w:val="both"/>
              <w:rPr>
                <w:rFonts w:hint="eastAsia" w:ascii="宋体" w:hAnsi="宋体" w:eastAsia="宋体" w:cs="宋体"/>
                <w:color w:val="auto"/>
                <w:sz w:val="24"/>
              </w:rPr>
            </w:pPr>
            <w:r>
              <w:rPr>
                <w:rFonts w:hint="eastAsia" w:ascii="宋体" w:hAnsi="宋体" w:eastAsia="宋体" w:cs="宋体"/>
                <w:color w:val="auto"/>
                <w:sz w:val="24"/>
              </w:rPr>
              <w:t>注</w:t>
            </w:r>
            <w:r>
              <w:rPr>
                <w:rFonts w:hint="eastAsia" w:ascii="宋体" w:hAnsi="宋体" w:cs="宋体"/>
                <w:color w:val="auto"/>
                <w:sz w:val="24"/>
                <w:lang w:eastAsia="zh-CN"/>
              </w:rPr>
              <w:t>:</w:t>
            </w:r>
            <w:r>
              <w:rPr>
                <w:rFonts w:hint="eastAsia" w:ascii="宋体" w:hAnsi="宋体" w:eastAsia="宋体" w:cs="宋体"/>
                <w:color w:val="auto"/>
                <w:sz w:val="24"/>
              </w:rPr>
              <w:t>如有不一致，以大写为准</w:t>
            </w:r>
          </w:p>
        </w:tc>
      </w:tr>
      <w:tr w14:paraId="3F27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1946" w:type="dxa"/>
            <w:vAlign w:val="center"/>
          </w:tcPr>
          <w:p w14:paraId="2CB4F263">
            <w:pPr>
              <w:ind w:left="-13" w:leftChars="-6"/>
              <w:jc w:val="center"/>
              <w:rPr>
                <w:rFonts w:hint="default" w:ascii="宋体" w:hAnsi="宋体" w:eastAsia="宋体" w:cs="宋体"/>
                <w:b/>
                <w:color w:val="auto"/>
                <w:sz w:val="24"/>
                <w:lang w:val="en-US" w:eastAsia="zh-CN"/>
              </w:rPr>
            </w:pPr>
            <w:r>
              <w:rPr>
                <w:rFonts w:hint="eastAsia" w:ascii="宋体" w:hAnsi="宋体" w:cs="宋体"/>
                <w:b/>
                <w:color w:val="auto"/>
                <w:sz w:val="24"/>
                <w:lang w:val="en-US" w:eastAsia="zh-CN"/>
              </w:rPr>
              <w:t>保证金缴纳方式</w:t>
            </w:r>
          </w:p>
        </w:tc>
        <w:tc>
          <w:tcPr>
            <w:tcW w:w="6329" w:type="dxa"/>
            <w:vAlign w:val="center"/>
          </w:tcPr>
          <w:p w14:paraId="52315363">
            <w:pPr>
              <w:ind w:left="189" w:leftChars="90" w:firstLine="1"/>
              <w:jc w:val="both"/>
              <w:rPr>
                <w:rFonts w:hint="eastAsia" w:ascii="宋体" w:hAnsi="宋体" w:eastAsia="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保函/保证金</w:t>
            </w:r>
            <w:r>
              <w:rPr>
                <w:rFonts w:hint="eastAsia" w:ascii="宋体" w:hAnsi="宋体" w:cs="宋体"/>
                <w:color w:val="auto"/>
                <w:sz w:val="24"/>
                <w:lang w:eastAsia="zh-CN"/>
              </w:rPr>
              <w:t>）</w:t>
            </w:r>
          </w:p>
        </w:tc>
      </w:tr>
      <w:tr w14:paraId="18B3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6" w:type="dxa"/>
            <w:vAlign w:val="center"/>
          </w:tcPr>
          <w:p w14:paraId="0157822D">
            <w:pPr>
              <w:ind w:left="-13" w:leftChars="-6"/>
              <w:jc w:val="center"/>
              <w:rPr>
                <w:rFonts w:hint="eastAsia" w:ascii="宋体" w:hAnsi="宋体" w:eastAsia="宋体" w:cs="宋体"/>
                <w:b/>
                <w:color w:val="auto"/>
                <w:sz w:val="24"/>
              </w:rPr>
            </w:pPr>
            <w:r>
              <w:rPr>
                <w:rFonts w:hint="eastAsia" w:ascii="宋体" w:hAnsi="宋体" w:eastAsia="宋体" w:cs="宋体"/>
                <w:b/>
                <w:color w:val="auto"/>
                <w:sz w:val="24"/>
              </w:rPr>
              <w:t>合同履行期限</w:t>
            </w:r>
          </w:p>
        </w:tc>
        <w:tc>
          <w:tcPr>
            <w:tcW w:w="6329" w:type="dxa"/>
            <w:vAlign w:val="center"/>
          </w:tcPr>
          <w:p w14:paraId="369CC226">
            <w:pPr>
              <w:ind w:left="189" w:leftChars="90" w:firstLine="1"/>
              <w:rPr>
                <w:rFonts w:hint="eastAsia" w:ascii="宋体" w:hAnsi="宋体" w:eastAsia="宋体" w:cs="宋体"/>
                <w:color w:val="auto"/>
                <w:sz w:val="24"/>
              </w:rPr>
            </w:pPr>
          </w:p>
        </w:tc>
      </w:tr>
      <w:tr w14:paraId="233A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6" w:type="dxa"/>
            <w:vAlign w:val="center"/>
          </w:tcPr>
          <w:p w14:paraId="1778B2A1">
            <w:pPr>
              <w:ind w:left="-13" w:leftChars="-6"/>
              <w:jc w:val="center"/>
              <w:rPr>
                <w:rFonts w:hint="default" w:ascii="宋体" w:hAnsi="宋体" w:eastAsia="宋体" w:cs="宋体"/>
                <w:b/>
                <w:color w:val="auto"/>
                <w:sz w:val="24"/>
                <w:lang w:val="en-US" w:eastAsia="zh-CN"/>
              </w:rPr>
            </w:pPr>
            <w:r>
              <w:rPr>
                <w:rFonts w:hint="eastAsia" w:ascii="宋体" w:hAnsi="宋体" w:cs="宋体"/>
                <w:b/>
                <w:color w:val="auto"/>
                <w:sz w:val="24"/>
                <w:lang w:val="en-US" w:eastAsia="zh-CN"/>
              </w:rPr>
              <w:t>质量标准</w:t>
            </w:r>
          </w:p>
        </w:tc>
        <w:tc>
          <w:tcPr>
            <w:tcW w:w="6329" w:type="dxa"/>
            <w:vAlign w:val="center"/>
          </w:tcPr>
          <w:p w14:paraId="1EE042C3">
            <w:pPr>
              <w:ind w:left="899" w:leftChars="428" w:firstLine="1"/>
              <w:rPr>
                <w:rFonts w:hint="eastAsia" w:ascii="宋体" w:hAnsi="宋体" w:eastAsia="宋体" w:cs="宋体"/>
                <w:color w:val="auto"/>
                <w:sz w:val="24"/>
              </w:rPr>
            </w:pPr>
          </w:p>
        </w:tc>
      </w:tr>
      <w:tr w14:paraId="0DD3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946" w:type="dxa"/>
            <w:vAlign w:val="center"/>
          </w:tcPr>
          <w:p w14:paraId="2A572463">
            <w:pPr>
              <w:ind w:left="-13" w:leftChars="-6"/>
              <w:jc w:val="center"/>
              <w:rPr>
                <w:rFonts w:hint="default" w:ascii="宋体" w:hAnsi="宋体" w:cs="宋体"/>
                <w:b/>
                <w:color w:val="auto"/>
                <w:sz w:val="24"/>
                <w:lang w:val="en-US" w:eastAsia="zh-CN"/>
              </w:rPr>
            </w:pPr>
            <w:r>
              <w:rPr>
                <w:rFonts w:hint="eastAsia" w:ascii="宋体" w:hAnsi="宋体" w:cs="宋体"/>
                <w:b/>
                <w:color w:val="auto"/>
                <w:sz w:val="24"/>
                <w:lang w:val="en-US" w:eastAsia="zh-CN"/>
              </w:rPr>
              <w:t>缺陷责任期</w:t>
            </w:r>
          </w:p>
        </w:tc>
        <w:tc>
          <w:tcPr>
            <w:tcW w:w="6329" w:type="dxa"/>
            <w:vAlign w:val="center"/>
          </w:tcPr>
          <w:p w14:paraId="42FD158B">
            <w:pPr>
              <w:ind w:left="899" w:leftChars="428" w:firstLine="1"/>
              <w:rPr>
                <w:rFonts w:hint="eastAsia" w:ascii="宋体" w:hAnsi="宋体" w:eastAsia="宋体" w:cs="宋体"/>
                <w:color w:val="auto"/>
                <w:sz w:val="24"/>
              </w:rPr>
            </w:pPr>
          </w:p>
        </w:tc>
      </w:tr>
      <w:tr w14:paraId="210F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946" w:type="dxa"/>
            <w:vAlign w:val="center"/>
          </w:tcPr>
          <w:p w14:paraId="4F9840D1">
            <w:pPr>
              <w:jc w:val="center"/>
              <w:rPr>
                <w:rFonts w:hint="eastAsia" w:ascii="宋体" w:hAnsi="宋体" w:eastAsia="宋体" w:cs="宋体"/>
                <w:b/>
                <w:color w:val="auto"/>
                <w:sz w:val="24"/>
                <w:lang w:eastAsia="zh-CN"/>
              </w:rPr>
            </w:pPr>
            <w:r>
              <w:rPr>
                <w:rFonts w:hint="eastAsia" w:ascii="宋体" w:hAnsi="宋体" w:eastAsia="宋体" w:cs="宋体"/>
                <w:b/>
                <w:color w:val="auto"/>
                <w:sz w:val="24"/>
              </w:rPr>
              <w:t>其他声明</w:t>
            </w:r>
            <w:r>
              <w:rPr>
                <w:rFonts w:hint="eastAsia" w:ascii="宋体" w:hAnsi="宋体" w:cs="宋体"/>
                <w:b/>
                <w:color w:val="auto"/>
                <w:sz w:val="24"/>
                <w:lang w:eastAsia="zh-CN"/>
              </w:rPr>
              <w:t>(</w:t>
            </w:r>
            <w:r>
              <w:rPr>
                <w:rFonts w:hint="eastAsia" w:ascii="宋体" w:hAnsi="宋体" w:eastAsia="宋体" w:cs="宋体"/>
                <w:b/>
                <w:color w:val="auto"/>
                <w:sz w:val="24"/>
              </w:rPr>
              <w:t>如有</w:t>
            </w:r>
            <w:r>
              <w:rPr>
                <w:rFonts w:hint="eastAsia" w:ascii="宋体" w:hAnsi="宋体" w:cs="宋体"/>
                <w:b/>
                <w:color w:val="auto"/>
                <w:sz w:val="24"/>
                <w:lang w:eastAsia="zh-CN"/>
              </w:rPr>
              <w:t>)</w:t>
            </w:r>
          </w:p>
        </w:tc>
        <w:tc>
          <w:tcPr>
            <w:tcW w:w="6329" w:type="dxa"/>
            <w:vAlign w:val="center"/>
          </w:tcPr>
          <w:p w14:paraId="2646D6D1">
            <w:pPr>
              <w:ind w:left="899" w:leftChars="428" w:firstLine="1"/>
              <w:rPr>
                <w:rFonts w:hint="eastAsia" w:ascii="宋体" w:hAnsi="宋体" w:eastAsia="宋体" w:cs="宋体"/>
                <w:color w:val="auto"/>
                <w:sz w:val="24"/>
              </w:rPr>
            </w:pPr>
          </w:p>
        </w:tc>
      </w:tr>
    </w:tbl>
    <w:p w14:paraId="63E2A9C3">
      <w:pPr>
        <w:pStyle w:val="80"/>
        <w:tabs>
          <w:tab w:val="left" w:pos="5580"/>
        </w:tabs>
        <w:spacing w:before="120"/>
        <w:ind w:firstLine="720" w:firstLineChars="300"/>
        <w:rPr>
          <w:rFonts w:hint="eastAsia" w:ascii="宋体" w:hAnsi="宋体" w:eastAsia="宋体" w:cs="宋体"/>
          <w:color w:val="auto"/>
          <w:sz w:val="24"/>
        </w:rPr>
      </w:pPr>
      <w:r>
        <w:rPr>
          <w:rFonts w:hint="eastAsia" w:ascii="宋体" w:hAnsi="宋体" w:eastAsia="宋体" w:cs="宋体"/>
          <w:color w:val="auto"/>
          <w:sz w:val="24"/>
        </w:rPr>
        <w:t>投标人名称</w:t>
      </w:r>
      <w:r>
        <w:rPr>
          <w:rFonts w:hint="eastAsia" w:hAnsi="宋体" w:cs="宋体"/>
          <w:color w:val="auto"/>
          <w:sz w:val="24"/>
          <w:lang w:eastAsia="zh-CN"/>
        </w:rPr>
        <w:t>(</w:t>
      </w:r>
      <w:r>
        <w:rPr>
          <w:rFonts w:hint="eastAsia" w:ascii="宋体" w:hAnsi="宋体" w:eastAsia="宋体" w:cs="宋体"/>
          <w:color w:val="auto"/>
          <w:sz w:val="24"/>
        </w:rPr>
        <w:t>盖章</w:t>
      </w:r>
      <w:r>
        <w:rPr>
          <w:rFonts w:hint="eastAsia" w:hAnsi="宋体" w:cs="宋体"/>
          <w:color w:val="auto"/>
          <w:sz w:val="24"/>
          <w:lang w:eastAsia="zh-CN"/>
        </w:rPr>
        <w:t>):</w:t>
      </w:r>
      <w:r>
        <w:rPr>
          <w:rFonts w:hint="eastAsia" w:ascii="宋体" w:hAnsi="宋体" w:eastAsia="宋体" w:cs="宋体"/>
          <w:color w:val="auto"/>
          <w:sz w:val="24"/>
          <w:u w:val="single"/>
        </w:rPr>
        <w:t xml:space="preserve">                         </w:t>
      </w:r>
    </w:p>
    <w:p w14:paraId="2DDCD65E">
      <w:pPr>
        <w:pStyle w:val="80"/>
        <w:tabs>
          <w:tab w:val="left" w:pos="5340"/>
        </w:tabs>
        <w:spacing w:before="120"/>
        <w:ind w:firstLine="720" w:firstLineChars="300"/>
        <w:rPr>
          <w:rFonts w:hint="eastAsia" w:ascii="宋体" w:hAnsi="宋体" w:eastAsia="宋体" w:cs="宋体"/>
          <w:color w:val="auto"/>
          <w:sz w:val="24"/>
          <w:u w:val="single"/>
        </w:rPr>
      </w:pPr>
      <w:r>
        <w:rPr>
          <w:rFonts w:hint="eastAsia" w:ascii="宋体" w:hAnsi="宋体" w:cs="宋体"/>
          <w:color w:val="auto"/>
          <w:kern w:val="0"/>
          <w:sz w:val="24"/>
        </w:rPr>
        <w:t>法定代表人或其委托代理人</w:t>
      </w:r>
      <w:r>
        <w:rPr>
          <w:rFonts w:hint="eastAsia" w:ascii="宋体" w:hAnsi="宋体" w:eastAsia="宋体" w:cs="宋体"/>
          <w:color w:val="auto"/>
          <w:sz w:val="24"/>
        </w:rPr>
        <w:t>(签字或加盖人名章)</w:t>
      </w:r>
      <w:r>
        <w:rPr>
          <w:rFonts w:hint="eastAsia" w:hAnsi="宋体" w:cs="宋体"/>
          <w:color w:val="auto"/>
          <w:sz w:val="24"/>
          <w:lang w:eastAsia="zh-CN"/>
        </w:rPr>
        <w:t>:</w:t>
      </w:r>
      <w:r>
        <w:rPr>
          <w:rFonts w:hint="eastAsia" w:ascii="宋体" w:hAnsi="宋体" w:eastAsia="宋体" w:cs="宋体"/>
          <w:color w:val="auto"/>
          <w:sz w:val="24"/>
          <w:u w:val="single"/>
        </w:rPr>
        <w:tab/>
      </w:r>
    </w:p>
    <w:p w14:paraId="5C3FA4C3">
      <w:pPr>
        <w:pStyle w:val="80"/>
        <w:tabs>
          <w:tab w:val="left" w:pos="5580"/>
        </w:tabs>
        <w:spacing w:before="120"/>
        <w:ind w:firstLine="720" w:firstLineChars="300"/>
        <w:rPr>
          <w:rFonts w:hint="eastAsia" w:ascii="宋体" w:hAnsi="宋体" w:eastAsia="宋体" w:cs="宋体"/>
          <w:color w:val="auto"/>
          <w:sz w:val="24"/>
          <w:u w:val="single"/>
        </w:rPr>
      </w:pPr>
      <w:r>
        <w:rPr>
          <w:rFonts w:hint="eastAsia" w:ascii="宋体" w:hAnsi="宋体" w:eastAsia="宋体" w:cs="宋体"/>
          <w:color w:val="auto"/>
          <w:sz w:val="24"/>
        </w:rPr>
        <w:t>日期</w:t>
      </w:r>
      <w:r>
        <w:rPr>
          <w:rFonts w:hint="eastAsia" w:hAnsi="宋体" w:cs="宋体"/>
          <w:color w:val="auto"/>
          <w:sz w:val="24"/>
          <w:lang w:eastAsia="zh-CN"/>
        </w:rPr>
        <w:t>:</w:t>
      </w:r>
      <w:r>
        <w:rPr>
          <w:rFonts w:hint="eastAsia" w:ascii="宋体" w:hAnsi="宋体" w:eastAsia="宋体" w:cs="宋体"/>
          <w:color w:val="auto"/>
          <w:sz w:val="24"/>
          <w:u w:val="single"/>
        </w:rPr>
        <w:t xml:space="preserve">                                      </w:t>
      </w:r>
    </w:p>
    <w:p w14:paraId="7F138D58">
      <w:pPr>
        <w:pStyle w:val="80"/>
        <w:tabs>
          <w:tab w:val="left" w:pos="5580"/>
        </w:tabs>
        <w:spacing w:before="120"/>
        <w:ind w:firstLine="720" w:firstLineChars="300"/>
        <w:rPr>
          <w:rFonts w:hint="eastAsia" w:ascii="宋体" w:hAnsi="宋体" w:eastAsia="宋体" w:cs="宋体"/>
          <w:color w:val="auto"/>
          <w:sz w:val="24"/>
          <w:u w:val="single"/>
        </w:rPr>
      </w:pPr>
    </w:p>
    <w:p w14:paraId="5D61E169">
      <w:pPr>
        <w:pStyle w:val="80"/>
        <w:tabs>
          <w:tab w:val="left" w:pos="5580"/>
        </w:tabs>
        <w:spacing w:before="120"/>
        <w:ind w:firstLine="720" w:firstLineChars="300"/>
        <w:rPr>
          <w:rFonts w:hint="eastAsia" w:ascii="宋体" w:hAnsi="宋体" w:eastAsia="宋体" w:cs="宋体"/>
          <w:color w:val="auto"/>
          <w:sz w:val="24"/>
        </w:rPr>
      </w:pPr>
    </w:p>
    <w:p w14:paraId="48F2A2AC">
      <w:pPr>
        <w:pStyle w:val="80"/>
        <w:tabs>
          <w:tab w:val="left" w:pos="5580"/>
        </w:tabs>
        <w:spacing w:before="120"/>
        <w:ind w:firstLine="720" w:firstLineChars="300"/>
        <w:rPr>
          <w:rFonts w:hint="eastAsia" w:ascii="宋体" w:hAnsi="宋体" w:eastAsia="宋体" w:cs="宋体"/>
          <w:color w:val="auto"/>
          <w:sz w:val="24"/>
        </w:rPr>
      </w:pPr>
      <w:r>
        <w:rPr>
          <w:rFonts w:hint="eastAsia" w:ascii="宋体" w:hAnsi="宋体" w:eastAsia="宋体" w:cs="宋体"/>
          <w:color w:val="auto"/>
          <w:sz w:val="24"/>
        </w:rPr>
        <w:t>注:此表中投标总价应与附件</w:t>
      </w:r>
      <w:r>
        <w:rPr>
          <w:rFonts w:hint="eastAsia" w:ascii="宋体" w:hAnsi="宋体" w:eastAsia="宋体" w:cs="宋体"/>
          <w:color w:val="auto"/>
          <w:sz w:val="24"/>
          <w:lang w:val="en-US" w:eastAsia="zh-CN"/>
        </w:rPr>
        <w:t>6</w:t>
      </w:r>
      <w:r>
        <w:rPr>
          <w:rFonts w:hint="eastAsia" w:ascii="宋体" w:hAnsi="宋体" w:eastAsia="宋体" w:cs="宋体"/>
          <w:color w:val="auto"/>
          <w:sz w:val="24"/>
        </w:rPr>
        <w:t>中的总价相一致。</w:t>
      </w:r>
    </w:p>
    <w:p w14:paraId="6EA106C9">
      <w:pPr>
        <w:pStyle w:val="80"/>
        <w:tabs>
          <w:tab w:val="left" w:pos="5580"/>
        </w:tabs>
        <w:spacing w:before="120"/>
        <w:ind w:firstLine="720" w:firstLineChars="300"/>
        <w:rPr>
          <w:rFonts w:ascii="仿宋_GB2312" w:hAnsi="宋体" w:eastAsia="仿宋_GB2312"/>
          <w:color w:val="auto"/>
          <w:sz w:val="24"/>
        </w:rPr>
      </w:pPr>
      <w:r>
        <w:rPr>
          <w:rFonts w:hAnsi="宋体"/>
          <w:color w:val="auto"/>
          <w:sz w:val="24"/>
        </w:rPr>
        <w:br w:type="page"/>
      </w:r>
    </w:p>
    <w:p w14:paraId="36199E84">
      <w:pPr>
        <w:spacing w:line="360" w:lineRule="auto"/>
        <w:outlineLvl w:val="1"/>
        <w:rPr>
          <w:b/>
          <w:color w:val="auto"/>
          <w:sz w:val="24"/>
        </w:rPr>
      </w:pPr>
      <w:bookmarkStart w:id="1400" w:name="_Toc32766"/>
      <w:bookmarkStart w:id="1401" w:name="_Toc23147"/>
      <w:bookmarkStart w:id="1402" w:name="_Toc23334"/>
      <w:r>
        <w:rPr>
          <w:rFonts w:hint="eastAsia"/>
          <w:b/>
          <w:color w:val="auto"/>
          <w:sz w:val="24"/>
        </w:rPr>
        <w:t>附件3</w:t>
      </w:r>
      <w:r>
        <w:rPr>
          <w:rFonts w:hint="eastAsia" w:ascii="宋体" w:hAnsi="宋体" w:eastAsia="宋体" w:cs="宋体"/>
          <w:b/>
          <w:color w:val="auto"/>
          <w:sz w:val="24"/>
        </w:rPr>
        <w:t xml:space="preserve"> </w:t>
      </w:r>
      <w:r>
        <w:rPr>
          <w:rFonts w:hint="eastAsia"/>
          <w:b/>
          <w:color w:val="auto"/>
          <w:sz w:val="24"/>
        </w:rPr>
        <w:t>法定代表人身份证明</w:t>
      </w:r>
      <w:bookmarkEnd w:id="1400"/>
      <w:bookmarkEnd w:id="1401"/>
      <w:bookmarkEnd w:id="1402"/>
    </w:p>
    <w:p w14:paraId="56E1519D">
      <w:pPr>
        <w:spacing w:beforeLines="50" w:line="288" w:lineRule="auto"/>
        <w:ind w:hanging="104"/>
        <w:jc w:val="center"/>
        <w:rPr>
          <w:rFonts w:ascii="宋体" w:hAnsi="宋体"/>
          <w:color w:val="auto"/>
          <w:szCs w:val="21"/>
        </w:rPr>
      </w:pPr>
    </w:p>
    <w:p w14:paraId="45CEE250">
      <w:pPr>
        <w:autoSpaceDE w:val="0"/>
        <w:autoSpaceDN w:val="0"/>
        <w:adjustRightInd w:val="0"/>
        <w:jc w:val="center"/>
        <w:rPr>
          <w:rFonts w:ascii="宋体" w:hAnsi="宋体" w:cs="黑体"/>
          <w:color w:val="auto"/>
          <w:kern w:val="0"/>
          <w:sz w:val="28"/>
          <w:szCs w:val="28"/>
        </w:rPr>
      </w:pPr>
      <w:r>
        <w:rPr>
          <w:rFonts w:hint="eastAsia" w:ascii="宋体" w:hAnsi="宋体" w:cs="黑体"/>
          <w:color w:val="auto"/>
          <w:kern w:val="0"/>
          <w:sz w:val="28"/>
          <w:szCs w:val="28"/>
        </w:rPr>
        <w:t>法定代表人身份证明</w:t>
      </w:r>
    </w:p>
    <w:p w14:paraId="3B49D978">
      <w:pPr>
        <w:autoSpaceDE w:val="0"/>
        <w:autoSpaceDN w:val="0"/>
        <w:adjustRightInd w:val="0"/>
        <w:spacing w:line="360" w:lineRule="auto"/>
        <w:jc w:val="left"/>
        <w:rPr>
          <w:rFonts w:ascii="宋体" w:hAnsi="宋体" w:cs="仿宋_GB2312"/>
          <w:color w:val="auto"/>
          <w:kern w:val="0"/>
          <w:sz w:val="24"/>
        </w:rPr>
      </w:pPr>
    </w:p>
    <w:p w14:paraId="61BBC00F">
      <w:pPr>
        <w:autoSpaceDE w:val="0"/>
        <w:autoSpaceDN w:val="0"/>
        <w:adjustRightInd w:val="0"/>
        <w:spacing w:line="360" w:lineRule="auto"/>
        <w:jc w:val="left"/>
        <w:rPr>
          <w:rFonts w:ascii="宋体" w:hAnsi="宋体" w:cs="仿宋_GB2312"/>
          <w:color w:val="auto"/>
          <w:kern w:val="0"/>
          <w:sz w:val="24"/>
        </w:rPr>
      </w:pPr>
    </w:p>
    <w:p w14:paraId="4407DE9C">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投标人名称</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 xml:space="preserve"> </w:t>
      </w:r>
    </w:p>
    <w:p w14:paraId="69F339C2">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单位性质</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 xml:space="preserve"> </w:t>
      </w:r>
    </w:p>
    <w:p w14:paraId="7F47856E">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地    址</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hint="eastAsia" w:ascii="宋体" w:hAnsi="宋体" w:cs="仿宋_GB2312"/>
          <w:color w:val="auto"/>
          <w:kern w:val="0"/>
          <w:sz w:val="24"/>
          <w:u w:val="single"/>
        </w:rPr>
        <w:t xml:space="preserve">                       </w:t>
      </w:r>
    </w:p>
    <w:p w14:paraId="4BC01E7F">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成立时间</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ascii="宋体" w:hAnsi="宋体" w:cs="仿宋_GB2312"/>
          <w:color w:val="auto"/>
          <w:kern w:val="0"/>
          <w:sz w:val="24"/>
        </w:rPr>
        <w:t xml:space="preserve"> </w:t>
      </w:r>
      <w:r>
        <w:rPr>
          <w:rFonts w:hint="eastAsia" w:ascii="宋体" w:hAnsi="宋体" w:cs="仿宋_GB2312"/>
          <w:color w:val="auto"/>
          <w:kern w:val="0"/>
          <w:sz w:val="24"/>
        </w:rPr>
        <w:t>年</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月</w:t>
      </w:r>
      <w:r>
        <w:rPr>
          <w:rFonts w:hint="eastAsia" w:ascii="宋体" w:hAnsi="宋体" w:cs="仿宋_GB2312"/>
          <w:color w:val="auto"/>
          <w:kern w:val="0"/>
          <w:sz w:val="24"/>
          <w:u w:val="single"/>
        </w:rPr>
        <w:t xml:space="preserve">  </w:t>
      </w:r>
      <w:r>
        <w:rPr>
          <w:rFonts w:ascii="宋体" w:hAnsi="宋体" w:cs="仿宋_GB2312"/>
          <w:color w:val="auto"/>
          <w:kern w:val="0"/>
          <w:sz w:val="24"/>
          <w:u w:val="single"/>
        </w:rPr>
        <w:t xml:space="preserve"> </w:t>
      </w:r>
      <w:r>
        <w:rPr>
          <w:rFonts w:hint="eastAsia" w:ascii="宋体" w:hAnsi="宋体" w:cs="仿宋_GB2312"/>
          <w:color w:val="auto"/>
          <w:kern w:val="0"/>
          <w:sz w:val="24"/>
        </w:rPr>
        <w:t>日</w:t>
      </w:r>
    </w:p>
    <w:p w14:paraId="7A9DEBDA">
      <w:pPr>
        <w:autoSpaceDE w:val="0"/>
        <w:autoSpaceDN w:val="0"/>
        <w:adjustRightInd w:val="0"/>
        <w:spacing w:line="360" w:lineRule="auto"/>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经营期限</w:t>
      </w:r>
      <w:r>
        <w:rPr>
          <w:rFonts w:hint="eastAsia" w:ascii="宋体" w:hAnsi="宋体" w:cs="仿宋_GB2312"/>
          <w:color w:val="auto"/>
          <w:kern w:val="0"/>
          <w:sz w:val="24"/>
          <w:lang w:eastAsia="zh-CN"/>
        </w:rPr>
        <w:t>:</w:t>
      </w:r>
    </w:p>
    <w:p w14:paraId="6191DA52">
      <w:pPr>
        <w:autoSpaceDE w:val="0"/>
        <w:autoSpaceDN w:val="0"/>
        <w:adjustRightInd w:val="0"/>
        <w:spacing w:line="360" w:lineRule="auto"/>
        <w:jc w:val="left"/>
        <w:rPr>
          <w:rFonts w:ascii="宋体" w:hAnsi="宋体" w:cs="仿宋_GB2312"/>
          <w:color w:val="auto"/>
          <w:kern w:val="0"/>
          <w:sz w:val="24"/>
        </w:rPr>
      </w:pPr>
    </w:p>
    <w:p w14:paraId="0A034851">
      <w:pPr>
        <w:autoSpaceDE w:val="0"/>
        <w:autoSpaceDN w:val="0"/>
        <w:adjustRightInd w:val="0"/>
        <w:spacing w:line="360" w:lineRule="auto"/>
        <w:jc w:val="left"/>
        <w:rPr>
          <w:rFonts w:ascii="宋体" w:hAnsi="宋体" w:cs="仿宋_GB2312"/>
          <w:color w:val="auto"/>
          <w:kern w:val="0"/>
          <w:sz w:val="24"/>
        </w:rPr>
      </w:pPr>
    </w:p>
    <w:p w14:paraId="3073D4CA">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性别</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年龄</w:t>
      </w:r>
      <w:r>
        <w:rPr>
          <w:rFonts w:hint="eastAsia" w:ascii="宋体" w:hAnsi="宋体" w:cs="仿宋_GB2312"/>
          <w:color w:val="auto"/>
          <w:kern w:val="0"/>
          <w:sz w:val="24"/>
          <w:lang w:eastAsia="zh-CN"/>
        </w:rPr>
        <w:t>:</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 xml:space="preserve"> 职务</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hint="eastAsia" w:ascii="宋体" w:hAnsi="宋体" w:cs="仿宋_GB2312"/>
          <w:color w:val="auto"/>
          <w:kern w:val="0"/>
          <w:sz w:val="24"/>
        </w:rPr>
        <w:t>系</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投标人名称</w:t>
      </w:r>
      <w:r>
        <w:rPr>
          <w:rFonts w:hint="eastAsia" w:ascii="宋体" w:hAnsi="宋体" w:cs="仿宋_GB2312"/>
          <w:color w:val="auto"/>
          <w:kern w:val="0"/>
          <w:sz w:val="24"/>
          <w:lang w:eastAsia="zh-CN"/>
        </w:rPr>
        <w:t>)</w:t>
      </w:r>
      <w:r>
        <w:rPr>
          <w:rFonts w:hint="eastAsia" w:ascii="宋体" w:hAnsi="宋体" w:cs="仿宋_GB2312"/>
          <w:color w:val="auto"/>
          <w:kern w:val="0"/>
          <w:sz w:val="24"/>
        </w:rPr>
        <w:t>的法定代表人。</w:t>
      </w:r>
    </w:p>
    <w:p w14:paraId="69B603EA">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特此证明。</w:t>
      </w:r>
    </w:p>
    <w:p w14:paraId="2C3C11D8">
      <w:pPr>
        <w:autoSpaceDE w:val="0"/>
        <w:autoSpaceDN w:val="0"/>
        <w:adjustRightInd w:val="0"/>
        <w:spacing w:line="360" w:lineRule="auto"/>
        <w:jc w:val="left"/>
        <w:rPr>
          <w:rFonts w:ascii="宋体" w:hAnsi="宋体" w:cs="仿宋_GB2312"/>
          <w:color w:val="auto"/>
          <w:kern w:val="0"/>
          <w:sz w:val="24"/>
        </w:rPr>
      </w:pPr>
    </w:p>
    <w:p w14:paraId="60457A4B">
      <w:pPr>
        <w:autoSpaceDE w:val="0"/>
        <w:autoSpaceDN w:val="0"/>
        <w:adjustRightInd w:val="0"/>
        <w:spacing w:line="360" w:lineRule="auto"/>
        <w:jc w:val="left"/>
        <w:rPr>
          <w:rFonts w:ascii="宋体" w:hAnsi="宋体" w:cs="仿宋_GB2312"/>
          <w:color w:val="auto"/>
          <w:kern w:val="0"/>
          <w:sz w:val="24"/>
        </w:rPr>
      </w:pPr>
    </w:p>
    <w:p w14:paraId="6B56A047">
      <w:pPr>
        <w:autoSpaceDE w:val="0"/>
        <w:autoSpaceDN w:val="0"/>
        <w:adjustRightInd w:val="0"/>
        <w:spacing w:line="360" w:lineRule="auto"/>
        <w:jc w:val="left"/>
        <w:rPr>
          <w:rFonts w:ascii="宋体" w:hAnsi="宋体" w:cs="仿宋_GB2312"/>
          <w:color w:val="auto"/>
          <w:kern w:val="0"/>
          <w:sz w:val="24"/>
        </w:rPr>
      </w:pPr>
    </w:p>
    <w:p w14:paraId="0BF25EFA">
      <w:pPr>
        <w:autoSpaceDE w:val="0"/>
        <w:autoSpaceDN w:val="0"/>
        <w:adjustRightInd w:val="0"/>
        <w:spacing w:line="360" w:lineRule="auto"/>
        <w:jc w:val="left"/>
        <w:rPr>
          <w:rFonts w:ascii="宋体" w:hAnsi="宋体" w:cs="仿宋_GB2312"/>
          <w:color w:val="auto"/>
          <w:kern w:val="0"/>
          <w:sz w:val="24"/>
        </w:rPr>
      </w:pPr>
    </w:p>
    <w:p w14:paraId="6A5FF779">
      <w:pPr>
        <w:autoSpaceDE w:val="0"/>
        <w:autoSpaceDN w:val="0"/>
        <w:adjustRightInd w:val="0"/>
        <w:spacing w:line="360" w:lineRule="auto"/>
        <w:ind w:left="5399" w:leftChars="2571"/>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投标人</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12F0F8F7">
      <w:pPr>
        <w:autoSpaceDE w:val="0"/>
        <w:autoSpaceDN w:val="0"/>
        <w:adjustRightInd w:val="0"/>
        <w:spacing w:line="360" w:lineRule="auto"/>
        <w:ind w:left="5399" w:leftChars="2571"/>
        <w:jc w:val="left"/>
        <w:rPr>
          <w:rFonts w:ascii="宋体" w:hAnsi="宋体" w:cs="仿宋_GB2312"/>
          <w:color w:val="auto"/>
          <w:kern w:val="0"/>
          <w:sz w:val="24"/>
        </w:rPr>
      </w:pPr>
    </w:p>
    <w:p w14:paraId="7A523FB9">
      <w:pPr>
        <w:autoSpaceDE w:val="0"/>
        <w:autoSpaceDN w:val="0"/>
        <w:adjustRightInd w:val="0"/>
        <w:spacing w:line="360" w:lineRule="auto"/>
        <w:ind w:left="6659" w:leftChars="3171"/>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4F0A8A4E">
      <w:pPr>
        <w:spacing w:line="360" w:lineRule="auto"/>
        <w:outlineLvl w:val="1"/>
        <w:rPr>
          <w:b/>
          <w:color w:val="auto"/>
          <w:sz w:val="24"/>
        </w:rPr>
      </w:pPr>
      <w:r>
        <w:rPr>
          <w:rFonts w:ascii="宋体" w:hAnsi="宋体" w:cs="TimesNewRomanPSMT"/>
          <w:color w:val="auto"/>
          <w:kern w:val="0"/>
          <w:sz w:val="18"/>
          <w:szCs w:val="18"/>
        </w:rPr>
        <w:br w:type="page"/>
      </w:r>
      <w:bookmarkStart w:id="1403" w:name="_Toc3135"/>
      <w:bookmarkStart w:id="1404" w:name="_Toc668"/>
      <w:bookmarkStart w:id="1405" w:name="_Toc23211"/>
      <w:bookmarkStart w:id="1406" w:name="_Toc195922058"/>
      <w:r>
        <w:rPr>
          <w:rFonts w:hint="eastAsia"/>
          <w:b/>
          <w:color w:val="auto"/>
          <w:sz w:val="24"/>
        </w:rPr>
        <w:t>附件4</w:t>
      </w:r>
      <w:r>
        <w:rPr>
          <w:rFonts w:hint="eastAsia" w:ascii="宋体" w:hAnsi="宋体" w:eastAsia="宋体" w:cs="宋体"/>
          <w:b/>
          <w:color w:val="auto"/>
          <w:sz w:val="24"/>
        </w:rPr>
        <w:t xml:space="preserve"> </w:t>
      </w:r>
      <w:r>
        <w:rPr>
          <w:rFonts w:hint="eastAsia"/>
          <w:b/>
          <w:color w:val="auto"/>
          <w:sz w:val="24"/>
        </w:rPr>
        <w:t>授权委托书</w:t>
      </w:r>
      <w:bookmarkEnd w:id="1403"/>
      <w:bookmarkEnd w:id="1404"/>
      <w:bookmarkEnd w:id="1405"/>
    </w:p>
    <w:p w14:paraId="5F3CEA72">
      <w:pPr>
        <w:autoSpaceDE w:val="0"/>
        <w:autoSpaceDN w:val="0"/>
        <w:adjustRightInd w:val="0"/>
        <w:jc w:val="center"/>
        <w:rPr>
          <w:rFonts w:ascii="宋体" w:hAnsi="宋体" w:cs="TimesNewRomanPSMT"/>
          <w:color w:val="auto"/>
          <w:kern w:val="0"/>
          <w:sz w:val="18"/>
          <w:szCs w:val="18"/>
        </w:rPr>
      </w:pPr>
    </w:p>
    <w:p w14:paraId="0BC7D567">
      <w:pPr>
        <w:autoSpaceDE w:val="0"/>
        <w:autoSpaceDN w:val="0"/>
        <w:adjustRightInd w:val="0"/>
        <w:jc w:val="center"/>
        <w:rPr>
          <w:rFonts w:ascii="宋体" w:hAnsi="宋体" w:cs="黑体"/>
          <w:color w:val="auto"/>
          <w:kern w:val="0"/>
          <w:sz w:val="28"/>
          <w:szCs w:val="28"/>
        </w:rPr>
      </w:pPr>
      <w:r>
        <w:rPr>
          <w:rFonts w:hint="eastAsia" w:ascii="宋体" w:hAnsi="宋体" w:cs="黑体"/>
          <w:color w:val="auto"/>
          <w:kern w:val="0"/>
          <w:sz w:val="28"/>
          <w:szCs w:val="28"/>
        </w:rPr>
        <w:t>授权委托书</w:t>
      </w:r>
      <w:bookmarkEnd w:id="1406"/>
    </w:p>
    <w:p w14:paraId="05BA2595">
      <w:pPr>
        <w:autoSpaceDE w:val="0"/>
        <w:autoSpaceDN w:val="0"/>
        <w:adjustRightInd w:val="0"/>
        <w:jc w:val="center"/>
        <w:rPr>
          <w:rFonts w:ascii="宋体" w:hAnsi="宋体" w:cs="黑体"/>
          <w:color w:val="auto"/>
          <w:kern w:val="0"/>
          <w:sz w:val="28"/>
          <w:szCs w:val="28"/>
        </w:rPr>
      </w:pPr>
    </w:p>
    <w:p w14:paraId="56998455">
      <w:pPr>
        <w:autoSpaceDE w:val="0"/>
        <w:autoSpaceDN w:val="0"/>
        <w:adjustRightInd w:val="0"/>
        <w:jc w:val="left"/>
        <w:rPr>
          <w:rFonts w:ascii="宋体" w:hAnsi="宋体" w:cs="仿宋_GB2312"/>
          <w:color w:val="auto"/>
          <w:kern w:val="0"/>
          <w:szCs w:val="21"/>
        </w:rPr>
      </w:pPr>
    </w:p>
    <w:p w14:paraId="7DDD0842">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本人</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hint="eastAsia" w:ascii="宋体" w:hAnsi="宋体" w:cs="仿宋_GB2312"/>
          <w:color w:val="auto"/>
          <w:kern w:val="0"/>
          <w:sz w:val="24"/>
        </w:rPr>
        <w:t>系</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投标人名称</w:t>
      </w:r>
      <w:r>
        <w:rPr>
          <w:rFonts w:hint="eastAsia" w:ascii="宋体" w:hAnsi="宋体" w:cs="仿宋_GB2312"/>
          <w:color w:val="auto"/>
          <w:kern w:val="0"/>
          <w:sz w:val="24"/>
          <w:lang w:eastAsia="zh-CN"/>
        </w:rPr>
        <w:t>)</w:t>
      </w:r>
      <w:r>
        <w:rPr>
          <w:rFonts w:hint="eastAsia" w:ascii="宋体" w:hAnsi="宋体" w:cs="仿宋_GB2312"/>
          <w:color w:val="auto"/>
          <w:kern w:val="0"/>
          <w:sz w:val="24"/>
        </w:rPr>
        <w:t>的法定代表人，现委托</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姓名</w:t>
      </w:r>
      <w:r>
        <w:rPr>
          <w:rFonts w:hint="eastAsia" w:ascii="宋体" w:hAnsi="宋体" w:cs="仿宋_GB2312"/>
          <w:color w:val="auto"/>
          <w:kern w:val="0"/>
          <w:sz w:val="24"/>
          <w:lang w:eastAsia="zh-CN"/>
        </w:rPr>
        <w:t>)</w:t>
      </w:r>
      <w:r>
        <w:rPr>
          <w:rFonts w:hint="eastAsia" w:ascii="宋体" w:hAnsi="宋体" w:cs="仿宋_GB2312"/>
          <w:color w:val="auto"/>
          <w:kern w:val="0"/>
          <w:sz w:val="24"/>
        </w:rPr>
        <w:t>为我方代理人。代理人根据授权，以我方名义签署、澄清、说明、补正、递交、撤回、修改</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项目名称</w:t>
      </w:r>
      <w:r>
        <w:rPr>
          <w:rFonts w:hint="eastAsia" w:ascii="宋体" w:hAnsi="宋体" w:cs="仿宋_GB2312"/>
          <w:color w:val="auto"/>
          <w:kern w:val="0"/>
          <w:sz w:val="24"/>
          <w:lang w:eastAsia="zh-CN"/>
        </w:rPr>
        <w:t>)</w:t>
      </w:r>
      <w:r>
        <w:rPr>
          <w:rFonts w:hint="eastAsia" w:ascii="宋体" w:hAnsi="宋体" w:cs="仿宋_GB2312"/>
          <w:color w:val="auto"/>
          <w:kern w:val="0"/>
          <w:sz w:val="24"/>
        </w:rPr>
        <w:t>投标文件、签订合同和处理有关事宜，其法律后果由我方承担。</w:t>
      </w:r>
    </w:p>
    <w:p w14:paraId="191F4133">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委托期限</w:t>
      </w:r>
      <w:r>
        <w:rPr>
          <w:rFonts w:hint="eastAsia" w:ascii="宋体" w:hAnsi="宋体" w:cs="仿宋_GB2312"/>
          <w:color w:val="auto"/>
          <w:kern w:val="0"/>
          <w:sz w:val="24"/>
          <w:lang w:eastAsia="zh-CN"/>
        </w:rPr>
        <w:t>:</w:t>
      </w:r>
      <w:r>
        <w:rPr>
          <w:rFonts w:hint="eastAsia" w:ascii="宋体" w:hAnsi="宋体" w:cs="仿宋_GB2312"/>
          <w:color w:val="auto"/>
          <w:kern w:val="0"/>
          <w:sz w:val="24"/>
          <w:u w:val="single"/>
        </w:rPr>
        <w:t xml:space="preserve">             </w:t>
      </w:r>
      <w:r>
        <w:rPr>
          <w:rFonts w:ascii="宋体" w:hAnsi="宋体" w:cs="仿宋_GB2312"/>
          <w:color w:val="auto"/>
          <w:kern w:val="0"/>
          <w:sz w:val="24"/>
        </w:rPr>
        <w:t xml:space="preserve"> </w:t>
      </w:r>
      <w:r>
        <w:rPr>
          <w:rFonts w:hint="eastAsia" w:ascii="宋体" w:hAnsi="宋体" w:cs="仿宋_GB2312"/>
          <w:color w:val="auto"/>
          <w:kern w:val="0"/>
          <w:sz w:val="24"/>
        </w:rPr>
        <w:t>。</w:t>
      </w:r>
    </w:p>
    <w:p w14:paraId="1EB7F6DA">
      <w:pPr>
        <w:autoSpaceDE w:val="0"/>
        <w:autoSpaceDN w:val="0"/>
        <w:adjustRightInd w:val="0"/>
        <w:spacing w:line="360" w:lineRule="auto"/>
        <w:jc w:val="left"/>
        <w:rPr>
          <w:rFonts w:ascii="宋体" w:hAnsi="宋体" w:cs="仿宋_GB2312"/>
          <w:color w:val="auto"/>
          <w:kern w:val="0"/>
          <w:sz w:val="24"/>
        </w:rPr>
      </w:pPr>
    </w:p>
    <w:p w14:paraId="2F9F2B5F">
      <w:pPr>
        <w:autoSpaceDE w:val="0"/>
        <w:autoSpaceDN w:val="0"/>
        <w:adjustRightInd w:val="0"/>
        <w:spacing w:line="360" w:lineRule="auto"/>
        <w:jc w:val="left"/>
        <w:rPr>
          <w:rFonts w:ascii="宋体" w:hAnsi="宋体" w:cs="仿宋_GB2312"/>
          <w:color w:val="auto"/>
          <w:kern w:val="0"/>
          <w:sz w:val="24"/>
        </w:rPr>
      </w:pPr>
      <w:r>
        <w:rPr>
          <w:rFonts w:hint="eastAsia" w:ascii="宋体" w:hAnsi="宋体" w:cs="仿宋_GB2312"/>
          <w:color w:val="auto"/>
          <w:kern w:val="0"/>
          <w:sz w:val="24"/>
        </w:rPr>
        <w:t>代理人无转委托权。</w:t>
      </w:r>
    </w:p>
    <w:p w14:paraId="533BE762">
      <w:pPr>
        <w:autoSpaceDE w:val="0"/>
        <w:autoSpaceDN w:val="0"/>
        <w:adjustRightInd w:val="0"/>
        <w:spacing w:line="360" w:lineRule="auto"/>
        <w:jc w:val="left"/>
        <w:rPr>
          <w:rFonts w:ascii="宋体" w:hAnsi="宋体" w:cs="仿宋_GB2312"/>
          <w:color w:val="auto"/>
          <w:kern w:val="0"/>
          <w:sz w:val="24"/>
        </w:rPr>
      </w:pPr>
    </w:p>
    <w:p w14:paraId="478D1B05">
      <w:pPr>
        <w:autoSpaceDE w:val="0"/>
        <w:autoSpaceDN w:val="0"/>
        <w:adjustRightInd w:val="0"/>
        <w:spacing w:line="360" w:lineRule="auto"/>
        <w:jc w:val="left"/>
        <w:rPr>
          <w:rFonts w:ascii="宋体" w:hAnsi="宋体" w:cs="仿宋_GB2312"/>
          <w:color w:val="auto"/>
          <w:kern w:val="0"/>
          <w:sz w:val="24"/>
        </w:rPr>
      </w:pPr>
    </w:p>
    <w:p w14:paraId="22D1F4EF">
      <w:pPr>
        <w:autoSpaceDE w:val="0"/>
        <w:autoSpaceDN w:val="0"/>
        <w:adjustRightInd w:val="0"/>
        <w:spacing w:line="360" w:lineRule="auto"/>
        <w:jc w:val="left"/>
        <w:rPr>
          <w:rFonts w:ascii="宋体" w:hAnsi="宋体" w:cs="仿宋_GB2312"/>
          <w:color w:val="auto"/>
          <w:kern w:val="0"/>
          <w:sz w:val="24"/>
        </w:rPr>
      </w:pPr>
    </w:p>
    <w:p w14:paraId="59F00081">
      <w:pPr>
        <w:autoSpaceDE w:val="0"/>
        <w:autoSpaceDN w:val="0"/>
        <w:adjustRightInd w:val="0"/>
        <w:spacing w:line="360" w:lineRule="auto"/>
        <w:ind w:firstLine="0"/>
        <w:jc w:val="left"/>
        <w:rPr>
          <w:rFonts w:hint="eastAsia" w:ascii="宋体" w:hAnsi="宋体" w:cs="仿宋_GB2312"/>
          <w:color w:val="auto"/>
          <w:kern w:val="0"/>
          <w:sz w:val="24"/>
          <w:lang w:val="en-US" w:eastAsia="zh-CN"/>
        </w:rPr>
      </w:pPr>
      <w:r>
        <w:rPr>
          <w:rFonts w:hint="eastAsia" w:ascii="宋体" w:hAnsi="宋体" w:cs="仿宋_GB2312"/>
          <w:color w:val="auto"/>
          <w:kern w:val="0"/>
          <w:sz w:val="24"/>
        </w:rPr>
        <w:t>附</w:t>
      </w:r>
      <w:r>
        <w:rPr>
          <w:rFonts w:hint="eastAsia" w:ascii="宋体" w:hAnsi="宋体" w:cs="仿宋_GB2312"/>
          <w:color w:val="auto"/>
          <w:kern w:val="0"/>
          <w:sz w:val="24"/>
          <w:lang w:eastAsia="zh-CN"/>
        </w:rPr>
        <w:t>:</w:t>
      </w:r>
      <w:r>
        <w:rPr>
          <w:rFonts w:hint="eastAsia" w:ascii="宋体" w:hAnsi="宋体" w:cs="仿宋_GB2312"/>
          <w:color w:val="auto"/>
          <w:kern w:val="0"/>
          <w:sz w:val="24"/>
        </w:rPr>
        <w:t>法定代表人身份证明</w:t>
      </w:r>
    </w:p>
    <w:p w14:paraId="17A89944">
      <w:pPr>
        <w:autoSpaceDE w:val="0"/>
        <w:autoSpaceDN w:val="0"/>
        <w:adjustRightInd w:val="0"/>
        <w:spacing w:line="360" w:lineRule="auto"/>
        <w:ind w:firstLine="480"/>
        <w:jc w:val="left"/>
        <w:rPr>
          <w:rFonts w:hint="eastAsia" w:ascii="宋体" w:hAnsi="宋体" w:cs="仿宋_GB2312"/>
          <w:color w:val="auto"/>
          <w:kern w:val="0"/>
          <w:sz w:val="24"/>
          <w:lang w:val="en-US" w:eastAsia="zh-CN"/>
        </w:rPr>
      </w:pPr>
      <w:r>
        <w:rPr>
          <w:rFonts w:hint="eastAsia" w:ascii="宋体" w:hAnsi="宋体" w:cs="仿宋_GB2312"/>
          <w:color w:val="auto"/>
          <w:kern w:val="0"/>
          <w:sz w:val="24"/>
          <w:lang w:val="en-US" w:eastAsia="zh-CN"/>
        </w:rPr>
        <w:t>委托代理人身份证扫描件</w:t>
      </w:r>
    </w:p>
    <w:p w14:paraId="22202CAF">
      <w:pPr>
        <w:autoSpaceDE w:val="0"/>
        <w:autoSpaceDN w:val="0"/>
        <w:adjustRightInd w:val="0"/>
        <w:spacing w:line="360" w:lineRule="auto"/>
        <w:jc w:val="left"/>
        <w:rPr>
          <w:rFonts w:ascii="宋体" w:hAnsi="宋体" w:cs="仿宋_GB2312"/>
          <w:color w:val="auto"/>
          <w:kern w:val="0"/>
          <w:sz w:val="24"/>
        </w:rPr>
      </w:pPr>
    </w:p>
    <w:p w14:paraId="452E348F">
      <w:pPr>
        <w:autoSpaceDE w:val="0"/>
        <w:autoSpaceDN w:val="0"/>
        <w:adjustRightInd w:val="0"/>
        <w:spacing w:line="360" w:lineRule="auto"/>
        <w:jc w:val="left"/>
        <w:rPr>
          <w:rFonts w:ascii="宋体" w:hAnsi="宋体" w:cs="仿宋_GB2312"/>
          <w:color w:val="auto"/>
          <w:kern w:val="0"/>
          <w:sz w:val="24"/>
        </w:rPr>
      </w:pPr>
    </w:p>
    <w:p w14:paraId="617C42D1">
      <w:pPr>
        <w:autoSpaceDE w:val="0"/>
        <w:autoSpaceDN w:val="0"/>
        <w:adjustRightInd w:val="0"/>
        <w:spacing w:line="360" w:lineRule="auto"/>
        <w:jc w:val="left"/>
        <w:rPr>
          <w:rFonts w:ascii="宋体" w:hAnsi="宋体" w:cs="仿宋_GB2312"/>
          <w:color w:val="auto"/>
          <w:kern w:val="0"/>
          <w:sz w:val="24"/>
        </w:rPr>
      </w:pPr>
    </w:p>
    <w:p w14:paraId="1224DA62">
      <w:pPr>
        <w:autoSpaceDE w:val="0"/>
        <w:autoSpaceDN w:val="0"/>
        <w:adjustRightInd w:val="0"/>
        <w:spacing w:line="360" w:lineRule="auto"/>
        <w:ind w:left="3958" w:leftChars="1885"/>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投标人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1364B9A0">
      <w:pPr>
        <w:autoSpaceDE w:val="0"/>
        <w:autoSpaceDN w:val="0"/>
        <w:adjustRightInd w:val="0"/>
        <w:spacing w:line="360" w:lineRule="auto"/>
        <w:ind w:left="3958" w:leftChars="1885"/>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签字或加盖人名章</w:t>
      </w:r>
      <w:r>
        <w:rPr>
          <w:rFonts w:hint="eastAsia" w:ascii="宋体" w:hAnsi="宋体" w:cs="仿宋_GB2312"/>
          <w:color w:val="auto"/>
          <w:kern w:val="0"/>
          <w:sz w:val="24"/>
          <w:lang w:eastAsia="zh-CN"/>
        </w:rPr>
        <w:t>)</w:t>
      </w:r>
    </w:p>
    <w:p w14:paraId="6EE4DA73">
      <w:pPr>
        <w:autoSpaceDE w:val="0"/>
        <w:autoSpaceDN w:val="0"/>
        <w:adjustRightInd w:val="0"/>
        <w:spacing w:line="360" w:lineRule="auto"/>
        <w:ind w:left="3958" w:leftChars="1885"/>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身份证号码</w:t>
      </w:r>
      <w:r>
        <w:rPr>
          <w:rFonts w:hint="eastAsia" w:ascii="宋体" w:hAnsi="宋体" w:cs="仿宋_GB2312"/>
          <w:color w:val="auto"/>
          <w:kern w:val="0"/>
          <w:sz w:val="24"/>
          <w:lang w:eastAsia="zh-CN"/>
        </w:rPr>
        <w:t>:</w:t>
      </w:r>
    </w:p>
    <w:p w14:paraId="27FF5494">
      <w:pPr>
        <w:autoSpaceDE w:val="0"/>
        <w:autoSpaceDN w:val="0"/>
        <w:adjustRightInd w:val="0"/>
        <w:spacing w:line="360" w:lineRule="auto"/>
        <w:ind w:left="3958" w:leftChars="1885"/>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委托代理人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签字或加盖人名章</w:t>
      </w:r>
      <w:r>
        <w:rPr>
          <w:rFonts w:hint="eastAsia" w:ascii="宋体" w:hAnsi="宋体" w:cs="仿宋_GB2312"/>
          <w:color w:val="auto"/>
          <w:kern w:val="0"/>
          <w:sz w:val="24"/>
          <w:lang w:eastAsia="zh-CN"/>
        </w:rPr>
        <w:t>)</w:t>
      </w:r>
    </w:p>
    <w:p w14:paraId="6025FCFD">
      <w:pPr>
        <w:autoSpaceDE w:val="0"/>
        <w:autoSpaceDN w:val="0"/>
        <w:adjustRightInd w:val="0"/>
        <w:spacing w:line="360" w:lineRule="auto"/>
        <w:ind w:left="3958" w:leftChars="1885"/>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身份证号码</w:t>
      </w:r>
      <w:r>
        <w:rPr>
          <w:rFonts w:hint="eastAsia" w:ascii="宋体" w:hAnsi="宋体" w:cs="仿宋_GB2312"/>
          <w:color w:val="auto"/>
          <w:kern w:val="0"/>
          <w:sz w:val="24"/>
          <w:lang w:eastAsia="zh-CN"/>
        </w:rPr>
        <w:t>:</w:t>
      </w:r>
    </w:p>
    <w:p w14:paraId="0D4785C5">
      <w:pPr>
        <w:autoSpaceDE w:val="0"/>
        <w:autoSpaceDN w:val="0"/>
        <w:adjustRightInd w:val="0"/>
        <w:spacing w:line="360" w:lineRule="auto"/>
        <w:ind w:left="3958" w:leftChars="1885"/>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14F12E74">
      <w:pPr>
        <w:adjustRightInd/>
        <w:spacing w:line="360" w:lineRule="auto"/>
        <w:ind w:firstLine="0" w:firstLineChars="0"/>
        <w:jc w:val="both"/>
        <w:outlineLvl w:val="1"/>
        <w:rPr>
          <w:rFonts w:hint="eastAsia"/>
          <w:b/>
          <w:color w:val="auto"/>
          <w:sz w:val="24"/>
        </w:rPr>
      </w:pPr>
      <w:bookmarkStart w:id="1407" w:name="_Toc414445766"/>
      <w:bookmarkStart w:id="1408" w:name="_Toc410631175"/>
      <w:r>
        <w:rPr>
          <w:rFonts w:ascii="Arial" w:hAnsi="宋体" w:cs="Arial"/>
          <w:color w:val="auto"/>
          <w:sz w:val="28"/>
          <w:szCs w:val="28"/>
        </w:rPr>
        <w:br w:type="page"/>
      </w:r>
      <w:bookmarkEnd w:id="1407"/>
      <w:bookmarkEnd w:id="1408"/>
      <w:bookmarkStart w:id="1409" w:name="_Toc6946"/>
      <w:bookmarkStart w:id="1410" w:name="_Toc14944"/>
      <w:bookmarkStart w:id="1411" w:name="_Toc763"/>
      <w:r>
        <w:rPr>
          <w:rFonts w:hint="eastAsia"/>
          <w:b/>
          <w:color w:val="auto"/>
          <w:sz w:val="24"/>
        </w:rPr>
        <w:t>附件5</w:t>
      </w:r>
      <w:r>
        <w:rPr>
          <w:rFonts w:hint="eastAsia" w:ascii="宋体" w:hAnsi="宋体" w:eastAsia="宋体" w:cs="宋体"/>
          <w:b/>
          <w:color w:val="auto"/>
          <w:sz w:val="24"/>
        </w:rPr>
        <w:t xml:space="preserve"> </w:t>
      </w:r>
      <w:r>
        <w:rPr>
          <w:rFonts w:hint="eastAsia"/>
          <w:b/>
          <w:color w:val="auto"/>
          <w:sz w:val="24"/>
        </w:rPr>
        <w:t>投标保证金</w:t>
      </w:r>
      <w:bookmarkEnd w:id="1398"/>
      <w:bookmarkEnd w:id="1399"/>
      <w:bookmarkEnd w:id="1409"/>
    </w:p>
    <w:p w14:paraId="5BFDC18C">
      <w:pPr>
        <w:adjustRightInd/>
        <w:spacing w:line="360" w:lineRule="auto"/>
        <w:ind w:firstLine="0" w:firstLineChars="0"/>
        <w:jc w:val="both"/>
        <w:outlineLvl w:val="9"/>
        <w:rPr>
          <w:rFonts w:hint="eastAsia" w:ascii="宋体" w:hAnsi="宋体" w:eastAsia="宋体"/>
          <w:b/>
          <w:color w:val="auto"/>
          <w:sz w:val="24"/>
          <w:lang w:eastAsia="zh-CN"/>
        </w:rPr>
      </w:pPr>
      <w:r>
        <w:rPr>
          <w:rFonts w:hint="eastAsia" w:ascii="宋体" w:hAnsi="宋体"/>
          <w:b/>
          <w:color w:val="auto"/>
          <w:sz w:val="24"/>
          <w:lang w:eastAsia="zh-CN"/>
        </w:rPr>
        <w:t>(</w:t>
      </w:r>
      <w:r>
        <w:rPr>
          <w:rFonts w:hint="eastAsia" w:ascii="宋体" w:hAnsi="宋体"/>
          <w:color w:val="auto"/>
          <w:sz w:val="24"/>
        </w:rPr>
        <w:t>支票、汇票或本票的</w:t>
      </w:r>
      <w:r>
        <w:rPr>
          <w:rFonts w:hint="eastAsia" w:ascii="宋体" w:hAnsi="宋体"/>
          <w:color w:val="auto"/>
          <w:sz w:val="24"/>
          <w:lang w:eastAsia="zh-CN"/>
        </w:rPr>
        <w:t>扫描件</w:t>
      </w:r>
      <w:r>
        <w:rPr>
          <w:rFonts w:hint="eastAsia" w:ascii="宋体" w:hAnsi="宋体"/>
          <w:color w:val="auto"/>
          <w:sz w:val="24"/>
        </w:rPr>
        <w:t>，或采用汇款、网银等方式提交的保证金的汇款底单</w:t>
      </w:r>
      <w:bookmarkEnd w:id="1410"/>
      <w:bookmarkEnd w:id="1411"/>
      <w:r>
        <w:rPr>
          <w:rFonts w:hint="eastAsia" w:ascii="宋体" w:hAnsi="宋体"/>
          <w:color w:val="auto"/>
          <w:sz w:val="24"/>
          <w:lang w:eastAsia="zh-CN"/>
        </w:rPr>
        <w:t>扫描件</w:t>
      </w:r>
      <w:r>
        <w:rPr>
          <w:rFonts w:hint="eastAsia" w:ascii="宋体" w:hAnsi="宋体"/>
          <w:b/>
          <w:color w:val="auto"/>
          <w:sz w:val="24"/>
          <w:lang w:eastAsia="zh-CN"/>
        </w:rPr>
        <w:t>)</w:t>
      </w:r>
    </w:p>
    <w:p w14:paraId="389B919C">
      <w:pPr>
        <w:jc w:val="center"/>
        <w:rPr>
          <w:b/>
          <w:color w:val="auto"/>
          <w:sz w:val="24"/>
        </w:rPr>
      </w:pPr>
    </w:p>
    <w:p w14:paraId="68FBA350">
      <w:pPr>
        <w:ind w:firstLine="422"/>
        <w:rPr>
          <w:rFonts w:ascii="宋体"/>
          <w:b/>
          <w:color w:val="auto"/>
          <w:szCs w:val="21"/>
        </w:rPr>
      </w:pPr>
    </w:p>
    <w:p w14:paraId="637CCBFA">
      <w:pPr>
        <w:ind w:firstLine="422"/>
        <w:rPr>
          <w:rFonts w:hint="eastAsia" w:ascii="宋体"/>
          <w:b/>
          <w:color w:val="auto"/>
          <w:szCs w:val="21"/>
        </w:rPr>
      </w:pPr>
    </w:p>
    <w:p w14:paraId="7E171D32">
      <w:pPr>
        <w:ind w:firstLine="422"/>
        <w:rPr>
          <w:rFonts w:hint="eastAsia" w:ascii="宋体"/>
          <w:b/>
          <w:color w:val="auto"/>
          <w:szCs w:val="21"/>
        </w:rPr>
      </w:pPr>
    </w:p>
    <w:p w14:paraId="7ED0D3D2">
      <w:pPr>
        <w:ind w:firstLine="422"/>
        <w:rPr>
          <w:rFonts w:hint="eastAsia" w:ascii="宋体"/>
          <w:b/>
          <w:color w:val="auto"/>
          <w:szCs w:val="21"/>
        </w:rPr>
      </w:pPr>
    </w:p>
    <w:p w14:paraId="518C6712">
      <w:pPr>
        <w:ind w:firstLine="422"/>
        <w:rPr>
          <w:rFonts w:hint="eastAsia" w:ascii="宋体"/>
          <w:b/>
          <w:color w:val="auto"/>
          <w:szCs w:val="21"/>
        </w:rPr>
      </w:pPr>
    </w:p>
    <w:p w14:paraId="770D0A16">
      <w:pPr>
        <w:ind w:firstLine="422"/>
        <w:rPr>
          <w:rFonts w:hint="eastAsia" w:ascii="宋体"/>
          <w:b/>
          <w:color w:val="auto"/>
          <w:szCs w:val="21"/>
        </w:rPr>
      </w:pPr>
    </w:p>
    <w:p w14:paraId="0D28DB9D">
      <w:pPr>
        <w:ind w:firstLine="422"/>
        <w:rPr>
          <w:rFonts w:ascii="宋体"/>
          <w:b/>
          <w:color w:val="auto"/>
          <w:szCs w:val="21"/>
        </w:rPr>
      </w:pPr>
    </w:p>
    <w:p w14:paraId="625BBE8F">
      <w:pPr>
        <w:ind w:firstLine="422"/>
        <w:rPr>
          <w:rFonts w:ascii="宋体"/>
          <w:b/>
          <w:color w:val="auto"/>
          <w:szCs w:val="21"/>
        </w:rPr>
      </w:pPr>
    </w:p>
    <w:p w14:paraId="4D1A91E1">
      <w:pPr>
        <w:ind w:firstLine="422"/>
        <w:rPr>
          <w:rFonts w:ascii="宋体"/>
          <w:b/>
          <w:color w:val="auto"/>
          <w:szCs w:val="21"/>
        </w:rPr>
      </w:pPr>
    </w:p>
    <w:p w14:paraId="70E46D99">
      <w:pPr>
        <w:spacing w:before="120" w:after="120" w:line="360" w:lineRule="auto"/>
        <w:ind w:firstLine="420" w:firstLineChars="200"/>
        <w:rPr>
          <w:rFonts w:ascii="宋体"/>
          <w:color w:val="auto"/>
          <w:szCs w:val="21"/>
        </w:rPr>
      </w:pPr>
    </w:p>
    <w:p w14:paraId="66EEB68E">
      <w:pPr>
        <w:spacing w:before="120" w:after="120" w:line="360" w:lineRule="auto"/>
        <w:ind w:firstLine="420" w:firstLineChars="200"/>
        <w:rPr>
          <w:rFonts w:ascii="宋体"/>
          <w:color w:val="auto"/>
          <w:szCs w:val="21"/>
        </w:rPr>
      </w:pPr>
    </w:p>
    <w:p w14:paraId="5862C8F4">
      <w:pPr>
        <w:spacing w:before="120" w:after="120" w:line="360" w:lineRule="auto"/>
        <w:ind w:firstLine="420" w:firstLineChars="200"/>
        <w:rPr>
          <w:rFonts w:ascii="宋体"/>
          <w:color w:val="auto"/>
          <w:szCs w:val="21"/>
        </w:rPr>
      </w:pPr>
      <w:r>
        <w:rPr>
          <w:rFonts w:ascii="宋体"/>
          <w:color w:val="auto"/>
          <w:szCs w:val="21"/>
        </w:rPr>
        <w:t>投标人名称</w:t>
      </w:r>
      <w:r>
        <w:rPr>
          <w:rFonts w:hint="eastAsia" w:ascii="宋体"/>
          <w:color w:val="auto"/>
          <w:szCs w:val="21"/>
          <w:lang w:eastAsia="zh-CN"/>
        </w:rPr>
        <w:t>(</w:t>
      </w:r>
      <w:r>
        <w:rPr>
          <w:rFonts w:ascii="宋体"/>
          <w:color w:val="auto"/>
          <w:szCs w:val="21"/>
        </w:rPr>
        <w:t>公章</w:t>
      </w:r>
      <w:r>
        <w:rPr>
          <w:rFonts w:hint="eastAsia" w:ascii="宋体"/>
          <w:color w:val="auto"/>
          <w:szCs w:val="21"/>
          <w:lang w:eastAsia="zh-CN"/>
        </w:rPr>
        <w:t>):</w:t>
      </w:r>
      <w:r>
        <w:rPr>
          <w:rFonts w:ascii="宋体"/>
          <w:color w:val="auto"/>
          <w:szCs w:val="21"/>
        </w:rPr>
        <w:t xml:space="preserve"> </w:t>
      </w:r>
    </w:p>
    <w:p w14:paraId="4028E52C">
      <w:pPr>
        <w:spacing w:before="120" w:after="120" w:line="360" w:lineRule="auto"/>
        <w:ind w:firstLine="420" w:firstLineChars="200"/>
        <w:rPr>
          <w:rFonts w:hint="eastAsia" w:ascii="宋体" w:eastAsia="宋体"/>
          <w:color w:val="auto"/>
          <w:szCs w:val="21"/>
          <w:lang w:eastAsia="zh-CN"/>
        </w:rPr>
      </w:pPr>
      <w:r>
        <w:rPr>
          <w:rFonts w:ascii="宋体"/>
          <w:color w:val="auto"/>
          <w:szCs w:val="21"/>
        </w:rPr>
        <w:t>法定代表人或其</w:t>
      </w:r>
      <w:r>
        <w:rPr>
          <w:rFonts w:hint="eastAsia" w:ascii="宋体"/>
          <w:color w:val="auto"/>
          <w:szCs w:val="21"/>
        </w:rPr>
        <w:t>委托代理人</w:t>
      </w:r>
      <w:r>
        <w:rPr>
          <w:rFonts w:hint="eastAsia" w:ascii="宋体"/>
          <w:color w:val="auto"/>
          <w:szCs w:val="21"/>
          <w:lang w:eastAsia="zh-CN"/>
        </w:rPr>
        <w:t>(</w:t>
      </w:r>
      <w:r>
        <w:rPr>
          <w:rFonts w:hint="eastAsia" w:ascii="宋体"/>
          <w:color w:val="auto"/>
          <w:szCs w:val="21"/>
        </w:rPr>
        <w:t>签字或盖章</w:t>
      </w:r>
      <w:r>
        <w:rPr>
          <w:rFonts w:hint="eastAsia" w:ascii="宋体"/>
          <w:color w:val="auto"/>
          <w:szCs w:val="21"/>
          <w:lang w:eastAsia="zh-CN"/>
        </w:rPr>
        <w:t>):</w:t>
      </w:r>
    </w:p>
    <w:p w14:paraId="27D4CFFA">
      <w:pPr>
        <w:spacing w:before="120" w:after="120" w:line="360" w:lineRule="auto"/>
        <w:ind w:firstLine="420" w:firstLineChars="200"/>
        <w:rPr>
          <w:rFonts w:ascii="宋体"/>
          <w:color w:val="auto"/>
          <w:szCs w:val="21"/>
        </w:rPr>
      </w:pPr>
      <w:r>
        <w:rPr>
          <w:rFonts w:ascii="宋体"/>
          <w:color w:val="auto"/>
          <w:szCs w:val="21"/>
        </w:rPr>
        <w:t>日    期</w:t>
      </w:r>
      <w:r>
        <w:rPr>
          <w:rFonts w:hint="eastAsia" w:ascii="宋体"/>
          <w:color w:val="auto"/>
          <w:szCs w:val="21"/>
          <w:lang w:eastAsia="zh-CN"/>
        </w:rPr>
        <w:t>:</w:t>
      </w:r>
      <w:r>
        <w:rPr>
          <w:rFonts w:ascii="宋体"/>
          <w:color w:val="auto"/>
          <w:szCs w:val="21"/>
        </w:rPr>
        <w:t xml:space="preserve">     年   月    日</w:t>
      </w:r>
    </w:p>
    <w:p w14:paraId="07FD6E1B">
      <w:pPr>
        <w:spacing w:beforeLines="50" w:line="440" w:lineRule="exact"/>
        <w:ind w:firstLine="422"/>
        <w:rPr>
          <w:rFonts w:ascii="宋体"/>
          <w:b/>
          <w:color w:val="auto"/>
          <w:szCs w:val="21"/>
        </w:rPr>
      </w:pPr>
    </w:p>
    <w:p w14:paraId="7AA967F7">
      <w:pPr>
        <w:spacing w:line="288" w:lineRule="auto"/>
        <w:rPr>
          <w:rFonts w:ascii="宋体" w:hAnsi="宋体"/>
          <w:color w:val="auto"/>
          <w:szCs w:val="21"/>
        </w:rPr>
      </w:pPr>
    </w:p>
    <w:p w14:paraId="021EF508">
      <w:pPr>
        <w:spacing w:line="360" w:lineRule="auto"/>
        <w:rPr>
          <w:rFonts w:ascii="宋体" w:hAnsi="宋体" w:eastAsia="宋体"/>
          <w:color w:val="auto"/>
          <w:sz w:val="24"/>
        </w:rPr>
      </w:pPr>
      <w:bookmarkStart w:id="1412" w:name="_Toc410631176"/>
      <w:r>
        <w:rPr>
          <w:rFonts w:ascii="宋体" w:hAnsi="宋体" w:eastAsia="宋体"/>
          <w:b/>
          <w:color w:val="auto"/>
          <w:sz w:val="24"/>
        </w:rPr>
        <w:br w:type="page"/>
      </w:r>
      <w:bookmarkEnd w:id="1412"/>
      <w:bookmarkStart w:id="1413" w:name="_Toc143577473"/>
      <w:bookmarkStart w:id="1414" w:name="_Toc468781351"/>
    </w:p>
    <w:p w14:paraId="46B9FB80">
      <w:pPr>
        <w:spacing w:line="360" w:lineRule="auto"/>
        <w:outlineLvl w:val="1"/>
        <w:rPr>
          <w:rFonts w:hint="eastAsia" w:eastAsia="宋体"/>
          <w:b/>
          <w:color w:val="auto"/>
          <w:sz w:val="24"/>
          <w:lang w:eastAsia="zh-CN"/>
        </w:rPr>
      </w:pPr>
      <w:bookmarkStart w:id="1415" w:name="_Toc31674"/>
      <w:bookmarkStart w:id="1416" w:name="_Toc23984"/>
      <w:bookmarkStart w:id="1417" w:name="_Toc10162"/>
      <w:r>
        <w:rPr>
          <w:rFonts w:hint="eastAsia"/>
          <w:b/>
          <w:color w:val="auto"/>
          <w:sz w:val="24"/>
        </w:rPr>
        <w:t>附件6</w:t>
      </w:r>
      <w:r>
        <w:rPr>
          <w:rFonts w:hint="eastAsia" w:ascii="宋体" w:hAnsi="宋体" w:eastAsia="宋体" w:cs="宋体"/>
          <w:b/>
          <w:color w:val="auto"/>
          <w:sz w:val="24"/>
        </w:rPr>
        <w:t xml:space="preserve"> </w:t>
      </w:r>
      <w:r>
        <w:rPr>
          <w:rFonts w:hint="eastAsia"/>
          <w:b/>
          <w:color w:val="auto"/>
          <w:sz w:val="24"/>
        </w:rPr>
        <w:t>投标分项报价表</w:t>
      </w:r>
      <w:bookmarkEnd w:id="1415"/>
      <w:bookmarkEnd w:id="1416"/>
      <w:bookmarkEnd w:id="1417"/>
    </w:p>
    <w:p w14:paraId="680A5B01">
      <w:pPr>
        <w:spacing w:before="156" w:line="360" w:lineRule="auto"/>
        <w:outlineLvl w:val="9"/>
        <w:rPr>
          <w:rFonts w:hint="eastAsia" w:eastAsia="宋体"/>
          <w:b/>
          <w:i/>
          <w:iCs/>
          <w:color w:val="auto"/>
          <w:sz w:val="24"/>
          <w:lang w:eastAsia="zh-CN"/>
        </w:rPr>
      </w:pPr>
      <w:r>
        <w:rPr>
          <w:rFonts w:hint="eastAsia" w:eastAsia="宋体"/>
          <w:b/>
          <w:i/>
          <w:iCs/>
          <w:color w:val="auto"/>
          <w:sz w:val="24"/>
          <w:lang w:eastAsia="zh-CN"/>
        </w:rPr>
        <w:t>(</w:t>
      </w:r>
      <w:r>
        <w:rPr>
          <w:rFonts w:hint="eastAsia"/>
          <w:b/>
          <w:i/>
          <w:iCs/>
          <w:color w:val="auto"/>
          <w:sz w:val="24"/>
          <w:lang w:val="en-US" w:eastAsia="zh-CN"/>
        </w:rPr>
        <w:t>提供已标价工程量清单</w:t>
      </w:r>
      <w:r>
        <w:rPr>
          <w:rFonts w:hint="eastAsia" w:eastAsia="宋体"/>
          <w:b/>
          <w:i/>
          <w:iCs/>
          <w:color w:val="auto"/>
          <w:sz w:val="24"/>
          <w:lang w:eastAsia="zh-CN"/>
        </w:rPr>
        <w:t>)</w:t>
      </w:r>
    </w:p>
    <w:p w14:paraId="4ECB4D94">
      <w:pPr>
        <w:pStyle w:val="361"/>
        <w:ind w:firstLine="0"/>
        <w:rPr>
          <w:rFonts w:ascii="宋体" w:hAnsi="宋体" w:cs="宋体"/>
          <w:color w:val="auto"/>
        </w:rPr>
      </w:pPr>
    </w:p>
    <w:p w14:paraId="722298DF">
      <w:pPr>
        <w:snapToGrid w:val="0"/>
        <w:jc w:val="left"/>
        <w:rPr>
          <w:rFonts w:ascii="宋体" w:hAnsi="宋体" w:cs="宋体"/>
          <w:color w:val="auto"/>
          <w:szCs w:val="21"/>
        </w:rPr>
      </w:pPr>
    </w:p>
    <w:p w14:paraId="5010EFEB">
      <w:pPr>
        <w:snapToGrid w:val="0"/>
        <w:jc w:val="left"/>
        <w:rPr>
          <w:rFonts w:ascii="宋体" w:hAnsi="宋体" w:cs="宋体"/>
          <w:color w:val="auto"/>
          <w:szCs w:val="21"/>
        </w:rPr>
      </w:pPr>
      <w:r>
        <w:rPr>
          <w:rFonts w:hint="eastAsia" w:ascii="宋体" w:hAnsi="宋体" w:cs="宋体"/>
          <w:color w:val="auto"/>
          <w:szCs w:val="21"/>
        </w:rPr>
        <w:t>注</w:t>
      </w:r>
      <w:r>
        <w:rPr>
          <w:rFonts w:hint="eastAsia" w:ascii="宋体" w:hAnsi="宋体" w:cs="宋体"/>
          <w:color w:val="auto"/>
          <w:szCs w:val="21"/>
          <w:lang w:eastAsia="zh-CN"/>
        </w:rPr>
        <w:t>:</w:t>
      </w:r>
      <w:r>
        <w:rPr>
          <w:rFonts w:hint="eastAsia" w:ascii="宋体" w:hAnsi="宋体" w:cs="宋体"/>
          <w:color w:val="auto"/>
          <w:szCs w:val="21"/>
        </w:rPr>
        <w:t>投标人需严格按照招标文件的采购需求编写分项报价。</w:t>
      </w:r>
    </w:p>
    <w:p w14:paraId="3DC7A4EC">
      <w:pPr>
        <w:snapToGrid w:val="0"/>
        <w:jc w:val="left"/>
        <w:rPr>
          <w:rFonts w:ascii="宋体" w:hAnsi="宋体" w:cs="宋体"/>
          <w:color w:val="auto"/>
          <w:szCs w:val="21"/>
        </w:rPr>
      </w:pPr>
    </w:p>
    <w:p w14:paraId="239C9901">
      <w:pPr>
        <w:pStyle w:val="362"/>
        <w:adjustRightInd/>
        <w:snapToGrid/>
        <w:spacing w:after="0"/>
        <w:rPr>
          <w:rFonts w:ascii="宋体" w:hAnsi="宋体" w:cs="宋体"/>
          <w:color w:val="auto"/>
          <w:sz w:val="21"/>
          <w:szCs w:val="21"/>
          <w:u w:val="single"/>
        </w:rPr>
      </w:pPr>
      <w:r>
        <w:rPr>
          <w:rFonts w:hint="eastAsia" w:ascii="宋体" w:hAnsi="宋体" w:cs="宋体"/>
          <w:color w:val="auto"/>
          <w:sz w:val="21"/>
          <w:szCs w:val="21"/>
        </w:rPr>
        <w:t>投标人名称</w:t>
      </w:r>
      <w:r>
        <w:rPr>
          <w:rFonts w:hint="eastAsia" w:ascii="宋体" w:hAnsi="宋体" w:cs="宋体"/>
          <w:color w:val="auto"/>
          <w:sz w:val="21"/>
          <w:szCs w:val="21"/>
          <w:lang w:eastAsia="zh-CN"/>
        </w:rPr>
        <w:t>:</w:t>
      </w:r>
      <w:r>
        <w:rPr>
          <w:rFonts w:hint="eastAsia" w:ascii="宋体" w:hAnsi="宋体" w:cs="宋体"/>
          <w:color w:val="auto"/>
          <w:sz w:val="21"/>
          <w:szCs w:val="21"/>
          <w:u w:val="single"/>
        </w:rPr>
        <w:t xml:space="preserve">        公章         </w:t>
      </w:r>
    </w:p>
    <w:p w14:paraId="2EAF9F4A">
      <w:pPr>
        <w:rPr>
          <w:rFonts w:ascii="宋体" w:hAnsi="宋体" w:cs="宋体"/>
          <w:color w:val="auto"/>
          <w:szCs w:val="21"/>
          <w:u w:val="single"/>
        </w:rPr>
      </w:pPr>
      <w:r>
        <w:rPr>
          <w:rFonts w:ascii="宋体" w:hAnsi="宋体"/>
          <w:color w:val="auto"/>
          <w:szCs w:val="21"/>
        </w:rPr>
        <w:t>法定代表人或其</w:t>
      </w:r>
      <w:r>
        <w:rPr>
          <w:rFonts w:hint="eastAsia" w:ascii="宋体"/>
          <w:color w:val="auto"/>
          <w:szCs w:val="21"/>
        </w:rPr>
        <w:t>委托代理人</w:t>
      </w:r>
      <w:r>
        <w:rPr>
          <w:rFonts w:hint="eastAsia" w:ascii="宋体" w:hAnsi="宋体" w:cs="宋体"/>
          <w:color w:val="auto"/>
          <w:szCs w:val="21"/>
          <w:lang w:eastAsia="zh-CN"/>
        </w:rPr>
        <w:t>:</w:t>
      </w:r>
      <w:r>
        <w:rPr>
          <w:rFonts w:hint="eastAsia" w:ascii="宋体" w:hAnsi="宋体" w:cs="宋体"/>
          <w:color w:val="auto"/>
          <w:szCs w:val="21"/>
          <w:u w:val="single"/>
        </w:rPr>
        <w:t xml:space="preserve">     签字或加盖人名章             </w:t>
      </w:r>
    </w:p>
    <w:p w14:paraId="3B38D7C7">
      <w:pPr>
        <w:pStyle w:val="362"/>
        <w:adjustRightInd/>
        <w:snapToGrid/>
        <w:spacing w:after="0"/>
        <w:rPr>
          <w:rFonts w:ascii="宋体" w:hAnsi="宋体" w:cs="宋体"/>
          <w:color w:val="auto"/>
          <w:sz w:val="21"/>
          <w:szCs w:val="21"/>
          <w:u w:val="single"/>
        </w:rPr>
      </w:pPr>
      <w:r>
        <w:rPr>
          <w:rFonts w:hint="eastAsia" w:ascii="宋体" w:hAnsi="宋体" w:cs="宋体"/>
          <w:color w:val="auto"/>
          <w:sz w:val="21"/>
          <w:szCs w:val="21"/>
        </w:rPr>
        <w:t xml:space="preserve">日期 </w:t>
      </w:r>
      <w:r>
        <w:rPr>
          <w:rFonts w:hint="eastAsia" w:ascii="宋体" w:hAnsi="宋体" w:cs="宋体"/>
          <w:color w:val="auto"/>
          <w:sz w:val="21"/>
          <w:szCs w:val="21"/>
          <w:lang w:eastAsia="zh-CN"/>
        </w:rPr>
        <w:t>:</w:t>
      </w:r>
      <w:r>
        <w:rPr>
          <w:rFonts w:hint="eastAsia" w:ascii="宋体" w:hAnsi="宋体" w:cs="宋体"/>
          <w:color w:val="auto"/>
          <w:sz w:val="21"/>
          <w:szCs w:val="21"/>
          <w:u w:val="single"/>
        </w:rPr>
        <w:t xml:space="preserve">                         </w:t>
      </w:r>
    </w:p>
    <w:p w14:paraId="6E3DACB5">
      <w:pPr>
        <w:widowControl/>
        <w:jc w:val="left"/>
        <w:rPr>
          <w:color w:val="auto"/>
          <w:sz w:val="24"/>
        </w:rPr>
      </w:pPr>
      <w:r>
        <w:rPr>
          <w:color w:val="auto"/>
          <w:sz w:val="24"/>
        </w:rPr>
        <w:br w:type="page"/>
      </w:r>
    </w:p>
    <w:p w14:paraId="19568AB6">
      <w:pPr>
        <w:spacing w:line="360" w:lineRule="auto"/>
        <w:outlineLvl w:val="1"/>
        <w:rPr>
          <w:b/>
          <w:color w:val="auto"/>
          <w:sz w:val="24"/>
        </w:rPr>
      </w:pPr>
      <w:bookmarkStart w:id="1418" w:name="_Toc6596"/>
      <w:bookmarkStart w:id="1419" w:name="_Toc13786"/>
      <w:bookmarkStart w:id="1420" w:name="_Toc2297"/>
      <w:r>
        <w:rPr>
          <w:rFonts w:hint="eastAsia"/>
          <w:b/>
          <w:color w:val="auto"/>
          <w:sz w:val="24"/>
        </w:rPr>
        <w:t>附件7</w:t>
      </w:r>
      <w:r>
        <w:rPr>
          <w:rFonts w:hint="eastAsia" w:ascii="宋体" w:hAnsi="宋体" w:eastAsia="宋体" w:cs="宋体"/>
          <w:b/>
          <w:color w:val="auto"/>
          <w:sz w:val="24"/>
        </w:rPr>
        <w:t xml:space="preserve"> </w:t>
      </w:r>
      <w:r>
        <w:rPr>
          <w:b/>
          <w:color w:val="auto"/>
          <w:sz w:val="24"/>
        </w:rPr>
        <w:t>商务偏差表</w:t>
      </w:r>
      <w:bookmarkEnd w:id="1418"/>
      <w:bookmarkEnd w:id="1419"/>
      <w:bookmarkEnd w:id="1420"/>
    </w:p>
    <w:p w14:paraId="694DF2B4">
      <w:pPr>
        <w:spacing w:after="240"/>
        <w:ind w:hanging="119"/>
        <w:rPr>
          <w:color w:val="auto"/>
        </w:rPr>
      </w:pPr>
    </w:p>
    <w:p w14:paraId="79E6F3E2">
      <w:pPr>
        <w:spacing w:after="240"/>
        <w:ind w:hanging="119"/>
        <w:rPr>
          <w:rFonts w:hint="eastAsia" w:eastAsia="宋体"/>
          <w:color w:val="auto"/>
          <w:sz w:val="24"/>
          <w:lang w:eastAsia="zh-CN"/>
        </w:rPr>
      </w:pPr>
      <w:r>
        <w:rPr>
          <w:color w:val="auto"/>
          <w:sz w:val="24"/>
        </w:rPr>
        <w:t>投标人名称</w:t>
      </w:r>
      <w:r>
        <w:rPr>
          <w:rFonts w:hint="eastAsia"/>
          <w:color w:val="auto"/>
          <w:sz w:val="24"/>
          <w:lang w:eastAsia="zh-CN"/>
        </w:rPr>
        <w:t>:</w:t>
      </w:r>
    </w:p>
    <w:tbl>
      <w:tblPr>
        <w:tblStyle w:val="41"/>
        <w:tblW w:w="5000"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696"/>
        <w:gridCol w:w="2127"/>
        <w:gridCol w:w="2393"/>
        <w:gridCol w:w="1994"/>
        <w:gridCol w:w="1595"/>
        <w:gridCol w:w="997"/>
      </w:tblGrid>
      <w:tr w14:paraId="6E92533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5C0EB813">
            <w:pPr>
              <w:spacing w:line="240" w:lineRule="auto"/>
              <w:jc w:val="center"/>
              <w:rPr>
                <w:rFonts w:ascii="宋体" w:hAnsi="宋体"/>
                <w:color w:val="auto"/>
                <w:sz w:val="24"/>
                <w:szCs w:val="24"/>
              </w:rPr>
            </w:pPr>
            <w:r>
              <w:rPr>
                <w:rFonts w:hint="eastAsia" w:ascii="宋体" w:hAnsi="宋体"/>
                <w:color w:val="auto"/>
                <w:sz w:val="24"/>
                <w:szCs w:val="24"/>
              </w:rPr>
              <w:t>序号</w:t>
            </w:r>
          </w:p>
        </w:tc>
        <w:tc>
          <w:tcPr>
            <w:tcW w:w="1920" w:type="dxa"/>
            <w:noWrap w:val="0"/>
            <w:vAlign w:val="center"/>
          </w:tcPr>
          <w:p w14:paraId="0CA65565">
            <w:pPr>
              <w:spacing w:line="240" w:lineRule="auto"/>
              <w:jc w:val="center"/>
              <w:rPr>
                <w:rFonts w:ascii="宋体" w:hAnsi="宋体"/>
                <w:color w:val="auto"/>
                <w:sz w:val="24"/>
                <w:szCs w:val="24"/>
              </w:rPr>
            </w:pPr>
            <w:r>
              <w:rPr>
                <w:rFonts w:hint="eastAsia" w:ascii="宋体" w:hAnsi="宋体"/>
                <w:color w:val="auto"/>
                <w:sz w:val="24"/>
                <w:szCs w:val="24"/>
              </w:rPr>
              <w:t>招标文件条目号</w:t>
            </w:r>
          </w:p>
        </w:tc>
        <w:tc>
          <w:tcPr>
            <w:tcW w:w="2160" w:type="dxa"/>
            <w:noWrap w:val="0"/>
            <w:vAlign w:val="center"/>
          </w:tcPr>
          <w:p w14:paraId="0023FD03">
            <w:pPr>
              <w:spacing w:line="240" w:lineRule="auto"/>
              <w:jc w:val="center"/>
              <w:rPr>
                <w:rFonts w:hint="eastAsia" w:ascii="宋体" w:hAnsi="宋体"/>
                <w:color w:val="auto"/>
                <w:sz w:val="24"/>
                <w:szCs w:val="24"/>
              </w:rPr>
            </w:pPr>
            <w:r>
              <w:rPr>
                <w:rFonts w:hint="eastAsia" w:ascii="宋体" w:hAnsi="宋体"/>
                <w:color w:val="auto"/>
                <w:sz w:val="24"/>
                <w:szCs w:val="24"/>
              </w:rPr>
              <w:t>招标文件的规定</w:t>
            </w:r>
          </w:p>
          <w:p w14:paraId="0A08FEAF">
            <w:pPr>
              <w:spacing w:line="240" w:lineRule="auto"/>
              <w:jc w:val="center"/>
              <w:rPr>
                <w:rFonts w:ascii="宋体" w:hAnsi="宋体"/>
                <w:color w:val="auto"/>
                <w:sz w:val="24"/>
                <w:szCs w:val="24"/>
              </w:rPr>
            </w:pPr>
            <w:r>
              <w:rPr>
                <w:rFonts w:hint="eastAsia" w:ascii="宋体" w:hAnsi="宋体"/>
                <w:color w:val="auto"/>
                <w:sz w:val="24"/>
                <w:szCs w:val="24"/>
              </w:rPr>
              <w:t>和要求</w:t>
            </w:r>
          </w:p>
        </w:tc>
        <w:tc>
          <w:tcPr>
            <w:tcW w:w="1800" w:type="dxa"/>
            <w:noWrap w:val="0"/>
            <w:vAlign w:val="center"/>
          </w:tcPr>
          <w:p w14:paraId="59ABF46C">
            <w:pPr>
              <w:spacing w:line="240" w:lineRule="auto"/>
              <w:jc w:val="center"/>
              <w:rPr>
                <w:rFonts w:hint="eastAsia" w:ascii="宋体" w:hAnsi="宋体"/>
                <w:color w:val="auto"/>
                <w:sz w:val="24"/>
                <w:szCs w:val="24"/>
              </w:rPr>
            </w:pPr>
            <w:r>
              <w:rPr>
                <w:rFonts w:hint="eastAsia" w:ascii="宋体" w:hAnsi="宋体"/>
                <w:color w:val="auto"/>
                <w:sz w:val="24"/>
                <w:szCs w:val="24"/>
              </w:rPr>
              <w:t>投标文件的响应</w:t>
            </w:r>
          </w:p>
        </w:tc>
        <w:tc>
          <w:tcPr>
            <w:tcW w:w="1440" w:type="dxa"/>
            <w:noWrap w:val="0"/>
            <w:vAlign w:val="center"/>
          </w:tcPr>
          <w:p w14:paraId="2DB025C2">
            <w:pPr>
              <w:spacing w:line="240" w:lineRule="auto"/>
              <w:jc w:val="center"/>
              <w:rPr>
                <w:rFonts w:hint="eastAsia" w:ascii="宋体" w:hAnsi="宋体"/>
                <w:color w:val="auto"/>
                <w:sz w:val="24"/>
                <w:szCs w:val="24"/>
              </w:rPr>
            </w:pPr>
            <w:r>
              <w:rPr>
                <w:rFonts w:hint="eastAsia" w:ascii="宋体" w:hAnsi="宋体"/>
                <w:color w:val="auto"/>
                <w:sz w:val="24"/>
                <w:szCs w:val="24"/>
              </w:rPr>
              <w:t>偏差</w:t>
            </w:r>
          </w:p>
        </w:tc>
        <w:tc>
          <w:tcPr>
            <w:tcW w:w="900" w:type="dxa"/>
            <w:noWrap w:val="0"/>
            <w:vAlign w:val="center"/>
          </w:tcPr>
          <w:p w14:paraId="3267DFF5">
            <w:pPr>
              <w:spacing w:line="240" w:lineRule="auto"/>
              <w:jc w:val="center"/>
              <w:rPr>
                <w:rFonts w:ascii="宋体" w:hAnsi="宋体"/>
                <w:color w:val="auto"/>
                <w:sz w:val="24"/>
                <w:szCs w:val="24"/>
              </w:rPr>
            </w:pPr>
            <w:r>
              <w:rPr>
                <w:rFonts w:hint="eastAsia" w:ascii="宋体" w:hAnsi="宋体"/>
                <w:color w:val="auto"/>
                <w:sz w:val="24"/>
                <w:szCs w:val="24"/>
              </w:rPr>
              <w:t>说明</w:t>
            </w:r>
          </w:p>
        </w:tc>
      </w:tr>
      <w:tr w14:paraId="02654EC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0CE3E2B9">
            <w:pPr>
              <w:spacing w:line="240" w:lineRule="auto"/>
              <w:rPr>
                <w:rFonts w:ascii="宋体" w:hAnsi="宋体"/>
                <w:color w:val="auto"/>
                <w:sz w:val="24"/>
                <w:szCs w:val="24"/>
              </w:rPr>
            </w:pPr>
          </w:p>
        </w:tc>
        <w:tc>
          <w:tcPr>
            <w:tcW w:w="1920" w:type="dxa"/>
            <w:noWrap w:val="0"/>
            <w:vAlign w:val="center"/>
          </w:tcPr>
          <w:p w14:paraId="2AA0746F">
            <w:pPr>
              <w:spacing w:line="240" w:lineRule="auto"/>
              <w:rPr>
                <w:rFonts w:ascii="宋体" w:hAnsi="宋体"/>
                <w:color w:val="auto"/>
                <w:sz w:val="24"/>
                <w:szCs w:val="24"/>
              </w:rPr>
            </w:pPr>
          </w:p>
        </w:tc>
        <w:tc>
          <w:tcPr>
            <w:tcW w:w="2160" w:type="dxa"/>
            <w:noWrap w:val="0"/>
            <w:vAlign w:val="center"/>
          </w:tcPr>
          <w:p w14:paraId="06969554">
            <w:pPr>
              <w:spacing w:line="240" w:lineRule="auto"/>
              <w:rPr>
                <w:rFonts w:ascii="宋体" w:hAnsi="宋体"/>
                <w:color w:val="auto"/>
                <w:sz w:val="24"/>
                <w:szCs w:val="24"/>
              </w:rPr>
            </w:pPr>
          </w:p>
        </w:tc>
        <w:tc>
          <w:tcPr>
            <w:tcW w:w="1800" w:type="dxa"/>
            <w:noWrap w:val="0"/>
            <w:vAlign w:val="center"/>
          </w:tcPr>
          <w:p w14:paraId="78B6ABF3">
            <w:pPr>
              <w:spacing w:line="240" w:lineRule="auto"/>
              <w:rPr>
                <w:rFonts w:ascii="宋体" w:hAnsi="宋体"/>
                <w:color w:val="auto"/>
                <w:sz w:val="24"/>
                <w:szCs w:val="24"/>
              </w:rPr>
            </w:pPr>
          </w:p>
        </w:tc>
        <w:tc>
          <w:tcPr>
            <w:tcW w:w="1440" w:type="dxa"/>
            <w:noWrap w:val="0"/>
            <w:vAlign w:val="center"/>
          </w:tcPr>
          <w:p w14:paraId="60743E77">
            <w:pPr>
              <w:spacing w:line="240" w:lineRule="auto"/>
              <w:rPr>
                <w:rFonts w:ascii="宋体" w:hAnsi="宋体"/>
                <w:color w:val="auto"/>
                <w:sz w:val="24"/>
                <w:szCs w:val="24"/>
              </w:rPr>
            </w:pPr>
          </w:p>
        </w:tc>
        <w:tc>
          <w:tcPr>
            <w:tcW w:w="900" w:type="dxa"/>
            <w:noWrap w:val="0"/>
            <w:vAlign w:val="center"/>
          </w:tcPr>
          <w:p w14:paraId="31C1E25E">
            <w:pPr>
              <w:spacing w:line="240" w:lineRule="auto"/>
              <w:rPr>
                <w:rFonts w:ascii="宋体" w:hAnsi="宋体"/>
                <w:color w:val="auto"/>
                <w:sz w:val="24"/>
                <w:szCs w:val="24"/>
              </w:rPr>
            </w:pPr>
          </w:p>
        </w:tc>
      </w:tr>
      <w:tr w14:paraId="60969C3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4A4FFD8C">
            <w:pPr>
              <w:spacing w:line="240" w:lineRule="auto"/>
              <w:rPr>
                <w:rFonts w:ascii="宋体" w:hAnsi="宋体"/>
                <w:color w:val="auto"/>
                <w:sz w:val="24"/>
                <w:szCs w:val="24"/>
              </w:rPr>
            </w:pPr>
          </w:p>
        </w:tc>
        <w:tc>
          <w:tcPr>
            <w:tcW w:w="1920" w:type="dxa"/>
            <w:noWrap w:val="0"/>
            <w:vAlign w:val="center"/>
          </w:tcPr>
          <w:p w14:paraId="2ADEFD9D">
            <w:pPr>
              <w:spacing w:line="240" w:lineRule="auto"/>
              <w:rPr>
                <w:rFonts w:ascii="宋体" w:hAnsi="宋体"/>
                <w:color w:val="auto"/>
                <w:sz w:val="24"/>
                <w:szCs w:val="24"/>
              </w:rPr>
            </w:pPr>
          </w:p>
        </w:tc>
        <w:tc>
          <w:tcPr>
            <w:tcW w:w="2160" w:type="dxa"/>
            <w:noWrap w:val="0"/>
            <w:vAlign w:val="center"/>
          </w:tcPr>
          <w:p w14:paraId="7E348EA7">
            <w:pPr>
              <w:spacing w:line="240" w:lineRule="auto"/>
              <w:rPr>
                <w:rFonts w:ascii="宋体" w:hAnsi="宋体"/>
                <w:color w:val="auto"/>
                <w:sz w:val="24"/>
                <w:szCs w:val="24"/>
              </w:rPr>
            </w:pPr>
          </w:p>
        </w:tc>
        <w:tc>
          <w:tcPr>
            <w:tcW w:w="1800" w:type="dxa"/>
            <w:noWrap w:val="0"/>
            <w:vAlign w:val="center"/>
          </w:tcPr>
          <w:p w14:paraId="480A8198">
            <w:pPr>
              <w:spacing w:line="240" w:lineRule="auto"/>
              <w:rPr>
                <w:rFonts w:ascii="宋体" w:hAnsi="宋体"/>
                <w:color w:val="auto"/>
                <w:sz w:val="24"/>
                <w:szCs w:val="24"/>
              </w:rPr>
            </w:pPr>
          </w:p>
        </w:tc>
        <w:tc>
          <w:tcPr>
            <w:tcW w:w="1440" w:type="dxa"/>
            <w:noWrap w:val="0"/>
            <w:vAlign w:val="center"/>
          </w:tcPr>
          <w:p w14:paraId="257EEB00">
            <w:pPr>
              <w:spacing w:line="240" w:lineRule="auto"/>
              <w:rPr>
                <w:rFonts w:ascii="宋体" w:hAnsi="宋体"/>
                <w:color w:val="auto"/>
                <w:sz w:val="24"/>
                <w:szCs w:val="24"/>
              </w:rPr>
            </w:pPr>
          </w:p>
        </w:tc>
        <w:tc>
          <w:tcPr>
            <w:tcW w:w="900" w:type="dxa"/>
            <w:noWrap w:val="0"/>
            <w:vAlign w:val="center"/>
          </w:tcPr>
          <w:p w14:paraId="5F8895DE">
            <w:pPr>
              <w:spacing w:line="240" w:lineRule="auto"/>
              <w:rPr>
                <w:rFonts w:ascii="宋体" w:hAnsi="宋体"/>
                <w:color w:val="auto"/>
                <w:sz w:val="24"/>
                <w:szCs w:val="24"/>
              </w:rPr>
            </w:pPr>
          </w:p>
        </w:tc>
      </w:tr>
      <w:tr w14:paraId="3B6C8D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72D02F66">
            <w:pPr>
              <w:spacing w:line="240" w:lineRule="auto"/>
              <w:rPr>
                <w:rFonts w:ascii="宋体" w:hAnsi="宋体"/>
                <w:color w:val="auto"/>
                <w:sz w:val="24"/>
                <w:szCs w:val="24"/>
              </w:rPr>
            </w:pPr>
          </w:p>
        </w:tc>
        <w:tc>
          <w:tcPr>
            <w:tcW w:w="1920" w:type="dxa"/>
            <w:noWrap w:val="0"/>
            <w:vAlign w:val="center"/>
          </w:tcPr>
          <w:p w14:paraId="651FE5FB">
            <w:pPr>
              <w:spacing w:line="240" w:lineRule="auto"/>
              <w:rPr>
                <w:rFonts w:ascii="宋体" w:hAnsi="宋体"/>
                <w:color w:val="auto"/>
                <w:sz w:val="24"/>
                <w:szCs w:val="24"/>
              </w:rPr>
            </w:pPr>
          </w:p>
        </w:tc>
        <w:tc>
          <w:tcPr>
            <w:tcW w:w="2160" w:type="dxa"/>
            <w:noWrap w:val="0"/>
            <w:vAlign w:val="center"/>
          </w:tcPr>
          <w:p w14:paraId="6CBE5466">
            <w:pPr>
              <w:spacing w:line="240" w:lineRule="auto"/>
              <w:rPr>
                <w:rFonts w:ascii="宋体" w:hAnsi="宋体"/>
                <w:color w:val="auto"/>
                <w:sz w:val="24"/>
                <w:szCs w:val="24"/>
              </w:rPr>
            </w:pPr>
          </w:p>
        </w:tc>
        <w:tc>
          <w:tcPr>
            <w:tcW w:w="1800" w:type="dxa"/>
            <w:noWrap w:val="0"/>
            <w:vAlign w:val="center"/>
          </w:tcPr>
          <w:p w14:paraId="7C2DF274">
            <w:pPr>
              <w:spacing w:line="240" w:lineRule="auto"/>
              <w:rPr>
                <w:rFonts w:ascii="宋体" w:hAnsi="宋体"/>
                <w:color w:val="auto"/>
                <w:sz w:val="24"/>
                <w:szCs w:val="24"/>
              </w:rPr>
            </w:pPr>
          </w:p>
        </w:tc>
        <w:tc>
          <w:tcPr>
            <w:tcW w:w="1440" w:type="dxa"/>
            <w:noWrap w:val="0"/>
            <w:vAlign w:val="center"/>
          </w:tcPr>
          <w:p w14:paraId="541C3721">
            <w:pPr>
              <w:spacing w:line="240" w:lineRule="auto"/>
              <w:rPr>
                <w:rFonts w:ascii="宋体" w:hAnsi="宋体"/>
                <w:color w:val="auto"/>
                <w:sz w:val="24"/>
                <w:szCs w:val="24"/>
              </w:rPr>
            </w:pPr>
          </w:p>
        </w:tc>
        <w:tc>
          <w:tcPr>
            <w:tcW w:w="900" w:type="dxa"/>
            <w:noWrap w:val="0"/>
            <w:vAlign w:val="center"/>
          </w:tcPr>
          <w:p w14:paraId="06FD2C3F">
            <w:pPr>
              <w:spacing w:line="240" w:lineRule="auto"/>
              <w:rPr>
                <w:rFonts w:ascii="宋体" w:hAnsi="宋体"/>
                <w:color w:val="auto"/>
                <w:sz w:val="24"/>
                <w:szCs w:val="24"/>
              </w:rPr>
            </w:pPr>
          </w:p>
        </w:tc>
      </w:tr>
      <w:tr w14:paraId="6F75EB6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7064C473">
            <w:pPr>
              <w:spacing w:line="240" w:lineRule="auto"/>
              <w:rPr>
                <w:rFonts w:ascii="宋体" w:hAnsi="宋体"/>
                <w:color w:val="auto"/>
                <w:sz w:val="24"/>
                <w:szCs w:val="24"/>
              </w:rPr>
            </w:pPr>
          </w:p>
        </w:tc>
        <w:tc>
          <w:tcPr>
            <w:tcW w:w="1920" w:type="dxa"/>
            <w:noWrap w:val="0"/>
            <w:vAlign w:val="center"/>
          </w:tcPr>
          <w:p w14:paraId="5E8A6E38">
            <w:pPr>
              <w:spacing w:line="240" w:lineRule="auto"/>
              <w:rPr>
                <w:rFonts w:ascii="宋体" w:hAnsi="宋体"/>
                <w:color w:val="auto"/>
                <w:sz w:val="24"/>
                <w:szCs w:val="24"/>
              </w:rPr>
            </w:pPr>
          </w:p>
        </w:tc>
        <w:tc>
          <w:tcPr>
            <w:tcW w:w="2160" w:type="dxa"/>
            <w:noWrap w:val="0"/>
            <w:vAlign w:val="center"/>
          </w:tcPr>
          <w:p w14:paraId="48B2898F">
            <w:pPr>
              <w:spacing w:line="240" w:lineRule="auto"/>
              <w:rPr>
                <w:rFonts w:ascii="宋体" w:hAnsi="宋体"/>
                <w:color w:val="auto"/>
                <w:sz w:val="24"/>
                <w:szCs w:val="24"/>
              </w:rPr>
            </w:pPr>
          </w:p>
        </w:tc>
        <w:tc>
          <w:tcPr>
            <w:tcW w:w="1800" w:type="dxa"/>
            <w:noWrap w:val="0"/>
            <w:vAlign w:val="center"/>
          </w:tcPr>
          <w:p w14:paraId="20DCB4A8">
            <w:pPr>
              <w:spacing w:line="240" w:lineRule="auto"/>
              <w:rPr>
                <w:rFonts w:ascii="宋体" w:hAnsi="宋体"/>
                <w:color w:val="auto"/>
                <w:sz w:val="24"/>
                <w:szCs w:val="24"/>
              </w:rPr>
            </w:pPr>
          </w:p>
        </w:tc>
        <w:tc>
          <w:tcPr>
            <w:tcW w:w="1440" w:type="dxa"/>
            <w:noWrap w:val="0"/>
            <w:vAlign w:val="center"/>
          </w:tcPr>
          <w:p w14:paraId="6AEB67B7">
            <w:pPr>
              <w:spacing w:line="240" w:lineRule="auto"/>
              <w:rPr>
                <w:rFonts w:ascii="宋体" w:hAnsi="宋体"/>
                <w:color w:val="auto"/>
                <w:sz w:val="24"/>
                <w:szCs w:val="24"/>
              </w:rPr>
            </w:pPr>
          </w:p>
        </w:tc>
        <w:tc>
          <w:tcPr>
            <w:tcW w:w="900" w:type="dxa"/>
            <w:noWrap w:val="0"/>
            <w:vAlign w:val="center"/>
          </w:tcPr>
          <w:p w14:paraId="32FD96AA">
            <w:pPr>
              <w:spacing w:line="240" w:lineRule="auto"/>
              <w:rPr>
                <w:rFonts w:ascii="宋体" w:hAnsi="宋体"/>
                <w:color w:val="auto"/>
                <w:sz w:val="24"/>
                <w:szCs w:val="24"/>
              </w:rPr>
            </w:pPr>
          </w:p>
        </w:tc>
      </w:tr>
      <w:tr w14:paraId="5ACCB08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516EDDE1">
            <w:pPr>
              <w:spacing w:line="240" w:lineRule="auto"/>
              <w:rPr>
                <w:rFonts w:ascii="宋体" w:hAnsi="宋体"/>
                <w:color w:val="auto"/>
                <w:sz w:val="24"/>
                <w:szCs w:val="24"/>
              </w:rPr>
            </w:pPr>
          </w:p>
        </w:tc>
        <w:tc>
          <w:tcPr>
            <w:tcW w:w="1920" w:type="dxa"/>
            <w:noWrap w:val="0"/>
            <w:vAlign w:val="center"/>
          </w:tcPr>
          <w:p w14:paraId="22E15ACD">
            <w:pPr>
              <w:spacing w:line="240" w:lineRule="auto"/>
              <w:rPr>
                <w:rFonts w:ascii="宋体" w:hAnsi="宋体"/>
                <w:color w:val="auto"/>
                <w:sz w:val="24"/>
                <w:szCs w:val="24"/>
              </w:rPr>
            </w:pPr>
          </w:p>
        </w:tc>
        <w:tc>
          <w:tcPr>
            <w:tcW w:w="2160" w:type="dxa"/>
            <w:noWrap w:val="0"/>
            <w:vAlign w:val="center"/>
          </w:tcPr>
          <w:p w14:paraId="21B45968">
            <w:pPr>
              <w:spacing w:line="240" w:lineRule="auto"/>
              <w:rPr>
                <w:rFonts w:ascii="宋体" w:hAnsi="宋体"/>
                <w:color w:val="auto"/>
                <w:sz w:val="24"/>
                <w:szCs w:val="24"/>
              </w:rPr>
            </w:pPr>
          </w:p>
        </w:tc>
        <w:tc>
          <w:tcPr>
            <w:tcW w:w="1800" w:type="dxa"/>
            <w:noWrap w:val="0"/>
            <w:vAlign w:val="center"/>
          </w:tcPr>
          <w:p w14:paraId="4826CE15">
            <w:pPr>
              <w:spacing w:line="240" w:lineRule="auto"/>
              <w:rPr>
                <w:rFonts w:ascii="宋体" w:hAnsi="宋体"/>
                <w:color w:val="auto"/>
                <w:sz w:val="24"/>
                <w:szCs w:val="24"/>
              </w:rPr>
            </w:pPr>
          </w:p>
        </w:tc>
        <w:tc>
          <w:tcPr>
            <w:tcW w:w="1440" w:type="dxa"/>
            <w:noWrap w:val="0"/>
            <w:vAlign w:val="center"/>
          </w:tcPr>
          <w:p w14:paraId="3BD94914">
            <w:pPr>
              <w:spacing w:line="240" w:lineRule="auto"/>
              <w:rPr>
                <w:rFonts w:ascii="宋体" w:hAnsi="宋体"/>
                <w:color w:val="auto"/>
                <w:sz w:val="24"/>
                <w:szCs w:val="24"/>
              </w:rPr>
            </w:pPr>
          </w:p>
        </w:tc>
        <w:tc>
          <w:tcPr>
            <w:tcW w:w="900" w:type="dxa"/>
            <w:noWrap w:val="0"/>
            <w:vAlign w:val="center"/>
          </w:tcPr>
          <w:p w14:paraId="6EB35C45">
            <w:pPr>
              <w:spacing w:line="240" w:lineRule="auto"/>
              <w:rPr>
                <w:rFonts w:ascii="宋体" w:hAnsi="宋体"/>
                <w:color w:val="auto"/>
                <w:sz w:val="24"/>
                <w:szCs w:val="24"/>
              </w:rPr>
            </w:pPr>
          </w:p>
        </w:tc>
      </w:tr>
      <w:tr w14:paraId="1D83445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1963FB1D">
            <w:pPr>
              <w:spacing w:line="240" w:lineRule="auto"/>
              <w:rPr>
                <w:rFonts w:ascii="宋体" w:hAnsi="宋体"/>
                <w:color w:val="auto"/>
                <w:sz w:val="24"/>
                <w:szCs w:val="24"/>
              </w:rPr>
            </w:pPr>
          </w:p>
        </w:tc>
        <w:tc>
          <w:tcPr>
            <w:tcW w:w="1920" w:type="dxa"/>
            <w:noWrap w:val="0"/>
            <w:vAlign w:val="center"/>
          </w:tcPr>
          <w:p w14:paraId="22906BAF">
            <w:pPr>
              <w:spacing w:line="240" w:lineRule="auto"/>
              <w:rPr>
                <w:rFonts w:ascii="宋体" w:hAnsi="宋体"/>
                <w:color w:val="auto"/>
                <w:sz w:val="24"/>
                <w:szCs w:val="24"/>
              </w:rPr>
            </w:pPr>
          </w:p>
        </w:tc>
        <w:tc>
          <w:tcPr>
            <w:tcW w:w="2160" w:type="dxa"/>
            <w:noWrap w:val="0"/>
            <w:vAlign w:val="center"/>
          </w:tcPr>
          <w:p w14:paraId="34286083">
            <w:pPr>
              <w:spacing w:line="240" w:lineRule="auto"/>
              <w:rPr>
                <w:rFonts w:ascii="宋体" w:hAnsi="宋体"/>
                <w:color w:val="auto"/>
                <w:sz w:val="24"/>
                <w:szCs w:val="24"/>
              </w:rPr>
            </w:pPr>
          </w:p>
        </w:tc>
        <w:tc>
          <w:tcPr>
            <w:tcW w:w="1800" w:type="dxa"/>
            <w:noWrap w:val="0"/>
            <w:vAlign w:val="center"/>
          </w:tcPr>
          <w:p w14:paraId="6881C41A">
            <w:pPr>
              <w:spacing w:line="240" w:lineRule="auto"/>
              <w:rPr>
                <w:rFonts w:ascii="宋体" w:hAnsi="宋体"/>
                <w:color w:val="auto"/>
                <w:sz w:val="24"/>
                <w:szCs w:val="24"/>
              </w:rPr>
            </w:pPr>
          </w:p>
        </w:tc>
        <w:tc>
          <w:tcPr>
            <w:tcW w:w="1440" w:type="dxa"/>
            <w:noWrap w:val="0"/>
            <w:vAlign w:val="center"/>
          </w:tcPr>
          <w:p w14:paraId="482A1E01">
            <w:pPr>
              <w:spacing w:line="240" w:lineRule="auto"/>
              <w:rPr>
                <w:rFonts w:ascii="宋体" w:hAnsi="宋体"/>
                <w:color w:val="auto"/>
                <w:sz w:val="24"/>
                <w:szCs w:val="24"/>
              </w:rPr>
            </w:pPr>
          </w:p>
        </w:tc>
        <w:tc>
          <w:tcPr>
            <w:tcW w:w="900" w:type="dxa"/>
            <w:noWrap w:val="0"/>
            <w:vAlign w:val="center"/>
          </w:tcPr>
          <w:p w14:paraId="71EC934E">
            <w:pPr>
              <w:spacing w:line="240" w:lineRule="auto"/>
              <w:rPr>
                <w:rFonts w:ascii="宋体" w:hAnsi="宋体"/>
                <w:color w:val="auto"/>
                <w:sz w:val="24"/>
                <w:szCs w:val="24"/>
              </w:rPr>
            </w:pPr>
          </w:p>
        </w:tc>
      </w:tr>
      <w:tr w14:paraId="57B5C13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567" w:hRule="atLeast"/>
          <w:jc w:val="center"/>
        </w:trPr>
        <w:tc>
          <w:tcPr>
            <w:tcW w:w="628" w:type="dxa"/>
            <w:noWrap w:val="0"/>
            <w:vAlign w:val="center"/>
          </w:tcPr>
          <w:p w14:paraId="4E93E40A">
            <w:pPr>
              <w:spacing w:line="240" w:lineRule="auto"/>
              <w:rPr>
                <w:rFonts w:ascii="宋体" w:hAnsi="宋体"/>
                <w:color w:val="auto"/>
                <w:sz w:val="24"/>
                <w:szCs w:val="24"/>
              </w:rPr>
            </w:pPr>
          </w:p>
        </w:tc>
        <w:tc>
          <w:tcPr>
            <w:tcW w:w="1920" w:type="dxa"/>
            <w:noWrap w:val="0"/>
            <w:vAlign w:val="center"/>
          </w:tcPr>
          <w:p w14:paraId="27238F86">
            <w:pPr>
              <w:spacing w:line="240" w:lineRule="auto"/>
              <w:rPr>
                <w:rFonts w:ascii="宋体" w:hAnsi="宋体"/>
                <w:color w:val="auto"/>
                <w:sz w:val="24"/>
                <w:szCs w:val="24"/>
              </w:rPr>
            </w:pPr>
          </w:p>
        </w:tc>
        <w:tc>
          <w:tcPr>
            <w:tcW w:w="2160" w:type="dxa"/>
            <w:noWrap w:val="0"/>
            <w:vAlign w:val="center"/>
          </w:tcPr>
          <w:p w14:paraId="7A5E71DC">
            <w:pPr>
              <w:spacing w:line="240" w:lineRule="auto"/>
              <w:rPr>
                <w:rFonts w:ascii="宋体" w:hAnsi="宋体"/>
                <w:color w:val="auto"/>
                <w:sz w:val="24"/>
                <w:szCs w:val="24"/>
              </w:rPr>
            </w:pPr>
          </w:p>
        </w:tc>
        <w:tc>
          <w:tcPr>
            <w:tcW w:w="1800" w:type="dxa"/>
            <w:noWrap w:val="0"/>
            <w:vAlign w:val="center"/>
          </w:tcPr>
          <w:p w14:paraId="54EB0D63">
            <w:pPr>
              <w:spacing w:line="240" w:lineRule="auto"/>
              <w:rPr>
                <w:rFonts w:ascii="宋体" w:hAnsi="宋体"/>
                <w:color w:val="auto"/>
                <w:sz w:val="24"/>
                <w:szCs w:val="24"/>
              </w:rPr>
            </w:pPr>
          </w:p>
        </w:tc>
        <w:tc>
          <w:tcPr>
            <w:tcW w:w="1440" w:type="dxa"/>
            <w:noWrap w:val="0"/>
            <w:vAlign w:val="center"/>
          </w:tcPr>
          <w:p w14:paraId="70436E0B">
            <w:pPr>
              <w:spacing w:line="240" w:lineRule="auto"/>
              <w:rPr>
                <w:rFonts w:ascii="宋体" w:hAnsi="宋体"/>
                <w:color w:val="auto"/>
                <w:sz w:val="24"/>
                <w:szCs w:val="24"/>
              </w:rPr>
            </w:pPr>
          </w:p>
        </w:tc>
        <w:tc>
          <w:tcPr>
            <w:tcW w:w="900" w:type="dxa"/>
            <w:noWrap w:val="0"/>
            <w:vAlign w:val="center"/>
          </w:tcPr>
          <w:p w14:paraId="4563095D">
            <w:pPr>
              <w:spacing w:line="240" w:lineRule="auto"/>
              <w:rPr>
                <w:rFonts w:ascii="宋体" w:hAnsi="宋体"/>
                <w:color w:val="auto"/>
                <w:sz w:val="24"/>
                <w:szCs w:val="24"/>
              </w:rPr>
            </w:pPr>
          </w:p>
        </w:tc>
      </w:tr>
    </w:tbl>
    <w:p w14:paraId="75B2BB79">
      <w:pPr>
        <w:spacing w:after="240"/>
        <w:ind w:hanging="119"/>
        <w:rPr>
          <w:color w:val="auto"/>
        </w:rPr>
      </w:pPr>
    </w:p>
    <w:p w14:paraId="189E8EF1">
      <w:pPr>
        <w:spacing w:beforeLines="50" w:line="440" w:lineRule="exact"/>
        <w:ind w:left="-103" w:leftChars="-49" w:firstLine="15"/>
        <w:rPr>
          <w:rFonts w:hint="eastAsia" w:eastAsia="宋体"/>
          <w:color w:val="auto"/>
          <w:lang w:eastAsia="zh-CN"/>
        </w:rPr>
      </w:pPr>
      <w:r>
        <w:rPr>
          <w:rFonts w:hint="eastAsia"/>
          <w:color w:val="auto"/>
        </w:rPr>
        <w:t>投标人</w:t>
      </w:r>
      <w:r>
        <w:rPr>
          <w:rFonts w:hint="eastAsia"/>
          <w:color w:val="auto"/>
          <w:lang w:eastAsia="zh-CN"/>
        </w:rPr>
        <w:t>:(</w:t>
      </w:r>
      <w:r>
        <w:rPr>
          <w:rFonts w:hint="eastAsia"/>
          <w:color w:val="auto"/>
        </w:rPr>
        <w:t>公章</w:t>
      </w:r>
      <w:r>
        <w:rPr>
          <w:rFonts w:hint="eastAsia"/>
          <w:color w:val="auto"/>
          <w:lang w:eastAsia="zh-CN"/>
        </w:rPr>
        <w:t>)</w:t>
      </w:r>
    </w:p>
    <w:p w14:paraId="0827A1CB">
      <w:pPr>
        <w:spacing w:beforeLines="50" w:line="440" w:lineRule="exact"/>
        <w:ind w:left="-103" w:leftChars="-49"/>
        <w:rPr>
          <w:rFonts w:hint="eastAsia" w:eastAsia="宋体"/>
          <w:color w:val="auto"/>
          <w:lang w:eastAsia="zh-CN"/>
        </w:rPr>
      </w:pPr>
      <w:r>
        <w:rPr>
          <w:color w:val="auto"/>
        </w:rPr>
        <w:t>法定代表人或其</w:t>
      </w:r>
      <w:r>
        <w:rPr>
          <w:rFonts w:hint="eastAsia" w:ascii="宋体"/>
          <w:color w:val="auto"/>
          <w:szCs w:val="21"/>
        </w:rPr>
        <w:t>委托代理人</w:t>
      </w:r>
      <w:r>
        <w:rPr>
          <w:rFonts w:hint="eastAsia"/>
          <w:color w:val="auto"/>
          <w:lang w:eastAsia="zh-CN"/>
        </w:rPr>
        <w:t>:(</w:t>
      </w:r>
      <w:r>
        <w:rPr>
          <w:rFonts w:hint="eastAsia"/>
          <w:color w:val="auto"/>
        </w:rPr>
        <w:t>签字或加盖人名章</w:t>
      </w:r>
      <w:r>
        <w:rPr>
          <w:rFonts w:hint="eastAsia"/>
          <w:color w:val="auto"/>
          <w:lang w:eastAsia="zh-CN"/>
        </w:rPr>
        <w:t>)</w:t>
      </w:r>
    </w:p>
    <w:p w14:paraId="15F026CE">
      <w:pPr>
        <w:spacing w:beforeLines="50" w:line="440" w:lineRule="exact"/>
        <w:ind w:left="-103" w:leftChars="-49"/>
        <w:rPr>
          <w:rFonts w:hint="eastAsia" w:eastAsia="宋体"/>
          <w:color w:val="auto"/>
          <w:lang w:eastAsia="zh-CN"/>
        </w:rPr>
      </w:pPr>
      <w:r>
        <w:rPr>
          <w:color w:val="auto"/>
        </w:rPr>
        <w:t>日期</w:t>
      </w:r>
      <w:r>
        <w:rPr>
          <w:rFonts w:hint="eastAsia"/>
          <w:color w:val="auto"/>
          <w:lang w:eastAsia="zh-CN"/>
        </w:rPr>
        <w:t>:</w:t>
      </w:r>
    </w:p>
    <w:p w14:paraId="6461EFC1">
      <w:pPr>
        <w:rPr>
          <w:color w:val="auto"/>
        </w:rPr>
      </w:pPr>
    </w:p>
    <w:p w14:paraId="636ACF7F">
      <w:pPr>
        <w:snapToGrid w:val="0"/>
        <w:spacing w:afterLines="50"/>
        <w:ind w:left="850" w:leftChars="203" w:hanging="424" w:hangingChars="202"/>
        <w:rPr>
          <w:rFonts w:ascii="宋体" w:hAnsi="宋体"/>
          <w:color w:val="auto"/>
        </w:rPr>
      </w:pPr>
      <w:r>
        <w:rPr>
          <w:rFonts w:ascii="宋体" w:hAnsi="宋体"/>
          <w:color w:val="auto"/>
        </w:rPr>
        <w:t>注</w:t>
      </w:r>
      <w:r>
        <w:rPr>
          <w:rFonts w:hint="eastAsia" w:ascii="宋体" w:hAnsi="宋体"/>
          <w:color w:val="auto"/>
          <w:lang w:eastAsia="zh-CN"/>
        </w:rPr>
        <w:t>:</w:t>
      </w:r>
      <w:r>
        <w:rPr>
          <w:rFonts w:hint="eastAsia" w:ascii="宋体" w:hAnsi="宋体"/>
          <w:color w:val="auto"/>
        </w:rPr>
        <w:t>投标人递交的投标文件中与招标文件的</w:t>
      </w:r>
      <w:r>
        <w:rPr>
          <w:rFonts w:hint="eastAsia" w:ascii="宋体" w:hAnsi="宋体"/>
          <w:color w:val="auto"/>
          <w:lang w:val="en-US" w:eastAsia="zh-CN"/>
        </w:rPr>
        <w:t>商务</w:t>
      </w:r>
      <w:r>
        <w:rPr>
          <w:rFonts w:hint="eastAsia" w:ascii="宋体" w:hAnsi="宋体"/>
          <w:color w:val="auto"/>
        </w:rPr>
        <w:t>部分的要求有不同时，应逐条列在</w:t>
      </w:r>
      <w:r>
        <w:rPr>
          <w:rFonts w:hint="eastAsia" w:ascii="宋体" w:hAnsi="宋体"/>
          <w:color w:val="auto"/>
          <w:lang w:val="en-US" w:eastAsia="zh-CN"/>
        </w:rPr>
        <w:t>商务</w:t>
      </w:r>
      <w:r>
        <w:rPr>
          <w:rFonts w:hint="eastAsia" w:ascii="宋体" w:hAnsi="宋体"/>
          <w:color w:val="auto"/>
        </w:rPr>
        <w:t>偏差表中，否则将认为投标人接受招标文件的要求。</w:t>
      </w:r>
    </w:p>
    <w:p w14:paraId="74429211">
      <w:pPr>
        <w:outlineLvl w:val="9"/>
        <w:rPr>
          <w:rFonts w:ascii="宋体" w:hAnsi="宋体" w:cs="宋体"/>
          <w:b/>
          <w:color w:val="auto"/>
          <w:sz w:val="24"/>
        </w:rPr>
      </w:pPr>
      <w:r>
        <w:rPr>
          <w:rFonts w:hint="eastAsia" w:ascii="宋体" w:hAnsi="宋体" w:cs="宋体"/>
          <w:b/>
          <w:color w:val="auto"/>
          <w:sz w:val="24"/>
        </w:rPr>
        <w:br w:type="page"/>
      </w:r>
    </w:p>
    <w:p w14:paraId="54B97B02">
      <w:pPr>
        <w:spacing w:line="360" w:lineRule="auto"/>
        <w:outlineLvl w:val="1"/>
        <w:rPr>
          <w:b/>
          <w:color w:val="auto"/>
          <w:sz w:val="24"/>
        </w:rPr>
      </w:pPr>
      <w:bookmarkStart w:id="1421" w:name="_Toc9364"/>
      <w:bookmarkStart w:id="1422" w:name="_Toc29177"/>
      <w:bookmarkStart w:id="1423" w:name="_Toc18481"/>
      <w:r>
        <w:rPr>
          <w:rFonts w:hint="eastAsia"/>
          <w:b/>
          <w:color w:val="auto"/>
          <w:sz w:val="24"/>
        </w:rPr>
        <w:t>附件8</w:t>
      </w:r>
      <w:r>
        <w:rPr>
          <w:rFonts w:hint="eastAsia" w:ascii="宋体" w:hAnsi="宋体" w:eastAsia="宋体" w:cs="宋体"/>
          <w:b/>
          <w:color w:val="auto"/>
          <w:sz w:val="24"/>
        </w:rPr>
        <w:t xml:space="preserve"> </w:t>
      </w:r>
      <w:r>
        <w:rPr>
          <w:b/>
          <w:color w:val="auto"/>
          <w:sz w:val="24"/>
        </w:rPr>
        <w:t>投标人基本情况表</w:t>
      </w:r>
      <w:bookmarkEnd w:id="1421"/>
      <w:bookmarkEnd w:id="1422"/>
      <w:bookmarkEnd w:id="1423"/>
    </w:p>
    <w:p w14:paraId="1DFD538A">
      <w:pPr>
        <w:rPr>
          <w:color w:val="auto"/>
        </w:rPr>
      </w:pPr>
    </w:p>
    <w:p w14:paraId="7A925B05">
      <w:pPr>
        <w:spacing w:line="440" w:lineRule="exact"/>
        <w:ind w:firstLine="420" w:firstLineChars="200"/>
        <w:rPr>
          <w:color w:val="auto"/>
        </w:rPr>
      </w:pP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3"/>
        <w:gridCol w:w="3305"/>
        <w:gridCol w:w="160"/>
        <w:gridCol w:w="1417"/>
        <w:gridCol w:w="226"/>
        <w:gridCol w:w="2705"/>
      </w:tblGrid>
      <w:tr w14:paraId="6C43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72416F4D">
            <w:pPr>
              <w:rPr>
                <w:rFonts w:hint="eastAsia" w:ascii="宋体" w:hAnsi="宋体" w:eastAsia="宋体" w:cs="宋体"/>
                <w:color w:val="auto"/>
                <w:sz w:val="24"/>
              </w:rPr>
            </w:pPr>
            <w:r>
              <w:rPr>
                <w:rFonts w:hint="eastAsia" w:ascii="宋体" w:hAnsi="宋体" w:eastAsia="宋体" w:cs="宋体"/>
                <w:color w:val="auto"/>
                <w:sz w:val="24"/>
              </w:rPr>
              <w:t>企业名称</w:t>
            </w:r>
          </w:p>
        </w:tc>
        <w:tc>
          <w:tcPr>
            <w:tcW w:w="3027" w:type="dxa"/>
            <w:gridSpan w:val="2"/>
            <w:vAlign w:val="center"/>
          </w:tcPr>
          <w:p w14:paraId="7B76F462">
            <w:pPr>
              <w:rPr>
                <w:rFonts w:hint="eastAsia" w:ascii="宋体" w:hAnsi="宋体" w:eastAsia="宋体" w:cs="宋体"/>
                <w:color w:val="auto"/>
                <w:sz w:val="24"/>
              </w:rPr>
            </w:pPr>
          </w:p>
        </w:tc>
        <w:tc>
          <w:tcPr>
            <w:tcW w:w="1435" w:type="dxa"/>
            <w:gridSpan w:val="2"/>
            <w:vAlign w:val="center"/>
          </w:tcPr>
          <w:p w14:paraId="11AD4B1A">
            <w:pPr>
              <w:rPr>
                <w:rFonts w:hint="eastAsia" w:ascii="宋体" w:hAnsi="宋体" w:eastAsia="宋体" w:cs="宋体"/>
                <w:color w:val="auto"/>
                <w:sz w:val="24"/>
              </w:rPr>
            </w:pPr>
            <w:r>
              <w:rPr>
                <w:rFonts w:hint="eastAsia" w:ascii="宋体" w:hAnsi="宋体" w:eastAsia="宋体" w:cs="宋体"/>
                <w:color w:val="auto"/>
                <w:sz w:val="24"/>
              </w:rPr>
              <w:t>成立日期</w:t>
            </w:r>
          </w:p>
        </w:tc>
        <w:tc>
          <w:tcPr>
            <w:tcW w:w="2363" w:type="dxa"/>
            <w:vAlign w:val="center"/>
          </w:tcPr>
          <w:p w14:paraId="3A2EBC0D">
            <w:pPr>
              <w:rPr>
                <w:rFonts w:hint="eastAsia" w:ascii="宋体" w:hAnsi="宋体" w:eastAsia="宋体" w:cs="宋体"/>
                <w:color w:val="auto"/>
                <w:sz w:val="24"/>
              </w:rPr>
            </w:pPr>
          </w:p>
        </w:tc>
      </w:tr>
      <w:tr w14:paraId="7CC7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24" w:type="dxa"/>
            <w:gridSpan w:val="3"/>
            <w:vAlign w:val="center"/>
          </w:tcPr>
          <w:p w14:paraId="619F62C1">
            <w:pPr>
              <w:rPr>
                <w:rFonts w:hint="eastAsia" w:ascii="宋体" w:hAnsi="宋体" w:eastAsia="宋体" w:cs="宋体"/>
                <w:color w:val="auto"/>
                <w:sz w:val="24"/>
              </w:rPr>
            </w:pPr>
            <w:r>
              <w:rPr>
                <w:rFonts w:hint="eastAsia" w:ascii="宋体" w:hAnsi="宋体" w:eastAsia="宋体" w:cs="宋体"/>
                <w:color w:val="auto"/>
                <w:sz w:val="24"/>
              </w:rPr>
              <w:t>企业法人</w:t>
            </w:r>
            <w:r>
              <w:rPr>
                <w:rFonts w:hint="eastAsia" w:ascii="宋体" w:hAnsi="宋体" w:eastAsia="宋体" w:cs="宋体"/>
                <w:color w:val="auto"/>
                <w:sz w:val="24"/>
                <w:szCs w:val="24"/>
                <w:lang w:val="en-US" w:eastAsia="zh-CN"/>
              </w:rPr>
              <w:t>统一社会信用代码</w:t>
            </w:r>
          </w:p>
        </w:tc>
        <w:tc>
          <w:tcPr>
            <w:tcW w:w="3798" w:type="dxa"/>
            <w:gridSpan w:val="3"/>
            <w:vAlign w:val="center"/>
          </w:tcPr>
          <w:p w14:paraId="45FE5738">
            <w:pPr>
              <w:rPr>
                <w:rFonts w:hint="eastAsia" w:ascii="宋体" w:hAnsi="宋体" w:eastAsia="宋体" w:cs="宋体"/>
                <w:color w:val="auto"/>
                <w:sz w:val="24"/>
              </w:rPr>
            </w:pPr>
          </w:p>
        </w:tc>
      </w:tr>
      <w:tr w14:paraId="138F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724" w:type="dxa"/>
            <w:gridSpan w:val="3"/>
            <w:vAlign w:val="center"/>
          </w:tcPr>
          <w:p w14:paraId="6D3AB626">
            <w:pPr>
              <w:rPr>
                <w:rFonts w:hint="eastAsia" w:ascii="宋体" w:hAnsi="宋体" w:eastAsia="宋体" w:cs="宋体"/>
                <w:color w:val="auto"/>
                <w:sz w:val="24"/>
              </w:rPr>
            </w:pPr>
            <w:r>
              <w:rPr>
                <w:rFonts w:hint="eastAsia" w:ascii="宋体" w:hAnsi="宋体" w:eastAsia="宋体" w:cs="宋体"/>
                <w:color w:val="auto"/>
                <w:sz w:val="24"/>
              </w:rPr>
              <w:t>批准登记机关</w:t>
            </w:r>
          </w:p>
        </w:tc>
        <w:tc>
          <w:tcPr>
            <w:tcW w:w="3798" w:type="dxa"/>
            <w:gridSpan w:val="3"/>
            <w:vAlign w:val="center"/>
          </w:tcPr>
          <w:p w14:paraId="0F77EA29">
            <w:pPr>
              <w:rPr>
                <w:rFonts w:hint="eastAsia" w:ascii="宋体" w:hAnsi="宋体" w:eastAsia="宋体" w:cs="宋体"/>
                <w:color w:val="auto"/>
                <w:sz w:val="24"/>
              </w:rPr>
            </w:pPr>
          </w:p>
        </w:tc>
      </w:tr>
      <w:tr w14:paraId="10F3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19E135BA">
            <w:pPr>
              <w:rPr>
                <w:rFonts w:hint="eastAsia" w:ascii="宋体" w:hAnsi="宋体" w:eastAsia="宋体" w:cs="宋体"/>
                <w:color w:val="auto"/>
                <w:sz w:val="24"/>
              </w:rPr>
            </w:pPr>
            <w:r>
              <w:rPr>
                <w:rFonts w:hint="eastAsia" w:ascii="宋体" w:hAnsi="宋体" w:eastAsia="宋体" w:cs="宋体"/>
                <w:color w:val="auto"/>
                <w:sz w:val="24"/>
              </w:rPr>
              <w:t>注册资本</w:t>
            </w:r>
          </w:p>
        </w:tc>
        <w:tc>
          <w:tcPr>
            <w:tcW w:w="3027" w:type="dxa"/>
            <w:gridSpan w:val="2"/>
            <w:vAlign w:val="center"/>
          </w:tcPr>
          <w:p w14:paraId="6ECA4E79">
            <w:pPr>
              <w:rPr>
                <w:rFonts w:hint="eastAsia" w:ascii="宋体" w:hAnsi="宋体" w:eastAsia="宋体" w:cs="宋体"/>
                <w:color w:val="auto"/>
                <w:sz w:val="24"/>
              </w:rPr>
            </w:pPr>
          </w:p>
        </w:tc>
        <w:tc>
          <w:tcPr>
            <w:tcW w:w="1435" w:type="dxa"/>
            <w:gridSpan w:val="2"/>
            <w:vAlign w:val="center"/>
          </w:tcPr>
          <w:p w14:paraId="36749856">
            <w:pPr>
              <w:rPr>
                <w:rFonts w:hint="eastAsia" w:ascii="宋体" w:hAnsi="宋体" w:eastAsia="宋体" w:cs="宋体"/>
                <w:color w:val="auto"/>
                <w:sz w:val="24"/>
              </w:rPr>
            </w:pPr>
            <w:r>
              <w:rPr>
                <w:rFonts w:hint="eastAsia" w:ascii="宋体" w:hAnsi="宋体" w:eastAsia="宋体" w:cs="宋体"/>
                <w:color w:val="auto"/>
                <w:sz w:val="24"/>
              </w:rPr>
              <w:t>企业类型</w:t>
            </w:r>
          </w:p>
        </w:tc>
        <w:tc>
          <w:tcPr>
            <w:tcW w:w="2363" w:type="dxa"/>
            <w:vAlign w:val="center"/>
          </w:tcPr>
          <w:p w14:paraId="42FA99DB">
            <w:pPr>
              <w:rPr>
                <w:rFonts w:hint="eastAsia" w:ascii="宋体" w:hAnsi="宋体" w:eastAsia="宋体" w:cs="宋体"/>
                <w:color w:val="auto"/>
                <w:sz w:val="24"/>
              </w:rPr>
            </w:pPr>
          </w:p>
        </w:tc>
      </w:tr>
      <w:tr w14:paraId="4C04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6CE742C4">
            <w:pPr>
              <w:rPr>
                <w:rFonts w:hint="eastAsia" w:ascii="宋体" w:hAnsi="宋体" w:eastAsia="宋体" w:cs="宋体"/>
                <w:color w:val="auto"/>
                <w:sz w:val="24"/>
              </w:rPr>
            </w:pPr>
            <w:r>
              <w:rPr>
                <w:rFonts w:hint="eastAsia" w:ascii="宋体" w:hAnsi="宋体" w:eastAsia="宋体" w:cs="宋体"/>
                <w:color w:val="auto"/>
                <w:sz w:val="24"/>
              </w:rPr>
              <w:t>法定代表人</w:t>
            </w:r>
          </w:p>
        </w:tc>
        <w:tc>
          <w:tcPr>
            <w:tcW w:w="3027" w:type="dxa"/>
            <w:gridSpan w:val="2"/>
            <w:vAlign w:val="center"/>
          </w:tcPr>
          <w:p w14:paraId="2F05CF80">
            <w:pPr>
              <w:rPr>
                <w:rFonts w:hint="eastAsia" w:ascii="宋体" w:hAnsi="宋体" w:eastAsia="宋体" w:cs="宋体"/>
                <w:color w:val="auto"/>
                <w:sz w:val="24"/>
              </w:rPr>
            </w:pPr>
          </w:p>
        </w:tc>
        <w:tc>
          <w:tcPr>
            <w:tcW w:w="1435" w:type="dxa"/>
            <w:gridSpan w:val="2"/>
            <w:vAlign w:val="center"/>
          </w:tcPr>
          <w:p w14:paraId="749A6FCD">
            <w:pPr>
              <w:rPr>
                <w:rFonts w:hint="eastAsia" w:ascii="宋体" w:hAnsi="宋体" w:eastAsia="宋体" w:cs="宋体"/>
                <w:color w:val="auto"/>
                <w:sz w:val="24"/>
              </w:rPr>
            </w:pPr>
            <w:r>
              <w:rPr>
                <w:rFonts w:hint="eastAsia" w:ascii="宋体" w:hAnsi="宋体" w:eastAsia="宋体" w:cs="宋体"/>
                <w:color w:val="auto"/>
                <w:sz w:val="24"/>
              </w:rPr>
              <w:t>营业期限</w:t>
            </w:r>
          </w:p>
        </w:tc>
        <w:tc>
          <w:tcPr>
            <w:tcW w:w="2363" w:type="dxa"/>
            <w:vAlign w:val="center"/>
          </w:tcPr>
          <w:p w14:paraId="3E7BDF25">
            <w:pPr>
              <w:rPr>
                <w:rFonts w:hint="eastAsia" w:ascii="宋体" w:hAnsi="宋体" w:eastAsia="宋体" w:cs="宋体"/>
                <w:color w:val="auto"/>
                <w:sz w:val="24"/>
              </w:rPr>
            </w:pPr>
          </w:p>
        </w:tc>
      </w:tr>
      <w:tr w14:paraId="5887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456944AE">
            <w:pPr>
              <w:rPr>
                <w:rFonts w:hint="eastAsia" w:ascii="宋体" w:hAnsi="宋体" w:eastAsia="宋体" w:cs="宋体"/>
                <w:color w:val="auto"/>
                <w:sz w:val="24"/>
              </w:rPr>
            </w:pPr>
            <w:r>
              <w:rPr>
                <w:rFonts w:hint="eastAsia" w:ascii="宋体" w:hAnsi="宋体" w:eastAsia="宋体" w:cs="宋体"/>
                <w:color w:val="auto"/>
                <w:sz w:val="24"/>
              </w:rPr>
              <w:t>资质类型</w:t>
            </w:r>
          </w:p>
        </w:tc>
        <w:tc>
          <w:tcPr>
            <w:tcW w:w="3027" w:type="dxa"/>
            <w:gridSpan w:val="2"/>
            <w:vAlign w:val="center"/>
          </w:tcPr>
          <w:p w14:paraId="6A0A8841">
            <w:pPr>
              <w:rPr>
                <w:rFonts w:hint="eastAsia" w:ascii="宋体" w:hAnsi="宋体" w:eastAsia="宋体" w:cs="宋体"/>
                <w:color w:val="auto"/>
                <w:sz w:val="24"/>
              </w:rPr>
            </w:pPr>
          </w:p>
        </w:tc>
        <w:tc>
          <w:tcPr>
            <w:tcW w:w="1435" w:type="dxa"/>
            <w:gridSpan w:val="2"/>
            <w:vAlign w:val="center"/>
          </w:tcPr>
          <w:p w14:paraId="01E26B93">
            <w:pPr>
              <w:rPr>
                <w:rFonts w:hint="eastAsia" w:ascii="宋体" w:hAnsi="宋体" w:eastAsia="宋体" w:cs="宋体"/>
                <w:color w:val="auto"/>
                <w:sz w:val="24"/>
              </w:rPr>
            </w:pPr>
            <w:r>
              <w:rPr>
                <w:rFonts w:hint="eastAsia" w:ascii="宋体" w:hAnsi="宋体" w:eastAsia="宋体" w:cs="宋体"/>
                <w:color w:val="auto"/>
                <w:sz w:val="24"/>
              </w:rPr>
              <w:t>资质等级</w:t>
            </w:r>
          </w:p>
        </w:tc>
        <w:tc>
          <w:tcPr>
            <w:tcW w:w="2363" w:type="dxa"/>
            <w:vAlign w:val="center"/>
          </w:tcPr>
          <w:p w14:paraId="65444301">
            <w:pPr>
              <w:rPr>
                <w:rFonts w:hint="eastAsia" w:ascii="宋体" w:hAnsi="宋体" w:eastAsia="宋体" w:cs="宋体"/>
                <w:color w:val="auto"/>
                <w:sz w:val="24"/>
              </w:rPr>
            </w:pPr>
          </w:p>
        </w:tc>
      </w:tr>
      <w:tr w14:paraId="60DB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5CBB8DF8">
            <w:pPr>
              <w:rPr>
                <w:rFonts w:hint="eastAsia" w:ascii="宋体" w:hAnsi="宋体" w:eastAsia="宋体" w:cs="宋体"/>
                <w:color w:val="auto"/>
                <w:sz w:val="24"/>
              </w:rPr>
            </w:pPr>
            <w:r>
              <w:rPr>
                <w:rFonts w:hint="eastAsia" w:ascii="宋体" w:hAnsi="宋体" w:eastAsia="宋体" w:cs="宋体"/>
                <w:color w:val="auto"/>
                <w:sz w:val="24"/>
              </w:rPr>
              <w:t>主营业务</w:t>
            </w:r>
          </w:p>
        </w:tc>
        <w:tc>
          <w:tcPr>
            <w:tcW w:w="6825" w:type="dxa"/>
            <w:gridSpan w:val="5"/>
            <w:vAlign w:val="center"/>
          </w:tcPr>
          <w:p w14:paraId="04DAC760">
            <w:pPr>
              <w:rPr>
                <w:rFonts w:hint="eastAsia" w:ascii="宋体" w:hAnsi="宋体" w:eastAsia="宋体" w:cs="宋体"/>
                <w:color w:val="auto"/>
                <w:sz w:val="24"/>
              </w:rPr>
            </w:pPr>
          </w:p>
        </w:tc>
      </w:tr>
      <w:tr w14:paraId="77F29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01A524A8">
            <w:pPr>
              <w:rPr>
                <w:rFonts w:hint="eastAsia" w:ascii="宋体" w:hAnsi="宋体" w:eastAsia="宋体" w:cs="宋体"/>
                <w:color w:val="auto"/>
                <w:sz w:val="24"/>
              </w:rPr>
            </w:pPr>
            <w:r>
              <w:rPr>
                <w:rFonts w:hint="eastAsia" w:ascii="宋体" w:hAnsi="宋体" w:eastAsia="宋体" w:cs="宋体"/>
                <w:color w:val="auto"/>
                <w:sz w:val="24"/>
              </w:rPr>
              <w:t>地  址</w:t>
            </w:r>
          </w:p>
        </w:tc>
        <w:tc>
          <w:tcPr>
            <w:tcW w:w="6825" w:type="dxa"/>
            <w:gridSpan w:val="5"/>
            <w:vAlign w:val="center"/>
          </w:tcPr>
          <w:p w14:paraId="2C4B8A11">
            <w:pPr>
              <w:rPr>
                <w:rFonts w:hint="eastAsia" w:ascii="宋体" w:hAnsi="宋体" w:eastAsia="宋体" w:cs="宋体"/>
                <w:color w:val="auto"/>
                <w:sz w:val="24"/>
              </w:rPr>
            </w:pPr>
          </w:p>
        </w:tc>
      </w:tr>
      <w:tr w14:paraId="0846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242DF0C8">
            <w:pPr>
              <w:rPr>
                <w:rFonts w:hint="eastAsia" w:ascii="宋体" w:hAnsi="宋体" w:eastAsia="宋体" w:cs="宋体"/>
                <w:color w:val="auto"/>
                <w:sz w:val="24"/>
              </w:rPr>
            </w:pPr>
            <w:r>
              <w:rPr>
                <w:rFonts w:hint="eastAsia" w:ascii="宋体" w:hAnsi="宋体" w:eastAsia="宋体" w:cs="宋体"/>
                <w:color w:val="auto"/>
                <w:sz w:val="24"/>
              </w:rPr>
              <w:t>开户银行</w:t>
            </w:r>
          </w:p>
        </w:tc>
        <w:tc>
          <w:tcPr>
            <w:tcW w:w="6825" w:type="dxa"/>
            <w:gridSpan w:val="5"/>
            <w:vAlign w:val="center"/>
          </w:tcPr>
          <w:p w14:paraId="6466ADCB">
            <w:pPr>
              <w:rPr>
                <w:rFonts w:hint="eastAsia" w:ascii="宋体" w:hAnsi="宋体" w:eastAsia="宋体" w:cs="宋体"/>
                <w:color w:val="auto"/>
                <w:sz w:val="24"/>
              </w:rPr>
            </w:pPr>
          </w:p>
        </w:tc>
      </w:tr>
      <w:tr w14:paraId="5039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458EE73A">
            <w:pPr>
              <w:rPr>
                <w:rFonts w:hint="eastAsia" w:ascii="宋体" w:hAnsi="宋体" w:eastAsia="宋体" w:cs="宋体"/>
                <w:color w:val="auto"/>
                <w:sz w:val="24"/>
              </w:rPr>
            </w:pPr>
            <w:r>
              <w:rPr>
                <w:rFonts w:hint="eastAsia" w:ascii="宋体" w:hAnsi="宋体" w:eastAsia="宋体" w:cs="宋体"/>
                <w:color w:val="auto"/>
                <w:sz w:val="24"/>
              </w:rPr>
              <w:t>开户行号</w:t>
            </w:r>
          </w:p>
          <w:p w14:paraId="385326A3">
            <w:pPr>
              <w:rPr>
                <w:rFonts w:hint="eastAsia" w:ascii="宋体" w:hAnsi="宋体" w:eastAsia="宋体" w:cs="宋体"/>
                <w:color w:val="auto"/>
                <w:sz w:val="24"/>
                <w:lang w:eastAsia="zh-CN"/>
              </w:rPr>
            </w:pPr>
            <w:r>
              <w:rPr>
                <w:rFonts w:hint="eastAsia" w:ascii="宋体" w:hAnsi="宋体" w:cs="宋体"/>
                <w:color w:val="auto"/>
                <w:sz w:val="24"/>
                <w:lang w:eastAsia="zh-CN"/>
              </w:rPr>
              <w:t>(</w:t>
            </w:r>
            <w:r>
              <w:rPr>
                <w:rFonts w:hint="eastAsia" w:ascii="宋体" w:hAnsi="宋体" w:eastAsia="宋体" w:cs="宋体"/>
                <w:color w:val="auto"/>
                <w:sz w:val="24"/>
              </w:rPr>
              <w:t>如有</w:t>
            </w:r>
            <w:r>
              <w:rPr>
                <w:rFonts w:hint="eastAsia" w:ascii="宋体" w:hAnsi="宋体" w:cs="宋体"/>
                <w:color w:val="auto"/>
                <w:sz w:val="24"/>
                <w:lang w:eastAsia="zh-CN"/>
              </w:rPr>
              <w:t>)</w:t>
            </w:r>
          </w:p>
        </w:tc>
        <w:tc>
          <w:tcPr>
            <w:tcW w:w="6825" w:type="dxa"/>
            <w:gridSpan w:val="5"/>
            <w:vAlign w:val="center"/>
          </w:tcPr>
          <w:p w14:paraId="24560FD7">
            <w:pPr>
              <w:rPr>
                <w:rFonts w:hint="eastAsia" w:ascii="宋体" w:hAnsi="宋体" w:eastAsia="宋体" w:cs="宋体"/>
                <w:color w:val="auto"/>
                <w:sz w:val="24"/>
              </w:rPr>
            </w:pPr>
          </w:p>
        </w:tc>
      </w:tr>
      <w:tr w14:paraId="006D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7D7A65FD">
            <w:pPr>
              <w:rPr>
                <w:rFonts w:hint="eastAsia" w:ascii="宋体" w:hAnsi="宋体" w:eastAsia="宋体" w:cs="宋体"/>
                <w:color w:val="auto"/>
                <w:sz w:val="24"/>
              </w:rPr>
            </w:pPr>
            <w:r>
              <w:rPr>
                <w:rFonts w:hint="eastAsia" w:ascii="宋体" w:hAnsi="宋体" w:eastAsia="宋体" w:cs="宋体"/>
                <w:color w:val="auto"/>
                <w:sz w:val="24"/>
              </w:rPr>
              <w:t>银行账号</w:t>
            </w:r>
          </w:p>
        </w:tc>
        <w:tc>
          <w:tcPr>
            <w:tcW w:w="6825" w:type="dxa"/>
            <w:gridSpan w:val="5"/>
            <w:vAlign w:val="center"/>
          </w:tcPr>
          <w:p w14:paraId="00FCA1FA">
            <w:pPr>
              <w:rPr>
                <w:rFonts w:hint="eastAsia" w:ascii="宋体" w:hAnsi="宋体" w:eastAsia="宋体" w:cs="宋体"/>
                <w:color w:val="auto"/>
                <w:sz w:val="24"/>
              </w:rPr>
            </w:pPr>
          </w:p>
        </w:tc>
      </w:tr>
      <w:tr w14:paraId="6D5A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072C491B">
            <w:pPr>
              <w:rPr>
                <w:rFonts w:hint="eastAsia" w:ascii="宋体" w:hAnsi="宋体" w:eastAsia="宋体" w:cs="宋体"/>
                <w:color w:val="auto"/>
                <w:sz w:val="24"/>
              </w:rPr>
            </w:pPr>
            <w:r>
              <w:rPr>
                <w:rFonts w:hint="eastAsia" w:ascii="宋体" w:hAnsi="宋体" w:eastAsia="宋体" w:cs="宋体"/>
                <w:color w:val="auto"/>
                <w:sz w:val="24"/>
              </w:rPr>
              <w:t>电  话</w:t>
            </w:r>
          </w:p>
        </w:tc>
        <w:tc>
          <w:tcPr>
            <w:tcW w:w="2887" w:type="dxa"/>
            <w:vAlign w:val="center"/>
          </w:tcPr>
          <w:p w14:paraId="15BCEBA7">
            <w:pPr>
              <w:rPr>
                <w:rFonts w:hint="eastAsia" w:ascii="宋体" w:hAnsi="宋体" w:eastAsia="宋体" w:cs="宋体"/>
                <w:color w:val="auto"/>
                <w:sz w:val="24"/>
              </w:rPr>
            </w:pPr>
          </w:p>
        </w:tc>
        <w:tc>
          <w:tcPr>
            <w:tcW w:w="1378" w:type="dxa"/>
            <w:gridSpan w:val="2"/>
            <w:vAlign w:val="center"/>
          </w:tcPr>
          <w:p w14:paraId="2947973B">
            <w:pPr>
              <w:rPr>
                <w:rFonts w:hint="eastAsia" w:ascii="宋体" w:hAnsi="宋体" w:eastAsia="宋体" w:cs="宋体"/>
                <w:color w:val="auto"/>
                <w:sz w:val="24"/>
              </w:rPr>
            </w:pPr>
            <w:r>
              <w:rPr>
                <w:rFonts w:hint="eastAsia" w:ascii="宋体" w:hAnsi="宋体" w:eastAsia="宋体" w:cs="宋体"/>
                <w:color w:val="auto"/>
                <w:sz w:val="24"/>
              </w:rPr>
              <w:t>传  真</w:t>
            </w:r>
          </w:p>
        </w:tc>
        <w:tc>
          <w:tcPr>
            <w:tcW w:w="2560" w:type="dxa"/>
            <w:gridSpan w:val="2"/>
            <w:vAlign w:val="center"/>
          </w:tcPr>
          <w:p w14:paraId="20FCB1AE">
            <w:pPr>
              <w:rPr>
                <w:rFonts w:hint="eastAsia" w:ascii="宋体" w:hAnsi="宋体" w:eastAsia="宋体" w:cs="宋体"/>
                <w:color w:val="auto"/>
                <w:sz w:val="24"/>
              </w:rPr>
            </w:pPr>
          </w:p>
        </w:tc>
      </w:tr>
      <w:tr w14:paraId="7E2C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186883E9">
            <w:pPr>
              <w:rPr>
                <w:rFonts w:hint="eastAsia" w:ascii="宋体" w:hAnsi="宋体" w:eastAsia="宋体" w:cs="宋体"/>
                <w:color w:val="auto"/>
                <w:sz w:val="24"/>
              </w:rPr>
            </w:pPr>
            <w:r>
              <w:rPr>
                <w:rFonts w:hint="eastAsia" w:ascii="宋体" w:hAnsi="宋体" w:eastAsia="宋体" w:cs="宋体"/>
                <w:color w:val="auto"/>
                <w:sz w:val="24"/>
              </w:rPr>
              <w:t>邮  箱</w:t>
            </w:r>
          </w:p>
        </w:tc>
        <w:tc>
          <w:tcPr>
            <w:tcW w:w="2887" w:type="dxa"/>
            <w:vAlign w:val="center"/>
          </w:tcPr>
          <w:p w14:paraId="7495596A">
            <w:pPr>
              <w:rPr>
                <w:rFonts w:hint="eastAsia" w:ascii="宋体" w:hAnsi="宋体" w:eastAsia="宋体" w:cs="宋体"/>
                <w:color w:val="auto"/>
                <w:sz w:val="24"/>
              </w:rPr>
            </w:pPr>
          </w:p>
        </w:tc>
        <w:tc>
          <w:tcPr>
            <w:tcW w:w="1378" w:type="dxa"/>
            <w:gridSpan w:val="2"/>
            <w:vAlign w:val="center"/>
          </w:tcPr>
          <w:p w14:paraId="0C392BB7">
            <w:pPr>
              <w:rPr>
                <w:rFonts w:hint="eastAsia" w:ascii="宋体" w:hAnsi="宋体" w:eastAsia="宋体" w:cs="宋体"/>
                <w:color w:val="auto"/>
                <w:sz w:val="24"/>
              </w:rPr>
            </w:pPr>
            <w:r>
              <w:rPr>
                <w:rFonts w:hint="eastAsia" w:ascii="宋体" w:hAnsi="宋体" w:eastAsia="宋体" w:cs="宋体"/>
                <w:color w:val="auto"/>
                <w:sz w:val="24"/>
              </w:rPr>
              <w:t>邮  编</w:t>
            </w:r>
          </w:p>
        </w:tc>
        <w:tc>
          <w:tcPr>
            <w:tcW w:w="2560" w:type="dxa"/>
            <w:gridSpan w:val="2"/>
            <w:vAlign w:val="center"/>
          </w:tcPr>
          <w:p w14:paraId="120AD20A">
            <w:pPr>
              <w:rPr>
                <w:rFonts w:hint="eastAsia" w:ascii="宋体" w:hAnsi="宋体" w:eastAsia="宋体" w:cs="宋体"/>
                <w:color w:val="auto"/>
                <w:sz w:val="24"/>
              </w:rPr>
            </w:pPr>
          </w:p>
        </w:tc>
      </w:tr>
      <w:tr w14:paraId="3354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7" w:type="dxa"/>
            <w:vAlign w:val="center"/>
          </w:tcPr>
          <w:p w14:paraId="0B7602E8">
            <w:pPr>
              <w:rPr>
                <w:rFonts w:hint="eastAsia" w:ascii="宋体" w:hAnsi="宋体" w:eastAsia="宋体" w:cs="宋体"/>
                <w:color w:val="auto"/>
                <w:sz w:val="24"/>
              </w:rPr>
            </w:pPr>
            <w:r>
              <w:rPr>
                <w:rFonts w:hint="eastAsia" w:ascii="宋体" w:hAnsi="宋体" w:eastAsia="宋体" w:cs="宋体"/>
                <w:color w:val="auto"/>
                <w:sz w:val="24"/>
              </w:rPr>
              <w:t>联系人</w:t>
            </w:r>
          </w:p>
        </w:tc>
        <w:tc>
          <w:tcPr>
            <w:tcW w:w="2887" w:type="dxa"/>
            <w:vAlign w:val="center"/>
          </w:tcPr>
          <w:p w14:paraId="419019E2">
            <w:pPr>
              <w:rPr>
                <w:rFonts w:hint="eastAsia" w:ascii="宋体" w:hAnsi="宋体" w:eastAsia="宋体" w:cs="宋体"/>
                <w:color w:val="auto"/>
                <w:sz w:val="24"/>
              </w:rPr>
            </w:pPr>
          </w:p>
        </w:tc>
        <w:tc>
          <w:tcPr>
            <w:tcW w:w="1378" w:type="dxa"/>
            <w:gridSpan w:val="2"/>
            <w:vAlign w:val="center"/>
          </w:tcPr>
          <w:p w14:paraId="67560AC6">
            <w:pPr>
              <w:rPr>
                <w:rFonts w:hint="eastAsia" w:ascii="宋体" w:hAnsi="宋体" w:eastAsia="宋体" w:cs="宋体"/>
                <w:color w:val="auto"/>
                <w:sz w:val="24"/>
              </w:rPr>
            </w:pPr>
            <w:r>
              <w:rPr>
                <w:rFonts w:hint="eastAsia" w:ascii="宋体" w:hAnsi="宋体" w:eastAsia="宋体" w:cs="宋体"/>
                <w:color w:val="auto"/>
                <w:sz w:val="24"/>
              </w:rPr>
              <w:t>联系方式</w:t>
            </w:r>
          </w:p>
        </w:tc>
        <w:tc>
          <w:tcPr>
            <w:tcW w:w="2560" w:type="dxa"/>
            <w:gridSpan w:val="2"/>
            <w:vAlign w:val="center"/>
          </w:tcPr>
          <w:p w14:paraId="641E2757">
            <w:pPr>
              <w:rPr>
                <w:rFonts w:hint="eastAsia" w:ascii="宋体" w:hAnsi="宋体" w:eastAsia="宋体" w:cs="宋体"/>
                <w:color w:val="auto"/>
                <w:sz w:val="24"/>
              </w:rPr>
            </w:pPr>
          </w:p>
        </w:tc>
      </w:tr>
    </w:tbl>
    <w:p w14:paraId="034BCB8E">
      <w:pPr>
        <w:spacing w:line="440" w:lineRule="exact"/>
        <w:ind w:firstLine="420" w:firstLineChars="200"/>
        <w:rPr>
          <w:color w:val="auto"/>
        </w:rPr>
      </w:pPr>
    </w:p>
    <w:p w14:paraId="3E59BB60">
      <w:pPr>
        <w:spacing w:line="440" w:lineRule="exact"/>
        <w:ind w:firstLine="420" w:firstLineChars="200"/>
        <w:rPr>
          <w:color w:val="auto"/>
        </w:rPr>
      </w:pPr>
      <w:r>
        <w:rPr>
          <w:color w:val="auto"/>
        </w:rPr>
        <w:t>兹</w:t>
      </w:r>
      <w:r>
        <w:rPr>
          <w:rFonts w:hint="eastAsia"/>
          <w:color w:val="auto"/>
        </w:rPr>
        <w:t>声</w:t>
      </w:r>
      <w:r>
        <w:rPr>
          <w:color w:val="auto"/>
        </w:rPr>
        <w:t>明上述</w:t>
      </w:r>
      <w:r>
        <w:rPr>
          <w:rFonts w:hint="eastAsia"/>
          <w:color w:val="auto"/>
        </w:rPr>
        <w:t>信息</w:t>
      </w:r>
      <w:r>
        <w:rPr>
          <w:color w:val="auto"/>
        </w:rPr>
        <w:t>是真实、正确的，并提供了全部能提供的资料和数据</w:t>
      </w:r>
      <w:r>
        <w:rPr>
          <w:rFonts w:hint="eastAsia"/>
          <w:color w:val="auto"/>
        </w:rPr>
        <w:t>；如我方提供的证明材料有虚假情况，愿承担相应后果</w:t>
      </w:r>
      <w:r>
        <w:rPr>
          <w:color w:val="auto"/>
        </w:rPr>
        <w:t>。</w:t>
      </w:r>
    </w:p>
    <w:p w14:paraId="5938A53B">
      <w:pPr>
        <w:rPr>
          <w:color w:val="auto"/>
        </w:rPr>
      </w:pPr>
    </w:p>
    <w:p w14:paraId="4775D487">
      <w:pPr>
        <w:rPr>
          <w:color w:val="auto"/>
        </w:rPr>
      </w:pPr>
    </w:p>
    <w:p w14:paraId="0E346D3E">
      <w:pPr>
        <w:rPr>
          <w:color w:val="auto"/>
        </w:rPr>
      </w:pPr>
    </w:p>
    <w:p w14:paraId="0B388773">
      <w:pPr>
        <w:spacing w:beforeLines="50" w:line="440" w:lineRule="exact"/>
        <w:ind w:left="-103" w:leftChars="-49" w:firstLine="539" w:firstLineChars="257"/>
        <w:rPr>
          <w:rFonts w:hint="eastAsia" w:eastAsia="宋体"/>
          <w:color w:val="auto"/>
          <w:lang w:eastAsia="zh-CN"/>
        </w:rPr>
      </w:pPr>
      <w:r>
        <w:rPr>
          <w:rFonts w:hint="eastAsia"/>
          <w:color w:val="auto"/>
        </w:rPr>
        <w:t>投标人</w:t>
      </w:r>
      <w:r>
        <w:rPr>
          <w:rFonts w:hint="eastAsia"/>
          <w:color w:val="auto"/>
          <w:lang w:eastAsia="zh-CN"/>
        </w:rPr>
        <w:t>:(</w:t>
      </w:r>
      <w:r>
        <w:rPr>
          <w:rFonts w:hint="eastAsia"/>
          <w:color w:val="auto"/>
        </w:rPr>
        <w:t>公章</w:t>
      </w:r>
      <w:r>
        <w:rPr>
          <w:rFonts w:hint="eastAsia"/>
          <w:color w:val="auto"/>
          <w:lang w:eastAsia="zh-CN"/>
        </w:rPr>
        <w:t>)</w:t>
      </w:r>
    </w:p>
    <w:p w14:paraId="6731B1D9">
      <w:pPr>
        <w:spacing w:beforeLines="50" w:line="440" w:lineRule="exact"/>
        <w:ind w:left="460" w:leftChars="219"/>
        <w:rPr>
          <w:rFonts w:hint="eastAsia" w:eastAsia="宋体"/>
          <w:color w:val="auto"/>
          <w:lang w:eastAsia="zh-CN"/>
        </w:rPr>
      </w:pPr>
      <w:r>
        <w:rPr>
          <w:color w:val="auto"/>
        </w:rPr>
        <w:t>法定代表人或其</w:t>
      </w:r>
      <w:r>
        <w:rPr>
          <w:rFonts w:hint="eastAsia" w:ascii="宋体"/>
          <w:color w:val="auto"/>
          <w:szCs w:val="21"/>
        </w:rPr>
        <w:t>委托代理人</w:t>
      </w:r>
      <w:r>
        <w:rPr>
          <w:rFonts w:hint="eastAsia"/>
          <w:color w:val="auto"/>
          <w:lang w:eastAsia="zh-CN"/>
        </w:rPr>
        <w:t>:(</w:t>
      </w:r>
      <w:r>
        <w:rPr>
          <w:rFonts w:hint="eastAsia"/>
          <w:color w:val="auto"/>
        </w:rPr>
        <w:t>签字或加盖人名章</w:t>
      </w:r>
      <w:r>
        <w:rPr>
          <w:rFonts w:hint="eastAsia"/>
          <w:color w:val="auto"/>
          <w:lang w:eastAsia="zh-CN"/>
        </w:rPr>
        <w:t>)</w:t>
      </w:r>
    </w:p>
    <w:p w14:paraId="535BC740">
      <w:pPr>
        <w:spacing w:beforeLines="50" w:line="440" w:lineRule="exact"/>
        <w:ind w:left="460" w:leftChars="219"/>
        <w:rPr>
          <w:b/>
          <w:color w:val="auto"/>
          <w:sz w:val="24"/>
        </w:rPr>
      </w:pPr>
      <w:r>
        <w:rPr>
          <w:color w:val="auto"/>
        </w:rPr>
        <w:t>日期</w:t>
      </w:r>
      <w:bookmarkStart w:id="1424" w:name="_Toc410631178"/>
      <w:bookmarkStart w:id="1425" w:name="_Toc414445769"/>
      <w:bookmarkStart w:id="1426" w:name="_Toc416103819"/>
      <w:r>
        <w:rPr>
          <w:rFonts w:hint="eastAsia"/>
          <w:color w:val="auto"/>
          <w:lang w:eastAsia="zh-CN"/>
        </w:rPr>
        <w:t>:</w:t>
      </w:r>
      <w:r>
        <w:rPr>
          <w:b/>
          <w:color w:val="auto"/>
          <w:sz w:val="24"/>
        </w:rPr>
        <w:br w:type="page"/>
      </w:r>
    </w:p>
    <w:p w14:paraId="7583939F">
      <w:pPr>
        <w:spacing w:line="360" w:lineRule="auto"/>
        <w:outlineLvl w:val="1"/>
        <w:rPr>
          <w:b/>
          <w:color w:val="auto"/>
          <w:sz w:val="24"/>
        </w:rPr>
      </w:pPr>
      <w:bookmarkStart w:id="1427" w:name="_Toc18628"/>
      <w:bookmarkStart w:id="1428" w:name="_Toc15627"/>
      <w:bookmarkStart w:id="1429" w:name="_Toc8841"/>
      <w:r>
        <w:rPr>
          <w:b/>
          <w:color w:val="auto"/>
          <w:sz w:val="24"/>
        </w:rPr>
        <w:t>附件</w:t>
      </w:r>
      <w:r>
        <w:rPr>
          <w:rFonts w:hint="eastAsia"/>
          <w:b/>
          <w:color w:val="auto"/>
          <w:sz w:val="24"/>
        </w:rPr>
        <w:t>9</w:t>
      </w:r>
      <w:bookmarkEnd w:id="1424"/>
      <w:bookmarkEnd w:id="1425"/>
      <w:bookmarkEnd w:id="1426"/>
      <w:r>
        <w:rPr>
          <w:rFonts w:hint="eastAsia" w:ascii="宋体" w:hAnsi="宋体" w:eastAsia="宋体" w:cs="宋体"/>
          <w:b/>
          <w:color w:val="auto"/>
          <w:sz w:val="24"/>
        </w:rPr>
        <w:t xml:space="preserve"> </w:t>
      </w:r>
      <w:r>
        <w:rPr>
          <w:rFonts w:hint="eastAsia"/>
          <w:b/>
          <w:color w:val="auto"/>
          <w:sz w:val="24"/>
        </w:rPr>
        <w:t>资格证明文件</w:t>
      </w:r>
      <w:bookmarkEnd w:id="1427"/>
      <w:bookmarkEnd w:id="1428"/>
      <w:bookmarkEnd w:id="1429"/>
    </w:p>
    <w:p w14:paraId="718B781E">
      <w:pPr>
        <w:jc w:val="left"/>
        <w:outlineLvl w:val="2"/>
        <w:rPr>
          <w:rFonts w:hint="eastAsia" w:ascii="宋体" w:hAnsi="宋体" w:eastAsia="宋体" w:cs="宋体"/>
          <w:b/>
          <w:color w:val="auto"/>
          <w:sz w:val="24"/>
          <w:lang w:eastAsia="zh-CN"/>
        </w:rPr>
      </w:pPr>
      <w:bookmarkStart w:id="1430" w:name="_Hlt520274121"/>
      <w:bookmarkEnd w:id="1430"/>
      <w:bookmarkStart w:id="1431" w:name="_Toc15604"/>
      <w:bookmarkStart w:id="1432" w:name="_Toc25613"/>
      <w:bookmarkStart w:id="1433" w:name="_Toc9712"/>
      <w:bookmarkStart w:id="1434" w:name="_Toc18442"/>
      <w:r>
        <w:rPr>
          <w:rFonts w:hint="eastAsia" w:ascii="宋体" w:hAnsi="宋体" w:eastAsia="宋体" w:cs="宋体"/>
          <w:b/>
          <w:color w:val="auto"/>
          <w:sz w:val="24"/>
        </w:rPr>
        <w:t>9-1 投标人营业执照</w:t>
      </w:r>
      <w:bookmarkEnd w:id="1431"/>
      <w:bookmarkEnd w:id="1432"/>
      <w:bookmarkEnd w:id="1433"/>
      <w:bookmarkEnd w:id="1434"/>
    </w:p>
    <w:p w14:paraId="06969AB3">
      <w:pPr>
        <w:jc w:val="left"/>
        <w:rPr>
          <w:rFonts w:hint="eastAsia" w:ascii="仿宋" w:hAnsi="仿宋" w:eastAsia="仿宋" w:cs="仿宋"/>
          <w:color w:val="auto"/>
          <w:sz w:val="24"/>
        </w:rPr>
      </w:pPr>
    </w:p>
    <w:p w14:paraId="5E24D5CA">
      <w:pPr>
        <w:autoSpaceDE w:val="0"/>
        <w:autoSpaceDN w:val="0"/>
        <w:snapToGrid w:val="0"/>
        <w:spacing w:line="380" w:lineRule="exact"/>
        <w:jc w:val="both"/>
        <w:rPr>
          <w:rFonts w:hint="eastAsia" w:ascii="Times New Roman" w:hAnsi="Times New Roman" w:eastAsia="宋体" w:cs="宋体"/>
          <w:color w:val="auto"/>
          <w:lang w:eastAsia="zh-CN"/>
        </w:rPr>
      </w:pPr>
      <w:r>
        <w:rPr>
          <w:rFonts w:hint="eastAsia" w:ascii="Times New Roman" w:hAnsi="Times New Roman" w:cs="宋体"/>
          <w:color w:val="auto"/>
        </w:rPr>
        <w:t>说明</w:t>
      </w:r>
      <w:r>
        <w:rPr>
          <w:rFonts w:hint="eastAsia" w:cs="宋体"/>
          <w:color w:val="auto"/>
          <w:lang w:eastAsia="zh-CN"/>
        </w:rPr>
        <w:t>:</w:t>
      </w:r>
    </w:p>
    <w:p w14:paraId="512664B2">
      <w:pPr>
        <w:autoSpaceDE w:val="0"/>
        <w:autoSpaceDN w:val="0"/>
        <w:snapToGrid w:val="0"/>
        <w:spacing w:line="380" w:lineRule="exact"/>
        <w:ind w:firstLine="420" w:firstLineChars="200"/>
        <w:jc w:val="both"/>
        <w:rPr>
          <w:rFonts w:ascii="Times New Roman" w:hAnsi="Times New Roman" w:cs="宋体"/>
          <w:color w:val="auto"/>
        </w:rPr>
      </w:pPr>
      <w:r>
        <w:rPr>
          <w:rFonts w:hint="eastAsia" w:ascii="Times New Roman" w:hAnsi="Times New Roman" w:cs="宋体"/>
          <w:color w:val="auto"/>
        </w:rPr>
        <w:t>供应商是企业</w:t>
      </w:r>
      <w:r>
        <w:rPr>
          <w:rFonts w:hint="eastAsia" w:cs="宋体"/>
          <w:color w:val="auto"/>
          <w:lang w:eastAsia="zh-CN"/>
        </w:rPr>
        <w:t>(</w:t>
      </w:r>
      <w:r>
        <w:rPr>
          <w:rFonts w:hint="eastAsia" w:ascii="Times New Roman" w:hAnsi="Times New Roman" w:cs="宋体"/>
          <w:color w:val="auto"/>
        </w:rPr>
        <w:t>包括合伙企业</w:t>
      </w:r>
      <w:r>
        <w:rPr>
          <w:rFonts w:hint="eastAsia" w:cs="宋体"/>
          <w:color w:val="auto"/>
          <w:lang w:eastAsia="zh-CN"/>
        </w:rPr>
        <w:t>)</w:t>
      </w:r>
      <w:r>
        <w:rPr>
          <w:rFonts w:hint="eastAsia" w:ascii="Times New Roman" w:hAnsi="Times New Roman" w:cs="宋体"/>
          <w:color w:val="auto"/>
        </w:rPr>
        <w:t>的，应提供其在工商部门注册的有效“企业法人营业执照”或“营业执照”的</w:t>
      </w:r>
      <w:r>
        <w:rPr>
          <w:rFonts w:hint="eastAsia" w:cs="宋体"/>
          <w:color w:val="auto"/>
          <w:lang w:eastAsia="zh-CN"/>
        </w:rPr>
        <w:t>扫描件</w:t>
      </w:r>
      <w:r>
        <w:rPr>
          <w:rFonts w:hint="eastAsia" w:ascii="Times New Roman" w:hAnsi="Times New Roman" w:cs="宋体"/>
          <w:color w:val="auto"/>
        </w:rPr>
        <w:t>；</w:t>
      </w:r>
    </w:p>
    <w:p w14:paraId="57D8229C">
      <w:pPr>
        <w:autoSpaceDE w:val="0"/>
        <w:autoSpaceDN w:val="0"/>
        <w:snapToGrid w:val="0"/>
        <w:spacing w:line="380" w:lineRule="exact"/>
        <w:ind w:firstLine="420" w:firstLineChars="200"/>
        <w:jc w:val="both"/>
        <w:rPr>
          <w:rFonts w:ascii="Times New Roman" w:hAnsi="Times New Roman" w:cs="宋体"/>
          <w:color w:val="auto"/>
        </w:rPr>
      </w:pPr>
      <w:r>
        <w:rPr>
          <w:rFonts w:hint="eastAsia" w:ascii="Times New Roman" w:hAnsi="Times New Roman" w:cs="宋体"/>
          <w:color w:val="auto"/>
        </w:rPr>
        <w:t>供应商是事业单位的，应提供其有效的“事业单位法人证书”</w:t>
      </w:r>
      <w:r>
        <w:rPr>
          <w:rFonts w:hint="eastAsia" w:cs="宋体"/>
          <w:color w:val="auto"/>
          <w:lang w:eastAsia="zh-CN"/>
        </w:rPr>
        <w:t>扫描件</w:t>
      </w:r>
      <w:r>
        <w:rPr>
          <w:rFonts w:hint="eastAsia" w:ascii="Times New Roman" w:hAnsi="Times New Roman" w:cs="宋体"/>
          <w:color w:val="auto"/>
        </w:rPr>
        <w:t>；</w:t>
      </w:r>
    </w:p>
    <w:p w14:paraId="7950D906">
      <w:pPr>
        <w:autoSpaceDE w:val="0"/>
        <w:autoSpaceDN w:val="0"/>
        <w:snapToGrid w:val="0"/>
        <w:spacing w:line="380" w:lineRule="exact"/>
        <w:ind w:firstLine="420" w:firstLineChars="200"/>
        <w:jc w:val="both"/>
        <w:rPr>
          <w:rFonts w:ascii="Times New Roman" w:hAnsi="Times New Roman" w:cs="宋体"/>
          <w:color w:val="auto"/>
        </w:rPr>
      </w:pPr>
      <w:r>
        <w:rPr>
          <w:rFonts w:hint="eastAsia" w:ascii="Times New Roman" w:hAnsi="Times New Roman" w:cs="宋体"/>
          <w:color w:val="auto"/>
        </w:rPr>
        <w:t>供应商是非企业专业服务机构的，应提供其有效的“执业许可证”</w:t>
      </w:r>
      <w:r>
        <w:rPr>
          <w:rFonts w:hint="eastAsia" w:cs="宋体"/>
          <w:color w:val="auto"/>
          <w:lang w:eastAsia="zh-CN"/>
        </w:rPr>
        <w:t>扫描件</w:t>
      </w:r>
      <w:r>
        <w:rPr>
          <w:rFonts w:hint="eastAsia" w:ascii="Times New Roman" w:hAnsi="Times New Roman" w:cs="宋体"/>
          <w:color w:val="auto"/>
        </w:rPr>
        <w:t>；</w:t>
      </w:r>
    </w:p>
    <w:p w14:paraId="2C06EEBB">
      <w:pPr>
        <w:jc w:val="left"/>
        <w:rPr>
          <w:rFonts w:hint="eastAsia" w:ascii="仿宋_GB2312" w:hAnsi="宋体" w:eastAsia="仿宋_GB2312"/>
          <w:color w:val="auto"/>
          <w:sz w:val="24"/>
        </w:rPr>
      </w:pPr>
    </w:p>
    <w:p w14:paraId="63CF9A48">
      <w:pPr>
        <w:jc w:val="left"/>
        <w:rPr>
          <w:rFonts w:hint="eastAsia" w:ascii="仿宋_GB2312" w:hAnsi="宋体" w:eastAsia="仿宋_GB2312"/>
          <w:color w:val="auto"/>
          <w:sz w:val="24"/>
        </w:rPr>
      </w:pPr>
    </w:p>
    <w:p w14:paraId="1511DA27">
      <w:pPr>
        <w:adjustRightInd w:val="0"/>
        <w:spacing w:line="360" w:lineRule="atLeast"/>
        <w:jc w:val="left"/>
        <w:textAlignment w:val="baseline"/>
        <w:rPr>
          <w:b/>
          <w:color w:val="auto"/>
          <w:sz w:val="28"/>
        </w:rPr>
      </w:pPr>
      <w:r>
        <w:rPr>
          <w:b/>
          <w:color w:val="auto"/>
        </w:rPr>
        <w:br w:type="page"/>
      </w:r>
      <w:bookmarkEnd w:id="1413"/>
    </w:p>
    <w:p w14:paraId="03B862EF">
      <w:pPr>
        <w:jc w:val="left"/>
        <w:outlineLvl w:val="2"/>
        <w:rPr>
          <w:rFonts w:hint="eastAsia" w:ascii="宋体" w:hAnsi="宋体" w:eastAsia="宋体" w:cs="宋体"/>
          <w:b/>
          <w:color w:val="auto"/>
          <w:sz w:val="24"/>
        </w:rPr>
      </w:pPr>
      <w:bookmarkStart w:id="1435" w:name="_Toc25484"/>
      <w:bookmarkStart w:id="1436" w:name="_Toc21548"/>
      <w:bookmarkStart w:id="1437" w:name="_Toc16787"/>
      <w:bookmarkStart w:id="1438" w:name="_Toc20696"/>
      <w:r>
        <w:rPr>
          <w:rFonts w:hint="eastAsia" w:ascii="宋体" w:hAnsi="宋体" w:eastAsia="宋体" w:cs="宋体"/>
          <w:b/>
          <w:color w:val="auto"/>
          <w:sz w:val="24"/>
        </w:rPr>
        <w:t>9-2 上一年度</w:t>
      </w:r>
      <w:r>
        <w:rPr>
          <w:rFonts w:hint="eastAsia" w:ascii="宋体" w:hAnsi="宋体" w:eastAsia="宋体" w:cs="宋体"/>
          <w:b/>
          <w:color w:val="auto"/>
          <w:sz w:val="24"/>
          <w:lang w:eastAsia="zh-CN"/>
        </w:rPr>
        <w:t>（</w:t>
      </w:r>
      <w:r>
        <w:rPr>
          <w:rFonts w:hint="eastAsia" w:ascii="宋体" w:hAnsi="宋体" w:eastAsia="宋体" w:cs="宋体"/>
          <w:b/>
          <w:color w:val="auto"/>
          <w:sz w:val="24"/>
          <w:lang w:val="en-US" w:eastAsia="zh-CN"/>
        </w:rPr>
        <w:t>或2023年度</w:t>
      </w:r>
      <w:r>
        <w:rPr>
          <w:rFonts w:hint="eastAsia" w:ascii="宋体" w:hAnsi="宋体" w:eastAsia="宋体" w:cs="宋体"/>
          <w:b/>
          <w:color w:val="auto"/>
          <w:sz w:val="24"/>
          <w:lang w:eastAsia="zh-CN"/>
        </w:rPr>
        <w:t>）</w:t>
      </w:r>
      <w:r>
        <w:rPr>
          <w:rFonts w:hint="eastAsia" w:ascii="宋体" w:hAnsi="宋体" w:eastAsia="宋体" w:cs="宋体"/>
          <w:b/>
          <w:color w:val="auto"/>
          <w:sz w:val="24"/>
        </w:rPr>
        <w:t>经审计的财务报告</w:t>
      </w:r>
      <w:bookmarkEnd w:id="1435"/>
      <w:bookmarkEnd w:id="1436"/>
      <w:bookmarkEnd w:id="1437"/>
      <w:bookmarkEnd w:id="1438"/>
    </w:p>
    <w:p w14:paraId="02AEAE0A">
      <w:pPr>
        <w:spacing w:line="360" w:lineRule="auto"/>
        <w:rPr>
          <w:color w:val="auto"/>
          <w:szCs w:val="21"/>
        </w:rPr>
      </w:pPr>
    </w:p>
    <w:p w14:paraId="0F144AFA">
      <w:pPr>
        <w:autoSpaceDE w:val="0"/>
        <w:autoSpaceDN w:val="0"/>
        <w:snapToGrid w:val="0"/>
        <w:spacing w:line="380" w:lineRule="exact"/>
        <w:jc w:val="both"/>
        <w:rPr>
          <w:rFonts w:hint="eastAsia" w:ascii="Times New Roman" w:hAnsi="Times New Roman" w:eastAsia="宋体" w:cs="宋体"/>
          <w:color w:val="auto"/>
          <w:lang w:eastAsia="zh-CN"/>
        </w:rPr>
      </w:pPr>
      <w:r>
        <w:rPr>
          <w:rFonts w:hint="eastAsia" w:ascii="Times New Roman" w:hAnsi="Times New Roman" w:cs="宋体"/>
          <w:color w:val="auto"/>
        </w:rPr>
        <w:t>说明</w:t>
      </w:r>
      <w:r>
        <w:rPr>
          <w:rFonts w:hint="eastAsia" w:cs="宋体"/>
          <w:color w:val="auto"/>
          <w:lang w:eastAsia="zh-CN"/>
        </w:rPr>
        <w:t>:</w:t>
      </w:r>
    </w:p>
    <w:p w14:paraId="42373B1C">
      <w:pPr>
        <w:spacing w:line="360" w:lineRule="auto"/>
        <w:ind w:right="155"/>
        <w:rPr>
          <w:rFonts w:hint="eastAsia"/>
          <w:color w:val="auto"/>
          <w:szCs w:val="21"/>
        </w:rPr>
      </w:pPr>
    </w:p>
    <w:p w14:paraId="2E608739">
      <w:pPr>
        <w:autoSpaceDE w:val="0"/>
        <w:autoSpaceDN w:val="0"/>
        <w:snapToGrid w:val="0"/>
        <w:spacing w:line="380" w:lineRule="exact"/>
        <w:ind w:left="105" w:leftChars="50" w:right="0" w:firstLine="420" w:firstLineChars="200"/>
        <w:rPr>
          <w:rFonts w:hAnsi="宋体"/>
          <w:color w:val="auto"/>
          <w:szCs w:val="21"/>
        </w:rPr>
      </w:pPr>
      <w:r>
        <w:rPr>
          <w:rFonts w:hint="eastAsia"/>
          <w:color w:val="auto"/>
          <w:szCs w:val="21"/>
        </w:rPr>
        <w:t>提供投标人上一年度</w:t>
      </w:r>
      <w:r>
        <w:rPr>
          <w:rFonts w:hint="eastAsia"/>
          <w:color w:val="auto"/>
          <w:szCs w:val="21"/>
          <w:lang w:eastAsia="zh-CN"/>
        </w:rPr>
        <w:t>（</w:t>
      </w:r>
      <w:r>
        <w:rPr>
          <w:rFonts w:hint="eastAsia"/>
          <w:color w:val="auto"/>
          <w:szCs w:val="21"/>
          <w:lang w:val="en-US" w:eastAsia="zh-CN"/>
        </w:rPr>
        <w:t>或2023年度</w:t>
      </w:r>
      <w:r>
        <w:rPr>
          <w:rFonts w:hint="eastAsia"/>
          <w:color w:val="auto"/>
          <w:szCs w:val="21"/>
          <w:lang w:eastAsia="zh-CN"/>
        </w:rPr>
        <w:t>）</w:t>
      </w:r>
      <w:r>
        <w:rPr>
          <w:color w:val="auto"/>
          <w:szCs w:val="21"/>
        </w:rPr>
        <w:t>经审计的财务报告</w:t>
      </w:r>
      <w:r>
        <w:rPr>
          <w:rFonts w:hint="eastAsia"/>
          <w:color w:val="auto"/>
          <w:szCs w:val="21"/>
          <w:lang w:eastAsia="zh-CN"/>
        </w:rPr>
        <w:t>(</w:t>
      </w:r>
      <w:r>
        <w:rPr>
          <w:rFonts w:hint="eastAsia"/>
          <w:color w:val="auto"/>
          <w:szCs w:val="21"/>
        </w:rPr>
        <w:t>包括资产负债表、现金流量表、利润表、所有者权益变动表及其附注</w:t>
      </w:r>
      <w:r>
        <w:rPr>
          <w:rFonts w:hint="eastAsia"/>
          <w:color w:val="auto"/>
          <w:szCs w:val="21"/>
          <w:lang w:eastAsia="zh-CN"/>
        </w:rPr>
        <w:t>)扫描件，</w:t>
      </w:r>
      <w:r>
        <w:rPr>
          <w:color w:val="auto"/>
        </w:rPr>
        <w:t>所有</w:t>
      </w:r>
      <w:r>
        <w:rPr>
          <w:rFonts w:hint="eastAsia"/>
          <w:color w:val="auto"/>
          <w:lang w:eastAsia="zh-CN"/>
        </w:rPr>
        <w:t>扫描件</w:t>
      </w:r>
      <w:r>
        <w:rPr>
          <w:color w:val="auto"/>
        </w:rPr>
        <w:t>需加盖单位公章</w:t>
      </w:r>
      <w:r>
        <w:rPr>
          <w:rFonts w:hint="eastAsia"/>
          <w:color w:val="auto"/>
          <w:szCs w:val="21"/>
        </w:rPr>
        <w:t>。</w:t>
      </w:r>
    </w:p>
    <w:p w14:paraId="2B4BCA5A">
      <w:pPr>
        <w:spacing w:line="360" w:lineRule="auto"/>
        <w:rPr>
          <w:color w:val="auto"/>
          <w:szCs w:val="21"/>
        </w:rPr>
      </w:pPr>
    </w:p>
    <w:p w14:paraId="0DCF3E7B">
      <w:pPr>
        <w:spacing w:beforeLines="50" w:line="440" w:lineRule="exact"/>
        <w:ind w:left="687" w:leftChars="327"/>
        <w:rPr>
          <w:rFonts w:ascii="仿宋_GB2312" w:hAnsi="宋体" w:eastAsia="仿宋_GB2312"/>
          <w:color w:val="auto"/>
          <w:sz w:val="24"/>
        </w:rPr>
      </w:pPr>
    </w:p>
    <w:p w14:paraId="563896EC">
      <w:pPr>
        <w:tabs>
          <w:tab w:val="left" w:pos="993"/>
          <w:tab w:val="left" w:pos="1030"/>
          <w:tab w:val="left" w:pos="8364"/>
        </w:tabs>
        <w:snapToGrid w:val="0"/>
        <w:spacing w:afterLines="50"/>
        <w:ind w:left="420" w:right="-57" w:rightChars="-27"/>
        <w:jc w:val="left"/>
        <w:rPr>
          <w:b/>
          <w:color w:val="auto"/>
          <w:spacing w:val="20"/>
          <w:sz w:val="24"/>
        </w:rPr>
      </w:pPr>
      <w:r>
        <w:rPr>
          <w:b/>
          <w:color w:val="auto"/>
          <w:spacing w:val="20"/>
          <w:sz w:val="24"/>
        </w:rPr>
        <w:br w:type="page"/>
      </w:r>
    </w:p>
    <w:p w14:paraId="321C97E1">
      <w:pPr>
        <w:tabs>
          <w:tab w:val="left" w:pos="993"/>
          <w:tab w:val="left" w:pos="1030"/>
          <w:tab w:val="left" w:pos="8364"/>
        </w:tabs>
        <w:snapToGrid w:val="0"/>
        <w:spacing w:afterLines="50"/>
        <w:ind w:right="-57" w:rightChars="-27"/>
        <w:jc w:val="left"/>
        <w:outlineLvl w:val="2"/>
        <w:rPr>
          <w:rFonts w:ascii="宋体" w:hAnsi="宋体" w:eastAsia="宋体"/>
          <w:b/>
          <w:color w:val="auto"/>
          <w:sz w:val="24"/>
        </w:rPr>
      </w:pPr>
      <w:bookmarkStart w:id="1439" w:name="_Toc25976"/>
      <w:bookmarkStart w:id="1440" w:name="_Toc10448"/>
      <w:bookmarkStart w:id="1441" w:name="_Toc19881"/>
      <w:bookmarkStart w:id="1442" w:name="_Toc27218"/>
      <w:r>
        <w:rPr>
          <w:rFonts w:hint="eastAsia" w:ascii="宋体" w:hAnsi="宋体" w:eastAsia="宋体"/>
          <w:b/>
          <w:color w:val="auto"/>
          <w:sz w:val="24"/>
        </w:rPr>
        <w:t>9-3</w:t>
      </w:r>
      <w:r>
        <w:rPr>
          <w:rFonts w:hint="eastAsia" w:ascii="宋体" w:hAnsi="宋体" w:eastAsia="宋体" w:cs="宋体"/>
          <w:b/>
          <w:color w:val="auto"/>
          <w:sz w:val="24"/>
        </w:rPr>
        <w:t xml:space="preserve"> </w:t>
      </w:r>
      <w:r>
        <w:rPr>
          <w:rFonts w:hint="eastAsia" w:ascii="宋体" w:hAnsi="宋体" w:eastAsia="宋体"/>
          <w:b/>
          <w:color w:val="auto"/>
          <w:sz w:val="24"/>
        </w:rPr>
        <w:t>依法缴纳税收的证明</w:t>
      </w:r>
      <w:bookmarkEnd w:id="1439"/>
      <w:bookmarkEnd w:id="1440"/>
      <w:bookmarkEnd w:id="1441"/>
      <w:bookmarkEnd w:id="1442"/>
    </w:p>
    <w:p w14:paraId="7B16A07C">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3867099E">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2F676191">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0017261B">
      <w:pPr>
        <w:tabs>
          <w:tab w:val="left" w:pos="993"/>
          <w:tab w:val="left" w:pos="1030"/>
          <w:tab w:val="left" w:pos="8364"/>
        </w:tabs>
        <w:snapToGrid w:val="0"/>
        <w:spacing w:afterLines="50"/>
        <w:ind w:left="0" w:right="-57" w:rightChars="-27" w:firstLine="0" w:firstLineChars="0"/>
        <w:jc w:val="left"/>
        <w:rPr>
          <w:rFonts w:hint="eastAsia" w:ascii="宋体" w:hAnsi="宋体" w:cs="宋体"/>
          <w:color w:val="auto"/>
          <w:sz w:val="24"/>
          <w:lang w:val="en-US" w:eastAsia="zh-CN"/>
        </w:rPr>
      </w:pPr>
      <w:r>
        <w:rPr>
          <w:rFonts w:hint="eastAsia" w:ascii="宋体" w:hAnsi="宋体" w:eastAsia="宋体" w:cs="宋体"/>
          <w:color w:val="auto"/>
          <w:sz w:val="24"/>
        </w:rPr>
        <w:t>说明</w:t>
      </w:r>
      <w:r>
        <w:rPr>
          <w:rFonts w:hint="eastAsia" w:ascii="宋体" w:hAnsi="宋体" w:cs="宋体"/>
          <w:color w:val="auto"/>
          <w:sz w:val="24"/>
          <w:lang w:eastAsia="zh-CN"/>
        </w:rPr>
        <w:t>:</w:t>
      </w:r>
      <w:r>
        <w:rPr>
          <w:rFonts w:hint="eastAsia" w:ascii="宋体" w:hAnsi="宋体" w:cs="宋体"/>
          <w:color w:val="auto"/>
          <w:sz w:val="24"/>
        </w:rPr>
        <w:t>供应商应提供</w:t>
      </w:r>
      <w:r>
        <w:rPr>
          <w:rFonts w:hint="eastAsia" w:ascii="宋体" w:hAnsi="宋体" w:cs="宋体"/>
          <w:color w:val="auto"/>
          <w:sz w:val="24"/>
          <w:lang w:val="en-US" w:eastAsia="zh-CN"/>
        </w:rPr>
        <w:t>近六</w:t>
      </w:r>
      <w:r>
        <w:rPr>
          <w:rFonts w:hint="eastAsia" w:ascii="宋体" w:hAnsi="宋体" w:cs="宋体"/>
          <w:color w:val="auto"/>
          <w:sz w:val="24"/>
        </w:rPr>
        <w:t>个月内任意一个月的缴纳税收凭证</w:t>
      </w:r>
      <w:r>
        <w:rPr>
          <w:rFonts w:hint="eastAsia" w:ascii="宋体" w:hAnsi="宋体" w:cs="宋体"/>
          <w:color w:val="auto"/>
          <w:sz w:val="24"/>
          <w:lang w:val="en-US" w:eastAsia="zh-CN"/>
        </w:rPr>
        <w:t>。</w:t>
      </w:r>
    </w:p>
    <w:p w14:paraId="31EAF35A">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6B792B19">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09435548">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22FE695A">
      <w:pPr>
        <w:tabs>
          <w:tab w:val="left" w:pos="993"/>
          <w:tab w:val="left" w:pos="1030"/>
          <w:tab w:val="left" w:pos="8364"/>
        </w:tabs>
        <w:snapToGrid w:val="0"/>
        <w:spacing w:afterLines="50"/>
        <w:ind w:left="420" w:right="-57" w:rightChars="-27" w:firstLine="480" w:firstLineChars="200"/>
        <w:jc w:val="left"/>
        <w:rPr>
          <w:rFonts w:ascii="宋体" w:hAnsi="宋体" w:eastAsia="宋体"/>
          <w:color w:val="auto"/>
          <w:sz w:val="24"/>
        </w:rPr>
      </w:pPr>
    </w:p>
    <w:p w14:paraId="092C1F88">
      <w:pPr>
        <w:tabs>
          <w:tab w:val="left" w:pos="993"/>
          <w:tab w:val="left" w:pos="1030"/>
          <w:tab w:val="left" w:pos="8364"/>
        </w:tabs>
        <w:snapToGrid w:val="0"/>
        <w:spacing w:afterLines="50"/>
        <w:ind w:right="-57" w:rightChars="-27"/>
        <w:jc w:val="left"/>
        <w:outlineLvl w:val="2"/>
        <w:rPr>
          <w:rFonts w:ascii="宋体" w:hAnsi="宋体" w:eastAsia="宋体"/>
          <w:b/>
          <w:color w:val="auto"/>
          <w:sz w:val="24"/>
        </w:rPr>
      </w:pPr>
      <w:bookmarkStart w:id="1443" w:name="_Toc16271"/>
      <w:bookmarkStart w:id="1444" w:name="_Toc8455"/>
      <w:bookmarkStart w:id="1445" w:name="_Toc7409"/>
      <w:bookmarkStart w:id="1446" w:name="_Toc2794"/>
      <w:r>
        <w:rPr>
          <w:rFonts w:hint="eastAsia" w:ascii="宋体" w:hAnsi="宋体" w:eastAsia="宋体"/>
          <w:b/>
          <w:color w:val="auto"/>
          <w:sz w:val="24"/>
        </w:rPr>
        <w:t>9-4</w:t>
      </w:r>
      <w:r>
        <w:rPr>
          <w:rFonts w:hint="eastAsia" w:ascii="宋体" w:hAnsi="宋体" w:eastAsia="宋体" w:cs="宋体"/>
          <w:b/>
          <w:color w:val="auto"/>
          <w:sz w:val="24"/>
        </w:rPr>
        <w:t xml:space="preserve"> </w:t>
      </w:r>
      <w:r>
        <w:rPr>
          <w:rFonts w:hint="eastAsia" w:ascii="宋体" w:hAnsi="宋体" w:eastAsia="宋体"/>
          <w:b/>
          <w:color w:val="auto"/>
          <w:sz w:val="24"/>
        </w:rPr>
        <w:t>社会保障资金缴纳记录</w:t>
      </w:r>
      <w:bookmarkEnd w:id="1443"/>
      <w:bookmarkEnd w:id="1444"/>
      <w:bookmarkEnd w:id="1445"/>
      <w:bookmarkEnd w:id="1446"/>
    </w:p>
    <w:p w14:paraId="0792B8DE">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r>
        <w:rPr>
          <w:rFonts w:hint="eastAsia" w:ascii="宋体" w:hAnsi="宋体" w:eastAsia="宋体"/>
          <w:color w:val="auto"/>
          <w:sz w:val="24"/>
        </w:rPr>
        <w:cr/>
      </w:r>
    </w:p>
    <w:p w14:paraId="175405DE">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p>
    <w:p w14:paraId="7AC0D43E">
      <w:pPr>
        <w:tabs>
          <w:tab w:val="left" w:pos="993"/>
          <w:tab w:val="left" w:pos="1030"/>
          <w:tab w:val="left" w:pos="8364"/>
        </w:tabs>
        <w:snapToGrid w:val="0"/>
        <w:spacing w:afterLines="50"/>
        <w:ind w:left="420" w:leftChars="200" w:right="-57" w:rightChars="-27"/>
        <w:jc w:val="left"/>
        <w:rPr>
          <w:rFonts w:ascii="宋体" w:hAnsi="宋体" w:eastAsia="宋体"/>
          <w:color w:val="auto"/>
          <w:sz w:val="24"/>
        </w:rPr>
      </w:pPr>
    </w:p>
    <w:p w14:paraId="6F6AF01B">
      <w:pPr>
        <w:tabs>
          <w:tab w:val="left" w:pos="993"/>
          <w:tab w:val="left" w:pos="1030"/>
          <w:tab w:val="left" w:pos="8364"/>
        </w:tabs>
        <w:snapToGrid w:val="0"/>
        <w:spacing w:afterLines="50"/>
        <w:ind w:left="0" w:leftChars="0" w:right="-57" w:rightChars="-27"/>
        <w:jc w:val="left"/>
        <w:rPr>
          <w:rFonts w:hint="eastAsia" w:ascii="宋体" w:hAnsi="宋体" w:eastAsia="宋体" w:cs="宋体"/>
          <w:color w:val="auto"/>
          <w:sz w:val="24"/>
        </w:rPr>
      </w:pPr>
      <w:r>
        <w:rPr>
          <w:rFonts w:hint="eastAsia" w:ascii="宋体" w:hAnsi="宋体" w:eastAsia="宋体" w:cs="宋体"/>
          <w:color w:val="auto"/>
          <w:sz w:val="24"/>
        </w:rPr>
        <w:t>说明</w:t>
      </w:r>
      <w:r>
        <w:rPr>
          <w:rFonts w:hint="eastAsia" w:ascii="宋体" w:hAnsi="宋体" w:cs="宋体"/>
          <w:color w:val="auto"/>
          <w:sz w:val="24"/>
          <w:lang w:eastAsia="zh-CN"/>
        </w:rPr>
        <w:t>:</w:t>
      </w:r>
      <w:r>
        <w:rPr>
          <w:rFonts w:hint="eastAsia" w:ascii="宋体" w:hAnsi="宋体" w:cs="宋体"/>
          <w:color w:val="auto"/>
          <w:sz w:val="24"/>
        </w:rPr>
        <w:t>供应商</w:t>
      </w:r>
      <w:r>
        <w:rPr>
          <w:rFonts w:hint="eastAsia" w:ascii="宋体" w:hAnsi="宋体" w:eastAsia="宋体" w:cs="宋体"/>
          <w:color w:val="auto"/>
          <w:sz w:val="24"/>
        </w:rPr>
        <w:t>应提供近六个月中至少一个月的缴纳社会保障资金记录。</w:t>
      </w:r>
    </w:p>
    <w:p w14:paraId="6281F1BD">
      <w:pPr>
        <w:numPr>
          <w:ilvl w:val="-1"/>
          <w:numId w:val="0"/>
        </w:numPr>
        <w:tabs>
          <w:tab w:val="left" w:pos="993"/>
          <w:tab w:val="left" w:pos="1030"/>
          <w:tab w:val="left" w:pos="8364"/>
        </w:tabs>
        <w:snapToGrid w:val="0"/>
        <w:spacing w:afterLines="50"/>
        <w:ind w:left="0" w:leftChars="0" w:right="-57" w:rightChars="-27"/>
        <w:jc w:val="left"/>
        <w:rPr>
          <w:rFonts w:hint="default" w:ascii="仿宋_GB2312" w:eastAsia="仿宋_GB2312"/>
          <w:color w:val="auto"/>
          <w:sz w:val="24"/>
          <w:lang w:val="en-US" w:eastAsia="zh-CN"/>
        </w:rPr>
      </w:pPr>
      <w:r>
        <w:rPr>
          <w:rFonts w:hint="eastAsia" w:ascii="宋体" w:hAnsi="宋体" w:cs="宋体"/>
          <w:color w:val="auto"/>
          <w:sz w:val="24"/>
          <w:lang w:val="en-US" w:eastAsia="zh-CN"/>
        </w:rPr>
        <w:t xml:space="preserve">  </w:t>
      </w:r>
    </w:p>
    <w:p w14:paraId="51158FDF">
      <w:pPr>
        <w:rPr>
          <w:rFonts w:hint="eastAsia" w:ascii="宋体" w:hAnsi="宋体" w:eastAsia="宋体"/>
          <w:b/>
          <w:color w:val="auto"/>
          <w:sz w:val="24"/>
        </w:rPr>
      </w:pPr>
      <w:bookmarkStart w:id="1447" w:name="_Toc27325"/>
      <w:bookmarkStart w:id="1448" w:name="_Toc7202"/>
      <w:bookmarkStart w:id="1449" w:name="_Toc24176"/>
      <w:bookmarkStart w:id="1450" w:name="_Toc14366"/>
      <w:r>
        <w:rPr>
          <w:rFonts w:hint="eastAsia" w:ascii="宋体" w:hAnsi="宋体" w:eastAsia="宋体"/>
          <w:b/>
          <w:color w:val="auto"/>
          <w:sz w:val="24"/>
        </w:rPr>
        <w:br w:type="page"/>
      </w:r>
    </w:p>
    <w:p w14:paraId="4042175F">
      <w:pPr>
        <w:tabs>
          <w:tab w:val="left" w:pos="993"/>
          <w:tab w:val="left" w:pos="1030"/>
          <w:tab w:val="left" w:pos="8364"/>
        </w:tabs>
        <w:snapToGrid w:val="0"/>
        <w:spacing w:afterLines="50"/>
        <w:ind w:right="-57" w:rightChars="-27"/>
        <w:jc w:val="left"/>
        <w:outlineLvl w:val="2"/>
        <w:rPr>
          <w:rFonts w:hint="eastAsia" w:ascii="宋体" w:hAnsi="宋体" w:eastAsia="宋体" w:cs="Times New Roman"/>
          <w:b/>
          <w:color w:val="auto"/>
          <w:sz w:val="24"/>
        </w:rPr>
      </w:pPr>
      <w:r>
        <w:rPr>
          <w:rFonts w:hint="eastAsia" w:ascii="宋体" w:hAnsi="宋体" w:eastAsia="宋体" w:cs="Times New Roman"/>
          <w:b/>
          <w:color w:val="auto"/>
          <w:sz w:val="24"/>
        </w:rPr>
        <w:t>9-5 具备履行合同所必需的设备和专业技术能力承诺书</w:t>
      </w:r>
      <w:bookmarkEnd w:id="1447"/>
      <w:bookmarkEnd w:id="1448"/>
      <w:bookmarkEnd w:id="1449"/>
      <w:bookmarkEnd w:id="1450"/>
    </w:p>
    <w:p w14:paraId="796A62F2">
      <w:pPr>
        <w:ind w:firstLine="480"/>
        <w:rPr>
          <w:rFonts w:ascii="宋体" w:hAnsi="宋体" w:eastAsia="宋体" w:cs="宋体"/>
          <w:color w:val="auto"/>
          <w:kern w:val="0"/>
          <w:sz w:val="24"/>
        </w:rPr>
      </w:pPr>
    </w:p>
    <w:p w14:paraId="1591CFF2">
      <w:pPr>
        <w:ind w:firstLine="480"/>
        <w:rPr>
          <w:rFonts w:ascii="宋体" w:hAnsi="宋体" w:eastAsia="宋体" w:cs="宋体"/>
          <w:color w:val="auto"/>
          <w:kern w:val="0"/>
          <w:sz w:val="24"/>
        </w:rPr>
      </w:pPr>
    </w:p>
    <w:p w14:paraId="00796A8E">
      <w:pPr>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u w:val="single"/>
        </w:rPr>
        <w:t xml:space="preserve">(采购人名称)      </w:t>
      </w:r>
      <w:r>
        <w:rPr>
          <w:rFonts w:hint="eastAsia" w:ascii="宋体" w:hAnsi="宋体" w:cs="宋体"/>
          <w:color w:val="auto"/>
          <w:kern w:val="0"/>
          <w:sz w:val="24"/>
          <w:u w:val="single"/>
          <w:lang w:eastAsia="zh-CN"/>
        </w:rPr>
        <w:t>:</w:t>
      </w:r>
    </w:p>
    <w:p w14:paraId="7B638436">
      <w:pPr>
        <w:ind w:firstLine="480"/>
        <w:rPr>
          <w:rFonts w:ascii="宋体" w:hAnsi="宋体" w:eastAsia="宋体" w:cs="宋体"/>
          <w:color w:val="auto"/>
          <w:kern w:val="0"/>
          <w:sz w:val="24"/>
        </w:rPr>
      </w:pPr>
    </w:p>
    <w:p w14:paraId="6D3FBE46">
      <w:pPr>
        <w:ind w:firstLine="480"/>
        <w:rPr>
          <w:rFonts w:ascii="宋体" w:hAnsi="宋体" w:eastAsia="宋体" w:cs="宋体"/>
          <w:color w:val="auto"/>
          <w:kern w:val="0"/>
          <w:sz w:val="24"/>
        </w:rPr>
      </w:pPr>
      <w:r>
        <w:rPr>
          <w:rFonts w:hint="eastAsia" w:ascii="宋体" w:hAnsi="宋体" w:eastAsia="宋体" w:cs="宋体"/>
          <w:color w:val="auto"/>
          <w:kern w:val="0"/>
          <w:sz w:val="24"/>
        </w:rPr>
        <w:t>我公司承诺</w:t>
      </w:r>
      <w:r>
        <w:rPr>
          <w:rFonts w:ascii="宋体" w:hAnsi="宋体" w:eastAsia="宋体"/>
          <w:color w:val="auto"/>
          <w:sz w:val="24"/>
        </w:rPr>
        <w:t>具</w:t>
      </w:r>
      <w:r>
        <w:rPr>
          <w:rFonts w:hint="eastAsia" w:ascii="宋体" w:hAnsi="宋体" w:eastAsia="宋体"/>
          <w:color w:val="auto"/>
          <w:sz w:val="24"/>
        </w:rPr>
        <w:t>备</w:t>
      </w:r>
      <w:r>
        <w:rPr>
          <w:rFonts w:ascii="宋体" w:hAnsi="宋体" w:eastAsia="宋体"/>
          <w:color w:val="auto"/>
          <w:sz w:val="24"/>
        </w:rPr>
        <w:t>履行合同所必需的设备和专业技术能力</w:t>
      </w:r>
      <w:r>
        <w:rPr>
          <w:rFonts w:hint="eastAsia" w:ascii="宋体" w:hAnsi="宋体" w:eastAsia="宋体" w:cs="宋体"/>
          <w:color w:val="auto"/>
          <w:kern w:val="0"/>
          <w:sz w:val="24"/>
        </w:rPr>
        <w:t>。</w:t>
      </w:r>
    </w:p>
    <w:p w14:paraId="2F46CF53">
      <w:pPr>
        <w:ind w:firstLine="480"/>
        <w:rPr>
          <w:rFonts w:ascii="宋体" w:hAnsi="宋体" w:eastAsia="宋体"/>
          <w:b/>
          <w:color w:val="auto"/>
          <w:sz w:val="24"/>
        </w:rPr>
      </w:pPr>
    </w:p>
    <w:p w14:paraId="69F8B2D5">
      <w:pPr>
        <w:ind w:firstLine="480"/>
        <w:rPr>
          <w:rFonts w:ascii="宋体" w:hAnsi="宋体" w:eastAsia="宋体"/>
          <w:b/>
          <w:color w:val="auto"/>
          <w:sz w:val="24"/>
        </w:rPr>
      </w:pPr>
    </w:p>
    <w:p w14:paraId="4068BADE">
      <w:pPr>
        <w:ind w:firstLine="480"/>
        <w:rPr>
          <w:rFonts w:ascii="宋体" w:hAnsi="宋体" w:eastAsia="宋体"/>
          <w:b/>
          <w:color w:val="auto"/>
          <w:sz w:val="24"/>
        </w:rPr>
      </w:pPr>
    </w:p>
    <w:p w14:paraId="5C408BC7">
      <w:pPr>
        <w:spacing w:beforeLines="50" w:line="440" w:lineRule="exact"/>
        <w:ind w:left="-103" w:leftChars="-49" w:firstLine="616" w:firstLineChars="257"/>
        <w:rPr>
          <w:rFonts w:hint="eastAsia" w:ascii="宋体" w:hAnsi="宋体" w:eastAsia="宋体"/>
          <w:color w:val="auto"/>
          <w:sz w:val="24"/>
          <w:lang w:eastAsia="zh-CN"/>
        </w:rPr>
      </w:pPr>
      <w:r>
        <w:rPr>
          <w:rFonts w:hint="eastAsia" w:ascii="宋体" w:hAnsi="宋体" w:eastAsia="宋体"/>
          <w:color w:val="auto"/>
          <w:sz w:val="24"/>
        </w:rPr>
        <w:t>投标人</w:t>
      </w:r>
      <w:r>
        <w:rPr>
          <w:rFonts w:hint="eastAsia" w:ascii="宋体" w:hAnsi="宋体"/>
          <w:color w:val="auto"/>
          <w:sz w:val="24"/>
          <w:lang w:eastAsia="zh-CN"/>
        </w:rPr>
        <w:t>:(</w:t>
      </w:r>
      <w:r>
        <w:rPr>
          <w:rFonts w:hint="eastAsia" w:ascii="宋体" w:hAnsi="宋体" w:eastAsia="宋体"/>
          <w:color w:val="auto"/>
          <w:sz w:val="24"/>
        </w:rPr>
        <w:t>公章</w:t>
      </w:r>
      <w:r>
        <w:rPr>
          <w:rFonts w:hint="eastAsia" w:ascii="宋体" w:hAnsi="宋体"/>
          <w:color w:val="auto"/>
          <w:sz w:val="24"/>
          <w:lang w:eastAsia="zh-CN"/>
        </w:rPr>
        <w:t>)</w:t>
      </w:r>
    </w:p>
    <w:p w14:paraId="2F6D6612">
      <w:pPr>
        <w:spacing w:beforeLines="50" w:line="440" w:lineRule="exact"/>
        <w:ind w:left="460" w:leftChars="219"/>
        <w:rPr>
          <w:rFonts w:hint="eastAsia" w:ascii="宋体" w:hAnsi="宋体" w:eastAsia="宋体"/>
          <w:color w:val="auto"/>
          <w:sz w:val="24"/>
          <w:lang w:eastAsia="zh-CN"/>
        </w:rPr>
      </w:pPr>
      <w:r>
        <w:rPr>
          <w:rFonts w:ascii="宋体" w:hAnsi="宋体" w:eastAsia="宋体"/>
          <w:color w:val="auto"/>
          <w:sz w:val="24"/>
        </w:rPr>
        <w:t>法定代表人或其</w:t>
      </w:r>
      <w:r>
        <w:rPr>
          <w:rFonts w:hint="eastAsia" w:ascii="宋体" w:hAnsi="宋体" w:eastAsia="宋体"/>
          <w:color w:val="auto"/>
          <w:sz w:val="24"/>
        </w:rPr>
        <w:t>委托代理人</w:t>
      </w:r>
      <w:r>
        <w:rPr>
          <w:rFonts w:hint="eastAsia" w:ascii="宋体" w:hAnsi="宋体"/>
          <w:color w:val="auto"/>
          <w:sz w:val="24"/>
          <w:lang w:eastAsia="zh-CN"/>
        </w:rPr>
        <w:t>:(</w:t>
      </w:r>
      <w:r>
        <w:rPr>
          <w:rFonts w:hint="eastAsia" w:ascii="宋体" w:hAnsi="宋体" w:eastAsia="宋体"/>
          <w:color w:val="auto"/>
          <w:sz w:val="24"/>
        </w:rPr>
        <w:t>签字或加盖人名章</w:t>
      </w:r>
      <w:r>
        <w:rPr>
          <w:rFonts w:hint="eastAsia" w:ascii="宋体" w:hAnsi="宋体"/>
          <w:color w:val="auto"/>
          <w:sz w:val="24"/>
          <w:lang w:eastAsia="zh-CN"/>
        </w:rPr>
        <w:t>)</w:t>
      </w:r>
    </w:p>
    <w:p w14:paraId="71523363">
      <w:pPr>
        <w:spacing w:beforeLines="50" w:line="440" w:lineRule="exact"/>
        <w:ind w:left="460" w:leftChars="219"/>
        <w:rPr>
          <w:rFonts w:hint="eastAsia" w:ascii="宋体" w:hAnsi="宋体" w:eastAsia="宋体"/>
          <w:color w:val="auto"/>
          <w:sz w:val="24"/>
          <w:lang w:eastAsia="zh-CN"/>
        </w:rPr>
      </w:pPr>
      <w:r>
        <w:rPr>
          <w:rFonts w:ascii="宋体" w:hAnsi="宋体" w:eastAsia="宋体"/>
          <w:color w:val="auto"/>
          <w:sz w:val="24"/>
        </w:rPr>
        <w:t>日期</w:t>
      </w:r>
      <w:r>
        <w:rPr>
          <w:rFonts w:hint="eastAsia" w:ascii="宋体" w:hAnsi="宋体"/>
          <w:color w:val="auto"/>
          <w:sz w:val="24"/>
          <w:lang w:eastAsia="zh-CN"/>
        </w:rPr>
        <w:t>:</w:t>
      </w:r>
    </w:p>
    <w:p w14:paraId="50B17531">
      <w:pPr>
        <w:ind w:right="280"/>
        <w:rPr>
          <w:rFonts w:ascii="宋体" w:hAnsi="宋体" w:eastAsia="宋体"/>
          <w:color w:val="auto"/>
          <w:sz w:val="24"/>
        </w:rPr>
      </w:pPr>
    </w:p>
    <w:p w14:paraId="4DC3AE6A">
      <w:pPr>
        <w:tabs>
          <w:tab w:val="left" w:pos="5580"/>
        </w:tabs>
        <w:spacing w:before="120" w:line="360" w:lineRule="auto"/>
        <w:rPr>
          <w:rFonts w:ascii="宋体" w:hAnsi="宋体" w:eastAsia="宋体"/>
          <w:color w:val="auto"/>
          <w:sz w:val="24"/>
        </w:rPr>
      </w:pPr>
    </w:p>
    <w:p w14:paraId="21F9695E">
      <w:pPr>
        <w:tabs>
          <w:tab w:val="left" w:pos="5580"/>
        </w:tabs>
        <w:spacing w:before="120" w:line="360" w:lineRule="auto"/>
        <w:ind w:firstLine="480" w:firstLineChars="200"/>
        <w:rPr>
          <w:rFonts w:ascii="仿宋_GB2312" w:eastAsia="仿宋_GB2312"/>
          <w:color w:val="auto"/>
          <w:sz w:val="24"/>
        </w:rPr>
      </w:pPr>
    </w:p>
    <w:p w14:paraId="7D0D1538">
      <w:pPr>
        <w:tabs>
          <w:tab w:val="left" w:pos="5580"/>
        </w:tabs>
        <w:spacing w:before="120" w:line="360" w:lineRule="auto"/>
        <w:ind w:firstLine="480" w:firstLineChars="200"/>
        <w:rPr>
          <w:rFonts w:ascii="仿宋_GB2312" w:eastAsia="仿宋_GB2312"/>
          <w:color w:val="auto"/>
          <w:sz w:val="24"/>
        </w:rPr>
      </w:pPr>
    </w:p>
    <w:p w14:paraId="43BDD2CC">
      <w:pPr>
        <w:tabs>
          <w:tab w:val="left" w:pos="993"/>
          <w:tab w:val="left" w:pos="1030"/>
          <w:tab w:val="left" w:pos="8364"/>
        </w:tabs>
        <w:snapToGrid w:val="0"/>
        <w:spacing w:afterLines="50"/>
        <w:ind w:left="420" w:right="-57" w:rightChars="-27" w:firstLine="480" w:firstLineChars="200"/>
        <w:jc w:val="left"/>
        <w:rPr>
          <w:rFonts w:ascii="仿宋_GB2312" w:eastAsia="仿宋_GB2312"/>
          <w:color w:val="auto"/>
          <w:sz w:val="24"/>
        </w:rPr>
      </w:pPr>
    </w:p>
    <w:p w14:paraId="76294E5A">
      <w:pPr>
        <w:widowControl/>
        <w:jc w:val="left"/>
        <w:rPr>
          <w:rFonts w:ascii="仿宋_GB2312" w:hAnsi="宋体" w:eastAsia="仿宋_GB2312"/>
          <w:b/>
          <w:color w:val="auto"/>
          <w:sz w:val="24"/>
        </w:rPr>
      </w:pPr>
      <w:r>
        <w:rPr>
          <w:rFonts w:ascii="仿宋_GB2312" w:hAnsi="宋体" w:eastAsia="仿宋_GB2312"/>
          <w:b/>
          <w:color w:val="auto"/>
          <w:sz w:val="24"/>
        </w:rPr>
        <w:br w:type="page"/>
      </w:r>
    </w:p>
    <w:p w14:paraId="09B8F341">
      <w:pPr>
        <w:tabs>
          <w:tab w:val="left" w:pos="993"/>
          <w:tab w:val="left" w:pos="1030"/>
          <w:tab w:val="left" w:pos="8364"/>
        </w:tabs>
        <w:snapToGrid w:val="0"/>
        <w:spacing w:afterLines="50"/>
        <w:ind w:right="-57" w:rightChars="-27"/>
        <w:jc w:val="left"/>
        <w:outlineLvl w:val="2"/>
        <w:rPr>
          <w:rFonts w:hint="eastAsia" w:ascii="宋体" w:hAnsi="宋体" w:eastAsia="宋体"/>
          <w:b/>
          <w:color w:val="auto"/>
          <w:sz w:val="24"/>
          <w:lang w:eastAsia="zh-CN"/>
        </w:rPr>
      </w:pPr>
      <w:bookmarkStart w:id="1451" w:name="_Toc4170"/>
      <w:bookmarkStart w:id="1452" w:name="_Toc14762"/>
      <w:bookmarkStart w:id="1453" w:name="_Toc12562"/>
      <w:bookmarkStart w:id="1454" w:name="_Toc2139"/>
      <w:r>
        <w:rPr>
          <w:rFonts w:hint="eastAsia" w:ascii="宋体" w:hAnsi="宋体" w:eastAsia="宋体"/>
          <w:b/>
          <w:color w:val="auto"/>
          <w:sz w:val="24"/>
        </w:rPr>
        <w:t>9-6</w:t>
      </w:r>
      <w:r>
        <w:rPr>
          <w:rFonts w:hint="eastAsia" w:ascii="宋体" w:hAnsi="宋体" w:eastAsia="宋体" w:cs="宋体"/>
          <w:b/>
          <w:color w:val="auto"/>
          <w:sz w:val="24"/>
        </w:rPr>
        <w:t xml:space="preserve"> </w:t>
      </w:r>
      <w:r>
        <w:rPr>
          <w:rFonts w:hint="eastAsia" w:ascii="宋体" w:hAnsi="宋体" w:eastAsia="宋体"/>
          <w:b/>
          <w:color w:val="auto"/>
          <w:sz w:val="24"/>
        </w:rPr>
        <w:t>投标人参加政府采购活动前3年内在经营活动中没有重大违法记录的书面声明</w:t>
      </w:r>
      <w:r>
        <w:rPr>
          <w:rFonts w:hint="eastAsia" w:ascii="宋体" w:hAnsi="宋体"/>
          <w:b/>
          <w:color w:val="auto"/>
          <w:sz w:val="24"/>
          <w:lang w:eastAsia="zh-CN"/>
        </w:rPr>
        <w:t>(</w:t>
      </w:r>
      <w:r>
        <w:rPr>
          <w:rFonts w:hint="eastAsia" w:ascii="宋体" w:hAnsi="宋体" w:eastAsia="宋体"/>
          <w:b/>
          <w:color w:val="auto"/>
          <w:sz w:val="24"/>
        </w:rPr>
        <w:t>格式</w:t>
      </w:r>
      <w:bookmarkEnd w:id="1451"/>
      <w:bookmarkEnd w:id="1452"/>
      <w:bookmarkEnd w:id="1453"/>
      <w:bookmarkEnd w:id="1454"/>
      <w:r>
        <w:rPr>
          <w:rFonts w:hint="eastAsia" w:ascii="宋体" w:hAnsi="宋体"/>
          <w:b/>
          <w:color w:val="auto"/>
          <w:sz w:val="24"/>
          <w:lang w:eastAsia="zh-CN"/>
        </w:rPr>
        <w:t>)</w:t>
      </w:r>
    </w:p>
    <w:p w14:paraId="24088EC3">
      <w:pPr>
        <w:jc w:val="center"/>
        <w:rPr>
          <w:rFonts w:ascii="宋体" w:hAnsi="宋体" w:eastAsia="宋体"/>
          <w:color w:val="auto"/>
          <w:sz w:val="24"/>
        </w:rPr>
      </w:pPr>
    </w:p>
    <w:p w14:paraId="723B464A">
      <w:pPr>
        <w:jc w:val="center"/>
        <w:rPr>
          <w:rFonts w:ascii="宋体" w:hAnsi="宋体" w:eastAsia="宋体"/>
          <w:b/>
          <w:color w:val="auto"/>
          <w:sz w:val="24"/>
        </w:rPr>
      </w:pPr>
      <w:r>
        <w:rPr>
          <w:rFonts w:hint="eastAsia" w:ascii="宋体" w:hAnsi="宋体" w:eastAsia="宋体"/>
          <w:b/>
          <w:color w:val="auto"/>
          <w:sz w:val="24"/>
        </w:rPr>
        <w:t>声明函</w:t>
      </w:r>
    </w:p>
    <w:p w14:paraId="59553897">
      <w:pPr>
        <w:jc w:val="center"/>
        <w:rPr>
          <w:rFonts w:ascii="宋体" w:hAnsi="宋体" w:eastAsia="宋体"/>
          <w:color w:val="auto"/>
          <w:sz w:val="24"/>
        </w:rPr>
      </w:pPr>
    </w:p>
    <w:p w14:paraId="551F0B6F">
      <w:pPr>
        <w:tabs>
          <w:tab w:val="left" w:pos="5580"/>
        </w:tabs>
        <w:spacing w:before="120" w:line="360" w:lineRule="auto"/>
        <w:rPr>
          <w:rFonts w:ascii="宋体" w:hAnsi="宋体" w:eastAsia="宋体"/>
          <w:color w:val="auto"/>
          <w:sz w:val="24"/>
        </w:rPr>
      </w:pPr>
      <w:r>
        <w:rPr>
          <w:rFonts w:hint="eastAsia" w:ascii="宋体" w:hAnsi="宋体"/>
          <w:color w:val="auto"/>
          <w:sz w:val="24"/>
          <w:lang w:val="en-US" w:eastAsia="zh-CN"/>
        </w:rPr>
        <w:t>致</w:t>
      </w:r>
      <w:r>
        <w:rPr>
          <w:rFonts w:hint="eastAsia" w:ascii="宋体" w:hAnsi="宋体"/>
          <w:color w:val="auto"/>
          <w:sz w:val="24"/>
          <w:lang w:eastAsia="zh-CN"/>
        </w:rPr>
        <w:t>:</w:t>
      </w:r>
      <w:r>
        <w:rPr>
          <w:rFonts w:hint="eastAsia" w:ascii="宋体" w:hAnsi="宋体" w:eastAsia="宋体"/>
          <w:color w:val="auto"/>
          <w:sz w:val="24"/>
          <w:u w:val="single"/>
        </w:rPr>
        <w:t xml:space="preserve">   </w:t>
      </w:r>
      <w:r>
        <w:rPr>
          <w:rFonts w:hint="eastAsia" w:ascii="宋体" w:hAnsi="宋体"/>
          <w:color w:val="auto"/>
          <w:sz w:val="24"/>
          <w:u w:val="single"/>
          <w:lang w:eastAsia="zh-CN"/>
        </w:rPr>
        <w:t>(</w:t>
      </w:r>
      <w:r>
        <w:rPr>
          <w:rFonts w:hint="eastAsia" w:ascii="宋体" w:hAnsi="宋体" w:eastAsia="宋体"/>
          <w:color w:val="auto"/>
          <w:sz w:val="24"/>
          <w:u w:val="single"/>
        </w:rPr>
        <w:t>采购人</w:t>
      </w:r>
      <w:r>
        <w:rPr>
          <w:rFonts w:hint="eastAsia" w:ascii="宋体" w:hAnsi="宋体"/>
          <w:color w:val="auto"/>
          <w:sz w:val="24"/>
          <w:u w:val="single"/>
          <w:lang w:eastAsia="zh-CN"/>
        </w:rPr>
        <w:t>)</w:t>
      </w:r>
      <w:r>
        <w:rPr>
          <w:rFonts w:hint="eastAsia" w:ascii="宋体" w:hAnsi="宋体" w:eastAsia="宋体"/>
          <w:color w:val="auto"/>
          <w:sz w:val="24"/>
          <w:u w:val="single"/>
        </w:rPr>
        <w:t xml:space="preserve">  </w:t>
      </w:r>
    </w:p>
    <w:p w14:paraId="117BAF97">
      <w:pPr>
        <w:tabs>
          <w:tab w:val="left" w:pos="5580"/>
        </w:tabs>
        <w:spacing w:before="120" w:line="360" w:lineRule="auto"/>
        <w:ind w:firstLine="480" w:firstLineChars="200"/>
        <w:rPr>
          <w:rFonts w:ascii="宋体" w:hAnsi="宋体" w:eastAsia="宋体"/>
          <w:color w:val="auto"/>
          <w:sz w:val="24"/>
        </w:rPr>
      </w:pPr>
    </w:p>
    <w:p w14:paraId="45E4364C">
      <w:pPr>
        <w:tabs>
          <w:tab w:val="left" w:pos="5580"/>
        </w:tabs>
        <w:spacing w:before="120" w:line="360" w:lineRule="auto"/>
        <w:ind w:firstLine="480" w:firstLineChars="200"/>
        <w:rPr>
          <w:rFonts w:hint="eastAsia" w:ascii="宋体" w:hAnsi="宋体" w:eastAsia="宋体"/>
          <w:color w:val="auto"/>
          <w:sz w:val="24"/>
        </w:rPr>
      </w:pPr>
      <w:r>
        <w:rPr>
          <w:rFonts w:hint="eastAsia" w:ascii="宋体" w:hAnsi="宋体" w:eastAsia="宋体" w:cs="Times New Roman"/>
          <w:b w:val="0"/>
          <w:color w:val="auto"/>
          <w:sz w:val="24"/>
          <w:szCs w:val="24"/>
        </w:rPr>
        <w:t>在本项目投标文件截止时间前，</w:t>
      </w:r>
      <w:r>
        <w:rPr>
          <w:rFonts w:hint="eastAsia" w:ascii="宋体" w:hAnsi="宋体" w:eastAsia="宋体"/>
          <w:color w:val="auto"/>
          <w:sz w:val="24"/>
        </w:rPr>
        <w:t>我公司郑重承诺在参加本项目政府采购活动前三年内，在经营活动中无重大违法记录。公司未受到刑事处罚或责令停业、吊销许可证</w:t>
      </w:r>
      <w:r>
        <w:rPr>
          <w:rFonts w:hint="eastAsia" w:ascii="宋体" w:hAnsi="宋体"/>
          <w:color w:val="auto"/>
          <w:sz w:val="24"/>
          <w:lang w:eastAsia="zh-CN"/>
        </w:rPr>
        <w:t>(</w:t>
      </w:r>
      <w:r>
        <w:rPr>
          <w:rFonts w:hint="eastAsia" w:ascii="宋体" w:hAnsi="宋体" w:eastAsia="宋体"/>
          <w:color w:val="auto"/>
          <w:sz w:val="24"/>
        </w:rPr>
        <w:t>或执照</w:t>
      </w:r>
      <w:r>
        <w:rPr>
          <w:rFonts w:hint="eastAsia" w:ascii="宋体" w:hAnsi="宋体"/>
          <w:color w:val="auto"/>
          <w:sz w:val="24"/>
          <w:lang w:eastAsia="zh-CN"/>
        </w:rPr>
        <w:t>)</w:t>
      </w:r>
      <w:r>
        <w:rPr>
          <w:rFonts w:hint="eastAsia" w:ascii="宋体" w:hAnsi="宋体" w:cs="Times New Roman"/>
          <w:color w:val="auto"/>
          <w:sz w:val="24"/>
          <w:szCs w:val="24"/>
        </w:rPr>
        <w:t>、较大数额罚款等行政处罚</w:t>
      </w:r>
      <w:r>
        <w:rPr>
          <w:rFonts w:hint="eastAsia" w:ascii="宋体" w:hAnsi="宋体" w:eastAsia="宋体"/>
          <w:color w:val="auto"/>
          <w:sz w:val="24"/>
        </w:rPr>
        <w:t>；未处于财产被接管、冻结、破产状况。</w:t>
      </w:r>
    </w:p>
    <w:p w14:paraId="4B30E35B">
      <w:pPr>
        <w:tabs>
          <w:tab w:val="left" w:pos="5580"/>
        </w:tabs>
        <w:spacing w:before="120" w:line="360" w:lineRule="auto"/>
        <w:ind w:firstLine="480" w:firstLineChars="200"/>
        <w:rPr>
          <w:rFonts w:hint="eastAsia" w:ascii="宋体" w:hAnsi="宋体" w:eastAsia="宋体"/>
          <w:color w:val="auto"/>
          <w:sz w:val="24"/>
        </w:rPr>
      </w:pPr>
      <w:r>
        <w:rPr>
          <w:rFonts w:hint="eastAsia" w:ascii="宋体" w:hAnsi="宋体" w:eastAsia="宋体" w:cs="Times New Roman"/>
          <w:color w:val="auto"/>
          <w:sz w:val="24"/>
          <w:szCs w:val="24"/>
        </w:rPr>
        <w:t>如发现我单位提供的声明函不实时，我单位将按照《政府采购法》有关提供虚假材料的规定，接受处罚</w:t>
      </w:r>
      <w:r>
        <w:rPr>
          <w:rFonts w:hint="eastAsia" w:ascii="宋体" w:hAnsi="宋体" w:eastAsia="宋体" w:cs="Times New Roman"/>
          <w:color w:val="auto"/>
          <w:sz w:val="24"/>
          <w:szCs w:val="24"/>
          <w:lang w:eastAsia="zh-CN"/>
        </w:rPr>
        <w:t>。</w:t>
      </w:r>
    </w:p>
    <w:p w14:paraId="019966EA">
      <w:pPr>
        <w:tabs>
          <w:tab w:val="left" w:pos="5580"/>
        </w:tabs>
        <w:spacing w:before="120" w:line="360" w:lineRule="auto"/>
        <w:ind w:firstLine="480" w:firstLineChars="200"/>
        <w:rPr>
          <w:rFonts w:ascii="宋体" w:hAnsi="宋体" w:eastAsia="宋体"/>
          <w:color w:val="auto"/>
          <w:sz w:val="24"/>
        </w:rPr>
      </w:pPr>
      <w:r>
        <w:rPr>
          <w:rFonts w:hint="eastAsia" w:ascii="宋体" w:hAnsi="宋体" w:eastAsia="宋体"/>
          <w:color w:val="auto"/>
          <w:sz w:val="24"/>
        </w:rPr>
        <w:t>特此声明。</w:t>
      </w:r>
    </w:p>
    <w:p w14:paraId="019E2DDE">
      <w:pPr>
        <w:tabs>
          <w:tab w:val="left" w:pos="5580"/>
        </w:tabs>
        <w:spacing w:before="120" w:line="360" w:lineRule="auto"/>
        <w:ind w:firstLine="480" w:firstLineChars="200"/>
        <w:rPr>
          <w:rFonts w:ascii="宋体" w:hAnsi="宋体" w:eastAsia="宋体"/>
          <w:color w:val="auto"/>
          <w:sz w:val="24"/>
        </w:rPr>
      </w:pPr>
    </w:p>
    <w:p w14:paraId="234C0BE4">
      <w:pPr>
        <w:tabs>
          <w:tab w:val="left" w:pos="5580"/>
        </w:tabs>
        <w:spacing w:before="120" w:line="360" w:lineRule="auto"/>
        <w:ind w:firstLine="480" w:firstLineChars="200"/>
        <w:rPr>
          <w:rFonts w:ascii="宋体" w:hAnsi="宋体" w:eastAsia="宋体"/>
          <w:color w:val="auto"/>
          <w:sz w:val="24"/>
        </w:rPr>
      </w:pPr>
    </w:p>
    <w:p w14:paraId="7530B7DA">
      <w:pPr>
        <w:tabs>
          <w:tab w:val="left" w:pos="5580"/>
        </w:tabs>
        <w:spacing w:before="120" w:line="360" w:lineRule="auto"/>
        <w:ind w:firstLine="480" w:firstLineChars="200"/>
        <w:rPr>
          <w:rFonts w:ascii="宋体" w:hAnsi="宋体" w:eastAsia="宋体"/>
          <w:color w:val="auto"/>
          <w:sz w:val="24"/>
        </w:rPr>
      </w:pPr>
    </w:p>
    <w:p w14:paraId="5F4A41BA">
      <w:pPr>
        <w:pStyle w:val="80"/>
        <w:spacing w:line="360" w:lineRule="auto"/>
        <w:rPr>
          <w:rFonts w:ascii="宋体" w:hAnsi="宋体" w:eastAsia="宋体"/>
          <w:color w:val="auto"/>
          <w:sz w:val="24"/>
        </w:rPr>
      </w:pPr>
      <w:r>
        <w:rPr>
          <w:rFonts w:ascii="宋体" w:hAnsi="宋体" w:eastAsia="宋体"/>
          <w:color w:val="auto"/>
          <w:sz w:val="24"/>
        </w:rPr>
        <w:t>法定代表人或其</w:t>
      </w:r>
      <w:r>
        <w:rPr>
          <w:rFonts w:hint="eastAsia" w:ascii="宋体" w:hAnsi="宋体" w:eastAsia="宋体"/>
          <w:color w:val="auto"/>
          <w:sz w:val="24"/>
        </w:rPr>
        <w:t>委托代理人</w:t>
      </w:r>
      <w:r>
        <w:rPr>
          <w:rFonts w:hint="eastAsia" w:hAnsi="宋体"/>
          <w:color w:val="auto"/>
          <w:sz w:val="24"/>
          <w:lang w:eastAsia="zh-CN"/>
        </w:rPr>
        <w:t>(</w:t>
      </w:r>
      <w:r>
        <w:rPr>
          <w:rFonts w:hint="eastAsia" w:ascii="宋体" w:hAnsi="宋体" w:eastAsia="宋体"/>
          <w:color w:val="auto"/>
          <w:sz w:val="24"/>
        </w:rPr>
        <w:t>签字或加盖人名章</w:t>
      </w:r>
      <w:r>
        <w:rPr>
          <w:rFonts w:hint="eastAsia" w:hAnsi="宋体"/>
          <w:color w:val="auto"/>
          <w:lang w:eastAsia="zh-CN"/>
        </w:rPr>
        <w:t>)</w:t>
      </w:r>
      <w:r>
        <w:rPr>
          <w:rFonts w:hint="eastAsia" w:hAnsi="宋体"/>
          <w:color w:val="auto"/>
          <w:sz w:val="24"/>
          <w:lang w:eastAsia="zh-CN"/>
        </w:rPr>
        <w:t>:</w:t>
      </w:r>
      <w:r>
        <w:rPr>
          <w:rFonts w:hint="eastAsia" w:ascii="宋体" w:hAnsi="宋体" w:eastAsia="宋体"/>
          <w:color w:val="auto"/>
          <w:sz w:val="24"/>
        </w:rPr>
        <w:t>____________________________</w:t>
      </w:r>
    </w:p>
    <w:p w14:paraId="0C0B6F8E">
      <w:pPr>
        <w:pStyle w:val="80"/>
        <w:spacing w:line="360" w:lineRule="auto"/>
        <w:rPr>
          <w:rFonts w:ascii="宋体" w:hAnsi="宋体" w:eastAsia="宋体"/>
          <w:color w:val="auto"/>
          <w:sz w:val="24"/>
          <w:u w:val="single"/>
        </w:rPr>
      </w:pPr>
      <w:r>
        <w:rPr>
          <w:rFonts w:hint="eastAsia" w:ascii="宋体" w:hAnsi="宋体" w:eastAsia="宋体"/>
          <w:color w:val="auto"/>
          <w:sz w:val="24"/>
        </w:rPr>
        <w:t>投标人(盖章)</w:t>
      </w:r>
      <w:r>
        <w:rPr>
          <w:rFonts w:hint="eastAsia" w:hAnsi="宋体"/>
          <w:color w:val="auto"/>
          <w:sz w:val="24"/>
          <w:lang w:eastAsia="zh-CN"/>
        </w:rPr>
        <w:t>:</w:t>
      </w:r>
      <w:r>
        <w:rPr>
          <w:rFonts w:hint="eastAsia" w:ascii="宋体" w:hAnsi="宋体" w:eastAsia="宋体"/>
          <w:color w:val="auto"/>
          <w:sz w:val="24"/>
          <w:u w:val="single"/>
        </w:rPr>
        <w:t xml:space="preserve"> </w:t>
      </w:r>
      <w:r>
        <w:rPr>
          <w:rFonts w:ascii="宋体" w:hAnsi="宋体" w:eastAsia="宋体"/>
          <w:color w:val="auto"/>
          <w:sz w:val="24"/>
          <w:u w:val="single"/>
        </w:rPr>
        <w:tab/>
      </w:r>
      <w:r>
        <w:rPr>
          <w:rFonts w:hint="eastAsia" w:ascii="宋体" w:hAnsi="宋体" w:eastAsia="宋体"/>
          <w:color w:val="auto"/>
          <w:sz w:val="24"/>
          <w:u w:val="single"/>
        </w:rPr>
        <w:t xml:space="preserve">                        </w:t>
      </w:r>
      <w:r>
        <w:rPr>
          <w:rFonts w:ascii="宋体" w:hAnsi="宋体" w:eastAsia="宋体"/>
          <w:color w:val="auto"/>
          <w:sz w:val="24"/>
          <w:u w:val="single"/>
        </w:rPr>
        <w:tab/>
      </w:r>
    </w:p>
    <w:p w14:paraId="075533DA">
      <w:pPr>
        <w:pStyle w:val="80"/>
        <w:spacing w:line="360" w:lineRule="auto"/>
        <w:rPr>
          <w:rFonts w:ascii="宋体" w:hAnsi="宋体" w:eastAsia="宋体"/>
          <w:color w:val="auto"/>
          <w:sz w:val="24"/>
          <w:u w:val="single"/>
        </w:rPr>
      </w:pPr>
      <w:r>
        <w:rPr>
          <w:rFonts w:ascii="宋体" w:hAnsi="宋体" w:eastAsia="宋体"/>
          <w:color w:val="auto"/>
          <w:sz w:val="24"/>
          <w:u w:val="single"/>
        </w:rPr>
        <w:br w:type="page"/>
      </w:r>
    </w:p>
    <w:p w14:paraId="6DABB61B">
      <w:pPr>
        <w:jc w:val="both"/>
        <w:outlineLvl w:val="2"/>
        <w:rPr>
          <w:rFonts w:hint="eastAsia" w:ascii="宋体" w:hAnsi="宋体" w:eastAsia="宋体" w:cs="宋体"/>
          <w:b/>
          <w:color w:val="auto"/>
          <w:sz w:val="24"/>
        </w:rPr>
      </w:pPr>
      <w:bookmarkStart w:id="1455" w:name="_Toc11259"/>
      <w:bookmarkStart w:id="1456" w:name="_Toc15314"/>
      <w:bookmarkStart w:id="1457" w:name="_Toc20586"/>
      <w:bookmarkStart w:id="1458" w:name="_Toc1047"/>
      <w:r>
        <w:rPr>
          <w:rFonts w:hint="eastAsia" w:ascii="宋体" w:hAnsi="宋体" w:cs="宋体"/>
          <w:b/>
          <w:bCs/>
          <w:color w:val="auto"/>
          <w:szCs w:val="21"/>
        </w:rPr>
        <w:t>9-7</w:t>
      </w:r>
      <w:r>
        <w:rPr>
          <w:rFonts w:hint="eastAsia" w:ascii="宋体" w:hAnsi="宋体" w:eastAsia="宋体" w:cs="宋体"/>
          <w:b/>
          <w:color w:val="auto"/>
          <w:sz w:val="24"/>
        </w:rPr>
        <w:t xml:space="preserve"> 投标人控股股东名称、控股公司的名称和存在管理、被管理关系的单位名称说明</w:t>
      </w:r>
      <w:bookmarkEnd w:id="1455"/>
      <w:bookmarkEnd w:id="1456"/>
      <w:bookmarkEnd w:id="1457"/>
      <w:bookmarkEnd w:id="1458"/>
    </w:p>
    <w:p w14:paraId="6CA34BDB">
      <w:pPr>
        <w:ind w:firstLine="420"/>
        <w:rPr>
          <w:rFonts w:ascii="宋体" w:hAnsi="宋体"/>
          <w:color w:val="auto"/>
          <w:szCs w:val="21"/>
        </w:rPr>
      </w:pPr>
    </w:p>
    <w:p w14:paraId="484D659A">
      <w:pPr>
        <w:spacing w:line="360" w:lineRule="auto"/>
        <w:rPr>
          <w:rFonts w:hint="eastAsia" w:ascii="宋体" w:hAnsi="宋体" w:eastAsia="宋体"/>
          <w:color w:val="auto"/>
          <w:sz w:val="24"/>
          <w:szCs w:val="24"/>
          <w:lang w:eastAsia="zh-CN"/>
        </w:rPr>
      </w:pPr>
      <w:r>
        <w:rPr>
          <w:rFonts w:ascii="宋体" w:hAnsi="宋体"/>
          <w:color w:val="auto"/>
          <w:sz w:val="24"/>
          <w:szCs w:val="24"/>
        </w:rPr>
        <w:t>致</w:t>
      </w:r>
      <w:r>
        <w:rPr>
          <w:rFonts w:hint="eastAsia" w:ascii="宋体" w:hAnsi="宋体"/>
          <w:color w:val="auto"/>
          <w:sz w:val="24"/>
          <w:szCs w:val="24"/>
          <w:lang w:eastAsia="zh-CN"/>
        </w:rPr>
        <w:t>:</w:t>
      </w:r>
    </w:p>
    <w:p w14:paraId="6F709F8B">
      <w:pPr>
        <w:ind w:firstLine="426"/>
        <w:rPr>
          <w:rFonts w:hint="eastAsia" w:ascii="宋体" w:hAnsi="Courier New" w:eastAsia="宋体" w:cs="Courier New"/>
          <w:color w:val="auto"/>
          <w:sz w:val="24"/>
          <w:lang w:eastAsia="zh-CN"/>
        </w:rPr>
      </w:pPr>
      <w:r>
        <w:rPr>
          <w:rFonts w:hint="eastAsia" w:ascii="宋体" w:hAnsi="Courier New" w:cs="Courier New"/>
          <w:color w:val="auto"/>
          <w:sz w:val="24"/>
        </w:rPr>
        <w:t>与我方的法定代表人</w:t>
      </w:r>
      <w:r>
        <w:rPr>
          <w:rFonts w:hint="eastAsia" w:ascii="宋体" w:hAnsi="Courier New" w:cs="Courier New"/>
          <w:color w:val="auto"/>
          <w:sz w:val="24"/>
          <w:lang w:eastAsia="zh-CN"/>
        </w:rPr>
        <w:t>(</w:t>
      </w:r>
      <w:r>
        <w:rPr>
          <w:rFonts w:hint="eastAsia" w:ascii="宋体" w:hAnsi="Courier New" w:cs="Courier New"/>
          <w:color w:val="auto"/>
          <w:sz w:val="24"/>
        </w:rPr>
        <w:t>单位负责人</w:t>
      </w:r>
      <w:r>
        <w:rPr>
          <w:rFonts w:hint="eastAsia" w:ascii="宋体" w:hAnsi="Courier New" w:cs="Courier New"/>
          <w:color w:val="auto"/>
          <w:sz w:val="24"/>
          <w:lang w:eastAsia="zh-CN"/>
        </w:rPr>
        <w:t>)</w:t>
      </w:r>
      <w:r>
        <w:rPr>
          <w:rFonts w:hint="eastAsia" w:ascii="宋体" w:hAnsi="Courier New" w:cs="Courier New"/>
          <w:color w:val="auto"/>
          <w:sz w:val="24"/>
        </w:rPr>
        <w:t>为同一人的企业如下</w:t>
      </w:r>
      <w:r>
        <w:rPr>
          <w:rFonts w:hint="eastAsia" w:ascii="宋体" w:hAnsi="Courier New" w:cs="Courier New"/>
          <w:color w:val="auto"/>
          <w:sz w:val="24"/>
          <w:lang w:eastAsia="zh-CN"/>
        </w:rPr>
        <w:t>:</w:t>
      </w:r>
    </w:p>
    <w:p w14:paraId="41DA8702">
      <w:pPr>
        <w:ind w:firstLine="426"/>
        <w:rPr>
          <w:rFonts w:ascii="宋体" w:hAnsi="Courier New" w:cs="Courier New"/>
          <w:color w:val="auto"/>
          <w:sz w:val="24"/>
        </w:rPr>
      </w:pPr>
    </w:p>
    <w:p w14:paraId="3232623C">
      <w:pPr>
        <w:ind w:firstLine="426"/>
        <w:rPr>
          <w:rFonts w:hint="eastAsia" w:ascii="宋体" w:hAnsi="Courier New" w:eastAsia="宋体" w:cs="Courier New"/>
          <w:color w:val="auto"/>
          <w:sz w:val="24"/>
          <w:lang w:eastAsia="zh-CN"/>
        </w:rPr>
      </w:pPr>
      <w:r>
        <w:rPr>
          <w:rFonts w:hint="eastAsia" w:ascii="宋体" w:hAnsi="Courier New" w:cs="Courier New"/>
          <w:color w:val="auto"/>
          <w:sz w:val="24"/>
        </w:rPr>
        <w:t>我方的控股股东如下</w:t>
      </w:r>
      <w:r>
        <w:rPr>
          <w:rFonts w:hint="eastAsia" w:ascii="宋体" w:hAnsi="Courier New" w:cs="Courier New"/>
          <w:color w:val="auto"/>
          <w:sz w:val="24"/>
          <w:lang w:eastAsia="zh-CN"/>
        </w:rPr>
        <w:t>:</w:t>
      </w:r>
    </w:p>
    <w:p w14:paraId="1E02500C">
      <w:pPr>
        <w:ind w:firstLine="426"/>
        <w:rPr>
          <w:rFonts w:ascii="宋体" w:hAnsi="Courier New" w:cs="Courier New"/>
          <w:color w:val="auto"/>
          <w:sz w:val="24"/>
        </w:rPr>
      </w:pPr>
    </w:p>
    <w:p w14:paraId="2624C3CB">
      <w:pPr>
        <w:ind w:firstLine="426"/>
        <w:rPr>
          <w:rFonts w:hint="eastAsia" w:ascii="宋体" w:hAnsi="Courier New" w:eastAsia="宋体" w:cs="Courier New"/>
          <w:color w:val="auto"/>
          <w:sz w:val="24"/>
          <w:lang w:eastAsia="zh-CN"/>
        </w:rPr>
      </w:pPr>
      <w:r>
        <w:rPr>
          <w:rFonts w:hint="eastAsia" w:ascii="宋体" w:hAnsi="Courier New" w:cs="Courier New"/>
          <w:color w:val="auto"/>
          <w:sz w:val="24"/>
        </w:rPr>
        <w:t>我方直接控股的企业如下</w:t>
      </w:r>
      <w:r>
        <w:rPr>
          <w:rFonts w:hint="eastAsia" w:ascii="宋体" w:hAnsi="Courier New" w:cs="Courier New"/>
          <w:color w:val="auto"/>
          <w:sz w:val="24"/>
          <w:lang w:eastAsia="zh-CN"/>
        </w:rPr>
        <w:t>:</w:t>
      </w:r>
    </w:p>
    <w:p w14:paraId="5CEB9EA0">
      <w:pPr>
        <w:ind w:firstLine="426"/>
        <w:rPr>
          <w:rFonts w:ascii="宋体" w:hAnsi="Courier New" w:cs="Courier New"/>
          <w:color w:val="auto"/>
          <w:sz w:val="24"/>
        </w:rPr>
      </w:pPr>
    </w:p>
    <w:p w14:paraId="4396B5E4">
      <w:pPr>
        <w:ind w:firstLine="426"/>
        <w:rPr>
          <w:rFonts w:hint="eastAsia" w:ascii="宋体" w:hAnsi="Courier New" w:eastAsia="宋体" w:cs="Courier New"/>
          <w:color w:val="auto"/>
          <w:sz w:val="24"/>
          <w:lang w:eastAsia="zh-CN"/>
        </w:rPr>
      </w:pPr>
      <w:r>
        <w:rPr>
          <w:rFonts w:hint="eastAsia" w:ascii="宋体" w:hAnsi="Courier New" w:cs="Courier New"/>
          <w:color w:val="auto"/>
          <w:sz w:val="24"/>
        </w:rPr>
        <w:t>与我方存在管理、被管理关系的单位名称如下</w:t>
      </w:r>
      <w:r>
        <w:rPr>
          <w:rFonts w:hint="eastAsia" w:ascii="宋体" w:hAnsi="Courier New" w:cs="Courier New"/>
          <w:color w:val="auto"/>
          <w:sz w:val="24"/>
          <w:lang w:eastAsia="zh-CN"/>
        </w:rPr>
        <w:t>:</w:t>
      </w:r>
    </w:p>
    <w:p w14:paraId="276CB58B">
      <w:pPr>
        <w:ind w:firstLine="426"/>
        <w:rPr>
          <w:rFonts w:ascii="宋体" w:hAnsi="Courier New" w:cs="Courier New"/>
          <w:color w:val="auto"/>
          <w:sz w:val="24"/>
        </w:rPr>
      </w:pPr>
    </w:p>
    <w:p w14:paraId="75817E53">
      <w:pPr>
        <w:ind w:firstLine="426"/>
        <w:rPr>
          <w:rFonts w:ascii="宋体" w:hAnsi="宋体"/>
          <w:color w:val="auto"/>
          <w:sz w:val="24"/>
          <w:szCs w:val="24"/>
        </w:rPr>
      </w:pPr>
    </w:p>
    <w:p w14:paraId="77E1727B">
      <w:pPr>
        <w:ind w:firstLine="426"/>
        <w:rPr>
          <w:rFonts w:ascii="宋体" w:hAnsi="宋体"/>
          <w:color w:val="auto"/>
          <w:sz w:val="24"/>
          <w:szCs w:val="24"/>
        </w:rPr>
      </w:pPr>
      <w:r>
        <w:rPr>
          <w:rFonts w:ascii="宋体" w:hAnsi="宋体"/>
          <w:color w:val="auto"/>
          <w:sz w:val="24"/>
          <w:szCs w:val="24"/>
        </w:rPr>
        <w:t>投标人名称</w:t>
      </w:r>
      <w:r>
        <w:rPr>
          <w:rFonts w:hint="eastAsia" w:ascii="宋体" w:hAnsi="宋体"/>
          <w:color w:val="auto"/>
          <w:sz w:val="24"/>
          <w:szCs w:val="24"/>
          <w:lang w:eastAsia="zh-CN"/>
        </w:rPr>
        <w:t>(</w:t>
      </w:r>
      <w:r>
        <w:rPr>
          <w:rFonts w:ascii="宋体" w:hAnsi="宋体"/>
          <w:color w:val="auto"/>
          <w:sz w:val="24"/>
          <w:szCs w:val="24"/>
        </w:rPr>
        <w:t>公章</w:t>
      </w:r>
      <w:r>
        <w:rPr>
          <w:rFonts w:hint="eastAsia" w:ascii="宋体" w:hAnsi="宋体"/>
          <w:color w:val="auto"/>
          <w:sz w:val="24"/>
          <w:szCs w:val="24"/>
          <w:lang w:eastAsia="zh-CN"/>
        </w:rPr>
        <w:t>):</w:t>
      </w:r>
      <w:r>
        <w:rPr>
          <w:rFonts w:ascii="宋体" w:hAnsi="宋体"/>
          <w:color w:val="auto"/>
          <w:sz w:val="24"/>
          <w:szCs w:val="24"/>
        </w:rPr>
        <w:t xml:space="preserve"> </w:t>
      </w:r>
    </w:p>
    <w:p w14:paraId="45ECA933">
      <w:pPr>
        <w:ind w:firstLine="420"/>
        <w:rPr>
          <w:rFonts w:hint="eastAsia" w:ascii="宋体" w:hAnsi="宋体" w:eastAsia="宋体"/>
          <w:color w:val="auto"/>
          <w:sz w:val="24"/>
          <w:szCs w:val="24"/>
          <w:lang w:eastAsia="zh-CN"/>
        </w:rPr>
      </w:pPr>
      <w:r>
        <w:rPr>
          <w:rFonts w:ascii="宋体" w:hAnsi="宋体"/>
          <w:color w:val="auto"/>
          <w:sz w:val="24"/>
          <w:szCs w:val="24"/>
        </w:rPr>
        <w:t>法定代表人或其</w:t>
      </w:r>
      <w:r>
        <w:rPr>
          <w:rFonts w:hint="eastAsia" w:ascii="宋体" w:hAnsi="宋体"/>
          <w:color w:val="auto"/>
          <w:sz w:val="24"/>
          <w:szCs w:val="24"/>
        </w:rPr>
        <w:t>委托代理人</w:t>
      </w:r>
      <w:r>
        <w:rPr>
          <w:rFonts w:hint="eastAsia" w:ascii="宋体" w:hAnsi="宋体"/>
          <w:color w:val="auto"/>
          <w:sz w:val="24"/>
          <w:szCs w:val="24"/>
          <w:lang w:eastAsia="zh-CN"/>
        </w:rPr>
        <w:t>(</w:t>
      </w:r>
      <w:r>
        <w:rPr>
          <w:rFonts w:hint="eastAsia" w:ascii="宋体" w:hAnsi="宋体"/>
          <w:color w:val="auto"/>
          <w:sz w:val="24"/>
          <w:szCs w:val="24"/>
        </w:rPr>
        <w:t>签字或加盖人名章</w:t>
      </w:r>
      <w:r>
        <w:rPr>
          <w:rFonts w:hint="eastAsia" w:ascii="宋体" w:hAnsi="宋体"/>
          <w:color w:val="auto"/>
          <w:sz w:val="24"/>
          <w:szCs w:val="24"/>
          <w:lang w:eastAsia="zh-CN"/>
        </w:rPr>
        <w:t>):</w:t>
      </w:r>
    </w:p>
    <w:p w14:paraId="67C00689">
      <w:pPr>
        <w:ind w:firstLine="480" w:firstLineChars="200"/>
        <w:rPr>
          <w:rFonts w:ascii="宋体" w:hAnsi="宋体"/>
          <w:color w:val="auto"/>
          <w:sz w:val="24"/>
          <w:szCs w:val="24"/>
        </w:rPr>
      </w:pPr>
      <w:r>
        <w:rPr>
          <w:rFonts w:ascii="宋体" w:hAnsi="宋体"/>
          <w:color w:val="auto"/>
          <w:sz w:val="24"/>
          <w:szCs w:val="24"/>
        </w:rPr>
        <w:t>日    期</w:t>
      </w:r>
      <w:r>
        <w:rPr>
          <w:rFonts w:hint="eastAsia" w:ascii="宋体" w:hAnsi="宋体"/>
          <w:color w:val="auto"/>
          <w:sz w:val="24"/>
          <w:szCs w:val="24"/>
          <w:lang w:eastAsia="zh-CN"/>
        </w:rPr>
        <w:t>:</w:t>
      </w:r>
      <w:r>
        <w:rPr>
          <w:rFonts w:ascii="宋体" w:hAnsi="宋体"/>
          <w:color w:val="auto"/>
          <w:sz w:val="24"/>
          <w:szCs w:val="24"/>
        </w:rPr>
        <w:t xml:space="preserve">     年   月    日</w:t>
      </w:r>
    </w:p>
    <w:p w14:paraId="6125AAA9">
      <w:pPr>
        <w:outlineLvl w:val="2"/>
        <w:rPr>
          <w:rFonts w:hAnsi="宋体"/>
          <w:b/>
          <w:bCs/>
          <w:color w:val="auto"/>
          <w:sz w:val="24"/>
          <w:szCs w:val="24"/>
        </w:rPr>
      </w:pPr>
      <w:r>
        <w:rPr>
          <w:rFonts w:ascii="宋体" w:hAnsi="宋体"/>
          <w:color w:val="auto"/>
          <w:sz w:val="24"/>
          <w:szCs w:val="24"/>
        </w:rPr>
        <w:br w:type="page"/>
      </w:r>
      <w:bookmarkStart w:id="1459" w:name="_Toc8928"/>
      <w:bookmarkStart w:id="1460" w:name="_Toc26311"/>
      <w:bookmarkStart w:id="1461" w:name="_Toc32187"/>
      <w:bookmarkStart w:id="1462" w:name="_Toc12322"/>
      <w:r>
        <w:rPr>
          <w:rFonts w:hint="eastAsia" w:hAnsi="宋体"/>
          <w:b/>
          <w:bCs/>
          <w:color w:val="auto"/>
          <w:sz w:val="24"/>
          <w:szCs w:val="24"/>
        </w:rPr>
        <w:t>9-</w:t>
      </w:r>
      <w:r>
        <w:rPr>
          <w:rFonts w:hint="eastAsia" w:hAnsi="宋体"/>
          <w:b/>
          <w:bCs/>
          <w:color w:val="auto"/>
          <w:sz w:val="24"/>
          <w:szCs w:val="24"/>
          <w:lang w:val="en-US" w:eastAsia="zh-CN"/>
        </w:rPr>
        <w:t>8</w:t>
      </w:r>
      <w:r>
        <w:rPr>
          <w:rFonts w:hint="eastAsia" w:ascii="宋体" w:hAnsi="宋体" w:eastAsia="宋体" w:cs="宋体"/>
          <w:b/>
          <w:color w:val="auto"/>
          <w:sz w:val="24"/>
        </w:rPr>
        <w:t xml:space="preserve"> </w:t>
      </w:r>
      <w:r>
        <w:rPr>
          <w:rFonts w:hint="eastAsia" w:hAnsi="宋体"/>
          <w:b/>
          <w:bCs/>
          <w:color w:val="auto"/>
          <w:sz w:val="24"/>
          <w:szCs w:val="24"/>
        </w:rPr>
        <w:t>联合体协议书</w:t>
      </w:r>
      <w:bookmarkEnd w:id="1459"/>
      <w:bookmarkEnd w:id="1460"/>
      <w:bookmarkEnd w:id="1461"/>
      <w:bookmarkEnd w:id="1462"/>
    </w:p>
    <w:p w14:paraId="0E612295">
      <w:pPr>
        <w:autoSpaceDE w:val="0"/>
        <w:autoSpaceDN w:val="0"/>
        <w:adjustRightInd w:val="0"/>
        <w:jc w:val="center"/>
        <w:rPr>
          <w:rFonts w:ascii="宋体" w:hAnsi="宋体" w:cs="黑体"/>
          <w:color w:val="auto"/>
          <w:kern w:val="0"/>
          <w:sz w:val="28"/>
          <w:szCs w:val="28"/>
        </w:rPr>
      </w:pPr>
    </w:p>
    <w:p w14:paraId="2C1F944B">
      <w:pPr>
        <w:autoSpaceDE w:val="0"/>
        <w:autoSpaceDN w:val="0"/>
        <w:adjustRightInd w:val="0"/>
        <w:jc w:val="center"/>
        <w:rPr>
          <w:rFonts w:hint="eastAsia" w:ascii="宋体" w:hAnsi="宋体" w:eastAsia="宋体" w:cs="黑体"/>
          <w:b/>
          <w:bCs/>
          <w:i w:val="0"/>
          <w:iCs w:val="0"/>
          <w:color w:val="auto"/>
          <w:kern w:val="0"/>
          <w:szCs w:val="21"/>
          <w:lang w:eastAsia="zh-CN"/>
        </w:rPr>
      </w:pPr>
      <w:r>
        <w:rPr>
          <w:rFonts w:hint="eastAsia" w:ascii="宋体" w:hAnsi="宋体" w:cs="黑体"/>
          <w:color w:val="auto"/>
          <w:kern w:val="0"/>
          <w:sz w:val="28"/>
          <w:szCs w:val="28"/>
        </w:rPr>
        <w:t>联合体协议书</w:t>
      </w:r>
      <w:r>
        <w:rPr>
          <w:rFonts w:hint="eastAsia" w:ascii="宋体" w:hAnsi="宋体" w:cs="黑体"/>
          <w:b/>
          <w:bCs/>
          <w:i w:val="0"/>
          <w:iCs w:val="0"/>
          <w:color w:val="auto"/>
          <w:kern w:val="0"/>
          <w:szCs w:val="21"/>
          <w:lang w:eastAsia="zh-CN"/>
        </w:rPr>
        <w:t>(</w:t>
      </w:r>
      <w:r>
        <w:rPr>
          <w:rFonts w:hint="eastAsia" w:ascii="宋体" w:hAnsi="宋体" w:cs="黑体"/>
          <w:b/>
          <w:bCs/>
          <w:i w:val="0"/>
          <w:iCs w:val="0"/>
          <w:color w:val="auto"/>
          <w:kern w:val="0"/>
          <w:szCs w:val="21"/>
        </w:rPr>
        <w:t>注</w:t>
      </w:r>
      <w:r>
        <w:rPr>
          <w:rFonts w:hint="eastAsia" w:ascii="宋体" w:hAnsi="宋体" w:cs="黑体"/>
          <w:b/>
          <w:bCs/>
          <w:i w:val="0"/>
          <w:iCs w:val="0"/>
          <w:color w:val="auto"/>
          <w:kern w:val="0"/>
          <w:szCs w:val="21"/>
          <w:lang w:eastAsia="zh-CN"/>
        </w:rPr>
        <w:t>:</w:t>
      </w:r>
      <w:r>
        <w:rPr>
          <w:rFonts w:hint="eastAsia" w:ascii="宋体" w:hAnsi="宋体" w:cs="黑体"/>
          <w:b/>
          <w:bCs/>
          <w:i w:val="0"/>
          <w:iCs w:val="0"/>
          <w:color w:val="auto"/>
          <w:kern w:val="0"/>
          <w:szCs w:val="21"/>
          <w:lang w:val="en-US" w:eastAsia="zh-CN"/>
        </w:rPr>
        <w:t>本项目不适用，供应商无须提供该协议</w:t>
      </w:r>
      <w:r>
        <w:rPr>
          <w:rFonts w:hint="eastAsia" w:ascii="宋体" w:hAnsi="宋体" w:cs="黑体"/>
          <w:b/>
          <w:bCs/>
          <w:i w:val="0"/>
          <w:iCs w:val="0"/>
          <w:color w:val="auto"/>
          <w:kern w:val="0"/>
          <w:szCs w:val="21"/>
          <w:lang w:eastAsia="zh-CN"/>
        </w:rPr>
        <w:t>)</w:t>
      </w:r>
    </w:p>
    <w:p w14:paraId="16035CFF">
      <w:pPr>
        <w:autoSpaceDE w:val="0"/>
        <w:autoSpaceDN w:val="0"/>
        <w:adjustRightInd w:val="0"/>
        <w:jc w:val="center"/>
        <w:rPr>
          <w:rFonts w:ascii="宋体" w:hAnsi="宋体" w:cs="黑体"/>
          <w:color w:val="auto"/>
          <w:kern w:val="0"/>
          <w:sz w:val="28"/>
          <w:szCs w:val="28"/>
        </w:rPr>
      </w:pPr>
    </w:p>
    <w:p w14:paraId="48833113">
      <w:pPr>
        <w:autoSpaceDE w:val="0"/>
        <w:autoSpaceDN w:val="0"/>
        <w:adjustRightInd w:val="0"/>
        <w:jc w:val="center"/>
        <w:rPr>
          <w:rFonts w:ascii="宋体" w:hAnsi="宋体" w:cs="黑体"/>
          <w:i/>
          <w:iCs/>
          <w:color w:val="auto"/>
          <w:kern w:val="0"/>
          <w:szCs w:val="21"/>
        </w:rPr>
      </w:pPr>
    </w:p>
    <w:p w14:paraId="2A47F750">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所有成员单位名称</w:t>
      </w:r>
      <w:r>
        <w:rPr>
          <w:rFonts w:hint="eastAsia" w:ascii="宋体" w:hAnsi="宋体" w:cs="仿宋_GB2312"/>
          <w:color w:val="auto"/>
          <w:kern w:val="0"/>
          <w:sz w:val="24"/>
          <w:lang w:eastAsia="zh-CN"/>
        </w:rPr>
        <w:t>)</w:t>
      </w:r>
      <w:r>
        <w:rPr>
          <w:rFonts w:hint="eastAsia" w:ascii="宋体" w:hAnsi="宋体" w:cs="仿宋_GB2312"/>
          <w:color w:val="auto"/>
          <w:kern w:val="0"/>
          <w:sz w:val="24"/>
        </w:rPr>
        <w:t>自愿组成</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联合体名称</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联合体，共同参加</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项目名称</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投标。现就联合体投标事宜订立如下协议。</w:t>
      </w:r>
    </w:p>
    <w:p w14:paraId="0448A928">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1</w:t>
      </w:r>
      <w:r>
        <w:rPr>
          <w:rFonts w:hint="eastAsia" w:ascii="宋体" w:hAnsi="宋体" w:cs="仿宋_GB2312"/>
          <w:color w:val="auto"/>
          <w:kern w:val="0"/>
          <w:sz w:val="24"/>
        </w:rPr>
        <w:t>、</w:t>
      </w:r>
      <w:r>
        <w:rPr>
          <w:rFonts w:ascii="宋体" w:hAnsi="宋体" w:cs="仿宋_GB2312"/>
          <w:color w:val="auto"/>
          <w:kern w:val="0"/>
          <w:sz w:val="24"/>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某成员单位名称</w:t>
      </w:r>
      <w:r>
        <w:rPr>
          <w:rFonts w:hint="eastAsia" w:ascii="宋体" w:hAnsi="宋体" w:cs="仿宋_GB2312"/>
          <w:color w:val="auto"/>
          <w:kern w:val="0"/>
          <w:sz w:val="24"/>
          <w:lang w:eastAsia="zh-CN"/>
        </w:rPr>
        <w:t>)</w:t>
      </w:r>
      <w:r>
        <w:rPr>
          <w:rFonts w:hint="eastAsia" w:ascii="宋体" w:hAnsi="宋体" w:cs="仿宋_GB2312"/>
          <w:color w:val="auto"/>
          <w:kern w:val="0"/>
          <w:sz w:val="24"/>
        </w:rPr>
        <w:t>为</w:t>
      </w:r>
      <w:r>
        <w:rPr>
          <w:rFonts w:ascii="宋体" w:hAnsi="宋体" w:cs="仿宋_GB2312"/>
          <w:color w:val="auto"/>
          <w:kern w:val="0"/>
          <w:sz w:val="24"/>
          <w:u w:val="single"/>
        </w:rPr>
        <w:t xml:space="preserve"> </w:t>
      </w:r>
      <w:r>
        <w:rPr>
          <w:rFonts w:hint="eastAsia" w:ascii="宋体" w:hAnsi="宋体" w:cs="仿宋_GB2312"/>
          <w:color w:val="auto"/>
          <w:kern w:val="0"/>
          <w:sz w:val="24"/>
          <w:u w:val="single"/>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联合体名称</w:t>
      </w:r>
      <w:r>
        <w:rPr>
          <w:rFonts w:hint="eastAsia" w:ascii="宋体" w:hAnsi="宋体" w:cs="仿宋_GB2312"/>
          <w:color w:val="auto"/>
          <w:kern w:val="0"/>
          <w:sz w:val="24"/>
          <w:lang w:eastAsia="zh-CN"/>
        </w:rPr>
        <w:t>)</w:t>
      </w:r>
      <w:r>
        <w:rPr>
          <w:rFonts w:hint="eastAsia" w:ascii="宋体" w:hAnsi="宋体" w:cs="仿宋_GB2312"/>
          <w:color w:val="auto"/>
          <w:kern w:val="0"/>
          <w:sz w:val="24"/>
        </w:rPr>
        <w:t>牵头人。</w:t>
      </w:r>
    </w:p>
    <w:p w14:paraId="5BD271DD">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2</w:t>
      </w:r>
      <w:r>
        <w:rPr>
          <w:rFonts w:hint="eastAsia" w:ascii="宋体" w:hAnsi="宋体" w:cs="仿宋_GB2312"/>
          <w:color w:val="auto"/>
          <w:kern w:val="0"/>
          <w:sz w:val="24"/>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40A7F14">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3</w:t>
      </w:r>
      <w:r>
        <w:rPr>
          <w:rFonts w:hint="eastAsia" w:ascii="宋体" w:hAnsi="宋体" w:cs="仿宋_GB2312"/>
          <w:color w:val="auto"/>
          <w:kern w:val="0"/>
          <w:sz w:val="24"/>
        </w:rPr>
        <w:t>、联合体将严格按照招标文件的各项要求，递交投标文件，履行合同，并对外承担连带责任。</w:t>
      </w:r>
    </w:p>
    <w:p w14:paraId="0E28947C">
      <w:pPr>
        <w:autoSpaceDE w:val="0"/>
        <w:autoSpaceDN w:val="0"/>
        <w:adjustRightInd w:val="0"/>
        <w:spacing w:line="360" w:lineRule="auto"/>
        <w:ind w:firstLine="480" w:firstLineChars="200"/>
        <w:jc w:val="left"/>
        <w:outlineLvl w:val="9"/>
        <w:rPr>
          <w:rFonts w:hint="eastAsia" w:ascii="宋体" w:hAnsi="宋体" w:eastAsia="宋体" w:cs="仿宋_GB2312"/>
          <w:color w:val="auto"/>
          <w:kern w:val="0"/>
          <w:sz w:val="24"/>
          <w:lang w:eastAsia="zh-CN"/>
        </w:rPr>
      </w:pPr>
      <w:r>
        <w:rPr>
          <w:rFonts w:ascii="宋体" w:hAnsi="宋体" w:cs="TimesNewRomanPSMT"/>
          <w:color w:val="auto"/>
          <w:kern w:val="0"/>
          <w:sz w:val="24"/>
        </w:rPr>
        <w:t>4</w:t>
      </w:r>
      <w:r>
        <w:rPr>
          <w:rFonts w:hint="eastAsia" w:ascii="宋体" w:hAnsi="宋体" w:cs="仿宋_GB2312"/>
          <w:color w:val="auto"/>
          <w:kern w:val="0"/>
          <w:sz w:val="24"/>
        </w:rPr>
        <w:t>、联合体各成员单位内部的职责分工如下</w:t>
      </w:r>
      <w:r>
        <w:rPr>
          <w:rFonts w:hint="eastAsia" w:ascii="宋体" w:hAnsi="宋体" w:cs="仿宋_GB2312"/>
          <w:color w:val="auto"/>
          <w:kern w:val="0"/>
          <w:sz w:val="24"/>
          <w:lang w:eastAsia="zh-CN"/>
        </w:rPr>
        <w:t>:</w:t>
      </w:r>
    </w:p>
    <w:p w14:paraId="1CC65E9C">
      <w:pPr>
        <w:autoSpaceDE w:val="0"/>
        <w:autoSpaceDN w:val="0"/>
        <w:adjustRightInd w:val="0"/>
        <w:spacing w:line="360" w:lineRule="auto"/>
        <w:ind w:firstLine="480" w:firstLineChars="200"/>
        <w:jc w:val="left"/>
        <w:rPr>
          <w:rFonts w:hint="default" w:ascii="宋体" w:hAnsi="宋体" w:eastAsia="宋体" w:cs="仿宋_GB2312"/>
          <w:color w:val="auto"/>
          <w:kern w:val="0"/>
          <w:sz w:val="24"/>
          <w:lang w:val="en-US" w:eastAsia="zh-CN"/>
        </w:rPr>
      </w:pPr>
      <w:r>
        <w:rPr>
          <w:rFonts w:hint="eastAsia" w:ascii="宋体" w:hAnsi="宋体" w:cs="仿宋_GB2312"/>
          <w:color w:val="auto"/>
          <w:kern w:val="0"/>
          <w:sz w:val="24"/>
          <w:lang w:eastAsia="zh-CN"/>
        </w:rPr>
        <w:t>(</w:t>
      </w:r>
      <w:r>
        <w:rPr>
          <w:rFonts w:hint="eastAsia" w:ascii="宋体" w:hAnsi="宋体" w:cs="仿宋_GB2312"/>
          <w:color w:val="auto"/>
          <w:kern w:val="0"/>
          <w:sz w:val="24"/>
          <w:lang w:val="en-US" w:eastAsia="zh-CN"/>
        </w:rPr>
        <w:t>成员单位名称及职责分工)</w:t>
      </w:r>
    </w:p>
    <w:p w14:paraId="7E6A83B4">
      <w:pPr>
        <w:autoSpaceDE w:val="0"/>
        <w:autoSpaceDN w:val="0"/>
        <w:adjustRightInd w:val="0"/>
        <w:spacing w:line="360" w:lineRule="auto"/>
        <w:ind w:firstLine="480" w:firstLineChars="200"/>
        <w:jc w:val="left"/>
        <w:rPr>
          <w:rFonts w:ascii="宋体" w:hAnsi="宋体" w:cs="仿宋_GB2312"/>
          <w:color w:val="auto"/>
          <w:kern w:val="0"/>
          <w:sz w:val="24"/>
        </w:rPr>
      </w:pPr>
    </w:p>
    <w:p w14:paraId="03D4E28F">
      <w:pPr>
        <w:autoSpaceDE w:val="0"/>
        <w:autoSpaceDN w:val="0"/>
        <w:adjustRightInd w:val="0"/>
        <w:spacing w:line="360" w:lineRule="auto"/>
        <w:ind w:firstLine="480" w:firstLineChars="200"/>
        <w:jc w:val="left"/>
        <w:rPr>
          <w:rFonts w:ascii="宋体" w:hAnsi="宋体" w:cs="仿宋_GB2312"/>
          <w:color w:val="auto"/>
          <w:kern w:val="0"/>
          <w:sz w:val="24"/>
        </w:rPr>
      </w:pPr>
    </w:p>
    <w:p w14:paraId="4F8F23A1">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5</w:t>
      </w:r>
      <w:r>
        <w:rPr>
          <w:rFonts w:hint="eastAsia" w:ascii="宋体" w:hAnsi="宋体" w:cs="仿宋_GB2312"/>
          <w:color w:val="auto"/>
          <w:kern w:val="0"/>
          <w:sz w:val="24"/>
        </w:rPr>
        <w:t>、本协议书自签署之日起生效，合同履行完毕后自动失效。</w:t>
      </w:r>
    </w:p>
    <w:p w14:paraId="646FBE0B">
      <w:pPr>
        <w:autoSpaceDE w:val="0"/>
        <w:autoSpaceDN w:val="0"/>
        <w:adjustRightInd w:val="0"/>
        <w:spacing w:line="360" w:lineRule="auto"/>
        <w:ind w:firstLine="480" w:firstLineChars="200"/>
        <w:jc w:val="left"/>
        <w:rPr>
          <w:rFonts w:ascii="宋体" w:hAnsi="宋体" w:cs="仿宋_GB2312"/>
          <w:color w:val="auto"/>
          <w:kern w:val="0"/>
          <w:sz w:val="24"/>
        </w:rPr>
      </w:pPr>
      <w:r>
        <w:rPr>
          <w:rFonts w:ascii="宋体" w:hAnsi="宋体" w:cs="TimesNewRomanPSMT"/>
          <w:color w:val="auto"/>
          <w:kern w:val="0"/>
          <w:sz w:val="24"/>
        </w:rPr>
        <w:t>6</w:t>
      </w:r>
      <w:r>
        <w:rPr>
          <w:rFonts w:hint="eastAsia" w:ascii="宋体" w:hAnsi="宋体" w:cs="仿宋_GB2312"/>
          <w:color w:val="auto"/>
          <w:kern w:val="0"/>
          <w:sz w:val="24"/>
        </w:rPr>
        <w:t>、本协议书一式</w:t>
      </w:r>
      <w:r>
        <w:rPr>
          <w:rFonts w:ascii="宋体" w:hAnsi="宋体" w:cs="仿宋_GB2312"/>
          <w:color w:val="auto"/>
          <w:kern w:val="0"/>
          <w:sz w:val="24"/>
        </w:rPr>
        <w:t xml:space="preserve"> </w:t>
      </w:r>
      <w:r>
        <w:rPr>
          <w:rFonts w:hint="eastAsia" w:ascii="宋体" w:hAnsi="宋体" w:cs="仿宋_GB2312"/>
          <w:color w:val="auto"/>
          <w:kern w:val="0"/>
          <w:sz w:val="24"/>
        </w:rPr>
        <w:t xml:space="preserve">  份，联合体成员和</w:t>
      </w:r>
      <w:r>
        <w:rPr>
          <w:rFonts w:hint="eastAsia" w:ascii="宋体" w:hAnsi="宋体" w:cs="仿宋_GB2312"/>
          <w:color w:val="auto"/>
          <w:kern w:val="0"/>
          <w:sz w:val="24"/>
          <w:lang w:val="en-US" w:eastAsia="zh-CN"/>
        </w:rPr>
        <w:t>采购</w:t>
      </w:r>
      <w:r>
        <w:rPr>
          <w:rFonts w:hint="eastAsia" w:ascii="宋体" w:hAnsi="宋体" w:cs="仿宋_GB2312"/>
          <w:color w:val="auto"/>
          <w:kern w:val="0"/>
          <w:sz w:val="24"/>
        </w:rPr>
        <w:t>人各执一份。</w:t>
      </w:r>
    </w:p>
    <w:p w14:paraId="614F44AC">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注</w:t>
      </w:r>
      <w:r>
        <w:rPr>
          <w:rFonts w:hint="eastAsia" w:ascii="宋体" w:hAnsi="宋体" w:cs="仿宋_GB2312"/>
          <w:color w:val="auto"/>
          <w:kern w:val="0"/>
          <w:sz w:val="24"/>
          <w:lang w:eastAsia="zh-CN"/>
        </w:rPr>
        <w:t>:</w:t>
      </w:r>
      <w:r>
        <w:rPr>
          <w:rFonts w:hint="eastAsia" w:ascii="宋体" w:hAnsi="宋体" w:cs="仿宋_GB2312"/>
          <w:color w:val="auto"/>
          <w:kern w:val="0"/>
          <w:sz w:val="24"/>
        </w:rPr>
        <w:t>本协议书由委托代理人签字的，应附法定代表人签字的授权委托书。</w:t>
      </w:r>
    </w:p>
    <w:p w14:paraId="7E5E56C9">
      <w:pPr>
        <w:autoSpaceDE w:val="0"/>
        <w:autoSpaceDN w:val="0"/>
        <w:adjustRightInd w:val="0"/>
        <w:spacing w:line="360" w:lineRule="auto"/>
        <w:ind w:firstLine="480" w:firstLineChars="200"/>
        <w:jc w:val="left"/>
        <w:rPr>
          <w:rFonts w:ascii="宋体" w:hAnsi="宋体" w:cs="仿宋_GB2312"/>
          <w:color w:val="auto"/>
          <w:kern w:val="0"/>
          <w:sz w:val="24"/>
        </w:rPr>
      </w:pPr>
    </w:p>
    <w:p w14:paraId="0C0E20B3">
      <w:pPr>
        <w:autoSpaceDE w:val="0"/>
        <w:autoSpaceDN w:val="0"/>
        <w:adjustRightInd w:val="0"/>
        <w:spacing w:line="360" w:lineRule="auto"/>
        <w:ind w:firstLine="480" w:firstLineChars="200"/>
        <w:jc w:val="left"/>
        <w:rPr>
          <w:rFonts w:ascii="宋体" w:hAnsi="宋体" w:cs="仿宋_GB2312"/>
          <w:color w:val="auto"/>
          <w:kern w:val="0"/>
          <w:sz w:val="24"/>
        </w:rPr>
      </w:pPr>
    </w:p>
    <w:p w14:paraId="6F22F44C">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牵头人名称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014CB49E">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7C4BEC63">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成员一名称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18D5A5BC">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hint="eastAsia" w:ascii="宋体" w:hAnsi="宋体" w:cs="仿宋_GB2312"/>
          <w:color w:val="auto"/>
          <w:kern w:val="0"/>
          <w:sz w:val="24"/>
        </w:rPr>
        <w:t xml:space="preserve">      </w:t>
      </w:r>
      <w:r>
        <w:rPr>
          <w:rFonts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029353A4">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成员二名称</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盖单位章</w:t>
      </w:r>
      <w:r>
        <w:rPr>
          <w:rFonts w:hint="eastAsia" w:ascii="宋体" w:hAnsi="宋体" w:cs="仿宋_GB2312"/>
          <w:color w:val="auto"/>
          <w:kern w:val="0"/>
          <w:sz w:val="24"/>
          <w:lang w:eastAsia="zh-CN"/>
        </w:rPr>
        <w:t>)</w:t>
      </w:r>
    </w:p>
    <w:p w14:paraId="322E9E13">
      <w:pPr>
        <w:autoSpaceDE w:val="0"/>
        <w:autoSpaceDN w:val="0"/>
        <w:adjustRightInd w:val="0"/>
        <w:spacing w:line="360" w:lineRule="auto"/>
        <w:ind w:firstLine="480" w:firstLineChars="200"/>
        <w:jc w:val="left"/>
        <w:rPr>
          <w:rFonts w:hint="eastAsia" w:ascii="宋体" w:hAnsi="宋体" w:eastAsia="宋体" w:cs="仿宋_GB2312"/>
          <w:color w:val="auto"/>
          <w:kern w:val="0"/>
          <w:sz w:val="24"/>
          <w:lang w:eastAsia="zh-CN"/>
        </w:rPr>
      </w:pPr>
      <w:r>
        <w:rPr>
          <w:rFonts w:hint="eastAsia" w:ascii="宋体" w:hAnsi="宋体" w:cs="仿宋_GB2312"/>
          <w:color w:val="auto"/>
          <w:kern w:val="0"/>
          <w:sz w:val="24"/>
        </w:rPr>
        <w:t>法定代表人或其委托代理人</w:t>
      </w:r>
      <w:r>
        <w:rPr>
          <w:rFonts w:hint="eastAsia" w:ascii="宋体" w:hAnsi="宋体" w:cs="仿宋_GB2312"/>
          <w:color w:val="auto"/>
          <w:kern w:val="0"/>
          <w:sz w:val="24"/>
          <w:lang w:eastAsia="zh-CN"/>
        </w:rPr>
        <w:t>:</w:t>
      </w:r>
      <w:r>
        <w:rPr>
          <w:rFonts w:ascii="宋体" w:hAnsi="宋体" w:cs="仿宋_GB2312"/>
          <w:color w:val="auto"/>
          <w:kern w:val="0"/>
          <w:sz w:val="24"/>
        </w:rPr>
        <w:t xml:space="preserve"> </w:t>
      </w:r>
      <w:r>
        <w:rPr>
          <w:rFonts w:hint="eastAsia" w:ascii="宋体" w:hAnsi="宋体" w:cs="仿宋_GB2312"/>
          <w:color w:val="auto"/>
          <w:kern w:val="0"/>
          <w:sz w:val="24"/>
        </w:rPr>
        <w:t xml:space="preserve">      </w:t>
      </w:r>
      <w:r>
        <w:rPr>
          <w:rFonts w:hint="eastAsia" w:ascii="宋体" w:hAnsi="宋体" w:cs="仿宋_GB2312"/>
          <w:color w:val="auto"/>
          <w:kern w:val="0"/>
          <w:sz w:val="24"/>
          <w:lang w:eastAsia="zh-CN"/>
        </w:rPr>
        <w:t>(</w:t>
      </w:r>
      <w:r>
        <w:rPr>
          <w:rFonts w:hint="eastAsia" w:ascii="宋体" w:hAnsi="宋体" w:cs="仿宋_GB2312"/>
          <w:color w:val="auto"/>
          <w:kern w:val="0"/>
          <w:sz w:val="24"/>
        </w:rPr>
        <w:t>签字</w:t>
      </w:r>
      <w:r>
        <w:rPr>
          <w:rFonts w:hint="eastAsia" w:ascii="宋体" w:hAnsi="宋体" w:cs="仿宋_GB2312"/>
          <w:color w:val="auto"/>
          <w:kern w:val="0"/>
          <w:sz w:val="24"/>
          <w:lang w:eastAsia="zh-CN"/>
        </w:rPr>
        <w:t>)</w:t>
      </w:r>
    </w:p>
    <w:p w14:paraId="120E0DAE">
      <w:pPr>
        <w:autoSpaceDE w:val="0"/>
        <w:autoSpaceDN w:val="0"/>
        <w:adjustRightInd w:val="0"/>
        <w:spacing w:line="360" w:lineRule="auto"/>
        <w:ind w:firstLine="480" w:firstLineChars="200"/>
        <w:jc w:val="left"/>
        <w:rPr>
          <w:rFonts w:ascii="宋体" w:hAnsi="宋体" w:cs="TimesNewRomanPSMT"/>
          <w:color w:val="auto"/>
          <w:kern w:val="0"/>
          <w:sz w:val="24"/>
        </w:rPr>
      </w:pPr>
      <w:r>
        <w:rPr>
          <w:rFonts w:ascii="宋体" w:hAnsi="宋体" w:cs="TimesNewRomanPSMT"/>
          <w:color w:val="auto"/>
          <w:kern w:val="0"/>
          <w:sz w:val="24"/>
        </w:rPr>
        <w:t>……</w:t>
      </w:r>
    </w:p>
    <w:p w14:paraId="16A30D42">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t>年</w:t>
      </w:r>
      <w:r>
        <w:rPr>
          <w:rFonts w:ascii="宋体" w:hAnsi="宋体" w:cs="仿宋_GB2312"/>
          <w:color w:val="auto"/>
          <w:kern w:val="0"/>
          <w:sz w:val="24"/>
        </w:rPr>
        <w:t xml:space="preserve"> </w:t>
      </w:r>
      <w:r>
        <w:rPr>
          <w:rFonts w:hint="eastAsia" w:ascii="宋体" w:hAnsi="宋体" w:cs="仿宋_GB2312"/>
          <w:color w:val="auto"/>
          <w:kern w:val="0"/>
          <w:sz w:val="24"/>
        </w:rPr>
        <w:t>月</w:t>
      </w:r>
      <w:r>
        <w:rPr>
          <w:rFonts w:ascii="宋体" w:hAnsi="宋体" w:cs="仿宋_GB2312"/>
          <w:color w:val="auto"/>
          <w:kern w:val="0"/>
          <w:sz w:val="24"/>
        </w:rPr>
        <w:t xml:space="preserve"> </w:t>
      </w:r>
      <w:r>
        <w:rPr>
          <w:rFonts w:hint="eastAsia" w:ascii="宋体" w:hAnsi="宋体" w:cs="仿宋_GB2312"/>
          <w:color w:val="auto"/>
          <w:kern w:val="0"/>
          <w:sz w:val="24"/>
        </w:rPr>
        <w:t>日</w:t>
      </w:r>
    </w:p>
    <w:p w14:paraId="28202EB1">
      <w:pPr>
        <w:autoSpaceDE w:val="0"/>
        <w:autoSpaceDN w:val="0"/>
        <w:adjustRightInd w:val="0"/>
        <w:spacing w:line="360" w:lineRule="auto"/>
        <w:ind w:firstLine="480" w:firstLineChars="200"/>
        <w:jc w:val="left"/>
        <w:rPr>
          <w:rFonts w:ascii="宋体" w:hAnsi="宋体" w:cs="仿宋_GB2312"/>
          <w:color w:val="auto"/>
          <w:kern w:val="0"/>
          <w:sz w:val="24"/>
        </w:rPr>
      </w:pPr>
      <w:r>
        <w:rPr>
          <w:rFonts w:hint="eastAsia" w:ascii="宋体" w:hAnsi="宋体" w:cs="仿宋_GB2312"/>
          <w:color w:val="auto"/>
          <w:kern w:val="0"/>
          <w:sz w:val="24"/>
        </w:rPr>
        <w:br w:type="page"/>
      </w:r>
    </w:p>
    <w:p w14:paraId="75615989">
      <w:pPr>
        <w:outlineLvl w:val="2"/>
        <w:rPr>
          <w:rFonts w:hint="eastAsia" w:ascii="Times New Roman" w:hAnsi="宋体" w:eastAsia="宋体" w:cs="Times New Roman"/>
          <w:b/>
          <w:bCs/>
          <w:color w:val="auto"/>
          <w:sz w:val="24"/>
          <w:szCs w:val="24"/>
          <w:lang w:val="en-US" w:eastAsia="zh-CN"/>
        </w:rPr>
      </w:pPr>
      <w:r>
        <w:rPr>
          <w:rFonts w:hint="eastAsia" w:ascii="Times New Roman" w:hAnsi="宋体" w:eastAsia="宋体" w:cs="Times New Roman"/>
          <w:b/>
          <w:bCs/>
          <w:color w:val="auto"/>
          <w:sz w:val="24"/>
          <w:szCs w:val="24"/>
        </w:rPr>
        <w:t>9-</w:t>
      </w:r>
      <w:r>
        <w:rPr>
          <w:rFonts w:hint="eastAsia" w:ascii="Times New Roman" w:hAnsi="宋体" w:eastAsia="宋体" w:cs="Times New Roman"/>
          <w:b/>
          <w:bCs/>
          <w:color w:val="auto"/>
          <w:sz w:val="24"/>
          <w:szCs w:val="24"/>
          <w:lang w:val="en-US" w:eastAsia="zh-CN"/>
        </w:rPr>
        <w:t>9</w:t>
      </w:r>
      <w:r>
        <w:rPr>
          <w:rFonts w:hint="eastAsia" w:ascii="Times New Roman" w:hAnsi="宋体" w:eastAsia="宋体" w:cs="Times New Roman"/>
          <w:b/>
          <w:bCs/>
          <w:color w:val="auto"/>
          <w:sz w:val="24"/>
          <w:szCs w:val="24"/>
        </w:rPr>
        <w:t xml:space="preserve"> </w:t>
      </w:r>
      <w:r>
        <w:rPr>
          <w:rFonts w:hint="eastAsia" w:ascii="Times New Roman" w:hAnsi="宋体" w:eastAsia="宋体" w:cs="Times New Roman"/>
          <w:b/>
          <w:bCs/>
          <w:color w:val="auto"/>
          <w:sz w:val="24"/>
          <w:szCs w:val="24"/>
          <w:lang w:val="en-US" w:eastAsia="zh-CN"/>
        </w:rPr>
        <w:t>供应商资质</w:t>
      </w:r>
    </w:p>
    <w:p w14:paraId="42C4F3BF">
      <w:pPr>
        <w:pStyle w:val="2"/>
        <w:ind w:left="0" w:leftChars="0" w:firstLine="0" w:firstLineChars="0"/>
        <w:rPr>
          <w:rFonts w:hint="eastAsia" w:ascii="Times New Roman" w:hAnsi="宋体" w:eastAsia="宋体" w:cs="Times New Roman"/>
          <w:b/>
          <w:bCs/>
          <w:color w:val="auto"/>
          <w:sz w:val="24"/>
          <w:szCs w:val="24"/>
          <w:lang w:val="en-US" w:eastAsia="zh-CN"/>
        </w:rPr>
      </w:pPr>
    </w:p>
    <w:p w14:paraId="64D83D06">
      <w:pPr>
        <w:pStyle w:val="2"/>
        <w:ind w:left="0" w:leftChars="0" w:firstLine="0" w:firstLineChars="0"/>
        <w:outlineLvl w:val="9"/>
        <w:rPr>
          <w:rFonts w:hint="default" w:ascii="Times New Roman" w:hAnsi="宋体" w:eastAsia="宋体" w:cs="Times New Roman"/>
          <w:b w:val="0"/>
          <w:bCs w:val="0"/>
          <w:color w:val="auto"/>
          <w:sz w:val="24"/>
          <w:szCs w:val="24"/>
          <w:lang w:val="en-US" w:eastAsia="zh-CN"/>
        </w:rPr>
      </w:pPr>
      <w:r>
        <w:rPr>
          <w:rFonts w:hint="eastAsia" w:ascii="Times New Roman" w:hAnsi="宋体" w:eastAsia="宋体" w:cs="Times New Roman"/>
          <w:b w:val="0"/>
          <w:bCs w:val="0"/>
          <w:color w:val="auto"/>
          <w:sz w:val="24"/>
          <w:szCs w:val="24"/>
          <w:lang w:val="en-US" w:eastAsia="zh-CN"/>
        </w:rPr>
        <w:t>说明：供应商提供城市及道路照明工程专业承包三级及以上资质证书扫描件、安全生产许可证扫描件，且均处于有效期内。</w:t>
      </w:r>
    </w:p>
    <w:p w14:paraId="58D6FC7C">
      <w:pPr>
        <w:rPr>
          <w:rFonts w:hint="eastAsia" w:ascii="Times New Roman" w:hAnsi="宋体" w:eastAsia="宋体" w:cs="Times New Roman"/>
          <w:b w:val="0"/>
          <w:bCs w:val="0"/>
          <w:color w:val="auto"/>
          <w:sz w:val="24"/>
          <w:szCs w:val="24"/>
          <w:lang w:val="en-US" w:eastAsia="zh-CN"/>
        </w:rPr>
      </w:pPr>
      <w:r>
        <w:rPr>
          <w:rFonts w:hint="eastAsia" w:ascii="Times New Roman" w:hAnsi="宋体" w:eastAsia="宋体" w:cs="Times New Roman"/>
          <w:b w:val="0"/>
          <w:bCs w:val="0"/>
          <w:color w:val="auto"/>
          <w:sz w:val="24"/>
          <w:szCs w:val="24"/>
          <w:lang w:val="en-US" w:eastAsia="zh-CN"/>
        </w:rPr>
        <w:br w:type="page"/>
      </w:r>
    </w:p>
    <w:p w14:paraId="75B2F33F">
      <w:pPr>
        <w:outlineLvl w:val="2"/>
        <w:rPr>
          <w:rFonts w:hint="default" w:ascii="Times New Roman" w:hAnsi="宋体" w:eastAsia="宋体" w:cs="Times New Roman"/>
          <w:b/>
          <w:bCs/>
          <w:color w:val="auto"/>
          <w:sz w:val="24"/>
          <w:szCs w:val="24"/>
          <w:lang w:val="en-US" w:eastAsia="zh-CN"/>
        </w:rPr>
      </w:pPr>
      <w:r>
        <w:rPr>
          <w:rFonts w:hint="eastAsia" w:ascii="Times New Roman" w:hAnsi="宋体" w:eastAsia="宋体" w:cs="Times New Roman"/>
          <w:b/>
          <w:bCs/>
          <w:color w:val="auto"/>
          <w:sz w:val="24"/>
          <w:szCs w:val="24"/>
        </w:rPr>
        <w:t>9-</w:t>
      </w:r>
      <w:r>
        <w:rPr>
          <w:rFonts w:hint="eastAsia" w:ascii="Times New Roman" w:hAnsi="宋体" w:eastAsia="宋体" w:cs="Times New Roman"/>
          <w:b/>
          <w:bCs/>
          <w:color w:val="auto"/>
          <w:sz w:val="24"/>
          <w:szCs w:val="24"/>
          <w:lang w:val="en-US" w:eastAsia="zh-CN"/>
        </w:rPr>
        <w:t>10</w:t>
      </w:r>
      <w:r>
        <w:rPr>
          <w:rFonts w:hint="eastAsia" w:ascii="Times New Roman" w:hAnsi="宋体" w:eastAsia="宋体" w:cs="Times New Roman"/>
          <w:b/>
          <w:bCs/>
          <w:color w:val="auto"/>
          <w:sz w:val="24"/>
          <w:szCs w:val="24"/>
        </w:rPr>
        <w:t xml:space="preserve"> </w:t>
      </w:r>
      <w:r>
        <w:rPr>
          <w:rFonts w:hint="eastAsia" w:ascii="Times New Roman" w:hAnsi="宋体" w:eastAsia="宋体" w:cs="Times New Roman"/>
          <w:b/>
          <w:bCs/>
          <w:color w:val="auto"/>
          <w:sz w:val="24"/>
          <w:szCs w:val="24"/>
          <w:lang w:val="en-US" w:eastAsia="zh-CN"/>
        </w:rPr>
        <w:t>拟投入本项目人员团队</w:t>
      </w:r>
    </w:p>
    <w:p w14:paraId="5DFE1755">
      <w:pPr>
        <w:pStyle w:val="2"/>
        <w:ind w:left="0" w:leftChars="0" w:firstLine="0" w:firstLineChars="0"/>
        <w:rPr>
          <w:rFonts w:hint="eastAsia" w:ascii="Times New Roman" w:hAnsi="宋体" w:eastAsia="宋体" w:cs="Times New Roman"/>
          <w:b/>
          <w:bCs/>
          <w:color w:val="auto"/>
          <w:sz w:val="24"/>
          <w:szCs w:val="24"/>
          <w:lang w:val="en-US" w:eastAsia="zh-CN"/>
        </w:rPr>
      </w:pPr>
    </w:p>
    <w:p w14:paraId="7776E169">
      <w:pPr>
        <w:numPr>
          <w:ilvl w:val="0"/>
          <w:numId w:val="0"/>
        </w:numPr>
        <w:ind w:leftChars="0"/>
        <w:jc w:val="center"/>
        <w:outlineLvl w:val="9"/>
        <w:rPr>
          <w:rFonts w:hint="eastAsia" w:ascii="黑体" w:hAnsi="黑体" w:eastAsia="黑体" w:cs="Times New Roman"/>
          <w:color w:val="auto"/>
          <w:kern w:val="2"/>
          <w:sz w:val="28"/>
          <w:szCs w:val="28"/>
          <w:highlight w:val="none"/>
          <w:lang w:eastAsia="zh-CN" w:bidi="ar-SA"/>
        </w:rPr>
      </w:pPr>
      <w:r>
        <w:rPr>
          <w:rFonts w:hint="eastAsia" w:ascii="黑体" w:hAnsi="黑体" w:eastAsia="黑体" w:cs="Times New Roman"/>
          <w:color w:val="auto"/>
          <w:kern w:val="2"/>
          <w:sz w:val="28"/>
          <w:szCs w:val="28"/>
          <w:highlight w:val="none"/>
          <w:lang w:eastAsia="zh-CN" w:bidi="ar-SA"/>
        </w:rPr>
        <w:t>项目管理机构组成表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830"/>
        <w:gridCol w:w="830"/>
        <w:gridCol w:w="1328"/>
        <w:gridCol w:w="903"/>
        <w:gridCol w:w="923"/>
        <w:gridCol w:w="996"/>
        <w:gridCol w:w="2492"/>
        <w:gridCol w:w="830"/>
      </w:tblGrid>
      <w:tr w14:paraId="14A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14:paraId="39F4939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职务</w:t>
            </w:r>
          </w:p>
        </w:tc>
        <w:tc>
          <w:tcPr>
            <w:tcW w:w="709" w:type="dxa"/>
            <w:vMerge w:val="restart"/>
            <w:vAlign w:val="center"/>
          </w:tcPr>
          <w:p w14:paraId="0BCF87B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姓名</w:t>
            </w:r>
          </w:p>
        </w:tc>
        <w:tc>
          <w:tcPr>
            <w:tcW w:w="709" w:type="dxa"/>
            <w:vMerge w:val="restart"/>
            <w:vAlign w:val="center"/>
          </w:tcPr>
          <w:p w14:paraId="730C642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职称</w:t>
            </w:r>
          </w:p>
        </w:tc>
        <w:tc>
          <w:tcPr>
            <w:tcW w:w="5670" w:type="dxa"/>
            <w:gridSpan w:val="5"/>
            <w:vAlign w:val="center"/>
          </w:tcPr>
          <w:p w14:paraId="6BD20D9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执业或职业资格证明</w:t>
            </w:r>
          </w:p>
        </w:tc>
        <w:tc>
          <w:tcPr>
            <w:tcW w:w="708" w:type="dxa"/>
            <w:vMerge w:val="restart"/>
            <w:vAlign w:val="center"/>
          </w:tcPr>
          <w:p w14:paraId="7E36DFA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备注</w:t>
            </w:r>
          </w:p>
        </w:tc>
      </w:tr>
      <w:tr w14:paraId="27E4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547AE56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Merge w:val="continue"/>
            <w:vAlign w:val="center"/>
          </w:tcPr>
          <w:p w14:paraId="20528EB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Merge w:val="continue"/>
            <w:vAlign w:val="center"/>
          </w:tcPr>
          <w:p w14:paraId="5DF609F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27F568E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证书名称</w:t>
            </w:r>
          </w:p>
        </w:tc>
        <w:tc>
          <w:tcPr>
            <w:tcW w:w="771" w:type="dxa"/>
            <w:vAlign w:val="center"/>
          </w:tcPr>
          <w:p w14:paraId="49ED03E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级别</w:t>
            </w:r>
          </w:p>
        </w:tc>
        <w:tc>
          <w:tcPr>
            <w:tcW w:w="788" w:type="dxa"/>
            <w:vAlign w:val="center"/>
          </w:tcPr>
          <w:p w14:paraId="41746D5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证号</w:t>
            </w:r>
          </w:p>
        </w:tc>
        <w:tc>
          <w:tcPr>
            <w:tcW w:w="850" w:type="dxa"/>
            <w:vAlign w:val="center"/>
          </w:tcPr>
          <w:p w14:paraId="66E0610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专业</w:t>
            </w:r>
          </w:p>
        </w:tc>
        <w:tc>
          <w:tcPr>
            <w:tcW w:w="2127" w:type="dxa"/>
            <w:vAlign w:val="center"/>
          </w:tcPr>
          <w:p w14:paraId="76E4163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r>
              <w:rPr>
                <w:rFonts w:hint="eastAsia" w:ascii="宋体" w:hAnsi="宋体" w:eastAsia="宋体" w:cs="Times New Roman"/>
                <w:color w:val="auto"/>
                <w:kern w:val="2"/>
                <w:sz w:val="21"/>
                <w:szCs w:val="21"/>
                <w:highlight w:val="none"/>
                <w:lang w:eastAsia="zh-CN" w:bidi="ar-SA"/>
              </w:rPr>
              <w:t>养老保险</w:t>
            </w:r>
          </w:p>
        </w:tc>
        <w:tc>
          <w:tcPr>
            <w:tcW w:w="708" w:type="dxa"/>
            <w:vMerge w:val="continue"/>
            <w:vAlign w:val="center"/>
          </w:tcPr>
          <w:p w14:paraId="395148E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7635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7CD33C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001677B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6E0D84A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27DB149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6047122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06CEA2B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041868C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5D37F1B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24E89D9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5779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B05AC2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536A5A3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2C7E06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5A6727C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0B74116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032289F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0B8B334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07B560C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3E62240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3886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9B1294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00692B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6635BFA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52D48E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16D7B24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09C6C22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00A82F7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737FC9D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3A6573C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7BC8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A99088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55D4893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952EAC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1AC24F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454DDAD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26A3E62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6D75B3B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6C8498D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4CA2AF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4083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4DEFF1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2519F4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639C28A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5A04127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3541D9A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4B81874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5759775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60EB81B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1FFCF73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09E5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891FFA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0B7AF99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2F7052A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AAB853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615441C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4703ABD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2AE42FA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430B683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42D638E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189E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A87DF2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75056AB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71AFD1D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6C0CDC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2B46EBE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1ED2C43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7649767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462948B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38FA002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2AD58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20525C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435184F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5795330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0A16DD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5D9DFF7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103003E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230B891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20FD637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66A69ED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4AE7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BF8340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00EB16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03D65FB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2B57231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0203B84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16E917E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296149B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227A7B3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1264E28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0491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B63B84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4C346AE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277DF76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DAE249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2E6097C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5B80A94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45A206F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1B5E042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69FDF8F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1F5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804C50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E589F4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48F2774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1C7C93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00B2412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30BEBF4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44CCC90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0E2FCC9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6FF73C7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35D8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0A0088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041177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05B8545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851CEB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3F4D04D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24EFB21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7D23951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63F5E9F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2A6C669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6C1A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B86AB9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54AA34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5DBB9B0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47F0B5F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38268F7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45AA7F3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7726D28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1F41FFB6">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4DF1068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4514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C1A8AF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612361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4A738C2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145FE8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2386E8A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615A466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3E3D9B1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7AA732B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7718255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3304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A41C2E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61425A4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78736DC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2D48ED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470C2F4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237EF68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3212B67D">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0525F72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561B897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5840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521569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340506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B936A9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774E09D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3D02C18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342E0A43">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5BEFBCE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717F203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4A26484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5AFD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0D6198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771E047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33668EF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208FFDC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22004751">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22D1FD7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3F623E0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4F00ADA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7A87A96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2DB5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329A55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4B2D084">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10358BD8">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1BB16EA">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6B39D35B">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6FAF935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264B2FF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5F375062">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0A86672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r w14:paraId="7AD1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703783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02D51C09">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9" w:type="dxa"/>
            <w:vAlign w:val="center"/>
          </w:tcPr>
          <w:p w14:paraId="540668D5">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1134" w:type="dxa"/>
            <w:vAlign w:val="center"/>
          </w:tcPr>
          <w:p w14:paraId="6561751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71" w:type="dxa"/>
            <w:vAlign w:val="center"/>
          </w:tcPr>
          <w:p w14:paraId="5BD9B597">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88" w:type="dxa"/>
            <w:vAlign w:val="center"/>
          </w:tcPr>
          <w:p w14:paraId="7C00805E">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850" w:type="dxa"/>
            <w:vAlign w:val="center"/>
          </w:tcPr>
          <w:p w14:paraId="3518387F">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2127" w:type="dxa"/>
            <w:vAlign w:val="center"/>
          </w:tcPr>
          <w:p w14:paraId="4A21952C">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c>
          <w:tcPr>
            <w:tcW w:w="708" w:type="dxa"/>
            <w:vAlign w:val="center"/>
          </w:tcPr>
          <w:p w14:paraId="6671CCD0">
            <w:pPr>
              <w:keepNext w:val="0"/>
              <w:keepLines w:val="0"/>
              <w:suppressLineNumbers w:val="0"/>
              <w:spacing w:before="0" w:beforeAutospacing="0" w:after="0" w:afterAutospacing="0"/>
              <w:ind w:left="0" w:right="0"/>
              <w:jc w:val="center"/>
              <w:rPr>
                <w:rFonts w:hint="default" w:ascii="宋体" w:hAnsi="宋体" w:eastAsia="宋体" w:cs="Times New Roman"/>
                <w:color w:val="auto"/>
                <w:kern w:val="2"/>
                <w:sz w:val="21"/>
                <w:szCs w:val="21"/>
                <w:highlight w:val="none"/>
                <w:lang w:eastAsia="zh-CN" w:bidi="ar-SA"/>
              </w:rPr>
            </w:pPr>
          </w:p>
        </w:tc>
      </w:tr>
    </w:tbl>
    <w:p w14:paraId="198D0267">
      <w:pPr>
        <w:ind w:left="420" w:hanging="420" w:hangingChars="200"/>
        <w:jc w:val="left"/>
        <w:rPr>
          <w:rFonts w:ascii="宋体" w:hAnsi="宋体" w:eastAsia="宋体" w:cs="宋体"/>
          <w:bCs/>
          <w:color w:val="auto"/>
          <w:kern w:val="2"/>
          <w:sz w:val="21"/>
          <w:szCs w:val="21"/>
          <w:highlight w:val="none"/>
          <w:lang w:eastAsia="zh-CN" w:bidi="ar-SA"/>
        </w:rPr>
      </w:pPr>
    </w:p>
    <w:p w14:paraId="1346FABC">
      <w:pPr>
        <w:shd w:val="clear"/>
        <w:spacing w:line="480" w:lineRule="exact"/>
        <w:jc w:val="left"/>
        <w:rPr>
          <w:rFonts w:ascii="宋体" w:hAnsi="宋体" w:eastAsia="宋体" w:cs="宋体"/>
          <w:color w:val="auto"/>
          <w:kern w:val="0"/>
          <w:sz w:val="24"/>
          <w:highlight w:val="none"/>
          <w:lang w:eastAsia="zh-CN" w:bidi="en-US"/>
        </w:rPr>
      </w:pPr>
      <w:r>
        <w:rPr>
          <w:rFonts w:hint="eastAsia" w:ascii="宋体" w:hAnsi="宋体" w:eastAsia="宋体" w:cs="宋体"/>
          <w:bCs/>
          <w:color w:val="auto"/>
          <w:kern w:val="2"/>
          <w:sz w:val="21"/>
          <w:szCs w:val="21"/>
          <w:highlight w:val="none"/>
          <w:lang w:eastAsia="zh-CN" w:bidi="ar-SA"/>
        </w:rPr>
        <w:t>注：供应商应附</w:t>
      </w:r>
      <w:r>
        <w:rPr>
          <w:rFonts w:hint="eastAsia" w:ascii="宋体" w:hAnsi="宋体" w:eastAsia="宋体" w:cs="宋体"/>
          <w:bCs/>
          <w:color w:val="auto"/>
          <w:kern w:val="2"/>
          <w:sz w:val="21"/>
          <w:szCs w:val="21"/>
          <w:highlight w:val="none"/>
          <w:lang w:val="en-US" w:eastAsia="zh-CN" w:bidi="ar-SA"/>
        </w:rPr>
        <w:t>项目负责人、</w:t>
      </w:r>
      <w:r>
        <w:rPr>
          <w:rFonts w:hint="eastAsia" w:ascii="宋体" w:hAnsi="宋体" w:eastAsia="宋体" w:cs="宋体"/>
          <w:bCs/>
          <w:color w:val="auto"/>
          <w:kern w:val="2"/>
          <w:sz w:val="21"/>
          <w:szCs w:val="21"/>
          <w:highlight w:val="none"/>
          <w:lang w:eastAsia="zh-CN" w:bidi="ar-SA"/>
        </w:rPr>
        <w:t>技术负责人、质检员、施工员、安全员、造价员（或预算员）</w:t>
      </w:r>
      <w:r>
        <w:rPr>
          <w:rFonts w:hint="eastAsia" w:ascii="宋体" w:hAnsi="宋体" w:eastAsia="宋体" w:cs="宋体"/>
          <w:bCs/>
          <w:color w:val="auto"/>
          <w:kern w:val="2"/>
          <w:sz w:val="21"/>
          <w:szCs w:val="21"/>
          <w:highlight w:val="none"/>
          <w:lang w:val="en-US" w:eastAsia="zh-CN" w:bidi="ar-SA"/>
        </w:rPr>
        <w:t>等人员</w:t>
      </w:r>
      <w:r>
        <w:rPr>
          <w:rFonts w:hint="eastAsia" w:ascii="宋体" w:hAnsi="宋体" w:eastAsia="宋体" w:cs="宋体"/>
          <w:bCs/>
          <w:color w:val="auto"/>
          <w:kern w:val="2"/>
          <w:sz w:val="21"/>
          <w:szCs w:val="21"/>
          <w:highlight w:val="none"/>
          <w:lang w:eastAsia="zh-CN" w:bidi="ar-SA"/>
        </w:rPr>
        <w:t>相应的证明材料（如：职称或资格证书</w:t>
      </w:r>
      <w:r>
        <w:rPr>
          <w:rFonts w:hint="eastAsia" w:ascii="宋体" w:hAnsi="宋体" w:eastAsia="宋体" w:cs="宋体"/>
          <w:bCs/>
          <w:color w:val="auto"/>
          <w:kern w:val="2"/>
          <w:sz w:val="21"/>
          <w:szCs w:val="21"/>
          <w:highlight w:val="none"/>
          <w:lang w:val="en-US" w:eastAsia="zh-CN" w:bidi="ar-SA"/>
        </w:rPr>
        <w:t>或岗位证书等</w:t>
      </w:r>
      <w:r>
        <w:rPr>
          <w:rFonts w:hint="eastAsia" w:ascii="宋体" w:hAnsi="宋体" w:eastAsia="宋体" w:cs="宋体"/>
          <w:bCs/>
          <w:color w:val="auto"/>
          <w:kern w:val="2"/>
          <w:sz w:val="21"/>
          <w:szCs w:val="21"/>
          <w:highlight w:val="none"/>
          <w:lang w:eastAsia="zh-CN" w:bidi="ar-SA"/>
        </w:rPr>
        <w:t>）。项目组主要人员在项目执行过程中未得到采购人书面同意不得更换。项目负责人、专职安全员须提供无在建项目的承诺书（无在建承诺书承诺时间须在开标截止时间前）</w:t>
      </w:r>
    </w:p>
    <w:p w14:paraId="3F530698">
      <w:pPr>
        <w:pStyle w:val="2"/>
        <w:ind w:left="0" w:leftChars="0" w:firstLine="0" w:firstLineChars="0"/>
        <w:outlineLvl w:val="9"/>
        <w:rPr>
          <w:rFonts w:hint="eastAsia" w:ascii="Times New Roman" w:hAnsi="宋体" w:eastAsia="宋体" w:cs="Times New Roman"/>
          <w:b w:val="0"/>
          <w:bCs w:val="0"/>
          <w:color w:val="auto"/>
          <w:sz w:val="24"/>
          <w:szCs w:val="24"/>
          <w:lang w:val="en-US" w:eastAsia="zh-CN"/>
        </w:rPr>
      </w:pPr>
    </w:p>
    <w:p w14:paraId="1F97BA32">
      <w:pPr>
        <w:pStyle w:val="2"/>
        <w:ind w:left="0" w:leftChars="0" w:firstLine="0" w:firstLineChars="0"/>
        <w:outlineLvl w:val="9"/>
        <w:rPr>
          <w:rFonts w:hint="default" w:ascii="Times New Roman" w:hAnsi="宋体" w:eastAsia="宋体" w:cs="Times New Roman"/>
          <w:b w:val="0"/>
          <w:bCs w:val="0"/>
          <w:color w:val="auto"/>
          <w:sz w:val="24"/>
          <w:szCs w:val="24"/>
          <w:lang w:val="en-US" w:eastAsia="zh-CN"/>
        </w:rPr>
      </w:pPr>
    </w:p>
    <w:p w14:paraId="32C1FF9A">
      <w:pPr>
        <w:rPr>
          <w:rFonts w:hint="eastAsia" w:ascii="宋体" w:hAnsi="宋体" w:eastAsia="宋体" w:cs="宋体"/>
          <w:color w:val="auto"/>
          <w:sz w:val="24"/>
          <w:szCs w:val="24"/>
          <w:highlight w:val="none"/>
          <w:lang w:val="en-US" w:eastAsia="zh-CN" w:bidi="en-US"/>
        </w:rPr>
      </w:pPr>
      <w:r>
        <w:rPr>
          <w:rFonts w:hint="eastAsia" w:ascii="宋体" w:hAnsi="宋体" w:eastAsia="宋体" w:cs="宋体"/>
          <w:color w:val="auto"/>
          <w:sz w:val="24"/>
          <w:szCs w:val="24"/>
          <w:highlight w:val="none"/>
          <w:lang w:val="en-US" w:eastAsia="zh-CN" w:bidi="en-US"/>
        </w:rPr>
        <w:br w:type="page"/>
      </w:r>
    </w:p>
    <w:p w14:paraId="42F1187F">
      <w:pPr>
        <w:widowControl w:val="0"/>
        <w:numPr>
          <w:ilvl w:val="0"/>
          <w:numId w:val="0"/>
        </w:numPr>
        <w:ind w:left="420" w:leftChars="0" w:hanging="420" w:firstLineChars="0"/>
        <w:jc w:val="center"/>
        <w:outlineLvl w:val="9"/>
        <w:rPr>
          <w:rFonts w:ascii="黑体" w:hAnsi="黑体" w:eastAsia="黑体" w:cs="Times New Roman"/>
          <w:kern w:val="2"/>
          <w:sz w:val="28"/>
          <w:szCs w:val="28"/>
          <w:lang w:val="en-US" w:eastAsia="zh-CN" w:bidi="ar-SA"/>
        </w:rPr>
      </w:pPr>
      <w:r>
        <w:rPr>
          <w:rFonts w:hint="eastAsia" w:ascii="黑体" w:hAnsi="黑体" w:eastAsia="黑体" w:cs="Times New Roman"/>
          <w:kern w:val="2"/>
          <w:sz w:val="28"/>
          <w:szCs w:val="28"/>
          <w:lang w:val="en-US" w:eastAsia="zh-CN" w:bidi="ar-SA"/>
        </w:rPr>
        <w:t>拟投入本项目项目负责人简历表</w:t>
      </w:r>
    </w:p>
    <w:p w14:paraId="4D7B5659">
      <w:pPr>
        <w:spacing w:line="420" w:lineRule="exact"/>
        <w:rPr>
          <w:rFonts w:ascii="宋体" w:hAnsi="宋体" w:eastAsia="宋体" w:cs="Times New Roman"/>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931"/>
        <w:gridCol w:w="2323"/>
        <w:gridCol w:w="2269"/>
        <w:gridCol w:w="2550"/>
      </w:tblGrid>
      <w:tr w14:paraId="7E9A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820" w:type="dxa"/>
            <w:gridSpan w:val="2"/>
            <w:vAlign w:val="center"/>
          </w:tcPr>
          <w:p w14:paraId="54B092C8">
            <w:pPr>
              <w:snapToGrid w:val="0"/>
              <w:jc w:val="center"/>
              <w:rPr>
                <w:rFonts w:ascii="宋体" w:hAnsi="宋体" w:eastAsia="宋体" w:cs="Times New Roman"/>
                <w:sz w:val="24"/>
              </w:rPr>
            </w:pPr>
            <w:r>
              <w:rPr>
                <w:rFonts w:hint="eastAsia" w:ascii="宋体" w:hAnsi="宋体" w:eastAsia="宋体" w:cs="Times New Roman"/>
                <w:sz w:val="24"/>
              </w:rPr>
              <w:t>岗位名称</w:t>
            </w:r>
          </w:p>
        </w:tc>
        <w:tc>
          <w:tcPr>
            <w:tcW w:w="2323" w:type="dxa"/>
            <w:vAlign w:val="center"/>
          </w:tcPr>
          <w:p w14:paraId="0574CE86">
            <w:pPr>
              <w:snapToGrid w:val="0"/>
              <w:ind w:right="-101" w:rightChars="-48"/>
              <w:jc w:val="center"/>
              <w:rPr>
                <w:rFonts w:ascii="宋体" w:hAnsi="宋体" w:eastAsia="宋体" w:cs="Times New Roman"/>
                <w:sz w:val="24"/>
              </w:rPr>
            </w:pPr>
          </w:p>
        </w:tc>
        <w:tc>
          <w:tcPr>
            <w:tcW w:w="2269" w:type="dxa"/>
            <w:vAlign w:val="center"/>
          </w:tcPr>
          <w:p w14:paraId="018B5D6E">
            <w:pPr>
              <w:snapToGrid w:val="0"/>
              <w:jc w:val="center"/>
              <w:rPr>
                <w:rFonts w:ascii="宋体" w:hAnsi="宋体" w:eastAsia="宋体" w:cs="Times New Roman"/>
                <w:sz w:val="24"/>
              </w:rPr>
            </w:pPr>
          </w:p>
        </w:tc>
        <w:tc>
          <w:tcPr>
            <w:tcW w:w="2550" w:type="dxa"/>
            <w:vAlign w:val="center"/>
          </w:tcPr>
          <w:p w14:paraId="014AB332">
            <w:pPr>
              <w:snapToGrid w:val="0"/>
              <w:jc w:val="center"/>
              <w:rPr>
                <w:rFonts w:ascii="宋体" w:hAnsi="宋体" w:eastAsia="宋体" w:cs="Times New Roman"/>
                <w:sz w:val="24"/>
              </w:rPr>
            </w:pPr>
          </w:p>
        </w:tc>
      </w:tr>
      <w:tr w14:paraId="0A7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0" w:type="dxa"/>
            <w:gridSpan w:val="2"/>
            <w:vAlign w:val="center"/>
          </w:tcPr>
          <w:p w14:paraId="03D603F8">
            <w:pPr>
              <w:snapToGrid w:val="0"/>
              <w:jc w:val="center"/>
              <w:rPr>
                <w:rFonts w:ascii="宋体" w:hAnsi="宋体" w:eastAsia="宋体" w:cs="Times New Roman"/>
                <w:sz w:val="24"/>
              </w:rPr>
            </w:pPr>
            <w:r>
              <w:rPr>
                <w:rFonts w:hint="eastAsia" w:ascii="宋体" w:hAnsi="宋体" w:eastAsia="宋体" w:cs="Times New Roman"/>
                <w:sz w:val="24"/>
              </w:rPr>
              <w:t>姓    名</w:t>
            </w:r>
          </w:p>
        </w:tc>
        <w:tc>
          <w:tcPr>
            <w:tcW w:w="2323" w:type="dxa"/>
            <w:vAlign w:val="center"/>
          </w:tcPr>
          <w:p w14:paraId="217B0904">
            <w:pPr>
              <w:snapToGrid w:val="0"/>
              <w:jc w:val="center"/>
              <w:rPr>
                <w:rFonts w:ascii="宋体" w:hAnsi="宋体" w:eastAsia="宋体" w:cs="Times New Roman"/>
                <w:sz w:val="24"/>
              </w:rPr>
            </w:pPr>
          </w:p>
        </w:tc>
        <w:tc>
          <w:tcPr>
            <w:tcW w:w="2269" w:type="dxa"/>
            <w:vAlign w:val="center"/>
          </w:tcPr>
          <w:p w14:paraId="1B5F4A16">
            <w:pPr>
              <w:snapToGrid w:val="0"/>
              <w:jc w:val="center"/>
              <w:rPr>
                <w:rFonts w:ascii="宋体" w:hAnsi="宋体" w:eastAsia="宋体" w:cs="Times New Roman"/>
                <w:sz w:val="24"/>
              </w:rPr>
            </w:pPr>
            <w:r>
              <w:rPr>
                <w:rFonts w:hint="eastAsia" w:ascii="宋体" w:hAnsi="宋体" w:eastAsia="宋体" w:cs="Times New Roman"/>
                <w:sz w:val="24"/>
              </w:rPr>
              <w:t>年    龄</w:t>
            </w:r>
          </w:p>
        </w:tc>
        <w:tc>
          <w:tcPr>
            <w:tcW w:w="2550" w:type="dxa"/>
            <w:vAlign w:val="center"/>
          </w:tcPr>
          <w:p w14:paraId="3C3E670D">
            <w:pPr>
              <w:snapToGrid w:val="0"/>
              <w:jc w:val="center"/>
              <w:rPr>
                <w:rFonts w:ascii="宋体" w:hAnsi="宋体" w:eastAsia="宋体" w:cs="Times New Roman"/>
                <w:sz w:val="24"/>
              </w:rPr>
            </w:pPr>
          </w:p>
        </w:tc>
      </w:tr>
      <w:tr w14:paraId="048E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0" w:type="dxa"/>
            <w:gridSpan w:val="2"/>
            <w:vAlign w:val="center"/>
          </w:tcPr>
          <w:p w14:paraId="5F6CC1C1">
            <w:pPr>
              <w:snapToGrid w:val="0"/>
              <w:jc w:val="center"/>
              <w:rPr>
                <w:rFonts w:ascii="宋体" w:hAnsi="宋体" w:eastAsia="宋体" w:cs="Times New Roman"/>
                <w:sz w:val="24"/>
              </w:rPr>
            </w:pPr>
            <w:r>
              <w:rPr>
                <w:rFonts w:hint="eastAsia" w:ascii="宋体" w:hAnsi="宋体" w:eastAsia="宋体" w:cs="Times New Roman"/>
                <w:sz w:val="24"/>
              </w:rPr>
              <w:t>性    别</w:t>
            </w:r>
          </w:p>
        </w:tc>
        <w:tc>
          <w:tcPr>
            <w:tcW w:w="2323" w:type="dxa"/>
            <w:vAlign w:val="center"/>
          </w:tcPr>
          <w:p w14:paraId="41CAFEBB">
            <w:pPr>
              <w:snapToGrid w:val="0"/>
              <w:jc w:val="center"/>
              <w:rPr>
                <w:rFonts w:ascii="宋体" w:hAnsi="宋体" w:eastAsia="宋体" w:cs="Times New Roman"/>
                <w:sz w:val="24"/>
              </w:rPr>
            </w:pPr>
          </w:p>
        </w:tc>
        <w:tc>
          <w:tcPr>
            <w:tcW w:w="2269" w:type="dxa"/>
            <w:vAlign w:val="center"/>
          </w:tcPr>
          <w:p w14:paraId="1D342CA3">
            <w:pPr>
              <w:snapToGrid w:val="0"/>
              <w:jc w:val="center"/>
              <w:rPr>
                <w:rFonts w:ascii="宋体" w:hAnsi="宋体" w:eastAsia="宋体" w:cs="Times New Roman"/>
                <w:sz w:val="24"/>
              </w:rPr>
            </w:pPr>
            <w:r>
              <w:rPr>
                <w:rFonts w:hint="eastAsia" w:ascii="宋体" w:hAnsi="宋体" w:eastAsia="宋体" w:cs="Times New Roman"/>
                <w:sz w:val="24"/>
              </w:rPr>
              <w:t>毕业学校</w:t>
            </w:r>
          </w:p>
        </w:tc>
        <w:tc>
          <w:tcPr>
            <w:tcW w:w="2550" w:type="dxa"/>
            <w:vAlign w:val="center"/>
          </w:tcPr>
          <w:p w14:paraId="7AD84DAF">
            <w:pPr>
              <w:snapToGrid w:val="0"/>
              <w:jc w:val="center"/>
              <w:rPr>
                <w:rFonts w:ascii="宋体" w:hAnsi="宋体" w:eastAsia="宋体" w:cs="Times New Roman"/>
                <w:sz w:val="24"/>
              </w:rPr>
            </w:pPr>
          </w:p>
        </w:tc>
      </w:tr>
      <w:tr w14:paraId="2125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0" w:type="dxa"/>
            <w:gridSpan w:val="2"/>
            <w:vAlign w:val="center"/>
          </w:tcPr>
          <w:p w14:paraId="0CA9C5BB">
            <w:pPr>
              <w:snapToGrid w:val="0"/>
              <w:jc w:val="center"/>
              <w:rPr>
                <w:rFonts w:ascii="宋体" w:hAnsi="宋体" w:eastAsia="宋体" w:cs="Times New Roman"/>
                <w:sz w:val="24"/>
              </w:rPr>
            </w:pPr>
            <w:r>
              <w:rPr>
                <w:rFonts w:hint="eastAsia" w:ascii="宋体" w:hAnsi="宋体" w:eastAsia="宋体" w:cs="Times New Roman"/>
                <w:sz w:val="24"/>
              </w:rPr>
              <w:t>学历和专业</w:t>
            </w:r>
          </w:p>
        </w:tc>
        <w:tc>
          <w:tcPr>
            <w:tcW w:w="2323" w:type="dxa"/>
            <w:vAlign w:val="center"/>
          </w:tcPr>
          <w:p w14:paraId="19D4DD61">
            <w:pPr>
              <w:snapToGrid w:val="0"/>
              <w:jc w:val="center"/>
              <w:rPr>
                <w:rFonts w:ascii="宋体" w:hAnsi="宋体" w:eastAsia="宋体" w:cs="Times New Roman"/>
                <w:sz w:val="24"/>
              </w:rPr>
            </w:pPr>
          </w:p>
        </w:tc>
        <w:tc>
          <w:tcPr>
            <w:tcW w:w="2269" w:type="dxa"/>
            <w:vAlign w:val="center"/>
          </w:tcPr>
          <w:p w14:paraId="08CE303C">
            <w:pPr>
              <w:snapToGrid w:val="0"/>
              <w:jc w:val="center"/>
              <w:rPr>
                <w:rFonts w:ascii="宋体" w:hAnsi="宋体" w:eastAsia="宋体" w:cs="Times New Roman"/>
                <w:sz w:val="24"/>
              </w:rPr>
            </w:pPr>
            <w:r>
              <w:rPr>
                <w:rFonts w:hint="eastAsia" w:ascii="宋体" w:hAnsi="宋体" w:eastAsia="宋体" w:cs="Times New Roman"/>
                <w:sz w:val="24"/>
              </w:rPr>
              <w:t>毕业时间</w:t>
            </w:r>
          </w:p>
        </w:tc>
        <w:tc>
          <w:tcPr>
            <w:tcW w:w="2550" w:type="dxa"/>
            <w:vAlign w:val="center"/>
          </w:tcPr>
          <w:p w14:paraId="6DBEFAEB">
            <w:pPr>
              <w:snapToGrid w:val="0"/>
              <w:jc w:val="center"/>
              <w:rPr>
                <w:rFonts w:ascii="宋体" w:hAnsi="宋体" w:eastAsia="宋体" w:cs="Times New Roman"/>
                <w:sz w:val="24"/>
              </w:rPr>
            </w:pPr>
          </w:p>
        </w:tc>
      </w:tr>
      <w:tr w14:paraId="4F53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0" w:type="dxa"/>
            <w:gridSpan w:val="2"/>
            <w:vAlign w:val="center"/>
          </w:tcPr>
          <w:p w14:paraId="7B13A8A0">
            <w:pPr>
              <w:snapToGrid w:val="0"/>
              <w:jc w:val="center"/>
              <w:rPr>
                <w:rFonts w:ascii="宋体" w:hAnsi="宋体" w:eastAsia="宋体" w:cs="Times New Roman"/>
                <w:sz w:val="24"/>
              </w:rPr>
            </w:pPr>
            <w:r>
              <w:rPr>
                <w:rFonts w:hint="eastAsia" w:ascii="宋体" w:hAnsi="宋体" w:eastAsia="宋体" w:cs="Times New Roman"/>
                <w:sz w:val="24"/>
              </w:rPr>
              <w:t>拥有的执业资格</w:t>
            </w:r>
          </w:p>
        </w:tc>
        <w:tc>
          <w:tcPr>
            <w:tcW w:w="2323" w:type="dxa"/>
            <w:vAlign w:val="center"/>
          </w:tcPr>
          <w:p w14:paraId="35657B8A">
            <w:pPr>
              <w:snapToGrid w:val="0"/>
              <w:jc w:val="center"/>
              <w:rPr>
                <w:rFonts w:ascii="宋体" w:hAnsi="宋体" w:eastAsia="宋体" w:cs="Times New Roman"/>
                <w:sz w:val="24"/>
              </w:rPr>
            </w:pPr>
          </w:p>
        </w:tc>
        <w:tc>
          <w:tcPr>
            <w:tcW w:w="2269" w:type="dxa"/>
            <w:vAlign w:val="center"/>
          </w:tcPr>
          <w:p w14:paraId="6BEB7723">
            <w:pPr>
              <w:snapToGrid w:val="0"/>
              <w:jc w:val="center"/>
              <w:rPr>
                <w:rFonts w:ascii="宋体" w:hAnsi="宋体" w:eastAsia="宋体" w:cs="Times New Roman"/>
                <w:sz w:val="24"/>
              </w:rPr>
            </w:pPr>
            <w:r>
              <w:rPr>
                <w:rFonts w:hint="eastAsia" w:ascii="宋体" w:hAnsi="宋体" w:eastAsia="宋体" w:cs="Times New Roman"/>
                <w:sz w:val="24"/>
              </w:rPr>
              <w:t>专业职称</w:t>
            </w:r>
          </w:p>
        </w:tc>
        <w:tc>
          <w:tcPr>
            <w:tcW w:w="2550" w:type="dxa"/>
            <w:vAlign w:val="center"/>
          </w:tcPr>
          <w:p w14:paraId="17C182A6">
            <w:pPr>
              <w:snapToGrid w:val="0"/>
              <w:jc w:val="center"/>
              <w:rPr>
                <w:rFonts w:ascii="宋体" w:hAnsi="宋体" w:eastAsia="宋体" w:cs="Times New Roman"/>
                <w:sz w:val="24"/>
              </w:rPr>
            </w:pPr>
          </w:p>
        </w:tc>
      </w:tr>
      <w:tr w14:paraId="3112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20" w:type="dxa"/>
            <w:gridSpan w:val="2"/>
            <w:vAlign w:val="center"/>
          </w:tcPr>
          <w:p w14:paraId="7C630023">
            <w:pPr>
              <w:snapToGrid w:val="0"/>
              <w:jc w:val="center"/>
              <w:rPr>
                <w:rFonts w:ascii="宋体" w:hAnsi="宋体" w:eastAsia="宋体" w:cs="Times New Roman"/>
                <w:sz w:val="24"/>
              </w:rPr>
            </w:pPr>
            <w:r>
              <w:rPr>
                <w:rFonts w:hint="eastAsia" w:ascii="宋体" w:hAnsi="宋体" w:eastAsia="宋体" w:cs="Times New Roman"/>
                <w:sz w:val="24"/>
              </w:rPr>
              <w:t>执业资格证书编号</w:t>
            </w:r>
          </w:p>
        </w:tc>
        <w:tc>
          <w:tcPr>
            <w:tcW w:w="2323" w:type="dxa"/>
            <w:vAlign w:val="center"/>
          </w:tcPr>
          <w:p w14:paraId="22F284F8">
            <w:pPr>
              <w:snapToGrid w:val="0"/>
              <w:jc w:val="center"/>
              <w:rPr>
                <w:rFonts w:ascii="宋体" w:hAnsi="宋体" w:eastAsia="宋体" w:cs="Times New Roman"/>
                <w:sz w:val="24"/>
              </w:rPr>
            </w:pPr>
          </w:p>
        </w:tc>
        <w:tc>
          <w:tcPr>
            <w:tcW w:w="2269" w:type="dxa"/>
            <w:vAlign w:val="center"/>
          </w:tcPr>
          <w:p w14:paraId="56E54A27">
            <w:pPr>
              <w:snapToGrid w:val="0"/>
              <w:jc w:val="center"/>
              <w:rPr>
                <w:rFonts w:ascii="宋体" w:hAnsi="宋体" w:eastAsia="宋体" w:cs="Times New Roman"/>
                <w:sz w:val="24"/>
              </w:rPr>
            </w:pPr>
            <w:r>
              <w:rPr>
                <w:rFonts w:hint="eastAsia" w:ascii="宋体" w:hAnsi="宋体" w:eastAsia="宋体" w:cs="Times New Roman"/>
                <w:sz w:val="24"/>
              </w:rPr>
              <w:t>工作年限</w:t>
            </w:r>
          </w:p>
        </w:tc>
        <w:tc>
          <w:tcPr>
            <w:tcW w:w="2550" w:type="dxa"/>
            <w:vAlign w:val="center"/>
          </w:tcPr>
          <w:p w14:paraId="6E1D3EE1">
            <w:pPr>
              <w:snapToGrid w:val="0"/>
              <w:jc w:val="center"/>
              <w:rPr>
                <w:rFonts w:ascii="宋体" w:hAnsi="宋体" w:eastAsia="宋体" w:cs="Times New Roman"/>
                <w:sz w:val="24"/>
              </w:rPr>
            </w:pPr>
          </w:p>
        </w:tc>
      </w:tr>
      <w:tr w14:paraId="4D45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1889" w:type="dxa"/>
            <w:vAlign w:val="center"/>
          </w:tcPr>
          <w:p w14:paraId="7ED20955">
            <w:pPr>
              <w:snapToGrid w:val="0"/>
              <w:jc w:val="center"/>
              <w:rPr>
                <w:rFonts w:ascii="宋体" w:hAnsi="宋体" w:eastAsia="宋体" w:cs="Times New Roman"/>
                <w:sz w:val="24"/>
              </w:rPr>
            </w:pPr>
            <w:r>
              <w:rPr>
                <w:rFonts w:hint="eastAsia" w:ascii="宋体" w:hAnsi="宋体" w:eastAsia="宋体" w:cs="Times New Roman"/>
                <w:sz w:val="24"/>
              </w:rPr>
              <w:t>主要工作业绩及担任的主要工作</w:t>
            </w:r>
          </w:p>
          <w:p w14:paraId="7848920C">
            <w:pPr>
              <w:snapToGrid w:val="0"/>
              <w:jc w:val="center"/>
              <w:rPr>
                <w:rFonts w:ascii="宋体" w:hAnsi="宋体" w:eastAsia="宋体" w:cs="Times New Roman"/>
                <w:sz w:val="24"/>
              </w:rPr>
            </w:pPr>
          </w:p>
        </w:tc>
        <w:tc>
          <w:tcPr>
            <w:tcW w:w="8073" w:type="dxa"/>
            <w:gridSpan w:val="4"/>
            <w:vAlign w:val="center"/>
          </w:tcPr>
          <w:p w14:paraId="7106FE8F">
            <w:pPr>
              <w:snapToGrid w:val="0"/>
              <w:jc w:val="both"/>
              <w:rPr>
                <w:rFonts w:ascii="宋体" w:hAnsi="宋体" w:eastAsia="宋体" w:cs="Times New Roman"/>
                <w:sz w:val="24"/>
              </w:rPr>
            </w:pPr>
          </w:p>
        </w:tc>
      </w:tr>
    </w:tbl>
    <w:p w14:paraId="281F20B7">
      <w:pPr>
        <w:shd w:val="clear"/>
        <w:spacing w:line="480" w:lineRule="exact"/>
        <w:jc w:val="center"/>
        <w:rPr>
          <w:rFonts w:hint="eastAsia" w:ascii="宋体" w:hAnsi="宋体" w:eastAsia="宋体" w:cs="宋体"/>
          <w:b/>
          <w:bCs/>
          <w:color w:val="auto"/>
          <w:kern w:val="0"/>
          <w:sz w:val="24"/>
          <w:highlight w:val="none"/>
          <w:lang w:val="en-US" w:eastAsia="zh-CN" w:bidi="en-US"/>
        </w:rPr>
      </w:pPr>
    </w:p>
    <w:p w14:paraId="55B130C2">
      <w:pPr>
        <w:widowControl w:val="0"/>
        <w:numPr>
          <w:ilvl w:val="0"/>
          <w:numId w:val="0"/>
        </w:numPr>
        <w:ind w:left="420" w:leftChars="0" w:hanging="420" w:firstLineChars="0"/>
        <w:jc w:val="center"/>
        <w:outlineLvl w:val="9"/>
        <w:rPr>
          <w:rFonts w:hint="default" w:ascii="黑体" w:hAnsi="黑体" w:eastAsia="黑体" w:cs="Times New Roman"/>
          <w:kern w:val="2"/>
          <w:sz w:val="28"/>
          <w:szCs w:val="28"/>
          <w:lang w:val="en-US" w:eastAsia="zh-CN" w:bidi="ar-SA"/>
        </w:rPr>
      </w:pPr>
      <w:r>
        <w:rPr>
          <w:rFonts w:hint="eastAsia" w:ascii="黑体" w:hAnsi="黑体" w:eastAsia="黑体" w:cs="Times New Roman"/>
          <w:kern w:val="2"/>
          <w:sz w:val="28"/>
          <w:szCs w:val="28"/>
          <w:lang w:val="en-US" w:eastAsia="zh-CN" w:bidi="ar-SA"/>
        </w:rPr>
        <w:t>承诺书</w:t>
      </w:r>
    </w:p>
    <w:p w14:paraId="348A57EF">
      <w:pPr>
        <w:shd w:val="clear"/>
        <w:spacing w:line="480" w:lineRule="exact"/>
        <w:jc w:val="both"/>
        <w:rPr>
          <w:rFonts w:ascii="宋体" w:hAnsi="宋体" w:eastAsia="宋体" w:cs="宋体"/>
          <w:color w:val="auto"/>
          <w:kern w:val="0"/>
          <w:sz w:val="24"/>
          <w:szCs w:val="21"/>
          <w:highlight w:val="none"/>
          <w:lang w:eastAsia="zh-CN" w:bidi="en-US"/>
        </w:rPr>
      </w:pPr>
      <w:r>
        <w:rPr>
          <w:rFonts w:hint="eastAsia" w:ascii="宋体" w:hAnsi="宋体" w:eastAsia="宋体" w:cs="宋体"/>
          <w:color w:val="auto"/>
          <w:kern w:val="0"/>
          <w:sz w:val="24"/>
          <w:highlight w:val="none"/>
          <w:lang w:eastAsia="zh-CN" w:bidi="en-US"/>
        </w:rPr>
        <w:t>致____________(采购人)：</w:t>
      </w:r>
    </w:p>
    <w:p w14:paraId="0170FB93">
      <w:pPr>
        <w:shd w:val="clear"/>
        <w:spacing w:line="480" w:lineRule="exact"/>
        <w:ind w:firstLine="480" w:firstLineChars="200"/>
        <w:jc w:val="both"/>
        <w:rPr>
          <w:rFonts w:ascii="宋体" w:hAnsi="宋体" w:eastAsia="宋体" w:cs="宋体"/>
          <w:color w:val="auto"/>
          <w:kern w:val="0"/>
          <w:sz w:val="24"/>
          <w:szCs w:val="21"/>
          <w:highlight w:val="none"/>
          <w:lang w:eastAsia="zh-CN" w:bidi="en-US"/>
        </w:rPr>
      </w:pPr>
      <w:r>
        <w:rPr>
          <w:rFonts w:hint="eastAsia" w:ascii="宋体" w:hAnsi="宋体" w:eastAsia="宋体" w:cs="宋体"/>
          <w:color w:val="auto"/>
          <w:kern w:val="2"/>
          <w:sz w:val="24"/>
          <w:szCs w:val="21"/>
          <w:highlight w:val="none"/>
          <w:lang w:eastAsia="zh-CN" w:bidi="ar"/>
        </w:rPr>
        <w:t>我方在此声明，我方接受你方的邀请，拟派往</w:t>
      </w:r>
      <w:r>
        <w:rPr>
          <w:rFonts w:hint="eastAsia" w:ascii="宋体" w:hAnsi="宋体" w:eastAsia="宋体" w:cs="宋体"/>
          <w:color w:val="auto"/>
          <w:kern w:val="2"/>
          <w:sz w:val="24"/>
          <w:szCs w:val="21"/>
          <w:highlight w:val="none"/>
          <w:u w:val="single"/>
          <w:lang w:eastAsia="zh-CN" w:bidi="ar"/>
        </w:rPr>
        <w:t xml:space="preserve">        </w:t>
      </w:r>
      <w:r>
        <w:rPr>
          <w:rFonts w:hint="eastAsia" w:ascii="宋体" w:hAnsi="宋体" w:eastAsia="宋体" w:cs="宋体"/>
          <w:color w:val="auto"/>
          <w:kern w:val="2"/>
          <w:sz w:val="24"/>
          <w:szCs w:val="21"/>
          <w:highlight w:val="none"/>
          <w:lang w:eastAsia="zh-CN" w:bidi="ar"/>
        </w:rPr>
        <w:t>（项目名称）（以下简称“本工程”）的项目负责人</w:t>
      </w:r>
      <w:r>
        <w:rPr>
          <w:rFonts w:hint="eastAsia" w:ascii="宋体" w:hAnsi="宋体" w:eastAsia="宋体" w:cs="宋体"/>
          <w:color w:val="auto"/>
          <w:kern w:val="2"/>
          <w:sz w:val="24"/>
          <w:szCs w:val="21"/>
          <w:highlight w:val="none"/>
          <w:u w:val="single"/>
          <w:lang w:eastAsia="zh-CN" w:bidi="ar"/>
        </w:rPr>
        <w:t xml:space="preserve">           </w:t>
      </w:r>
      <w:r>
        <w:rPr>
          <w:rFonts w:hint="eastAsia" w:ascii="宋体" w:hAnsi="宋体" w:eastAsia="宋体" w:cs="宋体"/>
          <w:color w:val="auto"/>
          <w:kern w:val="2"/>
          <w:sz w:val="24"/>
          <w:szCs w:val="21"/>
          <w:highlight w:val="none"/>
          <w:lang w:eastAsia="zh-CN" w:bidi="ar"/>
        </w:rPr>
        <w:t>（项目负责人姓名）现阶段没有担任任何在施建设工程项目的项目负责人。</w:t>
      </w:r>
    </w:p>
    <w:p w14:paraId="0E15C080">
      <w:pPr>
        <w:shd w:val="clear"/>
        <w:spacing w:line="480" w:lineRule="exact"/>
        <w:ind w:firstLine="480" w:firstLineChars="200"/>
        <w:jc w:val="both"/>
        <w:rPr>
          <w:rFonts w:ascii="宋体" w:hAnsi="宋体" w:eastAsia="宋体" w:cs="宋体"/>
          <w:color w:val="auto"/>
          <w:kern w:val="0"/>
          <w:sz w:val="24"/>
          <w:szCs w:val="21"/>
          <w:highlight w:val="none"/>
          <w:lang w:eastAsia="zh-CN" w:bidi="en-US"/>
        </w:rPr>
      </w:pPr>
      <w:r>
        <w:rPr>
          <w:rFonts w:hint="eastAsia" w:ascii="宋体" w:hAnsi="宋体" w:eastAsia="宋体" w:cs="宋体"/>
          <w:color w:val="auto"/>
          <w:kern w:val="2"/>
          <w:sz w:val="24"/>
          <w:szCs w:val="21"/>
          <w:highlight w:val="none"/>
          <w:lang w:eastAsia="zh-CN" w:bidi="ar"/>
        </w:rPr>
        <w:t>我方保证上述信息的真实和准确，并愿意承担因我方就此弄虚作假所引起的一切法律后果。</w:t>
      </w:r>
    </w:p>
    <w:p w14:paraId="6612B230">
      <w:pPr>
        <w:shd w:val="clear"/>
        <w:spacing w:line="480" w:lineRule="exact"/>
        <w:ind w:firstLine="480" w:firstLineChars="200"/>
        <w:jc w:val="both"/>
        <w:rPr>
          <w:rFonts w:ascii="宋体" w:hAnsi="宋体" w:eastAsia="宋体" w:cs="宋体"/>
          <w:color w:val="auto"/>
          <w:kern w:val="0"/>
          <w:sz w:val="24"/>
          <w:highlight w:val="none"/>
          <w:lang w:eastAsia="zh-CN" w:bidi="en-US"/>
        </w:rPr>
      </w:pPr>
      <w:r>
        <w:rPr>
          <w:rFonts w:hint="eastAsia" w:ascii="宋体" w:hAnsi="宋体" w:eastAsia="宋体" w:cs="宋体"/>
          <w:color w:val="auto"/>
          <w:kern w:val="2"/>
          <w:sz w:val="24"/>
          <w:szCs w:val="21"/>
          <w:highlight w:val="none"/>
          <w:lang w:eastAsia="zh-CN" w:bidi="ar"/>
        </w:rPr>
        <w:t>特此承诺</w:t>
      </w:r>
    </w:p>
    <w:p w14:paraId="76DBB1FB">
      <w:pPr>
        <w:widowControl w:val="0"/>
        <w:shd w:val="clear"/>
        <w:spacing w:before="0" w:line="480" w:lineRule="exact"/>
        <w:jc w:val="right"/>
        <w:rPr>
          <w:rFonts w:ascii="宋体" w:hAnsi="宋体" w:eastAsia="宋体" w:cs="宋体"/>
          <w:color w:val="auto"/>
          <w:sz w:val="24"/>
          <w:szCs w:val="24"/>
          <w:highlight w:val="none"/>
          <w:lang w:val="en-US" w:eastAsia="zh-CN" w:bidi="en-US"/>
        </w:rPr>
      </w:pPr>
      <w:r>
        <w:rPr>
          <w:rFonts w:hint="eastAsia" w:ascii="宋体" w:hAnsi="宋体" w:eastAsia="宋体" w:cs="宋体"/>
          <w:color w:val="auto"/>
          <w:sz w:val="24"/>
          <w:szCs w:val="24"/>
          <w:highlight w:val="none"/>
          <w:lang w:val="en-US" w:eastAsia="zh-CN" w:bidi="en-US"/>
        </w:rPr>
        <w:t>供应商名称(公章)：____________</w:t>
      </w:r>
    </w:p>
    <w:p w14:paraId="0181D849">
      <w:pPr>
        <w:shd w:val="clear"/>
        <w:spacing w:line="480" w:lineRule="exact"/>
        <w:jc w:val="right"/>
        <w:rPr>
          <w:rFonts w:ascii="宋体" w:hAnsi="宋体" w:eastAsia="宋体" w:cs="宋体"/>
          <w:color w:val="auto"/>
          <w:kern w:val="0"/>
          <w:sz w:val="24"/>
          <w:highlight w:val="none"/>
          <w:lang w:eastAsia="zh-CN" w:bidi="en-US"/>
        </w:rPr>
      </w:pPr>
      <w:r>
        <w:rPr>
          <w:rFonts w:hint="eastAsia" w:ascii="宋体" w:hAnsi="宋体" w:eastAsia="宋体" w:cs="宋体"/>
          <w:color w:val="auto"/>
          <w:kern w:val="0"/>
          <w:sz w:val="24"/>
          <w:highlight w:val="none"/>
          <w:lang w:eastAsia="zh-CN" w:bidi="en-US"/>
        </w:rPr>
        <w:t>日期：______年____月____日</w:t>
      </w:r>
    </w:p>
    <w:p w14:paraId="5F312C43">
      <w:pPr>
        <w:pStyle w:val="2"/>
        <w:ind w:left="0" w:leftChars="0" w:firstLine="0" w:firstLineChars="0"/>
        <w:outlineLvl w:val="9"/>
        <w:rPr>
          <w:rFonts w:hint="eastAsia" w:ascii="宋体" w:hAnsi="宋体" w:eastAsia="宋体" w:cs="宋体"/>
          <w:i/>
          <w:iCs/>
          <w:color w:val="auto"/>
          <w:kern w:val="0"/>
          <w:sz w:val="24"/>
          <w:highlight w:val="none"/>
          <w:lang w:eastAsia="zh-CN" w:bidi="en-US"/>
        </w:rPr>
      </w:pPr>
      <w:r>
        <w:rPr>
          <w:rFonts w:hint="eastAsia" w:ascii="宋体" w:hAnsi="宋体" w:eastAsia="宋体" w:cs="宋体"/>
          <w:i/>
          <w:iCs/>
          <w:color w:val="auto"/>
          <w:kern w:val="0"/>
          <w:sz w:val="24"/>
          <w:highlight w:val="none"/>
          <w:lang w:eastAsia="zh-CN" w:bidi="en-US"/>
        </w:rPr>
        <w:t>说明：本表后应附项目负责人身份证、注册证书、安全生产考核证书、职称证</w:t>
      </w:r>
      <w:r>
        <w:rPr>
          <w:rFonts w:hint="eastAsia" w:ascii="宋体" w:hAnsi="宋体" w:eastAsia="宋体" w:cs="宋体"/>
          <w:i/>
          <w:iCs/>
          <w:color w:val="auto"/>
          <w:kern w:val="0"/>
          <w:sz w:val="24"/>
          <w:highlight w:val="none"/>
          <w:lang w:val="en-US" w:eastAsia="zh-CN" w:bidi="en-US"/>
        </w:rPr>
        <w:t>（如有）</w:t>
      </w:r>
      <w:r>
        <w:rPr>
          <w:rFonts w:hint="eastAsia" w:ascii="宋体" w:hAnsi="宋体" w:eastAsia="宋体" w:cs="宋体"/>
          <w:i/>
          <w:iCs/>
          <w:color w:val="auto"/>
          <w:kern w:val="0"/>
          <w:sz w:val="24"/>
          <w:highlight w:val="none"/>
          <w:lang w:eastAsia="zh-CN" w:bidi="en-US"/>
        </w:rPr>
        <w:t>、学历证、近三个月社保缴纳证明及业绩证明材料复印件。</w:t>
      </w:r>
    </w:p>
    <w:p w14:paraId="3B3E3B87">
      <w:pPr>
        <w:outlineLvl w:val="2"/>
        <w:rPr>
          <w:rFonts w:hint="eastAsia" w:ascii="Times New Roman" w:hAnsi="宋体" w:eastAsia="宋体" w:cs="Times New Roman"/>
          <w:b/>
          <w:bCs/>
          <w:color w:val="auto"/>
          <w:sz w:val="24"/>
          <w:szCs w:val="24"/>
          <w:lang w:val="en-US" w:eastAsia="zh-CN"/>
        </w:rPr>
      </w:pPr>
      <w:r>
        <w:rPr>
          <w:rFonts w:hint="eastAsia" w:ascii="Times New Roman" w:hAnsi="宋体" w:eastAsia="宋体" w:cs="Times New Roman"/>
          <w:b/>
          <w:bCs/>
          <w:color w:val="auto"/>
          <w:sz w:val="24"/>
          <w:szCs w:val="24"/>
        </w:rPr>
        <w:t>9-</w:t>
      </w:r>
      <w:r>
        <w:rPr>
          <w:rFonts w:hint="eastAsia" w:ascii="Times New Roman" w:hAnsi="宋体" w:eastAsia="宋体" w:cs="Times New Roman"/>
          <w:b/>
          <w:bCs/>
          <w:color w:val="auto"/>
          <w:sz w:val="24"/>
          <w:szCs w:val="24"/>
          <w:lang w:val="en-US" w:eastAsia="zh-CN"/>
        </w:rPr>
        <w:t>11</w:t>
      </w:r>
      <w:r>
        <w:rPr>
          <w:rFonts w:hint="eastAsia" w:ascii="Times New Roman" w:hAnsi="宋体" w:eastAsia="宋体" w:cs="Times New Roman"/>
          <w:b/>
          <w:bCs/>
          <w:color w:val="auto"/>
          <w:sz w:val="24"/>
          <w:szCs w:val="24"/>
        </w:rPr>
        <w:t xml:space="preserve"> </w:t>
      </w:r>
      <w:r>
        <w:rPr>
          <w:rFonts w:hint="eastAsia" w:ascii="Times New Roman" w:hAnsi="宋体" w:eastAsia="宋体" w:cs="Times New Roman"/>
          <w:b/>
          <w:bCs/>
          <w:color w:val="auto"/>
          <w:sz w:val="24"/>
          <w:szCs w:val="24"/>
          <w:lang w:val="en-US" w:eastAsia="zh-CN"/>
        </w:rPr>
        <w:t>供应商满足特定资格要求的其他证明材料</w:t>
      </w:r>
    </w:p>
    <w:p w14:paraId="7362D88F">
      <w:pPr>
        <w:pStyle w:val="2"/>
        <w:ind w:left="0" w:leftChars="0" w:firstLine="0" w:firstLineChars="0"/>
        <w:outlineLvl w:val="9"/>
        <w:rPr>
          <w:rFonts w:hint="default" w:ascii="宋体" w:hAnsi="宋体" w:eastAsia="宋体" w:cs="宋体"/>
          <w:i/>
          <w:iCs/>
          <w:color w:val="auto"/>
          <w:kern w:val="0"/>
          <w:sz w:val="24"/>
          <w:highlight w:val="none"/>
          <w:lang w:val="en-US" w:eastAsia="zh-CN" w:bidi="en-US"/>
        </w:rPr>
      </w:pPr>
    </w:p>
    <w:p w14:paraId="487B8B82">
      <w:pPr>
        <w:pStyle w:val="2"/>
        <w:ind w:left="0" w:leftChars="0" w:firstLine="0" w:firstLineChars="0"/>
        <w:outlineLvl w:val="9"/>
        <w:rPr>
          <w:rFonts w:hint="default" w:ascii="宋体" w:hAnsi="宋体" w:eastAsia="宋体" w:cs="宋体"/>
          <w:i/>
          <w:iCs/>
          <w:color w:val="auto"/>
          <w:kern w:val="0"/>
          <w:sz w:val="24"/>
          <w:highlight w:val="none"/>
          <w:lang w:val="en-US" w:eastAsia="zh-CN" w:bidi="en-US"/>
        </w:rPr>
      </w:pPr>
    </w:p>
    <w:p w14:paraId="1638C0CA">
      <w:pPr>
        <w:widowControl w:val="0"/>
        <w:numPr>
          <w:ilvl w:val="0"/>
          <w:numId w:val="0"/>
        </w:numPr>
        <w:ind w:left="420" w:leftChars="0" w:hanging="420" w:firstLineChars="0"/>
        <w:jc w:val="center"/>
        <w:outlineLvl w:val="9"/>
        <w:rPr>
          <w:rFonts w:hint="eastAsia" w:ascii="黑体" w:hAnsi="黑体" w:eastAsia="黑体" w:cs="Times New Roman"/>
          <w:kern w:val="2"/>
          <w:sz w:val="28"/>
          <w:szCs w:val="28"/>
          <w:lang w:val="en-US" w:eastAsia="zh-CN" w:bidi="ar-SA"/>
        </w:rPr>
      </w:pPr>
      <w:r>
        <w:rPr>
          <w:rFonts w:hint="eastAsia" w:ascii="黑体" w:hAnsi="黑体" w:eastAsia="黑体" w:cs="Times New Roman"/>
          <w:kern w:val="2"/>
          <w:sz w:val="28"/>
          <w:szCs w:val="28"/>
          <w:lang w:val="en-US" w:eastAsia="zh-CN" w:bidi="ar-SA"/>
        </w:rPr>
        <w:t>信誉状况</w:t>
      </w:r>
    </w:p>
    <w:p w14:paraId="5D623AC2">
      <w:pPr>
        <w:pStyle w:val="2"/>
        <w:ind w:left="0" w:leftChars="0" w:firstLine="0" w:firstLineChars="0"/>
        <w:rPr>
          <w:rFonts w:hint="default" w:ascii="宋体" w:hAnsi="宋体" w:eastAsia="宋体" w:cs="宋体"/>
          <w:bCs/>
          <w:color w:val="auto"/>
          <w:kern w:val="2"/>
          <w:sz w:val="21"/>
          <w:szCs w:val="21"/>
          <w:highlight w:val="none"/>
          <w:lang w:val="en-US" w:eastAsia="zh-CN" w:bidi="ar-SA"/>
        </w:rPr>
      </w:pPr>
    </w:p>
    <w:p w14:paraId="251CE740">
      <w:pPr>
        <w:pStyle w:val="2"/>
        <w:ind w:left="0" w:leftChars="0" w:firstLine="0" w:firstLineChars="0"/>
        <w:rPr>
          <w:rFonts w:hint="default" w:ascii="宋体" w:hAnsi="宋体" w:eastAsia="宋体" w:cs="宋体"/>
          <w:bCs/>
          <w:color w:val="auto"/>
          <w:kern w:val="2"/>
          <w:sz w:val="21"/>
          <w:szCs w:val="21"/>
          <w:highlight w:val="none"/>
          <w:lang w:val="en-US" w:eastAsia="zh-CN" w:bidi="ar-SA"/>
        </w:rPr>
        <w:sectPr>
          <w:headerReference r:id="rId12" w:type="default"/>
          <w:footerReference r:id="rId13" w:type="default"/>
          <w:pgSz w:w="11906" w:h="16838"/>
          <w:pgMar w:top="1440" w:right="1080" w:bottom="1440" w:left="1080" w:header="851" w:footer="992" w:gutter="0"/>
          <w:pgNumType w:fmt="decimal"/>
          <w:cols w:space="720" w:num="1"/>
          <w:docGrid w:linePitch="312" w:charSpace="0"/>
        </w:sectPr>
      </w:pPr>
      <w:r>
        <w:rPr>
          <w:rFonts w:hint="default" w:ascii="宋体" w:hAnsi="宋体" w:eastAsia="宋体" w:cs="宋体"/>
          <w:bCs/>
          <w:color w:val="auto"/>
          <w:kern w:val="2"/>
          <w:sz w:val="21"/>
          <w:szCs w:val="21"/>
          <w:highlight w:val="none"/>
          <w:lang w:val="en-US" w:eastAsia="zh-CN" w:bidi="ar-SA"/>
        </w:rPr>
        <w:t>供应商未被“信用中国”网站(www.creditchina.gov.cn)中列入失信被执行人或重大税收违法失信主体的供应商、未被中国政府采购网(www.ccgp.gov.cn)列入政府采购严重违法失信行为记录名单中被财政部门禁止参加政府采购活动的供应商(处罚决定规定的时间和地域范围内)</w:t>
      </w:r>
    </w:p>
    <w:p w14:paraId="58B5060C">
      <w:pPr>
        <w:jc w:val="center"/>
        <w:outlineLvl w:val="1"/>
        <w:rPr>
          <w:rFonts w:hint="eastAsia" w:asciiTheme="minorEastAsia" w:hAnsiTheme="minorEastAsia" w:eastAsiaTheme="minorEastAsia" w:cstheme="minorEastAsia"/>
          <w:b/>
          <w:color w:val="auto"/>
          <w:sz w:val="24"/>
        </w:rPr>
      </w:pPr>
      <w:bookmarkStart w:id="1463" w:name="_Toc22643"/>
      <w:bookmarkStart w:id="1464" w:name="_Toc3599"/>
      <w:bookmarkStart w:id="1465" w:name="_Toc1014"/>
      <w:r>
        <w:rPr>
          <w:rFonts w:hint="eastAsia" w:asciiTheme="minorEastAsia" w:hAnsiTheme="minorEastAsia" w:eastAsiaTheme="minorEastAsia" w:cstheme="minorEastAsia"/>
          <w:b/>
          <w:color w:val="auto"/>
          <w:sz w:val="24"/>
        </w:rPr>
        <w:t>附件10</w:t>
      </w:r>
      <w:r>
        <w:rPr>
          <w:rFonts w:hint="eastAsia" w:ascii="宋体" w:hAnsi="宋体" w:eastAsia="宋体" w:cs="宋体"/>
          <w:b/>
          <w:color w:val="auto"/>
          <w:sz w:val="24"/>
        </w:rPr>
        <w:t xml:space="preserve"> </w:t>
      </w:r>
      <w:r>
        <w:rPr>
          <w:rFonts w:hint="eastAsia" w:asciiTheme="minorEastAsia" w:hAnsiTheme="minorEastAsia" w:eastAsiaTheme="minorEastAsia" w:cstheme="minorEastAsia"/>
          <w:b/>
          <w:color w:val="auto"/>
          <w:sz w:val="24"/>
        </w:rPr>
        <w:t>投标人</w:t>
      </w:r>
      <w:r>
        <w:rPr>
          <w:rFonts w:hint="eastAsia" w:asciiTheme="minorEastAsia" w:hAnsiTheme="minorEastAsia" w:eastAsiaTheme="minorEastAsia" w:cstheme="minorEastAsia"/>
          <w:b/>
          <w:color w:val="auto"/>
          <w:sz w:val="24"/>
          <w:lang w:val="en-US" w:eastAsia="zh-CN"/>
        </w:rPr>
        <w:t>类似</w:t>
      </w:r>
      <w:r>
        <w:rPr>
          <w:rFonts w:hint="eastAsia" w:asciiTheme="minorEastAsia" w:hAnsiTheme="minorEastAsia" w:eastAsiaTheme="minorEastAsia" w:cstheme="minorEastAsia"/>
          <w:b/>
          <w:color w:val="auto"/>
          <w:sz w:val="24"/>
        </w:rPr>
        <w:t>业绩一览表</w:t>
      </w:r>
      <w:bookmarkEnd w:id="1463"/>
      <w:bookmarkEnd w:id="1464"/>
      <w:bookmarkEnd w:id="1465"/>
    </w:p>
    <w:p w14:paraId="46D5363B">
      <w:pPr>
        <w:rPr>
          <w:color w:val="auto"/>
        </w:rPr>
      </w:pPr>
    </w:p>
    <w:tbl>
      <w:tblPr>
        <w:tblStyle w:val="41"/>
        <w:tblW w:w="12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271"/>
        <w:gridCol w:w="2646"/>
        <w:gridCol w:w="1454"/>
        <w:gridCol w:w="2234"/>
        <w:gridCol w:w="2104"/>
        <w:gridCol w:w="1245"/>
      </w:tblGrid>
      <w:tr w14:paraId="6A68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08" w:type="dxa"/>
            <w:vAlign w:val="center"/>
          </w:tcPr>
          <w:p w14:paraId="3237E4D5">
            <w:pPr>
              <w:jc w:val="center"/>
              <w:rPr>
                <w:rFonts w:ascii="宋体" w:hAnsi="宋体"/>
                <w:color w:val="auto"/>
                <w:sz w:val="24"/>
              </w:rPr>
            </w:pPr>
            <w:r>
              <w:rPr>
                <w:rFonts w:hint="eastAsia" w:ascii="宋体" w:hAnsi="宋体"/>
                <w:color w:val="auto"/>
                <w:sz w:val="24"/>
              </w:rPr>
              <w:t>年份</w:t>
            </w:r>
          </w:p>
        </w:tc>
        <w:tc>
          <w:tcPr>
            <w:tcW w:w="2271" w:type="dxa"/>
            <w:vAlign w:val="center"/>
          </w:tcPr>
          <w:p w14:paraId="6A8BBB22">
            <w:pPr>
              <w:jc w:val="center"/>
              <w:rPr>
                <w:rFonts w:ascii="宋体" w:hAnsi="宋体"/>
                <w:color w:val="auto"/>
                <w:sz w:val="24"/>
              </w:rPr>
            </w:pPr>
            <w:r>
              <w:rPr>
                <w:rFonts w:hint="eastAsia" w:ascii="宋体" w:hAnsi="宋体"/>
                <w:color w:val="auto"/>
                <w:sz w:val="24"/>
                <w:lang w:val="en-US" w:eastAsia="zh-CN"/>
              </w:rPr>
              <w:t>项目</w:t>
            </w:r>
            <w:r>
              <w:rPr>
                <w:rFonts w:ascii="宋体" w:hAnsi="宋体"/>
                <w:color w:val="auto"/>
                <w:sz w:val="24"/>
              </w:rPr>
              <w:t>名称</w:t>
            </w:r>
          </w:p>
        </w:tc>
        <w:tc>
          <w:tcPr>
            <w:tcW w:w="2646" w:type="dxa"/>
            <w:vAlign w:val="center"/>
          </w:tcPr>
          <w:p w14:paraId="23260D18">
            <w:pPr>
              <w:jc w:val="center"/>
              <w:rPr>
                <w:rFonts w:ascii="宋体" w:hAnsi="宋体"/>
                <w:color w:val="auto"/>
                <w:sz w:val="24"/>
              </w:rPr>
            </w:pPr>
            <w:r>
              <w:rPr>
                <w:rFonts w:hint="eastAsia" w:ascii="宋体" w:hAnsi="宋体"/>
                <w:color w:val="auto"/>
                <w:sz w:val="24"/>
                <w:lang w:val="en-US" w:eastAsia="zh-CN"/>
              </w:rPr>
              <w:t>主要建设</w:t>
            </w:r>
            <w:r>
              <w:rPr>
                <w:rFonts w:hint="eastAsia" w:ascii="宋体" w:hAnsi="宋体"/>
                <w:color w:val="auto"/>
                <w:sz w:val="24"/>
              </w:rPr>
              <w:t>内容</w:t>
            </w:r>
          </w:p>
        </w:tc>
        <w:tc>
          <w:tcPr>
            <w:tcW w:w="1454" w:type="dxa"/>
            <w:vAlign w:val="center"/>
          </w:tcPr>
          <w:p w14:paraId="09D5A038">
            <w:pPr>
              <w:jc w:val="center"/>
              <w:rPr>
                <w:rFonts w:ascii="宋体" w:hAnsi="宋体"/>
                <w:color w:val="auto"/>
                <w:sz w:val="24"/>
              </w:rPr>
            </w:pPr>
            <w:r>
              <w:rPr>
                <w:rFonts w:hint="eastAsia" w:ascii="宋体" w:hAnsi="宋体"/>
                <w:color w:val="auto"/>
                <w:sz w:val="24"/>
              </w:rPr>
              <w:t>合同总价</w:t>
            </w:r>
          </w:p>
        </w:tc>
        <w:tc>
          <w:tcPr>
            <w:tcW w:w="2234" w:type="dxa"/>
            <w:vAlign w:val="center"/>
          </w:tcPr>
          <w:p w14:paraId="75D1B0E4">
            <w:pPr>
              <w:jc w:val="center"/>
              <w:rPr>
                <w:rFonts w:ascii="宋体" w:hAnsi="宋体"/>
                <w:color w:val="auto"/>
                <w:sz w:val="24"/>
              </w:rPr>
            </w:pPr>
            <w:r>
              <w:rPr>
                <w:rFonts w:hint="eastAsia" w:ascii="宋体" w:hAnsi="宋体"/>
                <w:color w:val="auto"/>
                <w:sz w:val="24"/>
              </w:rPr>
              <w:t>使用单位名称</w:t>
            </w:r>
          </w:p>
        </w:tc>
        <w:tc>
          <w:tcPr>
            <w:tcW w:w="2104" w:type="dxa"/>
            <w:vAlign w:val="center"/>
          </w:tcPr>
          <w:p w14:paraId="40950B9E">
            <w:pPr>
              <w:jc w:val="center"/>
              <w:rPr>
                <w:rFonts w:ascii="宋体" w:hAnsi="宋体"/>
                <w:color w:val="auto"/>
                <w:sz w:val="24"/>
              </w:rPr>
            </w:pPr>
            <w:r>
              <w:rPr>
                <w:rFonts w:hint="eastAsia" w:ascii="宋体" w:hAnsi="宋体"/>
                <w:color w:val="auto"/>
                <w:sz w:val="24"/>
              </w:rPr>
              <w:t>使用单位联系人及电话</w:t>
            </w:r>
          </w:p>
        </w:tc>
        <w:tc>
          <w:tcPr>
            <w:tcW w:w="1245" w:type="dxa"/>
            <w:vAlign w:val="center"/>
          </w:tcPr>
          <w:p w14:paraId="7AAE7C2F">
            <w:pPr>
              <w:jc w:val="center"/>
              <w:rPr>
                <w:rFonts w:ascii="宋体" w:hAnsi="宋体"/>
                <w:color w:val="auto"/>
                <w:sz w:val="24"/>
              </w:rPr>
            </w:pPr>
            <w:r>
              <w:rPr>
                <w:rFonts w:ascii="宋体" w:hAnsi="宋体"/>
                <w:color w:val="auto"/>
                <w:sz w:val="24"/>
              </w:rPr>
              <w:t>备注</w:t>
            </w:r>
          </w:p>
        </w:tc>
      </w:tr>
      <w:tr w14:paraId="748E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3B535D1A">
            <w:pPr>
              <w:jc w:val="center"/>
              <w:rPr>
                <w:rFonts w:ascii="宋体" w:hAnsi="宋体"/>
                <w:color w:val="auto"/>
                <w:sz w:val="24"/>
              </w:rPr>
            </w:pPr>
            <w:r>
              <w:rPr>
                <w:rFonts w:hint="eastAsia" w:ascii="宋体" w:hAnsi="宋体"/>
                <w:color w:val="auto"/>
                <w:sz w:val="24"/>
              </w:rPr>
              <w:t>20  年</w:t>
            </w:r>
          </w:p>
        </w:tc>
        <w:tc>
          <w:tcPr>
            <w:tcW w:w="2271" w:type="dxa"/>
            <w:vAlign w:val="center"/>
          </w:tcPr>
          <w:p w14:paraId="313C3E05">
            <w:pPr>
              <w:jc w:val="center"/>
              <w:rPr>
                <w:rFonts w:ascii="宋体" w:hAnsi="宋体"/>
                <w:color w:val="auto"/>
                <w:sz w:val="24"/>
              </w:rPr>
            </w:pPr>
          </w:p>
        </w:tc>
        <w:tc>
          <w:tcPr>
            <w:tcW w:w="2646" w:type="dxa"/>
            <w:vAlign w:val="center"/>
          </w:tcPr>
          <w:p w14:paraId="02478176">
            <w:pPr>
              <w:jc w:val="center"/>
              <w:rPr>
                <w:rFonts w:ascii="宋体" w:hAnsi="宋体"/>
                <w:color w:val="auto"/>
                <w:sz w:val="24"/>
              </w:rPr>
            </w:pPr>
          </w:p>
        </w:tc>
        <w:tc>
          <w:tcPr>
            <w:tcW w:w="1454" w:type="dxa"/>
            <w:vAlign w:val="center"/>
          </w:tcPr>
          <w:p w14:paraId="37CD75CD">
            <w:pPr>
              <w:jc w:val="center"/>
              <w:rPr>
                <w:rFonts w:ascii="宋体" w:hAnsi="宋体"/>
                <w:color w:val="auto"/>
                <w:sz w:val="24"/>
              </w:rPr>
            </w:pPr>
          </w:p>
        </w:tc>
        <w:tc>
          <w:tcPr>
            <w:tcW w:w="2234" w:type="dxa"/>
            <w:vAlign w:val="center"/>
          </w:tcPr>
          <w:p w14:paraId="6C09365A">
            <w:pPr>
              <w:jc w:val="center"/>
              <w:rPr>
                <w:rFonts w:ascii="宋体" w:hAnsi="宋体"/>
                <w:color w:val="auto"/>
                <w:sz w:val="24"/>
              </w:rPr>
            </w:pPr>
          </w:p>
        </w:tc>
        <w:tc>
          <w:tcPr>
            <w:tcW w:w="2104" w:type="dxa"/>
            <w:vAlign w:val="center"/>
          </w:tcPr>
          <w:p w14:paraId="7A08FE02">
            <w:pPr>
              <w:jc w:val="center"/>
              <w:rPr>
                <w:rFonts w:ascii="宋体" w:hAnsi="宋体"/>
                <w:color w:val="auto"/>
                <w:sz w:val="24"/>
              </w:rPr>
            </w:pPr>
          </w:p>
        </w:tc>
        <w:tc>
          <w:tcPr>
            <w:tcW w:w="1245" w:type="dxa"/>
            <w:vAlign w:val="center"/>
          </w:tcPr>
          <w:p w14:paraId="434B737A">
            <w:pPr>
              <w:jc w:val="center"/>
              <w:rPr>
                <w:rFonts w:ascii="宋体" w:hAnsi="宋体"/>
                <w:color w:val="auto"/>
                <w:sz w:val="24"/>
              </w:rPr>
            </w:pPr>
          </w:p>
        </w:tc>
      </w:tr>
      <w:tr w14:paraId="14BD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121DB602">
            <w:pPr>
              <w:jc w:val="center"/>
              <w:rPr>
                <w:rFonts w:ascii="宋体" w:hAnsi="宋体"/>
                <w:color w:val="auto"/>
                <w:sz w:val="24"/>
              </w:rPr>
            </w:pPr>
          </w:p>
        </w:tc>
        <w:tc>
          <w:tcPr>
            <w:tcW w:w="2271" w:type="dxa"/>
            <w:vAlign w:val="center"/>
          </w:tcPr>
          <w:p w14:paraId="3ACC59BF">
            <w:pPr>
              <w:jc w:val="center"/>
              <w:rPr>
                <w:rFonts w:ascii="宋体" w:hAnsi="宋体"/>
                <w:color w:val="auto"/>
                <w:sz w:val="24"/>
              </w:rPr>
            </w:pPr>
          </w:p>
        </w:tc>
        <w:tc>
          <w:tcPr>
            <w:tcW w:w="2646" w:type="dxa"/>
            <w:vAlign w:val="center"/>
          </w:tcPr>
          <w:p w14:paraId="74724945">
            <w:pPr>
              <w:jc w:val="center"/>
              <w:rPr>
                <w:rFonts w:ascii="宋体" w:hAnsi="宋体"/>
                <w:color w:val="auto"/>
                <w:sz w:val="24"/>
              </w:rPr>
            </w:pPr>
          </w:p>
        </w:tc>
        <w:tc>
          <w:tcPr>
            <w:tcW w:w="1454" w:type="dxa"/>
            <w:vAlign w:val="center"/>
          </w:tcPr>
          <w:p w14:paraId="68F2DDB3">
            <w:pPr>
              <w:jc w:val="center"/>
              <w:rPr>
                <w:rFonts w:ascii="宋体" w:hAnsi="宋体"/>
                <w:color w:val="auto"/>
                <w:sz w:val="24"/>
              </w:rPr>
            </w:pPr>
          </w:p>
        </w:tc>
        <w:tc>
          <w:tcPr>
            <w:tcW w:w="2234" w:type="dxa"/>
            <w:vAlign w:val="center"/>
          </w:tcPr>
          <w:p w14:paraId="69BF19EF">
            <w:pPr>
              <w:jc w:val="center"/>
              <w:rPr>
                <w:rFonts w:ascii="宋体" w:hAnsi="宋体"/>
                <w:color w:val="auto"/>
                <w:sz w:val="24"/>
              </w:rPr>
            </w:pPr>
          </w:p>
        </w:tc>
        <w:tc>
          <w:tcPr>
            <w:tcW w:w="2104" w:type="dxa"/>
            <w:vAlign w:val="center"/>
          </w:tcPr>
          <w:p w14:paraId="5E3A9600">
            <w:pPr>
              <w:jc w:val="center"/>
              <w:rPr>
                <w:rFonts w:ascii="宋体" w:hAnsi="宋体"/>
                <w:color w:val="auto"/>
                <w:sz w:val="24"/>
              </w:rPr>
            </w:pPr>
          </w:p>
        </w:tc>
        <w:tc>
          <w:tcPr>
            <w:tcW w:w="1245" w:type="dxa"/>
            <w:vAlign w:val="center"/>
          </w:tcPr>
          <w:p w14:paraId="31062BAA">
            <w:pPr>
              <w:jc w:val="center"/>
              <w:rPr>
                <w:rFonts w:ascii="宋体" w:hAnsi="宋体"/>
                <w:color w:val="auto"/>
                <w:sz w:val="24"/>
              </w:rPr>
            </w:pPr>
          </w:p>
        </w:tc>
      </w:tr>
      <w:tr w14:paraId="1D4D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68CA4369">
            <w:pPr>
              <w:jc w:val="center"/>
              <w:rPr>
                <w:rFonts w:ascii="宋体" w:hAnsi="宋体"/>
                <w:color w:val="auto"/>
                <w:sz w:val="24"/>
              </w:rPr>
            </w:pPr>
            <w:r>
              <w:rPr>
                <w:rFonts w:hint="eastAsia" w:ascii="宋体" w:hAnsi="宋体"/>
                <w:color w:val="auto"/>
                <w:sz w:val="24"/>
              </w:rPr>
              <w:t>20  年</w:t>
            </w:r>
          </w:p>
        </w:tc>
        <w:tc>
          <w:tcPr>
            <w:tcW w:w="2271" w:type="dxa"/>
            <w:vAlign w:val="center"/>
          </w:tcPr>
          <w:p w14:paraId="78F52198">
            <w:pPr>
              <w:jc w:val="center"/>
              <w:rPr>
                <w:rFonts w:ascii="宋体" w:hAnsi="宋体"/>
                <w:color w:val="auto"/>
                <w:sz w:val="24"/>
              </w:rPr>
            </w:pPr>
          </w:p>
        </w:tc>
        <w:tc>
          <w:tcPr>
            <w:tcW w:w="2646" w:type="dxa"/>
            <w:vAlign w:val="center"/>
          </w:tcPr>
          <w:p w14:paraId="193A7095">
            <w:pPr>
              <w:jc w:val="center"/>
              <w:rPr>
                <w:rFonts w:ascii="宋体" w:hAnsi="宋体"/>
                <w:color w:val="auto"/>
                <w:sz w:val="24"/>
              </w:rPr>
            </w:pPr>
          </w:p>
        </w:tc>
        <w:tc>
          <w:tcPr>
            <w:tcW w:w="1454" w:type="dxa"/>
            <w:vAlign w:val="center"/>
          </w:tcPr>
          <w:p w14:paraId="2FCD7FA3">
            <w:pPr>
              <w:jc w:val="center"/>
              <w:rPr>
                <w:rFonts w:ascii="宋体" w:hAnsi="宋体"/>
                <w:color w:val="auto"/>
                <w:sz w:val="24"/>
              </w:rPr>
            </w:pPr>
          </w:p>
        </w:tc>
        <w:tc>
          <w:tcPr>
            <w:tcW w:w="2234" w:type="dxa"/>
            <w:vAlign w:val="center"/>
          </w:tcPr>
          <w:p w14:paraId="11B8FD14">
            <w:pPr>
              <w:jc w:val="center"/>
              <w:rPr>
                <w:rFonts w:ascii="宋体" w:hAnsi="宋体"/>
                <w:color w:val="auto"/>
                <w:sz w:val="24"/>
              </w:rPr>
            </w:pPr>
          </w:p>
        </w:tc>
        <w:tc>
          <w:tcPr>
            <w:tcW w:w="2104" w:type="dxa"/>
            <w:vAlign w:val="center"/>
          </w:tcPr>
          <w:p w14:paraId="12828E0A">
            <w:pPr>
              <w:jc w:val="center"/>
              <w:rPr>
                <w:rFonts w:ascii="宋体" w:hAnsi="宋体"/>
                <w:color w:val="auto"/>
                <w:sz w:val="24"/>
              </w:rPr>
            </w:pPr>
          </w:p>
        </w:tc>
        <w:tc>
          <w:tcPr>
            <w:tcW w:w="1245" w:type="dxa"/>
            <w:vAlign w:val="center"/>
          </w:tcPr>
          <w:p w14:paraId="1F2E72E9">
            <w:pPr>
              <w:jc w:val="center"/>
              <w:rPr>
                <w:rFonts w:ascii="宋体" w:hAnsi="宋体"/>
                <w:color w:val="auto"/>
                <w:sz w:val="24"/>
              </w:rPr>
            </w:pPr>
          </w:p>
        </w:tc>
      </w:tr>
      <w:tr w14:paraId="1C41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434CCAD5">
            <w:pPr>
              <w:jc w:val="center"/>
              <w:rPr>
                <w:rFonts w:ascii="宋体" w:hAnsi="宋体"/>
                <w:color w:val="auto"/>
                <w:sz w:val="24"/>
              </w:rPr>
            </w:pPr>
          </w:p>
        </w:tc>
        <w:tc>
          <w:tcPr>
            <w:tcW w:w="2271" w:type="dxa"/>
            <w:vAlign w:val="center"/>
          </w:tcPr>
          <w:p w14:paraId="6F248441">
            <w:pPr>
              <w:jc w:val="center"/>
              <w:rPr>
                <w:rFonts w:ascii="宋体" w:hAnsi="宋体"/>
                <w:color w:val="auto"/>
                <w:sz w:val="24"/>
              </w:rPr>
            </w:pPr>
          </w:p>
        </w:tc>
        <w:tc>
          <w:tcPr>
            <w:tcW w:w="2646" w:type="dxa"/>
            <w:vAlign w:val="center"/>
          </w:tcPr>
          <w:p w14:paraId="2D6B56CA">
            <w:pPr>
              <w:jc w:val="center"/>
              <w:rPr>
                <w:rFonts w:ascii="宋体" w:hAnsi="宋体"/>
                <w:color w:val="auto"/>
                <w:sz w:val="24"/>
              </w:rPr>
            </w:pPr>
          </w:p>
        </w:tc>
        <w:tc>
          <w:tcPr>
            <w:tcW w:w="1454" w:type="dxa"/>
            <w:vAlign w:val="center"/>
          </w:tcPr>
          <w:p w14:paraId="277E0A30">
            <w:pPr>
              <w:jc w:val="center"/>
              <w:rPr>
                <w:rFonts w:ascii="宋体" w:hAnsi="宋体"/>
                <w:color w:val="auto"/>
                <w:sz w:val="24"/>
              </w:rPr>
            </w:pPr>
          </w:p>
        </w:tc>
        <w:tc>
          <w:tcPr>
            <w:tcW w:w="2234" w:type="dxa"/>
            <w:vAlign w:val="center"/>
          </w:tcPr>
          <w:p w14:paraId="267E8644">
            <w:pPr>
              <w:jc w:val="center"/>
              <w:rPr>
                <w:rFonts w:ascii="宋体" w:hAnsi="宋体"/>
                <w:color w:val="auto"/>
                <w:sz w:val="24"/>
              </w:rPr>
            </w:pPr>
          </w:p>
        </w:tc>
        <w:tc>
          <w:tcPr>
            <w:tcW w:w="2104" w:type="dxa"/>
            <w:vAlign w:val="center"/>
          </w:tcPr>
          <w:p w14:paraId="32672B99">
            <w:pPr>
              <w:jc w:val="center"/>
              <w:rPr>
                <w:rFonts w:ascii="宋体" w:hAnsi="宋体"/>
                <w:color w:val="auto"/>
                <w:sz w:val="24"/>
              </w:rPr>
            </w:pPr>
          </w:p>
        </w:tc>
        <w:tc>
          <w:tcPr>
            <w:tcW w:w="1245" w:type="dxa"/>
            <w:vAlign w:val="center"/>
          </w:tcPr>
          <w:p w14:paraId="1902F58A">
            <w:pPr>
              <w:jc w:val="center"/>
              <w:rPr>
                <w:rFonts w:ascii="宋体" w:hAnsi="宋体"/>
                <w:color w:val="auto"/>
                <w:sz w:val="24"/>
              </w:rPr>
            </w:pPr>
          </w:p>
        </w:tc>
      </w:tr>
      <w:tr w14:paraId="3ABD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39AA297D">
            <w:pPr>
              <w:jc w:val="center"/>
              <w:rPr>
                <w:rFonts w:ascii="宋体" w:hAnsi="宋体"/>
                <w:color w:val="auto"/>
                <w:sz w:val="24"/>
              </w:rPr>
            </w:pPr>
            <w:r>
              <w:rPr>
                <w:rFonts w:hint="eastAsia" w:ascii="宋体" w:hAnsi="宋体"/>
                <w:color w:val="auto"/>
                <w:sz w:val="24"/>
              </w:rPr>
              <w:t>20  年</w:t>
            </w:r>
          </w:p>
        </w:tc>
        <w:tc>
          <w:tcPr>
            <w:tcW w:w="2271" w:type="dxa"/>
            <w:vAlign w:val="center"/>
          </w:tcPr>
          <w:p w14:paraId="67F01AA3">
            <w:pPr>
              <w:jc w:val="center"/>
              <w:rPr>
                <w:rFonts w:ascii="宋体" w:hAnsi="宋体"/>
                <w:color w:val="auto"/>
                <w:sz w:val="24"/>
              </w:rPr>
            </w:pPr>
          </w:p>
        </w:tc>
        <w:tc>
          <w:tcPr>
            <w:tcW w:w="2646" w:type="dxa"/>
            <w:vAlign w:val="center"/>
          </w:tcPr>
          <w:p w14:paraId="54863046">
            <w:pPr>
              <w:jc w:val="center"/>
              <w:rPr>
                <w:rFonts w:ascii="宋体" w:hAnsi="宋体"/>
                <w:color w:val="auto"/>
                <w:sz w:val="24"/>
              </w:rPr>
            </w:pPr>
          </w:p>
        </w:tc>
        <w:tc>
          <w:tcPr>
            <w:tcW w:w="1454" w:type="dxa"/>
            <w:vAlign w:val="center"/>
          </w:tcPr>
          <w:p w14:paraId="35931447">
            <w:pPr>
              <w:jc w:val="center"/>
              <w:rPr>
                <w:rFonts w:ascii="宋体" w:hAnsi="宋体"/>
                <w:color w:val="auto"/>
                <w:sz w:val="24"/>
              </w:rPr>
            </w:pPr>
          </w:p>
        </w:tc>
        <w:tc>
          <w:tcPr>
            <w:tcW w:w="2234" w:type="dxa"/>
            <w:vAlign w:val="center"/>
          </w:tcPr>
          <w:p w14:paraId="43F35FC2">
            <w:pPr>
              <w:jc w:val="center"/>
              <w:rPr>
                <w:rFonts w:ascii="宋体" w:hAnsi="宋体"/>
                <w:color w:val="auto"/>
                <w:sz w:val="24"/>
              </w:rPr>
            </w:pPr>
          </w:p>
        </w:tc>
        <w:tc>
          <w:tcPr>
            <w:tcW w:w="2104" w:type="dxa"/>
            <w:vAlign w:val="center"/>
          </w:tcPr>
          <w:p w14:paraId="494AD0B3">
            <w:pPr>
              <w:jc w:val="center"/>
              <w:rPr>
                <w:rFonts w:ascii="宋体" w:hAnsi="宋体"/>
                <w:color w:val="auto"/>
                <w:sz w:val="24"/>
              </w:rPr>
            </w:pPr>
          </w:p>
        </w:tc>
        <w:tc>
          <w:tcPr>
            <w:tcW w:w="1245" w:type="dxa"/>
            <w:vAlign w:val="center"/>
          </w:tcPr>
          <w:p w14:paraId="5881548F">
            <w:pPr>
              <w:jc w:val="center"/>
              <w:rPr>
                <w:rFonts w:ascii="宋体" w:hAnsi="宋体"/>
                <w:color w:val="auto"/>
                <w:sz w:val="24"/>
              </w:rPr>
            </w:pPr>
          </w:p>
        </w:tc>
      </w:tr>
      <w:tr w14:paraId="20BD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vAlign w:val="center"/>
          </w:tcPr>
          <w:p w14:paraId="6BDFCBD7">
            <w:pPr>
              <w:jc w:val="center"/>
              <w:rPr>
                <w:rFonts w:ascii="宋体" w:hAnsi="宋体"/>
                <w:color w:val="auto"/>
                <w:sz w:val="24"/>
              </w:rPr>
            </w:pPr>
          </w:p>
        </w:tc>
        <w:tc>
          <w:tcPr>
            <w:tcW w:w="2271" w:type="dxa"/>
            <w:vAlign w:val="center"/>
          </w:tcPr>
          <w:p w14:paraId="2C260558">
            <w:pPr>
              <w:jc w:val="center"/>
              <w:rPr>
                <w:rFonts w:ascii="宋体" w:hAnsi="宋体"/>
                <w:color w:val="auto"/>
                <w:sz w:val="24"/>
              </w:rPr>
            </w:pPr>
          </w:p>
        </w:tc>
        <w:tc>
          <w:tcPr>
            <w:tcW w:w="2646" w:type="dxa"/>
            <w:vAlign w:val="center"/>
          </w:tcPr>
          <w:p w14:paraId="238629EB">
            <w:pPr>
              <w:jc w:val="center"/>
              <w:rPr>
                <w:rFonts w:ascii="宋体" w:hAnsi="宋体"/>
                <w:color w:val="auto"/>
                <w:sz w:val="24"/>
              </w:rPr>
            </w:pPr>
          </w:p>
        </w:tc>
        <w:tc>
          <w:tcPr>
            <w:tcW w:w="1454" w:type="dxa"/>
            <w:vAlign w:val="center"/>
          </w:tcPr>
          <w:p w14:paraId="4B4F7062">
            <w:pPr>
              <w:jc w:val="center"/>
              <w:rPr>
                <w:rFonts w:ascii="宋体" w:hAnsi="宋体"/>
                <w:color w:val="auto"/>
                <w:sz w:val="24"/>
              </w:rPr>
            </w:pPr>
          </w:p>
        </w:tc>
        <w:tc>
          <w:tcPr>
            <w:tcW w:w="2234" w:type="dxa"/>
            <w:vAlign w:val="center"/>
          </w:tcPr>
          <w:p w14:paraId="5FE0A536">
            <w:pPr>
              <w:jc w:val="center"/>
              <w:rPr>
                <w:rFonts w:ascii="宋体" w:hAnsi="宋体"/>
                <w:color w:val="auto"/>
                <w:sz w:val="24"/>
              </w:rPr>
            </w:pPr>
          </w:p>
        </w:tc>
        <w:tc>
          <w:tcPr>
            <w:tcW w:w="2104" w:type="dxa"/>
            <w:vAlign w:val="center"/>
          </w:tcPr>
          <w:p w14:paraId="769FDC66">
            <w:pPr>
              <w:jc w:val="center"/>
              <w:rPr>
                <w:rFonts w:ascii="宋体" w:hAnsi="宋体"/>
                <w:color w:val="auto"/>
                <w:sz w:val="24"/>
              </w:rPr>
            </w:pPr>
          </w:p>
        </w:tc>
        <w:tc>
          <w:tcPr>
            <w:tcW w:w="1245" w:type="dxa"/>
            <w:vAlign w:val="center"/>
          </w:tcPr>
          <w:p w14:paraId="642977A2">
            <w:pPr>
              <w:jc w:val="center"/>
              <w:rPr>
                <w:rFonts w:ascii="宋体" w:hAnsi="宋体"/>
                <w:color w:val="auto"/>
                <w:sz w:val="24"/>
              </w:rPr>
            </w:pPr>
          </w:p>
        </w:tc>
      </w:tr>
    </w:tbl>
    <w:p w14:paraId="6FE06129">
      <w:pPr>
        <w:autoSpaceDE w:val="0"/>
        <w:autoSpaceDN w:val="0"/>
        <w:ind w:left="700" w:hanging="700" w:hangingChars="332"/>
        <w:rPr>
          <w:rFonts w:hint="eastAsia" w:ascii="宋体" w:hAnsi="宋体" w:eastAsia="宋体"/>
          <w:color w:val="auto"/>
          <w:sz w:val="24"/>
          <w:lang w:eastAsia="zh-CN"/>
        </w:rPr>
      </w:pPr>
      <w:r>
        <w:rPr>
          <w:rFonts w:hAnsi="宋体"/>
          <w:b/>
          <w:color w:val="auto"/>
          <w:szCs w:val="21"/>
        </w:rPr>
        <w:t>注</w:t>
      </w:r>
      <w:r>
        <w:rPr>
          <w:rFonts w:hint="eastAsia" w:hAnsi="宋体"/>
          <w:b/>
          <w:color w:val="auto"/>
          <w:szCs w:val="21"/>
          <w:lang w:eastAsia="zh-CN"/>
        </w:rPr>
        <w:t>:</w:t>
      </w:r>
    </w:p>
    <w:p w14:paraId="08611A86">
      <w:pPr>
        <w:numPr>
          <w:ilvl w:val="0"/>
          <w:numId w:val="12"/>
        </w:numPr>
        <w:autoSpaceDE w:val="0"/>
        <w:autoSpaceDN w:val="0"/>
        <w:adjustRightInd w:val="0"/>
        <w:spacing w:line="360" w:lineRule="auto"/>
        <w:rPr>
          <w:rFonts w:hAnsi="宋体"/>
          <w:color w:val="auto"/>
          <w:szCs w:val="21"/>
        </w:rPr>
      </w:pPr>
      <w:r>
        <w:rPr>
          <w:rFonts w:hint="eastAsia" w:hAnsi="宋体"/>
          <w:color w:val="auto"/>
          <w:szCs w:val="21"/>
        </w:rPr>
        <w:t>投标</w:t>
      </w:r>
      <w:r>
        <w:rPr>
          <w:rFonts w:hAnsi="宋体"/>
          <w:color w:val="auto"/>
          <w:szCs w:val="21"/>
        </w:rPr>
        <w:t>人须提供相应的证明文件</w:t>
      </w:r>
      <w:r>
        <w:rPr>
          <w:rFonts w:hint="eastAsia" w:hAnsi="宋体"/>
          <w:color w:val="auto"/>
          <w:szCs w:val="21"/>
          <w:lang w:eastAsia="zh-CN"/>
        </w:rPr>
        <w:t>(</w:t>
      </w:r>
      <w:r>
        <w:rPr>
          <w:rFonts w:hint="eastAsia" w:hAnsi="宋体"/>
          <w:color w:val="auto"/>
          <w:szCs w:val="21"/>
        </w:rPr>
        <w:t>投标</w:t>
      </w:r>
      <w:r>
        <w:rPr>
          <w:rFonts w:hAnsi="宋体"/>
          <w:color w:val="auto"/>
          <w:szCs w:val="21"/>
        </w:rPr>
        <w:t>人需提供合同</w:t>
      </w:r>
      <w:r>
        <w:rPr>
          <w:rFonts w:hint="eastAsia" w:hAnsi="宋体"/>
          <w:color w:val="auto"/>
          <w:szCs w:val="21"/>
          <w:lang w:eastAsia="zh-CN"/>
        </w:rPr>
        <w:t>扫描件)</w:t>
      </w:r>
    </w:p>
    <w:p w14:paraId="5A1B9D83">
      <w:pPr>
        <w:numPr>
          <w:ilvl w:val="0"/>
          <w:numId w:val="12"/>
        </w:numPr>
        <w:autoSpaceDE w:val="0"/>
        <w:autoSpaceDN w:val="0"/>
        <w:adjustRightInd w:val="0"/>
        <w:spacing w:line="360" w:lineRule="auto"/>
        <w:rPr>
          <w:color w:val="auto"/>
          <w:szCs w:val="21"/>
        </w:rPr>
      </w:pPr>
      <w:r>
        <w:rPr>
          <w:color w:val="auto"/>
          <w:szCs w:val="21"/>
        </w:rPr>
        <w:t>正在执行的</w:t>
      </w:r>
      <w:r>
        <w:rPr>
          <w:rFonts w:hint="eastAsia" w:hAnsi="宋体"/>
          <w:color w:val="auto"/>
          <w:szCs w:val="21"/>
        </w:rPr>
        <w:t>类似业绩需标明执行状态，</w:t>
      </w:r>
      <w:r>
        <w:rPr>
          <w:rFonts w:hint="eastAsia"/>
          <w:color w:val="auto"/>
          <w:szCs w:val="21"/>
        </w:rPr>
        <w:t>投标人需在备注栏填写合同执行的状态。</w:t>
      </w:r>
    </w:p>
    <w:p w14:paraId="292A5164">
      <w:pPr>
        <w:spacing w:beforeLines="50" w:line="440" w:lineRule="exact"/>
        <w:ind w:left="-103" w:leftChars="-49" w:firstLine="119" w:firstLineChars="57"/>
        <w:rPr>
          <w:rFonts w:hint="eastAsia" w:eastAsia="宋体"/>
          <w:color w:val="auto"/>
          <w:lang w:eastAsia="zh-CN"/>
        </w:rPr>
      </w:pPr>
      <w:r>
        <w:rPr>
          <w:rFonts w:hint="eastAsia"/>
          <w:color w:val="auto"/>
        </w:rPr>
        <w:t>投标人</w:t>
      </w:r>
      <w:r>
        <w:rPr>
          <w:rFonts w:hint="eastAsia"/>
          <w:color w:val="auto"/>
          <w:lang w:eastAsia="zh-CN"/>
        </w:rPr>
        <w:t>:(</w:t>
      </w:r>
      <w:r>
        <w:rPr>
          <w:rFonts w:hint="eastAsia"/>
          <w:color w:val="auto"/>
        </w:rPr>
        <w:t>公章</w:t>
      </w:r>
      <w:r>
        <w:rPr>
          <w:rFonts w:hint="eastAsia"/>
          <w:color w:val="auto"/>
          <w:lang w:eastAsia="zh-CN"/>
        </w:rPr>
        <w:t>)</w:t>
      </w:r>
    </w:p>
    <w:p w14:paraId="338A6288">
      <w:pPr>
        <w:pStyle w:val="34"/>
        <w:spacing w:before="120"/>
        <w:rPr>
          <w:rFonts w:hint="eastAsia" w:hAnsi="宋体" w:eastAsia="宋体"/>
          <w:color w:val="auto"/>
          <w:sz w:val="21"/>
          <w:szCs w:val="21"/>
          <w:lang w:eastAsia="zh-CN"/>
        </w:rPr>
      </w:pPr>
      <w:r>
        <w:rPr>
          <w:rFonts w:hAnsi="宋体"/>
          <w:color w:val="auto"/>
          <w:sz w:val="21"/>
          <w:szCs w:val="21"/>
        </w:rPr>
        <w:t>法定代表人或</w:t>
      </w:r>
      <w:r>
        <w:rPr>
          <w:rFonts w:hint="eastAsia" w:hAnsi="宋体"/>
          <w:color w:val="auto"/>
          <w:sz w:val="21"/>
          <w:szCs w:val="21"/>
        </w:rPr>
        <w:t>其委托代理人</w:t>
      </w:r>
      <w:r>
        <w:rPr>
          <w:rFonts w:hint="eastAsia" w:hAnsi="宋体"/>
          <w:color w:val="auto"/>
          <w:sz w:val="21"/>
          <w:szCs w:val="21"/>
          <w:lang w:eastAsia="zh-CN"/>
        </w:rPr>
        <w:t>:(</w:t>
      </w:r>
      <w:r>
        <w:rPr>
          <w:rFonts w:hint="eastAsia" w:hAnsi="宋体"/>
          <w:color w:val="auto"/>
          <w:sz w:val="21"/>
          <w:szCs w:val="21"/>
        </w:rPr>
        <w:t>签字或加盖人名章</w:t>
      </w:r>
      <w:r>
        <w:rPr>
          <w:rFonts w:hint="eastAsia" w:hAnsi="宋体"/>
          <w:color w:val="auto"/>
          <w:sz w:val="21"/>
          <w:szCs w:val="21"/>
          <w:lang w:eastAsia="zh-CN"/>
        </w:rPr>
        <w:t>)</w:t>
      </w:r>
    </w:p>
    <w:p w14:paraId="0E073B1B">
      <w:pPr>
        <w:pStyle w:val="34"/>
        <w:spacing w:before="120"/>
        <w:rPr>
          <w:rFonts w:hAnsi="宋体"/>
          <w:color w:val="auto"/>
          <w:sz w:val="21"/>
          <w:szCs w:val="21"/>
        </w:rPr>
      </w:pPr>
      <w:r>
        <w:rPr>
          <w:rFonts w:hAnsi="宋体"/>
          <w:color w:val="auto"/>
          <w:sz w:val="21"/>
          <w:szCs w:val="21"/>
        </w:rPr>
        <w:t>日期</w:t>
      </w:r>
      <w:r>
        <w:rPr>
          <w:rFonts w:hint="eastAsia" w:hAnsi="宋体"/>
          <w:color w:val="auto"/>
          <w:sz w:val="21"/>
          <w:szCs w:val="21"/>
          <w:lang w:eastAsia="zh-CN"/>
        </w:rPr>
        <w:t>:</w:t>
      </w:r>
      <w:r>
        <w:rPr>
          <w:rFonts w:hint="eastAsia" w:hAnsi="宋体"/>
          <w:color w:val="auto"/>
          <w:sz w:val="21"/>
          <w:szCs w:val="21"/>
        </w:rPr>
        <w:t xml:space="preserve">  </w:t>
      </w:r>
      <w:r>
        <w:rPr>
          <w:rFonts w:hAnsi="宋体"/>
          <w:color w:val="auto"/>
          <w:sz w:val="21"/>
          <w:szCs w:val="21"/>
        </w:rPr>
        <w:t>年</w:t>
      </w:r>
      <w:r>
        <w:rPr>
          <w:rFonts w:hint="eastAsia" w:hAnsi="宋体"/>
          <w:color w:val="auto"/>
          <w:sz w:val="21"/>
          <w:szCs w:val="21"/>
        </w:rPr>
        <w:t xml:space="preserve"> </w:t>
      </w:r>
      <w:r>
        <w:rPr>
          <w:rFonts w:hAnsi="宋体"/>
          <w:color w:val="auto"/>
          <w:sz w:val="21"/>
          <w:szCs w:val="21"/>
        </w:rPr>
        <w:t>月</w:t>
      </w:r>
      <w:r>
        <w:rPr>
          <w:rFonts w:hint="eastAsia" w:hAnsi="宋体"/>
          <w:color w:val="auto"/>
          <w:sz w:val="21"/>
          <w:szCs w:val="21"/>
        </w:rPr>
        <w:t xml:space="preserve">  </w:t>
      </w:r>
      <w:r>
        <w:rPr>
          <w:rFonts w:hAnsi="宋体"/>
          <w:color w:val="auto"/>
          <w:sz w:val="21"/>
          <w:szCs w:val="21"/>
        </w:rPr>
        <w:t>日</w:t>
      </w:r>
    </w:p>
    <w:p w14:paraId="5FE5FA7D">
      <w:pPr>
        <w:pStyle w:val="34"/>
        <w:spacing w:before="120"/>
        <w:rPr>
          <w:rFonts w:hAnsi="宋体"/>
          <w:color w:val="auto"/>
          <w:sz w:val="21"/>
          <w:szCs w:val="21"/>
        </w:rPr>
      </w:pPr>
    </w:p>
    <w:p w14:paraId="112B7529">
      <w:pPr>
        <w:spacing w:beforeLines="50"/>
        <w:ind w:left="-84" w:leftChars="-40" w:firstLine="525" w:firstLineChars="250"/>
        <w:rPr>
          <w:color w:val="auto"/>
        </w:rPr>
        <w:sectPr>
          <w:headerReference r:id="rId14" w:type="default"/>
          <w:footerReference r:id="rId15" w:type="default"/>
          <w:pgSz w:w="16838" w:h="11906" w:orient="landscape"/>
          <w:pgMar w:top="1440" w:right="1080" w:bottom="1440" w:left="1080" w:header="851" w:footer="992" w:gutter="0"/>
          <w:pgNumType w:fmt="decimal"/>
          <w:cols w:space="720" w:num="1"/>
          <w:docGrid w:linePitch="312" w:charSpace="0"/>
        </w:sectPr>
      </w:pPr>
    </w:p>
    <w:p w14:paraId="72C4DC17">
      <w:pPr>
        <w:jc w:val="left"/>
        <w:outlineLvl w:val="1"/>
        <w:rPr>
          <w:rFonts w:hint="eastAsia" w:asciiTheme="minorEastAsia" w:hAnsiTheme="minorEastAsia" w:eastAsiaTheme="minorEastAsia" w:cstheme="minorEastAsia"/>
          <w:b/>
          <w:color w:val="auto"/>
          <w:sz w:val="24"/>
        </w:rPr>
      </w:pPr>
      <w:bookmarkStart w:id="1466" w:name="_Toc3388"/>
      <w:bookmarkStart w:id="1467" w:name="_Toc9094"/>
      <w:bookmarkStart w:id="1468" w:name="_Toc15745"/>
      <w:r>
        <w:rPr>
          <w:rFonts w:hint="eastAsia" w:asciiTheme="minorEastAsia" w:hAnsiTheme="minorEastAsia" w:eastAsiaTheme="minorEastAsia" w:cstheme="minorEastAsia"/>
          <w:b/>
          <w:color w:val="auto"/>
          <w:sz w:val="24"/>
        </w:rPr>
        <w:t>附件11</w:t>
      </w:r>
      <w:r>
        <w:rPr>
          <w:rFonts w:hint="eastAsia" w:ascii="宋体" w:hAnsi="宋体" w:eastAsia="宋体" w:cs="宋体"/>
          <w:b/>
          <w:color w:val="auto"/>
          <w:sz w:val="24"/>
        </w:rPr>
        <w:t xml:space="preserve"> </w:t>
      </w:r>
      <w:r>
        <w:rPr>
          <w:rFonts w:hint="eastAsia" w:asciiTheme="minorEastAsia" w:hAnsiTheme="minorEastAsia" w:eastAsiaTheme="minorEastAsia" w:cstheme="minorEastAsia"/>
          <w:b/>
          <w:color w:val="auto"/>
          <w:kern w:val="0"/>
          <w:sz w:val="24"/>
        </w:rPr>
        <w:t>小微企业、监狱企业、残疾人福利单位的声明函或证明材料</w:t>
      </w:r>
      <w:bookmarkEnd w:id="1466"/>
      <w:bookmarkEnd w:id="1467"/>
      <w:bookmarkEnd w:id="1468"/>
    </w:p>
    <w:p w14:paraId="0FCC8C00">
      <w:pPr>
        <w:pStyle w:val="80"/>
        <w:snapToGrid w:val="0"/>
        <w:spacing w:beforeLines="50"/>
        <w:jc w:val="both"/>
        <w:outlineLvl w:val="9"/>
        <w:rPr>
          <w:rFonts w:hint="eastAsia" w:hAnsi="宋体" w:cs="宋体"/>
          <w:color w:val="auto"/>
          <w:sz w:val="24"/>
          <w:szCs w:val="24"/>
        </w:rPr>
      </w:pPr>
    </w:p>
    <w:p w14:paraId="129B5FB9">
      <w:pPr>
        <w:jc w:val="center"/>
        <w:outlineLvl w:val="2"/>
        <w:rPr>
          <w:rFonts w:hint="eastAsia" w:hAnsi="宋体"/>
          <w:color w:val="auto"/>
          <w:sz w:val="32"/>
          <w:szCs w:val="32"/>
          <w:lang w:val="en-US" w:eastAsia="zh-CN"/>
        </w:rPr>
      </w:pPr>
      <w:r>
        <w:rPr>
          <w:rFonts w:hint="eastAsia" w:hAnsi="宋体"/>
          <w:color w:val="auto"/>
          <w:sz w:val="32"/>
          <w:szCs w:val="32"/>
          <w:lang w:eastAsia="zh-CN"/>
        </w:rPr>
        <w:t>(</w:t>
      </w:r>
      <w:r>
        <w:rPr>
          <w:rFonts w:hint="eastAsia" w:hAnsi="宋体"/>
          <w:color w:val="auto"/>
          <w:sz w:val="32"/>
          <w:szCs w:val="32"/>
          <w:lang w:val="en-US" w:eastAsia="zh-CN"/>
        </w:rPr>
        <w:t>一</w:t>
      </w:r>
      <w:r>
        <w:rPr>
          <w:rFonts w:hint="eastAsia" w:hAnsi="宋体"/>
          <w:color w:val="auto"/>
          <w:sz w:val="32"/>
          <w:szCs w:val="32"/>
          <w:lang w:eastAsia="zh-CN"/>
        </w:rPr>
        <w:t>)</w:t>
      </w:r>
      <w:r>
        <w:rPr>
          <w:rFonts w:hint="default" w:hAnsi="宋体"/>
          <w:color w:val="auto"/>
          <w:sz w:val="32"/>
          <w:szCs w:val="32"/>
          <w:lang w:val="en-US" w:eastAsia="zh-CN"/>
        </w:rPr>
        <w:t>中小企业声明函（工程、服务）</w:t>
      </w:r>
    </w:p>
    <w:p w14:paraId="4F681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本公司（联合体）郑重声明，根据《政府采购促进中小企业发展管理办法》（财库[2020]46号）的规定，本公司（联合体）参加</w:t>
      </w:r>
      <w:r>
        <w:rPr>
          <w:rFonts w:hint="eastAsia" w:ascii="宋体" w:hAnsi="宋体" w:eastAsia="宋体" w:cs="宋体"/>
          <w:kern w:val="0"/>
          <w:sz w:val="24"/>
          <w:szCs w:val="24"/>
          <w:u w:val="single"/>
          <w:lang w:val="en-US" w:eastAsia="zh-CN" w:bidi="ar"/>
        </w:rPr>
        <w:t>（单位名称）</w:t>
      </w:r>
      <w:r>
        <w:rPr>
          <w:rFonts w:hint="eastAsia" w:ascii="宋体" w:hAnsi="宋体" w:eastAsia="宋体" w:cs="宋体"/>
          <w:kern w:val="0"/>
          <w:sz w:val="24"/>
          <w:szCs w:val="24"/>
          <w:lang w:val="en-US" w:eastAsia="zh-CN" w:bidi="ar"/>
        </w:rPr>
        <w:t>的</w:t>
      </w:r>
      <w:r>
        <w:rPr>
          <w:rFonts w:hint="eastAsia" w:ascii="宋体" w:hAnsi="宋体" w:eastAsia="宋体" w:cs="宋体"/>
          <w:kern w:val="0"/>
          <w:sz w:val="24"/>
          <w:szCs w:val="24"/>
          <w:u w:val="single"/>
          <w:lang w:val="en-US" w:eastAsia="zh-CN" w:bidi="ar"/>
        </w:rPr>
        <w:t>（项目名称）</w:t>
      </w:r>
      <w:r>
        <w:rPr>
          <w:rFonts w:hint="eastAsia" w:ascii="宋体" w:hAnsi="宋体" w:eastAsia="宋体" w:cs="宋体"/>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14:paraId="1CDFA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hint="eastAsia" w:ascii="宋体" w:hAnsi="宋体" w:eastAsia="宋体" w:cs="宋体"/>
          <w:kern w:val="0"/>
          <w:sz w:val="24"/>
          <w:szCs w:val="24"/>
          <w:u w:val="single"/>
          <w:lang w:val="en-US" w:eastAsia="zh-CN" w:bidi="ar"/>
        </w:rPr>
        <w:t>（标的名称）</w:t>
      </w:r>
      <w:r>
        <w:rPr>
          <w:rFonts w:hint="eastAsia" w:ascii="宋体" w:hAnsi="宋体" w:eastAsia="宋体" w:cs="宋体"/>
          <w:kern w:val="0"/>
          <w:sz w:val="24"/>
          <w:szCs w:val="24"/>
          <w:lang w:val="en-US" w:eastAsia="zh-CN" w:bidi="ar"/>
        </w:rPr>
        <w:t>，属于</w:t>
      </w:r>
      <w:r>
        <w:rPr>
          <w:rFonts w:hint="eastAsia" w:ascii="宋体" w:hAnsi="宋体" w:eastAsia="宋体" w:cs="宋体"/>
          <w:kern w:val="0"/>
          <w:sz w:val="24"/>
          <w:szCs w:val="24"/>
          <w:u w:val="single"/>
          <w:lang w:val="en-US" w:eastAsia="zh-CN" w:bidi="ar"/>
        </w:rPr>
        <w:t>（采购文件中明确的所属行业）</w:t>
      </w:r>
      <w:r>
        <w:rPr>
          <w:rFonts w:hint="eastAsia" w:ascii="宋体" w:hAnsi="宋体" w:eastAsia="宋体" w:cs="宋体"/>
          <w:kern w:val="0"/>
          <w:sz w:val="24"/>
          <w:szCs w:val="24"/>
          <w:lang w:val="en-US" w:eastAsia="zh-CN" w:bidi="ar"/>
        </w:rPr>
        <w:t>；承建（承接）企业为</w:t>
      </w:r>
      <w:r>
        <w:rPr>
          <w:rFonts w:hint="eastAsia" w:ascii="宋体" w:hAnsi="宋体" w:eastAsia="宋体" w:cs="宋体"/>
          <w:kern w:val="0"/>
          <w:sz w:val="24"/>
          <w:szCs w:val="24"/>
          <w:u w:val="single"/>
          <w:lang w:val="en-US" w:eastAsia="zh-CN" w:bidi="ar"/>
        </w:rPr>
        <w:t>（企业名称）</w:t>
      </w:r>
      <w:r>
        <w:rPr>
          <w:rFonts w:hint="eastAsia" w:ascii="宋体" w:hAnsi="宋体" w:eastAsia="宋体" w:cs="宋体"/>
          <w:kern w:val="0"/>
          <w:sz w:val="24"/>
          <w:szCs w:val="24"/>
          <w:lang w:val="en-US" w:eastAsia="zh-CN" w:bidi="ar"/>
        </w:rPr>
        <w:t>，从业人员</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人，营业收入为</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万元，资产总额为</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万元，属于</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（中型企业、小型企业、微型企业）；</w:t>
      </w:r>
    </w:p>
    <w:p w14:paraId="35CBD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r>
        <w:rPr>
          <w:rFonts w:hint="eastAsia" w:ascii="宋体" w:hAnsi="宋体" w:eastAsia="宋体" w:cs="宋体"/>
          <w:kern w:val="0"/>
          <w:sz w:val="24"/>
          <w:szCs w:val="24"/>
          <w:u w:val="single"/>
          <w:lang w:val="en-US" w:eastAsia="zh-CN" w:bidi="ar"/>
        </w:rPr>
        <w:t>（标的名称）</w:t>
      </w:r>
      <w:r>
        <w:rPr>
          <w:rFonts w:hint="eastAsia" w:ascii="宋体" w:hAnsi="宋体" w:eastAsia="宋体" w:cs="宋体"/>
          <w:kern w:val="0"/>
          <w:sz w:val="24"/>
          <w:szCs w:val="24"/>
          <w:lang w:val="en-US" w:eastAsia="zh-CN" w:bidi="ar"/>
        </w:rPr>
        <w:t>，属于</w:t>
      </w:r>
      <w:r>
        <w:rPr>
          <w:rFonts w:hint="eastAsia" w:ascii="宋体" w:hAnsi="宋体" w:eastAsia="宋体" w:cs="宋体"/>
          <w:kern w:val="0"/>
          <w:sz w:val="24"/>
          <w:szCs w:val="24"/>
          <w:u w:val="single"/>
          <w:lang w:val="en-US" w:eastAsia="zh-CN" w:bidi="ar"/>
        </w:rPr>
        <w:t>（采购文件中明确的所属行业）</w:t>
      </w:r>
      <w:r>
        <w:rPr>
          <w:rFonts w:hint="eastAsia" w:ascii="宋体" w:hAnsi="宋体" w:eastAsia="宋体" w:cs="宋体"/>
          <w:kern w:val="0"/>
          <w:sz w:val="24"/>
          <w:szCs w:val="24"/>
          <w:lang w:val="en-US" w:eastAsia="zh-CN" w:bidi="ar"/>
        </w:rPr>
        <w:t>；承建（承接）企业为</w:t>
      </w:r>
      <w:r>
        <w:rPr>
          <w:rFonts w:hint="eastAsia" w:ascii="宋体" w:hAnsi="宋体" w:eastAsia="宋体" w:cs="宋体"/>
          <w:kern w:val="0"/>
          <w:sz w:val="24"/>
          <w:szCs w:val="24"/>
          <w:u w:val="single"/>
          <w:lang w:val="en-US" w:eastAsia="zh-CN" w:bidi="ar"/>
        </w:rPr>
        <w:t>（企业名称）</w:t>
      </w:r>
      <w:r>
        <w:rPr>
          <w:rFonts w:hint="eastAsia" w:ascii="宋体" w:hAnsi="宋体" w:eastAsia="宋体" w:cs="宋体"/>
          <w:kern w:val="0"/>
          <w:sz w:val="24"/>
          <w:szCs w:val="24"/>
          <w:lang w:val="en-US" w:eastAsia="zh-CN" w:bidi="ar"/>
        </w:rPr>
        <w:t>，从业人员</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人，营业收入为</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万元，资产总额为</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万元，属于</w:t>
      </w:r>
      <w:r>
        <w:rPr>
          <w:rFonts w:hint="eastAsia" w:ascii="宋体" w:hAnsi="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（中型企业、小型企业、微型企业）；</w:t>
      </w:r>
    </w:p>
    <w:p w14:paraId="5F07A29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w:t>
      </w:r>
    </w:p>
    <w:p w14:paraId="74661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以上企业，不属于大企业的分支机构，不存在控股股东为大企业的情形，也不存在与大企业的负责人为同一人的情形。</w:t>
      </w:r>
    </w:p>
    <w:p w14:paraId="297EF07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本企业对上述声明内容的真实性负责。如有虚假，将依法承担相应责任。</w:t>
      </w:r>
    </w:p>
    <w:p w14:paraId="5E237A15">
      <w:pPr>
        <w:keepNext w:val="0"/>
        <w:keepLines w:val="0"/>
        <w:widowControl/>
        <w:suppressLineNumbers w:val="0"/>
        <w:spacing w:before="60" w:beforeAutospacing="0" w:after="60" w:afterAutospacing="0" w:line="444" w:lineRule="atLeast"/>
        <w:ind w:left="0" w:right="0" w:firstLine="516"/>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企业名称（盖章）：</w:t>
      </w:r>
    </w:p>
    <w:p w14:paraId="1F2650C7">
      <w:pPr>
        <w:keepNext w:val="0"/>
        <w:keepLines w:val="0"/>
        <w:widowControl/>
        <w:suppressLineNumbers w:val="0"/>
        <w:spacing w:before="60" w:beforeAutospacing="0" w:after="60" w:afterAutospacing="0" w:line="444" w:lineRule="atLeast"/>
        <w:ind w:left="0" w:right="0" w:firstLine="516"/>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日期：</w:t>
      </w:r>
    </w:p>
    <w:p w14:paraId="2326037F">
      <w:pPr>
        <w:rPr>
          <w:rFonts w:hint="eastAsia" w:ascii="宋体" w:hAnsi="宋体" w:eastAsia="宋体" w:cs="宋体"/>
          <w:color w:val="auto"/>
          <w:sz w:val="21"/>
          <w:szCs w:val="21"/>
          <w:lang w:val="en-US" w:eastAsia="zh-CN"/>
        </w:rPr>
      </w:pPr>
    </w:p>
    <w:p w14:paraId="7D0C115C">
      <w:pPr>
        <w:rPr>
          <w:rFonts w:hint="eastAsia" w:ascii="宋体" w:hAnsi="宋体" w:eastAsia="宋体" w:cs="宋体"/>
          <w:color w:val="auto"/>
          <w:sz w:val="21"/>
          <w:szCs w:val="21"/>
          <w:lang w:val="en-US" w:eastAsia="zh-CN"/>
        </w:rPr>
      </w:pPr>
    </w:p>
    <w:p w14:paraId="6D0BAF87">
      <w:pPr>
        <w:rPr>
          <w:rFonts w:hint="eastAsia" w:ascii="宋体" w:hAnsi="宋体" w:eastAsia="宋体" w:cs="宋体"/>
          <w:color w:val="auto"/>
          <w:sz w:val="21"/>
          <w:szCs w:val="21"/>
          <w:lang w:val="en-US" w:eastAsia="zh-CN"/>
        </w:rPr>
      </w:pPr>
    </w:p>
    <w:p w14:paraId="6B5ACC28">
      <w:pPr>
        <w:rPr>
          <w:rFonts w:hint="eastAsia" w:ascii="宋体" w:hAnsi="宋体" w:eastAsia="宋体" w:cs="宋体"/>
          <w:color w:val="auto"/>
          <w:sz w:val="21"/>
          <w:szCs w:val="21"/>
          <w:lang w:val="en-US" w:eastAsia="zh-CN"/>
        </w:rPr>
      </w:pPr>
    </w:p>
    <w:p w14:paraId="07AD83B6">
      <w:pPr>
        <w:rPr>
          <w:rFonts w:hint="default" w:eastAsiaTheme="minorEastAsia"/>
          <w:color w:val="auto"/>
          <w:u w:val="single"/>
          <w:lang w:val="en-US" w:eastAsia="zh-CN"/>
        </w:rPr>
      </w:pPr>
      <w:r>
        <w:rPr>
          <w:rFonts w:hint="eastAsia"/>
          <w:color w:val="auto"/>
          <w:u w:val="single"/>
          <w:lang w:val="en-US" w:eastAsia="zh-CN"/>
        </w:rPr>
        <w:t xml:space="preserve">                                                                            </w:t>
      </w:r>
    </w:p>
    <w:p w14:paraId="6147DD51">
      <w:pPr>
        <w:rPr>
          <w:rFonts w:hint="eastAsia"/>
          <w:color w:val="auto"/>
          <w:sz w:val="18"/>
          <w:szCs w:val="18"/>
          <w:lang w:val="en-US" w:eastAsia="zh-CN"/>
        </w:rPr>
      </w:pPr>
      <w:r>
        <w:rPr>
          <w:rFonts w:hint="eastAsia"/>
          <w:color w:val="auto"/>
          <w:sz w:val="18"/>
          <w:szCs w:val="18"/>
          <w:lang w:val="en-US" w:eastAsia="zh-CN"/>
        </w:rPr>
        <w:t>1 从业人员、营业收入、资产总额填报上一年度数据，无上一年度数据的新成立企业可不填报。</w:t>
      </w:r>
    </w:p>
    <w:p w14:paraId="69F7DB69">
      <w:pPr>
        <w:widowControl/>
        <w:jc w:val="left"/>
        <w:rPr>
          <w:rFonts w:ascii="宋体" w:hAnsi="宋体" w:cs="宋体"/>
          <w:color w:val="auto"/>
          <w:sz w:val="24"/>
        </w:rPr>
      </w:pPr>
      <w:r>
        <w:rPr>
          <w:rFonts w:hAnsi="宋体" w:cs="宋体"/>
          <w:color w:val="auto"/>
          <w:sz w:val="24"/>
        </w:rPr>
        <w:br w:type="page"/>
      </w:r>
    </w:p>
    <w:p w14:paraId="296D89D8">
      <w:pPr>
        <w:pStyle w:val="80"/>
        <w:snapToGrid w:val="0"/>
        <w:spacing w:beforeLines="50"/>
        <w:rPr>
          <w:rFonts w:hAnsi="宋体" w:cs="宋体"/>
          <w:color w:val="auto"/>
          <w:sz w:val="24"/>
          <w:szCs w:val="24"/>
        </w:rPr>
      </w:pPr>
    </w:p>
    <w:p w14:paraId="58500277">
      <w:pPr>
        <w:jc w:val="center"/>
        <w:outlineLvl w:val="2"/>
        <w:rPr>
          <w:rFonts w:hAnsi="宋体"/>
          <w:color w:val="auto"/>
          <w:sz w:val="32"/>
          <w:szCs w:val="32"/>
        </w:rPr>
      </w:pPr>
      <w:bookmarkStart w:id="1469" w:name="_Toc13395"/>
      <w:bookmarkStart w:id="1470" w:name="_Toc17321"/>
      <w:bookmarkStart w:id="1471" w:name="_Toc3780"/>
      <w:bookmarkStart w:id="1472" w:name="_Toc22619"/>
      <w:r>
        <w:rPr>
          <w:rFonts w:hint="eastAsia" w:hAnsi="宋体"/>
          <w:color w:val="auto"/>
          <w:sz w:val="32"/>
          <w:szCs w:val="32"/>
          <w:lang w:eastAsia="zh-CN"/>
        </w:rPr>
        <w:t>(</w:t>
      </w:r>
      <w:r>
        <w:rPr>
          <w:rFonts w:hint="eastAsia" w:hAnsi="宋体"/>
          <w:color w:val="auto"/>
          <w:sz w:val="32"/>
          <w:szCs w:val="32"/>
        </w:rPr>
        <w:t>二</w:t>
      </w:r>
      <w:r>
        <w:rPr>
          <w:rFonts w:hint="eastAsia" w:hAnsi="宋体"/>
          <w:color w:val="auto"/>
          <w:sz w:val="32"/>
          <w:szCs w:val="32"/>
          <w:lang w:eastAsia="zh-CN"/>
        </w:rPr>
        <w:t>)</w:t>
      </w:r>
      <w:r>
        <w:rPr>
          <w:rFonts w:hint="eastAsia" w:hAnsi="宋体"/>
          <w:color w:val="auto"/>
          <w:sz w:val="32"/>
          <w:szCs w:val="32"/>
        </w:rPr>
        <w:t>监狱企业证明</w:t>
      </w:r>
      <w:bookmarkEnd w:id="1469"/>
      <w:bookmarkEnd w:id="1470"/>
      <w:bookmarkEnd w:id="1471"/>
      <w:bookmarkEnd w:id="1472"/>
    </w:p>
    <w:p w14:paraId="0E27E279">
      <w:pPr>
        <w:jc w:val="center"/>
        <w:rPr>
          <w:rFonts w:hint="eastAsia" w:eastAsia="宋体"/>
          <w:color w:val="auto"/>
          <w:sz w:val="24"/>
          <w:lang w:eastAsia="zh-CN"/>
        </w:rPr>
      </w:pPr>
      <w:r>
        <w:rPr>
          <w:rFonts w:hint="eastAsia"/>
          <w:color w:val="auto"/>
          <w:sz w:val="24"/>
          <w:lang w:eastAsia="zh-CN"/>
        </w:rPr>
        <w:t>(</w:t>
      </w:r>
      <w:r>
        <w:rPr>
          <w:rFonts w:hint="eastAsia"/>
          <w:color w:val="auto"/>
          <w:sz w:val="24"/>
        </w:rPr>
        <w:t>注</w:t>
      </w:r>
      <w:r>
        <w:rPr>
          <w:rFonts w:hint="eastAsia"/>
          <w:color w:val="auto"/>
          <w:sz w:val="24"/>
          <w:lang w:eastAsia="zh-CN"/>
        </w:rPr>
        <w:t>:</w:t>
      </w:r>
      <w:r>
        <w:rPr>
          <w:rFonts w:hint="eastAsia"/>
          <w:color w:val="auto"/>
          <w:sz w:val="24"/>
        </w:rPr>
        <w:t>符合条件的监狱企业请提供本函，不符合的不提供本函</w:t>
      </w:r>
      <w:r>
        <w:rPr>
          <w:rFonts w:hint="eastAsia"/>
          <w:color w:val="auto"/>
          <w:sz w:val="24"/>
          <w:lang w:eastAsia="zh-CN"/>
        </w:rPr>
        <w:t>)</w:t>
      </w:r>
    </w:p>
    <w:p w14:paraId="6B6F997E">
      <w:pPr>
        <w:pStyle w:val="80"/>
        <w:snapToGrid w:val="0"/>
        <w:spacing w:beforeLines="50"/>
        <w:rPr>
          <w:rFonts w:hAnsi="宋体" w:cs="宋体"/>
          <w:color w:val="auto"/>
          <w:sz w:val="24"/>
          <w:szCs w:val="24"/>
        </w:rPr>
      </w:pPr>
    </w:p>
    <w:p w14:paraId="469CDE4E">
      <w:pPr>
        <w:snapToGrid w:val="0"/>
        <w:spacing w:beforeLines="50" w:line="360" w:lineRule="auto"/>
        <w:ind w:firstLine="480" w:firstLineChars="200"/>
        <w:rPr>
          <w:rFonts w:hint="eastAsia" w:hAnsi="Times New Roman" w:cs="Times New Roman"/>
          <w:color w:val="auto"/>
          <w:sz w:val="24"/>
          <w:szCs w:val="24"/>
        </w:rPr>
      </w:pPr>
      <w:r>
        <w:rPr>
          <w:rFonts w:hint="eastAsia" w:hAnsi="Times New Roman" w:cs="Times New Roman"/>
          <w:color w:val="auto"/>
          <w:sz w:val="24"/>
          <w:szCs w:val="24"/>
        </w:rPr>
        <w:t>省级以上监狱管理局、戒毒管理局</w:t>
      </w:r>
      <w:r>
        <w:rPr>
          <w:rFonts w:hint="eastAsia" w:cs="Times New Roman"/>
          <w:color w:val="auto"/>
          <w:sz w:val="24"/>
          <w:szCs w:val="24"/>
          <w:lang w:eastAsia="zh-CN"/>
        </w:rPr>
        <w:t>(</w:t>
      </w:r>
      <w:r>
        <w:rPr>
          <w:rFonts w:hint="eastAsia" w:hAnsi="Times New Roman" w:cs="Times New Roman"/>
          <w:color w:val="auto"/>
          <w:sz w:val="24"/>
          <w:szCs w:val="24"/>
        </w:rPr>
        <w:t>含新疆生产建设兵团</w:t>
      </w:r>
      <w:r>
        <w:rPr>
          <w:rFonts w:hint="eastAsia" w:cs="Times New Roman"/>
          <w:color w:val="auto"/>
          <w:sz w:val="24"/>
          <w:szCs w:val="24"/>
          <w:lang w:eastAsia="zh-CN"/>
        </w:rPr>
        <w:t>)</w:t>
      </w:r>
      <w:r>
        <w:rPr>
          <w:rFonts w:hint="eastAsia" w:hAnsi="Times New Roman" w:cs="Times New Roman"/>
          <w:color w:val="auto"/>
          <w:sz w:val="24"/>
          <w:szCs w:val="24"/>
        </w:rPr>
        <w:t>出具的属于监狱企业的证明文件。</w:t>
      </w:r>
    </w:p>
    <w:p w14:paraId="55DACBF8">
      <w:pPr>
        <w:pStyle w:val="80"/>
        <w:snapToGrid w:val="0"/>
        <w:spacing w:beforeLines="50"/>
        <w:rPr>
          <w:rFonts w:hAnsi="宋体" w:cs="宋体"/>
          <w:color w:val="auto"/>
          <w:sz w:val="24"/>
          <w:szCs w:val="24"/>
        </w:rPr>
      </w:pPr>
    </w:p>
    <w:p w14:paraId="6F1105FC">
      <w:pPr>
        <w:jc w:val="center"/>
        <w:outlineLvl w:val="2"/>
        <w:rPr>
          <w:rFonts w:hAnsi="宋体"/>
          <w:color w:val="auto"/>
          <w:sz w:val="32"/>
          <w:szCs w:val="32"/>
        </w:rPr>
      </w:pPr>
      <w:r>
        <w:rPr>
          <w:rFonts w:hAnsi="宋体" w:cs="宋体"/>
          <w:color w:val="auto"/>
          <w:sz w:val="24"/>
        </w:rPr>
        <w:br w:type="page"/>
      </w:r>
      <w:bookmarkStart w:id="1473" w:name="_Toc13898"/>
      <w:bookmarkStart w:id="1474" w:name="_Toc10862"/>
      <w:bookmarkStart w:id="1475" w:name="_Toc25672"/>
      <w:bookmarkStart w:id="1476" w:name="_Toc22239"/>
      <w:r>
        <w:rPr>
          <w:rFonts w:hint="eastAsia" w:hAnsi="宋体"/>
          <w:color w:val="auto"/>
          <w:sz w:val="32"/>
          <w:szCs w:val="32"/>
          <w:lang w:eastAsia="zh-CN"/>
        </w:rPr>
        <w:t>(</w:t>
      </w:r>
      <w:r>
        <w:rPr>
          <w:rFonts w:hint="eastAsia" w:hAnsi="宋体"/>
          <w:color w:val="auto"/>
          <w:sz w:val="32"/>
          <w:szCs w:val="32"/>
        </w:rPr>
        <w:t>三</w:t>
      </w:r>
      <w:r>
        <w:rPr>
          <w:rFonts w:hint="eastAsia" w:hAnsi="宋体"/>
          <w:color w:val="auto"/>
          <w:sz w:val="32"/>
          <w:szCs w:val="32"/>
          <w:lang w:eastAsia="zh-CN"/>
        </w:rPr>
        <w:t>)</w:t>
      </w:r>
      <w:r>
        <w:rPr>
          <w:rFonts w:hint="eastAsia" w:hAnsi="宋体"/>
          <w:color w:val="auto"/>
          <w:sz w:val="32"/>
          <w:szCs w:val="32"/>
        </w:rPr>
        <w:t>残疾人福利性单位声明函</w:t>
      </w:r>
      <w:bookmarkEnd w:id="1473"/>
      <w:bookmarkEnd w:id="1474"/>
      <w:bookmarkEnd w:id="1475"/>
      <w:bookmarkEnd w:id="1476"/>
    </w:p>
    <w:p w14:paraId="712BB22A">
      <w:pPr>
        <w:jc w:val="center"/>
        <w:rPr>
          <w:rFonts w:hint="eastAsia" w:eastAsia="宋体"/>
          <w:color w:val="auto"/>
          <w:sz w:val="24"/>
          <w:lang w:eastAsia="zh-CN"/>
        </w:rPr>
      </w:pPr>
      <w:r>
        <w:rPr>
          <w:rFonts w:hint="eastAsia"/>
          <w:color w:val="auto"/>
          <w:sz w:val="24"/>
          <w:lang w:eastAsia="zh-CN"/>
        </w:rPr>
        <w:t>(</w:t>
      </w:r>
      <w:r>
        <w:rPr>
          <w:rFonts w:hint="eastAsia"/>
          <w:color w:val="auto"/>
          <w:sz w:val="24"/>
        </w:rPr>
        <w:t>注</w:t>
      </w:r>
      <w:r>
        <w:rPr>
          <w:rFonts w:hint="eastAsia"/>
          <w:color w:val="auto"/>
          <w:sz w:val="24"/>
          <w:lang w:eastAsia="zh-CN"/>
        </w:rPr>
        <w:t>:</w:t>
      </w:r>
      <w:r>
        <w:rPr>
          <w:rFonts w:hint="eastAsia"/>
          <w:color w:val="auto"/>
          <w:sz w:val="24"/>
        </w:rPr>
        <w:t>符合条件的残疾人福利性单位请提供本函，不符合的不提供本函</w:t>
      </w:r>
      <w:r>
        <w:rPr>
          <w:rFonts w:hint="eastAsia"/>
          <w:color w:val="auto"/>
          <w:sz w:val="24"/>
          <w:lang w:eastAsia="zh-CN"/>
        </w:rPr>
        <w:t>)</w:t>
      </w:r>
    </w:p>
    <w:p w14:paraId="6A1184E7">
      <w:pPr>
        <w:rPr>
          <w:color w:val="auto"/>
          <w:sz w:val="24"/>
        </w:rPr>
      </w:pPr>
    </w:p>
    <w:p w14:paraId="6D26BC5E">
      <w:pPr>
        <w:rPr>
          <w:color w:val="auto"/>
          <w:sz w:val="24"/>
        </w:rPr>
      </w:pPr>
    </w:p>
    <w:p w14:paraId="17926F05">
      <w:pPr>
        <w:spacing w:line="360" w:lineRule="auto"/>
        <w:ind w:firstLine="480" w:firstLineChars="200"/>
        <w:rPr>
          <w:color w:val="auto"/>
          <w:sz w:val="24"/>
        </w:rPr>
      </w:pPr>
      <w:r>
        <w:rPr>
          <w:rFonts w:hint="eastAsia"/>
          <w:color w:val="auto"/>
          <w:sz w:val="24"/>
        </w:rPr>
        <w:t>本单位郑重声明，根据《财政部 民政部 中国残疾人联合会关于促进残疾人就业政府采购政策的通知》</w:t>
      </w:r>
      <w:r>
        <w:rPr>
          <w:rFonts w:hint="eastAsia"/>
          <w:color w:val="auto"/>
          <w:sz w:val="24"/>
          <w:lang w:eastAsia="zh-CN"/>
        </w:rPr>
        <w:t>(</w:t>
      </w:r>
      <w:r>
        <w:rPr>
          <w:rFonts w:hint="eastAsia"/>
          <w:color w:val="auto"/>
          <w:sz w:val="24"/>
        </w:rPr>
        <w:t>财库〔2017〕141号</w:t>
      </w:r>
      <w:r>
        <w:rPr>
          <w:rFonts w:hint="eastAsia"/>
          <w:color w:val="auto"/>
          <w:sz w:val="24"/>
          <w:lang w:eastAsia="zh-CN"/>
        </w:rPr>
        <w:t>)</w:t>
      </w:r>
      <w:r>
        <w:rPr>
          <w:rFonts w:hint="eastAsia"/>
          <w:color w:val="auto"/>
          <w:sz w:val="24"/>
        </w:rPr>
        <w:t>的规定，本单位为符合条件的残疾人福利性单位，且本单位参加______单位的______项目采购活动提供本单位制造的货物</w:t>
      </w:r>
      <w:r>
        <w:rPr>
          <w:rFonts w:hint="eastAsia"/>
          <w:color w:val="auto"/>
          <w:sz w:val="24"/>
          <w:lang w:eastAsia="zh-CN"/>
        </w:rPr>
        <w:t>(</w:t>
      </w:r>
      <w:r>
        <w:rPr>
          <w:rFonts w:hint="eastAsia"/>
          <w:color w:val="auto"/>
          <w:sz w:val="24"/>
        </w:rPr>
        <w:t>由本单位承担工程/提供服务</w:t>
      </w:r>
      <w:r>
        <w:rPr>
          <w:rFonts w:hint="eastAsia"/>
          <w:color w:val="auto"/>
          <w:sz w:val="24"/>
          <w:lang w:eastAsia="zh-CN"/>
        </w:rPr>
        <w:t>)</w:t>
      </w:r>
      <w:r>
        <w:rPr>
          <w:rFonts w:hint="eastAsia"/>
          <w:color w:val="auto"/>
          <w:sz w:val="24"/>
        </w:rPr>
        <w:t>，或者提供其他残疾人福利性单位制造的货物</w:t>
      </w:r>
      <w:r>
        <w:rPr>
          <w:rFonts w:hint="eastAsia"/>
          <w:color w:val="auto"/>
          <w:sz w:val="24"/>
          <w:lang w:eastAsia="zh-CN"/>
        </w:rPr>
        <w:t>(</w:t>
      </w:r>
      <w:r>
        <w:rPr>
          <w:rFonts w:hint="eastAsia"/>
          <w:color w:val="auto"/>
          <w:sz w:val="24"/>
        </w:rPr>
        <w:t>不包括使用非残疾人福利性单位注册商标的货物</w:t>
      </w:r>
      <w:r>
        <w:rPr>
          <w:rFonts w:hint="eastAsia"/>
          <w:color w:val="auto"/>
          <w:sz w:val="24"/>
          <w:lang w:eastAsia="zh-CN"/>
        </w:rPr>
        <w:t>)</w:t>
      </w:r>
      <w:r>
        <w:rPr>
          <w:rFonts w:hint="eastAsia"/>
          <w:color w:val="auto"/>
          <w:sz w:val="24"/>
        </w:rPr>
        <w:t>。</w:t>
      </w:r>
    </w:p>
    <w:p w14:paraId="2FF0AD70">
      <w:pPr>
        <w:spacing w:line="360" w:lineRule="auto"/>
        <w:ind w:firstLine="480" w:firstLineChars="200"/>
        <w:rPr>
          <w:color w:val="auto"/>
          <w:sz w:val="24"/>
        </w:rPr>
      </w:pPr>
    </w:p>
    <w:p w14:paraId="1A3A6249">
      <w:pPr>
        <w:spacing w:line="360" w:lineRule="auto"/>
        <w:ind w:firstLine="480" w:firstLineChars="200"/>
        <w:rPr>
          <w:color w:val="auto"/>
          <w:sz w:val="24"/>
        </w:rPr>
      </w:pPr>
      <w:r>
        <w:rPr>
          <w:rFonts w:hint="eastAsia"/>
          <w:color w:val="auto"/>
          <w:sz w:val="24"/>
        </w:rPr>
        <w:t>本单位对上述声明的真实性负责。如有虚假，将依法承担相应责任。</w:t>
      </w:r>
    </w:p>
    <w:p w14:paraId="21055E3C">
      <w:pPr>
        <w:spacing w:line="360" w:lineRule="auto"/>
        <w:ind w:firstLine="480" w:firstLineChars="200"/>
        <w:rPr>
          <w:color w:val="auto"/>
          <w:sz w:val="24"/>
        </w:rPr>
      </w:pPr>
    </w:p>
    <w:p w14:paraId="31CF3EB4">
      <w:pPr>
        <w:spacing w:line="360" w:lineRule="auto"/>
        <w:ind w:firstLine="480" w:firstLineChars="200"/>
        <w:rPr>
          <w:color w:val="auto"/>
          <w:sz w:val="24"/>
        </w:rPr>
      </w:pPr>
      <w:r>
        <w:rPr>
          <w:color w:val="auto"/>
          <w:sz w:val="24"/>
        </w:rPr>
        <w:t xml:space="preserve"> </w:t>
      </w:r>
    </w:p>
    <w:p w14:paraId="2C2AB674">
      <w:pPr>
        <w:rPr>
          <w:color w:val="auto"/>
          <w:sz w:val="24"/>
        </w:rPr>
      </w:pPr>
    </w:p>
    <w:p w14:paraId="117A88D9">
      <w:pPr>
        <w:rPr>
          <w:color w:val="auto"/>
          <w:sz w:val="24"/>
        </w:rPr>
      </w:pPr>
      <w:r>
        <w:rPr>
          <w:color w:val="auto"/>
          <w:sz w:val="24"/>
        </w:rPr>
        <w:t xml:space="preserve"> </w:t>
      </w:r>
    </w:p>
    <w:p w14:paraId="19BA326D">
      <w:pPr>
        <w:rPr>
          <w:color w:val="auto"/>
          <w:sz w:val="24"/>
        </w:rPr>
      </w:pPr>
    </w:p>
    <w:p w14:paraId="1D956775">
      <w:pPr>
        <w:ind w:firstLine="5040" w:firstLineChars="2100"/>
        <w:rPr>
          <w:rFonts w:hint="eastAsia" w:eastAsia="宋体"/>
          <w:color w:val="auto"/>
          <w:sz w:val="24"/>
          <w:lang w:eastAsia="zh-CN"/>
        </w:rPr>
      </w:pPr>
      <w:r>
        <w:rPr>
          <w:rFonts w:hint="eastAsia"/>
          <w:color w:val="auto"/>
          <w:sz w:val="24"/>
        </w:rPr>
        <w:t>单位名称</w:t>
      </w:r>
      <w:r>
        <w:rPr>
          <w:rFonts w:hint="eastAsia"/>
          <w:color w:val="auto"/>
          <w:sz w:val="24"/>
          <w:lang w:eastAsia="zh-CN"/>
        </w:rPr>
        <w:t>(</w:t>
      </w:r>
      <w:r>
        <w:rPr>
          <w:rFonts w:hint="eastAsia"/>
          <w:color w:val="auto"/>
          <w:sz w:val="24"/>
        </w:rPr>
        <w:t>盖章</w:t>
      </w:r>
      <w:r>
        <w:rPr>
          <w:rFonts w:hint="eastAsia"/>
          <w:color w:val="auto"/>
          <w:sz w:val="24"/>
          <w:lang w:eastAsia="zh-CN"/>
        </w:rPr>
        <w:t>):</w:t>
      </w:r>
    </w:p>
    <w:p w14:paraId="24D9EEF1">
      <w:pPr>
        <w:rPr>
          <w:color w:val="auto"/>
          <w:sz w:val="24"/>
        </w:rPr>
      </w:pPr>
    </w:p>
    <w:p w14:paraId="627C201B">
      <w:pPr>
        <w:ind w:firstLine="5040" w:firstLineChars="2100"/>
        <w:rPr>
          <w:rFonts w:hint="eastAsia" w:eastAsia="宋体"/>
          <w:color w:val="auto"/>
          <w:sz w:val="24"/>
          <w:lang w:eastAsia="zh-CN"/>
        </w:rPr>
      </w:pPr>
      <w:r>
        <w:rPr>
          <w:rFonts w:hint="eastAsia"/>
          <w:color w:val="auto"/>
          <w:sz w:val="24"/>
        </w:rPr>
        <w:t>日  期</w:t>
      </w:r>
      <w:r>
        <w:rPr>
          <w:rFonts w:hint="eastAsia"/>
          <w:color w:val="auto"/>
          <w:sz w:val="24"/>
          <w:lang w:eastAsia="zh-CN"/>
        </w:rPr>
        <w:t>:</w:t>
      </w:r>
    </w:p>
    <w:p w14:paraId="7573340A">
      <w:pPr>
        <w:rPr>
          <w:color w:val="auto"/>
          <w:sz w:val="24"/>
        </w:rPr>
      </w:pPr>
    </w:p>
    <w:p w14:paraId="52CC30DF">
      <w:pPr>
        <w:pStyle w:val="80"/>
        <w:snapToGrid w:val="0"/>
        <w:spacing w:beforeLines="50"/>
        <w:jc w:val="center"/>
        <w:rPr>
          <w:rFonts w:ascii="仿宋_GB2312" w:hAnsi="宋体" w:eastAsia="仿宋_GB2312"/>
          <w:b/>
          <w:color w:val="auto"/>
          <w:sz w:val="24"/>
        </w:rPr>
      </w:pPr>
    </w:p>
    <w:p w14:paraId="5A16AD41">
      <w:pPr>
        <w:widowControl/>
        <w:jc w:val="left"/>
        <w:outlineLvl w:val="1"/>
        <w:rPr>
          <w:b/>
          <w:bCs/>
          <w:color w:val="auto"/>
          <w:sz w:val="24"/>
        </w:rPr>
      </w:pPr>
      <w:r>
        <w:rPr>
          <w:rFonts w:ascii="宋体" w:hAnsi="宋体" w:cs="宋体"/>
          <w:color w:val="auto"/>
          <w:sz w:val="24"/>
        </w:rPr>
        <w:br w:type="page"/>
      </w:r>
      <w:bookmarkStart w:id="1477" w:name="_Toc32222"/>
      <w:bookmarkStart w:id="1478" w:name="_Toc5124"/>
      <w:bookmarkStart w:id="1479" w:name="_Toc20279"/>
      <w:r>
        <w:rPr>
          <w:rFonts w:hint="eastAsia"/>
          <w:b/>
          <w:bCs/>
          <w:color w:val="auto"/>
          <w:sz w:val="24"/>
        </w:rPr>
        <w:t>附件</w:t>
      </w:r>
      <w:r>
        <w:rPr>
          <w:b/>
          <w:bCs/>
          <w:color w:val="auto"/>
          <w:sz w:val="24"/>
        </w:rPr>
        <w:t>12</w:t>
      </w:r>
      <w:r>
        <w:rPr>
          <w:rFonts w:hint="eastAsia" w:ascii="宋体" w:hAnsi="宋体" w:eastAsia="宋体" w:cs="宋体"/>
          <w:b/>
          <w:color w:val="auto"/>
          <w:sz w:val="24"/>
        </w:rPr>
        <w:t xml:space="preserve"> </w:t>
      </w:r>
      <w:r>
        <w:rPr>
          <w:b/>
          <w:bCs/>
          <w:color w:val="auto"/>
          <w:sz w:val="24"/>
        </w:rPr>
        <w:t>投标承诺书</w:t>
      </w:r>
      <w:bookmarkEnd w:id="1477"/>
      <w:bookmarkEnd w:id="1478"/>
      <w:bookmarkEnd w:id="1479"/>
    </w:p>
    <w:p w14:paraId="66E766FA">
      <w:pPr>
        <w:rPr>
          <w:rFonts w:ascii="宋体" w:hAnsi="宋体"/>
          <w:color w:val="auto"/>
          <w:szCs w:val="21"/>
        </w:rPr>
      </w:pPr>
    </w:p>
    <w:p w14:paraId="4C824C68">
      <w:pPr>
        <w:jc w:val="center"/>
        <w:rPr>
          <w:rFonts w:ascii="宋体" w:hAnsi="宋体"/>
          <w:color w:val="auto"/>
          <w:sz w:val="32"/>
          <w:szCs w:val="32"/>
        </w:rPr>
      </w:pPr>
      <w:r>
        <w:rPr>
          <w:rFonts w:hint="eastAsia" w:ascii="宋体" w:hAnsi="宋体"/>
          <w:color w:val="auto"/>
          <w:sz w:val="32"/>
          <w:szCs w:val="32"/>
        </w:rPr>
        <w:t>投标承诺书</w:t>
      </w:r>
    </w:p>
    <w:p w14:paraId="50DEAA79">
      <w:pPr>
        <w:spacing w:line="360" w:lineRule="auto"/>
        <w:rPr>
          <w:rFonts w:hint="eastAsia" w:ascii="宋体" w:hAnsi="宋体" w:eastAsia="宋体"/>
          <w:color w:val="auto"/>
          <w:sz w:val="24"/>
          <w:lang w:eastAsia="zh-CN"/>
        </w:rPr>
      </w:pPr>
      <w:r>
        <w:rPr>
          <w:rFonts w:ascii="宋体" w:hAnsi="宋体"/>
          <w:color w:val="auto"/>
          <w:sz w:val="24"/>
        </w:rPr>
        <w:t>致</w:t>
      </w:r>
      <w:r>
        <w:rPr>
          <w:rFonts w:hint="eastAsia" w:ascii="宋体" w:hAnsi="宋体"/>
          <w:color w:val="auto"/>
          <w:sz w:val="24"/>
          <w:lang w:eastAsia="zh-CN"/>
        </w:rPr>
        <w:t>:</w:t>
      </w:r>
    </w:p>
    <w:p w14:paraId="0EE8A139">
      <w:pPr>
        <w:spacing w:line="360" w:lineRule="auto"/>
        <w:ind w:firstLine="480" w:firstLineChars="200"/>
        <w:rPr>
          <w:rFonts w:hint="eastAsia" w:ascii="宋体" w:hAnsi="宋体" w:eastAsia="宋体"/>
          <w:color w:val="auto"/>
          <w:sz w:val="24"/>
          <w:lang w:eastAsia="zh-CN"/>
        </w:rPr>
      </w:pPr>
      <w:r>
        <w:rPr>
          <w:rFonts w:hint="eastAsia" w:ascii="宋体" w:hAnsi="宋体"/>
          <w:color w:val="auto"/>
          <w:sz w:val="24"/>
        </w:rPr>
        <w:t>我方在此声明，我方以下事项进行承诺</w:t>
      </w:r>
      <w:r>
        <w:rPr>
          <w:rFonts w:hint="eastAsia" w:ascii="宋体" w:hAnsi="宋体"/>
          <w:color w:val="auto"/>
          <w:sz w:val="24"/>
          <w:lang w:eastAsia="zh-CN"/>
        </w:rPr>
        <w:t>:</w:t>
      </w:r>
    </w:p>
    <w:p w14:paraId="1B85E5E2">
      <w:pPr>
        <w:spacing w:line="360" w:lineRule="auto"/>
        <w:ind w:firstLine="480" w:firstLineChars="200"/>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1</w:t>
      </w:r>
      <w:r>
        <w:rPr>
          <w:rFonts w:hint="eastAsia" w:ascii="宋体" w:hAnsi="宋体"/>
          <w:color w:val="auto"/>
          <w:sz w:val="24"/>
          <w:lang w:eastAsia="zh-CN"/>
        </w:rPr>
        <w:t>)</w:t>
      </w:r>
      <w:r>
        <w:rPr>
          <w:rFonts w:hint="eastAsia" w:ascii="宋体" w:hAnsi="宋体"/>
          <w:color w:val="auto"/>
          <w:sz w:val="24"/>
        </w:rPr>
        <w:t xml:space="preserve"> 在本次投标中我公司无与其他投标人相互串通投标，或与采购人串通投标的行为；</w:t>
      </w:r>
    </w:p>
    <w:p w14:paraId="0F246817">
      <w:pPr>
        <w:spacing w:line="360" w:lineRule="auto"/>
        <w:ind w:firstLine="480" w:firstLineChars="200"/>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2</w:t>
      </w:r>
      <w:r>
        <w:rPr>
          <w:rFonts w:hint="eastAsia" w:ascii="宋体" w:hAnsi="宋体"/>
          <w:color w:val="auto"/>
          <w:sz w:val="24"/>
          <w:lang w:eastAsia="zh-CN"/>
        </w:rPr>
        <w:t>)</w:t>
      </w:r>
      <w:r>
        <w:rPr>
          <w:rFonts w:hint="eastAsia" w:ascii="宋体" w:hAnsi="宋体"/>
          <w:color w:val="auto"/>
          <w:sz w:val="24"/>
        </w:rPr>
        <w:t xml:space="preserve"> 在本次投标中我公司无向采购人或评标委员会成员行贿的手段谋取中标的行为；</w:t>
      </w:r>
    </w:p>
    <w:p w14:paraId="381659AD">
      <w:pPr>
        <w:spacing w:line="360" w:lineRule="auto"/>
        <w:ind w:firstLine="480" w:firstLineChars="200"/>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3</w:t>
      </w:r>
      <w:r>
        <w:rPr>
          <w:rFonts w:hint="eastAsia" w:ascii="宋体" w:hAnsi="宋体"/>
          <w:color w:val="auto"/>
          <w:sz w:val="24"/>
          <w:lang w:eastAsia="zh-CN"/>
        </w:rPr>
        <w:t>)</w:t>
      </w:r>
      <w:r>
        <w:rPr>
          <w:rFonts w:hint="eastAsia" w:ascii="宋体" w:hAnsi="宋体"/>
          <w:color w:val="auto"/>
          <w:sz w:val="24"/>
        </w:rPr>
        <w:t xml:space="preserve"> 在本次投标中我公司无出借或借用资质行为、在投标文件中所附资料</w:t>
      </w:r>
      <w:r>
        <w:rPr>
          <w:rFonts w:hint="eastAsia" w:ascii="宋体" w:hAnsi="宋体"/>
          <w:color w:val="auto"/>
          <w:sz w:val="24"/>
          <w:lang w:eastAsia="zh-CN"/>
        </w:rPr>
        <w:t>(</w:t>
      </w:r>
      <w:r>
        <w:rPr>
          <w:rFonts w:hint="eastAsia" w:ascii="宋体" w:hAnsi="宋体"/>
          <w:color w:val="auto"/>
          <w:sz w:val="24"/>
        </w:rPr>
        <w:t>业绩、项目负责人资料等</w:t>
      </w:r>
      <w:r>
        <w:rPr>
          <w:rFonts w:hint="eastAsia" w:ascii="宋体" w:hAnsi="宋体"/>
          <w:color w:val="auto"/>
          <w:sz w:val="24"/>
          <w:lang w:eastAsia="zh-CN"/>
        </w:rPr>
        <w:t>)</w:t>
      </w:r>
      <w:r>
        <w:rPr>
          <w:rFonts w:hint="eastAsia" w:ascii="宋体" w:hAnsi="宋体"/>
          <w:color w:val="auto"/>
          <w:sz w:val="24"/>
        </w:rPr>
        <w:t>无弄虚作假；</w:t>
      </w:r>
    </w:p>
    <w:p w14:paraId="2648517F">
      <w:pPr>
        <w:spacing w:line="360" w:lineRule="auto"/>
        <w:ind w:firstLine="480" w:firstLineChars="200"/>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4</w:t>
      </w:r>
      <w:r>
        <w:rPr>
          <w:rFonts w:hint="eastAsia" w:ascii="宋体" w:hAnsi="宋体"/>
          <w:color w:val="auto"/>
          <w:sz w:val="24"/>
          <w:lang w:eastAsia="zh-CN"/>
        </w:rPr>
        <w:t>)</w:t>
      </w:r>
      <w:r>
        <w:rPr>
          <w:rFonts w:hint="eastAsia" w:ascii="宋体" w:hAnsi="宋体"/>
          <w:color w:val="auto"/>
          <w:sz w:val="24"/>
        </w:rPr>
        <w:t xml:space="preserve"> 我公司没有处于被责令停产、停业、投标资格被取消状态；</w:t>
      </w:r>
    </w:p>
    <w:p w14:paraId="76FA422E">
      <w:pPr>
        <w:spacing w:line="360" w:lineRule="auto"/>
        <w:ind w:firstLine="480" w:firstLineChars="200"/>
        <w:rPr>
          <w:rFonts w:ascii="宋体" w:hAnsi="宋体"/>
          <w:color w:val="auto"/>
          <w:sz w:val="24"/>
        </w:rPr>
      </w:pPr>
      <w:r>
        <w:rPr>
          <w:rFonts w:hint="eastAsia" w:ascii="宋体" w:hAnsi="宋体"/>
          <w:color w:val="auto"/>
          <w:sz w:val="24"/>
          <w:lang w:eastAsia="zh-CN"/>
        </w:rPr>
        <w:t>(</w:t>
      </w:r>
      <w:r>
        <w:rPr>
          <w:rFonts w:hint="eastAsia" w:ascii="宋体" w:hAnsi="宋体"/>
          <w:color w:val="auto"/>
          <w:sz w:val="24"/>
        </w:rPr>
        <w:t>5</w:t>
      </w:r>
      <w:r>
        <w:rPr>
          <w:rFonts w:hint="eastAsia" w:ascii="宋体" w:hAnsi="宋体"/>
          <w:color w:val="auto"/>
          <w:sz w:val="24"/>
          <w:lang w:eastAsia="zh-CN"/>
        </w:rPr>
        <w:t>)</w:t>
      </w:r>
      <w:r>
        <w:rPr>
          <w:rFonts w:hint="eastAsia" w:ascii="宋体" w:hAnsi="宋体"/>
          <w:color w:val="auto"/>
          <w:sz w:val="24"/>
        </w:rPr>
        <w:t>我公司不采用非法手段获取证据进行质疑、投诉，在质疑、投诉过程中不提供虚假情况或进行恶意质疑、投诉。</w:t>
      </w:r>
    </w:p>
    <w:p w14:paraId="52E24EA2">
      <w:pPr>
        <w:spacing w:line="360" w:lineRule="auto"/>
        <w:ind w:firstLine="480" w:firstLineChars="200"/>
        <w:rPr>
          <w:rFonts w:ascii="宋体" w:hAnsi="宋体"/>
          <w:color w:val="auto"/>
          <w:sz w:val="24"/>
        </w:rPr>
      </w:pPr>
      <w:r>
        <w:rPr>
          <w:rFonts w:hint="eastAsia" w:ascii="宋体" w:hAnsi="宋体"/>
          <w:color w:val="auto"/>
          <w:sz w:val="24"/>
        </w:rPr>
        <w:t>上述承诺内容如有不实，我公司愿意承担由此造成的一切法律责任，并承诺以投标保证金赔偿给采购人造成的损失。</w:t>
      </w:r>
    </w:p>
    <w:p w14:paraId="39795E3E">
      <w:pPr>
        <w:spacing w:line="360" w:lineRule="auto"/>
        <w:ind w:firstLine="480" w:firstLineChars="200"/>
        <w:rPr>
          <w:rFonts w:ascii="宋体" w:hAnsi="宋体"/>
          <w:color w:val="auto"/>
          <w:sz w:val="24"/>
        </w:rPr>
      </w:pPr>
      <w:r>
        <w:rPr>
          <w:rFonts w:hint="eastAsia" w:ascii="宋体" w:hAnsi="宋体"/>
          <w:color w:val="auto"/>
          <w:sz w:val="24"/>
        </w:rPr>
        <w:t>特此承诺</w:t>
      </w:r>
    </w:p>
    <w:p w14:paraId="41BFB2E6">
      <w:pPr>
        <w:spacing w:line="360" w:lineRule="auto"/>
        <w:ind w:firstLine="480" w:firstLineChars="200"/>
        <w:rPr>
          <w:rFonts w:ascii="宋体" w:hAnsi="宋体"/>
          <w:color w:val="auto"/>
          <w:sz w:val="24"/>
        </w:rPr>
      </w:pPr>
    </w:p>
    <w:p w14:paraId="261BDABC">
      <w:pPr>
        <w:spacing w:line="360" w:lineRule="auto"/>
        <w:ind w:firstLine="480" w:firstLineChars="200"/>
        <w:rPr>
          <w:rFonts w:ascii="宋体" w:hAnsi="宋体"/>
          <w:color w:val="auto"/>
          <w:sz w:val="24"/>
        </w:rPr>
      </w:pPr>
      <w:r>
        <w:rPr>
          <w:rFonts w:ascii="宋体" w:hAnsi="宋体"/>
          <w:color w:val="auto"/>
          <w:sz w:val="24"/>
        </w:rPr>
        <w:t>投标人名称</w:t>
      </w:r>
      <w:r>
        <w:rPr>
          <w:rFonts w:hint="eastAsia" w:ascii="宋体" w:hAnsi="宋体"/>
          <w:color w:val="auto"/>
          <w:sz w:val="24"/>
          <w:lang w:eastAsia="zh-CN"/>
        </w:rPr>
        <w:t>(</w:t>
      </w:r>
      <w:r>
        <w:rPr>
          <w:rFonts w:ascii="宋体" w:hAnsi="宋体"/>
          <w:color w:val="auto"/>
          <w:sz w:val="24"/>
        </w:rPr>
        <w:t>公章</w:t>
      </w:r>
      <w:r>
        <w:rPr>
          <w:rFonts w:hint="eastAsia" w:ascii="宋体" w:hAnsi="宋体"/>
          <w:color w:val="auto"/>
          <w:sz w:val="24"/>
          <w:lang w:eastAsia="zh-CN"/>
        </w:rPr>
        <w:t>):</w:t>
      </w:r>
      <w:r>
        <w:rPr>
          <w:rFonts w:ascii="宋体" w:hAnsi="宋体"/>
          <w:color w:val="auto"/>
          <w:sz w:val="24"/>
        </w:rPr>
        <w:t xml:space="preserve"> </w:t>
      </w:r>
    </w:p>
    <w:p w14:paraId="6B296658">
      <w:pPr>
        <w:spacing w:line="360" w:lineRule="auto"/>
        <w:ind w:firstLine="480" w:firstLineChars="200"/>
        <w:rPr>
          <w:rFonts w:hint="eastAsia" w:ascii="宋体" w:hAnsi="宋体" w:eastAsia="宋体"/>
          <w:color w:val="auto"/>
          <w:sz w:val="24"/>
          <w:lang w:eastAsia="zh-CN"/>
        </w:rPr>
      </w:pPr>
      <w:r>
        <w:rPr>
          <w:rFonts w:ascii="宋体" w:hAnsi="宋体"/>
          <w:color w:val="auto"/>
          <w:sz w:val="24"/>
        </w:rPr>
        <w:t>法定代表人或其</w:t>
      </w:r>
      <w:r>
        <w:rPr>
          <w:rFonts w:hint="eastAsia" w:ascii="宋体" w:hAnsi="宋体"/>
          <w:color w:val="auto"/>
          <w:sz w:val="24"/>
        </w:rPr>
        <w:t>委托代理人</w:t>
      </w:r>
      <w:r>
        <w:rPr>
          <w:rFonts w:hint="eastAsia" w:ascii="宋体" w:hAnsi="宋体"/>
          <w:color w:val="auto"/>
          <w:sz w:val="24"/>
          <w:lang w:eastAsia="zh-CN"/>
        </w:rPr>
        <w:t>(</w:t>
      </w:r>
      <w:r>
        <w:rPr>
          <w:rFonts w:hint="eastAsia" w:ascii="宋体" w:hAnsi="宋体"/>
          <w:color w:val="auto"/>
          <w:sz w:val="24"/>
        </w:rPr>
        <w:t>签字或加盖人名章</w:t>
      </w:r>
      <w:r>
        <w:rPr>
          <w:rFonts w:hint="eastAsia" w:ascii="宋体" w:hAnsi="宋体"/>
          <w:color w:val="auto"/>
          <w:sz w:val="24"/>
          <w:lang w:eastAsia="zh-CN"/>
        </w:rPr>
        <w:t>):</w:t>
      </w:r>
    </w:p>
    <w:p w14:paraId="786AE538">
      <w:pPr>
        <w:spacing w:line="360" w:lineRule="auto"/>
        <w:ind w:firstLine="480" w:firstLineChars="200"/>
        <w:rPr>
          <w:rFonts w:ascii="宋体" w:hAnsi="宋体"/>
          <w:color w:val="auto"/>
          <w:sz w:val="24"/>
        </w:rPr>
      </w:pPr>
      <w:r>
        <w:rPr>
          <w:rFonts w:ascii="宋体" w:hAnsi="宋体"/>
          <w:color w:val="auto"/>
          <w:sz w:val="24"/>
        </w:rPr>
        <w:t>日    期</w:t>
      </w:r>
      <w:r>
        <w:rPr>
          <w:rFonts w:hint="eastAsia" w:ascii="宋体" w:hAnsi="宋体"/>
          <w:color w:val="auto"/>
          <w:sz w:val="24"/>
          <w:lang w:eastAsia="zh-CN"/>
        </w:rPr>
        <w:t>:</w:t>
      </w:r>
      <w:r>
        <w:rPr>
          <w:rFonts w:ascii="宋体" w:hAnsi="宋体"/>
          <w:color w:val="auto"/>
          <w:sz w:val="24"/>
        </w:rPr>
        <w:t xml:space="preserve">     年   月    日</w:t>
      </w:r>
    </w:p>
    <w:p w14:paraId="526078EC">
      <w:pPr>
        <w:widowControl/>
        <w:jc w:val="left"/>
        <w:rPr>
          <w:rFonts w:ascii="宋体" w:hAnsi="宋体" w:cs="宋体"/>
          <w:color w:val="auto"/>
          <w:sz w:val="24"/>
        </w:rPr>
      </w:pPr>
    </w:p>
    <w:p w14:paraId="1771C515">
      <w:pPr>
        <w:pStyle w:val="80"/>
        <w:snapToGrid w:val="0"/>
        <w:spacing w:beforeLines="50"/>
        <w:rPr>
          <w:rFonts w:hAnsi="宋体" w:cs="宋体"/>
          <w:color w:val="auto"/>
          <w:sz w:val="24"/>
          <w:szCs w:val="24"/>
        </w:rPr>
      </w:pPr>
    </w:p>
    <w:p w14:paraId="47207F2C">
      <w:pPr>
        <w:widowControl/>
        <w:jc w:val="left"/>
        <w:rPr>
          <w:rFonts w:ascii="宋体" w:hAnsi="宋体"/>
          <w:color w:val="auto"/>
          <w:sz w:val="24"/>
        </w:rPr>
      </w:pPr>
    </w:p>
    <w:p w14:paraId="3726B30F">
      <w:pPr>
        <w:adjustRightInd w:val="0"/>
        <w:spacing w:line="360" w:lineRule="atLeast"/>
        <w:jc w:val="left"/>
        <w:textAlignment w:val="baseline"/>
        <w:rPr>
          <w:b/>
          <w:color w:val="auto"/>
          <w:sz w:val="30"/>
          <w:szCs w:val="30"/>
        </w:rPr>
      </w:pPr>
      <w:r>
        <w:rPr>
          <w:b/>
          <w:color w:val="auto"/>
          <w:spacing w:val="20"/>
          <w:sz w:val="24"/>
        </w:rPr>
        <w:br w:type="page"/>
      </w:r>
    </w:p>
    <w:p w14:paraId="287457B3">
      <w:pPr>
        <w:spacing w:line="360" w:lineRule="auto"/>
        <w:outlineLvl w:val="1"/>
        <w:rPr>
          <w:b/>
          <w:color w:val="auto"/>
          <w:sz w:val="24"/>
        </w:rPr>
      </w:pPr>
      <w:bookmarkStart w:id="1480" w:name="_Toc410631184"/>
      <w:bookmarkStart w:id="1481" w:name="_Toc414445775"/>
      <w:bookmarkStart w:id="1482" w:name="_Toc15161"/>
      <w:bookmarkStart w:id="1483" w:name="_Toc416103825"/>
      <w:bookmarkStart w:id="1484" w:name="_Toc8656"/>
      <w:bookmarkStart w:id="1485" w:name="_Toc8760"/>
      <w:r>
        <w:rPr>
          <w:rFonts w:hint="eastAsia"/>
          <w:b/>
          <w:color w:val="auto"/>
          <w:sz w:val="24"/>
        </w:rPr>
        <w:t>附件13</w:t>
      </w:r>
      <w:r>
        <w:rPr>
          <w:rFonts w:hint="eastAsia" w:ascii="宋体" w:hAnsi="宋体" w:eastAsia="宋体" w:cs="宋体"/>
          <w:b/>
          <w:color w:val="auto"/>
          <w:sz w:val="24"/>
        </w:rPr>
        <w:t xml:space="preserve"> </w:t>
      </w:r>
      <w:r>
        <w:rPr>
          <w:b/>
          <w:color w:val="auto"/>
          <w:sz w:val="24"/>
        </w:rPr>
        <w:t>技术偏</w:t>
      </w:r>
      <w:r>
        <w:rPr>
          <w:rFonts w:hint="eastAsia"/>
          <w:b/>
          <w:color w:val="auto"/>
          <w:sz w:val="24"/>
        </w:rPr>
        <w:t>离</w:t>
      </w:r>
      <w:r>
        <w:rPr>
          <w:b/>
          <w:color w:val="auto"/>
          <w:sz w:val="24"/>
        </w:rPr>
        <w:t>表</w:t>
      </w:r>
      <w:bookmarkEnd w:id="1480"/>
      <w:bookmarkEnd w:id="1481"/>
      <w:bookmarkEnd w:id="1482"/>
      <w:bookmarkEnd w:id="1483"/>
      <w:bookmarkEnd w:id="1484"/>
      <w:bookmarkEnd w:id="1485"/>
    </w:p>
    <w:p w14:paraId="05FB11BF">
      <w:pPr>
        <w:spacing w:after="240"/>
        <w:ind w:hanging="119"/>
        <w:rPr>
          <w:color w:val="auto"/>
        </w:rPr>
      </w:pPr>
    </w:p>
    <w:p w14:paraId="676A37A4">
      <w:pPr>
        <w:spacing w:after="240"/>
        <w:ind w:hanging="119"/>
        <w:rPr>
          <w:rFonts w:hint="eastAsia" w:eastAsia="宋体"/>
          <w:color w:val="auto"/>
          <w:sz w:val="24"/>
          <w:lang w:eastAsia="zh-CN"/>
        </w:rPr>
      </w:pPr>
      <w:r>
        <w:rPr>
          <w:color w:val="auto"/>
          <w:sz w:val="24"/>
        </w:rPr>
        <w:t>投标人名称</w:t>
      </w:r>
      <w:r>
        <w:rPr>
          <w:rFonts w:hint="eastAsia"/>
          <w:color w:val="auto"/>
          <w:sz w:val="24"/>
          <w:lang w:eastAsia="zh-CN"/>
        </w:rPr>
        <w:t>:</w:t>
      </w:r>
    </w:p>
    <w:tbl>
      <w:tblPr>
        <w:tblStyle w:val="41"/>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8"/>
        <w:gridCol w:w="1920"/>
        <w:gridCol w:w="2160"/>
        <w:gridCol w:w="1800"/>
        <w:gridCol w:w="1440"/>
        <w:gridCol w:w="900"/>
      </w:tblGrid>
      <w:tr w14:paraId="3873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00" w:hRule="atLeast"/>
        </w:trPr>
        <w:tc>
          <w:tcPr>
            <w:tcW w:w="628" w:type="dxa"/>
            <w:noWrap w:val="0"/>
            <w:vAlign w:val="center"/>
          </w:tcPr>
          <w:p w14:paraId="393CFAB3">
            <w:pPr>
              <w:spacing w:line="240" w:lineRule="auto"/>
              <w:jc w:val="center"/>
              <w:rPr>
                <w:color w:val="auto"/>
                <w:szCs w:val="21"/>
              </w:rPr>
            </w:pPr>
            <w:r>
              <w:rPr>
                <w:rFonts w:hint="eastAsia"/>
                <w:color w:val="auto"/>
                <w:szCs w:val="21"/>
              </w:rPr>
              <w:t>序号</w:t>
            </w:r>
          </w:p>
        </w:tc>
        <w:tc>
          <w:tcPr>
            <w:tcW w:w="1920" w:type="dxa"/>
            <w:noWrap w:val="0"/>
            <w:vAlign w:val="center"/>
          </w:tcPr>
          <w:p w14:paraId="5F4E5AFA">
            <w:pPr>
              <w:spacing w:line="240" w:lineRule="auto"/>
              <w:jc w:val="center"/>
              <w:rPr>
                <w:color w:val="auto"/>
                <w:szCs w:val="21"/>
              </w:rPr>
            </w:pPr>
            <w:r>
              <w:rPr>
                <w:rFonts w:hint="eastAsia"/>
                <w:color w:val="auto"/>
                <w:szCs w:val="21"/>
              </w:rPr>
              <w:t>招标文件条目号</w:t>
            </w:r>
          </w:p>
        </w:tc>
        <w:tc>
          <w:tcPr>
            <w:tcW w:w="2160" w:type="dxa"/>
            <w:noWrap w:val="0"/>
            <w:vAlign w:val="center"/>
          </w:tcPr>
          <w:p w14:paraId="6A65D86A">
            <w:pPr>
              <w:spacing w:line="240" w:lineRule="auto"/>
              <w:jc w:val="center"/>
              <w:rPr>
                <w:rFonts w:hint="eastAsia"/>
                <w:color w:val="auto"/>
                <w:szCs w:val="21"/>
              </w:rPr>
            </w:pPr>
            <w:r>
              <w:rPr>
                <w:rFonts w:hint="eastAsia"/>
                <w:color w:val="auto"/>
                <w:szCs w:val="21"/>
              </w:rPr>
              <w:t>招标文件的规定</w:t>
            </w:r>
          </w:p>
          <w:p w14:paraId="78F588C1">
            <w:pPr>
              <w:spacing w:line="240" w:lineRule="auto"/>
              <w:jc w:val="center"/>
              <w:rPr>
                <w:color w:val="auto"/>
                <w:szCs w:val="21"/>
              </w:rPr>
            </w:pPr>
            <w:r>
              <w:rPr>
                <w:rFonts w:hint="eastAsia"/>
                <w:color w:val="auto"/>
                <w:szCs w:val="21"/>
              </w:rPr>
              <w:t>和要求</w:t>
            </w:r>
          </w:p>
        </w:tc>
        <w:tc>
          <w:tcPr>
            <w:tcW w:w="1800" w:type="dxa"/>
            <w:noWrap w:val="0"/>
            <w:vAlign w:val="center"/>
          </w:tcPr>
          <w:p w14:paraId="49CBA24A">
            <w:pPr>
              <w:spacing w:line="240" w:lineRule="auto"/>
              <w:jc w:val="center"/>
              <w:rPr>
                <w:rFonts w:hint="eastAsia"/>
                <w:color w:val="auto"/>
                <w:szCs w:val="21"/>
              </w:rPr>
            </w:pPr>
            <w:r>
              <w:rPr>
                <w:rFonts w:hint="eastAsia"/>
                <w:color w:val="auto"/>
                <w:szCs w:val="21"/>
              </w:rPr>
              <w:t>投标文件的响应</w:t>
            </w:r>
          </w:p>
        </w:tc>
        <w:tc>
          <w:tcPr>
            <w:tcW w:w="1440" w:type="dxa"/>
            <w:noWrap w:val="0"/>
            <w:vAlign w:val="center"/>
          </w:tcPr>
          <w:p w14:paraId="74077C5A">
            <w:pPr>
              <w:spacing w:line="240" w:lineRule="auto"/>
              <w:jc w:val="center"/>
              <w:rPr>
                <w:rFonts w:hint="eastAsia"/>
                <w:color w:val="auto"/>
                <w:szCs w:val="21"/>
              </w:rPr>
            </w:pPr>
            <w:r>
              <w:rPr>
                <w:rFonts w:hint="eastAsia"/>
                <w:color w:val="auto"/>
                <w:szCs w:val="21"/>
              </w:rPr>
              <w:t>偏差</w:t>
            </w:r>
          </w:p>
        </w:tc>
        <w:tc>
          <w:tcPr>
            <w:tcW w:w="900" w:type="dxa"/>
            <w:noWrap w:val="0"/>
            <w:vAlign w:val="center"/>
          </w:tcPr>
          <w:p w14:paraId="05C6F30C">
            <w:pPr>
              <w:spacing w:line="240" w:lineRule="auto"/>
              <w:jc w:val="center"/>
              <w:rPr>
                <w:color w:val="auto"/>
                <w:szCs w:val="21"/>
              </w:rPr>
            </w:pPr>
            <w:r>
              <w:rPr>
                <w:rFonts w:hint="eastAsia"/>
                <w:color w:val="auto"/>
                <w:szCs w:val="21"/>
              </w:rPr>
              <w:t>说明</w:t>
            </w:r>
          </w:p>
        </w:tc>
      </w:tr>
      <w:tr w14:paraId="5A5B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5347C741">
            <w:pPr>
              <w:spacing w:line="240" w:lineRule="auto"/>
              <w:jc w:val="center"/>
              <w:rPr>
                <w:color w:val="auto"/>
                <w:szCs w:val="21"/>
              </w:rPr>
            </w:pPr>
            <w:r>
              <w:rPr>
                <w:rFonts w:hint="eastAsia"/>
                <w:color w:val="auto"/>
                <w:szCs w:val="21"/>
              </w:rPr>
              <w:t>1</w:t>
            </w:r>
          </w:p>
        </w:tc>
        <w:tc>
          <w:tcPr>
            <w:tcW w:w="1920" w:type="dxa"/>
            <w:noWrap w:val="0"/>
            <w:vAlign w:val="center"/>
          </w:tcPr>
          <w:p w14:paraId="6AE859B8">
            <w:pPr>
              <w:spacing w:line="240" w:lineRule="auto"/>
              <w:rPr>
                <w:color w:val="auto"/>
                <w:szCs w:val="21"/>
              </w:rPr>
            </w:pPr>
          </w:p>
        </w:tc>
        <w:tc>
          <w:tcPr>
            <w:tcW w:w="2160" w:type="dxa"/>
            <w:noWrap w:val="0"/>
            <w:vAlign w:val="center"/>
          </w:tcPr>
          <w:p w14:paraId="1B4BD977">
            <w:pPr>
              <w:spacing w:line="240" w:lineRule="auto"/>
              <w:rPr>
                <w:color w:val="auto"/>
                <w:szCs w:val="21"/>
              </w:rPr>
            </w:pPr>
          </w:p>
        </w:tc>
        <w:tc>
          <w:tcPr>
            <w:tcW w:w="1800" w:type="dxa"/>
            <w:noWrap w:val="0"/>
            <w:vAlign w:val="center"/>
          </w:tcPr>
          <w:p w14:paraId="5B226363">
            <w:pPr>
              <w:spacing w:line="240" w:lineRule="auto"/>
              <w:rPr>
                <w:color w:val="auto"/>
                <w:szCs w:val="21"/>
              </w:rPr>
            </w:pPr>
          </w:p>
        </w:tc>
        <w:tc>
          <w:tcPr>
            <w:tcW w:w="1440" w:type="dxa"/>
            <w:noWrap w:val="0"/>
            <w:vAlign w:val="center"/>
          </w:tcPr>
          <w:p w14:paraId="3AC1C732">
            <w:pPr>
              <w:spacing w:line="240" w:lineRule="auto"/>
              <w:rPr>
                <w:color w:val="auto"/>
                <w:szCs w:val="21"/>
              </w:rPr>
            </w:pPr>
          </w:p>
        </w:tc>
        <w:tc>
          <w:tcPr>
            <w:tcW w:w="900" w:type="dxa"/>
            <w:noWrap w:val="0"/>
            <w:vAlign w:val="center"/>
          </w:tcPr>
          <w:p w14:paraId="0415C76F">
            <w:pPr>
              <w:spacing w:line="240" w:lineRule="auto"/>
              <w:rPr>
                <w:color w:val="auto"/>
                <w:szCs w:val="21"/>
              </w:rPr>
            </w:pPr>
          </w:p>
        </w:tc>
      </w:tr>
      <w:tr w14:paraId="7A21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3F38CE70">
            <w:pPr>
              <w:spacing w:line="240" w:lineRule="auto"/>
              <w:jc w:val="center"/>
              <w:rPr>
                <w:color w:val="auto"/>
                <w:szCs w:val="21"/>
              </w:rPr>
            </w:pPr>
            <w:r>
              <w:rPr>
                <w:rFonts w:hint="eastAsia"/>
                <w:color w:val="auto"/>
                <w:szCs w:val="21"/>
              </w:rPr>
              <w:t>2</w:t>
            </w:r>
          </w:p>
        </w:tc>
        <w:tc>
          <w:tcPr>
            <w:tcW w:w="1920" w:type="dxa"/>
            <w:noWrap w:val="0"/>
            <w:vAlign w:val="center"/>
          </w:tcPr>
          <w:p w14:paraId="0CE2753F">
            <w:pPr>
              <w:spacing w:line="240" w:lineRule="auto"/>
              <w:rPr>
                <w:color w:val="auto"/>
                <w:szCs w:val="21"/>
              </w:rPr>
            </w:pPr>
          </w:p>
        </w:tc>
        <w:tc>
          <w:tcPr>
            <w:tcW w:w="2160" w:type="dxa"/>
            <w:noWrap w:val="0"/>
            <w:vAlign w:val="center"/>
          </w:tcPr>
          <w:p w14:paraId="75992B2F">
            <w:pPr>
              <w:spacing w:line="240" w:lineRule="auto"/>
              <w:rPr>
                <w:color w:val="auto"/>
                <w:szCs w:val="21"/>
              </w:rPr>
            </w:pPr>
          </w:p>
        </w:tc>
        <w:tc>
          <w:tcPr>
            <w:tcW w:w="1800" w:type="dxa"/>
            <w:noWrap w:val="0"/>
            <w:vAlign w:val="center"/>
          </w:tcPr>
          <w:p w14:paraId="1EB8F548">
            <w:pPr>
              <w:spacing w:line="240" w:lineRule="auto"/>
              <w:rPr>
                <w:color w:val="auto"/>
                <w:szCs w:val="21"/>
              </w:rPr>
            </w:pPr>
          </w:p>
        </w:tc>
        <w:tc>
          <w:tcPr>
            <w:tcW w:w="1440" w:type="dxa"/>
            <w:noWrap w:val="0"/>
            <w:vAlign w:val="center"/>
          </w:tcPr>
          <w:p w14:paraId="44910CDE">
            <w:pPr>
              <w:spacing w:line="240" w:lineRule="auto"/>
              <w:rPr>
                <w:color w:val="auto"/>
                <w:szCs w:val="21"/>
              </w:rPr>
            </w:pPr>
          </w:p>
        </w:tc>
        <w:tc>
          <w:tcPr>
            <w:tcW w:w="900" w:type="dxa"/>
            <w:noWrap w:val="0"/>
            <w:vAlign w:val="center"/>
          </w:tcPr>
          <w:p w14:paraId="0205C3BF">
            <w:pPr>
              <w:spacing w:line="240" w:lineRule="auto"/>
              <w:rPr>
                <w:color w:val="auto"/>
                <w:szCs w:val="21"/>
              </w:rPr>
            </w:pPr>
          </w:p>
        </w:tc>
      </w:tr>
      <w:tr w14:paraId="2393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6D9B2AC9">
            <w:pPr>
              <w:spacing w:line="240" w:lineRule="auto"/>
              <w:jc w:val="center"/>
              <w:rPr>
                <w:color w:val="auto"/>
                <w:szCs w:val="21"/>
              </w:rPr>
            </w:pPr>
            <w:r>
              <w:rPr>
                <w:rFonts w:hint="eastAsia"/>
                <w:color w:val="auto"/>
                <w:szCs w:val="21"/>
              </w:rPr>
              <w:t>3</w:t>
            </w:r>
          </w:p>
        </w:tc>
        <w:tc>
          <w:tcPr>
            <w:tcW w:w="1920" w:type="dxa"/>
            <w:noWrap w:val="0"/>
            <w:vAlign w:val="center"/>
          </w:tcPr>
          <w:p w14:paraId="25CDB548">
            <w:pPr>
              <w:spacing w:line="240" w:lineRule="auto"/>
              <w:rPr>
                <w:color w:val="auto"/>
                <w:szCs w:val="21"/>
              </w:rPr>
            </w:pPr>
          </w:p>
        </w:tc>
        <w:tc>
          <w:tcPr>
            <w:tcW w:w="2160" w:type="dxa"/>
            <w:noWrap w:val="0"/>
            <w:vAlign w:val="center"/>
          </w:tcPr>
          <w:p w14:paraId="569AAA1A">
            <w:pPr>
              <w:spacing w:line="240" w:lineRule="auto"/>
              <w:rPr>
                <w:color w:val="auto"/>
                <w:szCs w:val="21"/>
              </w:rPr>
            </w:pPr>
          </w:p>
        </w:tc>
        <w:tc>
          <w:tcPr>
            <w:tcW w:w="1800" w:type="dxa"/>
            <w:noWrap w:val="0"/>
            <w:vAlign w:val="center"/>
          </w:tcPr>
          <w:p w14:paraId="67EEB442">
            <w:pPr>
              <w:spacing w:line="240" w:lineRule="auto"/>
              <w:rPr>
                <w:color w:val="auto"/>
                <w:szCs w:val="21"/>
              </w:rPr>
            </w:pPr>
          </w:p>
        </w:tc>
        <w:tc>
          <w:tcPr>
            <w:tcW w:w="1440" w:type="dxa"/>
            <w:noWrap w:val="0"/>
            <w:vAlign w:val="center"/>
          </w:tcPr>
          <w:p w14:paraId="24514260">
            <w:pPr>
              <w:spacing w:line="240" w:lineRule="auto"/>
              <w:rPr>
                <w:color w:val="auto"/>
                <w:szCs w:val="21"/>
              </w:rPr>
            </w:pPr>
          </w:p>
        </w:tc>
        <w:tc>
          <w:tcPr>
            <w:tcW w:w="900" w:type="dxa"/>
            <w:noWrap w:val="0"/>
            <w:vAlign w:val="center"/>
          </w:tcPr>
          <w:p w14:paraId="29AA0B72">
            <w:pPr>
              <w:spacing w:line="240" w:lineRule="auto"/>
              <w:rPr>
                <w:color w:val="auto"/>
                <w:szCs w:val="21"/>
              </w:rPr>
            </w:pPr>
          </w:p>
        </w:tc>
      </w:tr>
      <w:tr w14:paraId="3999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701DA1C2">
            <w:pPr>
              <w:spacing w:line="240" w:lineRule="auto"/>
              <w:jc w:val="center"/>
              <w:rPr>
                <w:color w:val="auto"/>
                <w:szCs w:val="21"/>
              </w:rPr>
            </w:pPr>
            <w:r>
              <w:rPr>
                <w:rFonts w:hint="eastAsia"/>
                <w:color w:val="auto"/>
                <w:szCs w:val="21"/>
              </w:rPr>
              <w:t>4</w:t>
            </w:r>
          </w:p>
        </w:tc>
        <w:tc>
          <w:tcPr>
            <w:tcW w:w="1920" w:type="dxa"/>
            <w:noWrap w:val="0"/>
            <w:vAlign w:val="center"/>
          </w:tcPr>
          <w:p w14:paraId="40EEE6E4">
            <w:pPr>
              <w:spacing w:line="240" w:lineRule="auto"/>
              <w:rPr>
                <w:color w:val="auto"/>
                <w:szCs w:val="21"/>
              </w:rPr>
            </w:pPr>
          </w:p>
        </w:tc>
        <w:tc>
          <w:tcPr>
            <w:tcW w:w="2160" w:type="dxa"/>
            <w:noWrap w:val="0"/>
            <w:vAlign w:val="center"/>
          </w:tcPr>
          <w:p w14:paraId="6DF6CACD">
            <w:pPr>
              <w:spacing w:line="240" w:lineRule="auto"/>
              <w:rPr>
                <w:color w:val="auto"/>
                <w:szCs w:val="21"/>
              </w:rPr>
            </w:pPr>
          </w:p>
        </w:tc>
        <w:tc>
          <w:tcPr>
            <w:tcW w:w="1800" w:type="dxa"/>
            <w:noWrap w:val="0"/>
            <w:vAlign w:val="center"/>
          </w:tcPr>
          <w:p w14:paraId="4322E952">
            <w:pPr>
              <w:spacing w:line="240" w:lineRule="auto"/>
              <w:rPr>
                <w:color w:val="auto"/>
                <w:szCs w:val="21"/>
              </w:rPr>
            </w:pPr>
          </w:p>
        </w:tc>
        <w:tc>
          <w:tcPr>
            <w:tcW w:w="1440" w:type="dxa"/>
            <w:noWrap w:val="0"/>
            <w:vAlign w:val="center"/>
          </w:tcPr>
          <w:p w14:paraId="375766A6">
            <w:pPr>
              <w:spacing w:line="240" w:lineRule="auto"/>
              <w:rPr>
                <w:color w:val="auto"/>
                <w:szCs w:val="21"/>
              </w:rPr>
            </w:pPr>
          </w:p>
        </w:tc>
        <w:tc>
          <w:tcPr>
            <w:tcW w:w="900" w:type="dxa"/>
            <w:noWrap w:val="0"/>
            <w:vAlign w:val="center"/>
          </w:tcPr>
          <w:p w14:paraId="2D1F2412">
            <w:pPr>
              <w:spacing w:line="240" w:lineRule="auto"/>
              <w:rPr>
                <w:color w:val="auto"/>
                <w:szCs w:val="21"/>
              </w:rPr>
            </w:pPr>
          </w:p>
        </w:tc>
      </w:tr>
      <w:tr w14:paraId="5BBB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7E000391">
            <w:pPr>
              <w:spacing w:line="240" w:lineRule="auto"/>
              <w:jc w:val="center"/>
              <w:rPr>
                <w:color w:val="auto"/>
                <w:szCs w:val="21"/>
              </w:rPr>
            </w:pPr>
            <w:r>
              <w:rPr>
                <w:rFonts w:hint="eastAsia"/>
                <w:color w:val="auto"/>
                <w:szCs w:val="21"/>
              </w:rPr>
              <w:t>5</w:t>
            </w:r>
          </w:p>
        </w:tc>
        <w:tc>
          <w:tcPr>
            <w:tcW w:w="1920" w:type="dxa"/>
            <w:noWrap w:val="0"/>
            <w:vAlign w:val="center"/>
          </w:tcPr>
          <w:p w14:paraId="028A4974">
            <w:pPr>
              <w:spacing w:line="240" w:lineRule="auto"/>
              <w:rPr>
                <w:color w:val="auto"/>
                <w:szCs w:val="21"/>
              </w:rPr>
            </w:pPr>
          </w:p>
        </w:tc>
        <w:tc>
          <w:tcPr>
            <w:tcW w:w="2160" w:type="dxa"/>
            <w:noWrap w:val="0"/>
            <w:vAlign w:val="center"/>
          </w:tcPr>
          <w:p w14:paraId="566B47D1">
            <w:pPr>
              <w:spacing w:line="240" w:lineRule="auto"/>
              <w:rPr>
                <w:color w:val="auto"/>
                <w:szCs w:val="21"/>
              </w:rPr>
            </w:pPr>
          </w:p>
        </w:tc>
        <w:tc>
          <w:tcPr>
            <w:tcW w:w="1800" w:type="dxa"/>
            <w:noWrap w:val="0"/>
            <w:vAlign w:val="center"/>
          </w:tcPr>
          <w:p w14:paraId="305E2AC8">
            <w:pPr>
              <w:spacing w:line="240" w:lineRule="auto"/>
              <w:rPr>
                <w:color w:val="auto"/>
                <w:szCs w:val="21"/>
              </w:rPr>
            </w:pPr>
          </w:p>
        </w:tc>
        <w:tc>
          <w:tcPr>
            <w:tcW w:w="1440" w:type="dxa"/>
            <w:noWrap w:val="0"/>
            <w:vAlign w:val="center"/>
          </w:tcPr>
          <w:p w14:paraId="0260945E">
            <w:pPr>
              <w:spacing w:line="240" w:lineRule="auto"/>
              <w:rPr>
                <w:color w:val="auto"/>
                <w:szCs w:val="21"/>
              </w:rPr>
            </w:pPr>
          </w:p>
        </w:tc>
        <w:tc>
          <w:tcPr>
            <w:tcW w:w="900" w:type="dxa"/>
            <w:noWrap w:val="0"/>
            <w:vAlign w:val="center"/>
          </w:tcPr>
          <w:p w14:paraId="014CD6B2">
            <w:pPr>
              <w:spacing w:line="240" w:lineRule="auto"/>
              <w:rPr>
                <w:color w:val="auto"/>
                <w:szCs w:val="21"/>
              </w:rPr>
            </w:pPr>
          </w:p>
        </w:tc>
      </w:tr>
      <w:tr w14:paraId="51B8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75B6440C">
            <w:pPr>
              <w:spacing w:line="240" w:lineRule="auto"/>
              <w:jc w:val="center"/>
              <w:rPr>
                <w:color w:val="auto"/>
                <w:szCs w:val="21"/>
              </w:rPr>
            </w:pPr>
            <w:r>
              <w:rPr>
                <w:rFonts w:hint="eastAsia"/>
                <w:color w:val="auto"/>
                <w:szCs w:val="21"/>
              </w:rPr>
              <w:t>6</w:t>
            </w:r>
          </w:p>
        </w:tc>
        <w:tc>
          <w:tcPr>
            <w:tcW w:w="1920" w:type="dxa"/>
            <w:noWrap w:val="0"/>
            <w:vAlign w:val="center"/>
          </w:tcPr>
          <w:p w14:paraId="4543EAC0">
            <w:pPr>
              <w:spacing w:line="240" w:lineRule="auto"/>
              <w:rPr>
                <w:color w:val="auto"/>
                <w:szCs w:val="21"/>
              </w:rPr>
            </w:pPr>
          </w:p>
        </w:tc>
        <w:tc>
          <w:tcPr>
            <w:tcW w:w="2160" w:type="dxa"/>
            <w:noWrap w:val="0"/>
            <w:vAlign w:val="center"/>
          </w:tcPr>
          <w:p w14:paraId="0EE3BC2E">
            <w:pPr>
              <w:spacing w:line="240" w:lineRule="auto"/>
              <w:rPr>
                <w:color w:val="auto"/>
                <w:szCs w:val="21"/>
              </w:rPr>
            </w:pPr>
          </w:p>
        </w:tc>
        <w:tc>
          <w:tcPr>
            <w:tcW w:w="1800" w:type="dxa"/>
            <w:noWrap w:val="0"/>
            <w:vAlign w:val="center"/>
          </w:tcPr>
          <w:p w14:paraId="654EB33A">
            <w:pPr>
              <w:spacing w:line="240" w:lineRule="auto"/>
              <w:rPr>
                <w:color w:val="auto"/>
                <w:szCs w:val="21"/>
              </w:rPr>
            </w:pPr>
          </w:p>
        </w:tc>
        <w:tc>
          <w:tcPr>
            <w:tcW w:w="1440" w:type="dxa"/>
            <w:noWrap w:val="0"/>
            <w:vAlign w:val="center"/>
          </w:tcPr>
          <w:p w14:paraId="48860EE1">
            <w:pPr>
              <w:spacing w:line="240" w:lineRule="auto"/>
              <w:rPr>
                <w:color w:val="auto"/>
                <w:szCs w:val="21"/>
              </w:rPr>
            </w:pPr>
          </w:p>
        </w:tc>
        <w:tc>
          <w:tcPr>
            <w:tcW w:w="900" w:type="dxa"/>
            <w:noWrap w:val="0"/>
            <w:vAlign w:val="center"/>
          </w:tcPr>
          <w:p w14:paraId="5BC39672">
            <w:pPr>
              <w:spacing w:line="240" w:lineRule="auto"/>
              <w:rPr>
                <w:color w:val="auto"/>
                <w:szCs w:val="21"/>
              </w:rPr>
            </w:pPr>
          </w:p>
        </w:tc>
      </w:tr>
      <w:tr w14:paraId="0131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1" w:hRule="atLeast"/>
        </w:trPr>
        <w:tc>
          <w:tcPr>
            <w:tcW w:w="628" w:type="dxa"/>
            <w:noWrap w:val="0"/>
            <w:vAlign w:val="center"/>
          </w:tcPr>
          <w:p w14:paraId="6656832D">
            <w:pPr>
              <w:spacing w:line="240" w:lineRule="auto"/>
              <w:jc w:val="center"/>
              <w:rPr>
                <w:color w:val="auto"/>
                <w:szCs w:val="21"/>
              </w:rPr>
            </w:pPr>
            <w:r>
              <w:rPr>
                <w:rFonts w:hint="eastAsia"/>
                <w:color w:val="auto"/>
                <w:szCs w:val="21"/>
              </w:rPr>
              <w:t>…</w:t>
            </w:r>
          </w:p>
        </w:tc>
        <w:tc>
          <w:tcPr>
            <w:tcW w:w="1920" w:type="dxa"/>
            <w:noWrap w:val="0"/>
            <w:vAlign w:val="center"/>
          </w:tcPr>
          <w:p w14:paraId="0108FF02">
            <w:pPr>
              <w:spacing w:line="240" w:lineRule="auto"/>
              <w:rPr>
                <w:color w:val="auto"/>
                <w:szCs w:val="21"/>
              </w:rPr>
            </w:pPr>
          </w:p>
        </w:tc>
        <w:tc>
          <w:tcPr>
            <w:tcW w:w="2160" w:type="dxa"/>
            <w:noWrap w:val="0"/>
            <w:vAlign w:val="center"/>
          </w:tcPr>
          <w:p w14:paraId="5F406C00">
            <w:pPr>
              <w:spacing w:line="240" w:lineRule="auto"/>
              <w:rPr>
                <w:color w:val="auto"/>
                <w:szCs w:val="21"/>
              </w:rPr>
            </w:pPr>
          </w:p>
        </w:tc>
        <w:tc>
          <w:tcPr>
            <w:tcW w:w="1800" w:type="dxa"/>
            <w:noWrap w:val="0"/>
            <w:vAlign w:val="center"/>
          </w:tcPr>
          <w:p w14:paraId="32995BF1">
            <w:pPr>
              <w:spacing w:line="240" w:lineRule="auto"/>
              <w:rPr>
                <w:color w:val="auto"/>
                <w:szCs w:val="21"/>
              </w:rPr>
            </w:pPr>
          </w:p>
        </w:tc>
        <w:tc>
          <w:tcPr>
            <w:tcW w:w="1440" w:type="dxa"/>
            <w:noWrap w:val="0"/>
            <w:vAlign w:val="center"/>
          </w:tcPr>
          <w:p w14:paraId="21100C6B">
            <w:pPr>
              <w:spacing w:line="240" w:lineRule="auto"/>
              <w:rPr>
                <w:color w:val="auto"/>
                <w:szCs w:val="21"/>
              </w:rPr>
            </w:pPr>
          </w:p>
        </w:tc>
        <w:tc>
          <w:tcPr>
            <w:tcW w:w="900" w:type="dxa"/>
            <w:noWrap w:val="0"/>
            <w:vAlign w:val="center"/>
          </w:tcPr>
          <w:p w14:paraId="507D2CB4">
            <w:pPr>
              <w:spacing w:line="240" w:lineRule="auto"/>
              <w:rPr>
                <w:color w:val="auto"/>
                <w:szCs w:val="21"/>
              </w:rPr>
            </w:pPr>
          </w:p>
        </w:tc>
      </w:tr>
    </w:tbl>
    <w:p w14:paraId="1C17B3DC">
      <w:pPr>
        <w:spacing w:after="240"/>
        <w:ind w:hanging="119"/>
        <w:rPr>
          <w:color w:val="auto"/>
        </w:rPr>
      </w:pPr>
    </w:p>
    <w:p w14:paraId="7D2EA457">
      <w:pPr>
        <w:spacing w:after="240"/>
        <w:ind w:hanging="119"/>
        <w:rPr>
          <w:color w:val="auto"/>
        </w:rPr>
      </w:pPr>
    </w:p>
    <w:p w14:paraId="154EEBA0">
      <w:pPr>
        <w:spacing w:beforeLines="50" w:line="440" w:lineRule="exact"/>
        <w:ind w:left="-103" w:leftChars="-49" w:firstLine="15"/>
        <w:rPr>
          <w:rFonts w:hint="eastAsia" w:eastAsia="宋体"/>
          <w:color w:val="auto"/>
          <w:lang w:eastAsia="zh-CN"/>
        </w:rPr>
      </w:pPr>
      <w:r>
        <w:rPr>
          <w:rFonts w:hint="eastAsia"/>
          <w:color w:val="auto"/>
        </w:rPr>
        <w:t>投标人</w:t>
      </w:r>
      <w:r>
        <w:rPr>
          <w:rFonts w:hint="eastAsia"/>
          <w:color w:val="auto"/>
          <w:lang w:eastAsia="zh-CN"/>
        </w:rPr>
        <w:t>:(</w:t>
      </w:r>
      <w:r>
        <w:rPr>
          <w:rFonts w:hint="eastAsia"/>
          <w:color w:val="auto"/>
        </w:rPr>
        <w:t>公章</w:t>
      </w:r>
      <w:r>
        <w:rPr>
          <w:rFonts w:hint="eastAsia"/>
          <w:color w:val="auto"/>
          <w:lang w:eastAsia="zh-CN"/>
        </w:rPr>
        <w:t>)</w:t>
      </w:r>
    </w:p>
    <w:p w14:paraId="18DB8395">
      <w:pPr>
        <w:spacing w:beforeLines="50"/>
        <w:ind w:left="-103" w:leftChars="-49" w:firstLine="15"/>
        <w:rPr>
          <w:rFonts w:hint="eastAsia" w:eastAsia="宋体"/>
          <w:color w:val="auto"/>
          <w:lang w:eastAsia="zh-CN"/>
        </w:rPr>
      </w:pPr>
      <w:r>
        <w:rPr>
          <w:color w:val="auto"/>
        </w:rPr>
        <w:t>法定代表人或其</w:t>
      </w:r>
      <w:r>
        <w:rPr>
          <w:rFonts w:hint="eastAsia"/>
          <w:color w:val="auto"/>
        </w:rPr>
        <w:t>委托代理人</w:t>
      </w:r>
      <w:r>
        <w:rPr>
          <w:rFonts w:hint="eastAsia"/>
          <w:color w:val="auto"/>
          <w:lang w:eastAsia="zh-CN"/>
        </w:rPr>
        <w:t>:(</w:t>
      </w:r>
      <w:r>
        <w:rPr>
          <w:rFonts w:hint="eastAsia"/>
          <w:color w:val="auto"/>
        </w:rPr>
        <w:t>签字或加盖人名章</w:t>
      </w:r>
      <w:r>
        <w:rPr>
          <w:rFonts w:hint="eastAsia"/>
          <w:color w:val="auto"/>
          <w:lang w:eastAsia="zh-CN"/>
        </w:rPr>
        <w:t>)</w:t>
      </w:r>
    </w:p>
    <w:p w14:paraId="030DF273">
      <w:pPr>
        <w:spacing w:beforeLines="50"/>
        <w:ind w:left="-103" w:leftChars="-49" w:firstLine="15"/>
        <w:rPr>
          <w:rFonts w:hint="eastAsia" w:eastAsia="宋体"/>
          <w:color w:val="auto"/>
          <w:lang w:eastAsia="zh-CN"/>
        </w:rPr>
      </w:pPr>
      <w:r>
        <w:rPr>
          <w:color w:val="auto"/>
        </w:rPr>
        <w:t>日期</w:t>
      </w:r>
      <w:r>
        <w:rPr>
          <w:rFonts w:hint="eastAsia"/>
          <w:color w:val="auto"/>
          <w:lang w:eastAsia="zh-CN"/>
        </w:rPr>
        <w:t>:</w:t>
      </w:r>
    </w:p>
    <w:p w14:paraId="25AD6255">
      <w:pPr>
        <w:spacing w:line="360" w:lineRule="auto"/>
        <w:rPr>
          <w:color w:val="auto"/>
        </w:rPr>
      </w:pPr>
    </w:p>
    <w:p w14:paraId="670570BF">
      <w:pPr>
        <w:tabs>
          <w:tab w:val="left" w:pos="1200"/>
        </w:tabs>
        <w:snapToGrid w:val="0"/>
        <w:spacing w:afterLines="50"/>
        <w:ind w:left="850" w:leftChars="203" w:hanging="424" w:hangingChars="202"/>
        <w:rPr>
          <w:color w:val="auto"/>
        </w:rPr>
      </w:pPr>
      <w:r>
        <w:rPr>
          <w:color w:val="auto"/>
        </w:rPr>
        <w:t>注</w:t>
      </w:r>
      <w:r>
        <w:rPr>
          <w:rFonts w:hint="eastAsia"/>
          <w:color w:val="auto"/>
          <w:lang w:eastAsia="zh-CN"/>
        </w:rPr>
        <w:t>:</w:t>
      </w:r>
      <w:r>
        <w:rPr>
          <w:rFonts w:hint="eastAsia"/>
          <w:color w:val="auto"/>
        </w:rPr>
        <w:t>投标人递交的投标文件中与招标文件的</w:t>
      </w:r>
      <w:r>
        <w:rPr>
          <w:rFonts w:hint="eastAsia"/>
          <w:color w:val="auto"/>
          <w:lang w:val="en-US" w:eastAsia="zh-CN"/>
        </w:rPr>
        <w:t>技术</w:t>
      </w:r>
      <w:r>
        <w:rPr>
          <w:rFonts w:hint="eastAsia"/>
          <w:color w:val="auto"/>
        </w:rPr>
        <w:t>部分的要求有不同时，应逐条列在</w:t>
      </w:r>
      <w:r>
        <w:rPr>
          <w:rFonts w:hint="eastAsia"/>
          <w:color w:val="auto"/>
          <w:lang w:val="en-US" w:eastAsia="zh-CN"/>
        </w:rPr>
        <w:t>技术</w:t>
      </w:r>
      <w:r>
        <w:rPr>
          <w:rFonts w:hint="eastAsia"/>
          <w:color w:val="auto"/>
        </w:rPr>
        <w:t>偏差表中，否则将认为投标人接受招标文件的要求</w:t>
      </w:r>
      <w:r>
        <w:rPr>
          <w:color w:val="auto"/>
        </w:rPr>
        <w:t>。</w:t>
      </w:r>
    </w:p>
    <w:p w14:paraId="2B4EE03A">
      <w:pPr>
        <w:rPr>
          <w:b/>
          <w:color w:val="auto"/>
          <w:sz w:val="32"/>
          <w:szCs w:val="32"/>
        </w:rPr>
      </w:pPr>
      <w:r>
        <w:rPr>
          <w:b/>
          <w:color w:val="auto"/>
          <w:sz w:val="32"/>
          <w:szCs w:val="32"/>
        </w:rPr>
        <w:br w:type="page"/>
      </w:r>
    </w:p>
    <w:p w14:paraId="41D6E803">
      <w:pPr>
        <w:spacing w:line="360" w:lineRule="auto"/>
        <w:outlineLvl w:val="1"/>
        <w:rPr>
          <w:rFonts w:ascii="宋体" w:hAnsi="宋体" w:eastAsia="宋体" w:cs="黑体"/>
          <w:b/>
          <w:bCs/>
          <w:color w:val="auto"/>
          <w:kern w:val="0"/>
          <w:sz w:val="24"/>
        </w:rPr>
      </w:pPr>
      <w:bookmarkStart w:id="1486" w:name="_Toc414445773"/>
      <w:bookmarkStart w:id="1487" w:name="_Toc410631182"/>
      <w:bookmarkStart w:id="1488" w:name="_Toc416103823"/>
      <w:bookmarkStart w:id="1489" w:name="_Toc28168"/>
      <w:bookmarkStart w:id="1490" w:name="_Toc4436"/>
      <w:bookmarkStart w:id="1491" w:name="_Toc13364"/>
      <w:r>
        <w:rPr>
          <w:rFonts w:hint="eastAsia" w:ascii="宋体" w:hAnsi="宋体" w:eastAsia="宋体"/>
          <w:b/>
          <w:bCs/>
          <w:color w:val="auto"/>
          <w:sz w:val="24"/>
        </w:rPr>
        <w:t>附件14</w:t>
      </w:r>
      <w:bookmarkEnd w:id="1486"/>
      <w:bookmarkEnd w:id="1487"/>
      <w:bookmarkEnd w:id="1488"/>
      <w:bookmarkStart w:id="1492" w:name="_Toc157759075"/>
      <w:r>
        <w:rPr>
          <w:rFonts w:hint="eastAsia" w:ascii="宋体" w:hAnsi="宋体" w:eastAsia="宋体" w:cs="宋体"/>
          <w:b/>
          <w:color w:val="auto"/>
          <w:sz w:val="24"/>
        </w:rPr>
        <w:t xml:space="preserve"> </w:t>
      </w:r>
      <w:r>
        <w:rPr>
          <w:rFonts w:hint="eastAsia" w:ascii="宋体" w:hAnsi="宋体" w:eastAsia="宋体"/>
          <w:b/>
          <w:bCs/>
          <w:color w:val="auto"/>
          <w:sz w:val="24"/>
        </w:rPr>
        <w:t>服务的技术</w:t>
      </w:r>
      <w:r>
        <w:rPr>
          <w:rFonts w:hint="eastAsia" w:ascii="宋体" w:hAnsi="宋体"/>
          <w:b/>
          <w:bCs/>
          <w:color w:val="auto"/>
          <w:sz w:val="24"/>
          <w:lang w:val="en-US" w:eastAsia="zh-CN"/>
        </w:rPr>
        <w:t>要求</w:t>
      </w:r>
      <w:r>
        <w:rPr>
          <w:rFonts w:hint="eastAsia" w:ascii="宋体" w:hAnsi="宋体" w:eastAsia="宋体"/>
          <w:b/>
          <w:bCs/>
          <w:color w:val="auto"/>
          <w:sz w:val="24"/>
        </w:rPr>
        <w:t>、</w:t>
      </w:r>
      <w:r>
        <w:rPr>
          <w:rFonts w:hint="eastAsia" w:ascii="宋体" w:hAnsi="宋体"/>
          <w:b/>
          <w:bCs/>
          <w:color w:val="auto"/>
          <w:sz w:val="24"/>
          <w:lang w:val="en-US" w:eastAsia="zh-CN"/>
        </w:rPr>
        <w:t>服务内容</w:t>
      </w:r>
      <w:r>
        <w:rPr>
          <w:rFonts w:hint="eastAsia" w:ascii="宋体" w:hAnsi="宋体" w:eastAsia="宋体"/>
          <w:b/>
          <w:bCs/>
          <w:color w:val="auto"/>
          <w:sz w:val="24"/>
        </w:rPr>
        <w:t>、服务标准、验收等要求</w:t>
      </w:r>
      <w:r>
        <w:rPr>
          <w:rFonts w:hint="eastAsia" w:ascii="宋体" w:hAnsi="宋体" w:eastAsia="宋体" w:cs="黑体"/>
          <w:b/>
          <w:bCs/>
          <w:color w:val="auto"/>
          <w:kern w:val="0"/>
          <w:sz w:val="24"/>
        </w:rPr>
        <w:t>的响应</w:t>
      </w:r>
      <w:bookmarkEnd w:id="1489"/>
      <w:bookmarkEnd w:id="1490"/>
      <w:bookmarkEnd w:id="1491"/>
    </w:p>
    <w:p w14:paraId="10421853">
      <w:pPr>
        <w:spacing w:line="360" w:lineRule="auto"/>
        <w:rPr>
          <w:rFonts w:ascii="宋体" w:hAnsi="宋体" w:eastAsia="宋体"/>
          <w:color w:val="auto"/>
          <w:sz w:val="24"/>
        </w:rPr>
      </w:pPr>
    </w:p>
    <w:bookmarkEnd w:id="1492"/>
    <w:p w14:paraId="4D71E0FB">
      <w:pPr>
        <w:spacing w:beforeLines="50" w:line="440" w:lineRule="exact"/>
        <w:ind w:left="-103" w:leftChars="-49" w:firstLine="1169" w:firstLineChars="557"/>
        <w:rPr>
          <w:color w:val="auto"/>
        </w:rPr>
      </w:pPr>
    </w:p>
    <w:p w14:paraId="72ECBB55">
      <w:pPr>
        <w:spacing w:beforeLines="50" w:line="440" w:lineRule="exact"/>
        <w:ind w:left="-103" w:leftChars="-49" w:firstLine="1169" w:firstLineChars="557"/>
        <w:rPr>
          <w:color w:val="auto"/>
        </w:rPr>
      </w:pPr>
    </w:p>
    <w:p w14:paraId="63FD4982">
      <w:pPr>
        <w:spacing w:beforeLines="50" w:line="440" w:lineRule="exact"/>
        <w:ind w:left="-103" w:leftChars="-49" w:firstLine="1169" w:firstLineChars="557"/>
        <w:rPr>
          <w:color w:val="auto"/>
        </w:rPr>
      </w:pPr>
    </w:p>
    <w:p w14:paraId="2FE954E3">
      <w:pPr>
        <w:spacing w:beforeLines="50" w:line="440" w:lineRule="exact"/>
        <w:ind w:left="-103" w:leftChars="-49" w:firstLine="1169" w:firstLineChars="557"/>
        <w:rPr>
          <w:color w:val="auto"/>
        </w:rPr>
      </w:pPr>
    </w:p>
    <w:p w14:paraId="3A78075D">
      <w:pPr>
        <w:spacing w:beforeLines="50" w:line="440" w:lineRule="exact"/>
        <w:ind w:left="-103" w:leftChars="-49" w:firstLine="1169" w:firstLineChars="557"/>
        <w:rPr>
          <w:color w:val="auto"/>
        </w:rPr>
      </w:pPr>
    </w:p>
    <w:p w14:paraId="3190A5C2">
      <w:pPr>
        <w:spacing w:beforeLines="50" w:line="440" w:lineRule="exact"/>
        <w:ind w:left="0" w:leftChars="0" w:firstLine="1050" w:firstLineChars="500"/>
        <w:rPr>
          <w:rFonts w:hint="eastAsia" w:eastAsia="宋体"/>
          <w:color w:val="auto"/>
          <w:szCs w:val="21"/>
          <w:lang w:eastAsia="zh-CN"/>
        </w:rPr>
      </w:pPr>
      <w:r>
        <w:rPr>
          <w:rFonts w:hint="eastAsia"/>
          <w:color w:val="auto"/>
          <w:szCs w:val="21"/>
        </w:rPr>
        <w:t>投标人</w:t>
      </w:r>
      <w:r>
        <w:rPr>
          <w:rFonts w:hint="eastAsia"/>
          <w:color w:val="auto"/>
          <w:szCs w:val="21"/>
          <w:lang w:eastAsia="zh-CN"/>
        </w:rPr>
        <w:t>:(</w:t>
      </w:r>
      <w:r>
        <w:rPr>
          <w:rFonts w:hint="eastAsia"/>
          <w:color w:val="auto"/>
          <w:szCs w:val="21"/>
        </w:rPr>
        <w:t>公章</w:t>
      </w:r>
      <w:r>
        <w:rPr>
          <w:rFonts w:hint="eastAsia"/>
          <w:color w:val="auto"/>
          <w:szCs w:val="21"/>
          <w:lang w:eastAsia="zh-CN"/>
        </w:rPr>
        <w:t>)</w:t>
      </w:r>
    </w:p>
    <w:p w14:paraId="0A7E40FD">
      <w:pPr>
        <w:spacing w:beforeLines="50" w:line="440" w:lineRule="exact"/>
        <w:ind w:left="0" w:leftChars="0" w:firstLine="1050" w:firstLineChars="500"/>
        <w:rPr>
          <w:rFonts w:hint="eastAsia" w:eastAsia="宋体"/>
          <w:color w:val="auto"/>
          <w:szCs w:val="21"/>
          <w:lang w:eastAsia="zh-CN"/>
        </w:rPr>
      </w:pPr>
      <w:r>
        <w:rPr>
          <w:color w:val="auto"/>
          <w:szCs w:val="21"/>
        </w:rPr>
        <w:t>法定代表人或其</w:t>
      </w:r>
      <w:r>
        <w:rPr>
          <w:rFonts w:hint="eastAsia"/>
          <w:color w:val="auto"/>
          <w:szCs w:val="21"/>
        </w:rPr>
        <w:t>委托代理人</w:t>
      </w:r>
      <w:r>
        <w:rPr>
          <w:rFonts w:hint="eastAsia"/>
          <w:color w:val="auto"/>
          <w:szCs w:val="21"/>
          <w:lang w:eastAsia="zh-CN"/>
        </w:rPr>
        <w:t>:(</w:t>
      </w:r>
      <w:r>
        <w:rPr>
          <w:rFonts w:hint="eastAsia"/>
          <w:color w:val="auto"/>
          <w:szCs w:val="21"/>
        </w:rPr>
        <w:t>签字或加盖人名章</w:t>
      </w:r>
      <w:r>
        <w:rPr>
          <w:rFonts w:hint="eastAsia"/>
          <w:color w:val="auto"/>
          <w:szCs w:val="21"/>
          <w:lang w:eastAsia="zh-CN"/>
        </w:rPr>
        <w:t>)</w:t>
      </w:r>
    </w:p>
    <w:p w14:paraId="71E73AC0">
      <w:pPr>
        <w:spacing w:beforeLines="50" w:line="440" w:lineRule="exact"/>
        <w:ind w:left="0" w:leftChars="0" w:firstLine="1050" w:firstLineChars="500"/>
        <w:rPr>
          <w:rFonts w:hint="eastAsia" w:eastAsia="宋体"/>
          <w:color w:val="auto"/>
          <w:szCs w:val="21"/>
          <w:lang w:eastAsia="zh-CN"/>
        </w:rPr>
      </w:pPr>
      <w:r>
        <w:rPr>
          <w:color w:val="auto"/>
          <w:szCs w:val="21"/>
        </w:rPr>
        <w:t>日期</w:t>
      </w:r>
      <w:r>
        <w:rPr>
          <w:rFonts w:hint="eastAsia"/>
          <w:color w:val="auto"/>
          <w:szCs w:val="21"/>
          <w:lang w:eastAsia="zh-CN"/>
        </w:rPr>
        <w:t>:</w:t>
      </w:r>
    </w:p>
    <w:p w14:paraId="031412C5">
      <w:pPr>
        <w:spacing w:beforeLines="50" w:line="440" w:lineRule="exact"/>
        <w:ind w:left="1105" w:leftChars="526" w:firstLine="15"/>
        <w:rPr>
          <w:color w:val="auto"/>
        </w:rPr>
      </w:pPr>
      <w:r>
        <w:rPr>
          <w:color w:val="auto"/>
        </w:rPr>
        <w:br w:type="page"/>
      </w:r>
    </w:p>
    <w:bookmarkEnd w:id="1414"/>
    <w:p w14:paraId="7B263B6E">
      <w:pPr>
        <w:spacing w:line="360" w:lineRule="auto"/>
        <w:outlineLvl w:val="1"/>
        <w:rPr>
          <w:rFonts w:hint="eastAsia" w:eastAsia="宋体"/>
          <w:b/>
          <w:color w:val="auto"/>
          <w:sz w:val="24"/>
          <w:lang w:eastAsia="zh-CN"/>
        </w:rPr>
      </w:pPr>
      <w:bookmarkStart w:id="1493" w:name="_Toc30278"/>
      <w:bookmarkStart w:id="1494" w:name="_Toc8992"/>
      <w:bookmarkStart w:id="1495" w:name="_Toc416103827"/>
      <w:bookmarkStart w:id="1496" w:name="_Toc22090"/>
      <w:r>
        <w:rPr>
          <w:rFonts w:hint="eastAsia"/>
          <w:b/>
          <w:color w:val="auto"/>
          <w:sz w:val="24"/>
        </w:rPr>
        <w:t>附件1</w:t>
      </w:r>
      <w:r>
        <w:rPr>
          <w:rFonts w:hint="eastAsia"/>
          <w:b/>
          <w:color w:val="auto"/>
          <w:sz w:val="24"/>
          <w:lang w:val="en-US" w:eastAsia="zh-CN"/>
        </w:rPr>
        <w:t>5</w:t>
      </w:r>
      <w:r>
        <w:rPr>
          <w:rFonts w:hint="eastAsia" w:ascii="宋体" w:hAnsi="宋体" w:eastAsia="宋体" w:cs="宋体"/>
          <w:b/>
          <w:color w:val="auto"/>
          <w:sz w:val="24"/>
        </w:rPr>
        <w:t xml:space="preserve"> </w:t>
      </w:r>
      <w:r>
        <w:rPr>
          <w:rFonts w:hint="eastAsia"/>
          <w:b/>
          <w:color w:val="auto"/>
          <w:sz w:val="24"/>
        </w:rPr>
        <w:t>投标人服务承诺</w:t>
      </w:r>
      <w:r>
        <w:rPr>
          <w:rFonts w:hint="eastAsia"/>
          <w:b/>
          <w:color w:val="auto"/>
          <w:sz w:val="24"/>
          <w:lang w:eastAsia="zh-CN"/>
        </w:rPr>
        <w:t>(</w:t>
      </w:r>
      <w:r>
        <w:rPr>
          <w:rFonts w:hint="eastAsia"/>
          <w:b/>
          <w:color w:val="auto"/>
          <w:sz w:val="24"/>
        </w:rPr>
        <w:t>如有</w:t>
      </w:r>
      <w:bookmarkEnd w:id="1493"/>
      <w:r>
        <w:rPr>
          <w:rFonts w:hint="eastAsia"/>
          <w:b/>
          <w:color w:val="auto"/>
          <w:sz w:val="24"/>
          <w:lang w:eastAsia="zh-CN"/>
        </w:rPr>
        <w:t>)</w:t>
      </w:r>
      <w:bookmarkEnd w:id="1494"/>
    </w:p>
    <w:p w14:paraId="260777BD">
      <w:pPr>
        <w:spacing w:line="360" w:lineRule="auto"/>
        <w:outlineLvl w:val="9"/>
        <w:rPr>
          <w:rFonts w:hint="eastAsia"/>
          <w:b/>
          <w:color w:val="auto"/>
          <w:sz w:val="24"/>
        </w:rPr>
      </w:pPr>
    </w:p>
    <w:p w14:paraId="3FF03383">
      <w:pPr>
        <w:spacing w:line="360" w:lineRule="auto"/>
        <w:outlineLvl w:val="9"/>
        <w:rPr>
          <w:rFonts w:hint="eastAsia"/>
          <w:b/>
          <w:color w:val="auto"/>
          <w:sz w:val="24"/>
        </w:rPr>
      </w:pPr>
    </w:p>
    <w:p w14:paraId="37F7AC9A">
      <w:pPr>
        <w:spacing w:line="360" w:lineRule="auto"/>
        <w:outlineLvl w:val="9"/>
        <w:rPr>
          <w:rFonts w:hint="eastAsia"/>
          <w:b/>
          <w:color w:val="auto"/>
          <w:sz w:val="24"/>
        </w:rPr>
      </w:pPr>
    </w:p>
    <w:p w14:paraId="7D6741D8">
      <w:pPr>
        <w:spacing w:line="360" w:lineRule="auto"/>
        <w:outlineLvl w:val="9"/>
        <w:rPr>
          <w:rFonts w:hint="eastAsia"/>
          <w:b/>
          <w:color w:val="auto"/>
          <w:sz w:val="24"/>
        </w:rPr>
      </w:pPr>
    </w:p>
    <w:p w14:paraId="1A91CEED">
      <w:pPr>
        <w:spacing w:line="360" w:lineRule="auto"/>
        <w:outlineLvl w:val="9"/>
        <w:rPr>
          <w:rFonts w:hint="eastAsia"/>
          <w:b/>
          <w:color w:val="auto"/>
          <w:sz w:val="24"/>
        </w:rPr>
      </w:pPr>
    </w:p>
    <w:p w14:paraId="37CB6F4D">
      <w:pPr>
        <w:spacing w:line="360" w:lineRule="auto"/>
        <w:outlineLvl w:val="9"/>
        <w:rPr>
          <w:rFonts w:hint="eastAsia"/>
          <w:b/>
          <w:color w:val="auto"/>
          <w:sz w:val="24"/>
        </w:rPr>
      </w:pPr>
    </w:p>
    <w:p w14:paraId="0861EF4A">
      <w:pPr>
        <w:spacing w:line="360" w:lineRule="auto"/>
        <w:outlineLvl w:val="9"/>
        <w:rPr>
          <w:rFonts w:hint="eastAsia"/>
          <w:b/>
          <w:color w:val="auto"/>
          <w:sz w:val="24"/>
        </w:rPr>
      </w:pPr>
    </w:p>
    <w:p w14:paraId="44844A39">
      <w:pPr>
        <w:spacing w:beforeLines="50" w:line="440" w:lineRule="exact"/>
        <w:rPr>
          <w:rFonts w:hint="eastAsia" w:eastAsia="宋体"/>
          <w:color w:val="auto"/>
          <w:lang w:eastAsia="zh-CN"/>
        </w:rPr>
      </w:pPr>
      <w:r>
        <w:rPr>
          <w:rFonts w:hint="eastAsia"/>
          <w:color w:val="auto"/>
        </w:rPr>
        <w:t>投标人</w:t>
      </w:r>
      <w:r>
        <w:rPr>
          <w:rFonts w:hint="eastAsia"/>
          <w:color w:val="auto"/>
          <w:lang w:eastAsia="zh-CN"/>
        </w:rPr>
        <w:t>:(</w:t>
      </w:r>
      <w:r>
        <w:rPr>
          <w:rFonts w:hint="eastAsia"/>
          <w:color w:val="auto"/>
        </w:rPr>
        <w:t>公章</w:t>
      </w:r>
      <w:r>
        <w:rPr>
          <w:rFonts w:hint="eastAsia"/>
          <w:color w:val="auto"/>
          <w:lang w:eastAsia="zh-CN"/>
        </w:rPr>
        <w:t>)</w:t>
      </w:r>
    </w:p>
    <w:p w14:paraId="78E75B80">
      <w:pPr>
        <w:spacing w:beforeLines="50" w:line="440" w:lineRule="exact"/>
        <w:rPr>
          <w:rFonts w:hint="eastAsia" w:eastAsia="宋体"/>
          <w:color w:val="auto"/>
          <w:lang w:eastAsia="zh-CN"/>
        </w:rPr>
      </w:pPr>
      <w:r>
        <w:rPr>
          <w:color w:val="auto"/>
        </w:rPr>
        <w:t>法定代表人或其</w:t>
      </w:r>
      <w:r>
        <w:rPr>
          <w:rFonts w:hint="eastAsia"/>
          <w:color w:val="auto"/>
        </w:rPr>
        <w:t>委托代理人</w:t>
      </w:r>
      <w:r>
        <w:rPr>
          <w:rFonts w:hint="eastAsia"/>
          <w:color w:val="auto"/>
          <w:lang w:eastAsia="zh-CN"/>
        </w:rPr>
        <w:t>:(</w:t>
      </w:r>
      <w:r>
        <w:rPr>
          <w:rFonts w:hint="eastAsia"/>
          <w:color w:val="auto"/>
        </w:rPr>
        <w:t>签字或加盖人名章</w:t>
      </w:r>
      <w:r>
        <w:rPr>
          <w:rFonts w:hint="eastAsia"/>
          <w:color w:val="auto"/>
          <w:lang w:eastAsia="zh-CN"/>
        </w:rPr>
        <w:t>)</w:t>
      </w:r>
    </w:p>
    <w:p w14:paraId="06A088B6">
      <w:pPr>
        <w:spacing w:beforeLines="50" w:line="440" w:lineRule="exact"/>
        <w:outlineLvl w:val="9"/>
        <w:rPr>
          <w:b/>
          <w:color w:val="auto"/>
          <w:sz w:val="24"/>
        </w:rPr>
      </w:pPr>
      <w:r>
        <w:rPr>
          <w:color w:val="auto"/>
        </w:rPr>
        <w:t>日期</w:t>
      </w:r>
      <w:r>
        <w:rPr>
          <w:rFonts w:hint="eastAsia"/>
          <w:color w:val="auto"/>
          <w:lang w:eastAsia="zh-CN"/>
        </w:rPr>
        <w:t>:</w:t>
      </w:r>
      <w:r>
        <w:rPr>
          <w:rFonts w:hint="eastAsia"/>
          <w:b w:val="0"/>
          <w:color w:val="auto"/>
          <w:sz w:val="21"/>
        </w:rPr>
        <w:br w:type="page"/>
      </w:r>
      <w:bookmarkEnd w:id="1495"/>
      <w:bookmarkEnd w:id="1496"/>
    </w:p>
    <w:p w14:paraId="44C92ECD">
      <w:pPr>
        <w:spacing w:line="360" w:lineRule="auto"/>
        <w:jc w:val="center"/>
        <w:outlineLvl w:val="0"/>
        <w:rPr>
          <w:rFonts w:hint="eastAsia"/>
          <w:b/>
          <w:color w:val="auto"/>
          <w:sz w:val="32"/>
          <w:szCs w:val="32"/>
        </w:rPr>
      </w:pPr>
      <w:bookmarkStart w:id="1497" w:name="_Toc6081"/>
      <w:bookmarkStart w:id="1498" w:name="_Toc20074"/>
      <w:r>
        <w:rPr>
          <w:rFonts w:hint="eastAsia"/>
          <w:color w:val="auto"/>
          <w:sz w:val="32"/>
          <w:szCs w:val="32"/>
          <w:lang w:val="en-US" w:eastAsia="zh-CN"/>
        </w:rPr>
        <w:t>第七章 其它</w:t>
      </w:r>
      <w:bookmarkEnd w:id="1497"/>
      <w:bookmarkEnd w:id="1498"/>
    </w:p>
    <w:p w14:paraId="4681B162">
      <w:pPr>
        <w:snapToGrid w:val="0"/>
        <w:spacing w:afterLines="50"/>
        <w:rPr>
          <w:color w:val="auto"/>
        </w:rPr>
      </w:pPr>
    </w:p>
    <w:p w14:paraId="4CE53E65">
      <w:pPr>
        <w:jc w:val="center"/>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质疑函范本</w:t>
      </w:r>
    </w:p>
    <w:p w14:paraId="510BF9C6">
      <w:pPr>
        <w:adjustRightInd w:val="0"/>
        <w:snapToGrid w:val="0"/>
        <w:spacing w:beforeLines="100"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一、质疑供应商基本信息</w:t>
      </w:r>
    </w:p>
    <w:p w14:paraId="35B319FB">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质疑供应商</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948331F">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邮编</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B57B98F">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联系人</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联系电话</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05BAA40E">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授权代表</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726D3D6D">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 xml:space="preserve"> </w:t>
      </w:r>
    </w:p>
    <w:p w14:paraId="4B0A531B">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邮编</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418AC5F">
      <w:pPr>
        <w:adjustRightInd w:val="0"/>
        <w:snapToGrid w:val="0"/>
        <w:spacing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二、质疑项目基本情况</w:t>
      </w:r>
    </w:p>
    <w:p w14:paraId="537C1452">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质疑项目的名称</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53314C4E">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质疑项目的编号</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r>
        <w:rPr>
          <w:rFonts w:hint="eastAsia" w:ascii="宋体" w:hAnsi="宋体" w:eastAsia="宋体" w:cs="宋体"/>
          <w:color w:val="auto"/>
          <w:sz w:val="24"/>
          <w:szCs w:val="24"/>
        </w:rPr>
        <w:t>包号</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394D512C">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采购人名称</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72CAE43A">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采购文件获取日期</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53DB0C4">
      <w:pPr>
        <w:adjustRightInd w:val="0"/>
        <w:snapToGrid w:val="0"/>
        <w:spacing w:line="360" w:lineRule="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三、质疑事项具体内容</w:t>
      </w:r>
    </w:p>
    <w:p w14:paraId="135DD489">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质疑事项1</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636438AE">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事实依据</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132A2693">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dotted"/>
        </w:rPr>
        <w:t xml:space="preserve">                                                       </w:t>
      </w:r>
    </w:p>
    <w:p w14:paraId="591F6862">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法律依据</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65C58CAC">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u w:val="dotted"/>
        </w:rPr>
        <w:t xml:space="preserve">                                                     </w:t>
      </w:r>
    </w:p>
    <w:p w14:paraId="0E7755AB">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质疑事项2</w:t>
      </w:r>
    </w:p>
    <w:p w14:paraId="5666FEFD">
      <w:pPr>
        <w:adjustRightInd w:val="0"/>
        <w:snapToGrid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ABC7855">
      <w:pPr>
        <w:snapToGrid w:val="0"/>
        <w:spacing w:afterLines="50"/>
        <w:outlineLvl w:val="9"/>
        <w:rPr>
          <w:rFonts w:hint="eastAsia" w:ascii="宋体" w:hAnsi="宋体" w:cs="宋体"/>
          <w:color w:val="auto"/>
          <w:sz w:val="24"/>
        </w:rPr>
      </w:pPr>
      <w:r>
        <w:rPr>
          <w:rFonts w:hint="eastAsia" w:ascii="宋体" w:hAnsi="宋体" w:eastAsia="宋体" w:cs="宋体"/>
          <w:bCs w:val="0"/>
          <w:color w:val="auto"/>
          <w:sz w:val="24"/>
          <w:szCs w:val="24"/>
        </w:rPr>
        <w:t>四、与质疑事项相关的质疑请求</w:t>
      </w:r>
    </w:p>
    <w:p w14:paraId="29F7B676">
      <w:pPr>
        <w:adjustRightInd w:val="0"/>
        <w:snapToGrid w:val="0"/>
        <w:spacing w:line="360" w:lineRule="auto"/>
        <w:rPr>
          <w:rFonts w:hint="eastAsia" w:ascii="宋体" w:hAnsi="宋体" w:eastAsia="宋体" w:cs="宋体"/>
          <w:color w:val="auto"/>
          <w:sz w:val="24"/>
          <w:szCs w:val="24"/>
          <w:u w:val="dotted"/>
        </w:rPr>
      </w:pPr>
      <w:r>
        <w:rPr>
          <w:rFonts w:hint="eastAsia" w:ascii="宋体" w:hAnsi="宋体" w:eastAsia="宋体" w:cs="宋体"/>
          <w:color w:val="auto"/>
          <w:sz w:val="24"/>
          <w:szCs w:val="24"/>
        </w:rPr>
        <w:t>请求</w:t>
      </w:r>
      <w:r>
        <w:rPr>
          <w:rFonts w:hint="eastAsia" w:ascii="宋体" w:hAnsi="宋体" w:cs="宋体"/>
          <w:color w:val="auto"/>
          <w:sz w:val="24"/>
          <w:szCs w:val="24"/>
          <w:lang w:eastAsia="zh-CN"/>
        </w:rPr>
        <w:t>:</w:t>
      </w:r>
      <w:r>
        <w:rPr>
          <w:rFonts w:hint="eastAsia" w:ascii="宋体" w:hAnsi="宋体" w:eastAsia="宋体" w:cs="宋体"/>
          <w:color w:val="auto"/>
          <w:sz w:val="24"/>
          <w:szCs w:val="24"/>
          <w:u w:val="dotted"/>
        </w:rPr>
        <w:t xml:space="preserve">                                               </w:t>
      </w:r>
    </w:p>
    <w:p w14:paraId="556B37EE">
      <w:pPr>
        <w:rPr>
          <w:rFonts w:hint="eastAsia" w:ascii="宋体" w:hAnsi="宋体" w:eastAsia="宋体" w:cs="宋体"/>
          <w:color w:val="auto"/>
          <w:sz w:val="24"/>
          <w:szCs w:val="24"/>
        </w:rPr>
      </w:pPr>
      <w:r>
        <w:rPr>
          <w:rFonts w:hint="eastAsia" w:ascii="宋体" w:hAnsi="宋体" w:eastAsia="宋体" w:cs="宋体"/>
          <w:color w:val="auto"/>
          <w:sz w:val="24"/>
          <w:szCs w:val="24"/>
        </w:rPr>
        <w:t>签字(签章)</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公章</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p>
    <w:p w14:paraId="2249EFAE">
      <w:pPr>
        <w:rPr>
          <w:rFonts w:hint="eastAsia" w:ascii="宋体" w:hAnsi="宋体" w:eastAsia="宋体" w:cs="宋体"/>
          <w:color w:val="auto"/>
          <w:sz w:val="24"/>
          <w:szCs w:val="24"/>
        </w:rPr>
      </w:pPr>
      <w:r>
        <w:rPr>
          <w:rFonts w:hint="eastAsia" w:ascii="宋体" w:hAnsi="宋体" w:eastAsia="宋体" w:cs="宋体"/>
          <w:color w:val="auto"/>
          <w:sz w:val="24"/>
          <w:szCs w:val="24"/>
        </w:rPr>
        <w:t>日期</w:t>
      </w:r>
      <w:r>
        <w:rPr>
          <w:rFonts w:hint="eastAsia" w:ascii="宋体" w:hAnsi="宋体" w:cs="宋体"/>
          <w:color w:val="auto"/>
          <w:sz w:val="24"/>
          <w:szCs w:val="24"/>
          <w:lang w:eastAsia="zh-CN"/>
        </w:rPr>
        <w:t>:</w:t>
      </w:r>
      <w:r>
        <w:rPr>
          <w:rFonts w:hint="eastAsia" w:ascii="宋体" w:hAnsi="宋体" w:eastAsia="宋体" w:cs="宋体"/>
          <w:color w:val="auto"/>
          <w:sz w:val="24"/>
          <w:szCs w:val="24"/>
        </w:rPr>
        <w:t xml:space="preserve">    </w:t>
      </w:r>
    </w:p>
    <w:p w14:paraId="7D91087A">
      <w:pPr>
        <w:adjustRightInd w:val="0"/>
        <w:snapToGrid w:val="0"/>
        <w:spacing w:line="360" w:lineRule="auto"/>
        <w:rPr>
          <w:rFonts w:hint="eastAsia" w:ascii="宋体" w:hAnsi="宋体" w:eastAsia="宋体" w:cs="宋体"/>
          <w:color w:val="auto"/>
          <w:sz w:val="24"/>
          <w:szCs w:val="24"/>
        </w:rPr>
      </w:pPr>
    </w:p>
    <w:p w14:paraId="3444DFA9">
      <w:pPr>
        <w:rPr>
          <w:rFonts w:hint="eastAsia" w:ascii="宋体" w:hAnsi="宋体" w:eastAsia="宋体" w:cs="宋体"/>
          <w:b w:val="0"/>
          <w:color w:val="auto"/>
          <w:sz w:val="24"/>
          <w:szCs w:val="24"/>
          <w:lang w:eastAsia="zh-CN"/>
        </w:rPr>
      </w:pPr>
      <w:r>
        <w:rPr>
          <w:rFonts w:hint="eastAsia" w:ascii="宋体" w:hAnsi="宋体" w:cs="宋体"/>
          <w:color w:val="auto"/>
          <w:sz w:val="24"/>
        </w:rPr>
        <w:br w:type="page"/>
      </w:r>
      <w:r>
        <w:rPr>
          <w:rFonts w:hint="eastAsia" w:ascii="宋体" w:hAnsi="宋体" w:eastAsia="宋体" w:cs="宋体"/>
          <w:b w:val="0"/>
          <w:color w:val="auto"/>
          <w:sz w:val="24"/>
          <w:szCs w:val="24"/>
        </w:rPr>
        <w:t>质疑函制作说明</w:t>
      </w:r>
      <w:r>
        <w:rPr>
          <w:rFonts w:hint="eastAsia" w:ascii="宋体" w:hAnsi="宋体" w:cs="宋体"/>
          <w:b w:val="0"/>
          <w:color w:val="auto"/>
          <w:sz w:val="24"/>
          <w:szCs w:val="24"/>
          <w:lang w:eastAsia="zh-CN"/>
        </w:rPr>
        <w:t>:</w:t>
      </w:r>
    </w:p>
    <w:p w14:paraId="197B6FC4">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1.供应商提出质疑时，应提交质疑函和必要的证明材料。</w:t>
      </w:r>
    </w:p>
    <w:p w14:paraId="6A3D4AB4">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rPr>
        <w:t>供应商签署的授权委托书。授权委托书应载明代理人的姓名或者名称、代理事项、具体权限、期限和相关事项。</w:t>
      </w:r>
    </w:p>
    <w:p w14:paraId="68B9AEA4">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3.质疑供应商若对项目的某一分包进行质疑，质疑函中应列明具体分包号。</w:t>
      </w:r>
    </w:p>
    <w:p w14:paraId="09EF08F6">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4.质疑函的质疑事项应具体、明确，并有必要的事实依据和法律依据。</w:t>
      </w:r>
    </w:p>
    <w:p w14:paraId="6A614B2A">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5.质疑函的质疑请求应与质疑事项相关。</w:t>
      </w:r>
    </w:p>
    <w:p w14:paraId="3A001541">
      <w:pPr>
        <w:widowControl/>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6.质疑供应商为自然人的，质疑函应由本人签字；质疑供应商为法人或者其他组织的，质疑函应由法定代表人、主要负责人，或者其授权代表签字或者盖章，并加盖公章。</w:t>
      </w:r>
    </w:p>
    <w:p w14:paraId="0610706F">
      <w:pPr>
        <w:widowControl/>
        <w:ind w:firstLine="480" w:firstLineChars="200"/>
        <w:jc w:val="left"/>
        <w:rPr>
          <w:rFonts w:ascii="仿宋_GB2312" w:eastAsia="仿宋_GB2312"/>
          <w:color w:val="auto"/>
          <w:sz w:val="24"/>
          <w:szCs w:val="24"/>
        </w:rPr>
      </w:pPr>
    </w:p>
    <w:p w14:paraId="4E0808D9">
      <w:pPr>
        <w:snapToGrid w:val="0"/>
        <w:spacing w:afterLines="50"/>
        <w:rPr>
          <w:color w:val="auto"/>
          <w:sz w:val="24"/>
        </w:rPr>
      </w:pPr>
    </w:p>
    <w:p w14:paraId="5D6A4FE9">
      <w:pPr>
        <w:snapToGrid w:val="0"/>
        <w:spacing w:afterLines="50"/>
        <w:rPr>
          <w:color w:val="auto"/>
        </w:rPr>
      </w:pPr>
    </w:p>
    <w:sectPr>
      <w:headerReference r:id="rId16" w:type="default"/>
      <w:footerReference r:id="rId17" w:type="default"/>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4F66E1-E272-45AF-BD3B-6C7DDA56104D}"/>
  </w:font>
  <w:font w:name="黑体">
    <w:panose1 w:val="02010609060101010101"/>
    <w:charset w:val="86"/>
    <w:family w:val="auto"/>
    <w:pitch w:val="default"/>
    <w:sig w:usb0="800002BF" w:usb1="38CF7CFA" w:usb2="00000016" w:usb3="00000000" w:csb0="00040001" w:csb1="00000000"/>
    <w:embedRegular r:id="rId2" w:fontKey="{5BF77725-C713-4556-8719-462E81B2F3A3}"/>
  </w:font>
  <w:font w:name="Courier New">
    <w:panose1 w:val="02070309020205020404"/>
    <w:charset w:val="01"/>
    <w:family w:val="modern"/>
    <w:pitch w:val="default"/>
    <w:sig w:usb0="E0002EFF" w:usb1="C0007843" w:usb2="00000009" w:usb3="00000000" w:csb0="400001FF" w:csb1="FFFF0000"/>
    <w:embedRegular r:id="rId3" w:fontKey="{E3F9CB55-1576-450C-A4E7-7905A1ED19D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89B4E84-703A-486D-9B8B-5FAFAA46197B}"/>
  </w:font>
  <w:font w:name="Cambria">
    <w:panose1 w:val="02040503050406030204"/>
    <w:charset w:val="00"/>
    <w:family w:val="moder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embedRegular r:id="rId5" w:fontKey="{5B950E9C-8BE7-42B4-A417-43C4FDAF37E8}"/>
  </w:font>
  <w:font w:name="仿宋_GB2312">
    <w:panose1 w:val="02010609030101010101"/>
    <w:charset w:val="86"/>
    <w:family w:val="auto"/>
    <w:pitch w:val="default"/>
    <w:sig w:usb0="00000001" w:usb1="080E0000" w:usb2="00000000" w:usb3="00000000" w:csb0="00040000" w:csb1="00000000"/>
    <w:embedRegular r:id="rId6" w:fontKey="{3F004125-2FA2-4EE9-AAE6-B81AFAC5C447}"/>
  </w:font>
  <w:font w:name="Arial Unicode MS">
    <w:altName w:val="宋体"/>
    <w:panose1 w:val="020B0604020202020204"/>
    <w:charset w:val="86"/>
    <w:family w:val="auto"/>
    <w:pitch w:val="default"/>
    <w:sig w:usb0="00000000" w:usb1="00000000" w:usb2="0000003F" w:usb3="00000000" w:csb0="603F01FF" w:csb1="FFFF0000"/>
  </w:font>
  <w:font w:name="Univers">
    <w:altName w:val="Arial"/>
    <w:panose1 w:val="00000000000000000000"/>
    <w:charset w:val="00"/>
    <w:family w:val="auto"/>
    <w:pitch w:val="default"/>
    <w:sig w:usb0="00000000" w:usb1="00000000" w:usb2="00000000" w:usb3="00000000" w:csb0="00000093" w:csb1="00000000"/>
  </w:font>
  <w:font w:name="Tahoma">
    <w:panose1 w:val="020B0604030504040204"/>
    <w:charset w:val="00"/>
    <w:family w:val="auto"/>
    <w:pitch w:val="default"/>
    <w:sig w:usb0="E1002EFF" w:usb1="C000605B" w:usb2="00000029" w:usb3="00000000" w:csb0="200101FF" w:csb1="20280000"/>
  </w:font>
  <w:font w:name="Tms Rmn">
    <w:altName w:val="Segoe Print"/>
    <w:panose1 w:val="020206030405050203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auto"/>
    <w:pitch w:val="default"/>
    <w:sig w:usb0="A00006FF" w:usb1="4000205B" w:usb2="00000010" w:usb3="00000000" w:csb0="2000019F" w:csb1="00000000"/>
  </w:font>
  <w:font w:name="MS Gothic">
    <w:panose1 w:val="020B0609070205080204"/>
    <w:charset w:val="80"/>
    <w:family w:val="auto"/>
    <w:pitch w:val="default"/>
    <w:sig w:usb0="E00002FF" w:usb1="6AC7FDFB" w:usb2="08000012" w:usb3="00000000" w:csb0="4002009F" w:csb1="DFD70000"/>
  </w:font>
  <w:font w:name="Century">
    <w:altName w:val="Times New Roman"/>
    <w:panose1 w:val="02040604050505020304"/>
    <w:charset w:val="00"/>
    <w:family w:val="auto"/>
    <w:pitch w:val="default"/>
    <w:sig w:usb0="00000000" w:usb1="00000000" w:usb2="00000000" w:usb3="00000000" w:csb0="2000009F" w:csb1="DFD70000"/>
  </w:font>
  <w:font w:name="微软雅黑">
    <w:panose1 w:val="020B0503020204020204"/>
    <w:charset w:val="86"/>
    <w:family w:val="auto"/>
    <w:pitch w:val="default"/>
    <w:sig w:usb0="80000287" w:usb1="2ACF3C50" w:usb2="00000016" w:usb3="00000000" w:csb0="0004001F" w:csb1="00000000"/>
    <w:embedRegular r:id="rId7" w:fontKey="{BB316948-7632-4891-8228-0703D3071519}"/>
  </w:font>
  <w:font w:name="方正小标宋简体">
    <w:panose1 w:val="02000000000000000000"/>
    <w:charset w:val="86"/>
    <w:family w:val="script"/>
    <w:pitch w:val="default"/>
    <w:sig w:usb0="00000001" w:usb1="080E0000" w:usb2="00000000" w:usb3="00000000" w:csb0="00040000" w:csb1="00000000"/>
    <w:embedRegular r:id="rId8" w:fontKey="{48E02438-31F4-4277-A8AF-F71C04A80419}"/>
  </w:font>
  <w:font w:name="仿宋">
    <w:panose1 w:val="02010609060101010101"/>
    <w:charset w:val="86"/>
    <w:family w:val="auto"/>
    <w:pitch w:val="default"/>
    <w:sig w:usb0="800002BF" w:usb1="38CF7CFA" w:usb2="00000016" w:usb3="00000000" w:csb0="00040001" w:csb1="00000000"/>
    <w:embedRegular r:id="rId9" w:fontKey="{675EB8BB-BE96-46D5-A1CB-2F0F6B761AC9}"/>
  </w:font>
  <w:font w:name="Microsoft YaHei UI">
    <w:panose1 w:val="020B0503020204020204"/>
    <w:charset w:val="86"/>
    <w:family w:val="auto"/>
    <w:pitch w:val="default"/>
    <w:sig w:usb0="80000287" w:usb1="2ACF3C50" w:usb2="00000016" w:usb3="00000000" w:csb0="0004001F" w:csb1="00000000"/>
    <w:embedRegular r:id="rId10" w:fontKey="{65D8897C-CF7C-41D9-99EF-CD7863684091}"/>
  </w:font>
  <w:font w:name="TimesNewRomanPSMT">
    <w:altName w:val="宋体"/>
    <w:panose1 w:val="00000000000000000000"/>
    <w:charset w:val="00"/>
    <w:family w:val="auto"/>
    <w:pitch w:val="default"/>
    <w:sig w:usb0="00000000" w:usb1="00000000" w:usb2="00000010" w:usb3="00000000" w:csb0="00040001" w:csb1="00000000"/>
    <w:embedRegular r:id="rId11" w:fontKey="{7B48A759-4EB9-424C-9CC5-F7F8473F97EC}"/>
  </w:font>
  <w:font w:name="方正楷体简体">
    <w:altName w:val="宋体"/>
    <w:panose1 w:val="00000000000000000000"/>
    <w:charset w:val="86"/>
    <w:family w:val="auto"/>
    <w:pitch w:val="default"/>
    <w:sig w:usb0="00000000" w:usb1="00000000" w:usb2="00000010" w:usb3="00000000" w:csb0="00040000" w:csb1="00000000"/>
    <w:embedRegular r:id="rId12" w:fontKey="{2F6442C0-6001-4280-BDC9-AE631DFB2B85}"/>
  </w:font>
  <w:font w:name="华文中宋">
    <w:altName w:val="宋体"/>
    <w:panose1 w:val="02010600040101010101"/>
    <w:charset w:val="86"/>
    <w:family w:val="auto"/>
    <w:pitch w:val="default"/>
    <w:sig w:usb0="00000000" w:usb1="00000000" w:usb2="00000000" w:usb3="00000000" w:csb0="0004009F" w:csb1="DFD70000"/>
    <w:embedRegular r:id="rId13" w:fontKey="{E4577C91-5845-49AA-B0B6-346126FB5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D69B1">
    <w:pPr>
      <w:widowControl w:val="0"/>
      <w:snapToGrid w:val="0"/>
      <w:spacing w:after="0" w:line="240" w:lineRule="auto"/>
      <w:jc w:val="left"/>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19C58">
    <w:pPr>
      <w:pStyle w:val="30"/>
      <w:rPr>
        <w:rFonts w:hint="eastAsia" w:eastAsia="宋体"/>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D97F0">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E2E6F">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26KMsBAACcAwAADgAAAGRycy9lMm9Eb2MueG1srVNLbtswEN0XyB0I&#10;7mPKLlA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JZYbHPj5+7fzj1/nn1/J&#10;snhbJoV6DxUmPnlMjcOdG1L25Ad0JuJDG0z6IiWCcdT3dNFXDpGI9KhclWWBIYGx+YI47Pm5DxDf&#10;S2dIMmoacIBZV358hDimzimpmnX3Smv080rbvxyImTws9T72mKw47Iap8Z1rTsinx9nX1OKqU6If&#10;LEqb1mQ2wmzsZuPgg9p3eY9SPfC3h4hN5N5ShRF2KoxDy+ymBUtb8ec9Zz3/V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SNuijLAQAAnAMAAA4AAAAAAAAAAQAgAAAAHgEAAGRycy9lMm9E&#10;b2MueG1sUEsFBgAAAAAGAAYAWQEAAFsFAAAAAA==&#10;">
              <v:fill on="f" focussize="0,0"/>
              <v:stroke on="f"/>
              <v:imagedata o:title=""/>
              <o:lock v:ext="edit" aspectratio="f"/>
              <v:textbox inset="0mm,0mm,0mm,0mm" style="mso-fit-shape-to-text:t;">
                <w:txbxContent>
                  <w:p w14:paraId="22CE2E6F">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50615">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rFonts w:ascii="Times New Roman" w:hAnsi="Times New Roman" w:eastAsia="Times New Roman" w:cs="Times New Roman"/>
        <w:color w:val="000000"/>
        <w:sz w:val="18"/>
        <w:szCs w:val="24"/>
        <w:lang w:val="en-US" w:eastAsia="en-US" w:bidi="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34928">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rFonts w:ascii="Times New Roman" w:hAnsi="Times New Roman" w:eastAsia="Times New Roman" w:cs="Times New Roman"/>
                              <w:color w:val="000000"/>
                              <w:sz w:val="18"/>
                              <w:szCs w:val="24"/>
                              <w:lang w:val="en-US" w:eastAsia="en-US" w:bidi="en-US"/>
                            </w:rPr>
                            <w:fldChar w:fldCharType="begin"/>
                          </w:r>
                          <w:r>
                            <w:rPr>
                              <w:rFonts w:ascii="Times New Roman" w:hAnsi="Times New Roman" w:eastAsia="Times New Roman" w:cs="Times New Roman"/>
                              <w:color w:val="000000"/>
                              <w:sz w:val="18"/>
                              <w:szCs w:val="24"/>
                              <w:lang w:val="en-US" w:eastAsia="en-US" w:bidi="en-US"/>
                            </w:rPr>
                            <w:instrText xml:space="preserve"> PAGE  \* MERGEFORMAT </w:instrText>
                          </w:r>
                          <w:r>
                            <w:rPr>
                              <w:rFonts w:ascii="Times New Roman" w:hAnsi="Times New Roman" w:eastAsia="Times New Roman" w:cs="Times New Roman"/>
                              <w:color w:val="000000"/>
                              <w:sz w:val="18"/>
                              <w:szCs w:val="24"/>
                              <w:lang w:val="en-US" w:eastAsia="en-US" w:bidi="en-US"/>
                            </w:rPr>
                            <w:fldChar w:fldCharType="separate"/>
                          </w:r>
                          <w:r>
                            <w:rPr>
                              <w:rFonts w:ascii="Times New Roman" w:hAnsi="Times New Roman" w:eastAsia="Times New Roman" w:cs="Times New Roman"/>
                              <w:color w:val="000000"/>
                              <w:sz w:val="18"/>
                              <w:szCs w:val="24"/>
                              <w:lang w:val="en-US" w:eastAsia="en-US" w:bidi="en-US"/>
                            </w:rPr>
                            <w:t>1</w:t>
                          </w:r>
                          <w:r>
                            <w:rPr>
                              <w:rFonts w:ascii="Times New Roman" w:hAnsi="Times New Roman" w:eastAsia="Times New Roman" w:cs="Times New Roman"/>
                              <w:color w:val="000000"/>
                              <w:sz w:val="18"/>
                              <w:szCs w:val="24"/>
                              <w:lang w:val="en-US" w:eastAsia="en-US" w:bidi="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71334928">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r>
                      <w:rPr>
                        <w:rFonts w:ascii="Times New Roman" w:hAnsi="Times New Roman" w:eastAsia="Times New Roman" w:cs="Times New Roman"/>
                        <w:color w:val="000000"/>
                        <w:sz w:val="18"/>
                        <w:szCs w:val="24"/>
                        <w:lang w:val="en-US" w:eastAsia="en-US" w:bidi="en-US"/>
                      </w:rPr>
                      <w:fldChar w:fldCharType="begin"/>
                    </w:r>
                    <w:r>
                      <w:rPr>
                        <w:rFonts w:ascii="Times New Roman" w:hAnsi="Times New Roman" w:eastAsia="Times New Roman" w:cs="Times New Roman"/>
                        <w:color w:val="000000"/>
                        <w:sz w:val="18"/>
                        <w:szCs w:val="24"/>
                        <w:lang w:val="en-US" w:eastAsia="en-US" w:bidi="en-US"/>
                      </w:rPr>
                      <w:instrText xml:space="preserve"> PAGE  \* MERGEFORMAT </w:instrText>
                    </w:r>
                    <w:r>
                      <w:rPr>
                        <w:rFonts w:ascii="Times New Roman" w:hAnsi="Times New Roman" w:eastAsia="Times New Roman" w:cs="Times New Roman"/>
                        <w:color w:val="000000"/>
                        <w:sz w:val="18"/>
                        <w:szCs w:val="24"/>
                        <w:lang w:val="en-US" w:eastAsia="en-US" w:bidi="en-US"/>
                      </w:rPr>
                      <w:fldChar w:fldCharType="separate"/>
                    </w:r>
                    <w:r>
                      <w:rPr>
                        <w:rFonts w:ascii="Times New Roman" w:hAnsi="Times New Roman" w:eastAsia="Times New Roman" w:cs="Times New Roman"/>
                        <w:color w:val="000000"/>
                        <w:sz w:val="18"/>
                        <w:szCs w:val="24"/>
                        <w:lang w:val="en-US" w:eastAsia="en-US" w:bidi="en-US"/>
                      </w:rPr>
                      <w:t>1</w:t>
                    </w:r>
                    <w:r>
                      <w:rPr>
                        <w:rFonts w:ascii="Times New Roman" w:hAnsi="Times New Roman" w:eastAsia="Times New Roman" w:cs="Times New Roman"/>
                        <w:color w:val="000000"/>
                        <w:sz w:val="18"/>
                        <w:szCs w:val="24"/>
                        <w:lang w:val="en-US" w:eastAsia="en-US" w:bidi="en-US"/>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2DA31">
    <w:pPr>
      <w:pStyle w:val="30"/>
      <w:ind w:firstLine="90" w:firstLineChars="5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24D5D7">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WsoBAACc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IoSxy0O/PL92+XHr8vPr2RZ&#10;vV5mhfoANSY+BExNw50fcG9mP6AzEx9UtPmLlAjGUd/zVV85JCLyo/Vqva4wJDA2XxCfPT4PEdJb&#10;6S3JRkMjDrDoyk/vIY2pc0qu5vy9NqYM0bi/HIiZPSz3PvaYrTTsh4nQ3rdn5NPj7BvqcNUpMe8c&#10;SpvXZDbibOxn4xiiPnRlj3I9CLfHhE2U3nKFEXYqjEMr7KYFy1vx571kPf5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J+WsoBAACcAwAADgAAAAAAAAABACAAAAAeAQAAZHJzL2Uyb0Rv&#10;Yy54bWxQSwUGAAAAAAYABgBZAQAAWgUAAAAA&#10;">
              <v:fill on="f" focussize="0,0"/>
              <v:stroke on="f"/>
              <v:imagedata o:title=""/>
              <o:lock v:ext="edit" aspectratio="f"/>
              <v:textbox inset="0mm,0mm,0mm,0mm" style="mso-fit-shape-to-text:t;">
                <w:txbxContent>
                  <w:p w14:paraId="4424D5D7">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5BA04">
    <w:pPr>
      <w:pStyle w:val="30"/>
      <w:ind w:firstLine="90" w:firstLineChars="5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412DB">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VD2soBAACc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r1Z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ZVD2soBAACcAwAADgAAAAAAAAABACAAAAAeAQAAZHJzL2Uyb0Rv&#10;Yy54bWxQSwUGAAAAAAYABgBZAQAAWgUAAAAA&#10;">
              <v:fill on="f" focussize="0,0"/>
              <v:stroke on="f"/>
              <v:imagedata o:title=""/>
              <o:lock v:ext="edit" aspectratio="f"/>
              <v:textbox inset="0mm,0mm,0mm,0mm" style="mso-fit-shape-to-text:t;">
                <w:txbxContent>
                  <w:p w14:paraId="7CB412DB">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62</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CBD2">
    <w:pPr>
      <w:pStyle w:val="30"/>
      <w:ind w:firstLine="90" w:firstLineChars="5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32B6EE">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4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yaLNssBAACcAwAADgAAAGRycy9lMm9Eb2MueG1srVPNjtMwEL4j8Q6W&#10;79RpWa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1lW&#10;Ny+zQn2AGhPvA6am4Y0fcG9mP6AzEx9UtPmLlAjGUd/zVV85JCLyo/Vqva4wJDA2XxCfPTwPEdJb&#10;6S3JRkMjDrDoyk/vIY2pc0qu5vydNqYM0bi/HIiZPSz3PvaYrTTsh4nQ3rdn5NPj7BvqcNUpMe8c&#10;SpvXZDbibOxn4xiiPnRlj3I9CK+P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MmizbLAQAAnAMAAA4AAAAAAAAAAQAgAAAAHgEAAGRycy9lMm9E&#10;b2MueG1sUEsFBgAAAAAGAAYAWQEAAFsFAAAAAA==&#10;">
              <v:fill on="f" focussize="0,0"/>
              <v:stroke on="f"/>
              <v:imagedata o:title=""/>
              <o:lock v:ext="edit" aspectratio="f"/>
              <v:textbox inset="0mm,0mm,0mm,0mm" style="mso-fit-shape-to-text:t;">
                <w:txbxContent>
                  <w:p w14:paraId="4B32B6EE">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DCF6">
    <w:pPr>
      <w:widowControl w:val="0"/>
      <w:pBdr>
        <w:bottom w:val="none" w:color="auto" w:sz="0" w:space="1"/>
      </w:pBdr>
      <w:snapToGrid w:val="0"/>
      <w:spacing w:after="0" w:line="240" w:lineRule="auto"/>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drawing>
        <wp:inline distT="0" distB="0" distL="114300" distR="114300">
          <wp:extent cx="2664460" cy="278765"/>
          <wp:effectExtent l="0" t="0" r="0" b="6985"/>
          <wp:docPr id="5" name="图片 6" descr="353afe324ad3cad658bf12ab6d32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353afe324ad3cad658bf12ab6d32f44"/>
                  <pic:cNvPicPr>
                    <a:picLocks noChangeAspect="1"/>
                  </pic:cNvPicPr>
                </pic:nvPicPr>
                <pic:blipFill>
                  <a:blip r:embed="rId1"/>
                  <a:stretch>
                    <a:fillRect/>
                  </a:stretch>
                </pic:blipFill>
                <pic:spPr>
                  <a:xfrm>
                    <a:off x="0" y="0"/>
                    <a:ext cx="2664460" cy="2787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4209B">
    <w:pPr>
      <w:widowControl w:val="0"/>
      <w:pBdr>
        <w:bottom w:val="single" w:color="auto" w:sz="6" w:space="1"/>
      </w:pBdr>
      <w:snapToGrid w:val="0"/>
      <w:spacing w:after="0" w:line="240" w:lineRule="auto"/>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C56E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F4E69">
    <w:pPr>
      <w:rPr>
        <w:rFonts w:hint="default"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4500">
    <w:pPr>
      <w:widowControl w:val="0"/>
      <w:pBdr>
        <w:top w:val="none" w:color="auto" w:sz="0" w:space="1"/>
        <w:left w:val="none" w:color="auto" w:sz="0" w:space="4"/>
        <w:bottom w:val="none" w:color="auto" w:sz="0" w:space="0"/>
        <w:right w:val="none" w:color="auto" w:sz="0" w:space="4"/>
      </w:pBdr>
      <w:tabs>
        <w:tab w:val="center" w:pos="4153"/>
        <w:tab w:val="right" w:pos="8306"/>
      </w:tabs>
      <w:snapToGrid w:val="0"/>
      <w:jc w:val="both"/>
      <w:rPr>
        <w:rFonts w:ascii="Times New Roman" w:hAnsi="Times New Roman" w:eastAsia="Times New Roman" w:cs="Times New Roman"/>
        <w:color w:val="000000"/>
        <w:sz w:val="18"/>
        <w:szCs w:val="24"/>
        <w:lang w:val="en-US" w:eastAsia="en-US" w:bidi="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F95B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D4B23">
    <w:pPr>
      <w:pStyle w:val="3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460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9D43E5"/>
    <w:multiLevelType w:val="multilevel"/>
    <w:tmpl w:val="A49D43E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000000A"/>
    <w:multiLevelType w:val="multilevel"/>
    <w:tmpl w:val="0000000A"/>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2">
    <w:nsid w:val="0000000C"/>
    <w:multiLevelType w:val="multilevel"/>
    <w:tmpl w:val="0000000C"/>
    <w:lvl w:ilvl="0" w:tentative="0">
      <w:start w:val="1"/>
      <w:numFmt w:val="decimal"/>
      <w:lvlText w:val="%1"/>
      <w:lvlJc w:val="left"/>
      <w:pPr>
        <w:tabs>
          <w:tab w:val="left" w:pos="1134"/>
        </w:tabs>
        <w:ind w:left="1134" w:hanging="1134"/>
      </w:pPr>
      <w:rPr>
        <w:rFonts w:hint="eastAsia" w:ascii="宋体" w:eastAsia="宋体"/>
        <w:sz w:val="24"/>
        <w:szCs w:val="24"/>
      </w:rPr>
    </w:lvl>
    <w:lvl w:ilvl="1" w:tentative="0">
      <w:start w:val="1"/>
      <w:numFmt w:val="decimal"/>
      <w:lvlText w:val="%1.%2"/>
      <w:lvlJc w:val="left"/>
      <w:pPr>
        <w:tabs>
          <w:tab w:val="left" w:pos="1134"/>
        </w:tabs>
        <w:ind w:left="1134" w:hanging="1134"/>
      </w:pPr>
      <w:rPr>
        <w:rFonts w:hint="eastAsia" w:ascii="宋体" w:eastAsia="宋体"/>
        <w:color w:val="auto"/>
      </w:rPr>
    </w:lvl>
    <w:lvl w:ilvl="2" w:tentative="0">
      <w:start w:val="1"/>
      <w:numFmt w:val="decimal"/>
      <w:lvlText w:val="%1.%2.%3"/>
      <w:lvlJc w:val="left"/>
      <w:pPr>
        <w:tabs>
          <w:tab w:val="left" w:pos="1134"/>
        </w:tabs>
        <w:ind w:left="1134" w:hanging="1134"/>
      </w:pPr>
      <w:rPr>
        <w:rFonts w:hint="eastAsia" w:ascii="宋体" w:eastAsia="宋体"/>
      </w:rPr>
    </w:lvl>
    <w:lvl w:ilvl="3" w:tentative="0">
      <w:start w:val="1"/>
      <w:numFmt w:val="decimal"/>
      <w:lvlText w:val="%1.%2.%3.%4"/>
      <w:lvlJc w:val="left"/>
      <w:pPr>
        <w:tabs>
          <w:tab w:val="left" w:pos="1021"/>
        </w:tabs>
        <w:ind w:left="1134" w:hanging="1134"/>
      </w:pPr>
      <w:rPr>
        <w:rFonts w:hint="eastAsia"/>
      </w:rPr>
    </w:lvl>
    <w:lvl w:ilvl="4" w:tentative="0">
      <w:start w:val="1"/>
      <w:numFmt w:val="decimal"/>
      <w:lvlText w:val="%1.%2.%3.%4.%5"/>
      <w:lvlJc w:val="left"/>
      <w:pPr>
        <w:tabs>
          <w:tab w:val="left" w:pos="1021"/>
        </w:tabs>
        <w:ind w:left="1134" w:hanging="1134"/>
      </w:pPr>
      <w:rPr>
        <w:rFonts w:hint="eastAsia"/>
      </w:rPr>
    </w:lvl>
    <w:lvl w:ilvl="5" w:tentative="0">
      <w:start w:val="1"/>
      <w:numFmt w:val="decimal"/>
      <w:lvlText w:val="%1.%2.%3.%4.%5.%6."/>
      <w:lvlJc w:val="left"/>
      <w:pPr>
        <w:tabs>
          <w:tab w:val="left" w:pos="1021"/>
        </w:tabs>
        <w:ind w:left="1134" w:hanging="1134"/>
      </w:pPr>
      <w:rPr>
        <w:rFonts w:hint="eastAsia"/>
      </w:rPr>
    </w:lvl>
    <w:lvl w:ilvl="6" w:tentative="0">
      <w:start w:val="1"/>
      <w:numFmt w:val="decimal"/>
      <w:lvlText w:val="%1.%2.%3.%4.%5.%6.%7."/>
      <w:lvlJc w:val="left"/>
      <w:pPr>
        <w:tabs>
          <w:tab w:val="left" w:pos="1021"/>
        </w:tabs>
        <w:ind w:left="1134" w:hanging="1134"/>
      </w:pPr>
      <w:rPr>
        <w:rFonts w:hint="eastAsia"/>
      </w:rPr>
    </w:lvl>
    <w:lvl w:ilvl="7" w:tentative="0">
      <w:start w:val="1"/>
      <w:numFmt w:val="decimal"/>
      <w:lvlText w:val="%1.%2.%3.%4.%5.%6.%7.%8."/>
      <w:lvlJc w:val="left"/>
      <w:pPr>
        <w:tabs>
          <w:tab w:val="left" w:pos="1021"/>
        </w:tabs>
        <w:ind w:left="1134" w:hanging="1134"/>
      </w:pPr>
      <w:rPr>
        <w:rFonts w:hint="eastAsia"/>
      </w:rPr>
    </w:lvl>
    <w:lvl w:ilvl="8" w:tentative="0">
      <w:start w:val="1"/>
      <w:numFmt w:val="decimal"/>
      <w:lvlText w:val="%1.%2.%3.%4.%5.%6.%7.%8.%9."/>
      <w:lvlJc w:val="left"/>
      <w:pPr>
        <w:tabs>
          <w:tab w:val="left" w:pos="1021"/>
        </w:tabs>
        <w:ind w:left="1134" w:hanging="1134"/>
      </w:pPr>
      <w:rPr>
        <w:rFonts w:hint="eastAsia"/>
      </w:rPr>
    </w:lvl>
  </w:abstractNum>
  <w:abstractNum w:abstractNumId="3">
    <w:nsid w:val="0000000D"/>
    <w:multiLevelType w:val="multilevel"/>
    <w:tmpl w:val="0000000D"/>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4">
    <w:nsid w:val="00000013"/>
    <w:multiLevelType w:val="multilevel"/>
    <w:tmpl w:val="00000013"/>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5">
    <w:nsid w:val="00000014"/>
    <w:multiLevelType w:val="multilevel"/>
    <w:tmpl w:val="00000014"/>
    <w:lvl w:ilvl="0" w:tentative="0">
      <w:start w:val="1"/>
      <w:numFmt w:val="decimal"/>
      <w:lvlText w:val="%1)"/>
      <w:lvlJc w:val="left"/>
      <w:pPr>
        <w:ind w:left="1501" w:hanging="420"/>
      </w:pPr>
      <w:rPr>
        <w:rFonts w:hint="eastAsia"/>
      </w:rPr>
    </w:lvl>
    <w:lvl w:ilvl="1" w:tentative="0">
      <w:start w:val="1"/>
      <w:numFmt w:val="lowerLetter"/>
      <w:lvlText w:val="%2)"/>
      <w:lvlJc w:val="left"/>
      <w:pPr>
        <w:ind w:left="1921" w:hanging="420"/>
      </w:pPr>
    </w:lvl>
    <w:lvl w:ilvl="2" w:tentative="0">
      <w:start w:val="1"/>
      <w:numFmt w:val="lowerRoman"/>
      <w:lvlText w:val="%3."/>
      <w:lvlJc w:val="right"/>
      <w:pPr>
        <w:ind w:left="2341" w:hanging="420"/>
      </w:pPr>
    </w:lvl>
    <w:lvl w:ilvl="3" w:tentative="0">
      <w:start w:val="1"/>
      <w:numFmt w:val="decimal"/>
      <w:lvlText w:val="%4."/>
      <w:lvlJc w:val="left"/>
      <w:pPr>
        <w:ind w:left="2761" w:hanging="420"/>
      </w:pPr>
    </w:lvl>
    <w:lvl w:ilvl="4" w:tentative="0">
      <w:start w:val="1"/>
      <w:numFmt w:val="lowerLetter"/>
      <w:lvlText w:val="%5)"/>
      <w:lvlJc w:val="left"/>
      <w:pPr>
        <w:ind w:left="3181" w:hanging="420"/>
      </w:pPr>
    </w:lvl>
    <w:lvl w:ilvl="5" w:tentative="0">
      <w:start w:val="1"/>
      <w:numFmt w:val="lowerRoman"/>
      <w:lvlText w:val="%6."/>
      <w:lvlJc w:val="right"/>
      <w:pPr>
        <w:ind w:left="3601" w:hanging="420"/>
      </w:pPr>
    </w:lvl>
    <w:lvl w:ilvl="6" w:tentative="0">
      <w:start w:val="1"/>
      <w:numFmt w:val="decimal"/>
      <w:lvlText w:val="%7."/>
      <w:lvlJc w:val="left"/>
      <w:pPr>
        <w:ind w:left="4021" w:hanging="420"/>
      </w:pPr>
    </w:lvl>
    <w:lvl w:ilvl="7" w:tentative="0">
      <w:start w:val="1"/>
      <w:numFmt w:val="lowerLetter"/>
      <w:lvlText w:val="%8)"/>
      <w:lvlJc w:val="left"/>
      <w:pPr>
        <w:ind w:left="4441" w:hanging="420"/>
      </w:pPr>
    </w:lvl>
    <w:lvl w:ilvl="8" w:tentative="0">
      <w:start w:val="1"/>
      <w:numFmt w:val="lowerRoman"/>
      <w:lvlText w:val="%9."/>
      <w:lvlJc w:val="right"/>
      <w:pPr>
        <w:ind w:left="4861" w:hanging="420"/>
      </w:pPr>
    </w:lvl>
  </w:abstractNum>
  <w:abstractNum w:abstractNumId="6">
    <w:nsid w:val="00000015"/>
    <w:multiLevelType w:val="multilevel"/>
    <w:tmpl w:val="00000015"/>
    <w:lvl w:ilvl="0" w:tentative="0">
      <w:start w:val="1"/>
      <w:numFmt w:val="decimal"/>
      <w:lvlText w:val="%1"/>
      <w:lvlJc w:val="left"/>
      <w:pPr>
        <w:tabs>
          <w:tab w:val="left" w:pos="1077"/>
        </w:tabs>
        <w:ind w:left="1077" w:hanging="1077"/>
      </w:pPr>
      <w:rPr>
        <w:rFonts w:hint="eastAsia"/>
      </w:rPr>
    </w:lvl>
    <w:lvl w:ilvl="1" w:tentative="0">
      <w:start w:val="1"/>
      <w:numFmt w:val="decimal"/>
      <w:lvlText w:val="%1.%2"/>
      <w:lvlJc w:val="left"/>
      <w:pPr>
        <w:tabs>
          <w:tab w:val="left" w:pos="1077"/>
        </w:tabs>
        <w:ind w:left="1077" w:hanging="107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17"/>
    <w:multiLevelType w:val="multilevel"/>
    <w:tmpl w:val="00000017"/>
    <w:lvl w:ilvl="0" w:tentative="0">
      <w:start w:val="1"/>
      <w:numFmt w:val="decimal"/>
      <w:lvlText w:val="（%1）"/>
      <w:lvlJc w:val="left"/>
      <w:pPr>
        <w:tabs>
          <w:tab w:val="left" w:pos="1122"/>
        </w:tabs>
        <w:ind w:left="1122"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B"/>
    <w:multiLevelType w:val="multilevel"/>
    <w:tmpl w:val="0000001B"/>
    <w:lvl w:ilvl="0" w:tentative="0">
      <w:start w:val="1"/>
      <w:numFmt w:val="decimal"/>
      <w:lvlText w:val="（%1）"/>
      <w:lvlJc w:val="left"/>
      <w:pPr>
        <w:ind w:left="1499" w:hanging="420"/>
      </w:pPr>
      <w:rPr>
        <w:rFonts w:hint="eastAsia"/>
      </w:rPr>
    </w:lvl>
    <w:lvl w:ilvl="1" w:tentative="0">
      <w:start w:val="1"/>
      <w:numFmt w:val="lowerLetter"/>
      <w:lvlText w:val="%2)"/>
      <w:lvlJc w:val="left"/>
      <w:pPr>
        <w:ind w:left="1919" w:hanging="420"/>
      </w:pPr>
    </w:lvl>
    <w:lvl w:ilvl="2" w:tentative="0">
      <w:start w:val="1"/>
      <w:numFmt w:val="lowerRoman"/>
      <w:lvlText w:val="%3."/>
      <w:lvlJc w:val="right"/>
      <w:pPr>
        <w:ind w:left="2339" w:hanging="420"/>
      </w:pPr>
    </w:lvl>
    <w:lvl w:ilvl="3" w:tentative="0">
      <w:start w:val="1"/>
      <w:numFmt w:val="decimal"/>
      <w:lvlText w:val="%4."/>
      <w:lvlJc w:val="left"/>
      <w:pPr>
        <w:ind w:left="2759" w:hanging="420"/>
      </w:pPr>
    </w:lvl>
    <w:lvl w:ilvl="4" w:tentative="0">
      <w:start w:val="1"/>
      <w:numFmt w:val="lowerLetter"/>
      <w:lvlText w:val="%5)"/>
      <w:lvlJc w:val="left"/>
      <w:pPr>
        <w:ind w:left="3179" w:hanging="420"/>
      </w:pPr>
    </w:lvl>
    <w:lvl w:ilvl="5" w:tentative="0">
      <w:start w:val="1"/>
      <w:numFmt w:val="lowerRoman"/>
      <w:lvlText w:val="%6."/>
      <w:lvlJc w:val="right"/>
      <w:pPr>
        <w:ind w:left="3599" w:hanging="420"/>
      </w:pPr>
    </w:lvl>
    <w:lvl w:ilvl="6" w:tentative="0">
      <w:start w:val="1"/>
      <w:numFmt w:val="decimal"/>
      <w:lvlText w:val="%7."/>
      <w:lvlJc w:val="left"/>
      <w:pPr>
        <w:ind w:left="4019" w:hanging="420"/>
      </w:pPr>
    </w:lvl>
    <w:lvl w:ilvl="7" w:tentative="0">
      <w:start w:val="1"/>
      <w:numFmt w:val="lowerLetter"/>
      <w:lvlText w:val="%8)"/>
      <w:lvlJc w:val="left"/>
      <w:pPr>
        <w:ind w:left="4439" w:hanging="420"/>
      </w:pPr>
    </w:lvl>
    <w:lvl w:ilvl="8" w:tentative="0">
      <w:start w:val="1"/>
      <w:numFmt w:val="lowerRoman"/>
      <w:lvlText w:val="%9."/>
      <w:lvlJc w:val="right"/>
      <w:pPr>
        <w:ind w:left="4859" w:hanging="420"/>
      </w:pPr>
    </w:lvl>
  </w:abstractNum>
  <w:abstractNum w:abstractNumId="9">
    <w:nsid w:val="0000001D"/>
    <w:multiLevelType w:val="singleLevel"/>
    <w:tmpl w:val="0000001D"/>
    <w:lvl w:ilvl="0" w:tentative="0">
      <w:start w:val="1"/>
      <w:numFmt w:val="decimal"/>
      <w:lvlText w:val="%1."/>
      <w:lvlJc w:val="left"/>
      <w:pPr>
        <w:ind w:left="425" w:hanging="425"/>
      </w:pPr>
      <w:rPr>
        <w:rFonts w:hint="default"/>
      </w:rPr>
    </w:lvl>
  </w:abstractNum>
  <w:abstractNum w:abstractNumId="10">
    <w:nsid w:val="007BF67D"/>
    <w:multiLevelType w:val="singleLevel"/>
    <w:tmpl w:val="007BF67D"/>
    <w:lvl w:ilvl="0" w:tentative="0">
      <w:start w:val="1"/>
      <w:numFmt w:val="decimal"/>
      <w:pStyle w:val="26"/>
      <w:lvlText w:val="%1."/>
      <w:lvlJc w:val="left"/>
      <w:pPr>
        <w:tabs>
          <w:tab w:val="left" w:pos="2040"/>
        </w:tabs>
        <w:ind w:left="2040" w:hanging="360"/>
      </w:pPr>
    </w:lvl>
  </w:abstractNum>
  <w:abstractNum w:abstractNumId="11">
    <w:nsid w:val="75CA1D91"/>
    <w:multiLevelType w:val="singleLevel"/>
    <w:tmpl w:val="75CA1D91"/>
    <w:lvl w:ilvl="0" w:tentative="0">
      <w:start w:val="10"/>
      <w:numFmt w:val="decimal"/>
      <w:suff w:val="nothing"/>
      <w:lvlText w:val="（%1）"/>
      <w:lvlJc w:val="left"/>
    </w:lvl>
  </w:abstractNum>
  <w:num w:numId="1">
    <w:abstractNumId w:val="10"/>
  </w:num>
  <w:num w:numId="2">
    <w:abstractNumId w:val="2"/>
  </w:num>
  <w:num w:numId="3">
    <w:abstractNumId w:val="8"/>
  </w:num>
  <w:num w:numId="4">
    <w:abstractNumId w:val="1"/>
  </w:num>
  <w:num w:numId="5">
    <w:abstractNumId w:val="4"/>
  </w:num>
  <w:num w:numId="6">
    <w:abstractNumId w:val="5"/>
  </w:num>
  <w:num w:numId="7">
    <w:abstractNumId w:val="3"/>
  </w:num>
  <w:num w:numId="8">
    <w:abstractNumId w:val="6"/>
  </w:num>
  <w:num w:numId="9">
    <w:abstractNumId w:val="9"/>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M2RhODQ4Y2FkMDNjZjNjOTExN2RkMWY1NWY3ODcifQ=="/>
  </w:docVars>
  <w:rsids>
    <w:rsidRoot w:val="00000000"/>
    <w:rsid w:val="0025734D"/>
    <w:rsid w:val="00BA42F9"/>
    <w:rsid w:val="01C43576"/>
    <w:rsid w:val="01EE0B37"/>
    <w:rsid w:val="02D06F2C"/>
    <w:rsid w:val="03365F38"/>
    <w:rsid w:val="035E31CD"/>
    <w:rsid w:val="039C28DE"/>
    <w:rsid w:val="05F13014"/>
    <w:rsid w:val="07095017"/>
    <w:rsid w:val="075A314D"/>
    <w:rsid w:val="08074728"/>
    <w:rsid w:val="08236BBF"/>
    <w:rsid w:val="0934768A"/>
    <w:rsid w:val="0B036EA1"/>
    <w:rsid w:val="0C13125D"/>
    <w:rsid w:val="0CC5766E"/>
    <w:rsid w:val="0CE54E38"/>
    <w:rsid w:val="0D8E4894"/>
    <w:rsid w:val="0DA925F8"/>
    <w:rsid w:val="0F01062B"/>
    <w:rsid w:val="0F1A2E5D"/>
    <w:rsid w:val="0F7450E6"/>
    <w:rsid w:val="10E40346"/>
    <w:rsid w:val="12080923"/>
    <w:rsid w:val="12117C99"/>
    <w:rsid w:val="12B609F2"/>
    <w:rsid w:val="13446FA4"/>
    <w:rsid w:val="143A53BF"/>
    <w:rsid w:val="14522A66"/>
    <w:rsid w:val="15DC6CEA"/>
    <w:rsid w:val="161E6859"/>
    <w:rsid w:val="169B16A6"/>
    <w:rsid w:val="17762E55"/>
    <w:rsid w:val="17EE3389"/>
    <w:rsid w:val="17EF58E9"/>
    <w:rsid w:val="18DF224C"/>
    <w:rsid w:val="192C06DB"/>
    <w:rsid w:val="1A8C0DB6"/>
    <w:rsid w:val="1A9A08B1"/>
    <w:rsid w:val="1AD02826"/>
    <w:rsid w:val="1C6B69C5"/>
    <w:rsid w:val="1C8C0794"/>
    <w:rsid w:val="1C993BFA"/>
    <w:rsid w:val="1CCA66E6"/>
    <w:rsid w:val="1CE002F4"/>
    <w:rsid w:val="1D052F29"/>
    <w:rsid w:val="1D6E4ED7"/>
    <w:rsid w:val="1DC646C5"/>
    <w:rsid w:val="1E36109D"/>
    <w:rsid w:val="1E6C1577"/>
    <w:rsid w:val="1F682713"/>
    <w:rsid w:val="1FAF4008"/>
    <w:rsid w:val="20121DA7"/>
    <w:rsid w:val="207F7267"/>
    <w:rsid w:val="22405740"/>
    <w:rsid w:val="230645EE"/>
    <w:rsid w:val="238002CA"/>
    <w:rsid w:val="23AC0BE2"/>
    <w:rsid w:val="23F7700F"/>
    <w:rsid w:val="24E45993"/>
    <w:rsid w:val="25120A61"/>
    <w:rsid w:val="256F5577"/>
    <w:rsid w:val="26444656"/>
    <w:rsid w:val="264A075D"/>
    <w:rsid w:val="26E32EDA"/>
    <w:rsid w:val="27E27C5C"/>
    <w:rsid w:val="28297F96"/>
    <w:rsid w:val="283C56D0"/>
    <w:rsid w:val="28750A47"/>
    <w:rsid w:val="288E2F16"/>
    <w:rsid w:val="290D42B4"/>
    <w:rsid w:val="29C8521C"/>
    <w:rsid w:val="29FE1E73"/>
    <w:rsid w:val="2A663F79"/>
    <w:rsid w:val="2D27132C"/>
    <w:rsid w:val="2D607001"/>
    <w:rsid w:val="2F9A3429"/>
    <w:rsid w:val="2FA80A0F"/>
    <w:rsid w:val="2FB362F6"/>
    <w:rsid w:val="2FD35712"/>
    <w:rsid w:val="30787801"/>
    <w:rsid w:val="307D5C1A"/>
    <w:rsid w:val="30EB624E"/>
    <w:rsid w:val="30EC548E"/>
    <w:rsid w:val="31560C6E"/>
    <w:rsid w:val="32B10138"/>
    <w:rsid w:val="333D579D"/>
    <w:rsid w:val="33BA63EC"/>
    <w:rsid w:val="33E162AB"/>
    <w:rsid w:val="370A4C0F"/>
    <w:rsid w:val="3776710C"/>
    <w:rsid w:val="37EC213A"/>
    <w:rsid w:val="390B4FA4"/>
    <w:rsid w:val="39621D5E"/>
    <w:rsid w:val="397C2BEE"/>
    <w:rsid w:val="39C9665C"/>
    <w:rsid w:val="3A2F1EC9"/>
    <w:rsid w:val="3A800389"/>
    <w:rsid w:val="3B422155"/>
    <w:rsid w:val="3B460AF6"/>
    <w:rsid w:val="3B612EFA"/>
    <w:rsid w:val="3B784FA0"/>
    <w:rsid w:val="3CBC5380"/>
    <w:rsid w:val="3DE77327"/>
    <w:rsid w:val="3E956FDC"/>
    <w:rsid w:val="3EB50B70"/>
    <w:rsid w:val="3F5321A8"/>
    <w:rsid w:val="3F921001"/>
    <w:rsid w:val="3FB96E43"/>
    <w:rsid w:val="3FC87F6D"/>
    <w:rsid w:val="4024545A"/>
    <w:rsid w:val="406C4F6A"/>
    <w:rsid w:val="412F159F"/>
    <w:rsid w:val="424B6350"/>
    <w:rsid w:val="435E67C4"/>
    <w:rsid w:val="44F0702D"/>
    <w:rsid w:val="4586581D"/>
    <w:rsid w:val="45B93025"/>
    <w:rsid w:val="4603066A"/>
    <w:rsid w:val="46092E03"/>
    <w:rsid w:val="467579D7"/>
    <w:rsid w:val="47072496"/>
    <w:rsid w:val="47E46DA5"/>
    <w:rsid w:val="489A091D"/>
    <w:rsid w:val="49BF718C"/>
    <w:rsid w:val="4A112B40"/>
    <w:rsid w:val="4A4F6B22"/>
    <w:rsid w:val="4AB63EA1"/>
    <w:rsid w:val="4B9E78FB"/>
    <w:rsid w:val="4C9E20D7"/>
    <w:rsid w:val="4CB0430E"/>
    <w:rsid w:val="4DAB09FB"/>
    <w:rsid w:val="4E4B048B"/>
    <w:rsid w:val="4E4E5C86"/>
    <w:rsid w:val="4E88494E"/>
    <w:rsid w:val="4EBF34EF"/>
    <w:rsid w:val="4F7F3DFA"/>
    <w:rsid w:val="504273BB"/>
    <w:rsid w:val="50B05365"/>
    <w:rsid w:val="50B9287D"/>
    <w:rsid w:val="50C224CA"/>
    <w:rsid w:val="513D3CF7"/>
    <w:rsid w:val="517C5E3E"/>
    <w:rsid w:val="51D05E57"/>
    <w:rsid w:val="52BF286B"/>
    <w:rsid w:val="52D81DAF"/>
    <w:rsid w:val="53887489"/>
    <w:rsid w:val="53C47CA2"/>
    <w:rsid w:val="5463359B"/>
    <w:rsid w:val="54FF36DD"/>
    <w:rsid w:val="553E0B12"/>
    <w:rsid w:val="5555648E"/>
    <w:rsid w:val="55AA5C85"/>
    <w:rsid w:val="565D2C08"/>
    <w:rsid w:val="57243F2A"/>
    <w:rsid w:val="5A3E219F"/>
    <w:rsid w:val="5AB94067"/>
    <w:rsid w:val="5ABC590C"/>
    <w:rsid w:val="5B49404A"/>
    <w:rsid w:val="5D153EC6"/>
    <w:rsid w:val="5DDE3B8B"/>
    <w:rsid w:val="5F274BAB"/>
    <w:rsid w:val="5FB70C17"/>
    <w:rsid w:val="601D4C8E"/>
    <w:rsid w:val="605B2E17"/>
    <w:rsid w:val="60DC44B3"/>
    <w:rsid w:val="6344466B"/>
    <w:rsid w:val="635A680F"/>
    <w:rsid w:val="64F434A4"/>
    <w:rsid w:val="652B6A8A"/>
    <w:rsid w:val="655B29E2"/>
    <w:rsid w:val="65906F72"/>
    <w:rsid w:val="660D7AB6"/>
    <w:rsid w:val="678A0327"/>
    <w:rsid w:val="692159A0"/>
    <w:rsid w:val="6B156E58"/>
    <w:rsid w:val="6B911907"/>
    <w:rsid w:val="6BB875C8"/>
    <w:rsid w:val="6C9C0EC0"/>
    <w:rsid w:val="6CB6151D"/>
    <w:rsid w:val="6CD132B5"/>
    <w:rsid w:val="6E123F24"/>
    <w:rsid w:val="6E4F2AF2"/>
    <w:rsid w:val="6E6835FB"/>
    <w:rsid w:val="6E854793"/>
    <w:rsid w:val="6F7D17E2"/>
    <w:rsid w:val="6F9C48CC"/>
    <w:rsid w:val="6FFD692C"/>
    <w:rsid w:val="70FE44F5"/>
    <w:rsid w:val="71167F14"/>
    <w:rsid w:val="712F63C0"/>
    <w:rsid w:val="71442AE2"/>
    <w:rsid w:val="7185402F"/>
    <w:rsid w:val="71F23E48"/>
    <w:rsid w:val="72956AF9"/>
    <w:rsid w:val="73712FF0"/>
    <w:rsid w:val="743C52AD"/>
    <w:rsid w:val="74FF5D81"/>
    <w:rsid w:val="75C15F39"/>
    <w:rsid w:val="75F41B11"/>
    <w:rsid w:val="765A05BC"/>
    <w:rsid w:val="76B46DAD"/>
    <w:rsid w:val="775407D3"/>
    <w:rsid w:val="77DB7E15"/>
    <w:rsid w:val="783A3580"/>
    <w:rsid w:val="78A534F1"/>
    <w:rsid w:val="79252C4D"/>
    <w:rsid w:val="7AE910C2"/>
    <w:rsid w:val="7B565E42"/>
    <w:rsid w:val="7BF62A6B"/>
    <w:rsid w:val="7C3E4EBC"/>
    <w:rsid w:val="7D69294D"/>
    <w:rsid w:val="7E83691D"/>
    <w:rsid w:val="7EB81375"/>
    <w:rsid w:val="7EC34E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qFormat/>
    <w:uiPriority w:val="0"/>
    <w:pPr>
      <w:keepNext/>
      <w:keepLines/>
      <w:tabs>
        <w:tab w:val="left" w:pos="1440"/>
      </w:tabs>
      <w:spacing w:before="340" w:after="330" w:line="576" w:lineRule="auto"/>
      <w:ind w:left="432" w:hanging="432"/>
      <w:outlineLvl w:val="0"/>
    </w:pPr>
    <w:rPr>
      <w:rFonts w:ascii="Times New Roman" w:hAnsi="Times New Roman"/>
      <w:b/>
      <w:bCs/>
      <w:kern w:val="44"/>
      <w:sz w:val="44"/>
      <w:szCs w:val="44"/>
    </w:rPr>
  </w:style>
  <w:style w:type="paragraph" w:styleId="5">
    <w:name w:val="heading 2"/>
    <w:basedOn w:val="1"/>
    <w:next w:val="1"/>
    <w:link w:val="52"/>
    <w:qFormat/>
    <w:uiPriority w:val="0"/>
    <w:pPr>
      <w:keepNext/>
      <w:keepLines/>
      <w:spacing w:before="260" w:after="260" w:line="413" w:lineRule="auto"/>
      <w:outlineLvl w:val="1"/>
    </w:pPr>
    <w:rPr>
      <w:rFonts w:ascii="Arial" w:hAnsi="Arial" w:eastAsia="黑体"/>
      <w:b/>
      <w:bCs/>
      <w:kern w:val="2"/>
      <w:sz w:val="32"/>
      <w:szCs w:val="32"/>
    </w:rPr>
  </w:style>
  <w:style w:type="paragraph" w:styleId="6">
    <w:name w:val="heading 3"/>
    <w:basedOn w:val="1"/>
    <w:next w:val="1"/>
    <w:link w:val="53"/>
    <w:qFormat/>
    <w:uiPriority w:val="0"/>
    <w:pPr>
      <w:keepNext/>
      <w:keepLines/>
      <w:spacing w:before="260" w:after="260" w:line="416" w:lineRule="auto"/>
      <w:outlineLvl w:val="2"/>
    </w:pPr>
    <w:rPr>
      <w:rFonts w:ascii="Times New Roman" w:hAnsi="Times New Roman"/>
      <w:b/>
      <w:bCs/>
      <w:kern w:val="2"/>
      <w:sz w:val="32"/>
      <w:szCs w:val="32"/>
    </w:rPr>
  </w:style>
  <w:style w:type="paragraph" w:styleId="7">
    <w:name w:val="heading 4"/>
    <w:basedOn w:val="1"/>
    <w:next w:val="1"/>
    <w:link w:val="54"/>
    <w:qFormat/>
    <w:uiPriority w:val="0"/>
    <w:pPr>
      <w:keepNext/>
      <w:keepLines/>
      <w:spacing w:before="280" w:after="290" w:line="376" w:lineRule="auto"/>
      <w:outlineLvl w:val="3"/>
    </w:pPr>
    <w:rPr>
      <w:rFonts w:ascii="Cambria" w:hAnsi="Cambria" w:eastAsia="宋体" w:cs="Times New Roman"/>
      <w:b/>
      <w:bCs/>
      <w:kern w:val="2"/>
      <w:sz w:val="28"/>
      <w:szCs w:val="28"/>
    </w:rPr>
  </w:style>
  <w:style w:type="paragraph" w:styleId="8">
    <w:name w:val="heading 5"/>
    <w:basedOn w:val="1"/>
    <w:next w:val="1"/>
    <w:link w:val="368"/>
    <w:qFormat/>
    <w:uiPriority w:val="0"/>
    <w:pPr>
      <w:keepNext/>
      <w:keepLines/>
      <w:tabs>
        <w:tab w:val="left" w:pos="1008"/>
      </w:tabs>
      <w:spacing w:before="280" w:after="290" w:line="372" w:lineRule="auto"/>
      <w:ind w:left="1008" w:hanging="1008"/>
      <w:outlineLvl w:val="4"/>
    </w:pPr>
    <w:rPr>
      <w:rFonts w:ascii="Times New Roman" w:hAnsi="Times New Roman"/>
      <w:b/>
      <w:bCs/>
      <w:kern w:val="2"/>
      <w:sz w:val="28"/>
      <w:szCs w:val="28"/>
    </w:rPr>
  </w:style>
  <w:style w:type="paragraph" w:styleId="9">
    <w:name w:val="heading 6"/>
    <w:basedOn w:val="1"/>
    <w:next w:val="1"/>
    <w:link w:val="56"/>
    <w:qFormat/>
    <w:uiPriority w:val="0"/>
    <w:pPr>
      <w:keepNext/>
      <w:keepLines/>
      <w:tabs>
        <w:tab w:val="left" w:pos="1152"/>
      </w:tabs>
      <w:spacing w:before="240" w:after="64" w:line="317" w:lineRule="auto"/>
      <w:ind w:left="1152" w:hanging="1152"/>
      <w:outlineLvl w:val="5"/>
    </w:pPr>
    <w:rPr>
      <w:rFonts w:ascii="Arial" w:hAnsi="Arial" w:eastAsia="黑体"/>
      <w:b/>
      <w:kern w:val="2"/>
      <w:sz w:val="24"/>
    </w:rPr>
  </w:style>
  <w:style w:type="paragraph" w:styleId="10">
    <w:name w:val="heading 7"/>
    <w:basedOn w:val="1"/>
    <w:next w:val="1"/>
    <w:link w:val="57"/>
    <w:qFormat/>
    <w:uiPriority w:val="0"/>
    <w:pPr>
      <w:keepNext/>
      <w:keepLines/>
      <w:tabs>
        <w:tab w:val="left" w:pos="1296"/>
      </w:tabs>
      <w:spacing w:before="240" w:after="64" w:line="317" w:lineRule="auto"/>
      <w:ind w:left="1296" w:hanging="1296"/>
      <w:outlineLvl w:val="6"/>
    </w:pPr>
    <w:rPr>
      <w:rFonts w:ascii="Times New Roman" w:hAnsi="Times New Roman"/>
      <w:b/>
      <w:kern w:val="2"/>
      <w:sz w:val="24"/>
    </w:rPr>
  </w:style>
  <w:style w:type="paragraph" w:styleId="11">
    <w:name w:val="heading 8"/>
    <w:basedOn w:val="1"/>
    <w:next w:val="1"/>
    <w:link w:val="58"/>
    <w:qFormat/>
    <w:uiPriority w:val="0"/>
    <w:pPr>
      <w:keepNext/>
      <w:keepLines/>
      <w:tabs>
        <w:tab w:val="left" w:pos="1440"/>
      </w:tabs>
      <w:spacing w:before="240" w:after="64" w:line="317" w:lineRule="auto"/>
      <w:ind w:left="1440" w:hanging="1440"/>
      <w:outlineLvl w:val="7"/>
    </w:pPr>
    <w:rPr>
      <w:rFonts w:ascii="Arial" w:hAnsi="Arial" w:eastAsia="黑体"/>
      <w:kern w:val="2"/>
      <w:sz w:val="24"/>
    </w:rPr>
  </w:style>
  <w:style w:type="paragraph" w:styleId="12">
    <w:name w:val="heading 9"/>
    <w:basedOn w:val="1"/>
    <w:next w:val="1"/>
    <w:link w:val="59"/>
    <w:qFormat/>
    <w:uiPriority w:val="0"/>
    <w:pPr>
      <w:keepNext/>
      <w:keepLines/>
      <w:tabs>
        <w:tab w:val="left" w:pos="1584"/>
      </w:tabs>
      <w:spacing w:before="240" w:after="64" w:line="317" w:lineRule="auto"/>
      <w:ind w:left="1584" w:hanging="1584"/>
      <w:outlineLvl w:val="8"/>
    </w:pPr>
    <w:rPr>
      <w:rFonts w:ascii="Arial" w:hAnsi="Arial" w:eastAsia="黑体"/>
      <w:kern w:val="2"/>
      <w:sz w:val="21"/>
    </w:rPr>
  </w:style>
  <w:style w:type="character" w:default="1" w:styleId="43">
    <w:name w:val="Default Paragraph Font"/>
    <w:qFormat/>
    <w:uiPriority w:val="0"/>
  </w:style>
  <w:style w:type="table" w:default="1" w:styleId="41">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spacing w:after="120"/>
      <w:ind w:left="420" w:leftChars="200" w:firstLine="420"/>
    </w:pPr>
    <w:rPr>
      <w:sz w:val="24"/>
    </w:rPr>
  </w:style>
  <w:style w:type="paragraph" w:styleId="3">
    <w:name w:val="Body Text Indent"/>
    <w:basedOn w:val="1"/>
    <w:next w:val="1"/>
    <w:qFormat/>
    <w:uiPriority w:val="0"/>
    <w:pPr>
      <w:ind w:firstLine="420"/>
    </w:pPr>
    <w:rPr>
      <w:sz w:val="24"/>
    </w:rPr>
  </w:style>
  <w:style w:type="paragraph" w:styleId="13">
    <w:name w:val="toc 7"/>
    <w:basedOn w:val="1"/>
    <w:next w:val="1"/>
    <w:qFormat/>
    <w:uiPriority w:val="0"/>
    <w:pPr>
      <w:ind w:left="1260"/>
      <w:jc w:val="left"/>
    </w:pPr>
    <w:rPr>
      <w:sz w:val="18"/>
      <w:szCs w:val="18"/>
    </w:rPr>
  </w:style>
  <w:style w:type="paragraph" w:styleId="14">
    <w:name w:val="List Bullet 4"/>
    <w:basedOn w:val="1"/>
    <w:qFormat/>
    <w:uiPriority w:val="0"/>
    <w:pPr>
      <w:tabs>
        <w:tab w:val="left" w:pos="1620"/>
      </w:tabs>
      <w:spacing w:line="360" w:lineRule="auto"/>
      <w:ind w:left="1620" w:hanging="360"/>
      <w:jc w:val="left"/>
    </w:pPr>
    <w:rPr>
      <w:rFonts w:ascii="宋体" w:hAnsi="宋体"/>
      <w:color w:val="7030A0"/>
      <w:sz w:val="24"/>
      <w:szCs w:val="20"/>
    </w:rPr>
  </w:style>
  <w:style w:type="paragraph" w:styleId="15">
    <w:name w:val="List Number"/>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6">
    <w:name w:val="caption"/>
    <w:basedOn w:val="1"/>
    <w:next w:val="1"/>
    <w:link w:val="70"/>
    <w:qFormat/>
    <w:uiPriority w:val="0"/>
    <w:pPr>
      <w:ind w:firstLine="6290" w:firstLineChars="2282"/>
    </w:pPr>
    <w:rPr>
      <w:rFonts w:ascii="Times New Roman" w:hAnsi="Times New Roman"/>
      <w:b/>
      <w:bCs/>
      <w:color w:val="000080"/>
      <w:kern w:val="2"/>
      <w:sz w:val="28"/>
      <w:szCs w:val="24"/>
    </w:rPr>
  </w:style>
  <w:style w:type="paragraph" w:styleId="17">
    <w:name w:val="index 5"/>
    <w:basedOn w:val="1"/>
    <w:next w:val="1"/>
    <w:unhideWhenUsed/>
    <w:qFormat/>
    <w:uiPriority w:val="99"/>
    <w:pPr>
      <w:ind w:left="1680"/>
    </w:pPr>
  </w:style>
  <w:style w:type="paragraph" w:styleId="18">
    <w:name w:val="List Bullet"/>
    <w:basedOn w:val="1"/>
    <w:qFormat/>
    <w:uiPriority w:val="0"/>
    <w:pPr>
      <w:tabs>
        <w:tab w:val="left" w:pos="360"/>
      </w:tabs>
      <w:spacing w:line="360" w:lineRule="auto"/>
      <w:ind w:left="360" w:hanging="360"/>
      <w:jc w:val="left"/>
    </w:pPr>
    <w:rPr>
      <w:rFonts w:ascii="宋体" w:hAnsi="宋体"/>
      <w:color w:val="7030A0"/>
      <w:sz w:val="24"/>
      <w:szCs w:val="20"/>
    </w:rPr>
  </w:style>
  <w:style w:type="paragraph" w:styleId="19">
    <w:name w:val="annotation text"/>
    <w:basedOn w:val="1"/>
    <w:link w:val="61"/>
    <w:qFormat/>
    <w:uiPriority w:val="0"/>
    <w:pPr>
      <w:jc w:val="left"/>
    </w:pPr>
    <w:rPr>
      <w:rFonts w:ascii="Times New Roman" w:hAnsi="Times New Roman" w:eastAsia="宋体" w:cs="Times New Roman"/>
      <w:szCs w:val="24"/>
    </w:rPr>
  </w:style>
  <w:style w:type="paragraph" w:styleId="20">
    <w:name w:val="List Bullet 3"/>
    <w:basedOn w:val="1"/>
    <w:qFormat/>
    <w:uiPriority w:val="0"/>
    <w:pPr>
      <w:tabs>
        <w:tab w:val="left" w:pos="775"/>
      </w:tabs>
      <w:spacing w:line="360" w:lineRule="auto"/>
      <w:ind w:left="775" w:hanging="360"/>
    </w:pPr>
    <w:rPr>
      <w:kern w:val="0"/>
    </w:rPr>
  </w:style>
  <w:style w:type="paragraph" w:styleId="21">
    <w:name w:val="Body Text"/>
    <w:basedOn w:val="1"/>
    <w:link w:val="64"/>
    <w:qFormat/>
    <w:uiPriority w:val="0"/>
    <w:pPr>
      <w:spacing w:line="360" w:lineRule="auto"/>
    </w:pPr>
    <w:rPr>
      <w:rFonts w:ascii="Times New Roman" w:hAnsi="Times New Roman"/>
      <w:kern w:val="2"/>
      <w:sz w:val="21"/>
      <w:szCs w:val="24"/>
    </w:rPr>
  </w:style>
  <w:style w:type="paragraph" w:styleId="22">
    <w:name w:val="List Bullet 2"/>
    <w:basedOn w:val="1"/>
    <w:qFormat/>
    <w:uiPriority w:val="0"/>
    <w:pPr>
      <w:tabs>
        <w:tab w:val="left" w:pos="780"/>
      </w:tabs>
      <w:spacing w:line="360" w:lineRule="auto"/>
      <w:ind w:left="780" w:hanging="360"/>
      <w:jc w:val="left"/>
    </w:pPr>
    <w:rPr>
      <w:rFonts w:ascii="宋体" w:hAnsi="宋体"/>
      <w:color w:val="7030A0"/>
      <w:sz w:val="24"/>
      <w:szCs w:val="20"/>
    </w:rPr>
  </w:style>
  <w:style w:type="paragraph" w:styleId="23">
    <w:name w:val="toc 5"/>
    <w:basedOn w:val="1"/>
    <w:next w:val="1"/>
    <w:qFormat/>
    <w:uiPriority w:val="0"/>
    <w:pPr>
      <w:ind w:left="840"/>
      <w:jc w:val="left"/>
    </w:pPr>
    <w:rPr>
      <w:sz w:val="18"/>
      <w:szCs w:val="18"/>
    </w:rPr>
  </w:style>
  <w:style w:type="paragraph" w:styleId="24">
    <w:name w:val="toc 3"/>
    <w:basedOn w:val="1"/>
    <w:next w:val="1"/>
    <w:qFormat/>
    <w:uiPriority w:val="0"/>
    <w:pPr>
      <w:tabs>
        <w:tab w:val="left" w:pos="400"/>
        <w:tab w:val="left" w:pos="576"/>
        <w:tab w:val="right" w:leader="dot" w:pos="8778"/>
      </w:tabs>
      <w:ind w:left="10"/>
      <w:jc w:val="center"/>
    </w:pPr>
    <w:rPr>
      <w:rFonts w:ascii="宋体" w:hAnsi="宋体"/>
      <w:b/>
      <w:iCs/>
      <w:sz w:val="24"/>
    </w:rPr>
  </w:style>
  <w:style w:type="paragraph" w:styleId="25">
    <w:name w:val="Plain Text"/>
    <w:basedOn w:val="1"/>
    <w:next w:val="26"/>
    <w:qFormat/>
    <w:uiPriority w:val="0"/>
    <w:pPr>
      <w:spacing w:before="156" w:beforeLines="50" w:after="156" w:afterLines="50" w:line="400" w:lineRule="exact"/>
    </w:pPr>
    <w:rPr>
      <w:rFonts w:ascii="宋体" w:hAnsi="Courier New"/>
      <w:sz w:val="24"/>
      <w:szCs w:val="24"/>
    </w:rPr>
  </w:style>
  <w:style w:type="paragraph" w:styleId="26">
    <w:name w:val="List Number 5"/>
    <w:basedOn w:val="1"/>
    <w:qFormat/>
    <w:uiPriority w:val="0"/>
    <w:pPr>
      <w:numPr>
        <w:ilvl w:val="0"/>
        <w:numId w:val="1"/>
      </w:numPr>
    </w:pPr>
  </w:style>
  <w:style w:type="paragraph" w:styleId="27">
    <w:name w:val="List Bullet 5"/>
    <w:basedOn w:val="1"/>
    <w:qFormat/>
    <w:uiPriority w:val="0"/>
    <w:pPr>
      <w:tabs>
        <w:tab w:val="left" w:pos="2040"/>
      </w:tabs>
      <w:spacing w:line="360" w:lineRule="auto"/>
      <w:ind w:left="2040" w:hanging="360"/>
      <w:jc w:val="left"/>
    </w:pPr>
    <w:rPr>
      <w:rFonts w:ascii="宋体" w:hAnsi="宋体"/>
      <w:color w:val="7030A0"/>
      <w:sz w:val="24"/>
      <w:szCs w:val="20"/>
    </w:rPr>
  </w:style>
  <w:style w:type="paragraph" w:styleId="28">
    <w:name w:val="toc 8"/>
    <w:basedOn w:val="1"/>
    <w:next w:val="1"/>
    <w:qFormat/>
    <w:uiPriority w:val="0"/>
    <w:pPr>
      <w:ind w:left="1470"/>
      <w:jc w:val="left"/>
    </w:pPr>
    <w:rPr>
      <w:sz w:val="18"/>
      <w:szCs w:val="18"/>
    </w:rPr>
  </w:style>
  <w:style w:type="paragraph" w:styleId="29">
    <w:name w:val="endnote text"/>
    <w:basedOn w:val="1"/>
    <w:link w:val="85"/>
    <w:qFormat/>
    <w:uiPriority w:val="0"/>
    <w:pPr>
      <w:snapToGrid w:val="0"/>
      <w:spacing w:line="500" w:lineRule="exact"/>
      <w:jc w:val="left"/>
    </w:pPr>
    <w:rPr>
      <w:rFonts w:ascii="Times New Roman" w:hAnsi="Times New Roman"/>
      <w:sz w:val="21"/>
      <w:szCs w:val="24"/>
    </w:rPr>
  </w:style>
  <w:style w:type="paragraph" w:styleId="30">
    <w:name w:val="footer"/>
    <w:basedOn w:val="1"/>
    <w:link w:val="86"/>
    <w:qFormat/>
    <w:uiPriority w:val="0"/>
    <w:pPr>
      <w:tabs>
        <w:tab w:val="center" w:pos="4153"/>
        <w:tab w:val="right" w:pos="8306"/>
      </w:tabs>
      <w:snapToGrid w:val="0"/>
      <w:jc w:val="left"/>
    </w:pPr>
    <w:rPr>
      <w:rFonts w:ascii="Times New Roman" w:hAnsi="Times New Roman"/>
      <w:kern w:val="2"/>
      <w:sz w:val="18"/>
      <w:szCs w:val="18"/>
    </w:rPr>
  </w:style>
  <w:style w:type="paragraph" w:styleId="31">
    <w:name w:val="header"/>
    <w:basedOn w:val="1"/>
    <w:link w:val="89"/>
    <w:qFormat/>
    <w:uiPriority w:val="0"/>
    <w:pPr>
      <w:pBdr>
        <w:bottom w:val="single" w:color="auto" w:sz="6" w:space="1"/>
      </w:pBdr>
      <w:tabs>
        <w:tab w:val="center" w:pos="4153"/>
        <w:tab w:val="right" w:pos="8306"/>
      </w:tabs>
      <w:snapToGrid w:val="0"/>
      <w:jc w:val="center"/>
    </w:pPr>
    <w:rPr>
      <w:rFonts w:ascii="Times New Roman" w:hAnsi="Times New Roman"/>
      <w:kern w:val="2"/>
      <w:sz w:val="18"/>
      <w:szCs w:val="18"/>
    </w:rPr>
  </w:style>
  <w:style w:type="paragraph" w:styleId="32">
    <w:name w:val="toc 1"/>
    <w:basedOn w:val="1"/>
    <w:next w:val="1"/>
    <w:qFormat/>
    <w:uiPriority w:val="0"/>
    <w:pPr>
      <w:tabs>
        <w:tab w:val="right" w:leader="dot" w:pos="8778"/>
      </w:tabs>
      <w:snapToGrid w:val="0"/>
      <w:spacing w:line="360" w:lineRule="auto"/>
      <w:jc w:val="center"/>
    </w:pPr>
    <w:rPr>
      <w:b/>
      <w:bCs/>
      <w:iCs/>
      <w:caps/>
      <w:kern w:val="0"/>
      <w:sz w:val="36"/>
      <w:szCs w:val="36"/>
    </w:rPr>
  </w:style>
  <w:style w:type="paragraph" w:styleId="33">
    <w:name w:val="toc 4"/>
    <w:basedOn w:val="1"/>
    <w:next w:val="1"/>
    <w:qFormat/>
    <w:uiPriority w:val="0"/>
    <w:pPr>
      <w:ind w:left="630"/>
      <w:jc w:val="left"/>
    </w:pPr>
    <w:rPr>
      <w:sz w:val="18"/>
      <w:szCs w:val="18"/>
    </w:rPr>
  </w:style>
  <w:style w:type="paragraph" w:styleId="34">
    <w:name w:val="footnote text"/>
    <w:basedOn w:val="1"/>
    <w:next w:val="17"/>
    <w:link w:val="90"/>
    <w:qFormat/>
    <w:uiPriority w:val="0"/>
    <w:pPr>
      <w:adjustRightInd w:val="0"/>
      <w:spacing w:line="312" w:lineRule="atLeast"/>
      <w:jc w:val="left"/>
      <w:textAlignment w:val="baseline"/>
    </w:pPr>
    <w:rPr>
      <w:rFonts w:ascii="Times New Roman" w:hAnsi="Times New Roman"/>
      <w:sz w:val="18"/>
    </w:rPr>
  </w:style>
  <w:style w:type="paragraph" w:styleId="35">
    <w:name w:val="toc 6"/>
    <w:basedOn w:val="1"/>
    <w:next w:val="1"/>
    <w:qFormat/>
    <w:uiPriority w:val="0"/>
    <w:pPr>
      <w:ind w:left="1050"/>
      <w:jc w:val="left"/>
    </w:pPr>
    <w:rPr>
      <w:sz w:val="18"/>
      <w:szCs w:val="18"/>
    </w:rPr>
  </w:style>
  <w:style w:type="paragraph" w:styleId="36">
    <w:name w:val="toc 2"/>
    <w:basedOn w:val="1"/>
    <w:next w:val="1"/>
    <w:qFormat/>
    <w:uiPriority w:val="0"/>
    <w:pPr>
      <w:tabs>
        <w:tab w:val="right" w:leader="dot" w:pos="8778"/>
      </w:tabs>
      <w:ind w:left="23" w:leftChars="9" w:hanging="4" w:hangingChars="2"/>
      <w:jc w:val="left"/>
    </w:pPr>
    <w:rPr>
      <w:smallCaps/>
      <w:sz w:val="20"/>
      <w:szCs w:val="20"/>
    </w:rPr>
  </w:style>
  <w:style w:type="paragraph" w:styleId="37">
    <w:name w:val="toc 9"/>
    <w:basedOn w:val="1"/>
    <w:next w:val="1"/>
    <w:qFormat/>
    <w:uiPriority w:val="0"/>
    <w:pPr>
      <w:ind w:left="1680"/>
      <w:jc w:val="left"/>
    </w:pPr>
    <w:rPr>
      <w:sz w:val="18"/>
      <w:szCs w:val="18"/>
    </w:rPr>
  </w:style>
  <w:style w:type="paragraph" w:styleId="38">
    <w:name w:val="Normal (Web)"/>
    <w:basedOn w:val="1"/>
    <w:qFormat/>
    <w:uiPriority w:val="0"/>
    <w:pPr>
      <w:spacing w:beforeAutospacing="1" w:afterAutospacing="1"/>
      <w:jc w:val="left"/>
    </w:pPr>
    <w:rPr>
      <w:rFonts w:cs="Times New Roman"/>
      <w:kern w:val="0"/>
      <w:sz w:val="24"/>
      <w:szCs w:val="24"/>
    </w:rPr>
  </w:style>
  <w:style w:type="paragraph" w:styleId="39">
    <w:name w:val="Title"/>
    <w:basedOn w:val="1"/>
    <w:link w:val="99"/>
    <w:qFormat/>
    <w:uiPriority w:val="0"/>
    <w:pPr>
      <w:widowControl/>
      <w:spacing w:before="240" w:after="60"/>
      <w:jc w:val="center"/>
      <w:outlineLvl w:val="0"/>
    </w:pPr>
    <w:rPr>
      <w:rFonts w:ascii="Arial" w:hAnsi="Arial" w:eastAsia="楷体_GB2312"/>
      <w:b/>
      <w:sz w:val="32"/>
    </w:rPr>
  </w:style>
  <w:style w:type="paragraph" w:styleId="40">
    <w:name w:val="Body Text First Indent"/>
    <w:basedOn w:val="21"/>
    <w:qFormat/>
    <w:uiPriority w:val="0"/>
    <w:pPr>
      <w:spacing w:line="312" w:lineRule="auto"/>
      <w:ind w:firstLine="420"/>
    </w:pPr>
  </w:style>
  <w:style w:type="table" w:styleId="4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endnote reference"/>
    <w:qFormat/>
    <w:uiPriority w:val="0"/>
    <w:rPr>
      <w:vertAlign w:val="superscript"/>
    </w:rPr>
  </w:style>
  <w:style w:type="character" w:styleId="46">
    <w:name w:val="FollowedHyperlink"/>
    <w:basedOn w:val="43"/>
    <w:qFormat/>
    <w:uiPriority w:val="0"/>
    <w:rPr>
      <w:color w:val="800080"/>
      <w:u w:val="single"/>
    </w:rPr>
  </w:style>
  <w:style w:type="character" w:styleId="47">
    <w:name w:val="Emphasis"/>
    <w:basedOn w:val="43"/>
    <w:qFormat/>
    <w:uiPriority w:val="0"/>
    <w:rPr>
      <w:i/>
    </w:rPr>
  </w:style>
  <w:style w:type="character" w:styleId="48">
    <w:name w:val="Hyperlink"/>
    <w:basedOn w:val="43"/>
    <w:qFormat/>
    <w:uiPriority w:val="0"/>
    <w:rPr>
      <w:color w:val="0000FF"/>
      <w:u w:val="single"/>
    </w:rPr>
  </w:style>
  <w:style w:type="character" w:styleId="49">
    <w:name w:val="footnote reference"/>
    <w:qFormat/>
    <w:uiPriority w:val="0"/>
    <w:rPr>
      <w:vertAlign w:val="superscript"/>
    </w:rPr>
  </w:style>
  <w:style w:type="paragraph" w:customStyle="1" w:styleId="50">
    <w:name w:val="Char"/>
    <w:basedOn w:val="1"/>
    <w:qFormat/>
    <w:uiPriority w:val="0"/>
    <w:rPr>
      <w:rFonts w:ascii="仿宋_GB2312" w:eastAsia="仿宋_GB2312"/>
      <w:b/>
      <w:sz w:val="32"/>
      <w:szCs w:val="32"/>
    </w:rPr>
  </w:style>
  <w:style w:type="character" w:customStyle="1" w:styleId="51">
    <w:name w:val="标题 1 Char"/>
    <w:basedOn w:val="43"/>
    <w:link w:val="4"/>
    <w:semiHidden/>
    <w:qFormat/>
    <w:uiPriority w:val="0"/>
    <w:rPr>
      <w:rFonts w:ascii="Times New Roman" w:hAnsi="Times New Roman"/>
      <w:b/>
      <w:bCs/>
      <w:kern w:val="44"/>
      <w:sz w:val="44"/>
      <w:szCs w:val="44"/>
    </w:rPr>
  </w:style>
  <w:style w:type="character" w:customStyle="1" w:styleId="52">
    <w:name w:val="标题 2 Char"/>
    <w:basedOn w:val="43"/>
    <w:link w:val="5"/>
    <w:semiHidden/>
    <w:qFormat/>
    <w:uiPriority w:val="0"/>
    <w:rPr>
      <w:rFonts w:ascii="Arial" w:hAnsi="Arial" w:eastAsia="黑体"/>
      <w:b/>
      <w:bCs/>
      <w:kern w:val="2"/>
      <w:sz w:val="32"/>
      <w:szCs w:val="32"/>
    </w:rPr>
  </w:style>
  <w:style w:type="character" w:customStyle="1" w:styleId="53">
    <w:name w:val="标题 3 Char"/>
    <w:basedOn w:val="43"/>
    <w:link w:val="6"/>
    <w:semiHidden/>
    <w:qFormat/>
    <w:uiPriority w:val="0"/>
    <w:rPr>
      <w:rFonts w:ascii="Times New Roman" w:hAnsi="Times New Roman"/>
      <w:b/>
      <w:bCs/>
      <w:kern w:val="2"/>
      <w:sz w:val="32"/>
      <w:szCs w:val="32"/>
    </w:rPr>
  </w:style>
  <w:style w:type="character" w:customStyle="1" w:styleId="54">
    <w:name w:val="标题 4 Char"/>
    <w:basedOn w:val="43"/>
    <w:link w:val="7"/>
    <w:semiHidden/>
    <w:qFormat/>
    <w:uiPriority w:val="0"/>
    <w:rPr>
      <w:rFonts w:ascii="Cambria" w:hAnsi="Cambria" w:eastAsia="宋体" w:cs="Times New Roman"/>
      <w:b/>
      <w:bCs/>
      <w:kern w:val="2"/>
      <w:sz w:val="28"/>
      <w:szCs w:val="28"/>
    </w:rPr>
  </w:style>
  <w:style w:type="character" w:customStyle="1" w:styleId="55">
    <w:name w:val="标题 5 Char"/>
    <w:basedOn w:val="43"/>
    <w:link w:val="8"/>
    <w:autoRedefine/>
    <w:semiHidden/>
    <w:qFormat/>
    <w:uiPriority w:val="0"/>
    <w:rPr>
      <w:rFonts w:ascii="Times New Roman" w:hAnsi="Times New Roman"/>
      <w:b/>
      <w:bCs/>
      <w:kern w:val="2"/>
      <w:sz w:val="28"/>
      <w:szCs w:val="28"/>
    </w:rPr>
  </w:style>
  <w:style w:type="character" w:customStyle="1" w:styleId="56">
    <w:name w:val="标题 6 Char"/>
    <w:basedOn w:val="43"/>
    <w:link w:val="9"/>
    <w:semiHidden/>
    <w:qFormat/>
    <w:uiPriority w:val="0"/>
    <w:rPr>
      <w:rFonts w:ascii="Arial" w:hAnsi="Arial" w:eastAsia="黑体"/>
      <w:b/>
      <w:kern w:val="2"/>
      <w:sz w:val="24"/>
    </w:rPr>
  </w:style>
  <w:style w:type="character" w:customStyle="1" w:styleId="57">
    <w:name w:val="标题 7 Char"/>
    <w:basedOn w:val="43"/>
    <w:link w:val="10"/>
    <w:semiHidden/>
    <w:qFormat/>
    <w:uiPriority w:val="0"/>
    <w:rPr>
      <w:rFonts w:ascii="Times New Roman" w:hAnsi="Times New Roman"/>
      <w:b/>
      <w:kern w:val="2"/>
      <w:sz w:val="24"/>
    </w:rPr>
  </w:style>
  <w:style w:type="character" w:customStyle="1" w:styleId="58">
    <w:name w:val="标题 8 Char"/>
    <w:basedOn w:val="43"/>
    <w:link w:val="11"/>
    <w:semiHidden/>
    <w:qFormat/>
    <w:uiPriority w:val="0"/>
    <w:rPr>
      <w:rFonts w:ascii="Arial" w:hAnsi="Arial" w:eastAsia="黑体"/>
      <w:kern w:val="2"/>
      <w:sz w:val="24"/>
    </w:rPr>
  </w:style>
  <w:style w:type="character" w:customStyle="1" w:styleId="59">
    <w:name w:val="标题 9 Char"/>
    <w:basedOn w:val="43"/>
    <w:link w:val="12"/>
    <w:semiHidden/>
    <w:qFormat/>
    <w:uiPriority w:val="0"/>
    <w:rPr>
      <w:rFonts w:ascii="Arial" w:hAnsi="Arial" w:eastAsia="黑体"/>
      <w:kern w:val="2"/>
      <w:sz w:val="21"/>
    </w:rPr>
  </w:style>
  <w:style w:type="character" w:customStyle="1" w:styleId="60">
    <w:name w:val="批注主题 Char"/>
    <w:basedOn w:val="61"/>
    <w:link w:val="62"/>
    <w:semiHidden/>
    <w:qFormat/>
    <w:uiPriority w:val="0"/>
    <w:rPr>
      <w:b/>
      <w:bCs/>
      <w:kern w:val="2"/>
      <w:sz w:val="21"/>
    </w:rPr>
  </w:style>
  <w:style w:type="character" w:customStyle="1" w:styleId="61">
    <w:name w:val="批注文字 Char"/>
    <w:basedOn w:val="43"/>
    <w:link w:val="19"/>
    <w:semiHidden/>
    <w:qFormat/>
    <w:uiPriority w:val="0"/>
    <w:rPr>
      <w:rFonts w:ascii="Times New Roman" w:hAnsi="Times New Roman" w:eastAsia="宋体" w:cs="Times New Roman"/>
      <w:szCs w:val="24"/>
    </w:rPr>
  </w:style>
  <w:style w:type="paragraph" w:customStyle="1" w:styleId="62">
    <w:name w:val="annotation subject"/>
    <w:basedOn w:val="19"/>
    <w:next w:val="19"/>
    <w:link w:val="60"/>
    <w:qFormat/>
    <w:uiPriority w:val="0"/>
    <w:rPr>
      <w:b/>
      <w:bCs/>
      <w:kern w:val="2"/>
      <w:sz w:val="21"/>
    </w:rPr>
  </w:style>
  <w:style w:type="character" w:customStyle="1" w:styleId="63">
    <w:name w:val="正文首行缩进 Char"/>
    <w:basedOn w:val="64"/>
    <w:link w:val="65"/>
    <w:semiHidden/>
    <w:qFormat/>
    <w:uiPriority w:val="0"/>
    <w:rPr>
      <w:color w:val="7030A0"/>
    </w:rPr>
  </w:style>
  <w:style w:type="character" w:customStyle="1" w:styleId="64">
    <w:name w:val="正文文本 Char"/>
    <w:basedOn w:val="43"/>
    <w:link w:val="21"/>
    <w:semiHidden/>
    <w:qFormat/>
    <w:uiPriority w:val="0"/>
    <w:rPr>
      <w:rFonts w:ascii="Times New Roman" w:hAnsi="Times New Roman"/>
      <w:kern w:val="2"/>
      <w:sz w:val="21"/>
      <w:szCs w:val="24"/>
    </w:rPr>
  </w:style>
  <w:style w:type="paragraph" w:customStyle="1" w:styleId="65">
    <w:name w:val="Body Text First Indent"/>
    <w:basedOn w:val="1"/>
    <w:link w:val="63"/>
    <w:qFormat/>
    <w:uiPriority w:val="0"/>
    <w:pPr>
      <w:tabs>
        <w:tab w:val="left" w:pos="360"/>
      </w:tabs>
      <w:spacing w:line="220" w:lineRule="exact"/>
      <w:ind w:left="360" w:hanging="360" w:firstLineChars="200"/>
      <w:jc w:val="left"/>
    </w:pPr>
    <w:rPr>
      <w:color w:val="7030A0"/>
    </w:rPr>
  </w:style>
  <w:style w:type="character" w:customStyle="1" w:styleId="66">
    <w:name w:val="宏文本 Char"/>
    <w:basedOn w:val="43"/>
    <w:link w:val="67"/>
    <w:semiHidden/>
    <w:qFormat/>
    <w:uiPriority w:val="0"/>
    <w:rPr>
      <w:rFonts w:ascii="Courier New" w:hAnsi="Courier New" w:cs="Courier New"/>
      <w:kern w:val="2"/>
      <w:sz w:val="24"/>
      <w:szCs w:val="24"/>
      <w:lang w:val="en-US" w:eastAsia="zh-CN" w:bidi="ar-SA"/>
    </w:rPr>
  </w:style>
  <w:style w:type="paragraph" w:customStyle="1" w:styleId="67">
    <w:name w:val="macro"/>
    <w:link w:val="6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character" w:customStyle="1" w:styleId="68">
    <w:name w:val="正文缩进 Char"/>
    <w:link w:val="69"/>
    <w:semiHidden/>
    <w:qFormat/>
    <w:uiPriority w:val="0"/>
    <w:rPr>
      <w:rFonts w:ascii="宋体" w:hAnsi="Times New Roman"/>
      <w:sz w:val="24"/>
    </w:rPr>
  </w:style>
  <w:style w:type="paragraph" w:customStyle="1" w:styleId="69">
    <w:name w:val="Normal Indent"/>
    <w:basedOn w:val="1"/>
    <w:link w:val="68"/>
    <w:qFormat/>
    <w:uiPriority w:val="0"/>
    <w:pPr>
      <w:autoSpaceDE w:val="0"/>
      <w:autoSpaceDN w:val="0"/>
      <w:adjustRightInd w:val="0"/>
      <w:spacing w:line="360" w:lineRule="atLeast"/>
      <w:ind w:firstLine="420"/>
      <w:textAlignment w:val="baseline"/>
    </w:pPr>
    <w:rPr>
      <w:rFonts w:ascii="宋体" w:hAnsi="Times New Roman"/>
      <w:sz w:val="24"/>
    </w:rPr>
  </w:style>
  <w:style w:type="character" w:customStyle="1" w:styleId="70">
    <w:name w:val="题注 Char"/>
    <w:link w:val="16"/>
    <w:semiHidden/>
    <w:qFormat/>
    <w:uiPriority w:val="0"/>
    <w:rPr>
      <w:rFonts w:ascii="Times New Roman" w:hAnsi="Times New Roman"/>
      <w:b/>
      <w:bCs/>
      <w:color w:val="000080"/>
      <w:kern w:val="2"/>
      <w:sz w:val="28"/>
      <w:szCs w:val="24"/>
    </w:rPr>
  </w:style>
  <w:style w:type="character" w:customStyle="1" w:styleId="71">
    <w:name w:val="文档结构图 Char"/>
    <w:basedOn w:val="43"/>
    <w:link w:val="72"/>
    <w:autoRedefine/>
    <w:semiHidden/>
    <w:qFormat/>
    <w:uiPriority w:val="0"/>
    <w:rPr>
      <w:rFonts w:ascii="宋体" w:hAnsi="Times New Roman" w:eastAsia="宋体" w:cs="Times New Roman"/>
      <w:sz w:val="18"/>
      <w:szCs w:val="18"/>
    </w:rPr>
  </w:style>
  <w:style w:type="paragraph" w:customStyle="1" w:styleId="72">
    <w:name w:val="Document Map"/>
    <w:basedOn w:val="1"/>
    <w:link w:val="71"/>
    <w:autoRedefine/>
    <w:qFormat/>
    <w:uiPriority w:val="0"/>
    <w:rPr>
      <w:rFonts w:ascii="宋体" w:hAnsi="Times New Roman" w:eastAsia="宋体" w:cs="Times New Roman"/>
      <w:sz w:val="18"/>
      <w:szCs w:val="18"/>
    </w:rPr>
  </w:style>
  <w:style w:type="character" w:customStyle="1" w:styleId="73">
    <w:name w:val="称呼 Char"/>
    <w:basedOn w:val="43"/>
    <w:link w:val="74"/>
    <w:autoRedefine/>
    <w:semiHidden/>
    <w:qFormat/>
    <w:uiPriority w:val="0"/>
    <w:rPr>
      <w:rFonts w:ascii="Times New Roman" w:hAnsi="Times New Roman"/>
      <w:kern w:val="2"/>
      <w:sz w:val="24"/>
    </w:rPr>
  </w:style>
  <w:style w:type="paragraph" w:customStyle="1" w:styleId="74">
    <w:name w:val="Salutation"/>
    <w:basedOn w:val="1"/>
    <w:next w:val="1"/>
    <w:link w:val="73"/>
    <w:autoRedefine/>
    <w:qFormat/>
    <w:uiPriority w:val="0"/>
    <w:rPr>
      <w:rFonts w:ascii="Times New Roman" w:hAnsi="Times New Roman"/>
      <w:kern w:val="2"/>
      <w:sz w:val="24"/>
    </w:rPr>
  </w:style>
  <w:style w:type="character" w:customStyle="1" w:styleId="75">
    <w:name w:val="正文文本 3 Char"/>
    <w:basedOn w:val="43"/>
    <w:link w:val="76"/>
    <w:semiHidden/>
    <w:qFormat/>
    <w:uiPriority w:val="0"/>
    <w:rPr>
      <w:rFonts w:ascii="Times New Roman" w:hAnsi="Times New Roman"/>
      <w:kern w:val="2"/>
      <w:sz w:val="16"/>
      <w:szCs w:val="16"/>
    </w:rPr>
  </w:style>
  <w:style w:type="paragraph" w:customStyle="1" w:styleId="76">
    <w:name w:val="Body Text 3"/>
    <w:basedOn w:val="1"/>
    <w:link w:val="75"/>
    <w:qFormat/>
    <w:uiPriority w:val="0"/>
    <w:pPr>
      <w:spacing w:after="120"/>
    </w:pPr>
    <w:rPr>
      <w:rFonts w:ascii="Times New Roman" w:hAnsi="Times New Roman"/>
      <w:kern w:val="2"/>
      <w:sz w:val="16"/>
      <w:szCs w:val="16"/>
    </w:rPr>
  </w:style>
  <w:style w:type="character" w:customStyle="1" w:styleId="77">
    <w:name w:val="正文文本缩进 Char"/>
    <w:basedOn w:val="43"/>
    <w:semiHidden/>
    <w:qFormat/>
    <w:uiPriority w:val="0"/>
    <w:rPr>
      <w:rFonts w:ascii="Times New Roman" w:hAnsi="Times New Roman"/>
      <w:kern w:val="2"/>
      <w:sz w:val="21"/>
      <w:szCs w:val="24"/>
    </w:rPr>
  </w:style>
  <w:style w:type="paragraph" w:customStyle="1" w:styleId="78">
    <w:name w:val="Body Text Indent"/>
    <w:basedOn w:val="1"/>
    <w:link w:val="412"/>
    <w:qFormat/>
    <w:uiPriority w:val="0"/>
    <w:pPr>
      <w:spacing w:line="360" w:lineRule="auto"/>
    </w:pPr>
    <w:rPr>
      <w:rFonts w:ascii="宋体" w:hAnsi="Times New Roman"/>
      <w:kern w:val="2"/>
      <w:sz w:val="21"/>
    </w:rPr>
  </w:style>
  <w:style w:type="character" w:customStyle="1" w:styleId="79">
    <w:name w:val="纯文本 Char"/>
    <w:basedOn w:val="43"/>
    <w:link w:val="80"/>
    <w:semiHidden/>
    <w:qFormat/>
    <w:uiPriority w:val="0"/>
    <w:rPr>
      <w:rFonts w:ascii="宋体" w:hAnsi="Courier New" w:cs="Courier New"/>
      <w:kern w:val="2"/>
      <w:sz w:val="21"/>
      <w:szCs w:val="21"/>
    </w:rPr>
  </w:style>
  <w:style w:type="paragraph" w:customStyle="1" w:styleId="80">
    <w:name w:val="Plain Text"/>
    <w:basedOn w:val="1"/>
    <w:link w:val="79"/>
    <w:qFormat/>
    <w:uiPriority w:val="0"/>
    <w:rPr>
      <w:rFonts w:ascii="宋体" w:hAnsi="Courier New" w:cs="Courier New"/>
      <w:kern w:val="2"/>
      <w:sz w:val="21"/>
      <w:szCs w:val="21"/>
    </w:rPr>
  </w:style>
  <w:style w:type="character" w:customStyle="1" w:styleId="81">
    <w:name w:val="日期 Char"/>
    <w:link w:val="82"/>
    <w:semiHidden/>
    <w:qFormat/>
    <w:uiPriority w:val="0"/>
    <w:rPr>
      <w:rFonts w:eastAsia="楷体_GB2312"/>
      <w:kern w:val="2"/>
      <w:sz w:val="30"/>
    </w:rPr>
  </w:style>
  <w:style w:type="paragraph" w:customStyle="1" w:styleId="82">
    <w:name w:val="Date"/>
    <w:basedOn w:val="1"/>
    <w:next w:val="1"/>
    <w:link w:val="81"/>
    <w:qFormat/>
    <w:uiPriority w:val="0"/>
    <w:pPr>
      <w:autoSpaceDE w:val="0"/>
      <w:autoSpaceDN w:val="0"/>
      <w:adjustRightInd w:val="0"/>
      <w:textAlignment w:val="baseline"/>
    </w:pPr>
    <w:rPr>
      <w:rFonts w:eastAsia="楷体_GB2312"/>
      <w:kern w:val="2"/>
      <w:sz w:val="30"/>
    </w:rPr>
  </w:style>
  <w:style w:type="character" w:customStyle="1" w:styleId="83">
    <w:name w:val="正文文本缩进 2 Char"/>
    <w:basedOn w:val="43"/>
    <w:link w:val="84"/>
    <w:semiHidden/>
    <w:qFormat/>
    <w:uiPriority w:val="0"/>
    <w:rPr>
      <w:rFonts w:ascii="Times New Roman" w:hAnsi="Times New Roman"/>
      <w:kern w:val="2"/>
      <w:sz w:val="21"/>
    </w:rPr>
  </w:style>
  <w:style w:type="paragraph" w:customStyle="1" w:styleId="84">
    <w:name w:val="Body Text Indent 2"/>
    <w:basedOn w:val="1"/>
    <w:link w:val="83"/>
    <w:qFormat/>
    <w:uiPriority w:val="0"/>
    <w:pPr>
      <w:spacing w:after="120" w:line="480" w:lineRule="auto"/>
      <w:ind w:left="420" w:leftChars="200"/>
    </w:pPr>
    <w:rPr>
      <w:rFonts w:ascii="Times New Roman" w:hAnsi="Times New Roman"/>
      <w:kern w:val="2"/>
      <w:sz w:val="21"/>
    </w:rPr>
  </w:style>
  <w:style w:type="character" w:customStyle="1" w:styleId="85">
    <w:name w:val="尾注文本 Char"/>
    <w:basedOn w:val="43"/>
    <w:link w:val="29"/>
    <w:semiHidden/>
    <w:qFormat/>
    <w:uiPriority w:val="0"/>
    <w:rPr>
      <w:rFonts w:ascii="Times New Roman" w:hAnsi="Times New Roman"/>
      <w:sz w:val="21"/>
      <w:szCs w:val="24"/>
    </w:rPr>
  </w:style>
  <w:style w:type="character" w:customStyle="1" w:styleId="86">
    <w:name w:val="页脚 Char"/>
    <w:basedOn w:val="43"/>
    <w:link w:val="30"/>
    <w:semiHidden/>
    <w:qFormat/>
    <w:uiPriority w:val="0"/>
    <w:rPr>
      <w:rFonts w:ascii="Times New Roman" w:hAnsi="Times New Roman"/>
      <w:kern w:val="2"/>
      <w:sz w:val="18"/>
      <w:szCs w:val="18"/>
    </w:rPr>
  </w:style>
  <w:style w:type="character" w:customStyle="1" w:styleId="87">
    <w:name w:val="正文首行缩进 2 Char"/>
    <w:basedOn w:val="77"/>
    <w:link w:val="88"/>
    <w:semiHidden/>
    <w:qFormat/>
    <w:uiPriority w:val="0"/>
    <w:rPr>
      <w:rFonts w:ascii="宋体" w:hAnsi="宋体"/>
    </w:rPr>
  </w:style>
  <w:style w:type="paragraph" w:customStyle="1" w:styleId="88">
    <w:name w:val="Body Text First Indent 2"/>
    <w:basedOn w:val="78"/>
    <w:link w:val="87"/>
    <w:qFormat/>
    <w:uiPriority w:val="0"/>
    <w:pPr>
      <w:spacing w:after="120" w:line="240" w:lineRule="auto"/>
      <w:ind w:left="420" w:leftChars="200" w:firstLine="200" w:firstLineChars="200"/>
      <w:jc w:val="left"/>
    </w:pPr>
    <w:rPr>
      <w:rFonts w:ascii="宋体" w:hAnsi="宋体"/>
    </w:rPr>
  </w:style>
  <w:style w:type="character" w:customStyle="1" w:styleId="89">
    <w:name w:val="页眉 Char"/>
    <w:basedOn w:val="43"/>
    <w:link w:val="31"/>
    <w:semiHidden/>
    <w:qFormat/>
    <w:uiPriority w:val="0"/>
    <w:rPr>
      <w:rFonts w:ascii="Times New Roman" w:hAnsi="Times New Roman"/>
      <w:kern w:val="2"/>
      <w:sz w:val="18"/>
      <w:szCs w:val="18"/>
    </w:rPr>
  </w:style>
  <w:style w:type="character" w:customStyle="1" w:styleId="90">
    <w:name w:val="脚注文本 Char"/>
    <w:basedOn w:val="43"/>
    <w:link w:val="34"/>
    <w:semiHidden/>
    <w:qFormat/>
    <w:uiPriority w:val="0"/>
    <w:rPr>
      <w:rFonts w:ascii="Times New Roman" w:hAnsi="Times New Roman"/>
      <w:sz w:val="18"/>
    </w:rPr>
  </w:style>
  <w:style w:type="character" w:customStyle="1" w:styleId="91">
    <w:name w:val="正文文本缩进 3 Char"/>
    <w:basedOn w:val="43"/>
    <w:link w:val="92"/>
    <w:semiHidden/>
    <w:qFormat/>
    <w:uiPriority w:val="0"/>
    <w:rPr>
      <w:rFonts w:ascii="Times New Roman" w:hAnsi="Times New Roman"/>
      <w:kern w:val="2"/>
      <w:sz w:val="21"/>
    </w:rPr>
  </w:style>
  <w:style w:type="paragraph" w:customStyle="1" w:styleId="92">
    <w:name w:val="Body Text Indent 3"/>
    <w:basedOn w:val="1"/>
    <w:link w:val="91"/>
    <w:qFormat/>
    <w:uiPriority w:val="0"/>
    <w:pPr>
      <w:ind w:left="1260" w:leftChars="600"/>
    </w:pPr>
    <w:rPr>
      <w:rFonts w:ascii="Times New Roman" w:hAnsi="Times New Roman"/>
      <w:kern w:val="2"/>
      <w:sz w:val="21"/>
    </w:rPr>
  </w:style>
  <w:style w:type="character" w:customStyle="1" w:styleId="93">
    <w:name w:val="正文文本 2 Char"/>
    <w:basedOn w:val="43"/>
    <w:link w:val="94"/>
    <w:semiHidden/>
    <w:qFormat/>
    <w:uiPriority w:val="0"/>
    <w:rPr>
      <w:rFonts w:ascii="Times New Roman" w:hAnsi="Times New Roman"/>
      <w:kern w:val="2"/>
      <w:sz w:val="21"/>
    </w:rPr>
  </w:style>
  <w:style w:type="paragraph" w:customStyle="1" w:styleId="94">
    <w:name w:val="Body Text 2"/>
    <w:basedOn w:val="1"/>
    <w:link w:val="93"/>
    <w:qFormat/>
    <w:uiPriority w:val="0"/>
    <w:pPr>
      <w:spacing w:after="120" w:line="480" w:lineRule="auto"/>
    </w:pPr>
    <w:rPr>
      <w:rFonts w:ascii="Times New Roman" w:hAnsi="Times New Roman"/>
      <w:kern w:val="2"/>
      <w:sz w:val="21"/>
    </w:rPr>
  </w:style>
  <w:style w:type="character" w:customStyle="1" w:styleId="95">
    <w:name w:val="信息标题 Char"/>
    <w:basedOn w:val="43"/>
    <w:link w:val="96"/>
    <w:semiHidden/>
    <w:qFormat/>
    <w:uiPriority w:val="0"/>
    <w:rPr>
      <w:rFonts w:ascii="Arial" w:hAnsi="Arial" w:cs="Arial"/>
      <w:color w:val="7030A0"/>
      <w:kern w:val="2"/>
      <w:sz w:val="24"/>
      <w:szCs w:val="24"/>
      <w:shd w:val="pct20" w:color="auto" w:fill="auto"/>
    </w:rPr>
  </w:style>
  <w:style w:type="paragraph" w:customStyle="1" w:styleId="96">
    <w:name w:val="Message Header"/>
    <w:basedOn w:val="1"/>
    <w:link w:val="9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color w:val="7030A0"/>
      <w:kern w:val="2"/>
      <w:sz w:val="24"/>
      <w:szCs w:val="24"/>
      <w:shd w:val="pct20" w:color="auto" w:fill="auto"/>
    </w:rPr>
  </w:style>
  <w:style w:type="character" w:customStyle="1" w:styleId="97">
    <w:name w:val="HTML 预设格式 Char"/>
    <w:basedOn w:val="43"/>
    <w:link w:val="98"/>
    <w:semiHidden/>
    <w:qFormat/>
    <w:uiPriority w:val="0"/>
    <w:rPr>
      <w:rFonts w:ascii="Arial" w:hAnsi="Arial"/>
      <w:sz w:val="21"/>
      <w:szCs w:val="21"/>
    </w:rPr>
  </w:style>
  <w:style w:type="paragraph" w:customStyle="1" w:styleId="98">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firstLineChars="200"/>
      <w:jc w:val="left"/>
    </w:pPr>
    <w:rPr>
      <w:rFonts w:ascii="Arial" w:hAnsi="Arial"/>
      <w:sz w:val="21"/>
      <w:szCs w:val="21"/>
    </w:rPr>
  </w:style>
  <w:style w:type="character" w:customStyle="1" w:styleId="99">
    <w:name w:val="标题 Char"/>
    <w:basedOn w:val="43"/>
    <w:link w:val="39"/>
    <w:semiHidden/>
    <w:qFormat/>
    <w:uiPriority w:val="0"/>
    <w:rPr>
      <w:rFonts w:ascii="Arial" w:hAnsi="Arial" w:eastAsia="楷体_GB2312"/>
      <w:b/>
      <w:sz w:val="32"/>
    </w:rPr>
  </w:style>
  <w:style w:type="paragraph" w:customStyle="1" w:styleId="100">
    <w:name w:val="批注框文本 Char Char"/>
    <w:basedOn w:val="1"/>
    <w:link w:val="364"/>
    <w:qFormat/>
    <w:uiPriority w:val="0"/>
    <w:rPr>
      <w:rFonts w:ascii="Times New Roman" w:hAnsi="Times New Roman" w:eastAsia="宋体" w:cs="Times New Roman"/>
      <w:sz w:val="18"/>
      <w:szCs w:val="18"/>
    </w:rPr>
  </w:style>
  <w:style w:type="paragraph" w:customStyle="1" w:styleId="101">
    <w:name w:val="List Number 2"/>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102">
    <w:name w:val="table of authorities"/>
    <w:basedOn w:val="1"/>
    <w:next w:val="1"/>
    <w:qFormat/>
    <w:uiPriority w:val="0"/>
    <w:pPr>
      <w:spacing w:line="480" w:lineRule="exact"/>
      <w:ind w:left="420" w:leftChars="200" w:firstLine="200" w:firstLineChars="200"/>
      <w:jc w:val="left"/>
    </w:pPr>
    <w:rPr>
      <w:color w:val="7030A0"/>
      <w:sz w:val="24"/>
    </w:rPr>
  </w:style>
  <w:style w:type="paragraph" w:customStyle="1" w:styleId="103">
    <w:name w:val="index 8"/>
    <w:basedOn w:val="1"/>
    <w:next w:val="1"/>
    <w:qFormat/>
    <w:uiPriority w:val="0"/>
    <w:pPr>
      <w:spacing w:line="480" w:lineRule="exact"/>
      <w:ind w:left="1400" w:leftChars="1400" w:firstLine="200" w:firstLineChars="200"/>
      <w:jc w:val="left"/>
    </w:pPr>
    <w:rPr>
      <w:color w:val="7030A0"/>
      <w:sz w:val="24"/>
    </w:rPr>
  </w:style>
  <w:style w:type="paragraph" w:customStyle="1" w:styleId="104">
    <w:name w:val="index 5"/>
    <w:basedOn w:val="1"/>
    <w:next w:val="1"/>
    <w:qFormat/>
    <w:uiPriority w:val="0"/>
    <w:pPr>
      <w:spacing w:line="480" w:lineRule="exact"/>
      <w:ind w:left="800" w:leftChars="800" w:firstLine="200" w:firstLineChars="200"/>
      <w:jc w:val="left"/>
    </w:pPr>
    <w:rPr>
      <w:color w:val="7030A0"/>
      <w:sz w:val="24"/>
    </w:rPr>
  </w:style>
  <w:style w:type="paragraph" w:customStyle="1" w:styleId="105">
    <w:name w:val="toa heading"/>
    <w:basedOn w:val="1"/>
    <w:next w:val="1"/>
    <w:qFormat/>
    <w:uiPriority w:val="0"/>
    <w:pPr>
      <w:spacing w:before="120"/>
    </w:pPr>
    <w:rPr>
      <w:rFonts w:ascii="Arial" w:hAnsi="Arial" w:cs="Arial"/>
      <w:sz w:val="24"/>
    </w:rPr>
  </w:style>
  <w:style w:type="paragraph" w:customStyle="1" w:styleId="106">
    <w:name w:val="index 6"/>
    <w:basedOn w:val="1"/>
    <w:next w:val="1"/>
    <w:qFormat/>
    <w:uiPriority w:val="0"/>
    <w:pPr>
      <w:spacing w:line="480" w:lineRule="exact"/>
      <w:ind w:left="1000" w:leftChars="1000" w:firstLine="200" w:firstLineChars="200"/>
      <w:jc w:val="left"/>
    </w:pPr>
    <w:rPr>
      <w:color w:val="7030A0"/>
      <w:sz w:val="24"/>
    </w:rPr>
  </w:style>
  <w:style w:type="paragraph" w:customStyle="1" w:styleId="107">
    <w:name w:val="List Number 3"/>
    <w:basedOn w:val="1"/>
    <w:qFormat/>
    <w:uiPriority w:val="0"/>
    <w:pPr>
      <w:tabs>
        <w:tab w:val="left" w:pos="1200"/>
      </w:tabs>
      <w:spacing w:line="360" w:lineRule="auto"/>
      <w:ind w:left="1200" w:hanging="360"/>
      <w:jc w:val="left"/>
    </w:pPr>
    <w:rPr>
      <w:rFonts w:ascii="宋体" w:hAnsi="宋体"/>
      <w:color w:val="7030A0"/>
      <w:sz w:val="24"/>
      <w:szCs w:val="20"/>
    </w:rPr>
  </w:style>
  <w:style w:type="paragraph" w:customStyle="1" w:styleId="108">
    <w:name w:val="List 2"/>
    <w:basedOn w:val="1"/>
    <w:qFormat/>
    <w:uiPriority w:val="0"/>
    <w:pPr>
      <w:widowControl/>
      <w:ind w:left="840" w:hanging="420"/>
      <w:jc w:val="left"/>
    </w:pPr>
    <w:rPr>
      <w:rFonts w:ascii="宋体"/>
      <w:kern w:val="0"/>
      <w:sz w:val="22"/>
      <w:szCs w:val="20"/>
    </w:rPr>
  </w:style>
  <w:style w:type="paragraph" w:customStyle="1" w:styleId="109">
    <w:name w:val="List Continue"/>
    <w:basedOn w:val="1"/>
    <w:qFormat/>
    <w:uiPriority w:val="0"/>
    <w:pPr>
      <w:widowControl/>
      <w:spacing w:after="120"/>
      <w:ind w:left="420"/>
      <w:jc w:val="left"/>
    </w:pPr>
    <w:rPr>
      <w:rFonts w:ascii="宋体"/>
      <w:kern w:val="0"/>
      <w:sz w:val="22"/>
      <w:szCs w:val="20"/>
    </w:rPr>
  </w:style>
  <w:style w:type="paragraph" w:customStyle="1" w:styleId="110">
    <w:name w:val="Block Text"/>
    <w:basedOn w:val="1"/>
    <w:qFormat/>
    <w:uiPriority w:val="0"/>
    <w:pPr>
      <w:tabs>
        <w:tab w:val="left" w:pos="8364"/>
      </w:tabs>
      <w:ind w:left="840" w:right="-57" w:hanging="300"/>
    </w:pPr>
    <w:rPr>
      <w:rFonts w:ascii="宋体"/>
      <w:szCs w:val="20"/>
    </w:rPr>
  </w:style>
  <w:style w:type="paragraph" w:customStyle="1" w:styleId="111">
    <w:name w:val="index 4"/>
    <w:basedOn w:val="1"/>
    <w:next w:val="1"/>
    <w:qFormat/>
    <w:uiPriority w:val="0"/>
    <w:pPr>
      <w:spacing w:line="480" w:lineRule="exact"/>
      <w:ind w:left="600" w:leftChars="600" w:firstLine="200" w:firstLineChars="200"/>
      <w:jc w:val="left"/>
    </w:pPr>
    <w:rPr>
      <w:color w:val="7030A0"/>
      <w:sz w:val="24"/>
    </w:rPr>
  </w:style>
  <w:style w:type="paragraph" w:customStyle="1" w:styleId="112">
    <w:name w:val="List Number 4"/>
    <w:basedOn w:val="1"/>
    <w:qFormat/>
    <w:uiPriority w:val="0"/>
    <w:pPr>
      <w:tabs>
        <w:tab w:val="left" w:pos="1620"/>
      </w:tabs>
      <w:spacing w:line="360" w:lineRule="auto"/>
      <w:ind w:left="1620" w:hanging="360"/>
    </w:pPr>
    <w:rPr>
      <w:rFonts w:ascii="宋体" w:hAnsi="宋体"/>
      <w:sz w:val="24"/>
      <w:szCs w:val="20"/>
    </w:rPr>
  </w:style>
  <w:style w:type="paragraph" w:customStyle="1" w:styleId="113">
    <w:name w:val="index 3"/>
    <w:basedOn w:val="1"/>
    <w:next w:val="1"/>
    <w:qFormat/>
    <w:uiPriority w:val="0"/>
    <w:pPr>
      <w:spacing w:line="480" w:lineRule="exact"/>
      <w:ind w:left="400" w:leftChars="400" w:firstLine="200" w:firstLineChars="200"/>
      <w:jc w:val="left"/>
    </w:pPr>
    <w:rPr>
      <w:color w:val="7030A0"/>
      <w:sz w:val="24"/>
    </w:rPr>
  </w:style>
  <w:style w:type="paragraph" w:customStyle="1" w:styleId="114">
    <w:name w:val="index heading"/>
    <w:basedOn w:val="1"/>
    <w:next w:val="115"/>
    <w:qFormat/>
    <w:uiPriority w:val="0"/>
  </w:style>
  <w:style w:type="paragraph" w:customStyle="1" w:styleId="115">
    <w:name w:val="index 1"/>
    <w:basedOn w:val="1"/>
    <w:next w:val="1"/>
    <w:qFormat/>
    <w:uiPriority w:val="0"/>
    <w:pPr>
      <w:spacing w:line="360" w:lineRule="auto"/>
      <w:ind w:left="1149" w:leftChars="547"/>
    </w:pPr>
    <w:rPr>
      <w:szCs w:val="20"/>
    </w:rPr>
  </w:style>
  <w:style w:type="paragraph" w:customStyle="1" w:styleId="116">
    <w:name w:val="List Number 5"/>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117">
    <w:name w:val="List"/>
    <w:basedOn w:val="1"/>
    <w:qFormat/>
    <w:uiPriority w:val="0"/>
    <w:pPr>
      <w:ind w:left="200" w:hanging="200" w:hangingChars="200"/>
    </w:pPr>
    <w:rPr>
      <w:szCs w:val="20"/>
    </w:rPr>
  </w:style>
  <w:style w:type="paragraph" w:customStyle="1" w:styleId="118">
    <w:name w:val="index 7"/>
    <w:basedOn w:val="1"/>
    <w:next w:val="1"/>
    <w:qFormat/>
    <w:uiPriority w:val="0"/>
    <w:pPr>
      <w:spacing w:line="480" w:lineRule="exact"/>
      <w:ind w:left="1200" w:leftChars="1200" w:firstLine="200" w:firstLineChars="200"/>
      <w:jc w:val="left"/>
    </w:pPr>
    <w:rPr>
      <w:color w:val="7030A0"/>
      <w:sz w:val="24"/>
    </w:rPr>
  </w:style>
  <w:style w:type="paragraph" w:customStyle="1" w:styleId="119">
    <w:name w:val="index 9"/>
    <w:basedOn w:val="1"/>
    <w:next w:val="1"/>
    <w:qFormat/>
    <w:uiPriority w:val="0"/>
    <w:pPr>
      <w:spacing w:line="480" w:lineRule="exact"/>
      <w:ind w:left="1600" w:leftChars="1600" w:firstLine="200" w:firstLineChars="200"/>
      <w:jc w:val="left"/>
    </w:pPr>
    <w:rPr>
      <w:color w:val="7030A0"/>
      <w:sz w:val="24"/>
    </w:rPr>
  </w:style>
  <w:style w:type="paragraph" w:customStyle="1" w:styleId="120">
    <w:name w:val="table of figures"/>
    <w:basedOn w:val="1"/>
    <w:next w:val="1"/>
    <w:qFormat/>
    <w:uiPriority w:val="0"/>
    <w:pPr>
      <w:spacing w:line="480" w:lineRule="exact"/>
      <w:ind w:left="200" w:leftChars="200" w:hanging="200" w:hangingChars="200"/>
      <w:jc w:val="left"/>
    </w:pPr>
    <w:rPr>
      <w:color w:val="7030A0"/>
      <w:sz w:val="24"/>
    </w:rPr>
  </w:style>
  <w:style w:type="paragraph" w:customStyle="1" w:styleId="121">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22">
    <w:name w:val="index 2"/>
    <w:basedOn w:val="1"/>
    <w:next w:val="1"/>
    <w:qFormat/>
    <w:uiPriority w:val="0"/>
    <w:pPr>
      <w:spacing w:line="480" w:lineRule="exact"/>
      <w:ind w:left="200" w:leftChars="200" w:firstLine="200" w:firstLineChars="200"/>
      <w:jc w:val="left"/>
    </w:pPr>
    <w:rPr>
      <w:color w:val="7030A0"/>
      <w:sz w:val="24"/>
    </w:rPr>
  </w:style>
  <w:style w:type="paragraph" w:customStyle="1" w:styleId="123">
    <w:name w:val="标题4"/>
    <w:basedOn w:val="1"/>
    <w:next w:val="1"/>
    <w:qFormat/>
    <w:uiPriority w:val="0"/>
    <w:pPr>
      <w:keepNext/>
      <w:spacing w:line="360" w:lineRule="auto"/>
      <w:ind w:firstLine="200" w:firstLineChars="200"/>
      <w:jc w:val="left"/>
      <w:outlineLvl w:val="3"/>
    </w:pPr>
    <w:rPr>
      <w:b/>
      <w:kern w:val="0"/>
      <w:sz w:val="30"/>
    </w:rPr>
  </w:style>
  <w:style w:type="paragraph" w:customStyle="1" w:styleId="124">
    <w:name w:val="四级标题格式"/>
    <w:basedOn w:val="7"/>
    <w:link w:val="367"/>
    <w:qFormat/>
    <w:uiPriority w:val="0"/>
    <w:pPr>
      <w:spacing w:before="0" w:afterLines="100" w:line="240" w:lineRule="auto"/>
      <w:jc w:val="left"/>
    </w:pPr>
    <w:rPr>
      <w:rFonts w:ascii="Times New Roman" w:hAnsi="Times New Roman" w:eastAsia="黑体"/>
      <w:kern w:val="2"/>
      <w:sz w:val="28"/>
      <w:szCs w:val="28"/>
    </w:rPr>
  </w:style>
  <w:style w:type="paragraph" w:customStyle="1" w:styleId="125">
    <w:name w:val="标题3"/>
    <w:basedOn w:val="6"/>
    <w:link w:val="370"/>
    <w:qFormat/>
    <w:uiPriority w:val="0"/>
    <w:pPr>
      <w:tabs>
        <w:tab w:val="left" w:pos="360"/>
        <w:tab w:val="left" w:pos="840"/>
        <w:tab w:val="left" w:pos="2160"/>
      </w:tabs>
      <w:adjustRightInd w:val="0"/>
      <w:spacing w:before="0" w:after="0" w:line="360" w:lineRule="auto"/>
      <w:textAlignment w:val="baseline"/>
    </w:pPr>
    <w:rPr>
      <w:rFonts w:ascii="宋体" w:hAnsi="宋体"/>
      <w:color w:val="92D050"/>
      <w:kern w:val="44"/>
      <w:sz w:val="24"/>
      <w:szCs w:val="21"/>
    </w:rPr>
  </w:style>
  <w:style w:type="paragraph" w:customStyle="1" w:styleId="126">
    <w:name w:val="样式 宋体 行距: 固定值 24 磅"/>
    <w:basedOn w:val="1"/>
    <w:link w:val="372"/>
    <w:qFormat/>
    <w:uiPriority w:val="0"/>
    <w:pPr>
      <w:spacing w:line="480" w:lineRule="exact"/>
      <w:ind w:firstLine="585" w:firstLineChars="200"/>
      <w:jc w:val="left"/>
    </w:pPr>
    <w:rPr>
      <w:rFonts w:ascii="宋体" w:cs="宋体"/>
      <w:color w:val="7030A0"/>
      <w:kern w:val="2"/>
      <w:sz w:val="28"/>
    </w:rPr>
  </w:style>
  <w:style w:type="paragraph" w:customStyle="1" w:styleId="127">
    <w:name w:val="样式 首行缩进:  2 字符"/>
    <w:basedOn w:val="1"/>
    <w:link w:val="373"/>
    <w:qFormat/>
    <w:uiPriority w:val="0"/>
    <w:pPr>
      <w:spacing w:line="480" w:lineRule="exact"/>
      <w:ind w:firstLine="480" w:firstLineChars="200"/>
      <w:jc w:val="left"/>
    </w:pPr>
    <w:rPr>
      <w:rFonts w:ascii="Times New Roman" w:hAnsi="Times New Roman"/>
      <w:color w:val="7030A0"/>
      <w:kern w:val="2"/>
      <w:sz w:val="24"/>
    </w:rPr>
  </w:style>
  <w:style w:type="paragraph" w:customStyle="1" w:styleId="128">
    <w:name w:val="正文－wjnew"/>
    <w:basedOn w:val="1"/>
    <w:link w:val="375"/>
    <w:qFormat/>
    <w:uiPriority w:val="0"/>
    <w:pPr>
      <w:adjustRightInd w:val="0"/>
      <w:snapToGrid w:val="0"/>
      <w:spacing w:line="360" w:lineRule="auto"/>
      <w:ind w:firstLine="420"/>
    </w:pPr>
    <w:rPr>
      <w:rFonts w:ascii="宋体" w:cs="宋体"/>
      <w:kern w:val="2"/>
      <w:sz w:val="21"/>
      <w:szCs w:val="21"/>
    </w:rPr>
  </w:style>
  <w:style w:type="paragraph" w:customStyle="1" w:styleId="129">
    <w:name w:val="(1)"/>
    <w:basedOn w:val="1"/>
    <w:next w:val="1"/>
    <w:link w:val="377"/>
    <w:qFormat/>
    <w:uiPriority w:val="0"/>
    <w:pPr>
      <w:tabs>
        <w:tab w:val="left" w:pos="813"/>
      </w:tabs>
      <w:spacing w:line="360" w:lineRule="auto"/>
      <w:ind w:left="813" w:hanging="567"/>
    </w:pPr>
    <w:rPr>
      <w:rFonts w:ascii="宋体" w:hAnsi="宋体"/>
      <w:kern w:val="2"/>
      <w:sz w:val="24"/>
      <w:szCs w:val="24"/>
    </w:rPr>
  </w:style>
  <w:style w:type="paragraph" w:customStyle="1" w:styleId="130">
    <w:name w:val="正文 BJ15"/>
    <w:basedOn w:val="1"/>
    <w:link w:val="380"/>
    <w:qFormat/>
    <w:uiPriority w:val="0"/>
    <w:pPr>
      <w:adjustRightInd w:val="0"/>
      <w:snapToGrid w:val="0"/>
      <w:spacing w:line="360" w:lineRule="auto"/>
      <w:ind w:firstLine="200" w:firstLineChars="200"/>
      <w:jc w:val="left"/>
    </w:pPr>
    <w:rPr>
      <w:rFonts w:ascii="Times New Roman" w:hAnsi="Times New Roman"/>
      <w:kern w:val="2"/>
      <w:sz w:val="24"/>
      <w:szCs w:val="24"/>
    </w:rPr>
  </w:style>
  <w:style w:type="paragraph" w:customStyle="1" w:styleId="131">
    <w:name w:val="正文－zlb"/>
    <w:basedOn w:val="1"/>
    <w:link w:val="388"/>
    <w:qFormat/>
    <w:uiPriority w:val="0"/>
    <w:pPr>
      <w:adjustRightInd w:val="0"/>
      <w:snapToGrid w:val="0"/>
      <w:spacing w:line="360" w:lineRule="auto"/>
      <w:ind w:firstLine="420"/>
    </w:pPr>
    <w:rPr>
      <w:rFonts w:ascii="宋体" w:cs="宋体"/>
      <w:kern w:val="2"/>
      <w:sz w:val="24"/>
      <w:szCs w:val="24"/>
    </w:rPr>
  </w:style>
  <w:style w:type="paragraph" w:customStyle="1" w:styleId="132">
    <w:name w:val="图表标题 BJ8"/>
    <w:basedOn w:val="1"/>
    <w:link w:val="393"/>
    <w:qFormat/>
    <w:uiPriority w:val="0"/>
    <w:pPr>
      <w:adjustRightInd w:val="0"/>
      <w:snapToGrid w:val="0"/>
      <w:ind w:firstLine="200" w:firstLineChars="200"/>
      <w:jc w:val="center"/>
    </w:pPr>
    <w:rPr>
      <w:rFonts w:ascii="Times New Roman" w:hAnsi="Times New Roman" w:eastAsia="黑体"/>
      <w:kern w:val="2"/>
      <w:sz w:val="24"/>
    </w:rPr>
  </w:style>
  <w:style w:type="paragraph" w:customStyle="1" w:styleId="133">
    <w:name w:val="列表框2"/>
    <w:basedOn w:val="1"/>
    <w:link w:val="395"/>
    <w:qFormat/>
    <w:uiPriority w:val="0"/>
    <w:pPr>
      <w:tabs>
        <w:tab w:val="left" w:pos="360"/>
        <w:tab w:val="left" w:pos="1628"/>
        <w:tab w:val="left" w:pos="2086"/>
      </w:tabs>
      <w:adjustRightInd w:val="0"/>
      <w:snapToGrid w:val="0"/>
      <w:ind w:left="1748" w:right="210" w:rightChars="100" w:hanging="434" w:firstLineChars="200"/>
      <w:jc w:val="left"/>
    </w:pPr>
    <w:rPr>
      <w:color w:val="7030A0"/>
      <w:spacing w:val="10"/>
      <w:sz w:val="24"/>
      <w:szCs w:val="24"/>
    </w:rPr>
  </w:style>
  <w:style w:type="paragraph" w:customStyle="1" w:styleId="134">
    <w:name w:val="五级标题格式"/>
    <w:basedOn w:val="8"/>
    <w:link w:val="397"/>
    <w:qFormat/>
    <w:uiPriority w:val="0"/>
    <w:pPr>
      <w:tabs>
        <w:tab w:val="clear" w:pos="1008"/>
      </w:tabs>
      <w:spacing w:before="0" w:afterLines="50" w:line="240" w:lineRule="auto"/>
      <w:ind w:left="0" w:firstLine="0"/>
      <w:jc w:val="left"/>
    </w:pPr>
    <w:rPr>
      <w:rFonts w:ascii="Times New Roman" w:hAnsi="Times New Roman"/>
      <w:kern w:val="2"/>
      <w:sz w:val="24"/>
      <w:szCs w:val="28"/>
    </w:rPr>
  </w:style>
  <w:style w:type="paragraph" w:customStyle="1" w:styleId="135">
    <w:name w:val="正文段落格式"/>
    <w:basedOn w:val="127"/>
    <w:link w:val="401"/>
    <w:qFormat/>
    <w:uiPriority w:val="0"/>
    <w:pPr>
      <w:spacing w:afterLines="50" w:line="336" w:lineRule="auto"/>
    </w:pPr>
    <w:rPr>
      <w:rFonts w:ascii="Times New Roman" w:hAnsi="Times New Roman"/>
      <w:color w:val="7030A0"/>
      <w:kern w:val="2"/>
      <w:sz w:val="24"/>
    </w:rPr>
  </w:style>
  <w:style w:type="paragraph" w:customStyle="1" w:styleId="136">
    <w:name w:val="表格文字 BJ8"/>
    <w:basedOn w:val="1"/>
    <w:link w:val="402"/>
    <w:qFormat/>
    <w:uiPriority w:val="0"/>
    <w:pPr>
      <w:adjustRightInd w:val="0"/>
      <w:snapToGrid w:val="0"/>
      <w:spacing w:line="400" w:lineRule="exact"/>
      <w:ind w:firstLine="200" w:firstLineChars="200"/>
      <w:jc w:val="center"/>
    </w:pPr>
    <w:rPr>
      <w:rFonts w:ascii="Times New Roman" w:hAnsi="Times New Roman"/>
      <w:kern w:val="2"/>
      <w:sz w:val="21"/>
      <w:szCs w:val="21"/>
    </w:rPr>
  </w:style>
  <w:style w:type="paragraph" w:customStyle="1" w:styleId="137">
    <w:name w:val="样式 标题 31.1条标题1.1.1二级节名h3Heading 3 - oldheading 3H3H31H3..."/>
    <w:basedOn w:val="6"/>
    <w:link w:val="404"/>
    <w:qFormat/>
    <w:uiPriority w:val="0"/>
    <w:pPr>
      <w:spacing w:before="240" w:after="120" w:line="480" w:lineRule="exact"/>
      <w:jc w:val="left"/>
    </w:pPr>
    <w:rPr>
      <w:rFonts w:ascii="宋体" w:hAnsi="宋体" w:eastAsia="黑体"/>
      <w:kern w:val="2"/>
      <w:sz w:val="24"/>
      <w:szCs w:val="21"/>
    </w:rPr>
  </w:style>
  <w:style w:type="paragraph" w:customStyle="1" w:styleId="138">
    <w:name w:val="标题2"/>
    <w:basedOn w:val="4"/>
    <w:link w:val="405"/>
    <w:qFormat/>
    <w:uiPriority w:val="0"/>
    <w:pPr>
      <w:spacing w:before="0" w:after="0" w:line="312" w:lineRule="auto"/>
      <w:ind w:left="0" w:firstLine="0"/>
      <w:jc w:val="center"/>
    </w:pPr>
    <w:rPr>
      <w:rFonts w:ascii="宋体" w:hAnsi="Times New Roman"/>
      <w:color w:val="92D050"/>
      <w:kern w:val="44"/>
      <w:sz w:val="30"/>
    </w:rPr>
  </w:style>
  <w:style w:type="paragraph" w:customStyle="1" w:styleId="139">
    <w:name w:val="正文 QD3"/>
    <w:basedOn w:val="1"/>
    <w:link w:val="408"/>
    <w:qFormat/>
    <w:uiPriority w:val="0"/>
    <w:pPr>
      <w:adjustRightInd w:val="0"/>
      <w:snapToGrid w:val="0"/>
      <w:spacing w:line="360" w:lineRule="auto"/>
      <w:ind w:firstLine="200" w:firstLineChars="200"/>
      <w:jc w:val="left"/>
    </w:pPr>
    <w:rPr>
      <w:rFonts w:ascii="Times New Roman" w:hAnsi="Times New Roman"/>
      <w:kern w:val="2"/>
      <w:sz w:val="24"/>
      <w:szCs w:val="24"/>
    </w:rPr>
  </w:style>
  <w:style w:type="paragraph" w:customStyle="1" w:styleId="140">
    <w:name w:val="正文 BJ8"/>
    <w:basedOn w:val="1"/>
    <w:link w:val="409"/>
    <w:qFormat/>
    <w:uiPriority w:val="0"/>
    <w:pPr>
      <w:adjustRightInd w:val="0"/>
      <w:snapToGrid w:val="0"/>
      <w:spacing w:line="360" w:lineRule="auto"/>
      <w:ind w:firstLine="200" w:firstLineChars="200"/>
      <w:jc w:val="left"/>
    </w:pPr>
    <w:rPr>
      <w:rFonts w:ascii="Times New Roman" w:hAnsi="Times New Roman"/>
      <w:color w:val="7030A0"/>
      <w:kern w:val="2"/>
      <w:sz w:val="24"/>
      <w:szCs w:val="24"/>
    </w:rPr>
  </w:style>
  <w:style w:type="paragraph" w:customStyle="1" w:styleId="141">
    <w:name w:val="正文1"/>
    <w:basedOn w:val="1"/>
    <w:link w:val="413"/>
    <w:qFormat/>
    <w:uiPriority w:val="0"/>
    <w:pPr>
      <w:tabs>
        <w:tab w:val="left" w:pos="720"/>
        <w:tab w:val="right" w:pos="1191"/>
      </w:tabs>
      <w:spacing w:line="360" w:lineRule="auto"/>
      <w:ind w:left="720" w:hanging="360"/>
    </w:pPr>
    <w:rPr>
      <w:rFonts w:ascii="宋体" w:hAnsi="宋体"/>
      <w:kern w:val="10"/>
      <w:sz w:val="21"/>
      <w:szCs w:val="24"/>
    </w:rPr>
  </w:style>
  <w:style w:type="paragraph" w:customStyle="1" w:styleId="142">
    <w:name w:val="样式"/>
    <w:link w:val="41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3">
    <w:name w:val="无编号正文"/>
    <w:basedOn w:val="21"/>
    <w:next w:val="1"/>
    <w:link w:val="415"/>
    <w:qFormat/>
    <w:uiPriority w:val="0"/>
    <w:pPr>
      <w:ind w:left="200" w:leftChars="200" w:firstLine="200" w:firstLineChars="200"/>
    </w:pPr>
    <w:rPr>
      <w:rFonts w:ascii="宋体" w:hAnsi="宋体"/>
      <w:sz w:val="24"/>
      <w:szCs w:val="24"/>
    </w:rPr>
  </w:style>
  <w:style w:type="paragraph" w:customStyle="1" w:styleId="144">
    <w:name w:val="表图名称"/>
    <w:link w:val="416"/>
    <w:qFormat/>
    <w:uiPriority w:val="0"/>
    <w:pPr>
      <w:widowControl w:val="0"/>
      <w:tabs>
        <w:tab w:val="left" w:pos="6120"/>
        <w:tab w:val="left" w:pos="13784"/>
      </w:tabs>
      <w:adjustRightInd w:val="0"/>
      <w:snapToGrid w:val="0"/>
      <w:spacing w:line="360" w:lineRule="auto"/>
      <w:jc w:val="center"/>
    </w:pPr>
    <w:rPr>
      <w:rFonts w:ascii="黑体" w:hAnsi="宋体" w:eastAsia="黑体" w:cs="Times New Roman"/>
      <w:kern w:val="2"/>
      <w:sz w:val="24"/>
      <w:szCs w:val="24"/>
      <w:lang w:val="en-US" w:eastAsia="zh-CN" w:bidi="ar-SA"/>
    </w:rPr>
  </w:style>
  <w:style w:type="paragraph" w:customStyle="1" w:styleId="145">
    <w:name w:val="表格文字图表文字"/>
    <w:basedOn w:val="1"/>
    <w:link w:val="418"/>
    <w:qFormat/>
    <w:uiPriority w:val="0"/>
    <w:pPr>
      <w:snapToGrid w:val="0"/>
      <w:ind w:firstLine="200" w:firstLineChars="200"/>
      <w:jc w:val="center"/>
    </w:pPr>
    <w:rPr>
      <w:rFonts w:ascii="Times New Roman" w:hAnsi="Times New Roman"/>
      <w:color w:val="7030A0"/>
      <w:kern w:val="2"/>
      <w:sz w:val="21"/>
    </w:rPr>
  </w:style>
  <w:style w:type="paragraph" w:customStyle="1" w:styleId="146">
    <w:name w:val="xl51"/>
    <w:basedOn w:val="1"/>
    <w:qFormat/>
    <w:uiPriority w:val="0"/>
    <w:pPr>
      <w:widowControl/>
      <w:pBdr>
        <w:top w:val="single" w:color="auto" w:sz="4" w:space="0"/>
        <w:bottom w:val="single" w:color="auto" w:sz="4" w:space="0"/>
        <w:right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147">
    <w:name w:val="通用"/>
    <w:basedOn w:val="1"/>
    <w:qFormat/>
    <w:uiPriority w:val="0"/>
    <w:pPr>
      <w:spacing w:line="360" w:lineRule="auto"/>
      <w:ind w:left="840" w:leftChars="400"/>
    </w:pPr>
    <w:rPr>
      <w:rFonts w:ascii="宋体" w:hAnsi="宋体"/>
      <w:szCs w:val="20"/>
    </w:rPr>
  </w:style>
  <w:style w:type="paragraph" w:customStyle="1" w:styleId="148">
    <w:name w:val="样式 目录 1 + 首行缩进:  2 字符"/>
    <w:basedOn w:val="1"/>
    <w:qFormat/>
    <w:uiPriority w:val="0"/>
    <w:pPr>
      <w:adjustRightInd w:val="0"/>
      <w:snapToGrid w:val="0"/>
      <w:spacing w:line="360" w:lineRule="auto"/>
      <w:ind w:firstLine="200" w:firstLineChars="200"/>
      <w:jc w:val="center"/>
    </w:pPr>
    <w:rPr>
      <w:rFonts w:cs="宋体"/>
      <w:b/>
      <w:bCs/>
      <w:caps/>
      <w:color w:val="7030A0"/>
      <w:sz w:val="30"/>
      <w:szCs w:val="28"/>
    </w:rPr>
  </w:style>
  <w:style w:type="paragraph" w:customStyle="1" w:styleId="149">
    <w:name w:val="1"/>
    <w:basedOn w:val="1"/>
    <w:next w:val="94"/>
    <w:qFormat/>
    <w:uiPriority w:val="0"/>
    <w:pPr>
      <w:spacing w:after="120" w:line="480" w:lineRule="auto"/>
      <w:ind w:firstLine="200" w:firstLineChars="200"/>
      <w:jc w:val="left"/>
    </w:pPr>
    <w:rPr>
      <w:color w:val="7030A0"/>
    </w:rPr>
  </w:style>
  <w:style w:type="paragraph" w:customStyle="1" w:styleId="15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宋体" w:hAnsi="宋体" w:cs="宋体"/>
      <w:kern w:val="0"/>
      <w:sz w:val="20"/>
      <w:szCs w:val="20"/>
    </w:rPr>
  </w:style>
  <w:style w:type="paragraph" w:customStyle="1" w:styleId="151">
    <w:name w:val="Footer First"/>
    <w:basedOn w:val="3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52">
    <w:name w:val="zhengwen"/>
    <w:basedOn w:val="1"/>
    <w:qFormat/>
    <w:uiPriority w:val="0"/>
    <w:pPr>
      <w:tabs>
        <w:tab w:val="left" w:pos="1077"/>
      </w:tabs>
      <w:adjustRightInd w:val="0"/>
      <w:snapToGrid w:val="0"/>
      <w:spacing w:line="520" w:lineRule="exact"/>
      <w:ind w:left="1077" w:firstLine="200" w:firstLineChars="200"/>
      <w:jc w:val="left"/>
    </w:pPr>
    <w:rPr>
      <w:bCs/>
      <w:color w:val="7030A0"/>
      <w:sz w:val="28"/>
    </w:rPr>
  </w:style>
  <w:style w:type="paragraph" w:customStyle="1" w:styleId="153">
    <w:name w:val="样式 宋体 行距: 1.5 倍行距"/>
    <w:basedOn w:val="1"/>
    <w:qFormat/>
    <w:uiPriority w:val="0"/>
    <w:pPr>
      <w:ind w:firstLine="200" w:firstLineChars="200"/>
      <w:jc w:val="left"/>
    </w:pPr>
    <w:rPr>
      <w:rFonts w:ascii="宋体" w:hAnsi="宋体"/>
      <w:color w:val="7030A0"/>
      <w:szCs w:val="20"/>
    </w:rPr>
  </w:style>
  <w:style w:type="paragraph" w:customStyle="1" w:styleId="154">
    <w:name w:val="样式 左侧:  2 字符 段前: 0.5 行"/>
    <w:basedOn w:val="1"/>
    <w:qFormat/>
    <w:uiPriority w:val="0"/>
    <w:pPr>
      <w:spacing w:beforeLines="50"/>
      <w:ind w:firstLine="200" w:firstLineChars="200"/>
    </w:pPr>
    <w:rPr>
      <w:rFonts w:ascii="宋体" w:cs="宋体"/>
      <w:sz w:val="24"/>
      <w:szCs w:val="20"/>
    </w:rPr>
  </w:style>
  <w:style w:type="paragraph" w:customStyle="1" w:styleId="155">
    <w:name w:val="八级正文格式"/>
    <w:basedOn w:val="135"/>
    <w:qFormat/>
    <w:uiPriority w:val="0"/>
    <w:pPr>
      <w:spacing w:after="120"/>
      <w:ind w:firstLine="0" w:firstLineChars="0"/>
    </w:pPr>
  </w:style>
  <w:style w:type="paragraph" w:customStyle="1" w:styleId="15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Cs w:val="21"/>
    </w:rPr>
  </w:style>
  <w:style w:type="paragraph" w:customStyle="1" w:styleId="157">
    <w:name w:val="样式 样式 列表框 Char Char Char Char Char + 段后: 0.5 行 + 左侧:  6 字符 首行缩进..."/>
    <w:basedOn w:val="158"/>
    <w:qFormat/>
    <w:uiPriority w:val="0"/>
    <w:pPr>
      <w:tabs>
        <w:tab w:val="left" w:pos="420"/>
        <w:tab w:val="left" w:pos="2297"/>
      </w:tabs>
      <w:ind w:left="2297" w:leftChars="0" w:hanging="420" w:firstLineChars="0"/>
    </w:pPr>
  </w:style>
  <w:style w:type="paragraph" w:customStyle="1" w:styleId="158">
    <w:name w:val="样式 列表框 Char Char Char Char Char + 段后: 0.5 行"/>
    <w:basedOn w:val="159"/>
    <w:qFormat/>
    <w:uiPriority w:val="0"/>
    <w:pPr>
      <w:tabs>
        <w:tab w:val="left" w:pos="420"/>
      </w:tabs>
      <w:spacing w:after="156"/>
    </w:pPr>
    <w:rPr>
      <w:szCs w:val="20"/>
    </w:rPr>
  </w:style>
  <w:style w:type="paragraph" w:customStyle="1" w:styleId="159">
    <w:name w:val="正常文本 Char Char Char Char Char Char Char Char Char Char Char Char Char Char"/>
    <w:basedOn w:val="1"/>
    <w:qFormat/>
    <w:uiPriority w:val="0"/>
    <w:pPr>
      <w:spacing w:afterLines="50" w:line="320" w:lineRule="exact"/>
      <w:ind w:left="600" w:leftChars="600" w:firstLine="208" w:firstLineChars="208"/>
      <w:jc w:val="left"/>
    </w:pPr>
    <w:rPr>
      <w:rFonts w:ascii="宋体" w:hAnsi="宋体" w:eastAsia="楷体_GB2312"/>
      <w:color w:val="7030A0"/>
      <w:szCs w:val="18"/>
    </w:rPr>
  </w:style>
  <w:style w:type="paragraph" w:customStyle="1" w:styleId="16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61">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6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63">
    <w:name w:val="xl7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164">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65">
    <w:name w:val="正文文本缩进 21"/>
    <w:basedOn w:val="1"/>
    <w:qFormat/>
    <w:uiPriority w:val="0"/>
    <w:pPr>
      <w:autoSpaceDE w:val="0"/>
      <w:autoSpaceDN w:val="0"/>
      <w:adjustRightInd w:val="0"/>
      <w:spacing w:line="360" w:lineRule="auto"/>
      <w:ind w:firstLine="360" w:firstLineChars="200"/>
      <w:jc w:val="left"/>
      <w:textAlignment w:val="baseline"/>
    </w:pPr>
    <w:rPr>
      <w:rFonts w:ascii="宋体"/>
      <w:color w:val="7030A0"/>
      <w:sz w:val="24"/>
      <w:szCs w:val="20"/>
    </w:rPr>
  </w:style>
  <w:style w:type="paragraph" w:customStyle="1" w:styleId="166">
    <w:name w:val="批注框文本1"/>
    <w:basedOn w:val="1"/>
    <w:qFormat/>
    <w:uiPriority w:val="0"/>
    <w:rPr>
      <w:sz w:val="16"/>
      <w:szCs w:val="16"/>
    </w:rPr>
  </w:style>
  <w:style w:type="paragraph" w:customStyle="1" w:styleId="167">
    <w:name w:val="*"/>
    <w:basedOn w:val="1"/>
    <w:qFormat/>
    <w:uiPriority w:val="0"/>
    <w:pPr>
      <w:spacing w:line="360" w:lineRule="auto"/>
    </w:pPr>
    <w:rPr>
      <w:rFonts w:ascii="宋体" w:hAnsi="宋体"/>
      <w:kern w:val="0"/>
      <w:sz w:val="24"/>
    </w:rPr>
  </w:style>
  <w:style w:type="paragraph" w:customStyle="1" w:styleId="16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169">
    <w:name w:val="表格标题"/>
    <w:basedOn w:val="8"/>
    <w:qFormat/>
    <w:uiPriority w:val="0"/>
    <w:pPr>
      <w:tabs>
        <w:tab w:val="clear" w:pos="1008"/>
      </w:tabs>
      <w:spacing w:before="0" w:after="0" w:line="240" w:lineRule="auto"/>
      <w:ind w:left="0" w:firstLine="0"/>
      <w:jc w:val="center"/>
      <w:outlineLvl w:val="8"/>
    </w:pPr>
    <w:rPr>
      <w:b w:val="0"/>
      <w:sz w:val="21"/>
      <w:szCs w:val="28"/>
      <w:lang w:val="zh-CN"/>
    </w:rPr>
  </w:style>
  <w:style w:type="paragraph" w:customStyle="1" w:styleId="170">
    <w:name w:val="七级标题格式"/>
    <w:basedOn w:val="1"/>
    <w:qFormat/>
    <w:uiPriority w:val="0"/>
    <w:pPr>
      <w:spacing w:afterLines="50" w:line="336" w:lineRule="auto"/>
      <w:ind w:firstLine="200" w:firstLineChars="200"/>
      <w:jc w:val="left"/>
      <w:outlineLvl w:val="6"/>
    </w:pPr>
    <w:rPr>
      <w:color w:val="7030A0"/>
      <w:sz w:val="24"/>
    </w:rPr>
  </w:style>
  <w:style w:type="paragraph" w:customStyle="1" w:styleId="171">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72">
    <w:name w:val="表格文字"/>
    <w:basedOn w:val="145"/>
    <w:qFormat/>
    <w:uiPriority w:val="0"/>
  </w:style>
  <w:style w:type="paragraph" w:customStyle="1" w:styleId="173">
    <w:name w:val="二级标题格式"/>
    <w:basedOn w:val="5"/>
    <w:qFormat/>
    <w:uiPriority w:val="0"/>
    <w:pPr>
      <w:spacing w:before="0" w:afterLines="100" w:line="240" w:lineRule="auto"/>
      <w:jc w:val="left"/>
    </w:pPr>
    <w:rPr>
      <w:rFonts w:ascii="Times New Roman" w:hAnsi="Times New Roman"/>
      <w:b w:val="0"/>
      <w:color w:val="C00000"/>
      <w:sz w:val="28"/>
      <w:szCs w:val="28"/>
    </w:rPr>
  </w:style>
  <w:style w:type="paragraph" w:customStyle="1" w:styleId="174">
    <w:name w:val="样式 标题 1标题 1 1编号标题1标题1 + 宋体 加粗"/>
    <w:basedOn w:val="4"/>
    <w:qFormat/>
    <w:uiPriority w:val="0"/>
    <w:pPr>
      <w:tabs>
        <w:tab w:val="left" w:pos="2340"/>
        <w:tab w:val="clear" w:pos="1440"/>
      </w:tabs>
      <w:spacing w:before="240" w:afterLines="50" w:line="360" w:lineRule="exact"/>
      <w:ind w:left="1304" w:hanging="1304"/>
      <w:jc w:val="left"/>
    </w:pPr>
    <w:rPr>
      <w:rFonts w:ascii="宋体" w:hAnsi="宋体" w:cs="Arial"/>
      <w:sz w:val="28"/>
      <w:szCs w:val="28"/>
    </w:rPr>
  </w:style>
  <w:style w:type="paragraph" w:customStyle="1" w:styleId="175">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6">
    <w:name w:val="列表框 Char Char Char Char Char"/>
    <w:basedOn w:val="159"/>
    <w:next w:val="159"/>
    <w:qFormat/>
    <w:uiPriority w:val="0"/>
    <w:pPr>
      <w:tabs>
        <w:tab w:val="left" w:pos="450"/>
        <w:tab w:val="left" w:pos="874"/>
      </w:tabs>
      <w:adjustRightInd w:val="0"/>
      <w:snapToGrid w:val="0"/>
      <w:ind w:left="874" w:leftChars="0" w:right="-5" w:rightChars="-5" w:hanging="420" w:firstLineChars="0"/>
    </w:pPr>
    <w:rPr>
      <w:rFonts w:ascii="Times New Roman" w:hAnsi="Times New Roman"/>
      <w:szCs w:val="21"/>
    </w:rPr>
  </w:style>
  <w:style w:type="paragraph" w:customStyle="1" w:styleId="177">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178">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7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0">
    <w:name w:val="Sprechblasentext"/>
    <w:basedOn w:val="1"/>
    <w:qFormat/>
    <w:uiPriority w:val="0"/>
    <w:pPr>
      <w:spacing w:line="300" w:lineRule="atLeast"/>
      <w:ind w:firstLine="709"/>
    </w:pPr>
    <w:rPr>
      <w:rFonts w:ascii="Tahoma" w:hAnsi="Tahoma" w:cs="Tahoma"/>
      <w:sz w:val="16"/>
      <w:szCs w:val="16"/>
    </w:rPr>
  </w:style>
  <w:style w:type="paragraph" w:customStyle="1" w:styleId="181">
    <w:name w:val="p0"/>
    <w:basedOn w:val="1"/>
    <w:qFormat/>
    <w:uiPriority w:val="0"/>
    <w:pPr>
      <w:widowControl/>
    </w:pPr>
    <w:rPr>
      <w:kern w:val="0"/>
      <w:szCs w:val="21"/>
    </w:rPr>
  </w:style>
  <w:style w:type="paragraph" w:customStyle="1" w:styleId="182">
    <w:name w:val="样式 样式 标题 3 + 段前: 1 行 段后: 0.5 行 + 段前: 1 行 段后: 0.5 行"/>
    <w:basedOn w:val="1"/>
    <w:qFormat/>
    <w:uiPriority w:val="0"/>
    <w:pPr>
      <w:keepNext/>
      <w:keepLines/>
      <w:spacing w:beforeLines="100" w:afterLines="50"/>
      <w:ind w:firstLine="200" w:firstLineChars="200"/>
      <w:jc w:val="left"/>
      <w:outlineLvl w:val="2"/>
    </w:pPr>
    <w:rPr>
      <w:rFonts w:eastAsia="黑体" w:cs="宋体"/>
      <w:bCs/>
      <w:color w:val="7030A0"/>
      <w:sz w:val="22"/>
      <w:szCs w:val="22"/>
    </w:rPr>
  </w:style>
  <w:style w:type="paragraph" w:customStyle="1" w:styleId="183">
    <w:name w:val="表格正文"/>
    <w:basedOn w:val="1"/>
    <w:next w:val="1"/>
    <w:qFormat/>
    <w:uiPriority w:val="0"/>
    <w:pPr>
      <w:adjustRightInd w:val="0"/>
      <w:snapToGrid w:val="0"/>
      <w:jc w:val="center"/>
    </w:pPr>
    <w:rPr>
      <w:color w:val="548DD4"/>
    </w:rPr>
  </w:style>
  <w:style w:type="paragraph" w:customStyle="1" w:styleId="184">
    <w:name w:val="样式1"/>
    <w:basedOn w:val="31"/>
    <w:next w:val="1"/>
    <w:qFormat/>
    <w:uiPriority w:val="0"/>
    <w:pPr>
      <w:jc w:val="left"/>
    </w:pPr>
  </w:style>
  <w:style w:type="paragraph" w:customStyle="1" w:styleId="185">
    <w:name w:val="_Style 1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8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88">
    <w:name w:val="Body text 1"/>
    <w:basedOn w:val="1"/>
    <w:qFormat/>
    <w:uiPriority w:val="0"/>
    <w:pPr>
      <w:tabs>
        <w:tab w:val="left" w:pos="1134"/>
      </w:tabs>
      <w:autoSpaceDE w:val="0"/>
      <w:autoSpaceDN w:val="0"/>
      <w:adjustRightInd w:val="0"/>
      <w:spacing w:before="170" w:line="300" w:lineRule="atLeast"/>
      <w:ind w:left="1134" w:hanging="1134"/>
    </w:pPr>
    <w:rPr>
      <w:color w:val="000000"/>
      <w:kern w:val="0"/>
      <w:sz w:val="24"/>
      <w:szCs w:val="20"/>
    </w:rPr>
  </w:style>
  <w:style w:type="paragraph" w:customStyle="1" w:styleId="18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90">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91">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kern w:val="0"/>
      <w:szCs w:val="21"/>
    </w:rPr>
  </w:style>
  <w:style w:type="paragraph" w:customStyle="1" w:styleId="192">
    <w:name w:val="默认段落字体 Para Char Char Char Char Char Char Char"/>
    <w:basedOn w:val="1"/>
    <w:qFormat/>
    <w:uiPriority w:val="0"/>
    <w:pPr>
      <w:tabs>
        <w:tab w:val="left" w:pos="4665"/>
        <w:tab w:val="left" w:pos="8970"/>
      </w:tabs>
      <w:ind w:firstLine="400"/>
    </w:pPr>
    <w:rPr>
      <w:szCs w:val="20"/>
    </w:rPr>
  </w:style>
  <w:style w:type="paragraph" w:customStyle="1" w:styleId="19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94">
    <w:name w:val="xl40"/>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195">
    <w:name w:val="招标文件》"/>
    <w:basedOn w:val="196"/>
    <w:qFormat/>
    <w:uiPriority w:val="0"/>
    <w:pPr>
      <w:tabs>
        <w:tab w:val="left" w:pos="560"/>
      </w:tabs>
      <w:ind w:left="200" w:firstLine="0" w:firstLineChars="0"/>
    </w:pPr>
  </w:style>
  <w:style w:type="paragraph" w:customStyle="1" w:styleId="196">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197">
    <w:name w:val="Numbered List"/>
    <w:basedOn w:val="31"/>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98">
    <w:name w:val="列出段落1"/>
    <w:basedOn w:val="1"/>
    <w:qFormat/>
    <w:uiPriority w:val="0"/>
    <w:pPr>
      <w:ind w:firstLine="420" w:firstLineChars="200"/>
    </w:pPr>
    <w:rPr>
      <w:szCs w:val="20"/>
    </w:rPr>
  </w:style>
  <w:style w:type="paragraph" w:customStyle="1" w:styleId="199">
    <w:name w:val="font6"/>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00">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01">
    <w:name w:val="xl52"/>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02">
    <w:name w:val="正文3"/>
    <w:qFormat/>
    <w:uiPriority w:val="0"/>
    <w:pPr>
      <w:spacing w:line="40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203">
    <w:name w:val="Char1 Char Char1 Char Char Char Char Char Char"/>
    <w:basedOn w:val="1"/>
    <w:qFormat/>
    <w:uiPriority w:val="0"/>
  </w:style>
  <w:style w:type="paragraph" w:customStyle="1" w:styleId="204">
    <w:name w:val="正文文本1"/>
    <w:autoRedefine/>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05">
    <w:name w:val="样式 标题 5 + 右侧:  -0.18 字符"/>
    <w:basedOn w:val="1"/>
    <w:qFormat/>
    <w:uiPriority w:val="0"/>
    <w:pPr>
      <w:tabs>
        <w:tab w:val="left" w:pos="1008"/>
      </w:tabs>
      <w:ind w:left="1134" w:hanging="1134"/>
    </w:pPr>
  </w:style>
  <w:style w:type="paragraph" w:customStyle="1" w:styleId="206">
    <w:name w:val="xl24"/>
    <w:basedOn w:val="1"/>
    <w:qFormat/>
    <w:uiPriority w:val="0"/>
    <w:pPr>
      <w:widowControl/>
      <w:spacing w:before="100" w:beforeAutospacing="1" w:after="100" w:afterAutospacing="1"/>
      <w:jc w:val="left"/>
    </w:pPr>
    <w:rPr>
      <w:kern w:val="0"/>
      <w:sz w:val="24"/>
    </w:rPr>
  </w:style>
  <w:style w:type="paragraph" w:customStyle="1" w:styleId="207">
    <w:name w:val="xl28"/>
    <w:basedOn w:val="1"/>
    <w:qFormat/>
    <w:uiPriority w:val="0"/>
    <w:pPr>
      <w:widowControl/>
      <w:spacing w:before="100" w:beforeAutospacing="1" w:after="100" w:afterAutospacing="1"/>
      <w:jc w:val="center"/>
    </w:pPr>
    <w:rPr>
      <w:kern w:val="0"/>
      <w:sz w:val="24"/>
    </w:rPr>
  </w:style>
  <w:style w:type="paragraph" w:customStyle="1" w:styleId="208">
    <w:name w:val="默认段落字体 Para Char Char Char Char"/>
    <w:basedOn w:val="1"/>
    <w:qFormat/>
    <w:uiPriority w:val="0"/>
    <w:rPr>
      <w:szCs w:val="20"/>
    </w:rPr>
  </w:style>
  <w:style w:type="paragraph" w:customStyle="1" w:styleId="209">
    <w:name w:val="註解方塊文字"/>
    <w:basedOn w:val="1"/>
    <w:qFormat/>
    <w:uiPriority w:val="0"/>
    <w:pPr>
      <w:widowControl/>
      <w:jc w:val="left"/>
    </w:pPr>
    <w:rPr>
      <w:rFonts w:ascii="Arial" w:hAnsi="Arial" w:eastAsia="PMingLiU"/>
      <w:kern w:val="0"/>
      <w:sz w:val="18"/>
      <w:szCs w:val="18"/>
    </w:rPr>
  </w:style>
  <w:style w:type="paragraph" w:customStyle="1" w:styleId="210">
    <w:name w:val="标题四"/>
    <w:basedOn w:val="211"/>
    <w:qFormat/>
    <w:uiPriority w:val="0"/>
    <w:pPr>
      <w:tabs>
        <w:tab w:val="left" w:pos="0"/>
      </w:tabs>
      <w:spacing w:line="360" w:lineRule="auto"/>
      <w:ind w:left="0"/>
    </w:pPr>
    <w:rPr>
      <w:rFonts w:ascii="Tahoma" w:hAnsi="Tahoma"/>
      <w:sz w:val="24"/>
      <w:szCs w:val="24"/>
    </w:rPr>
  </w:style>
  <w:style w:type="paragraph" w:customStyle="1" w:styleId="211">
    <w:name w:val="招标文件1.1.1"/>
    <w:qFormat/>
    <w:uiPriority w:val="0"/>
    <w:pPr>
      <w:spacing w:before="120" w:after="120" w:line="480" w:lineRule="exact"/>
      <w:ind w:left="200"/>
      <w:outlineLvl w:val="3"/>
    </w:pPr>
    <w:rPr>
      <w:rFonts w:ascii="宋体" w:hAnsi="Times New Roman" w:eastAsia="宋体" w:cs="Times New Roman"/>
      <w:b/>
      <w:spacing w:val="10"/>
      <w:w w:val="95"/>
      <w:sz w:val="21"/>
      <w:lang w:val="en-US" w:eastAsia="zh-CN" w:bidi="ar-SA"/>
    </w:rPr>
  </w:style>
  <w:style w:type="paragraph" w:customStyle="1" w:styleId="212">
    <w:name w:val="font5"/>
    <w:basedOn w:val="1"/>
    <w:qFormat/>
    <w:uiPriority w:val="0"/>
    <w:pPr>
      <w:widowControl/>
      <w:spacing w:before="100" w:beforeAutospacing="1" w:after="100" w:afterAutospacing="1"/>
      <w:jc w:val="left"/>
    </w:pPr>
    <w:rPr>
      <w:b/>
      <w:bCs/>
      <w:kern w:val="0"/>
      <w:sz w:val="22"/>
      <w:szCs w:val="22"/>
    </w:rPr>
  </w:style>
  <w:style w:type="paragraph" w:customStyle="1" w:styleId="213">
    <w:name w:val="Char Char Char Char Char"/>
    <w:basedOn w:val="1"/>
    <w:qFormat/>
    <w:uiPriority w:val="0"/>
    <w:pPr>
      <w:ind w:firstLine="200" w:firstLineChars="200"/>
      <w:jc w:val="left"/>
    </w:pPr>
    <w:rPr>
      <w:rFonts w:ascii="Tahoma" w:hAnsi="Tahoma"/>
      <w:color w:val="7030A0"/>
      <w:sz w:val="24"/>
      <w:szCs w:val="20"/>
    </w:rPr>
  </w:style>
  <w:style w:type="paragraph" w:customStyle="1" w:styleId="21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15">
    <w:name w:val="样式 标题 4 + 段前: 自动"/>
    <w:basedOn w:val="7"/>
    <w:qFormat/>
    <w:uiPriority w:val="0"/>
    <w:pPr>
      <w:tabs>
        <w:tab w:val="left" w:pos="1062"/>
      </w:tabs>
      <w:spacing w:beforeLines="50" w:after="0" w:line="400" w:lineRule="exact"/>
      <w:ind w:left="1062" w:hanging="864"/>
    </w:pPr>
    <w:rPr>
      <w:rFonts w:ascii="宋体" w:hAnsi="Arial" w:cs="宋体"/>
      <w:sz w:val="24"/>
      <w:szCs w:val="24"/>
    </w:rPr>
  </w:style>
  <w:style w:type="paragraph" w:customStyle="1" w:styleId="216">
    <w:name w:val="顺序编号-zlb"/>
    <w:basedOn w:val="217"/>
    <w:qFormat/>
    <w:uiPriority w:val="0"/>
    <w:pPr>
      <w:tabs>
        <w:tab w:val="left" w:pos="0"/>
      </w:tabs>
      <w:ind w:firstLine="425"/>
      <w:outlineLvl w:val="8"/>
    </w:pPr>
  </w:style>
  <w:style w:type="paragraph" w:customStyle="1" w:styleId="217">
    <w:name w:val="级别4"/>
    <w:basedOn w:val="218"/>
    <w:qFormat/>
    <w:uiPriority w:val="0"/>
    <w:pPr>
      <w:tabs>
        <w:tab w:val="left" w:pos="0"/>
      </w:tabs>
      <w:outlineLvl w:val="3"/>
    </w:pPr>
    <w:rPr>
      <w:b w:val="0"/>
      <w:kern w:val="0"/>
    </w:rPr>
  </w:style>
  <w:style w:type="paragraph" w:customStyle="1" w:styleId="218">
    <w:name w:val="级别2"/>
    <w:basedOn w:val="4"/>
    <w:qFormat/>
    <w:uiPriority w:val="0"/>
    <w:pPr>
      <w:tabs>
        <w:tab w:val="left" w:pos="0"/>
        <w:tab w:val="clear" w:pos="1440"/>
      </w:tabs>
      <w:adjustRightInd w:val="0"/>
      <w:snapToGrid w:val="0"/>
      <w:spacing w:before="0" w:after="0" w:line="360" w:lineRule="auto"/>
      <w:ind w:left="0" w:firstLine="0"/>
      <w:outlineLvl w:val="1"/>
    </w:pPr>
    <w:rPr>
      <w:rFonts w:ascii="宋体" w:hAnsi="宋体"/>
      <w:bCs w:val="0"/>
      <w:sz w:val="24"/>
      <w:szCs w:val="24"/>
    </w:rPr>
  </w:style>
  <w:style w:type="paragraph" w:customStyle="1" w:styleId="21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20">
    <w:name w:val="专用"/>
    <w:basedOn w:val="1"/>
    <w:qFormat/>
    <w:uiPriority w:val="0"/>
    <w:pPr>
      <w:spacing w:afterLines="100"/>
      <w:ind w:left="838" w:hanging="838" w:hangingChars="262"/>
    </w:pPr>
    <w:rPr>
      <w:rFonts w:ascii="宋体"/>
      <w:b/>
      <w:color w:val="000000"/>
      <w:sz w:val="32"/>
      <w:szCs w:val="20"/>
    </w:rPr>
  </w:style>
  <w:style w:type="paragraph" w:customStyle="1" w:styleId="221">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222">
    <w:name w:val="xl56"/>
    <w:basedOn w:val="1"/>
    <w:qFormat/>
    <w:uiPriority w:val="0"/>
    <w:pPr>
      <w:widowControl/>
      <w:pBdr>
        <w:top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23">
    <w:name w:val="llp2"/>
    <w:basedOn w:val="1"/>
    <w:qFormat/>
    <w:uiPriority w:val="0"/>
    <w:pPr>
      <w:spacing w:beforeLines="100" w:afterLines="100" w:line="240" w:lineRule="atLeast"/>
      <w:ind w:firstLine="200" w:firstLineChars="200"/>
      <w:jc w:val="left"/>
      <w:outlineLvl w:val="1"/>
    </w:pPr>
    <w:rPr>
      <w:rFonts w:eastAsia="黑体"/>
      <w:color w:val="7030A0"/>
      <w:sz w:val="32"/>
      <w:szCs w:val="32"/>
    </w:rPr>
  </w:style>
  <w:style w:type="paragraph" w:customStyle="1" w:styleId="224">
    <w:name w:val="Sub title 1"/>
    <w:basedOn w:val="204"/>
    <w:qFormat/>
    <w:uiPriority w:val="0"/>
    <w:pPr>
      <w:tabs>
        <w:tab w:val="left" w:pos="1304"/>
      </w:tabs>
      <w:ind w:left="1304" w:hanging="170"/>
    </w:pPr>
    <w:rPr>
      <w:color w:val="auto"/>
    </w:rPr>
  </w:style>
  <w:style w:type="paragraph" w:customStyle="1" w:styleId="225">
    <w:name w:val="xl47"/>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26">
    <w:name w:val="样式 样式 首行缩进:  2 字符 + 首行缩进:  2 字符"/>
    <w:basedOn w:val="1"/>
    <w:qFormat/>
    <w:uiPriority w:val="0"/>
    <w:pPr>
      <w:spacing w:line="360" w:lineRule="auto"/>
      <w:ind w:firstLine="200" w:firstLineChars="200"/>
      <w:jc w:val="left"/>
    </w:pPr>
    <w:rPr>
      <w:rFonts w:cs="宋体"/>
      <w:color w:val="7030A0"/>
      <w:szCs w:val="20"/>
    </w:rPr>
  </w:style>
  <w:style w:type="paragraph" w:customStyle="1" w:styleId="227">
    <w:name w:val="正缩2字符"/>
    <w:basedOn w:val="1"/>
    <w:qFormat/>
    <w:uiPriority w:val="0"/>
    <w:pPr>
      <w:spacing w:line="480" w:lineRule="exact"/>
      <w:ind w:firstLine="200" w:firstLineChars="200"/>
    </w:pPr>
    <w:rPr>
      <w:sz w:val="24"/>
    </w:rPr>
  </w:style>
  <w:style w:type="paragraph" w:customStyle="1" w:styleId="228">
    <w:name w:val="招标文件1.1.1.1"/>
    <w:basedOn w:val="1"/>
    <w:qFormat/>
    <w:uiPriority w:val="0"/>
    <w:pPr>
      <w:spacing w:before="120" w:after="120" w:line="480" w:lineRule="exact"/>
      <w:ind w:left="200" w:firstLine="200" w:firstLineChars="200"/>
      <w:jc w:val="left"/>
      <w:outlineLvl w:val="4"/>
    </w:pPr>
    <w:rPr>
      <w:rFonts w:ascii="宋体"/>
      <w:b/>
      <w:color w:val="7030A0"/>
      <w:spacing w:val="10"/>
      <w:w w:val="95"/>
    </w:rPr>
  </w:style>
  <w:style w:type="paragraph" w:customStyle="1" w:styleId="229">
    <w:name w:val="样式 样式 宋体 小四 左侧:  1.85 厘米 段前: 11.15 磅 段后: 11.15 磅 + 图案: 清除 (白色)"/>
    <w:basedOn w:val="1"/>
    <w:qFormat/>
    <w:uiPriority w:val="0"/>
    <w:pPr>
      <w:snapToGrid w:val="0"/>
      <w:ind w:left="1049" w:firstLine="200" w:firstLineChars="200"/>
      <w:jc w:val="left"/>
    </w:pPr>
    <w:rPr>
      <w:color w:val="7030A0"/>
      <w:sz w:val="24"/>
      <w:shd w:val="clear" w:color="auto" w:fill="FFFFFF"/>
    </w:rPr>
  </w:style>
  <w:style w:type="paragraph" w:customStyle="1" w:styleId="230">
    <w:name w:val="标书正文1"/>
    <w:basedOn w:val="1"/>
    <w:qFormat/>
    <w:uiPriority w:val="0"/>
    <w:pPr>
      <w:tabs>
        <w:tab w:val="left" w:pos="1438"/>
      </w:tabs>
      <w:spacing w:before="100" w:after="100" w:line="360" w:lineRule="auto"/>
      <w:ind w:left="1438" w:hanging="720"/>
    </w:pPr>
    <w:rPr>
      <w:rFonts w:ascii="宋体" w:hAnsi="宋体"/>
    </w:rPr>
  </w:style>
  <w:style w:type="paragraph" w:customStyle="1" w:styleId="2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32">
    <w:name w:val="级别3"/>
    <w:basedOn w:val="218"/>
    <w:qFormat/>
    <w:uiPriority w:val="0"/>
    <w:pPr>
      <w:ind w:firstLine="425"/>
      <w:outlineLvl w:val="2"/>
    </w:pPr>
    <w:rPr>
      <w:b w:val="0"/>
    </w:rPr>
  </w:style>
  <w:style w:type="paragraph" w:customStyle="1" w:styleId="233">
    <w:name w:val="招标文件1）"/>
    <w:qFormat/>
    <w:uiPriority w:val="0"/>
    <w:pPr>
      <w:spacing w:before="120" w:after="120" w:line="300" w:lineRule="auto"/>
      <w:outlineLvl w:val="5"/>
    </w:pPr>
    <w:rPr>
      <w:rFonts w:ascii="宋体" w:hAnsi="Times New Roman" w:eastAsia="宋体" w:cs="Times New Roman"/>
      <w:spacing w:val="10"/>
      <w:w w:val="95"/>
      <w:sz w:val="21"/>
      <w:lang w:val="en-US" w:eastAsia="zh-CN" w:bidi="ar-SA"/>
    </w:rPr>
  </w:style>
  <w:style w:type="paragraph" w:customStyle="1" w:styleId="234">
    <w:name w:val="样式 标题 3列表编号33 bulletb23 bullet1b1213 bullet2b2223 bul...2"/>
    <w:basedOn w:val="1"/>
    <w:qFormat/>
    <w:uiPriority w:val="0"/>
    <w:pPr>
      <w:ind w:left="1320" w:hanging="420" w:firstLineChars="200"/>
      <w:jc w:val="left"/>
    </w:pPr>
    <w:rPr>
      <w:color w:val="7030A0"/>
    </w:rPr>
  </w:style>
  <w:style w:type="paragraph" w:customStyle="1" w:styleId="235">
    <w:name w:val="xl53"/>
    <w:basedOn w:val="1"/>
    <w:qFormat/>
    <w:uiPriority w:val="0"/>
    <w:pPr>
      <w:widowControl/>
      <w:pBdr>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6">
    <w:name w:val="附图 BJ8"/>
    <w:basedOn w:val="1"/>
    <w:qFormat/>
    <w:uiPriority w:val="0"/>
    <w:pPr>
      <w:adjustRightInd w:val="0"/>
      <w:snapToGrid w:val="0"/>
      <w:ind w:firstLine="200" w:firstLineChars="200"/>
      <w:jc w:val="center"/>
    </w:pPr>
    <w:rPr>
      <w:rFonts w:hAnsi="Arial"/>
      <w:color w:val="7030A0"/>
      <w:kern w:val="0"/>
    </w:rPr>
  </w:style>
  <w:style w:type="paragraph" w:customStyle="1" w:styleId="237">
    <w:name w:val="xl54"/>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38">
    <w:name w:val="招标文件1"/>
    <w:basedOn w:val="1"/>
    <w:qFormat/>
    <w:uiPriority w:val="0"/>
    <w:pPr>
      <w:tabs>
        <w:tab w:val="left" w:pos="420"/>
      </w:tabs>
      <w:spacing w:before="120" w:after="120" w:line="480" w:lineRule="exact"/>
      <w:ind w:left="200" w:firstLine="200" w:firstLineChars="200"/>
      <w:jc w:val="left"/>
      <w:outlineLvl w:val="1"/>
    </w:pPr>
    <w:rPr>
      <w:rFonts w:ascii="宋体"/>
      <w:b/>
      <w:color w:val="7030A0"/>
      <w:spacing w:val="10"/>
      <w:w w:val="95"/>
      <w:kern w:val="0"/>
      <w:sz w:val="28"/>
    </w:rPr>
  </w:style>
  <w:style w:type="paragraph" w:customStyle="1" w:styleId="239">
    <w:name w:val="Report Level 1"/>
    <w:basedOn w:val="1"/>
    <w:next w:val="240"/>
    <w:qFormat/>
    <w:uiPriority w:val="0"/>
    <w:pPr>
      <w:keepNext/>
      <w:widowControl/>
      <w:tabs>
        <w:tab w:val="left" w:pos="1080"/>
      </w:tabs>
      <w:spacing w:before="240" w:after="240" w:line="360" w:lineRule="auto"/>
      <w:ind w:left="1080" w:hanging="1080" w:firstLineChars="200"/>
      <w:jc w:val="left"/>
      <w:outlineLvl w:val="0"/>
    </w:pPr>
    <w:rPr>
      <w:rFonts w:ascii="Arial" w:hAnsi="Arial"/>
      <w:b/>
      <w:caps/>
      <w:color w:val="7030A0"/>
      <w:kern w:val="0"/>
      <w:sz w:val="24"/>
      <w:szCs w:val="21"/>
    </w:rPr>
  </w:style>
  <w:style w:type="paragraph" w:customStyle="1" w:styleId="240">
    <w:name w:val="Report Text"/>
    <w:basedOn w:val="1"/>
    <w:qFormat/>
    <w:uiPriority w:val="0"/>
    <w:pPr>
      <w:widowControl/>
      <w:spacing w:after="138"/>
      <w:ind w:left="1080" w:firstLine="200" w:firstLineChars="200"/>
      <w:jc w:val="left"/>
    </w:pPr>
    <w:rPr>
      <w:color w:val="7030A0"/>
      <w:kern w:val="0"/>
      <w:sz w:val="22"/>
      <w:szCs w:val="20"/>
      <w:lang w:eastAsia="en-US"/>
    </w:rPr>
  </w:style>
  <w:style w:type="paragraph" w:customStyle="1" w:styleId="241">
    <w:name w:val="xl59"/>
    <w:basedOn w:val="1"/>
    <w:qFormat/>
    <w:uiPriority w:val="0"/>
    <w:pPr>
      <w:widowControl/>
      <w:pBdr>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2">
    <w:name w:val="xl45"/>
    <w:basedOn w:val="1"/>
    <w:qFormat/>
    <w:uiPriority w:val="0"/>
    <w:pPr>
      <w:widowControl/>
      <w:pBdr>
        <w:bottom w:val="single" w:color="auto" w:sz="4" w:space="0"/>
        <w:right w:val="single" w:color="auto" w:sz="4" w:space="0"/>
      </w:pBdr>
      <w:spacing w:before="100" w:after="100"/>
      <w:ind w:firstLine="200" w:firstLineChars="200"/>
      <w:jc w:val="center"/>
      <w:textAlignment w:val="center"/>
    </w:pPr>
    <w:rPr>
      <w:rFonts w:eastAsia="Arial Unicode MS"/>
      <w:color w:val="7030A0"/>
      <w:kern w:val="0"/>
      <w:sz w:val="22"/>
      <w:szCs w:val="20"/>
    </w:rPr>
  </w:style>
  <w:style w:type="paragraph" w:customStyle="1" w:styleId="2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244">
    <w:name w:val="xl58"/>
    <w:basedOn w:val="1"/>
    <w:qFormat/>
    <w:uiPriority w:val="0"/>
    <w:pPr>
      <w:widowControl/>
      <w:pBdr>
        <w:left w:val="single" w:color="auto" w:sz="4" w:space="0"/>
        <w:bottom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45">
    <w:name w:val="级别5"/>
    <w:basedOn w:val="217"/>
    <w:qFormat/>
    <w:uiPriority w:val="0"/>
    <w:pPr>
      <w:outlineLvl w:val="4"/>
    </w:pPr>
  </w:style>
  <w:style w:type="paragraph" w:customStyle="1" w:styleId="246">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pPr>
    <w:rPr>
      <w:rFonts w:eastAsia="Arial Unicode MS"/>
      <w:color w:val="7030A0"/>
      <w:kern w:val="0"/>
      <w:szCs w:val="20"/>
    </w:rPr>
  </w:style>
  <w:style w:type="paragraph" w:customStyle="1" w:styleId="247">
    <w:name w:val="级别1"/>
    <w:basedOn w:val="4"/>
    <w:qFormat/>
    <w:uiPriority w:val="0"/>
    <w:pPr>
      <w:tabs>
        <w:tab w:val="left" w:pos="-1620"/>
        <w:tab w:val="clear" w:pos="1440"/>
      </w:tabs>
      <w:adjustRightInd w:val="0"/>
      <w:snapToGrid w:val="0"/>
      <w:spacing w:before="0" w:after="0" w:line="360" w:lineRule="auto"/>
      <w:ind w:left="2098" w:hanging="2098"/>
    </w:pPr>
    <w:rPr>
      <w:rFonts w:ascii="宋体" w:hAnsi="宋体"/>
      <w:bCs w:val="0"/>
      <w:sz w:val="28"/>
      <w:szCs w:val="28"/>
    </w:rPr>
  </w:style>
  <w:style w:type="paragraph" w:customStyle="1" w:styleId="248">
    <w:name w:val="纯文本1"/>
    <w:basedOn w:val="1"/>
    <w:qFormat/>
    <w:uiPriority w:val="0"/>
    <w:pPr>
      <w:adjustRightInd w:val="0"/>
      <w:spacing w:line="312" w:lineRule="atLeast"/>
      <w:ind w:firstLine="567" w:firstLineChars="200"/>
      <w:jc w:val="left"/>
      <w:textAlignment w:val="baseline"/>
    </w:pPr>
    <w:rPr>
      <w:rFonts w:ascii="宋体" w:hAnsi="Courier New"/>
      <w:color w:val="7030A0"/>
      <w:kern w:val="0"/>
      <w:sz w:val="28"/>
    </w:rPr>
  </w:style>
  <w:style w:type="paragraph" w:customStyle="1" w:styleId="249">
    <w:name w:val="应答文本"/>
    <w:basedOn w:val="1"/>
    <w:qFormat/>
    <w:uiPriority w:val="0"/>
    <w:pPr>
      <w:adjustRightInd w:val="0"/>
      <w:spacing w:afterLines="50" w:line="320" w:lineRule="exact"/>
      <w:ind w:left="480" w:leftChars="200" w:firstLine="460" w:firstLineChars="200"/>
      <w:jc w:val="left"/>
    </w:pPr>
    <w:rPr>
      <w:rFonts w:ascii="Arial" w:hAnsi="Arial" w:eastAsia="楷体_GB2312" w:cs="宋体"/>
      <w:color w:val="7030A0"/>
      <w:spacing w:val="10"/>
      <w:kern w:val="0"/>
      <w:szCs w:val="20"/>
    </w:rPr>
  </w:style>
  <w:style w:type="paragraph" w:customStyle="1" w:styleId="250">
    <w:name w:val="标准"/>
    <w:basedOn w:val="1"/>
    <w:qFormat/>
    <w:uiPriority w:val="0"/>
    <w:pPr>
      <w:adjustRightInd w:val="0"/>
      <w:spacing w:line="312" w:lineRule="atLeast"/>
      <w:jc w:val="center"/>
      <w:textAlignment w:val="baseline"/>
    </w:pPr>
    <w:rPr>
      <w:kern w:val="24"/>
      <w:sz w:val="24"/>
    </w:rPr>
  </w:style>
  <w:style w:type="paragraph" w:customStyle="1" w:styleId="251">
    <w:name w:val="1.1"/>
    <w:basedOn w:val="5"/>
    <w:autoRedefine/>
    <w:qFormat/>
    <w:uiPriority w:val="0"/>
    <w:pPr>
      <w:tabs>
        <w:tab w:val="left" w:pos="180"/>
      </w:tabs>
      <w:autoSpaceDE w:val="0"/>
      <w:autoSpaceDN w:val="0"/>
      <w:adjustRightInd w:val="0"/>
      <w:spacing w:before="0" w:after="0" w:line="360" w:lineRule="auto"/>
      <w:jc w:val="left"/>
      <w:outlineLvl w:val="2"/>
    </w:pPr>
    <w:rPr>
      <w:rFonts w:ascii="宋体" w:hAnsi="宋体"/>
      <w:bCs w:val="0"/>
      <w:kern w:val="0"/>
      <w:sz w:val="21"/>
      <w:szCs w:val="20"/>
    </w:rPr>
  </w:style>
  <w:style w:type="paragraph" w:customStyle="1" w:styleId="252">
    <w:name w:val="Char Char Char Char"/>
    <w:basedOn w:val="72"/>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253">
    <w:name w:val="样式 标题2 + 字距调整8 磅"/>
    <w:qFormat/>
    <w:uiPriority w:val="0"/>
    <w:rPr>
      <w:rFonts w:ascii="Times New Roman" w:hAnsi="Times New Roman" w:eastAsia="宋体" w:cs="Times New Roman"/>
      <w:kern w:val="16"/>
      <w:lang w:val="en-US" w:eastAsia="zh-CN" w:bidi="ar-SA"/>
    </w:rPr>
  </w:style>
  <w:style w:type="paragraph" w:customStyle="1" w:styleId="254">
    <w:name w:val="Char Char Char Char Char Char1 Char Char Char Char"/>
    <w:basedOn w:val="1"/>
    <w:qFormat/>
    <w:uiPriority w:val="0"/>
    <w:rPr>
      <w:rFonts w:ascii="仿宋_GB2312" w:eastAsia="仿宋_GB2312"/>
      <w:b/>
      <w:sz w:val="32"/>
      <w:szCs w:val="32"/>
    </w:rPr>
  </w:style>
  <w:style w:type="paragraph" w:customStyle="1" w:styleId="255">
    <w:name w:val="xl32"/>
    <w:basedOn w:val="1"/>
    <w:qFormat/>
    <w:uiPriority w:val="0"/>
    <w:pPr>
      <w:widowControl/>
      <w:spacing w:before="100" w:beforeAutospacing="1" w:after="100" w:afterAutospacing="1"/>
      <w:jc w:val="center"/>
    </w:pPr>
    <w:rPr>
      <w:b/>
      <w:bCs/>
      <w:kern w:val="0"/>
      <w:sz w:val="24"/>
      <w:u w:val="single"/>
    </w:rPr>
  </w:style>
  <w:style w:type="paragraph" w:customStyle="1" w:styleId="25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7">
    <w:name w:val="图1"/>
    <w:basedOn w:val="1"/>
    <w:next w:val="1"/>
    <w:qFormat/>
    <w:uiPriority w:val="0"/>
    <w:pPr>
      <w:tabs>
        <w:tab w:val="left" w:pos="1440"/>
      </w:tabs>
      <w:spacing w:beforeLines="50" w:afterLines="100" w:line="360" w:lineRule="auto"/>
      <w:ind w:left="1105" w:hanging="748"/>
      <w:jc w:val="center"/>
    </w:pPr>
    <w:rPr>
      <w:kern w:val="0"/>
    </w:rPr>
  </w:style>
  <w:style w:type="paragraph" w:customStyle="1" w:styleId="258">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59">
    <w:name w:val="级别6"/>
    <w:basedOn w:val="245"/>
    <w:qFormat/>
    <w:uiPriority w:val="0"/>
    <w:pPr>
      <w:tabs>
        <w:tab w:val="left" w:pos="405"/>
      </w:tabs>
      <w:ind w:left="409" w:hanging="23"/>
      <w:outlineLvl w:val="5"/>
    </w:pPr>
  </w:style>
  <w:style w:type="paragraph" w:customStyle="1" w:styleId="260">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26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62">
    <w:name w:val="样式 标题 2标题 1.1head:2#2 headlinehheadlineS&amp;R2ERMH2Head 2 +..."/>
    <w:basedOn w:val="5"/>
    <w:qFormat/>
    <w:uiPriority w:val="0"/>
    <w:pPr>
      <w:tabs>
        <w:tab w:val="left" w:pos="907"/>
      </w:tabs>
      <w:autoSpaceDE w:val="0"/>
      <w:autoSpaceDN w:val="0"/>
      <w:adjustRightInd w:val="0"/>
      <w:spacing w:before="120" w:after="120" w:line="360" w:lineRule="auto"/>
      <w:ind w:left="907" w:hanging="907"/>
      <w:jc w:val="center"/>
      <w:textAlignment w:val="baseline"/>
    </w:pPr>
    <w:rPr>
      <w:rFonts w:eastAsia="宋体"/>
      <w:kern w:val="0"/>
      <w:sz w:val="24"/>
      <w:szCs w:val="20"/>
    </w:rPr>
  </w:style>
  <w:style w:type="paragraph" w:customStyle="1" w:styleId="26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4">
    <w:name w:val="样式4"/>
    <w:basedOn w:val="1"/>
    <w:next w:val="5"/>
    <w:qFormat/>
    <w:uiPriority w:val="0"/>
    <w:pPr>
      <w:tabs>
        <w:tab w:val="left" w:pos="360"/>
      </w:tabs>
      <w:spacing w:line="360" w:lineRule="auto"/>
      <w:ind w:left="360" w:hanging="360"/>
    </w:pPr>
    <w:rPr>
      <w:rFonts w:ascii="宋体" w:hAnsi="宋体"/>
      <w:b/>
      <w:sz w:val="28"/>
      <w:szCs w:val="20"/>
    </w:rPr>
  </w:style>
  <w:style w:type="paragraph" w:customStyle="1" w:styleId="265">
    <w:name w:val="一"/>
    <w:basedOn w:val="4"/>
    <w:qFormat/>
    <w:uiPriority w:val="0"/>
    <w:pPr>
      <w:autoSpaceDE w:val="0"/>
      <w:autoSpaceDN w:val="0"/>
      <w:adjustRightInd w:val="0"/>
      <w:spacing w:before="0" w:after="0" w:line="360" w:lineRule="auto"/>
      <w:jc w:val="left"/>
    </w:pPr>
    <w:rPr>
      <w:rFonts w:ascii="宋体" w:hAnsi="宋体"/>
      <w:kern w:val="0"/>
      <w:sz w:val="28"/>
      <w:szCs w:val="20"/>
    </w:rPr>
  </w:style>
  <w:style w:type="paragraph" w:customStyle="1" w:styleId="266">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267">
    <w:name w:val="xl50"/>
    <w:basedOn w:val="1"/>
    <w:qFormat/>
    <w:uiPriority w:val="0"/>
    <w:pPr>
      <w:widowControl/>
      <w:pBdr>
        <w:top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68">
    <w:name w:val="font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269">
    <w:name w:val="xl49"/>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270">
    <w:name w:val="三点段 Char"/>
    <w:basedOn w:val="1"/>
    <w:qFormat/>
    <w:uiPriority w:val="0"/>
    <w:pPr>
      <w:spacing w:line="360" w:lineRule="auto"/>
      <w:ind w:left="1200" w:hanging="1200" w:hangingChars="500"/>
    </w:pPr>
    <w:rPr>
      <w:rFonts w:hint="eastAsia" w:ascii="宋体"/>
      <w:sz w:val="24"/>
    </w:rPr>
  </w:style>
  <w:style w:type="paragraph" w:customStyle="1" w:styleId="271">
    <w:name w:val="样式2"/>
    <w:basedOn w:val="1"/>
    <w:qFormat/>
    <w:uiPriority w:val="0"/>
    <w:pPr>
      <w:adjustRightInd w:val="0"/>
      <w:spacing w:before="120" w:after="120" w:line="312" w:lineRule="atLeast"/>
      <w:jc w:val="center"/>
      <w:textAlignment w:val="baseline"/>
    </w:pPr>
    <w:rPr>
      <w:kern w:val="0"/>
      <w:sz w:val="24"/>
      <w:szCs w:val="20"/>
    </w:rPr>
  </w:style>
  <w:style w:type="paragraph" w:customStyle="1" w:styleId="272">
    <w:name w:val="小标题一"/>
    <w:basedOn w:val="1"/>
    <w:next w:val="1"/>
    <w:qFormat/>
    <w:uiPriority w:val="0"/>
    <w:pPr>
      <w:tabs>
        <w:tab w:val="left" w:pos="1080"/>
      </w:tabs>
      <w:spacing w:line="500" w:lineRule="exact"/>
      <w:ind w:left="1080" w:hanging="1080"/>
    </w:pPr>
    <w:rPr>
      <w:sz w:val="28"/>
      <w:szCs w:val="20"/>
    </w:rPr>
  </w:style>
  <w:style w:type="paragraph" w:customStyle="1" w:styleId="273">
    <w:name w:val="文档正文"/>
    <w:basedOn w:val="1"/>
    <w:qFormat/>
    <w:uiPriority w:val="0"/>
    <w:pPr>
      <w:spacing w:line="360" w:lineRule="auto"/>
      <w:ind w:firstLine="200" w:firstLineChars="200"/>
    </w:pPr>
    <w:rPr>
      <w:rFonts w:ascii="宋体" w:hAnsi="宋体"/>
      <w:sz w:val="24"/>
    </w:rPr>
  </w:style>
  <w:style w:type="paragraph" w:customStyle="1" w:styleId="274">
    <w:name w:val="标题1"/>
    <w:basedOn w:val="4"/>
    <w:qFormat/>
    <w:uiPriority w:val="0"/>
    <w:pPr>
      <w:tabs>
        <w:tab w:val="left" w:pos="450"/>
        <w:tab w:val="left" w:pos="709"/>
        <w:tab w:val="left" w:pos="907"/>
        <w:tab w:val="clear" w:pos="1440"/>
      </w:tabs>
      <w:adjustRightInd w:val="0"/>
      <w:spacing w:before="120" w:after="0" w:line="360" w:lineRule="auto"/>
      <w:ind w:left="450" w:hanging="450"/>
      <w:textAlignment w:val="baseline"/>
    </w:pPr>
    <w:rPr>
      <w:rFonts w:ascii="宋体" w:hAnsi="宋体"/>
      <w:bCs w:val="0"/>
      <w:sz w:val="28"/>
      <w:szCs w:val="20"/>
    </w:rPr>
  </w:style>
  <w:style w:type="paragraph" w:customStyle="1" w:styleId="275">
    <w:name w:val="合同书"/>
    <w:basedOn w:val="1"/>
    <w:qFormat/>
    <w:uiPriority w:val="0"/>
    <w:pPr>
      <w:spacing w:afterLines="100"/>
      <w:jc w:val="center"/>
    </w:pPr>
    <w:rPr>
      <w:rFonts w:hAnsi="宋体"/>
      <w:b/>
      <w:color w:val="000000"/>
      <w:sz w:val="44"/>
      <w:szCs w:val="44"/>
    </w:rPr>
  </w:style>
  <w:style w:type="paragraph" w:customStyle="1" w:styleId="276">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277">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278">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279">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80">
    <w:name w:val="样式 目录 1 + 左侧:  3 字符"/>
    <w:basedOn w:val="32"/>
    <w:qFormat/>
    <w:uiPriority w:val="0"/>
    <w:pPr>
      <w:tabs>
        <w:tab w:val="left" w:pos="425"/>
        <w:tab w:val="left" w:pos="1680"/>
        <w:tab w:val="right" w:leader="dot" w:pos="8495"/>
        <w:tab w:val="right" w:pos="9060"/>
        <w:tab w:val="clear" w:pos="8778"/>
      </w:tabs>
      <w:snapToGrid/>
      <w:spacing w:line="240" w:lineRule="auto"/>
      <w:ind w:left="425" w:hanging="425"/>
    </w:pPr>
    <w:rPr>
      <w:bCs w:val="0"/>
      <w:iCs w:val="0"/>
      <w:caps w:val="0"/>
      <w:color w:val="7030A0"/>
      <w:kern w:val="2"/>
      <w:sz w:val="21"/>
      <w:szCs w:val="20"/>
    </w:rPr>
  </w:style>
  <w:style w:type="paragraph" w:customStyle="1" w:styleId="281">
    <w:name w:val="章节标题 BJ8"/>
    <w:basedOn w:val="140"/>
    <w:next w:val="140"/>
    <w:qFormat/>
    <w:uiPriority w:val="0"/>
    <w:pPr>
      <w:ind w:firstLine="0" w:firstLineChars="0"/>
      <w:jc w:val="center"/>
    </w:pPr>
    <w:rPr>
      <w:rFonts w:eastAsia="黑体"/>
      <w:b/>
      <w:sz w:val="44"/>
      <w:szCs w:val="84"/>
    </w:rPr>
  </w:style>
  <w:style w:type="paragraph" w:customStyle="1" w:styleId="28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283">
    <w:name w:val="表格"/>
    <w:basedOn w:val="1"/>
    <w:qFormat/>
    <w:uiPriority w:val="0"/>
    <w:pPr>
      <w:widowControl/>
      <w:snapToGrid w:val="0"/>
      <w:spacing w:before="60" w:after="60"/>
      <w:jc w:val="left"/>
    </w:pPr>
    <w:rPr>
      <w:rFonts w:ascii="宋体"/>
      <w:sz w:val="20"/>
      <w:szCs w:val="20"/>
    </w:rPr>
  </w:style>
  <w:style w:type="paragraph" w:customStyle="1" w:styleId="284">
    <w:name w:val="xl2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8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8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7">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288">
    <w:name w:val="大标题"/>
    <w:qFormat/>
    <w:uiPriority w:val="0"/>
    <w:pPr>
      <w:tabs>
        <w:tab w:val="left" w:pos="1134"/>
      </w:tabs>
      <w:snapToGrid w:val="0"/>
      <w:spacing w:before="240" w:after="240" w:line="288" w:lineRule="auto"/>
    </w:pPr>
    <w:rPr>
      <w:rFonts w:ascii="黑体" w:hAnsi="Times New Roman" w:eastAsia="黑体" w:cs="Times New Roman"/>
      <w:sz w:val="24"/>
      <w:lang w:val="en-US" w:eastAsia="zh-CN" w:bidi="ar-SA"/>
    </w:rPr>
  </w:style>
  <w:style w:type="paragraph" w:customStyle="1" w:styleId="289">
    <w:name w:val="重点"/>
    <w:basedOn w:val="1"/>
    <w:qFormat/>
    <w:uiPriority w:val="0"/>
    <w:pPr>
      <w:tabs>
        <w:tab w:val="left" w:pos="0"/>
        <w:tab w:val="left" w:pos="814"/>
      </w:tabs>
      <w:adjustRightInd w:val="0"/>
      <w:snapToGrid w:val="0"/>
      <w:spacing w:line="560" w:lineRule="atLeast"/>
      <w:ind w:left="737" w:hanging="283" w:firstLineChars="200"/>
      <w:jc w:val="left"/>
    </w:pPr>
    <w:rPr>
      <w:color w:val="7030A0"/>
      <w:kern w:val="24"/>
      <w:sz w:val="30"/>
      <w:szCs w:val="20"/>
    </w:rPr>
  </w:style>
  <w:style w:type="paragraph" w:customStyle="1" w:styleId="290">
    <w:name w:val="青岛正文"/>
    <w:basedOn w:val="1"/>
    <w:qFormat/>
    <w:uiPriority w:val="0"/>
    <w:pPr>
      <w:spacing w:line="360" w:lineRule="auto"/>
    </w:pPr>
    <w:rPr>
      <w:sz w:val="28"/>
    </w:rPr>
  </w:style>
  <w:style w:type="paragraph" w:customStyle="1" w:styleId="291">
    <w:name w:val="样式 样式 列表框 Char Char Char Char Char + 右侧:  -0.05 字符 段后: 0.5 行 + 右..."/>
    <w:basedOn w:val="292"/>
    <w:qFormat/>
    <w:uiPriority w:val="0"/>
    <w:pPr>
      <w:tabs>
        <w:tab w:val="left" w:pos="375"/>
        <w:tab w:val="left" w:pos="630"/>
      </w:tabs>
    </w:pPr>
  </w:style>
  <w:style w:type="paragraph" w:customStyle="1" w:styleId="292">
    <w:name w:val="样式 列表框 Char Char Char Char Char + 右侧:  -0.05 字符 段后: 0.5 行"/>
    <w:basedOn w:val="176"/>
    <w:qFormat/>
    <w:uiPriority w:val="0"/>
    <w:pPr>
      <w:tabs>
        <w:tab w:val="left" w:pos="375"/>
        <w:tab w:val="clear" w:pos="450"/>
        <w:tab w:val="clear" w:pos="874"/>
      </w:tabs>
      <w:ind w:left="0" w:firstLine="0"/>
    </w:pPr>
    <w:rPr>
      <w:szCs w:val="20"/>
    </w:rPr>
  </w:style>
  <w:style w:type="paragraph" w:customStyle="1" w:styleId="293">
    <w:name w:val="xl39"/>
    <w:basedOn w:val="1"/>
    <w:qFormat/>
    <w:uiPriority w:val="0"/>
    <w:pPr>
      <w:widowControl/>
      <w:pBdr>
        <w:top w:val="single" w:color="auto" w:sz="4" w:space="0"/>
        <w:bottom w:val="single" w:color="auto" w:sz="4" w:space="0"/>
      </w:pBdr>
      <w:spacing w:before="100" w:beforeAutospacing="1" w:after="100" w:afterAutospacing="1"/>
      <w:jc w:val="left"/>
    </w:pPr>
    <w:rPr>
      <w:kern w:val="0"/>
      <w:sz w:val="24"/>
    </w:rPr>
  </w:style>
  <w:style w:type="paragraph" w:customStyle="1" w:styleId="294">
    <w:name w:val="正文文本 21"/>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295">
    <w:name w:val="Report Heading"/>
    <w:basedOn w:val="1"/>
    <w:next w:val="1"/>
    <w:qFormat/>
    <w:uiPriority w:val="0"/>
    <w:pPr>
      <w:keepNext/>
      <w:widowControl/>
      <w:spacing w:before="120" w:after="138"/>
      <w:ind w:left="1080" w:firstLine="200" w:firstLineChars="200"/>
      <w:jc w:val="left"/>
    </w:pPr>
    <w:rPr>
      <w:rFonts w:ascii="Arial" w:hAnsi="Arial"/>
      <w:b/>
      <w:color w:val="7030A0"/>
      <w:kern w:val="0"/>
      <w:sz w:val="22"/>
      <w:szCs w:val="20"/>
    </w:rPr>
  </w:style>
  <w:style w:type="paragraph" w:customStyle="1" w:styleId="29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97">
    <w:name w:val="修订1"/>
    <w:qFormat/>
    <w:uiPriority w:val="0"/>
    <w:rPr>
      <w:rFonts w:ascii="Times New Roman" w:hAnsi="Times New Roman" w:eastAsia="宋体" w:cs="Times New Roman"/>
      <w:kern w:val="2"/>
      <w:sz w:val="21"/>
      <w:lang w:val="en-US" w:eastAsia="zh-CN" w:bidi="ar-SA"/>
    </w:rPr>
  </w:style>
  <w:style w:type="paragraph" w:customStyle="1" w:styleId="298">
    <w:name w:val="正文C"/>
    <w:qFormat/>
    <w:uiPriority w:val="0"/>
    <w:pPr>
      <w:widowControl w:val="0"/>
      <w:adjustRightInd w:val="0"/>
      <w:snapToGrid w:val="0"/>
      <w:spacing w:line="360" w:lineRule="auto"/>
      <w:ind w:right="31" w:rightChars="15" w:firstLine="420" w:firstLineChars="200"/>
      <w:jc w:val="both"/>
    </w:pPr>
    <w:rPr>
      <w:rFonts w:ascii="Times New Roman" w:hAnsi="Times New Roman" w:eastAsia="宋体" w:cs="宋体"/>
      <w:kern w:val="44"/>
      <w:sz w:val="24"/>
      <w:lang w:val="en-US" w:eastAsia="zh-CN" w:bidi="ar-SA"/>
    </w:rPr>
  </w:style>
  <w:style w:type="paragraph" w:customStyle="1" w:styleId="299">
    <w:name w:val="文档结构图2"/>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00">
    <w:name w:val="Char Char Char Char11"/>
    <w:basedOn w:val="1"/>
    <w:qFormat/>
    <w:uiPriority w:val="0"/>
    <w:pPr>
      <w:ind w:firstLine="200" w:firstLineChars="200"/>
      <w:jc w:val="left"/>
    </w:pPr>
    <w:rPr>
      <w:rFonts w:ascii="仿宋_GB2312" w:eastAsia="仿宋_GB2312"/>
      <w:b/>
      <w:color w:val="7030A0"/>
      <w:sz w:val="32"/>
      <w:szCs w:val="32"/>
    </w:rPr>
  </w:style>
  <w:style w:type="paragraph" w:customStyle="1" w:styleId="301">
    <w:name w:val="样式 标题 2标题 1.1编号标题2head:2#2 headlinehheadlineS&amp;R2ERMH2He..."/>
    <w:basedOn w:val="5"/>
    <w:qFormat/>
    <w:uiPriority w:val="0"/>
    <w:pPr>
      <w:spacing w:before="120" w:after="120" w:line="500" w:lineRule="exact"/>
      <w:jc w:val="left"/>
    </w:pPr>
    <w:rPr>
      <w:rFonts w:cs="宋体"/>
      <w:color w:val="C00000"/>
      <w:kern w:val="44"/>
      <w:sz w:val="28"/>
      <w:szCs w:val="20"/>
    </w:rPr>
  </w:style>
  <w:style w:type="paragraph" w:customStyle="1" w:styleId="302">
    <w:name w:val="章节标题 QD3"/>
    <w:basedOn w:val="139"/>
    <w:next w:val="139"/>
    <w:qFormat/>
    <w:uiPriority w:val="0"/>
    <w:pPr>
      <w:ind w:firstLine="0" w:firstLineChars="0"/>
      <w:jc w:val="center"/>
    </w:pPr>
    <w:rPr>
      <w:rFonts w:eastAsia="黑体"/>
      <w:b/>
      <w:sz w:val="44"/>
      <w:szCs w:val="84"/>
    </w:rPr>
  </w:style>
  <w:style w:type="paragraph" w:customStyle="1" w:styleId="303">
    <w:name w:val="Char2"/>
    <w:basedOn w:val="1"/>
    <w:qFormat/>
    <w:uiPriority w:val="0"/>
    <w:pPr>
      <w:widowControl/>
      <w:spacing w:after="160" w:line="240" w:lineRule="exact"/>
      <w:ind w:firstLine="200" w:firstLineChars="200"/>
      <w:jc w:val="left"/>
    </w:pPr>
    <w:rPr>
      <w:rFonts w:ascii="Verdana" w:hAnsi="Verdana" w:eastAsia="仿宋_GB2312"/>
      <w:color w:val="7030A0"/>
      <w:kern w:val="0"/>
      <w:sz w:val="24"/>
      <w:szCs w:val="20"/>
      <w:lang w:eastAsia="en-US"/>
    </w:rPr>
  </w:style>
  <w:style w:type="paragraph" w:customStyle="1" w:styleId="304">
    <w:name w:val="xiao b"/>
    <w:basedOn w:val="1"/>
    <w:qFormat/>
    <w:uiPriority w:val="0"/>
    <w:pPr>
      <w:ind w:firstLine="200" w:firstLineChars="200"/>
      <w:jc w:val="center"/>
    </w:pPr>
    <w:rPr>
      <w:rFonts w:eastAsia="黑体"/>
      <w:color w:val="7030A0"/>
      <w:sz w:val="24"/>
      <w:szCs w:val="20"/>
    </w:rPr>
  </w:style>
  <w:style w:type="paragraph" w:customStyle="1" w:styleId="305">
    <w:name w:val="样式 标题 4 + 加粗"/>
    <w:basedOn w:val="7"/>
    <w:qFormat/>
    <w:uiPriority w:val="0"/>
    <w:pPr>
      <w:spacing w:before="120" w:after="0" w:line="240" w:lineRule="auto"/>
      <w:jc w:val="left"/>
    </w:pPr>
    <w:rPr>
      <w:rFonts w:ascii="Times New Roman" w:hAnsi="Times New Roman"/>
      <w:b w:val="0"/>
      <w:color w:val="00B050"/>
      <w:sz w:val="24"/>
    </w:rPr>
  </w:style>
  <w:style w:type="paragraph" w:customStyle="1" w:styleId="306">
    <w:name w:val="Plain Text1"/>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07">
    <w:name w:val="Char Char Char Char1"/>
    <w:basedOn w:val="1"/>
    <w:qFormat/>
    <w:uiPriority w:val="0"/>
    <w:pPr>
      <w:ind w:firstLine="200" w:firstLineChars="200"/>
      <w:jc w:val="left"/>
    </w:pPr>
    <w:rPr>
      <w:rFonts w:ascii="仿宋_GB2312" w:eastAsia="仿宋_GB2312"/>
      <w:b/>
      <w:color w:val="7030A0"/>
      <w:sz w:val="32"/>
      <w:szCs w:val="32"/>
    </w:rPr>
  </w:style>
  <w:style w:type="paragraph" w:customStyle="1" w:styleId="308">
    <w:name w:val="Plain Text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09">
    <w:name w:val="正文2"/>
    <w:basedOn w:val="21"/>
    <w:qFormat/>
    <w:uiPriority w:val="0"/>
    <w:pPr>
      <w:ind w:firstLine="480" w:firstLineChars="200"/>
      <w:jc w:val="left"/>
    </w:pPr>
    <w:rPr>
      <w:rFonts w:ascii="宋体"/>
      <w:color w:val="7030A0"/>
      <w:szCs w:val="24"/>
    </w:rPr>
  </w:style>
  <w:style w:type="paragraph" w:customStyle="1" w:styleId="310">
    <w:name w:val="列表框1"/>
    <w:basedOn w:val="249"/>
    <w:next w:val="249"/>
    <w:qFormat/>
    <w:uiPriority w:val="0"/>
    <w:pPr>
      <w:tabs>
        <w:tab w:val="left" w:pos="960"/>
        <w:tab w:val="left" w:pos="1314"/>
      </w:tabs>
      <w:snapToGrid w:val="0"/>
      <w:ind w:left="1328" w:leftChars="397" w:hanging="375" w:hangingChars="163"/>
    </w:pPr>
    <w:rPr>
      <w:rFonts w:cs="Arial"/>
    </w:rPr>
  </w:style>
  <w:style w:type="paragraph" w:customStyle="1" w:styleId="311">
    <w:name w:val="Body text"/>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312">
    <w:name w:val="五级"/>
    <w:basedOn w:val="5"/>
    <w:qFormat/>
    <w:uiPriority w:val="0"/>
    <w:pPr>
      <w:tabs>
        <w:tab w:val="left" w:pos="851"/>
      </w:tabs>
      <w:spacing w:before="0" w:after="0" w:line="360" w:lineRule="auto"/>
      <w:ind w:left="851" w:hanging="851"/>
      <w:jc w:val="left"/>
    </w:pPr>
    <w:rPr>
      <w:rFonts w:ascii="宋体" w:hAnsi="宋体" w:eastAsia="宋体"/>
      <w:b w:val="0"/>
      <w:color w:val="C00000"/>
      <w:sz w:val="24"/>
    </w:rPr>
  </w:style>
  <w:style w:type="paragraph" w:customStyle="1" w:styleId="313">
    <w:name w:val="1."/>
    <w:basedOn w:val="1"/>
    <w:qFormat/>
    <w:uiPriority w:val="0"/>
    <w:pPr>
      <w:tabs>
        <w:tab w:val="left" w:pos="0"/>
        <w:tab w:val="left" w:pos="426"/>
      </w:tabs>
      <w:adjustRightInd w:val="0"/>
      <w:spacing w:before="60" w:after="60" w:line="360" w:lineRule="atLeast"/>
      <w:ind w:left="426" w:hanging="426" w:firstLineChars="200"/>
      <w:jc w:val="left"/>
      <w:textAlignment w:val="baseline"/>
    </w:pPr>
    <w:rPr>
      <w:rFonts w:ascii="Arial" w:hAnsi="Arial"/>
      <w:color w:val="7030A0"/>
      <w:kern w:val="0"/>
      <w:szCs w:val="20"/>
    </w:rPr>
  </w:style>
  <w:style w:type="paragraph" w:customStyle="1" w:styleId="314">
    <w:name w:val="xl57"/>
    <w:basedOn w:val="1"/>
    <w:qFormat/>
    <w:uiPriority w:val="0"/>
    <w:pPr>
      <w:widowControl/>
      <w:pBdr>
        <w:top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15">
    <w:name w:val="正文点缩进"/>
    <w:basedOn w:val="1"/>
    <w:qFormat/>
    <w:uiPriority w:val="0"/>
    <w:pPr>
      <w:widowControl/>
      <w:tabs>
        <w:tab w:val="left" w:pos="1758"/>
      </w:tabs>
      <w:snapToGrid w:val="0"/>
      <w:spacing w:after="60" w:line="288" w:lineRule="auto"/>
      <w:ind w:firstLine="200" w:firstLineChars="200"/>
      <w:jc w:val="left"/>
    </w:pPr>
    <w:rPr>
      <w:rFonts w:ascii="宋体"/>
      <w:color w:val="7030A0"/>
      <w:sz w:val="22"/>
      <w:szCs w:val="20"/>
      <w:shd w:val="clear" w:color="auto" w:fill="FFFFFF"/>
    </w:rPr>
  </w:style>
  <w:style w:type="paragraph" w:customStyle="1" w:styleId="316">
    <w:name w:val="xl41"/>
    <w:basedOn w:val="1"/>
    <w:qFormat/>
    <w:uiPriority w:val="0"/>
    <w:pPr>
      <w:widowControl/>
      <w:spacing w:before="100" w:beforeAutospacing="1" w:after="100" w:afterAutospacing="1"/>
      <w:ind w:firstLine="200" w:firstLineChars="200"/>
      <w:jc w:val="center"/>
      <w:textAlignment w:val="center"/>
    </w:pPr>
    <w:rPr>
      <w:rFonts w:ascii="宋体" w:hAnsi="宋体"/>
      <w:color w:val="7030A0"/>
      <w:kern w:val="0"/>
      <w:szCs w:val="21"/>
    </w:rPr>
  </w:style>
  <w:style w:type="paragraph" w:customStyle="1" w:styleId="317">
    <w:name w:val="样式 左侧:  2 字符 首行缩进:  0.85 厘米"/>
    <w:basedOn w:val="1"/>
    <w:qFormat/>
    <w:uiPriority w:val="0"/>
    <w:pPr>
      <w:adjustRightInd w:val="0"/>
      <w:snapToGrid w:val="0"/>
      <w:spacing w:line="360" w:lineRule="auto"/>
      <w:ind w:firstLine="425" w:firstLineChars="200"/>
      <w:jc w:val="left"/>
    </w:pPr>
    <w:rPr>
      <w:rFonts w:ascii="宋体" w:hAnsi="宋体" w:cs="宋体"/>
      <w:color w:val="7030A0"/>
      <w:szCs w:val="20"/>
    </w:rPr>
  </w:style>
  <w:style w:type="paragraph" w:customStyle="1" w:styleId="318">
    <w:name w:val="xl55"/>
    <w:basedOn w:val="1"/>
    <w:qFormat/>
    <w:uiPriority w:val="0"/>
    <w:pPr>
      <w:widowControl/>
      <w:pBdr>
        <w:top w:val="single" w:color="auto" w:sz="4" w:space="0"/>
        <w:lef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19">
    <w:name w:val="Char Char Char Char Char Char Char Char"/>
    <w:basedOn w:val="1"/>
    <w:qFormat/>
    <w:uiPriority w:val="0"/>
    <w:pPr>
      <w:ind w:firstLine="200" w:firstLineChars="200"/>
      <w:jc w:val="left"/>
    </w:pPr>
    <w:rPr>
      <w:rFonts w:ascii="Tahoma" w:hAnsi="Tahoma"/>
      <w:color w:val="7030A0"/>
      <w:sz w:val="24"/>
      <w:szCs w:val="20"/>
    </w:rPr>
  </w:style>
  <w:style w:type="paragraph" w:customStyle="1" w:styleId="320">
    <w:name w:val="StandardOhneEinzug"/>
    <w:basedOn w:val="1"/>
    <w:qFormat/>
    <w:uiPriority w:val="0"/>
    <w:pPr>
      <w:widowControl/>
      <w:tabs>
        <w:tab w:val="left" w:pos="560"/>
      </w:tabs>
      <w:spacing w:after="240" w:line="288" w:lineRule="auto"/>
      <w:ind w:left="200" w:firstLine="200" w:firstLineChars="200"/>
      <w:jc w:val="left"/>
    </w:pPr>
    <w:rPr>
      <w:rFonts w:ascii="Arial" w:hAnsi="Arial"/>
      <w:color w:val="7030A0"/>
      <w:kern w:val="0"/>
      <w:sz w:val="22"/>
      <w:szCs w:val="20"/>
    </w:rPr>
  </w:style>
  <w:style w:type="paragraph" w:customStyle="1" w:styleId="321">
    <w:name w:val="投标正文"/>
    <w:basedOn w:val="1"/>
    <w:qFormat/>
    <w:uiPriority w:val="0"/>
    <w:pPr>
      <w:spacing w:line="360" w:lineRule="auto"/>
      <w:ind w:firstLine="200" w:firstLineChars="200"/>
      <w:jc w:val="left"/>
    </w:pPr>
    <w:rPr>
      <w:rFonts w:eastAsia="黑体"/>
      <w:color w:val="7030A0"/>
      <w:spacing w:val="20"/>
      <w:sz w:val="32"/>
      <w:szCs w:val="32"/>
    </w:rPr>
  </w:style>
  <w:style w:type="paragraph" w:customStyle="1" w:styleId="322">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323">
    <w:name w:val="标书正文"/>
    <w:basedOn w:val="1"/>
    <w:qFormat/>
    <w:uiPriority w:val="0"/>
    <w:pPr>
      <w:spacing w:before="100" w:after="100" w:line="440" w:lineRule="atLeast"/>
      <w:ind w:left="176" w:firstLine="200" w:firstLineChars="200"/>
      <w:jc w:val="left"/>
    </w:pPr>
    <w:rPr>
      <w:rFonts w:ascii="宋体" w:hAnsi="宋体"/>
      <w:color w:val="7030A0"/>
      <w:spacing w:val="20"/>
      <w:sz w:val="24"/>
    </w:rPr>
  </w:style>
  <w:style w:type="paragraph" w:customStyle="1" w:styleId="324">
    <w:name w:val="xl44"/>
    <w:basedOn w:val="1"/>
    <w:qFormat/>
    <w:uiPriority w:val="0"/>
    <w:pPr>
      <w:widowControl/>
      <w:pBdr>
        <w:right w:val="single" w:color="auto" w:sz="4" w:space="0"/>
      </w:pBdr>
      <w:spacing w:before="100" w:after="100"/>
      <w:ind w:firstLine="200" w:firstLineChars="200"/>
      <w:jc w:val="center"/>
    </w:pPr>
    <w:rPr>
      <w:rFonts w:ascii="宋体" w:hAnsi="宋体"/>
      <w:color w:val="7030A0"/>
      <w:kern w:val="0"/>
      <w:sz w:val="24"/>
      <w:szCs w:val="20"/>
    </w:rPr>
  </w:style>
  <w:style w:type="paragraph" w:customStyle="1" w:styleId="325">
    <w:name w:val="招标文件1.1"/>
    <w:qFormat/>
    <w:uiPriority w:val="0"/>
    <w:pPr>
      <w:tabs>
        <w:tab w:val="left" w:pos="630"/>
      </w:tabs>
      <w:spacing w:before="120" w:after="120" w:line="480" w:lineRule="exact"/>
      <w:ind w:left="200"/>
      <w:outlineLvl w:val="2"/>
    </w:pPr>
    <w:rPr>
      <w:rFonts w:ascii="宋体" w:hAnsi="Times New Roman" w:eastAsia="宋体" w:cs="Times New Roman"/>
      <w:b/>
      <w:spacing w:val="10"/>
      <w:w w:val="95"/>
      <w:sz w:val="24"/>
      <w:lang w:val="en-US" w:eastAsia="zh-CN" w:bidi="ar-SA"/>
    </w:rPr>
  </w:style>
  <w:style w:type="paragraph" w:customStyle="1" w:styleId="326">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27">
    <w:name w:val="xl46"/>
    <w:basedOn w:val="1"/>
    <w:qFormat/>
    <w:uiPriority w:val="0"/>
    <w:pPr>
      <w:widowControl/>
      <w:pBdr>
        <w:top w:val="single" w:color="auto" w:sz="4" w:space="0"/>
        <w:left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8">
    <w:name w:val="xl48"/>
    <w:basedOn w:val="1"/>
    <w:qFormat/>
    <w:uiPriority w:val="0"/>
    <w:pPr>
      <w:widowControl/>
      <w:pBdr>
        <w:left w:val="single" w:color="auto" w:sz="4" w:space="0"/>
        <w:bottom w:val="single" w:color="auto" w:sz="4" w:space="0"/>
        <w:right w:val="single" w:color="auto"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9">
    <w:name w:val="xl60"/>
    <w:basedOn w:val="1"/>
    <w:qFormat/>
    <w:uiPriority w:val="0"/>
    <w:pPr>
      <w:widowControl/>
      <w:pBdr>
        <w:top w:val="single" w:color="auto" w:sz="4" w:space="0"/>
        <w:left w:val="single" w:color="auto" w:sz="4" w:space="0"/>
        <w:bottom w:val="single" w:color="auto" w:sz="4" w:space="0"/>
      </w:pBdr>
      <w:spacing w:before="100" w:after="100"/>
      <w:ind w:firstLine="200" w:firstLineChars="200"/>
      <w:jc w:val="center"/>
      <w:textAlignment w:val="center"/>
    </w:pPr>
    <w:rPr>
      <w:rFonts w:eastAsia="Arial Unicode MS"/>
      <w:color w:val="7030A0"/>
      <w:kern w:val="0"/>
      <w:szCs w:val="20"/>
    </w:rPr>
  </w:style>
  <w:style w:type="paragraph" w:customStyle="1" w:styleId="330">
    <w:name w:val="样式 目录 1"/>
    <w:basedOn w:val="32"/>
    <w:qFormat/>
    <w:uiPriority w:val="0"/>
    <w:pPr>
      <w:tabs>
        <w:tab w:val="left" w:pos="420"/>
        <w:tab w:val="left" w:pos="525"/>
        <w:tab w:val="left" w:pos="1680"/>
        <w:tab w:val="right" w:leader="dot" w:pos="8495"/>
        <w:tab w:val="right" w:pos="9060"/>
        <w:tab w:val="clear" w:pos="8778"/>
      </w:tabs>
      <w:snapToGrid/>
      <w:spacing w:line="240" w:lineRule="auto"/>
      <w:ind w:left="525" w:hanging="425"/>
    </w:pPr>
    <w:rPr>
      <w:bCs w:val="0"/>
      <w:iCs w:val="0"/>
      <w:caps w:val="0"/>
      <w:color w:val="7030A0"/>
      <w:kern w:val="2"/>
      <w:sz w:val="21"/>
      <w:szCs w:val="20"/>
    </w:rPr>
  </w:style>
  <w:style w:type="paragraph" w:customStyle="1" w:styleId="331">
    <w:name w:val="A-12"/>
    <w:basedOn w:val="1"/>
    <w:qFormat/>
    <w:uiPriority w:val="0"/>
    <w:pPr>
      <w:widowControl/>
      <w:ind w:firstLine="200" w:firstLineChars="200"/>
      <w:jc w:val="left"/>
    </w:pPr>
    <w:rPr>
      <w:rFonts w:ascii="Arial" w:hAnsi="Arial"/>
      <w:color w:val="7030A0"/>
      <w:kern w:val="0"/>
      <w:sz w:val="24"/>
      <w:szCs w:val="20"/>
    </w:rPr>
  </w:style>
  <w:style w:type="paragraph" w:customStyle="1" w:styleId="332">
    <w:name w:val="样式 样式 样式 宋体 小四 左侧:  1.85 厘米 段前: 11.15 磅 段后: 11.15 磅 + 图案: 清除 (白色..."/>
    <w:basedOn w:val="229"/>
    <w:qFormat/>
    <w:uiPriority w:val="0"/>
    <w:pPr>
      <w:spacing w:beforeLines="50" w:afterLines="50"/>
      <w:ind w:left="318"/>
    </w:pPr>
    <w:rPr>
      <w:szCs w:val="20"/>
    </w:rPr>
  </w:style>
  <w:style w:type="paragraph" w:customStyle="1" w:styleId="333">
    <w:name w:val="无间隔1"/>
    <w:qFormat/>
    <w:uiPriority w:val="0"/>
    <w:pPr>
      <w:widowControl w:val="0"/>
      <w:ind w:firstLine="200" w:firstLineChars="200"/>
    </w:pPr>
    <w:rPr>
      <w:rFonts w:ascii="Times New Roman" w:hAnsi="Times New Roman" w:eastAsia="宋体" w:cs="Times New Roman"/>
      <w:color w:val="7030A0"/>
      <w:kern w:val="2"/>
      <w:sz w:val="24"/>
      <w:szCs w:val="24"/>
      <w:lang w:val="en-US" w:eastAsia="zh-CN" w:bidi="ar-SA"/>
    </w:rPr>
  </w:style>
  <w:style w:type="paragraph" w:customStyle="1" w:styleId="334">
    <w:name w:val="正文文本缩进 32"/>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35">
    <w:name w:val="一级条标题"/>
    <w:basedOn w:val="1"/>
    <w:next w:val="1"/>
    <w:qFormat/>
    <w:uiPriority w:val="0"/>
    <w:pPr>
      <w:widowControl/>
      <w:tabs>
        <w:tab w:val="left" w:pos="425"/>
        <w:tab w:val="left" w:pos="525"/>
      </w:tabs>
      <w:ind w:left="425" w:hanging="425" w:firstLineChars="200"/>
      <w:jc w:val="left"/>
      <w:outlineLvl w:val="2"/>
    </w:pPr>
    <w:rPr>
      <w:rFonts w:ascii="黑体" w:eastAsia="黑体"/>
      <w:color w:val="7030A0"/>
      <w:kern w:val="0"/>
      <w:szCs w:val="20"/>
    </w:rPr>
  </w:style>
  <w:style w:type="paragraph" w:customStyle="1" w:styleId="336">
    <w:name w:val="样式 样式 正文（首行缩进两字） + 宋体 小四 首行缩进:  0 厘米 段前: 11.15 磅 段后: 11.15 磅 + 左...1"/>
    <w:basedOn w:val="1"/>
    <w:qFormat/>
    <w:uiPriority w:val="0"/>
    <w:pPr>
      <w:tabs>
        <w:tab w:val="left" w:pos="425"/>
        <w:tab w:val="left" w:pos="720"/>
      </w:tabs>
      <w:snapToGrid w:val="0"/>
      <w:spacing w:before="223" w:after="223"/>
      <w:ind w:left="200" w:leftChars="200" w:firstLine="200" w:firstLineChars="200"/>
      <w:jc w:val="left"/>
    </w:pPr>
    <w:rPr>
      <w:rFonts w:ascii="宋体" w:hAnsi="宋体"/>
      <w:color w:val="7030A0"/>
      <w:sz w:val="24"/>
      <w:szCs w:val="20"/>
    </w:rPr>
  </w:style>
  <w:style w:type="paragraph" w:customStyle="1" w:styleId="337">
    <w:name w:val="Char Char Char Char Char Char Char Char1"/>
    <w:basedOn w:val="1"/>
    <w:qFormat/>
    <w:uiPriority w:val="0"/>
    <w:pPr>
      <w:ind w:firstLine="200" w:firstLineChars="200"/>
      <w:jc w:val="left"/>
    </w:pPr>
    <w:rPr>
      <w:rFonts w:ascii="Tahoma" w:hAnsi="Tahoma"/>
      <w:color w:val="7030A0"/>
      <w:sz w:val="24"/>
      <w:szCs w:val="20"/>
    </w:rPr>
  </w:style>
  <w:style w:type="paragraph" w:customStyle="1" w:styleId="338">
    <w:name w:val="三级条标题"/>
    <w:basedOn w:val="339"/>
    <w:next w:val="1"/>
    <w:qFormat/>
    <w:uiPriority w:val="0"/>
    <w:pPr>
      <w:tabs>
        <w:tab w:val="left" w:pos="425"/>
      </w:tabs>
      <w:outlineLvl w:val="4"/>
    </w:pPr>
  </w:style>
  <w:style w:type="paragraph" w:customStyle="1" w:styleId="339">
    <w:name w:val="二级条标题"/>
    <w:basedOn w:val="335"/>
    <w:next w:val="1"/>
    <w:qFormat/>
    <w:uiPriority w:val="0"/>
    <w:pPr>
      <w:tabs>
        <w:tab w:val="clear" w:pos="525"/>
      </w:tabs>
      <w:ind w:firstLine="0" w:firstLineChars="0"/>
      <w:outlineLvl w:val="3"/>
    </w:pPr>
  </w:style>
  <w:style w:type="paragraph" w:customStyle="1" w:styleId="340">
    <w:name w:val="样式 宋体 小四 左 图案: 清除 (白色) 行距: 1.5 倍行距"/>
    <w:basedOn w:val="1"/>
    <w:qFormat/>
    <w:uiPriority w:val="0"/>
    <w:pPr>
      <w:tabs>
        <w:tab w:val="left" w:pos="840"/>
      </w:tabs>
      <w:spacing w:beforeLines="50" w:afterLines="50"/>
      <w:ind w:firstLine="200" w:firstLineChars="200"/>
      <w:jc w:val="left"/>
    </w:pPr>
    <w:rPr>
      <w:rFonts w:ascii="宋体" w:hAnsi="宋体"/>
      <w:color w:val="7030A0"/>
      <w:sz w:val="24"/>
      <w:szCs w:val="20"/>
      <w:shd w:val="clear" w:color="auto" w:fill="FFFFFF"/>
    </w:rPr>
  </w:style>
  <w:style w:type="paragraph" w:customStyle="1" w:styleId="341">
    <w:name w:val="四级条标题"/>
    <w:basedOn w:val="338"/>
    <w:next w:val="1"/>
    <w:qFormat/>
    <w:uiPriority w:val="0"/>
    <w:pPr>
      <w:outlineLvl w:val="5"/>
    </w:pPr>
  </w:style>
  <w:style w:type="paragraph" w:customStyle="1" w:styleId="342">
    <w:name w:val="六级标题格式"/>
    <w:basedOn w:val="1"/>
    <w:qFormat/>
    <w:uiPriority w:val="0"/>
    <w:pPr>
      <w:spacing w:afterLines="50" w:line="336" w:lineRule="auto"/>
      <w:ind w:firstLine="200" w:firstLineChars="200"/>
      <w:jc w:val="left"/>
      <w:outlineLvl w:val="5"/>
    </w:pPr>
    <w:rPr>
      <w:color w:val="7030A0"/>
      <w:sz w:val="24"/>
    </w:rPr>
  </w:style>
  <w:style w:type="paragraph" w:customStyle="1" w:styleId="343">
    <w:name w:val="附图 BJ15"/>
    <w:basedOn w:val="1"/>
    <w:qFormat/>
    <w:uiPriority w:val="0"/>
    <w:pPr>
      <w:adjustRightInd w:val="0"/>
      <w:snapToGrid w:val="0"/>
      <w:ind w:firstLine="200" w:firstLineChars="200"/>
      <w:jc w:val="center"/>
    </w:pPr>
    <w:rPr>
      <w:rFonts w:hAnsi="Arial"/>
      <w:color w:val="7030A0"/>
      <w:kern w:val="0"/>
    </w:rPr>
  </w:style>
  <w:style w:type="paragraph" w:customStyle="1" w:styleId="344">
    <w:name w:val="正文文本缩进 31"/>
    <w:basedOn w:val="1"/>
    <w:qFormat/>
    <w:uiPriority w:val="0"/>
    <w:pPr>
      <w:autoSpaceDE w:val="0"/>
      <w:autoSpaceDN w:val="0"/>
      <w:adjustRightInd w:val="0"/>
      <w:ind w:firstLine="525" w:firstLineChars="200"/>
      <w:jc w:val="left"/>
      <w:textAlignment w:val="baseline"/>
    </w:pPr>
    <w:rPr>
      <w:color w:val="7030A0"/>
      <w:sz w:val="24"/>
      <w:szCs w:val="20"/>
    </w:rPr>
  </w:style>
  <w:style w:type="paragraph" w:customStyle="1" w:styleId="345">
    <w:name w:val="TOC 标题1"/>
    <w:basedOn w:val="4"/>
    <w:next w:val="1"/>
    <w:qFormat/>
    <w:uiPriority w:val="0"/>
    <w:pPr>
      <w:widowControl/>
      <w:spacing w:before="480" w:after="0" w:line="276" w:lineRule="auto"/>
      <w:ind w:left="0" w:firstLine="0"/>
      <w:jc w:val="left"/>
      <w:outlineLvl w:val="9"/>
    </w:pPr>
    <w:rPr>
      <w:rFonts w:ascii="Cambria" w:hAnsi="Cambria"/>
      <w:color w:val="365F91"/>
      <w:kern w:val="0"/>
      <w:sz w:val="30"/>
      <w:szCs w:val="28"/>
    </w:rPr>
  </w:style>
  <w:style w:type="paragraph" w:customStyle="1" w:styleId="346">
    <w:name w:val="Report Level 2"/>
    <w:basedOn w:val="239"/>
    <w:next w:val="240"/>
    <w:qFormat/>
    <w:uiPriority w:val="0"/>
    <w:pPr>
      <w:tabs>
        <w:tab w:val="left" w:pos="1500"/>
        <w:tab w:val="clear" w:pos="1080"/>
      </w:tabs>
      <w:ind w:left="1500"/>
      <w:outlineLvl w:val="1"/>
    </w:pPr>
    <w:rPr>
      <w:caps w:val="0"/>
    </w:rPr>
  </w:style>
  <w:style w:type="paragraph" w:customStyle="1" w:styleId="347">
    <w:name w:val="Report Level 3"/>
    <w:basedOn w:val="239"/>
    <w:next w:val="240"/>
    <w:qFormat/>
    <w:uiPriority w:val="0"/>
    <w:pPr>
      <w:tabs>
        <w:tab w:val="left" w:pos="1889"/>
        <w:tab w:val="clear" w:pos="1080"/>
      </w:tabs>
      <w:spacing w:before="120"/>
      <w:ind w:left="1889" w:hanging="420"/>
      <w:outlineLvl w:val="2"/>
    </w:pPr>
    <w:rPr>
      <w:caps w:val="0"/>
      <w:sz w:val="20"/>
    </w:rPr>
  </w:style>
  <w:style w:type="paragraph" w:customStyle="1" w:styleId="348">
    <w:name w:val="Report Level 4"/>
    <w:basedOn w:val="347"/>
    <w:next w:val="240"/>
    <w:qFormat/>
    <w:uiPriority w:val="0"/>
    <w:pPr>
      <w:tabs>
        <w:tab w:val="left" w:pos="720"/>
        <w:tab w:val="left" w:pos="2309"/>
        <w:tab w:val="clear" w:pos="1889"/>
      </w:tabs>
      <w:ind w:left="720" w:hanging="720"/>
      <w:outlineLvl w:val="3"/>
    </w:pPr>
    <w:rPr>
      <w:rFonts w:ascii="Times New Roman" w:hAnsi="Times New Roman"/>
    </w:rPr>
  </w:style>
  <w:style w:type="paragraph" w:customStyle="1" w:styleId="349">
    <w:name w:val="样式3"/>
    <w:basedOn w:val="6"/>
    <w:next w:val="1"/>
    <w:qFormat/>
    <w:uiPriority w:val="0"/>
    <w:pPr>
      <w:tabs>
        <w:tab w:val="left" w:pos="709"/>
      </w:tabs>
      <w:spacing w:before="0" w:after="0" w:line="240" w:lineRule="auto"/>
      <w:ind w:left="709" w:hanging="709"/>
      <w:jc w:val="left"/>
    </w:pPr>
    <w:rPr>
      <w:rFonts w:ascii="Tahoma" w:hAnsi="Tahoma"/>
      <w:b w:val="0"/>
      <w:bCs w:val="0"/>
      <w:sz w:val="28"/>
      <w:szCs w:val="20"/>
    </w:rPr>
  </w:style>
  <w:style w:type="paragraph" w:customStyle="1" w:styleId="350">
    <w:name w:val="小标4"/>
    <w:basedOn w:val="1"/>
    <w:next w:val="1"/>
    <w:qFormat/>
    <w:uiPriority w:val="0"/>
    <w:pPr>
      <w:tabs>
        <w:tab w:val="left" w:pos="900"/>
      </w:tabs>
      <w:spacing w:line="400" w:lineRule="exact"/>
      <w:ind w:left="900" w:firstLine="200" w:firstLineChars="200"/>
      <w:jc w:val="left"/>
    </w:pPr>
    <w:rPr>
      <w:rFonts w:ascii="宋体"/>
      <w:color w:val="7030A0"/>
      <w:sz w:val="24"/>
    </w:rPr>
  </w:style>
  <w:style w:type="paragraph" w:customStyle="1" w:styleId="351">
    <w:name w:val="样式 标题2 1.1 + 段前: 0 磅 段后: 0 磅"/>
    <w:basedOn w:val="1"/>
    <w:qFormat/>
    <w:uiPriority w:val="0"/>
    <w:pPr>
      <w:keepNext/>
      <w:tabs>
        <w:tab w:val="left" w:pos="567"/>
      </w:tabs>
      <w:spacing w:line="480" w:lineRule="atLeast"/>
      <w:ind w:left="567" w:hanging="567" w:firstLineChars="200"/>
      <w:jc w:val="left"/>
      <w:outlineLvl w:val="1"/>
    </w:pPr>
    <w:rPr>
      <w:color w:val="7030A0"/>
      <w:sz w:val="28"/>
      <w:szCs w:val="20"/>
    </w:rPr>
  </w:style>
  <w:style w:type="paragraph" w:customStyle="1" w:styleId="352">
    <w:name w:val="表格文字格式"/>
    <w:basedOn w:val="1"/>
    <w:qFormat/>
    <w:uiPriority w:val="0"/>
    <w:pPr>
      <w:snapToGrid w:val="0"/>
      <w:jc w:val="center"/>
    </w:pPr>
    <w:rPr>
      <w:rFonts w:cs="宋体"/>
      <w:szCs w:val="20"/>
    </w:rPr>
  </w:style>
  <w:style w:type="paragraph" w:customStyle="1" w:styleId="353">
    <w:name w:val="正文文本 22"/>
    <w:basedOn w:val="1"/>
    <w:qFormat/>
    <w:uiPriority w:val="0"/>
    <w:pPr>
      <w:autoSpaceDE w:val="0"/>
      <w:autoSpaceDN w:val="0"/>
      <w:adjustRightInd w:val="0"/>
      <w:ind w:left="525" w:firstLine="525" w:firstLineChars="200"/>
      <w:jc w:val="left"/>
      <w:textAlignment w:val="baseline"/>
    </w:pPr>
    <w:rPr>
      <w:color w:val="7030A0"/>
      <w:szCs w:val="20"/>
    </w:rPr>
  </w:style>
  <w:style w:type="paragraph" w:customStyle="1" w:styleId="354">
    <w:name w:val="样式 宋体 小四 首行缩进:  0.93 厘米 段前: 11.15 磅 段后: 11.15 磅1 Char"/>
    <w:basedOn w:val="1"/>
    <w:qFormat/>
    <w:uiPriority w:val="0"/>
    <w:pPr>
      <w:adjustRightInd w:val="0"/>
      <w:snapToGrid w:val="0"/>
      <w:ind w:left="200" w:leftChars="200" w:firstLine="200" w:firstLineChars="200"/>
      <w:jc w:val="left"/>
    </w:pPr>
    <w:rPr>
      <w:rFonts w:ascii="宋体"/>
      <w:color w:val="7030A0"/>
      <w:sz w:val="24"/>
      <w:szCs w:val="20"/>
    </w:rPr>
  </w:style>
  <w:style w:type="paragraph" w:customStyle="1" w:styleId="355">
    <w:name w:val="五级条标题"/>
    <w:basedOn w:val="341"/>
    <w:next w:val="1"/>
    <w:qFormat/>
    <w:uiPriority w:val="0"/>
    <w:pPr>
      <w:outlineLvl w:val="6"/>
    </w:pPr>
  </w:style>
  <w:style w:type="paragraph" w:customStyle="1" w:styleId="356">
    <w:name w:val="文档结构图1"/>
    <w:basedOn w:val="1"/>
    <w:qFormat/>
    <w:uiPriority w:val="0"/>
    <w:pPr>
      <w:shd w:val="clear" w:color="auto" w:fill="000080"/>
      <w:autoSpaceDE w:val="0"/>
      <w:autoSpaceDN w:val="0"/>
      <w:adjustRightInd w:val="0"/>
      <w:ind w:firstLine="200" w:firstLineChars="200"/>
      <w:jc w:val="left"/>
      <w:textAlignment w:val="baseline"/>
    </w:pPr>
    <w:rPr>
      <w:color w:val="7030A0"/>
      <w:szCs w:val="20"/>
    </w:rPr>
  </w:style>
  <w:style w:type="paragraph" w:customStyle="1" w:styleId="357">
    <w:name w:val="註解方塊文字2"/>
    <w:basedOn w:val="1"/>
    <w:qFormat/>
    <w:uiPriority w:val="0"/>
    <w:rPr>
      <w:rFonts w:ascii="Arial" w:hAnsi="Arial" w:eastAsia="PMingLiU"/>
      <w:color w:val="7030A0"/>
      <w:sz w:val="18"/>
      <w:szCs w:val="18"/>
    </w:rPr>
  </w:style>
  <w:style w:type="paragraph" w:customStyle="1" w:styleId="358">
    <w:name w:val="正文文本缩进 22"/>
    <w:basedOn w:val="1"/>
    <w:qFormat/>
    <w:uiPriority w:val="0"/>
    <w:pPr>
      <w:autoSpaceDE w:val="0"/>
      <w:autoSpaceDN w:val="0"/>
      <w:adjustRightInd w:val="0"/>
      <w:ind w:firstLine="420" w:firstLineChars="200"/>
      <w:jc w:val="left"/>
      <w:textAlignment w:val="baseline"/>
    </w:pPr>
    <w:rPr>
      <w:color w:val="7030A0"/>
      <w:szCs w:val="20"/>
    </w:rPr>
  </w:style>
  <w:style w:type="paragraph" w:customStyle="1" w:styleId="359">
    <w:name w:val="纯文本2"/>
    <w:basedOn w:val="1"/>
    <w:qFormat/>
    <w:uiPriority w:val="0"/>
    <w:pPr>
      <w:adjustRightInd w:val="0"/>
      <w:spacing w:line="312" w:lineRule="atLeast"/>
      <w:ind w:firstLine="200" w:firstLineChars="200"/>
      <w:jc w:val="left"/>
      <w:textAlignment w:val="baseline"/>
    </w:pPr>
    <w:rPr>
      <w:rFonts w:ascii="宋体" w:hAnsi="Courier New"/>
      <w:color w:val="7030A0"/>
      <w:kern w:val="0"/>
      <w:sz w:val="28"/>
      <w:szCs w:val="20"/>
    </w:rPr>
  </w:style>
  <w:style w:type="paragraph" w:customStyle="1" w:styleId="360">
    <w:name w:val="三级标题格式"/>
    <w:basedOn w:val="6"/>
    <w:qFormat/>
    <w:uiPriority w:val="0"/>
    <w:pPr>
      <w:spacing w:before="0" w:afterLines="100" w:line="240" w:lineRule="auto"/>
      <w:jc w:val="left"/>
    </w:pPr>
    <w:rPr>
      <w:rFonts w:eastAsia="黑体"/>
      <w:b w:val="0"/>
      <w:sz w:val="28"/>
      <w:szCs w:val="28"/>
    </w:rPr>
  </w:style>
  <w:style w:type="paragraph" w:customStyle="1" w:styleId="361">
    <w:name w:val="正文缩进1"/>
    <w:basedOn w:val="1"/>
    <w:link w:val="420"/>
    <w:qFormat/>
    <w:uiPriority w:val="0"/>
    <w:pPr>
      <w:spacing w:line="360" w:lineRule="auto"/>
      <w:ind w:firstLine="420"/>
    </w:pPr>
    <w:rPr>
      <w:kern w:val="2"/>
      <w:sz w:val="21"/>
      <w:szCs w:val="24"/>
    </w:rPr>
  </w:style>
  <w:style w:type="paragraph" w:customStyle="1" w:styleId="362">
    <w:name w:val="图文"/>
    <w:basedOn w:val="1"/>
    <w:qFormat/>
    <w:uiPriority w:val="0"/>
    <w:pPr>
      <w:adjustRightInd w:val="0"/>
      <w:snapToGrid w:val="0"/>
      <w:spacing w:after="50" w:line="360" w:lineRule="auto"/>
    </w:pPr>
    <w:rPr>
      <w:sz w:val="24"/>
    </w:rPr>
  </w:style>
  <w:style w:type="character" w:customStyle="1" w:styleId="363">
    <w:name w:val="page number"/>
    <w:basedOn w:val="43"/>
    <w:qFormat/>
    <w:uiPriority w:val="0"/>
  </w:style>
  <w:style w:type="character" w:customStyle="1" w:styleId="364">
    <w:name w:val="批注框文本 Char Char Char Char"/>
    <w:basedOn w:val="43"/>
    <w:link w:val="100"/>
    <w:semiHidden/>
    <w:qFormat/>
    <w:uiPriority w:val="0"/>
    <w:rPr>
      <w:rFonts w:ascii="Times New Roman" w:hAnsi="Times New Roman" w:eastAsia="宋体" w:cs="Times New Roman"/>
      <w:sz w:val="18"/>
      <w:szCs w:val="18"/>
    </w:rPr>
  </w:style>
  <w:style w:type="character" w:customStyle="1" w:styleId="365">
    <w:name w:val="HTML Typewriter"/>
    <w:qFormat/>
    <w:uiPriority w:val="0"/>
    <w:rPr>
      <w:rFonts w:ascii="黑体" w:hAnsi="Courier New" w:eastAsia="黑体" w:cs="Courier New"/>
      <w:sz w:val="20"/>
      <w:szCs w:val="20"/>
    </w:rPr>
  </w:style>
  <w:style w:type="character" w:customStyle="1" w:styleId="366">
    <w:name w:val="annotation reference"/>
    <w:basedOn w:val="43"/>
    <w:qFormat/>
    <w:uiPriority w:val="0"/>
    <w:rPr>
      <w:sz w:val="21"/>
      <w:szCs w:val="21"/>
    </w:rPr>
  </w:style>
  <w:style w:type="character" w:customStyle="1" w:styleId="367">
    <w:name w:val="四级标题格式 Char Char"/>
    <w:link w:val="124"/>
    <w:semiHidden/>
    <w:qFormat/>
    <w:uiPriority w:val="0"/>
    <w:rPr>
      <w:rFonts w:ascii="Times New Roman" w:hAnsi="Times New Roman" w:eastAsia="黑体"/>
      <w:bCs/>
      <w:kern w:val="2"/>
      <w:sz w:val="28"/>
      <w:szCs w:val="28"/>
    </w:rPr>
  </w:style>
  <w:style w:type="character" w:customStyle="1" w:styleId="368">
    <w:name w:val="标题 5 Char1"/>
    <w:link w:val="8"/>
    <w:semiHidden/>
    <w:qFormat/>
    <w:uiPriority w:val="0"/>
    <w:rPr>
      <w:rFonts w:ascii="Times New Roman" w:hAnsi="Times New Roman"/>
      <w:b/>
      <w:kern w:val="2"/>
      <w:sz w:val="28"/>
    </w:rPr>
  </w:style>
  <w:style w:type="character" w:customStyle="1" w:styleId="369">
    <w:name w:val="样式 标题 31.1条标题1.1.1二级节名h3Heading 3 - oldheading 3H3H31H3... Char Char"/>
    <w:qFormat/>
    <w:uiPriority w:val="0"/>
    <w:rPr>
      <w:rFonts w:ascii="宋体" w:hAnsi="宋体" w:eastAsia="黑体"/>
      <w:kern w:val="2"/>
      <w:sz w:val="24"/>
      <w:szCs w:val="21"/>
    </w:rPr>
  </w:style>
  <w:style w:type="character" w:customStyle="1" w:styleId="370">
    <w:name w:val="标题3 Char Char"/>
    <w:link w:val="125"/>
    <w:semiHidden/>
    <w:qFormat/>
    <w:uiPriority w:val="0"/>
    <w:rPr>
      <w:rFonts w:ascii="宋体" w:hAnsi="宋体"/>
      <w:b/>
      <w:bCs/>
      <w:color w:val="92D050"/>
      <w:kern w:val="44"/>
      <w:sz w:val="24"/>
      <w:szCs w:val="21"/>
    </w:rPr>
  </w:style>
  <w:style w:type="character" w:customStyle="1" w:styleId="371">
    <w:name w:val="selected"/>
    <w:basedOn w:val="43"/>
    <w:qFormat/>
    <w:uiPriority w:val="0"/>
    <w:rPr>
      <w:shd w:val="clear" w:color="auto" w:fill="B00006"/>
    </w:rPr>
  </w:style>
  <w:style w:type="character" w:customStyle="1" w:styleId="372">
    <w:name w:val="样式 宋体 行距: 固定值 24 磅 Char Char"/>
    <w:link w:val="126"/>
    <w:semiHidden/>
    <w:qFormat/>
    <w:uiPriority w:val="0"/>
    <w:rPr>
      <w:rFonts w:ascii="宋体" w:cs="宋体"/>
      <w:color w:val="7030A0"/>
      <w:kern w:val="2"/>
      <w:sz w:val="28"/>
    </w:rPr>
  </w:style>
  <w:style w:type="character" w:customStyle="1" w:styleId="373">
    <w:name w:val="样式 首行缩进:  2 字符 Char1"/>
    <w:link w:val="127"/>
    <w:semiHidden/>
    <w:qFormat/>
    <w:uiPriority w:val="0"/>
    <w:rPr>
      <w:rFonts w:ascii="Times New Roman" w:hAnsi="Times New Roman"/>
      <w:color w:val="7030A0"/>
      <w:kern w:val="2"/>
      <w:sz w:val="24"/>
    </w:rPr>
  </w:style>
  <w:style w:type="character" w:customStyle="1" w:styleId="374">
    <w:name w:val="日期 Char1"/>
    <w:basedOn w:val="43"/>
    <w:qFormat/>
    <w:uiPriority w:val="0"/>
    <w:rPr>
      <w:rFonts w:ascii="Times New Roman" w:hAnsi="Times New Roman"/>
      <w:kern w:val="2"/>
      <w:sz w:val="21"/>
      <w:szCs w:val="24"/>
    </w:rPr>
  </w:style>
  <w:style w:type="character" w:customStyle="1" w:styleId="375">
    <w:name w:val="正文－wjnew Char Char"/>
    <w:link w:val="128"/>
    <w:semiHidden/>
    <w:qFormat/>
    <w:uiPriority w:val="0"/>
    <w:rPr>
      <w:rFonts w:ascii="宋体" w:cs="宋体"/>
      <w:kern w:val="2"/>
      <w:sz w:val="21"/>
      <w:szCs w:val="21"/>
    </w:rPr>
  </w:style>
  <w:style w:type="character" w:customStyle="1" w:styleId="376">
    <w:name w:val="标题 4 Char1"/>
    <w:qFormat/>
    <w:uiPriority w:val="0"/>
    <w:rPr>
      <w:rFonts w:ascii="宋体" w:hAnsi="宋体"/>
      <w:b/>
      <w:bCs/>
      <w:kern w:val="2"/>
      <w:sz w:val="21"/>
    </w:rPr>
  </w:style>
  <w:style w:type="character" w:customStyle="1" w:styleId="377">
    <w:name w:val="(1) Char Char"/>
    <w:link w:val="129"/>
    <w:semiHidden/>
    <w:qFormat/>
    <w:uiPriority w:val="0"/>
    <w:rPr>
      <w:rFonts w:ascii="宋体" w:hAnsi="宋体"/>
      <w:kern w:val="2"/>
      <w:sz w:val="24"/>
      <w:szCs w:val="24"/>
    </w:rPr>
  </w:style>
  <w:style w:type="character" w:customStyle="1" w:styleId="378">
    <w:name w:val="样式 标题 2标题 1.1head:2#2 headlinehheadlineS&amp;R2ERMH2Head 2 +... Char Char"/>
    <w:qFormat/>
    <w:uiPriority w:val="0"/>
    <w:rPr>
      <w:rFonts w:ascii="Arial" w:hAnsi="Arial" w:eastAsia="宋体"/>
      <w:b/>
      <w:bCs/>
      <w:sz w:val="24"/>
      <w:lang w:val="en-US" w:eastAsia="zh-CN" w:bidi="ar-SA"/>
    </w:rPr>
  </w:style>
  <w:style w:type="character" w:customStyle="1" w:styleId="379">
    <w:name w:val="樣式 標題 3 + (中文) MS Gothic 10.5 點 Char Char Char Char Char Char Char Char"/>
    <w:qFormat/>
    <w:uiPriority w:val="0"/>
    <w:rPr>
      <w:rFonts w:hAnsi="PMingLiU" w:eastAsia="MS Gothic"/>
      <w:snapToGrid w:val="0"/>
      <w:kern w:val="2"/>
      <w:sz w:val="24"/>
      <w:lang w:eastAsia="zh-TW"/>
    </w:rPr>
  </w:style>
  <w:style w:type="character" w:customStyle="1" w:styleId="380">
    <w:name w:val="正文 BJ15 Char Char"/>
    <w:link w:val="130"/>
    <w:semiHidden/>
    <w:qFormat/>
    <w:uiPriority w:val="0"/>
    <w:rPr>
      <w:rFonts w:ascii="Times New Roman" w:hAnsi="Times New Roman"/>
      <w:kern w:val="2"/>
      <w:sz w:val="24"/>
      <w:szCs w:val="24"/>
    </w:rPr>
  </w:style>
  <w:style w:type="character" w:customStyle="1" w:styleId="381">
    <w:name w:val="纯文本 Char Char"/>
    <w:qFormat/>
    <w:uiPriority w:val="0"/>
    <w:rPr>
      <w:rFonts w:ascii="宋体" w:hAnsi="Courier New" w:eastAsia="宋体" w:cs="Century"/>
      <w:kern w:val="2"/>
      <w:sz w:val="21"/>
      <w:szCs w:val="21"/>
      <w:lang w:val="en-US" w:eastAsia="zh-CN" w:bidi="ar-SA"/>
    </w:rPr>
  </w:style>
  <w:style w:type="character" w:customStyle="1" w:styleId="382">
    <w:name w:val="样式 楷体_GB2312 二号 加粗 Char"/>
    <w:qFormat/>
    <w:uiPriority w:val="0"/>
    <w:rPr>
      <w:rFonts w:ascii="楷体_GB2312" w:hAnsi="Arial" w:eastAsia="楷体_GB2312" w:cs="Arial"/>
      <w:b/>
      <w:kern w:val="2"/>
      <w:sz w:val="44"/>
      <w:szCs w:val="24"/>
      <w:lang w:val="en-US" w:eastAsia="zh-CN" w:bidi="ar-SA"/>
    </w:rPr>
  </w:style>
  <w:style w:type="character" w:customStyle="1" w:styleId="383">
    <w:name w:val="1.1 Char Char"/>
    <w:qFormat/>
    <w:uiPriority w:val="0"/>
    <w:rPr>
      <w:rFonts w:ascii="宋体" w:eastAsia="宋体"/>
      <w:b/>
      <w:bCs/>
      <w:kern w:val="2"/>
      <w:sz w:val="24"/>
      <w:szCs w:val="32"/>
      <w:lang w:val="en-US" w:eastAsia="zh-CN" w:bidi="ar-SA"/>
    </w:rPr>
  </w:style>
  <w:style w:type="character" w:customStyle="1" w:styleId="384">
    <w:name w:val="正文文本 Char1"/>
    <w:qFormat/>
    <w:uiPriority w:val="0"/>
    <w:rPr>
      <w:rFonts w:ascii="Times New Roman" w:hAnsi="Times New Roman"/>
      <w:kern w:val="2"/>
      <w:sz w:val="24"/>
    </w:rPr>
  </w:style>
  <w:style w:type="character" w:customStyle="1" w:styleId="385">
    <w:name w:val="普通文字 Char Char"/>
    <w:qFormat/>
    <w:uiPriority w:val="0"/>
    <w:rPr>
      <w:rFonts w:ascii="宋体" w:hAnsi="Courier New" w:eastAsia="宋体"/>
      <w:kern w:val="2"/>
      <w:sz w:val="21"/>
      <w:lang w:val="en-US" w:eastAsia="zh-CN" w:bidi="ar-SA"/>
    </w:rPr>
  </w:style>
  <w:style w:type="character" w:customStyle="1" w:styleId="386">
    <w:name w:val="样式 二号 红色 边框:: (单实线 自动设置  0.5 磅 行宽)"/>
    <w:qFormat/>
    <w:uiPriority w:val="0"/>
    <w:rPr>
      <w:rFonts w:eastAsia="宋体"/>
      <w:color w:val="0000FF"/>
      <w:sz w:val="44"/>
      <w:bdr w:val="single" w:color="0000FF" w:sz="4" w:space="0"/>
    </w:rPr>
  </w:style>
  <w:style w:type="character" w:customStyle="1" w:styleId="387">
    <w:name w:val="displayarti"/>
    <w:basedOn w:val="43"/>
    <w:qFormat/>
    <w:uiPriority w:val="0"/>
    <w:rPr>
      <w:color w:val="FFFFFF"/>
      <w:shd w:val="clear" w:color="auto" w:fill="A00000"/>
    </w:rPr>
  </w:style>
  <w:style w:type="character" w:customStyle="1" w:styleId="388">
    <w:name w:val="正文－zlb Char Char"/>
    <w:link w:val="131"/>
    <w:semiHidden/>
    <w:qFormat/>
    <w:uiPriority w:val="0"/>
    <w:rPr>
      <w:rFonts w:ascii="宋体" w:cs="宋体"/>
      <w:kern w:val="2"/>
      <w:sz w:val="24"/>
      <w:szCs w:val="24"/>
    </w:rPr>
  </w:style>
  <w:style w:type="character" w:customStyle="1" w:styleId="389">
    <w:name w:val="Char Char11"/>
    <w:qFormat/>
    <w:uiPriority w:val="0"/>
    <w:rPr>
      <w:rFonts w:eastAsia="宋体"/>
      <w:b/>
      <w:bCs/>
      <w:kern w:val="2"/>
      <w:sz w:val="24"/>
      <w:szCs w:val="24"/>
      <w:lang w:val="en-US" w:eastAsia="zh-CN" w:bidi="ar-SA"/>
    </w:rPr>
  </w:style>
  <w:style w:type="character" w:customStyle="1" w:styleId="390">
    <w:name w:val="正文（首行缩进两字） Char"/>
    <w:qFormat/>
    <w:uiPriority w:val="0"/>
    <w:rPr>
      <w:rFonts w:eastAsia="宋体"/>
      <w:sz w:val="32"/>
      <w:lang w:val="en-US" w:eastAsia="zh-CN" w:bidi="ar-SA"/>
    </w:rPr>
  </w:style>
  <w:style w:type="character" w:customStyle="1" w:styleId="391">
    <w:name w:val="b Char"/>
    <w:qFormat/>
    <w:uiPriority w:val="0"/>
    <w:rPr>
      <w:rFonts w:eastAsia="宋体"/>
      <w:b/>
      <w:bCs/>
      <w:kern w:val="2"/>
      <w:sz w:val="28"/>
      <w:szCs w:val="28"/>
      <w:lang w:val="en-US" w:eastAsia="zh-CN" w:bidi="ar-SA"/>
    </w:rPr>
  </w:style>
  <w:style w:type="character" w:customStyle="1" w:styleId="392">
    <w:name w:val="正文段落格式 Char Char"/>
    <w:qFormat/>
    <w:uiPriority w:val="0"/>
    <w:rPr>
      <w:rFonts w:cs="宋体"/>
      <w:color w:val="7030A0"/>
      <w:kern w:val="2"/>
      <w:sz w:val="24"/>
    </w:rPr>
  </w:style>
  <w:style w:type="character" w:customStyle="1" w:styleId="393">
    <w:name w:val="图表标题 BJ8 Char Char"/>
    <w:link w:val="132"/>
    <w:semiHidden/>
    <w:qFormat/>
    <w:uiPriority w:val="0"/>
    <w:rPr>
      <w:rFonts w:ascii="Times New Roman" w:hAnsi="Times New Roman" w:eastAsia="黑体"/>
      <w:kern w:val="2"/>
      <w:sz w:val="24"/>
    </w:rPr>
  </w:style>
  <w:style w:type="character" w:customStyle="1" w:styleId="394">
    <w:name w:val="应答文本 Char Char"/>
    <w:qFormat/>
    <w:uiPriority w:val="0"/>
    <w:rPr>
      <w:rFonts w:ascii="Arial" w:hAnsi="Arial" w:eastAsia="楷体_GB2312" w:cs="宋体"/>
      <w:spacing w:val="10"/>
      <w:sz w:val="21"/>
      <w:lang w:val="en-US" w:eastAsia="zh-CN" w:bidi="ar-SA"/>
    </w:rPr>
  </w:style>
  <w:style w:type="character" w:customStyle="1" w:styleId="395">
    <w:name w:val="列表框2 Char Char"/>
    <w:link w:val="133"/>
    <w:semiHidden/>
    <w:qFormat/>
    <w:uiPriority w:val="0"/>
    <w:rPr>
      <w:color w:val="7030A0"/>
      <w:spacing w:val="10"/>
      <w:sz w:val="24"/>
      <w:szCs w:val="24"/>
    </w:rPr>
  </w:style>
  <w:style w:type="character" w:customStyle="1" w:styleId="396">
    <w:name w:val="sub-dash Char"/>
    <w:qFormat/>
    <w:uiPriority w:val="0"/>
    <w:rPr>
      <w:rFonts w:ascii="Arial" w:hAnsi="Arial" w:eastAsia="黑体"/>
      <w:b/>
      <w:bCs/>
      <w:kern w:val="2"/>
      <w:sz w:val="24"/>
      <w:szCs w:val="24"/>
      <w:lang w:val="en-US" w:eastAsia="zh-CN" w:bidi="ar-SA"/>
    </w:rPr>
  </w:style>
  <w:style w:type="character" w:customStyle="1" w:styleId="397">
    <w:name w:val="五级标题格式 Char Char"/>
    <w:link w:val="134"/>
    <w:semiHidden/>
    <w:qFormat/>
    <w:uiPriority w:val="0"/>
    <w:rPr>
      <w:rFonts w:ascii="Times New Roman" w:hAnsi="Times New Roman"/>
      <w:b/>
      <w:bCs/>
      <w:kern w:val="2"/>
      <w:sz w:val="24"/>
      <w:szCs w:val="28"/>
    </w:rPr>
  </w:style>
  <w:style w:type="character" w:customStyle="1" w:styleId="398">
    <w:name w:val="Char Char111"/>
    <w:qFormat/>
    <w:uiPriority w:val="0"/>
    <w:rPr>
      <w:rFonts w:eastAsia="宋体"/>
      <w:b/>
      <w:bCs/>
      <w:kern w:val="2"/>
      <w:sz w:val="24"/>
      <w:szCs w:val="24"/>
      <w:lang w:val="en-US" w:eastAsia="zh-CN" w:bidi="ar-SA"/>
    </w:rPr>
  </w:style>
  <w:style w:type="character" w:customStyle="1" w:styleId="399">
    <w:name w:val="表格文字图表文字 Char Char"/>
    <w:qFormat/>
    <w:uiPriority w:val="0"/>
    <w:rPr>
      <w:color w:val="7030A0"/>
      <w:kern w:val="2"/>
      <w:sz w:val="21"/>
    </w:rPr>
  </w:style>
  <w:style w:type="character" w:customStyle="1" w:styleId="400">
    <w:name w:val="占位符文本1"/>
    <w:basedOn w:val="43"/>
    <w:qFormat/>
    <w:uiPriority w:val="0"/>
    <w:rPr>
      <w:color w:val="808080"/>
    </w:rPr>
  </w:style>
  <w:style w:type="character" w:customStyle="1" w:styleId="401">
    <w:name w:val="正文段落格式 Char Char Char"/>
    <w:link w:val="135"/>
    <w:semiHidden/>
    <w:qFormat/>
    <w:uiPriority w:val="0"/>
    <w:rPr>
      <w:rFonts w:ascii="Times New Roman" w:hAnsi="Times New Roman"/>
      <w:color w:val="7030A0"/>
      <w:kern w:val="2"/>
      <w:sz w:val="24"/>
    </w:rPr>
  </w:style>
  <w:style w:type="character" w:customStyle="1" w:styleId="402">
    <w:name w:val="表格文字 BJ8 Char Char"/>
    <w:link w:val="136"/>
    <w:semiHidden/>
    <w:qFormat/>
    <w:uiPriority w:val="0"/>
    <w:rPr>
      <w:rFonts w:ascii="Times New Roman" w:hAnsi="Times New Roman"/>
      <w:kern w:val="2"/>
      <w:sz w:val="21"/>
      <w:szCs w:val="21"/>
    </w:rPr>
  </w:style>
  <w:style w:type="character" w:customStyle="1" w:styleId="403">
    <w:name w:val="gpa"/>
    <w:basedOn w:val="43"/>
    <w:qFormat/>
    <w:uiPriority w:val="0"/>
    <w:rPr>
      <w:rFonts w:ascii="Arial" w:hAnsi="Arial" w:cs="Arial"/>
      <w:sz w:val="12"/>
      <w:szCs w:val="12"/>
    </w:rPr>
  </w:style>
  <w:style w:type="character" w:customStyle="1" w:styleId="404">
    <w:name w:val="样式 标题 31.1条标题1.1.1二级节名h3Heading 3 - oldheading 3H3H31H3... Char Char Char"/>
    <w:link w:val="137"/>
    <w:semiHidden/>
    <w:qFormat/>
    <w:uiPriority w:val="0"/>
    <w:rPr>
      <w:rFonts w:ascii="宋体" w:hAnsi="宋体" w:eastAsia="黑体"/>
      <w:kern w:val="2"/>
      <w:sz w:val="24"/>
      <w:szCs w:val="21"/>
    </w:rPr>
  </w:style>
  <w:style w:type="character" w:customStyle="1" w:styleId="405">
    <w:name w:val="标题2 Char Char"/>
    <w:link w:val="138"/>
    <w:semiHidden/>
    <w:qFormat/>
    <w:uiPriority w:val="0"/>
    <w:rPr>
      <w:rFonts w:ascii="宋体" w:hAnsi="Times New Roman"/>
      <w:b/>
      <w:color w:val="92D050"/>
      <w:kern w:val="44"/>
      <w:sz w:val="30"/>
    </w:rPr>
  </w:style>
  <w:style w:type="character" w:customStyle="1" w:styleId="406">
    <w:name w:val="Char Char2"/>
    <w:qFormat/>
    <w:uiPriority w:val="0"/>
    <w:rPr>
      <w:rFonts w:eastAsia="仿宋_GB2312"/>
      <w:kern w:val="2"/>
      <w:sz w:val="28"/>
      <w:lang w:val="en-US" w:eastAsia="zh-CN" w:bidi="ar-SA"/>
    </w:rPr>
  </w:style>
  <w:style w:type="character" w:customStyle="1" w:styleId="407">
    <w:name w:val="2 headline Char Char"/>
    <w:qFormat/>
    <w:uiPriority w:val="0"/>
    <w:rPr>
      <w:rFonts w:eastAsia="黑体"/>
      <w:bCs/>
      <w:kern w:val="2"/>
      <w:sz w:val="28"/>
      <w:szCs w:val="28"/>
      <w:lang w:val="en-US" w:eastAsia="zh-CN" w:bidi="ar-SA"/>
    </w:rPr>
  </w:style>
  <w:style w:type="character" w:customStyle="1" w:styleId="408">
    <w:name w:val="正文 QD3 Char Char"/>
    <w:link w:val="139"/>
    <w:semiHidden/>
    <w:qFormat/>
    <w:uiPriority w:val="0"/>
    <w:rPr>
      <w:rFonts w:ascii="Times New Roman" w:hAnsi="Times New Roman"/>
      <w:kern w:val="2"/>
      <w:sz w:val="24"/>
      <w:szCs w:val="24"/>
    </w:rPr>
  </w:style>
  <w:style w:type="character" w:customStyle="1" w:styleId="409">
    <w:name w:val="正文 BJ8 Char Char"/>
    <w:link w:val="140"/>
    <w:semiHidden/>
    <w:qFormat/>
    <w:uiPriority w:val="0"/>
    <w:rPr>
      <w:rFonts w:ascii="Times New Roman" w:hAnsi="Times New Roman"/>
      <w:color w:val="7030A0"/>
      <w:kern w:val="2"/>
      <w:sz w:val="24"/>
      <w:szCs w:val="24"/>
    </w:rPr>
  </w:style>
  <w:style w:type="character" w:customStyle="1" w:styleId="410">
    <w:name w:val="书籍标题1"/>
    <w:qFormat/>
    <w:uiPriority w:val="0"/>
    <w:rPr>
      <w:b/>
      <w:bCs/>
      <w:smallCaps/>
      <w:spacing w:val="5"/>
    </w:rPr>
  </w:style>
  <w:style w:type="character" w:customStyle="1" w:styleId="411">
    <w:name w:val="Char Char8"/>
    <w:qFormat/>
    <w:uiPriority w:val="0"/>
    <w:rPr>
      <w:rFonts w:eastAsia="宋体"/>
      <w:kern w:val="2"/>
      <w:sz w:val="21"/>
      <w:lang w:val="en-US" w:eastAsia="zh-CN" w:bidi="ar-SA"/>
    </w:rPr>
  </w:style>
  <w:style w:type="character" w:customStyle="1" w:styleId="412">
    <w:name w:val="正文文本缩进 Char1"/>
    <w:link w:val="78"/>
    <w:semiHidden/>
    <w:qFormat/>
    <w:uiPriority w:val="0"/>
    <w:rPr>
      <w:rFonts w:ascii="宋体" w:hAnsi="Times New Roman"/>
      <w:kern w:val="2"/>
      <w:sz w:val="21"/>
    </w:rPr>
  </w:style>
  <w:style w:type="character" w:customStyle="1" w:styleId="413">
    <w:name w:val="正文1 Char Char"/>
    <w:link w:val="141"/>
    <w:semiHidden/>
    <w:qFormat/>
    <w:uiPriority w:val="0"/>
    <w:rPr>
      <w:rFonts w:ascii="宋体" w:hAnsi="宋体"/>
      <w:kern w:val="10"/>
      <w:sz w:val="21"/>
      <w:szCs w:val="24"/>
    </w:rPr>
  </w:style>
  <w:style w:type="character" w:customStyle="1" w:styleId="414">
    <w:name w:val="样式 Char Char"/>
    <w:link w:val="142"/>
    <w:semiHidden/>
    <w:qFormat/>
    <w:uiPriority w:val="0"/>
    <w:rPr>
      <w:rFonts w:ascii="宋体" w:hAnsi="宋体" w:cs="宋体"/>
      <w:sz w:val="24"/>
      <w:szCs w:val="24"/>
      <w:lang w:val="en-US" w:eastAsia="zh-CN" w:bidi="ar-SA"/>
    </w:rPr>
  </w:style>
  <w:style w:type="character" w:customStyle="1" w:styleId="415">
    <w:name w:val="无编号正文 Char Char"/>
    <w:link w:val="143"/>
    <w:semiHidden/>
    <w:qFormat/>
    <w:uiPriority w:val="0"/>
    <w:rPr>
      <w:rFonts w:ascii="宋体" w:hAnsi="宋体"/>
      <w:sz w:val="24"/>
      <w:szCs w:val="24"/>
    </w:rPr>
  </w:style>
  <w:style w:type="character" w:customStyle="1" w:styleId="416">
    <w:name w:val="表图名称 Char Char"/>
    <w:link w:val="144"/>
    <w:semiHidden/>
    <w:qFormat/>
    <w:uiPriority w:val="0"/>
    <w:rPr>
      <w:rFonts w:ascii="黑体" w:hAnsi="宋体" w:eastAsia="黑体"/>
      <w:kern w:val="2"/>
      <w:sz w:val="24"/>
      <w:szCs w:val="24"/>
      <w:lang w:val="en-US" w:eastAsia="zh-CN" w:bidi="ar-SA"/>
    </w:rPr>
  </w:style>
  <w:style w:type="character" w:customStyle="1" w:styleId="417">
    <w:name w:val="列表框1 Char Char"/>
    <w:qFormat/>
    <w:uiPriority w:val="0"/>
    <w:rPr>
      <w:rFonts w:ascii="Arial" w:hAnsi="Arial" w:eastAsia="楷体_GB2312" w:cs="Arial"/>
      <w:spacing w:val="10"/>
      <w:sz w:val="21"/>
      <w:lang w:val="en-US" w:eastAsia="zh-CN" w:bidi="ar-SA"/>
    </w:rPr>
  </w:style>
  <w:style w:type="character" w:customStyle="1" w:styleId="418">
    <w:name w:val="表格文字图表文字 Char Char Char"/>
    <w:link w:val="145"/>
    <w:semiHidden/>
    <w:qFormat/>
    <w:uiPriority w:val="0"/>
    <w:rPr>
      <w:rFonts w:ascii="Times New Roman" w:hAnsi="Times New Roman"/>
      <w:color w:val="7030A0"/>
      <w:kern w:val="2"/>
      <w:sz w:val="21"/>
    </w:rPr>
  </w:style>
  <w:style w:type="character" w:customStyle="1" w:styleId="419">
    <w:name w:val="批注文字 Char1"/>
    <w:qFormat/>
    <w:uiPriority w:val="0"/>
    <w:rPr>
      <w:kern w:val="2"/>
      <w:sz w:val="24"/>
      <w:szCs w:val="24"/>
    </w:rPr>
  </w:style>
  <w:style w:type="character" w:customStyle="1" w:styleId="420">
    <w:name w:val="正文缩进 Char Char"/>
    <w:link w:val="361"/>
    <w:semiHidden/>
    <w:qFormat/>
    <w:uiPriority w:val="0"/>
    <w:rPr>
      <w:kern w:val="2"/>
      <w:sz w:val="21"/>
      <w:szCs w:val="24"/>
    </w:rPr>
  </w:style>
  <w:style w:type="paragraph" w:customStyle="1" w:styleId="421">
    <w:name w:val="列出段落11"/>
    <w:basedOn w:val="1"/>
    <w:semiHidden/>
    <w:qFormat/>
    <w:uiPriority w:val="99"/>
    <w:pPr>
      <w:widowControl/>
      <w:adjustRightInd/>
      <w:spacing w:before="40" w:after="160" w:line="240" w:lineRule="auto"/>
      <w:ind w:firstLine="420" w:firstLineChars="200"/>
      <w:textAlignment w:val="auto"/>
    </w:pPr>
    <w:rPr>
      <w:rFonts w:ascii="Cambria" w:hAnsi="Cambria" w:eastAsia="微软雅黑" w:cs="Cambria"/>
      <w:color w:val="565656"/>
      <w:kern w:val="20"/>
      <w:sz w:val="21"/>
      <w:szCs w:val="21"/>
      <w:lang w:val="zh-CN"/>
    </w:rPr>
  </w:style>
  <w:style w:type="paragraph" w:customStyle="1" w:styleId="422">
    <w:name w:val="列出段落2"/>
    <w:basedOn w:val="1"/>
    <w:qFormat/>
    <w:uiPriority w:val="99"/>
    <w:pPr>
      <w:widowControl/>
      <w:adjustRightInd/>
      <w:spacing w:before="40" w:after="160" w:line="240" w:lineRule="auto"/>
      <w:ind w:firstLine="420" w:firstLineChars="200"/>
      <w:textAlignment w:val="auto"/>
    </w:pPr>
    <w:rPr>
      <w:rFonts w:ascii="Cambria" w:hAnsi="Cambria" w:eastAsia="微软雅黑" w:cs="Cambria"/>
      <w:color w:val="565656"/>
      <w:kern w:val="20"/>
      <w:sz w:val="21"/>
      <w:szCs w:val="21"/>
      <w:lang w:val="zh-CN"/>
    </w:rPr>
  </w:style>
  <w:style w:type="paragraph" w:customStyle="1" w:styleId="423">
    <w:name w:val="WPSOffice手动目录 1"/>
    <w:qFormat/>
    <w:uiPriority w:val="0"/>
    <w:pPr>
      <w:ind w:leftChars="0"/>
    </w:pPr>
    <w:rPr>
      <w:rFonts w:ascii="Times New Roman" w:hAnsi="Times New Roman" w:eastAsia="宋体" w:cs="Times New Roman"/>
      <w:sz w:val="20"/>
      <w:szCs w:val="20"/>
    </w:rPr>
  </w:style>
  <w:style w:type="paragraph" w:customStyle="1" w:styleId="424">
    <w:name w:val="WPSOffice手动目录 2"/>
    <w:qFormat/>
    <w:uiPriority w:val="0"/>
    <w:pPr>
      <w:ind w:leftChars="200"/>
    </w:pPr>
    <w:rPr>
      <w:rFonts w:ascii="Times New Roman" w:hAnsi="Times New Roman" w:eastAsia="宋体" w:cs="Times New Roman"/>
      <w:sz w:val="20"/>
      <w:szCs w:val="20"/>
    </w:rPr>
  </w:style>
  <w:style w:type="paragraph" w:customStyle="1" w:styleId="425">
    <w:name w:val="null3"/>
    <w:hidden/>
    <w:qFormat/>
    <w:uiPriority w:val="0"/>
    <w:rPr>
      <w:rFonts w:hint="eastAsia" w:asciiTheme="minorHAnsi" w:hAnsiTheme="minorHAnsi" w:eastAsiaTheme="minorEastAsia" w:cstheme="minorBidi"/>
      <w:lang w:val="en-US" w:eastAsia="zh-Hans"/>
    </w:rPr>
  </w:style>
  <w:style w:type="paragraph" w:customStyle="1" w:styleId="42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6.wmf"/><Relationship Id="rId27" Type="http://schemas.openxmlformats.org/officeDocument/2006/relationships/oleObject" Target="embeddings/oleObject5.bin"/><Relationship Id="rId26" Type="http://schemas.openxmlformats.org/officeDocument/2006/relationships/image" Target="media/image5.wmf"/><Relationship Id="rId25" Type="http://schemas.openxmlformats.org/officeDocument/2006/relationships/oleObject" Target="embeddings/oleObject4.bin"/><Relationship Id="rId24" Type="http://schemas.openxmlformats.org/officeDocument/2006/relationships/image" Target="media/image4.wmf"/><Relationship Id="rId23" Type="http://schemas.openxmlformats.org/officeDocument/2006/relationships/oleObject" Target="embeddings/oleObject3.bin"/><Relationship Id="rId22" Type="http://schemas.openxmlformats.org/officeDocument/2006/relationships/image" Target="media/image3.wmf"/><Relationship Id="rId21" Type="http://schemas.openxmlformats.org/officeDocument/2006/relationships/oleObject" Target="embeddings/oleObject2.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zzz</Company>
  <Pages>219</Pages>
  <Words>8810</Words>
  <Characters>9834</Characters>
  <Lines>71</Lines>
  <Paragraphs>78</Paragraphs>
  <TotalTime>196</TotalTime>
  <ScaleCrop>false</ScaleCrop>
  <LinksUpToDate>false</LinksUpToDate>
  <CharactersWithSpaces>9994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2018-04-06T03:50:00Z</dcterms:created>
  <dc:creator>wmq</dc:creator>
  <cp:lastModifiedBy>朱启明</cp:lastModifiedBy>
  <cp:lastPrinted>2025-01-13T02:21:00Z</cp:lastPrinted>
  <dcterms:modified xsi:type="dcterms:W3CDTF">2025-01-22T11:12:50Z</dcterms:modified>
  <dc:title>适用一般货物采购/非建筑设备货物采购含安装等伴随服务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EFD861F71AF54D7695B5BB049DE50BB2_13</vt:lpwstr>
  </property>
  <property fmtid="{D5CDD505-2E9C-101B-9397-08002B2CF9AE}" pid="4" name="KSOTemplateDocerSaveRecord">
    <vt:lpwstr>eyJoZGlkIjoiYTAxM2RhODQ4Y2FkMDNjZjNjOTExN2RkMWY1NWY3ODciLCJ1c2VySWQiOiIyOTg4MDcxOCJ9</vt:lpwstr>
  </property>
</Properties>
</file>