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60" w:lineRule="exact"/>
        <w:jc w:val="center"/>
        <w:textAlignment w:val="auto"/>
        <w:rPr>
          <w:rFonts w:hint="default" w:ascii="仿宋" w:hAnsi="仿宋" w:eastAsia="仿宋" w:cs="仿宋"/>
          <w:b/>
          <w:bCs/>
          <w:color w:val="auto"/>
          <w:w w:val="90"/>
          <w:sz w:val="96"/>
          <w:szCs w:val="96"/>
          <w:lang w:val="en-US" w:eastAsia="zh-CN"/>
        </w:rPr>
      </w:pPr>
      <w:r>
        <w:rPr>
          <w:rFonts w:hint="default" w:ascii="宋体" w:hAnsi="宋体" w:eastAsia="宋体" w:cs="宋体"/>
          <w:b/>
          <w:bCs/>
          <w:color w:val="auto"/>
          <w:spacing w:val="-12"/>
          <w:sz w:val="44"/>
          <w:szCs w:val="44"/>
          <w:lang w:val="en-US" w:eastAsia="zh-CN"/>
        </w:rPr>
        <w:t>吐尔尕特水厂建设项目</w:t>
      </w:r>
      <w:r>
        <w:rPr>
          <w:rFonts w:hint="eastAsia" w:ascii="宋体" w:hAnsi="宋体" w:eastAsia="宋体" w:cs="宋体"/>
          <w:b/>
          <w:bCs/>
          <w:color w:val="auto"/>
          <w:spacing w:val="-12"/>
          <w:sz w:val="44"/>
          <w:szCs w:val="44"/>
          <w:lang w:val="en-US" w:eastAsia="zh-CN"/>
        </w:rPr>
        <w:t>设备采购</w:t>
      </w:r>
    </w:p>
    <w:p>
      <w:pPr>
        <w:keepNext w:val="0"/>
        <w:keepLines w:val="0"/>
        <w:pageBreakBefore w:val="0"/>
        <w:widowControl w:val="0"/>
        <w:kinsoku/>
        <w:wordWrap/>
        <w:overflowPunct/>
        <w:topLinePunct w:val="0"/>
        <w:autoSpaceDE/>
        <w:autoSpaceDN/>
        <w:bidi w:val="0"/>
        <w:adjustRightInd/>
        <w:snapToGrid/>
        <w:spacing w:line="760" w:lineRule="exact"/>
        <w:jc w:val="center"/>
        <w:textAlignment w:val="auto"/>
        <w:rPr>
          <w:rFonts w:hint="default" w:ascii="仿宋" w:hAnsi="仿宋" w:eastAsia="仿宋" w:cs="仿宋"/>
          <w:b/>
          <w:color w:val="auto"/>
          <w:kern w:val="0"/>
          <w:sz w:val="44"/>
          <w:szCs w:val="44"/>
          <w:lang w:val="en-US"/>
        </w:rPr>
      </w:pPr>
      <w:r>
        <w:rPr>
          <w:rFonts w:hint="eastAsia" w:ascii="仿宋" w:hAnsi="仿宋" w:eastAsia="仿宋" w:cs="仿宋"/>
          <w:b/>
          <w:bCs/>
          <w:color w:val="auto"/>
          <w:sz w:val="40"/>
          <w:szCs w:val="40"/>
          <w:lang w:eastAsia="zh-CN"/>
        </w:rPr>
        <w:t>项目编号：</w:t>
      </w:r>
      <w:r>
        <w:rPr>
          <w:rFonts w:hint="eastAsia" w:ascii="仿宋" w:hAnsi="仿宋" w:eastAsia="仿宋" w:cs="仿宋"/>
          <w:b/>
          <w:bCs/>
          <w:color w:val="auto"/>
          <w:sz w:val="40"/>
          <w:szCs w:val="40"/>
          <w:lang w:val="en-US" w:eastAsia="zh-CN"/>
        </w:rPr>
        <w:t>KZZB-2025002</w:t>
      </w:r>
    </w:p>
    <w:p>
      <w:pPr>
        <w:pStyle w:val="10"/>
        <w:rPr>
          <w:rFonts w:hint="eastAsia" w:ascii="仿宋" w:hAnsi="仿宋" w:eastAsia="仿宋" w:cs="仿宋"/>
          <w:color w:val="auto"/>
        </w:rPr>
      </w:pPr>
    </w:p>
    <w:p>
      <w:pPr>
        <w:pStyle w:val="10"/>
        <w:jc w:val="center"/>
        <w:rPr>
          <w:rFonts w:hint="eastAsia" w:ascii="仿宋" w:hAnsi="仿宋" w:eastAsia="仿宋" w:cs="仿宋"/>
          <w:b/>
          <w:color w:val="auto"/>
          <w:sz w:val="96"/>
          <w:szCs w:val="96"/>
          <w:highlight w:val="none"/>
          <w:lang w:eastAsia="zh-CN"/>
        </w:rPr>
      </w:pPr>
      <w:r>
        <w:rPr>
          <w:rFonts w:hint="eastAsia" w:ascii="仿宋" w:hAnsi="仿宋" w:eastAsia="仿宋" w:cs="仿宋"/>
          <w:b/>
          <w:color w:val="auto"/>
          <w:sz w:val="96"/>
          <w:szCs w:val="96"/>
          <w:highlight w:val="none"/>
          <w:lang w:eastAsia="zh-CN"/>
        </w:rPr>
        <w:t>招</w:t>
      </w:r>
    </w:p>
    <w:p>
      <w:pPr>
        <w:pStyle w:val="10"/>
        <w:jc w:val="center"/>
        <w:rPr>
          <w:rFonts w:hint="eastAsia" w:ascii="仿宋" w:hAnsi="仿宋" w:eastAsia="仿宋" w:cs="仿宋"/>
          <w:b/>
          <w:bCs/>
          <w:color w:val="auto"/>
          <w:sz w:val="96"/>
          <w:szCs w:val="96"/>
          <w:lang w:eastAsia="zh-CN"/>
        </w:rPr>
      </w:pPr>
      <w:r>
        <w:rPr>
          <w:rFonts w:hint="eastAsia" w:ascii="仿宋" w:hAnsi="仿宋" w:eastAsia="仿宋" w:cs="仿宋"/>
          <w:b/>
          <w:color w:val="auto"/>
          <w:sz w:val="96"/>
          <w:szCs w:val="96"/>
          <w:highlight w:val="none"/>
          <w:lang w:eastAsia="zh-CN"/>
        </w:rPr>
        <w:t>标</w:t>
      </w:r>
    </w:p>
    <w:p>
      <w:pPr>
        <w:pStyle w:val="10"/>
        <w:jc w:val="center"/>
        <w:rPr>
          <w:rFonts w:hint="eastAsia" w:ascii="仿宋" w:hAnsi="仿宋" w:eastAsia="仿宋" w:cs="仿宋"/>
          <w:b/>
          <w:bCs/>
          <w:color w:val="auto"/>
          <w:sz w:val="96"/>
          <w:szCs w:val="96"/>
          <w:lang w:eastAsia="zh-CN"/>
        </w:rPr>
      </w:pPr>
      <w:r>
        <w:rPr>
          <w:rFonts w:hint="eastAsia" w:ascii="仿宋" w:hAnsi="仿宋" w:eastAsia="仿宋" w:cs="仿宋"/>
          <w:b/>
          <w:bCs/>
          <w:color w:val="auto"/>
          <w:sz w:val="96"/>
          <w:szCs w:val="96"/>
          <w:lang w:eastAsia="zh-CN"/>
        </w:rPr>
        <w:t>文</w:t>
      </w:r>
    </w:p>
    <w:p>
      <w:pPr>
        <w:pStyle w:val="10"/>
        <w:jc w:val="center"/>
        <w:rPr>
          <w:rFonts w:hint="eastAsia" w:ascii="仿宋" w:hAnsi="仿宋" w:eastAsia="仿宋" w:cs="仿宋"/>
          <w:color w:val="auto"/>
          <w:sz w:val="84"/>
          <w:szCs w:val="84"/>
          <w:lang w:eastAsia="zh-CN"/>
        </w:rPr>
      </w:pPr>
      <w:r>
        <w:rPr>
          <w:rFonts w:hint="eastAsia" w:ascii="仿宋" w:hAnsi="仿宋" w:eastAsia="仿宋" w:cs="仿宋"/>
          <w:b/>
          <w:bCs/>
          <w:color w:val="auto"/>
          <w:sz w:val="96"/>
          <w:szCs w:val="96"/>
          <w:lang w:eastAsia="zh-CN"/>
        </w:rPr>
        <w:t>件</w:t>
      </w:r>
    </w:p>
    <w:p>
      <w:pPr>
        <w:pStyle w:val="10"/>
        <w:rPr>
          <w:rFonts w:hint="eastAsia" w:ascii="仿宋" w:hAnsi="仿宋" w:eastAsia="仿宋" w:cs="仿宋"/>
          <w:color w:val="auto"/>
        </w:rPr>
      </w:pPr>
    </w:p>
    <w:p>
      <w:pPr>
        <w:pStyle w:val="10"/>
        <w:jc w:val="center"/>
        <w:rPr>
          <w:rFonts w:hint="eastAsia" w:ascii="仿宋" w:hAnsi="仿宋" w:eastAsia="仿宋" w:cs="仿宋"/>
          <w:color w:val="auto"/>
          <w:sz w:val="84"/>
          <w:szCs w:val="84"/>
          <w:lang w:eastAsia="zh-CN"/>
        </w:rPr>
      </w:pPr>
      <w:r>
        <w:rPr>
          <w:rFonts w:hint="eastAsia" w:ascii="仿宋" w:hAnsi="仿宋" w:eastAsia="仿宋" w:cs="仿宋"/>
          <w:b/>
          <w:bCs/>
          <w:color w:val="auto"/>
          <w:sz w:val="96"/>
          <w:szCs w:val="96"/>
          <w:lang w:eastAsia="zh-CN"/>
        </w:rPr>
        <w:t>件</w:t>
      </w:r>
    </w:p>
    <w:p>
      <w:pPr>
        <w:pStyle w:val="10"/>
        <w:rPr>
          <w:rFonts w:hint="eastAsia" w:ascii="仿宋" w:hAnsi="仿宋" w:eastAsia="仿宋" w:cs="仿宋"/>
          <w:color w:val="auto"/>
        </w:rPr>
      </w:pPr>
    </w:p>
    <w:p>
      <w:pPr>
        <w:keepNext w:val="0"/>
        <w:keepLines w:val="0"/>
        <w:pageBreakBefore w:val="0"/>
        <w:widowControl w:val="0"/>
        <w:kinsoku/>
        <w:wordWrap/>
        <w:overflowPunct/>
        <w:topLinePunct w:val="0"/>
        <w:autoSpaceDE/>
        <w:autoSpaceDN/>
        <w:bidi w:val="0"/>
        <w:adjustRightInd/>
        <w:snapToGrid/>
        <w:spacing w:line="700" w:lineRule="exact"/>
        <w:ind w:left="2160" w:leftChars="150" w:hanging="1800" w:hangingChars="500"/>
        <w:textAlignment w:val="auto"/>
        <w:rPr>
          <w:rFonts w:hint="eastAsia" w:ascii="仿宋" w:hAnsi="仿宋" w:eastAsia="仿宋" w:cs="仿宋"/>
          <w:color w:val="auto"/>
          <w:sz w:val="36"/>
          <w:szCs w:val="36"/>
          <w:lang w:val="en-US" w:eastAsia="zh-CN"/>
        </w:rPr>
      </w:pPr>
      <w:r>
        <w:rPr>
          <w:rFonts w:hint="eastAsia" w:ascii="仿宋" w:hAnsi="仿宋" w:eastAsia="仿宋" w:cs="仿宋"/>
          <w:color w:val="auto"/>
          <w:sz w:val="36"/>
          <w:szCs w:val="36"/>
        </w:rPr>
        <w:t>采购单位：克孜勒苏柯尔克孜自治州吐尔尕特口岸管理委员会</w:t>
      </w:r>
      <w:r>
        <w:rPr>
          <w:rFonts w:hint="eastAsia" w:ascii="仿宋" w:hAnsi="仿宋" w:eastAsia="仿宋" w:cs="仿宋"/>
          <w:color w:val="auto"/>
          <w:sz w:val="36"/>
          <w:szCs w:val="36"/>
          <w:lang w:val="en-US" w:eastAsia="zh-CN"/>
        </w:rPr>
        <w:t xml:space="preserve"> （盖章）</w:t>
      </w:r>
    </w:p>
    <w:p>
      <w:pPr>
        <w:keepNext w:val="0"/>
        <w:keepLines w:val="0"/>
        <w:pageBreakBefore w:val="0"/>
        <w:widowControl w:val="0"/>
        <w:kinsoku/>
        <w:wordWrap/>
        <w:overflowPunct/>
        <w:topLinePunct w:val="0"/>
        <w:autoSpaceDE/>
        <w:autoSpaceDN/>
        <w:bidi w:val="0"/>
        <w:adjustRightInd/>
        <w:snapToGrid/>
        <w:spacing w:line="700" w:lineRule="exact"/>
        <w:ind w:firstLine="360" w:firstLineChars="100"/>
        <w:textAlignment w:val="auto"/>
        <w:rPr>
          <w:rFonts w:hint="eastAsia" w:ascii="仿宋" w:hAnsi="仿宋" w:eastAsia="仿宋" w:cs="仿宋"/>
          <w:color w:val="auto"/>
          <w:sz w:val="36"/>
          <w:szCs w:val="36"/>
          <w:lang w:val="en-US" w:eastAsia="zh-CN"/>
        </w:rPr>
      </w:pPr>
      <w:r>
        <w:rPr>
          <w:rFonts w:hint="eastAsia" w:ascii="仿宋" w:hAnsi="仿宋" w:eastAsia="仿宋" w:cs="仿宋"/>
          <w:color w:val="auto"/>
          <w:sz w:val="36"/>
          <w:szCs w:val="36"/>
          <w:lang w:val="en-US" w:eastAsia="zh-CN"/>
        </w:rPr>
        <w:t xml:space="preserve">联 系 人：殷先生  </w:t>
      </w:r>
    </w:p>
    <w:p>
      <w:pPr>
        <w:keepNext w:val="0"/>
        <w:keepLines w:val="0"/>
        <w:pageBreakBefore w:val="0"/>
        <w:widowControl w:val="0"/>
        <w:kinsoku/>
        <w:wordWrap/>
        <w:overflowPunct/>
        <w:topLinePunct w:val="0"/>
        <w:autoSpaceDE/>
        <w:autoSpaceDN/>
        <w:bidi w:val="0"/>
        <w:adjustRightInd/>
        <w:snapToGrid/>
        <w:spacing w:line="700" w:lineRule="exact"/>
        <w:ind w:firstLine="360" w:firstLineChars="100"/>
        <w:textAlignment w:val="auto"/>
        <w:rPr>
          <w:rFonts w:hint="eastAsia" w:ascii="仿宋" w:hAnsi="仿宋" w:eastAsia="仿宋" w:cs="仿宋"/>
          <w:color w:val="auto"/>
          <w:sz w:val="36"/>
          <w:szCs w:val="36"/>
          <w:lang w:val="en-US" w:eastAsia="zh-CN"/>
        </w:rPr>
      </w:pPr>
      <w:r>
        <w:rPr>
          <w:rFonts w:hint="eastAsia" w:ascii="仿宋" w:hAnsi="仿宋" w:eastAsia="仿宋" w:cs="仿宋"/>
          <w:color w:val="auto"/>
          <w:sz w:val="36"/>
          <w:szCs w:val="36"/>
          <w:lang w:val="en-US" w:eastAsia="zh-CN"/>
        </w:rPr>
        <w:t xml:space="preserve">联系电话：18099081062  </w:t>
      </w:r>
    </w:p>
    <w:p>
      <w:pPr>
        <w:keepNext w:val="0"/>
        <w:keepLines w:val="0"/>
        <w:pageBreakBefore w:val="0"/>
        <w:widowControl w:val="0"/>
        <w:kinsoku/>
        <w:wordWrap/>
        <w:overflowPunct/>
        <w:topLinePunct w:val="0"/>
        <w:autoSpaceDE/>
        <w:autoSpaceDN/>
        <w:bidi w:val="0"/>
        <w:adjustRightInd/>
        <w:snapToGrid/>
        <w:spacing w:line="700" w:lineRule="exact"/>
        <w:ind w:firstLine="360" w:firstLineChars="100"/>
        <w:textAlignment w:val="auto"/>
        <w:rPr>
          <w:rFonts w:hint="eastAsia" w:ascii="仿宋" w:hAnsi="仿宋" w:eastAsia="仿宋" w:cs="仿宋"/>
          <w:color w:val="auto"/>
          <w:sz w:val="36"/>
          <w:szCs w:val="36"/>
          <w:lang w:eastAsia="zh-CN"/>
        </w:rPr>
      </w:pPr>
      <w:r>
        <w:rPr>
          <w:rFonts w:hint="eastAsia" w:ascii="仿宋" w:hAnsi="仿宋" w:eastAsia="仿宋" w:cs="仿宋"/>
          <w:color w:val="auto"/>
          <w:sz w:val="36"/>
          <w:szCs w:val="36"/>
        </w:rPr>
        <w:t>代理机构：</w:t>
      </w:r>
      <w:r>
        <w:rPr>
          <w:rFonts w:hint="eastAsia" w:ascii="仿宋" w:hAnsi="仿宋" w:eastAsia="仿宋" w:cs="仿宋"/>
          <w:color w:val="auto"/>
          <w:sz w:val="36"/>
          <w:szCs w:val="36"/>
          <w:lang w:val="en-US" w:eastAsia="zh-CN"/>
        </w:rPr>
        <w:t>新疆尊凯工程管理服务有限公司</w:t>
      </w:r>
      <w:r>
        <w:rPr>
          <w:rFonts w:hint="eastAsia" w:ascii="仿宋" w:hAnsi="仿宋" w:eastAsia="仿宋" w:cs="仿宋"/>
          <w:color w:val="auto"/>
          <w:sz w:val="36"/>
          <w:szCs w:val="36"/>
          <w:lang w:eastAsia="zh-CN"/>
        </w:rPr>
        <w:t>（盖章）</w:t>
      </w:r>
    </w:p>
    <w:p>
      <w:pPr>
        <w:keepNext w:val="0"/>
        <w:keepLines w:val="0"/>
        <w:pageBreakBefore w:val="0"/>
        <w:widowControl w:val="0"/>
        <w:kinsoku/>
        <w:wordWrap/>
        <w:overflowPunct/>
        <w:topLinePunct w:val="0"/>
        <w:autoSpaceDE/>
        <w:autoSpaceDN/>
        <w:bidi w:val="0"/>
        <w:adjustRightInd/>
        <w:snapToGrid/>
        <w:spacing w:line="700" w:lineRule="exact"/>
        <w:ind w:firstLine="360" w:firstLineChars="100"/>
        <w:textAlignment w:val="auto"/>
        <w:rPr>
          <w:rFonts w:hint="default" w:ascii="仿宋" w:hAnsi="仿宋" w:eastAsia="仿宋" w:cs="仿宋"/>
          <w:color w:val="auto"/>
          <w:sz w:val="36"/>
          <w:szCs w:val="36"/>
          <w:lang w:val="en-US" w:eastAsia="zh-CN"/>
        </w:rPr>
      </w:pPr>
      <w:r>
        <w:rPr>
          <w:rFonts w:hint="eastAsia" w:ascii="仿宋" w:hAnsi="仿宋" w:eastAsia="仿宋" w:cs="仿宋"/>
          <w:color w:val="auto"/>
          <w:sz w:val="36"/>
          <w:szCs w:val="36"/>
        </w:rPr>
        <w:t>联 系 人：</w:t>
      </w:r>
      <w:r>
        <w:rPr>
          <w:rFonts w:hint="eastAsia" w:ascii="仿宋" w:hAnsi="仿宋" w:eastAsia="仿宋" w:cs="仿宋"/>
          <w:color w:val="auto"/>
          <w:sz w:val="36"/>
          <w:szCs w:val="36"/>
          <w:lang w:val="en-US" w:eastAsia="zh-CN"/>
        </w:rPr>
        <w:t>王女士</w:t>
      </w:r>
    </w:p>
    <w:p>
      <w:pPr>
        <w:ind w:firstLine="360" w:firstLineChars="100"/>
        <w:jc w:val="both"/>
        <w:rPr>
          <w:rFonts w:hint="eastAsia" w:ascii="仿宋" w:hAnsi="仿宋" w:eastAsia="仿宋" w:cs="仿宋"/>
          <w:color w:val="auto"/>
          <w:sz w:val="36"/>
          <w:szCs w:val="36"/>
          <w:lang w:val="en-US" w:eastAsia="zh-CN"/>
        </w:rPr>
      </w:pPr>
      <w:r>
        <w:rPr>
          <w:rFonts w:hint="eastAsia" w:ascii="仿宋" w:hAnsi="仿宋" w:eastAsia="仿宋" w:cs="仿宋"/>
          <w:color w:val="auto"/>
          <w:sz w:val="36"/>
          <w:szCs w:val="36"/>
          <w:lang w:val="en-US" w:eastAsia="zh-CN"/>
        </w:rPr>
        <w:t>联系电话:15809081063</w:t>
      </w:r>
    </w:p>
    <w:p>
      <w:pPr>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招投标监督管理机构备案登记栏</w:t>
      </w:r>
    </w:p>
    <w:tbl>
      <w:tblPr>
        <w:tblStyle w:val="24"/>
        <w:tblW w:w="88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5" w:hRule="atLeast"/>
          <w:jc w:val="center"/>
        </w:trPr>
        <w:tc>
          <w:tcPr>
            <w:tcW w:w="8800" w:type="dxa"/>
          </w:tcPr>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rPr>
            </w:pP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rPr>
            </w:pP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w w:val="95"/>
                <w:sz w:val="32"/>
                <w:szCs w:val="32"/>
                <w:lang w:val="en-US" w:eastAsia="zh-CN"/>
              </w:rPr>
            </w:pPr>
            <w:r>
              <w:rPr>
                <w:rFonts w:hint="eastAsia" w:ascii="仿宋" w:hAnsi="仿宋" w:eastAsia="仿宋" w:cs="仿宋"/>
                <w:color w:val="auto"/>
                <w:sz w:val="32"/>
                <w:szCs w:val="32"/>
              </w:rPr>
              <w:t>采购单位：克孜勒苏柯尔克孜自治州吐尔尕特口岸管理委员会</w:t>
            </w:r>
            <w:r>
              <w:rPr>
                <w:rFonts w:hint="eastAsia" w:ascii="仿宋" w:hAnsi="仿宋" w:eastAsia="仿宋" w:cs="仿宋"/>
                <w:color w:val="auto"/>
                <w:w w:val="95"/>
                <w:sz w:val="32"/>
                <w:szCs w:val="32"/>
                <w:lang w:eastAsia="zh-CN"/>
              </w:rPr>
              <w:t>（盖章）</w:t>
            </w: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 xml:space="preserve"> </w:t>
            </w:r>
            <w:r>
              <w:rPr>
                <w:rFonts w:hint="eastAsia" w:ascii="仿宋" w:hAnsi="仿宋" w:eastAsia="仿宋" w:cs="仿宋"/>
                <w:color w:val="auto"/>
                <w:sz w:val="32"/>
                <w:szCs w:val="32"/>
                <w:lang w:val="en-US" w:eastAsia="zh-CN"/>
              </w:rPr>
              <w:t xml:space="preserve">                                           </w:t>
            </w: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pPr>
              <w:pageBreakBefore w:val="0"/>
              <w:widowControl w:val="0"/>
              <w:kinsoku/>
              <w:wordWrap/>
              <w:overflowPunct/>
              <w:topLinePunct w:val="0"/>
              <w:autoSpaceDE/>
              <w:autoSpaceDN/>
              <w:bidi w:val="0"/>
              <w:adjustRightInd/>
              <w:snapToGrid/>
              <w:spacing w:line="500" w:lineRule="exact"/>
              <w:ind w:left="3520" w:hanging="3520" w:hangingChars="1100"/>
              <w:jc w:val="left"/>
              <w:textAlignment w:val="auto"/>
              <w:rPr>
                <w:rFonts w:hint="eastAsia" w:ascii="仿宋" w:hAnsi="仿宋" w:eastAsia="仿宋" w:cs="仿宋"/>
                <w:color w:val="auto"/>
                <w:sz w:val="32"/>
                <w:szCs w:val="32"/>
              </w:rPr>
            </w:pPr>
          </w:p>
          <w:p>
            <w:pPr>
              <w:pageBreakBefore w:val="0"/>
              <w:widowControl w:val="0"/>
              <w:kinsoku/>
              <w:wordWrap/>
              <w:overflowPunct/>
              <w:topLinePunct w:val="0"/>
              <w:autoSpaceDE/>
              <w:autoSpaceDN/>
              <w:bidi w:val="0"/>
              <w:adjustRightInd/>
              <w:snapToGrid/>
              <w:spacing w:line="500" w:lineRule="exact"/>
              <w:ind w:left="3520" w:hanging="3520" w:hangingChars="1100"/>
              <w:jc w:val="both"/>
              <w:textAlignment w:val="auto"/>
              <w:rPr>
                <w:rFonts w:hint="eastAsia" w:ascii="仿宋" w:hAnsi="仿宋" w:eastAsia="仿宋" w:cs="仿宋"/>
                <w:color w:val="auto"/>
                <w:sz w:val="32"/>
                <w:szCs w:val="32"/>
              </w:rPr>
            </w:pPr>
            <w:r>
              <w:rPr>
                <w:rFonts w:hint="eastAsia" w:ascii="仿宋" w:hAnsi="仿宋" w:eastAsia="仿宋" w:cs="仿宋"/>
                <w:color w:val="auto"/>
                <w:sz w:val="32"/>
                <w:szCs w:val="32"/>
              </w:rPr>
              <w:t>采购项目名称：</w:t>
            </w:r>
            <w:r>
              <w:rPr>
                <w:rFonts w:hint="eastAsia" w:ascii="仿宋" w:hAnsi="仿宋" w:eastAsia="仿宋" w:cs="仿宋"/>
                <w:color w:val="auto"/>
                <w:sz w:val="32"/>
                <w:szCs w:val="32"/>
                <w:lang w:val="en-US" w:eastAsia="zh-CN"/>
              </w:rPr>
              <w:t>吐尔尕特水厂建设项目设备采购</w:t>
            </w:r>
          </w:p>
          <w:p>
            <w:pPr>
              <w:pStyle w:val="5"/>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32"/>
                <w:szCs w:val="32"/>
              </w:rPr>
            </w:pP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pPr>
              <w:pageBreakBefore w:val="0"/>
              <w:widowControl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32"/>
                <w:szCs w:val="32"/>
              </w:rPr>
            </w:pPr>
          </w:p>
          <w:p>
            <w:pPr>
              <w:keepNext w:val="0"/>
              <w:keepLines w:val="0"/>
              <w:pageBreakBefore w:val="0"/>
              <w:widowControl w:val="0"/>
              <w:shd w:val="clear"/>
              <w:kinsoku/>
              <w:wordWrap/>
              <w:overflowPunct/>
              <w:topLinePunct w:val="0"/>
              <w:autoSpaceDE/>
              <w:autoSpaceDN/>
              <w:bidi w:val="0"/>
              <w:adjustRightInd/>
              <w:snapToGrid/>
              <w:spacing w:line="500" w:lineRule="exact"/>
              <w:textAlignment w:val="auto"/>
              <w:rPr>
                <w:rFonts w:hint="eastAsia" w:ascii="仿宋" w:hAnsi="仿宋" w:eastAsia="仿宋" w:cs="仿宋"/>
                <w:color w:val="auto"/>
              </w:rPr>
            </w:pPr>
            <w:r>
              <w:rPr>
                <w:rFonts w:hint="eastAsia" w:ascii="仿宋" w:hAnsi="仿宋" w:eastAsia="仿宋" w:cs="仿宋"/>
                <w:color w:val="auto"/>
                <w:sz w:val="32"/>
                <w:szCs w:val="32"/>
              </w:rPr>
              <w:t>代理机构：</w:t>
            </w:r>
            <w:r>
              <w:rPr>
                <w:rFonts w:hint="eastAsia" w:ascii="仿宋" w:hAnsi="仿宋" w:eastAsia="仿宋" w:cs="仿宋"/>
                <w:color w:val="auto"/>
                <w:sz w:val="32"/>
                <w:szCs w:val="32"/>
                <w:lang w:val="en-US" w:eastAsia="zh-CN"/>
              </w:rPr>
              <w:t>新疆尊凯工程管理服务有限公司</w:t>
            </w:r>
            <w:r>
              <w:rPr>
                <w:rFonts w:hint="eastAsia" w:ascii="仿宋" w:hAnsi="仿宋" w:eastAsia="仿宋" w:cs="仿宋"/>
                <w:color w:val="auto"/>
                <w:sz w:val="32"/>
                <w:szCs w:val="32"/>
                <w:lang w:eastAsia="zh-CN"/>
              </w:rPr>
              <w:t>（盖章）</w:t>
            </w:r>
          </w:p>
          <w:p>
            <w:pPr>
              <w:pStyle w:val="5"/>
              <w:jc w:val="center"/>
              <w:rPr>
                <w:rFonts w:hint="eastAsia" w:ascii="仿宋" w:hAnsi="仿宋" w:eastAsia="仿宋" w:cs="仿宋"/>
                <w:color w:val="auto"/>
              </w:rPr>
            </w:pPr>
          </w:p>
          <w:p>
            <w:pPr>
              <w:pStyle w:val="5"/>
              <w:jc w:val="center"/>
              <w:rPr>
                <w:rFonts w:hint="eastAsia" w:ascii="仿宋" w:hAnsi="仿宋" w:eastAsia="仿宋" w:cs="仿宋"/>
                <w:color w:val="auto"/>
              </w:rPr>
            </w:pPr>
            <w:r>
              <w:rPr>
                <w:rFonts w:hint="eastAsia" w:ascii="仿宋" w:hAnsi="仿宋" w:eastAsia="仿宋" w:cs="仿宋"/>
                <w:color w:val="auto"/>
              </w:rPr>
              <w:t>日  期：20</w:t>
            </w:r>
            <w:r>
              <w:rPr>
                <w:rFonts w:hint="eastAsia" w:ascii="仿宋" w:hAnsi="仿宋" w:eastAsia="仿宋" w:cs="仿宋"/>
                <w:color w:val="auto"/>
                <w:lang w:val="en-US" w:eastAsia="zh-CN"/>
              </w:rPr>
              <w:t>25</w:t>
            </w:r>
            <w:r>
              <w:rPr>
                <w:rFonts w:hint="eastAsia" w:ascii="仿宋" w:hAnsi="仿宋" w:eastAsia="仿宋" w:cs="仿宋"/>
                <w:color w:val="auto"/>
              </w:rPr>
              <w:t>年</w:t>
            </w:r>
            <w:r>
              <w:rPr>
                <w:rFonts w:hint="eastAsia" w:ascii="仿宋" w:hAnsi="仿宋" w:eastAsia="仿宋" w:cs="仿宋"/>
                <w:color w:val="auto"/>
                <w:lang w:val="en-US" w:eastAsia="zh-CN"/>
              </w:rPr>
              <w:t>1</w:t>
            </w:r>
            <w:r>
              <w:rPr>
                <w:rFonts w:hint="eastAsia" w:ascii="仿宋" w:hAnsi="仿宋" w:eastAsia="仿宋" w:cs="仿宋"/>
                <w:color w:val="auto"/>
              </w:rPr>
              <w:t>月</w:t>
            </w:r>
          </w:p>
          <w:p>
            <w:pPr>
              <w:pStyle w:val="5"/>
              <w:rPr>
                <w:rFonts w:hint="eastAsia" w:ascii="仿宋" w:hAnsi="仿宋" w:eastAsia="仿宋" w:cs="仿宋"/>
                <w:color w:val="auto"/>
              </w:rPr>
            </w:pPr>
          </w:p>
        </w:tc>
      </w:tr>
    </w:tbl>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color w:val="auto"/>
          <w:sz w:val="44"/>
          <w:szCs w:val="44"/>
        </w:rPr>
      </w:pPr>
    </w:p>
    <w:p>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 w:hAnsi="仿宋" w:eastAsia="仿宋" w:cs="仿宋"/>
          <w:color w:val="auto"/>
          <w:sz w:val="44"/>
          <w:szCs w:val="44"/>
        </w:rPr>
        <w:sectPr>
          <w:headerReference r:id="rId3" w:type="default"/>
          <w:footerReference r:id="rId4" w:type="default"/>
          <w:pgSz w:w="11906" w:h="16838"/>
          <w:pgMar w:top="1440" w:right="1080" w:bottom="1440" w:left="1080" w:header="851" w:footer="992" w:gutter="0"/>
          <w:pgNumType w:fmt="decimal" w:start="1"/>
          <w:cols w:space="720" w:num="1"/>
          <w:docGrid w:type="linesAndChars" w:linePitch="312" w:charSpace="0"/>
        </w:sectPr>
      </w:pPr>
    </w:p>
    <w:p>
      <w:pPr>
        <w:pStyle w:val="43"/>
        <w:spacing w:before="0" w:line="360" w:lineRule="auto"/>
        <w:jc w:val="center"/>
        <w:rPr>
          <w:rFonts w:hint="eastAsia" w:ascii="仿宋" w:hAnsi="仿宋" w:eastAsia="仿宋" w:cs="仿宋"/>
          <w:color w:val="auto"/>
          <w:sz w:val="44"/>
          <w:szCs w:val="44"/>
          <w:lang w:val="zh-CN"/>
        </w:rPr>
      </w:pPr>
    </w:p>
    <w:p>
      <w:pPr>
        <w:pStyle w:val="43"/>
        <w:spacing w:before="0" w:line="360" w:lineRule="auto"/>
        <w:jc w:val="center"/>
        <w:rPr>
          <w:rFonts w:hint="eastAsia" w:ascii="仿宋" w:hAnsi="仿宋" w:eastAsia="仿宋" w:cs="仿宋"/>
          <w:color w:val="auto"/>
          <w:sz w:val="44"/>
          <w:szCs w:val="44"/>
          <w:lang w:val="zh-CN"/>
        </w:rPr>
      </w:pPr>
      <w:r>
        <w:rPr>
          <w:rFonts w:hint="eastAsia" w:ascii="仿宋" w:hAnsi="仿宋" w:eastAsia="仿宋" w:cs="仿宋"/>
          <w:color w:val="auto"/>
          <w:sz w:val="44"/>
          <w:szCs w:val="44"/>
          <w:lang w:val="zh-CN"/>
        </w:rPr>
        <w:t>目    录</w:t>
      </w:r>
    </w:p>
    <w:p>
      <w:pPr>
        <w:rPr>
          <w:rFonts w:hint="eastAsia" w:ascii="仿宋" w:hAnsi="仿宋" w:eastAsia="仿宋" w:cs="仿宋"/>
          <w:color w:val="auto"/>
          <w:sz w:val="30"/>
          <w:szCs w:val="30"/>
          <w:lang w:val="zh-CN"/>
        </w:rPr>
      </w:pPr>
    </w:p>
    <w:p>
      <w:pPr>
        <w:spacing w:line="360" w:lineRule="auto"/>
        <w:rPr>
          <w:rFonts w:hint="eastAsia" w:ascii="仿宋" w:hAnsi="仿宋" w:eastAsia="仿宋" w:cs="仿宋"/>
          <w:color w:val="auto"/>
          <w:sz w:val="30"/>
          <w:szCs w:val="30"/>
        </w:rPr>
      </w:pPr>
    </w:p>
    <w:p>
      <w:pPr>
        <w:widowControl/>
        <w:jc w:val="left"/>
        <w:rPr>
          <w:rFonts w:hint="eastAsia" w:ascii="仿宋" w:hAnsi="仿宋" w:eastAsia="仿宋" w:cs="仿宋"/>
          <w:color w:val="auto"/>
          <w:sz w:val="30"/>
          <w:szCs w:val="30"/>
        </w:rPr>
      </w:pPr>
    </w:p>
    <w:p>
      <w:pPr>
        <w:spacing w:line="360" w:lineRule="auto"/>
        <w:ind w:firstLine="1800" w:firstLineChars="600"/>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第一部分      </w:t>
      </w:r>
      <w:r>
        <w:rPr>
          <w:rFonts w:hint="eastAsia" w:ascii="仿宋" w:hAnsi="仿宋" w:eastAsia="仿宋" w:cs="仿宋"/>
          <w:b/>
          <w:color w:val="auto"/>
          <w:sz w:val="30"/>
          <w:szCs w:val="30"/>
          <w:lang w:eastAsia="zh-CN"/>
        </w:rPr>
        <w:t>招标</w:t>
      </w:r>
      <w:r>
        <w:rPr>
          <w:rFonts w:hint="eastAsia" w:ascii="仿宋" w:hAnsi="仿宋" w:eastAsia="仿宋" w:cs="仿宋"/>
          <w:b/>
          <w:color w:val="auto"/>
          <w:sz w:val="30"/>
          <w:szCs w:val="30"/>
        </w:rPr>
        <w:t>公告</w:t>
      </w:r>
    </w:p>
    <w:p>
      <w:pPr>
        <w:spacing w:line="360" w:lineRule="auto"/>
        <w:ind w:firstLine="1800" w:firstLineChars="600"/>
        <w:rPr>
          <w:rFonts w:hint="eastAsia" w:ascii="仿宋" w:hAnsi="仿宋" w:eastAsia="仿宋" w:cs="仿宋"/>
          <w:color w:val="auto"/>
        </w:rPr>
      </w:pPr>
      <w:r>
        <w:rPr>
          <w:rFonts w:hint="eastAsia" w:ascii="仿宋" w:hAnsi="仿宋" w:eastAsia="仿宋" w:cs="仿宋"/>
          <w:b/>
          <w:color w:val="auto"/>
          <w:sz w:val="30"/>
          <w:szCs w:val="30"/>
        </w:rPr>
        <w:t>第二部分      供应商须知</w:t>
      </w:r>
    </w:p>
    <w:p>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 xml:space="preserve">第三部分      </w:t>
      </w:r>
      <w:r>
        <w:rPr>
          <w:rFonts w:hint="eastAsia" w:ascii="仿宋" w:hAnsi="仿宋" w:eastAsia="仿宋" w:cs="仿宋"/>
          <w:b/>
          <w:color w:val="auto"/>
          <w:sz w:val="30"/>
          <w:szCs w:val="30"/>
          <w:lang w:eastAsia="zh-CN"/>
        </w:rPr>
        <w:t>评标办法</w:t>
      </w:r>
    </w:p>
    <w:p>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 xml:space="preserve">第四部分      </w:t>
      </w:r>
      <w:r>
        <w:rPr>
          <w:rFonts w:hint="eastAsia" w:ascii="仿宋" w:hAnsi="仿宋" w:eastAsia="仿宋" w:cs="仿宋"/>
          <w:b/>
          <w:color w:val="auto"/>
          <w:sz w:val="30"/>
          <w:szCs w:val="30"/>
          <w:lang w:eastAsia="zh-CN"/>
        </w:rPr>
        <w:t>技术规格数量及质量要求</w:t>
      </w:r>
    </w:p>
    <w:p>
      <w:pPr>
        <w:spacing w:line="360" w:lineRule="auto"/>
        <w:ind w:firstLine="1800" w:firstLineChars="600"/>
        <w:rPr>
          <w:rFonts w:hint="eastAsia" w:ascii="仿宋" w:hAnsi="仿宋" w:eastAsia="仿宋" w:cs="仿宋"/>
          <w:b/>
          <w:color w:val="auto"/>
          <w:sz w:val="30"/>
          <w:szCs w:val="30"/>
          <w:lang w:eastAsia="zh-CN"/>
        </w:rPr>
      </w:pPr>
      <w:r>
        <w:rPr>
          <w:rFonts w:hint="eastAsia" w:ascii="仿宋" w:hAnsi="仿宋" w:eastAsia="仿宋" w:cs="仿宋"/>
          <w:b/>
          <w:color w:val="auto"/>
          <w:sz w:val="30"/>
          <w:szCs w:val="30"/>
        </w:rPr>
        <w:t xml:space="preserve">第五部分      </w:t>
      </w:r>
      <w:r>
        <w:rPr>
          <w:rFonts w:hint="eastAsia" w:ascii="仿宋" w:hAnsi="仿宋" w:eastAsia="仿宋" w:cs="仿宋"/>
          <w:b/>
          <w:color w:val="auto"/>
          <w:sz w:val="30"/>
          <w:szCs w:val="30"/>
          <w:lang w:eastAsia="zh-CN"/>
        </w:rPr>
        <w:t>合同（参考）</w:t>
      </w:r>
    </w:p>
    <w:p>
      <w:pPr>
        <w:pStyle w:val="41"/>
        <w:ind w:firstLine="1800" w:firstLineChars="600"/>
        <w:rPr>
          <w:rFonts w:hint="eastAsia" w:ascii="仿宋" w:hAnsi="仿宋" w:eastAsia="仿宋" w:cs="仿宋"/>
          <w:color w:val="auto"/>
          <w:lang w:val="en-US"/>
        </w:rPr>
      </w:pPr>
      <w:r>
        <w:rPr>
          <w:rFonts w:hint="eastAsia" w:ascii="仿宋" w:hAnsi="仿宋" w:eastAsia="仿宋" w:cs="仿宋"/>
          <w:b/>
          <w:color w:val="auto"/>
          <w:sz w:val="30"/>
          <w:szCs w:val="30"/>
          <w:lang w:eastAsia="zh-CN"/>
        </w:rPr>
        <w:t>第六部分</w:t>
      </w:r>
      <w:r>
        <w:rPr>
          <w:rFonts w:hint="eastAsia" w:ascii="仿宋" w:hAnsi="仿宋" w:eastAsia="仿宋" w:cs="仿宋"/>
          <w:b/>
          <w:color w:val="auto"/>
          <w:sz w:val="30"/>
          <w:szCs w:val="30"/>
          <w:lang w:val="en-US" w:eastAsia="zh-CN"/>
        </w:rPr>
        <w:t xml:space="preserve">      投标文件格式</w:t>
      </w:r>
    </w:p>
    <w:p>
      <w:pPr>
        <w:pStyle w:val="8"/>
        <w:numPr>
          <w:ilvl w:val="0"/>
          <w:numId w:val="0"/>
        </w:numPr>
        <w:ind w:leftChars="0" w:right="0" w:rightChars="0"/>
        <w:rPr>
          <w:rFonts w:hint="eastAsia" w:ascii="仿宋" w:hAnsi="仿宋" w:eastAsia="仿宋" w:cs="仿宋"/>
          <w:color w:val="auto"/>
        </w:rPr>
      </w:pPr>
    </w:p>
    <w:p>
      <w:pPr>
        <w:rPr>
          <w:rFonts w:hint="eastAsia" w:ascii="仿宋" w:hAnsi="仿宋" w:eastAsia="仿宋" w:cs="仿宋"/>
          <w:color w:val="auto"/>
        </w:rPr>
      </w:pPr>
    </w:p>
    <w:p>
      <w:pPr>
        <w:pStyle w:val="5"/>
        <w:rPr>
          <w:rFonts w:hint="eastAsia" w:ascii="仿宋" w:hAnsi="仿宋" w:eastAsia="仿宋" w:cs="仿宋"/>
          <w:color w:val="auto"/>
          <w:lang w:val="en-US" w:eastAsia="zh-CN"/>
        </w:rPr>
      </w:pPr>
    </w:p>
    <w:p>
      <w:pPr>
        <w:rPr>
          <w:rFonts w:hint="eastAsia" w:ascii="仿宋" w:hAnsi="仿宋" w:eastAsia="仿宋" w:cs="仿宋"/>
          <w:color w:val="auto"/>
        </w:rPr>
      </w:pPr>
    </w:p>
    <w:p>
      <w:pPr>
        <w:pStyle w:val="5"/>
        <w:rPr>
          <w:rFonts w:hint="eastAsia" w:ascii="仿宋" w:hAnsi="仿宋" w:eastAsia="仿宋" w:cs="仿宋"/>
          <w:color w:val="auto"/>
        </w:rPr>
      </w:pPr>
    </w:p>
    <w:p>
      <w:pPr>
        <w:rPr>
          <w:rFonts w:hint="eastAsia" w:ascii="仿宋" w:hAnsi="仿宋" w:eastAsia="仿宋" w:cs="仿宋"/>
          <w:color w:val="auto"/>
        </w:rPr>
      </w:pPr>
    </w:p>
    <w:p>
      <w:pPr>
        <w:pStyle w:val="5"/>
        <w:rPr>
          <w:rFonts w:hint="eastAsia" w:ascii="仿宋" w:hAnsi="仿宋" w:eastAsia="仿宋" w:cs="仿宋"/>
          <w:color w:val="auto"/>
        </w:rPr>
      </w:pPr>
    </w:p>
    <w:p>
      <w:pPr>
        <w:rPr>
          <w:rFonts w:hint="eastAsia" w:ascii="仿宋" w:hAnsi="仿宋" w:eastAsia="仿宋" w:cs="仿宋"/>
          <w:color w:val="auto"/>
        </w:rPr>
      </w:pPr>
    </w:p>
    <w:p>
      <w:pPr>
        <w:pStyle w:val="5"/>
        <w:rPr>
          <w:rFonts w:hint="eastAsia" w:ascii="仿宋" w:hAnsi="仿宋" w:eastAsia="仿宋" w:cs="仿宋"/>
          <w:color w:val="auto"/>
        </w:rPr>
      </w:pPr>
    </w:p>
    <w:p>
      <w:pPr>
        <w:rPr>
          <w:rFonts w:hint="eastAsia" w:ascii="仿宋" w:hAnsi="仿宋" w:eastAsia="仿宋" w:cs="仿宋"/>
          <w:color w:val="auto"/>
        </w:rPr>
      </w:pPr>
    </w:p>
    <w:p>
      <w:pPr>
        <w:pStyle w:val="44"/>
        <w:keepNext/>
        <w:keepLines/>
        <w:widowControl w:val="0"/>
        <w:shd w:val="clear" w:color="auto" w:fill="auto"/>
        <w:bidi w:val="0"/>
        <w:spacing w:before="120" w:after="300" w:line="240" w:lineRule="auto"/>
        <w:ind w:left="0" w:right="0" w:firstLine="0"/>
        <w:jc w:val="center"/>
        <w:rPr>
          <w:rFonts w:hint="eastAsia" w:ascii="仿宋" w:hAnsi="仿宋" w:eastAsia="仿宋" w:cs="仿宋"/>
          <w:b/>
          <w:bCs/>
          <w:color w:val="auto"/>
          <w:spacing w:val="0"/>
          <w:w w:val="100"/>
          <w:position w:val="0"/>
          <w:sz w:val="36"/>
          <w:szCs w:val="36"/>
        </w:rPr>
        <w:sectPr>
          <w:footerReference r:id="rId5" w:type="default"/>
          <w:pgSz w:w="11906" w:h="16838"/>
          <w:pgMar w:top="1440" w:right="1080" w:bottom="1440" w:left="1080" w:header="851" w:footer="992" w:gutter="0"/>
          <w:pgNumType w:fmt="decimal" w:start="1"/>
          <w:cols w:space="720" w:num="1"/>
          <w:docGrid w:type="linesAndChars" w:linePitch="312" w:charSpace="0"/>
        </w:sectPr>
      </w:pPr>
    </w:p>
    <w:p>
      <w:pPr>
        <w:pStyle w:val="44"/>
        <w:keepNext/>
        <w:keepLines/>
        <w:widowControl w:val="0"/>
        <w:shd w:val="clear" w:color="auto" w:fill="auto"/>
        <w:bidi w:val="0"/>
        <w:spacing w:before="120" w:after="300" w:line="240" w:lineRule="auto"/>
        <w:ind w:left="0" w:right="0" w:firstLine="0"/>
        <w:jc w:val="center"/>
        <w:rPr>
          <w:rFonts w:hint="eastAsia" w:ascii="仿宋" w:hAnsi="仿宋" w:eastAsia="仿宋" w:cs="仿宋"/>
          <w:b/>
          <w:bCs/>
          <w:color w:val="auto"/>
          <w:sz w:val="36"/>
          <w:szCs w:val="36"/>
          <w:lang w:eastAsia="zh-CN"/>
        </w:rPr>
      </w:pPr>
      <w:r>
        <w:rPr>
          <w:rFonts w:hint="eastAsia" w:ascii="仿宋" w:hAnsi="仿宋" w:eastAsia="仿宋" w:cs="仿宋"/>
          <w:b/>
          <w:bCs/>
          <w:color w:val="auto"/>
          <w:spacing w:val="0"/>
          <w:w w:val="100"/>
          <w:position w:val="0"/>
          <w:sz w:val="36"/>
          <w:szCs w:val="36"/>
        </w:rPr>
        <w:t>第一部分</w:t>
      </w:r>
      <w:r>
        <w:rPr>
          <w:rFonts w:hint="eastAsia" w:ascii="仿宋" w:hAnsi="仿宋" w:eastAsia="仿宋" w:cs="仿宋"/>
          <w:b/>
          <w:bCs/>
          <w:color w:val="auto"/>
          <w:spacing w:val="0"/>
          <w:w w:val="100"/>
          <w:position w:val="0"/>
          <w:sz w:val="36"/>
          <w:szCs w:val="36"/>
          <w:lang w:val="en-US" w:eastAsia="zh-CN"/>
        </w:rPr>
        <w:t xml:space="preserve"> </w:t>
      </w:r>
      <w:r>
        <w:rPr>
          <w:rFonts w:hint="eastAsia" w:ascii="仿宋" w:hAnsi="仿宋" w:eastAsia="仿宋" w:cs="仿宋"/>
          <w:b/>
          <w:bCs/>
          <w:color w:val="auto"/>
          <w:spacing w:val="0"/>
          <w:w w:val="100"/>
          <w:position w:val="0"/>
          <w:sz w:val="36"/>
          <w:szCs w:val="36"/>
          <w:lang w:eastAsia="zh-CN"/>
        </w:rPr>
        <w:t>招标公告</w:t>
      </w:r>
    </w:p>
    <w:p>
      <w:pPr>
        <w:jc w:val="center"/>
        <w:rPr>
          <w:rFonts w:hint="eastAsia" w:ascii="宋体" w:hAnsi="宋体" w:eastAsia="宋体" w:cs="宋体"/>
          <w:b/>
          <w:bCs/>
          <w:color w:val="auto"/>
          <w:spacing w:val="-12"/>
          <w:sz w:val="44"/>
          <w:szCs w:val="44"/>
          <w:lang w:val="en-US" w:eastAsia="zh-CN"/>
        </w:rPr>
      </w:pPr>
      <w:r>
        <w:rPr>
          <w:rFonts w:hint="eastAsia" w:ascii="宋体" w:hAnsi="宋体" w:eastAsia="宋体" w:cs="宋体"/>
          <w:b/>
          <w:bCs/>
          <w:color w:val="auto"/>
          <w:spacing w:val="-12"/>
          <w:sz w:val="44"/>
          <w:szCs w:val="44"/>
          <w:lang w:val="en-US" w:eastAsia="zh-CN"/>
        </w:rPr>
        <w:t>吐尔尕特水厂建设项目设备采购</w:t>
      </w:r>
    </w:p>
    <w:p>
      <w:pPr>
        <w:jc w:val="center"/>
        <w:rPr>
          <w:rFonts w:hint="eastAsia" w:ascii="仿宋" w:hAnsi="仿宋" w:eastAsia="仿宋" w:cs="仿宋"/>
          <w:color w:val="auto"/>
          <w:sz w:val="28"/>
          <w:szCs w:val="28"/>
          <w:lang w:eastAsia="zh-CN"/>
        </w:rPr>
      </w:pPr>
      <w:r>
        <w:rPr>
          <w:rFonts w:hint="eastAsia" w:ascii="宋体" w:hAnsi="宋体" w:eastAsia="宋体" w:cs="宋体"/>
          <w:b/>
          <w:bCs/>
          <w:color w:val="auto"/>
          <w:spacing w:val="-12"/>
          <w:sz w:val="44"/>
          <w:szCs w:val="44"/>
          <w:lang w:val="en-US" w:eastAsia="zh-CN"/>
        </w:rPr>
        <w:t xml:space="preserve">公开招标公告 </w:t>
      </w:r>
      <w:r>
        <w:rPr>
          <w:rFonts w:hint="eastAsia" w:ascii="仿宋" w:hAnsi="仿宋" w:eastAsia="仿宋" w:cs="仿宋"/>
          <w:b/>
          <w:bCs/>
          <w:color w:val="auto"/>
          <w:sz w:val="28"/>
          <w:szCs w:val="28"/>
          <w:lang w:eastAsia="zh-CN"/>
        </w:rPr>
        <w:t xml:space="preserve"> </w:t>
      </w:r>
      <w:r>
        <w:rPr>
          <w:rFonts w:hint="eastAsia" w:ascii="仿宋" w:hAnsi="仿宋" w:eastAsia="仿宋" w:cs="仿宋"/>
          <w:color w:val="auto"/>
          <w:sz w:val="28"/>
          <w:szCs w:val="28"/>
          <w:lang w:eastAsia="zh-CN"/>
        </w:rPr>
        <w:t xml:space="preserve">   </w:t>
      </w:r>
    </w:p>
    <w:tbl>
      <w:tblPr>
        <w:tblStyle w:val="24"/>
        <w:tblW w:w="99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84" w:hRule="atLeast"/>
        </w:trPr>
        <w:tc>
          <w:tcPr>
            <w:tcW w:w="9961" w:type="dxa"/>
            <w:noWrap w:val="0"/>
            <w:vAlign w:val="top"/>
          </w:tcPr>
          <w:p>
            <w:pPr>
              <w:jc w:val="left"/>
              <w:rPr>
                <w:rFonts w:hint="eastAsia" w:ascii="仿宋" w:hAnsi="仿宋" w:eastAsia="仿宋" w:cs="仿宋"/>
                <w:color w:val="auto"/>
                <w:lang w:eastAsia="zh-CN"/>
              </w:rPr>
            </w:pPr>
            <w:r>
              <w:rPr>
                <w:rFonts w:hint="eastAsia" w:ascii="仿宋" w:hAnsi="仿宋" w:eastAsia="仿宋" w:cs="仿宋"/>
                <w:color w:val="auto"/>
                <w:lang w:eastAsia="zh-CN"/>
              </w:rPr>
              <w:t>项目概况</w:t>
            </w:r>
          </w:p>
          <w:p>
            <w:pPr>
              <w:ind w:firstLine="480" w:firstLineChars="200"/>
              <w:jc w:val="left"/>
              <w:rPr>
                <w:rFonts w:hint="eastAsia" w:ascii="仿宋" w:hAnsi="仿宋" w:eastAsia="仿宋" w:cs="仿宋"/>
                <w:color w:val="auto"/>
                <w:vertAlign w:val="baseline"/>
                <w:lang w:eastAsia="zh-CN"/>
              </w:rPr>
            </w:pPr>
            <w:r>
              <w:rPr>
                <w:rFonts w:hint="eastAsia" w:ascii="仿宋" w:hAnsi="仿宋" w:eastAsia="仿宋" w:cs="仿宋"/>
                <w:color w:val="auto"/>
                <w:lang w:val="en-US" w:eastAsia="zh-CN"/>
              </w:rPr>
              <w:t>吐尔尕特水厂建设项目设备采购</w:t>
            </w:r>
            <w:r>
              <w:rPr>
                <w:rFonts w:hint="eastAsia" w:ascii="仿宋" w:hAnsi="仿宋" w:eastAsia="仿宋" w:cs="仿宋"/>
                <w:color w:val="auto"/>
                <w:lang w:eastAsia="zh-CN"/>
              </w:rPr>
              <w:t>的潜在投标人应在</w:t>
            </w:r>
            <w:r>
              <w:rPr>
                <w:rFonts w:hint="eastAsia" w:ascii="仿宋" w:hAnsi="仿宋" w:eastAsia="仿宋" w:cs="仿宋"/>
                <w:color w:val="auto"/>
                <w:u w:val="single"/>
                <w:lang w:eastAsia="zh-CN"/>
              </w:rPr>
              <w:t>供应商登陆政采云平台http://www.zcygov.cn/</w:t>
            </w:r>
            <w:r>
              <w:rPr>
                <w:rFonts w:hint="eastAsia" w:ascii="仿宋" w:hAnsi="仿宋" w:eastAsia="仿宋" w:cs="仿宋"/>
                <w:color w:val="auto"/>
                <w:lang w:eastAsia="zh-CN"/>
              </w:rPr>
              <w:t xml:space="preserve">，在线申请获取采购文件（登录政府采购云平台 → 项目采购 → 获取采购文件 → 申请，审核通过后可下载招标文件，如有操作性问题，可与政采云在线客服进行咨询，咨询电话：95763）获取招标文件，并于 </w:t>
            </w:r>
            <w:r>
              <w:rPr>
                <w:rFonts w:hint="eastAsia" w:ascii="仿宋" w:hAnsi="仿宋" w:eastAsia="仿宋" w:cs="仿宋"/>
                <w:color w:val="auto"/>
                <w:highlight w:val="none"/>
                <w:u w:val="single"/>
                <w:lang w:eastAsia="zh-CN"/>
              </w:rPr>
              <w:t>202</w:t>
            </w:r>
            <w:r>
              <w:rPr>
                <w:rFonts w:hint="eastAsia" w:ascii="仿宋" w:hAnsi="仿宋" w:eastAsia="仿宋" w:cs="仿宋"/>
                <w:color w:val="auto"/>
                <w:highlight w:val="none"/>
                <w:u w:val="single"/>
                <w:lang w:val="en-US" w:eastAsia="zh-CN"/>
              </w:rPr>
              <w:t>5</w:t>
            </w:r>
            <w:r>
              <w:rPr>
                <w:rFonts w:hint="eastAsia" w:ascii="仿宋" w:hAnsi="仿宋" w:eastAsia="仿宋" w:cs="仿宋"/>
                <w:color w:val="auto"/>
                <w:highlight w:val="none"/>
                <w:u w:val="single"/>
                <w:lang w:eastAsia="zh-CN"/>
              </w:rPr>
              <w:t>年</w:t>
            </w:r>
            <w:r>
              <w:rPr>
                <w:rFonts w:hint="eastAsia" w:ascii="仿宋" w:hAnsi="仿宋" w:eastAsia="仿宋" w:cs="仿宋"/>
                <w:color w:val="auto"/>
                <w:highlight w:val="none"/>
                <w:u w:val="single"/>
                <w:lang w:val="en-US" w:eastAsia="zh-CN"/>
              </w:rPr>
              <w:t>2</w:t>
            </w:r>
            <w:r>
              <w:rPr>
                <w:rFonts w:hint="eastAsia" w:ascii="仿宋" w:hAnsi="仿宋" w:eastAsia="仿宋" w:cs="仿宋"/>
                <w:color w:val="auto"/>
                <w:highlight w:val="none"/>
                <w:u w:val="single"/>
                <w:lang w:eastAsia="zh-CN"/>
              </w:rPr>
              <w:t>月</w:t>
            </w:r>
            <w:r>
              <w:rPr>
                <w:rFonts w:hint="eastAsia" w:ascii="仿宋" w:hAnsi="仿宋" w:eastAsia="仿宋" w:cs="仿宋"/>
                <w:color w:val="auto"/>
                <w:highlight w:val="none"/>
                <w:u w:val="single"/>
                <w:lang w:val="en-US" w:eastAsia="zh-CN"/>
              </w:rPr>
              <w:t>14</w:t>
            </w:r>
            <w:r>
              <w:rPr>
                <w:rFonts w:hint="eastAsia" w:ascii="仿宋" w:hAnsi="仿宋" w:eastAsia="仿宋" w:cs="仿宋"/>
                <w:color w:val="auto"/>
                <w:highlight w:val="none"/>
                <w:u w:val="single"/>
                <w:lang w:eastAsia="zh-CN"/>
              </w:rPr>
              <w:t>日 1</w:t>
            </w:r>
            <w:r>
              <w:rPr>
                <w:rFonts w:hint="eastAsia" w:ascii="仿宋" w:hAnsi="仿宋" w:eastAsia="仿宋" w:cs="仿宋"/>
                <w:color w:val="auto"/>
                <w:highlight w:val="none"/>
                <w:u w:val="single"/>
                <w:lang w:val="en-US" w:eastAsia="zh-CN"/>
              </w:rPr>
              <w:t>0</w:t>
            </w:r>
            <w:r>
              <w:rPr>
                <w:rFonts w:hint="eastAsia" w:ascii="仿宋" w:hAnsi="仿宋" w:eastAsia="仿宋" w:cs="仿宋"/>
                <w:color w:val="auto"/>
                <w:highlight w:val="none"/>
                <w:u w:val="single"/>
                <w:lang w:eastAsia="zh-CN"/>
              </w:rPr>
              <w:t>:</w:t>
            </w:r>
            <w:r>
              <w:rPr>
                <w:rFonts w:hint="eastAsia" w:ascii="仿宋" w:hAnsi="仿宋" w:eastAsia="仿宋" w:cs="仿宋"/>
                <w:color w:val="auto"/>
                <w:highlight w:val="none"/>
                <w:u w:val="single"/>
                <w:lang w:val="en-US" w:eastAsia="zh-CN"/>
              </w:rPr>
              <w:t>3</w:t>
            </w:r>
            <w:r>
              <w:rPr>
                <w:rFonts w:hint="eastAsia" w:ascii="仿宋" w:hAnsi="仿宋" w:eastAsia="仿宋" w:cs="仿宋"/>
                <w:color w:val="auto"/>
                <w:highlight w:val="none"/>
                <w:u w:val="single"/>
                <w:lang w:eastAsia="zh-CN"/>
              </w:rPr>
              <w:t>0</w:t>
            </w:r>
            <w:r>
              <w:rPr>
                <w:rFonts w:hint="eastAsia" w:ascii="仿宋" w:hAnsi="仿宋" w:eastAsia="仿宋" w:cs="仿宋"/>
                <w:color w:val="auto"/>
                <w:u w:val="single"/>
                <w:lang w:eastAsia="zh-CN"/>
              </w:rPr>
              <w:t>（</w:t>
            </w:r>
            <w:r>
              <w:rPr>
                <w:rFonts w:hint="eastAsia" w:ascii="仿宋" w:hAnsi="仿宋" w:eastAsia="仿宋" w:cs="仿宋"/>
                <w:color w:val="auto"/>
                <w:u w:val="single"/>
                <w:lang w:eastAsia="zh-CN"/>
              </w:rPr>
              <w:t>北京时间）</w:t>
            </w:r>
            <w:r>
              <w:rPr>
                <w:rFonts w:hint="eastAsia" w:ascii="仿宋" w:hAnsi="仿宋" w:eastAsia="仿宋" w:cs="仿宋"/>
                <w:color w:val="auto"/>
                <w:lang w:eastAsia="zh-CN"/>
              </w:rPr>
              <w:t>前（上传）电子投标文件。</w:t>
            </w:r>
          </w:p>
        </w:tc>
      </w:tr>
    </w:tbl>
    <w:p>
      <w:pPr>
        <w:keepNext w:val="0"/>
        <w:keepLines w:val="0"/>
        <w:pageBreakBefore w:val="0"/>
        <w:widowControl w:val="0"/>
        <w:numPr>
          <w:ilvl w:val="0"/>
          <w:numId w:val="4"/>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rPr>
      </w:pPr>
      <w:r>
        <w:rPr>
          <w:rFonts w:hint="eastAsia" w:ascii="仿宋" w:hAnsi="仿宋" w:eastAsia="仿宋" w:cs="仿宋"/>
          <w:b/>
          <w:bCs/>
          <w:color w:val="auto"/>
        </w:rPr>
        <w:t>项目基本情况</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eastAsia" w:ascii="仿宋" w:hAnsi="仿宋" w:eastAsia="仿宋" w:cs="仿宋"/>
          <w:color w:val="auto"/>
        </w:rPr>
        <w:t>项目编号：</w:t>
      </w:r>
      <w:r>
        <w:rPr>
          <w:rFonts w:hint="eastAsia" w:ascii="仿宋" w:hAnsi="仿宋" w:eastAsia="仿宋" w:cs="仿宋"/>
          <w:color w:val="auto"/>
          <w:lang w:eastAsia="zh-CN"/>
        </w:rPr>
        <w:t>KZZB-202</w:t>
      </w:r>
      <w:r>
        <w:rPr>
          <w:rFonts w:hint="eastAsia" w:ascii="仿宋" w:hAnsi="仿宋" w:eastAsia="仿宋" w:cs="仿宋"/>
          <w:color w:val="auto"/>
          <w:lang w:val="en-US" w:eastAsia="zh-CN"/>
        </w:rPr>
        <w:t>5002</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rPr>
        <w:t>项目名称：</w:t>
      </w:r>
      <w:r>
        <w:rPr>
          <w:rFonts w:hint="eastAsia" w:ascii="仿宋" w:hAnsi="仿宋" w:eastAsia="仿宋" w:cs="仿宋"/>
          <w:color w:val="auto"/>
          <w:lang w:val="en-US" w:eastAsia="zh-CN"/>
        </w:rPr>
        <w:t>吐尔尕特水厂建设项目设备采购</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eastAsia" w:ascii="仿宋" w:hAnsi="仿宋" w:eastAsia="仿宋" w:cs="仿宋"/>
          <w:color w:val="auto"/>
        </w:rPr>
        <w:t>采购方式：</w:t>
      </w:r>
      <w:r>
        <w:rPr>
          <w:rFonts w:hint="eastAsia" w:ascii="仿宋" w:hAnsi="仿宋" w:eastAsia="仿宋" w:cs="仿宋"/>
          <w:color w:val="auto"/>
          <w:lang w:eastAsia="zh-CN"/>
        </w:rPr>
        <w:t>公开招标</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rPr>
        <w:t>预算金额（元）：</w:t>
      </w:r>
      <w:r>
        <w:rPr>
          <w:rFonts w:hint="eastAsia" w:ascii="仿宋" w:hAnsi="仿宋" w:eastAsia="仿宋" w:cs="仿宋"/>
          <w:color w:val="auto"/>
          <w:lang w:val="en-US" w:eastAsia="zh-CN"/>
        </w:rPr>
        <w:t>8000000</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default" w:ascii="仿宋" w:hAnsi="仿宋" w:eastAsia="仿宋" w:cs="仿宋"/>
          <w:color w:val="auto"/>
          <w:lang w:val="en-US" w:eastAsia="zh-CN"/>
        </w:rPr>
      </w:pPr>
      <w:r>
        <w:rPr>
          <w:rFonts w:hint="eastAsia" w:ascii="仿宋" w:hAnsi="仿宋" w:eastAsia="仿宋" w:cs="仿宋"/>
          <w:color w:val="auto"/>
        </w:rPr>
        <w:t>最高限价（元）：</w:t>
      </w:r>
      <w:r>
        <w:rPr>
          <w:rFonts w:hint="eastAsia" w:ascii="仿宋" w:hAnsi="仿宋" w:eastAsia="仿宋" w:cs="仿宋"/>
          <w:color w:val="auto"/>
          <w:lang w:val="en-US" w:eastAsia="zh-CN"/>
        </w:rPr>
        <w:t>7300000</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rPr>
      </w:pPr>
      <w:r>
        <w:rPr>
          <w:rFonts w:hint="eastAsia" w:ascii="仿宋" w:hAnsi="仿宋" w:eastAsia="仿宋" w:cs="仿宋"/>
          <w:color w:val="auto"/>
        </w:rPr>
        <w:t>采购需求：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rPr>
        <w:t>标项1：</w:t>
      </w:r>
      <w:r>
        <w:rPr>
          <w:rFonts w:hint="eastAsia" w:ascii="仿宋" w:hAnsi="仿宋" w:eastAsia="仿宋" w:cs="仿宋"/>
          <w:color w:val="auto"/>
          <w:lang w:val="en-US" w:eastAsia="zh-CN"/>
        </w:rPr>
        <w:t>高效一体化净水设备及其配套设施</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bCs w:val="0"/>
          <w:color w:val="auto"/>
          <w:spacing w:val="0"/>
          <w:w w:val="100"/>
          <w:position w:val="0"/>
          <w:sz w:val="24"/>
          <w:szCs w:val="24"/>
          <w:shd w:val="clear" w:color="auto" w:fill="auto"/>
          <w:lang w:val="en-US" w:eastAsia="en-US" w:bidi="en-US"/>
        </w:rPr>
      </w:pPr>
      <w:r>
        <w:rPr>
          <w:rFonts w:hint="eastAsia" w:ascii="仿宋" w:hAnsi="仿宋" w:eastAsia="仿宋" w:cs="仿宋"/>
          <w:color w:val="auto"/>
          <w:lang w:val="en-US" w:eastAsia="zh-CN"/>
        </w:rPr>
        <w:t>（具体详见招标文件技术规格及要求）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合同履约期限：</w:t>
      </w:r>
      <w:r>
        <w:rPr>
          <w:rFonts w:hint="eastAsia" w:ascii="仿宋" w:hAnsi="仿宋" w:eastAsia="仿宋" w:cs="仿宋"/>
          <w:color w:val="auto"/>
          <w:lang w:val="en-US" w:eastAsia="zh-CN"/>
        </w:rPr>
        <w:t>详见招标文件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w:t>
      </w:r>
      <w:r>
        <w:rPr>
          <w:rFonts w:hint="eastAsia" w:ascii="仿宋" w:hAnsi="仿宋" w:eastAsia="仿宋" w:cs="仿宋"/>
          <w:color w:val="auto"/>
          <w:sz w:val="24"/>
          <w:szCs w:val="24"/>
          <w:lang w:eastAsia="zh-CN"/>
        </w:rPr>
        <w:t>不</w:t>
      </w:r>
      <w:r>
        <w:rPr>
          <w:rFonts w:hint="eastAsia" w:ascii="仿宋" w:hAnsi="仿宋" w:eastAsia="仿宋" w:cs="仿宋"/>
          <w:color w:val="auto"/>
          <w:sz w:val="24"/>
          <w:szCs w:val="24"/>
        </w:rPr>
        <w:t>接受联合体投标。</w:t>
      </w:r>
    </w:p>
    <w:p>
      <w:pPr>
        <w:keepNext w:val="0"/>
        <w:keepLines w:val="0"/>
        <w:pageBreakBefore w:val="0"/>
        <w:widowControl w:val="0"/>
        <w:numPr>
          <w:ilvl w:val="0"/>
          <w:numId w:val="4"/>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申请人的资格要求：</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1.满足《中华人民共和国政府采购法》第二十二条规定；</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200" w:right="0" w:rightChars="0"/>
        <w:jc w:val="lef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2.落实政府采购政策需满足的资格要求：</w:t>
      </w:r>
      <w:r>
        <w:rPr>
          <w:rFonts w:hint="eastAsia" w:ascii="仿宋" w:hAnsi="仿宋" w:eastAsia="仿宋" w:cs="仿宋"/>
          <w:color w:val="auto"/>
          <w:lang w:eastAsia="zh-CN"/>
        </w:rPr>
        <w:t>标项</w:t>
      </w:r>
      <w:r>
        <w:rPr>
          <w:rFonts w:hint="eastAsia" w:ascii="仿宋" w:hAnsi="仿宋" w:eastAsia="仿宋" w:cs="仿宋"/>
          <w:color w:val="auto"/>
          <w:lang w:val="en-US" w:eastAsia="zh-CN"/>
        </w:rPr>
        <w:t>1、</w:t>
      </w:r>
      <w:r>
        <w:rPr>
          <w:rFonts w:hint="eastAsia" w:ascii="仿宋" w:hAnsi="仿宋" w:eastAsia="仿宋" w:cs="仿宋"/>
          <w:color w:val="auto"/>
          <w:sz w:val="24"/>
          <w:szCs w:val="24"/>
        </w:rPr>
        <w:t>本项目专门面向中小企业</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sz w:val="24"/>
          <w:szCs w:val="24"/>
        </w:rPr>
        <w:t>3.本项目的特定资格要求：</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（1）具有有效的三证合一营业执照；</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（2）具有授权委托书及被委托人身份证（法人提供法人证明书及法人身份证）；</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（3）投标企业须提供投标人（被授权人）近6个月内任意一个月的社保证明（新公司根据实际情况提供）；</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4）投标企业需提供参加本次采购活动前三年内未被“信用中国”（www.creditchina.gov.cn）、中国政府采购网（www.ccgp.gov.cn）列入失信被执行人、重大税收违法案件当事人名单、政府采购严重违法失信行为记录名单；</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（5）投标单位（供应商）针对本次采购项目《反商业贿赂承诺书》，《采购活动前三年内无重大违规记录承诺书》的书面声明。</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（6）本项目不接受联合体投标</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rPr>
        <w:t>三、获取采购文件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时间：</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rPr>
        <w:t>年</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月</w:t>
      </w:r>
      <w:r>
        <w:rPr>
          <w:rFonts w:hint="eastAsia" w:ascii="仿宋" w:hAnsi="仿宋" w:eastAsia="仿宋" w:cs="仿宋"/>
          <w:color w:val="auto"/>
          <w:sz w:val="24"/>
          <w:szCs w:val="24"/>
          <w:lang w:val="en-US" w:eastAsia="zh-CN"/>
        </w:rPr>
        <w:t>08</w:t>
      </w:r>
      <w:r>
        <w:rPr>
          <w:rFonts w:hint="eastAsia" w:ascii="仿宋" w:hAnsi="仿宋" w:eastAsia="仿宋" w:cs="仿宋"/>
          <w:color w:val="auto"/>
          <w:sz w:val="24"/>
          <w:szCs w:val="24"/>
        </w:rPr>
        <w:t>日至</w:t>
      </w:r>
      <w:r>
        <w:rPr>
          <w:rFonts w:hint="eastAsia" w:ascii="仿宋" w:hAnsi="仿宋" w:eastAsia="仿宋" w:cs="仿宋"/>
          <w:color w:val="auto"/>
          <w:sz w:val="24"/>
          <w:szCs w:val="24"/>
          <w:u w:val="single"/>
          <w:lang w:eastAsia="zh-CN"/>
        </w:rPr>
        <w:t>202</w:t>
      </w:r>
      <w:r>
        <w:rPr>
          <w:rFonts w:hint="eastAsia" w:ascii="仿宋" w:hAnsi="仿宋" w:eastAsia="仿宋" w:cs="仿宋"/>
          <w:color w:val="auto"/>
          <w:sz w:val="24"/>
          <w:szCs w:val="24"/>
          <w:u w:val="single"/>
          <w:lang w:val="en-US" w:eastAsia="zh-CN"/>
        </w:rPr>
        <w:t>5</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lang w:val="en-US" w:eastAsia="zh-CN"/>
        </w:rPr>
        <w:t xml:space="preserve"> 1</w:t>
      </w:r>
      <w:r>
        <w:rPr>
          <w:rFonts w:hint="eastAsia" w:ascii="仿宋" w:hAnsi="仿宋" w:eastAsia="仿宋" w:cs="仿宋"/>
          <w:color w:val="auto"/>
          <w:sz w:val="24"/>
          <w:szCs w:val="24"/>
        </w:rPr>
        <w:t>月</w:t>
      </w:r>
      <w:r>
        <w:rPr>
          <w:rFonts w:hint="eastAsia" w:ascii="仿宋" w:hAnsi="仿宋" w:eastAsia="仿宋" w:cs="仿宋"/>
          <w:color w:val="auto"/>
          <w:sz w:val="24"/>
          <w:szCs w:val="24"/>
          <w:u w:val="single"/>
          <w:lang w:val="en-US" w:eastAsia="zh-CN"/>
        </w:rPr>
        <w:t xml:space="preserve"> 15</w:t>
      </w:r>
      <w:r>
        <w:rPr>
          <w:rFonts w:hint="eastAsia" w:ascii="仿宋" w:hAnsi="仿宋" w:eastAsia="仿宋" w:cs="仿宋"/>
          <w:color w:val="auto"/>
          <w:sz w:val="24"/>
          <w:szCs w:val="24"/>
        </w:rPr>
        <w:t>日，每</w:t>
      </w:r>
      <w:r>
        <w:rPr>
          <w:rFonts w:hint="eastAsia" w:ascii="仿宋" w:hAnsi="仿宋" w:eastAsia="仿宋" w:cs="仿宋"/>
          <w:color w:val="auto"/>
          <w:sz w:val="24"/>
          <w:szCs w:val="24"/>
          <w:lang w:eastAsia="zh-CN"/>
        </w:rPr>
        <w:t>日</w:t>
      </w:r>
      <w:r>
        <w:rPr>
          <w:rFonts w:hint="eastAsia" w:ascii="仿宋" w:hAnsi="仿宋" w:eastAsia="仿宋" w:cs="仿宋"/>
          <w:color w:val="auto"/>
          <w:sz w:val="24"/>
          <w:szCs w:val="24"/>
        </w:rPr>
        <w:t>上午10</w:t>
      </w:r>
      <w:r>
        <w:rPr>
          <w:rFonts w:hint="eastAsia" w:ascii="仿宋" w:hAnsi="仿宋" w:eastAsia="仿宋" w:cs="仿宋"/>
          <w:color w:val="auto"/>
          <w:sz w:val="24"/>
          <w:szCs w:val="24"/>
          <w:lang w:eastAsia="zh-CN"/>
        </w:rPr>
        <w:t>时</w:t>
      </w:r>
      <w:r>
        <w:rPr>
          <w:rFonts w:hint="eastAsia" w:ascii="仿宋" w:hAnsi="仿宋" w:eastAsia="仿宋" w:cs="仿宋"/>
          <w:color w:val="auto"/>
          <w:sz w:val="24"/>
          <w:szCs w:val="24"/>
          <w:lang w:val="en-US" w:eastAsia="zh-CN"/>
        </w:rPr>
        <w:t>00分</w:t>
      </w:r>
      <w:r>
        <w:rPr>
          <w:rFonts w:hint="eastAsia" w:ascii="仿宋" w:hAnsi="仿宋" w:eastAsia="仿宋" w:cs="仿宋"/>
          <w:color w:val="auto"/>
          <w:sz w:val="24"/>
          <w:szCs w:val="24"/>
        </w:rPr>
        <w:t>至</w:t>
      </w:r>
      <w:r>
        <w:rPr>
          <w:rFonts w:hint="eastAsia" w:ascii="仿宋" w:hAnsi="仿宋" w:eastAsia="仿宋" w:cs="仿宋"/>
          <w:color w:val="auto"/>
          <w:sz w:val="24"/>
          <w:szCs w:val="24"/>
          <w:lang w:val="en-US" w:eastAsia="zh-CN"/>
        </w:rPr>
        <w:t>14时00分；下午16时00分至19时30分</w:t>
      </w:r>
      <w:r>
        <w:rPr>
          <w:rFonts w:hint="eastAsia" w:ascii="仿宋" w:hAnsi="仿宋" w:eastAsia="仿宋" w:cs="仿宋"/>
          <w:color w:val="auto"/>
          <w:sz w:val="24"/>
          <w:szCs w:val="24"/>
        </w:rPr>
        <w:t>（北京时间）</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地点：供应商登陆政采云平台http://www.zcygov.cn/，在线申请获取</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（登录政府采购云平台 → 项目采购 → 获取</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→申请，审核通过后可下载</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，如有操作性问题，可与政采云在线客服进行咨询，咨询电话：</w:t>
      </w:r>
      <w:r>
        <w:rPr>
          <w:rFonts w:hint="eastAsia" w:ascii="仿宋" w:hAnsi="仿宋" w:eastAsia="仿宋" w:cs="仿宋"/>
          <w:color w:val="auto"/>
          <w:sz w:val="24"/>
          <w:szCs w:val="24"/>
          <w:lang w:eastAsia="zh-CN"/>
        </w:rPr>
        <w:t>95763</w:t>
      </w:r>
      <w:r>
        <w:rPr>
          <w:rFonts w:hint="eastAsia" w:ascii="仿宋" w:hAnsi="仿宋" w:eastAsia="仿宋" w:cs="仿宋"/>
          <w:color w:val="auto"/>
          <w:sz w:val="24"/>
          <w:szCs w:val="24"/>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方式：（1）线上获取（登录政府采购云平台 → 项目采购 → 获取</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 申请，审核通过后可下载</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）。本次招标不提供纸质版</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。（2）供应商获取</w:t>
      </w:r>
      <w:r>
        <w:rPr>
          <w:rFonts w:hint="eastAsia" w:ascii="仿宋" w:hAnsi="仿宋" w:eastAsia="仿宋" w:cs="仿宋"/>
          <w:color w:val="auto"/>
          <w:sz w:val="24"/>
          <w:szCs w:val="24"/>
          <w:lang w:eastAsia="zh-CN"/>
        </w:rPr>
        <w:t>招标文件</w:t>
      </w:r>
      <w:r>
        <w:rPr>
          <w:rFonts w:hint="eastAsia" w:ascii="仿宋" w:hAnsi="仿宋" w:eastAsia="仿宋" w:cs="仿宋"/>
          <w:color w:val="auto"/>
          <w:sz w:val="24"/>
          <w:szCs w:val="24"/>
        </w:rPr>
        <w:t>前应注册成为政府采购云平台正式供应商。</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4、售价（元）：0</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四、提交投标文件截止时间、开标时间和地点</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截止时间：</w:t>
      </w:r>
      <w:r>
        <w:rPr>
          <w:rFonts w:hint="eastAsia" w:ascii="仿宋" w:hAnsi="仿宋" w:eastAsia="仿宋" w:cs="仿宋"/>
          <w:b w:val="0"/>
          <w:color w:val="auto"/>
          <w:kern w:val="2"/>
          <w:sz w:val="24"/>
          <w:szCs w:val="24"/>
          <w:u w:val="single"/>
          <w:lang w:val="en-US" w:eastAsia="zh-CN" w:bidi="ar-SA"/>
        </w:rPr>
        <w:t>2025</w:t>
      </w:r>
      <w:r>
        <w:rPr>
          <w:rFonts w:hint="eastAsia" w:ascii="仿宋" w:hAnsi="仿宋" w:eastAsia="仿宋" w:cs="仿宋"/>
          <w:b w:val="0"/>
          <w:color w:val="auto"/>
          <w:kern w:val="2"/>
          <w:sz w:val="24"/>
          <w:szCs w:val="24"/>
          <w:lang w:val="en-US" w:eastAsia="zh-CN" w:bidi="ar-SA"/>
        </w:rPr>
        <w:t>年</w:t>
      </w:r>
      <w:r>
        <w:rPr>
          <w:rFonts w:hint="eastAsia" w:ascii="仿宋" w:hAnsi="仿宋" w:eastAsia="仿宋" w:cs="仿宋"/>
          <w:b w:val="0"/>
          <w:color w:val="auto"/>
          <w:kern w:val="2"/>
          <w:sz w:val="24"/>
          <w:szCs w:val="24"/>
          <w:u w:val="single"/>
          <w:lang w:val="en-US" w:eastAsia="zh-CN" w:bidi="ar-SA"/>
        </w:rPr>
        <w:t xml:space="preserve"> 2</w:t>
      </w:r>
      <w:r>
        <w:rPr>
          <w:rFonts w:hint="eastAsia" w:ascii="仿宋" w:hAnsi="仿宋" w:eastAsia="仿宋" w:cs="仿宋"/>
          <w:b w:val="0"/>
          <w:color w:val="auto"/>
          <w:kern w:val="2"/>
          <w:sz w:val="24"/>
          <w:szCs w:val="24"/>
          <w:lang w:val="en-US" w:eastAsia="zh-CN" w:bidi="ar-SA"/>
        </w:rPr>
        <w:t>月</w:t>
      </w:r>
      <w:r>
        <w:rPr>
          <w:rFonts w:hint="eastAsia" w:ascii="仿宋" w:hAnsi="仿宋" w:eastAsia="仿宋" w:cs="仿宋"/>
          <w:b w:val="0"/>
          <w:color w:val="auto"/>
          <w:kern w:val="2"/>
          <w:sz w:val="24"/>
          <w:szCs w:val="24"/>
          <w:u w:val="single"/>
          <w:lang w:val="en-US" w:eastAsia="zh-CN" w:bidi="ar-SA"/>
        </w:rPr>
        <w:t xml:space="preserve"> 14</w:t>
      </w:r>
      <w:r>
        <w:rPr>
          <w:rFonts w:hint="eastAsia" w:ascii="仿宋" w:hAnsi="仿宋" w:eastAsia="仿宋" w:cs="仿宋"/>
          <w:b w:val="0"/>
          <w:color w:val="auto"/>
          <w:kern w:val="2"/>
          <w:sz w:val="24"/>
          <w:szCs w:val="24"/>
          <w:lang w:val="en-US" w:eastAsia="zh-CN" w:bidi="ar-SA"/>
        </w:rPr>
        <w:t>日 10：30 （北京时间）</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投标地点：政府采购云平台（www.zcygov.cn）供应商应于递交投标文件截止时间之前将电子投标文件上传到“政采云”平台。</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开标时间：</w:t>
      </w:r>
      <w:r>
        <w:rPr>
          <w:rFonts w:hint="eastAsia" w:ascii="仿宋" w:hAnsi="仿宋" w:eastAsia="仿宋" w:cs="仿宋"/>
          <w:b w:val="0"/>
          <w:color w:val="auto"/>
          <w:kern w:val="2"/>
          <w:sz w:val="24"/>
          <w:szCs w:val="24"/>
          <w:u w:val="single"/>
          <w:lang w:val="en-US" w:eastAsia="zh-CN" w:bidi="ar-SA"/>
        </w:rPr>
        <w:t>2025</w:t>
      </w:r>
      <w:r>
        <w:rPr>
          <w:rFonts w:hint="eastAsia" w:ascii="仿宋" w:hAnsi="仿宋" w:eastAsia="仿宋" w:cs="仿宋"/>
          <w:b w:val="0"/>
          <w:color w:val="auto"/>
          <w:kern w:val="2"/>
          <w:sz w:val="24"/>
          <w:szCs w:val="24"/>
          <w:lang w:val="en-US" w:eastAsia="zh-CN" w:bidi="ar-SA"/>
        </w:rPr>
        <w:t>年</w:t>
      </w:r>
      <w:r>
        <w:rPr>
          <w:rFonts w:hint="eastAsia" w:ascii="仿宋" w:hAnsi="仿宋" w:eastAsia="仿宋" w:cs="仿宋"/>
          <w:b w:val="0"/>
          <w:color w:val="auto"/>
          <w:kern w:val="2"/>
          <w:sz w:val="24"/>
          <w:szCs w:val="24"/>
          <w:u w:val="single"/>
          <w:lang w:val="en-US" w:eastAsia="zh-CN" w:bidi="ar-SA"/>
        </w:rPr>
        <w:t xml:space="preserve"> 2</w:t>
      </w:r>
      <w:r>
        <w:rPr>
          <w:rFonts w:hint="eastAsia" w:ascii="仿宋" w:hAnsi="仿宋" w:eastAsia="仿宋" w:cs="仿宋"/>
          <w:b w:val="0"/>
          <w:color w:val="auto"/>
          <w:kern w:val="2"/>
          <w:sz w:val="24"/>
          <w:szCs w:val="24"/>
          <w:lang w:val="en-US" w:eastAsia="zh-CN" w:bidi="ar-SA"/>
        </w:rPr>
        <w:t>月</w:t>
      </w:r>
      <w:r>
        <w:rPr>
          <w:rFonts w:hint="eastAsia" w:ascii="仿宋" w:hAnsi="仿宋" w:eastAsia="仿宋" w:cs="仿宋"/>
          <w:b w:val="0"/>
          <w:color w:val="auto"/>
          <w:kern w:val="2"/>
          <w:sz w:val="24"/>
          <w:szCs w:val="24"/>
          <w:u w:val="single"/>
          <w:lang w:val="en-US" w:eastAsia="zh-CN" w:bidi="ar-SA"/>
        </w:rPr>
        <w:t xml:space="preserve"> 14</w:t>
      </w:r>
      <w:r>
        <w:rPr>
          <w:rFonts w:hint="eastAsia" w:ascii="仿宋" w:hAnsi="仿宋" w:eastAsia="仿宋" w:cs="仿宋"/>
          <w:b w:val="0"/>
          <w:color w:val="auto"/>
          <w:kern w:val="2"/>
          <w:sz w:val="24"/>
          <w:szCs w:val="24"/>
          <w:lang w:val="en-US" w:eastAsia="zh-CN" w:bidi="ar-SA"/>
        </w:rPr>
        <w:t>日 10：30 （北京时间</w:t>
      </w:r>
      <w:r>
        <w:rPr>
          <w:rFonts w:hint="eastAsia" w:ascii="仿宋" w:hAnsi="仿宋" w:eastAsia="仿宋" w:cs="仿宋"/>
          <w:b w:val="0"/>
          <w:color w:val="auto"/>
          <w:kern w:val="2"/>
          <w:sz w:val="24"/>
          <w:szCs w:val="24"/>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开标地点：在政府采购云平台（www.zcygov.cn）上开启投标文件，开标时间后，待采购组织机构发出解密通知后30分钟内，供应商须登录“政采云”平台，用“项目采购-开标评标”功能解密投标文件。</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五、公告期限</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自本公告发布之日起5个工作日</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六、其他补充事宜</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1.本项目采用全流程不见面电子开评标，投标供应商需要使用CA加密设备，供应商可通过新疆数字证书认证中心官网（https://www.xjca.com.cn/）或下载“新疆政务通”APP自行进行申领。</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2.本项目实行网上投标，采用加密电子投标文件(供应商须使用CA加密设备通过政采云电子投标客户端制作投标文件)。若供应商参与投标，自行承担投标一切费用。</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5.供应商在开标时须使用制作加密电子投标文件所使用的CA锁及电脑，电脑须提前配置好浏览器（建议使用谷歌浏览器），以便开标时解锁。</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7.为了保证开评标顺利进行，政采云线上开标功能完全实现，供应商开标所使用的电脑设备须具有视频及语音功能。</w:t>
      </w:r>
    </w:p>
    <w:p>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特别提示：</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1、采购限额标准以上，200万元以下的货物和服务采购项目、400万元以下的工程采购项目，适宜由中小企业提供的，采购人应当专门面向中小企业采购。</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2、超过200万元的货物和服务采购项目，预留该部分采购项目预算总额的30%以上专门面向中小企业采购，其中预留给小微企业的比例不低于60%。</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3、超过400万元的工程采购项目中适宜由中小企业提供的，预留该部分采购项目预算总额的40%以上专门面向中小企业采购，其中预留给小微企业的比例不低于60%。</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七、对本次招标提出询问，请按以下方式联系。</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1.采购人信息：克孜勒苏柯尔克孜自治州吐尔尕特口岸管理委员会</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xml:space="preserve">地址:吐尔尕特口岸   </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xml:space="preserve">联系人:殷先生  </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 xml:space="preserve">联系电话: 18099081062  </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招标代理机构：新疆尊凯工程管理服务有限公司</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default"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招标代理地址:新疆阿图什市迎宾路75号院</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default"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招标代理联系人:王女士</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60" w:lineRule="exact"/>
        <w:ind w:firstLine="480" w:firstLineChars="200"/>
        <w:jc w:val="left"/>
        <w:textAlignment w:val="auto"/>
        <w:rPr>
          <w:rFonts w:hint="default"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招标代理联系电话:15809081063</w:t>
      </w:r>
    </w:p>
    <w:p>
      <w:pPr>
        <w:pStyle w:val="19"/>
        <w:keepNext w:val="0"/>
        <w:keepLines w:val="0"/>
        <w:widowControl/>
        <w:suppressLineNumbers w:val="0"/>
        <w:pBdr>
          <w:top w:val="none" w:color="auto" w:sz="0" w:space="0"/>
          <w:left w:val="none" w:color="auto" w:sz="0" w:space="0"/>
          <w:bottom w:val="none" w:color="auto" w:sz="0" w:space="0"/>
          <w:right w:val="none" w:color="auto" w:sz="0" w:space="0"/>
        </w:pBdr>
        <w:spacing w:before="75" w:beforeAutospacing="0" w:after="75" w:afterAutospacing="0" w:line="240" w:lineRule="auto"/>
        <w:ind w:left="0" w:right="0" w:firstLine="420"/>
        <w:jc w:val="left"/>
        <w:rPr>
          <w:rFonts w:hint="eastAsia" w:ascii="仿宋" w:hAnsi="仿宋" w:eastAsia="仿宋" w:cs="仿宋"/>
          <w:color w:val="auto"/>
          <w:spacing w:val="0"/>
          <w:w w:val="100"/>
          <w:position w:val="0"/>
          <w:sz w:val="32"/>
          <w:szCs w:val="32"/>
        </w:rPr>
      </w:pPr>
      <w:r>
        <w:rPr>
          <w:rFonts w:hint="eastAsia" w:ascii="仿宋" w:hAnsi="仿宋" w:eastAsia="仿宋" w:cs="仿宋"/>
          <w:color w:val="auto"/>
          <w:sz w:val="21"/>
          <w:szCs w:val="21"/>
        </w:rPr>
        <w:t xml:space="preserve">   </w:t>
      </w:r>
      <w:r>
        <w:rPr>
          <w:rFonts w:hint="eastAsia" w:ascii="仿宋" w:hAnsi="仿宋" w:eastAsia="仿宋" w:cs="仿宋"/>
          <w:color w:val="auto"/>
          <w:szCs w:val="21"/>
        </w:rPr>
        <w:t xml:space="preserve">      </w:t>
      </w:r>
    </w:p>
    <w:p>
      <w:pPr>
        <w:jc w:val="center"/>
        <w:rPr>
          <w:rFonts w:hint="eastAsia" w:ascii="仿宋" w:hAnsi="仿宋" w:eastAsia="仿宋" w:cs="仿宋"/>
          <w:color w:val="auto"/>
          <w:spacing w:val="0"/>
          <w:w w:val="100"/>
          <w:position w:val="0"/>
          <w:sz w:val="32"/>
          <w:szCs w:val="32"/>
        </w:rPr>
      </w:pPr>
    </w:p>
    <w:p>
      <w:pPr>
        <w:jc w:val="center"/>
        <w:rPr>
          <w:rFonts w:hint="eastAsia" w:ascii="仿宋" w:hAnsi="仿宋" w:eastAsia="仿宋" w:cs="仿宋"/>
          <w:color w:val="auto"/>
          <w:spacing w:val="0"/>
          <w:w w:val="100"/>
          <w:position w:val="0"/>
          <w:sz w:val="32"/>
          <w:szCs w:val="32"/>
        </w:rPr>
      </w:pPr>
    </w:p>
    <w:p>
      <w:pPr>
        <w:pStyle w:val="2"/>
        <w:rPr>
          <w:rFonts w:hint="eastAsia" w:ascii="仿宋" w:hAnsi="仿宋" w:eastAsia="仿宋" w:cs="仿宋"/>
          <w:color w:val="auto"/>
          <w:spacing w:val="0"/>
          <w:w w:val="100"/>
          <w:position w:val="0"/>
          <w:sz w:val="32"/>
          <w:szCs w:val="32"/>
        </w:rPr>
      </w:pPr>
    </w:p>
    <w:p>
      <w:pPr>
        <w:pStyle w:val="2"/>
        <w:rPr>
          <w:rFonts w:hint="eastAsia" w:ascii="仿宋" w:hAnsi="仿宋" w:eastAsia="仿宋" w:cs="仿宋"/>
          <w:color w:val="auto"/>
          <w:spacing w:val="0"/>
          <w:w w:val="100"/>
          <w:position w:val="0"/>
          <w:sz w:val="32"/>
          <w:szCs w:val="32"/>
        </w:rPr>
      </w:pPr>
    </w:p>
    <w:p>
      <w:pPr>
        <w:jc w:val="both"/>
        <w:rPr>
          <w:rFonts w:hint="eastAsia" w:ascii="仿宋" w:hAnsi="仿宋" w:eastAsia="仿宋" w:cs="仿宋"/>
          <w:color w:val="auto"/>
          <w:spacing w:val="0"/>
          <w:w w:val="100"/>
          <w:position w:val="0"/>
          <w:sz w:val="32"/>
          <w:szCs w:val="32"/>
        </w:rPr>
      </w:pPr>
    </w:p>
    <w:p>
      <w:pPr>
        <w:jc w:val="center"/>
        <w:rPr>
          <w:rFonts w:hint="eastAsia" w:ascii="仿宋" w:hAnsi="仿宋" w:eastAsia="仿宋" w:cs="仿宋"/>
          <w:color w:val="auto"/>
          <w:sz w:val="32"/>
          <w:szCs w:val="32"/>
        </w:rPr>
      </w:pPr>
      <w:r>
        <w:rPr>
          <w:rFonts w:hint="eastAsia" w:ascii="仿宋" w:hAnsi="仿宋" w:eastAsia="仿宋" w:cs="仿宋"/>
          <w:color w:val="auto"/>
          <w:spacing w:val="0"/>
          <w:w w:val="100"/>
          <w:position w:val="0"/>
          <w:sz w:val="32"/>
          <w:szCs w:val="32"/>
        </w:rPr>
        <w:t>第二部分</w:t>
      </w:r>
      <w:r>
        <w:rPr>
          <w:rFonts w:hint="eastAsia" w:ascii="仿宋" w:hAnsi="仿宋" w:eastAsia="仿宋" w:cs="仿宋"/>
          <w:color w:val="auto"/>
          <w:spacing w:val="0"/>
          <w:w w:val="100"/>
          <w:position w:val="0"/>
          <w:sz w:val="32"/>
          <w:szCs w:val="32"/>
          <w:lang w:val="en-US" w:eastAsia="zh-CN"/>
        </w:rPr>
        <w:t xml:space="preserve">  </w:t>
      </w:r>
      <w:r>
        <w:rPr>
          <w:rFonts w:hint="eastAsia" w:ascii="仿宋" w:hAnsi="仿宋" w:eastAsia="仿宋" w:cs="仿宋"/>
          <w:color w:val="auto"/>
          <w:spacing w:val="0"/>
          <w:w w:val="100"/>
          <w:position w:val="0"/>
          <w:sz w:val="32"/>
          <w:szCs w:val="32"/>
        </w:rPr>
        <w:t>供应商须知</w:t>
      </w:r>
    </w:p>
    <w:p>
      <w:pPr>
        <w:pStyle w:val="45"/>
        <w:keepNext w:val="0"/>
        <w:keepLines w:val="0"/>
        <w:widowControl w:val="0"/>
        <w:shd w:val="clear" w:color="auto" w:fill="auto"/>
        <w:bidi w:val="0"/>
        <w:spacing w:before="0" w:after="0" w:line="240" w:lineRule="auto"/>
        <w:ind w:right="0"/>
        <w:jc w:val="center"/>
        <w:rPr>
          <w:rFonts w:hint="eastAsia" w:ascii="仿宋" w:hAnsi="仿宋" w:eastAsia="仿宋" w:cs="仿宋"/>
          <w:color w:val="auto"/>
          <w:spacing w:val="0"/>
          <w:w w:val="100"/>
          <w:position w:val="0"/>
          <w:sz w:val="28"/>
          <w:szCs w:val="28"/>
        </w:rPr>
      </w:pPr>
      <w:r>
        <w:rPr>
          <w:rFonts w:hint="eastAsia" w:ascii="仿宋" w:hAnsi="仿宋" w:eastAsia="仿宋" w:cs="仿宋"/>
          <w:color w:val="auto"/>
          <w:spacing w:val="0"/>
          <w:w w:val="100"/>
          <w:position w:val="0"/>
          <w:sz w:val="28"/>
          <w:szCs w:val="28"/>
          <w:lang w:eastAsia="zh-CN"/>
        </w:rPr>
        <w:t>供应商</w:t>
      </w:r>
      <w:r>
        <w:rPr>
          <w:rFonts w:hint="eastAsia" w:ascii="仿宋" w:hAnsi="仿宋" w:eastAsia="仿宋" w:cs="仿宋"/>
          <w:color w:val="auto"/>
          <w:spacing w:val="0"/>
          <w:w w:val="100"/>
          <w:position w:val="0"/>
          <w:sz w:val="28"/>
          <w:szCs w:val="28"/>
        </w:rPr>
        <w:t>须知前附表</w:t>
      </w:r>
    </w:p>
    <w:tbl>
      <w:tblPr>
        <w:tblStyle w:val="23"/>
        <w:tblW w:w="9025" w:type="dxa"/>
        <w:jc w:val="center"/>
        <w:tblLayout w:type="fixed"/>
        <w:tblCellMar>
          <w:top w:w="0" w:type="dxa"/>
          <w:left w:w="108" w:type="dxa"/>
          <w:bottom w:w="0" w:type="dxa"/>
          <w:right w:w="108" w:type="dxa"/>
        </w:tblCellMar>
      </w:tblPr>
      <w:tblGrid>
        <w:gridCol w:w="562"/>
        <w:gridCol w:w="1700"/>
        <w:gridCol w:w="6763"/>
      </w:tblGrid>
      <w:tr>
        <w:tblPrEx>
          <w:tblCellMar>
            <w:top w:w="0" w:type="dxa"/>
            <w:left w:w="108" w:type="dxa"/>
            <w:bottom w:w="0" w:type="dxa"/>
            <w:right w:w="108" w:type="dxa"/>
          </w:tblCellMar>
        </w:tblPrEx>
        <w:trPr>
          <w:trHeight w:val="28"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widowControl/>
              <w:spacing w:line="334" w:lineRule="exact"/>
              <w:jc w:val="center"/>
              <w:rPr>
                <w:rFonts w:hint="eastAsia" w:ascii="仿宋" w:hAnsi="仿宋" w:eastAsia="仿宋" w:cs="仿宋"/>
                <w:b/>
                <w:color w:val="auto"/>
                <w:szCs w:val="21"/>
              </w:rPr>
            </w:pPr>
            <w:r>
              <w:rPr>
                <w:rFonts w:hint="eastAsia" w:ascii="仿宋" w:hAnsi="仿宋" w:eastAsia="仿宋" w:cs="仿宋"/>
                <w:b/>
                <w:color w:val="auto"/>
                <w:szCs w:val="21"/>
              </w:rPr>
              <w:t>序 号</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widowControl/>
              <w:spacing w:line="334" w:lineRule="exact"/>
              <w:jc w:val="center"/>
              <w:rPr>
                <w:rFonts w:hint="eastAsia" w:ascii="仿宋" w:hAnsi="仿宋" w:eastAsia="仿宋" w:cs="仿宋"/>
                <w:b/>
                <w:color w:val="auto"/>
                <w:szCs w:val="21"/>
              </w:rPr>
            </w:pPr>
            <w:r>
              <w:rPr>
                <w:rFonts w:hint="eastAsia" w:ascii="仿宋" w:hAnsi="仿宋" w:eastAsia="仿宋" w:cs="仿宋"/>
                <w:b/>
                <w:color w:val="auto"/>
                <w:szCs w:val="21"/>
              </w:rPr>
              <w:t>名  称</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widowControl/>
              <w:spacing w:line="334" w:lineRule="exact"/>
              <w:jc w:val="center"/>
              <w:rPr>
                <w:rFonts w:hint="eastAsia" w:ascii="仿宋" w:hAnsi="仿宋" w:eastAsia="仿宋" w:cs="仿宋"/>
                <w:b/>
                <w:color w:val="auto"/>
                <w:szCs w:val="21"/>
              </w:rPr>
            </w:pPr>
            <w:r>
              <w:rPr>
                <w:rFonts w:hint="eastAsia" w:ascii="仿宋" w:hAnsi="仿宋" w:eastAsia="仿宋" w:cs="仿宋"/>
                <w:b/>
                <w:color w:val="auto"/>
                <w:szCs w:val="21"/>
              </w:rPr>
              <w:t>编  列  内  容</w:t>
            </w:r>
          </w:p>
        </w:tc>
      </w:tr>
      <w:tr>
        <w:tblPrEx>
          <w:tblCellMar>
            <w:top w:w="0" w:type="dxa"/>
            <w:left w:w="108" w:type="dxa"/>
            <w:bottom w:w="0" w:type="dxa"/>
            <w:right w:w="108" w:type="dxa"/>
          </w:tblCellMar>
        </w:tblPrEx>
        <w:trPr>
          <w:trHeight w:val="28"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项目名称</w:t>
            </w:r>
          </w:p>
          <w:p>
            <w:pPr>
              <w:shd w:val="clear" w:color="auto" w:fill="auto"/>
              <w:spacing w:line="360" w:lineRule="auto"/>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项目编号</w:t>
            </w:r>
          </w:p>
          <w:p>
            <w:pPr>
              <w:shd w:val="clear" w:color="auto" w:fill="auto"/>
              <w:spacing w:line="360" w:lineRule="auto"/>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采购内容  </w:t>
            </w:r>
          </w:p>
          <w:p>
            <w:pPr>
              <w:shd w:val="clear" w:color="auto" w:fill="auto"/>
              <w:spacing w:line="360" w:lineRule="auto"/>
              <w:jc w:val="lef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供货及安装期</w:t>
            </w:r>
          </w:p>
          <w:p>
            <w:pPr>
              <w:shd w:val="clear" w:color="auto" w:fill="auto"/>
              <w:spacing w:line="360" w:lineRule="auto"/>
              <w:jc w:val="left"/>
              <w:rPr>
                <w:rFonts w:hint="eastAsia"/>
                <w:color w:val="auto"/>
                <w:lang w:val="en-US" w:eastAsia="zh-CN"/>
              </w:rPr>
            </w:pPr>
            <w:r>
              <w:rPr>
                <w:rFonts w:hint="eastAsia" w:ascii="仿宋" w:hAnsi="仿宋" w:eastAsia="仿宋" w:cs="仿宋"/>
                <w:color w:val="auto"/>
                <w:sz w:val="21"/>
                <w:szCs w:val="21"/>
                <w:lang w:val="en-US" w:eastAsia="zh-CN"/>
              </w:rPr>
              <w:t>质保期</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项目名称：吐尔尕特水厂建设项目设备采购</w:t>
            </w:r>
          </w:p>
          <w:p>
            <w:pPr>
              <w:shd w:val="clear" w:color="auto" w:fill="auto"/>
              <w:spacing w:line="360" w:lineRule="auto"/>
              <w:jc w:val="left"/>
              <w:rPr>
                <w:rFonts w:hint="default" w:ascii="仿宋" w:hAnsi="仿宋" w:eastAsia="仿宋" w:cs="仿宋"/>
                <w:b w:val="0"/>
                <w:bCs w:val="0"/>
                <w:color w:val="auto"/>
                <w:spacing w:val="0"/>
                <w:w w:val="100"/>
                <w:position w:val="0"/>
                <w:sz w:val="21"/>
                <w:szCs w:val="21"/>
                <w:shd w:val="clear" w:color="auto" w:fill="auto"/>
                <w:lang w:val="en-US" w:eastAsia="zh-CN" w:bidi="en-US"/>
              </w:rPr>
            </w:pPr>
            <w:r>
              <w:rPr>
                <w:rFonts w:hint="eastAsia" w:ascii="仿宋" w:hAnsi="仿宋" w:eastAsia="仿宋" w:cs="仿宋"/>
                <w:b/>
                <w:bCs/>
                <w:color w:val="auto"/>
                <w:sz w:val="21"/>
                <w:szCs w:val="21"/>
                <w:lang w:val="en-US" w:eastAsia="zh-CN"/>
              </w:rPr>
              <w:t>项目编码：</w:t>
            </w:r>
            <w:r>
              <w:rPr>
                <w:rFonts w:hint="eastAsia" w:ascii="仿宋" w:hAnsi="仿宋" w:eastAsia="仿宋" w:cs="仿宋"/>
                <w:b w:val="0"/>
                <w:bCs w:val="0"/>
                <w:color w:val="auto"/>
                <w:spacing w:val="0"/>
                <w:w w:val="100"/>
                <w:position w:val="0"/>
                <w:sz w:val="21"/>
                <w:szCs w:val="21"/>
                <w:shd w:val="clear" w:color="auto" w:fill="auto"/>
                <w:lang w:val="en-US" w:eastAsia="zh-CN" w:bidi="en-US"/>
              </w:rPr>
              <w:t>KZZB-2025002</w:t>
            </w:r>
          </w:p>
          <w:p>
            <w:pPr>
              <w:shd w:val="clear" w:color="auto" w:fill="auto"/>
              <w:spacing w:line="360" w:lineRule="auto"/>
              <w:jc w:val="left"/>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采购内容</w:t>
            </w:r>
            <w:r>
              <w:rPr>
                <w:rFonts w:hint="eastAsia" w:ascii="仿宋" w:hAnsi="仿宋" w:eastAsia="仿宋" w:cs="仿宋"/>
                <w:color w:val="auto"/>
                <w:sz w:val="21"/>
                <w:szCs w:val="21"/>
                <w:lang w:val="en-US" w:eastAsia="zh-CN"/>
              </w:rPr>
              <w:t>：高效一体化净水设备及其配套设施，（具体详见招标文</w:t>
            </w:r>
          </w:p>
          <w:p>
            <w:pPr>
              <w:shd w:val="clear" w:color="auto" w:fill="auto"/>
              <w:spacing w:line="360" w:lineRule="auto"/>
              <w:jc w:val="left"/>
              <w:rPr>
                <w:rFonts w:hint="eastAsia" w:ascii="仿宋" w:hAnsi="仿宋" w:eastAsia="仿宋" w:cs="仿宋"/>
                <w:b w:val="0"/>
                <w:bCs w:val="0"/>
                <w:color w:val="auto"/>
                <w:spacing w:val="0"/>
                <w:w w:val="100"/>
                <w:position w:val="0"/>
                <w:sz w:val="21"/>
                <w:szCs w:val="21"/>
                <w:shd w:val="clear" w:color="auto" w:fill="auto"/>
                <w:lang w:val="en-US" w:eastAsia="zh-CN" w:bidi="en-US"/>
              </w:rPr>
            </w:pPr>
            <w:r>
              <w:rPr>
                <w:rFonts w:hint="eastAsia" w:ascii="仿宋" w:hAnsi="仿宋" w:eastAsia="仿宋" w:cs="仿宋"/>
                <w:color w:val="auto"/>
                <w:sz w:val="21"/>
                <w:szCs w:val="21"/>
                <w:lang w:val="en-US" w:eastAsia="zh-CN"/>
              </w:rPr>
              <w:t>件技术规格及要求）</w:t>
            </w:r>
          </w:p>
          <w:p>
            <w:pPr>
              <w:shd w:val="clear" w:color="auto" w:fill="auto"/>
              <w:spacing w:line="360" w:lineRule="auto"/>
              <w:jc w:val="left"/>
              <w:rPr>
                <w:rFonts w:hint="default" w:ascii="仿宋" w:hAnsi="仿宋" w:eastAsia="仿宋" w:cs="仿宋"/>
                <w:color w:val="auto"/>
                <w:sz w:val="21"/>
                <w:szCs w:val="21"/>
                <w:highlight w:val="none"/>
                <w:u w:val="single"/>
                <w:lang w:val="en-US" w:eastAsia="zh-CN"/>
              </w:rPr>
            </w:pPr>
            <w:r>
              <w:rPr>
                <w:rFonts w:hint="eastAsia" w:ascii="仿宋" w:hAnsi="仿宋" w:eastAsia="仿宋" w:cs="仿宋"/>
                <w:b/>
                <w:bCs/>
                <w:color w:val="auto"/>
                <w:sz w:val="21"/>
                <w:szCs w:val="21"/>
                <w:lang w:val="en-US" w:eastAsia="zh-CN"/>
              </w:rPr>
              <w:t>供货及安装期</w:t>
            </w:r>
            <w:r>
              <w:rPr>
                <w:rFonts w:hint="eastAsia" w:ascii="仿宋" w:hAnsi="仿宋" w:eastAsia="仿宋" w:cs="仿宋"/>
                <w:b/>
                <w:bCs/>
                <w:color w:val="auto"/>
                <w:sz w:val="21"/>
                <w:szCs w:val="21"/>
                <w:highlight w:val="none"/>
                <w:lang w:val="en-US" w:eastAsia="zh-CN"/>
              </w:rPr>
              <w:t>：</w:t>
            </w:r>
            <w:r>
              <w:rPr>
                <w:rFonts w:hint="eastAsia" w:ascii="仿宋" w:hAnsi="仿宋" w:eastAsia="仿宋" w:cs="仿宋"/>
                <w:b/>
                <w:bCs/>
                <w:color w:val="auto"/>
                <w:sz w:val="21"/>
                <w:szCs w:val="21"/>
                <w:highlight w:val="none"/>
                <w:u w:val="single"/>
                <w:lang w:val="en-US" w:eastAsia="zh-CN"/>
              </w:rPr>
              <w:t>150日历日</w:t>
            </w:r>
          </w:p>
          <w:p>
            <w:pPr>
              <w:shd w:val="clear" w:color="auto" w:fill="auto"/>
              <w:spacing w:line="360" w:lineRule="auto"/>
              <w:jc w:val="left"/>
              <w:rPr>
                <w:rFonts w:hint="eastAsia"/>
                <w:color w:val="auto"/>
                <w:lang w:val="en-US" w:eastAsia="zh-CN"/>
              </w:rPr>
            </w:pPr>
            <w:r>
              <w:rPr>
                <w:rFonts w:hint="eastAsia" w:ascii="仿宋" w:hAnsi="仿宋" w:eastAsia="仿宋" w:cs="仿宋"/>
                <w:b/>
                <w:bCs/>
                <w:color w:val="auto"/>
                <w:sz w:val="21"/>
                <w:szCs w:val="21"/>
                <w:highlight w:val="none"/>
                <w:lang w:val="en-US" w:eastAsia="zh-CN"/>
              </w:rPr>
              <w:t>质保期：</w:t>
            </w:r>
            <w:r>
              <w:rPr>
                <w:rFonts w:hint="eastAsia" w:ascii="仿宋" w:hAnsi="仿宋" w:eastAsia="仿宋" w:cs="仿宋"/>
                <w:b/>
                <w:bCs/>
                <w:color w:val="auto"/>
                <w:sz w:val="21"/>
                <w:szCs w:val="21"/>
                <w:highlight w:val="none"/>
                <w:u w:val="single"/>
                <w:lang w:val="en-US" w:eastAsia="zh-CN"/>
              </w:rPr>
              <w:t>三年免费质保（项目整体验收合格之日起算）</w:t>
            </w:r>
          </w:p>
        </w:tc>
      </w:tr>
      <w:tr>
        <w:tblPrEx>
          <w:tblCellMar>
            <w:top w:w="0" w:type="dxa"/>
            <w:left w:w="108" w:type="dxa"/>
            <w:bottom w:w="0" w:type="dxa"/>
            <w:right w:w="108" w:type="dxa"/>
          </w:tblCellMar>
        </w:tblPrEx>
        <w:trPr>
          <w:trHeight w:val="9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采购人信息</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名  称：克孜勒苏柯尔克孜自治州吐尔尕特口岸管理委员会</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 xml:space="preserve">联系人：殷先生       电  话：18099081062 </w:t>
            </w:r>
          </w:p>
        </w:tc>
      </w:tr>
      <w:tr>
        <w:tblPrEx>
          <w:tblCellMar>
            <w:top w:w="0" w:type="dxa"/>
            <w:left w:w="108" w:type="dxa"/>
            <w:bottom w:w="0" w:type="dxa"/>
            <w:right w:w="108" w:type="dxa"/>
          </w:tblCellMar>
        </w:tblPrEx>
        <w:trPr>
          <w:trHeight w:val="873"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3</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采购代理机构</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名  称：新疆尊凯工程管理服务有限公司</w:t>
            </w:r>
          </w:p>
          <w:p>
            <w:pPr>
              <w:shd w:val="clear" w:color="auto" w:fill="auto"/>
              <w:spacing w:line="360" w:lineRule="auto"/>
              <w:jc w:val="left"/>
              <w:rPr>
                <w:rFonts w:hint="default"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地  址：新疆阿图什市迎宾路75号院</w:t>
            </w:r>
          </w:p>
          <w:p>
            <w:pPr>
              <w:shd w:val="clear" w:color="auto" w:fill="auto"/>
              <w:spacing w:line="360" w:lineRule="auto"/>
              <w:jc w:val="left"/>
              <w:rPr>
                <w:rFonts w:hint="default"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联系人：王女士       电  话：15809081063</w:t>
            </w:r>
          </w:p>
        </w:tc>
      </w:tr>
      <w:tr>
        <w:tblPrEx>
          <w:tblCellMar>
            <w:top w:w="0" w:type="dxa"/>
            <w:left w:w="108" w:type="dxa"/>
            <w:bottom w:w="0" w:type="dxa"/>
            <w:right w:w="108" w:type="dxa"/>
          </w:tblCellMar>
        </w:tblPrEx>
        <w:trPr>
          <w:trHeight w:val="144"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4</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 xml:space="preserve">最终交货地点 </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甲方指定地点</w:t>
            </w:r>
          </w:p>
        </w:tc>
      </w:tr>
      <w:tr>
        <w:tblPrEx>
          <w:tblCellMar>
            <w:top w:w="0" w:type="dxa"/>
            <w:left w:w="108" w:type="dxa"/>
            <w:bottom w:w="0" w:type="dxa"/>
            <w:right w:w="108" w:type="dxa"/>
          </w:tblCellMar>
        </w:tblPrEx>
        <w:trPr>
          <w:trHeight w:val="366"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5</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资格要求</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right="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1.满足《中华人民共和国政府采购法》第二十二条规定；</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right="0"/>
              <w:jc w:val="left"/>
              <w:rPr>
                <w:rFonts w:hint="eastAsia" w:ascii="仿宋" w:hAnsi="仿宋" w:eastAsia="仿宋" w:cs="仿宋"/>
                <w:b/>
                <w:bCs/>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2.落实政府采购政策需满足的资格要求：</w:t>
            </w:r>
            <w:r>
              <w:rPr>
                <w:rFonts w:hint="eastAsia" w:ascii="仿宋" w:hAnsi="仿宋" w:eastAsia="仿宋" w:cs="仿宋"/>
                <w:b/>
                <w:bCs/>
                <w:color w:val="auto"/>
                <w:sz w:val="21"/>
                <w:szCs w:val="21"/>
                <w:lang w:val="en-US" w:eastAsia="zh-CN"/>
              </w:rPr>
              <w:t>标项1</w:t>
            </w:r>
            <w:r>
              <w:rPr>
                <w:rFonts w:hint="eastAsia" w:ascii="仿宋" w:hAnsi="仿宋" w:eastAsia="仿宋" w:cs="仿宋"/>
                <w:b/>
                <w:bCs/>
                <w:color w:val="auto"/>
                <w:spacing w:val="0"/>
                <w:w w:val="100"/>
                <w:kern w:val="0"/>
                <w:position w:val="0"/>
                <w:sz w:val="21"/>
                <w:szCs w:val="21"/>
                <w:shd w:val="clear" w:color="auto" w:fill="auto"/>
                <w:lang w:val="en-US" w:eastAsia="zh-CN" w:bidi="en-US"/>
              </w:rPr>
              <w:t>本项目专门面向中小企业</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right="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3.本项目的特定资格要求：</w:t>
            </w:r>
            <w:r>
              <w:rPr>
                <w:rFonts w:hint="eastAsia" w:ascii="仿宋" w:hAnsi="仿宋" w:eastAsia="仿宋" w:cs="仿宋"/>
                <w:color w:val="auto"/>
                <w:lang w:eastAsia="zh-CN"/>
              </w:rPr>
              <w:t>【标项1】</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（1）具有有效的三证合一营业执照；</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（2）具有授权委托书及被委托人身份证（法人提供法人证明书及法人身份证）；</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（3）投标企业须提供投标人（被授权人）近6个月内任意一个月的社保证明（新公司根据实际情况提供）；</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4）投标企业需提供参加本次采购活动前三年内未被“信用中国”（www.creditchina.gov.cn）、中国政府采购网（www.ccgp.gov.cn）列入失信被执行人、重大税收违法案件当事人名单、政府采购严重违法失信行为记录名单；</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（5）投标单位（供应商）针对本次采购项目《反商业贿赂</w:t>
            </w:r>
            <w:bookmarkStart w:id="111" w:name="_GoBack"/>
            <w:bookmarkEnd w:id="111"/>
            <w:r>
              <w:rPr>
                <w:rFonts w:hint="eastAsia" w:ascii="仿宋" w:hAnsi="仿宋" w:eastAsia="仿宋" w:cs="仿宋"/>
                <w:b w:val="0"/>
                <w:bCs w:val="0"/>
                <w:color w:val="auto"/>
                <w:sz w:val="21"/>
                <w:szCs w:val="21"/>
                <w:lang w:val="en-US" w:eastAsia="zh-CN"/>
              </w:rPr>
              <w:t>承诺书》，《采购活动前三年内无重大违规记录承诺书》的书面声明。</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（6）本项目不接受联合体投标</w:t>
            </w:r>
          </w:p>
        </w:tc>
      </w:tr>
      <w:tr>
        <w:tblPrEx>
          <w:tblCellMar>
            <w:top w:w="0" w:type="dxa"/>
            <w:left w:w="108" w:type="dxa"/>
            <w:bottom w:w="0" w:type="dxa"/>
            <w:right w:w="108" w:type="dxa"/>
          </w:tblCellMar>
        </w:tblPrEx>
        <w:trPr>
          <w:trHeight w:val="9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6</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资金来源</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default" w:ascii="仿宋" w:hAnsi="仿宋" w:eastAsia="仿宋" w:cs="仿宋"/>
                <w:b w:val="0"/>
                <w:bCs w:val="0"/>
                <w:color w:val="auto"/>
                <w:sz w:val="21"/>
                <w:szCs w:val="21"/>
                <w:lang w:val="en-US" w:eastAsia="zh-CN"/>
              </w:rPr>
            </w:pPr>
            <w:r>
              <w:rPr>
                <w:rFonts w:hint="default" w:ascii="仿宋" w:hAnsi="仿宋" w:eastAsia="仿宋" w:cs="仿宋"/>
                <w:b w:val="0"/>
                <w:bCs w:val="0"/>
                <w:color w:val="auto"/>
                <w:sz w:val="21"/>
                <w:szCs w:val="21"/>
                <w:lang w:val="en-US" w:eastAsia="zh-CN"/>
              </w:rPr>
              <w:t>中央预算内资金</w:t>
            </w:r>
          </w:p>
        </w:tc>
      </w:tr>
      <w:tr>
        <w:tblPrEx>
          <w:tblCellMar>
            <w:top w:w="0" w:type="dxa"/>
            <w:left w:w="108" w:type="dxa"/>
            <w:bottom w:w="0" w:type="dxa"/>
            <w:right w:w="108" w:type="dxa"/>
          </w:tblCellMar>
        </w:tblPrEx>
        <w:trPr>
          <w:trHeight w:val="9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7</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招标方式</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 xml:space="preserve">公开招标(本项目采用网上电子招投标)  </w:t>
            </w:r>
          </w:p>
        </w:tc>
      </w:tr>
      <w:tr>
        <w:tblPrEx>
          <w:tblCellMar>
            <w:top w:w="0" w:type="dxa"/>
            <w:left w:w="108" w:type="dxa"/>
            <w:bottom w:w="0" w:type="dxa"/>
            <w:right w:w="108" w:type="dxa"/>
          </w:tblCellMar>
        </w:tblPrEx>
        <w:trPr>
          <w:trHeight w:val="9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8</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供应商信用查询</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1、查询渠道：信用中国（网址：http://www.creditchina.gov.cn）、中国政府采购网(网址：http://www.ccgp.gov.cn）。</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2、截止时点：开标后评标前。</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3、信用信息查询记录和证据留存的具体方式：由采购组织机构在规定查询时间内打印信用信息查询记录并归入项目档案。</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4、使用规则：对列入失信被执行人、重大税收违法案件当事人名单、政府采购严重违法失信行为记录名单及其他不符合《中华人民共和国政府采购法》第二十二条规定条件的供应商，将被拒绝其参与政府采购活动。联合体成员任意一方存在不良信用记录的，视同联合体存在不良信用记录。</w:t>
            </w:r>
          </w:p>
        </w:tc>
      </w:tr>
      <w:tr>
        <w:tblPrEx>
          <w:tblCellMar>
            <w:top w:w="0" w:type="dxa"/>
            <w:left w:w="108" w:type="dxa"/>
            <w:bottom w:w="0" w:type="dxa"/>
            <w:right w:w="108" w:type="dxa"/>
          </w:tblCellMar>
        </w:tblPrEx>
        <w:trPr>
          <w:trHeight w:val="535"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9</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是否接受联合体投标</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■不接受</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□接  受</w:t>
            </w:r>
          </w:p>
        </w:tc>
      </w:tr>
      <w:tr>
        <w:tblPrEx>
          <w:tblCellMar>
            <w:top w:w="0" w:type="dxa"/>
            <w:left w:w="108" w:type="dxa"/>
            <w:bottom w:w="0" w:type="dxa"/>
            <w:right w:w="108" w:type="dxa"/>
          </w:tblCellMar>
        </w:tblPrEx>
        <w:trPr>
          <w:trHeight w:val="28"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10</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投标截止时间 （开标时间）</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bCs/>
                <w:color w:val="auto"/>
                <w:sz w:val="21"/>
                <w:szCs w:val="21"/>
                <w:lang w:val="en-US" w:eastAsia="zh-CN"/>
              </w:rPr>
              <w:t>截止时间：</w:t>
            </w:r>
            <w:r>
              <w:rPr>
                <w:rFonts w:hint="eastAsia" w:ascii="仿宋" w:hAnsi="仿宋" w:eastAsia="仿宋" w:cs="仿宋"/>
                <w:b/>
                <w:bCs/>
                <w:color w:val="auto"/>
                <w:sz w:val="21"/>
                <w:szCs w:val="21"/>
                <w:highlight w:val="none"/>
                <w:lang w:val="en-US" w:eastAsia="zh-CN"/>
              </w:rPr>
              <w:t>2025年 2月 14日上午</w:t>
            </w:r>
            <w:r>
              <w:rPr>
                <w:rFonts w:hint="eastAsia" w:ascii="仿宋" w:hAnsi="仿宋" w:eastAsia="仿宋" w:cs="仿宋"/>
                <w:b/>
                <w:bCs/>
                <w:color w:val="auto"/>
                <w:sz w:val="21"/>
                <w:szCs w:val="21"/>
                <w:lang w:val="en-US" w:eastAsia="zh-CN"/>
              </w:rPr>
              <w:t>10时30分（北京时间）</w:t>
            </w:r>
          </w:p>
        </w:tc>
      </w:tr>
      <w:tr>
        <w:tblPrEx>
          <w:tblCellMar>
            <w:top w:w="0" w:type="dxa"/>
            <w:left w:w="108" w:type="dxa"/>
            <w:bottom w:w="0" w:type="dxa"/>
            <w:right w:w="108" w:type="dxa"/>
          </w:tblCellMar>
        </w:tblPrEx>
        <w:trPr>
          <w:trHeight w:val="30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11</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投标有效期</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 xml:space="preserve"> 60 天</w:t>
            </w:r>
          </w:p>
        </w:tc>
      </w:tr>
      <w:tr>
        <w:tblPrEx>
          <w:tblCellMar>
            <w:top w:w="0" w:type="dxa"/>
            <w:left w:w="108" w:type="dxa"/>
            <w:bottom w:w="0" w:type="dxa"/>
            <w:right w:w="108" w:type="dxa"/>
          </w:tblCellMar>
        </w:tblPrEx>
        <w:trPr>
          <w:trHeight w:val="638"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12</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投标保证金</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一、投标保证金交纳要求：</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投标保证金应当以支票、汇票、本票、网上银行支付或者金融机构、担保机构出具的保函等非现金形式缴纳。</w:t>
            </w:r>
          </w:p>
          <w:p>
            <w:pPr>
              <w:shd w:val="clear" w:color="auto" w:fill="auto"/>
              <w:spacing w:line="360" w:lineRule="auto"/>
              <w:jc w:val="lef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lang w:val="en-US" w:eastAsia="zh-CN"/>
              </w:rPr>
              <w:t>投标保证金金额：</w:t>
            </w:r>
            <w:r>
              <w:rPr>
                <w:rFonts w:hint="eastAsia" w:ascii="仿宋" w:hAnsi="仿宋" w:eastAsia="仿宋" w:cs="仿宋"/>
                <w:b w:val="0"/>
                <w:bCs w:val="0"/>
                <w:color w:val="auto"/>
                <w:sz w:val="21"/>
                <w:szCs w:val="21"/>
                <w:highlight w:val="none"/>
                <w:lang w:val="en-US" w:eastAsia="zh-CN"/>
              </w:rPr>
              <w:t xml:space="preserve">标项1：100000元     大写： 拾万元整  </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1、投标保证金以电汇、网银形式提交的，应在投标截止前以总公司的基本账户一次性汇入指定账户（以到账时间为准），不接受现金及任何个人汇款。汇款凭证作为该项目投标保证金的缴纳依据。</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2、其他特殊情况处理：有效投标保证金成功交纳后，截止开标时间，供应商无正当理由不参加该项目投标且不递交弃标函，投标保证金不予退还。</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户名：克孜勒苏柯尔克孜自治州政务服务和公共资源交易中心</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账号：30456301040005069</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开户行：中国农业银行股份有限公司阿图什天山支行</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行号：103893045636</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联系人：帕女士</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电话：0908-4220265    15809081090</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（备注：必须写明xx公司xx项目保证金）</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二、申请退还投标保证金资料（招投标结束中标结果公示后）：</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1、投标企业：待开标完成后，未中标企业3个工作日内政资中心将收取的项目投标保证金按投标企业基本户退回。</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2、中标企业：需提供已签订合同复印件一份，复印件每页需加盖企业鲜章（并携带合同原件，由中心工作人员核对后退还）。</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三、其他特殊情况处理：</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 xml:space="preserve">1、按照招标文件要求规定：投标企业无正当理由不参加该项目投标且在规定开标时间前不递交弃标函，投标保证金不予退还。                       </w:t>
            </w:r>
          </w:p>
        </w:tc>
      </w:tr>
      <w:tr>
        <w:tblPrEx>
          <w:tblCellMar>
            <w:top w:w="0" w:type="dxa"/>
            <w:left w:w="108" w:type="dxa"/>
            <w:bottom w:w="0" w:type="dxa"/>
            <w:right w:w="108" w:type="dxa"/>
          </w:tblCellMar>
        </w:tblPrEx>
        <w:trPr>
          <w:trHeight w:val="545"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13</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是否允许递交备选投标方案</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■不允许</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□允  许</w:t>
            </w:r>
          </w:p>
        </w:tc>
      </w:tr>
      <w:tr>
        <w:tblPrEx>
          <w:tblCellMar>
            <w:top w:w="0" w:type="dxa"/>
            <w:left w:w="108" w:type="dxa"/>
            <w:bottom w:w="0" w:type="dxa"/>
            <w:right w:w="108" w:type="dxa"/>
          </w:tblCellMar>
        </w:tblPrEx>
        <w:trPr>
          <w:trHeight w:val="67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14</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招标文件领取</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时间：2025年1月08日至2025年 1月 15日，每日上午10时00分至14时00分；下午16时00分至19时30分（北京时间）</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地点：供应商登陆政采云平台http://www.zcygov.cn/，在线申请获取招标文件 （登录政府采购云平台 → 项目采购 → 获取招标文件 →申请，审核通过后可下载招标文件 ，如有操作性问题，可与政采云在线客服进行咨询，咨询电话：95763）。</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方式：（1）线上获取（登录政府采购云平台 → 项目采购 → 获取招标文件 → 申请，审核通过后可下载招标文件 ）。本次招标不提供纸质版招标文件 。</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（2）供应商获取招标文件前应注册成为政府采购云平台正式供应商。</w:t>
            </w:r>
          </w:p>
        </w:tc>
      </w:tr>
      <w:tr>
        <w:tblPrEx>
          <w:tblCellMar>
            <w:top w:w="0" w:type="dxa"/>
            <w:left w:w="108" w:type="dxa"/>
            <w:bottom w:w="0" w:type="dxa"/>
            <w:right w:w="108" w:type="dxa"/>
          </w:tblCellMar>
        </w:tblPrEx>
        <w:trPr>
          <w:trHeight w:val="67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15</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投标文件形式</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电子投标文件包括“电子加密投标文件”和“备份投标文件”，在投标文件编制完成后同时生成。</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1、“电子加密投标文件”是指通过“政采云电子交易客户端”完成投标文件编制后生成并加密的数据电文形式的投标文件。</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2、“备份投标文件”是指与“电子加密投标文件”同时生成的数据电文形式的电子文件（备份标书，用于供应商标书解密异常时应急使用），其他方式编制的备份投标文件视为无效备份投标文件。</w:t>
            </w:r>
          </w:p>
        </w:tc>
      </w:tr>
      <w:tr>
        <w:tblPrEx>
          <w:tblCellMar>
            <w:top w:w="0" w:type="dxa"/>
            <w:left w:w="108" w:type="dxa"/>
            <w:bottom w:w="0" w:type="dxa"/>
            <w:right w:w="108" w:type="dxa"/>
          </w:tblCellMar>
        </w:tblPrEx>
        <w:trPr>
          <w:trHeight w:val="731"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16</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投标文件份数及要求</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1、一份电子加密标书（“.jmbs”格式），一份备份标书文件（“.bfbs”格式）。</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2、每份电子投标文件应包括资格证明文件和商务及技术文件两部分。</w:t>
            </w:r>
          </w:p>
        </w:tc>
      </w:tr>
      <w:tr>
        <w:tblPrEx>
          <w:tblCellMar>
            <w:top w:w="0" w:type="dxa"/>
            <w:left w:w="108" w:type="dxa"/>
            <w:bottom w:w="0" w:type="dxa"/>
            <w:right w:w="108" w:type="dxa"/>
          </w:tblCellMar>
        </w:tblPrEx>
        <w:trPr>
          <w:trHeight w:val="731" w:hRule="atLeast"/>
          <w:jc w:val="center"/>
        </w:trPr>
        <w:tc>
          <w:tcPr>
            <w:tcW w:w="562" w:type="dxa"/>
            <w:vMerge w:val="restart"/>
            <w:tcBorders>
              <w:top w:val="single" w:color="auto" w:sz="4" w:space="0"/>
              <w:left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17</w:t>
            </w:r>
          </w:p>
        </w:tc>
        <w:tc>
          <w:tcPr>
            <w:tcW w:w="1700" w:type="dxa"/>
            <w:vMerge w:val="restart"/>
            <w:tcBorders>
              <w:top w:val="single" w:color="auto" w:sz="4" w:space="0"/>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投标文件的上传和递交</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1.电子加密投标文件：投标文件制作完成并生成加密标书，在投标截止时间前，供应商需将加密的投标文件上传至政采云平台，在开标时间开始后，待采购组织机构发出解密通知后30分钟内解密投标文件。</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a.供应商未能在投标截止时间前成功上传电子加密投标文件的投标无效。</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b.供应商成功上传电子加密投标文件后，可自行打印投标文件接收回执。</w:t>
            </w:r>
          </w:p>
        </w:tc>
      </w:tr>
      <w:tr>
        <w:tblPrEx>
          <w:tblCellMar>
            <w:top w:w="0" w:type="dxa"/>
            <w:left w:w="108" w:type="dxa"/>
            <w:bottom w:w="0" w:type="dxa"/>
            <w:right w:w="108" w:type="dxa"/>
          </w:tblCellMar>
        </w:tblPrEx>
        <w:trPr>
          <w:trHeight w:val="731" w:hRule="atLeast"/>
          <w:jc w:val="center"/>
        </w:trPr>
        <w:tc>
          <w:tcPr>
            <w:tcW w:w="562"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p>
        </w:tc>
        <w:tc>
          <w:tcPr>
            <w:tcW w:w="1700"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备份投标文件：供应商在投标截止时间前将加密的投标文件上传至政府采购云平台，还可以在投标截止时间前以电子邮件方式提供备份投标文件1份（接收人邮箱：1965876366@qq.com，接收人：王女士，电话：15809081063），“备份投标文件”由供应商自愿提供，招标文件 不作强制性要求；如不提供或未按要求提供的，当电子投标文件无法解密时，将导致无备份投标文件而失去投标资格。</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a.备份投标文件提供要求：供应商可以将备份投标文件打包压缩并加密，压缩包命名为“XX单位备份投标文件”，加密密码由供应商自行保管；送达时间以采购代理机构实际接收时间为准。“备份投标文件”逾期或未按要求提供的视为未提供，建议供应商提前1日办理邮件提供事宜。</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b.通过“政府采购云平台”成功上传递交的“电子加密投标文件”已按时解密的，“备份投标文件”自动失效。投标截止时间前，投标供应商仅提供了“备份投标文件”而未将“电子加密投标文件”成功上传至“政府采购云平台”的，投标无效。</w:t>
            </w:r>
          </w:p>
        </w:tc>
      </w:tr>
      <w:tr>
        <w:tblPrEx>
          <w:tblCellMar>
            <w:top w:w="0" w:type="dxa"/>
            <w:left w:w="108" w:type="dxa"/>
            <w:bottom w:w="0" w:type="dxa"/>
            <w:right w:w="108" w:type="dxa"/>
          </w:tblCellMar>
        </w:tblPrEx>
        <w:trPr>
          <w:trHeight w:val="823"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18</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评标委员会的组建</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评标委员会由招标人依法组建，评审专家</w:t>
            </w:r>
            <w:r>
              <w:rPr>
                <w:rFonts w:hint="eastAsia" w:ascii="仿宋" w:hAnsi="仿宋" w:eastAsia="仿宋" w:cs="仿宋"/>
                <w:b w:val="0"/>
                <w:bCs w:val="0"/>
                <w:color w:val="auto"/>
                <w:sz w:val="21"/>
                <w:szCs w:val="21"/>
                <w:lang w:val="en-US" w:eastAsia="zh-CN"/>
              </w:rPr>
              <w:t>5</w:t>
            </w:r>
            <w:r>
              <w:rPr>
                <w:rFonts w:hint="eastAsia" w:ascii="仿宋" w:hAnsi="仿宋" w:eastAsia="仿宋" w:cs="仿宋"/>
                <w:b w:val="0"/>
                <w:bCs w:val="0"/>
                <w:color w:val="auto"/>
                <w:sz w:val="21"/>
                <w:szCs w:val="21"/>
                <w:lang w:val="zh-CN" w:eastAsia="zh-CN"/>
              </w:rPr>
              <w:t>人，其中：采购人代表1人，评审专家</w:t>
            </w:r>
            <w:r>
              <w:rPr>
                <w:rFonts w:hint="eastAsia" w:ascii="仿宋" w:hAnsi="仿宋" w:eastAsia="仿宋" w:cs="仿宋"/>
                <w:b w:val="0"/>
                <w:bCs w:val="0"/>
                <w:color w:val="auto"/>
                <w:sz w:val="21"/>
                <w:szCs w:val="21"/>
                <w:lang w:val="en-US" w:eastAsia="zh-CN"/>
              </w:rPr>
              <w:t>4</w:t>
            </w:r>
            <w:r>
              <w:rPr>
                <w:rFonts w:hint="eastAsia" w:ascii="仿宋" w:hAnsi="仿宋" w:eastAsia="仿宋" w:cs="仿宋"/>
                <w:b w:val="0"/>
                <w:bCs w:val="0"/>
                <w:color w:val="auto"/>
                <w:sz w:val="21"/>
                <w:szCs w:val="21"/>
                <w:lang w:val="zh-CN" w:eastAsia="zh-CN"/>
              </w:rPr>
              <w:t>人。共</w:t>
            </w:r>
            <w:r>
              <w:rPr>
                <w:rFonts w:hint="eastAsia" w:ascii="仿宋" w:hAnsi="仿宋" w:eastAsia="仿宋" w:cs="仿宋"/>
                <w:b w:val="0"/>
                <w:bCs w:val="0"/>
                <w:color w:val="auto"/>
                <w:sz w:val="21"/>
                <w:szCs w:val="21"/>
                <w:lang w:val="en-US" w:eastAsia="zh-CN"/>
              </w:rPr>
              <w:t>5</w:t>
            </w:r>
            <w:r>
              <w:rPr>
                <w:rFonts w:hint="eastAsia" w:ascii="仿宋" w:hAnsi="仿宋" w:eastAsia="仿宋" w:cs="仿宋"/>
                <w:b w:val="0"/>
                <w:bCs w:val="0"/>
                <w:color w:val="auto"/>
                <w:sz w:val="21"/>
                <w:szCs w:val="21"/>
                <w:lang w:val="zh-CN" w:eastAsia="zh-CN"/>
              </w:rPr>
              <w:t>人组成。</w:t>
            </w:r>
          </w:p>
          <w:p>
            <w:pPr>
              <w:shd w:val="clear" w:color="auto" w:fill="auto"/>
              <w:spacing w:line="360" w:lineRule="auto"/>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zh-CN" w:eastAsia="zh-CN"/>
              </w:rPr>
              <w:t>专家确定方式：评审专家由招标人在开标前从政采云专家库中随机抽取。</w:t>
            </w:r>
          </w:p>
        </w:tc>
      </w:tr>
      <w:tr>
        <w:tblPrEx>
          <w:tblCellMar>
            <w:top w:w="0" w:type="dxa"/>
            <w:left w:w="108" w:type="dxa"/>
            <w:bottom w:w="0" w:type="dxa"/>
            <w:right w:w="108" w:type="dxa"/>
          </w:tblCellMar>
        </w:tblPrEx>
        <w:trPr>
          <w:trHeight w:val="823"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19</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是否授权评标委员会确定中标候选人</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zh-CN" w:eastAsia="zh-CN"/>
              </w:rPr>
            </w:pPr>
            <w:r>
              <w:rPr>
                <w:rFonts w:hint="eastAsia" w:ascii="仿宋" w:hAnsi="仿宋" w:eastAsia="仿宋" w:cs="仿宋"/>
                <w:b w:val="0"/>
                <w:bCs w:val="0"/>
                <w:color w:val="auto"/>
                <w:sz w:val="21"/>
                <w:szCs w:val="21"/>
                <w:lang w:val="en-US" w:eastAsia="zh-CN"/>
              </w:rPr>
              <w:t>是，评标委员会推荐1名中标候选人。</w:t>
            </w:r>
            <w:r>
              <w:rPr>
                <w:rFonts w:hint="eastAsia" w:ascii="仿宋" w:hAnsi="仿宋" w:eastAsia="仿宋" w:cs="仿宋"/>
                <w:b w:val="0"/>
                <w:bCs w:val="0"/>
                <w:color w:val="auto"/>
                <w:sz w:val="21"/>
                <w:szCs w:val="21"/>
                <w:lang w:val="en-US" w:eastAsia="zh-CN"/>
              </w:rPr>
              <w:tab/>
            </w:r>
          </w:p>
        </w:tc>
      </w:tr>
      <w:tr>
        <w:tblPrEx>
          <w:tblCellMar>
            <w:top w:w="0" w:type="dxa"/>
            <w:left w:w="108" w:type="dxa"/>
            <w:bottom w:w="0" w:type="dxa"/>
            <w:right w:w="108" w:type="dxa"/>
          </w:tblCellMar>
        </w:tblPrEx>
        <w:trPr>
          <w:trHeight w:val="756"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20</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递交投标文件地点</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投标截止时间：2025年 2月14日上午10时30分（北京时间）</w:t>
            </w:r>
          </w:p>
          <w:p>
            <w:pPr>
              <w:shd w:val="clear" w:color="auto" w:fill="auto"/>
              <w:spacing w:line="360" w:lineRule="auto"/>
              <w:jc w:val="lef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投标地点：新疆政府采购云平台（www.zcygov.cn）</w:t>
            </w:r>
          </w:p>
        </w:tc>
      </w:tr>
      <w:tr>
        <w:tblPrEx>
          <w:tblCellMar>
            <w:top w:w="0" w:type="dxa"/>
            <w:left w:w="108" w:type="dxa"/>
            <w:bottom w:w="0" w:type="dxa"/>
            <w:right w:w="108" w:type="dxa"/>
          </w:tblCellMar>
        </w:tblPrEx>
        <w:trPr>
          <w:trHeight w:val="710" w:hRule="atLeast"/>
          <w:jc w:val="center"/>
        </w:trPr>
        <w:tc>
          <w:tcPr>
            <w:tcW w:w="562" w:type="dxa"/>
            <w:tcBorders>
              <w:top w:val="single" w:color="auto" w:sz="4" w:space="0"/>
              <w:left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21</w:t>
            </w:r>
          </w:p>
        </w:tc>
        <w:tc>
          <w:tcPr>
            <w:tcW w:w="1700" w:type="dxa"/>
            <w:tcBorders>
              <w:top w:val="single" w:color="auto" w:sz="4" w:space="0"/>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开标时间和地点</w:t>
            </w:r>
          </w:p>
        </w:tc>
        <w:tc>
          <w:tcPr>
            <w:tcW w:w="6763" w:type="dxa"/>
            <w:tcBorders>
              <w:top w:val="single" w:color="auto" w:sz="4" w:space="0"/>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开标时间：2025年 2月14日上午10时30分（北京时间）</w:t>
            </w:r>
          </w:p>
          <w:p>
            <w:pPr>
              <w:shd w:val="clear" w:color="auto" w:fill="auto"/>
              <w:spacing w:line="360" w:lineRule="auto"/>
              <w:jc w:val="lef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 xml:space="preserve">开标地点：新疆政府采购云平台（www.zcygov.cn）         </w:t>
            </w:r>
          </w:p>
        </w:tc>
      </w:tr>
      <w:tr>
        <w:tblPrEx>
          <w:tblCellMar>
            <w:top w:w="0" w:type="dxa"/>
            <w:left w:w="108" w:type="dxa"/>
            <w:bottom w:w="0" w:type="dxa"/>
            <w:right w:w="108" w:type="dxa"/>
          </w:tblCellMar>
        </w:tblPrEx>
        <w:trPr>
          <w:trHeight w:val="710" w:hRule="atLeast"/>
          <w:jc w:val="center"/>
        </w:trPr>
        <w:tc>
          <w:tcPr>
            <w:tcW w:w="562" w:type="dxa"/>
            <w:vMerge w:val="restart"/>
            <w:tcBorders>
              <w:top w:val="single" w:color="auto" w:sz="4" w:space="0"/>
              <w:left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22</w:t>
            </w:r>
          </w:p>
        </w:tc>
        <w:tc>
          <w:tcPr>
            <w:tcW w:w="1700" w:type="dxa"/>
            <w:vMerge w:val="restart"/>
            <w:tcBorders>
              <w:top w:val="single" w:color="auto" w:sz="4" w:space="0"/>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重要说明</w:t>
            </w:r>
          </w:p>
        </w:tc>
        <w:tc>
          <w:tcPr>
            <w:tcW w:w="6763" w:type="dxa"/>
            <w:tcBorders>
              <w:top w:val="single" w:color="auto" w:sz="4" w:space="0"/>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1.本项目采用全流程不见面电子开评标，投标供应商需要使用CA加密设备，供应商可通过新疆数字证书认证中心官网（https://www.xjca.com.cn/）或下载“新疆政务通”APP自行进行申领。</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2.本项目实行网上投标，采用加密电子投标文件(供应商须使用CA加密设备通过政采云电子投标客户端制作投标文件)。若供应商参与投标，自行承担投标一切费用。</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3.各供应商在开标前应确保成为新疆维吾尔自治区政府采购网正式注册入库供应商，并完成CA数字证书申领。因未注册入库、未办理CA数字证书等原因造成无法投标或投标失败等后果由供应商自行承担。</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4.供应商将政采云电子交易客户端下载、安装完成后，可通过账号密码或CA登录客户端进行投标文件制作。在使用政采云投标客户端时，建议使用WIN7+64位及以上操作系统。客户端请至新疆政府采购网（http://www.ccgp-xinjiang.gov.cn/）下载专区查看，如有问题可拨打政采云客户服务热线95763进行咨询。</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5.供应商在开标时须使用制作加密电子投标文件所使用的CA锁及电脑，电脑须提前配置好浏览器（建议使用谷歌浏览器），以便开标时解锁。</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十群：33132402、十一群：30213207（如已加入1-9群，无需重复加入，十一个群联动直播），钉钉工具软件具有回放功能，直播培训结束后可在钉钉群中回放观看学习。</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7.为了保证开评标顺利进行，政采云线上开标功能完全实现，供应商开标所使用的电脑设备须具有视频及语音功能。</w:t>
            </w:r>
          </w:p>
        </w:tc>
      </w:tr>
      <w:tr>
        <w:tblPrEx>
          <w:tblCellMar>
            <w:top w:w="0" w:type="dxa"/>
            <w:left w:w="108" w:type="dxa"/>
            <w:bottom w:w="0" w:type="dxa"/>
            <w:right w:w="108" w:type="dxa"/>
          </w:tblCellMar>
        </w:tblPrEx>
        <w:trPr>
          <w:trHeight w:val="710" w:hRule="atLeast"/>
          <w:jc w:val="center"/>
        </w:trPr>
        <w:tc>
          <w:tcPr>
            <w:tcW w:w="562"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1700"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1、电子招投标情况说明：</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（1）电子招投标：本项目以数据电文形式，依托“政府采购云平台（www.zcygov.cn）”进行招投标活动。</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pPr>
              <w:shd w:val="clear" w:color="auto" w:fill="auto"/>
              <w:spacing w:line="360" w:lineRule="auto"/>
              <w:jc w:val="left"/>
              <w:rPr>
                <w:rFonts w:hint="default"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（3）招标文件的获取：使用账号登录或者短信验证码或者使用CA登录政采云平台；进入“项目采购”应用，在获取招标文件菜单中选择项目，获取招标文件 .</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（4）投标文件的制作：在“政采云电子交易客户端”中完成“填写基本信息”、“导入投标文件”、“标书关联”、“标书检查”、“电子签名”、“生成电子标书”等操作。</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5）投标文件的传输递交：供应商在投标截止时间前将加密的投标文件上传至政府采购云平台，还可以在投标截止时间前以电子邮件方式提供备份投标文件1份（接收人邮箱：1965876366@qq.com，接收人：王女士，电话：15809081063），备份投标文件可以打包压缩并加密，压缩包命名为“XX单位备份投标文件”，加密密码由供应商自行保管（“备份投标文件”由供应商自愿提供，招标文件 不作强制性要求；如不提供或未按要求提供的，当电子投标文件无法解密时，将导致无备份投标文件而失去投标资格）。</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（6）投标文件的解密：供应商按照平台提示和招标文件 的规定在半小时内完成在线解密。通过“政府采购云平台”上传递交的投标文件无法按时解密，投标供应商提供了备份投标文件的，以备份投标文件为依据，否则视为投标文件撤回。通过“政府采购云平台”上传递交的投标文件已按时解密的，备份投标文件自动失效。供应商仅提供备份投标文件，没有在电子交易平台传输递交投标文件的，投标无效。</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（7）具体操作指南：详见政采云平台“服务中心-帮助文档-项目采购-操作流程-电子招投标-政府采购项目电子交易管理操作指南-供应商”。</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（8）供应商在进行上述操作时，如遇技术问题可登录政采云（https://</w:t>
            </w:r>
            <w:r>
              <w:rPr>
                <w:rFonts w:hint="eastAsia" w:ascii="仿宋" w:hAnsi="仿宋" w:eastAsia="仿宋" w:cs="仿宋"/>
                <w:b w:val="0"/>
                <w:bCs w:val="0"/>
                <w:color w:val="auto"/>
                <w:sz w:val="21"/>
                <w:szCs w:val="21"/>
                <w:lang w:val="en-US" w:eastAsia="zh-CN"/>
              </w:rPr>
              <w:fldChar w:fldCharType="begin"/>
            </w:r>
            <w:r>
              <w:rPr>
                <w:rFonts w:hint="eastAsia" w:ascii="仿宋" w:hAnsi="仿宋" w:eastAsia="仿宋" w:cs="仿宋"/>
                <w:b w:val="0"/>
                <w:bCs w:val="0"/>
                <w:color w:val="auto"/>
                <w:sz w:val="21"/>
                <w:szCs w:val="21"/>
                <w:lang w:val="en-US" w:eastAsia="zh-CN"/>
              </w:rPr>
              <w:instrText xml:space="preserve">HYPERLINK "http://www.zcygov.cn/" \h</w:instrText>
            </w:r>
            <w:r>
              <w:rPr>
                <w:rFonts w:hint="eastAsia" w:ascii="仿宋" w:hAnsi="仿宋" w:eastAsia="仿宋" w:cs="仿宋"/>
                <w:b w:val="0"/>
                <w:bCs w:val="0"/>
                <w:color w:val="auto"/>
                <w:sz w:val="21"/>
                <w:szCs w:val="21"/>
                <w:lang w:val="en-US" w:eastAsia="zh-CN"/>
              </w:rPr>
              <w:fldChar w:fldCharType="separate"/>
            </w:r>
            <w:r>
              <w:rPr>
                <w:rFonts w:hint="eastAsia" w:ascii="仿宋" w:hAnsi="仿宋" w:eastAsia="仿宋" w:cs="仿宋"/>
                <w:b w:val="0"/>
                <w:bCs w:val="0"/>
                <w:color w:val="auto"/>
                <w:sz w:val="21"/>
                <w:szCs w:val="21"/>
                <w:lang w:val="en-US" w:eastAsia="zh-CN"/>
              </w:rPr>
              <w:t>www.zcygov.cn/</w:t>
            </w:r>
            <w:r>
              <w:rPr>
                <w:rFonts w:hint="eastAsia" w:ascii="仿宋" w:hAnsi="仿宋" w:eastAsia="仿宋" w:cs="仿宋"/>
                <w:b w:val="0"/>
                <w:bCs w:val="0"/>
                <w:color w:val="auto"/>
                <w:sz w:val="21"/>
                <w:szCs w:val="21"/>
                <w:lang w:val="en-US" w:eastAsia="zh-CN"/>
              </w:rPr>
              <w:fldChar w:fldCharType="end"/>
            </w:r>
            <w:r>
              <w:rPr>
                <w:rFonts w:hint="eastAsia" w:ascii="仿宋" w:hAnsi="仿宋" w:eastAsia="仿宋" w:cs="仿宋"/>
                <w:b w:val="0"/>
                <w:bCs w:val="0"/>
                <w:color w:val="auto"/>
                <w:sz w:val="21"/>
                <w:szCs w:val="21"/>
                <w:lang w:val="en-US" w:eastAsia="zh-CN"/>
              </w:rPr>
              <w:t>），点击右侧咨询小采，获取采小蜜智能服务管家帮助，或拨打政采云服务热线 95763 获取热线服务帮助。</w:t>
            </w:r>
          </w:p>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温馨提醒：供应商应提前上传，以便在上传时遇到技术问题，有充足的时间请教平台的技术人员。</w:t>
            </w:r>
          </w:p>
          <w:p>
            <w:pPr>
              <w:shd w:val="clear" w:color="auto" w:fill="auto"/>
              <w:spacing w:line="360" w:lineRule="auto"/>
              <w:jc w:val="left"/>
              <w:rPr>
                <w:rFonts w:hint="default"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2、供应商认为招标文件使自己的权益受到损害的，可以自收到招标文件 之日（招标公告期限届满之前收到招标文件的，以完成获取招标文件申请后下载招标文件的时间为准）或者招标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招标文件或逾期提出的不予受理、答复。按中华人民共和国财政部令第94号文执行。</w:t>
            </w:r>
          </w:p>
        </w:tc>
      </w:tr>
      <w:tr>
        <w:tblPrEx>
          <w:tblCellMar>
            <w:top w:w="0" w:type="dxa"/>
            <w:left w:w="108" w:type="dxa"/>
            <w:bottom w:w="0" w:type="dxa"/>
            <w:right w:w="108" w:type="dxa"/>
          </w:tblCellMar>
        </w:tblPrEx>
        <w:trPr>
          <w:trHeight w:val="71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23</w:t>
            </w:r>
          </w:p>
        </w:tc>
        <w:tc>
          <w:tcPr>
            <w:tcW w:w="1700"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中标候选人公示媒介</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克州公共资源交易中心网、新疆政府采购网，公示期为一个工作日。</w:t>
            </w:r>
          </w:p>
        </w:tc>
      </w:tr>
      <w:tr>
        <w:tblPrEx>
          <w:tblCellMar>
            <w:top w:w="0" w:type="dxa"/>
            <w:left w:w="108" w:type="dxa"/>
            <w:bottom w:w="0" w:type="dxa"/>
            <w:right w:w="108" w:type="dxa"/>
          </w:tblCellMar>
        </w:tblPrEx>
        <w:trPr>
          <w:trHeight w:val="410"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24</w:t>
            </w:r>
          </w:p>
        </w:tc>
        <w:tc>
          <w:tcPr>
            <w:tcW w:w="8463" w:type="dxa"/>
            <w:gridSpan w:val="2"/>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招标代理服务费</w:t>
            </w:r>
          </w:p>
        </w:tc>
      </w:tr>
      <w:tr>
        <w:tblPrEx>
          <w:tblCellMar>
            <w:top w:w="0" w:type="dxa"/>
            <w:left w:w="108" w:type="dxa"/>
            <w:bottom w:w="0" w:type="dxa"/>
            <w:right w:w="108" w:type="dxa"/>
          </w:tblCellMar>
        </w:tblPrEx>
        <w:trPr>
          <w:trHeight w:val="655"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8463" w:type="dxa"/>
            <w:gridSpan w:val="2"/>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收费标准：中标单位在领取本采购项目中标通知书时，按标准收费。中标单位在领取本项目中标通知书时，按照《国家计委关于印发招标代理服务收费管理暂行办法的通知（计价格[2002]1980号）及《招标代理服务收费有关问题》（发改办价格〔2003〕857号文）中规定向招标代理机构支付本项目代理费。</w:t>
            </w:r>
          </w:p>
        </w:tc>
      </w:tr>
      <w:tr>
        <w:tblPrEx>
          <w:tblCellMar>
            <w:top w:w="0" w:type="dxa"/>
            <w:left w:w="108" w:type="dxa"/>
            <w:bottom w:w="0" w:type="dxa"/>
            <w:right w:w="108" w:type="dxa"/>
          </w:tblCellMar>
        </w:tblPrEx>
        <w:trPr>
          <w:trHeight w:val="84"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25</w:t>
            </w:r>
          </w:p>
        </w:tc>
        <w:tc>
          <w:tcPr>
            <w:tcW w:w="8463" w:type="dxa"/>
            <w:gridSpan w:val="2"/>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评标办法：本项目采用综合评分法</w:t>
            </w:r>
          </w:p>
        </w:tc>
      </w:tr>
      <w:tr>
        <w:tblPrEx>
          <w:tblCellMar>
            <w:top w:w="0" w:type="dxa"/>
            <w:left w:w="108" w:type="dxa"/>
            <w:bottom w:w="0" w:type="dxa"/>
            <w:right w:w="108" w:type="dxa"/>
          </w:tblCellMar>
        </w:tblPrEx>
        <w:trPr>
          <w:trHeight w:val="84"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26</w:t>
            </w:r>
          </w:p>
        </w:tc>
        <w:tc>
          <w:tcPr>
            <w:tcW w:w="8463" w:type="dxa"/>
            <w:gridSpan w:val="2"/>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不管投标结果如何，投标人均应承担自己投标所需一切费用。</w:t>
            </w:r>
          </w:p>
        </w:tc>
      </w:tr>
      <w:tr>
        <w:tblPrEx>
          <w:tblCellMar>
            <w:top w:w="0" w:type="dxa"/>
            <w:left w:w="108" w:type="dxa"/>
            <w:bottom w:w="0" w:type="dxa"/>
            <w:right w:w="108" w:type="dxa"/>
          </w:tblCellMar>
        </w:tblPrEx>
        <w:trPr>
          <w:trHeight w:val="84" w:hRule="atLeast"/>
          <w:jc w:val="center"/>
        </w:trPr>
        <w:tc>
          <w:tcPr>
            <w:tcW w:w="562"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27</w:t>
            </w:r>
          </w:p>
        </w:tc>
        <w:tc>
          <w:tcPr>
            <w:tcW w:w="8463" w:type="dxa"/>
            <w:gridSpan w:val="2"/>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default"/>
                <w:color w:val="auto"/>
                <w:lang w:val="en-US" w:eastAsia="zh-CN"/>
              </w:rPr>
            </w:pPr>
            <w:r>
              <w:rPr>
                <w:rFonts w:hint="eastAsia" w:ascii="仿宋" w:hAnsi="仿宋" w:eastAsia="仿宋" w:cs="仿宋"/>
                <w:b/>
                <w:bCs/>
                <w:color w:val="auto"/>
                <w:sz w:val="21"/>
                <w:szCs w:val="21"/>
                <w:lang w:val="en-US" w:eastAsia="zh-CN"/>
              </w:rPr>
              <w:t>本次招标最高限价：</w:t>
            </w:r>
            <w:r>
              <w:rPr>
                <w:rFonts w:hint="eastAsia" w:ascii="仿宋" w:hAnsi="仿宋" w:eastAsia="仿宋" w:cs="仿宋"/>
                <w:b/>
                <w:bCs/>
                <w:color w:val="auto"/>
                <w:spacing w:val="0"/>
                <w:w w:val="100"/>
                <w:position w:val="0"/>
                <w:sz w:val="21"/>
                <w:szCs w:val="21"/>
                <w:shd w:val="clear" w:color="auto" w:fill="auto"/>
                <w:lang w:val="en-US" w:eastAsia="zh-CN" w:bidi="en-US"/>
              </w:rPr>
              <w:t>7300000</w:t>
            </w:r>
            <w:r>
              <w:rPr>
                <w:rFonts w:hint="default" w:ascii="仿宋" w:hAnsi="仿宋" w:eastAsia="仿宋" w:cs="仿宋"/>
                <w:b/>
                <w:bCs/>
                <w:color w:val="auto"/>
                <w:spacing w:val="0"/>
                <w:w w:val="100"/>
                <w:position w:val="0"/>
                <w:sz w:val="21"/>
                <w:szCs w:val="21"/>
                <w:shd w:val="clear" w:color="auto" w:fill="auto"/>
                <w:lang w:val="en-US" w:eastAsia="zh-CN" w:bidi="en-US"/>
              </w:rPr>
              <w:t>元</w:t>
            </w:r>
            <w:r>
              <w:rPr>
                <w:rFonts w:hint="eastAsia" w:ascii="仿宋" w:hAnsi="仿宋" w:eastAsia="仿宋" w:cs="仿宋"/>
                <w:b/>
                <w:bCs/>
                <w:color w:val="auto"/>
                <w:spacing w:val="0"/>
                <w:w w:val="100"/>
                <w:position w:val="0"/>
                <w:sz w:val="21"/>
                <w:szCs w:val="21"/>
                <w:shd w:val="clear" w:color="auto" w:fill="auto"/>
                <w:lang w:val="en-US" w:eastAsia="zh-CN" w:bidi="en-US"/>
              </w:rPr>
              <w:t>（投标报价不得超过</w:t>
            </w:r>
            <w:r>
              <w:rPr>
                <w:rFonts w:hint="eastAsia" w:ascii="仿宋" w:hAnsi="仿宋" w:eastAsia="仿宋" w:cs="仿宋"/>
                <w:b/>
                <w:bCs/>
                <w:color w:val="auto"/>
                <w:sz w:val="21"/>
                <w:szCs w:val="21"/>
                <w:lang w:val="en-US" w:eastAsia="zh-CN"/>
              </w:rPr>
              <w:t>招标最高限价，否则将作为无效投标处理。</w:t>
            </w:r>
            <w:r>
              <w:rPr>
                <w:rFonts w:hint="eastAsia" w:ascii="仿宋" w:hAnsi="仿宋" w:eastAsia="仿宋" w:cs="仿宋"/>
                <w:b/>
                <w:bCs/>
                <w:color w:val="auto"/>
                <w:spacing w:val="0"/>
                <w:w w:val="100"/>
                <w:position w:val="0"/>
                <w:sz w:val="21"/>
                <w:szCs w:val="21"/>
                <w:shd w:val="clear" w:color="auto" w:fill="auto"/>
                <w:lang w:val="en-US" w:eastAsia="zh-CN" w:bidi="en-US"/>
              </w:rPr>
              <w:t>）</w:t>
            </w:r>
          </w:p>
        </w:tc>
      </w:tr>
      <w:tr>
        <w:tblPrEx>
          <w:tblCellMar>
            <w:top w:w="0" w:type="dxa"/>
            <w:left w:w="108" w:type="dxa"/>
            <w:bottom w:w="0" w:type="dxa"/>
            <w:right w:w="108" w:type="dxa"/>
          </w:tblCellMar>
        </w:tblPrEx>
        <w:trPr>
          <w:trHeight w:val="90" w:hRule="atLeast"/>
          <w:jc w:val="center"/>
        </w:trPr>
        <w:tc>
          <w:tcPr>
            <w:tcW w:w="562" w:type="dxa"/>
            <w:vMerge w:val="restart"/>
            <w:tcBorders>
              <w:left w:val="single" w:color="auto" w:sz="4" w:space="0"/>
              <w:right w:val="single" w:color="auto" w:sz="4" w:space="0"/>
            </w:tcBorders>
            <w:noWrap w:val="0"/>
            <w:vAlign w:val="center"/>
          </w:tcPr>
          <w:p>
            <w:pPr>
              <w:shd w:val="clear" w:color="auto" w:fill="auto"/>
              <w:spacing w:line="360" w:lineRule="auto"/>
              <w:jc w:val="center"/>
              <w:rPr>
                <w:rFonts w:hint="default"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28</w:t>
            </w:r>
          </w:p>
        </w:tc>
        <w:tc>
          <w:tcPr>
            <w:tcW w:w="1700" w:type="dxa"/>
            <w:vMerge w:val="restart"/>
            <w:tcBorders>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中小微企业政策文件</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zh-CN"/>
              </w:rPr>
            </w:pPr>
            <w:r>
              <w:rPr>
                <w:rFonts w:hint="eastAsia" w:ascii="仿宋" w:hAnsi="仿宋" w:eastAsia="仿宋" w:cs="仿宋"/>
                <w:b w:val="0"/>
                <w:bCs w:val="0"/>
                <w:color w:val="auto"/>
                <w:sz w:val="21"/>
                <w:szCs w:val="21"/>
                <w:lang w:val="zh-CN" w:eastAsia="zh-CN"/>
              </w:rPr>
              <w:t>（1）根据财政部《政府采购促进中小企业发展管理办法》（财库[2020]46号）、《关于进一步加大政府采购支持中小企业力度的通知》(财库[2022]19号)、新财购（2022）22号文件《关于落实好政府采购支持中小企业发展的通知》，投标人及其所投产品的制造商均属于《工业和信息化部、国家统计局、国家发展和改革委员会、财政部关于印发中小企业划型标准规定的通知》（工信部联企业[2011]300号）中规定的小型、微型企业标准的，按文件格式提供《中小企业声明函》。</w:t>
            </w:r>
          </w:p>
        </w:tc>
      </w:tr>
      <w:tr>
        <w:tblPrEx>
          <w:tblCellMar>
            <w:top w:w="0" w:type="dxa"/>
            <w:left w:w="108" w:type="dxa"/>
            <w:bottom w:w="0" w:type="dxa"/>
            <w:right w:w="108" w:type="dxa"/>
          </w:tblCellMar>
        </w:tblPrEx>
        <w:trPr>
          <w:trHeight w:val="90" w:hRule="atLeast"/>
          <w:jc w:val="center"/>
        </w:trPr>
        <w:tc>
          <w:tcPr>
            <w:tcW w:w="562" w:type="dxa"/>
            <w:vMerge w:val="continue"/>
            <w:tcBorders>
              <w:left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p>
        </w:tc>
        <w:tc>
          <w:tcPr>
            <w:tcW w:w="1700" w:type="dxa"/>
            <w:vMerge w:val="continue"/>
            <w:tcBorders>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zh-CN"/>
              </w:rPr>
            </w:pPr>
            <w:r>
              <w:rPr>
                <w:rFonts w:hint="eastAsia" w:ascii="仿宋" w:hAnsi="仿宋" w:eastAsia="仿宋" w:cs="仿宋"/>
                <w:b w:val="0"/>
                <w:bCs w:val="0"/>
                <w:color w:val="auto"/>
                <w:sz w:val="21"/>
                <w:szCs w:val="21"/>
                <w:lang w:val="en-US" w:eastAsia="zh-CN"/>
              </w:rPr>
              <w:t>（2）根据财政部、司令部《关于政府采购支持监狱企业发展有关问题》的通知财库[2014]68号，监狱企业参加本项目投标时，应当提供由省级以上监狱管理局、戒毒管理局（新疆生产建设兵团）出具的属于监狱企业的证明文件。监狱企业视同小型、微型企业。</w:t>
            </w:r>
          </w:p>
        </w:tc>
      </w:tr>
      <w:tr>
        <w:tblPrEx>
          <w:tblCellMar>
            <w:top w:w="0" w:type="dxa"/>
            <w:left w:w="108" w:type="dxa"/>
            <w:bottom w:w="0" w:type="dxa"/>
            <w:right w:w="108" w:type="dxa"/>
          </w:tblCellMar>
        </w:tblPrEx>
        <w:trPr>
          <w:trHeight w:val="90" w:hRule="atLeast"/>
          <w:jc w:val="center"/>
        </w:trPr>
        <w:tc>
          <w:tcPr>
            <w:tcW w:w="562"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p>
        </w:tc>
        <w:tc>
          <w:tcPr>
            <w:tcW w:w="1700"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zh-CN"/>
              </w:rPr>
            </w:pPr>
            <w:r>
              <w:rPr>
                <w:rFonts w:hint="eastAsia" w:ascii="仿宋" w:hAnsi="仿宋" w:eastAsia="仿宋" w:cs="仿宋"/>
                <w:b w:val="0"/>
                <w:bCs w:val="0"/>
                <w:color w:val="auto"/>
                <w:sz w:val="21"/>
                <w:szCs w:val="21"/>
              </w:rPr>
              <w:t>（3）根据财政部、民政部、中国残疾人联合会《关于促进残疾人就业政府采购政策的通知》（财库[2017]141号），在政府采购活动中，残疾人福利性单位视同小型、微型企业。投标人属于残疾人福利性单位的，按照招标文件格式提供残疾人福利性单位声明函。</w:t>
            </w:r>
          </w:p>
        </w:tc>
      </w:tr>
      <w:tr>
        <w:tblPrEx>
          <w:tblCellMar>
            <w:top w:w="0" w:type="dxa"/>
            <w:left w:w="108" w:type="dxa"/>
            <w:bottom w:w="0" w:type="dxa"/>
            <w:right w:w="108" w:type="dxa"/>
          </w:tblCellMar>
        </w:tblPrEx>
        <w:trPr>
          <w:trHeight w:val="90" w:hRule="atLeast"/>
          <w:jc w:val="center"/>
        </w:trPr>
        <w:tc>
          <w:tcPr>
            <w:tcW w:w="562" w:type="dxa"/>
            <w:vMerge w:val="restart"/>
            <w:tcBorders>
              <w:left w:val="single" w:color="auto" w:sz="4" w:space="0"/>
              <w:right w:val="single" w:color="auto" w:sz="4" w:space="0"/>
            </w:tcBorders>
            <w:noWrap w:val="0"/>
            <w:vAlign w:val="center"/>
          </w:tcPr>
          <w:p>
            <w:pPr>
              <w:shd w:val="clear" w:color="auto" w:fill="auto"/>
              <w:spacing w:line="360" w:lineRule="auto"/>
              <w:jc w:val="center"/>
              <w:rPr>
                <w:rFonts w:hint="default"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29</w:t>
            </w:r>
          </w:p>
        </w:tc>
        <w:tc>
          <w:tcPr>
            <w:tcW w:w="1700" w:type="dxa"/>
            <w:vMerge w:val="restart"/>
            <w:tcBorders>
              <w:left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中小微企业政策文件说明</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zh-CN"/>
              </w:rPr>
            </w:pPr>
            <w:r>
              <w:rPr>
                <w:rFonts w:hint="eastAsia" w:ascii="仿宋" w:hAnsi="仿宋" w:eastAsia="仿宋" w:cs="仿宋"/>
                <w:b w:val="0"/>
                <w:bCs w:val="0"/>
                <w:color w:val="auto"/>
                <w:sz w:val="21"/>
                <w:szCs w:val="21"/>
              </w:rPr>
              <w:t>（1）支持中小企业发展：给予小型和微型企业产品的价格</w:t>
            </w:r>
            <w:r>
              <w:rPr>
                <w:rFonts w:hint="eastAsia" w:ascii="仿宋" w:hAnsi="仿宋" w:eastAsia="仿宋" w:cs="仿宋"/>
                <w:b w:val="0"/>
                <w:bCs w:val="0"/>
                <w:color w:val="auto"/>
                <w:sz w:val="21"/>
                <w:szCs w:val="21"/>
                <w:lang w:val="en-US" w:eastAsia="zh-CN"/>
              </w:rPr>
              <w:t>10</w:t>
            </w:r>
            <w:r>
              <w:rPr>
                <w:rFonts w:hint="eastAsia" w:ascii="仿宋" w:hAnsi="仿宋" w:eastAsia="仿宋" w:cs="仿宋"/>
                <w:b w:val="0"/>
                <w:bCs w:val="0"/>
                <w:color w:val="auto"/>
                <w:sz w:val="21"/>
                <w:szCs w:val="21"/>
              </w:rPr>
              <w:t>%-</w:t>
            </w: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rPr>
              <w:t>0%的扣除，用扣除后的价格参与评审，本项目具体扣除比例为</w:t>
            </w:r>
            <w:r>
              <w:rPr>
                <w:rFonts w:hint="eastAsia" w:ascii="仿宋" w:hAnsi="仿宋" w:eastAsia="仿宋" w:cs="仿宋"/>
                <w:b w:val="0"/>
                <w:bCs w:val="0"/>
                <w:color w:val="auto"/>
                <w:sz w:val="21"/>
                <w:szCs w:val="21"/>
                <w:lang w:val="en-US" w:eastAsia="zh-CN"/>
              </w:rPr>
              <w:t>10</w:t>
            </w:r>
            <w:r>
              <w:rPr>
                <w:rFonts w:hint="eastAsia" w:ascii="仿宋" w:hAnsi="仿宋" w:eastAsia="仿宋" w:cs="仿宋"/>
                <w:b w:val="0"/>
                <w:bCs w:val="0"/>
                <w:color w:val="auto"/>
                <w:sz w:val="21"/>
                <w:szCs w:val="21"/>
              </w:rPr>
              <w:t>%。用扣除后的价格参与评审。残疾人福利性单位视同小型、微型企业，享受同等价格扣除，但同时属于残疾人福利性单位和小微企业的，不重复价格扣除。</w:t>
            </w:r>
          </w:p>
        </w:tc>
      </w:tr>
      <w:tr>
        <w:tblPrEx>
          <w:tblCellMar>
            <w:top w:w="0" w:type="dxa"/>
            <w:left w:w="108" w:type="dxa"/>
            <w:bottom w:w="0" w:type="dxa"/>
            <w:right w:w="108" w:type="dxa"/>
          </w:tblCellMar>
        </w:tblPrEx>
        <w:trPr>
          <w:trHeight w:val="90" w:hRule="atLeast"/>
          <w:jc w:val="center"/>
        </w:trPr>
        <w:tc>
          <w:tcPr>
            <w:tcW w:w="562"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p>
        </w:tc>
        <w:tc>
          <w:tcPr>
            <w:tcW w:w="1700" w:type="dxa"/>
            <w:vMerge w:val="continue"/>
            <w:tcBorders>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val="zh-CN"/>
              </w:rPr>
            </w:pPr>
            <w:r>
              <w:rPr>
                <w:rFonts w:hint="eastAsia" w:ascii="仿宋" w:hAnsi="仿宋" w:eastAsia="仿宋" w:cs="仿宋"/>
                <w:b w:val="0"/>
                <w:bCs w:val="0"/>
                <w:color w:val="auto"/>
                <w:sz w:val="21"/>
                <w:szCs w:val="21"/>
              </w:rPr>
              <w:t>（2）不符合上述适用情形的投标人无需提供上述声明函件。</w:t>
            </w:r>
          </w:p>
        </w:tc>
      </w:tr>
      <w:tr>
        <w:tblPrEx>
          <w:tblCellMar>
            <w:top w:w="0" w:type="dxa"/>
            <w:left w:w="108" w:type="dxa"/>
            <w:bottom w:w="0" w:type="dxa"/>
            <w:right w:w="108" w:type="dxa"/>
          </w:tblCellMar>
        </w:tblPrEx>
        <w:trPr>
          <w:trHeight w:val="90" w:hRule="atLeast"/>
          <w:jc w:val="center"/>
        </w:trPr>
        <w:tc>
          <w:tcPr>
            <w:tcW w:w="562" w:type="dxa"/>
            <w:tcBorders>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default"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30</w:t>
            </w:r>
          </w:p>
        </w:tc>
        <w:tc>
          <w:tcPr>
            <w:tcW w:w="1700" w:type="dxa"/>
            <w:tcBorders>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rPr>
              <w:t>履约保证金</w:t>
            </w:r>
          </w:p>
          <w:p>
            <w:pPr>
              <w:shd w:val="clear" w:color="auto" w:fill="auto"/>
              <w:spacing w:line="360" w:lineRule="auto"/>
              <w:jc w:val="left"/>
              <w:rPr>
                <w:rFonts w:hint="eastAsia" w:ascii="仿宋" w:hAnsi="仿宋" w:eastAsia="仿宋" w:cs="仿宋"/>
                <w:b w:val="0"/>
                <w:bCs w:val="0"/>
                <w:color w:val="auto"/>
                <w:sz w:val="21"/>
                <w:szCs w:val="21"/>
                <w:lang w:val="en-US" w:eastAsia="zh-CN"/>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shd w:val="clear" w:color="auto" w:fill="auto"/>
              <w:spacing w:line="360" w:lineRule="auto"/>
              <w:jc w:val="left"/>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w:t>
            </w:r>
          </w:p>
        </w:tc>
      </w:tr>
      <w:tr>
        <w:tblPrEx>
          <w:tblCellMar>
            <w:top w:w="0" w:type="dxa"/>
            <w:left w:w="108" w:type="dxa"/>
            <w:bottom w:w="0" w:type="dxa"/>
            <w:right w:w="108" w:type="dxa"/>
          </w:tblCellMar>
        </w:tblPrEx>
        <w:trPr>
          <w:trHeight w:val="84" w:hRule="atLeast"/>
          <w:jc w:val="center"/>
        </w:trPr>
        <w:tc>
          <w:tcPr>
            <w:tcW w:w="2262" w:type="dxa"/>
            <w:gridSpan w:val="2"/>
            <w:vMerge w:val="restart"/>
            <w:tcBorders>
              <w:top w:val="single" w:color="auto" w:sz="4" w:space="0"/>
              <w:left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val="0"/>
                <w:bCs w:val="0"/>
                <w:color w:val="auto"/>
                <w:sz w:val="21"/>
                <w:szCs w:val="21"/>
                <w:lang w:val="en-US" w:eastAsia="zh-CN"/>
              </w:rPr>
            </w:pPr>
            <w:r>
              <w:rPr>
                <w:rFonts w:hint="eastAsia" w:ascii="仿宋" w:hAnsi="仿宋" w:eastAsia="仿宋" w:cs="仿宋"/>
                <w:b/>
                <w:bCs/>
                <w:color w:val="auto"/>
                <w:sz w:val="21"/>
                <w:szCs w:val="21"/>
              </w:rPr>
              <w:t>备注</w:t>
            </w:r>
          </w:p>
        </w:tc>
        <w:tc>
          <w:tcPr>
            <w:tcW w:w="67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Chars="0" w:right="0" w:rightChars="0"/>
              <w:textAlignment w:val="auto"/>
              <w:rPr>
                <w:rFonts w:hint="eastAsia" w:ascii="仿宋" w:hAnsi="仿宋" w:eastAsia="仿宋" w:cs="仿宋"/>
                <w:b w:val="0"/>
                <w:bCs w:val="0"/>
                <w:color w:val="auto"/>
                <w:sz w:val="21"/>
                <w:szCs w:val="21"/>
              </w:rPr>
            </w:pPr>
            <w:r>
              <w:rPr>
                <w:rFonts w:hint="eastAsia" w:ascii="仿宋" w:hAnsi="仿宋" w:eastAsia="仿宋" w:cs="仿宋"/>
                <w:b w:val="0"/>
                <w:bCs w:val="0"/>
                <w:color w:val="auto"/>
                <w:sz w:val="21"/>
                <w:szCs w:val="21"/>
                <w:lang w:val="en-US" w:eastAsia="zh-CN"/>
              </w:rPr>
              <w:t>1、</w:t>
            </w:r>
            <w:r>
              <w:rPr>
                <w:rFonts w:hint="eastAsia" w:ascii="仿宋" w:hAnsi="仿宋" w:eastAsia="仿宋" w:cs="仿宋"/>
                <w:b w:val="0"/>
                <w:bCs w:val="0"/>
                <w:color w:val="auto"/>
                <w:sz w:val="21"/>
                <w:szCs w:val="21"/>
              </w:rPr>
              <w:t>着重提醒各投标人注意，并认真查看招标文件中的每一个条款及要求，因误读招标文件而造成的后果，招标人概不负责。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b w:val="0"/>
                <w:bCs w:val="0"/>
                <w:color w:val="auto"/>
                <w:spacing w:val="0"/>
                <w:w w:val="100"/>
                <w:position w:val="0"/>
                <w:sz w:val="21"/>
                <w:szCs w:val="21"/>
                <w:shd w:val="clear" w:color="auto" w:fill="auto"/>
                <w:lang w:val="en-US" w:eastAsia="zh-CN" w:bidi="en-US"/>
              </w:rPr>
            </w:pPr>
            <w:r>
              <w:rPr>
                <w:rFonts w:hint="eastAsia" w:ascii="仿宋" w:hAnsi="仿宋" w:eastAsia="仿宋" w:cs="仿宋"/>
                <w:b w:val="0"/>
                <w:bCs w:val="0"/>
                <w:color w:val="auto"/>
                <w:spacing w:val="0"/>
                <w:w w:val="100"/>
                <w:position w:val="0"/>
                <w:sz w:val="21"/>
                <w:szCs w:val="21"/>
                <w:shd w:val="clear" w:color="auto" w:fill="auto"/>
                <w:lang w:val="en-US" w:eastAsia="zh-CN" w:bidi="en-US"/>
              </w:rPr>
              <w:t>2、投标人使用相同IP地址的，一经发现，相关部门将进一步核实，查实后按串通投标处理。</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为保证本项目质量，良好的售后服务，最低报价不作为中标的唯一依据。</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采购人若发现成交候选供应商在投标过程中提供虚假证明文件，故意隐瞒公司不良信誉和财务状况，以及其他可能对合同圆满履行造成风险的因素等，则按规定取消其成交资格，监管部门依法进行处理。</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b w:val="0"/>
                <w:bCs w:val="0"/>
                <w:color w:val="auto"/>
                <w:sz w:val="21"/>
                <w:szCs w:val="21"/>
              </w:rPr>
            </w:pPr>
            <w:r>
              <w:rPr>
                <w:rFonts w:hint="eastAsia" w:ascii="仿宋" w:hAnsi="仿宋" w:eastAsia="仿宋" w:cs="仿宋"/>
                <w:b w:val="0"/>
                <w:bCs w:val="0"/>
                <w:color w:val="auto"/>
                <w:sz w:val="21"/>
                <w:szCs w:val="21"/>
                <w:lang w:val="en-US" w:eastAsia="zh-CN"/>
              </w:rPr>
              <w:t>5、</w:t>
            </w:r>
            <w:r>
              <w:rPr>
                <w:rFonts w:hint="eastAsia" w:ascii="仿宋" w:hAnsi="仿宋" w:eastAsia="仿宋" w:cs="仿宋"/>
                <w:b w:val="0"/>
                <w:bCs w:val="0"/>
                <w:color w:val="auto"/>
                <w:sz w:val="21"/>
                <w:szCs w:val="21"/>
              </w:rPr>
              <w:t>其它：</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（1）投标企业严格遵守国家的法律法规及招标纪律，无违法违纪及商业贿赂行为。</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（2）不管投标结果如何，供应商均应自行承担投标所需一切费用。</w:t>
            </w:r>
          </w:p>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（3）供应商应以书面形式保证中标后由本公司组织实施，不得以任何理由将项目转包给其他机构。</w:t>
            </w:r>
          </w:p>
          <w:p>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rFonts w:hint="eastAsia" w:ascii="仿宋" w:hAnsi="仿宋" w:eastAsia="仿宋" w:cs="仿宋"/>
                <w:b w:val="0"/>
                <w:bCs w:val="0"/>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）招标文件</w:t>
            </w:r>
            <w:r>
              <w:rPr>
                <w:rFonts w:hint="eastAsia" w:ascii="仿宋" w:hAnsi="仿宋" w:eastAsia="仿宋" w:cs="仿宋"/>
                <w:color w:val="auto"/>
                <w:sz w:val="21"/>
                <w:szCs w:val="21"/>
              </w:rPr>
              <w:t>中如出现前后不一致情况，均以前附表内容为准。</w:t>
            </w:r>
          </w:p>
        </w:tc>
      </w:tr>
      <w:tr>
        <w:tblPrEx>
          <w:tblCellMar>
            <w:top w:w="0" w:type="dxa"/>
            <w:left w:w="108" w:type="dxa"/>
            <w:bottom w:w="0" w:type="dxa"/>
            <w:right w:w="108" w:type="dxa"/>
          </w:tblCellMar>
        </w:tblPrEx>
        <w:trPr>
          <w:trHeight w:val="84" w:hRule="atLeast"/>
          <w:jc w:val="center"/>
        </w:trPr>
        <w:tc>
          <w:tcPr>
            <w:tcW w:w="2262" w:type="dxa"/>
            <w:gridSpan w:val="2"/>
            <w:vMerge w:val="continue"/>
            <w:tcBorders>
              <w:left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bCs/>
                <w:color w:val="auto"/>
                <w:sz w:val="21"/>
                <w:szCs w:val="21"/>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w:t>
            </w:r>
            <w:r>
              <w:rPr>
                <w:rFonts w:hint="eastAsia" w:ascii="仿宋" w:hAnsi="仿宋" w:eastAsia="仿宋" w:cs="仿宋"/>
                <w:b/>
                <w:bCs/>
                <w:color w:val="auto"/>
                <w:sz w:val="21"/>
                <w:szCs w:val="21"/>
                <w:lang w:val="en-US" w:eastAsia="zh-CN"/>
              </w:rPr>
              <w:t>本次招标标的属于</w:t>
            </w:r>
            <w:r>
              <w:rPr>
                <w:rFonts w:hint="eastAsia" w:ascii="仿宋" w:hAnsi="仿宋" w:eastAsia="仿宋" w:cs="仿宋"/>
                <w:b/>
                <w:bCs/>
                <w:color w:val="auto"/>
                <w:sz w:val="21"/>
                <w:szCs w:val="21"/>
                <w:u w:val="single"/>
                <w:lang w:val="en-US" w:eastAsia="zh-CN"/>
              </w:rPr>
              <w:t>工业</w:t>
            </w:r>
            <w:r>
              <w:rPr>
                <w:rFonts w:hint="eastAsia" w:ascii="仿宋" w:hAnsi="仿宋" w:eastAsia="仿宋" w:cs="仿宋"/>
                <w:b/>
                <w:bCs/>
                <w:color w:val="auto"/>
                <w:sz w:val="21"/>
                <w:szCs w:val="21"/>
                <w:lang w:val="en-US" w:eastAsia="zh-CN"/>
              </w:rPr>
              <w:t>行业。</w:t>
            </w:r>
          </w:p>
          <w:p>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rFonts w:hint="eastAsia" w:ascii="仿宋" w:hAnsi="仿宋" w:eastAsia="仿宋" w:cs="仿宋"/>
                <w:color w:val="auto"/>
                <w:sz w:val="21"/>
                <w:szCs w:val="21"/>
                <w:lang w:eastAsia="zh-CN"/>
              </w:rPr>
            </w:pPr>
            <w:r>
              <w:rPr>
                <w:rFonts w:hint="eastAsia" w:ascii="仿宋" w:hAnsi="仿宋" w:eastAsia="仿宋" w:cs="仿宋"/>
                <w:b/>
                <w:bCs/>
                <w:color w:val="auto"/>
                <w:sz w:val="21"/>
                <w:szCs w:val="21"/>
                <w:lang w:val="en-US" w:eastAsia="zh-CN"/>
              </w:rPr>
              <w:t>2:</w:t>
            </w:r>
            <w:r>
              <w:rPr>
                <w:rFonts w:hint="eastAsia" w:ascii="仿宋" w:hAnsi="仿宋" w:eastAsia="仿宋" w:cs="仿宋"/>
                <w:b/>
                <w:bCs/>
                <w:color w:val="auto"/>
                <w:sz w:val="21"/>
                <w:szCs w:val="21"/>
                <w:lang w:eastAsia="zh-CN"/>
              </w:rPr>
              <w:t>投标供应商在提供《中小企业声明函》时，必须将招标文件分项报价表或参数偏离表所列的采购标的物全部列入《中小企业声明函》，否则专门面向中小企业的项目做废标处理，落实10%价格评审优惠的不享受优惠政策。</w:t>
            </w:r>
          </w:p>
        </w:tc>
      </w:tr>
      <w:tr>
        <w:tblPrEx>
          <w:tblCellMar>
            <w:top w:w="0" w:type="dxa"/>
            <w:left w:w="108" w:type="dxa"/>
            <w:bottom w:w="0" w:type="dxa"/>
            <w:right w:w="108" w:type="dxa"/>
          </w:tblCellMar>
        </w:tblPrEx>
        <w:trPr>
          <w:trHeight w:val="84" w:hRule="atLeast"/>
          <w:jc w:val="center"/>
        </w:trPr>
        <w:tc>
          <w:tcPr>
            <w:tcW w:w="2262" w:type="dxa"/>
            <w:gridSpan w:val="2"/>
            <w:tcBorders>
              <w:left w:val="single" w:color="auto" w:sz="4" w:space="0"/>
              <w:bottom w:val="single" w:color="auto" w:sz="4" w:space="0"/>
              <w:right w:val="single" w:color="auto" w:sz="4" w:space="0"/>
            </w:tcBorders>
            <w:noWrap w:val="0"/>
            <w:vAlign w:val="center"/>
          </w:tcPr>
          <w:p>
            <w:pPr>
              <w:shd w:val="clear" w:color="auto" w:fill="auto"/>
              <w:spacing w:line="360" w:lineRule="auto"/>
              <w:jc w:val="center"/>
              <w:rPr>
                <w:rFonts w:hint="eastAsia" w:ascii="仿宋" w:hAnsi="仿宋" w:eastAsia="仿宋" w:cs="仿宋"/>
                <w:b/>
                <w:bCs/>
                <w:color w:val="auto"/>
                <w:sz w:val="21"/>
                <w:szCs w:val="21"/>
              </w:rPr>
            </w:pPr>
          </w:p>
        </w:tc>
        <w:tc>
          <w:tcPr>
            <w:tcW w:w="676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中标人应在领取《中标通知书》后的十个日历日内，办理履约保证金，</w:t>
            </w:r>
          </w:p>
          <w:p>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金额为合同总价的 5%，否则招标人可取消中标人的中标资格，并没收其</w:t>
            </w:r>
          </w:p>
          <w:p>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投标保证金。</w:t>
            </w:r>
          </w:p>
        </w:tc>
      </w:tr>
    </w:tbl>
    <w:p>
      <w:pPr>
        <w:pageBreakBefore/>
        <w:shd w:val="clear" w:color="auto" w:fill="auto"/>
        <w:spacing w:before="312" w:beforeLines="100" w:after="312" w:afterLines="100" w:line="440" w:lineRule="exact"/>
        <w:jc w:val="center"/>
        <w:outlineLvl w:val="1"/>
        <w:rPr>
          <w:rFonts w:hint="eastAsia" w:ascii="仿宋" w:hAnsi="仿宋" w:eastAsia="仿宋" w:cs="仿宋"/>
          <w:b/>
          <w:color w:val="auto"/>
          <w:sz w:val="28"/>
          <w:szCs w:val="32"/>
          <w:highlight w:val="none"/>
        </w:rPr>
      </w:pPr>
      <w:r>
        <w:rPr>
          <w:rFonts w:hint="eastAsia" w:ascii="仿宋" w:hAnsi="仿宋" w:eastAsia="仿宋" w:cs="仿宋"/>
          <w:b/>
          <w:color w:val="auto"/>
          <w:sz w:val="28"/>
          <w:szCs w:val="28"/>
          <w:highlight w:val="none"/>
        </w:rPr>
        <w:t>二、投标人须知</w:t>
      </w:r>
    </w:p>
    <w:p>
      <w:pPr>
        <w:shd w:val="clear" w:color="auto" w:fill="auto"/>
        <w:spacing w:line="440" w:lineRule="exact"/>
        <w:jc w:val="center"/>
        <w:outlineLvl w:val="2"/>
        <w:rPr>
          <w:rFonts w:hint="eastAsia" w:ascii="仿宋" w:hAnsi="仿宋" w:eastAsia="仿宋" w:cs="仿宋"/>
          <w:color w:val="auto"/>
          <w:sz w:val="28"/>
          <w:szCs w:val="28"/>
          <w:highlight w:val="none"/>
        </w:rPr>
      </w:pPr>
      <w:bookmarkStart w:id="0" w:name="_Toc469495724"/>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32"/>
          <w:highlight w:val="none"/>
        </w:rPr>
        <w:t>总  则</w:t>
      </w:r>
      <w:bookmarkEnd w:id="0"/>
    </w:p>
    <w:p>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1.项目概况</w:t>
      </w:r>
    </w:p>
    <w:p>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1.1本次招标采购项目名称：见投标人须知前附表。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项目编号：见投标人须知前附表。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招标人：见投标人须知前附表。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供货</w:t>
      </w:r>
      <w:r>
        <w:rPr>
          <w:rFonts w:hint="eastAsia" w:ascii="仿宋" w:hAnsi="仿宋" w:eastAsia="仿宋" w:cs="仿宋"/>
          <w:color w:val="auto"/>
          <w:szCs w:val="21"/>
          <w:highlight w:val="none"/>
          <w:lang w:eastAsia="zh-CN"/>
        </w:rPr>
        <w:t>及安装</w:t>
      </w:r>
      <w:r>
        <w:rPr>
          <w:rFonts w:hint="eastAsia" w:ascii="仿宋" w:hAnsi="仿宋" w:eastAsia="仿宋" w:cs="仿宋"/>
          <w:color w:val="auto"/>
          <w:szCs w:val="21"/>
          <w:highlight w:val="none"/>
        </w:rPr>
        <w:t>期：见投标人须知前附表。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供货地点：见投标人须知前附表。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1.2招标人及联系人: 见投标人须知前附表。</w:t>
      </w:r>
    </w:p>
    <w:p>
      <w:pPr>
        <w:shd w:val="clear" w:color="auto" w:fill="auto"/>
        <w:snapToGrid w:val="0"/>
        <w:spacing w:line="440" w:lineRule="exact"/>
        <w:ind w:firstLine="600" w:firstLineChars="2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 代理机构及联系人: 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1.3资金来源：见投标人须知前附表。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1.4本项目预算：见投标人须知前附表。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1.5本项目控制价：见投标人须知前附表。</w:t>
      </w:r>
    </w:p>
    <w:p>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2.招标范围：</w:t>
      </w:r>
    </w:p>
    <w:p>
      <w:pPr>
        <w:shd w:val="clear" w:color="auto" w:fill="auto"/>
        <w:snapToGrid w:val="0"/>
        <w:spacing w:line="440" w:lineRule="exact"/>
        <w:ind w:firstLine="48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2.1 采购内容：见投标人须知前附表。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 技术要求：详见</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第四章采购内容及技术要求。</w:t>
      </w:r>
    </w:p>
    <w:p>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3.标包划分：</w:t>
      </w:r>
    </w:p>
    <w:p>
      <w:pPr>
        <w:shd w:val="clear" w:color="auto" w:fill="auto"/>
        <w:snapToGrid w:val="0"/>
        <w:spacing w:line="440" w:lineRule="exact"/>
        <w:ind w:firstLine="48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3.1本项目划分：</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1</w:t>
      </w:r>
      <w:r>
        <w:rPr>
          <w:rFonts w:hint="eastAsia" w:ascii="仿宋" w:hAnsi="仿宋" w:eastAsia="仿宋" w:cs="仿宋"/>
          <w:color w:val="auto"/>
          <w:szCs w:val="21"/>
          <w:highlight w:val="none"/>
        </w:rPr>
        <w:t>个包</w:t>
      </w:r>
      <w:r>
        <w:rPr>
          <w:rFonts w:hint="eastAsia" w:ascii="仿宋" w:hAnsi="仿宋" w:eastAsia="仿宋" w:cs="仿宋"/>
          <w:color w:val="auto"/>
          <w:kern w:val="0"/>
          <w:szCs w:val="21"/>
          <w:highlight w:val="none"/>
        </w:rPr>
        <w:t>。</w:t>
      </w:r>
    </w:p>
    <w:p>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4.招标方式：</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4.1本项目招标方式：见投标人须知前附表。</w:t>
      </w:r>
    </w:p>
    <w:p>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5.计价方式：</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5.1本次招标项目合同采用</w:t>
      </w:r>
      <w:r>
        <w:rPr>
          <w:rFonts w:hint="eastAsia" w:ascii="仿宋" w:hAnsi="仿宋" w:eastAsia="仿宋" w:cs="仿宋"/>
          <w:color w:val="auto"/>
          <w:szCs w:val="21"/>
          <w:highlight w:val="none"/>
          <w:u w:val="single"/>
        </w:rPr>
        <w:t xml:space="preserve">  固定</w:t>
      </w:r>
      <w:r>
        <w:rPr>
          <w:rFonts w:hint="eastAsia" w:ascii="仿宋" w:hAnsi="仿宋" w:eastAsia="仿宋" w:cs="仿宋"/>
          <w:color w:val="auto"/>
          <w:szCs w:val="21"/>
          <w:highlight w:val="none"/>
          <w:u w:val="single"/>
          <w:lang w:val="en-US" w:eastAsia="zh-CN"/>
        </w:rPr>
        <w:t>总</w:t>
      </w:r>
      <w:r>
        <w:rPr>
          <w:rFonts w:hint="eastAsia" w:ascii="仿宋" w:hAnsi="仿宋" w:eastAsia="仿宋" w:cs="仿宋"/>
          <w:color w:val="auto"/>
          <w:szCs w:val="21"/>
          <w:highlight w:val="none"/>
          <w:u w:val="single"/>
        </w:rPr>
        <w:t>价。</w:t>
      </w:r>
    </w:p>
    <w:p>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6.评标办法：</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6.1本次招标评标采用</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eastAsia="zh-CN"/>
        </w:rPr>
        <w:t>综合评分</w:t>
      </w:r>
      <w:r>
        <w:rPr>
          <w:rFonts w:hint="eastAsia" w:ascii="仿宋" w:hAnsi="仿宋" w:eastAsia="仿宋" w:cs="仿宋"/>
          <w:color w:val="auto"/>
          <w:szCs w:val="21"/>
          <w:highlight w:val="none"/>
          <w:u w:val="single"/>
        </w:rPr>
        <w:t xml:space="preserve">法 </w:t>
      </w:r>
      <w:r>
        <w:rPr>
          <w:rFonts w:hint="eastAsia" w:ascii="仿宋" w:hAnsi="仿宋" w:eastAsia="仿宋" w:cs="仿宋"/>
          <w:color w:val="auto"/>
          <w:szCs w:val="21"/>
          <w:highlight w:val="none"/>
        </w:rPr>
        <w:t>（详见第三章评标办法）</w:t>
      </w:r>
    </w:p>
    <w:p>
      <w:pPr>
        <w:shd w:val="clear" w:color="auto" w:fill="auto"/>
        <w:snapToGrid w:val="0"/>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7.投标人资格：</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7.1参与采购活动的投标人必须是满足《中华人民共和国政府采购法》规定条件的法人、其他组织或者自然人：</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7.2由于政府采购项目的差异性，投标人在参与具体政府采购项目活动时，应仔细阅读该项目的资质要求,具体见投标人须知前附表。</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7.3根据电子化政府采购的特点，各供应商在开标前应确保成为新疆维吾尔自治区政府采购网正式注册入库供应商，并完成CA数字证书申领。因未注册入库、未办理CA数字证书等原因造成无法投标或投标失败等后果由供应商自行承担。</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7.4投标人必须确保自己在信息库中注册的信息真实、准确，并保证投标文件中的有关信息与库中的信息相一致。否则，投标人因此蒙受损失，招标人概不负责。</w:t>
      </w:r>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8. 投标费用</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8.1投标人准备和参加投标活动发生的费用自理。</w:t>
      </w:r>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9.</w:t>
      </w:r>
      <w:bookmarkStart w:id="1" w:name="_Toc247513962"/>
      <w:bookmarkStart w:id="2" w:name="_Toc152042315"/>
      <w:bookmarkStart w:id="3" w:name="_Toc247592876"/>
      <w:bookmarkStart w:id="4" w:name="_Toc247527563"/>
      <w:bookmarkStart w:id="5" w:name="_Toc296602429"/>
      <w:bookmarkStart w:id="6" w:name="_Toc152045539"/>
      <w:bookmarkStart w:id="7" w:name="_Toc144974507"/>
      <w:r>
        <w:rPr>
          <w:rFonts w:hint="eastAsia" w:ascii="仿宋" w:hAnsi="仿宋" w:eastAsia="仿宋" w:cs="仿宋"/>
          <w:b/>
          <w:color w:val="auto"/>
          <w:szCs w:val="21"/>
          <w:highlight w:val="none"/>
        </w:rPr>
        <w:t xml:space="preserve"> 踏勘现场</w:t>
      </w:r>
      <w:bookmarkEnd w:id="1"/>
      <w:bookmarkEnd w:id="2"/>
      <w:bookmarkEnd w:id="3"/>
      <w:bookmarkEnd w:id="4"/>
      <w:bookmarkEnd w:id="5"/>
      <w:bookmarkEnd w:id="6"/>
      <w:bookmarkEnd w:id="7"/>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9.1 投标人须知前附表规定组织踏勘现场的，招标人按投标人须知前附表规定的时间、地点组织投标人踏勘项目现场。</w:t>
      </w:r>
      <w:r>
        <w:rPr>
          <w:rFonts w:hint="eastAsia" w:ascii="仿宋" w:hAnsi="仿宋" w:eastAsia="仿宋" w:cs="仿宋"/>
          <w:color w:val="auto"/>
          <w:szCs w:val="21"/>
          <w:highlight w:val="none"/>
          <w:lang w:eastAsia="zh-CN"/>
        </w:rPr>
        <w:t>如需踏勘现场，</w:t>
      </w:r>
      <w:r>
        <w:rPr>
          <w:rFonts w:hint="eastAsia" w:ascii="仿宋" w:hAnsi="仿宋" w:eastAsia="仿宋" w:cs="仿宋"/>
          <w:color w:val="auto"/>
          <w:highlight w:val="none"/>
          <w:lang w:eastAsia="zh-CN"/>
        </w:rPr>
        <w:t>投标人自行踏勘现场的，可咨询本项目采购人或采购代理机构联系人。</w:t>
      </w:r>
      <w:r>
        <w:rPr>
          <w:rFonts w:hint="eastAsia" w:ascii="仿宋" w:hAnsi="仿宋" w:eastAsia="仿宋" w:cs="仿宋"/>
          <w:b/>
          <w:bCs/>
          <w:color w:val="auto"/>
          <w:highlight w:val="none"/>
          <w:lang w:eastAsia="zh-CN"/>
        </w:rPr>
        <w:t>投标人自行踏勘现场的，可咨询本项目采购人或采购代理机构联系人。</w:t>
      </w:r>
      <w:r>
        <w:rPr>
          <w:rFonts w:hint="eastAsia" w:ascii="仿宋" w:hAnsi="仿宋" w:eastAsia="仿宋" w:cs="仿宋"/>
          <w:b/>
          <w:bCs/>
          <w:color w:val="auto"/>
          <w:szCs w:val="21"/>
          <w:highlight w:val="none"/>
        </w:rPr>
        <w:t xml:space="preserve"> </w:t>
      </w:r>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9.2 投标人踏勘现场发生的费用自理。</w:t>
      </w:r>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9.3 除招标人的原因外，投标人自行负责在踏勘现场中所发生的人员伤亡和财产损失。</w:t>
      </w:r>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9.4 招标人在踏勘现场中介绍的场地和相关的周边环境情况，供投标人在编制投标文件时参考，招标人不对投标人据此作出的判断和决策负责。</w:t>
      </w:r>
      <w:bookmarkStart w:id="8" w:name="_Toc296602430"/>
      <w:bookmarkStart w:id="9" w:name="_Toc152045540"/>
      <w:bookmarkStart w:id="10" w:name="_Toc247527564"/>
      <w:bookmarkStart w:id="11" w:name="_Toc152042316"/>
      <w:bookmarkStart w:id="12" w:name="_Toc144974508"/>
      <w:bookmarkStart w:id="13" w:name="_Toc247513963"/>
      <w:bookmarkStart w:id="14" w:name="_Toc247592877"/>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10. 投标预备会</w:t>
      </w:r>
      <w:bookmarkEnd w:id="8"/>
      <w:bookmarkEnd w:id="9"/>
      <w:bookmarkEnd w:id="10"/>
      <w:bookmarkEnd w:id="11"/>
      <w:bookmarkEnd w:id="12"/>
      <w:bookmarkEnd w:id="13"/>
      <w:bookmarkEnd w:id="14"/>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10.1投标人须知前附表规定召开投标预备会的，招标人按投标人须知前附表规定的时间和地点召开投标预备会，澄清投标人提出的问题。</w:t>
      </w:r>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10.2投标人应在投标人须知前附表规定的时间前，将提出的问题送达招标人，以便招标人澄清。</w:t>
      </w:r>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10.3招标人在投标人须知前附表规定的时间，将对投标人所提的问题进行澄清。该澄清内容为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w:t>
      </w:r>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11. 联合投标</w:t>
      </w:r>
    </w:p>
    <w:p>
      <w:pPr>
        <w:shd w:val="clear" w:color="auto" w:fill="auto"/>
        <w:spacing w:line="44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11.1 两个以上投标人可以组成一个投标联合体，以一个投标人的身份投标。以联合体形式参加投标的，联合体各方均应当符合《政府采购法》第二十二条规定的条件。招标人根据采购项目的特殊要求规定投标人特定条件的，联合体各方中至少应当有一方符合招标人规定的特定条件。</w:t>
      </w:r>
    </w:p>
    <w:p>
      <w:pPr>
        <w:shd w:val="clear" w:color="auto" w:fill="auto"/>
        <w:spacing w:line="400" w:lineRule="exact"/>
        <w:ind w:firstLine="468" w:firstLineChars="195"/>
        <w:rPr>
          <w:rFonts w:hint="eastAsia" w:ascii="仿宋" w:hAnsi="仿宋" w:eastAsia="仿宋" w:cs="仿宋"/>
          <w:color w:val="auto"/>
          <w:szCs w:val="21"/>
          <w:highlight w:val="none"/>
        </w:rPr>
      </w:pPr>
      <w:r>
        <w:rPr>
          <w:rFonts w:hint="eastAsia" w:ascii="仿宋" w:hAnsi="仿宋" w:eastAsia="仿宋" w:cs="仿宋"/>
          <w:color w:val="auto"/>
          <w:szCs w:val="21"/>
          <w:highlight w:val="none"/>
        </w:rPr>
        <w:t>11.2联合体各方之间应当签订共同投标协议，明确约定联合体各方承担的工作和相应的责任，并将共同投标协议连同投标文件一并提交招标人。联合体各方签订共同投标协议后，不得再以自己名义单独在同一项目中投标，也不得组成新的联合体参加同一项目投标。</w:t>
      </w:r>
    </w:p>
    <w:p>
      <w:pPr>
        <w:shd w:val="clear" w:color="auto" w:fill="auto"/>
        <w:spacing w:line="400" w:lineRule="exact"/>
        <w:ind w:firstLine="470"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rPr>
        <w:t>11.3 联合体应当确定其中一个单位为投标的全权代表，负责参加投标的一切事务，并承担投标及履约中应承担的全部责任与义务。</w:t>
      </w:r>
    </w:p>
    <w:p>
      <w:pPr>
        <w:pStyle w:val="9"/>
        <w:shd w:val="clear" w:color="auto" w:fill="auto"/>
        <w:spacing w:after="0" w:line="400" w:lineRule="exact"/>
        <w:ind w:left="0" w:leftChars="0" w:firstLine="484" w:firstLineChars="202"/>
        <w:rPr>
          <w:rFonts w:hint="eastAsia" w:ascii="仿宋" w:hAnsi="仿宋" w:eastAsia="仿宋" w:cs="仿宋"/>
          <w:color w:val="auto"/>
          <w:szCs w:val="21"/>
          <w:highlight w:val="none"/>
        </w:rPr>
      </w:pPr>
      <w:r>
        <w:rPr>
          <w:rFonts w:hint="eastAsia" w:ascii="仿宋" w:hAnsi="仿宋" w:eastAsia="仿宋" w:cs="仿宋"/>
          <w:color w:val="auto"/>
          <w:szCs w:val="21"/>
          <w:highlight w:val="none"/>
        </w:rPr>
        <w:t>11.4 联合体各方应当共同与招标人签订采购合同，就采购合同约定的事项对招标人承担连带责任。</w:t>
      </w:r>
    </w:p>
    <w:p>
      <w:pPr>
        <w:shd w:val="clear" w:color="auto" w:fill="auto"/>
        <w:spacing w:line="440" w:lineRule="exact"/>
        <w:ind w:firstLine="470" w:firstLineChars="196"/>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12.招标代理费</w:t>
      </w:r>
    </w:p>
    <w:p>
      <w:pPr>
        <w:keepNext w:val="0"/>
        <w:keepLines w:val="0"/>
        <w:pageBreakBefore w:val="0"/>
        <w:shd w:val="clear" w:color="auto" w:fill="auto"/>
        <w:kinsoku/>
        <w:wordWrap/>
        <w:overflowPunct/>
        <w:topLinePunct w:val="0"/>
        <w:bidi w:val="0"/>
        <w:snapToGrid/>
        <w:spacing w:line="360" w:lineRule="auto"/>
        <w:ind w:firstLine="480"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12.1</w:t>
      </w:r>
      <w:r>
        <w:rPr>
          <w:rFonts w:hint="eastAsia" w:ascii="仿宋" w:hAnsi="仿宋" w:eastAsia="仿宋" w:cs="仿宋"/>
          <w:color w:val="auto"/>
          <w:szCs w:val="21"/>
          <w:highlight w:val="none"/>
          <w:lang w:val="en-US" w:eastAsia="zh-CN"/>
        </w:rPr>
        <w:t>中标单位在领取本项目中标通知书时，按照标准收费。</w:t>
      </w:r>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13.投标人应注意的事项</w:t>
      </w:r>
    </w:p>
    <w:p>
      <w:pPr>
        <w:shd w:val="clear" w:color="auto" w:fill="auto"/>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color w:val="auto"/>
          <w:szCs w:val="21"/>
          <w:highlight w:val="none"/>
        </w:rPr>
        <w:t>13.1投标人一旦按规定缴纳了投标保证金并参加投标，即被认为接受了本</w:t>
      </w:r>
      <w:r>
        <w:rPr>
          <w:rFonts w:hint="eastAsia" w:ascii="仿宋" w:hAnsi="仿宋" w:eastAsia="仿宋" w:cs="仿宋"/>
          <w:color w:val="auto"/>
          <w:szCs w:val="21"/>
          <w:highlight w:val="none"/>
          <w:lang w:eastAsia="zh-CN"/>
        </w:rPr>
        <w:t>采购</w:t>
      </w:r>
      <w:r>
        <w:rPr>
          <w:rFonts w:hint="eastAsia" w:ascii="仿宋" w:hAnsi="仿宋" w:eastAsia="仿宋" w:cs="仿宋"/>
          <w:color w:val="auto"/>
          <w:szCs w:val="21"/>
          <w:highlight w:val="none"/>
        </w:rPr>
        <w:t>文件中的所有条件和规定。投标人必须严格按</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的要求编制投标文件，投标文件宜编制页码和目录，以便评委审核。否则，由此产生的一切后果由投标人承担。</w:t>
      </w:r>
    </w:p>
    <w:p>
      <w:pPr>
        <w:shd w:val="clear" w:color="auto" w:fill="auto"/>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2</w:t>
      </w:r>
      <w:r>
        <w:rPr>
          <w:rFonts w:hint="eastAsia" w:ascii="仿宋" w:hAnsi="仿宋" w:eastAsia="仿宋" w:cs="仿宋"/>
          <w:bCs/>
          <w:color w:val="auto"/>
          <w:szCs w:val="21"/>
          <w:highlight w:val="none"/>
        </w:rPr>
        <w:t xml:space="preserve"> 投标人对采购内容中规定的技术参数、规格等要求必须完全响应或优于</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中的要求。</w:t>
      </w:r>
    </w:p>
    <w:p>
      <w:pPr>
        <w:shd w:val="clear" w:color="auto" w:fill="auto"/>
        <w:spacing w:line="440" w:lineRule="exact"/>
        <w:ind w:firstLine="470" w:firstLineChars="196"/>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所有投标人的投标保证金都应在</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规定的投标保证金缴纳截止日期前缴纳。</w:t>
      </w:r>
    </w:p>
    <w:p>
      <w:pPr>
        <w:shd w:val="clear" w:color="auto" w:fill="auto"/>
        <w:spacing w:line="440" w:lineRule="exact"/>
        <w:ind w:firstLine="470" w:firstLineChars="196"/>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4</w:t>
      </w:r>
      <w:r>
        <w:rPr>
          <w:rFonts w:hint="eastAsia" w:ascii="仿宋" w:hAnsi="仿宋" w:eastAsia="仿宋" w:cs="仿宋"/>
          <w:bCs/>
          <w:color w:val="auto"/>
          <w:szCs w:val="21"/>
          <w:highlight w:val="none"/>
        </w:rPr>
        <w:t>单位负责人为同一人或者存在直接控股、管理关系的不同供应商，不得参加同一合同项下的政府采购活动。</w:t>
      </w:r>
      <w:r>
        <w:rPr>
          <w:rFonts w:hint="eastAsia" w:ascii="仿宋" w:hAnsi="仿宋" w:eastAsia="仿宋" w:cs="仿宋"/>
          <w:color w:val="auto"/>
          <w:szCs w:val="21"/>
          <w:highlight w:val="none"/>
        </w:rPr>
        <w:t>为采购项目提供整体设计、规范编制或者项目管理、监理、检测等服务的供应商，不得再参加该采购项目的其他采购活动。</w:t>
      </w:r>
    </w:p>
    <w:p>
      <w:pPr>
        <w:shd w:val="clear" w:color="auto" w:fill="auto"/>
        <w:snapToGrid w:val="0"/>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5</w:t>
      </w:r>
      <w:r>
        <w:rPr>
          <w:rFonts w:hint="eastAsia" w:ascii="仿宋" w:hAnsi="仿宋" w:eastAsia="仿宋" w:cs="仿宋"/>
          <w:bCs/>
          <w:color w:val="auto"/>
          <w:szCs w:val="21"/>
          <w:highlight w:val="none"/>
        </w:rPr>
        <w:t>本项目只接受</w:t>
      </w:r>
      <w:r>
        <w:rPr>
          <w:rFonts w:hint="eastAsia" w:ascii="仿宋" w:hAnsi="仿宋" w:eastAsia="仿宋" w:cs="仿宋"/>
          <w:color w:val="auto"/>
          <w:szCs w:val="21"/>
          <w:highlight w:val="none"/>
        </w:rPr>
        <w:t>成为新疆维吾尔自治区政府采购网正式注册入库并完成CA数字证书申领供应商</w:t>
      </w:r>
      <w:r>
        <w:rPr>
          <w:rFonts w:hint="eastAsia" w:ascii="仿宋" w:hAnsi="仿宋" w:eastAsia="仿宋" w:cs="仿宋"/>
          <w:color w:val="auto"/>
          <w:szCs w:val="21"/>
          <w:highlight w:val="none"/>
          <w:lang w:eastAsia="zh-CN"/>
        </w:rPr>
        <w:t>参与投标</w:t>
      </w:r>
      <w:r>
        <w:rPr>
          <w:rFonts w:hint="eastAsia" w:ascii="仿宋" w:hAnsi="仿宋" w:eastAsia="仿宋" w:cs="仿宋"/>
          <w:color w:val="auto"/>
          <w:szCs w:val="21"/>
          <w:highlight w:val="none"/>
          <w:lang w:val="en-US" w:eastAsia="zh-CN"/>
        </w:rPr>
        <w:t>（已在政采云平台其他省份入驻的供应商无须重复注册）</w:t>
      </w:r>
      <w:r>
        <w:rPr>
          <w:rFonts w:hint="eastAsia" w:ascii="仿宋" w:hAnsi="仿宋" w:eastAsia="仿宋" w:cs="仿宋"/>
          <w:color w:val="auto"/>
          <w:szCs w:val="21"/>
          <w:highlight w:val="none"/>
        </w:rPr>
        <w:t>。因未注册入库、未办理CA数字证书等原因造成无法投标或投标失败等后果由供应商自行承担。</w:t>
      </w:r>
    </w:p>
    <w:p>
      <w:pPr>
        <w:shd w:val="clear" w:color="auto" w:fill="auto"/>
        <w:wordWrap w:val="0"/>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13.</w:t>
      </w:r>
      <w:r>
        <w:rPr>
          <w:rFonts w:hint="eastAsia" w:ascii="仿宋" w:hAnsi="仿宋" w:eastAsia="仿宋" w:cs="仿宋"/>
          <w:bCs/>
          <w:color w:val="auto"/>
          <w:szCs w:val="21"/>
          <w:highlight w:val="none"/>
          <w:lang w:val="en-US" w:eastAsia="zh-CN"/>
        </w:rPr>
        <w:t>6</w:t>
      </w:r>
      <w:r>
        <w:rPr>
          <w:rFonts w:hint="eastAsia" w:ascii="仿宋" w:hAnsi="仿宋" w:eastAsia="仿宋" w:cs="仿宋"/>
          <w:bCs/>
          <w:color w:val="auto"/>
          <w:szCs w:val="21"/>
          <w:highlight w:val="none"/>
        </w:rPr>
        <w:t xml:space="preserve"> 投标人被视为充分熟悉本招标项目所在地的与履行合同有关的各种情况，包括但不限于：</w:t>
      </w:r>
    </w:p>
    <w:p>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（1）国家对本次投标货物和服务的生产、安装调试、验收、维修等有关法律、法规及行业管理标准；</w:t>
      </w:r>
    </w:p>
    <w:p>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eastAsia="zh-CN"/>
        </w:rPr>
        <w:t>本地区</w:t>
      </w:r>
      <w:r>
        <w:rPr>
          <w:rFonts w:hint="eastAsia" w:ascii="仿宋" w:hAnsi="仿宋" w:eastAsia="仿宋" w:cs="仿宋"/>
          <w:bCs/>
          <w:color w:val="auto"/>
          <w:szCs w:val="21"/>
          <w:highlight w:val="none"/>
        </w:rPr>
        <w:t>有关管理部门的相关规定；</w:t>
      </w:r>
    </w:p>
    <w:p>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（3）招标人的相关场地情况、基础建设、</w:t>
      </w:r>
      <w:r>
        <w:rPr>
          <w:rFonts w:hint="eastAsia" w:ascii="仿宋" w:hAnsi="仿宋" w:eastAsia="仿宋" w:cs="仿宋"/>
          <w:bCs/>
          <w:color w:val="auto"/>
          <w:szCs w:val="21"/>
          <w:highlight w:val="none"/>
          <w:lang w:eastAsia="zh-CN"/>
        </w:rPr>
        <w:t>热</w:t>
      </w:r>
      <w:r>
        <w:rPr>
          <w:rFonts w:hint="eastAsia" w:ascii="仿宋" w:hAnsi="仿宋" w:eastAsia="仿宋" w:cs="仿宋"/>
          <w:bCs/>
          <w:color w:val="auto"/>
          <w:szCs w:val="21"/>
          <w:highlight w:val="none"/>
        </w:rPr>
        <w:t>力供应情况及相关设计标准。</w:t>
      </w:r>
    </w:p>
    <w:p>
      <w:pPr>
        <w:shd w:val="clear" w:color="auto" w:fill="auto"/>
        <w:spacing w:line="400" w:lineRule="exact"/>
        <w:ind w:firstLine="360" w:firstLineChars="15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本</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不再对上述情况进行描述。</w:t>
      </w:r>
    </w:p>
    <w:p>
      <w:pPr>
        <w:shd w:val="clear" w:color="auto" w:fill="auto"/>
        <w:spacing w:before="312" w:beforeLines="100" w:after="312" w:afterLines="100" w:line="440" w:lineRule="exact"/>
        <w:jc w:val="center"/>
        <w:outlineLvl w:val="2"/>
        <w:rPr>
          <w:rFonts w:hint="eastAsia" w:ascii="仿宋" w:hAnsi="仿宋" w:eastAsia="仿宋" w:cs="仿宋"/>
          <w:b/>
          <w:color w:val="auto"/>
          <w:sz w:val="28"/>
          <w:szCs w:val="28"/>
          <w:highlight w:val="none"/>
          <w:lang w:eastAsia="zh-CN"/>
        </w:rPr>
      </w:pPr>
      <w:bookmarkStart w:id="15" w:name="_Toc469495725"/>
      <w:r>
        <w:rPr>
          <w:rFonts w:hint="eastAsia" w:ascii="仿宋" w:hAnsi="仿宋" w:eastAsia="仿宋" w:cs="仿宋"/>
          <w:b/>
          <w:color w:val="auto"/>
          <w:sz w:val="28"/>
          <w:szCs w:val="28"/>
          <w:highlight w:val="none"/>
        </w:rPr>
        <w:t>（二）</w:t>
      </w:r>
      <w:bookmarkEnd w:id="15"/>
      <w:r>
        <w:rPr>
          <w:rFonts w:hint="eastAsia" w:ascii="仿宋" w:hAnsi="仿宋" w:eastAsia="仿宋" w:cs="仿宋"/>
          <w:b/>
          <w:color w:val="auto"/>
          <w:sz w:val="28"/>
          <w:szCs w:val="28"/>
          <w:highlight w:val="none"/>
          <w:lang w:eastAsia="zh-CN"/>
        </w:rPr>
        <w:t>招标文件</w:t>
      </w:r>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15.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的编制依据</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根据《中华人民共和国政府采购法》、《政府采购货物和服务招标投标管理办法》和《</w:t>
      </w:r>
      <w:r>
        <w:rPr>
          <w:rFonts w:hint="eastAsia" w:ascii="仿宋" w:hAnsi="仿宋" w:eastAsia="仿宋" w:cs="仿宋"/>
          <w:color w:val="auto"/>
          <w:szCs w:val="21"/>
          <w:highlight w:val="none"/>
          <w:lang w:eastAsia="zh-CN"/>
        </w:rPr>
        <w:t>民法典</w:t>
      </w:r>
      <w:r>
        <w:rPr>
          <w:rFonts w:hint="eastAsia" w:ascii="仿宋" w:hAnsi="仿宋" w:eastAsia="仿宋" w:cs="仿宋"/>
          <w:color w:val="auto"/>
          <w:szCs w:val="21"/>
          <w:highlight w:val="none"/>
        </w:rPr>
        <w:t>》</w:t>
      </w:r>
      <w:r>
        <w:rPr>
          <w:rFonts w:hint="eastAsia" w:ascii="仿宋" w:hAnsi="仿宋" w:eastAsia="仿宋" w:cs="仿宋"/>
          <w:color w:val="auto"/>
          <w:spacing w:val="-2"/>
          <w:szCs w:val="21"/>
          <w:highlight w:val="none"/>
        </w:rPr>
        <w:t>等相关法律法规和规章及部、省、市级规范性文件的规定，编制本</w:t>
      </w:r>
      <w:r>
        <w:rPr>
          <w:rFonts w:hint="eastAsia" w:ascii="仿宋" w:hAnsi="仿宋" w:eastAsia="仿宋" w:cs="仿宋"/>
          <w:color w:val="auto"/>
          <w:spacing w:val="-2"/>
          <w:szCs w:val="21"/>
          <w:highlight w:val="none"/>
          <w:lang w:eastAsia="zh-CN"/>
        </w:rPr>
        <w:t>采购文件</w:t>
      </w:r>
      <w:r>
        <w:rPr>
          <w:rFonts w:hint="eastAsia" w:ascii="仿宋" w:hAnsi="仿宋" w:eastAsia="仿宋" w:cs="仿宋"/>
          <w:color w:val="auto"/>
          <w:spacing w:val="-2"/>
          <w:szCs w:val="21"/>
          <w:highlight w:val="none"/>
        </w:rPr>
        <w:t>。</w:t>
      </w:r>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16.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的组成</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16.1 </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包括内容：</w:t>
      </w:r>
    </w:p>
    <w:p>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第一章  </w:t>
      </w:r>
      <w:r>
        <w:rPr>
          <w:rFonts w:hint="eastAsia" w:ascii="仿宋" w:hAnsi="仿宋" w:eastAsia="仿宋" w:cs="仿宋"/>
          <w:color w:val="auto"/>
          <w:szCs w:val="21"/>
          <w:highlight w:val="none"/>
          <w:lang w:eastAsia="zh-CN"/>
        </w:rPr>
        <w:t>招</w:t>
      </w:r>
      <w:r>
        <w:rPr>
          <w:rFonts w:hint="eastAsia" w:ascii="仿宋" w:hAnsi="仿宋" w:eastAsia="仿宋" w:cs="仿宋"/>
          <w:color w:val="auto"/>
          <w:szCs w:val="21"/>
          <w:highlight w:val="none"/>
        </w:rPr>
        <w:t>标公告</w:t>
      </w:r>
    </w:p>
    <w:p>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第二章  投标须知</w:t>
      </w:r>
    </w:p>
    <w:p>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第三章  评标办法</w:t>
      </w:r>
    </w:p>
    <w:p>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第四章  采购内容及技术要求</w:t>
      </w:r>
    </w:p>
    <w:p>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第五章  合同条款及格式</w:t>
      </w:r>
    </w:p>
    <w:p>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第六章  投标文件格式文本</w:t>
      </w:r>
    </w:p>
    <w:p>
      <w:pPr>
        <w:shd w:val="clear" w:color="auto" w:fill="auto"/>
        <w:spacing w:line="440" w:lineRule="exact"/>
        <w:ind w:firstLine="1680" w:firstLineChars="7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第七章  招标单位、招标代理机构对本文件的确认</w:t>
      </w:r>
    </w:p>
    <w:p>
      <w:pPr>
        <w:shd w:val="clear" w:color="auto" w:fill="auto"/>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16.2 除16.1内容外，招标答疑亦为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的组成部分，对招标人和投标人起约束作用。</w:t>
      </w:r>
    </w:p>
    <w:p>
      <w:pPr>
        <w:pStyle w:val="11"/>
        <w:shd w:val="clear" w:color="auto" w:fill="auto"/>
        <w:wordWrap w:val="0"/>
        <w:spacing w:line="400" w:lineRule="exact"/>
        <w:rPr>
          <w:rFonts w:hint="eastAsia" w:ascii="仿宋" w:hAnsi="仿宋" w:eastAsia="仿宋" w:cs="仿宋"/>
          <w:color w:val="auto"/>
          <w:szCs w:val="21"/>
          <w:highlight w:val="none"/>
          <w:lang w:val="en-US"/>
        </w:rPr>
      </w:pPr>
      <w:r>
        <w:rPr>
          <w:rFonts w:hint="eastAsia" w:ascii="仿宋" w:hAnsi="仿宋" w:eastAsia="仿宋" w:cs="仿宋"/>
          <w:color w:val="auto"/>
          <w:szCs w:val="21"/>
          <w:highlight w:val="none"/>
        </w:rPr>
        <w:t xml:space="preserve">   16.3</w:t>
      </w:r>
      <w:r>
        <w:rPr>
          <w:rFonts w:hint="eastAsia" w:ascii="仿宋" w:hAnsi="仿宋" w:eastAsia="仿宋" w:cs="仿宋"/>
          <w:color w:val="auto"/>
          <w:szCs w:val="21"/>
          <w:highlight w:val="none"/>
          <w:u w:val="none" w:color="auto"/>
        </w:rPr>
        <w:t>投标人应仔细阅读和检查</w:t>
      </w:r>
      <w:r>
        <w:rPr>
          <w:rFonts w:hint="eastAsia" w:ascii="仿宋" w:hAnsi="仿宋" w:eastAsia="仿宋" w:cs="仿宋"/>
          <w:color w:val="auto"/>
          <w:szCs w:val="21"/>
          <w:highlight w:val="none"/>
          <w:u w:val="none" w:color="auto"/>
          <w:lang w:eastAsia="zh-CN"/>
        </w:rPr>
        <w:t>采购文件</w:t>
      </w:r>
      <w:r>
        <w:rPr>
          <w:rFonts w:hint="eastAsia" w:ascii="仿宋" w:hAnsi="仿宋" w:eastAsia="仿宋" w:cs="仿宋"/>
          <w:color w:val="auto"/>
          <w:szCs w:val="21"/>
          <w:highlight w:val="none"/>
          <w:u w:val="none" w:color="auto"/>
        </w:rPr>
        <w:t>的全部内容。如发现缺页或附件不全，应及时向招标人提出，以便补齐。如有疑问，投标人应在</w:t>
      </w:r>
      <w:r>
        <w:rPr>
          <w:rFonts w:hint="eastAsia" w:ascii="仿宋" w:hAnsi="仿宋" w:eastAsia="仿宋" w:cs="仿宋"/>
          <w:color w:val="auto"/>
          <w:szCs w:val="21"/>
          <w:highlight w:val="none"/>
        </w:rPr>
        <w:t>以书面形式一次性向采购人和采购代理机构提出同一环节的质疑</w:t>
      </w:r>
      <w:r>
        <w:rPr>
          <w:rFonts w:hint="eastAsia" w:ascii="仿宋" w:hAnsi="仿宋" w:eastAsia="仿宋" w:cs="仿宋"/>
          <w:color w:val="auto"/>
          <w:szCs w:val="21"/>
          <w:highlight w:val="none"/>
          <w:u w:val="none" w:color="auto"/>
        </w:rPr>
        <w:t>。</w:t>
      </w:r>
    </w:p>
    <w:p>
      <w:pPr>
        <w:shd w:val="clear" w:color="auto" w:fill="auto"/>
        <w:wordWrap w:val="0"/>
        <w:spacing w:line="44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16.4供应商认为采购文件使自己的权益受到损害的，可以自收到采购文件之日（采购文件公告期限届满之前收到采购文件的，以完成获取采购文件申请后下载采购文件的时间为准）或者采购文件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政府采购网下载专区下载。</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的澄清将在</w:t>
      </w:r>
      <w:r>
        <w:rPr>
          <w:rFonts w:hint="eastAsia" w:ascii="仿宋" w:hAnsi="仿宋" w:eastAsia="仿宋" w:cs="仿宋"/>
          <w:color w:val="auto"/>
          <w:szCs w:val="21"/>
          <w:highlight w:val="none"/>
          <w:lang w:eastAsia="zh-CN"/>
        </w:rPr>
        <w:t>政采云平台“更正公告”栏目予以公告</w:t>
      </w:r>
      <w:r>
        <w:rPr>
          <w:rFonts w:hint="eastAsia" w:ascii="仿宋" w:hAnsi="仿宋" w:eastAsia="仿宋" w:cs="仿宋"/>
          <w:color w:val="auto"/>
          <w:szCs w:val="21"/>
          <w:highlight w:val="none"/>
        </w:rPr>
        <w:t>，但不指明澄清问题的来源。如果澄清内容影响投标文件编制的，将相应延长投标截止时间。</w:t>
      </w:r>
    </w:p>
    <w:p>
      <w:pPr>
        <w:shd w:val="clear" w:color="auto" w:fill="auto"/>
        <w:spacing w:line="440" w:lineRule="exact"/>
        <w:ind w:firstLine="480"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 xml:space="preserve">17. </w:t>
      </w:r>
      <w:r>
        <w:rPr>
          <w:rFonts w:hint="eastAsia" w:ascii="仿宋" w:hAnsi="仿宋" w:eastAsia="仿宋" w:cs="仿宋"/>
          <w:b/>
          <w:bCs/>
          <w:color w:val="auto"/>
          <w:szCs w:val="21"/>
          <w:highlight w:val="none"/>
          <w:lang w:eastAsia="zh-CN"/>
        </w:rPr>
        <w:t>采购文件</w:t>
      </w:r>
      <w:r>
        <w:rPr>
          <w:rFonts w:hint="eastAsia" w:ascii="仿宋" w:hAnsi="仿宋" w:eastAsia="仿宋" w:cs="仿宋"/>
          <w:b/>
          <w:bCs/>
          <w:color w:val="auto"/>
          <w:szCs w:val="21"/>
          <w:highlight w:val="none"/>
        </w:rPr>
        <w:t>的修改、补充、解释</w:t>
      </w:r>
    </w:p>
    <w:p>
      <w:pPr>
        <w:shd w:val="clear" w:color="auto" w:fill="auto"/>
        <w:wordWrap w:val="0"/>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17.1</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发出后，招标人在规定的投标截止时间前可对</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进行必要的修改和补充，并以</w:t>
      </w:r>
      <w:r>
        <w:rPr>
          <w:rFonts w:hint="eastAsia" w:ascii="仿宋" w:hAnsi="仿宋" w:eastAsia="仿宋" w:cs="仿宋"/>
          <w:color w:val="auto"/>
          <w:szCs w:val="21"/>
          <w:highlight w:val="none"/>
          <w:lang w:eastAsia="zh-CN"/>
        </w:rPr>
        <w:t>更正</w:t>
      </w:r>
      <w:r>
        <w:rPr>
          <w:rFonts w:hint="eastAsia" w:ascii="仿宋" w:hAnsi="仿宋" w:eastAsia="仿宋" w:cs="仿宋"/>
          <w:color w:val="auto"/>
          <w:szCs w:val="21"/>
          <w:highlight w:val="none"/>
        </w:rPr>
        <w:t>公告形式在</w:t>
      </w:r>
      <w:r>
        <w:rPr>
          <w:rFonts w:hint="eastAsia" w:ascii="仿宋" w:hAnsi="仿宋" w:eastAsia="仿宋" w:cs="仿宋"/>
          <w:color w:val="auto"/>
          <w:szCs w:val="21"/>
          <w:highlight w:val="none"/>
          <w:lang w:eastAsia="zh-CN"/>
        </w:rPr>
        <w:t>政采云平台</w:t>
      </w: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eastAsia="zh-CN"/>
        </w:rPr>
        <w:t>更正公告</w:t>
      </w:r>
      <w:r>
        <w:rPr>
          <w:rFonts w:hint="eastAsia" w:ascii="仿宋" w:hAnsi="仿宋" w:eastAsia="仿宋" w:cs="仿宋"/>
          <w:color w:val="auto"/>
          <w:szCs w:val="21"/>
          <w:highlight w:val="none"/>
        </w:rPr>
        <w:t>”栏目予以公告，请各位投标人注意查看有关澄清内容，如不及时查看造成后果由投标人自负。</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的修改、补充等内容作为</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的组成部分，具有约束作用。</w:t>
      </w:r>
    </w:p>
    <w:p>
      <w:pPr>
        <w:shd w:val="clear" w:color="auto" w:fill="auto"/>
        <w:wordWrap w:val="0"/>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17.2 采购代理机构可视采购具体情况对已发出的采购文件进行必要的澄清、修改或者补充。澄清、修改或者补充的内容可能影响投标文件编制的，应当在投标截止时间至少15日前，在原公告发布媒体上发布澄清公告，澄清或者修改的内容为采购文件的组成部分；不足15日的，应当顺延提交投标文件的截止时间。 </w:t>
      </w:r>
    </w:p>
    <w:p>
      <w:pPr>
        <w:shd w:val="clear" w:color="auto" w:fill="auto"/>
        <w:wordWrap w:val="0"/>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17.</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 xml:space="preserve"> </w:t>
      </w:r>
      <w:r>
        <w:rPr>
          <w:rFonts w:hint="eastAsia" w:ascii="仿宋" w:hAnsi="仿宋" w:eastAsia="仿宋" w:cs="仿宋"/>
          <w:color w:val="auto"/>
          <w:szCs w:val="21"/>
          <w:highlight w:val="none"/>
        </w:rPr>
        <w:t>供应商在规定的时间内未对采购文件提出疑问、质疑或要求澄清的，将视其为无异议。</w:t>
      </w:r>
    </w:p>
    <w:p>
      <w:pPr>
        <w:shd w:val="clear" w:color="auto" w:fill="auto"/>
        <w:spacing w:line="40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17.</w:t>
      </w:r>
      <w:r>
        <w:rPr>
          <w:rFonts w:hint="eastAsia" w:ascii="仿宋" w:hAnsi="仿宋" w:eastAsia="仿宋" w:cs="仿宋"/>
          <w:bCs/>
          <w:color w:val="auto"/>
          <w:szCs w:val="21"/>
          <w:highlight w:val="none"/>
          <w:lang w:val="en-US" w:eastAsia="zh-CN"/>
        </w:rPr>
        <w:t>4</w:t>
      </w:r>
      <w:r>
        <w:rPr>
          <w:rFonts w:hint="eastAsia" w:ascii="仿宋" w:hAnsi="仿宋" w:eastAsia="仿宋" w:cs="仿宋"/>
          <w:bCs/>
          <w:color w:val="auto"/>
          <w:szCs w:val="21"/>
          <w:highlight w:val="none"/>
        </w:rPr>
        <w:t xml:space="preserve"> </w:t>
      </w:r>
      <w:r>
        <w:rPr>
          <w:rFonts w:hint="eastAsia" w:ascii="仿宋" w:hAnsi="仿宋" w:eastAsia="仿宋" w:cs="仿宋"/>
          <w:bCs/>
          <w:color w:val="auto"/>
          <w:szCs w:val="21"/>
          <w:highlight w:val="none"/>
          <w:lang w:eastAsia="zh-CN"/>
        </w:rPr>
        <w:t>采购文件</w:t>
      </w:r>
      <w:r>
        <w:rPr>
          <w:rFonts w:hint="eastAsia" w:ascii="仿宋" w:hAnsi="仿宋" w:eastAsia="仿宋" w:cs="仿宋"/>
          <w:bCs/>
          <w:color w:val="auto"/>
          <w:szCs w:val="21"/>
          <w:highlight w:val="none"/>
        </w:rPr>
        <w:t>的解释</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由招标人（或其委托的招标代理机构）负责解释。</w:t>
      </w:r>
    </w:p>
    <w:p>
      <w:pPr>
        <w:shd w:val="clear" w:color="auto" w:fill="auto"/>
        <w:spacing w:line="400" w:lineRule="exac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   18. </w:t>
      </w:r>
      <w:r>
        <w:rPr>
          <w:rFonts w:hint="eastAsia" w:ascii="仿宋" w:hAnsi="仿宋" w:eastAsia="仿宋" w:cs="仿宋"/>
          <w:b/>
          <w:color w:val="auto"/>
          <w:szCs w:val="21"/>
          <w:highlight w:val="none"/>
          <w:lang w:eastAsia="zh-CN"/>
        </w:rPr>
        <w:t>采购文件</w:t>
      </w:r>
      <w:r>
        <w:rPr>
          <w:rFonts w:hint="eastAsia" w:ascii="仿宋" w:hAnsi="仿宋" w:eastAsia="仿宋" w:cs="仿宋"/>
          <w:b/>
          <w:color w:val="auto"/>
          <w:szCs w:val="21"/>
          <w:highlight w:val="none"/>
        </w:rPr>
        <w:t>的发出</w:t>
      </w:r>
    </w:p>
    <w:p>
      <w:pPr>
        <w:shd w:val="clear" w:color="auto" w:fill="auto"/>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18.1  </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的澄清、修改、补充及招标答疑等均应报</w:t>
      </w:r>
      <w:r>
        <w:rPr>
          <w:rFonts w:hint="eastAsia" w:ascii="仿宋" w:hAnsi="仿宋" w:eastAsia="仿宋" w:cs="仿宋"/>
          <w:color w:val="auto"/>
          <w:szCs w:val="21"/>
          <w:highlight w:val="none"/>
          <w:lang w:eastAsia="zh-CN"/>
        </w:rPr>
        <w:t>相关部门</w:t>
      </w:r>
      <w:r>
        <w:rPr>
          <w:rFonts w:hint="eastAsia" w:ascii="仿宋" w:hAnsi="仿宋" w:eastAsia="仿宋" w:cs="仿宋"/>
          <w:color w:val="auto"/>
          <w:szCs w:val="21"/>
          <w:highlight w:val="none"/>
        </w:rPr>
        <w:t>备案后，方可发出。</w:t>
      </w:r>
    </w:p>
    <w:p>
      <w:pPr>
        <w:shd w:val="clear" w:color="auto" w:fill="auto"/>
        <w:spacing w:line="400" w:lineRule="exact"/>
        <w:ind w:firstLine="420"/>
        <w:rPr>
          <w:rFonts w:hint="eastAsia" w:ascii="仿宋" w:hAnsi="仿宋" w:eastAsia="仿宋" w:cs="仿宋"/>
          <w:color w:val="auto"/>
          <w:szCs w:val="21"/>
          <w:highlight w:val="none"/>
        </w:rPr>
      </w:pPr>
      <w:bookmarkStart w:id="16" w:name="_Toc469495726"/>
    </w:p>
    <w:p>
      <w:pPr>
        <w:shd w:val="clear" w:color="auto" w:fill="auto"/>
        <w:spacing w:before="312" w:beforeLines="100" w:after="312" w:afterLines="100" w:line="440" w:lineRule="exact"/>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（三）投标文件的编制</w:t>
      </w:r>
      <w:bookmarkEnd w:id="16"/>
    </w:p>
    <w:p>
      <w:pPr>
        <w:shd w:val="clear" w:color="auto" w:fill="auto"/>
        <w:spacing w:line="440" w:lineRule="exact"/>
        <w:ind w:firstLine="348" w:firstLineChars="145"/>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20. 投标的语言及度量衡单位</w:t>
      </w:r>
    </w:p>
    <w:p>
      <w:pPr>
        <w:shd w:val="clear" w:color="auto" w:fill="auto"/>
        <w:spacing w:line="440" w:lineRule="exact"/>
        <w:ind w:firstLine="324" w:firstLineChars="135"/>
        <w:rPr>
          <w:rFonts w:hint="eastAsia" w:ascii="仿宋" w:hAnsi="仿宋" w:eastAsia="仿宋" w:cs="仿宋"/>
          <w:color w:val="auto"/>
          <w:szCs w:val="21"/>
          <w:highlight w:val="none"/>
        </w:rPr>
      </w:pPr>
      <w:r>
        <w:rPr>
          <w:rFonts w:hint="eastAsia" w:ascii="仿宋" w:hAnsi="仿宋" w:eastAsia="仿宋" w:cs="仿宋"/>
          <w:color w:val="auto"/>
          <w:szCs w:val="21"/>
          <w:highlight w:val="none"/>
        </w:rPr>
        <w:t>20.1投标人提交的投标文件、技术文件和资料，以及投标人与招标人就有关投标的所有来往函电均应使用中文。投标文件中若有英文或其他语言文字的资料，应提供相应的中文翻译资料。对不同文本投标文件的解释发生异议的，以中文文本为准。</w:t>
      </w:r>
    </w:p>
    <w:p>
      <w:pPr>
        <w:shd w:val="clear" w:color="auto" w:fill="auto"/>
        <w:spacing w:line="440" w:lineRule="exact"/>
        <w:ind w:firstLine="324" w:firstLineChars="135"/>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20.2除</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中另有规定外，投标书所使用的度量衡均须采用法定计量单位。</w:t>
      </w:r>
    </w:p>
    <w:p>
      <w:pPr>
        <w:shd w:val="clear" w:color="auto" w:fill="auto"/>
        <w:spacing w:line="400" w:lineRule="exact"/>
        <w:ind w:firstLine="235" w:firstLineChars="98"/>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21. 投标文件的组成</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资格证明文件和商务及技术文件两部分。</w:t>
      </w:r>
    </w:p>
    <w:p>
      <w:pPr>
        <w:shd w:val="clear" w:color="auto" w:fill="auto"/>
        <w:spacing w:line="440" w:lineRule="exact"/>
        <w:ind w:firstLine="352" w:firstLineChars="147"/>
        <w:rPr>
          <w:rFonts w:hint="eastAsia" w:ascii="仿宋" w:hAnsi="仿宋" w:eastAsia="仿宋" w:cs="仿宋"/>
          <w:b/>
          <w:color w:val="auto"/>
          <w:szCs w:val="21"/>
          <w:highlight w:val="none"/>
          <w:lang w:eastAsia="zh-CN"/>
        </w:rPr>
      </w:pPr>
      <w:r>
        <w:rPr>
          <w:rFonts w:hint="eastAsia" w:ascii="仿宋" w:hAnsi="仿宋" w:eastAsia="仿宋" w:cs="仿宋"/>
          <w:b/>
          <w:color w:val="auto"/>
          <w:szCs w:val="21"/>
          <w:highlight w:val="none"/>
        </w:rPr>
        <w:t>21.1资格证明文件</w:t>
      </w:r>
      <w:r>
        <w:rPr>
          <w:rFonts w:hint="eastAsia" w:ascii="仿宋" w:hAnsi="仿宋" w:eastAsia="仿宋" w:cs="仿宋"/>
          <w:b/>
          <w:color w:val="auto"/>
          <w:szCs w:val="21"/>
          <w:highlight w:val="none"/>
          <w:lang w:eastAsia="zh-CN"/>
        </w:rPr>
        <w:t>（包括但不限于）</w:t>
      </w:r>
    </w:p>
    <w:p>
      <w:pPr>
        <w:shd w:val="clear" w:color="auto" w:fill="auto"/>
        <w:spacing w:line="440" w:lineRule="exact"/>
        <w:ind w:firstLine="352" w:firstLineChars="147"/>
        <w:rPr>
          <w:rFonts w:hint="eastAsia" w:ascii="仿宋" w:hAnsi="仿宋" w:eastAsia="仿宋" w:cs="仿宋"/>
          <w:color w:val="auto"/>
          <w:lang w:val="en-US" w:eastAsia="zh-CN"/>
        </w:rPr>
      </w:pPr>
      <w:r>
        <w:rPr>
          <w:rFonts w:hint="eastAsia" w:ascii="仿宋" w:hAnsi="仿宋" w:eastAsia="仿宋" w:cs="仿宋"/>
          <w:color w:val="auto"/>
          <w:szCs w:val="21"/>
          <w:highlight w:val="none"/>
        </w:rPr>
        <w:t>资格证明</w:t>
      </w:r>
      <w:r>
        <w:rPr>
          <w:rFonts w:hint="eastAsia" w:ascii="仿宋" w:hAnsi="仿宋" w:eastAsia="仿宋" w:cs="仿宋"/>
          <w:color w:val="auto"/>
          <w:szCs w:val="21"/>
          <w:highlight w:val="none"/>
          <w:lang w:eastAsia="zh-CN"/>
        </w:rPr>
        <w:t>文件</w:t>
      </w:r>
      <w:r>
        <w:rPr>
          <w:rFonts w:hint="eastAsia" w:ascii="仿宋" w:hAnsi="仿宋" w:eastAsia="仿宋" w:cs="仿宋"/>
          <w:color w:val="auto"/>
          <w:szCs w:val="21"/>
          <w:highlight w:val="none"/>
        </w:rPr>
        <w:t>是证明投标人有资格参加投标和中标后有能力履行合同的文件，这些文件应能满足招标的要求，否则作无效投标处理。</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（1）具有有效的三证合一营业执照；</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（2）具有授权委托书及被委托人身份证（法人提供法人证明书及法人身份证）；</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（3）投标企业须提供投标人（被授权人）近6个月内任意一个月的社保证明（新公司根据实际情况提供）；</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4）投标企业需提供参加本次采购活动前三年内未被“信用中国”（www.creditchina.gov.cn）、中国政府采购网（www.ccgp.gov.cn）列入失信被执行人、重大税收违法案件当事人名单、政府采购严重违法失信行为记录名单；</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（5）投标单位（供应商）针对本次采购项目《反商业贿赂承诺书》，《采购活动前三年内无重大违规记录承诺书》的书面声明。</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firstLine="480" w:firstLineChars="200"/>
        <w:jc w:val="left"/>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（6）本项目不接受联合体投标</w:t>
      </w:r>
    </w:p>
    <w:p>
      <w:pPr>
        <w:shd w:val="clear" w:color="auto" w:fill="auto"/>
        <w:spacing w:line="440" w:lineRule="exact"/>
        <w:ind w:firstLine="592" w:firstLineChars="247"/>
        <w:rPr>
          <w:rFonts w:hint="eastAsia" w:ascii="仿宋" w:hAnsi="仿宋" w:eastAsia="仿宋" w:cs="仿宋"/>
          <w:b w:val="0"/>
          <w:bCs w:val="0"/>
          <w:color w:val="auto"/>
          <w:spacing w:val="0"/>
          <w:w w:val="100"/>
          <w:position w:val="0"/>
          <w:sz w:val="24"/>
          <w:szCs w:val="21"/>
          <w:highlight w:val="none"/>
          <w:shd w:val="clear" w:color="auto" w:fill="auto"/>
          <w:lang w:val="en-US" w:eastAsia="zh-CN" w:bidi="en-US"/>
        </w:rPr>
      </w:pPr>
      <w:r>
        <w:rPr>
          <w:rFonts w:hint="eastAsia" w:ascii="仿宋" w:hAnsi="仿宋" w:eastAsia="仿宋" w:cs="仿宋"/>
          <w:b w:val="0"/>
          <w:bCs w:val="0"/>
          <w:color w:val="auto"/>
          <w:spacing w:val="0"/>
          <w:w w:val="100"/>
          <w:position w:val="0"/>
          <w:sz w:val="24"/>
          <w:szCs w:val="21"/>
          <w:highlight w:val="none"/>
          <w:shd w:val="clear" w:color="auto" w:fill="auto"/>
          <w:lang w:val="en-US" w:eastAsia="zh-CN" w:bidi="en-US"/>
        </w:rPr>
        <w:t>(7)保证金转账凭证或保函</w:t>
      </w:r>
    </w:p>
    <w:p>
      <w:pPr>
        <w:shd w:val="clear" w:color="auto" w:fill="auto"/>
        <w:spacing w:line="440" w:lineRule="exact"/>
        <w:ind w:firstLine="592" w:firstLineChars="247"/>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(8）投标人须知资料表要求的其他资格证明文件;</w:t>
      </w:r>
    </w:p>
    <w:p>
      <w:pPr>
        <w:shd w:val="clear" w:color="auto" w:fill="auto"/>
        <w:spacing w:line="440" w:lineRule="exact"/>
        <w:ind w:firstLine="352" w:firstLineChars="147"/>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21.2</w:t>
      </w:r>
      <w:r>
        <w:rPr>
          <w:rFonts w:hint="eastAsia" w:ascii="仿宋" w:hAnsi="仿宋" w:eastAsia="仿宋" w:cs="仿宋"/>
          <w:b/>
          <w:color w:val="auto"/>
          <w:szCs w:val="21"/>
          <w:highlight w:val="none"/>
          <w:lang w:val="en-US" w:eastAsia="zh-CN"/>
        </w:rPr>
        <w:t xml:space="preserve"> 商务及技术文件</w:t>
      </w:r>
      <w:r>
        <w:rPr>
          <w:rFonts w:hint="eastAsia" w:ascii="仿宋" w:hAnsi="仿宋" w:eastAsia="仿宋" w:cs="仿宋"/>
          <w:b/>
          <w:color w:val="auto"/>
          <w:szCs w:val="21"/>
          <w:highlight w:val="none"/>
          <w:lang w:eastAsia="zh-CN"/>
        </w:rPr>
        <w:t>（包括但不限于）</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1、投标函</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2、开标一览表</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3、货物说明一览表</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4、投标分项报价表</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5、技术规格偏离表</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6、商务条款偏离表</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7、投标人基本情况表</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8、类似项目业绩表</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9、中小企业声明函(货物)（不符合小微企业无需提供）</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10、《残疾人福利性单位声明函》（不符合小微企业无需提供）</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11、评分标准和细则中技术部分证明材料</w:t>
      </w:r>
    </w:p>
    <w:p>
      <w:pPr>
        <w:shd w:val="clear" w:color="auto" w:fill="auto"/>
        <w:spacing w:line="400" w:lineRule="exact"/>
        <w:ind w:firstLine="477" w:firstLineChars="199"/>
        <w:rPr>
          <w:rFonts w:hint="eastAsia" w:ascii="仿宋" w:hAnsi="仿宋" w:eastAsia="仿宋" w:cs="仿宋"/>
          <w:b w:val="0"/>
          <w:bCs/>
          <w:color w:val="auto"/>
          <w:kern w:val="0"/>
          <w:szCs w:val="21"/>
          <w:highlight w:val="none"/>
          <w:u w:val="single"/>
        </w:rPr>
      </w:pPr>
      <w:r>
        <w:rPr>
          <w:rFonts w:hint="eastAsia" w:ascii="仿宋" w:hAnsi="仿宋" w:eastAsia="仿宋" w:cs="仿宋"/>
          <w:b w:val="0"/>
          <w:bCs/>
          <w:color w:val="auto"/>
          <w:kern w:val="0"/>
          <w:szCs w:val="21"/>
          <w:highlight w:val="none"/>
          <w:u w:val="single"/>
        </w:rPr>
        <w:t>12、评分标准和细则中技术部分证明材料（格式自拟）</w:t>
      </w:r>
    </w:p>
    <w:p>
      <w:pPr>
        <w:shd w:val="clear" w:color="auto" w:fill="auto"/>
        <w:spacing w:line="400" w:lineRule="exact"/>
        <w:ind w:firstLine="477" w:firstLineChars="199"/>
        <w:rPr>
          <w:rFonts w:hint="eastAsia" w:ascii="仿宋" w:hAnsi="仿宋" w:eastAsia="仿宋" w:cs="仿宋"/>
          <w:b/>
          <w:color w:val="auto"/>
          <w:kern w:val="0"/>
          <w:szCs w:val="21"/>
          <w:highlight w:val="none"/>
          <w:u w:val="single"/>
        </w:rPr>
      </w:pPr>
      <w:r>
        <w:rPr>
          <w:rFonts w:hint="eastAsia" w:ascii="仿宋" w:hAnsi="仿宋" w:eastAsia="仿宋" w:cs="仿宋"/>
          <w:b w:val="0"/>
          <w:bCs/>
          <w:color w:val="auto"/>
          <w:kern w:val="0"/>
          <w:szCs w:val="21"/>
          <w:highlight w:val="none"/>
          <w:u w:val="single"/>
        </w:rPr>
        <w:t>13、投标人认为有必要提供的其他证明材料（格式自拟）</w:t>
      </w:r>
    </w:p>
    <w:p>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b/>
          <w:color w:val="auto"/>
          <w:kern w:val="0"/>
          <w:szCs w:val="21"/>
          <w:highlight w:val="none"/>
          <w:u w:val="single"/>
        </w:rPr>
        <w:t>注：以上材料须</w:t>
      </w:r>
      <w:r>
        <w:rPr>
          <w:rFonts w:hint="eastAsia" w:ascii="仿宋" w:hAnsi="仿宋" w:eastAsia="仿宋" w:cs="仿宋"/>
          <w:b/>
          <w:color w:val="auto"/>
          <w:kern w:val="0"/>
          <w:szCs w:val="21"/>
          <w:highlight w:val="none"/>
          <w:u w:val="single"/>
          <w:lang w:eastAsia="zh-CN"/>
        </w:rPr>
        <w:t>逐页</w:t>
      </w:r>
      <w:r>
        <w:rPr>
          <w:rFonts w:hint="eastAsia" w:ascii="仿宋" w:hAnsi="仿宋" w:eastAsia="仿宋" w:cs="仿宋"/>
          <w:b/>
          <w:color w:val="auto"/>
          <w:kern w:val="0"/>
          <w:szCs w:val="21"/>
          <w:highlight w:val="none"/>
          <w:u w:val="single"/>
        </w:rPr>
        <w:t>加盖单位公章</w:t>
      </w:r>
      <w:r>
        <w:rPr>
          <w:rFonts w:hint="eastAsia" w:ascii="仿宋" w:hAnsi="仿宋" w:eastAsia="仿宋" w:cs="仿宋"/>
          <w:b/>
          <w:color w:val="auto"/>
          <w:kern w:val="0"/>
          <w:szCs w:val="21"/>
          <w:highlight w:val="none"/>
          <w:u w:val="single"/>
          <w:lang w:eastAsia="zh-CN"/>
        </w:rPr>
        <w:t>。</w:t>
      </w:r>
    </w:p>
    <w:p>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投标文件的要求</w:t>
      </w:r>
    </w:p>
    <w:p>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lang w:eastAsia="zh-CN"/>
        </w:rPr>
        <w:t>）供应商应仔细阅读采购文件的所有内容，按照采购文件的要求详细编制投标文件，所提交的全部资料必须真实有效，并且要保证字迹清晰易于辨认。投标文件应对采购文件实质性内容作出响应，否则按无效标处理。</w:t>
      </w:r>
    </w:p>
    <w:p>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）投标文件格式应按本采购文件第六章格式要求编制，不得对采购文件格式进行增删更改，否则按无效标处理。</w:t>
      </w:r>
    </w:p>
    <w:p>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lang w:eastAsia="zh-CN"/>
        </w:rPr>
        <w:t xml:space="preserve">）对采购文件格式可更改的例外情况：采购文件第六章附件格式要求中明确规定表格中行数不够用时可按相同格式增加行数，其他一切内容和格式不得更改。 </w:t>
      </w:r>
    </w:p>
    <w:p>
      <w:pPr>
        <w:shd w:val="clear" w:color="auto" w:fill="auto"/>
        <w:spacing w:line="400" w:lineRule="exact"/>
        <w:ind w:firstLine="477" w:firstLineChars="199"/>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lang w:eastAsia="zh-CN"/>
        </w:rPr>
        <w:t>）投标文件为电子投标文件，电子投标文件按“政采云供应商项目采购-电子招投标操作指南”及本采购文件要求制作、加密传输。</w:t>
      </w:r>
    </w:p>
    <w:p>
      <w:pPr>
        <w:shd w:val="clear" w:color="auto" w:fill="auto"/>
        <w:spacing w:line="400" w:lineRule="exact"/>
        <w:ind w:firstLine="477" w:firstLineChars="199"/>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lang w:eastAsia="zh-CN"/>
        </w:rPr>
        <w:t>）投标文件未在投标截止时间前完成传输的，视为投标文件撤回；投标文件未按时解密也未提供备份投标文件的，亦视为投标文件撤回。</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22</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投标报价</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22.1投标报价文件中的单价和总价全部采用人民币表示。</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22.2投标报价表上应清楚地标明投标人拟提供货物的名称、型号、生产厂家、数量、单价和总价。</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22.3投标人只允许有一个方案、一个报价。</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22.4投标人应按“采购内容及技术参数要求”所列货物逐项进行单价报价，并最终按货物总量乘以货物单价报总价，不得采用总价下浮的方式进行报价。综合单价包括：货物本身价格、保险费用、包装费、运输费用、二次搬运费、损耗、技术指导、税金费用、随产品备品备件费、专用工具费、随产品资料费、技术服务费、技术考察费、培训费、安装费、调试费、人工费、</w:t>
      </w:r>
      <w:r>
        <w:rPr>
          <w:rFonts w:hint="eastAsia" w:ascii="仿宋" w:hAnsi="仿宋" w:eastAsia="仿宋" w:cs="仿宋"/>
          <w:color w:val="auto"/>
          <w:szCs w:val="21"/>
          <w:highlight w:val="none"/>
          <w:lang w:eastAsia="zh-CN"/>
        </w:rPr>
        <w:t>产品对接产生的费用、软件培训运维和相关服务等、</w:t>
      </w:r>
      <w:r>
        <w:rPr>
          <w:rFonts w:hint="eastAsia" w:ascii="仿宋" w:hAnsi="仿宋" w:eastAsia="仿宋" w:cs="仿宋"/>
          <w:color w:val="auto"/>
          <w:szCs w:val="21"/>
          <w:highlight w:val="none"/>
        </w:rPr>
        <w:t>自检费及验收合格前和质保期内发生的一切费用、应当提供的伴随服务/售后服务费用</w:t>
      </w:r>
      <w:r>
        <w:rPr>
          <w:rFonts w:hint="eastAsia" w:ascii="仿宋" w:hAnsi="仿宋" w:eastAsia="仿宋" w:cs="仿宋"/>
          <w:color w:val="auto"/>
          <w:szCs w:val="21"/>
          <w:highlight w:val="none"/>
          <w:lang w:eastAsia="zh-CN"/>
        </w:rPr>
        <w:t>等直至正常使用的一切费用；</w:t>
      </w:r>
      <w:r>
        <w:rPr>
          <w:rFonts w:hint="eastAsia" w:ascii="仿宋" w:hAnsi="仿宋" w:eastAsia="仿宋" w:cs="仿宋"/>
          <w:color w:val="auto"/>
          <w:szCs w:val="21"/>
          <w:highlight w:val="none"/>
        </w:rPr>
        <w:t>综合单价今后将不作任何调整。</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22.5投标报价的价格是货物交货地验收价格，其总价即为履行合同的固定总价。</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22.6技术要求中规定的安装、调试和培训费用应包括在投标价格中。投标文件报价为含税价</w:t>
      </w:r>
      <w:r>
        <w:rPr>
          <w:rFonts w:hint="eastAsia" w:ascii="仿宋" w:hAnsi="仿宋" w:eastAsia="仿宋" w:cs="仿宋"/>
          <w:color w:val="auto"/>
          <w:szCs w:val="21"/>
          <w:highlight w:val="none"/>
          <w:lang w:eastAsia="zh-CN"/>
        </w:rPr>
        <w:t>等直至交付使用的一切费用</w:t>
      </w:r>
      <w:r>
        <w:rPr>
          <w:rFonts w:hint="eastAsia" w:ascii="仿宋" w:hAnsi="仿宋" w:eastAsia="仿宋" w:cs="仿宋"/>
          <w:color w:val="auto"/>
          <w:szCs w:val="21"/>
          <w:highlight w:val="none"/>
        </w:rPr>
        <w:t>，招标人不再为此次招标支付任何费用。</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22.7投标报价应由法定代表人或被授权人签署。</w:t>
      </w:r>
    </w:p>
    <w:p>
      <w:pPr>
        <w:shd w:val="clear" w:color="auto" w:fill="auto"/>
        <w:spacing w:line="440" w:lineRule="exact"/>
        <w:ind w:firstLine="48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22.8</w:t>
      </w:r>
      <w:r>
        <w:rPr>
          <w:rFonts w:hint="eastAsia" w:ascii="仿宋" w:hAnsi="仿宋" w:eastAsia="仿宋" w:cs="仿宋"/>
          <w:b/>
          <w:color w:val="auto"/>
          <w:szCs w:val="21"/>
          <w:highlight w:val="none"/>
        </w:rPr>
        <w:t>投标人投标</w:t>
      </w:r>
      <w:r>
        <w:rPr>
          <w:rFonts w:hint="eastAsia" w:ascii="仿宋" w:hAnsi="仿宋" w:eastAsia="仿宋" w:cs="仿宋"/>
          <w:b/>
          <w:color w:val="auto"/>
          <w:szCs w:val="21"/>
          <w:highlight w:val="none"/>
          <w:lang w:eastAsia="zh-CN"/>
        </w:rPr>
        <w:t>综合</w:t>
      </w:r>
      <w:r>
        <w:rPr>
          <w:rFonts w:hint="eastAsia" w:ascii="仿宋" w:hAnsi="仿宋" w:eastAsia="仿宋" w:cs="仿宋"/>
          <w:b/>
          <w:color w:val="auto"/>
          <w:szCs w:val="21"/>
          <w:highlight w:val="none"/>
        </w:rPr>
        <w:t>总报价，不得高于本次招标设置的最高限价，</w:t>
      </w:r>
      <w:r>
        <w:rPr>
          <w:rFonts w:hint="eastAsia" w:ascii="仿宋" w:hAnsi="仿宋" w:eastAsia="仿宋" w:cs="仿宋"/>
          <w:b/>
          <w:bCs/>
          <w:color w:val="auto"/>
          <w:szCs w:val="21"/>
          <w:highlight w:val="none"/>
        </w:rPr>
        <w:t>否则将作为无效投标处理。</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22.9如投标文件中未列明全面实现投标货物功能而必须配置的配套或辅助设施及相应技术措施的费用，这些费用将被视为已包含在总投标价中。</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22.10总投标价中不得包含</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要求以外的内容，否则，在评标时不予核减，但在授予合同时，招标人有权将这部分价格从其中标价格中扣除。</w:t>
      </w:r>
    </w:p>
    <w:p>
      <w:pPr>
        <w:shd w:val="clear" w:color="auto" w:fill="auto"/>
        <w:spacing w:line="440" w:lineRule="exact"/>
        <w:ind w:firstLine="460" w:firstLineChars="192"/>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22.11总投标价中不得缺漏</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所要求的内容，否则，评标时将有效投标中该项内容的最高价计入其评标总价，但在授予合同时，缺漏项目的报价视作已含在其他项目的报价中，这些项目将作为免费赠送而包含在合同内。</w:t>
      </w:r>
      <w:r>
        <w:rPr>
          <w:rFonts w:hint="eastAsia" w:ascii="仿宋" w:hAnsi="仿宋" w:eastAsia="仿宋" w:cs="仿宋"/>
          <w:color w:val="auto"/>
          <w:szCs w:val="21"/>
          <w:highlight w:val="none"/>
          <w:lang w:val="en-US" w:eastAsia="zh-CN"/>
        </w:rPr>
        <w:t xml:space="preserve">    </w:t>
      </w:r>
    </w:p>
    <w:p>
      <w:pPr>
        <w:shd w:val="clear" w:color="auto" w:fill="auto"/>
        <w:spacing w:line="440" w:lineRule="exact"/>
        <w:ind w:firstLine="460" w:firstLineChars="192"/>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22.12投标人不得对从第三方采购货物的随机备品、备件另行收费，否则在计算评标价时这部分费用将不予扣除，在授予合同时将从中标价格中扣除该部分费用。</w:t>
      </w:r>
    </w:p>
    <w:p>
      <w:pPr>
        <w:shd w:val="clear" w:color="auto" w:fill="auto"/>
        <w:spacing w:line="440" w:lineRule="exact"/>
        <w:ind w:firstLine="460" w:firstLineChars="192"/>
        <w:rPr>
          <w:rFonts w:hint="eastAsia" w:ascii="仿宋" w:hAnsi="仿宋" w:eastAsia="仿宋" w:cs="仿宋"/>
          <w:color w:val="auto"/>
          <w:szCs w:val="21"/>
          <w:highlight w:val="none"/>
        </w:rPr>
      </w:pPr>
      <w:r>
        <w:rPr>
          <w:rFonts w:hint="eastAsia" w:ascii="仿宋" w:hAnsi="仿宋" w:eastAsia="仿宋" w:cs="仿宋"/>
          <w:color w:val="auto"/>
          <w:szCs w:val="21"/>
          <w:highlight w:val="none"/>
        </w:rPr>
        <w:t>22.13投标人应根据货物的技术状况列出随机备品备件的清单和数量，并将该备品备件价格计入总投标价，若所提供的产品无需备件，则应在投标文件中说明；无论投标人在报价中列明随机备品备件的数量及价格多少，在质保期内招标人均无需为维护维修保养所需的专用工具和备品备件另行支付费用。</w:t>
      </w:r>
    </w:p>
    <w:p>
      <w:pPr>
        <w:shd w:val="clear" w:color="auto" w:fill="auto"/>
        <w:spacing w:line="44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23. 投标有效期</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23.1 除投标人须知前附表另有规定外，投标有效期为60天。</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23.2在投标有效期内，投标人撤销或修改其投标文件的，应承担</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和法律规定的责任。</w:t>
      </w:r>
    </w:p>
    <w:p>
      <w:pPr>
        <w:shd w:val="clear" w:color="auto" w:fill="auto"/>
        <w:spacing w:line="44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23.3出现特殊情况需要延长投标有效期的，招标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pPr>
        <w:shd w:val="clear" w:color="auto" w:fill="auto"/>
        <w:spacing w:line="440" w:lineRule="exact"/>
        <w:ind w:firstLine="460" w:firstLineChars="192"/>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24. 投标保证金</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24.1投标人须知前附表规定递交投标保证金的，投标人在递交投标文件的同时，应按投标人须知前附表规定的金额、担保形式和第六章“投标文件格式”规定的投标保证金格式递交投标保证金，并作为其投标文件的组成部分。投标人不按要求提交投标保证金的，评标委员会将否决其投标。</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24.2自中标通知书发出之日起5个工作日内退还未中标投标人的投标保证金，自政府采购合同签订之日起5个工作日内退还中标人的投标保证金。</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24.3有下列情形之一的，投标保证金将不予退还： </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（1）投标人在规定的投标有效期内撤回或修改其投标文件；</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（2）中标通知书发出后三十天内，中标人无正当理由拒签合同协议书或未按</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规定提交履约担保。</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（3）提供虚假材料谋取中标的；</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（4）经查实属于陪标、串通投标的等。</w:t>
      </w:r>
    </w:p>
    <w:p>
      <w:pPr>
        <w:shd w:val="clear" w:color="auto" w:fill="auto"/>
        <w:spacing w:line="400" w:lineRule="exact"/>
        <w:ind w:firstLine="480" w:firstLineChars="200"/>
        <w:rPr>
          <w:rFonts w:hint="eastAsia" w:ascii="仿宋" w:hAnsi="仿宋" w:eastAsia="仿宋" w:cs="仿宋"/>
          <w:color w:val="auto"/>
          <w:szCs w:val="21"/>
          <w:highlight w:val="none"/>
        </w:rPr>
      </w:pPr>
      <w:bookmarkStart w:id="17" w:name="_Toc469495727"/>
      <w:r>
        <w:rPr>
          <w:rFonts w:hint="eastAsia" w:ascii="仿宋" w:hAnsi="仿宋" w:eastAsia="仿宋" w:cs="仿宋"/>
          <w:color w:val="auto"/>
          <w:szCs w:val="21"/>
          <w:highlight w:val="none"/>
        </w:rPr>
        <w:t>24.4投标保证金按</w:t>
      </w:r>
      <w:r>
        <w:rPr>
          <w:rFonts w:hint="eastAsia" w:ascii="仿宋" w:hAnsi="仿宋" w:eastAsia="仿宋" w:cs="仿宋"/>
          <w:color w:val="auto"/>
          <w:szCs w:val="21"/>
          <w:highlight w:val="none"/>
          <w:lang w:eastAsia="zh-CN"/>
        </w:rPr>
        <w:t>投标人须知前附表第</w:t>
      </w:r>
      <w:r>
        <w:rPr>
          <w:rFonts w:hint="eastAsia" w:ascii="仿宋" w:hAnsi="仿宋" w:eastAsia="仿宋" w:cs="仿宋"/>
          <w:color w:val="auto"/>
          <w:szCs w:val="21"/>
          <w:highlight w:val="none"/>
          <w:lang w:val="en-US" w:eastAsia="zh-CN"/>
        </w:rPr>
        <w:t>24条</w:t>
      </w:r>
      <w:r>
        <w:rPr>
          <w:rFonts w:hint="eastAsia" w:ascii="仿宋" w:hAnsi="仿宋" w:eastAsia="仿宋" w:cs="仿宋"/>
          <w:color w:val="auto"/>
          <w:szCs w:val="21"/>
          <w:highlight w:val="none"/>
        </w:rPr>
        <w:t>规定执行。</w:t>
      </w:r>
    </w:p>
    <w:p>
      <w:pPr>
        <w:pStyle w:val="3"/>
        <w:shd w:val="clear" w:color="auto" w:fill="auto"/>
        <w:bidi w:val="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（四）</w:t>
      </w:r>
      <w:bookmarkEnd w:id="17"/>
      <w:r>
        <w:rPr>
          <w:rFonts w:hint="eastAsia" w:ascii="仿宋" w:hAnsi="仿宋" w:eastAsia="仿宋" w:cs="仿宋"/>
          <w:color w:val="auto"/>
          <w:sz w:val="28"/>
          <w:szCs w:val="28"/>
          <w:highlight w:val="none"/>
        </w:rPr>
        <w:t>投标文件的制作、上传及递交要求</w:t>
      </w:r>
    </w:p>
    <w:p>
      <w:pPr>
        <w:shd w:val="clear" w:color="auto" w:fill="auto"/>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25.</w:t>
      </w:r>
      <w:r>
        <w:rPr>
          <w:rFonts w:hint="eastAsia" w:ascii="仿宋" w:hAnsi="仿宋" w:eastAsia="仿宋" w:cs="仿宋"/>
          <w:b/>
          <w:bCs/>
          <w:color w:val="auto"/>
          <w:sz w:val="24"/>
          <w:szCs w:val="24"/>
          <w:highlight w:val="none"/>
        </w:rPr>
        <w:t>投标文件的制作要求</w:t>
      </w:r>
    </w:p>
    <w:p>
      <w:pPr>
        <w:pStyle w:val="6"/>
        <w:shd w:val="clear" w:color="auto" w:fill="auto"/>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b w:val="0"/>
          <w:bCs/>
          <w:color w:val="auto"/>
          <w:sz w:val="24"/>
          <w:szCs w:val="24"/>
          <w:highlight w:val="none"/>
        </w:rPr>
        <w:t>（1）供应商应按照投标文件组成内容及项目招标需求和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政府采购云平台要求制作投标文件，不按采购文件和</w:t>
      </w:r>
      <w:r>
        <w:rPr>
          <w:rFonts w:hint="eastAsia" w:ascii="仿宋" w:hAnsi="仿宋" w:eastAsia="仿宋" w:cs="仿宋"/>
          <w:b w:val="0"/>
          <w:bCs/>
          <w:color w:val="auto"/>
          <w:sz w:val="24"/>
          <w:szCs w:val="24"/>
          <w:highlight w:val="none"/>
          <w:lang w:eastAsia="zh-CN"/>
        </w:rPr>
        <w:t>新疆</w:t>
      </w:r>
      <w:r>
        <w:rPr>
          <w:rFonts w:hint="eastAsia" w:ascii="仿宋" w:hAnsi="仿宋" w:eastAsia="仿宋" w:cs="仿宋"/>
          <w:b w:val="0"/>
          <w:bCs/>
          <w:color w:val="auto"/>
          <w:sz w:val="24"/>
          <w:szCs w:val="24"/>
          <w:highlight w:val="none"/>
        </w:rPr>
        <w:t>政府采购云平台要求制作投标文件的将视情况处理（拒收等），由此产生的责任由供应商自行承担。</w:t>
      </w:r>
    </w:p>
    <w:p>
      <w:pPr>
        <w:pStyle w:val="6"/>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Cs/>
          <w:color w:val="auto"/>
          <w:sz w:val="24"/>
          <w:szCs w:val="24"/>
          <w:highlight w:val="none"/>
        </w:rPr>
        <w:t>电子投标文件部分：供应商应根据“政采云供应商项目采购-电子招投标操作指南”及本采购文件规定的格式和顺序编制电子投标文件并进行关联定位。本文件《第六章 投标文件格式》中有提供格式的，供应商应按照格式进行编制（格式中要求提供相关证明材料的还需后附相关证明材料），并按格式要求在指定位置根据要求进行签章，否则视为未提供；本文件《第六章投标文件格式》未提供格式的，请供应商自行拟定格式，并加盖单位公章，否则视为未提供。</w:t>
      </w:r>
    </w:p>
    <w:p>
      <w:pPr>
        <w:pStyle w:val="6"/>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备份电子投标文件：通过“政采云”平台电子投标工具制作投标文件所产生的备份文件。</w:t>
      </w:r>
    </w:p>
    <w:p>
      <w:pPr>
        <w:pStyle w:val="6"/>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（2）供应商应对所提供的全部资料的真实性、有效性承担法律责任，电子投标文件中所须加盖公章部分均采用CA签章。</w:t>
      </w:r>
    </w:p>
    <w:p>
      <w:pPr>
        <w:pStyle w:val="6"/>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（3）投标文件以及供应商与采购组织机构就有关投标事宜的所有来往函电，均应以中文汉语书写。除</w:t>
      </w:r>
      <w:r>
        <w:rPr>
          <w:rFonts w:hint="eastAsia" w:ascii="仿宋" w:hAnsi="仿宋" w:eastAsia="仿宋" w:cs="仿宋"/>
          <w:b w:val="0"/>
          <w:bCs/>
          <w:color w:val="auto"/>
          <w:sz w:val="24"/>
          <w:szCs w:val="24"/>
          <w:highlight w:val="none"/>
          <w:lang w:eastAsia="zh-CN"/>
        </w:rPr>
        <w:t>签章</w:t>
      </w:r>
      <w:r>
        <w:rPr>
          <w:rFonts w:hint="eastAsia" w:ascii="仿宋" w:hAnsi="仿宋" w:eastAsia="仿宋" w:cs="仿宋"/>
          <w:b w:val="0"/>
          <w:bCs/>
          <w:color w:val="auto"/>
          <w:sz w:val="24"/>
          <w:szCs w:val="24"/>
          <w:highlight w:val="none"/>
        </w:rPr>
        <w:t>、盖章、专用名称等特殊情形外，以中文汉语以外的文字表述的投标文件视同未提供。</w:t>
      </w:r>
    </w:p>
    <w:p>
      <w:pPr>
        <w:pStyle w:val="6"/>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（4）投标计量单位，采购文件已有明确规定的，使用采购文件规定的计量单位；采购文件没有规定的，应采用中华人民共和国法定计量单位（货币单位：人民币元）。</w:t>
      </w:r>
    </w:p>
    <w:p>
      <w:pPr>
        <w:pStyle w:val="6"/>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（5）若供应商不按采购文件的要求提供资格审查材料，其风险由供应商自行承担。</w:t>
      </w:r>
    </w:p>
    <w:p>
      <w:pPr>
        <w:pStyle w:val="6"/>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（6）与本次投标无关的内容请不要制作在内，确保投标文件有针对性、简洁明了。</w:t>
      </w:r>
    </w:p>
    <w:p>
      <w:pPr>
        <w:shd w:val="clear" w:color="auto" w:fill="auto"/>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26.</w:t>
      </w:r>
      <w:r>
        <w:rPr>
          <w:rFonts w:hint="eastAsia" w:ascii="仿宋" w:hAnsi="仿宋" w:eastAsia="仿宋" w:cs="仿宋"/>
          <w:b/>
          <w:bCs/>
          <w:color w:val="auto"/>
          <w:sz w:val="24"/>
          <w:szCs w:val="24"/>
          <w:highlight w:val="none"/>
        </w:rPr>
        <w:t>投标文件的上传</w:t>
      </w:r>
    </w:p>
    <w:p>
      <w:pPr>
        <w:pStyle w:val="6"/>
        <w:shd w:val="clear" w:color="auto" w:fill="auto"/>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bidi="zh-CN"/>
        </w:rPr>
        <w:t>电子加密投标文件（“.jmbs”格式）</w:t>
      </w:r>
      <w:r>
        <w:rPr>
          <w:rFonts w:hint="eastAsia" w:ascii="仿宋" w:hAnsi="仿宋" w:eastAsia="仿宋" w:cs="仿宋"/>
          <w:b/>
          <w:bCs/>
          <w:color w:val="auto"/>
          <w:sz w:val="24"/>
          <w:szCs w:val="24"/>
          <w:highlight w:val="none"/>
        </w:rPr>
        <w:t>：</w:t>
      </w:r>
    </w:p>
    <w:p>
      <w:pPr>
        <w:pStyle w:val="6"/>
        <w:shd w:val="clear" w:color="auto" w:fill="auto"/>
        <w:snapToGrid w:val="0"/>
        <w:spacing w:line="360" w:lineRule="auto"/>
        <w:ind w:firstLine="600" w:firstLineChars="250"/>
        <w:rPr>
          <w:rFonts w:hint="eastAsia" w:ascii="仿宋" w:hAnsi="仿宋" w:eastAsia="仿宋" w:cs="仿宋"/>
          <w:b w:val="0"/>
          <w:bCs/>
          <w:color w:val="auto"/>
          <w:sz w:val="24"/>
          <w:szCs w:val="24"/>
          <w:highlight w:val="none"/>
          <w:lang w:bidi="zh-CN"/>
        </w:rPr>
      </w:pPr>
      <w:r>
        <w:rPr>
          <w:rFonts w:hint="eastAsia" w:ascii="仿宋" w:hAnsi="仿宋" w:eastAsia="仿宋" w:cs="仿宋"/>
          <w:b w:val="0"/>
          <w:bCs/>
          <w:color w:val="auto"/>
          <w:sz w:val="24"/>
          <w:szCs w:val="24"/>
          <w:highlight w:val="none"/>
          <w:lang w:bidi="zh-CN"/>
        </w:rPr>
        <w:t>a.</w:t>
      </w:r>
      <w:r>
        <w:rPr>
          <w:rFonts w:hint="eastAsia" w:ascii="仿宋" w:hAnsi="仿宋" w:eastAsia="仿宋" w:cs="仿宋"/>
          <w:b w:val="0"/>
          <w:bCs/>
          <w:color w:val="auto"/>
          <w:kern w:val="0"/>
          <w:sz w:val="24"/>
          <w:szCs w:val="24"/>
          <w:highlight w:val="none"/>
        </w:rPr>
        <w:t xml:space="preserve"> </w:t>
      </w:r>
      <w:r>
        <w:rPr>
          <w:rFonts w:hint="eastAsia" w:ascii="仿宋" w:hAnsi="仿宋" w:eastAsia="仿宋" w:cs="仿宋"/>
          <w:b w:val="0"/>
          <w:bCs/>
          <w:color w:val="auto"/>
          <w:sz w:val="24"/>
          <w:szCs w:val="24"/>
          <w:highlight w:val="none"/>
          <w:lang w:bidi="zh-CN"/>
        </w:rPr>
        <w:t>供应商应在投标截止时间前将电子加密投标文件成功上传递交至新疆政府采购云平台，否则投标无效；</w:t>
      </w:r>
    </w:p>
    <w:p>
      <w:pPr>
        <w:pStyle w:val="6"/>
        <w:shd w:val="clear" w:color="auto" w:fill="auto"/>
        <w:snapToGrid w:val="0"/>
        <w:spacing w:line="360" w:lineRule="auto"/>
        <w:ind w:firstLine="600" w:firstLineChars="25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bidi="zh-CN"/>
        </w:rPr>
        <w:t>b.供应商成功上传电子加密投标文件后，可自行打印投标文件接收回执。</w:t>
      </w:r>
    </w:p>
    <w:p>
      <w:pPr>
        <w:pStyle w:val="6"/>
        <w:shd w:val="clear" w:color="auto" w:fill="auto"/>
        <w:snapToGrid w:val="0"/>
        <w:spacing w:line="360" w:lineRule="auto"/>
        <w:rPr>
          <w:rFonts w:hint="eastAsia" w:ascii="仿宋" w:hAnsi="仿宋" w:eastAsia="仿宋" w:cs="仿宋"/>
          <w:b/>
          <w:bCs/>
          <w:color w:val="auto"/>
          <w:sz w:val="24"/>
          <w:szCs w:val="24"/>
          <w:highlight w:val="none"/>
          <w:lang w:bidi="zh-CN"/>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bidi="zh-CN"/>
        </w:rPr>
        <w:t>备份投标文件（“.bfbs”格式）：</w:t>
      </w:r>
    </w:p>
    <w:p>
      <w:pPr>
        <w:pStyle w:val="6"/>
        <w:shd w:val="clear" w:color="auto" w:fill="auto"/>
        <w:snapToGrid w:val="0"/>
        <w:spacing w:line="360" w:lineRule="auto"/>
        <w:ind w:firstLine="600" w:firstLineChars="250"/>
        <w:rPr>
          <w:rFonts w:hint="eastAsia" w:ascii="仿宋" w:hAnsi="仿宋" w:eastAsia="仿宋" w:cs="仿宋"/>
          <w:color w:val="auto"/>
          <w:sz w:val="24"/>
          <w:szCs w:val="24"/>
          <w:highlight w:val="none"/>
          <w:lang w:bidi="zh-CN"/>
        </w:rPr>
      </w:pPr>
      <w:r>
        <w:rPr>
          <w:rFonts w:hint="eastAsia" w:ascii="仿宋" w:hAnsi="仿宋" w:eastAsia="仿宋" w:cs="仿宋"/>
          <w:b w:val="0"/>
          <w:bCs/>
          <w:color w:val="auto"/>
          <w:sz w:val="24"/>
          <w:szCs w:val="24"/>
          <w:highlight w:val="none"/>
          <w:lang w:bidi="zh-CN"/>
        </w:rPr>
        <w:t>a.供应商可以将备份投标文件打包压缩并加密，压缩包命名为“XX单位备份投标文件”，加密密码由供应商自行保管；送达时间以采购代理机构实际接收时间为准。</w:t>
      </w:r>
      <w:r>
        <w:rPr>
          <w:rFonts w:hint="eastAsia" w:ascii="仿宋" w:hAnsi="仿宋" w:eastAsia="仿宋" w:cs="仿宋"/>
          <w:color w:val="auto"/>
          <w:sz w:val="24"/>
          <w:szCs w:val="24"/>
          <w:highlight w:val="none"/>
          <w:lang w:bidi="zh-CN"/>
        </w:rPr>
        <w:t>“备份投标文件”以投标截止时间前指定接收邮箱最终收到的文件为准，逾期或未按要求提供的视为未提供，建议供应商提前1日办理邮件提供事宜（接收人邮箱：</w:t>
      </w:r>
      <w:r>
        <w:rPr>
          <w:rFonts w:hint="eastAsia" w:ascii="仿宋" w:hAnsi="仿宋" w:eastAsia="仿宋" w:cs="仿宋"/>
          <w:color w:val="auto"/>
          <w:sz w:val="24"/>
          <w:szCs w:val="24"/>
          <w:highlight w:val="none"/>
          <w:u w:val="single"/>
          <w:lang w:bidi="zh-CN"/>
        </w:rPr>
        <w:fldChar w:fldCharType="begin"/>
      </w:r>
      <w:r>
        <w:rPr>
          <w:rFonts w:hint="eastAsia" w:ascii="仿宋" w:hAnsi="仿宋" w:eastAsia="仿宋" w:cs="仿宋"/>
          <w:color w:val="auto"/>
          <w:sz w:val="24"/>
          <w:szCs w:val="24"/>
          <w:highlight w:val="none"/>
          <w:u w:val="single"/>
          <w:lang w:bidi="zh-CN"/>
        </w:rPr>
        <w:instrText xml:space="preserve"> HYPERLINK "mailto:1207446769@qq.com，接收人：陈加轲，电话：15157655122" </w:instrText>
      </w:r>
      <w:r>
        <w:rPr>
          <w:rFonts w:hint="eastAsia" w:ascii="仿宋" w:hAnsi="仿宋" w:eastAsia="仿宋" w:cs="仿宋"/>
          <w:color w:val="auto"/>
          <w:sz w:val="24"/>
          <w:szCs w:val="24"/>
          <w:highlight w:val="none"/>
          <w:u w:val="single"/>
          <w:lang w:bidi="zh-CN"/>
        </w:rPr>
        <w:fldChar w:fldCharType="separate"/>
      </w:r>
      <w:r>
        <w:rPr>
          <w:rFonts w:hint="eastAsia" w:ascii="仿宋" w:hAnsi="仿宋" w:eastAsia="仿宋" w:cs="仿宋"/>
          <w:color w:val="auto"/>
          <w:sz w:val="24"/>
          <w:szCs w:val="24"/>
          <w:highlight w:val="none"/>
          <w:u w:val="single"/>
          <w:lang w:val="en-US" w:bidi="zh-CN"/>
        </w:rPr>
        <w:t>1965876366@qq.com</w:t>
      </w:r>
      <w:r>
        <w:rPr>
          <w:rStyle w:val="32"/>
          <w:rFonts w:hint="eastAsia" w:ascii="仿宋" w:hAnsi="仿宋" w:eastAsia="仿宋" w:cs="仿宋"/>
          <w:color w:val="auto"/>
          <w:sz w:val="24"/>
          <w:szCs w:val="24"/>
          <w:highlight w:val="none"/>
          <w:u w:val="single"/>
          <w:lang w:bidi="zh-CN"/>
        </w:rPr>
        <w:t>，</w:t>
      </w:r>
      <w:r>
        <w:rPr>
          <w:rStyle w:val="32"/>
          <w:rFonts w:hint="eastAsia" w:ascii="仿宋" w:hAnsi="仿宋" w:eastAsia="仿宋" w:cs="仿宋"/>
          <w:color w:val="auto"/>
          <w:sz w:val="24"/>
          <w:szCs w:val="24"/>
          <w:highlight w:val="none"/>
          <w:u w:val="none"/>
          <w:lang w:bidi="zh-CN"/>
        </w:rPr>
        <w:t>接收人：</w:t>
      </w:r>
      <w:r>
        <w:rPr>
          <w:rStyle w:val="32"/>
          <w:rFonts w:hint="eastAsia" w:ascii="仿宋" w:hAnsi="仿宋" w:eastAsia="仿宋" w:cs="仿宋"/>
          <w:color w:val="auto"/>
          <w:sz w:val="24"/>
          <w:szCs w:val="24"/>
          <w:highlight w:val="none"/>
          <w:u w:val="none"/>
          <w:lang w:val="en-US" w:bidi="zh-CN"/>
        </w:rPr>
        <w:t>王</w:t>
      </w:r>
      <w:r>
        <w:rPr>
          <w:rFonts w:hint="eastAsia" w:ascii="仿宋" w:hAnsi="仿宋" w:eastAsia="仿宋" w:cs="仿宋"/>
          <w:color w:val="auto"/>
          <w:sz w:val="24"/>
          <w:szCs w:val="24"/>
          <w:highlight w:val="none"/>
          <w:u w:val="single"/>
          <w:lang w:bidi="zh-CN"/>
        </w:rPr>
        <w:t>女士</w:t>
      </w:r>
      <w:r>
        <w:rPr>
          <w:rStyle w:val="32"/>
          <w:rFonts w:hint="eastAsia" w:ascii="仿宋" w:hAnsi="仿宋" w:eastAsia="仿宋" w:cs="仿宋"/>
          <w:color w:val="auto"/>
          <w:sz w:val="24"/>
          <w:szCs w:val="24"/>
          <w:highlight w:val="none"/>
          <w:u w:val="single"/>
          <w:lang w:bidi="zh-CN"/>
        </w:rPr>
        <w:t>，</w:t>
      </w:r>
      <w:r>
        <w:rPr>
          <w:rStyle w:val="32"/>
          <w:rFonts w:hint="eastAsia" w:ascii="仿宋" w:hAnsi="仿宋" w:eastAsia="仿宋" w:cs="仿宋"/>
          <w:color w:val="auto"/>
          <w:sz w:val="24"/>
          <w:szCs w:val="24"/>
          <w:highlight w:val="none"/>
          <w:u w:val="none"/>
          <w:lang w:bidi="zh-CN"/>
        </w:rPr>
        <w:t>电话：</w:t>
      </w:r>
      <w:r>
        <w:rPr>
          <w:rFonts w:hint="eastAsia" w:ascii="仿宋" w:hAnsi="仿宋" w:eastAsia="仿宋" w:cs="仿宋"/>
          <w:color w:val="auto"/>
          <w:sz w:val="24"/>
          <w:szCs w:val="24"/>
          <w:highlight w:val="none"/>
          <w:u w:val="single"/>
          <w:lang w:val="en-US" w:bidi="zh-CN"/>
        </w:rPr>
        <w:t>1</w:t>
      </w:r>
      <w:r>
        <w:rPr>
          <w:rFonts w:hint="eastAsia" w:ascii="仿宋" w:hAnsi="仿宋" w:eastAsia="仿宋" w:cs="仿宋"/>
          <w:color w:val="auto"/>
          <w:sz w:val="24"/>
          <w:szCs w:val="24"/>
          <w:highlight w:val="none"/>
          <w:u w:val="single"/>
          <w:lang w:bidi="zh-CN"/>
        </w:rPr>
        <w:fldChar w:fldCharType="end"/>
      </w:r>
      <w:r>
        <w:rPr>
          <w:rFonts w:hint="eastAsia" w:ascii="仿宋" w:hAnsi="仿宋" w:eastAsia="仿宋" w:cs="仿宋"/>
          <w:color w:val="auto"/>
          <w:sz w:val="24"/>
          <w:szCs w:val="24"/>
          <w:highlight w:val="none"/>
          <w:u w:val="single"/>
          <w:lang w:val="en-US" w:bidi="zh-CN"/>
        </w:rPr>
        <w:t>5809081063</w:t>
      </w:r>
      <w:r>
        <w:rPr>
          <w:rFonts w:hint="eastAsia" w:ascii="仿宋" w:hAnsi="仿宋" w:eastAsia="仿宋" w:cs="仿宋"/>
          <w:color w:val="auto"/>
          <w:sz w:val="24"/>
          <w:szCs w:val="24"/>
          <w:highlight w:val="none"/>
          <w:lang w:bidi="zh-CN"/>
        </w:rPr>
        <w:t>）；</w:t>
      </w:r>
    </w:p>
    <w:p>
      <w:pPr>
        <w:pStyle w:val="6"/>
        <w:shd w:val="clear" w:color="auto" w:fill="auto"/>
        <w:snapToGrid w:val="0"/>
        <w:spacing w:line="360" w:lineRule="auto"/>
        <w:ind w:firstLine="600" w:firstLineChars="250"/>
        <w:rPr>
          <w:rFonts w:hint="eastAsia" w:ascii="仿宋" w:hAnsi="仿宋" w:eastAsia="仿宋" w:cs="仿宋"/>
          <w:b w:val="0"/>
          <w:bCs/>
          <w:color w:val="auto"/>
          <w:sz w:val="24"/>
          <w:szCs w:val="24"/>
          <w:highlight w:val="none"/>
          <w:lang w:bidi="zh-CN"/>
        </w:rPr>
      </w:pPr>
      <w:r>
        <w:rPr>
          <w:rFonts w:hint="eastAsia" w:ascii="仿宋" w:hAnsi="仿宋" w:eastAsia="仿宋" w:cs="仿宋"/>
          <w:b w:val="0"/>
          <w:bCs/>
          <w:color w:val="auto"/>
          <w:sz w:val="24"/>
          <w:szCs w:val="24"/>
          <w:highlight w:val="none"/>
          <w:lang w:bidi="zh-CN"/>
        </w:rPr>
        <w:t>b.通过“新疆政府采购云平台”成功上传递交的“电子加密投标文件”已按时解密的，“备份投标文件”自动失效。投标截止时间前，投标供应商仅递交了“备份投标文件”而未将“电子加密投标文件”成功上传至“政府采购云平台”的，投标无效。</w:t>
      </w:r>
    </w:p>
    <w:p>
      <w:pPr>
        <w:shd w:val="clear" w:color="auto" w:fill="auto"/>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lang w:val="en-US" w:eastAsia="zh-CN"/>
        </w:rPr>
        <w:t>27.</w:t>
      </w:r>
      <w:r>
        <w:rPr>
          <w:rFonts w:hint="eastAsia" w:ascii="仿宋" w:hAnsi="仿宋" w:eastAsia="仿宋" w:cs="仿宋"/>
          <w:b/>
          <w:color w:val="auto"/>
          <w:sz w:val="24"/>
          <w:szCs w:val="24"/>
          <w:highlight w:val="none"/>
        </w:rPr>
        <w:t>投标文件的递交要求</w:t>
      </w:r>
    </w:p>
    <w:p>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（1）供应商须按照采购文件和政采云平台的要求编制并加密投标文件。在投标文件递交截止时间以前完成投标文件的传输递交，截止时间后递交的投标文件，将被拒收。</w:t>
      </w:r>
    </w:p>
    <w:p>
      <w:pPr>
        <w:shd w:val="clear" w:color="auto" w:fill="auto"/>
        <w:tabs>
          <w:tab w:val="left" w:pos="1418"/>
        </w:tabs>
        <w:autoSpaceDE w:val="0"/>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（2）备份电子投标文件必须在投标截止时间前送达指定的投标地点。备份电子投标文件在截止时间后提交，采购组织机构将拒绝接收。</w:t>
      </w:r>
    </w:p>
    <w:p>
      <w:pPr>
        <w:shd w:val="clear" w:color="auto" w:fill="auto"/>
        <w:tabs>
          <w:tab w:val="left" w:pos="1418"/>
        </w:tabs>
        <w:autoSpaceDE w:val="0"/>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（3）如有特殊情况，采购组织机构延长截止时间和开标时间，采购组织机构和供应商的权利和义务将受到新的截止时间和开标时间的约束。</w:t>
      </w:r>
    </w:p>
    <w:p>
      <w:pPr>
        <w:shd w:val="clear" w:color="auto" w:fill="auto"/>
        <w:snapToGrid w:val="0"/>
        <w:spacing w:line="360" w:lineRule="auto"/>
        <w:ind w:firstLine="480"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28．投标文件的补充、修改与撤回</w:t>
      </w:r>
    </w:p>
    <w:p>
      <w:pPr>
        <w:shd w:val="clear" w:color="auto" w:fill="auto"/>
        <w:tabs>
          <w:tab w:val="left" w:pos="960"/>
          <w:tab w:val="left" w:pos="1418"/>
        </w:tabs>
        <w:autoSpaceDE w:val="0"/>
        <w:autoSpaceDN w:val="0"/>
        <w:adjustRightInd w:val="0"/>
        <w:snapToGrid w:val="0"/>
        <w:spacing w:line="360" w:lineRule="auto"/>
        <w:ind w:firstLine="480" w:firstLineChars="200"/>
        <w:rPr>
          <w:rFonts w:hint="eastAsia"/>
          <w:color w:val="auto"/>
        </w:rPr>
      </w:pPr>
      <w:r>
        <w:rPr>
          <w:rFonts w:hint="eastAsia" w:ascii="仿宋" w:hAnsi="仿宋" w:eastAsia="仿宋" w:cs="仿宋"/>
          <w:color w:val="auto"/>
          <w:sz w:val="24"/>
          <w:szCs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投标截止时间后传输递交的投标文件，“政府采购云平台”将予以拒收。投标截止时间后，供应商不得修改（补充）或撤回其投标文件。</w:t>
      </w:r>
    </w:p>
    <w:p>
      <w:pPr>
        <w:keepNext w:val="0"/>
        <w:keepLines w:val="0"/>
        <w:pageBreakBefore w:val="0"/>
        <w:widowControl w:val="0"/>
        <w:shd w:val="clear" w:color="auto" w:fill="auto"/>
        <w:kinsoku/>
        <w:wordWrap/>
        <w:overflowPunct/>
        <w:topLinePunct w:val="0"/>
        <w:autoSpaceDE/>
        <w:autoSpaceDN/>
        <w:bidi w:val="0"/>
        <w:adjustRightInd/>
        <w:snapToGrid/>
        <w:spacing w:before="313" w:beforeLines="100" w:after="313" w:afterLines="100" w:line="440" w:lineRule="exact"/>
        <w:jc w:val="center"/>
        <w:textAlignment w:val="auto"/>
        <w:outlineLvl w:val="2"/>
        <w:rPr>
          <w:rFonts w:hint="eastAsia" w:ascii="仿宋" w:hAnsi="仿宋" w:eastAsia="仿宋" w:cs="仿宋"/>
          <w:b/>
          <w:bCs/>
          <w:color w:val="auto"/>
          <w:sz w:val="28"/>
          <w:szCs w:val="28"/>
          <w:highlight w:val="none"/>
        </w:rPr>
      </w:pPr>
      <w:bookmarkStart w:id="18" w:name="_Toc469495728"/>
      <w:r>
        <w:rPr>
          <w:rFonts w:hint="eastAsia" w:ascii="仿宋" w:hAnsi="仿宋" w:eastAsia="仿宋" w:cs="仿宋"/>
          <w:b/>
          <w:bCs/>
          <w:color w:val="auto"/>
          <w:sz w:val="28"/>
          <w:szCs w:val="28"/>
          <w:highlight w:val="none"/>
        </w:rPr>
        <w:t>（五）开标、评标和定标</w:t>
      </w:r>
      <w:bookmarkEnd w:id="18"/>
    </w:p>
    <w:p>
      <w:pPr>
        <w:shd w:val="clear" w:color="auto" w:fill="auto"/>
        <w:snapToGrid w:val="0"/>
        <w:spacing w:line="360" w:lineRule="auto"/>
        <w:ind w:firstLine="480"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29. 开标</w:t>
      </w:r>
    </w:p>
    <w:p>
      <w:pPr>
        <w:shd w:val="clear" w:color="auto" w:fill="auto"/>
        <w:snapToGrid w:val="0"/>
        <w:spacing w:line="360" w:lineRule="auto"/>
        <w:ind w:firstLine="480" w:firstLineChars="200"/>
        <w:rPr>
          <w:rFonts w:hint="eastAsia" w:ascii="仿宋" w:hAnsi="仿宋" w:eastAsia="仿宋" w:cs="仿宋"/>
          <w:b/>
          <w:bCs/>
          <w:color w:val="auto"/>
          <w:sz w:val="24"/>
          <w:szCs w:val="24"/>
          <w:highlight w:val="none"/>
          <w:lang w:val="en-US" w:eastAsia="zh-CN"/>
        </w:rPr>
      </w:pPr>
      <w:bookmarkStart w:id="19" w:name="_Toc73975822"/>
      <w:r>
        <w:rPr>
          <w:rFonts w:hint="eastAsia" w:ascii="仿宋" w:hAnsi="仿宋" w:eastAsia="仿宋" w:cs="仿宋"/>
          <w:b/>
          <w:bCs/>
          <w:color w:val="auto"/>
          <w:sz w:val="24"/>
          <w:szCs w:val="24"/>
          <w:highlight w:val="none"/>
          <w:lang w:val="en-US" w:eastAsia="zh-CN"/>
        </w:rPr>
        <w:t>29.1开标邀请</w:t>
      </w:r>
      <w:bookmarkEnd w:id="19"/>
    </w:p>
    <w:p>
      <w:pPr>
        <w:pStyle w:val="11"/>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1</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开标准备：本项目开标的准备工作由采购组织机构负责落实，开标过程由采购组织机构负责记录；</w:t>
      </w:r>
    </w:p>
    <w:p>
      <w:pPr>
        <w:pStyle w:val="11"/>
        <w:shd w:val="clear" w:color="auto" w:fill="auto"/>
        <w:snapToGrid w:val="0"/>
        <w:spacing w:line="360" w:lineRule="auto"/>
        <w:ind w:firstLine="480" w:firstLineChars="200"/>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2）</w:t>
      </w:r>
      <w:r>
        <w:rPr>
          <w:rFonts w:hint="eastAsia" w:ascii="仿宋" w:hAnsi="仿宋" w:eastAsia="仿宋" w:cs="仿宋"/>
          <w:b w:val="0"/>
          <w:bCs/>
          <w:color w:val="auto"/>
          <w:sz w:val="24"/>
          <w:szCs w:val="24"/>
          <w:highlight w:val="none"/>
        </w:rPr>
        <w:t>开标主持：本项目开标由采购人或者采购代理机构主持；</w:t>
      </w:r>
    </w:p>
    <w:p>
      <w:pPr>
        <w:pStyle w:val="11"/>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3</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开标邀请：本项目采用电子交易，采购组织机构将按照采购文件规定的时间通过“</w:t>
      </w:r>
      <w:r>
        <w:rPr>
          <w:rFonts w:hint="eastAsia" w:ascii="仿宋" w:hAnsi="仿宋" w:eastAsia="仿宋" w:cs="仿宋"/>
          <w:b w:val="0"/>
          <w:color w:val="auto"/>
          <w:sz w:val="24"/>
          <w:szCs w:val="24"/>
          <w:highlight w:val="none"/>
          <w:lang w:eastAsia="zh-CN"/>
        </w:rPr>
        <w:t>新疆</w:t>
      </w:r>
      <w:r>
        <w:rPr>
          <w:rFonts w:hint="eastAsia" w:ascii="仿宋" w:hAnsi="仿宋" w:eastAsia="仿宋" w:cs="仿宋"/>
          <w:b w:val="0"/>
          <w:color w:val="auto"/>
          <w:sz w:val="24"/>
          <w:szCs w:val="24"/>
          <w:highlight w:val="none"/>
        </w:rPr>
        <w:t>政府采购云平台，网址：</w:t>
      </w:r>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HYPERLINK "http://www.zcygov.cn"</w:instrText>
      </w:r>
      <w:r>
        <w:rPr>
          <w:rFonts w:hint="eastAsia" w:ascii="仿宋" w:hAnsi="仿宋" w:eastAsia="仿宋" w:cs="仿宋"/>
          <w:b w:val="0"/>
          <w:color w:val="auto"/>
          <w:sz w:val="24"/>
          <w:szCs w:val="24"/>
          <w:highlight w:val="none"/>
        </w:rPr>
        <w:fldChar w:fldCharType="separate"/>
      </w:r>
      <w:r>
        <w:rPr>
          <w:rStyle w:val="32"/>
          <w:rFonts w:hint="eastAsia" w:ascii="仿宋" w:hAnsi="仿宋" w:eastAsia="仿宋" w:cs="仿宋"/>
          <w:b w:val="0"/>
          <w:color w:val="auto"/>
          <w:sz w:val="24"/>
          <w:szCs w:val="24"/>
          <w:highlight w:val="none"/>
          <w:u w:val="none"/>
        </w:rPr>
        <w:t>www.zcygov.cn</w:t>
      </w:r>
      <w:r>
        <w:rPr>
          <w:rFonts w:hint="eastAsia" w:ascii="仿宋" w:hAnsi="仿宋" w:eastAsia="仿宋" w:cs="仿宋"/>
          <w:color w:val="auto"/>
          <w:sz w:val="24"/>
          <w:szCs w:val="24"/>
          <w:highlight w:val="none"/>
        </w:rPr>
        <w:fldChar w:fldCharType="end"/>
      </w:r>
      <w:r>
        <w:rPr>
          <w:rFonts w:hint="eastAsia" w:ascii="仿宋" w:hAnsi="仿宋" w:eastAsia="仿宋" w:cs="仿宋"/>
          <w:b w:val="0"/>
          <w:color w:val="auto"/>
          <w:sz w:val="24"/>
          <w:szCs w:val="24"/>
          <w:highlight w:val="none"/>
        </w:rPr>
        <w:t>”组织开标、开启投标响应文件，所有供应商均应当准时在线参加。</w:t>
      </w:r>
    </w:p>
    <w:p>
      <w:pPr>
        <w:pStyle w:val="11"/>
        <w:shd w:val="clear" w:color="auto" w:fill="auto"/>
        <w:snapToGrid w:val="0"/>
        <w:spacing w:line="360" w:lineRule="auto"/>
        <w:ind w:firstLine="480" w:firstLineChars="200"/>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lang w:val="en-US" w:eastAsia="zh-CN"/>
        </w:rPr>
        <w:t>4</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供应商对开标过程和开标记录有疑义，以及认为采购人、采购代理机构相关工作人员有需要回避的情形的，应当场提出询问或回避申请。供应商未参加开标的视同认可开标结果，事后不得对采购相关人员、开标过程和开标结果提出异议，同时投标供应商因未在线参加开标而导致投标文件无法按时解密等一切后果由供应商自行承担。</w:t>
      </w:r>
    </w:p>
    <w:p>
      <w:pPr>
        <w:shd w:val="clear" w:color="auto" w:fill="auto"/>
        <w:snapToGrid w:val="0"/>
        <w:spacing w:line="360" w:lineRule="auto"/>
        <w:ind w:firstLine="480" w:firstLineChars="200"/>
        <w:outlineLvl w:val="2"/>
        <w:rPr>
          <w:rFonts w:hint="eastAsia" w:ascii="仿宋" w:hAnsi="仿宋" w:eastAsia="仿宋" w:cs="仿宋"/>
          <w:b/>
          <w:color w:val="auto"/>
          <w:sz w:val="24"/>
          <w:szCs w:val="24"/>
          <w:highlight w:val="none"/>
        </w:rPr>
      </w:pPr>
      <w:bookmarkStart w:id="20" w:name="_Toc73975823"/>
      <w:r>
        <w:rPr>
          <w:rFonts w:hint="eastAsia" w:ascii="仿宋" w:hAnsi="仿宋" w:eastAsia="仿宋" w:cs="仿宋"/>
          <w:b/>
          <w:color w:val="auto"/>
          <w:sz w:val="24"/>
          <w:szCs w:val="24"/>
          <w:highlight w:val="none"/>
          <w:lang w:val="en-US" w:eastAsia="zh-CN"/>
        </w:rPr>
        <w:t>29.2</w:t>
      </w:r>
      <w:r>
        <w:rPr>
          <w:rFonts w:hint="eastAsia" w:ascii="仿宋" w:hAnsi="仿宋" w:eastAsia="仿宋" w:cs="仿宋"/>
          <w:b/>
          <w:bCs/>
          <w:color w:val="auto"/>
          <w:sz w:val="24"/>
          <w:szCs w:val="24"/>
          <w:highlight w:val="none"/>
        </w:rPr>
        <w:t>开标程序（先资格、商务技术后报价）</w:t>
      </w:r>
      <w:bookmarkEnd w:id="20"/>
    </w:p>
    <w:p>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开标时间到后，主持人宣布开标会议开始。</w:t>
      </w:r>
    </w:p>
    <w:p>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投标文件解密（</w:t>
      </w:r>
      <w:r>
        <w:rPr>
          <w:rFonts w:hint="eastAsia" w:ascii="仿宋" w:hAnsi="仿宋" w:eastAsia="仿宋" w:cs="仿宋"/>
          <w:b/>
          <w:color w:val="auto"/>
          <w:kern w:val="0"/>
          <w:sz w:val="24"/>
          <w:szCs w:val="24"/>
          <w:highlight w:val="none"/>
        </w:rPr>
        <w:t>解密规定见《供应商须知前附表》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投标文件解密异常情况处理（</w:t>
      </w:r>
      <w:r>
        <w:rPr>
          <w:rFonts w:hint="eastAsia" w:ascii="仿宋" w:hAnsi="仿宋" w:eastAsia="仿宋" w:cs="仿宋"/>
          <w:b/>
          <w:color w:val="auto"/>
          <w:kern w:val="0"/>
          <w:sz w:val="24"/>
          <w:szCs w:val="24"/>
          <w:highlight w:val="none"/>
        </w:rPr>
        <w:t>处理办法见《供应商须知前附表》</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p>
    <w:p>
      <w:pPr>
        <w:shd w:val="clear" w:color="auto" w:fill="auto"/>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公布投标文件解密情况（投标文件成功解密的供应商名单等信息），组织签署</w:t>
      </w:r>
      <w:r>
        <w:rPr>
          <w:rFonts w:hint="eastAsia" w:ascii="仿宋" w:hAnsi="仿宋" w:eastAsia="仿宋" w:cs="仿宋"/>
          <w:b/>
          <w:bCs/>
          <w:color w:val="auto"/>
          <w:kern w:val="0"/>
          <w:sz w:val="24"/>
          <w:szCs w:val="24"/>
          <w:highlight w:val="none"/>
        </w:rPr>
        <w:t>《政府采购活动现场确认声明书》（疫情防控期间，将通过电子邮件形式组织签署），供应商应在20分钟内通过邮件形式将经签署的《政府采购活动现场确认声明书》发送至采购代理机构指定邮箱</w:t>
      </w:r>
      <w:r>
        <w:rPr>
          <w:rFonts w:hint="eastAsia" w:ascii="仿宋" w:hAnsi="仿宋" w:eastAsia="仿宋" w:cs="仿宋"/>
          <w:b/>
          <w:bCs/>
          <w:color w:val="auto"/>
          <w:kern w:val="0"/>
          <w:sz w:val="24"/>
          <w:szCs w:val="24"/>
          <w:highlight w:val="none"/>
          <w:lang w:val="en-US" w:eastAsia="zh-CN"/>
        </w:rPr>
        <w:t>1965876366@qq.com</w:t>
      </w:r>
      <w:r>
        <w:rPr>
          <w:rFonts w:hint="eastAsia" w:ascii="仿宋" w:hAnsi="仿宋" w:eastAsia="仿宋" w:cs="仿宋"/>
          <w:b/>
          <w:bCs/>
          <w:color w:val="auto"/>
          <w:kern w:val="0"/>
          <w:sz w:val="24"/>
          <w:szCs w:val="24"/>
          <w:highlight w:val="none"/>
        </w:rPr>
        <w:t xml:space="preserve"> ，逾期发送或未发送的视为无异议</w:t>
      </w:r>
      <w:r>
        <w:rPr>
          <w:rFonts w:hint="eastAsia" w:ascii="仿宋" w:hAnsi="仿宋" w:eastAsia="仿宋" w:cs="仿宋"/>
          <w:color w:val="auto"/>
          <w:kern w:val="0"/>
          <w:sz w:val="24"/>
          <w:szCs w:val="24"/>
          <w:highlight w:val="none"/>
        </w:rPr>
        <w:t>。</w:t>
      </w:r>
    </w:p>
    <w:p>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开启标书信息（资格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文件、商务技术文件）。标书信息开启后，首先由采购人或采购代理机构</w:t>
      </w:r>
      <w:r>
        <w:rPr>
          <w:rFonts w:hint="eastAsia" w:ascii="仿宋" w:hAnsi="仿宋" w:eastAsia="仿宋" w:cs="仿宋"/>
          <w:color w:val="auto"/>
          <w:kern w:val="0"/>
          <w:sz w:val="24"/>
          <w:szCs w:val="24"/>
          <w:highlight w:val="none"/>
          <w:lang w:eastAsia="zh-CN"/>
        </w:rPr>
        <w:t>或评审小组</w:t>
      </w:r>
      <w:r>
        <w:rPr>
          <w:rFonts w:hint="eastAsia" w:ascii="仿宋" w:hAnsi="仿宋" w:eastAsia="仿宋" w:cs="仿宋"/>
          <w:color w:val="auto"/>
          <w:kern w:val="0"/>
          <w:sz w:val="24"/>
          <w:szCs w:val="24"/>
          <w:highlight w:val="none"/>
        </w:rPr>
        <w:t>依法对投标供应商的资格</w:t>
      </w:r>
      <w:r>
        <w:rPr>
          <w:rFonts w:hint="eastAsia" w:ascii="仿宋" w:hAnsi="仿宋" w:eastAsia="仿宋" w:cs="仿宋"/>
          <w:color w:val="auto"/>
          <w:kern w:val="0"/>
          <w:sz w:val="24"/>
          <w:szCs w:val="24"/>
          <w:highlight w:val="none"/>
          <w:lang w:eastAsia="zh-CN"/>
        </w:rPr>
        <w:t>证明</w:t>
      </w:r>
      <w:r>
        <w:rPr>
          <w:rFonts w:hint="eastAsia" w:ascii="仿宋" w:hAnsi="仿宋" w:eastAsia="仿宋" w:cs="仿宋"/>
          <w:color w:val="auto"/>
          <w:kern w:val="0"/>
          <w:sz w:val="24"/>
          <w:szCs w:val="24"/>
          <w:highlight w:val="none"/>
        </w:rPr>
        <w:t>文件进行审查（具体见本章“</w:t>
      </w:r>
      <w:r>
        <w:rPr>
          <w:rFonts w:hint="eastAsia" w:ascii="仿宋" w:hAnsi="仿宋" w:eastAsia="仿宋" w:cs="仿宋"/>
          <w:color w:val="auto"/>
          <w:kern w:val="0"/>
          <w:sz w:val="24"/>
          <w:szCs w:val="24"/>
          <w:highlight w:val="none"/>
          <w:lang w:val="en-US" w:eastAsia="zh-CN"/>
        </w:rPr>
        <w:t>29.3</w:t>
      </w:r>
      <w:r>
        <w:rPr>
          <w:rFonts w:hint="eastAsia" w:ascii="仿宋" w:hAnsi="仿宋" w:eastAsia="仿宋" w:cs="仿宋"/>
          <w:color w:val="auto"/>
          <w:kern w:val="0"/>
          <w:sz w:val="24"/>
          <w:szCs w:val="24"/>
          <w:highlight w:val="none"/>
        </w:rPr>
        <w:t xml:space="preserve"> 投标供应商资格审查”）， 审查结束公布投标供应商的资格符合情况。资格审查未获通过的供应商，其商务技术文件及报价文件不再进入评审。</w:t>
      </w:r>
    </w:p>
    <w:p>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6</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商务技术评审结束后，主持人公布商务技术评审无效投标供应商名单和商务技术评审有效投标供应商名单及其商务技术得分情况</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商务技术评审无效的供应商，其报价不再进入评审。</w:t>
      </w:r>
    </w:p>
    <w:p>
      <w:pPr>
        <w:shd w:val="clear" w:color="auto" w:fill="auto"/>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7</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开启有效投标供应商的报价，公布开标一览表有关内容，</w:t>
      </w:r>
      <w:r>
        <w:rPr>
          <w:rFonts w:hint="eastAsia" w:ascii="仿宋" w:hAnsi="仿宋" w:eastAsia="仿宋" w:cs="仿宋"/>
          <w:color w:val="auto"/>
          <w:sz w:val="24"/>
          <w:szCs w:val="24"/>
          <w:highlight w:val="none"/>
          <w:lang w:bidi="zh-CN"/>
        </w:rPr>
        <w:t>并【开启签章时段】，供应商对开标纪录进行在线签章确认（不予确认的应说明理由，否则视为无异议）</w:t>
      </w:r>
      <w:r>
        <w:rPr>
          <w:rFonts w:hint="eastAsia" w:ascii="仿宋" w:hAnsi="仿宋" w:eastAsia="仿宋" w:cs="仿宋"/>
          <w:color w:val="auto"/>
          <w:kern w:val="0"/>
          <w:sz w:val="24"/>
          <w:szCs w:val="24"/>
          <w:highlight w:val="none"/>
        </w:rPr>
        <w:t>。开标结束后，由评标委员会对报价的合理性、准确性等进行审查核实</w:t>
      </w:r>
      <w:r>
        <w:rPr>
          <w:rFonts w:hint="eastAsia" w:ascii="仿宋" w:hAnsi="仿宋" w:eastAsia="仿宋" w:cs="仿宋"/>
          <w:color w:val="auto"/>
          <w:sz w:val="24"/>
          <w:szCs w:val="24"/>
          <w:highlight w:val="none"/>
        </w:rPr>
        <w:t>。</w:t>
      </w:r>
    </w:p>
    <w:p>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评审结束后，采购代理机构在系统上公布评审结果。</w:t>
      </w:r>
    </w:p>
    <w:p>
      <w:pPr>
        <w:shd w:val="clear" w:color="auto" w:fill="auto"/>
        <w:snapToGrid w:val="0"/>
        <w:spacing w:line="360" w:lineRule="auto"/>
        <w:ind w:left="48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特别情况说明：</w:t>
      </w:r>
    </w:p>
    <w:p>
      <w:pPr>
        <w:shd w:val="clear" w:color="auto" w:fill="auto"/>
        <w:snapToGrid w:val="0"/>
        <w:spacing w:line="360" w:lineRule="auto"/>
        <w:ind w:firstLine="424" w:firstLineChars="177"/>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（1）本项目采用电子交易，如遇“</w:t>
      </w:r>
      <w:r>
        <w:rPr>
          <w:rFonts w:hint="eastAsia" w:ascii="仿宋" w:hAnsi="仿宋" w:eastAsia="仿宋" w:cs="仿宋"/>
          <w:b/>
          <w:color w:val="auto"/>
          <w:kern w:val="0"/>
          <w:sz w:val="24"/>
          <w:szCs w:val="24"/>
          <w:highlight w:val="none"/>
          <w:lang w:eastAsia="zh-CN"/>
        </w:rPr>
        <w:t>新疆</w:t>
      </w:r>
      <w:r>
        <w:rPr>
          <w:rFonts w:hint="eastAsia" w:ascii="仿宋" w:hAnsi="仿宋" w:eastAsia="仿宋" w:cs="仿宋"/>
          <w:b/>
          <w:color w:val="auto"/>
          <w:kern w:val="0"/>
          <w:sz w:val="24"/>
          <w:szCs w:val="24"/>
          <w:highlight w:val="none"/>
        </w:rPr>
        <w:t>政府采购云平台”电子化开标或评审程序调整的，按调整后程序执行。</w:t>
      </w:r>
    </w:p>
    <w:p>
      <w:pPr>
        <w:shd w:val="clear" w:color="auto" w:fill="auto"/>
        <w:snapToGrid w:val="0"/>
        <w:spacing w:line="360" w:lineRule="auto"/>
        <w:ind w:firstLine="424" w:firstLineChars="177"/>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（2）开标过程中需要相关当事人进行</w:t>
      </w:r>
      <w:r>
        <w:rPr>
          <w:rFonts w:hint="eastAsia" w:ascii="仿宋" w:hAnsi="仿宋" w:eastAsia="仿宋" w:cs="仿宋"/>
          <w:b/>
          <w:color w:val="auto"/>
          <w:kern w:val="0"/>
          <w:sz w:val="24"/>
          <w:szCs w:val="24"/>
          <w:highlight w:val="none"/>
          <w:lang w:eastAsia="zh-CN"/>
        </w:rPr>
        <w:t>签章</w:t>
      </w:r>
      <w:r>
        <w:rPr>
          <w:rFonts w:hint="eastAsia" w:ascii="仿宋" w:hAnsi="仿宋" w:eastAsia="仿宋" w:cs="仿宋"/>
          <w:b/>
          <w:color w:val="auto"/>
          <w:kern w:val="0"/>
          <w:sz w:val="24"/>
          <w:szCs w:val="24"/>
          <w:highlight w:val="none"/>
        </w:rPr>
        <w:t>或盖章确认的材料将通过“政府采购云平台”进行，若因“政府采购云平台”技术问题无法进行</w:t>
      </w:r>
      <w:r>
        <w:rPr>
          <w:rFonts w:hint="eastAsia" w:ascii="仿宋" w:hAnsi="仿宋" w:eastAsia="仿宋" w:cs="仿宋"/>
          <w:b/>
          <w:color w:val="auto"/>
          <w:kern w:val="0"/>
          <w:sz w:val="24"/>
          <w:szCs w:val="24"/>
          <w:highlight w:val="none"/>
          <w:lang w:eastAsia="zh-CN"/>
        </w:rPr>
        <w:t>签章</w:t>
      </w:r>
      <w:r>
        <w:rPr>
          <w:rFonts w:hint="eastAsia" w:ascii="仿宋" w:hAnsi="仿宋" w:eastAsia="仿宋" w:cs="仿宋"/>
          <w:b/>
          <w:color w:val="auto"/>
          <w:kern w:val="0"/>
          <w:sz w:val="24"/>
          <w:szCs w:val="24"/>
          <w:highlight w:val="none"/>
        </w:rPr>
        <w:t>或盖章确认的，采购组织机构将通过电子邮件等形式予以确认，</w:t>
      </w:r>
      <w:r>
        <w:rPr>
          <w:rFonts w:hint="eastAsia" w:ascii="仿宋" w:hAnsi="仿宋" w:eastAsia="仿宋" w:cs="仿宋"/>
          <w:b/>
          <w:color w:val="auto"/>
          <w:kern w:val="0"/>
          <w:sz w:val="24"/>
          <w:szCs w:val="24"/>
          <w:highlight w:val="none"/>
          <w:u w:val="single"/>
        </w:rPr>
        <w:t>请供应商保证办理投标事宜人员电话畅通、网络在线，</w:t>
      </w:r>
      <w:r>
        <w:rPr>
          <w:rFonts w:hint="eastAsia" w:ascii="仿宋" w:hAnsi="仿宋" w:eastAsia="仿宋" w:cs="仿宋"/>
          <w:b/>
          <w:color w:val="auto"/>
          <w:kern w:val="0"/>
          <w:sz w:val="24"/>
          <w:szCs w:val="24"/>
          <w:highlight w:val="none"/>
          <w:u w:val="single"/>
          <w:lang w:eastAsia="zh-CN"/>
        </w:rPr>
        <w:t>签章</w:t>
      </w:r>
      <w:r>
        <w:rPr>
          <w:rFonts w:hint="eastAsia" w:ascii="仿宋" w:hAnsi="仿宋" w:eastAsia="仿宋" w:cs="仿宋"/>
          <w:b/>
          <w:color w:val="auto"/>
          <w:kern w:val="0"/>
          <w:sz w:val="24"/>
          <w:szCs w:val="24"/>
          <w:highlight w:val="none"/>
          <w:u w:val="single"/>
        </w:rPr>
        <w:t>或盖章确认的时间为20分钟。如未及时</w:t>
      </w:r>
      <w:r>
        <w:rPr>
          <w:rFonts w:hint="eastAsia" w:ascii="仿宋" w:hAnsi="仿宋" w:eastAsia="仿宋" w:cs="仿宋"/>
          <w:b/>
          <w:color w:val="auto"/>
          <w:kern w:val="0"/>
          <w:sz w:val="24"/>
          <w:szCs w:val="24"/>
          <w:highlight w:val="none"/>
          <w:u w:val="single"/>
          <w:lang w:eastAsia="zh-CN"/>
        </w:rPr>
        <w:t>签章</w:t>
      </w:r>
      <w:r>
        <w:rPr>
          <w:rFonts w:hint="eastAsia" w:ascii="仿宋" w:hAnsi="仿宋" w:eastAsia="仿宋" w:cs="仿宋"/>
          <w:b/>
          <w:color w:val="auto"/>
          <w:kern w:val="0"/>
          <w:sz w:val="24"/>
          <w:szCs w:val="24"/>
          <w:highlight w:val="none"/>
          <w:u w:val="single"/>
        </w:rPr>
        <w:t>或盖章确认的，视为无异议</w:t>
      </w:r>
      <w:r>
        <w:rPr>
          <w:rFonts w:hint="eastAsia" w:ascii="仿宋" w:hAnsi="仿宋" w:eastAsia="仿宋" w:cs="仿宋"/>
          <w:b/>
          <w:color w:val="auto"/>
          <w:kern w:val="0"/>
          <w:sz w:val="24"/>
          <w:szCs w:val="24"/>
          <w:highlight w:val="none"/>
        </w:rPr>
        <w:t>。</w:t>
      </w:r>
    </w:p>
    <w:p>
      <w:pPr>
        <w:shd w:val="clear" w:color="auto" w:fill="auto"/>
        <w:snapToGrid w:val="0"/>
        <w:spacing w:line="360" w:lineRule="auto"/>
        <w:ind w:firstLine="480" w:firstLineChars="200"/>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val="en-US" w:eastAsia="zh-CN"/>
        </w:rPr>
        <w:t>29.3</w:t>
      </w:r>
      <w:r>
        <w:rPr>
          <w:rFonts w:hint="eastAsia" w:ascii="仿宋" w:hAnsi="仿宋" w:eastAsia="仿宋" w:cs="仿宋"/>
          <w:b/>
          <w:color w:val="auto"/>
          <w:kern w:val="0"/>
          <w:sz w:val="24"/>
          <w:szCs w:val="24"/>
          <w:highlight w:val="none"/>
        </w:rPr>
        <w:t xml:space="preserve"> 投标供应商资格审查：</w:t>
      </w:r>
    </w:p>
    <w:p>
      <w:pPr>
        <w:shd w:val="clear" w:color="auto" w:fill="auto"/>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bCs/>
          <w:color w:val="auto"/>
          <w:kern w:val="0"/>
          <w:sz w:val="24"/>
          <w:szCs w:val="24"/>
          <w:highlight w:val="none"/>
        </w:rPr>
        <w:t>开标（标书信息开启）后，采购人或采购代理机构</w:t>
      </w:r>
      <w:r>
        <w:rPr>
          <w:rFonts w:hint="eastAsia" w:ascii="仿宋" w:hAnsi="仿宋" w:eastAsia="仿宋" w:cs="仿宋"/>
          <w:bCs/>
          <w:color w:val="auto"/>
          <w:kern w:val="0"/>
          <w:sz w:val="24"/>
          <w:szCs w:val="24"/>
          <w:highlight w:val="none"/>
          <w:lang w:eastAsia="zh-CN"/>
        </w:rPr>
        <w:t>或</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bCs/>
          <w:color w:val="auto"/>
          <w:kern w:val="0"/>
          <w:sz w:val="24"/>
          <w:szCs w:val="24"/>
          <w:highlight w:val="none"/>
        </w:rPr>
        <w:t>首先依法对投标供应商的资格文件进行审查，审查各投标供应商的资格符合情况。</w:t>
      </w:r>
      <w:r>
        <w:rPr>
          <w:rFonts w:hint="eastAsia" w:ascii="仿宋" w:hAnsi="仿宋" w:eastAsia="仿宋" w:cs="仿宋"/>
          <w:color w:val="auto"/>
          <w:sz w:val="24"/>
          <w:szCs w:val="24"/>
          <w:highlight w:val="none"/>
        </w:rPr>
        <w:t>采购人或采购代理机构</w:t>
      </w:r>
      <w:r>
        <w:rPr>
          <w:rFonts w:hint="eastAsia" w:ascii="仿宋" w:hAnsi="仿宋" w:eastAsia="仿宋" w:cs="仿宋"/>
          <w:bCs/>
          <w:color w:val="auto"/>
          <w:kern w:val="0"/>
          <w:sz w:val="24"/>
          <w:szCs w:val="24"/>
          <w:highlight w:val="none"/>
          <w:lang w:eastAsia="zh-CN"/>
        </w:rPr>
        <w:t>或</w:t>
      </w:r>
      <w:r>
        <w:rPr>
          <w:rFonts w:hint="eastAsia" w:ascii="仿宋" w:hAnsi="仿宋" w:eastAsia="仿宋" w:cs="仿宋"/>
          <w:color w:val="auto"/>
          <w:kern w:val="0"/>
          <w:sz w:val="24"/>
          <w:szCs w:val="24"/>
          <w:highlight w:val="none"/>
          <w:lang w:eastAsia="zh-CN"/>
        </w:rPr>
        <w:t>评审小组</w:t>
      </w:r>
      <w:r>
        <w:rPr>
          <w:rFonts w:hint="eastAsia" w:ascii="仿宋" w:hAnsi="仿宋" w:eastAsia="仿宋" w:cs="仿宋"/>
          <w:color w:val="auto"/>
          <w:sz w:val="24"/>
          <w:szCs w:val="24"/>
          <w:highlight w:val="none"/>
        </w:rPr>
        <w:t>对投标供应商所提交的资格证明材料仅负审核的责任。如发现投标供应商所提交的资格证明材料不合法或与事实不符，采购人可取消其中标资格并追究投标供应商的法律责任。</w:t>
      </w:r>
    </w:p>
    <w:p>
      <w:pPr>
        <w:pStyle w:val="6"/>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投标供应商提交的资格证明材料无法证明其符合采购文件规定的“投标供应商资格要求”的，采购人或采购代理机构将对其作“资格审查不合格”处理（无效投标），并不再将其投标提交评标委员会进行后续评审。</w:t>
      </w:r>
    </w:p>
    <w:p>
      <w:pPr>
        <w:pStyle w:val="6"/>
        <w:shd w:val="clear" w:color="auto" w:fill="auto"/>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r>
        <w:rPr>
          <w:rFonts w:hint="eastAsia" w:ascii="仿宋" w:hAnsi="仿宋" w:eastAsia="仿宋" w:cs="仿宋"/>
          <w:b w:val="0"/>
          <w:bCs/>
          <w:color w:val="auto"/>
          <w:kern w:val="0"/>
          <w:sz w:val="24"/>
          <w:szCs w:val="24"/>
          <w:highlight w:val="none"/>
        </w:rPr>
        <w:t>供应商</w:t>
      </w:r>
      <w:r>
        <w:rPr>
          <w:rFonts w:hint="eastAsia" w:ascii="仿宋" w:hAnsi="仿宋" w:eastAsia="仿宋" w:cs="仿宋"/>
          <w:b w:val="0"/>
          <w:bCs/>
          <w:color w:val="auto"/>
          <w:sz w:val="24"/>
          <w:szCs w:val="24"/>
          <w:highlight w:val="none"/>
        </w:rPr>
        <w:t>信用记录查询与使用：</w:t>
      </w:r>
      <w:r>
        <w:rPr>
          <w:rFonts w:hint="eastAsia" w:ascii="仿宋" w:hAnsi="仿宋" w:eastAsia="仿宋" w:cs="仿宋"/>
          <w:b w:val="0"/>
          <w:bCs/>
          <w:color w:val="auto"/>
          <w:kern w:val="0"/>
          <w:sz w:val="24"/>
          <w:szCs w:val="24"/>
          <w:highlight w:val="none"/>
        </w:rPr>
        <w:t>见《供应商须知前附表》。</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评审工作的组织</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采购人或采购代理机构负责组织本项目的评审工作，并依据《政府采购货物和服务招标投标管理办法（财政部第87号令）》第四十五条的相关规定履行职责。</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 评标委员会的组建</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.1评标委员会由采购人或采购代理机构依法组建，成员由采购人代表和评审专家组成，成员人数为五人或以上单数，其中评审专家不少于成员总数的三分之二。</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rPr>
        <w:t>.2评审专家从</w:t>
      </w:r>
      <w:r>
        <w:rPr>
          <w:rFonts w:hint="eastAsia" w:ascii="仿宋" w:hAnsi="仿宋" w:eastAsia="仿宋" w:cs="仿宋"/>
          <w:color w:val="auto"/>
          <w:szCs w:val="21"/>
          <w:highlight w:val="none"/>
          <w:lang w:eastAsia="zh-CN"/>
        </w:rPr>
        <w:t>新疆</w:t>
      </w:r>
      <w:r>
        <w:rPr>
          <w:rFonts w:hint="eastAsia" w:ascii="仿宋" w:hAnsi="仿宋" w:eastAsia="仿宋" w:cs="仿宋"/>
          <w:color w:val="auto"/>
          <w:szCs w:val="21"/>
          <w:highlight w:val="none"/>
        </w:rPr>
        <w:t>政府采购云平台专家库中通过随机方式抽取产生。评标委员会成员名单在采购结果公告前保密。</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.评标委员会的职责</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.1审查、评价投标文件是否符合采购文件的商务、技术等实质性要求。</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.2要求供应商对投标文件有关事项作出澄清或者说明。</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.3对投标文件进行比较和评价。</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.4确定中标候选人名单，以及根据采购人委托直接确定中标人。</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32</w:t>
      </w:r>
      <w:r>
        <w:rPr>
          <w:rFonts w:hint="eastAsia" w:ascii="仿宋" w:hAnsi="仿宋" w:eastAsia="仿宋" w:cs="仿宋"/>
          <w:color w:val="auto"/>
          <w:szCs w:val="21"/>
          <w:highlight w:val="none"/>
        </w:rPr>
        <w:t>.5向采购人、采购代理机构或者有关部门报告评审中发现的违法行为。</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 评标原则</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.1评标委员会将遵循公平、公正、科学的原则，对供应商提交的投标文件进行综合评审，评标委员会按照采购文件规定的评标细则进行评分。</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 xml:space="preserve">.2客观公正对待所有供应商，对所有投标评价均采用相同的程序和标准。 </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.3评标委员会成员对需要共同认定的事项存在争议的，按照少数服从多数的原则作出结论。持不同意见的评标委员会成员应当在评审报告上签署不同意见及理由，否则视为同意评审报告。</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33</w:t>
      </w:r>
      <w:r>
        <w:rPr>
          <w:rFonts w:hint="eastAsia" w:ascii="仿宋" w:hAnsi="仿宋" w:eastAsia="仿宋" w:cs="仿宋"/>
          <w:color w:val="auto"/>
          <w:szCs w:val="21"/>
          <w:highlight w:val="none"/>
        </w:rPr>
        <w:t>.4 财政部令第87号《政府采购货物和服务招标投标管理办法》第三十一条规定：使用综合评分法的采购项目，提供相同品牌产品且通过资格审查、符合性审查的不同供应商参加同一合同项下投标的，按一家供应商计算，评审后得分最高的同品牌供应商获得中标人推荐资格；评审得分相同的，由采购人或者采购人委托评标委员会按照采购文件规定的方式确定一个供应商获得中标人推荐资格，采购文件未规定的采取随机抽取方式确定，其他同品牌供应商不作为中标候选人。</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非单一产品采购项目，采购人应当根据采购项目技术构成、产品价格比重等合理确定核心产品，并在采购文件中载明。多家供应商提供的核心产品品牌相同的，按前款规定处理。      </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34</w:t>
      </w:r>
      <w:r>
        <w:rPr>
          <w:rFonts w:hint="eastAsia" w:ascii="仿宋" w:hAnsi="仿宋" w:eastAsia="仿宋" w:cs="仿宋"/>
          <w:color w:val="auto"/>
          <w:szCs w:val="21"/>
          <w:highlight w:val="none"/>
        </w:rPr>
        <w:t>. 评委纪律</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委员会成员必须严格遵守保密规定，不得泄露评审的有关情况，任何单位和个人不得干扰、影响评标的正常进行，评标委员会成员不得私下与投标供应商接触，不得出现政府采购活动现场组织管理办法中规定的其他禁止行为。</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评标程序</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1 在评审专家中推选评标委员会组长，采购人代表不得担任评标委员会组长。</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2 评标委员会组长召集成员认真阅读采购文件以及相关补充、质疑、答复文件、项目书面说明等材料，熟悉采购项目的基本概况，采购项目的质量要求、数量、主要技术标准或服务需求，采购合同主要条款，投标文件无效情形，评审方法、评审依据、评审标准等。</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3 评审人员对符合资格的供应商的投标文件的有效性、符合性、完整性和响应程度进行审查，确定是否对采购文件作出实质性响应。</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4 评审人员按采购文件规定的评审方法和评审标准，依法独立对供应商投标文件进行评估、比较，并给予评价或打分，不受任何单位和个人的干预。</w:t>
      </w:r>
    </w:p>
    <w:p>
      <w:pPr>
        <w:widowControl/>
        <w:shd w:val="clear" w:color="auto" w:fill="auto"/>
        <w:spacing w:line="440" w:lineRule="exact"/>
        <w:ind w:firstLine="48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综合评分法货物项目的价格分值占总分值的比重(即权值)为</w:t>
      </w:r>
      <w:r>
        <w:rPr>
          <w:rFonts w:hint="eastAsia" w:ascii="仿宋" w:hAnsi="仿宋" w:eastAsia="仿宋" w:cs="仿宋"/>
          <w:color w:val="auto"/>
          <w:kern w:val="0"/>
          <w:szCs w:val="21"/>
          <w:highlight w:val="none"/>
          <w:lang w:val="en-US" w:eastAsia="zh-CN"/>
        </w:rPr>
        <w:t>30</w:t>
      </w:r>
      <w:r>
        <w:rPr>
          <w:rFonts w:hint="eastAsia" w:ascii="仿宋" w:hAnsi="仿宋" w:eastAsia="仿宋" w:cs="仿宋"/>
          <w:color w:val="auto"/>
          <w:kern w:val="0"/>
          <w:szCs w:val="21"/>
          <w:highlight w:val="none"/>
        </w:rPr>
        <w:t>％，采购项目中含不同采购对象的，以占项目资金比例最高的采购对象确定其项目属性。其价格不列为评分因素，有特殊情况需要在上述规定范围外设定价格分权重的。</w:t>
      </w:r>
    </w:p>
    <w:p>
      <w:pPr>
        <w:widowControl/>
        <w:shd w:val="clear" w:color="auto" w:fill="auto"/>
        <w:spacing w:line="440" w:lineRule="exact"/>
        <w:ind w:firstLine="48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综合评分法中的价格分统一采用低价优先法计算，即满足</w:t>
      </w:r>
      <w:r>
        <w:rPr>
          <w:rFonts w:hint="eastAsia" w:ascii="仿宋" w:hAnsi="仿宋" w:eastAsia="仿宋" w:cs="仿宋"/>
          <w:color w:val="auto"/>
          <w:kern w:val="0"/>
          <w:szCs w:val="21"/>
          <w:highlight w:val="none"/>
          <w:lang w:eastAsia="zh-CN"/>
        </w:rPr>
        <w:t>招标</w:t>
      </w:r>
      <w:r>
        <w:rPr>
          <w:rFonts w:hint="eastAsia" w:ascii="仿宋" w:hAnsi="仿宋" w:eastAsia="仿宋" w:cs="仿宋"/>
          <w:color w:val="auto"/>
          <w:kern w:val="0"/>
          <w:szCs w:val="21"/>
          <w:highlight w:val="none"/>
        </w:rPr>
        <w:t>文件要求且最后报价最低的供应商的价格为</w:t>
      </w:r>
      <w:r>
        <w:rPr>
          <w:rFonts w:hint="eastAsia" w:ascii="仿宋" w:hAnsi="仿宋" w:eastAsia="仿宋" w:cs="仿宋"/>
          <w:color w:val="auto"/>
          <w:kern w:val="0"/>
          <w:szCs w:val="21"/>
          <w:highlight w:val="none"/>
          <w:lang w:eastAsia="zh-CN"/>
        </w:rPr>
        <w:t>招标</w:t>
      </w:r>
      <w:r>
        <w:rPr>
          <w:rFonts w:hint="eastAsia" w:ascii="仿宋" w:hAnsi="仿宋" w:eastAsia="仿宋" w:cs="仿宋"/>
          <w:color w:val="auto"/>
          <w:kern w:val="0"/>
          <w:szCs w:val="21"/>
          <w:highlight w:val="none"/>
        </w:rPr>
        <w:t>基准价，其价格分为满分。其他供应商的价格分统一按照下列公式计算：</w:t>
      </w:r>
    </w:p>
    <w:p>
      <w:pPr>
        <w:widowControl/>
        <w:shd w:val="clear" w:color="auto" w:fill="auto"/>
        <w:spacing w:line="440" w:lineRule="exact"/>
        <w:ind w:firstLine="48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lang w:eastAsia="zh-CN"/>
        </w:rPr>
        <w:t>投标</w:t>
      </w:r>
      <w:r>
        <w:rPr>
          <w:rFonts w:hint="eastAsia" w:ascii="仿宋" w:hAnsi="仿宋" w:eastAsia="仿宋" w:cs="仿宋"/>
          <w:color w:val="auto"/>
          <w:kern w:val="0"/>
          <w:szCs w:val="21"/>
          <w:highlight w:val="none"/>
        </w:rPr>
        <w:t>报价得分=（基准价/</w:t>
      </w:r>
      <w:r>
        <w:rPr>
          <w:rFonts w:hint="eastAsia" w:ascii="仿宋" w:hAnsi="仿宋" w:eastAsia="仿宋" w:cs="仿宋"/>
          <w:color w:val="auto"/>
          <w:kern w:val="0"/>
          <w:szCs w:val="21"/>
          <w:highlight w:val="none"/>
          <w:lang w:eastAsia="zh-CN"/>
        </w:rPr>
        <w:t>投标</w:t>
      </w:r>
      <w:r>
        <w:rPr>
          <w:rFonts w:hint="eastAsia" w:ascii="仿宋" w:hAnsi="仿宋" w:eastAsia="仿宋" w:cs="仿宋"/>
          <w:color w:val="auto"/>
          <w:kern w:val="0"/>
          <w:szCs w:val="21"/>
          <w:highlight w:val="none"/>
        </w:rPr>
        <w:t>报价）×价格权值×100</w:t>
      </w:r>
    </w:p>
    <w:p>
      <w:pPr>
        <w:widowControl/>
        <w:shd w:val="clear" w:color="auto" w:fill="auto"/>
        <w:spacing w:line="440" w:lineRule="exact"/>
        <w:ind w:firstLine="480"/>
        <w:rPr>
          <w:rFonts w:hint="eastAsia" w:ascii="仿宋" w:hAnsi="仿宋" w:eastAsia="仿宋" w:cs="仿宋"/>
          <w:color w:val="auto"/>
          <w:szCs w:val="21"/>
          <w:highlight w:val="none"/>
          <w:lang w:val="en-US" w:eastAsia="zh-CN"/>
        </w:rPr>
      </w:pPr>
      <w:r>
        <w:rPr>
          <w:rFonts w:hint="eastAsia" w:ascii="仿宋" w:hAnsi="仿宋" w:eastAsia="仿宋" w:cs="仿宋"/>
          <w:color w:val="auto"/>
          <w:kern w:val="0"/>
          <w:szCs w:val="21"/>
          <w:highlight w:val="none"/>
        </w:rPr>
        <w:t>项目评审过程中，不得去掉最后报价中的最高报价和最低报价。</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5 评审人员对各供应商投标文件非实质性内容有疑议或异议，或者审查发现明显的文字或计算错误等，及时向评标委员会组长提出。经评标委员会商议认为需要供应商作出必要澄清、说明或者补正的，应当以在线询标形式要求供应商作出必要的澄清、说明或者补正。澄清、说明或者补正的内容应作为政府采购项目档案归档留存。</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6 评审人员需对采购方工作人员唱票或统计的评审结果进行确认，现场监督员应对评审结果签署监督意见。如发现分值汇总计算错误、分项评分超出评分标准范围、客观评分不一致以及存在评分畸高、畸低（其总评分偏离平均分</w:t>
      </w:r>
      <w:r>
        <w:rPr>
          <w:rFonts w:hint="eastAsia" w:ascii="仿宋" w:hAnsi="仿宋" w:eastAsia="仿宋" w:cs="仿宋"/>
          <w:color w:val="auto"/>
          <w:szCs w:val="21"/>
          <w:highlight w:val="none"/>
          <w:lang w:val="en-US" w:eastAsia="zh-CN"/>
        </w:rPr>
        <w:t>30</w:t>
      </w:r>
      <w:r>
        <w:rPr>
          <w:rFonts w:hint="eastAsia" w:ascii="仿宋" w:hAnsi="仿宋" w:eastAsia="仿宋" w:cs="仿宋"/>
          <w:color w:val="auto"/>
          <w:szCs w:val="21"/>
          <w:highlight w:val="none"/>
        </w:rPr>
        <w:t>%以上的）情形的，应由相关人员当场改正或作出书面说明；拒不改正又不作书面说明的，由现场监督员如实记载后存入项目档案资料。</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7 评标委员会根据评审汇总情况和采购文件规定确定中标候选供应商排序名单。</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8 起草评审报告，所有评审人员须在评审报告上</w:t>
      </w:r>
      <w:r>
        <w:rPr>
          <w:rFonts w:hint="eastAsia" w:ascii="仿宋" w:hAnsi="仿宋" w:eastAsia="仿宋" w:cs="仿宋"/>
          <w:color w:val="auto"/>
          <w:szCs w:val="21"/>
          <w:highlight w:val="none"/>
          <w:lang w:eastAsia="zh-CN"/>
        </w:rPr>
        <w:t>签章</w:t>
      </w:r>
      <w:r>
        <w:rPr>
          <w:rFonts w:hint="eastAsia" w:ascii="仿宋" w:hAnsi="仿宋" w:eastAsia="仿宋" w:cs="仿宋"/>
          <w:color w:val="auto"/>
          <w:szCs w:val="21"/>
          <w:highlight w:val="none"/>
        </w:rPr>
        <w:t xml:space="preserve">确认，对自己的评审意见承担法律责任。 </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9 采购组织机构对评标委员会评审专家进行评价。</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35.</w:t>
      </w:r>
      <w:r>
        <w:rPr>
          <w:rFonts w:hint="eastAsia" w:ascii="仿宋" w:hAnsi="仿宋" w:eastAsia="仿宋" w:cs="仿宋"/>
          <w:color w:val="auto"/>
          <w:szCs w:val="21"/>
          <w:highlight w:val="none"/>
        </w:rPr>
        <w:t>10 修改评审结果</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评标结果汇总完成后，除下列情形外，任何人不得修改评标结果：</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（1）分值汇总计算错误的；</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（2）分项评分超出评分标准范围的；</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（3）评标委员会成员对客观评审因素评分不一致的；</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（4）经评标委员会认定评分畸高、畸低的。</w:t>
      </w:r>
    </w:p>
    <w:p>
      <w:pPr>
        <w:widowControl/>
        <w:shd w:val="clear" w:color="auto" w:fill="auto"/>
        <w:spacing w:line="440" w:lineRule="exact"/>
        <w:ind w:firstLine="240" w:firstLineChars="100"/>
        <w:rPr>
          <w:rFonts w:hint="eastAsia" w:ascii="仿宋" w:hAnsi="仿宋" w:eastAsia="仿宋" w:cs="仿宋"/>
          <w:color w:val="auto"/>
          <w:szCs w:val="21"/>
          <w:highlight w:val="none"/>
        </w:rPr>
      </w:pPr>
      <w:r>
        <w:rPr>
          <w:rFonts w:hint="eastAsia" w:ascii="仿宋" w:hAnsi="仿宋" w:eastAsia="仿宋" w:cs="仿宋"/>
          <w:color w:val="auto"/>
          <w:szCs w:val="21"/>
          <w:highlight w:val="none"/>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36．澄清、说明或补正的形式</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36.1对于投标文件中含义不明确、同类问题表述不一致或者有明显文字和计算错误的内容，评标委员会将通过“政府采购云平台”在线询标的方式要求投标供应商在规定的时间内作出必要的澄清、说明或者补正，</w:t>
      </w:r>
      <w:r>
        <w:rPr>
          <w:rFonts w:hint="eastAsia" w:ascii="仿宋" w:hAnsi="仿宋" w:eastAsia="仿宋" w:cs="仿宋"/>
          <w:b/>
          <w:bCs/>
          <w:color w:val="auto"/>
          <w:szCs w:val="21"/>
          <w:highlight w:val="none"/>
          <w:lang w:val="en-US" w:eastAsia="zh-CN"/>
        </w:rPr>
        <w:t>投标供应商澄清、说明或补正时间为20分钟</w:t>
      </w:r>
      <w:r>
        <w:rPr>
          <w:rFonts w:hint="eastAsia" w:ascii="仿宋" w:hAnsi="仿宋" w:eastAsia="仿宋" w:cs="仿宋"/>
          <w:b w:val="0"/>
          <w:bCs w:val="0"/>
          <w:color w:val="auto"/>
          <w:szCs w:val="21"/>
          <w:highlight w:val="none"/>
          <w:lang w:val="en-US" w:eastAsia="zh-CN"/>
        </w:rPr>
        <w:t>。</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36.3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37．错误修正的原则</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投标文件报价出现前后不一致的，除采购文件另有规定外，按照下列规定修正：</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37.1 投标函中表述的内容与报价表中不一致的，以报价表为准；报价表中的内容与报价明细表不一致的，以报价表为准；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37.2 投标文件中的大写金额和小写金额不一致的，以大写金额为准；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37.3 单价金额小数点或者百分比有明显错位的，以开标一览表的总价为准，并修改单价；</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37.4 总价金额与按单价汇总金额不一致的，以单价金额计算结果为准；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37.5 若用文字表示的数值与用数字表示的数值不一致，以文字表示的数值为准；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37.6 如有多报（指数量超出采购文件需求）、重报（指同一货物重复报价），其投标总价在评标过程中不予调整，如其中标，其合同价按其投标单价予以调整；</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37.7 对不同文字文本投标文件的解释发生异议的，以中文文本为准；</w:t>
      </w:r>
    </w:p>
    <w:p>
      <w:pPr>
        <w:shd w:val="clear" w:color="auto" w:fill="auto"/>
        <w:spacing w:line="440" w:lineRule="exact"/>
        <w:ind w:firstLine="240"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w:t>
      </w:r>
      <w:r>
        <w:rPr>
          <w:rFonts w:hint="eastAsia" w:ascii="仿宋" w:hAnsi="仿宋" w:eastAsia="仿宋" w:cs="仿宋"/>
          <w:b/>
          <w:bCs/>
          <w:color w:val="auto"/>
          <w:szCs w:val="21"/>
          <w:highlight w:val="none"/>
          <w:lang w:val="en-US" w:eastAsia="zh-CN"/>
        </w:rPr>
        <w:t>修正应当采用电子询标的形式，并加盖公章（电子印章）。</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38．无效投标文件</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有下列情形之一的，投标文件按无效标处理：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 报名的投标人与参加投标的投标人发生实质性变更的且未提供有效证明的；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38.2投标人提交两份或两份以上内容不同的投标文件，未声明哪一份有效的；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38.3 投标文件非投标人法定代表人签署的，未提供或提供无效的法定代表人授权书；</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38.4 未按招标文件规定装订；</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38.5 投标文件内容未按招标文件规定签章或盖章的；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38.6 投标文件组成漏项或未按规定的格式编制或投标文件正、副本份数不足或内容不全或内容字迹模糊辨认不清的等而导致评标活动无法正常进行；</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38.7 投标人未按招标文件变更通知更改投标文件的；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38.8 《开标一览表》和《投标分项报价表》内容不完整且不接受修正意见或字迹不能辨认的或未提供；</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38.9 标项投标报价超过招标文件规定的预算金额或最高限价</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38.10 因投标人原因编制错误造成经评标委员会修正后的报价达到或超过投标报价的0.5%；</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38.11 投标人的报价明显低于其他通过符合性审查投标人的报价，有可能影响产品质量或者不能诚信履约的，且在规定时间内不能合理说明原因并提供证明材料的；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38.12 未实质性响应招标文件中条款要求的投标文件；</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38.13 不符合招标范围、技术规格、技术标准的要求无法满足采购人使用要求；</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38.14 投标文件附有采购人不能接受的条款；</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38.15 投标文件中提供了赠品或者与本项目采购无关的其他商品、服务；</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38.16 投标文件中承诺的投标有效期少于招标文件中载明的投标有效期；</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38.17投标人串通投标，妨碍其他投标人的竞争行为，损害采购人或者其他投标人的合法权益；</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38.18违反国家及政府部门相关法律、法规、文件规定或经评标委员会认定的其他属于重大偏离；</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39．废标</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39.1 符合招标文件规定废标情形的；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39.2 出现影响采购公正的违法、违规行为的；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39.3 供应商的报价均超过了采购预算（或最高限价），采购人不能支付的;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39.4 因重大变故，采购任务取消的。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40．突发情况处理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40.1 采购过程中出现以下情形，导致电子交易平台无法正常运行，或者无法保证电子交易的公平、公正和安全时，采购组织机构可中止电子交易活动：</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（1）电子交易平台发生故障而无法登录访问的； </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（2）电子交易平台应用或数据库出现错误，不能进行正常操作的；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（3）电子交易平台发现严重安全漏洞，有潜在泄密危险的；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（4）病毒发作导致不能进行正常操作的； </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（5）其他无法保证电子交易的公平、公正和安全的情况。</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40.2 采购代理机构或评审小组因不可抗力（不可抗力包括但不限于自然灾害、断电、传播疫病等）原因造成电子交易活动无法正常运行的，将采取以下措施：</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（1）短时间内能消除不可抗力因素的，采购代理机构或评审小组在消除不可抗力因素后继续组织电子交易活动； </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（2）长时间内无法消除不可抗力因素的，采购代理机构或评审小组将中止电子交易活动。中止电子交易活动的，采购人应当重新组织政府采购活动。</w:t>
      </w:r>
    </w:p>
    <w:p>
      <w:pPr>
        <w:shd w:val="clear" w:color="auto" w:fill="auto"/>
        <w:snapToGrid w:val="0"/>
        <w:spacing w:line="360" w:lineRule="exact"/>
        <w:ind w:firstLine="421"/>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41</w:t>
      </w:r>
      <w:r>
        <w:rPr>
          <w:rFonts w:hint="eastAsia" w:ascii="仿宋" w:hAnsi="仿宋" w:eastAsia="仿宋" w:cs="仿宋"/>
          <w:b/>
          <w:color w:val="auto"/>
          <w:szCs w:val="21"/>
          <w:highlight w:val="none"/>
        </w:rPr>
        <w:t>. 定标</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color w:val="auto"/>
          <w:szCs w:val="21"/>
          <w:highlight w:val="none"/>
        </w:rPr>
        <w:t xml:space="preserve">   </w:t>
      </w:r>
      <w:r>
        <w:rPr>
          <w:rFonts w:hint="eastAsia" w:ascii="仿宋" w:hAnsi="仿宋" w:eastAsia="仿宋" w:cs="仿宋"/>
          <w:b w:val="0"/>
          <w:bCs w:val="0"/>
          <w:color w:val="auto"/>
          <w:szCs w:val="21"/>
          <w:highlight w:val="none"/>
          <w:lang w:val="en-US" w:eastAsia="zh-CN"/>
        </w:rPr>
        <w:t xml:space="preserve"> </w:t>
      </w:r>
      <w:bookmarkStart w:id="21" w:name="_Toc469495729"/>
      <w:r>
        <w:rPr>
          <w:rFonts w:hint="eastAsia" w:ascii="仿宋" w:hAnsi="仿宋" w:eastAsia="仿宋" w:cs="仿宋"/>
          <w:b w:val="0"/>
          <w:bCs w:val="0"/>
          <w:color w:val="auto"/>
          <w:szCs w:val="21"/>
          <w:highlight w:val="none"/>
          <w:lang w:val="en-US" w:eastAsia="zh-CN"/>
        </w:rPr>
        <w:t>41.1采购结果确认（确定中标供应商）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采购结果确认（确定中标供应商）：本项目由采购人根据评标委员会提交的《评审报告》，通过“政府采购云平台”依法确认采购结果、确定中标供应商。具体流程如下：</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（1）采购代理机构将在评审结束后2个工作日内将评审报告送采购人。</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 xml:space="preserve">（2）采购人将在收到评审报告之日起5个工作日内，在评审报告推荐的中标候选供应商名单中按顺序确定中标供应商，并将确认意见以书面形式回复采购代理机构。 </w:t>
      </w:r>
    </w:p>
    <w:p>
      <w:pPr>
        <w:shd w:val="clear" w:color="auto" w:fill="auto"/>
        <w:spacing w:line="440" w:lineRule="exact"/>
        <w:ind w:firstLine="240" w:firstLineChars="100"/>
        <w:jc w:val="left"/>
        <w:rPr>
          <w:rFonts w:hint="eastAsia" w:ascii="仿宋" w:hAnsi="仿宋" w:eastAsia="仿宋" w:cs="仿宋"/>
          <w:b/>
          <w:bCs/>
          <w:color w:val="auto"/>
          <w:szCs w:val="21"/>
          <w:highlight w:val="none"/>
          <w:lang w:val="en-US" w:eastAsia="zh-CN"/>
        </w:rPr>
      </w:pPr>
      <w:r>
        <w:rPr>
          <w:rFonts w:hint="eastAsia" w:ascii="仿宋" w:hAnsi="仿宋" w:eastAsia="仿宋" w:cs="仿宋"/>
          <w:b w:val="0"/>
          <w:bCs w:val="0"/>
          <w:color w:val="auto"/>
          <w:szCs w:val="21"/>
          <w:highlight w:val="none"/>
          <w:lang w:val="en-US" w:eastAsia="zh-CN"/>
        </w:rPr>
        <w:t>41.2采购结果经采购人确认后2个工作日内，采购代理机构将在</w:t>
      </w:r>
      <w:r>
        <w:rPr>
          <w:rFonts w:hint="eastAsia" w:ascii="仿宋" w:hAnsi="仿宋" w:eastAsia="仿宋" w:cs="仿宋"/>
          <w:b/>
          <w:bCs/>
          <w:color w:val="auto"/>
          <w:szCs w:val="21"/>
          <w:highlight w:val="none"/>
          <w:lang w:val="en-US" w:eastAsia="zh-CN"/>
        </w:rPr>
        <w:t>克州公共资源交易中心网、新疆政府采购网（www.zjzfcg.gov.cn）上公告采购结果，中标公告期限为1个工作日。</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42. 中标通知书</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42.1</w:t>
      </w:r>
      <w:r>
        <w:rPr>
          <w:rFonts w:hint="eastAsia" w:ascii="仿宋" w:hAnsi="仿宋" w:eastAsia="仿宋" w:cs="仿宋"/>
          <w:color w:val="auto"/>
          <w:szCs w:val="21"/>
          <w:highlight w:val="none"/>
        </w:rPr>
        <w:t>在</w:t>
      </w:r>
      <w:r>
        <w:rPr>
          <w:rFonts w:hint="eastAsia" w:ascii="仿宋" w:hAnsi="仿宋" w:eastAsia="仿宋" w:cs="仿宋"/>
          <w:color w:val="auto"/>
          <w:szCs w:val="21"/>
          <w:highlight w:val="none"/>
          <w:lang w:eastAsia="zh-CN"/>
        </w:rPr>
        <w:t>中标</w:t>
      </w:r>
      <w:r>
        <w:rPr>
          <w:rFonts w:hint="eastAsia" w:ascii="仿宋" w:hAnsi="仿宋" w:eastAsia="仿宋" w:cs="仿宋"/>
          <w:color w:val="auto"/>
          <w:szCs w:val="21"/>
          <w:highlight w:val="none"/>
        </w:rPr>
        <w:t>通知书发出前，招标人将</w:t>
      </w:r>
      <w:r>
        <w:rPr>
          <w:rFonts w:hint="eastAsia" w:ascii="仿宋" w:hAnsi="仿宋" w:eastAsia="仿宋" w:cs="仿宋"/>
          <w:color w:val="auto"/>
          <w:szCs w:val="21"/>
          <w:highlight w:val="none"/>
          <w:lang w:eastAsia="zh-CN"/>
        </w:rPr>
        <w:t>中标</w:t>
      </w:r>
      <w:r>
        <w:rPr>
          <w:rFonts w:hint="eastAsia" w:ascii="仿宋" w:hAnsi="仿宋" w:eastAsia="仿宋" w:cs="仿宋"/>
          <w:color w:val="auto"/>
          <w:szCs w:val="21"/>
          <w:highlight w:val="none"/>
        </w:rPr>
        <w:t>侯选人的情况在</w:t>
      </w:r>
      <w:r>
        <w:rPr>
          <w:rFonts w:hint="eastAsia" w:ascii="仿宋" w:hAnsi="仿宋" w:eastAsia="仿宋" w:cs="仿宋"/>
          <w:color w:val="auto"/>
          <w:szCs w:val="21"/>
          <w:highlight w:val="none"/>
          <w:lang w:val="en-US" w:eastAsia="zh-CN"/>
        </w:rPr>
        <w:t>克州公共资源交易中心网、</w:t>
      </w:r>
      <w:r>
        <w:rPr>
          <w:rFonts w:hint="eastAsia" w:ascii="仿宋" w:hAnsi="仿宋" w:eastAsia="仿宋" w:cs="仿宋"/>
          <w:color w:val="auto"/>
          <w:szCs w:val="21"/>
          <w:highlight w:val="none"/>
          <w:lang w:eastAsia="zh-CN"/>
        </w:rPr>
        <w:t>新疆政府采购网</w:t>
      </w:r>
      <w:r>
        <w:rPr>
          <w:rFonts w:hint="eastAsia" w:ascii="仿宋" w:hAnsi="仿宋" w:eastAsia="仿宋" w:cs="仿宋"/>
          <w:color w:val="auto"/>
          <w:szCs w:val="21"/>
          <w:highlight w:val="none"/>
        </w:rPr>
        <w:t>予以公示，</w:t>
      </w:r>
      <w:r>
        <w:rPr>
          <w:rFonts w:hint="eastAsia" w:ascii="仿宋" w:hAnsi="仿宋" w:eastAsia="仿宋" w:cs="仿宋"/>
          <w:b/>
          <w:bCs/>
          <w:color w:val="auto"/>
          <w:szCs w:val="21"/>
          <w:highlight w:val="none"/>
        </w:rPr>
        <w:t>公示期为</w:t>
      </w:r>
      <w:r>
        <w:rPr>
          <w:rFonts w:hint="eastAsia" w:ascii="仿宋" w:hAnsi="仿宋" w:eastAsia="仿宋" w:cs="仿宋"/>
          <w:b/>
          <w:bCs/>
          <w:color w:val="auto"/>
          <w:szCs w:val="21"/>
          <w:highlight w:val="none"/>
          <w:lang w:eastAsia="zh-CN"/>
        </w:rPr>
        <w:t>一</w:t>
      </w:r>
      <w:r>
        <w:rPr>
          <w:rFonts w:hint="eastAsia" w:ascii="仿宋" w:hAnsi="仿宋" w:eastAsia="仿宋" w:cs="仿宋"/>
          <w:b/>
          <w:bCs/>
          <w:color w:val="auto"/>
          <w:szCs w:val="21"/>
          <w:highlight w:val="none"/>
        </w:rPr>
        <w:t>个工作日。</w:t>
      </w:r>
      <w:r>
        <w:rPr>
          <w:rFonts w:hint="eastAsia" w:ascii="仿宋" w:hAnsi="仿宋" w:eastAsia="仿宋" w:cs="仿宋"/>
          <w:b/>
          <w:bCs/>
          <w:color w:val="auto"/>
          <w:szCs w:val="21"/>
          <w:highlight w:val="none"/>
          <w:lang w:eastAsia="zh-CN"/>
        </w:rPr>
        <w:t>待公示期结束后，</w:t>
      </w:r>
      <w:r>
        <w:rPr>
          <w:rFonts w:hint="eastAsia" w:ascii="仿宋" w:hAnsi="仿宋" w:eastAsia="仿宋" w:cs="仿宋"/>
          <w:b w:val="0"/>
          <w:bCs w:val="0"/>
          <w:color w:val="auto"/>
          <w:szCs w:val="21"/>
          <w:highlight w:val="none"/>
          <w:lang w:val="en-US" w:eastAsia="zh-CN"/>
        </w:rPr>
        <w:t>采购组织机构向中标人发出中标通知书。</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42.2中标通知书作为签订合同的重要依据，对采购人和中标供应商均具有法律效力。采购人改变中标结果或者中标供应商放弃中标项目的都应承担法律责任。中标供应商不得向他人转让中标项目，也不得将中标项目肢解后分别向他人转让。</w:t>
      </w:r>
    </w:p>
    <w:p>
      <w:pPr>
        <w:shd w:val="clear" w:color="auto" w:fill="auto"/>
        <w:spacing w:before="156" w:beforeLines="50" w:line="440" w:lineRule="exact"/>
        <w:jc w:val="center"/>
        <w:outlineLvl w:val="2"/>
        <w:rPr>
          <w:rFonts w:hint="eastAsia" w:ascii="仿宋" w:hAnsi="仿宋" w:eastAsia="仿宋" w:cs="仿宋"/>
          <w:color w:val="auto"/>
          <w:sz w:val="24"/>
          <w:highlight w:val="none"/>
        </w:rPr>
      </w:pPr>
      <w:r>
        <w:rPr>
          <w:rFonts w:hint="eastAsia" w:ascii="仿宋" w:hAnsi="仿宋" w:eastAsia="仿宋" w:cs="仿宋"/>
          <w:color w:val="auto"/>
          <w:sz w:val="28"/>
          <w:szCs w:val="28"/>
          <w:highlight w:val="none"/>
        </w:rPr>
        <w:t>（六）合同的授予</w:t>
      </w:r>
      <w:bookmarkEnd w:id="21"/>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bookmarkStart w:id="22" w:name="_Toc73975842"/>
      <w:bookmarkStart w:id="23" w:name="_Toc469495730"/>
      <w:r>
        <w:rPr>
          <w:rFonts w:hint="eastAsia" w:ascii="仿宋" w:hAnsi="仿宋" w:eastAsia="仿宋" w:cs="仿宋"/>
          <w:b w:val="0"/>
          <w:bCs w:val="0"/>
          <w:color w:val="auto"/>
          <w:szCs w:val="21"/>
          <w:highlight w:val="none"/>
          <w:lang w:val="en-US" w:eastAsia="zh-CN"/>
        </w:rPr>
        <w:t>43．履约保证金</w:t>
      </w:r>
      <w:bookmarkEnd w:id="22"/>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43.1中标人应在领取《中标通知书》后的十个日历日内，办理履约保证金，金额为合同总价的 5%，否则招标人可取消中标人的中标资格，并没收其投标保证金。</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43.2 签订合同后，如中标供应商不按合同约定履约的，招标人可取消中标人的中标资格，并没收其投标保证金。</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43.3 如果中标供应商在建设期内没有涉及采购人的应付而未付金额或违约行为，采购人在项目验收合格后或提前终止合同后全额无息退还履约保证金。</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bookmarkStart w:id="24" w:name="_Toc73975843"/>
      <w:r>
        <w:rPr>
          <w:rFonts w:hint="eastAsia" w:ascii="仿宋" w:hAnsi="仿宋" w:eastAsia="仿宋" w:cs="仿宋"/>
          <w:b w:val="0"/>
          <w:bCs w:val="0"/>
          <w:color w:val="auto"/>
          <w:szCs w:val="21"/>
          <w:highlight w:val="none"/>
          <w:lang w:val="en-US" w:eastAsia="zh-CN"/>
        </w:rPr>
        <w:t>44．签订合同及公告</w:t>
      </w:r>
      <w:bookmarkEnd w:id="24"/>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44.1采购人在中标通知书发出之日起30日内与中标供应商签订合同。</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44.2中标供应商拖延、拒签合同的,取消中标资格。</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44.3 采购文件、中标供应商的投标文件及评标过程中有关澄清文件等均作为签订合同的依据。所签订的合同不得对采购文件和中标供应商的投标文件的内容作实质性修改。</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44.4采购人应当自政府采购合同签订之日起2个工作日内，在省级以上财政部门指定的政府采购信息发布媒体及相关网站上公告。</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44.5采购人应当自政府采购合同签订之日起7个工作日内，将政府采购合同副本报同级人民政府财政部门备案以及采购代理机构存档。</w:t>
      </w:r>
    </w:p>
    <w:p>
      <w:pPr>
        <w:shd w:val="clear" w:color="auto" w:fill="auto"/>
        <w:adjustRightInd w:val="0"/>
        <w:snapToGrid w:val="0"/>
        <w:spacing w:line="440" w:lineRule="exact"/>
        <w:jc w:val="center"/>
        <w:outlineLvl w:val="2"/>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（七）纪律和监督</w:t>
      </w:r>
      <w:bookmarkEnd w:id="23"/>
    </w:p>
    <w:p>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45</w:t>
      </w:r>
      <w:r>
        <w:rPr>
          <w:rFonts w:hint="eastAsia" w:ascii="仿宋" w:hAnsi="仿宋" w:eastAsia="仿宋" w:cs="仿宋"/>
          <w:b/>
          <w:color w:val="auto"/>
          <w:szCs w:val="21"/>
          <w:highlight w:val="none"/>
        </w:rPr>
        <w:t xml:space="preserve">. 对招标人的纪律要求 </w:t>
      </w:r>
    </w:p>
    <w:p>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45</w:t>
      </w:r>
      <w:r>
        <w:rPr>
          <w:rFonts w:hint="eastAsia" w:ascii="仿宋" w:hAnsi="仿宋" w:eastAsia="仿宋" w:cs="仿宋"/>
          <w:color w:val="auto"/>
          <w:kern w:val="10"/>
          <w:szCs w:val="21"/>
          <w:highlight w:val="none"/>
        </w:rPr>
        <w:t xml:space="preserve">.1招标人不得泄漏招标投标活动中应当保密的情况和资料，不得与投标人串通损害国家利益，社会公共利益或者他人合法权益。 </w:t>
      </w:r>
    </w:p>
    <w:p>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46</w:t>
      </w:r>
      <w:r>
        <w:rPr>
          <w:rFonts w:hint="eastAsia" w:ascii="仿宋" w:hAnsi="仿宋" w:eastAsia="仿宋" w:cs="仿宋"/>
          <w:b/>
          <w:color w:val="auto"/>
          <w:szCs w:val="21"/>
          <w:highlight w:val="none"/>
        </w:rPr>
        <w:t xml:space="preserve">. 对投标人的纪律要求 </w:t>
      </w:r>
    </w:p>
    <w:p>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46</w:t>
      </w:r>
      <w:r>
        <w:rPr>
          <w:rFonts w:hint="eastAsia" w:ascii="仿宋" w:hAnsi="仿宋" w:eastAsia="仿宋" w:cs="仿宋"/>
          <w:color w:val="auto"/>
          <w:kern w:val="10"/>
          <w:szCs w:val="21"/>
          <w:highlight w:val="none"/>
        </w:rPr>
        <w:t>.1投标人不得相互串通投标或者与招标人串通投标，不得向招标人或者评标委员会成员行贿谋取中标，不得以他人名义投标或者以其他方式弄虚作假骗取中标；投标人不得以任何方式干扰、影响评标工作。</w:t>
      </w:r>
    </w:p>
    <w:p>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47</w:t>
      </w:r>
      <w:r>
        <w:rPr>
          <w:rFonts w:hint="eastAsia" w:ascii="仿宋" w:hAnsi="仿宋" w:eastAsia="仿宋" w:cs="仿宋"/>
          <w:b/>
          <w:color w:val="auto"/>
          <w:szCs w:val="21"/>
          <w:highlight w:val="none"/>
        </w:rPr>
        <w:t xml:space="preserve">. 对评标委员会成员的纪律要求 </w:t>
      </w:r>
    </w:p>
    <w:p>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47</w:t>
      </w:r>
      <w:r>
        <w:rPr>
          <w:rFonts w:hint="eastAsia" w:ascii="仿宋" w:hAnsi="仿宋" w:eastAsia="仿宋" w:cs="仿宋"/>
          <w:color w:val="auto"/>
          <w:kern w:val="10"/>
          <w:szCs w:val="21"/>
          <w:highlight w:val="none"/>
        </w:rPr>
        <w:t>.1评标委员会成员不得收受他人的财物或者其他好处，不得向他人透漏对投标文件的评审和比较、中标候选人的推荐情况以及评标有关的其他情况。</w:t>
      </w:r>
    </w:p>
    <w:p>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lang w:val="en-US" w:eastAsia="zh-CN"/>
        </w:rPr>
        <w:t>47</w:t>
      </w:r>
      <w:r>
        <w:rPr>
          <w:rFonts w:hint="eastAsia" w:ascii="仿宋" w:hAnsi="仿宋" w:eastAsia="仿宋" w:cs="仿宋"/>
          <w:color w:val="auto"/>
          <w:kern w:val="10"/>
          <w:szCs w:val="21"/>
          <w:highlight w:val="none"/>
        </w:rPr>
        <w:t xml:space="preserve">.2在评标活动中，评标委员会成员不得擅离职守，影响评标程序正常进行，不得使用第三章“评标办法”没有规定的评审因素和标准进行评标。 </w:t>
      </w:r>
    </w:p>
    <w:p>
      <w:pPr>
        <w:shd w:val="clear" w:color="auto" w:fill="auto"/>
        <w:spacing w:line="440" w:lineRule="exact"/>
        <w:ind w:firstLine="352"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48</w:t>
      </w:r>
      <w:r>
        <w:rPr>
          <w:rFonts w:hint="eastAsia" w:ascii="仿宋" w:hAnsi="仿宋" w:eastAsia="仿宋" w:cs="仿宋"/>
          <w:b/>
          <w:color w:val="auto"/>
          <w:szCs w:val="21"/>
          <w:highlight w:val="none"/>
        </w:rPr>
        <w:t xml:space="preserve">. 对与评标活动有关的工作人员的纪律要求 </w:t>
      </w:r>
    </w:p>
    <w:p>
      <w:pPr>
        <w:shd w:val="clear" w:color="auto" w:fill="auto"/>
        <w:adjustRightInd w:val="0"/>
        <w:snapToGrid w:val="0"/>
        <w:spacing w:line="440" w:lineRule="exact"/>
        <w:ind w:firstLine="360" w:firstLineChars="150"/>
        <w:rPr>
          <w:rFonts w:hint="eastAsia" w:ascii="仿宋" w:hAnsi="仿宋" w:eastAsia="仿宋" w:cs="仿宋"/>
          <w:color w:val="auto"/>
          <w:kern w:val="10"/>
          <w:szCs w:val="21"/>
          <w:highlight w:val="none"/>
        </w:rPr>
      </w:pPr>
      <w:r>
        <w:rPr>
          <w:rFonts w:hint="eastAsia" w:ascii="仿宋" w:hAnsi="仿宋" w:eastAsia="仿宋" w:cs="仿宋"/>
          <w:color w:val="auto"/>
          <w:kern w:val="10"/>
          <w:szCs w:val="21"/>
          <w:highlight w:val="none"/>
        </w:rPr>
        <w:t>4</w:t>
      </w:r>
      <w:r>
        <w:rPr>
          <w:rFonts w:hint="eastAsia" w:ascii="仿宋" w:hAnsi="仿宋" w:eastAsia="仿宋" w:cs="仿宋"/>
          <w:color w:val="auto"/>
          <w:kern w:val="10"/>
          <w:szCs w:val="21"/>
          <w:highlight w:val="none"/>
          <w:lang w:val="en-US" w:eastAsia="zh-CN"/>
        </w:rPr>
        <w:t>8</w:t>
      </w:r>
      <w:r>
        <w:rPr>
          <w:rFonts w:hint="eastAsia" w:ascii="仿宋" w:hAnsi="仿宋" w:eastAsia="仿宋" w:cs="仿宋"/>
          <w:color w:val="auto"/>
          <w:kern w:val="10"/>
          <w:szCs w:val="21"/>
          <w:highlight w:val="none"/>
        </w:rPr>
        <w:t>.1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pPr>
        <w:shd w:val="clear" w:color="auto" w:fill="auto"/>
        <w:spacing w:before="156" w:beforeLines="50" w:after="156" w:afterLines="50" w:line="500" w:lineRule="exact"/>
        <w:ind w:firstLine="840" w:firstLineChars="300"/>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（八）质疑与投诉</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49．质疑和投诉</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49.1.供应商认为采购文件、采购过程和中标、成交结果使自己的权益受到损害的，可以在知道或者应知其权益受到损害之日起七个工作日内，以书面形式向采购人提出质疑。供应商应当在法定质疑期内一次性提出针对同一采购程序环节的质疑。供应商应知其权益受到损害之日，是指：</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（一）对可以质疑的采购文件提出质疑的，为收到采购文件之日或者采购文件公告期限届满之日；</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（二）对采购过程提出质疑的，为各采购程序环节结束之日；</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（三）对中标或者成交结果提出质疑的，为中标或者成交结果公告期限届满之日。</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49.2供应商提出质疑应当提交质疑函和必要的证明材料。质疑函应当包括下列内容：供应商的姓名或者名称、地址、邮编、联系人及联系电话；质疑项目的名称、编号；具体、明确的质疑事项和与质疑事项相关的请求；事实依据；必要的法律依据；提出质疑的日期。（具体格式详见附件）</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供应商为自然人的，应当由本人签章；供应商为法人或者其他组织的，应当由法定代表人、主要负责人，或者其授权代表签章或者盖章，并加盖公章。</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49.3供应商质疑、投诉应当有明确的请求和必要的证明材料。供应商投诉的事项不得超出已质疑事项的范围。采购人及采购代理机构按《政府采购质疑和投诉办法》进行处理供应商质疑事项。</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49.4质疑供应商对采购人、采购代理机构的质疑答复不满意，或者采购人、采购代理机构未在规定期限内作出答复的，供应商可以在答复期满后15个工作日内向同级财政部门提起投诉。</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49.5供应商有下列情形之一的，采购代理机构上报克州财政局，将其列入不良行为记录名单：</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（一）一年内三次以上质疑均查无实据的；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（二）捏造事实或者提供虚假质疑材料的。</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（三）以非法手段取得证明材料。证据来源的合法性存在明显疑问，质疑人无法证明其取得方式合法的，视为以非法手段取得证明材料。</w:t>
      </w:r>
    </w:p>
    <w:p>
      <w:pPr>
        <w:shd w:val="clear" w:color="auto" w:fill="auto"/>
        <w:jc w:val="left"/>
        <w:rPr>
          <w:rFonts w:hint="eastAsia" w:ascii="仿宋" w:hAnsi="仿宋" w:eastAsia="仿宋" w:cs="仿宋"/>
          <w:b/>
          <w:bCs/>
          <w:color w:val="auto"/>
          <w:sz w:val="21"/>
          <w:szCs w:val="21"/>
          <w:highlight w:val="none"/>
          <w:lang w:eastAsia="zh-CN"/>
        </w:rPr>
      </w:pPr>
    </w:p>
    <w:p>
      <w:pPr>
        <w:shd w:val="clear" w:color="auto" w:fill="auto"/>
        <w:jc w:val="left"/>
        <w:rPr>
          <w:rFonts w:hint="eastAsia" w:ascii="仿宋" w:hAnsi="仿宋" w:eastAsia="仿宋" w:cs="仿宋"/>
          <w:b/>
          <w:bCs/>
          <w:color w:val="auto"/>
          <w:sz w:val="21"/>
          <w:szCs w:val="21"/>
          <w:highlight w:val="none"/>
          <w:lang w:eastAsia="zh-CN"/>
        </w:rPr>
      </w:pPr>
    </w:p>
    <w:p>
      <w:pPr>
        <w:shd w:val="clear" w:color="auto" w:fill="auto"/>
        <w:jc w:val="left"/>
        <w:rPr>
          <w:rFonts w:hint="eastAsia" w:ascii="仿宋" w:hAnsi="仿宋" w:eastAsia="仿宋" w:cs="仿宋"/>
          <w:b/>
          <w:bCs/>
          <w:color w:val="auto"/>
          <w:sz w:val="21"/>
          <w:szCs w:val="21"/>
          <w:highlight w:val="none"/>
          <w:lang w:eastAsia="zh-CN"/>
        </w:rPr>
      </w:pPr>
    </w:p>
    <w:p>
      <w:pPr>
        <w:shd w:val="clear" w:color="auto" w:fill="auto"/>
        <w:jc w:val="left"/>
        <w:rPr>
          <w:rFonts w:hint="eastAsia" w:ascii="仿宋" w:hAnsi="仿宋" w:eastAsia="仿宋" w:cs="仿宋"/>
          <w:b/>
          <w:bCs/>
          <w:color w:val="auto"/>
          <w:sz w:val="21"/>
          <w:szCs w:val="21"/>
          <w:highlight w:val="none"/>
          <w:lang w:eastAsia="zh-CN"/>
        </w:rPr>
      </w:pPr>
    </w:p>
    <w:p>
      <w:pPr>
        <w:shd w:val="clear" w:color="auto" w:fill="auto"/>
        <w:jc w:val="left"/>
        <w:rPr>
          <w:rFonts w:hint="eastAsia" w:ascii="仿宋" w:hAnsi="仿宋" w:eastAsia="仿宋" w:cs="仿宋"/>
          <w:b/>
          <w:bCs/>
          <w:color w:val="auto"/>
          <w:sz w:val="21"/>
          <w:szCs w:val="21"/>
          <w:highlight w:val="none"/>
          <w:lang w:eastAsia="zh-CN"/>
        </w:rPr>
      </w:pPr>
    </w:p>
    <w:p>
      <w:pPr>
        <w:shd w:val="clear" w:color="auto" w:fill="auto"/>
        <w:jc w:val="left"/>
        <w:rPr>
          <w:rFonts w:hint="eastAsia" w:ascii="仿宋" w:hAnsi="仿宋" w:eastAsia="仿宋" w:cs="仿宋"/>
          <w:b/>
          <w:bCs/>
          <w:color w:val="auto"/>
          <w:sz w:val="21"/>
          <w:szCs w:val="21"/>
          <w:highlight w:val="none"/>
          <w:lang w:eastAsia="zh-CN"/>
        </w:rPr>
      </w:pPr>
    </w:p>
    <w:p>
      <w:pPr>
        <w:shd w:val="clear" w:color="auto" w:fill="auto"/>
        <w:jc w:val="left"/>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附件：</w:t>
      </w:r>
    </w:p>
    <w:p>
      <w:pPr>
        <w:shd w:val="clear" w:color="auto" w:fill="auto"/>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32"/>
          <w:szCs w:val="32"/>
          <w:highlight w:val="none"/>
          <w:lang w:eastAsia="zh-CN"/>
        </w:rPr>
        <w:t>政府采购投诉书（范本）、质疑函范本</w:t>
      </w:r>
    </w:p>
    <w:p>
      <w:pPr>
        <w:pStyle w:val="4"/>
        <w:keepNext w:val="0"/>
        <w:keepLines w:val="0"/>
        <w:pageBreakBefore w:val="0"/>
        <w:kinsoku/>
        <w:wordWrap/>
        <w:overflowPunct/>
        <w:topLinePunct w:val="0"/>
        <w:autoSpaceDE/>
        <w:autoSpaceDN/>
        <w:bidi w:val="0"/>
        <w:spacing w:line="280" w:lineRule="exact"/>
        <w:jc w:val="center"/>
        <w:textAlignment w:val="auto"/>
        <w:rPr>
          <w:rFonts w:hint="eastAsia" w:eastAsia="方正小标宋_GBK"/>
          <w:color w:val="auto"/>
          <w:highlight w:val="none"/>
          <w:lang w:eastAsia="zh-CN"/>
        </w:rPr>
      </w:pPr>
      <w:bookmarkStart w:id="25" w:name="_Toc13447"/>
      <w:bookmarkStart w:id="26" w:name="_Toc29624"/>
      <w:r>
        <w:rPr>
          <w:rFonts w:hint="eastAsia"/>
          <w:color w:val="auto"/>
          <w:highlight w:val="none"/>
        </w:rPr>
        <w:t>投 诉 书</w:t>
      </w:r>
      <w:bookmarkEnd w:id="25"/>
      <w:bookmarkEnd w:id="26"/>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eastAsia="zh-CN"/>
        </w:rPr>
      </w:pPr>
      <w:bookmarkStart w:id="27" w:name="_Toc21897"/>
      <w:bookmarkStart w:id="28" w:name="_Toc22042"/>
      <w:bookmarkStart w:id="29" w:name="_Toc4730"/>
      <w:bookmarkStart w:id="30" w:name="_Toc30403"/>
      <w:bookmarkStart w:id="31" w:name="_Toc18623"/>
      <w:r>
        <w:rPr>
          <w:rFonts w:hint="eastAsia" w:ascii="仿宋" w:hAnsi="仿宋" w:eastAsia="仿宋" w:cs="仿宋"/>
          <w:color w:val="auto"/>
          <w:sz w:val="21"/>
          <w:szCs w:val="21"/>
          <w:highlight w:val="none"/>
          <w:lang w:eastAsia="zh-CN"/>
        </w:rPr>
        <w:t>一、投诉相关主体基本情况</w:t>
      </w:r>
      <w:bookmarkEnd w:id="27"/>
      <w:bookmarkEnd w:id="28"/>
      <w:bookmarkEnd w:id="29"/>
      <w:bookmarkEnd w:id="30"/>
      <w:bookmarkEnd w:id="31"/>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投诉人：</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址：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邮</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编：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法定代表人/主要负责人：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联系电话：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址：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邮</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编：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授权代表（如有）：</w:t>
      </w:r>
      <w:r>
        <w:rPr>
          <w:rFonts w:hint="eastAsia" w:ascii="仿宋" w:hAnsi="仿宋" w:eastAsia="仿宋" w:cs="仿宋"/>
          <w:color w:val="auto"/>
          <w:sz w:val="21"/>
          <w:szCs w:val="21"/>
          <w:highlight w:val="none"/>
          <w:lang w:val="en-US" w:eastAsia="zh-CN"/>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联系电话：</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地</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址：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邮</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编：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被投诉人</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地</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址：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邮</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编：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联系人：</w:t>
      </w:r>
      <w:r>
        <w:rPr>
          <w:rFonts w:hint="eastAsia" w:ascii="仿宋" w:hAnsi="仿宋" w:eastAsia="仿宋" w:cs="仿宋"/>
          <w:color w:val="auto"/>
          <w:sz w:val="21"/>
          <w:szCs w:val="21"/>
          <w:highlight w:val="none"/>
          <w:lang w:val="en-US" w:eastAsia="zh-CN"/>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联系电话：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被投诉人</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相关供应商</w:t>
      </w:r>
      <w:r>
        <w:rPr>
          <w:rFonts w:hint="eastAsia" w:ascii="仿宋" w:hAnsi="仿宋" w:eastAsia="仿宋" w:cs="仿宋"/>
          <w:color w:val="auto"/>
          <w:sz w:val="21"/>
          <w:szCs w:val="21"/>
          <w:highlight w:val="none"/>
          <w:lang w:eastAsia="zh-CN"/>
        </w:rPr>
        <w:t>（如有）</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址：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邮编：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联系人：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联系电话：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eastAsia="zh-CN"/>
        </w:rPr>
      </w:pPr>
      <w:bookmarkStart w:id="32" w:name="_Toc10853"/>
      <w:bookmarkStart w:id="33" w:name="_Toc25214"/>
      <w:bookmarkStart w:id="34" w:name="_Toc18283"/>
      <w:bookmarkStart w:id="35" w:name="_Toc17048"/>
      <w:bookmarkStart w:id="36" w:name="_Toc7437"/>
      <w:r>
        <w:rPr>
          <w:rFonts w:hint="eastAsia" w:ascii="仿宋" w:hAnsi="仿宋" w:eastAsia="仿宋" w:cs="仿宋"/>
          <w:color w:val="auto"/>
          <w:sz w:val="21"/>
          <w:szCs w:val="21"/>
          <w:highlight w:val="none"/>
          <w:lang w:eastAsia="zh-CN"/>
        </w:rPr>
        <w:t>二、投诉项目基本情况</w:t>
      </w:r>
      <w:bookmarkEnd w:id="32"/>
      <w:bookmarkEnd w:id="33"/>
      <w:bookmarkEnd w:id="34"/>
      <w:bookmarkEnd w:id="35"/>
      <w:bookmarkEnd w:id="36"/>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采购项目名称：</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采购项目编号：</w:t>
      </w:r>
      <w:r>
        <w:rPr>
          <w:rFonts w:hint="eastAsia" w:ascii="仿宋" w:hAnsi="仿宋" w:eastAsia="仿宋" w:cs="仿宋"/>
          <w:color w:val="auto"/>
          <w:sz w:val="21"/>
          <w:szCs w:val="21"/>
          <w:highlight w:val="none"/>
          <w:lang w:val="en-US" w:eastAsia="zh-CN"/>
        </w:rPr>
        <w:t xml:space="preserve">        包号：</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采购人名称：</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代理机构名称：</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采购文件公告：是/否 公告期限：</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采购结果公告：是/否 公告期限：</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bookmarkStart w:id="37" w:name="_Toc2182"/>
      <w:bookmarkStart w:id="38" w:name="_Toc13183"/>
      <w:bookmarkStart w:id="39" w:name="_Toc25877"/>
      <w:bookmarkStart w:id="40" w:name="_Toc14152"/>
      <w:bookmarkStart w:id="41" w:name="_Toc13582"/>
      <w:r>
        <w:rPr>
          <w:rFonts w:hint="eastAsia" w:ascii="仿宋" w:hAnsi="仿宋" w:eastAsia="仿宋" w:cs="仿宋"/>
          <w:color w:val="auto"/>
          <w:sz w:val="21"/>
          <w:szCs w:val="21"/>
          <w:highlight w:val="none"/>
          <w:lang w:val="en-US" w:eastAsia="zh-CN"/>
        </w:rPr>
        <w:t>三、质疑基本情况</w:t>
      </w:r>
      <w:bookmarkEnd w:id="37"/>
      <w:bookmarkEnd w:id="38"/>
      <w:bookmarkEnd w:id="39"/>
      <w:bookmarkEnd w:id="40"/>
      <w:bookmarkEnd w:id="41"/>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投诉人于    年  月  日，向       提出质疑，</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质疑事项为：</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采购人/代理机构于    年  月  日，就质疑事项做出了答复/没有在法定期限内做出答复。</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default" w:ascii="仿宋" w:hAnsi="仿宋" w:eastAsia="仿宋" w:cs="仿宋"/>
          <w:color w:val="auto"/>
          <w:sz w:val="21"/>
          <w:szCs w:val="21"/>
          <w:highlight w:val="none"/>
          <w:lang w:val="en-US" w:eastAsia="zh-CN"/>
        </w:rPr>
      </w:pPr>
      <w:bookmarkStart w:id="42" w:name="_Toc15203"/>
      <w:bookmarkStart w:id="43" w:name="_Toc26083"/>
      <w:bookmarkStart w:id="44" w:name="_Toc17256"/>
      <w:bookmarkStart w:id="45" w:name="_Toc23110"/>
      <w:bookmarkStart w:id="46" w:name="_Toc3347"/>
      <w:r>
        <w:rPr>
          <w:rFonts w:hint="eastAsia" w:ascii="仿宋" w:hAnsi="仿宋" w:eastAsia="仿宋" w:cs="仿宋"/>
          <w:color w:val="auto"/>
          <w:sz w:val="21"/>
          <w:szCs w:val="21"/>
          <w:highlight w:val="none"/>
          <w:lang w:val="en-US" w:eastAsia="zh-CN"/>
        </w:rPr>
        <w:t>四、投诉事项具体内容</w:t>
      </w:r>
      <w:bookmarkEnd w:id="42"/>
      <w:bookmarkEnd w:id="43"/>
      <w:bookmarkEnd w:id="44"/>
      <w:bookmarkEnd w:id="45"/>
      <w:bookmarkEnd w:id="46"/>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投诉事项1：</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事实依据：</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法律依据1：</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法律依据2：</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投诉事项2：</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eastAsia="zh-CN"/>
        </w:rPr>
      </w:pPr>
      <w:bookmarkStart w:id="47" w:name="_Toc32324"/>
      <w:bookmarkStart w:id="48" w:name="_Toc16036"/>
      <w:bookmarkStart w:id="49" w:name="_Toc31495"/>
      <w:bookmarkStart w:id="50" w:name="_Toc13424"/>
      <w:bookmarkStart w:id="51" w:name="_Toc16741"/>
      <w:r>
        <w:rPr>
          <w:rFonts w:hint="eastAsia" w:ascii="仿宋" w:hAnsi="仿宋" w:eastAsia="仿宋" w:cs="仿宋"/>
          <w:color w:val="auto"/>
          <w:sz w:val="21"/>
          <w:szCs w:val="21"/>
          <w:highlight w:val="none"/>
          <w:lang w:eastAsia="zh-CN"/>
        </w:rPr>
        <w:t>五、与投诉事项相关的投诉请求</w:t>
      </w:r>
      <w:bookmarkEnd w:id="47"/>
      <w:bookmarkEnd w:id="48"/>
      <w:bookmarkEnd w:id="49"/>
      <w:bookmarkEnd w:id="50"/>
      <w:bookmarkEnd w:id="51"/>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请求：</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eastAsia="zh-CN"/>
        </w:rPr>
        <w:t>签字（签章）（法人代表或负责人、代理人）：</w:t>
      </w:r>
      <w:r>
        <w:rPr>
          <w:rFonts w:hint="eastAsia" w:ascii="仿宋" w:hAnsi="仿宋" w:eastAsia="仿宋" w:cs="仿宋"/>
          <w:color w:val="auto"/>
          <w:sz w:val="21"/>
          <w:szCs w:val="21"/>
          <w:highlight w:val="none"/>
          <w:lang w:val="en-US" w:eastAsia="zh-CN"/>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公章（单位）：</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日期：</w:t>
      </w:r>
    </w:p>
    <w:p>
      <w:pPr>
        <w:keepNext w:val="0"/>
        <w:keepLines w:val="0"/>
        <w:pageBreakBefore w:val="0"/>
        <w:widowControl/>
        <w:shd w:val="clear" w:color="auto" w:fill="auto"/>
        <w:kinsoku/>
        <w:wordWrap/>
        <w:overflowPunct/>
        <w:topLinePunct w:val="0"/>
        <w:autoSpaceDE/>
        <w:autoSpaceDN/>
        <w:bidi w:val="0"/>
        <w:adjustRightInd/>
        <w:snapToGrid/>
        <w:spacing w:line="280" w:lineRule="exact"/>
        <w:ind w:firstLine="420"/>
        <w:jc w:val="left"/>
        <w:textAlignment w:val="auto"/>
        <w:rPr>
          <w:rFonts w:hint="eastAsia" w:ascii="仿宋" w:hAnsi="仿宋" w:eastAsia="仿宋" w:cs="仿宋"/>
          <w:color w:val="auto"/>
          <w:sz w:val="21"/>
          <w:szCs w:val="21"/>
          <w:highlight w:val="none"/>
          <w:lang w:eastAsia="zh-CN"/>
        </w:rPr>
      </w:pPr>
      <w:bookmarkStart w:id="52" w:name="_Toc7988"/>
      <w:r>
        <w:rPr>
          <w:rFonts w:hint="eastAsia" w:ascii="仿宋" w:hAnsi="仿宋" w:eastAsia="仿宋" w:cs="仿宋"/>
          <w:color w:val="auto"/>
          <w:sz w:val="21"/>
          <w:szCs w:val="21"/>
          <w:highlight w:val="none"/>
          <w:lang w:eastAsia="zh-CN"/>
        </w:rPr>
        <w:t>附件：质疑及答复材料</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eastAsia="zh-CN"/>
        </w:rPr>
      </w:pPr>
      <w:bookmarkStart w:id="53" w:name="_Toc20349"/>
      <w:r>
        <w:rPr>
          <w:rFonts w:hint="eastAsia" w:ascii="仿宋" w:hAnsi="仿宋" w:eastAsia="仿宋" w:cs="仿宋"/>
          <w:color w:val="auto"/>
          <w:sz w:val="21"/>
          <w:szCs w:val="21"/>
          <w:highlight w:val="none"/>
          <w:lang w:eastAsia="zh-CN"/>
        </w:rPr>
        <w:br w:type="page"/>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eastAsia="zh-CN"/>
        </w:rPr>
      </w:pPr>
      <w:bookmarkStart w:id="54" w:name="_Toc5781"/>
      <w:bookmarkStart w:id="55" w:name="_Toc29658"/>
      <w:bookmarkStart w:id="56" w:name="_Toc31452"/>
      <w:r>
        <w:rPr>
          <w:rFonts w:hint="eastAsia" w:ascii="仿宋" w:hAnsi="仿宋" w:eastAsia="仿宋" w:cs="仿宋"/>
          <w:color w:val="auto"/>
          <w:sz w:val="21"/>
          <w:szCs w:val="21"/>
          <w:highlight w:val="none"/>
          <w:lang w:eastAsia="zh-CN"/>
        </w:rPr>
        <w:t>投诉书制作说明：</w:t>
      </w:r>
      <w:bookmarkEnd w:id="52"/>
      <w:bookmarkEnd w:id="53"/>
      <w:bookmarkEnd w:id="54"/>
      <w:bookmarkEnd w:id="55"/>
      <w:bookmarkEnd w:id="56"/>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1.投诉人应当按照</w:t>
      </w:r>
      <w:r>
        <w:rPr>
          <w:rFonts w:hint="default" w:ascii="仿宋" w:hAnsi="仿宋" w:eastAsia="仿宋" w:cs="仿宋"/>
          <w:color w:val="auto"/>
          <w:sz w:val="21"/>
          <w:szCs w:val="21"/>
          <w:highlight w:val="none"/>
          <w:lang w:val="en-US" w:eastAsia="zh-CN"/>
        </w:rPr>
        <w:t>《政府采购质疑和投诉办法》</w:t>
      </w:r>
      <w:r>
        <w:rPr>
          <w:rFonts w:hint="eastAsia" w:ascii="仿宋" w:hAnsi="仿宋" w:eastAsia="仿宋" w:cs="仿宋"/>
          <w:color w:val="auto"/>
          <w:sz w:val="21"/>
          <w:szCs w:val="21"/>
          <w:highlight w:val="none"/>
          <w:lang w:val="en-US" w:eastAsia="zh-CN"/>
        </w:rPr>
        <w:t>（财政部令第94号）规定提起投诉。</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2.投诉人提起投诉时，应当提交投诉书和必要的证明材料，并按照被投诉人和与投诉事项有关的供应商数量提供投诉书副本。</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3.投诉人若委托代理人进行投诉的，投诉书应按照要求列明“授权代表”的有关内容，并在附件中提交由投诉人签署的授权委托书。授权委托书应当载明代理人的姓名或者名称、代理事项、具体权限、期限和相关事项。</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4.投诉人若对项目的某一分包进行投诉，投诉书应列明具体分包号。</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5.投诉书应简要列明质疑事项，质疑函、质疑答复等作为附件材料提供。</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6.投诉书的投诉事项应具体、明确，并由必要的事实依据和法律依据。</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7.投诉书的投诉请求应与投诉事项相关。</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8.投诉人为自然人的，投诉书应当由本人签字；投诉书应当由法定代表人、主要负责人，或者其授权代表签字或者盖章，并加盖公章。</w:t>
      </w:r>
    </w:p>
    <w:p>
      <w:pPr>
        <w:widowControl/>
        <w:numPr>
          <w:ilvl w:val="0"/>
          <w:numId w:val="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600" w:lineRule="exact"/>
        <w:jc w:val="left"/>
        <w:rPr>
          <w:color w:val="auto"/>
        </w:rPr>
      </w:pPr>
    </w:p>
    <w:p>
      <w:pPr>
        <w:shd w:val="clear" w:color="auto" w:fill="auto"/>
        <w:ind w:left="7951" w:hanging="7920" w:hangingChars="1800"/>
        <w:jc w:val="center"/>
        <w:rPr>
          <w:rFonts w:hint="eastAsia" w:ascii="仿宋" w:hAnsi="仿宋" w:eastAsia="仿宋" w:cs="仿宋"/>
          <w:b/>
          <w:bCs/>
          <w:color w:val="auto"/>
          <w:sz w:val="44"/>
          <w:szCs w:val="44"/>
          <w:highlight w:val="none"/>
        </w:rPr>
      </w:pPr>
    </w:p>
    <w:p>
      <w:pPr>
        <w:shd w:val="clear" w:color="auto" w:fill="auto"/>
        <w:ind w:left="7951" w:hanging="7920" w:hangingChars="1800"/>
        <w:jc w:val="center"/>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pStyle w:val="16"/>
        <w:rPr>
          <w:rFonts w:hint="eastAsia" w:ascii="仿宋" w:hAnsi="仿宋" w:eastAsia="仿宋" w:cs="仿宋"/>
          <w:b/>
          <w:bCs/>
          <w:color w:val="auto"/>
          <w:sz w:val="44"/>
          <w:szCs w:val="44"/>
          <w:highlight w:val="none"/>
        </w:rPr>
      </w:pPr>
    </w:p>
    <w:p>
      <w:pPr>
        <w:shd w:val="clear" w:color="auto" w:fill="auto"/>
        <w:ind w:left="7951" w:hanging="5760" w:hangingChars="1800"/>
        <w:jc w:val="center"/>
        <w:outlineLvl w:val="0"/>
        <w:rPr>
          <w:rFonts w:hint="eastAsia" w:ascii="仿宋" w:hAnsi="仿宋" w:eastAsia="仿宋" w:cs="仿宋"/>
          <w:b/>
          <w:bCs/>
          <w:color w:val="auto"/>
          <w:sz w:val="32"/>
          <w:szCs w:val="32"/>
          <w:highlight w:val="none"/>
        </w:rPr>
      </w:pPr>
      <w:bookmarkStart w:id="57" w:name="_Toc17515"/>
    </w:p>
    <w:p>
      <w:pPr>
        <w:shd w:val="clear" w:color="auto" w:fill="auto"/>
        <w:ind w:left="7951" w:hanging="5760" w:hangingChars="1800"/>
        <w:jc w:val="center"/>
        <w:outlineLvl w:val="0"/>
        <w:rPr>
          <w:rFonts w:hint="eastAsia" w:ascii="仿宋" w:hAnsi="仿宋" w:eastAsia="仿宋" w:cs="仿宋"/>
          <w:color w:val="auto"/>
          <w:sz w:val="32"/>
          <w:szCs w:val="32"/>
          <w:highlight w:val="none"/>
        </w:rPr>
      </w:pPr>
      <w:r>
        <w:rPr>
          <w:rFonts w:hint="eastAsia" w:ascii="仿宋" w:hAnsi="仿宋" w:eastAsia="仿宋" w:cs="仿宋"/>
          <w:b/>
          <w:bCs/>
          <w:color w:val="auto"/>
          <w:sz w:val="32"/>
          <w:szCs w:val="32"/>
          <w:highlight w:val="none"/>
        </w:rPr>
        <w:t>投诉相关说明</w:t>
      </w:r>
      <w:bookmarkEnd w:id="57"/>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投诉人应当满足《政府采购法》、《政府采购法实施条例》和《政府采购供应商投诉处理办法》的相关规定。</w:t>
      </w:r>
    </w:p>
    <w:p>
      <w:pPr>
        <w:keepNext w:val="0"/>
        <w:keepLines w:val="0"/>
        <w:pageBreakBefore w:val="0"/>
        <w:numPr>
          <w:ilvl w:val="0"/>
          <w:numId w:val="5"/>
        </w:numPr>
        <w:shd w:val="clear" w:color="auto" w:fill="auto"/>
        <w:kinsoku/>
        <w:wordWrap/>
        <w:overflowPunct/>
        <w:topLinePunct w:val="0"/>
        <w:autoSpaceDE/>
        <w:autoSpaceDN/>
        <w:bidi w:val="0"/>
        <w:adjustRightInd/>
        <w:snapToGrid/>
        <w:spacing w:line="400" w:lineRule="exact"/>
        <w:ind w:left="4089" w:leftChars="304" w:hanging="3360" w:hangingChars="1600"/>
        <w:textAlignment w:val="auto"/>
        <w:outlineLvl w:val="0"/>
        <w:rPr>
          <w:rFonts w:hint="eastAsia" w:ascii="仿宋" w:hAnsi="仿宋" w:eastAsia="仿宋" w:cs="仿宋"/>
          <w:b/>
          <w:bCs/>
          <w:color w:val="auto"/>
          <w:sz w:val="21"/>
          <w:szCs w:val="21"/>
          <w:highlight w:val="none"/>
        </w:rPr>
      </w:pPr>
      <w:bookmarkStart w:id="58" w:name="_Toc11499"/>
      <w:r>
        <w:rPr>
          <w:rFonts w:hint="eastAsia" w:ascii="仿宋" w:hAnsi="仿宋" w:eastAsia="仿宋" w:cs="仿宋"/>
          <w:b/>
          <w:bCs/>
          <w:color w:val="auto"/>
          <w:sz w:val="21"/>
          <w:szCs w:val="21"/>
          <w:highlight w:val="none"/>
        </w:rPr>
        <w:t>质疑前置及时间要求</w:t>
      </w:r>
      <w:bookmarkEnd w:id="58"/>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kern w:val="0"/>
          <w:sz w:val="21"/>
          <w:szCs w:val="21"/>
          <w:highlight w:val="none"/>
          <w:shd w:val="clear" w:color="auto" w:fill="FFFFFF"/>
        </w:rPr>
      </w:pPr>
      <w:r>
        <w:rPr>
          <w:rFonts w:hint="eastAsia" w:ascii="仿宋" w:hAnsi="仿宋" w:eastAsia="仿宋" w:cs="仿宋"/>
          <w:color w:val="auto"/>
          <w:sz w:val="21"/>
          <w:szCs w:val="21"/>
          <w:highlight w:val="none"/>
        </w:rPr>
        <w:t>《中华人民共和国政府采购法》</w:t>
      </w:r>
      <w:r>
        <w:rPr>
          <w:rFonts w:hint="eastAsia" w:ascii="仿宋" w:hAnsi="仿宋" w:eastAsia="仿宋" w:cs="仿宋"/>
          <w:color w:val="auto"/>
          <w:kern w:val="0"/>
          <w:sz w:val="21"/>
          <w:szCs w:val="21"/>
          <w:highlight w:val="none"/>
          <w:shd w:val="clear" w:color="auto" w:fill="FFFFFF"/>
        </w:rPr>
        <w:t>第五十一条：供应商对政府采购活动事项有疑问的，可以向采购人提出询问，采购人应当及时作出答复，但答复的内容不得涉及商业秘密。</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shd w:val="clear" w:color="auto" w:fill="FFFFFF"/>
        </w:rPr>
        <w:t xml:space="preserve"> 第五十二条：供应商认为采购文件、采购过程和中标、</w:t>
      </w:r>
      <w:r>
        <w:rPr>
          <w:rFonts w:hint="eastAsia" w:ascii="仿宋" w:hAnsi="仿宋" w:eastAsia="仿宋" w:cs="仿宋"/>
          <w:color w:val="auto"/>
          <w:kern w:val="0"/>
          <w:sz w:val="21"/>
          <w:szCs w:val="21"/>
          <w:highlight w:val="none"/>
          <w:shd w:val="clear" w:color="auto" w:fill="FFFFFF"/>
          <w:lang w:eastAsia="zh-CN"/>
        </w:rPr>
        <w:t>中标</w:t>
      </w:r>
      <w:r>
        <w:rPr>
          <w:rFonts w:hint="eastAsia" w:ascii="仿宋" w:hAnsi="仿宋" w:eastAsia="仿宋" w:cs="仿宋"/>
          <w:color w:val="auto"/>
          <w:kern w:val="0"/>
          <w:sz w:val="21"/>
          <w:szCs w:val="21"/>
          <w:highlight w:val="none"/>
          <w:shd w:val="clear" w:color="auto" w:fill="FFFFFF"/>
        </w:rPr>
        <w:t>结果使自己的权益受到损害的，可以在知道或者应知其权益受到损害之日起七个工作日内，以书面形式向采购人提出质疑。</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kern w:val="0"/>
          <w:sz w:val="21"/>
          <w:szCs w:val="21"/>
          <w:highlight w:val="none"/>
          <w:shd w:val="clear" w:color="auto" w:fill="FFFFFF"/>
        </w:rPr>
      </w:pPr>
      <w:r>
        <w:rPr>
          <w:rFonts w:hint="eastAsia" w:ascii="仿宋" w:hAnsi="仿宋" w:eastAsia="仿宋" w:cs="仿宋"/>
          <w:color w:val="auto"/>
          <w:kern w:val="0"/>
          <w:sz w:val="21"/>
          <w:szCs w:val="21"/>
          <w:highlight w:val="none"/>
          <w:shd w:val="clear" w:color="auto" w:fill="FFFFFF"/>
        </w:rPr>
        <w:t xml:space="preserve"> 第五十三条：采购人应当在收到供应商的书面质疑后七个工作日内作出答复，并以书面形式通知质疑供应商和其他有关供应商，但答复的内容不得涉及商业秘密。</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kern w:val="0"/>
          <w:sz w:val="21"/>
          <w:szCs w:val="21"/>
          <w:highlight w:val="none"/>
          <w:shd w:val="clear" w:color="auto" w:fill="FFFFFF"/>
        </w:rPr>
      </w:pPr>
      <w:r>
        <w:rPr>
          <w:rFonts w:hint="eastAsia" w:ascii="仿宋" w:hAnsi="仿宋" w:eastAsia="仿宋" w:cs="仿宋"/>
          <w:color w:val="auto"/>
          <w:kern w:val="0"/>
          <w:sz w:val="21"/>
          <w:szCs w:val="21"/>
          <w:highlight w:val="none"/>
          <w:shd w:val="clear" w:color="auto" w:fill="FFFFFF"/>
        </w:rPr>
        <w:t xml:space="preserve"> 第五十五条:质疑供应商对采购人、采购代理机构的答复不满意或者采购人、采购代理机构未在规定的时间内作出答复的，可以在答复期满后十五个工作日内向同级政府采购监督管理部门投诉。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shd w:val="clear" w:color="auto" w:fill="auto"/>
        <w:kinsoku/>
        <w:wordWrap/>
        <w:overflowPunct/>
        <w:topLinePunct w:val="0"/>
        <w:autoSpaceDE/>
        <w:autoSpaceDN/>
        <w:bidi w:val="0"/>
        <w:adjustRightInd/>
        <w:snapToGrid/>
        <w:spacing w:line="400" w:lineRule="exact"/>
        <w:ind w:firstLine="420"/>
        <w:jc w:val="left"/>
        <w:textAlignment w:val="auto"/>
        <w:rPr>
          <w:rFonts w:hint="eastAsia" w:ascii="仿宋" w:hAnsi="仿宋" w:eastAsia="仿宋" w:cs="仿宋"/>
          <w:color w:val="auto"/>
          <w:kern w:val="0"/>
          <w:sz w:val="21"/>
          <w:szCs w:val="21"/>
          <w:highlight w:val="none"/>
          <w:shd w:val="clear" w:color="auto" w:fill="FFFFFF"/>
        </w:rPr>
      </w:pPr>
      <w:r>
        <w:rPr>
          <w:rFonts w:hint="eastAsia" w:ascii="仿宋" w:hAnsi="仿宋" w:eastAsia="仿宋" w:cs="仿宋"/>
          <w:color w:val="auto"/>
          <w:kern w:val="0"/>
          <w:sz w:val="21"/>
          <w:szCs w:val="21"/>
          <w:highlight w:val="none"/>
          <w:shd w:val="clear" w:color="auto" w:fill="FFFFFF"/>
        </w:rPr>
        <w:t xml:space="preserve">  《政府采购实施条例》第五十五条：供应商质疑、投诉应当有明确的请求和必要的证明材料。供应商投诉的事项不得超出质疑事项的范围。</w:t>
      </w: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b/>
          <w:bCs/>
          <w:color w:val="auto"/>
          <w:sz w:val="21"/>
          <w:szCs w:val="21"/>
          <w:highlight w:val="none"/>
        </w:rPr>
        <w:t xml:space="preserve">   </w:t>
      </w:r>
      <w:bookmarkStart w:id="59" w:name="_Toc13508"/>
      <w:r>
        <w:rPr>
          <w:rFonts w:hint="eastAsia" w:ascii="仿宋" w:hAnsi="仿宋" w:eastAsia="仿宋" w:cs="仿宋"/>
          <w:b/>
          <w:bCs/>
          <w:color w:val="auto"/>
          <w:sz w:val="21"/>
          <w:szCs w:val="21"/>
          <w:highlight w:val="none"/>
        </w:rPr>
        <w:t>二、书面方式</w:t>
      </w:r>
      <w:bookmarkEnd w:id="59"/>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《政府采购供应商投诉处理办法》第八条：投诉人投诉</w:t>
      </w: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时，应当提交投诉书，并按照被投诉人以及与投诉事项有关的供应商数量提供投诉书的副本。</w:t>
      </w: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投诉书应当包括下列主要内容：</w:t>
      </w:r>
    </w:p>
    <w:p>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投诉人和被投诉人的名称、地址、电话等；</w:t>
      </w:r>
    </w:p>
    <w:p>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具体的投诉事项及事实依据；</w:t>
      </w:r>
    </w:p>
    <w:p>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质疑和质疑答复情况及相关证明材料；</w:t>
      </w:r>
    </w:p>
    <w:p>
      <w:pPr>
        <w:keepNext w:val="0"/>
        <w:keepLines w:val="0"/>
        <w:pageBreakBefore w:val="0"/>
        <w:numPr>
          <w:ilvl w:val="0"/>
          <w:numId w:val="6"/>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提起投诉的日期。</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投诉书应当署名。投诉人为自然人，应当由本人</w:t>
      </w:r>
      <w:r>
        <w:rPr>
          <w:rFonts w:hint="eastAsia" w:ascii="仿宋" w:hAnsi="仿宋" w:eastAsia="仿宋" w:cs="仿宋"/>
          <w:color w:val="auto"/>
          <w:sz w:val="21"/>
          <w:szCs w:val="21"/>
          <w:highlight w:val="none"/>
          <w:lang w:eastAsia="zh-CN"/>
        </w:rPr>
        <w:t>签章</w:t>
      </w:r>
      <w:r>
        <w:rPr>
          <w:rFonts w:hint="eastAsia" w:ascii="仿宋" w:hAnsi="仿宋" w:eastAsia="仿宋" w:cs="仿宋"/>
          <w:color w:val="auto"/>
          <w:sz w:val="21"/>
          <w:szCs w:val="21"/>
          <w:highlight w:val="none"/>
        </w:rPr>
        <w:t>；投诉人为法人或者其他组织的，应当由法定代表人或者主要负责人</w:t>
      </w:r>
      <w:r>
        <w:rPr>
          <w:rFonts w:hint="eastAsia" w:ascii="仿宋" w:hAnsi="仿宋" w:eastAsia="仿宋" w:cs="仿宋"/>
          <w:color w:val="auto"/>
          <w:sz w:val="21"/>
          <w:szCs w:val="21"/>
          <w:highlight w:val="none"/>
          <w:lang w:eastAsia="zh-CN"/>
        </w:rPr>
        <w:t>签章</w:t>
      </w:r>
      <w:r>
        <w:rPr>
          <w:rFonts w:hint="eastAsia" w:ascii="仿宋" w:hAnsi="仿宋" w:eastAsia="仿宋" w:cs="仿宋"/>
          <w:color w:val="auto"/>
          <w:sz w:val="21"/>
          <w:szCs w:val="21"/>
          <w:highlight w:val="none"/>
        </w:rPr>
        <w:t>并加盖公章。</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政府采购供应商投诉处理办法》第九条：投诉人可以委托代理人办理投诉事务。代理人办理投书事务时，除提交投诉书外，还应当向同级财政部门提交投诉人的授权委托书，授权委托书应当载明委托代理的具体权限和事项。</w:t>
      </w:r>
    </w:p>
    <w:p>
      <w:pPr>
        <w:keepNext w:val="0"/>
        <w:keepLines w:val="0"/>
        <w:pageBreakBefore w:val="0"/>
        <w:shd w:val="clear" w:color="auto" w:fill="auto"/>
        <w:kinsoku/>
        <w:wordWrap/>
        <w:overflowPunct/>
        <w:topLinePunct w:val="0"/>
        <w:autoSpaceDE/>
        <w:autoSpaceDN/>
        <w:bidi w:val="0"/>
        <w:adjustRightInd/>
        <w:snapToGrid/>
        <w:spacing w:line="400" w:lineRule="exact"/>
        <w:ind w:firstLine="645"/>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《政府采购供应商投诉处理办法》第十条：投诉人提起投诉应当符合下列条件：</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投诉人是参与所投诉政府采购活动的供应商；</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提起投诉诉前已依法进行质疑；</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投诉书内容符合本办法的规定；</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在投诉有效期内提起投诉；</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属于本级财政部门管辖；</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同一投诉事项未经财政部门投诉处理；</w:t>
      </w:r>
    </w:p>
    <w:p>
      <w:pPr>
        <w:keepNext w:val="0"/>
        <w:keepLines w:val="0"/>
        <w:pageBreakBefore w:val="0"/>
        <w:numPr>
          <w:ilvl w:val="0"/>
          <w:numId w:val="7"/>
        </w:numPr>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国务院财政部门规定的其他条件。</w:t>
      </w:r>
    </w:p>
    <w:p>
      <w:pPr>
        <w:keepNext w:val="0"/>
        <w:keepLines w:val="0"/>
        <w:pageBreakBefore w:val="0"/>
        <w:shd w:val="clear" w:color="auto" w:fill="auto"/>
        <w:kinsoku/>
        <w:wordWrap/>
        <w:overflowPunct/>
        <w:topLinePunct w:val="0"/>
        <w:autoSpaceDE/>
        <w:autoSpaceDN/>
        <w:bidi w:val="0"/>
        <w:adjustRightInd/>
        <w:snapToGrid/>
        <w:spacing w:line="400" w:lineRule="exact"/>
        <w:ind w:left="5760" w:hanging="3780" w:hangingChars="18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p>
    <w:p>
      <w:pPr>
        <w:shd w:val="clear" w:color="auto" w:fill="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b/>
          <w:bCs/>
          <w:color w:val="auto"/>
          <w:sz w:val="21"/>
          <w:szCs w:val="21"/>
          <w:highlight w:val="none"/>
        </w:rPr>
        <w:t xml:space="preserve">   </w:t>
      </w:r>
      <w:bookmarkStart w:id="60" w:name="_Toc5978"/>
      <w:r>
        <w:rPr>
          <w:rFonts w:hint="eastAsia" w:ascii="仿宋" w:hAnsi="仿宋" w:eastAsia="仿宋" w:cs="仿宋"/>
          <w:b/>
          <w:bCs/>
          <w:color w:val="auto"/>
          <w:sz w:val="21"/>
          <w:szCs w:val="21"/>
          <w:highlight w:val="none"/>
        </w:rPr>
        <w:t>三、虚假、恶意投诉法律责任</w:t>
      </w:r>
      <w:bookmarkEnd w:id="60"/>
    </w:p>
    <w:p>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第七十三条：供应商捏造实施、提供虚假材料或者以非法手段取得证明材料进行投诉的，由财政部门列入不良行为记录名单，禁止其1至3年内参加政府采购活动。</w:t>
      </w:r>
    </w:p>
    <w:p>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《政府采购供应商投诉处理办法》第二十六条：投诉人有下列情形之一的，属于虚假、恶意投诉，财政部门应当驳回投诉，将其列入不良行为记录名单，并依法予以处罚：</w:t>
      </w:r>
    </w:p>
    <w:p>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（一）1年内3次以上投诉均查无实据的；</w:t>
      </w:r>
    </w:p>
    <w:p>
      <w:pPr>
        <w:keepNext w:val="0"/>
        <w:keepLines w:val="0"/>
        <w:pageBreakBefore w:val="0"/>
        <w:shd w:val="clear" w:color="auto" w:fill="auto"/>
        <w:kinsoku/>
        <w:wordWrap/>
        <w:overflowPunct/>
        <w:topLinePunct w:val="0"/>
        <w:autoSpaceDE/>
        <w:autoSpaceDN/>
        <w:bidi w:val="0"/>
        <w:adjustRightInd/>
        <w:snapToGrid/>
        <w:spacing w:line="40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（二）捏造事实或者提供虚假投诉材料的。</w:t>
      </w: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p>
    <w:p>
      <w:pPr>
        <w:keepNext w:val="0"/>
        <w:keepLines w:val="0"/>
        <w:pageBreakBefore w:val="0"/>
        <w:shd w:val="clear" w:color="auto" w:fill="auto"/>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1"/>
          <w:szCs w:val="21"/>
          <w:highlight w:val="none"/>
        </w:rPr>
      </w:pPr>
    </w:p>
    <w:p>
      <w:pPr>
        <w:shd w:val="clear" w:color="auto" w:fill="auto"/>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递交投诉书地址：</w:t>
      </w:r>
      <w:r>
        <w:rPr>
          <w:rFonts w:hint="eastAsia" w:ascii="仿宋" w:hAnsi="仿宋" w:eastAsia="仿宋" w:cs="仿宋"/>
          <w:color w:val="auto"/>
          <w:sz w:val="21"/>
          <w:szCs w:val="21"/>
          <w:highlight w:val="none"/>
          <w:lang w:val="en-US" w:eastAsia="zh-CN"/>
        </w:rPr>
        <w:t>克州政府采购办</w:t>
      </w:r>
      <w:r>
        <w:rPr>
          <w:rFonts w:hint="eastAsia" w:ascii="仿宋" w:hAnsi="仿宋" w:eastAsia="仿宋" w:cs="仿宋"/>
          <w:color w:val="auto"/>
          <w:sz w:val="21"/>
          <w:szCs w:val="21"/>
          <w:highlight w:val="none"/>
        </w:rPr>
        <w:t>监管办公室</w:t>
      </w:r>
    </w:p>
    <w:p>
      <w:pPr>
        <w:shd w:val="clear" w:color="auto" w:fill="auto"/>
        <w:jc w:val="right"/>
        <w:rPr>
          <w:rFonts w:hint="eastAsia" w:ascii="仿宋" w:hAnsi="仿宋" w:eastAsia="仿宋" w:cs="仿宋"/>
          <w:color w:val="auto"/>
          <w:sz w:val="32"/>
          <w:szCs w:val="32"/>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pStyle w:val="8"/>
        <w:numPr>
          <w:ilvl w:val="0"/>
          <w:numId w:val="0"/>
        </w:numPr>
        <w:ind w:leftChars="0" w:right="0" w:rightChars="0"/>
        <w:rPr>
          <w:rFonts w:hint="eastAsia"/>
          <w:color w:val="auto"/>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rPr>
          <w:rFonts w:hint="eastAsia" w:ascii="仿宋" w:hAnsi="仿宋" w:eastAsia="仿宋" w:cs="仿宋"/>
          <w:b/>
          <w:bCs/>
          <w:color w:val="auto"/>
          <w:sz w:val="44"/>
          <w:szCs w:val="44"/>
          <w:highlight w:val="none"/>
        </w:rPr>
      </w:pPr>
    </w:p>
    <w:p>
      <w:pPr>
        <w:pStyle w:val="38"/>
        <w:rPr>
          <w:rFonts w:hint="eastAsia"/>
          <w:color w:val="auto"/>
        </w:rPr>
      </w:pPr>
    </w:p>
    <w:p>
      <w:pPr>
        <w:keepNext w:val="0"/>
        <w:keepLines w:val="0"/>
        <w:pageBreakBefore w:val="0"/>
        <w:widowControl w:val="0"/>
        <w:shd w:val="clear" w:color="auto" w:fill="auto"/>
        <w:kinsoku/>
        <w:wordWrap/>
        <w:overflowPunct/>
        <w:topLinePunct w:val="0"/>
        <w:autoSpaceDE/>
        <w:autoSpaceDN/>
        <w:bidi w:val="0"/>
        <w:spacing w:line="540" w:lineRule="exact"/>
        <w:jc w:val="both"/>
        <w:textAlignment w:val="auto"/>
        <w:outlineLvl w:val="0"/>
        <w:rPr>
          <w:rFonts w:hint="eastAsia" w:ascii="仿宋" w:hAnsi="仿宋" w:eastAsia="仿宋" w:cs="仿宋"/>
          <w:b/>
          <w:bCs/>
          <w:color w:val="auto"/>
          <w:sz w:val="44"/>
          <w:szCs w:val="44"/>
          <w:highlight w:val="none"/>
        </w:rPr>
      </w:pPr>
      <w:bookmarkStart w:id="61" w:name="_Toc1697"/>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仿宋" w:hAnsi="仿宋" w:eastAsia="仿宋" w:cs="仿宋"/>
          <w:b/>
          <w:bCs/>
          <w:color w:val="auto"/>
          <w:sz w:val="44"/>
          <w:szCs w:val="44"/>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仿宋" w:hAnsi="仿宋" w:eastAsia="仿宋" w:cs="仿宋"/>
          <w:b/>
          <w:bCs/>
          <w:color w:val="auto"/>
          <w:sz w:val="32"/>
          <w:szCs w:val="32"/>
          <w:highlight w:val="none"/>
        </w:rPr>
      </w:pPr>
    </w:p>
    <w:p>
      <w:pPr>
        <w:keepNext w:val="0"/>
        <w:keepLines w:val="0"/>
        <w:pageBreakBefore w:val="0"/>
        <w:widowControl w:val="0"/>
        <w:shd w:val="clear" w:color="auto" w:fill="auto"/>
        <w:kinsoku/>
        <w:wordWrap/>
        <w:overflowPunct/>
        <w:topLinePunct w:val="0"/>
        <w:autoSpaceDE/>
        <w:autoSpaceDN/>
        <w:bidi w:val="0"/>
        <w:spacing w:line="540" w:lineRule="exact"/>
        <w:jc w:val="center"/>
        <w:textAlignment w:val="auto"/>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质疑函范本</w:t>
      </w:r>
      <w:bookmarkEnd w:id="61"/>
    </w:p>
    <w:p>
      <w:pPr>
        <w:keepNext w:val="0"/>
        <w:keepLines w:val="0"/>
        <w:pageBreakBefore w:val="0"/>
        <w:widowControl w:val="0"/>
        <w:shd w:val="clear" w:color="auto" w:fill="auto"/>
        <w:kinsoku/>
        <w:wordWrap/>
        <w:overflowPunct/>
        <w:topLinePunct w:val="0"/>
        <w:autoSpaceDE/>
        <w:autoSpaceDN/>
        <w:bidi w:val="0"/>
        <w:adjustRightInd w:val="0"/>
        <w:snapToGrid w:val="0"/>
        <w:spacing w:beforeLines="100" w:line="540" w:lineRule="exact"/>
        <w:ind w:firstLine="420" w:firstLineChars="200"/>
        <w:textAlignment w:val="auto"/>
        <w:outlineLvl w:val="0"/>
        <w:rPr>
          <w:rFonts w:hint="eastAsia" w:ascii="仿宋" w:hAnsi="仿宋" w:eastAsia="仿宋" w:cs="仿宋"/>
          <w:bCs/>
          <w:color w:val="auto"/>
          <w:sz w:val="21"/>
          <w:szCs w:val="21"/>
          <w:highlight w:val="none"/>
        </w:rPr>
      </w:pPr>
      <w:bookmarkStart w:id="62" w:name="_Toc9061"/>
      <w:r>
        <w:rPr>
          <w:rFonts w:hint="eastAsia" w:ascii="仿宋" w:hAnsi="仿宋" w:eastAsia="仿宋" w:cs="仿宋"/>
          <w:bCs/>
          <w:color w:val="auto"/>
          <w:sz w:val="21"/>
          <w:szCs w:val="21"/>
          <w:highlight w:val="none"/>
        </w:rPr>
        <w:t>一、质疑供应商基本信息</w:t>
      </w:r>
      <w:bookmarkEnd w:id="62"/>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质疑供应商：</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授权代表：</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地址： </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0"/>
        <w:rPr>
          <w:rFonts w:hint="eastAsia" w:ascii="仿宋" w:hAnsi="仿宋" w:eastAsia="仿宋" w:cs="仿宋"/>
          <w:bCs/>
          <w:color w:val="auto"/>
          <w:sz w:val="21"/>
          <w:szCs w:val="21"/>
          <w:highlight w:val="none"/>
        </w:rPr>
      </w:pPr>
      <w:bookmarkStart w:id="63" w:name="_Toc15938"/>
      <w:r>
        <w:rPr>
          <w:rFonts w:hint="eastAsia" w:ascii="仿宋" w:hAnsi="仿宋" w:eastAsia="仿宋" w:cs="仿宋"/>
          <w:bCs/>
          <w:color w:val="auto"/>
          <w:sz w:val="21"/>
          <w:szCs w:val="21"/>
          <w:highlight w:val="none"/>
        </w:rPr>
        <w:t>二、质疑项目基本情况</w:t>
      </w:r>
      <w:bookmarkEnd w:id="63"/>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质疑项目的名称：</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质疑项目的编号：</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包号：</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采购人名称：</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采购文件获取日期：</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0"/>
        <w:rPr>
          <w:rFonts w:hint="eastAsia" w:ascii="仿宋" w:hAnsi="仿宋" w:eastAsia="仿宋" w:cs="仿宋"/>
          <w:bCs/>
          <w:color w:val="auto"/>
          <w:sz w:val="21"/>
          <w:szCs w:val="21"/>
          <w:highlight w:val="none"/>
        </w:rPr>
      </w:pPr>
      <w:bookmarkStart w:id="64" w:name="_Toc18271"/>
      <w:r>
        <w:rPr>
          <w:rFonts w:hint="eastAsia" w:ascii="仿宋" w:hAnsi="仿宋" w:eastAsia="仿宋" w:cs="仿宋"/>
          <w:bCs/>
          <w:color w:val="auto"/>
          <w:sz w:val="21"/>
          <w:szCs w:val="21"/>
          <w:highlight w:val="none"/>
        </w:rPr>
        <w:t>三、质疑事项具体内容</w:t>
      </w:r>
      <w:bookmarkEnd w:id="64"/>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质疑事项1：</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事实依据：</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法律依据：</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质疑事项2</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outlineLvl w:val="0"/>
        <w:rPr>
          <w:rFonts w:hint="eastAsia" w:ascii="仿宋" w:hAnsi="仿宋" w:eastAsia="仿宋" w:cs="仿宋"/>
          <w:bCs/>
          <w:color w:val="auto"/>
          <w:sz w:val="21"/>
          <w:szCs w:val="21"/>
          <w:highlight w:val="none"/>
        </w:rPr>
      </w:pPr>
      <w:bookmarkStart w:id="65" w:name="_Toc22365"/>
      <w:r>
        <w:rPr>
          <w:rFonts w:hint="eastAsia" w:ascii="仿宋" w:hAnsi="仿宋" w:eastAsia="仿宋" w:cs="仿宋"/>
          <w:bCs/>
          <w:color w:val="auto"/>
          <w:sz w:val="21"/>
          <w:szCs w:val="21"/>
          <w:highlight w:val="none"/>
        </w:rPr>
        <w:t>四、与质疑事项相关的质疑请求</w:t>
      </w:r>
      <w:bookmarkEnd w:id="65"/>
    </w:p>
    <w:p>
      <w:pPr>
        <w:keepNext w:val="0"/>
        <w:keepLines w:val="0"/>
        <w:pageBreakBefore w:val="0"/>
        <w:widowControl w:val="0"/>
        <w:shd w:val="clear" w:color="auto" w:fill="auto"/>
        <w:kinsoku/>
        <w:wordWrap/>
        <w:overflowPunct/>
        <w:topLinePunct w:val="0"/>
        <w:autoSpaceDE/>
        <w:autoSpaceDN/>
        <w:bidi w:val="0"/>
        <w:adjustRightInd w:val="0"/>
        <w:snapToGrid w:val="0"/>
        <w:spacing w:line="540" w:lineRule="exact"/>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请求：</w:t>
      </w:r>
      <w:r>
        <w:rPr>
          <w:rFonts w:hint="eastAsia" w:ascii="仿宋" w:hAnsi="仿宋" w:eastAsia="仿宋" w:cs="仿宋"/>
          <w:color w:val="auto"/>
          <w:sz w:val="21"/>
          <w:szCs w:val="21"/>
          <w:highlight w:val="none"/>
          <w:u w:val="dotted"/>
        </w:rPr>
        <w:t xml:space="preserve">                                               </w:t>
      </w:r>
    </w:p>
    <w:p>
      <w:pPr>
        <w:keepNext w:val="0"/>
        <w:keepLines w:val="0"/>
        <w:pageBreakBefore w:val="0"/>
        <w:widowControl w:val="0"/>
        <w:shd w:val="clear" w:color="auto" w:fill="auto"/>
        <w:kinsoku/>
        <w:wordWrap/>
        <w:overflowPunct/>
        <w:topLinePunct w:val="0"/>
        <w:autoSpaceDE/>
        <w:autoSpaceDN/>
        <w:bidi w:val="0"/>
        <w:spacing w:line="540" w:lineRule="exact"/>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签章</w:t>
      </w:r>
      <w:r>
        <w:rPr>
          <w:rFonts w:hint="eastAsia" w:ascii="仿宋" w:hAnsi="仿宋" w:eastAsia="仿宋" w:cs="仿宋"/>
          <w:color w:val="auto"/>
          <w:sz w:val="21"/>
          <w:szCs w:val="21"/>
          <w:highlight w:val="none"/>
        </w:rPr>
        <w:t xml:space="preserve">(签章)：                   公章：                      </w:t>
      </w:r>
    </w:p>
    <w:p>
      <w:pPr>
        <w:keepNext w:val="0"/>
        <w:keepLines w:val="0"/>
        <w:pageBreakBefore w:val="0"/>
        <w:widowControl w:val="0"/>
        <w:shd w:val="clear" w:color="auto" w:fill="auto"/>
        <w:kinsoku/>
        <w:wordWrap/>
        <w:overflowPunct/>
        <w:topLinePunct w:val="0"/>
        <w:autoSpaceDE/>
        <w:autoSpaceDN/>
        <w:bidi w:val="0"/>
        <w:spacing w:line="540" w:lineRule="exact"/>
        <w:ind w:firstLine="420" w:firstLineChars="200"/>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sz w:val="21"/>
          <w:szCs w:val="21"/>
          <w:highlight w:val="none"/>
        </w:rPr>
        <w:t xml:space="preserve">日期：    </w:t>
      </w:r>
    </w:p>
    <w:p>
      <w:pPr>
        <w:keepNext w:val="0"/>
        <w:keepLines w:val="0"/>
        <w:pageBreakBefore w:val="0"/>
        <w:widowControl w:val="0"/>
        <w:shd w:val="clear" w:color="auto" w:fill="auto"/>
        <w:kinsoku/>
        <w:wordWrap/>
        <w:overflowPunct/>
        <w:topLinePunct w:val="0"/>
        <w:autoSpaceDE/>
        <w:autoSpaceDN/>
        <w:bidi w:val="0"/>
        <w:spacing w:line="540" w:lineRule="exact"/>
        <w:ind w:firstLine="420" w:firstLineChars="200"/>
        <w:textAlignment w:val="auto"/>
        <w:rPr>
          <w:rFonts w:hint="eastAsia" w:ascii="仿宋" w:hAnsi="仿宋" w:eastAsia="仿宋" w:cs="仿宋"/>
          <w:b/>
          <w:bCs/>
          <w:color w:val="auto"/>
          <w:sz w:val="21"/>
          <w:szCs w:val="21"/>
          <w:highlight w:val="none"/>
        </w:rPr>
      </w:pPr>
    </w:p>
    <w:p>
      <w:pPr>
        <w:pageBreakBefore/>
        <w:shd w:val="clear" w:color="auto" w:fill="auto"/>
        <w:spacing w:line="440" w:lineRule="exact"/>
        <w:jc w:val="center"/>
        <w:outlineLvl w:val="0"/>
        <w:rPr>
          <w:rFonts w:hint="eastAsia" w:ascii="仿宋" w:hAnsi="仿宋" w:eastAsia="仿宋" w:cs="仿宋"/>
          <w:color w:val="auto"/>
          <w:sz w:val="30"/>
          <w:szCs w:val="30"/>
          <w:highlight w:val="none"/>
        </w:rPr>
      </w:pPr>
      <w:bookmarkStart w:id="66" w:name="_Toc469495731"/>
      <w:r>
        <w:rPr>
          <w:rFonts w:hint="eastAsia" w:ascii="仿宋" w:hAnsi="仿宋" w:eastAsia="仿宋" w:cs="仿宋"/>
          <w:color w:val="auto"/>
          <w:sz w:val="30"/>
          <w:szCs w:val="30"/>
          <w:highlight w:val="none"/>
        </w:rPr>
        <w:t>第三章  评标办法</w:t>
      </w:r>
      <w:bookmarkEnd w:id="66"/>
    </w:p>
    <w:p>
      <w:pPr>
        <w:shd w:val="clear" w:color="auto" w:fill="auto"/>
        <w:jc w:val="center"/>
        <w:outlineLvl w:val="1"/>
        <w:rPr>
          <w:rFonts w:hint="eastAsia" w:ascii="仿宋" w:hAnsi="仿宋" w:eastAsia="仿宋" w:cs="仿宋"/>
          <w:b/>
          <w:color w:val="auto"/>
          <w:sz w:val="28"/>
          <w:szCs w:val="28"/>
          <w:highlight w:val="none"/>
        </w:rPr>
      </w:pPr>
      <w:bookmarkStart w:id="67" w:name="_Toc362983802"/>
      <w:bookmarkStart w:id="68" w:name="_Toc469495733"/>
      <w:bookmarkStart w:id="69" w:name="_Toc267320058"/>
      <w:bookmarkStart w:id="70" w:name="_Toc363135205"/>
      <w:r>
        <w:rPr>
          <w:rFonts w:hint="eastAsia" w:ascii="仿宋" w:hAnsi="仿宋" w:eastAsia="仿宋" w:cs="仿宋"/>
          <w:b/>
          <w:color w:val="auto"/>
          <w:sz w:val="28"/>
          <w:szCs w:val="28"/>
          <w:highlight w:val="none"/>
        </w:rPr>
        <w:t>一</w:t>
      </w:r>
      <w:r>
        <w:rPr>
          <w:rFonts w:hint="eastAsia" w:ascii="仿宋" w:hAnsi="仿宋" w:eastAsia="仿宋" w:cs="仿宋"/>
          <w:b/>
          <w:color w:val="auto"/>
          <w:sz w:val="28"/>
          <w:szCs w:val="28"/>
          <w:highlight w:val="none"/>
          <w:lang w:val="en-US" w:eastAsia="zh-CN"/>
        </w:rPr>
        <w:t xml:space="preserve">  </w:t>
      </w:r>
      <w:r>
        <w:rPr>
          <w:rFonts w:hint="eastAsia" w:ascii="仿宋" w:hAnsi="仿宋" w:eastAsia="仿宋" w:cs="仿宋"/>
          <w:b/>
          <w:color w:val="auto"/>
          <w:sz w:val="28"/>
          <w:szCs w:val="28"/>
          <w:highlight w:val="none"/>
        </w:rPr>
        <w:t>总  则</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1、一般规定</w:t>
      </w:r>
    </w:p>
    <w:p>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1.1本项目的招标按照《中华人民共和国政府采购法》、《政府采购货物和服务招标投标管理办法》及政府采购的有关规定进行。</w:t>
      </w:r>
    </w:p>
    <w:p>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1.2评标必须遵循邀请、公平、公正、诚实信用的原则。</w:t>
      </w:r>
    </w:p>
    <w:p>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1.3招标代理机构组织招标、开标、评标工作，全过程接受政府采购有关部门的监督、管理和指导。</w:t>
      </w:r>
    </w:p>
    <w:p>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1.4评标按照招标文件规定的内容进行，采取符合招标文件要求的</w:t>
      </w:r>
      <w:r>
        <w:rPr>
          <w:rFonts w:hint="eastAsia" w:ascii="仿宋" w:hAnsi="仿宋" w:eastAsia="仿宋" w:cs="仿宋"/>
          <w:color w:val="auto"/>
          <w:szCs w:val="21"/>
          <w:highlight w:val="none"/>
          <w:lang w:eastAsia="zh-CN"/>
        </w:rPr>
        <w:t>综合评分法</w:t>
      </w:r>
      <w:r>
        <w:rPr>
          <w:rFonts w:hint="eastAsia" w:ascii="仿宋" w:hAnsi="仿宋" w:eastAsia="仿宋" w:cs="仿宋"/>
          <w:color w:val="auto"/>
          <w:szCs w:val="21"/>
          <w:highlight w:val="none"/>
        </w:rPr>
        <w:t>；</w:t>
      </w:r>
    </w:p>
    <w:p>
      <w:pPr>
        <w:shd w:val="clear" w:color="auto" w:fill="auto"/>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1.5本办法的评标对象是指投标人按照招标文件要求提供的有效投标文件，包括投标人应评标委员会要求对原投标文件作出的正式书面澄清文件。</w:t>
      </w:r>
    </w:p>
    <w:p>
      <w:pPr>
        <w:shd w:val="clear" w:color="auto" w:fill="auto"/>
        <w:tabs>
          <w:tab w:val="left" w:pos="567"/>
          <w:tab w:val="left" w:pos="1145"/>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2、评标组织机构的组成</w:t>
      </w:r>
    </w:p>
    <w:p>
      <w:pPr>
        <w:widowControl/>
        <w:shd w:val="clear" w:color="auto" w:fill="auto"/>
        <w:spacing w:line="440" w:lineRule="exact"/>
        <w:ind w:firstLine="480"/>
        <w:rPr>
          <w:rFonts w:hint="eastAsia" w:ascii="仿宋" w:hAnsi="仿宋" w:eastAsia="仿宋" w:cs="仿宋"/>
          <w:b/>
          <w:bCs/>
          <w:color w:val="auto"/>
          <w:kern w:val="0"/>
          <w:szCs w:val="21"/>
          <w:highlight w:val="none"/>
        </w:rPr>
      </w:pPr>
      <w:r>
        <w:rPr>
          <w:rFonts w:hint="eastAsia" w:ascii="仿宋" w:hAnsi="仿宋" w:eastAsia="仿宋" w:cs="仿宋"/>
          <w:b/>
          <w:bCs/>
          <w:color w:val="auto"/>
          <w:szCs w:val="21"/>
          <w:highlight w:val="none"/>
        </w:rPr>
        <w:t>2.1</w:t>
      </w:r>
      <w:r>
        <w:rPr>
          <w:rFonts w:hint="eastAsia" w:ascii="仿宋" w:hAnsi="仿宋" w:eastAsia="仿宋" w:cs="仿宋"/>
          <w:color w:val="auto"/>
          <w:spacing w:val="-2"/>
          <w:sz w:val="24"/>
          <w:szCs w:val="24"/>
          <w:highlight w:val="none"/>
        </w:rPr>
        <w:t xml:space="preserve"> </w:t>
      </w:r>
      <w:r>
        <w:rPr>
          <w:rFonts w:hint="eastAsia" w:ascii="仿宋" w:hAnsi="仿宋" w:eastAsia="仿宋" w:cs="仿宋"/>
          <w:color w:val="auto"/>
          <w:kern w:val="0"/>
          <w:szCs w:val="21"/>
          <w:highlight w:val="none"/>
          <w:lang w:bidi="ar-SA"/>
        </w:rPr>
        <w:t>评标委员会由采购人代表和有关技术、经济等方面的专家组成，成员人数应当为5人</w:t>
      </w:r>
      <w:r>
        <w:rPr>
          <w:rFonts w:hint="eastAsia" w:ascii="仿宋" w:hAnsi="仿宋" w:eastAsia="仿宋" w:cs="仿宋"/>
          <w:color w:val="auto"/>
          <w:kern w:val="0"/>
          <w:szCs w:val="21"/>
          <w:highlight w:val="none"/>
          <w:lang w:eastAsia="zh-CN" w:bidi="ar-SA"/>
        </w:rPr>
        <w:t>或</w:t>
      </w:r>
      <w:r>
        <w:rPr>
          <w:rFonts w:hint="eastAsia" w:ascii="仿宋" w:hAnsi="仿宋" w:eastAsia="仿宋" w:cs="仿宋"/>
          <w:color w:val="auto"/>
          <w:kern w:val="0"/>
          <w:szCs w:val="21"/>
          <w:highlight w:val="none"/>
          <w:lang w:val="en-US" w:eastAsia="zh-CN" w:bidi="ar-SA"/>
        </w:rPr>
        <w:t>5人</w:t>
      </w:r>
      <w:r>
        <w:rPr>
          <w:rFonts w:hint="eastAsia" w:ascii="仿宋" w:hAnsi="仿宋" w:eastAsia="仿宋" w:cs="仿宋"/>
          <w:color w:val="auto"/>
          <w:kern w:val="0"/>
          <w:szCs w:val="21"/>
          <w:highlight w:val="none"/>
          <w:lang w:bidi="ar-SA"/>
        </w:rPr>
        <w:t>以上单数。其中，技术、经济等方面的专家不得少于成员总数的三分之二。采购数额在1000万元以上、技术复杂的项目，评标委员会中技术、经济方面的专家人数应当为七人以上单数。采购人应当从同级或上一级财政部门设立的政府采购评审专家库中，通过随机方式抽取评标专家。采购人对技术复杂、专业性极强的采购项目，通过随机方式难以确定合适评标专家的，经设区的市、自治州以上人民政府财政部门同意，可以采取选择性方式确定评标专家。</w:t>
      </w:r>
    </w:p>
    <w:p>
      <w:pPr>
        <w:shd w:val="clear" w:color="auto" w:fill="auto"/>
        <w:tabs>
          <w:tab w:val="left" w:pos="567"/>
          <w:tab w:val="left" w:pos="1145"/>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2.2评标工作组由招标人及有关专家组成，由评标委员会确认，并接受其领导。</w:t>
      </w:r>
    </w:p>
    <w:p>
      <w:pPr>
        <w:shd w:val="clear" w:color="auto" w:fill="auto"/>
        <w:tabs>
          <w:tab w:val="left" w:pos="567"/>
          <w:tab w:val="left" w:pos="1145"/>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2.3评标委员会应相对独立工作，负责评标、撰写技术、商务评标报告。采购代理机构负责评标过程中资料的保管、发放、回收，整理、汇总评标资料。</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3、评标委员会职责</w:t>
      </w:r>
    </w:p>
    <w:p>
      <w:pPr>
        <w:pStyle w:val="50"/>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3.1审查投标文件是否符合招标文件要求，并作出评价；</w:t>
      </w:r>
    </w:p>
    <w:p>
      <w:pPr>
        <w:pStyle w:val="50"/>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3.2要求投标人对投标文件有关事项作出解释或者澄清；</w:t>
      </w:r>
    </w:p>
    <w:p>
      <w:pPr>
        <w:pStyle w:val="50"/>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3.3推荐中标候选人名单；</w:t>
      </w:r>
    </w:p>
    <w:p>
      <w:pPr>
        <w:pStyle w:val="50"/>
        <w:shd w:val="clear" w:color="auto" w:fill="auto"/>
        <w:spacing w:before="0" w:beforeAutospacing="0" w:after="0" w:afterAutospacing="0" w:line="440" w:lineRule="exact"/>
        <w:ind w:firstLine="535" w:firstLineChars="25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3.4向招标人、招标代理机构或者有关部门报告非法干预评标工作的行为。</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4、评标委员会义务</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4.1遵纪守法，客观、公正、廉洁地履行职责；</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4.2按照招标文件规定的评标方法和评标标准进行评标，对评审意见承担个人责任；</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4.3对评标过程和结果，以及投标人的商业秘密保密；</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4.4参与评标报告的起草；</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4.5配合有关部门的投诉处理工作；</w:t>
      </w:r>
    </w:p>
    <w:p>
      <w:pPr>
        <w:shd w:val="clear" w:color="auto" w:fill="auto"/>
        <w:tabs>
          <w:tab w:val="left" w:pos="567"/>
          <w:tab w:val="left" w:pos="600"/>
        </w:tabs>
        <w:spacing w:line="440" w:lineRule="exact"/>
        <w:ind w:firstLine="612" w:firstLineChars="255"/>
        <w:rPr>
          <w:rFonts w:hint="eastAsia" w:ascii="仿宋" w:hAnsi="仿宋" w:eastAsia="仿宋" w:cs="仿宋"/>
          <w:color w:val="auto"/>
          <w:szCs w:val="21"/>
          <w:highlight w:val="none"/>
        </w:rPr>
      </w:pPr>
      <w:r>
        <w:rPr>
          <w:rFonts w:hint="eastAsia" w:ascii="仿宋" w:hAnsi="仿宋" w:eastAsia="仿宋" w:cs="仿宋"/>
          <w:color w:val="auto"/>
          <w:szCs w:val="21"/>
          <w:highlight w:val="none"/>
        </w:rPr>
        <w:t>4.6配合招标人、招标代理机构答复投标供应商提出的质疑。</w:t>
      </w:r>
    </w:p>
    <w:p>
      <w:pPr>
        <w:shd w:val="clear" w:color="auto" w:fill="auto"/>
        <w:tabs>
          <w:tab w:val="left" w:pos="1547"/>
        </w:tabs>
        <w:spacing w:line="440" w:lineRule="exact"/>
        <w:ind w:firstLine="612" w:firstLineChars="255"/>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 评标程序</w:t>
      </w:r>
    </w:p>
    <w:p>
      <w:pPr>
        <w:pStyle w:val="18"/>
        <w:shd w:val="clear" w:color="auto" w:fill="auto"/>
        <w:tabs>
          <w:tab w:val="left" w:pos="720"/>
          <w:tab w:val="clear" w:pos="0"/>
        </w:tabs>
        <w:spacing w:line="440" w:lineRule="exact"/>
        <w:ind w:firstLine="612" w:firstLineChars="255"/>
        <w:rPr>
          <w:rFonts w:hint="eastAsia" w:ascii="仿宋" w:hAnsi="仿宋" w:eastAsia="仿宋" w:cs="仿宋"/>
          <w:bCs/>
          <w:color w:val="auto"/>
          <w:szCs w:val="21"/>
          <w:highlight w:val="none"/>
          <w:lang w:bidi="ar-SA"/>
        </w:rPr>
      </w:pPr>
      <w:r>
        <w:rPr>
          <w:rFonts w:hint="eastAsia" w:ascii="仿宋" w:hAnsi="仿宋" w:eastAsia="仿宋" w:cs="仿宋"/>
          <w:bCs/>
          <w:color w:val="auto"/>
          <w:szCs w:val="21"/>
          <w:highlight w:val="none"/>
          <w:lang w:bidi="ar-SA"/>
        </w:rPr>
        <w:t>5.1本次评标首先由评标委员会对投标人的投标文件进行初审，对未能通过初审的投标文件作无效标处理；</w:t>
      </w:r>
    </w:p>
    <w:p>
      <w:pPr>
        <w:shd w:val="clear" w:color="auto" w:fill="auto"/>
        <w:tabs>
          <w:tab w:val="left" w:pos="720"/>
        </w:tabs>
        <w:spacing w:line="440" w:lineRule="exact"/>
        <w:ind w:firstLine="612" w:firstLineChars="255"/>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5.2对通过初审的投标人的投标文件进行详细的比较和评价。如需要，进行必要的澄清工作；</w:t>
      </w:r>
    </w:p>
    <w:p>
      <w:pPr>
        <w:keepNext w:val="0"/>
        <w:keepLines w:val="0"/>
        <w:pageBreakBefore w:val="0"/>
        <w:widowControl/>
        <w:shd w:val="clear" w:color="auto" w:fill="auto"/>
        <w:kinsoku/>
        <w:wordWrap/>
        <w:overflowPunct/>
        <w:topLinePunct w:val="0"/>
        <w:autoSpaceDE/>
        <w:autoSpaceDN/>
        <w:bidi w:val="0"/>
        <w:adjustRightInd/>
        <w:snapToGrid/>
        <w:spacing w:line="360" w:lineRule="exact"/>
        <w:ind w:firstLine="482"/>
        <w:textAlignment w:val="auto"/>
        <w:outlineLvl w:val="9"/>
        <w:rPr>
          <w:rFonts w:hint="eastAsia" w:ascii="仿宋" w:hAnsi="仿宋" w:eastAsia="仿宋" w:cs="仿宋"/>
          <w:b/>
          <w:bCs/>
          <w:color w:val="auto"/>
          <w:kern w:val="0"/>
          <w:sz w:val="36"/>
          <w:szCs w:val="36"/>
          <w:highlight w:val="none"/>
          <w:lang w:bidi="ar-SA"/>
        </w:rPr>
      </w:pPr>
      <w:r>
        <w:rPr>
          <w:rFonts w:hint="eastAsia" w:ascii="仿宋" w:hAnsi="仿宋" w:eastAsia="仿宋" w:cs="仿宋"/>
          <w:color w:val="auto"/>
          <w:szCs w:val="21"/>
          <w:highlight w:val="none"/>
          <w:lang w:bidi="ar-SA"/>
        </w:rPr>
        <w:t>5.3依据评分标准以及各项权值，各位评委单独就每个投标人的</w:t>
      </w:r>
      <w:r>
        <w:rPr>
          <w:rFonts w:hint="eastAsia" w:ascii="仿宋" w:hAnsi="仿宋" w:eastAsia="仿宋" w:cs="仿宋"/>
          <w:color w:val="auto"/>
          <w:kern w:val="0"/>
          <w:szCs w:val="21"/>
          <w:highlight w:val="none"/>
          <w:lang w:bidi="ar-SA"/>
        </w:rPr>
        <w:t>投标文件进行价格、技术、</w:t>
      </w:r>
      <w:r>
        <w:rPr>
          <w:rFonts w:hint="eastAsia" w:ascii="仿宋" w:hAnsi="仿宋" w:eastAsia="仿宋" w:cs="仿宋"/>
          <w:color w:val="auto"/>
          <w:kern w:val="0"/>
          <w:szCs w:val="21"/>
          <w:highlight w:val="none"/>
          <w:lang w:bidi="ar-SA"/>
        </w:rPr>
        <w:fldChar w:fldCharType="begin"/>
      </w:r>
      <w:r>
        <w:rPr>
          <w:rFonts w:hint="eastAsia" w:ascii="仿宋" w:hAnsi="仿宋" w:eastAsia="仿宋" w:cs="仿宋"/>
          <w:color w:val="auto"/>
          <w:kern w:val="0"/>
          <w:szCs w:val="21"/>
          <w:highlight w:val="none"/>
          <w:lang w:bidi="ar-SA"/>
        </w:rPr>
        <w:instrText xml:space="preserve">HYPERLINK "http://zhidao.baidu.com/search?word=%E8%B4%A2%E5%8A%A1%E7%8A%B6%E5%86%B5&amp;fr=qb_search_exp&amp;ie=utf8&amp;eid_gfrom=151"</w:instrText>
      </w:r>
      <w:r>
        <w:rPr>
          <w:rFonts w:hint="eastAsia" w:ascii="仿宋" w:hAnsi="仿宋" w:eastAsia="仿宋" w:cs="仿宋"/>
          <w:color w:val="auto"/>
          <w:kern w:val="0"/>
          <w:szCs w:val="21"/>
          <w:highlight w:val="none"/>
          <w:lang w:bidi="ar-SA"/>
        </w:rPr>
        <w:fldChar w:fldCharType="separate"/>
      </w:r>
      <w:r>
        <w:rPr>
          <w:rFonts w:hint="eastAsia" w:ascii="仿宋" w:hAnsi="仿宋" w:eastAsia="仿宋" w:cs="仿宋"/>
          <w:color w:val="auto"/>
          <w:kern w:val="0"/>
          <w:szCs w:val="21"/>
          <w:highlight w:val="none"/>
          <w:lang w:bidi="ar-SA"/>
        </w:rPr>
        <w:t>财务状况</w:t>
      </w:r>
      <w:r>
        <w:rPr>
          <w:rFonts w:hint="eastAsia" w:ascii="仿宋" w:hAnsi="仿宋" w:eastAsia="仿宋" w:cs="仿宋"/>
          <w:color w:val="auto"/>
          <w:kern w:val="0"/>
          <w:szCs w:val="21"/>
          <w:highlight w:val="none"/>
          <w:lang w:bidi="ar-SA"/>
        </w:rPr>
        <w:fldChar w:fldCharType="end"/>
      </w:r>
      <w:r>
        <w:rPr>
          <w:rFonts w:hint="eastAsia" w:ascii="仿宋" w:hAnsi="仿宋" w:eastAsia="仿宋" w:cs="仿宋"/>
          <w:color w:val="auto"/>
          <w:kern w:val="0"/>
          <w:szCs w:val="21"/>
          <w:highlight w:val="none"/>
          <w:lang w:bidi="ar-SA"/>
        </w:rPr>
        <w:t>、信誉、业绩、服务、对招标文件的响应程度，以及相应的比重或者权值等各项因素进行综合评审后，按最终综合得分由高向低排序，由评标委员会推荐综合得分最高的投标人为第一中标候选人。</w:t>
      </w: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p>
    <w:p>
      <w:pPr>
        <w:shd w:val="clear" w:color="auto" w:fill="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二  投标文件初审</w:t>
      </w:r>
      <w:bookmarkEnd w:id="67"/>
      <w:bookmarkEnd w:id="68"/>
    </w:p>
    <w:p>
      <w:pPr>
        <w:shd w:val="clear" w:color="auto" w:fill="auto"/>
        <w:spacing w:line="400" w:lineRule="exact"/>
        <w:ind w:firstLine="352" w:firstLineChars="147"/>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6</w:t>
      </w:r>
      <w:r>
        <w:rPr>
          <w:rFonts w:hint="eastAsia" w:ascii="仿宋" w:hAnsi="仿宋" w:eastAsia="仿宋" w:cs="仿宋"/>
          <w:b/>
          <w:color w:val="auto"/>
          <w:szCs w:val="21"/>
          <w:highlight w:val="none"/>
        </w:rPr>
        <w:t>.资格性审查:</w:t>
      </w:r>
    </w:p>
    <w:p>
      <w:pPr>
        <w:shd w:val="clear" w:color="auto" w:fill="auto"/>
        <w:spacing w:line="400" w:lineRule="exact"/>
        <w:ind w:firstLine="352" w:firstLineChars="147"/>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.1评审细则</w:t>
      </w:r>
    </w:p>
    <w:tbl>
      <w:tblPr>
        <w:tblStyle w:val="23"/>
        <w:tblW w:w="10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
        <w:gridCol w:w="564"/>
        <w:gridCol w:w="7314"/>
        <w:gridCol w:w="580"/>
        <w:gridCol w:w="6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08" w:type="dxa"/>
            <w:vMerge w:val="restart"/>
            <w:noWrap w:val="0"/>
            <w:vAlign w:val="center"/>
          </w:tcPr>
          <w:p>
            <w:pPr>
              <w:shd w:val="clear" w:color="auto" w:fill="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w:t>
            </w:r>
          </w:p>
        </w:tc>
        <w:tc>
          <w:tcPr>
            <w:tcW w:w="7878" w:type="dxa"/>
            <w:gridSpan w:val="2"/>
            <w:vMerge w:val="restart"/>
            <w:noWrap w:val="0"/>
            <w:vAlign w:val="center"/>
          </w:tcPr>
          <w:p>
            <w:pPr>
              <w:shd w:val="clear" w:color="auto" w:fill="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评审内容</w:t>
            </w:r>
          </w:p>
        </w:tc>
        <w:tc>
          <w:tcPr>
            <w:tcW w:w="1214" w:type="dxa"/>
            <w:gridSpan w:val="2"/>
            <w:noWrap w:val="0"/>
            <w:vAlign w:val="center"/>
          </w:tcPr>
          <w:p>
            <w:pPr>
              <w:shd w:val="clear" w:color="auto" w:fill="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评审意见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08" w:type="dxa"/>
            <w:vMerge w:val="continue"/>
            <w:noWrap w:val="0"/>
            <w:vAlign w:val="center"/>
          </w:tcPr>
          <w:p>
            <w:pPr>
              <w:shd w:val="clear" w:color="auto" w:fill="auto"/>
              <w:rPr>
                <w:rFonts w:hint="eastAsia" w:ascii="仿宋" w:hAnsi="仿宋" w:eastAsia="仿宋" w:cs="仿宋"/>
                <w:color w:val="auto"/>
                <w:sz w:val="18"/>
                <w:szCs w:val="21"/>
                <w:highlight w:val="none"/>
              </w:rPr>
            </w:pPr>
          </w:p>
        </w:tc>
        <w:tc>
          <w:tcPr>
            <w:tcW w:w="7878" w:type="dxa"/>
            <w:gridSpan w:val="2"/>
            <w:vMerge w:val="continue"/>
            <w:noWrap w:val="0"/>
            <w:vAlign w:val="top"/>
          </w:tcPr>
          <w:p>
            <w:pPr>
              <w:shd w:val="clear" w:color="auto" w:fill="auto"/>
              <w:rPr>
                <w:rFonts w:hint="eastAsia" w:ascii="仿宋" w:hAnsi="仿宋" w:eastAsia="仿宋" w:cs="仿宋"/>
                <w:color w:val="auto"/>
                <w:sz w:val="18"/>
                <w:szCs w:val="21"/>
                <w:highlight w:val="none"/>
              </w:rPr>
            </w:pPr>
          </w:p>
        </w:tc>
        <w:tc>
          <w:tcPr>
            <w:tcW w:w="580" w:type="dxa"/>
            <w:noWrap w:val="0"/>
            <w:vAlign w:val="center"/>
          </w:tcPr>
          <w:p>
            <w:pPr>
              <w:shd w:val="clear" w:color="auto" w:fill="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是</w:t>
            </w:r>
          </w:p>
        </w:tc>
        <w:tc>
          <w:tcPr>
            <w:tcW w:w="634" w:type="dxa"/>
            <w:noWrap w:val="0"/>
            <w:vAlign w:val="center"/>
          </w:tcPr>
          <w:p>
            <w:pPr>
              <w:shd w:val="clear" w:color="auto" w:fill="auto"/>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08" w:type="dxa"/>
            <w:vMerge w:val="restart"/>
            <w:noWrap w:val="0"/>
            <w:vAlign w:val="center"/>
          </w:tcPr>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审</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查</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标</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准</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(适</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用</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于</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资</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格</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后</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审)</w:t>
            </w:r>
          </w:p>
        </w:tc>
        <w:tc>
          <w:tcPr>
            <w:tcW w:w="564" w:type="dxa"/>
            <w:noWrap w:val="0"/>
            <w:vAlign w:val="center"/>
          </w:tcPr>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p>
        </w:tc>
        <w:tc>
          <w:tcPr>
            <w:tcW w:w="7314" w:type="dxa"/>
            <w:noWrap w:val="0"/>
            <w:vAlign w:val="center"/>
          </w:tcPr>
          <w:p>
            <w:pPr>
              <w:widowControl/>
              <w:shd w:val="clear" w:color="auto" w:fill="auto"/>
              <w:jc w:val="left"/>
              <w:textAlignment w:val="center"/>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rPr>
              <w:t>具有有效的三证合一营业执照；</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08" w:type="dxa"/>
            <w:vMerge w:val="continue"/>
            <w:noWrap w:val="0"/>
            <w:vAlign w:val="center"/>
          </w:tcPr>
          <w:p>
            <w:pPr>
              <w:shd w:val="clear" w:color="auto" w:fill="auto"/>
              <w:rPr>
                <w:rFonts w:hint="eastAsia" w:ascii="仿宋" w:hAnsi="仿宋" w:eastAsia="仿宋" w:cs="仿宋"/>
                <w:color w:val="auto"/>
                <w:highlight w:val="none"/>
              </w:rPr>
            </w:pPr>
          </w:p>
        </w:tc>
        <w:tc>
          <w:tcPr>
            <w:tcW w:w="564" w:type="dxa"/>
            <w:noWrap w:val="0"/>
            <w:vAlign w:val="center"/>
          </w:tcPr>
          <w:p>
            <w:pPr>
              <w:shd w:val="clear" w:color="auto" w:fill="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2</w:t>
            </w:r>
          </w:p>
        </w:tc>
        <w:tc>
          <w:tcPr>
            <w:tcW w:w="7314" w:type="dxa"/>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具有授权委托书及被委托人身份证（法人提供法人证明书及法人身份证）；</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908" w:type="dxa"/>
            <w:vMerge w:val="continue"/>
            <w:noWrap w:val="0"/>
            <w:vAlign w:val="center"/>
          </w:tcPr>
          <w:p>
            <w:pPr>
              <w:shd w:val="clear" w:color="auto" w:fill="auto"/>
              <w:rPr>
                <w:rFonts w:hint="eastAsia" w:ascii="仿宋" w:hAnsi="仿宋" w:eastAsia="仿宋" w:cs="仿宋"/>
                <w:color w:val="auto"/>
                <w:highlight w:val="none"/>
              </w:rPr>
            </w:pPr>
          </w:p>
        </w:tc>
        <w:tc>
          <w:tcPr>
            <w:tcW w:w="564" w:type="dxa"/>
            <w:noWrap w:val="0"/>
            <w:vAlign w:val="center"/>
          </w:tcPr>
          <w:p>
            <w:pPr>
              <w:shd w:val="clear" w:color="auto" w:fill="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p>
        </w:tc>
        <w:tc>
          <w:tcPr>
            <w:tcW w:w="7314" w:type="dxa"/>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投标企业须提供投标人（被授权人）近6个月内任意一个月的社保证明（新公司根据实际情况提供）；</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9" w:hRule="atLeast"/>
          <w:jc w:val="center"/>
        </w:trPr>
        <w:tc>
          <w:tcPr>
            <w:tcW w:w="908" w:type="dxa"/>
            <w:vMerge w:val="continue"/>
            <w:noWrap w:val="0"/>
            <w:vAlign w:val="center"/>
          </w:tcPr>
          <w:p>
            <w:pPr>
              <w:shd w:val="clear" w:color="auto" w:fill="auto"/>
              <w:rPr>
                <w:rFonts w:hint="eastAsia" w:ascii="仿宋" w:hAnsi="仿宋" w:eastAsia="仿宋" w:cs="仿宋"/>
                <w:color w:val="auto"/>
                <w:highlight w:val="none"/>
              </w:rPr>
            </w:pPr>
          </w:p>
        </w:tc>
        <w:tc>
          <w:tcPr>
            <w:tcW w:w="564" w:type="dxa"/>
            <w:noWrap w:val="0"/>
            <w:vAlign w:val="center"/>
          </w:tcPr>
          <w:p>
            <w:pPr>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4</w:t>
            </w:r>
          </w:p>
        </w:tc>
        <w:tc>
          <w:tcPr>
            <w:tcW w:w="7314" w:type="dxa"/>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eastAsia="zh-CN" w:bidi="ar"/>
              </w:rPr>
            </w:pPr>
            <w:r>
              <w:rPr>
                <w:rFonts w:hint="eastAsia" w:ascii="仿宋" w:hAnsi="仿宋" w:eastAsia="仿宋" w:cs="仿宋"/>
                <w:color w:val="auto"/>
                <w:kern w:val="0"/>
                <w:sz w:val="20"/>
                <w:szCs w:val="20"/>
                <w:highlight w:val="none"/>
                <w:lang w:eastAsia="zh-CN" w:bidi="ar"/>
              </w:rPr>
              <w:t>投标企业需提供参加本次采购活动前三年内未被“信用中国”（www.creditchina.gov.cn）、中国政府采购网（www.ccgp.gov.cn）列入失信被执行人、重大税收违法案件当事人名单、政府采购严重违法失信行为记录名单；</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908" w:type="dxa"/>
            <w:vMerge w:val="continue"/>
            <w:noWrap w:val="0"/>
            <w:vAlign w:val="center"/>
          </w:tcPr>
          <w:p>
            <w:pPr>
              <w:shd w:val="clear" w:color="auto" w:fill="auto"/>
              <w:rPr>
                <w:rFonts w:hint="eastAsia" w:ascii="仿宋" w:hAnsi="仿宋" w:eastAsia="仿宋" w:cs="仿宋"/>
                <w:color w:val="auto"/>
                <w:highlight w:val="none"/>
              </w:rPr>
            </w:pPr>
          </w:p>
        </w:tc>
        <w:tc>
          <w:tcPr>
            <w:tcW w:w="564" w:type="dxa"/>
            <w:noWrap w:val="0"/>
            <w:vAlign w:val="center"/>
          </w:tcPr>
          <w:p>
            <w:pPr>
              <w:shd w:val="clear" w:color="auto" w:fill="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5</w:t>
            </w:r>
          </w:p>
        </w:tc>
        <w:tc>
          <w:tcPr>
            <w:tcW w:w="7314" w:type="dxa"/>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投标单位（供应商）针对本次采购项目《反商业贿赂承诺书》，《采购活动前三年内无重大违规记录承诺书》的书面声明。</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3" w:hRule="atLeast"/>
          <w:jc w:val="center"/>
        </w:trPr>
        <w:tc>
          <w:tcPr>
            <w:tcW w:w="908" w:type="dxa"/>
            <w:vMerge w:val="continue"/>
            <w:noWrap w:val="0"/>
            <w:vAlign w:val="center"/>
          </w:tcPr>
          <w:p>
            <w:pPr>
              <w:shd w:val="clear" w:color="auto" w:fill="auto"/>
              <w:rPr>
                <w:rFonts w:hint="eastAsia" w:ascii="仿宋" w:hAnsi="仿宋" w:eastAsia="仿宋" w:cs="仿宋"/>
                <w:color w:val="auto"/>
                <w:highlight w:val="none"/>
              </w:rPr>
            </w:pPr>
          </w:p>
        </w:tc>
        <w:tc>
          <w:tcPr>
            <w:tcW w:w="564" w:type="dxa"/>
            <w:noWrap w:val="0"/>
            <w:vAlign w:val="center"/>
          </w:tcPr>
          <w:p>
            <w:pPr>
              <w:shd w:val="clear" w:color="auto" w:fill="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6</w:t>
            </w:r>
          </w:p>
        </w:tc>
        <w:tc>
          <w:tcPr>
            <w:tcW w:w="7314" w:type="dxa"/>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eastAsia="zh-CN" w:bidi="ar"/>
              </w:rPr>
            </w:pPr>
            <w:r>
              <w:rPr>
                <w:rFonts w:hint="eastAsia" w:ascii="仿宋" w:hAnsi="仿宋" w:eastAsia="仿宋" w:cs="仿宋"/>
                <w:color w:val="auto"/>
                <w:kern w:val="0"/>
                <w:sz w:val="20"/>
                <w:szCs w:val="20"/>
                <w:highlight w:val="none"/>
                <w:lang w:bidi="ar"/>
              </w:rPr>
              <w:t>投标保证金</w:t>
            </w:r>
            <w:r>
              <w:rPr>
                <w:rFonts w:hint="eastAsia" w:ascii="仿宋" w:hAnsi="仿宋" w:eastAsia="仿宋" w:cs="仿宋"/>
                <w:color w:val="auto"/>
                <w:kern w:val="0"/>
                <w:sz w:val="20"/>
                <w:szCs w:val="20"/>
                <w:highlight w:val="none"/>
                <w:lang w:val="en-US" w:eastAsia="zh-CN" w:bidi="ar"/>
              </w:rPr>
              <w:t>转账凭证</w:t>
            </w:r>
            <w:r>
              <w:rPr>
                <w:rFonts w:hint="eastAsia" w:ascii="仿宋" w:hAnsi="仿宋" w:eastAsia="仿宋" w:cs="仿宋"/>
                <w:color w:val="auto"/>
                <w:kern w:val="0"/>
                <w:sz w:val="20"/>
                <w:szCs w:val="20"/>
                <w:highlight w:val="none"/>
                <w:lang w:bidi="ar"/>
              </w:rPr>
              <w:t>或保函等票据</w:t>
            </w:r>
            <w:r>
              <w:rPr>
                <w:rFonts w:hint="eastAsia" w:ascii="仿宋" w:hAnsi="仿宋" w:eastAsia="仿宋" w:cs="仿宋"/>
                <w:color w:val="auto"/>
                <w:kern w:val="0"/>
                <w:sz w:val="20"/>
                <w:szCs w:val="20"/>
                <w:highlight w:val="none"/>
                <w:lang w:eastAsia="zh-CN" w:bidi="ar"/>
              </w:rPr>
              <w:t>；</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908" w:type="dxa"/>
            <w:vMerge w:val="continue"/>
            <w:noWrap w:val="0"/>
            <w:vAlign w:val="center"/>
          </w:tcPr>
          <w:p>
            <w:pPr>
              <w:shd w:val="clear" w:color="auto" w:fill="auto"/>
              <w:rPr>
                <w:rFonts w:hint="eastAsia" w:ascii="仿宋" w:hAnsi="仿宋" w:eastAsia="仿宋" w:cs="仿宋"/>
                <w:color w:val="auto"/>
                <w:highlight w:val="none"/>
              </w:rPr>
            </w:pPr>
          </w:p>
        </w:tc>
        <w:tc>
          <w:tcPr>
            <w:tcW w:w="564" w:type="dxa"/>
            <w:noWrap w:val="0"/>
            <w:vAlign w:val="center"/>
          </w:tcPr>
          <w:p>
            <w:pPr>
              <w:shd w:val="clear" w:color="auto" w:fill="auto"/>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7</w:t>
            </w:r>
          </w:p>
        </w:tc>
        <w:tc>
          <w:tcPr>
            <w:tcW w:w="7314" w:type="dxa"/>
            <w:noWrap w:val="0"/>
            <w:vAlign w:val="center"/>
          </w:tcPr>
          <w:p>
            <w:pPr>
              <w:widowControl/>
              <w:shd w:val="clear" w:color="auto" w:fill="auto"/>
              <w:jc w:val="left"/>
              <w:textAlignment w:val="center"/>
              <w:rPr>
                <w:rFonts w:hint="default" w:ascii="仿宋" w:hAnsi="仿宋" w:eastAsia="仿宋" w:cs="仿宋"/>
                <w:color w:val="auto"/>
                <w:kern w:val="0"/>
                <w:sz w:val="20"/>
                <w:szCs w:val="20"/>
                <w:highlight w:val="none"/>
                <w:lang w:val="en-US" w:eastAsia="zh-CN" w:bidi="ar"/>
              </w:rPr>
            </w:pPr>
            <w:r>
              <w:rPr>
                <w:rFonts w:hint="eastAsia" w:ascii="仿宋" w:hAnsi="仿宋" w:eastAsia="仿宋" w:cs="仿宋"/>
                <w:color w:val="auto"/>
                <w:kern w:val="0"/>
                <w:sz w:val="20"/>
                <w:szCs w:val="20"/>
                <w:highlight w:val="none"/>
                <w:lang w:val="en-US" w:eastAsia="zh-CN" w:bidi="ar"/>
              </w:rPr>
              <w:t>中小企业申明函（请根据要求单独上传《中小企业声明函》。格式以采购文件要求为准。）</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908" w:type="dxa"/>
            <w:vMerge w:val="continue"/>
            <w:noWrap w:val="0"/>
            <w:vAlign w:val="center"/>
          </w:tcPr>
          <w:p>
            <w:pPr>
              <w:shd w:val="clear" w:color="auto" w:fill="auto"/>
              <w:rPr>
                <w:rFonts w:hint="eastAsia" w:ascii="仿宋" w:hAnsi="仿宋" w:eastAsia="仿宋" w:cs="仿宋"/>
                <w:color w:val="auto"/>
                <w:highlight w:val="none"/>
              </w:rPr>
            </w:pPr>
          </w:p>
        </w:tc>
        <w:tc>
          <w:tcPr>
            <w:tcW w:w="564" w:type="dxa"/>
            <w:noWrap w:val="0"/>
            <w:vAlign w:val="center"/>
          </w:tcPr>
          <w:p>
            <w:pPr>
              <w:shd w:val="clear" w:color="auto" w:fill="auto"/>
              <w:jc w:val="center"/>
              <w:rPr>
                <w:rFonts w:hint="default" w:ascii="仿宋" w:hAnsi="仿宋" w:eastAsia="仿宋" w:cs="仿宋"/>
                <w:color w:val="auto"/>
                <w:szCs w:val="21"/>
                <w:highlight w:val="none"/>
                <w:lang w:val="en-US" w:eastAsia="zh-CN"/>
              </w:rPr>
            </w:pPr>
          </w:p>
        </w:tc>
        <w:tc>
          <w:tcPr>
            <w:tcW w:w="7314" w:type="dxa"/>
            <w:noWrap w:val="0"/>
            <w:vAlign w:val="top"/>
          </w:tcPr>
          <w:p>
            <w:pPr>
              <w:shd w:val="clear" w:color="auto" w:fill="auto"/>
              <w:rPr>
                <w:rFonts w:hint="eastAsia" w:ascii="仿宋" w:hAnsi="仿宋" w:eastAsia="仿宋" w:cs="仿宋"/>
                <w:color w:val="auto"/>
                <w:sz w:val="20"/>
                <w:szCs w:val="20"/>
                <w:highlight w:val="none"/>
              </w:rPr>
            </w:pPr>
            <w:r>
              <w:rPr>
                <w:rFonts w:hint="eastAsia" w:ascii="仿宋" w:hAnsi="仿宋" w:eastAsia="仿宋" w:cs="仿宋"/>
                <w:color w:val="auto"/>
                <w:sz w:val="20"/>
                <w:szCs w:val="20"/>
                <w:highlight w:val="none"/>
              </w:rPr>
              <w:t>结论：是否通过评审（须填写通过或不通过）</w:t>
            </w:r>
          </w:p>
          <w:p>
            <w:pPr>
              <w:shd w:val="clear" w:color="auto" w:fill="auto"/>
              <w:ind w:left="0" w:leftChars="0" w:right="0" w:rightChars="0" w:firstLine="0" w:firstLineChars="0"/>
              <w:rPr>
                <w:rFonts w:hint="eastAsia" w:ascii="仿宋" w:hAnsi="仿宋" w:eastAsia="仿宋" w:cs="仿宋"/>
                <w:color w:val="auto"/>
                <w:spacing w:val="0"/>
                <w:w w:val="100"/>
                <w:position w:val="0"/>
                <w:sz w:val="20"/>
                <w:szCs w:val="22"/>
                <w:highlight w:val="none"/>
                <w:shd w:val="clear" w:color="auto" w:fill="auto"/>
                <w:lang w:val="en-US" w:eastAsia="en-US" w:bidi="en-US"/>
              </w:rPr>
            </w:pPr>
            <w:r>
              <w:rPr>
                <w:rFonts w:hint="eastAsia" w:ascii="仿宋" w:hAnsi="仿宋" w:eastAsia="仿宋" w:cs="仿宋"/>
                <w:color w:val="auto"/>
                <w:sz w:val="20"/>
                <w:szCs w:val="20"/>
                <w:highlight w:val="none"/>
              </w:rPr>
              <w:t>注：如有一项不合格，作废标处理。</w:t>
            </w:r>
          </w:p>
        </w:tc>
        <w:tc>
          <w:tcPr>
            <w:tcW w:w="580" w:type="dxa"/>
            <w:noWrap w:val="0"/>
            <w:vAlign w:val="top"/>
          </w:tcPr>
          <w:p>
            <w:pPr>
              <w:shd w:val="clear" w:color="auto" w:fill="auto"/>
              <w:rPr>
                <w:rFonts w:hint="eastAsia" w:ascii="仿宋" w:hAnsi="仿宋" w:eastAsia="仿宋" w:cs="仿宋"/>
                <w:color w:val="auto"/>
                <w:szCs w:val="21"/>
                <w:highlight w:val="none"/>
              </w:rPr>
            </w:pPr>
          </w:p>
        </w:tc>
        <w:tc>
          <w:tcPr>
            <w:tcW w:w="634" w:type="dxa"/>
            <w:noWrap w:val="0"/>
            <w:vAlign w:val="top"/>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908" w:type="dxa"/>
            <w:vMerge w:val="continue"/>
            <w:noWrap w:val="0"/>
            <w:vAlign w:val="center"/>
          </w:tcPr>
          <w:p>
            <w:pPr>
              <w:shd w:val="clear" w:color="auto" w:fill="auto"/>
              <w:jc w:val="center"/>
              <w:rPr>
                <w:rFonts w:hint="eastAsia" w:ascii="仿宋" w:hAnsi="仿宋" w:eastAsia="仿宋" w:cs="仿宋"/>
                <w:color w:val="auto"/>
                <w:szCs w:val="21"/>
                <w:highlight w:val="none"/>
              </w:rPr>
            </w:pPr>
          </w:p>
        </w:tc>
        <w:tc>
          <w:tcPr>
            <w:tcW w:w="564" w:type="dxa"/>
            <w:noWrap w:val="0"/>
            <w:vAlign w:val="top"/>
          </w:tcPr>
          <w:p>
            <w:pPr>
              <w:shd w:val="clear" w:color="auto" w:fill="auto"/>
              <w:spacing w:line="440" w:lineRule="exact"/>
              <w:rPr>
                <w:rFonts w:hint="eastAsia" w:ascii="仿宋" w:hAnsi="仿宋" w:eastAsia="仿宋" w:cs="仿宋"/>
                <w:color w:val="auto"/>
                <w:szCs w:val="21"/>
                <w:highlight w:val="none"/>
              </w:rPr>
            </w:pPr>
          </w:p>
        </w:tc>
        <w:tc>
          <w:tcPr>
            <w:tcW w:w="7314" w:type="dxa"/>
            <w:noWrap w:val="0"/>
            <w:vAlign w:val="top"/>
          </w:tcPr>
          <w:p>
            <w:pPr>
              <w:shd w:val="clear" w:color="auto" w:fill="auto"/>
              <w:rPr>
                <w:rFonts w:hint="eastAsia" w:ascii="仿宋" w:hAnsi="仿宋" w:eastAsia="仿宋" w:cs="仿宋"/>
                <w:color w:val="auto"/>
                <w:sz w:val="20"/>
                <w:szCs w:val="22"/>
                <w:highlight w:val="none"/>
              </w:rPr>
            </w:pPr>
          </w:p>
        </w:tc>
        <w:tc>
          <w:tcPr>
            <w:tcW w:w="1214" w:type="dxa"/>
            <w:gridSpan w:val="2"/>
            <w:noWrap w:val="0"/>
            <w:vAlign w:val="top"/>
          </w:tcPr>
          <w:p>
            <w:pPr>
              <w:shd w:val="clear" w:color="auto" w:fill="auto"/>
              <w:rPr>
                <w:rFonts w:hint="eastAsia" w:ascii="仿宋" w:hAnsi="仿宋" w:eastAsia="仿宋" w:cs="仿宋"/>
                <w:color w:val="auto"/>
                <w:szCs w:val="21"/>
                <w:highlight w:val="none"/>
              </w:rPr>
            </w:pPr>
          </w:p>
        </w:tc>
      </w:tr>
    </w:tbl>
    <w:p>
      <w:pPr>
        <w:shd w:val="clear" w:color="auto" w:fill="auto"/>
        <w:spacing w:line="400" w:lineRule="exact"/>
        <w:ind w:firstLine="578" w:firstLineChars="241"/>
        <w:rPr>
          <w:rFonts w:hint="eastAsia" w:ascii="仿宋" w:hAnsi="仿宋" w:eastAsia="仿宋" w:cs="仿宋"/>
          <w:b/>
          <w:color w:val="auto"/>
          <w:szCs w:val="21"/>
          <w:highlight w:val="none"/>
          <w:lang w:val="en-US" w:eastAsia="zh-CN"/>
        </w:rPr>
      </w:pPr>
      <w:r>
        <w:rPr>
          <w:rFonts w:hint="eastAsia" w:ascii="仿宋" w:hAnsi="仿宋" w:eastAsia="仿宋" w:cs="仿宋"/>
          <w:b/>
          <w:color w:val="auto"/>
          <w:szCs w:val="21"/>
          <w:highlight w:val="none"/>
          <w:lang w:val="en-US" w:eastAsia="zh-CN"/>
        </w:rPr>
        <w:t>6</w:t>
      </w:r>
      <w:r>
        <w:rPr>
          <w:rFonts w:hint="eastAsia" w:ascii="仿宋" w:hAnsi="仿宋" w:eastAsia="仿宋" w:cs="仿宋"/>
          <w:b/>
          <w:color w:val="auto"/>
          <w:szCs w:val="21"/>
          <w:highlight w:val="none"/>
        </w:rPr>
        <w:t>.2如评标专家在检验电子标书过程中，如果由于投标人自身原因导致评标专家无法查看并检验电子标书中以上相关资料的，否决其投标。即使投标单位将原件携带至现场的，同样按无效投标处理。</w:t>
      </w:r>
    </w:p>
    <w:p>
      <w:pPr>
        <w:shd w:val="clear" w:color="auto" w:fill="auto"/>
        <w:spacing w:before="156" w:beforeLines="50" w:line="440" w:lineRule="exact"/>
        <w:rPr>
          <w:rFonts w:hint="eastAsia" w:ascii="仿宋" w:hAnsi="仿宋" w:eastAsia="仿宋" w:cs="仿宋"/>
          <w:b/>
          <w:color w:val="auto"/>
          <w:szCs w:val="21"/>
          <w:highlight w:val="none"/>
          <w:lang w:val="en-US" w:eastAsia="zh-CN"/>
        </w:rPr>
      </w:pPr>
    </w:p>
    <w:p>
      <w:pPr>
        <w:shd w:val="clear" w:color="auto" w:fill="auto"/>
        <w:spacing w:before="156" w:beforeLines="50" w:line="440" w:lineRule="exact"/>
        <w:rPr>
          <w:rFonts w:hint="eastAsia" w:ascii="仿宋" w:hAnsi="仿宋" w:eastAsia="仿宋" w:cs="仿宋"/>
          <w:b/>
          <w:color w:val="auto"/>
          <w:szCs w:val="21"/>
          <w:highlight w:val="none"/>
          <w:lang w:val="en-US" w:eastAsia="zh-CN"/>
        </w:rPr>
      </w:pPr>
    </w:p>
    <w:p>
      <w:pPr>
        <w:pStyle w:val="2"/>
        <w:rPr>
          <w:rFonts w:hint="eastAsia" w:ascii="仿宋" w:hAnsi="仿宋" w:eastAsia="仿宋" w:cs="仿宋"/>
          <w:b/>
          <w:color w:val="auto"/>
          <w:szCs w:val="21"/>
          <w:highlight w:val="none"/>
          <w:lang w:val="en-US" w:eastAsia="zh-CN"/>
        </w:rPr>
      </w:pPr>
    </w:p>
    <w:p>
      <w:pPr>
        <w:pStyle w:val="2"/>
        <w:rPr>
          <w:rFonts w:hint="eastAsia" w:ascii="仿宋" w:hAnsi="仿宋" w:eastAsia="仿宋" w:cs="仿宋"/>
          <w:b/>
          <w:color w:val="auto"/>
          <w:szCs w:val="21"/>
          <w:highlight w:val="none"/>
          <w:lang w:val="en-US" w:eastAsia="zh-CN"/>
        </w:rPr>
      </w:pPr>
    </w:p>
    <w:p>
      <w:pPr>
        <w:pStyle w:val="2"/>
        <w:rPr>
          <w:rFonts w:hint="eastAsia" w:ascii="仿宋" w:hAnsi="仿宋" w:eastAsia="仿宋" w:cs="仿宋"/>
          <w:b/>
          <w:color w:val="auto"/>
          <w:szCs w:val="21"/>
          <w:highlight w:val="none"/>
          <w:lang w:val="en-US" w:eastAsia="zh-CN"/>
        </w:rPr>
      </w:pPr>
    </w:p>
    <w:p>
      <w:pPr>
        <w:pStyle w:val="2"/>
        <w:rPr>
          <w:rFonts w:hint="eastAsia" w:ascii="仿宋" w:hAnsi="仿宋" w:eastAsia="仿宋" w:cs="仿宋"/>
          <w:b/>
          <w:color w:val="auto"/>
          <w:szCs w:val="21"/>
          <w:highlight w:val="none"/>
          <w:lang w:val="en-US" w:eastAsia="zh-CN"/>
        </w:rPr>
      </w:pPr>
    </w:p>
    <w:p>
      <w:pPr>
        <w:shd w:val="clear" w:color="auto" w:fill="auto"/>
        <w:spacing w:before="156" w:beforeLines="50" w:line="440" w:lineRule="exact"/>
        <w:rPr>
          <w:rFonts w:hint="eastAsia" w:ascii="仿宋" w:hAnsi="仿宋" w:eastAsia="仿宋" w:cs="仿宋"/>
          <w:b/>
          <w:color w:val="auto"/>
          <w:szCs w:val="21"/>
          <w:highlight w:val="none"/>
          <w:lang w:val="en-US" w:eastAsia="zh-CN"/>
        </w:rPr>
      </w:pPr>
    </w:p>
    <w:p>
      <w:pPr>
        <w:shd w:val="clear" w:color="auto" w:fill="auto"/>
        <w:spacing w:before="156" w:beforeLines="50" w:line="440" w:lineRule="exact"/>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7</w:t>
      </w:r>
      <w:r>
        <w:rPr>
          <w:rFonts w:hint="eastAsia" w:ascii="仿宋" w:hAnsi="仿宋" w:eastAsia="仿宋" w:cs="仿宋"/>
          <w:b/>
          <w:color w:val="auto"/>
          <w:szCs w:val="21"/>
          <w:highlight w:val="none"/>
        </w:rPr>
        <w:t>.符合性审查</w:t>
      </w:r>
    </w:p>
    <w:p>
      <w:pPr>
        <w:widowControl/>
        <w:shd w:val="clear" w:color="auto" w:fill="auto"/>
        <w:jc w:val="left"/>
        <w:textAlignment w:val="center"/>
        <w:rPr>
          <w:rFonts w:hint="eastAsia" w:ascii="仿宋" w:hAnsi="仿宋" w:eastAsia="仿宋" w:cs="仿宋"/>
          <w:color w:val="auto"/>
          <w:kern w:val="0"/>
          <w:sz w:val="20"/>
          <w:szCs w:val="20"/>
          <w:highlight w:val="none"/>
          <w:lang w:eastAsia="zh-CN" w:bidi="ar"/>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．1评审细则</w:t>
      </w:r>
    </w:p>
    <w:tbl>
      <w:tblPr>
        <w:tblStyle w:val="23"/>
        <w:tblpPr w:leftFromText="180" w:rightFromText="180" w:vertAnchor="text" w:horzAnchor="page" w:tblpX="1316" w:tblpY="231"/>
        <w:tblW w:w="949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2"/>
        <w:gridCol w:w="495"/>
        <w:gridCol w:w="6579"/>
        <w:gridCol w:w="753"/>
        <w:gridCol w:w="74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13" w:hRule="atLeast"/>
        </w:trPr>
        <w:tc>
          <w:tcPr>
            <w:tcW w:w="922" w:type="dxa"/>
            <w:tcBorders>
              <w:top w:val="single" w:color="auto" w:sz="4" w:space="0"/>
              <w:lef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eastAsia="zh-CN" w:bidi="ar"/>
              </w:rPr>
            </w:pPr>
            <w:r>
              <w:rPr>
                <w:rFonts w:hint="eastAsia" w:ascii="仿宋" w:hAnsi="仿宋" w:eastAsia="仿宋" w:cs="仿宋"/>
                <w:color w:val="auto"/>
                <w:kern w:val="0"/>
                <w:sz w:val="20"/>
                <w:szCs w:val="20"/>
                <w:highlight w:val="none"/>
                <w:lang w:eastAsia="zh-CN" w:bidi="ar"/>
              </w:rPr>
              <w:t>项目</w:t>
            </w:r>
          </w:p>
        </w:tc>
        <w:tc>
          <w:tcPr>
            <w:tcW w:w="7074" w:type="dxa"/>
            <w:gridSpan w:val="2"/>
            <w:tcBorders>
              <w:top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eastAsia="zh-CN" w:bidi="ar"/>
              </w:rPr>
            </w:pPr>
            <w:r>
              <w:rPr>
                <w:rFonts w:hint="eastAsia" w:ascii="仿宋" w:hAnsi="仿宋" w:eastAsia="仿宋" w:cs="仿宋"/>
                <w:color w:val="auto"/>
                <w:kern w:val="0"/>
                <w:sz w:val="20"/>
                <w:szCs w:val="20"/>
                <w:highlight w:val="none"/>
                <w:lang w:eastAsia="zh-CN" w:bidi="ar"/>
              </w:rPr>
              <w:t>评审内容</w:t>
            </w:r>
          </w:p>
        </w:tc>
        <w:tc>
          <w:tcPr>
            <w:tcW w:w="1502" w:type="dxa"/>
            <w:gridSpan w:val="2"/>
            <w:tcBorders>
              <w:top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eastAsia="zh-CN" w:bidi="ar"/>
              </w:rPr>
            </w:pPr>
            <w:r>
              <w:rPr>
                <w:rFonts w:hint="eastAsia" w:ascii="仿宋" w:hAnsi="仿宋" w:eastAsia="仿宋" w:cs="仿宋"/>
                <w:color w:val="auto"/>
                <w:kern w:val="0"/>
                <w:sz w:val="20"/>
                <w:szCs w:val="20"/>
                <w:highlight w:val="none"/>
                <w:lang w:eastAsia="zh-CN" w:bidi="ar"/>
              </w:rPr>
              <w:t>评审意见</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tcBorders>
              <w:left w:val="single" w:color="auto" w:sz="4" w:space="0"/>
              <w:bottom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074" w:type="dxa"/>
            <w:gridSpan w:val="2"/>
            <w:tcBorders>
              <w:bottom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53" w:type="dxa"/>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w:t>
            </w:r>
          </w:p>
        </w:tc>
        <w:tc>
          <w:tcPr>
            <w:tcW w:w="749" w:type="dxa"/>
            <w:tcBorders>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atLeast"/>
        </w:trPr>
        <w:tc>
          <w:tcPr>
            <w:tcW w:w="922" w:type="dxa"/>
            <w:vMerge w:val="restart"/>
            <w:tcBorders>
              <w:top w:val="single" w:color="auto" w:sz="4" w:space="0"/>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审</w:t>
            </w:r>
          </w:p>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查</w:t>
            </w:r>
          </w:p>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标</w:t>
            </w:r>
          </w:p>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准</w:t>
            </w:r>
          </w:p>
        </w:tc>
        <w:tc>
          <w:tcPr>
            <w:tcW w:w="495" w:type="dxa"/>
            <w:tcBorders>
              <w:top w:val="single" w:color="auto" w:sz="4" w:space="0"/>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1</w:t>
            </w:r>
          </w:p>
        </w:tc>
        <w:tc>
          <w:tcPr>
            <w:tcW w:w="6579" w:type="dxa"/>
            <w:tcBorders>
              <w:top w:val="single" w:color="auto" w:sz="4" w:space="0"/>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由政府立项核准、审批的采购项目, 报价</w:t>
            </w:r>
            <w:r>
              <w:rPr>
                <w:rFonts w:hint="eastAsia" w:ascii="仿宋" w:hAnsi="仿宋" w:eastAsia="仿宋" w:cs="仿宋"/>
                <w:color w:val="auto"/>
                <w:kern w:val="0"/>
                <w:sz w:val="20"/>
                <w:szCs w:val="20"/>
                <w:highlight w:val="none"/>
                <w:lang w:val="en-US" w:eastAsia="zh-CN" w:bidi="ar"/>
              </w:rPr>
              <w:t>未</w:t>
            </w:r>
            <w:r>
              <w:rPr>
                <w:rFonts w:hint="eastAsia" w:ascii="仿宋" w:hAnsi="仿宋" w:eastAsia="仿宋" w:cs="仿宋"/>
                <w:color w:val="auto"/>
                <w:kern w:val="0"/>
                <w:sz w:val="20"/>
                <w:szCs w:val="20"/>
                <w:highlight w:val="none"/>
                <w:lang w:bidi="ar"/>
              </w:rPr>
              <w:t>高于设定</w:t>
            </w:r>
            <w:r>
              <w:rPr>
                <w:rFonts w:hint="eastAsia" w:ascii="仿宋" w:hAnsi="仿宋" w:eastAsia="仿宋" w:cs="仿宋"/>
                <w:color w:val="auto"/>
                <w:kern w:val="0"/>
                <w:sz w:val="20"/>
                <w:szCs w:val="20"/>
                <w:highlight w:val="none"/>
                <w:lang w:val="en-US" w:eastAsia="zh-CN" w:bidi="ar"/>
              </w:rPr>
              <w:t>招标控制价</w:t>
            </w:r>
            <w:r>
              <w:rPr>
                <w:rFonts w:hint="eastAsia" w:ascii="仿宋" w:hAnsi="仿宋" w:eastAsia="仿宋" w:cs="仿宋"/>
                <w:color w:val="auto"/>
                <w:kern w:val="0"/>
                <w:sz w:val="20"/>
                <w:szCs w:val="20"/>
                <w:highlight w:val="none"/>
                <w:lang w:bidi="ar"/>
              </w:rPr>
              <w:t>的；</w:t>
            </w:r>
          </w:p>
        </w:tc>
        <w:tc>
          <w:tcPr>
            <w:tcW w:w="753" w:type="dxa"/>
            <w:tcBorders>
              <w:left w:val="single" w:color="auto" w:sz="4" w:space="0"/>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left w:val="single" w:color="auto" w:sz="4" w:space="0"/>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95"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2</w:t>
            </w:r>
          </w:p>
        </w:tc>
        <w:tc>
          <w:tcPr>
            <w:tcW w:w="6579"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法定代表人身份证明及授权委托书有效，且符合招标文件规定的格式。</w:t>
            </w:r>
          </w:p>
        </w:tc>
        <w:tc>
          <w:tcPr>
            <w:tcW w:w="753" w:type="dxa"/>
            <w:tcBorders>
              <w:lef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top w:val="single" w:color="auto" w:sz="4" w:space="0"/>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3</w:t>
            </w:r>
          </w:p>
        </w:tc>
        <w:tc>
          <w:tcPr>
            <w:tcW w:w="6579" w:type="dxa"/>
            <w:tcBorders>
              <w:top w:val="single" w:color="auto" w:sz="4" w:space="0"/>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只有一个方案投标。</w:t>
            </w:r>
          </w:p>
        </w:tc>
        <w:tc>
          <w:tcPr>
            <w:tcW w:w="753" w:type="dxa"/>
            <w:tcBorders>
              <w:lef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lef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4</w:t>
            </w:r>
          </w:p>
        </w:tc>
        <w:tc>
          <w:tcPr>
            <w:tcW w:w="6579" w:type="dxa"/>
            <w:tcBorders>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投标文件内容齐全、无遗漏。</w:t>
            </w:r>
          </w:p>
        </w:tc>
        <w:tc>
          <w:tcPr>
            <w:tcW w:w="753" w:type="dxa"/>
            <w:tcBorders>
              <w:lef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left w:val="single" w:color="auto" w:sz="4" w:space="0"/>
              <w:bottom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5</w:t>
            </w:r>
          </w:p>
        </w:tc>
        <w:tc>
          <w:tcPr>
            <w:tcW w:w="6579" w:type="dxa"/>
            <w:tcBorders>
              <w:bottom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对招标文件规定的招标内容全部作出响应</w:t>
            </w:r>
            <w:r>
              <w:rPr>
                <w:rFonts w:hint="eastAsia" w:ascii="仿宋" w:hAnsi="仿宋" w:eastAsia="仿宋" w:cs="仿宋"/>
                <w:color w:val="auto"/>
                <w:kern w:val="0"/>
                <w:sz w:val="20"/>
                <w:szCs w:val="20"/>
                <w:highlight w:val="none"/>
                <w:lang w:val="en-US" w:eastAsia="zh-CN" w:bidi="ar"/>
              </w:rPr>
              <w:t>并按照招标文件要求的格式填写及签章</w:t>
            </w:r>
            <w:r>
              <w:rPr>
                <w:rFonts w:hint="eastAsia" w:ascii="仿宋" w:hAnsi="仿宋" w:eastAsia="仿宋" w:cs="仿宋"/>
                <w:color w:val="auto"/>
                <w:kern w:val="0"/>
                <w:sz w:val="20"/>
                <w:szCs w:val="20"/>
                <w:highlight w:val="none"/>
                <w:lang w:bidi="ar"/>
              </w:rPr>
              <w:t>。</w:t>
            </w:r>
          </w:p>
        </w:tc>
        <w:tc>
          <w:tcPr>
            <w:tcW w:w="753" w:type="dxa"/>
            <w:tcBorders>
              <w:left w:val="single" w:color="auto" w:sz="4" w:space="0"/>
              <w:bottom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bottom w:val="single" w:color="auto" w:sz="4" w:space="0"/>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6</w:t>
            </w:r>
          </w:p>
        </w:tc>
        <w:tc>
          <w:tcPr>
            <w:tcW w:w="6579" w:type="dxa"/>
            <w:tcBorders>
              <w:top w:val="single" w:color="auto" w:sz="4" w:space="0"/>
              <w:left w:val="single" w:color="auto" w:sz="4" w:space="0"/>
              <w:bottom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满足招标文件提出的技术和质量要求。</w:t>
            </w:r>
          </w:p>
        </w:tc>
        <w:tc>
          <w:tcPr>
            <w:tcW w:w="753"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top w:val="single" w:color="auto" w:sz="4" w:space="0"/>
              <w:left w:val="single" w:color="auto" w:sz="4" w:space="0"/>
              <w:bottom w:val="single" w:color="auto" w:sz="4" w:space="0"/>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top w:val="single" w:color="auto" w:sz="4" w:space="0"/>
              <w:lef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7</w:t>
            </w:r>
          </w:p>
        </w:tc>
        <w:tc>
          <w:tcPr>
            <w:tcW w:w="6579" w:type="dxa"/>
            <w:tcBorders>
              <w:top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实施（</w:t>
            </w:r>
            <w:r>
              <w:rPr>
                <w:rFonts w:hint="eastAsia" w:ascii="仿宋" w:hAnsi="仿宋" w:eastAsia="仿宋" w:cs="仿宋"/>
                <w:color w:val="auto"/>
                <w:kern w:val="0"/>
                <w:sz w:val="20"/>
                <w:szCs w:val="20"/>
                <w:highlight w:val="none"/>
                <w:lang w:val="en-US" w:eastAsia="zh-CN" w:bidi="ar"/>
              </w:rPr>
              <w:t>施工</w:t>
            </w:r>
            <w:r>
              <w:rPr>
                <w:rFonts w:hint="eastAsia" w:ascii="仿宋" w:hAnsi="仿宋" w:eastAsia="仿宋" w:cs="仿宋"/>
                <w:color w:val="auto"/>
                <w:kern w:val="0"/>
                <w:sz w:val="20"/>
                <w:szCs w:val="20"/>
                <w:highlight w:val="none"/>
                <w:lang w:bidi="ar"/>
              </w:rPr>
              <w:t>）时间满足招标文件要求。</w:t>
            </w:r>
          </w:p>
        </w:tc>
        <w:tc>
          <w:tcPr>
            <w:tcW w:w="753" w:type="dxa"/>
            <w:tcBorders>
              <w:top w:val="single" w:color="auto" w:sz="4" w:space="0"/>
              <w:lef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top w:val="single" w:color="auto" w:sz="4" w:space="0"/>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lef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8</w:t>
            </w:r>
          </w:p>
        </w:tc>
        <w:tc>
          <w:tcPr>
            <w:tcW w:w="6579" w:type="dxa"/>
            <w:tcBorders>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val="en-US" w:eastAsia="zh-CN" w:bidi="ar"/>
              </w:rPr>
              <w:t>项目质量标准</w:t>
            </w:r>
            <w:r>
              <w:rPr>
                <w:rFonts w:hint="eastAsia" w:ascii="仿宋" w:hAnsi="仿宋" w:eastAsia="仿宋" w:cs="仿宋"/>
                <w:color w:val="auto"/>
                <w:kern w:val="0"/>
                <w:sz w:val="20"/>
                <w:szCs w:val="20"/>
                <w:highlight w:val="none"/>
                <w:lang w:bidi="ar"/>
              </w:rPr>
              <w:t>满足招标文件要求。</w:t>
            </w:r>
          </w:p>
        </w:tc>
        <w:tc>
          <w:tcPr>
            <w:tcW w:w="753" w:type="dxa"/>
            <w:tcBorders>
              <w:lef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left w:val="single" w:color="auto" w:sz="4" w:space="0"/>
            </w:tcBorders>
            <w:noWrap w:val="0"/>
            <w:vAlign w:val="center"/>
          </w:tcPr>
          <w:p>
            <w:pPr>
              <w:widowControl/>
              <w:shd w:val="clear" w:color="auto" w:fill="auto"/>
              <w:jc w:val="left"/>
              <w:textAlignment w:val="center"/>
              <w:rPr>
                <w:rFonts w:hint="default" w:ascii="仿宋" w:hAnsi="仿宋" w:eastAsia="仿宋" w:cs="仿宋"/>
                <w:color w:val="auto"/>
                <w:kern w:val="0"/>
                <w:sz w:val="20"/>
                <w:szCs w:val="20"/>
                <w:highlight w:val="none"/>
                <w:lang w:val="en-US" w:eastAsia="zh-CN" w:bidi="ar"/>
              </w:rPr>
            </w:pPr>
            <w:r>
              <w:rPr>
                <w:rFonts w:hint="eastAsia" w:ascii="仿宋" w:hAnsi="仿宋" w:eastAsia="仿宋" w:cs="仿宋"/>
                <w:color w:val="auto"/>
                <w:kern w:val="0"/>
                <w:sz w:val="20"/>
                <w:szCs w:val="20"/>
                <w:highlight w:val="none"/>
                <w:lang w:val="en-US" w:eastAsia="zh-CN" w:bidi="ar"/>
              </w:rPr>
              <w:t>9</w:t>
            </w:r>
          </w:p>
        </w:tc>
        <w:tc>
          <w:tcPr>
            <w:tcW w:w="6579" w:type="dxa"/>
            <w:tcBorders>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投标有效期满足招标文件要求。</w:t>
            </w:r>
          </w:p>
        </w:tc>
        <w:tc>
          <w:tcPr>
            <w:tcW w:w="753" w:type="dxa"/>
            <w:tcBorders>
              <w:lef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922" w:type="dxa"/>
            <w:vMerge w:val="continue"/>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495" w:type="dxa"/>
            <w:tcBorders>
              <w:left w:val="single" w:color="auto" w:sz="4" w:space="0"/>
            </w:tcBorders>
            <w:noWrap w:val="0"/>
            <w:vAlign w:val="center"/>
          </w:tcPr>
          <w:p>
            <w:pPr>
              <w:widowControl/>
              <w:shd w:val="clear" w:color="auto" w:fill="auto"/>
              <w:jc w:val="left"/>
              <w:textAlignment w:val="center"/>
              <w:rPr>
                <w:rFonts w:hint="default" w:ascii="仿宋" w:hAnsi="仿宋" w:eastAsia="仿宋" w:cs="仿宋"/>
                <w:color w:val="auto"/>
                <w:kern w:val="0"/>
                <w:sz w:val="20"/>
                <w:szCs w:val="20"/>
                <w:highlight w:val="none"/>
                <w:lang w:val="en-US" w:eastAsia="zh-CN" w:bidi="ar"/>
              </w:rPr>
            </w:pPr>
            <w:r>
              <w:rPr>
                <w:rFonts w:hint="eastAsia" w:ascii="仿宋" w:hAnsi="仿宋" w:eastAsia="仿宋" w:cs="仿宋"/>
                <w:color w:val="auto"/>
                <w:kern w:val="0"/>
                <w:sz w:val="20"/>
                <w:szCs w:val="20"/>
                <w:highlight w:val="none"/>
                <w:lang w:val="en-US" w:eastAsia="zh-CN" w:bidi="ar"/>
              </w:rPr>
              <w:t>10</w:t>
            </w:r>
          </w:p>
        </w:tc>
        <w:tc>
          <w:tcPr>
            <w:tcW w:w="6579" w:type="dxa"/>
            <w:tcBorders>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eastAsia="zh-CN" w:bidi="ar"/>
              </w:rPr>
            </w:pPr>
            <w:r>
              <w:rPr>
                <w:rFonts w:hint="eastAsia" w:ascii="仿宋" w:hAnsi="仿宋" w:eastAsia="仿宋" w:cs="仿宋"/>
                <w:color w:val="auto"/>
                <w:kern w:val="0"/>
                <w:sz w:val="20"/>
                <w:szCs w:val="20"/>
                <w:highlight w:val="none"/>
                <w:lang w:eastAsia="zh-CN" w:bidi="ar"/>
              </w:rPr>
              <w:t>投标文件封面写清</w:t>
            </w:r>
            <w:r>
              <w:rPr>
                <w:rFonts w:hint="eastAsia" w:ascii="仿宋" w:hAnsi="仿宋" w:eastAsia="仿宋" w:cs="仿宋"/>
                <w:color w:val="auto"/>
                <w:kern w:val="0"/>
                <w:sz w:val="20"/>
                <w:szCs w:val="20"/>
                <w:highlight w:val="none"/>
                <w:lang w:bidi="ar"/>
              </w:rPr>
              <w:t>投标人详细地址、联系人、电话</w:t>
            </w:r>
            <w:r>
              <w:rPr>
                <w:rFonts w:hint="eastAsia" w:ascii="仿宋" w:hAnsi="仿宋" w:eastAsia="仿宋" w:cs="仿宋"/>
                <w:color w:val="auto"/>
                <w:kern w:val="0"/>
                <w:sz w:val="20"/>
                <w:szCs w:val="20"/>
                <w:highlight w:val="none"/>
                <w:lang w:eastAsia="zh-CN" w:bidi="ar"/>
              </w:rPr>
              <w:t>。</w:t>
            </w:r>
          </w:p>
        </w:tc>
        <w:tc>
          <w:tcPr>
            <w:tcW w:w="753" w:type="dxa"/>
            <w:tcBorders>
              <w:lef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c>
          <w:tcPr>
            <w:tcW w:w="749" w:type="dxa"/>
            <w:tcBorders>
              <w:right w:val="single" w:color="auto" w:sz="4" w:space="0"/>
            </w:tcBorders>
            <w:noWrap w:val="0"/>
            <w:vAlign w:val="top"/>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6" w:hRule="atLeast"/>
        </w:trPr>
        <w:tc>
          <w:tcPr>
            <w:tcW w:w="7996" w:type="dxa"/>
            <w:gridSpan w:val="3"/>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eastAsia="zh-CN" w:bidi="ar"/>
              </w:rPr>
              <w:t>评审结果：须写通过或者不通过</w:t>
            </w:r>
          </w:p>
        </w:tc>
        <w:tc>
          <w:tcPr>
            <w:tcW w:w="1502" w:type="dxa"/>
            <w:gridSpan w:val="2"/>
            <w:tcBorders>
              <w:left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3" w:hRule="atLeast"/>
        </w:trPr>
        <w:tc>
          <w:tcPr>
            <w:tcW w:w="9498" w:type="dxa"/>
            <w:gridSpan w:val="5"/>
            <w:tcBorders>
              <w:left w:val="single" w:color="auto" w:sz="4" w:space="0"/>
              <w:bottom w:val="single" w:color="auto" w:sz="4" w:space="0"/>
              <w:right w:val="single" w:color="auto" w:sz="4" w:space="0"/>
            </w:tcBorders>
            <w:noWrap w:val="0"/>
            <w:vAlign w:val="center"/>
          </w:tcPr>
          <w:p>
            <w:pPr>
              <w:widowControl/>
              <w:shd w:val="clear" w:color="auto" w:fill="auto"/>
              <w:jc w:val="left"/>
              <w:textAlignment w:val="center"/>
              <w:rPr>
                <w:rFonts w:hint="eastAsia" w:ascii="仿宋" w:hAnsi="仿宋" w:eastAsia="仿宋" w:cs="仿宋"/>
                <w:color w:val="auto"/>
                <w:kern w:val="0"/>
                <w:sz w:val="20"/>
                <w:szCs w:val="20"/>
                <w:highlight w:val="none"/>
                <w:lang w:bidi="ar"/>
              </w:rPr>
            </w:pPr>
            <w:r>
              <w:rPr>
                <w:rFonts w:hint="eastAsia" w:ascii="仿宋" w:hAnsi="仿宋" w:eastAsia="仿宋" w:cs="仿宋"/>
                <w:color w:val="auto"/>
                <w:kern w:val="0"/>
                <w:sz w:val="20"/>
                <w:szCs w:val="20"/>
                <w:highlight w:val="none"/>
                <w:lang w:bidi="ar"/>
              </w:rPr>
              <w:t>结论：通过评审打“√”，未通过评审打“×”   注：如有一项不合格，作废标处理。</w:t>
            </w:r>
          </w:p>
        </w:tc>
      </w:tr>
    </w:tbl>
    <w:p>
      <w:pPr>
        <w:shd w:val="clear" w:color="auto" w:fill="auto"/>
        <w:bidi w:val="0"/>
        <w:rPr>
          <w:rFonts w:hint="eastAsia" w:ascii="仿宋" w:hAnsi="仿宋" w:eastAsia="仿宋" w:cs="仿宋"/>
          <w:color w:val="auto"/>
          <w:highlight w:val="none"/>
        </w:rPr>
      </w:pPr>
    </w:p>
    <w:p>
      <w:pPr>
        <w:shd w:val="clear" w:color="auto" w:fill="auto"/>
        <w:spacing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.2评委会判定投标文件的响应性只根据投标文件本身的内容，而不寻求外部的证据，但投标有不真实不正确的内容时除外。</w:t>
      </w:r>
    </w:p>
    <w:p>
      <w:pPr>
        <w:shd w:val="clear" w:color="auto" w:fill="auto"/>
        <w:spacing w:line="400" w:lineRule="exact"/>
        <w:ind w:firstLine="578" w:firstLineChars="241"/>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.3如果投标文件实质上没有响应</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的要求，评委会将予以拒绝，投标人不得通过修正或撤销不符合要求的偏离或保留，而使其投标成为实质上响应的投标。</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.4投标人可在现场20分钟内对评标委员会的评审结论提出异议，评标委员会根据</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及有关规定对投标人的异议进行复议</w:t>
      </w:r>
    </w:p>
    <w:p>
      <w:pPr>
        <w:shd w:val="clear" w:color="auto" w:fill="auto"/>
        <w:spacing w:line="400" w:lineRule="exact"/>
        <w:ind w:firstLine="600" w:firstLineChars="25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.5只有通过初审的投标人才能进入下一步评标程序。</w:t>
      </w:r>
    </w:p>
    <w:p>
      <w:pPr>
        <w:shd w:val="clear" w:color="auto" w:fill="auto"/>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温馨提示：投标文件资格审查资料请精心准备,如评标专家在检验电子标书过程中，如果由于投标人自身原因导致评标专家无法查看并检验电子标书中以上相关资料的，按无效投标处理。即使投标单位将原件携带至现场的，同样按无效投标处理。</w:t>
      </w:r>
    </w:p>
    <w:p>
      <w:pPr>
        <w:shd w:val="clear" w:color="auto" w:fill="auto"/>
        <w:spacing w:before="156" w:beforeLines="50" w:line="400" w:lineRule="exact"/>
        <w:jc w:val="center"/>
        <w:outlineLvl w:val="1"/>
        <w:rPr>
          <w:rFonts w:hint="eastAsia" w:ascii="仿宋" w:hAnsi="仿宋" w:eastAsia="仿宋" w:cs="仿宋"/>
          <w:b/>
          <w:color w:val="auto"/>
          <w:sz w:val="24"/>
          <w:highlight w:val="none"/>
        </w:rPr>
      </w:pPr>
      <w:bookmarkStart w:id="71" w:name="_Toc469495734"/>
      <w:bookmarkStart w:id="72" w:name="_Toc362983803"/>
      <w:r>
        <w:rPr>
          <w:rFonts w:hint="eastAsia" w:ascii="仿宋" w:hAnsi="仿宋" w:eastAsia="仿宋" w:cs="仿宋"/>
          <w:b/>
          <w:color w:val="auto"/>
          <w:sz w:val="28"/>
          <w:szCs w:val="28"/>
          <w:highlight w:val="none"/>
        </w:rPr>
        <w:t xml:space="preserve">三  </w:t>
      </w:r>
      <w:r>
        <w:rPr>
          <w:rFonts w:hint="eastAsia" w:ascii="仿宋" w:hAnsi="仿宋" w:eastAsia="仿宋" w:cs="仿宋"/>
          <w:b/>
          <w:color w:val="auto"/>
          <w:sz w:val="24"/>
          <w:highlight w:val="none"/>
        </w:rPr>
        <w:t>投标文件的澄清和补正</w:t>
      </w:r>
      <w:bookmarkEnd w:id="71"/>
      <w:bookmarkEnd w:id="72"/>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8．澄清、说明或补正的形式</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8.1对于投标文件中含义不明确、同类问题表述不一致或者有明显文字和计算错误的内容，评标委员会将通过“政府采购云平台”在线询标的方式要求投标供应商在规定的时间内作出必要的澄清、说明或者补正，投标供应商澄清、说明或补正时间为20分钟。</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8.2投标供应商的澄清、说明或者补正应当通过“政府采购云平台”在线答复的方式提交，并加盖公章（电子印章），或者由法定代表人（负责人）或其授权的代表签章。投标供应商的澄清、说明或者补正不得超出投标文件的范围或者改变投标文件的实质性内容，不接受投标供应商主动对投标文件的澄清、说明或者补正。</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8.3上述询标、澄清、说明和补正工作如因客观原因无法通过“政府采购云平台”在线进行的，将采用电子邮件等形式进行，请供应商保证办理投标事宜人员电话畅通、网络在线。如未及时进行澄清、说明或者补正的，视为放弃澄清、说明或者补正的权利。</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9．错误修正的原则</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电子交易平台客户端里开标一览表录入的投标报价或优惠率与扫描上传的报价文件信息不一致的，以扫描上传的报价文件信息为准进行修正。</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投标文件报价出现前后不一致的，除采购文件另有规定外，按照下列规定修正：</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9.1 投标函中表述的内容与报价表中不一致的，以报价表为准；报价表中的内容与报价明细表不一致的，以报价表为准；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9.2 投标文件中的大写金额和小写金额不一致的，以大写金额为准；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9.3 单价金额小数点或者百分比有明显错位的，以开标一览表的总价为准，并修改单价；</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9.4 总价金额与按单价汇总金额不一致的，以单价金额计算结果为准；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9.5 若用文字表示的数值与用数字表示的数值不一致，以文字表示的数值为准；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9.6 如有多报（指数量超出采购文件需求）、重报（指同一货物重复报价），其投标总价在评标过程中不予调整，如其中标，其合同价按其投标单价予以调整；</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9.7 对不同文字文本投标文件的解释发生异议的，以中文文本为准；</w:t>
      </w:r>
    </w:p>
    <w:p>
      <w:pPr>
        <w:shd w:val="clear" w:color="auto" w:fill="auto"/>
        <w:spacing w:line="440" w:lineRule="exact"/>
        <w:ind w:firstLine="240" w:firstLineChars="100"/>
        <w:jc w:val="left"/>
        <w:rPr>
          <w:rFonts w:hint="eastAsia" w:ascii="仿宋" w:hAnsi="仿宋" w:eastAsia="仿宋" w:cs="仿宋"/>
          <w:b w:val="0"/>
          <w:bCs w:val="0"/>
          <w:color w:val="auto"/>
          <w:szCs w:val="21"/>
          <w:highlight w:val="none"/>
          <w:lang w:val="en-US" w:eastAsia="zh-CN"/>
        </w:rPr>
      </w:pPr>
      <w:r>
        <w:rPr>
          <w:rFonts w:hint="eastAsia" w:ascii="仿宋" w:hAnsi="仿宋" w:eastAsia="仿宋" w:cs="仿宋"/>
          <w:b w:val="0"/>
          <w:bCs w:val="0"/>
          <w:color w:val="auto"/>
          <w:szCs w:val="21"/>
          <w:highlight w:val="none"/>
          <w:lang w:val="en-US" w:eastAsia="zh-CN"/>
        </w:rPr>
        <w:t>同时出现两种以上不一致的，按照前款规定的顺序修正。按上述修正错误的原则及方法调整或修正投标文件的投标报价，供应商确认后，以调整或修正后的投标报价为准。如供应商拒绝调整或修正的，其投标文件按无效标处理。修正应当采用电子询标的形式，并加盖公章（电子印章）。</w:t>
      </w:r>
    </w:p>
    <w:p>
      <w:pPr>
        <w:shd w:val="clear" w:color="auto" w:fill="auto"/>
        <w:spacing w:line="400" w:lineRule="exact"/>
        <w:ind w:firstLine="460" w:firstLineChars="192"/>
        <w:rPr>
          <w:rFonts w:hint="eastAsia" w:ascii="仿宋" w:hAnsi="仿宋" w:eastAsia="仿宋" w:cs="仿宋"/>
          <w:color w:val="auto"/>
          <w:szCs w:val="21"/>
          <w:highlight w:val="none"/>
        </w:rPr>
      </w:pPr>
    </w:p>
    <w:p>
      <w:pPr>
        <w:shd w:val="clear" w:color="auto" w:fill="auto"/>
        <w:spacing w:line="400" w:lineRule="exact"/>
        <w:jc w:val="center"/>
        <w:outlineLvl w:val="1"/>
        <w:rPr>
          <w:rFonts w:hint="eastAsia" w:ascii="仿宋" w:hAnsi="仿宋" w:eastAsia="仿宋" w:cs="仿宋"/>
          <w:b/>
          <w:color w:val="auto"/>
          <w:sz w:val="24"/>
          <w:highlight w:val="none"/>
        </w:rPr>
      </w:pPr>
      <w:bookmarkStart w:id="73" w:name="_Toc469495735"/>
      <w:r>
        <w:rPr>
          <w:rFonts w:hint="eastAsia" w:ascii="仿宋" w:hAnsi="仿宋" w:eastAsia="仿宋" w:cs="仿宋"/>
          <w:b/>
          <w:color w:val="auto"/>
          <w:sz w:val="24"/>
          <w:highlight w:val="none"/>
        </w:rPr>
        <w:t>四 比较与评价</w:t>
      </w:r>
      <w:bookmarkEnd w:id="73"/>
    </w:p>
    <w:p>
      <w:pPr>
        <w:shd w:val="clear" w:color="auto" w:fill="auto"/>
        <w:tabs>
          <w:tab w:val="left" w:pos="720"/>
        </w:tabs>
        <w:spacing w:line="440" w:lineRule="exact"/>
        <w:ind w:firstLine="612" w:firstLineChars="255"/>
        <w:rPr>
          <w:rFonts w:hint="eastAsia" w:ascii="仿宋" w:hAnsi="仿宋" w:eastAsia="仿宋" w:cs="仿宋"/>
          <w:color w:val="auto"/>
          <w:szCs w:val="21"/>
          <w:highlight w:val="none"/>
          <w:lang w:bidi="ar-SA"/>
        </w:rPr>
      </w:pPr>
      <w:bookmarkStart w:id="74" w:name="_Toc362983805"/>
      <w:bookmarkStart w:id="75" w:name="_Toc469495736"/>
      <w:r>
        <w:rPr>
          <w:rFonts w:hint="eastAsia" w:ascii="仿宋" w:hAnsi="仿宋" w:eastAsia="仿宋" w:cs="仿宋"/>
          <w:color w:val="auto"/>
          <w:szCs w:val="21"/>
          <w:highlight w:val="none"/>
          <w:lang w:val="en-US" w:eastAsia="zh-CN" w:bidi="ar-SA"/>
        </w:rPr>
        <w:t>10.1</w:t>
      </w:r>
      <w:r>
        <w:rPr>
          <w:rFonts w:hint="eastAsia" w:ascii="仿宋" w:hAnsi="仿宋" w:eastAsia="仿宋" w:cs="仿宋"/>
          <w:color w:val="auto"/>
          <w:szCs w:val="21"/>
          <w:highlight w:val="none"/>
          <w:lang w:bidi="ar-SA"/>
        </w:rPr>
        <w:t>评标委员会按招标文件中规定的评标方法和标准，对资格性检查和符合性检查合格的投标文件进行商务和技术评估、综合比较与评价。</w:t>
      </w:r>
    </w:p>
    <w:p>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10.2</w:t>
      </w:r>
      <w:r>
        <w:rPr>
          <w:rFonts w:hint="eastAsia" w:ascii="仿宋" w:hAnsi="仿宋" w:eastAsia="仿宋" w:cs="仿宋"/>
          <w:color w:val="auto"/>
          <w:szCs w:val="21"/>
          <w:highlight w:val="none"/>
          <w:lang w:bidi="ar-SA"/>
        </w:rPr>
        <w:t>评标委员会根据商务和技术评估的结果，采用综合评分法，分别对投标文件的商务、技术、价格等内容进行打分。其中，商务评估、技术评估、价格评估的评分权值（详见附件1）。</w:t>
      </w:r>
    </w:p>
    <w:p>
      <w:pPr>
        <w:shd w:val="clear" w:color="auto" w:fill="auto"/>
        <w:spacing w:line="440" w:lineRule="exact"/>
        <w:ind w:firstLine="616" w:firstLineChars="257"/>
        <w:rPr>
          <w:rFonts w:hint="eastAsia" w:ascii="仿宋" w:hAnsi="仿宋" w:eastAsia="仿宋" w:cs="仿宋"/>
          <w:bCs/>
          <w:color w:val="auto"/>
          <w:szCs w:val="21"/>
          <w:highlight w:val="none"/>
          <w:lang w:bidi="ar-SA"/>
        </w:rPr>
      </w:pPr>
      <w:r>
        <w:rPr>
          <w:rFonts w:hint="eastAsia" w:ascii="仿宋" w:hAnsi="仿宋" w:eastAsia="仿宋" w:cs="仿宋"/>
          <w:color w:val="auto"/>
          <w:szCs w:val="21"/>
          <w:highlight w:val="none"/>
          <w:lang w:val="en-US" w:eastAsia="zh-CN" w:bidi="ar-SA"/>
        </w:rPr>
        <w:t>10.</w:t>
      </w:r>
      <w:r>
        <w:rPr>
          <w:rFonts w:hint="eastAsia" w:ascii="仿宋" w:hAnsi="仿宋" w:eastAsia="仿宋" w:cs="仿宋"/>
          <w:bCs/>
          <w:color w:val="auto"/>
          <w:szCs w:val="21"/>
          <w:highlight w:val="none"/>
          <w:lang w:val="en-US" w:eastAsia="zh-CN" w:bidi="ar-SA"/>
        </w:rPr>
        <w:t>2.1</w:t>
      </w:r>
      <w:r>
        <w:rPr>
          <w:rFonts w:hint="eastAsia" w:ascii="仿宋" w:hAnsi="仿宋" w:eastAsia="仿宋" w:cs="仿宋"/>
          <w:bCs/>
          <w:color w:val="auto"/>
          <w:szCs w:val="21"/>
          <w:highlight w:val="none"/>
          <w:lang w:bidi="ar-SA"/>
        </w:rPr>
        <w:t>评委打分办法</w:t>
      </w:r>
    </w:p>
    <w:p>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bCs/>
          <w:color w:val="auto"/>
          <w:szCs w:val="21"/>
          <w:highlight w:val="none"/>
          <w:lang w:bidi="ar-SA"/>
        </w:rPr>
        <w:t>（1）</w:t>
      </w:r>
      <w:r>
        <w:rPr>
          <w:rFonts w:hint="eastAsia" w:ascii="仿宋" w:hAnsi="仿宋" w:eastAsia="仿宋" w:cs="仿宋"/>
          <w:color w:val="auto"/>
          <w:szCs w:val="21"/>
          <w:highlight w:val="none"/>
          <w:lang w:bidi="ar-SA"/>
        </w:rPr>
        <w:t>参加评分的评委应尽力体现客观、实事求是，避免学派偏见和个人偏好。</w:t>
      </w:r>
    </w:p>
    <w:p>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（2）衡量、对比的依据，应以招标文件、投标文件、提供的正式试验数据、质询澄清中的文字为准，口头回答和收集的资料只作为参考。</w:t>
      </w:r>
    </w:p>
    <w:p>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（3）评分主要是为比较各投标人的价格、商务和技术综合排序。</w:t>
      </w:r>
    </w:p>
    <w:p>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（4）评委打分采取记名形式。</w:t>
      </w:r>
    </w:p>
    <w:p>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（5）各评委根据提供的技术打分表独立自主打分，任何人不得要求评委统一打分或统一确定等次顺序。</w:t>
      </w:r>
    </w:p>
    <w:p>
      <w:pPr>
        <w:shd w:val="clear" w:color="auto" w:fill="auto"/>
        <w:spacing w:line="440" w:lineRule="exact"/>
        <w:ind w:firstLine="616" w:firstLineChars="257"/>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（6）对打分表中的每项条款，各评委应根据投标文件、澄清材料、招标文件要求，按满足的程度给投标人打分。</w:t>
      </w:r>
    </w:p>
    <w:p>
      <w:pPr>
        <w:keepNext w:val="0"/>
        <w:keepLines w:val="0"/>
        <w:pageBreakBefore w:val="0"/>
        <w:widowControl w:val="0"/>
        <w:shd w:val="clear" w:color="auto" w:fill="auto"/>
        <w:kinsoku/>
        <w:wordWrap/>
        <w:overflowPunct/>
        <w:topLinePunct w:val="0"/>
        <w:autoSpaceDE/>
        <w:autoSpaceDN/>
        <w:bidi w:val="0"/>
        <w:adjustRightInd/>
        <w:snapToGrid/>
        <w:spacing w:line="260" w:lineRule="exact"/>
        <w:ind w:firstLine="616" w:firstLineChars="257"/>
        <w:textAlignment w:val="auto"/>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（7）评分程序</w:t>
      </w:r>
    </w:p>
    <w:p>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616" w:firstLineChars="257"/>
        <w:textAlignment w:val="auto"/>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1)就投标人的投标文件对照整理出商务、技术评标因素对比表、偏差表，并在经过校核的基础上逐项打分。</w:t>
      </w:r>
    </w:p>
    <w:p>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616" w:firstLineChars="257"/>
        <w:textAlignment w:val="auto"/>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2)各评委独立完成打分后，将评分表交给代理机构，由代理机构组织进行分数统计。</w:t>
      </w:r>
    </w:p>
    <w:p>
      <w:pPr>
        <w:keepNext w:val="0"/>
        <w:keepLines w:val="0"/>
        <w:pageBreakBefore w:val="0"/>
        <w:widowControl w:val="0"/>
        <w:shd w:val="clear" w:color="auto" w:fill="auto"/>
        <w:kinsoku/>
        <w:wordWrap/>
        <w:overflowPunct/>
        <w:topLinePunct w:val="0"/>
        <w:autoSpaceDE/>
        <w:autoSpaceDN/>
        <w:bidi w:val="0"/>
        <w:adjustRightInd/>
        <w:snapToGrid/>
        <w:spacing w:line="240" w:lineRule="auto"/>
        <w:ind w:firstLine="616" w:firstLineChars="257"/>
        <w:textAlignment w:val="auto"/>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bidi="ar-SA"/>
        </w:rPr>
        <w:t>3)最终汇总表中各投标人得分应为评委打分的算术平均值。</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480" w:firstLineChars="200"/>
        <w:jc w:val="left"/>
        <w:textAlignment w:val="auto"/>
        <w:rPr>
          <w:rFonts w:hint="eastAsia" w:ascii="仿宋" w:hAnsi="仿宋" w:eastAsia="仿宋" w:cs="仿宋"/>
          <w:color w:val="auto"/>
          <w:szCs w:val="21"/>
          <w:highlight w:val="none"/>
          <w:lang w:bidi="ar-SA"/>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480" w:firstLineChars="200"/>
        <w:jc w:val="left"/>
        <w:textAlignment w:val="auto"/>
        <w:rPr>
          <w:rFonts w:hint="eastAsia" w:ascii="仿宋" w:hAnsi="仿宋" w:eastAsia="仿宋" w:cs="仿宋"/>
          <w:color w:val="auto"/>
          <w:szCs w:val="21"/>
          <w:highlight w:val="none"/>
          <w:lang w:bidi="ar-SA"/>
        </w:rPr>
      </w:pPr>
    </w:p>
    <w:p>
      <w:pPr>
        <w:pStyle w:val="2"/>
        <w:rPr>
          <w:rFonts w:hint="eastAsia" w:ascii="仿宋" w:hAnsi="仿宋" w:eastAsia="仿宋" w:cs="仿宋"/>
          <w:color w:val="auto"/>
          <w:szCs w:val="21"/>
          <w:highlight w:val="none"/>
          <w:lang w:bidi="ar-SA"/>
        </w:rPr>
      </w:pPr>
    </w:p>
    <w:p>
      <w:pPr>
        <w:pStyle w:val="2"/>
        <w:rPr>
          <w:rFonts w:hint="eastAsia" w:ascii="仿宋" w:hAnsi="仿宋" w:eastAsia="仿宋" w:cs="仿宋"/>
          <w:color w:val="auto"/>
          <w:szCs w:val="21"/>
          <w:highlight w:val="none"/>
          <w:lang w:bidi="ar-SA"/>
        </w:rPr>
      </w:pPr>
    </w:p>
    <w:p>
      <w:pPr>
        <w:pStyle w:val="2"/>
        <w:rPr>
          <w:rFonts w:hint="eastAsia" w:ascii="仿宋" w:hAnsi="仿宋" w:eastAsia="仿宋" w:cs="仿宋"/>
          <w:color w:val="auto"/>
          <w:szCs w:val="21"/>
          <w:highlight w:val="none"/>
          <w:lang w:bidi="ar-SA"/>
        </w:rPr>
      </w:pPr>
    </w:p>
    <w:p>
      <w:pPr>
        <w:pStyle w:val="2"/>
        <w:rPr>
          <w:rFonts w:hint="eastAsia" w:ascii="仿宋" w:hAnsi="仿宋" w:eastAsia="仿宋" w:cs="仿宋"/>
          <w:color w:val="auto"/>
          <w:szCs w:val="21"/>
          <w:highlight w:val="none"/>
          <w:lang w:bidi="ar-SA"/>
        </w:rPr>
      </w:pPr>
    </w:p>
    <w:p>
      <w:pPr>
        <w:pStyle w:val="2"/>
        <w:rPr>
          <w:rFonts w:hint="eastAsia" w:ascii="仿宋" w:hAnsi="仿宋" w:eastAsia="仿宋" w:cs="仿宋"/>
          <w:color w:val="auto"/>
          <w:szCs w:val="21"/>
          <w:highlight w:val="none"/>
          <w:lang w:bidi="ar-SA"/>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480" w:firstLineChars="200"/>
        <w:jc w:val="left"/>
        <w:textAlignment w:val="auto"/>
        <w:rPr>
          <w:rFonts w:hint="eastAsia" w:ascii="仿宋" w:hAnsi="仿宋" w:eastAsia="仿宋" w:cs="仿宋"/>
          <w:color w:val="auto"/>
          <w:szCs w:val="21"/>
          <w:highlight w:val="none"/>
          <w:lang w:bidi="ar-SA"/>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480" w:firstLineChars="200"/>
        <w:jc w:val="left"/>
        <w:textAlignment w:val="auto"/>
        <w:rPr>
          <w:rFonts w:hint="eastAsia" w:ascii="仿宋" w:hAnsi="仿宋" w:eastAsia="仿宋" w:cs="仿宋"/>
          <w:color w:val="auto"/>
          <w:szCs w:val="21"/>
          <w:highlight w:val="none"/>
          <w:lang w:bidi="ar-SA"/>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480" w:firstLineChars="200"/>
        <w:jc w:val="left"/>
        <w:textAlignment w:val="auto"/>
        <w:rPr>
          <w:rFonts w:hint="eastAsia" w:ascii="仿宋" w:hAnsi="仿宋" w:eastAsia="仿宋" w:cs="仿宋"/>
          <w:color w:val="auto"/>
          <w:szCs w:val="21"/>
          <w:highlight w:val="none"/>
          <w:lang w:bidi="ar-SA"/>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480" w:firstLineChars="200"/>
        <w:jc w:val="left"/>
        <w:textAlignment w:val="auto"/>
        <w:rPr>
          <w:rFonts w:hint="eastAsia" w:ascii="仿宋" w:hAnsi="仿宋" w:eastAsia="仿宋" w:cs="仿宋"/>
          <w:color w:val="auto"/>
          <w:szCs w:val="21"/>
          <w:highlight w:val="none"/>
          <w:lang w:bidi="ar-SA"/>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240" w:lineRule="auto"/>
        <w:ind w:firstLine="480" w:firstLineChars="200"/>
        <w:jc w:val="left"/>
        <w:textAlignment w:val="auto"/>
        <w:rPr>
          <w:rFonts w:hint="eastAsia" w:ascii="仿宋" w:hAnsi="仿宋" w:eastAsia="仿宋" w:cs="仿宋"/>
          <w:b/>
          <w:bCs/>
          <w:color w:val="auto"/>
          <w:szCs w:val="21"/>
          <w:highlight w:val="none"/>
          <w:lang w:val="en-US" w:eastAsia="zh-CN" w:bidi="ar-SA"/>
        </w:rPr>
      </w:pPr>
      <w:r>
        <w:rPr>
          <w:rFonts w:hint="eastAsia" w:ascii="仿宋" w:hAnsi="仿宋" w:eastAsia="仿宋" w:cs="仿宋"/>
          <w:color w:val="auto"/>
          <w:szCs w:val="21"/>
          <w:highlight w:val="none"/>
          <w:lang w:bidi="ar-SA"/>
        </w:rPr>
        <w:t>（8）评分标准和细则（综合评分法评分标准）</w:t>
      </w:r>
    </w:p>
    <w:tbl>
      <w:tblPr>
        <w:tblStyle w:val="23"/>
        <w:tblW w:w="9750" w:type="dxa"/>
        <w:tblInd w:w="-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430"/>
        <w:gridCol w:w="616"/>
        <w:gridCol w:w="953"/>
        <w:gridCol w:w="616"/>
        <w:gridCol w:w="6369"/>
        <w:gridCol w:w="766"/>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720" w:hRule="atLeast"/>
        </w:trPr>
        <w:tc>
          <w:tcPr>
            <w:tcW w:w="430" w:type="dxa"/>
            <w:textDirection w:val="tbRlV"/>
            <w:vAlign w:val="center"/>
          </w:tcPr>
          <w:p>
            <w:pPr>
              <w:wordWrap w:val="0"/>
              <w:spacing w:before="0" w:after="0" w:line="360" w:lineRule="atLeast"/>
              <w:ind w:left="0" w:right="0"/>
              <w:jc w:val="center"/>
              <w:textAlignment w:val="baseline"/>
              <w:rPr>
                <w:rFonts w:hint="eastAsia" w:ascii="新宋体" w:hAnsi="新宋体" w:eastAsia="新宋体" w:cs="新宋体"/>
                <w:b/>
                <w:bCs/>
                <w:color w:val="auto"/>
                <w:sz w:val="21"/>
                <w:szCs w:val="21"/>
              </w:rPr>
            </w:pPr>
            <w:r>
              <w:rPr>
                <w:rFonts w:hint="eastAsia" w:ascii="新宋体" w:hAnsi="新宋体" w:eastAsia="新宋体" w:cs="新宋体"/>
                <w:b/>
                <w:bCs/>
                <w:i w:val="0"/>
                <w:strike w:val="0"/>
                <w:color w:val="auto"/>
                <w:sz w:val="21"/>
                <w:szCs w:val="21"/>
              </w:rPr>
              <w:t>序号</w:t>
            </w:r>
          </w:p>
        </w:tc>
        <w:tc>
          <w:tcPr>
            <w:tcW w:w="1569" w:type="dxa"/>
            <w:gridSpan w:val="2"/>
            <w:vAlign w:val="center"/>
          </w:tcPr>
          <w:p>
            <w:pPr>
              <w:wordWrap w:val="0"/>
              <w:spacing w:before="0" w:after="0" w:line="280" w:lineRule="atLeast"/>
              <w:ind w:left="0" w:right="0"/>
              <w:jc w:val="center"/>
              <w:textAlignment w:val="baseline"/>
              <w:rPr>
                <w:rFonts w:hint="eastAsia" w:ascii="新宋体" w:hAnsi="新宋体" w:eastAsia="新宋体" w:cs="新宋体"/>
                <w:b/>
                <w:bCs/>
                <w:color w:val="auto"/>
                <w:sz w:val="21"/>
                <w:szCs w:val="21"/>
              </w:rPr>
            </w:pPr>
            <w:r>
              <w:rPr>
                <w:rFonts w:hint="eastAsia" w:ascii="新宋体" w:hAnsi="新宋体" w:eastAsia="新宋体" w:cs="新宋体"/>
                <w:b/>
                <w:bCs/>
                <w:i w:val="0"/>
                <w:strike w:val="0"/>
                <w:color w:val="auto"/>
                <w:sz w:val="21"/>
                <w:szCs w:val="21"/>
              </w:rPr>
              <w:t>评分因素及权重</w:t>
            </w:r>
          </w:p>
        </w:tc>
        <w:tc>
          <w:tcPr>
            <w:tcW w:w="616" w:type="dxa"/>
            <w:textDirection w:val="tbRlV"/>
            <w:vAlign w:val="center"/>
          </w:tcPr>
          <w:p>
            <w:pPr>
              <w:wordWrap w:val="0"/>
              <w:spacing w:before="0" w:after="0" w:line="360" w:lineRule="atLeast"/>
              <w:ind w:left="0" w:right="0"/>
              <w:jc w:val="center"/>
              <w:textAlignment w:val="baseline"/>
              <w:rPr>
                <w:rFonts w:hint="eastAsia" w:ascii="新宋体" w:hAnsi="新宋体" w:eastAsia="新宋体" w:cs="新宋体"/>
                <w:b/>
                <w:bCs/>
                <w:color w:val="auto"/>
                <w:sz w:val="21"/>
                <w:szCs w:val="21"/>
              </w:rPr>
            </w:pPr>
            <w:r>
              <w:rPr>
                <w:rFonts w:hint="eastAsia" w:ascii="新宋体" w:hAnsi="新宋体" w:eastAsia="新宋体" w:cs="新宋体"/>
                <w:b/>
                <w:bCs/>
                <w:i w:val="0"/>
                <w:strike w:val="0"/>
                <w:color w:val="auto"/>
                <w:sz w:val="21"/>
                <w:szCs w:val="21"/>
              </w:rPr>
              <w:t>分值</w:t>
            </w:r>
          </w:p>
        </w:tc>
        <w:tc>
          <w:tcPr>
            <w:tcW w:w="6369" w:type="dxa"/>
            <w:vAlign w:val="center"/>
          </w:tcPr>
          <w:p>
            <w:pPr>
              <w:wordWrap w:val="0"/>
              <w:spacing w:before="0" w:after="0" w:line="280" w:lineRule="atLeast"/>
              <w:ind w:left="0" w:right="0"/>
              <w:jc w:val="center"/>
              <w:textAlignment w:val="baseline"/>
              <w:rPr>
                <w:rFonts w:hint="eastAsia" w:ascii="新宋体" w:hAnsi="新宋体" w:eastAsia="新宋体" w:cs="新宋体"/>
                <w:b/>
                <w:bCs/>
                <w:color w:val="auto"/>
                <w:sz w:val="21"/>
                <w:szCs w:val="21"/>
              </w:rPr>
            </w:pPr>
            <w:r>
              <w:rPr>
                <w:rFonts w:hint="eastAsia" w:ascii="新宋体" w:hAnsi="新宋体" w:eastAsia="新宋体" w:cs="新宋体"/>
                <w:b/>
                <w:bCs/>
                <w:i w:val="0"/>
                <w:strike w:val="0"/>
                <w:color w:val="auto"/>
                <w:sz w:val="21"/>
                <w:szCs w:val="21"/>
              </w:rPr>
              <w:t>评分标准</w:t>
            </w:r>
          </w:p>
        </w:tc>
        <w:tc>
          <w:tcPr>
            <w:tcW w:w="766" w:type="dxa"/>
            <w:vAlign w:val="center"/>
          </w:tcPr>
          <w:p>
            <w:pPr>
              <w:wordWrap w:val="0"/>
              <w:spacing w:before="0" w:after="0" w:line="280" w:lineRule="atLeast"/>
              <w:ind w:left="0" w:right="0"/>
              <w:jc w:val="center"/>
              <w:textAlignment w:val="baseline"/>
              <w:rPr>
                <w:rFonts w:hint="eastAsia" w:ascii="新宋体" w:hAnsi="新宋体" w:eastAsia="新宋体" w:cs="新宋体"/>
                <w:b/>
                <w:bCs/>
                <w:color w:val="auto"/>
                <w:sz w:val="21"/>
                <w:szCs w:val="21"/>
              </w:rPr>
            </w:pPr>
            <w:r>
              <w:rPr>
                <w:rFonts w:hint="eastAsia" w:ascii="新宋体" w:hAnsi="新宋体" w:eastAsia="新宋体" w:cs="新宋体"/>
                <w:b/>
                <w:bCs/>
                <w:i w:val="0"/>
                <w:strike w:val="0"/>
                <w:color w:val="auto"/>
                <w:sz w:val="21"/>
                <w:szCs w:val="21"/>
              </w:rPr>
              <w:t>说明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600" w:hRule="atLeast"/>
        </w:trPr>
        <w:tc>
          <w:tcPr>
            <w:tcW w:w="430" w:type="dxa"/>
            <w:vAlign w:val="center"/>
          </w:tcPr>
          <w:p>
            <w:pPr>
              <w:wordWrap w:val="0"/>
              <w:spacing w:before="0" w:after="0" w:line="280" w:lineRule="atLeast"/>
              <w:ind w:left="0" w:right="0"/>
              <w:jc w:val="center"/>
              <w:textAlignment w:val="baseline"/>
              <w:rPr>
                <w:rFonts w:hint="eastAsia" w:ascii="新宋体" w:hAnsi="新宋体" w:eastAsia="新宋体" w:cs="新宋体"/>
                <w:color w:val="auto"/>
                <w:sz w:val="21"/>
                <w:szCs w:val="21"/>
              </w:rPr>
            </w:pPr>
            <w:r>
              <w:rPr>
                <w:rFonts w:hint="eastAsia" w:ascii="新宋体" w:hAnsi="新宋体" w:eastAsia="新宋体" w:cs="新宋体"/>
                <w:b w:val="0"/>
                <w:i w:val="0"/>
                <w:strike w:val="0"/>
                <w:color w:val="auto"/>
                <w:sz w:val="21"/>
                <w:szCs w:val="21"/>
              </w:rPr>
              <w:t>1</w:t>
            </w:r>
          </w:p>
        </w:tc>
        <w:tc>
          <w:tcPr>
            <w:tcW w:w="1569" w:type="dxa"/>
            <w:gridSpan w:val="2"/>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投标报价30分</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30分</w:t>
            </w:r>
          </w:p>
        </w:tc>
        <w:tc>
          <w:tcPr>
            <w:tcW w:w="6369" w:type="dxa"/>
            <w:vAlign w:val="top"/>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综合评分法中的价格分统一采用低价优先法计算，即满足招标文件要求且投标价格最低的投标报价为评标基准价，其价格分为满分。其他投标人的价格分按照下列公式计算：</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 xml:space="preserve"> 价格得分=(评标基准价/投标报价)×30%×100。</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注： 投标报价超过采购预算价的按废标处理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80" w:hRule="atLeast"/>
        </w:trPr>
        <w:tc>
          <w:tcPr>
            <w:tcW w:w="430" w:type="dxa"/>
            <w:vAlign w:val="center"/>
          </w:tcPr>
          <w:p>
            <w:pPr>
              <w:wordWrap w:val="0"/>
              <w:spacing w:before="0" w:after="0" w:line="280" w:lineRule="atLeast"/>
              <w:ind w:left="0" w:right="0"/>
              <w:jc w:val="center"/>
              <w:textAlignment w:val="baseline"/>
              <w:rPr>
                <w:rFonts w:hint="eastAsia" w:ascii="新宋体" w:hAnsi="新宋体" w:eastAsia="新宋体" w:cs="新宋体"/>
                <w:color w:val="auto"/>
                <w:sz w:val="21"/>
                <w:szCs w:val="21"/>
              </w:rPr>
            </w:pPr>
            <w:r>
              <w:rPr>
                <w:rFonts w:hint="eastAsia" w:ascii="新宋体" w:hAnsi="新宋体" w:eastAsia="新宋体" w:cs="新宋体"/>
                <w:b w:val="0"/>
                <w:i w:val="0"/>
                <w:strike w:val="0"/>
                <w:color w:val="auto"/>
                <w:sz w:val="21"/>
                <w:szCs w:val="21"/>
              </w:rPr>
              <w:t>2</w:t>
            </w:r>
          </w:p>
        </w:tc>
        <w:tc>
          <w:tcPr>
            <w:tcW w:w="616" w:type="dxa"/>
            <w:vMerge w:val="restart"/>
            <w:textDirection w:val="tbRlV"/>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leftChars="0" w:right="0" w:firstLine="0" w:firstLineChars="0"/>
              <w:jc w:val="left"/>
              <w:textAlignment w:val="baseline"/>
              <w:rPr>
                <w:rFonts w:hint="eastAsia" w:ascii="新宋体" w:hAnsi="新宋体" w:eastAsia="新宋体" w:cs="新宋体"/>
                <w:b w:val="0"/>
                <w:i w:val="0"/>
                <w:strike w:val="0"/>
                <w:color w:val="auto"/>
                <w:sz w:val="21"/>
                <w:szCs w:val="21"/>
              </w:rPr>
            </w:pPr>
          </w:p>
          <w:p>
            <w:pPr>
              <w:keepNext w:val="0"/>
              <w:keepLines w:val="0"/>
              <w:pageBreakBefore w:val="0"/>
              <w:widowControl w:val="0"/>
              <w:shd w:val="clear" w:color="auto" w:fill="auto"/>
              <w:kinsoku/>
              <w:wordWrap/>
              <w:overflowPunct/>
              <w:topLinePunct w:val="0"/>
              <w:autoSpaceDE/>
              <w:autoSpaceDN/>
              <w:bidi w:val="0"/>
              <w:adjustRightInd/>
              <w:snapToGrid/>
              <w:spacing w:before="0" w:after="0" w:line="360" w:lineRule="exact"/>
              <w:ind w:left="0" w:right="0" w:firstLine="630" w:firstLineChars="300"/>
              <w:jc w:val="center"/>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技术商务部分70分</w:t>
            </w: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技术指标、参数响应情况</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25</w:t>
            </w:r>
            <w:r>
              <w:rPr>
                <w:rFonts w:hint="eastAsia" w:ascii="新宋体" w:hAnsi="新宋体" w:eastAsia="新宋体" w:cs="新宋体"/>
                <w:b w:val="0"/>
                <w:i w:val="0"/>
                <w:strike w:val="0"/>
                <w:color w:val="auto"/>
                <w:sz w:val="21"/>
                <w:szCs w:val="21"/>
              </w:rPr>
              <w:t>分</w:t>
            </w:r>
          </w:p>
        </w:tc>
        <w:tc>
          <w:tcPr>
            <w:tcW w:w="6369"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投标人的技术指标、参数完全符合招标文件技术指标、参数要求的得20分；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标★为重要参数，须提供相关材料，每提供一项证明材料加0.5分，此项最多加5分。具体由评委根据投标文件中《技术规格偏离表》和技术支持资料（如白皮书、彩页、手册、检测报告证明文件等）等有关资料打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00" w:hRule="atLeast"/>
        </w:trPr>
        <w:tc>
          <w:tcPr>
            <w:tcW w:w="430" w:type="dxa"/>
            <w:vAlign w:val="center"/>
          </w:tcPr>
          <w:p>
            <w:pPr>
              <w:wordWrap w:val="0"/>
              <w:spacing w:before="0" w:after="0" w:line="280" w:lineRule="atLeast"/>
              <w:ind w:left="0" w:right="0"/>
              <w:jc w:val="center"/>
              <w:textAlignment w:val="baseline"/>
              <w:rPr>
                <w:rFonts w:hint="eastAsia" w:ascii="新宋体" w:hAnsi="新宋体" w:eastAsia="新宋体" w:cs="新宋体"/>
                <w:color w:val="auto"/>
                <w:sz w:val="21"/>
                <w:szCs w:val="21"/>
              </w:rPr>
            </w:pPr>
            <w:r>
              <w:rPr>
                <w:rFonts w:hint="eastAsia" w:ascii="新宋体" w:hAnsi="新宋体" w:eastAsia="新宋体" w:cs="新宋体"/>
                <w:b w:val="0"/>
                <w:i w:val="0"/>
                <w:strike w:val="0"/>
                <w:color w:val="auto"/>
                <w:sz w:val="21"/>
                <w:szCs w:val="21"/>
              </w:rPr>
              <w:t>3</w:t>
            </w:r>
          </w:p>
        </w:tc>
        <w:tc>
          <w:tcPr>
            <w:tcW w:w="616" w:type="dxa"/>
            <w:vMerge w:val="continue"/>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质保期</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3分</w:t>
            </w:r>
          </w:p>
        </w:tc>
        <w:tc>
          <w:tcPr>
            <w:tcW w:w="6369"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质保期在满足招标文件的基础上，每增加一年得1.5分， 最高得3分。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2940" w:hRule="atLeast"/>
        </w:trPr>
        <w:tc>
          <w:tcPr>
            <w:tcW w:w="430" w:type="dxa"/>
            <w:vAlign w:val="center"/>
          </w:tcPr>
          <w:p>
            <w:pPr>
              <w:wordWrap w:val="0"/>
              <w:spacing w:before="0" w:after="0" w:line="280" w:lineRule="atLeast"/>
              <w:ind w:left="0" w:right="0"/>
              <w:jc w:val="center"/>
              <w:textAlignment w:val="baseline"/>
              <w:rPr>
                <w:rFonts w:hint="eastAsia" w:ascii="新宋体" w:hAnsi="新宋体" w:eastAsia="新宋体" w:cs="新宋体"/>
                <w:color w:val="auto"/>
                <w:sz w:val="21"/>
                <w:szCs w:val="21"/>
              </w:rPr>
            </w:pPr>
            <w:r>
              <w:rPr>
                <w:rFonts w:hint="eastAsia" w:ascii="新宋体" w:hAnsi="新宋体" w:eastAsia="新宋体" w:cs="新宋体"/>
                <w:b w:val="0"/>
                <w:i w:val="0"/>
                <w:strike w:val="0"/>
                <w:color w:val="auto"/>
                <w:sz w:val="21"/>
                <w:szCs w:val="21"/>
              </w:rPr>
              <w:t>4</w:t>
            </w:r>
          </w:p>
        </w:tc>
        <w:tc>
          <w:tcPr>
            <w:tcW w:w="616" w:type="dxa"/>
            <w:vMerge w:val="continue"/>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实施方案</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10分</w:t>
            </w:r>
          </w:p>
        </w:tc>
        <w:tc>
          <w:tcPr>
            <w:tcW w:w="6369" w:type="dxa"/>
            <w:vAlign w:val="top"/>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包括但不限于(有详细完整的项目实施计划安排及保证措施、项目质量管理控制方案、供货(含运输) 以及安装测试、进度安排，故障处置流程、各个实施阶段等进行综合对比打分：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①整体项目实施方案科学、合理、可行性强，对本项目有较强的针对性，得 10分；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②有完整的项目实施计划及保证措施，能够满足本项目的实施，整体项目实施方案较为合理、可行一般，对本有一定针对性，得8分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③有项目实施方案，能基本满足本项目的实施，整体项目实施方案可行，得 6分。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300" w:hRule="atLeast"/>
        </w:trPr>
        <w:tc>
          <w:tcPr>
            <w:tcW w:w="430" w:type="dxa"/>
            <w:vAlign w:val="center"/>
          </w:tcPr>
          <w:p>
            <w:pPr>
              <w:wordWrap w:val="0"/>
              <w:spacing w:before="0" w:after="0" w:line="280" w:lineRule="atLeast"/>
              <w:ind w:left="0" w:right="0"/>
              <w:jc w:val="center"/>
              <w:textAlignment w:val="baseline"/>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5</w:t>
            </w:r>
          </w:p>
        </w:tc>
        <w:tc>
          <w:tcPr>
            <w:tcW w:w="616" w:type="dxa"/>
            <w:vMerge w:val="continue"/>
            <w:textDirection w:val="tbRlV"/>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firstLine="630" w:firstLineChars="300"/>
              <w:jc w:val="left"/>
              <w:textAlignment w:val="baseline"/>
              <w:rPr>
                <w:rFonts w:hint="eastAsia" w:ascii="新宋体" w:hAnsi="新宋体" w:eastAsia="新宋体" w:cs="新宋体"/>
                <w:b w:val="0"/>
                <w:i w:val="0"/>
                <w:strike w:val="0"/>
                <w:color w:val="auto"/>
                <w:sz w:val="21"/>
                <w:szCs w:val="21"/>
              </w:rPr>
            </w:pP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企业综合实力</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10</w:t>
            </w:r>
            <w:r>
              <w:rPr>
                <w:rFonts w:hint="eastAsia" w:ascii="新宋体" w:hAnsi="新宋体" w:eastAsia="新宋体" w:cs="新宋体"/>
                <w:b w:val="0"/>
                <w:i w:val="0"/>
                <w:strike w:val="0"/>
                <w:color w:val="auto"/>
                <w:sz w:val="21"/>
                <w:szCs w:val="21"/>
              </w:rPr>
              <w:t>分</w:t>
            </w:r>
          </w:p>
        </w:tc>
        <w:tc>
          <w:tcPr>
            <w:tcW w:w="6369"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投标人具有有效期内的IS09001质量管理体系认证证书。提供得2分，不提供得0分。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投标人具有有效期内的IS045001 职业健康安全管理系统认证证书。提供得2分，不提供得0分。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投标人具有有效期内的IS014001环境管理体系认证证书。提供得2分，不提供得0分。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投标人具有有效期内的环保工程专业承包二级及以上资质证书、建筑机电安装工程专业承包二级及以上资质证书。提供齐全得4分，提供不全得2分。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(提供相关证明材料为投标人自身所有，加盖投标人公章，否则不得分)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90" w:hRule="atLeast"/>
        </w:trPr>
        <w:tc>
          <w:tcPr>
            <w:tcW w:w="430" w:type="dxa"/>
            <w:vAlign w:val="center"/>
          </w:tcPr>
          <w:p>
            <w:pPr>
              <w:wordWrap w:val="0"/>
              <w:spacing w:before="0" w:after="0" w:line="280" w:lineRule="atLeast"/>
              <w:ind w:left="0" w:right="0"/>
              <w:jc w:val="center"/>
              <w:textAlignment w:val="baseline"/>
              <w:rPr>
                <w:rFonts w:hint="eastAsia" w:ascii="新宋体" w:hAnsi="新宋体" w:eastAsia="新宋体" w:cs="新宋体"/>
                <w:color w:val="auto"/>
                <w:sz w:val="21"/>
                <w:szCs w:val="21"/>
                <w:lang w:val="en-US" w:eastAsia="zh-CN"/>
              </w:rPr>
            </w:pPr>
            <w:r>
              <w:rPr>
                <w:rFonts w:hint="eastAsia" w:ascii="新宋体" w:hAnsi="新宋体" w:eastAsia="新宋体" w:cs="新宋体"/>
                <w:color w:val="auto"/>
                <w:sz w:val="21"/>
                <w:szCs w:val="21"/>
                <w:lang w:val="en-US" w:eastAsia="zh-CN"/>
              </w:rPr>
              <w:t>6</w:t>
            </w:r>
          </w:p>
        </w:tc>
        <w:tc>
          <w:tcPr>
            <w:tcW w:w="616" w:type="dxa"/>
            <w:vMerge w:val="continue"/>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退货、换货方案</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firstLine="210" w:firstLineChars="10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2</w:t>
            </w:r>
            <w:r>
              <w:rPr>
                <w:rFonts w:hint="eastAsia" w:ascii="新宋体" w:hAnsi="新宋体" w:eastAsia="新宋体" w:cs="新宋体"/>
                <w:b w:val="0"/>
                <w:i w:val="0"/>
                <w:strike w:val="0"/>
                <w:color w:val="auto"/>
                <w:sz w:val="21"/>
                <w:szCs w:val="21"/>
              </w:rPr>
              <w:t>分</w:t>
            </w:r>
          </w:p>
        </w:tc>
        <w:tc>
          <w:tcPr>
            <w:tcW w:w="6369"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制定针对产品问题产生的退换货方案，包括(但不限于)：制定退货要求、退货产品处置、检查与考核、责任划分、退货处理等内容， 此项最高得 2 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928" w:hRule="atLeast"/>
          <w:jc w:val="center"/>
        </w:trPr>
        <w:tc>
          <w:tcPr>
            <w:tcW w:w="430" w:type="dxa"/>
            <w:vAlign w:val="center"/>
          </w:tcPr>
          <w:p>
            <w:pPr>
              <w:wordWrap w:val="0"/>
              <w:spacing w:before="0" w:after="0" w:line="300" w:lineRule="atLeast"/>
              <w:ind w:left="0" w:right="0"/>
              <w:jc w:val="center"/>
              <w:textAlignment w:val="baseline"/>
              <w:rPr>
                <w:rFonts w:hint="eastAsia" w:eastAsia="宋体"/>
                <w:color w:val="auto"/>
                <w:sz w:val="23"/>
                <w:lang w:val="en-US" w:eastAsia="zh-CN"/>
              </w:rPr>
            </w:pPr>
            <w:r>
              <w:rPr>
                <w:rFonts w:hint="eastAsia"/>
                <w:color w:val="auto"/>
                <w:sz w:val="23"/>
                <w:lang w:val="en-US" w:eastAsia="zh-CN"/>
              </w:rPr>
              <w:t>7</w:t>
            </w:r>
          </w:p>
        </w:tc>
        <w:tc>
          <w:tcPr>
            <w:tcW w:w="616" w:type="dxa"/>
            <w:vMerge w:val="restart"/>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实施团队</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firstLine="210" w:firstLineChars="10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8</w:t>
            </w:r>
            <w:r>
              <w:rPr>
                <w:rFonts w:hint="eastAsia" w:ascii="新宋体" w:hAnsi="新宋体" w:eastAsia="新宋体" w:cs="新宋体"/>
                <w:b w:val="0"/>
                <w:i w:val="0"/>
                <w:strike w:val="0"/>
                <w:color w:val="auto"/>
                <w:sz w:val="21"/>
                <w:szCs w:val="21"/>
              </w:rPr>
              <w:t>分</w:t>
            </w:r>
          </w:p>
        </w:tc>
        <w:tc>
          <w:tcPr>
            <w:tcW w:w="6369" w:type="dxa"/>
            <w:vAlign w:val="top"/>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人员组织安排合理，具有清晰的项目组织架构，根据拟投入项目组的人员配备数量及工种进行评审。</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bCs/>
                <w:i w:val="0"/>
                <w:strike w:val="0"/>
                <w:color w:val="auto"/>
                <w:sz w:val="21"/>
                <w:szCs w:val="21"/>
                <w:lang w:val="en-US" w:eastAsia="zh-CN"/>
              </w:rPr>
            </w:pPr>
            <w:r>
              <w:rPr>
                <w:rFonts w:hint="eastAsia" w:ascii="新宋体" w:hAnsi="新宋体" w:eastAsia="新宋体" w:cs="新宋体"/>
                <w:b/>
                <w:bCs/>
                <w:i w:val="0"/>
                <w:strike w:val="0"/>
                <w:color w:val="auto"/>
                <w:sz w:val="21"/>
                <w:szCs w:val="21"/>
                <w:lang w:val="en-US" w:eastAsia="zh-CN"/>
              </w:rPr>
              <w:t>1名项目负责人具有以下条件的，则相应加分：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具有相关专业（机械制造、电气自动化、环保工程）正高级职称加2分，具有中级职称加1分，不提供不得分。（最多2分）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bCs/>
                <w:i w:val="0"/>
                <w:strike w:val="0"/>
                <w:color w:val="auto"/>
                <w:sz w:val="21"/>
                <w:szCs w:val="21"/>
                <w:lang w:val="en-US" w:eastAsia="zh-CN"/>
              </w:rPr>
            </w:pPr>
            <w:r>
              <w:rPr>
                <w:rFonts w:hint="eastAsia" w:ascii="新宋体" w:hAnsi="新宋体" w:eastAsia="新宋体" w:cs="新宋体"/>
                <w:b/>
                <w:bCs/>
                <w:i w:val="0"/>
                <w:strike w:val="0"/>
                <w:color w:val="auto"/>
                <w:sz w:val="21"/>
                <w:szCs w:val="21"/>
                <w:lang w:val="en-US" w:eastAsia="zh-CN"/>
              </w:rPr>
              <w:t>项目组组成人员：</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1、</w:t>
            </w:r>
            <w:r>
              <w:rPr>
                <w:rFonts w:hint="eastAsia" w:ascii="新宋体" w:hAnsi="新宋体" w:eastAsia="新宋体" w:cs="新宋体"/>
                <w:b w:val="0"/>
                <w:i w:val="0"/>
                <w:strike w:val="0"/>
                <w:color w:val="auto"/>
                <w:sz w:val="21"/>
                <w:szCs w:val="21"/>
              </w:rPr>
              <w:t>投标人拟配备的管理人员（</w:t>
            </w:r>
            <w:r>
              <w:rPr>
                <w:rFonts w:hint="eastAsia" w:ascii="新宋体" w:hAnsi="新宋体" w:eastAsia="新宋体" w:cs="新宋体"/>
                <w:b w:val="0"/>
                <w:i w:val="0"/>
                <w:strike w:val="0"/>
                <w:color w:val="auto"/>
                <w:sz w:val="21"/>
                <w:szCs w:val="21"/>
                <w:lang w:val="en-US" w:eastAsia="zh-CN"/>
              </w:rPr>
              <w:t>1名</w:t>
            </w:r>
            <w:r>
              <w:rPr>
                <w:rFonts w:hint="eastAsia" w:ascii="新宋体" w:hAnsi="新宋体" w:eastAsia="新宋体" w:cs="新宋体"/>
                <w:b w:val="0"/>
                <w:i w:val="0"/>
                <w:strike w:val="0"/>
                <w:color w:val="auto"/>
                <w:sz w:val="21"/>
                <w:szCs w:val="21"/>
              </w:rPr>
              <w:t>技术负责人、</w:t>
            </w:r>
            <w:r>
              <w:rPr>
                <w:rFonts w:hint="eastAsia" w:ascii="新宋体" w:hAnsi="新宋体" w:eastAsia="新宋体" w:cs="新宋体"/>
                <w:b w:val="0"/>
                <w:i w:val="0"/>
                <w:strike w:val="0"/>
                <w:color w:val="auto"/>
                <w:sz w:val="21"/>
                <w:szCs w:val="21"/>
                <w:lang w:val="en-US" w:eastAsia="zh-CN"/>
              </w:rPr>
              <w:t>1名</w:t>
            </w:r>
            <w:r>
              <w:rPr>
                <w:rFonts w:hint="eastAsia" w:ascii="新宋体" w:hAnsi="新宋体" w:eastAsia="新宋体" w:cs="新宋体"/>
                <w:b w:val="0"/>
                <w:i w:val="0"/>
                <w:strike w:val="0"/>
                <w:color w:val="auto"/>
                <w:sz w:val="21"/>
                <w:szCs w:val="21"/>
              </w:rPr>
              <w:t>安全负责人等）数量满足工程施工管理要求，且持有相应的注册证书或岗位证书，提供证书原件的扫描件，提供齐全得 2 分，提供不全或不提供不得分。（最多 2 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2、</w:t>
            </w:r>
            <w:r>
              <w:rPr>
                <w:rFonts w:hint="eastAsia" w:ascii="新宋体" w:hAnsi="新宋体" w:eastAsia="新宋体" w:cs="新宋体"/>
                <w:b w:val="0"/>
                <w:i w:val="0"/>
                <w:strike w:val="0"/>
                <w:color w:val="auto"/>
                <w:sz w:val="21"/>
                <w:szCs w:val="21"/>
              </w:rPr>
              <w:t>投标人拟配备的现场作业人员同时持有“焊接与热切割作业”</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和“高处作业”两种特种作业操作证，提供齐全得 2 分，提供</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不全得 1 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3、</w:t>
            </w:r>
            <w:r>
              <w:rPr>
                <w:rFonts w:hint="eastAsia" w:ascii="新宋体" w:hAnsi="新宋体" w:eastAsia="新宋体" w:cs="新宋体"/>
                <w:b w:val="0"/>
                <w:i w:val="0"/>
                <w:strike w:val="0"/>
                <w:color w:val="auto"/>
                <w:sz w:val="21"/>
                <w:szCs w:val="21"/>
              </w:rPr>
              <w:t>投标人拟配备的电工同时持有“电工作业”和“高处作业”两</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种特种作业操作证，提供齐全得 2 分，提供不全得 1 分。</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投标人需提供上述人员 2 个月社保及资格证明文件原件的扫</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描件，不提供不得分。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805" w:hRule="atLeast"/>
          <w:jc w:val="center"/>
        </w:trPr>
        <w:tc>
          <w:tcPr>
            <w:tcW w:w="430" w:type="dxa"/>
            <w:vAlign w:val="center"/>
          </w:tcPr>
          <w:p>
            <w:pPr>
              <w:wordWrap w:val="0"/>
              <w:spacing w:before="0" w:after="0" w:line="300" w:lineRule="atLeast"/>
              <w:ind w:left="0" w:right="0"/>
              <w:jc w:val="center"/>
              <w:textAlignment w:val="baseline"/>
              <w:rPr>
                <w:rFonts w:hint="eastAsia" w:eastAsia="宋体"/>
                <w:color w:val="auto"/>
                <w:sz w:val="23"/>
                <w:lang w:val="en-US" w:eastAsia="zh-CN"/>
              </w:rPr>
            </w:pPr>
            <w:r>
              <w:rPr>
                <w:rFonts w:hint="eastAsia"/>
                <w:color w:val="auto"/>
                <w:sz w:val="23"/>
                <w:lang w:val="en-US" w:eastAsia="zh-CN"/>
              </w:rPr>
              <w:t>8</w:t>
            </w:r>
          </w:p>
        </w:tc>
        <w:tc>
          <w:tcPr>
            <w:tcW w:w="616" w:type="dxa"/>
            <w:vMerge w:val="continue"/>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售后服务</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firstLine="210" w:firstLineChars="10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8</w:t>
            </w:r>
            <w:r>
              <w:rPr>
                <w:rFonts w:hint="eastAsia" w:ascii="新宋体" w:hAnsi="新宋体" w:eastAsia="新宋体" w:cs="新宋体"/>
                <w:b w:val="0"/>
                <w:i w:val="0"/>
                <w:strike w:val="0"/>
                <w:color w:val="auto"/>
                <w:sz w:val="21"/>
                <w:szCs w:val="21"/>
              </w:rPr>
              <w:t>分</w:t>
            </w:r>
          </w:p>
        </w:tc>
        <w:tc>
          <w:tcPr>
            <w:tcW w:w="6369" w:type="dxa"/>
            <w:vAlign w:val="top"/>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根据投标人售后服务方案进行评分，方案应包括但不限于以下内容：</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 xml:space="preserve"> ①质保期内响应时间；②切实的售后服务措施； ③售后服务班组人员及联系方式；④质保期满后的后续维修服务；⑤完善的服务承诺书；⑥应急预案（有符合采购产品的应急处理措施、产品质量问题应急预案、遇突发事件应急预案、 项目实施期间安全管理方案、项目应急预案）</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 xml:space="preserve">）等内容进行评价： </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 xml:space="preserve">1.售后服务方案具体详细、有针对性、合理、可操作性强，能为采购人提供保障的，得 8分； </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 xml:space="preserve">2.售后服务方案较详细，合理性、可操作性较好，能为采购人提供一定保障，得 6分； </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 xml:space="preserve">3.售后服务方案较详细，合理性一般、可操作性一般，保障性一般的， 得 4分； </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lang w:val="en-US" w:eastAsia="zh-CN"/>
              </w:rPr>
              <w:t>4.售后服务方案过于简单、无针对性，可操作性差，无法为采购人提供保障，得 0 分。</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r>
              <w:rPr>
                <w:rFonts w:hint="eastAsia" w:ascii="新宋体" w:hAnsi="新宋体" w:eastAsia="新宋体" w:cs="新宋体"/>
                <w:b w:val="0"/>
                <w:i w:val="0"/>
                <w:strike w:val="0"/>
                <w:color w:val="auto"/>
                <w:sz w:val="21"/>
                <w:szCs w:val="21"/>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1647" w:hRule="atLeast"/>
          <w:jc w:val="center"/>
        </w:trPr>
        <w:tc>
          <w:tcPr>
            <w:tcW w:w="430" w:type="dxa"/>
            <w:vAlign w:val="center"/>
          </w:tcPr>
          <w:p>
            <w:pPr>
              <w:wordWrap w:val="0"/>
              <w:spacing w:before="0" w:after="0" w:line="300" w:lineRule="atLeast"/>
              <w:ind w:left="0" w:right="0"/>
              <w:jc w:val="center"/>
              <w:textAlignment w:val="baseline"/>
              <w:rPr>
                <w:rFonts w:hint="default" w:ascii="宋体" w:hAnsi="宋体" w:eastAsia="宋体" w:cs="宋体"/>
                <w:b w:val="0"/>
                <w:i w:val="0"/>
                <w:strike w:val="0"/>
                <w:color w:val="auto"/>
                <w:sz w:val="23"/>
                <w:lang w:val="en-US" w:eastAsia="zh-CN"/>
              </w:rPr>
            </w:pPr>
            <w:r>
              <w:rPr>
                <w:rFonts w:hint="eastAsia" w:ascii="宋体" w:hAnsi="宋体" w:cs="宋体"/>
                <w:b w:val="0"/>
                <w:i w:val="0"/>
                <w:strike w:val="0"/>
                <w:color w:val="auto"/>
                <w:sz w:val="23"/>
                <w:lang w:val="en-US" w:eastAsia="zh-CN"/>
              </w:rPr>
              <w:t>9</w:t>
            </w:r>
          </w:p>
        </w:tc>
        <w:tc>
          <w:tcPr>
            <w:tcW w:w="616" w:type="dxa"/>
            <w:vMerge w:val="continue"/>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类似项目业绩</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firstLine="210" w:firstLineChars="100"/>
              <w:jc w:val="left"/>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2分</w:t>
            </w:r>
          </w:p>
        </w:tc>
        <w:tc>
          <w:tcPr>
            <w:tcW w:w="6369" w:type="dxa"/>
            <w:vAlign w:val="top"/>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提供投标人自 2021 年 1 月 1 日以来签订的类似项目业绩，每提供一项得 1 分，最多得 2 分。须提供中标通知书或成交通知书，合同协议书（须提供合同首页、合同金额页盖章页复</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印件并加盖本单位公章，虚假业绩将自行承担相关责任）。</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90" w:hRule="atLeast"/>
          <w:jc w:val="center"/>
        </w:trPr>
        <w:tc>
          <w:tcPr>
            <w:tcW w:w="430" w:type="dxa"/>
            <w:vAlign w:val="center"/>
          </w:tcPr>
          <w:p>
            <w:pPr>
              <w:wordWrap w:val="0"/>
              <w:spacing w:before="0" w:after="0" w:line="300" w:lineRule="atLeast"/>
              <w:ind w:left="0" w:right="0"/>
              <w:jc w:val="center"/>
              <w:textAlignment w:val="baseline"/>
              <w:rPr>
                <w:rFonts w:hint="default" w:ascii="宋体" w:hAnsi="宋体" w:cs="宋体"/>
                <w:b w:val="0"/>
                <w:i w:val="0"/>
                <w:strike w:val="0"/>
                <w:color w:val="auto"/>
                <w:sz w:val="23"/>
                <w:lang w:val="en-US" w:eastAsia="zh-CN"/>
              </w:rPr>
            </w:pPr>
            <w:r>
              <w:rPr>
                <w:rFonts w:hint="eastAsia" w:ascii="宋体" w:hAnsi="宋体" w:cs="宋体"/>
                <w:b w:val="0"/>
                <w:i w:val="0"/>
                <w:strike w:val="0"/>
                <w:color w:val="auto"/>
                <w:sz w:val="23"/>
                <w:lang w:val="en-US" w:eastAsia="zh-CN"/>
              </w:rPr>
              <w:t>10</w:t>
            </w:r>
          </w:p>
        </w:tc>
        <w:tc>
          <w:tcPr>
            <w:tcW w:w="616" w:type="dxa"/>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rPr>
            </w:pPr>
          </w:p>
        </w:tc>
        <w:tc>
          <w:tcPr>
            <w:tcW w:w="953"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right="0"/>
              <w:jc w:val="left"/>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驻场人员</w:t>
            </w:r>
          </w:p>
        </w:tc>
        <w:tc>
          <w:tcPr>
            <w:tcW w:w="616" w:type="dxa"/>
            <w:vAlign w:val="center"/>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firstLine="210" w:firstLineChars="100"/>
              <w:jc w:val="left"/>
              <w:textAlignment w:val="baseline"/>
              <w:rPr>
                <w:rFonts w:hint="default"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2分</w:t>
            </w:r>
          </w:p>
        </w:tc>
        <w:tc>
          <w:tcPr>
            <w:tcW w:w="6369" w:type="dxa"/>
            <w:vAlign w:val="top"/>
          </w:tcPr>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驻场工程师在满足招标文件基础上，每增加 1 人加 1 分，最多加</w:t>
            </w:r>
          </w:p>
          <w:p>
            <w:pPr>
              <w:keepNext w:val="0"/>
              <w:keepLines w:val="0"/>
              <w:pageBreakBefore w:val="0"/>
              <w:widowControl w:val="0"/>
              <w:shd w:val="clear" w:color="auto" w:fill="auto"/>
              <w:kinsoku/>
              <w:wordWrap w:val="0"/>
              <w:overflowPunct/>
              <w:topLinePunct w:val="0"/>
              <w:autoSpaceDE/>
              <w:autoSpaceDN/>
              <w:bidi w:val="0"/>
              <w:adjustRightInd/>
              <w:snapToGrid/>
              <w:spacing w:before="0" w:after="0" w:line="360" w:lineRule="exact"/>
              <w:ind w:left="0" w:right="0"/>
              <w:jc w:val="left"/>
              <w:textAlignment w:val="baseline"/>
              <w:rPr>
                <w:rFonts w:hint="eastAsia" w:ascii="新宋体" w:hAnsi="新宋体" w:eastAsia="新宋体" w:cs="新宋体"/>
                <w:b w:val="0"/>
                <w:i w:val="0"/>
                <w:strike w:val="0"/>
                <w:color w:val="auto"/>
                <w:sz w:val="21"/>
                <w:szCs w:val="21"/>
                <w:lang w:val="en-US" w:eastAsia="zh-CN"/>
              </w:rPr>
            </w:pPr>
            <w:r>
              <w:rPr>
                <w:rFonts w:hint="eastAsia" w:ascii="新宋体" w:hAnsi="新宋体" w:eastAsia="新宋体" w:cs="新宋体"/>
                <w:b w:val="0"/>
                <w:i w:val="0"/>
                <w:strike w:val="0"/>
                <w:color w:val="auto"/>
                <w:sz w:val="21"/>
                <w:szCs w:val="21"/>
                <w:lang w:val="en-US" w:eastAsia="zh-CN"/>
              </w:rPr>
              <w:t>2 分。（提供相关证明材料）</w:t>
            </w:r>
          </w:p>
        </w:tc>
        <w:tc>
          <w:tcPr>
            <w:tcW w:w="766" w:type="dxa"/>
            <w:vAlign w:val="center"/>
          </w:tcPr>
          <w:p>
            <w:pPr>
              <w:shd w:val="clear" w:color="auto" w:fill="auto"/>
              <w:wordWrap w:val="0"/>
              <w:spacing w:before="0" w:after="0" w:line="280" w:lineRule="atLeast"/>
              <w:ind w:left="0" w:right="0"/>
              <w:jc w:val="left"/>
              <w:textAlignment w:val="baseline"/>
              <w:rPr>
                <w:rFonts w:hint="eastAsia" w:ascii="新宋体" w:hAnsi="新宋体" w:eastAsia="新宋体" w:cs="新宋体"/>
                <w:b w:val="0"/>
                <w:i w:val="0"/>
                <w:strike w:val="0"/>
                <w:color w:val="auto"/>
                <w:sz w:val="21"/>
                <w:szCs w:val="21"/>
              </w:rPr>
            </w:pPr>
          </w:p>
        </w:tc>
      </w:tr>
    </w:tbl>
    <w:p>
      <w:pPr>
        <w:pStyle w:val="53"/>
        <w:shd w:val="clear" w:color="auto" w:fill="auto"/>
        <w:tabs>
          <w:tab w:val="left" w:pos="1701"/>
        </w:tabs>
        <w:spacing w:line="440" w:lineRule="exact"/>
        <w:ind w:left="0" w:leftChars="0" w:firstLine="0" w:firstLineChars="0"/>
        <w:rPr>
          <w:rFonts w:hint="default" w:ascii="仿宋" w:hAnsi="仿宋" w:eastAsia="仿宋" w:cs="仿宋"/>
          <w:b/>
          <w:bCs/>
          <w:color w:val="auto"/>
          <w:szCs w:val="21"/>
          <w:highlight w:val="none"/>
          <w:lang w:val="en-US" w:eastAsia="zh-CN" w:bidi="ar-SA"/>
        </w:rPr>
      </w:pPr>
    </w:p>
    <w:p>
      <w:pPr>
        <w:pStyle w:val="53"/>
        <w:shd w:val="clear" w:color="auto" w:fill="auto"/>
        <w:tabs>
          <w:tab w:val="left" w:pos="1701"/>
        </w:tabs>
        <w:spacing w:line="440" w:lineRule="exact"/>
        <w:ind w:left="0" w:leftChars="0" w:firstLine="0" w:firstLineChars="0"/>
        <w:rPr>
          <w:rFonts w:hint="eastAsia" w:ascii="仿宋" w:hAnsi="仿宋" w:eastAsia="仿宋" w:cs="仿宋"/>
          <w:color w:val="auto"/>
          <w:szCs w:val="21"/>
          <w:highlight w:val="none"/>
          <w:lang w:bidi="ar-SA"/>
        </w:rPr>
      </w:pPr>
      <w:r>
        <w:rPr>
          <w:rFonts w:hint="eastAsia" w:ascii="仿宋" w:hAnsi="仿宋" w:eastAsia="仿宋" w:cs="仿宋"/>
          <w:color w:val="auto"/>
          <w:szCs w:val="21"/>
          <w:highlight w:val="none"/>
          <w:lang w:val="en-US" w:eastAsia="zh-CN" w:bidi="ar-SA"/>
        </w:rPr>
        <w:t>10.2.2</w:t>
      </w:r>
      <w:r>
        <w:rPr>
          <w:rFonts w:hint="eastAsia" w:ascii="仿宋" w:hAnsi="仿宋" w:eastAsia="仿宋" w:cs="仿宋"/>
          <w:color w:val="auto"/>
          <w:szCs w:val="21"/>
          <w:highlight w:val="none"/>
          <w:lang w:bidi="ar-SA"/>
        </w:rPr>
        <w:t>价格评分方法</w:t>
      </w:r>
    </w:p>
    <w:p>
      <w:pPr>
        <w:shd w:val="clear" w:color="auto" w:fill="auto"/>
        <w:spacing w:line="440" w:lineRule="exact"/>
        <w:ind w:firstLine="616" w:firstLineChars="257"/>
        <w:jc w:val="left"/>
        <w:rPr>
          <w:rFonts w:hint="eastAsia" w:ascii="仿宋" w:hAnsi="仿宋" w:eastAsia="仿宋" w:cs="仿宋"/>
          <w:b/>
          <w:color w:val="auto"/>
          <w:sz w:val="24"/>
          <w:highlight w:val="none"/>
        </w:rPr>
      </w:pPr>
      <w:r>
        <w:rPr>
          <w:rFonts w:hint="eastAsia" w:ascii="仿宋" w:hAnsi="仿宋" w:eastAsia="仿宋" w:cs="仿宋"/>
          <w:color w:val="auto"/>
          <w:szCs w:val="21"/>
          <w:highlight w:val="none"/>
          <w:lang w:bidi="ar-SA"/>
        </w:rPr>
        <w:t>满足招标文件技术要求且投标价格最低的投标报价为评标基准价，其价格分为满分。其他投标人的价格分别按照下列公式计算： 投标报价得分=（评标基准价/投标报价）×价格权重</w:t>
      </w:r>
      <w:r>
        <w:rPr>
          <w:rFonts w:hint="eastAsia" w:ascii="仿宋" w:hAnsi="仿宋" w:eastAsia="仿宋" w:cs="仿宋"/>
          <w:color w:val="auto"/>
          <w:szCs w:val="21"/>
          <w:highlight w:val="none"/>
          <w:lang w:eastAsia="zh-CN" w:bidi="ar-SA"/>
        </w:rPr>
        <w:t>。</w:t>
      </w:r>
    </w:p>
    <w:p>
      <w:pPr>
        <w:shd w:val="clear" w:color="auto" w:fill="auto"/>
        <w:spacing w:before="156" w:beforeLines="50" w:line="400" w:lineRule="exact"/>
        <w:jc w:val="center"/>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  推荐中标候选人</w:t>
      </w:r>
      <w:bookmarkEnd w:id="74"/>
      <w:bookmarkEnd w:id="75"/>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11.1</w:t>
      </w:r>
      <w:r>
        <w:rPr>
          <w:rFonts w:hint="eastAsia" w:ascii="仿宋" w:hAnsi="仿宋" w:eastAsia="仿宋" w:cs="仿宋"/>
          <w:color w:val="auto"/>
          <w:szCs w:val="21"/>
          <w:highlight w:val="none"/>
        </w:rPr>
        <w:t>评标委员会推荐</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名中标候选人。</w:t>
      </w:r>
    </w:p>
    <w:p>
      <w:pPr>
        <w:shd w:val="clear" w:color="auto" w:fill="auto"/>
        <w:spacing w:line="400" w:lineRule="exact"/>
        <w:ind w:firstLine="470"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11.2</w:t>
      </w:r>
      <w:r>
        <w:rPr>
          <w:rFonts w:hint="eastAsia" w:ascii="仿宋" w:hAnsi="仿宋" w:eastAsia="仿宋" w:cs="仿宋"/>
          <w:color w:val="auto"/>
          <w:szCs w:val="21"/>
          <w:highlight w:val="none"/>
        </w:rPr>
        <w:t>如出现报价相同情况，则由招标人现场抽签确定中标候选人排名顺序。</w:t>
      </w:r>
    </w:p>
    <w:bookmarkEnd w:id="69"/>
    <w:p>
      <w:pPr>
        <w:shd w:val="clear" w:color="auto" w:fill="auto"/>
        <w:snapToGrid w:val="0"/>
        <w:spacing w:line="400" w:lineRule="exact"/>
        <w:ind w:firstLine="480"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lang w:val="en-US" w:eastAsia="zh-CN"/>
        </w:rPr>
        <w:t>12.</w:t>
      </w:r>
      <w:r>
        <w:rPr>
          <w:rFonts w:hint="eastAsia" w:ascii="仿宋" w:hAnsi="仿宋" w:eastAsia="仿宋" w:cs="仿宋"/>
          <w:b/>
          <w:color w:val="auto"/>
          <w:szCs w:val="21"/>
          <w:highlight w:val="none"/>
        </w:rPr>
        <w:t>无效投标条款</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12</w:t>
      </w:r>
      <w:r>
        <w:rPr>
          <w:rFonts w:hint="eastAsia" w:ascii="仿宋" w:hAnsi="仿宋" w:eastAsia="仿宋" w:cs="仿宋"/>
          <w:color w:val="auto"/>
          <w:szCs w:val="21"/>
          <w:highlight w:val="none"/>
        </w:rPr>
        <w:t>.1投标文件有下列情形之一的,其投标文件拒收:</w:t>
      </w:r>
    </w:p>
    <w:p>
      <w:pPr>
        <w:shd w:val="clear" w:color="auto" w:fill="auto"/>
        <w:snapToGrid w:val="0"/>
        <w:spacing w:line="400" w:lineRule="exact"/>
        <w:rPr>
          <w:rFonts w:hint="eastAsia" w:ascii="仿宋" w:hAnsi="仿宋" w:eastAsia="仿宋" w:cs="仿宋"/>
          <w:b/>
          <w:bCs/>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b/>
          <w:bCs/>
          <w:color w:val="auto"/>
          <w:szCs w:val="21"/>
          <w:highlight w:val="none"/>
        </w:rPr>
        <w:t xml:space="preserve"> (1) 未在开标截止时间前通过网上招标投标系统递交有效电子投标文件的，开标系统不予接收。</w:t>
      </w:r>
    </w:p>
    <w:p>
      <w:pPr>
        <w:shd w:val="clear" w:color="auto" w:fill="auto"/>
        <w:snapToGrid w:val="0"/>
        <w:spacing w:line="400" w:lineRule="exact"/>
        <w:ind w:firstLine="480"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（2）</w:t>
      </w:r>
      <w:r>
        <w:rPr>
          <w:rFonts w:hint="eastAsia" w:ascii="仿宋" w:hAnsi="仿宋" w:eastAsia="仿宋" w:cs="仿宋"/>
          <w:b/>
          <w:color w:val="auto"/>
          <w:szCs w:val="21"/>
          <w:highlight w:val="none"/>
        </w:rPr>
        <w:t>所有投标人应在规定时间里完成投标文件的解密工作</w:t>
      </w:r>
      <w:r>
        <w:rPr>
          <w:rFonts w:hint="eastAsia" w:ascii="仿宋" w:hAnsi="仿宋" w:eastAsia="仿宋" w:cs="仿宋"/>
          <w:b/>
          <w:bCs/>
          <w:color w:val="auto"/>
          <w:szCs w:val="21"/>
          <w:highlight w:val="none"/>
        </w:rPr>
        <w:t>【投标人</w:t>
      </w:r>
      <w:r>
        <w:rPr>
          <w:rFonts w:hint="eastAsia" w:ascii="仿宋" w:hAnsi="仿宋" w:eastAsia="仿宋" w:cs="仿宋"/>
          <w:b/>
          <w:bCs/>
          <w:color w:val="auto"/>
          <w:szCs w:val="21"/>
          <w:highlight w:val="none"/>
          <w:lang w:eastAsia="zh-CN"/>
        </w:rPr>
        <w:t>使用</w:t>
      </w:r>
      <w:r>
        <w:rPr>
          <w:rFonts w:hint="eastAsia" w:ascii="仿宋" w:hAnsi="仿宋" w:eastAsia="仿宋" w:cs="仿宋"/>
          <w:b/>
          <w:bCs/>
          <w:color w:val="auto"/>
          <w:szCs w:val="21"/>
          <w:highlight w:val="none"/>
        </w:rPr>
        <w:t>其有效加密锁（CA锁）</w:t>
      </w:r>
      <w:r>
        <w:rPr>
          <w:rFonts w:hint="eastAsia" w:ascii="仿宋" w:hAnsi="仿宋" w:eastAsia="仿宋" w:cs="仿宋"/>
          <w:b/>
          <w:bCs/>
          <w:color w:val="auto"/>
          <w:szCs w:val="21"/>
          <w:highlight w:val="none"/>
          <w:lang w:eastAsia="zh-CN"/>
        </w:rPr>
        <w:t>进行</w:t>
      </w:r>
      <w:r>
        <w:rPr>
          <w:rFonts w:hint="eastAsia" w:ascii="仿宋" w:hAnsi="仿宋" w:eastAsia="仿宋" w:cs="仿宋"/>
          <w:b/>
          <w:bCs/>
          <w:color w:val="auto"/>
          <w:szCs w:val="21"/>
          <w:highlight w:val="none"/>
        </w:rPr>
        <w:t>解密（因投标人原因未能提供有效CA锁对其投标文件进行解密的，其投标文件按无效标处理），以网上招投标系统解密倒计时为准】</w:t>
      </w:r>
      <w:r>
        <w:rPr>
          <w:rFonts w:hint="eastAsia" w:ascii="仿宋" w:hAnsi="仿宋" w:eastAsia="仿宋" w:cs="仿宋"/>
          <w:b/>
          <w:color w:val="auto"/>
          <w:szCs w:val="21"/>
          <w:highlight w:val="none"/>
        </w:rPr>
        <w:t>，因系统原因未能成功解密的投标文件，可导入</w:t>
      </w:r>
      <w:r>
        <w:rPr>
          <w:rFonts w:hint="eastAsia" w:ascii="仿宋" w:hAnsi="仿宋" w:eastAsia="仿宋" w:cs="仿宋"/>
          <w:b/>
          <w:color w:val="auto"/>
          <w:szCs w:val="21"/>
          <w:highlight w:val="none"/>
          <w:lang w:eastAsia="zh-CN"/>
        </w:rPr>
        <w:t>备份投标文件</w:t>
      </w:r>
      <w:r>
        <w:rPr>
          <w:rFonts w:hint="eastAsia" w:ascii="仿宋" w:hAnsi="仿宋" w:eastAsia="仿宋" w:cs="仿宋"/>
          <w:b/>
          <w:color w:val="auto"/>
          <w:szCs w:val="21"/>
          <w:highlight w:val="none"/>
        </w:rPr>
        <w:t>。</w:t>
      </w:r>
      <w:r>
        <w:rPr>
          <w:rFonts w:hint="eastAsia" w:ascii="仿宋" w:hAnsi="仿宋" w:eastAsia="仿宋" w:cs="仿宋"/>
          <w:b/>
          <w:color w:val="auto"/>
          <w:szCs w:val="21"/>
          <w:highlight w:val="none"/>
          <w:lang w:eastAsia="zh-CN"/>
        </w:rPr>
        <w:t>备份投标文件</w:t>
      </w:r>
      <w:r>
        <w:rPr>
          <w:rFonts w:hint="eastAsia" w:ascii="仿宋" w:hAnsi="仿宋" w:eastAsia="仿宋" w:cs="仿宋"/>
          <w:b/>
          <w:color w:val="auto"/>
          <w:szCs w:val="21"/>
          <w:highlight w:val="none"/>
        </w:rPr>
        <w:t>也无法导入的，则投标文件被否决。</w:t>
      </w:r>
    </w:p>
    <w:p>
      <w:pPr>
        <w:shd w:val="clear" w:color="auto" w:fill="auto"/>
        <w:snapToGrid w:val="0"/>
        <w:spacing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12</w:t>
      </w:r>
      <w:r>
        <w:rPr>
          <w:rFonts w:hint="eastAsia" w:ascii="仿宋" w:hAnsi="仿宋" w:eastAsia="仿宋" w:cs="仿宋"/>
          <w:color w:val="auto"/>
          <w:szCs w:val="21"/>
          <w:highlight w:val="none"/>
        </w:rPr>
        <w:t>.2投标人有下列情形之一的,资格审查后其投标作无效投标处理：</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(1)法定代表人参加开标会议未携带有效的法定代表人身份证明原件和本人身份证的；委托代理人参加开标会议未携带有效的法定代表人授权书和本人身份证；</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(2)投标人为本项目提供招标代理服务的；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(3)投标人与在本项目代理机构存在相互任职或工作的；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(4)投标保证金未按规定要求缴纳的；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r>
        <w:rPr>
          <w:rFonts w:hint="eastAsia" w:ascii="仿宋" w:hAnsi="仿宋" w:eastAsia="仿宋" w:cs="仿宋"/>
          <w:b/>
          <w:bCs/>
          <w:color w:val="auto"/>
          <w:szCs w:val="21"/>
          <w:highlight w:val="none"/>
        </w:rPr>
        <w:t>评标专家无法查看并检验电子标书中相关资料的；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)联合体投标未提交联合体协议的；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)被暂停营业的；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)被暂停或取消投标资格的；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)财产被接管或冻结的；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)投标人单位负责人为同一人或者存在控股、管理关系的不同单位的；</w:t>
      </w:r>
    </w:p>
    <w:p>
      <w:pPr>
        <w:shd w:val="clear" w:color="auto" w:fill="auto"/>
        <w:snapToGrid w:val="0"/>
        <w:spacing w:line="400" w:lineRule="exact"/>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）投标人基本资格条件和特定资格条件中有一项及以上不符合要求的；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）投标人使用相同的MAC地址进行报名的；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）其它情形，经评标委员会委提出按无效投标处理，并经公共资源交易监督部门核准的；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）投标人使用相同IP地址报名的，一经发现，监管部门将进一步核实，查实后按串通投标处理；</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规定的其它无效投标情形。</w:t>
      </w:r>
    </w:p>
    <w:p>
      <w:pPr>
        <w:shd w:val="clear" w:color="auto" w:fill="auto"/>
        <w:snapToGrid w:val="0"/>
        <w:spacing w:line="400" w:lineRule="exact"/>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w:t>
      </w:r>
      <w:r>
        <w:rPr>
          <w:rFonts w:hint="eastAsia" w:ascii="仿宋" w:hAnsi="仿宋" w:eastAsia="仿宋" w:cs="仿宋"/>
          <w:color w:val="auto"/>
          <w:szCs w:val="21"/>
          <w:highlight w:val="none"/>
          <w:lang w:val="en-US" w:eastAsia="zh-CN"/>
        </w:rPr>
        <w:t>12</w:t>
      </w:r>
      <w:r>
        <w:rPr>
          <w:rFonts w:hint="eastAsia" w:ascii="仿宋" w:hAnsi="仿宋" w:eastAsia="仿宋" w:cs="仿宋"/>
          <w:color w:val="auto"/>
          <w:szCs w:val="21"/>
          <w:highlight w:val="none"/>
        </w:rPr>
        <w:t>.3 投标人有下列情形之一的,符合性审查后其投标按无效投标处理：</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 投标文件</w:t>
      </w:r>
      <w:r>
        <w:rPr>
          <w:rFonts w:hint="eastAsia" w:ascii="仿宋" w:hAnsi="仿宋" w:eastAsia="仿宋" w:cs="仿宋"/>
          <w:color w:val="auto"/>
          <w:szCs w:val="21"/>
          <w:highlight w:val="none"/>
          <w:lang w:eastAsia="zh-CN"/>
        </w:rPr>
        <w:t>签章</w:t>
      </w:r>
      <w:r>
        <w:rPr>
          <w:rFonts w:hint="eastAsia" w:ascii="仿宋" w:hAnsi="仿宋" w:eastAsia="仿宋" w:cs="仿宋"/>
          <w:color w:val="auto"/>
          <w:szCs w:val="21"/>
          <w:highlight w:val="none"/>
        </w:rPr>
        <w:t>、盖章不全，经评标委员会一致认定对开评标内容有实质性影响并经监督部门核准的；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)未按规定的格式填写，实质性内容不全或关键字迹模糊、无法辨认; 经监督部门核准的；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(4)同一投标人提交两个以上不同的投标文件或者投标报价，但</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规定提交备选方案的除外；</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)投标文件没有对</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的实质性要求和条件作出响应;</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)投标报价超出规定的投标限价或公布的采购预算的；注：投标人的投标报价各项单价均不得高于招标文件给定的单价最高限价，否则，其投标文件将按无效投标处理。</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)不按评标委员会要求澄清、说明或补正的，或者评标委员会根据</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的规定对</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的计算错误进行修正后，投标人不接受修正的投标报价的。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）其它情形，经评标委员会委提出按无效投标处理，并经公共资源交易监督部门核准的；</w:t>
      </w:r>
    </w:p>
    <w:p>
      <w:pPr>
        <w:widowControl/>
        <w:shd w:val="clear" w:color="auto" w:fill="auto"/>
        <w:spacing w:line="500" w:lineRule="exact"/>
        <w:ind w:firstLine="48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shd w:val="clear" w:color="auto" w:fill="FFFFFF"/>
          <w:lang w:bidi="ar"/>
        </w:rPr>
        <w:t>未按照招标文件的规定提交投标保证金的；</w:t>
      </w:r>
    </w:p>
    <w:p>
      <w:pPr>
        <w:widowControl/>
        <w:shd w:val="clear" w:color="auto" w:fill="auto"/>
        <w:spacing w:line="500" w:lineRule="exact"/>
        <w:ind w:firstLine="48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w:t>
      </w:r>
      <w:r>
        <w:rPr>
          <w:rFonts w:hint="eastAsia" w:ascii="仿宋" w:hAnsi="仿宋" w:eastAsia="仿宋" w:cs="仿宋"/>
          <w:color w:val="auto"/>
          <w:kern w:val="0"/>
          <w:szCs w:val="21"/>
          <w:highlight w:val="none"/>
          <w:shd w:val="clear" w:color="auto" w:fill="FFFFFF"/>
          <w:lang w:bidi="ar"/>
        </w:rPr>
        <w:t>投标文件含有采购人不能接受的附加条件的;</w:t>
      </w:r>
    </w:p>
    <w:p>
      <w:pPr>
        <w:shd w:val="clear" w:color="auto" w:fill="auto"/>
        <w:tabs>
          <w:tab w:val="left" w:pos="1123"/>
        </w:tabs>
        <w:snapToGrid w:val="0"/>
        <w:spacing w:line="5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规定的其它无效投标情形。</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12</w:t>
      </w:r>
      <w:r>
        <w:rPr>
          <w:rFonts w:hint="eastAsia" w:ascii="仿宋" w:hAnsi="仿宋" w:eastAsia="仿宋" w:cs="仿宋"/>
          <w:color w:val="auto"/>
          <w:szCs w:val="21"/>
          <w:highlight w:val="none"/>
        </w:rPr>
        <w:t>.4 投标人有下列情形之一的, 详细评审后其投标按无效投标处理：</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(1)投标产品不符合必须强制执行的国家标准的；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(2)投标人有串通投标、弄虚作假、行贿等违法行为；</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(3)投标文件含有违反国家法律、法规的内容，或附有招标人不能接受的条件的；</w:t>
      </w:r>
    </w:p>
    <w:p>
      <w:pPr>
        <w:shd w:val="clear" w:color="auto" w:fill="auto"/>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（4）在同一项目（或同一标段）中有多个投标人有效投标报价接近最高限价，且评标委员会认为报价出现异常的，可以宣布其投标无效；</w:t>
      </w:r>
    </w:p>
    <w:p>
      <w:pPr>
        <w:shd w:val="clear" w:color="auto" w:fill="auto"/>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（5）报价明显低于其他投标人，且不能证明报价合理性的投标无效；</w:t>
      </w:r>
    </w:p>
    <w:p>
      <w:pPr>
        <w:shd w:val="clear" w:color="auto" w:fill="auto"/>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（6）拒不确认评标委员会评审修正的投标无效；</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（7）其它情形，经评标委员会委提出按无效投标处理，并经公共资源交易监督部门核准的；</w:t>
      </w:r>
    </w:p>
    <w:p>
      <w:pPr>
        <w:shd w:val="clear" w:color="auto" w:fill="auto"/>
        <w:snapToGrid w:val="0"/>
        <w:spacing w:line="400" w:lineRule="exact"/>
        <w:ind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（8）</w:t>
      </w:r>
      <w:r>
        <w:rPr>
          <w:rFonts w:hint="eastAsia" w:ascii="仿宋" w:hAnsi="仿宋" w:eastAsia="仿宋" w:cs="仿宋"/>
          <w:color w:val="auto"/>
          <w:szCs w:val="21"/>
          <w:highlight w:val="none"/>
          <w:lang w:eastAsia="zh-CN"/>
        </w:rPr>
        <w:t>采购文件</w:t>
      </w:r>
      <w:r>
        <w:rPr>
          <w:rFonts w:hint="eastAsia" w:ascii="仿宋" w:hAnsi="仿宋" w:eastAsia="仿宋" w:cs="仿宋"/>
          <w:color w:val="auto"/>
          <w:szCs w:val="21"/>
          <w:highlight w:val="none"/>
        </w:rPr>
        <w:t>规定的其它无效投标情形。</w:t>
      </w:r>
    </w:p>
    <w:p>
      <w:pPr>
        <w:pageBreakBefore/>
        <w:shd w:val="clear" w:color="auto" w:fill="auto"/>
        <w:spacing w:line="360" w:lineRule="auto"/>
        <w:jc w:val="center"/>
        <w:outlineLvl w:val="0"/>
        <w:rPr>
          <w:rFonts w:hint="eastAsia" w:ascii="仿宋" w:hAnsi="仿宋" w:eastAsia="仿宋" w:cs="仿宋"/>
          <w:b/>
          <w:color w:val="auto"/>
          <w:sz w:val="32"/>
          <w:szCs w:val="32"/>
          <w:highlight w:val="none"/>
        </w:rPr>
        <w:sectPr>
          <w:footerReference r:id="rId6" w:type="default"/>
          <w:pgSz w:w="11906" w:h="16838"/>
          <w:pgMar w:top="1440" w:right="1080" w:bottom="1440" w:left="1080" w:header="851" w:footer="992" w:gutter="0"/>
          <w:pgNumType w:fmt="decimal" w:start="1"/>
          <w:cols w:space="720" w:num="1"/>
          <w:docGrid w:type="linesAndChars" w:linePitch="312" w:charSpace="0"/>
        </w:sectPr>
      </w:pPr>
      <w:bookmarkStart w:id="76" w:name="_Toc469495737"/>
      <w:bookmarkStart w:id="77" w:name="OLE_LINK4"/>
    </w:p>
    <w:p>
      <w:pPr>
        <w:pageBreakBefore/>
        <w:shd w:val="clear" w:color="auto" w:fill="auto"/>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 xml:space="preserve">第四章  </w:t>
      </w:r>
      <w:bookmarkEnd w:id="70"/>
      <w:bookmarkEnd w:id="76"/>
      <w:r>
        <w:rPr>
          <w:rFonts w:hint="eastAsia" w:ascii="仿宋" w:hAnsi="仿宋" w:eastAsia="仿宋" w:cs="仿宋"/>
          <w:b/>
          <w:color w:val="auto"/>
          <w:sz w:val="32"/>
          <w:szCs w:val="32"/>
          <w:highlight w:val="none"/>
        </w:rPr>
        <w:t>技术规格、数量及质量要求</w:t>
      </w:r>
    </w:p>
    <w:p>
      <w:pPr>
        <w:jc w:val="center"/>
        <w:rPr>
          <w:rFonts w:hint="eastAsia" w:ascii="仿宋" w:hAnsi="仿宋" w:eastAsia="仿宋" w:cs="仿宋"/>
          <w:b/>
          <w:color w:val="auto"/>
          <w:sz w:val="24"/>
          <w:szCs w:val="24"/>
          <w:highlight w:val="none"/>
        </w:rPr>
      </w:pPr>
      <w:bookmarkStart w:id="78" w:name="_Toc340225294"/>
      <w:bookmarkStart w:id="79" w:name="_Toc267320052"/>
    </w:p>
    <w:p>
      <w:pPr>
        <w:shd w:val="clear" w:color="auto" w:fill="auto"/>
        <w:snapToGrid w:val="0"/>
        <w:spacing w:line="400" w:lineRule="exact"/>
        <w:ind w:firstLine="364" w:firstLineChars="150"/>
        <w:rPr>
          <w:rFonts w:hint="eastAsia" w:ascii="仿宋" w:hAnsi="仿宋" w:eastAsia="仿宋" w:cs="仿宋"/>
          <w:color w:val="auto"/>
          <w:szCs w:val="21"/>
          <w:highlight w:val="none"/>
        </w:rPr>
      </w:pPr>
      <w:bookmarkStart w:id="80" w:name="_Hlk59547165"/>
      <w:r>
        <w:rPr>
          <w:rFonts w:hint="eastAsia" w:ascii="仿宋" w:hAnsi="仿宋" w:eastAsia="仿宋" w:cs="仿宋"/>
          <w:color w:val="auto"/>
          <w:szCs w:val="21"/>
          <w:highlight w:val="none"/>
        </w:rPr>
        <w:t>采购项目内容</w:t>
      </w:r>
      <w:bookmarkEnd w:id="80"/>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（一）项目内容</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1、本次采购项目内容主要包括设备的供货、运输、装卸、安装、设置、调试和售后服务及配套工程施工等。（包含但不局限于以下内容）：</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（1）净水处理技术设计；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（2）设备的提供、运输、装卸；</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（3）设备现场开箱验收；</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（4）设备安装的检查与确认；</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（5）设备及部件的检查、检验及测试；</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（6）配套工程施工；</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（7）整改及验收；</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（8）设备的维护、维修；</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（9）售后服务。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（二）项目技术要求</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（1）处理能力</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新建口岸水厂处理能力</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00m3/h。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新建国门水厂处理能力20m3/h。</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（2）范围：</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包含单体工艺设备及管线，工艺电气工程、工艺厂区管线、自控设备仪表</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不含室外强电，变压器及发电机，室外照明，室外给水、室外排水、室内照明、监控系统，建筑与装饰，给排水工程、暖通工程、室外土建工艺管线、土建工程、供水管线</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（三）设计依据及标准</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本净水处理项目的设计，施工与安装严格执行国家的专业技术规范与标准，其主要依据、规范与标准如下：</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1、根据环评资料；</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2、《室外排水设计标准》GB 50014-2021；</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3、《建筑给水排水设计标准》GB 50015-2019；</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4、《建筑结构荷载规范》GB50009-2012；</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5、《给水排水工程构筑物结构设计规范》（GB50069-2002）；</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6、《给水排水工程钢筋混凝土水池结构设计规程》（CECS138:2002）；</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7、《给水排水工程混凝土构筑物变形缝设计规程》（T∕CECS 117-2017）；</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8、《给水排水工程管道结构设计规范》（GB50332-2002）；</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9、《混凝土结构设计规范》（GB 50010-2010）；</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10、《建筑地基基础设计规范》（建筑地基基础设计规范）；</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11、国家现行的建设项目环境保护设计规定；</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12、其他相应的设计技术规范与标准。</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四</w:t>
      </w:r>
      <w:r>
        <w:rPr>
          <w:rFonts w:hint="eastAsia" w:ascii="仿宋" w:hAnsi="仿宋" w:eastAsia="仿宋" w:cs="仿宋"/>
          <w:color w:val="auto"/>
          <w:szCs w:val="21"/>
          <w:highlight w:val="none"/>
        </w:rPr>
        <w:t>）设备技术要求</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技术参数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沉淀区设计表面负荷：5-6m3/m2·h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滤池冲洗强度：12～14L/S·m2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过滤区设计滤速：8～10M/h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冲洗历时：T=4～6min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性能特点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⑴、净水装置本身从反应、絮凝沉淀、集水、配水、过滤、体内反洗、排泥等一系列运行程序，均需达到全自动运行的效果，中央控制柜内应留有PLC接口，值班人员只要定时作水质监视外，无需对净水装置操作管理。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⑵、应具有高浓度絮凝层，能使原水中的杂质颗粒在其间得到充分的碰撞接触，吸附的机率增大，应能适应各种原水的水温和浊度，杂质颗粒去除率高。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⑶、应具有泥渣浓缩室及可调式自动排泥系统，能保证多余的泥渣及时排除，从而保证稳定的杂质颗粒去除率。 </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⑷、应具有高效的絮凝及沉淀效果，使沉淀出水水质一直保持良好的状态。</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⑸、应具有新颖独创的集水系统及最省的集水水头，使集水更为均匀有效，不仅提高了体积利用系数，而且其集水水头极小。</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⑹、应具有净水系统自动化，既保证了净水系统的高效过滤，又能自动反冲，无需另设反冲洗水泵或空压机等电气设备，而且节省大量基建投资及日常运行、维修、保养费用。</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⑺、设备自耗水率应低于3%，对节省宝贵的水资源起着积极作用。</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⑻、应具有占地面积小，节约占地面积特点。</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⑼、应便于扩建、改造、搬迁，或移地再用。</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⑽、基建工期短，应大大短于常规的澄清过滤设施施工周期。</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1.3设备质量检验</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（1）外观</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a.外观板面应平整、光滑，筋板应水平或垂直，不应有弯曲现象。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b.涂漆前应检查钢板面符合除锈要求，应达到（GB8923-88）Sa21/2 级标准。焊缝处不应有焊疤或毛刺，如有应打磨干净，符合标准后再涂漆。</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c.设备外表涂色要求：防腐油漆层厚度为 60-80um，防腐油漆保证2年不剥落，采用艳绿色垂纹漆。</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（2）尺寸</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a.本设备内部所有焊缝均为满焊（加强筋板、槽钢除外）</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b.角焊缝最小焊角高度不得小于6mm.</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c.钢板拼接为等强拼接，且两面焊接、焊透。</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d.壁板上下竖向焊缝应互相错开,错开的距离不小于200mm.</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e.壁板的纵、横加强肋与壁板的连接焊接均为两面角焊接，其焊</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角尺寸不得小于6mm，加强肋之端部必须与其两端构件焊牢。</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f.壁板连接焊缝及拼接焊接按Ⅱ级焊缝质量标准验收，且应作渗漏试验。</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（3）斜管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a. 斜管均为聚丙稀斜管。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b. 斜管孔径尺寸为 35、50mm,与水平面成 60度角安装。</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c. 管壁面要光滑，不得有毛糙现象。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d. 沉降室内斜管要装满。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e. 斜管要完整，不得有缺损现象。</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（4）阀门</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a．配带的阀门型号、规格应符合设计图纸中的要求。</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b.阀门动作应灵活，开闭自如。</w:t>
      </w:r>
    </w:p>
    <w:p>
      <w:pPr>
        <w:shd w:val="clear" w:color="auto" w:fill="auto"/>
        <w:snapToGrid w:val="0"/>
        <w:spacing w:line="400" w:lineRule="exact"/>
        <w:ind w:firstLine="364"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c.所有阀门安装好后应进行充水试验，关闭时严密、不漏水。</w:t>
      </w:r>
    </w:p>
    <w:p>
      <w:pPr>
        <w:shd w:val="clear" w:color="auto" w:fill="auto"/>
        <w:snapToGrid w:val="0"/>
        <w:spacing w:line="400" w:lineRule="exact"/>
        <w:ind w:firstLine="364" w:firstLineChars="150"/>
        <w:rPr>
          <w:rFonts w:hint="eastAsia" w:ascii="仿宋" w:hAnsi="仿宋" w:eastAsia="仿宋" w:cs="仿宋"/>
          <w:b/>
          <w:bCs/>
          <w:color w:val="auto"/>
          <w:szCs w:val="21"/>
          <w:highlight w:val="none"/>
        </w:rPr>
      </w:pPr>
      <w:bookmarkStart w:id="81" w:name="_Hlk127355111"/>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lang w:val="en-US" w:eastAsia="zh-CN"/>
        </w:rPr>
        <w:t>五</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Cs w:val="21"/>
          <w:highlight w:val="none"/>
        </w:rPr>
        <w:t>主要设备</w:t>
      </w:r>
      <w:bookmarkEnd w:id="81"/>
      <w:r>
        <w:rPr>
          <w:rFonts w:hint="eastAsia" w:ascii="仿宋" w:hAnsi="仿宋" w:eastAsia="仿宋" w:cs="仿宋"/>
          <w:b/>
          <w:bCs/>
          <w:color w:val="auto"/>
          <w:szCs w:val="21"/>
          <w:highlight w:val="none"/>
        </w:rPr>
        <w:t>清单</w:t>
      </w:r>
    </w:p>
    <w:p>
      <w:pPr>
        <w:spacing w:line="420" w:lineRule="exact"/>
        <w:rPr>
          <w:rFonts w:hint="eastAsia" w:ascii="宋体" w:hAnsi="宋体"/>
          <w:b/>
          <w:color w:val="auto"/>
          <w:kern w:val="0"/>
          <w:sz w:val="24"/>
        </w:rPr>
      </w:pPr>
      <w:r>
        <w:rPr>
          <w:rFonts w:hint="eastAsia" w:ascii="宋体" w:hAnsi="宋体"/>
          <w:b/>
          <w:color w:val="auto"/>
          <w:kern w:val="0"/>
          <w:sz w:val="24"/>
        </w:rPr>
        <w:t>口岸水厂：</w:t>
      </w:r>
    </w:p>
    <w:tbl>
      <w:tblPr>
        <w:tblStyle w:val="23"/>
        <w:tblW w:w="8319" w:type="dxa"/>
        <w:tblInd w:w="98" w:type="dxa"/>
        <w:tblLayout w:type="fixed"/>
        <w:tblCellMar>
          <w:top w:w="0" w:type="dxa"/>
          <w:left w:w="108" w:type="dxa"/>
          <w:bottom w:w="0" w:type="dxa"/>
          <w:right w:w="108" w:type="dxa"/>
        </w:tblCellMar>
      </w:tblPr>
      <w:tblGrid>
        <w:gridCol w:w="1088"/>
        <w:gridCol w:w="1907"/>
        <w:gridCol w:w="2974"/>
        <w:gridCol w:w="656"/>
        <w:gridCol w:w="656"/>
        <w:gridCol w:w="1038"/>
      </w:tblGrid>
      <w:tr>
        <w:tblPrEx>
          <w:tblCellMar>
            <w:top w:w="0" w:type="dxa"/>
            <w:left w:w="108" w:type="dxa"/>
            <w:bottom w:w="0" w:type="dxa"/>
            <w:right w:w="108" w:type="dxa"/>
          </w:tblCellMar>
        </w:tblPrEx>
        <w:trPr>
          <w:trHeight w:val="510" w:hRule="atLeast"/>
        </w:trPr>
        <w:tc>
          <w:tcPr>
            <w:tcW w:w="8319" w:type="dxa"/>
            <w:gridSpan w:val="6"/>
            <w:tcBorders>
              <w:top w:val="nil"/>
              <w:left w:val="nil"/>
              <w:bottom w:val="nil"/>
              <w:right w:val="nil"/>
            </w:tcBorders>
            <w:shd w:val="clear" w:color="auto" w:fill="auto"/>
            <w:noWrap/>
            <w:vAlign w:val="center"/>
          </w:tcPr>
          <w:p>
            <w:pPr>
              <w:widowControl/>
              <w:jc w:val="center"/>
              <w:textAlignment w:val="center"/>
              <w:rPr>
                <w:rFonts w:hint="eastAsia" w:ascii="宋体" w:hAnsi="宋体" w:cs="宋体"/>
                <w:color w:val="auto"/>
                <w:sz w:val="40"/>
                <w:szCs w:val="40"/>
              </w:rPr>
            </w:pPr>
            <w:r>
              <w:rPr>
                <w:rFonts w:hint="eastAsia" w:ascii="宋体" w:hAnsi="宋体" w:cs="宋体"/>
                <w:color w:val="auto"/>
                <w:kern w:val="0"/>
                <w:sz w:val="40"/>
                <w:szCs w:val="40"/>
                <w:lang w:bidi="ar"/>
              </w:rPr>
              <w:t>工艺部分</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净水间</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序号</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设备名称</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型号</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单位</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数量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备注</w:t>
            </w:r>
          </w:p>
        </w:tc>
      </w:tr>
      <w:tr>
        <w:tblPrEx>
          <w:tblCellMar>
            <w:top w:w="0" w:type="dxa"/>
            <w:left w:w="108" w:type="dxa"/>
            <w:bottom w:w="0" w:type="dxa"/>
            <w:right w:w="108" w:type="dxa"/>
          </w:tblCellMar>
        </w:tblPrEx>
        <w:trPr>
          <w:trHeight w:val="16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高效一体化净水设备</w:t>
            </w:r>
          </w:p>
        </w:tc>
        <w:tc>
          <w:tcPr>
            <w:tcW w:w="297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eastAsia="宋体" w:cs="宋体"/>
                <w:color w:val="auto"/>
                <w:kern w:val="0"/>
                <w:sz w:val="22"/>
                <w:szCs w:val="22"/>
                <w:lang w:val="en-US" w:eastAsia="zh-CN" w:bidi="ar"/>
              </w:rPr>
              <w:t>100m³</w:t>
            </w:r>
            <w:r>
              <w:rPr>
                <w:rFonts w:hint="eastAsia" w:ascii="宋体" w:hAnsi="宋体" w:cs="宋体"/>
                <w:color w:val="auto"/>
                <w:kern w:val="0"/>
                <w:sz w:val="22"/>
                <w:szCs w:val="22"/>
                <w:lang w:bidi="ar"/>
              </w:rPr>
              <w:t>/h 设计总停留时间：60min。采用专用抗污染滤料。沉淀采用专用小网格斜板。主体钢板厚度8mm。配套PLC控制柜，16寸触摸屏，可以实现智能控制。并于精确加药系统联动。</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座</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精确加药系统</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WTS-AS35</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PLC控制</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配水井及污泥池</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1.5*6*5m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座</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碳钢防腐</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污泥泵</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Q=30m3/h；H=15m；N=3KW</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钢制三通</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DN150x50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钢制三通</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DN150x150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钢制长管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钢制90°弯头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加药间</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PAC加药箱体</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10m3</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配搅拌机、液位计等</w:t>
            </w: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PAC投加泵</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Q=100L/h H =20m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机械隔膜泵，变频</w:t>
            </w: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活性炭投加设备</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10m3</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配搅拌机、液位计等</w:t>
            </w: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螺杆泵</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Q=500L/h H =20m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螺杆泵，变频</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次氯酸钠发生器</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 xml:space="preserve">HCL-500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钢制长管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钢制90°弯头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钢制三通</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DN50x50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大口井</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潜水泵</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Q=50m3/h；H=34m;N=15KW</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两用一冷备</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大小头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Dn80x150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硬质密封式法兰蝶阀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消声止回阀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Dn80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三通</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Dn150x150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Dn80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片</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片</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焊接钢管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Dn200x4.5</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焊接钢管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Dn80x4.5</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爬梯</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副</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通气帽</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Φ200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吊葫芦</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3T</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管道支架</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二次提升泵房</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卧式离心泵</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default" w:ascii="宋体" w:hAnsi="宋体" w:eastAsia="宋体" w:cs="宋体"/>
                <w:color w:val="auto"/>
                <w:sz w:val="22"/>
                <w:szCs w:val="22"/>
                <w:lang w:val="en-US" w:eastAsia="zh-CN"/>
              </w:rPr>
            </w:pPr>
            <w:r>
              <w:rPr>
                <w:rFonts w:hint="eastAsia" w:ascii="宋体" w:hAnsi="宋体" w:cs="宋体"/>
                <w:color w:val="auto"/>
                <w:kern w:val="0"/>
                <w:sz w:val="22"/>
                <w:szCs w:val="22"/>
                <w:lang w:bidi="ar"/>
              </w:rPr>
              <w:t>Q=85m3/h,H=125m</w:t>
            </w:r>
            <w:r>
              <w:rPr>
                <w:rFonts w:hint="eastAsia" w:ascii="宋体" w:hAnsi="宋体" w:eastAsia="宋体" w:cs="宋体"/>
                <w:color w:val="auto"/>
                <w:kern w:val="0"/>
                <w:sz w:val="22"/>
                <w:szCs w:val="22"/>
                <w:lang w:eastAsia="zh-CN" w:bidi="ar"/>
              </w:rPr>
              <w:t>、</w:t>
            </w:r>
            <w:r>
              <w:rPr>
                <w:rFonts w:hint="eastAsia" w:ascii="宋体" w:hAnsi="宋体" w:eastAsia="宋体" w:cs="宋体"/>
                <w:color w:val="auto"/>
                <w:kern w:val="0"/>
                <w:sz w:val="22"/>
                <w:szCs w:val="22"/>
                <w:lang w:val="en-US" w:eastAsia="zh-CN" w:bidi="ar"/>
              </w:rPr>
              <w:t>P=37KW</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一用一备</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可曲挠橡胶接头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止回阀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84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法兰式伸缩蝶阀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手、电两用，自带法兰盘</w:t>
            </w: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等径三通</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DN250x250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偏心异径管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DN250x100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同心异径管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DN250x100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可曲挠橡胶接头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多功能止回阀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84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法兰式伸缩蝶阀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手、电两用，自带法兰盘</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电接点压力表</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等径三通</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DN200x200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堵头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堵头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卧式离心泵</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Q=120m3/ h，H=75m，N=37KW</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一用一备</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吸水喇叭</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auto"/>
                <w:kern w:val="0"/>
                <w:sz w:val="22"/>
                <w:szCs w:val="22"/>
                <w:lang w:val="en-US" w:eastAsia="zh-CN" w:bidi="ar"/>
              </w:rPr>
            </w:pPr>
            <w:r>
              <w:rPr>
                <w:rFonts w:hint="eastAsia" w:ascii="宋体" w:hAnsi="宋体" w:eastAsia="宋体" w:cs="宋体"/>
                <w:color w:val="auto"/>
                <w:kern w:val="0"/>
                <w:sz w:val="22"/>
                <w:szCs w:val="22"/>
                <w:lang w:val="en-US" w:eastAsia="zh-CN" w:bidi="ar"/>
              </w:rPr>
              <w:t>污泥泵</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Q=</w:t>
            </w:r>
            <w:r>
              <w:rPr>
                <w:rFonts w:hint="eastAsia" w:ascii="宋体" w:hAnsi="宋体" w:eastAsia="宋体" w:cs="宋体"/>
                <w:color w:val="auto"/>
                <w:kern w:val="0"/>
                <w:sz w:val="22"/>
                <w:szCs w:val="22"/>
                <w:lang w:val="en-US" w:eastAsia="zh-CN" w:bidi="ar"/>
              </w:rPr>
              <w:t>65m³</w:t>
            </w:r>
            <w:r>
              <w:rPr>
                <w:rFonts w:hint="eastAsia" w:ascii="宋体" w:hAnsi="宋体" w:cs="宋体"/>
                <w:color w:val="auto"/>
                <w:kern w:val="0"/>
                <w:sz w:val="22"/>
                <w:szCs w:val="22"/>
                <w:lang w:bidi="ar"/>
              </w:rPr>
              <w:t>/ h，H=</w:t>
            </w:r>
            <w:r>
              <w:rPr>
                <w:rFonts w:hint="eastAsia" w:ascii="宋体" w:hAnsi="宋体" w:eastAsia="宋体" w:cs="宋体"/>
                <w:color w:val="auto"/>
                <w:kern w:val="0"/>
                <w:sz w:val="22"/>
                <w:szCs w:val="22"/>
                <w:lang w:val="en-US" w:eastAsia="zh-CN" w:bidi="ar"/>
              </w:rPr>
              <w:t>17</w:t>
            </w:r>
            <w:r>
              <w:rPr>
                <w:rFonts w:hint="eastAsia" w:ascii="宋体" w:hAnsi="宋体" w:cs="宋体"/>
                <w:color w:val="auto"/>
                <w:kern w:val="0"/>
                <w:sz w:val="22"/>
                <w:szCs w:val="22"/>
                <w:lang w:bidi="ar"/>
              </w:rPr>
              <w:t>m，N=</w:t>
            </w:r>
            <w:r>
              <w:rPr>
                <w:rFonts w:hint="eastAsia" w:ascii="宋体" w:hAnsi="宋体" w:eastAsia="宋体" w:cs="宋体"/>
                <w:color w:val="auto"/>
                <w:kern w:val="0"/>
                <w:sz w:val="22"/>
                <w:szCs w:val="22"/>
                <w:lang w:val="en-US" w:eastAsia="zh-CN" w:bidi="ar"/>
              </w:rPr>
              <w:t>5.5</w:t>
            </w:r>
            <w:r>
              <w:rPr>
                <w:rFonts w:hint="eastAsia" w:ascii="宋体" w:hAnsi="宋体" w:cs="宋体"/>
                <w:color w:val="auto"/>
                <w:kern w:val="0"/>
                <w:sz w:val="22"/>
                <w:szCs w:val="22"/>
                <w:lang w:bidi="ar"/>
              </w:rPr>
              <w:t>KW</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kern w:val="0"/>
                <w:sz w:val="22"/>
                <w:szCs w:val="22"/>
                <w:lang w:bidi="ar"/>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r>
              <w:rPr>
                <w:rFonts w:hint="eastAsia" w:ascii="宋体" w:hAnsi="宋体" w:cs="宋体"/>
                <w:color w:val="auto"/>
                <w:kern w:val="0"/>
                <w:sz w:val="22"/>
                <w:szCs w:val="22"/>
                <w:lang w:bidi="ar"/>
              </w:rPr>
              <w:t>一用一备</w:t>
            </w:r>
          </w:p>
        </w:tc>
      </w:tr>
      <w:tr>
        <w:tblPrEx>
          <w:tblCellMar>
            <w:top w:w="0" w:type="dxa"/>
            <w:left w:w="108" w:type="dxa"/>
            <w:bottom w:w="0" w:type="dxa"/>
            <w:right w:w="108" w:type="dxa"/>
          </w:tblCellMar>
        </w:tblPrEx>
        <w:trPr>
          <w:trHeight w:val="510" w:hRule="atLeast"/>
        </w:trPr>
        <w:tc>
          <w:tcPr>
            <w:tcW w:w="1088" w:type="dxa"/>
            <w:tcBorders>
              <w:top w:val="single" w:color="000000" w:sz="4" w:space="0"/>
              <w:left w:val="single" w:color="000000" w:sz="4" w:space="0"/>
              <w:bottom w:val="single" w:color="000000" w:sz="4" w:space="0"/>
              <w:right w:val="nil"/>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工艺厂区管线</w:t>
            </w:r>
          </w:p>
        </w:tc>
        <w:tc>
          <w:tcPr>
            <w:tcW w:w="1907" w:type="dxa"/>
            <w:tcBorders>
              <w:top w:val="single" w:color="000000" w:sz="4" w:space="0"/>
              <w:left w:val="nil"/>
              <w:bottom w:val="single" w:color="000000" w:sz="4" w:space="0"/>
              <w:right w:val="nil"/>
            </w:tcBorders>
            <w:shd w:val="clear" w:color="auto" w:fill="auto"/>
            <w:vAlign w:val="center"/>
          </w:tcPr>
          <w:p>
            <w:pPr>
              <w:rPr>
                <w:rFonts w:hint="eastAsia" w:ascii="宋体" w:hAnsi="宋体" w:cs="宋体"/>
                <w:color w:val="auto"/>
                <w:sz w:val="40"/>
                <w:szCs w:val="40"/>
              </w:rPr>
            </w:pPr>
          </w:p>
        </w:tc>
        <w:tc>
          <w:tcPr>
            <w:tcW w:w="2974" w:type="dxa"/>
            <w:tcBorders>
              <w:top w:val="single" w:color="000000" w:sz="4" w:space="0"/>
              <w:left w:val="nil"/>
              <w:bottom w:val="single" w:color="000000" w:sz="4" w:space="0"/>
              <w:right w:val="nil"/>
            </w:tcBorders>
            <w:shd w:val="clear" w:color="auto" w:fill="auto"/>
            <w:noWrap/>
            <w:vAlign w:val="center"/>
          </w:tcPr>
          <w:p>
            <w:pPr>
              <w:rPr>
                <w:rFonts w:hint="eastAsia" w:ascii="宋体" w:hAnsi="宋体" w:cs="宋体"/>
                <w:color w:val="auto"/>
                <w:sz w:val="40"/>
                <w:szCs w:val="40"/>
              </w:rPr>
            </w:pPr>
          </w:p>
        </w:tc>
        <w:tc>
          <w:tcPr>
            <w:tcW w:w="656" w:type="dxa"/>
            <w:tcBorders>
              <w:top w:val="single" w:color="000000" w:sz="4" w:space="0"/>
              <w:left w:val="nil"/>
              <w:bottom w:val="single" w:color="000000" w:sz="4" w:space="0"/>
              <w:right w:val="nil"/>
            </w:tcBorders>
            <w:shd w:val="clear" w:color="auto" w:fill="auto"/>
            <w:noWrap/>
            <w:vAlign w:val="center"/>
          </w:tcPr>
          <w:p>
            <w:pPr>
              <w:rPr>
                <w:rFonts w:hint="eastAsia" w:ascii="宋体" w:hAnsi="宋体" w:cs="宋体"/>
                <w:color w:val="auto"/>
                <w:sz w:val="40"/>
                <w:szCs w:val="40"/>
              </w:rPr>
            </w:pPr>
          </w:p>
        </w:tc>
        <w:tc>
          <w:tcPr>
            <w:tcW w:w="656" w:type="dxa"/>
            <w:tcBorders>
              <w:top w:val="single" w:color="000000" w:sz="4" w:space="0"/>
              <w:left w:val="nil"/>
              <w:bottom w:val="single" w:color="000000" w:sz="4" w:space="0"/>
              <w:right w:val="nil"/>
            </w:tcBorders>
            <w:shd w:val="clear" w:color="auto" w:fill="auto"/>
            <w:noWrap/>
            <w:vAlign w:val="center"/>
          </w:tcPr>
          <w:p>
            <w:pPr>
              <w:rPr>
                <w:rFonts w:hint="eastAsia" w:ascii="宋体" w:hAnsi="宋体" w:cs="宋体"/>
                <w:color w:val="auto"/>
                <w:sz w:val="40"/>
                <w:szCs w:val="40"/>
              </w:rPr>
            </w:pPr>
          </w:p>
        </w:tc>
        <w:tc>
          <w:tcPr>
            <w:tcW w:w="1038" w:type="dxa"/>
            <w:tcBorders>
              <w:top w:val="single" w:color="000000" w:sz="4" w:space="0"/>
              <w:left w:val="nil"/>
              <w:bottom w:val="single" w:color="000000" w:sz="4" w:space="0"/>
              <w:right w:val="single" w:color="000000" w:sz="4" w:space="0"/>
            </w:tcBorders>
            <w:shd w:val="clear" w:color="auto" w:fill="auto"/>
            <w:vAlign w:val="center"/>
          </w:tcPr>
          <w:p>
            <w:pPr>
              <w:rPr>
                <w:rFonts w:hint="eastAsia" w:ascii="宋体" w:hAnsi="宋体" w:cs="宋体"/>
                <w:color w:val="auto"/>
                <w:sz w:val="40"/>
                <w:szCs w:val="40"/>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D219*6.5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450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给水室外钢管焊接管件</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D273*7.0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59</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D108*4.0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伸缩蝶阀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伸缩蝶阀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电磁流量计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止回阀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伸缩蝶阀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球阀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DN65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球阀</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DN32</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10" w:hRule="atLeast"/>
        </w:trPr>
        <w:tc>
          <w:tcPr>
            <w:tcW w:w="8319"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40"/>
                <w:szCs w:val="40"/>
              </w:rPr>
            </w:pPr>
            <w:r>
              <w:rPr>
                <w:rFonts w:hint="eastAsia" w:ascii="宋体" w:hAnsi="宋体" w:cs="宋体"/>
                <w:color w:val="auto"/>
                <w:kern w:val="0"/>
                <w:sz w:val="40"/>
                <w:szCs w:val="40"/>
                <w:lang w:bidi="ar"/>
              </w:rPr>
              <w:t>电气工程</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低压动力配电柜</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配电箱</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控制箱</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YJV-0.6/1-4*120+1*70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YJV-0.6/1-5*10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380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YJV-0.6/1-5*6</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500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824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DN32</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DN40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10" w:hRule="atLeast"/>
        </w:trPr>
        <w:tc>
          <w:tcPr>
            <w:tcW w:w="8319" w:type="dxa"/>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40"/>
                <w:szCs w:val="40"/>
              </w:rPr>
            </w:pPr>
            <w:r>
              <w:rPr>
                <w:rFonts w:hint="eastAsia" w:ascii="宋体" w:hAnsi="宋体" w:cs="宋体"/>
                <w:color w:val="auto"/>
                <w:kern w:val="0"/>
                <w:sz w:val="40"/>
                <w:szCs w:val="40"/>
                <w:lang w:bidi="ar"/>
              </w:rPr>
              <w:t>自控仪表</w:t>
            </w: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大口径自控仪表</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PLC控制柜</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2200*800*800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KVV-0.5-7* 1.5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KVVP-0.5-5*1.5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YJV-0.6/1-3×20.5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DJYVP-3×1.0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通讯光纤</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8芯</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612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成套配电箱安装</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悬挂、嵌入式(半周长) 0. 5m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仪表保护箱</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400*400*300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镀锌钢管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镀锌钢管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DN40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103</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超声波物位计物位开关</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超声波液位计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净水厂自控仪表</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工业交换机</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2光口6电口</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工作站</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操作员站</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工作站</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管理员站</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工作站操作系统</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系统服务器</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显示器</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摆放 ≤50"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电脑显示器</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24"</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专业工作站软件</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控制中心组态软件</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控制操作台</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494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19</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YJV-0.6/1-3*4</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606</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494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PLC控制系统</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auto"/>
                <w:sz w:val="22"/>
                <w:szCs w:val="22"/>
              </w:rPr>
            </w:pPr>
            <w:r>
              <w:rPr>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超声波物位计物位开关</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超声波液位计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24</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电磁流量计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DN300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28</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浊度分析仪</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30</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电导率分析仪</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pH分析仪</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流通式</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36</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余氯分析仪</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37</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DJYVP-0.5-10*1.5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850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41</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电缆</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DJYVP-4×1.0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280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42</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通讯光纤</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24芯</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214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43</w:t>
            </w: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2627</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9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合计</w:t>
            </w:r>
          </w:p>
        </w:tc>
        <w:tc>
          <w:tcPr>
            <w:tcW w:w="297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宋体" w:hAnsi="宋体" w:cs="宋体"/>
                <w:color w:val="auto"/>
                <w:sz w:val="22"/>
                <w:szCs w:val="22"/>
              </w:rPr>
            </w:pP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bl>
    <w:p>
      <w:pPr>
        <w:spacing w:line="420" w:lineRule="exact"/>
        <w:rPr>
          <w:rFonts w:hint="eastAsia" w:ascii="宋体" w:hAnsi="宋体"/>
          <w:b/>
          <w:color w:val="auto"/>
          <w:kern w:val="0"/>
          <w:sz w:val="24"/>
        </w:rPr>
      </w:pPr>
    </w:p>
    <w:p>
      <w:pPr>
        <w:spacing w:line="420" w:lineRule="exact"/>
        <w:rPr>
          <w:rFonts w:hint="eastAsia" w:ascii="宋体" w:hAnsi="宋体"/>
          <w:b/>
          <w:color w:val="auto"/>
          <w:kern w:val="0"/>
          <w:sz w:val="24"/>
        </w:rPr>
      </w:pPr>
      <w:r>
        <w:rPr>
          <w:rFonts w:hint="eastAsia" w:ascii="宋体" w:hAnsi="宋体"/>
          <w:b/>
          <w:color w:val="auto"/>
          <w:kern w:val="0"/>
          <w:sz w:val="24"/>
        </w:rPr>
        <w:t>国门水厂：</w:t>
      </w:r>
    </w:p>
    <w:tbl>
      <w:tblPr>
        <w:tblStyle w:val="23"/>
        <w:tblW w:w="8319" w:type="dxa"/>
        <w:tblInd w:w="98" w:type="dxa"/>
        <w:tblLayout w:type="fixed"/>
        <w:tblCellMar>
          <w:top w:w="0" w:type="dxa"/>
          <w:left w:w="108" w:type="dxa"/>
          <w:bottom w:w="0" w:type="dxa"/>
          <w:right w:w="108" w:type="dxa"/>
        </w:tblCellMar>
      </w:tblPr>
      <w:tblGrid>
        <w:gridCol w:w="1082"/>
        <w:gridCol w:w="1793"/>
        <w:gridCol w:w="3082"/>
        <w:gridCol w:w="656"/>
        <w:gridCol w:w="669"/>
        <w:gridCol w:w="1037"/>
      </w:tblGrid>
      <w:tr>
        <w:tblPrEx>
          <w:tblCellMar>
            <w:top w:w="0" w:type="dxa"/>
            <w:left w:w="108" w:type="dxa"/>
            <w:bottom w:w="0" w:type="dxa"/>
            <w:right w:w="108" w:type="dxa"/>
          </w:tblCellMar>
        </w:tblPrEx>
        <w:trPr>
          <w:trHeight w:val="510" w:hRule="atLeast"/>
        </w:trPr>
        <w:tc>
          <w:tcPr>
            <w:tcW w:w="831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40"/>
                <w:szCs w:val="40"/>
              </w:rPr>
            </w:pPr>
            <w:r>
              <w:rPr>
                <w:rFonts w:hint="eastAsia" w:ascii="宋体" w:hAnsi="宋体" w:cs="宋体"/>
                <w:color w:val="auto"/>
                <w:kern w:val="0"/>
                <w:sz w:val="40"/>
                <w:szCs w:val="40"/>
                <w:lang w:bidi="ar"/>
              </w:rPr>
              <w:t>工艺部分</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净水间</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序号</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设备名称</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型号</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单位</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数量</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备注</w:t>
            </w:r>
          </w:p>
        </w:tc>
      </w:tr>
      <w:tr>
        <w:tblPrEx>
          <w:tblCellMar>
            <w:top w:w="0" w:type="dxa"/>
            <w:left w:w="108" w:type="dxa"/>
            <w:bottom w:w="0" w:type="dxa"/>
            <w:right w:w="108" w:type="dxa"/>
          </w:tblCellMar>
        </w:tblPrEx>
        <w:trPr>
          <w:trHeight w:val="19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高效一体化净水设备</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eastAsia="宋体" w:cs="宋体"/>
                <w:color w:val="auto"/>
                <w:kern w:val="0"/>
                <w:sz w:val="22"/>
                <w:szCs w:val="22"/>
                <w:lang w:val="en-US" w:eastAsia="zh-CN" w:bidi="ar"/>
              </w:rPr>
              <w:t>20m³</w:t>
            </w:r>
            <w:r>
              <w:rPr>
                <w:rFonts w:hint="eastAsia" w:ascii="宋体" w:hAnsi="宋体" w:cs="宋体"/>
                <w:color w:val="auto"/>
                <w:kern w:val="0"/>
                <w:sz w:val="22"/>
                <w:szCs w:val="22"/>
                <w:lang w:bidi="ar"/>
              </w:rPr>
              <w:t>/h 设计总停留时间：60min。采用专用抗污染滤料。沉淀采用专用小网格斜板。主体钢板厚度8mm。配套PLC控制柜，16寸触摸屏，可以实现智能控制。并于精确加药系统联动。</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座</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精确加药系统</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WTS-AS35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PLC控制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污泥池</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座</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碳钢防腐</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污泥泵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Q=15m3/h；H=15m；N=1.5KW</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钢制三通</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DN150x50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米</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钢制三通</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DN150x150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加药间</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PAC加药箱体</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2m3</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配搅拌机、液位计等</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PAC投加泵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Q=100L/h H =20m,变频</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机械隔膜泵</w:t>
            </w:r>
          </w:p>
        </w:tc>
      </w:tr>
      <w:tr>
        <w:tblPrEx>
          <w:tblCellMar>
            <w:top w:w="0" w:type="dxa"/>
            <w:left w:w="108" w:type="dxa"/>
            <w:bottom w:w="0" w:type="dxa"/>
            <w:right w:w="108" w:type="dxa"/>
          </w:tblCellMar>
        </w:tblPrEx>
        <w:trPr>
          <w:trHeight w:val="5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活性炭加药箱</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2m3</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配搅拌机、液位计等</w:t>
            </w:r>
          </w:p>
        </w:tc>
      </w:tr>
      <w:tr>
        <w:tblPrEx>
          <w:tblCellMar>
            <w:top w:w="0" w:type="dxa"/>
            <w:left w:w="108" w:type="dxa"/>
            <w:bottom w:w="0" w:type="dxa"/>
            <w:right w:w="108" w:type="dxa"/>
          </w:tblCellMar>
        </w:tblPrEx>
        <w:trPr>
          <w:trHeight w:val="5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螺杆泵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Q=500L/h H =20m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螺杆泵，变频</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次氯酸钠发生器</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 xml:space="preserve">HCL-50 </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米</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钢制三通</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DN50x50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大口井</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潜水泵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Q=20m3/h；H=38m；N=5.5KW</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一用一冷备</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大小头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Dn65x150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硬质密封法兰式蝶阀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消声止回阀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Dn65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管道支架</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Dn65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片</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片</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auto"/>
                <w:sz w:val="22"/>
                <w:szCs w:val="22"/>
                <w:lang w:val="en-US" w:eastAsia="zh-CN"/>
              </w:rPr>
            </w:pPr>
            <w:r>
              <w:rPr>
                <w:rFonts w:hint="eastAsia" w:ascii="宋体" w:hAnsi="宋体" w:eastAsia="宋体" w:cs="宋体"/>
                <w:color w:val="auto"/>
                <w:kern w:val="0"/>
                <w:sz w:val="22"/>
                <w:szCs w:val="22"/>
                <w:lang w:val="en-US" w:eastAsia="zh-CN" w:bidi="ar"/>
              </w:rPr>
              <w:t>16</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钢制PN1.0</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焊接钢管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Dn159x4.5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auto"/>
                <w:sz w:val="22"/>
                <w:szCs w:val="22"/>
                <w:lang w:val="en-US" w:eastAsia="zh-CN"/>
              </w:rPr>
            </w:pPr>
            <w:r>
              <w:rPr>
                <w:rFonts w:hint="eastAsia" w:ascii="宋体" w:hAnsi="宋体" w:eastAsia="宋体" w:cs="宋体"/>
                <w:color w:val="auto"/>
                <w:kern w:val="0"/>
                <w:sz w:val="22"/>
                <w:szCs w:val="22"/>
                <w:lang w:val="en-US" w:eastAsia="zh-CN" w:bidi="ar"/>
              </w:rPr>
              <w:t>30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焊接钢管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Dn65x4.5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auto"/>
                <w:sz w:val="22"/>
                <w:szCs w:val="22"/>
                <w:lang w:val="en-US" w:eastAsia="zh-CN"/>
              </w:rPr>
            </w:pPr>
            <w:r>
              <w:rPr>
                <w:rFonts w:hint="eastAsia" w:ascii="宋体" w:hAnsi="宋体" w:eastAsia="宋体" w:cs="宋体"/>
                <w:color w:val="auto"/>
                <w:kern w:val="0"/>
                <w:sz w:val="22"/>
                <w:szCs w:val="22"/>
                <w:lang w:val="en-US" w:eastAsia="zh-CN" w:bidi="ar"/>
              </w:rPr>
              <w:t>32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爬梯</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副</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吊葫芦</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3T</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sz w:val="22"/>
                <w:szCs w:val="22"/>
                <w:lang w:eastAsia="zh-CN"/>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深井泵房</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52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潜水深井泵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Q=160m3/h;H=270~295m；N=220KW</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井深和水位由甲方提供，数据和设计院无关，供货范围包括电机、泵及扬水管、弯管及卡箍等配件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伸缩式蝶阀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可曲挠橡胶接头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止回阀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变径管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法兰盘</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法兰盘</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法兰盘</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排气阀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闸门</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钢制</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吊葫芦</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3T</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二次提升泵房</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仿宋"/>
                <w:color w:val="auto"/>
                <w:sz w:val="24"/>
                <w:lang w:bidi="ar"/>
              </w:rPr>
              <w:t>★</w:t>
            </w:r>
            <w:r>
              <w:rPr>
                <w:rFonts w:hint="eastAsia" w:ascii="宋体" w:hAnsi="宋体" w:cs="宋体"/>
                <w:color w:val="auto"/>
                <w:kern w:val="0"/>
                <w:sz w:val="22"/>
                <w:szCs w:val="22"/>
                <w:lang w:bidi="ar"/>
              </w:rPr>
              <w:t>卧式离心泵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color w:val="auto"/>
                <w:sz w:val="22"/>
                <w:szCs w:val="22"/>
                <w:lang w:val="en-US" w:eastAsia="zh-CN"/>
              </w:rPr>
            </w:pPr>
            <w:r>
              <w:rPr>
                <w:rFonts w:hint="eastAsia" w:ascii="宋体" w:hAnsi="宋体" w:cs="宋体"/>
                <w:color w:val="auto"/>
                <w:kern w:val="0"/>
                <w:sz w:val="22"/>
                <w:szCs w:val="22"/>
                <w:lang w:bidi="ar"/>
              </w:rPr>
              <w:t>Q=20m3/h,H=55m</w:t>
            </w:r>
            <w:r>
              <w:rPr>
                <w:rFonts w:hint="eastAsia" w:ascii="宋体" w:hAnsi="宋体" w:eastAsia="宋体" w:cs="宋体"/>
                <w:color w:val="auto"/>
                <w:kern w:val="0"/>
                <w:sz w:val="22"/>
                <w:szCs w:val="22"/>
                <w:lang w:eastAsia="zh-CN" w:bidi="ar"/>
              </w:rPr>
              <w:t>、</w:t>
            </w:r>
            <w:r>
              <w:rPr>
                <w:rFonts w:hint="eastAsia" w:ascii="宋体" w:hAnsi="宋体" w:eastAsia="宋体" w:cs="宋体"/>
                <w:color w:val="auto"/>
                <w:kern w:val="0"/>
                <w:sz w:val="22"/>
                <w:szCs w:val="22"/>
                <w:lang w:val="en-US" w:eastAsia="zh-CN" w:bidi="ar"/>
              </w:rPr>
              <w:t>P=11KW</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一用一备</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可曲挠橡胶接头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止回阀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84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法兰式伸缩蝶阀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手、电两用，自带法兰盘</w:t>
            </w:r>
          </w:p>
        </w:tc>
      </w:tr>
      <w:tr>
        <w:tblPrEx>
          <w:tblCellMar>
            <w:top w:w="0" w:type="dxa"/>
            <w:left w:w="108" w:type="dxa"/>
            <w:bottom w:w="0" w:type="dxa"/>
            <w:right w:w="108" w:type="dxa"/>
          </w:tblCellMar>
        </w:tblPrEx>
        <w:trPr>
          <w:trHeight w:val="5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等径三通</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DN200X200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偏心异径管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DN200X100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同心异径管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DN150X100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6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长度可现场调节</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可曲挠橡胶接头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多功能止回阀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84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法兰式伸缩蝶阀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手、电两用，自带法兰盘</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电接点压力表</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等径三通</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DN150X150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堵头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90°弯头</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吸水喇叭</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2"/>
                <w:szCs w:val="22"/>
                <w:lang w:bidi="ar"/>
              </w:rPr>
            </w:pP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kern w:val="0"/>
                <w:sz w:val="22"/>
                <w:szCs w:val="22"/>
                <w:lang w:val="en-US" w:eastAsia="zh-CN" w:bidi="ar"/>
              </w:rPr>
            </w:pPr>
            <w:r>
              <w:rPr>
                <w:rFonts w:hint="eastAsia" w:ascii="宋体" w:hAnsi="宋体" w:eastAsia="宋体" w:cs="宋体"/>
                <w:color w:val="auto"/>
                <w:kern w:val="0"/>
                <w:sz w:val="22"/>
                <w:szCs w:val="22"/>
                <w:lang w:val="en-US" w:eastAsia="zh-CN" w:bidi="ar"/>
              </w:rPr>
              <w:t>污泥泵</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kern w:val="0"/>
                <w:sz w:val="22"/>
                <w:szCs w:val="22"/>
                <w:lang w:bidi="ar"/>
              </w:rPr>
            </w:pPr>
            <w:r>
              <w:rPr>
                <w:rFonts w:hint="eastAsia" w:ascii="宋体" w:hAnsi="宋体" w:cs="宋体"/>
                <w:color w:val="auto"/>
                <w:kern w:val="0"/>
                <w:sz w:val="22"/>
                <w:szCs w:val="22"/>
                <w:lang w:bidi="ar"/>
              </w:rPr>
              <w:t>Q=</w:t>
            </w:r>
            <w:r>
              <w:rPr>
                <w:rFonts w:hint="eastAsia" w:ascii="宋体" w:hAnsi="宋体" w:eastAsia="宋体" w:cs="宋体"/>
                <w:color w:val="auto"/>
                <w:kern w:val="0"/>
                <w:sz w:val="22"/>
                <w:szCs w:val="22"/>
                <w:lang w:val="en-US" w:eastAsia="zh-CN" w:bidi="ar"/>
              </w:rPr>
              <w:t>65m³</w:t>
            </w:r>
            <w:r>
              <w:rPr>
                <w:rFonts w:hint="eastAsia" w:ascii="宋体" w:hAnsi="宋体" w:cs="宋体"/>
                <w:color w:val="auto"/>
                <w:kern w:val="0"/>
                <w:sz w:val="22"/>
                <w:szCs w:val="22"/>
                <w:lang w:bidi="ar"/>
              </w:rPr>
              <w:t>/h,H=</w:t>
            </w:r>
            <w:r>
              <w:rPr>
                <w:rFonts w:hint="eastAsia" w:ascii="宋体" w:hAnsi="宋体" w:eastAsia="宋体" w:cs="宋体"/>
                <w:color w:val="auto"/>
                <w:kern w:val="0"/>
                <w:sz w:val="22"/>
                <w:szCs w:val="22"/>
                <w:lang w:val="en-US" w:eastAsia="zh-CN" w:bidi="ar"/>
              </w:rPr>
              <w:t>17</w:t>
            </w:r>
            <w:r>
              <w:rPr>
                <w:rFonts w:hint="eastAsia" w:ascii="宋体" w:hAnsi="宋体" w:cs="宋体"/>
                <w:color w:val="auto"/>
                <w:kern w:val="0"/>
                <w:sz w:val="22"/>
                <w:szCs w:val="22"/>
                <w:lang w:bidi="ar"/>
              </w:rPr>
              <w:t>m</w:t>
            </w:r>
            <w:r>
              <w:rPr>
                <w:rFonts w:hint="eastAsia" w:ascii="宋体" w:hAnsi="宋体" w:eastAsia="宋体" w:cs="宋体"/>
                <w:color w:val="auto"/>
                <w:kern w:val="0"/>
                <w:sz w:val="22"/>
                <w:szCs w:val="22"/>
                <w:lang w:eastAsia="zh-CN" w:bidi="ar"/>
              </w:rPr>
              <w:t>、</w:t>
            </w:r>
            <w:r>
              <w:rPr>
                <w:rFonts w:hint="eastAsia" w:ascii="宋体" w:hAnsi="宋体" w:eastAsia="宋体" w:cs="宋体"/>
                <w:color w:val="auto"/>
                <w:kern w:val="0"/>
                <w:sz w:val="22"/>
                <w:szCs w:val="22"/>
                <w:lang w:val="en-US" w:eastAsia="zh-CN" w:bidi="ar"/>
              </w:rPr>
              <w:t>P=5.5KW</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kern w:val="0"/>
                <w:sz w:val="22"/>
                <w:szCs w:val="22"/>
                <w:lang w:val="en-US" w:eastAsia="zh-CN" w:bidi="ar"/>
              </w:rPr>
            </w:pPr>
            <w:r>
              <w:rPr>
                <w:rFonts w:hint="eastAsia" w:ascii="宋体" w:hAnsi="宋体" w:eastAsia="宋体" w:cs="宋体"/>
                <w:color w:val="auto"/>
                <w:kern w:val="0"/>
                <w:sz w:val="22"/>
                <w:szCs w:val="22"/>
                <w:lang w:val="en-US" w:eastAsia="zh-CN"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color w:val="auto"/>
                <w:kern w:val="0"/>
                <w:sz w:val="22"/>
                <w:szCs w:val="22"/>
                <w:lang w:val="en-US" w:eastAsia="zh-CN" w:bidi="ar"/>
              </w:rPr>
            </w:pPr>
            <w:r>
              <w:rPr>
                <w:rFonts w:hint="eastAsia" w:ascii="宋体" w:hAnsi="宋体" w:eastAsia="宋体" w:cs="宋体"/>
                <w:color w:val="auto"/>
                <w:kern w:val="0"/>
                <w:sz w:val="22"/>
                <w:szCs w:val="22"/>
                <w:lang w:val="en-US" w:eastAsia="zh-CN"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工艺厂区管线</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D159*6.5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450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给水室外钢管焊接管件</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D215*6.5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59</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D108*4.0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152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伸缩蝶阀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Dn159x4.5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伸缩蝶阀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电磁流量计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Dn159</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止回阀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伸缩蝶阀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球阀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DN65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球阀</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DN32</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个</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10" w:hRule="atLeast"/>
        </w:trPr>
        <w:tc>
          <w:tcPr>
            <w:tcW w:w="831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40"/>
                <w:szCs w:val="40"/>
              </w:rPr>
            </w:pPr>
            <w:r>
              <w:rPr>
                <w:rFonts w:hint="eastAsia" w:ascii="宋体" w:hAnsi="宋体" w:cs="宋体"/>
                <w:color w:val="auto"/>
                <w:kern w:val="0"/>
                <w:sz w:val="40"/>
                <w:szCs w:val="40"/>
                <w:lang w:bidi="ar"/>
              </w:rPr>
              <w:t>电气部分</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低压动力配电柜</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配电箱</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控制箱</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YJV-0.6/1-4*80+1*40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YJV-0.6/1-5*10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430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YJV-0.6/1-5*6</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280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824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DN32</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DN40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DN100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510" w:hRule="atLeast"/>
        </w:trPr>
        <w:tc>
          <w:tcPr>
            <w:tcW w:w="8319"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40"/>
                <w:szCs w:val="40"/>
              </w:rPr>
            </w:pPr>
            <w:r>
              <w:rPr>
                <w:rFonts w:hint="eastAsia" w:ascii="宋体" w:hAnsi="宋体" w:cs="宋体"/>
                <w:color w:val="auto"/>
                <w:kern w:val="0"/>
                <w:sz w:val="40"/>
                <w:szCs w:val="40"/>
                <w:lang w:bidi="ar"/>
              </w:rPr>
              <w:t>自控仪表</w:t>
            </w: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大口径自控仪表</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PLC控制柜</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2200*800*800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KVV-0.5-7* 1.5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KVVP-0.5-5*1.5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YJV-0.6/1-3×20.5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DJYVP-3×1.0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通讯光纤</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8芯</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612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成套配电箱安装</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悬挂、嵌入式(半周长) 0. 5m</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仪表保护箱</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400*400*300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镀锌钢管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镀锌钢管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DN40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超声波物位计物位开关</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超声波液位计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b/>
                <w:bCs/>
                <w:color w:val="auto"/>
                <w:kern w:val="0"/>
                <w:sz w:val="22"/>
                <w:szCs w:val="22"/>
                <w:lang w:bidi="ar"/>
              </w:rPr>
              <w:t>净水厂自控仪表</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工业交换机</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2光口6电口</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工作站</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操作员站</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工作站</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5</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管理员站</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工作站操作系统</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系统服务器</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显示器</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摆放 ≤50"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电脑显示器</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24"</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专业工作站软件</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控制中心组态软件</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控制操作台</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494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19</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电力电缆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YJV-0.6/1-3*4</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606</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494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PLC控制系统</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color w:val="auto"/>
                <w:sz w:val="22"/>
                <w:szCs w:val="22"/>
              </w:rPr>
            </w:pPr>
            <w:r>
              <w:rPr>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超声波物位计物位开关</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超声波液位计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台</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24</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电磁流量计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DN300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28</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浊度分析仪</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1</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30</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电导率分析仪</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pH分析仪</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流通式</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36</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余氯分析仪</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套</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37</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控制电缆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DJYVP-0.5-10*1.5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850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41</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电缆</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DJYVP-4×1.0</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280</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42</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通讯光纤</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24芯</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214</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43</w:t>
            </w: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钢管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DN25</w:t>
            </w: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m</w:t>
            </w: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2627</w:t>
            </w: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r>
        <w:tblPrEx>
          <w:tblCellMar>
            <w:top w:w="0" w:type="dxa"/>
            <w:left w:w="108" w:type="dxa"/>
            <w:bottom w:w="0" w:type="dxa"/>
            <w:right w:w="108" w:type="dxa"/>
          </w:tblCellMar>
        </w:tblPrEx>
        <w:trPr>
          <w:trHeight w:val="280" w:hRule="atLeast"/>
        </w:trPr>
        <w:tc>
          <w:tcPr>
            <w:tcW w:w="1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79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cs="宋体"/>
                <w:color w:val="auto"/>
                <w:sz w:val="22"/>
                <w:szCs w:val="22"/>
              </w:rPr>
            </w:pPr>
            <w:r>
              <w:rPr>
                <w:rFonts w:hint="eastAsia" w:ascii="宋体" w:hAnsi="宋体" w:cs="宋体"/>
                <w:color w:val="auto"/>
                <w:kern w:val="0"/>
                <w:sz w:val="22"/>
                <w:szCs w:val="22"/>
                <w:lang w:bidi="ar"/>
              </w:rPr>
              <w:t>合计</w:t>
            </w:r>
          </w:p>
        </w:tc>
        <w:tc>
          <w:tcPr>
            <w:tcW w:w="30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66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c>
          <w:tcPr>
            <w:tcW w:w="103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cs="宋体"/>
                <w:color w:val="auto"/>
                <w:sz w:val="22"/>
                <w:szCs w:val="22"/>
              </w:rPr>
            </w:pPr>
          </w:p>
        </w:tc>
      </w:tr>
    </w:tbl>
    <w:p>
      <w:pPr>
        <w:rPr>
          <w:rFonts w:hint="eastAsia"/>
          <w:color w:val="auto"/>
        </w:rPr>
      </w:pPr>
    </w:p>
    <w:p>
      <w:pPr>
        <w:rPr>
          <w:color w:val="auto"/>
        </w:rPr>
      </w:pPr>
    </w:p>
    <w:p>
      <w:pPr>
        <w:pStyle w:val="10"/>
        <w:keepNext w:val="0"/>
        <w:keepLines w:val="0"/>
        <w:pageBreakBefore w:val="0"/>
        <w:widowControl w:val="0"/>
        <w:numPr>
          <w:ilvl w:val="0"/>
          <w:numId w:val="0"/>
        </w:numPr>
        <w:kinsoku/>
        <w:wordWrap/>
        <w:overflowPunct/>
        <w:topLinePunct w:val="0"/>
        <w:bidi w:val="0"/>
        <w:snapToGrid/>
        <w:spacing w:line="400" w:lineRule="exact"/>
        <w:ind w:firstLine="426" w:firstLineChars="200"/>
        <w:textAlignment w:val="auto"/>
        <w:rPr>
          <w:rFonts w:hint="eastAsia" w:ascii="Times New Roman" w:hAnsi="宋体" w:eastAsia="宋体" w:cs="Times New Roman"/>
          <w:b/>
          <w:bCs/>
          <w:color w:val="auto"/>
          <w:kern w:val="2"/>
          <w:sz w:val="21"/>
          <w:szCs w:val="20"/>
          <w:lang w:val="en-US" w:eastAsia="zh-CN" w:bidi="ar-SA"/>
        </w:rPr>
      </w:pPr>
    </w:p>
    <w:p>
      <w:pPr>
        <w:pStyle w:val="10"/>
        <w:keepNext w:val="0"/>
        <w:keepLines w:val="0"/>
        <w:pageBreakBefore w:val="0"/>
        <w:widowControl w:val="0"/>
        <w:numPr>
          <w:ilvl w:val="0"/>
          <w:numId w:val="0"/>
        </w:numPr>
        <w:kinsoku/>
        <w:wordWrap/>
        <w:overflowPunct/>
        <w:topLinePunct w:val="0"/>
        <w:bidi w:val="0"/>
        <w:snapToGrid/>
        <w:spacing w:line="400" w:lineRule="exact"/>
        <w:ind w:firstLine="426" w:firstLineChars="200"/>
        <w:textAlignment w:val="auto"/>
        <w:rPr>
          <w:rFonts w:hint="default" w:ascii="Times New Roman" w:hAnsi="宋体" w:eastAsia="宋体" w:cs="Times New Roman"/>
          <w:b/>
          <w:bCs/>
          <w:color w:val="auto"/>
          <w:kern w:val="2"/>
          <w:sz w:val="21"/>
          <w:szCs w:val="20"/>
          <w:lang w:val="en-US" w:eastAsia="zh-CN" w:bidi="ar-SA"/>
        </w:rPr>
      </w:pPr>
      <w:r>
        <w:rPr>
          <w:rFonts w:hint="eastAsia" w:ascii="Times New Roman" w:hAnsi="宋体" w:eastAsia="宋体" w:cs="Times New Roman"/>
          <w:b/>
          <w:bCs/>
          <w:color w:val="auto"/>
          <w:kern w:val="2"/>
          <w:sz w:val="21"/>
          <w:szCs w:val="20"/>
          <w:lang w:val="en-US" w:eastAsia="zh-CN" w:bidi="ar-SA"/>
        </w:rPr>
        <w:t>备注：</w:t>
      </w:r>
    </w:p>
    <w:p>
      <w:pPr>
        <w:pStyle w:val="22"/>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200" w:right="0" w:rightChars="0"/>
        <w:textAlignment w:val="auto"/>
        <w:rPr>
          <w:rFonts w:hint="default" w:ascii="宋体" w:hAnsi="宋体" w:eastAsia="宋体" w:cs="仿宋_GB2312"/>
          <w:b/>
          <w:color w:val="auto"/>
          <w:kern w:val="0"/>
          <w:sz w:val="21"/>
          <w:szCs w:val="22"/>
          <w:lang w:val="en-US" w:eastAsia="zh-CN" w:bidi="ar-SA"/>
        </w:rPr>
      </w:pPr>
      <w:r>
        <w:rPr>
          <w:rFonts w:hint="eastAsia" w:ascii="宋体" w:hAnsi="宋体" w:eastAsia="宋体" w:cs="仿宋_GB2312"/>
          <w:b/>
          <w:color w:val="auto"/>
          <w:kern w:val="0"/>
          <w:sz w:val="21"/>
          <w:szCs w:val="22"/>
          <w:lang w:val="en-US" w:eastAsia="zh-CN" w:bidi="ar-SA"/>
        </w:rPr>
        <w:t>1.投标企业</w:t>
      </w:r>
      <w:r>
        <w:rPr>
          <w:rFonts w:hint="default" w:ascii="宋体" w:hAnsi="宋体" w:eastAsia="宋体" w:cs="仿宋_GB2312"/>
          <w:b/>
          <w:color w:val="auto"/>
          <w:kern w:val="0"/>
          <w:sz w:val="21"/>
          <w:szCs w:val="22"/>
          <w:lang w:val="en-US" w:eastAsia="zh-CN" w:bidi="ar-SA"/>
        </w:rPr>
        <w:t>报价必须考虑事宜如下：从采购、运输</w:t>
      </w:r>
      <w:r>
        <w:rPr>
          <w:rFonts w:hint="eastAsia" w:ascii="宋体" w:hAnsi="宋体" w:eastAsia="宋体" w:cs="仿宋_GB2312"/>
          <w:b/>
          <w:color w:val="auto"/>
          <w:kern w:val="0"/>
          <w:sz w:val="21"/>
          <w:szCs w:val="22"/>
          <w:lang w:val="en-US" w:eastAsia="zh-CN" w:bidi="ar-SA"/>
        </w:rPr>
        <w:t>、税金</w:t>
      </w:r>
      <w:r>
        <w:rPr>
          <w:rFonts w:hint="default" w:ascii="宋体" w:hAnsi="宋体" w:eastAsia="宋体" w:cs="仿宋_GB2312"/>
          <w:b/>
          <w:color w:val="auto"/>
          <w:kern w:val="0"/>
          <w:sz w:val="21"/>
          <w:szCs w:val="22"/>
          <w:lang w:val="en-US" w:eastAsia="zh-CN" w:bidi="ar-SA"/>
        </w:rPr>
        <w:t>、</w:t>
      </w:r>
      <w:r>
        <w:rPr>
          <w:rFonts w:hint="eastAsia" w:ascii="宋体" w:hAnsi="宋体" w:eastAsia="宋体" w:cs="仿宋_GB2312"/>
          <w:b/>
          <w:color w:val="auto"/>
          <w:kern w:val="0"/>
          <w:sz w:val="21"/>
          <w:szCs w:val="22"/>
          <w:lang w:val="en-US" w:eastAsia="zh-CN" w:bidi="ar-SA"/>
        </w:rPr>
        <w:t>安装维修、</w:t>
      </w:r>
      <w:r>
        <w:rPr>
          <w:rFonts w:hint="default" w:ascii="宋体" w:hAnsi="宋体" w:eastAsia="宋体" w:cs="仿宋_GB2312"/>
          <w:b/>
          <w:color w:val="auto"/>
          <w:kern w:val="0"/>
          <w:sz w:val="21"/>
          <w:szCs w:val="22"/>
          <w:lang w:val="en-US" w:eastAsia="zh-CN" w:bidi="ar-SA"/>
        </w:rPr>
        <w:t>卸货至指定地点、验收合格、交付使用及售后服务等的人民币报价。</w:t>
      </w:r>
      <w:r>
        <w:rPr>
          <w:rFonts w:hint="eastAsia" w:ascii="宋体" w:hAnsi="宋体" w:eastAsia="宋体" w:cs="仿宋_GB2312"/>
          <w:b/>
          <w:color w:val="auto"/>
          <w:kern w:val="0"/>
          <w:sz w:val="21"/>
          <w:szCs w:val="22"/>
          <w:lang w:val="en-US" w:eastAsia="zh-CN" w:bidi="ar-SA"/>
        </w:rPr>
        <w:t>报价</w:t>
      </w:r>
      <w:r>
        <w:rPr>
          <w:rFonts w:hint="default" w:ascii="宋体" w:hAnsi="宋体" w:eastAsia="宋体" w:cs="仿宋_GB2312"/>
          <w:b/>
          <w:color w:val="auto"/>
          <w:kern w:val="0"/>
          <w:sz w:val="21"/>
          <w:szCs w:val="22"/>
          <w:lang w:val="en-US" w:eastAsia="zh-CN" w:bidi="ar-SA"/>
        </w:rPr>
        <w:t>包括了货物</w:t>
      </w:r>
      <w:r>
        <w:rPr>
          <w:rFonts w:hint="eastAsia" w:ascii="宋体" w:hAnsi="宋体" w:eastAsia="宋体" w:cs="仿宋_GB2312"/>
          <w:b/>
          <w:color w:val="auto"/>
          <w:kern w:val="0"/>
          <w:sz w:val="21"/>
          <w:szCs w:val="22"/>
          <w:lang w:val="en-US" w:eastAsia="zh-CN" w:bidi="ar-SA"/>
        </w:rPr>
        <w:t>本身价格</w:t>
      </w:r>
      <w:r>
        <w:rPr>
          <w:rFonts w:hint="default" w:ascii="宋体" w:hAnsi="宋体" w:eastAsia="宋体" w:cs="仿宋_GB2312"/>
          <w:b/>
          <w:color w:val="auto"/>
          <w:kern w:val="0"/>
          <w:sz w:val="21"/>
          <w:szCs w:val="22"/>
          <w:lang w:val="en-US" w:eastAsia="zh-CN" w:bidi="ar-SA"/>
        </w:rPr>
        <w:t>、运输</w:t>
      </w:r>
      <w:r>
        <w:rPr>
          <w:rFonts w:hint="eastAsia" w:ascii="宋体" w:hAnsi="宋体" w:eastAsia="宋体" w:cs="仿宋_GB2312"/>
          <w:b/>
          <w:color w:val="auto"/>
          <w:kern w:val="0"/>
          <w:sz w:val="21"/>
          <w:szCs w:val="22"/>
          <w:lang w:val="en-US" w:eastAsia="zh-CN" w:bidi="ar-SA"/>
        </w:rPr>
        <w:t>税金费</w:t>
      </w:r>
      <w:r>
        <w:rPr>
          <w:rFonts w:hint="default" w:ascii="宋体" w:hAnsi="宋体" w:eastAsia="宋体" w:cs="仿宋_GB2312"/>
          <w:b/>
          <w:color w:val="auto"/>
          <w:kern w:val="0"/>
          <w:sz w:val="21"/>
          <w:szCs w:val="22"/>
          <w:lang w:val="en-US" w:eastAsia="zh-CN" w:bidi="ar-SA"/>
        </w:rPr>
        <w:t>、</w:t>
      </w:r>
      <w:r>
        <w:rPr>
          <w:rFonts w:hint="eastAsia" w:ascii="宋体" w:hAnsi="宋体" w:eastAsia="宋体" w:cs="仿宋_GB2312"/>
          <w:b/>
          <w:color w:val="auto"/>
          <w:kern w:val="0"/>
          <w:sz w:val="21"/>
          <w:szCs w:val="22"/>
          <w:lang w:val="en-US" w:eastAsia="zh-CN" w:bidi="ar-SA"/>
        </w:rPr>
        <w:t>安装维修费</w:t>
      </w:r>
      <w:r>
        <w:rPr>
          <w:rFonts w:hint="default" w:ascii="宋体" w:hAnsi="宋体" w:eastAsia="宋体" w:cs="仿宋_GB2312"/>
          <w:b/>
          <w:color w:val="auto"/>
          <w:kern w:val="0"/>
          <w:sz w:val="21"/>
          <w:szCs w:val="22"/>
          <w:lang w:val="en-US" w:eastAsia="zh-CN" w:bidi="ar-SA"/>
        </w:rPr>
        <w:t>、现场检验试验</w:t>
      </w:r>
      <w:r>
        <w:rPr>
          <w:rFonts w:hint="eastAsia" w:ascii="宋体" w:hAnsi="宋体" w:eastAsia="宋体" w:cs="仿宋_GB2312"/>
          <w:b/>
          <w:color w:val="auto"/>
          <w:kern w:val="0"/>
          <w:sz w:val="21"/>
          <w:szCs w:val="22"/>
          <w:lang w:val="en-US" w:eastAsia="zh-CN" w:bidi="ar-SA"/>
        </w:rPr>
        <w:t>费、</w:t>
      </w:r>
      <w:r>
        <w:rPr>
          <w:rFonts w:hint="default" w:ascii="宋体" w:hAnsi="宋体" w:eastAsia="宋体" w:cs="仿宋_GB2312"/>
          <w:b/>
          <w:color w:val="auto"/>
          <w:kern w:val="0"/>
          <w:sz w:val="21"/>
          <w:szCs w:val="22"/>
          <w:lang w:val="en-US" w:eastAsia="zh-CN" w:bidi="ar-SA"/>
        </w:rPr>
        <w:t>交付使用及售后服务</w:t>
      </w:r>
      <w:r>
        <w:rPr>
          <w:rFonts w:hint="eastAsia" w:ascii="宋体" w:hAnsi="宋体" w:eastAsia="宋体" w:cs="仿宋_GB2312"/>
          <w:b/>
          <w:color w:val="auto"/>
          <w:kern w:val="0"/>
          <w:sz w:val="21"/>
          <w:szCs w:val="22"/>
          <w:lang w:val="en-US" w:eastAsia="zh-CN" w:bidi="ar-SA"/>
        </w:rPr>
        <w:t>费、</w:t>
      </w:r>
      <w:r>
        <w:rPr>
          <w:rFonts w:hint="default" w:ascii="宋体" w:hAnsi="宋体" w:eastAsia="宋体" w:cs="仿宋_GB2312"/>
          <w:b/>
          <w:color w:val="auto"/>
          <w:kern w:val="0"/>
          <w:sz w:val="21"/>
          <w:szCs w:val="22"/>
          <w:lang w:val="en-US" w:eastAsia="zh-CN" w:bidi="ar-SA"/>
        </w:rPr>
        <w:t>产品对接产生的费用</w:t>
      </w:r>
      <w:r>
        <w:rPr>
          <w:rFonts w:hint="eastAsia" w:ascii="宋体" w:hAnsi="宋体" w:eastAsia="宋体" w:cs="仿宋_GB2312"/>
          <w:b/>
          <w:color w:val="auto"/>
          <w:kern w:val="0"/>
          <w:sz w:val="21"/>
          <w:szCs w:val="22"/>
          <w:lang w:val="en-US" w:eastAsia="zh-CN" w:bidi="ar-SA"/>
        </w:rPr>
        <w:t>、软件培训运维和相关服务等</w:t>
      </w:r>
      <w:r>
        <w:rPr>
          <w:rFonts w:hint="default" w:ascii="宋体" w:hAnsi="宋体" w:eastAsia="宋体" w:cs="仿宋_GB2312"/>
          <w:b/>
          <w:color w:val="auto"/>
          <w:kern w:val="0"/>
          <w:sz w:val="21"/>
          <w:szCs w:val="22"/>
          <w:lang w:val="en-US" w:eastAsia="zh-CN" w:bidi="ar-SA"/>
        </w:rPr>
        <w:t>等，因质量问题引起的更换、技术指导和培训、成品保护、投标人的利润、税金、</w:t>
      </w:r>
      <w:r>
        <w:rPr>
          <w:rFonts w:hint="eastAsia" w:ascii="宋体" w:hAnsi="宋体" w:eastAsia="宋体" w:cs="仿宋_GB2312"/>
          <w:b/>
          <w:color w:val="auto"/>
          <w:kern w:val="0"/>
          <w:sz w:val="21"/>
          <w:szCs w:val="22"/>
          <w:lang w:val="en-US" w:eastAsia="zh-CN" w:bidi="ar-SA"/>
        </w:rPr>
        <w:t>产品无法对接、</w:t>
      </w:r>
      <w:r>
        <w:rPr>
          <w:rFonts w:hint="default" w:ascii="宋体" w:hAnsi="宋体" w:eastAsia="宋体" w:cs="仿宋_GB2312"/>
          <w:b/>
          <w:color w:val="auto"/>
          <w:kern w:val="0"/>
          <w:sz w:val="21"/>
          <w:szCs w:val="22"/>
          <w:lang w:val="en-US" w:eastAsia="zh-CN" w:bidi="ar-SA"/>
        </w:rPr>
        <w:t>政策性文件的规定以及包括原材料涨价等合同明示或暗示的所有一切风险、责任和义务的费用</w:t>
      </w:r>
      <w:r>
        <w:rPr>
          <w:rFonts w:hint="eastAsia" w:ascii="宋体" w:hAnsi="宋体" w:eastAsia="宋体" w:cs="仿宋_GB2312"/>
          <w:b/>
          <w:color w:val="auto"/>
          <w:kern w:val="0"/>
          <w:sz w:val="21"/>
          <w:szCs w:val="22"/>
          <w:lang w:val="en-US" w:eastAsia="zh-CN" w:bidi="ar-SA"/>
        </w:rPr>
        <w:t>，</w:t>
      </w:r>
      <w:r>
        <w:rPr>
          <w:rFonts w:hint="default" w:ascii="宋体" w:hAnsi="宋体" w:eastAsia="宋体" w:cs="仿宋_GB2312"/>
          <w:b/>
          <w:color w:val="auto"/>
          <w:kern w:val="0"/>
          <w:sz w:val="21"/>
          <w:szCs w:val="22"/>
          <w:lang w:val="en-US" w:eastAsia="zh-CN" w:bidi="ar-SA"/>
        </w:rPr>
        <w:t>本次报价</w:t>
      </w:r>
      <w:r>
        <w:rPr>
          <w:rFonts w:hint="eastAsia" w:ascii="宋体" w:hAnsi="宋体" w:eastAsia="宋体" w:cs="仿宋_GB2312"/>
          <w:b/>
          <w:color w:val="auto"/>
          <w:kern w:val="0"/>
          <w:sz w:val="21"/>
          <w:szCs w:val="22"/>
          <w:lang w:val="en-US" w:eastAsia="zh-CN" w:bidi="ar-SA"/>
        </w:rPr>
        <w:t>投标企业</w:t>
      </w:r>
      <w:r>
        <w:rPr>
          <w:rFonts w:hint="default" w:ascii="宋体" w:hAnsi="宋体" w:eastAsia="宋体" w:cs="仿宋_GB2312"/>
          <w:b/>
          <w:color w:val="auto"/>
          <w:kern w:val="0"/>
          <w:sz w:val="21"/>
          <w:szCs w:val="22"/>
          <w:lang w:val="en-US" w:eastAsia="zh-CN" w:bidi="ar-SA"/>
        </w:rPr>
        <w:t>必须考虑</w:t>
      </w:r>
      <w:r>
        <w:rPr>
          <w:rFonts w:hint="eastAsia" w:ascii="宋体" w:hAnsi="宋体" w:eastAsia="宋体" w:cs="仿宋_GB2312"/>
          <w:b/>
          <w:color w:val="auto"/>
          <w:kern w:val="0"/>
          <w:sz w:val="21"/>
          <w:szCs w:val="22"/>
          <w:lang w:val="en-US" w:eastAsia="zh-CN" w:bidi="ar-SA"/>
        </w:rPr>
        <w:t>清楚一切费用，一旦中标不增加任何费用</w:t>
      </w:r>
      <w:r>
        <w:rPr>
          <w:rFonts w:hint="default" w:ascii="宋体" w:hAnsi="宋体" w:eastAsia="宋体" w:cs="仿宋_GB2312"/>
          <w:b/>
          <w:color w:val="auto"/>
          <w:kern w:val="0"/>
          <w:sz w:val="21"/>
          <w:szCs w:val="22"/>
          <w:lang w:val="en-US" w:eastAsia="zh-CN" w:bidi="ar-SA"/>
        </w:rPr>
        <w:t>。</w:t>
      </w:r>
    </w:p>
    <w:p>
      <w:pPr>
        <w:pStyle w:val="22"/>
        <w:keepNext w:val="0"/>
        <w:keepLines w:val="0"/>
        <w:pageBreakBefore w:val="0"/>
        <w:widowControl w:val="0"/>
        <w:kinsoku/>
        <w:wordWrap/>
        <w:overflowPunct/>
        <w:topLinePunct w:val="0"/>
        <w:autoSpaceDE/>
        <w:autoSpaceDN/>
        <w:bidi w:val="0"/>
        <w:adjustRightInd/>
        <w:snapToGrid/>
        <w:spacing w:line="400" w:lineRule="exact"/>
        <w:ind w:left="0" w:leftChars="0" w:firstLine="486" w:firstLineChars="200"/>
        <w:textAlignment w:val="auto"/>
        <w:rPr>
          <w:rFonts w:hint="eastAsia" w:ascii="宋体" w:hAnsi="宋体" w:eastAsia="宋体" w:cs="仿宋_GB2312"/>
          <w:b/>
          <w:color w:val="auto"/>
          <w:kern w:val="0"/>
          <w:sz w:val="21"/>
          <w:szCs w:val="22"/>
          <w:lang w:val="en-US" w:eastAsia="zh-CN" w:bidi="ar-SA"/>
        </w:rPr>
      </w:pPr>
      <w:r>
        <w:rPr>
          <w:rFonts w:hint="eastAsia" w:ascii="宋体" w:hAnsi="宋体" w:eastAsia="宋体" w:cs="仿宋_GB2312"/>
          <w:b/>
          <w:color w:val="auto"/>
          <w:kern w:val="0"/>
          <w:sz w:val="21"/>
          <w:szCs w:val="22"/>
          <w:lang w:val="en-US" w:eastAsia="zh-CN" w:bidi="ar-SA"/>
        </w:rPr>
        <w:t>2.</w:t>
      </w:r>
      <w:r>
        <w:rPr>
          <w:rFonts w:hint="default" w:ascii="宋体" w:hAnsi="宋体" w:eastAsia="宋体" w:cs="仿宋_GB2312"/>
          <w:b/>
          <w:color w:val="auto"/>
          <w:kern w:val="0"/>
          <w:sz w:val="21"/>
          <w:szCs w:val="22"/>
          <w:lang w:val="en-US" w:eastAsia="zh-CN" w:bidi="ar-SA"/>
        </w:rPr>
        <w:t>质量标准</w:t>
      </w:r>
      <w:r>
        <w:rPr>
          <w:rFonts w:hint="eastAsia" w:ascii="宋体" w:hAnsi="宋体" w:eastAsia="宋体" w:cs="仿宋_GB2312"/>
          <w:b/>
          <w:color w:val="auto"/>
          <w:kern w:val="0"/>
          <w:sz w:val="21"/>
          <w:szCs w:val="22"/>
          <w:lang w:val="en-US" w:eastAsia="zh-CN" w:bidi="ar-SA"/>
        </w:rPr>
        <w:t>：货物的技术指标作为交货验收时的依据（采购人按照所投产品的技术规格及商务要求验收货物，如投标人实际应标的标准高于国家标准及招标文件中的要求，则按投标人应标标准验收）</w:t>
      </w:r>
    </w:p>
    <w:p>
      <w:pPr>
        <w:pStyle w:val="22"/>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486" w:firstLineChars="200"/>
        <w:textAlignment w:val="auto"/>
        <w:rPr>
          <w:rFonts w:hint="eastAsia" w:ascii="宋体" w:hAnsi="宋体" w:eastAsia="宋体" w:cs="仿宋_GB2312"/>
          <w:b/>
          <w:color w:val="auto"/>
          <w:kern w:val="0"/>
          <w:sz w:val="21"/>
          <w:szCs w:val="22"/>
          <w:lang w:val="en-US" w:eastAsia="zh-CN" w:bidi="ar-SA"/>
        </w:rPr>
      </w:pPr>
      <w:r>
        <w:rPr>
          <w:rFonts w:hint="eastAsia" w:ascii="宋体" w:hAnsi="宋体" w:eastAsia="宋体" w:cs="仿宋_GB2312"/>
          <w:b/>
          <w:color w:val="auto"/>
          <w:kern w:val="0"/>
          <w:sz w:val="21"/>
          <w:szCs w:val="22"/>
          <w:lang w:val="en-US" w:eastAsia="zh-CN" w:bidi="ar-SA"/>
        </w:rPr>
        <w:t>3.供应商负责净水处理设备、材料及配套工程的采购、施工及加工安装、电控系统的设计、制作、安装，达到规范和设计要求。负责所有设备和配件的采购、制作和安装；负责所有管道、配件和控制和操作系统的采购、制作和安装及调试。</w:t>
      </w:r>
    </w:p>
    <w:p>
      <w:pPr>
        <w:pStyle w:val="22"/>
        <w:keepNext w:val="0"/>
        <w:keepLines w:val="0"/>
        <w:pageBreakBefore w:val="0"/>
        <w:widowControl w:val="0"/>
        <w:shd w:val="clear" w:color="auto" w:fill="auto"/>
        <w:kinsoku/>
        <w:wordWrap/>
        <w:overflowPunct/>
        <w:topLinePunct w:val="0"/>
        <w:autoSpaceDE/>
        <w:autoSpaceDN/>
        <w:bidi w:val="0"/>
        <w:adjustRightInd/>
        <w:snapToGrid/>
        <w:spacing w:line="400" w:lineRule="exact"/>
        <w:ind w:left="0" w:leftChars="0" w:firstLine="486" w:firstLineChars="200"/>
        <w:textAlignment w:val="auto"/>
        <w:rPr>
          <w:rFonts w:hint="default" w:ascii="宋体" w:hAnsi="宋体" w:eastAsia="宋体" w:cs="仿宋_GB2312"/>
          <w:b/>
          <w:color w:val="auto"/>
          <w:kern w:val="0"/>
          <w:sz w:val="21"/>
          <w:szCs w:val="22"/>
          <w:lang w:val="en-US" w:eastAsia="zh-CN" w:bidi="ar-SA"/>
        </w:rPr>
      </w:pPr>
      <w:r>
        <w:rPr>
          <w:rFonts w:hint="eastAsia" w:ascii="宋体" w:hAnsi="宋体" w:eastAsia="宋体" w:cs="仿宋_GB2312"/>
          <w:b/>
          <w:color w:val="auto"/>
          <w:kern w:val="0"/>
          <w:sz w:val="21"/>
          <w:szCs w:val="22"/>
          <w:lang w:val="en-US" w:eastAsia="zh-CN" w:bidi="ar-SA"/>
        </w:rPr>
        <w:t>4.参数中涉及到的国家标准若有最新标准按最新标准执行。</w:t>
      </w:r>
    </w:p>
    <w:p>
      <w:pPr>
        <w:spacing w:line="360" w:lineRule="auto"/>
        <w:ind w:firstLine="486" w:firstLineChars="200"/>
        <w:rPr>
          <w:rFonts w:hint="eastAsia" w:ascii="仿宋" w:hAnsi="仿宋" w:eastAsia="仿宋" w:cs="仿宋"/>
          <w:b/>
          <w:bCs/>
          <w:color w:val="auto"/>
          <w:sz w:val="24"/>
          <w:szCs w:val="24"/>
          <w:lang w:val="en-US" w:eastAsia="zh-CN"/>
        </w:rPr>
      </w:pPr>
    </w:p>
    <w:p>
      <w:pPr>
        <w:spacing w:line="360" w:lineRule="auto"/>
        <w:ind w:firstLine="486" w:firstLineChars="200"/>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商务条款</w:t>
      </w:r>
    </w:p>
    <w:p>
      <w:pPr>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一、</w:t>
      </w:r>
      <w:r>
        <w:rPr>
          <w:rFonts w:hint="eastAsia" w:ascii="仿宋" w:hAnsi="仿宋" w:eastAsia="仿宋" w:cs="仿宋"/>
          <w:b/>
          <w:bCs/>
          <w:color w:val="auto"/>
          <w:sz w:val="24"/>
          <w:szCs w:val="24"/>
        </w:rPr>
        <w:t>交货时</w:t>
      </w:r>
      <w:r>
        <w:rPr>
          <w:rFonts w:hint="eastAsia" w:ascii="仿宋" w:hAnsi="仿宋" w:eastAsia="仿宋" w:cs="仿宋"/>
          <w:b/>
          <w:bCs/>
          <w:color w:val="auto"/>
          <w:sz w:val="24"/>
          <w:szCs w:val="24"/>
          <w:lang w:eastAsia="zh-CN"/>
        </w:rPr>
        <w:t>交货地点</w:t>
      </w:r>
      <w:r>
        <w:rPr>
          <w:rFonts w:hint="eastAsia" w:ascii="仿宋" w:hAnsi="仿宋" w:eastAsia="仿宋" w:cs="仿宋"/>
          <w:b/>
          <w:bCs/>
          <w:color w:val="auto"/>
          <w:sz w:val="24"/>
          <w:szCs w:val="24"/>
        </w:rPr>
        <w:t>：</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lang w:val="en-US" w:eastAsia="zh-CN"/>
        </w:rPr>
        <w:t>供货安装完成</w:t>
      </w:r>
      <w:r>
        <w:rPr>
          <w:rFonts w:hint="eastAsia" w:ascii="仿宋" w:hAnsi="仿宋" w:eastAsia="仿宋" w:cs="仿宋"/>
          <w:color w:val="auto"/>
          <w:sz w:val="24"/>
          <w:szCs w:val="24"/>
          <w:lang w:eastAsia="zh-CN"/>
        </w:rPr>
        <w:t>时间：</w:t>
      </w:r>
      <w:r>
        <w:rPr>
          <w:rFonts w:hint="eastAsia" w:ascii="仿宋" w:hAnsi="仿宋" w:eastAsia="仿宋" w:cs="仿宋"/>
          <w:color w:val="auto"/>
          <w:sz w:val="24"/>
          <w:szCs w:val="24"/>
          <w:highlight w:val="none"/>
          <w:u w:val="single"/>
          <w:lang w:val="en-US" w:eastAsia="zh-CN"/>
        </w:rPr>
        <w:t xml:space="preserve"> 150</w:t>
      </w:r>
      <w:r>
        <w:rPr>
          <w:rFonts w:hint="eastAsia" w:ascii="仿宋" w:hAnsi="仿宋" w:eastAsia="仿宋" w:cs="仿宋"/>
          <w:bCs/>
          <w:color w:val="auto"/>
          <w:sz w:val="24"/>
          <w:highlight w:val="none"/>
          <w:lang w:val="en-US" w:eastAsia="zh-CN"/>
        </w:rPr>
        <w:t>日历天</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交货地点：甲方指定地点</w:t>
      </w:r>
    </w:p>
    <w:p>
      <w:pPr>
        <w:pStyle w:val="5"/>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spacing w:val="0"/>
          <w:w w:val="100"/>
          <w:position w:val="0"/>
          <w:sz w:val="24"/>
          <w:szCs w:val="24"/>
          <w:shd w:val="clear" w:color="auto" w:fill="auto"/>
          <w:lang w:val="en-US" w:eastAsia="zh-CN" w:bidi="en-US"/>
        </w:rPr>
      </w:pPr>
      <w:r>
        <w:rPr>
          <w:rFonts w:hint="eastAsia" w:ascii="仿宋" w:hAnsi="仿宋" w:eastAsia="仿宋" w:cs="仿宋"/>
          <w:color w:val="auto"/>
          <w:sz w:val="24"/>
          <w:szCs w:val="24"/>
          <w:lang w:eastAsia="zh-CN"/>
        </w:rPr>
        <w:t>二、</w:t>
      </w:r>
      <w:r>
        <w:rPr>
          <w:rFonts w:hint="eastAsia" w:ascii="仿宋" w:hAnsi="仿宋" w:eastAsia="仿宋" w:cs="仿宋"/>
          <w:bCs/>
          <w:color w:val="auto"/>
          <w:sz w:val="24"/>
        </w:rPr>
        <w:t>付款方式</w:t>
      </w:r>
      <w:r>
        <w:rPr>
          <w:rFonts w:hint="eastAsia" w:ascii="仿宋" w:hAnsi="仿宋" w:eastAsia="仿宋" w:cs="仿宋"/>
          <w:bCs/>
          <w:color w:val="auto"/>
          <w:sz w:val="24"/>
          <w:lang w:eastAsia="zh-CN"/>
        </w:rPr>
        <w:t>：</w:t>
      </w:r>
      <w:r>
        <w:rPr>
          <w:rFonts w:hint="eastAsia" w:ascii="仿宋" w:hAnsi="仿宋" w:eastAsia="仿宋" w:cs="仿宋"/>
          <w:bCs/>
          <w:color w:val="auto"/>
          <w:sz w:val="24"/>
          <w:lang w:val="en-US" w:eastAsia="zh-CN"/>
        </w:rPr>
        <w:t>签订合同支付合同总价的30％，全部到货并安装支付合同总价的50％，调试运行正常后另支付合同总价的20％。（具体以实际签订合同为准）</w:t>
      </w:r>
    </w:p>
    <w:p>
      <w:pPr>
        <w:pStyle w:val="5"/>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三</w:t>
      </w:r>
      <w:r>
        <w:rPr>
          <w:rFonts w:hint="eastAsia" w:ascii="仿宋" w:hAnsi="仿宋" w:eastAsia="仿宋" w:cs="仿宋"/>
          <w:b/>
          <w:bCs/>
          <w:color w:val="auto"/>
          <w:sz w:val="24"/>
          <w:szCs w:val="24"/>
        </w:rPr>
        <w:t>、验收</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1.货物的技术指标作为交货验收时的依据（采购人按照所投产品的技术规格及商务要求验收货物，如投标人实际应标的标准高于国家标准及招标文件中的要求，则按投标人应标标准验收）。</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2、货物到达现场后，供应商应在使用单位人员在场情况下当面共同清点、检查，作出检查记录，双方签字确认。</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3、货物验收时，供应商向采购人提供生产厂家出具的验收报告、合格证、厂家资格证件等相关文件及计相关的检测报告。</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4、供应商提供的货物未达到招标文件规定要求，且对采购人造成损失的，由供应商承担一切责任，并赔偿所造成的损失。</w:t>
      </w:r>
    </w:p>
    <w:p>
      <w:pPr>
        <w:pageBreakBefore w:val="0"/>
        <w:widowControl w:val="0"/>
        <w:kinsoku/>
        <w:wordWrap/>
        <w:overflowPunct/>
        <w:topLinePunct w:val="0"/>
        <w:autoSpaceDE/>
        <w:autoSpaceDN/>
        <w:bidi w:val="0"/>
        <w:adjustRightInd/>
        <w:snapToGrid/>
        <w:spacing w:line="400" w:lineRule="exact"/>
        <w:ind w:firstLine="243" w:firstLineChars="100"/>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其他商务条款</w:t>
      </w:r>
    </w:p>
    <w:p>
      <w:pPr>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一、投标报价</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项目报价采用人民币综合总价，以元为单位标准，投标供应商应严格按照“开标一览表”和“分项报价明细表”的格式认真填写。本项目只接受一个投标报价，有选择的或有条件的报价将不予接受。</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Cs w:val="21"/>
          <w:highlight w:val="none"/>
        </w:rPr>
      </w:pPr>
      <w:r>
        <w:rPr>
          <w:rFonts w:hint="eastAsia" w:ascii="仿宋" w:hAnsi="仿宋" w:eastAsia="仿宋" w:cs="仿宋"/>
          <w:color w:val="auto"/>
          <w:sz w:val="24"/>
          <w:szCs w:val="24"/>
          <w:lang w:eastAsia="zh-CN"/>
        </w:rPr>
        <w:t>投标报价应包括：货物本身价格、保险费用、包装费、运输费用、二次搬运费、损耗、技术指导、税金费用、随产品备品备件费、专用工具费、随产品资料费、技术服务费、技术考察费、培训费、安装费、调试费、产品对接产生的费用、软件培训运维和相关服务、人工费、自检费及验收合格前和质保期内发生的一切费用、应当提供的伴随服务/售后服务费用等直至正常使用的一切费用。</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b/>
          <w:bCs/>
          <w:color w:val="auto"/>
          <w:sz w:val="24"/>
          <w:szCs w:val="24"/>
          <w:lang w:eastAsia="zh-CN"/>
        </w:rPr>
      </w:pPr>
    </w:p>
    <w:p>
      <w:pPr>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二、质量保证</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货物及其各部件应为全新，未曾使用过之优质产品，与规定的质量、规格和性能相符，并保证该产品确系原厂制造，同时提供产品的质量保证书、技术性能说明书、有关部门的检测测试报告、质量标准认证证书等相关材料。</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同时建设单位将对成品及原辅材料随时作随机抽查进行检测，对于检测不合格的，该批次货物无条件退场。确保供货期内合格产品供货，如不能提供按合同条款的规定进行处罚。同时招标人有权取消中标单位的中标资格且终止采购合同。</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（1）</w:t>
      </w:r>
      <w:r>
        <w:rPr>
          <w:rFonts w:hint="eastAsia" w:ascii="仿宋" w:hAnsi="仿宋" w:eastAsia="仿宋" w:cs="仿宋"/>
          <w:color w:val="auto"/>
          <w:sz w:val="24"/>
          <w:szCs w:val="24"/>
          <w:lang w:eastAsia="zh-CN"/>
        </w:rPr>
        <w:t>中标供应商对整个项目免费保修期</w:t>
      </w:r>
      <w:bookmarkStart w:id="82" w:name="_Hlk59609419"/>
      <w:r>
        <w:rPr>
          <w:rFonts w:hint="eastAsia" w:ascii="仿宋" w:hAnsi="仿宋" w:eastAsia="仿宋" w:cs="仿宋"/>
          <w:color w:val="auto"/>
          <w:sz w:val="24"/>
          <w:szCs w:val="24"/>
          <w:lang w:eastAsia="zh-CN"/>
        </w:rPr>
        <w:t>至少</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lang w:eastAsia="zh-CN"/>
        </w:rPr>
        <w:t>年，</w:t>
      </w:r>
      <w:r>
        <w:rPr>
          <w:rFonts w:hint="eastAsia" w:ascii="仿宋" w:hAnsi="仿宋" w:eastAsia="仿宋" w:cs="仿宋"/>
          <w:color w:val="auto"/>
          <w:sz w:val="24"/>
          <w:szCs w:val="24"/>
          <w:lang w:eastAsia="zh-CN"/>
        </w:rPr>
        <w:t>自采购人或监理单位验收合格之日起计算；免费保修期内，中标供应商负责对所供货物实行包修、包换、包退、包维护保养，对配套工程实行包修、包维护保养，承担修理、调换或退货的实际费用，不能修理或不能退换，均按不能交货处理；免费保修期内，如货物或零部件非人为因素出现故障而造成短期停用时，则免费保修期相应顺延。如货物因自身故障致停用时间累计超过30天则免费保修期在状态恢复正常时重新起计。</w:t>
      </w:r>
      <w:bookmarkEnd w:id="82"/>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（2）中标供应商对产品提供终身维修服务。保证驻场工作人员至少 1 名；殊情况随时增派工作人员以满足工作需要，维护地点在</w:t>
      </w:r>
      <w:r>
        <w:rPr>
          <w:rFonts w:hint="eastAsia" w:ascii="仿宋" w:hAnsi="仿宋" w:eastAsia="仿宋" w:cs="仿宋"/>
          <w:color w:val="auto"/>
          <w:sz w:val="24"/>
          <w:szCs w:val="24"/>
          <w:lang w:val="en-US" w:eastAsia="zh-CN"/>
        </w:rPr>
        <w:t>周边</w:t>
      </w:r>
      <w:r>
        <w:rPr>
          <w:rFonts w:hint="eastAsia" w:ascii="仿宋" w:hAnsi="仿宋" w:eastAsia="仿宋" w:cs="仿宋"/>
          <w:color w:val="auto"/>
          <w:sz w:val="24"/>
          <w:szCs w:val="24"/>
          <w:lang w:eastAsia="zh-CN"/>
        </w:rPr>
        <w:t xml:space="preserve">城区内 </w:t>
      </w:r>
      <w:r>
        <w:rPr>
          <w:rFonts w:hint="eastAsia" w:ascii="仿宋" w:hAnsi="仿宋" w:eastAsia="仿宋" w:cs="仿宋"/>
          <w:color w:val="auto"/>
          <w:sz w:val="24"/>
          <w:szCs w:val="24"/>
          <w:lang w:val="en-US" w:eastAsia="zh-CN"/>
        </w:rPr>
        <w:t>60</w:t>
      </w:r>
      <w:r>
        <w:rPr>
          <w:rFonts w:hint="eastAsia" w:ascii="仿宋" w:hAnsi="仿宋" w:eastAsia="仿宋" w:cs="仿宋"/>
          <w:color w:val="auto"/>
          <w:sz w:val="24"/>
          <w:szCs w:val="24"/>
          <w:lang w:eastAsia="zh-CN"/>
        </w:rPr>
        <w:t>分钟之内到达现场；现场处置响应为 5*8 小时,电话远程响应为 7*24 小时。免费提供维修手册，提供原厂中文操作使用及维护保养手册，提供免费安装培训及操作规程并附书面培训资料，为用户培训维修人员两次。</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5、合同履行期限、地点及承包方式</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（1）合同履行期限：</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（2）合同履行地点：</w:t>
      </w:r>
    </w:p>
    <w:p>
      <w:pPr>
        <w:pageBreakBefore w:val="0"/>
        <w:widowControl w:val="0"/>
        <w:shd w:val="clear" w:color="auto" w:fill="auto"/>
        <w:kinsoku/>
        <w:wordWrap/>
        <w:overflowPunct/>
        <w:topLinePunct w:val="0"/>
        <w:autoSpaceDE/>
        <w:autoSpaceDN/>
        <w:bidi w:val="0"/>
        <w:adjustRightInd/>
        <w:snapToGrid/>
        <w:spacing w:line="400" w:lineRule="exact"/>
        <w:ind w:firstLine="486" w:firstLineChars="200"/>
        <w:textAlignment w:val="auto"/>
        <w:rPr>
          <w:rFonts w:hint="eastAsia"/>
          <w:color w:val="auto"/>
          <w:lang w:val="en-US" w:eastAsia="zh-CN"/>
        </w:rPr>
      </w:pPr>
      <w:r>
        <w:rPr>
          <w:rFonts w:hint="eastAsia" w:ascii="仿宋" w:hAnsi="仿宋" w:eastAsia="仿宋" w:cs="仿宋"/>
          <w:color w:val="auto"/>
          <w:sz w:val="24"/>
          <w:szCs w:val="24"/>
          <w:lang w:eastAsia="zh-CN"/>
        </w:rPr>
        <w:t>（3）本项目投标供应商的投标报价须包含设备及配套工程（含相关配件、附件、安装材料）价款、施工、加工、安装费、运输费、装卸费、税费、管理费、设备及系统调试费、配合管理费，包运行、培训、保养等相关服务。</w:t>
      </w:r>
    </w:p>
    <w:bookmarkEnd w:id="77"/>
    <w:bookmarkEnd w:id="78"/>
    <w:bookmarkEnd w:id="79"/>
    <w:p>
      <w:pPr>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sz w:val="24"/>
          <w:szCs w:val="24"/>
          <w:lang w:eastAsia="zh-CN"/>
        </w:rPr>
      </w:pPr>
      <w:bookmarkStart w:id="83" w:name="_Toc16945"/>
      <w:bookmarkStart w:id="84" w:name="_Toc8238"/>
      <w:bookmarkStart w:id="85" w:name="_Toc21807"/>
      <w:bookmarkStart w:id="86" w:name="_Toc469495740"/>
      <w:r>
        <w:rPr>
          <w:rFonts w:hint="eastAsia" w:ascii="仿宋" w:hAnsi="仿宋" w:eastAsia="仿宋" w:cs="仿宋"/>
          <w:b/>
          <w:bCs/>
          <w:color w:val="auto"/>
          <w:sz w:val="24"/>
          <w:szCs w:val="24"/>
          <w:lang w:val="en-US" w:eastAsia="zh-CN"/>
        </w:rPr>
        <w:t>三</w:t>
      </w:r>
      <w:r>
        <w:rPr>
          <w:rFonts w:hint="eastAsia" w:ascii="仿宋" w:hAnsi="仿宋" w:eastAsia="仿宋" w:cs="仿宋"/>
          <w:b/>
          <w:bCs/>
          <w:color w:val="auto"/>
          <w:sz w:val="24"/>
          <w:szCs w:val="24"/>
          <w:lang w:eastAsia="zh-CN"/>
        </w:rPr>
        <w:t>、 知识产权</w:t>
      </w:r>
      <w:bookmarkEnd w:id="83"/>
      <w:bookmarkEnd w:id="84"/>
      <w:bookmarkEnd w:id="85"/>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本项目在进行过程中，所产生的所有与本项目相关的，无论以任何载体形式出现的工作成果，其知识产权均属于招标方所有。</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投标方保证招标方及其用户对设备享有合法的使用权。</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投标方保证招标方及其用户在使用过程中不受到第三方关于侵犯专利权等知识产权的指控。任何第三方如果提出指控，投标方须与第三方交涉并承担可能发生的一切法律责任和费用。</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与本项目相关的商业秘密信息、技术资料和技术诀窍等所有权归甲方所有。供货方非经用户同意不得向第三方转让本条所约定的相关所有权和使用权或泄露秘密信息、技术资料或技术诀窍。任何一方违反本条的约定，应承担违约责任，并赔偿另一方的损失。本项目另有规定或双方另行约定的除外。</w:t>
      </w:r>
    </w:p>
    <w:p>
      <w:pPr>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b/>
          <w:bCs/>
          <w:color w:val="auto"/>
          <w:sz w:val="24"/>
          <w:szCs w:val="24"/>
          <w:lang w:eastAsia="zh-CN"/>
        </w:rPr>
      </w:pPr>
      <w:bookmarkStart w:id="87" w:name="_Toc12239"/>
      <w:bookmarkStart w:id="88" w:name="_Toc7598"/>
      <w:bookmarkStart w:id="89" w:name="_Toc20832"/>
      <w:bookmarkStart w:id="90" w:name="_Toc12840_WPSOffice_Level1"/>
      <w:bookmarkStart w:id="91" w:name="_Toc267320054"/>
      <w:bookmarkStart w:id="92" w:name="_Toc439255252"/>
      <w:r>
        <w:rPr>
          <w:rFonts w:hint="eastAsia" w:ascii="仿宋" w:hAnsi="仿宋" w:eastAsia="仿宋" w:cs="仿宋"/>
          <w:b/>
          <w:bCs/>
          <w:color w:val="auto"/>
          <w:sz w:val="24"/>
          <w:szCs w:val="24"/>
          <w:lang w:val="en-US" w:eastAsia="zh-CN"/>
        </w:rPr>
        <w:t>四、</w:t>
      </w:r>
      <w:r>
        <w:rPr>
          <w:rFonts w:hint="eastAsia" w:ascii="仿宋" w:hAnsi="仿宋" w:eastAsia="仿宋" w:cs="仿宋"/>
          <w:b/>
          <w:bCs/>
          <w:color w:val="auto"/>
          <w:sz w:val="24"/>
          <w:szCs w:val="24"/>
          <w:lang w:eastAsia="zh-CN"/>
        </w:rPr>
        <w:t xml:space="preserve"> 其他</w:t>
      </w:r>
      <w:bookmarkEnd w:id="87"/>
      <w:bookmarkEnd w:id="88"/>
      <w:bookmarkEnd w:id="89"/>
    </w:p>
    <w:bookmarkEnd w:id="90"/>
    <w:bookmarkEnd w:id="91"/>
    <w:bookmarkEnd w:id="92"/>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CN"/>
        </w:rPr>
        <w:t>投标人必须在投标文件中对以上条款和服务承诺明确列出，承诺内容必须达到本篇及招标文件其他条款的要求。</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eastAsia="zh-CN"/>
        </w:rPr>
        <w:t>中标人与采购人签订《协议》后，须与用户方签订《合同》，明确具体供货数量、供货时间、送达地点等内容。</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其他未尽事宜由供需双方在采购合同中详细约定。</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4、 </w:t>
      </w:r>
      <w:r>
        <w:rPr>
          <w:rFonts w:hint="eastAsia" w:ascii="仿宋" w:hAnsi="仿宋" w:eastAsia="仿宋" w:cs="仿宋"/>
          <w:color w:val="auto"/>
          <w:sz w:val="24"/>
          <w:szCs w:val="24"/>
          <w:lang w:eastAsia="zh-CN"/>
        </w:rPr>
        <w:t>若供货服务商不能按招标文件规定的交货期正常交货，采购方有权终止采购合同，并将相关情况上报给采购计划主管部门，取消其中标资格。</w:t>
      </w:r>
    </w:p>
    <w:p>
      <w:pPr>
        <w:pageBreakBefore w:val="0"/>
        <w:widowControl w:val="0"/>
        <w:kinsoku/>
        <w:wordWrap/>
        <w:overflowPunct/>
        <w:topLinePunct w:val="0"/>
        <w:autoSpaceDE/>
        <w:autoSpaceDN/>
        <w:bidi w:val="0"/>
        <w:adjustRightInd/>
        <w:snapToGrid/>
        <w:spacing w:line="400" w:lineRule="exact"/>
        <w:ind w:firstLine="486" w:firstLineChars="200"/>
        <w:textAlignment w:val="auto"/>
        <w:rPr>
          <w:rFonts w:hint="eastAsia"/>
          <w:color w:val="auto"/>
          <w:lang w:val="en-US" w:eastAsia="zh-CN"/>
        </w:rPr>
      </w:pPr>
      <w:r>
        <w:rPr>
          <w:rFonts w:hint="eastAsia" w:ascii="仿宋" w:hAnsi="仿宋" w:eastAsia="仿宋" w:cs="仿宋"/>
          <w:b w:val="0"/>
          <w:color w:val="auto"/>
          <w:kern w:val="2"/>
          <w:sz w:val="24"/>
          <w:szCs w:val="24"/>
          <w:lang w:val="en-US" w:eastAsia="zh-CN" w:bidi="ar-SA"/>
        </w:rPr>
        <w:t>5、其他未尽事宜由供需双方在采购合同中详细约定。</w:t>
      </w:r>
    </w:p>
    <w:p>
      <w:pPr>
        <w:rPr>
          <w:rFonts w:hint="eastAsia"/>
          <w:color w:val="auto"/>
          <w:lang w:val="en-US" w:eastAsia="zh-CN"/>
        </w:rPr>
      </w:pPr>
    </w:p>
    <w:p>
      <w:pPr>
        <w:pStyle w:val="5"/>
        <w:rPr>
          <w:rFonts w:hint="eastAsia"/>
          <w:color w:val="auto"/>
          <w:lang w:val="en-US" w:eastAsia="zh-CN"/>
        </w:rPr>
      </w:pPr>
    </w:p>
    <w:p>
      <w:pPr>
        <w:rPr>
          <w:rFonts w:hint="eastAsia"/>
          <w:color w:val="auto"/>
          <w:lang w:val="en-US" w:eastAsia="zh-CN"/>
        </w:rPr>
      </w:pPr>
    </w:p>
    <w:p>
      <w:pPr>
        <w:pStyle w:val="2"/>
        <w:rPr>
          <w:rFonts w:hint="eastAsia"/>
          <w:color w:val="auto"/>
          <w:lang w:val="en-US" w:eastAsia="zh-CN"/>
        </w:rPr>
      </w:pPr>
    </w:p>
    <w:p>
      <w:pPr>
        <w:pStyle w:val="2"/>
        <w:rPr>
          <w:rFonts w:hint="eastAsia"/>
          <w:color w:val="auto"/>
          <w:lang w:val="en-US" w:eastAsia="zh-CN"/>
        </w:rPr>
      </w:pPr>
    </w:p>
    <w:p>
      <w:pPr>
        <w:pStyle w:val="2"/>
        <w:rPr>
          <w:rFonts w:hint="eastAsia"/>
          <w:color w:val="auto"/>
          <w:lang w:val="en-US" w:eastAsia="zh-CN"/>
        </w:rPr>
      </w:pPr>
    </w:p>
    <w:p>
      <w:pPr>
        <w:pStyle w:val="2"/>
        <w:rPr>
          <w:rFonts w:hint="eastAsia"/>
          <w:color w:val="auto"/>
          <w:lang w:val="en-US" w:eastAsia="zh-CN"/>
        </w:rPr>
      </w:pPr>
    </w:p>
    <w:p>
      <w:pPr>
        <w:pStyle w:val="2"/>
        <w:rPr>
          <w:rFonts w:hint="eastAsia"/>
          <w:color w:val="auto"/>
          <w:lang w:val="en-US" w:eastAsia="zh-CN"/>
        </w:rPr>
      </w:pPr>
    </w:p>
    <w:p>
      <w:pPr>
        <w:numPr>
          <w:ilvl w:val="0"/>
          <w:numId w:val="8"/>
        </w:numPr>
        <w:spacing w:line="360" w:lineRule="auto"/>
        <w:ind w:firstLine="606" w:firstLineChars="200"/>
        <w:jc w:val="center"/>
        <w:outlineLvl w:val="0"/>
        <w:rPr>
          <w:rFonts w:hint="eastAsia" w:ascii="仿宋" w:hAnsi="仿宋" w:eastAsia="仿宋" w:cs="仿宋"/>
          <w:b/>
          <w:bCs/>
          <w:color w:val="auto"/>
          <w:sz w:val="36"/>
          <w:szCs w:val="36"/>
        </w:rPr>
      </w:pPr>
      <w:r>
        <w:rPr>
          <w:rFonts w:hint="eastAsia" w:ascii="仿宋" w:hAnsi="仿宋" w:eastAsia="仿宋" w:cs="仿宋"/>
          <w:b/>
          <w:color w:val="auto"/>
          <w:sz w:val="30"/>
          <w:szCs w:val="30"/>
          <w:highlight w:val="none"/>
        </w:rPr>
        <w:t xml:space="preserve"> </w:t>
      </w:r>
      <w:bookmarkEnd w:id="86"/>
      <w:r>
        <w:rPr>
          <w:rFonts w:hint="eastAsia" w:ascii="仿宋" w:hAnsi="仿宋" w:eastAsia="仿宋" w:cs="仿宋"/>
          <w:b/>
          <w:bCs/>
          <w:color w:val="auto"/>
          <w:sz w:val="36"/>
          <w:szCs w:val="36"/>
        </w:rPr>
        <w:t>合  同</w:t>
      </w:r>
    </w:p>
    <w:p>
      <w:pPr>
        <w:jc w:val="center"/>
        <w:rPr>
          <w:rFonts w:hint="eastAsia" w:ascii="仿宋" w:hAnsi="仿宋" w:eastAsia="仿宋" w:cs="仿宋"/>
          <w:b/>
          <w:bCs/>
          <w:color w:val="auto"/>
          <w:sz w:val="28"/>
        </w:rPr>
      </w:pP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 xml:space="preserve"> 采购合同主要条款</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（本合同为合同样稿，最终稿由供需双方协商后确定）</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合同编号：</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需    方：</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供 应 方：</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 xml:space="preserve">                受有关单位委托，为（      下称需方）经公开招标结果确定           为供应方。现经供需双方充分协商订立本合同。</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一、名称、规格、数量及价款</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 xml:space="preserve">（名称、规格、数量及单价）                           </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合同总金额          元整（￥      元）。</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二、质量要求及技术标准</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1、供应方交付的货物的技术标准不低于国家标准。</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2、供应方在交付货物的同时应提供国家规定的检验合格证明等文件。</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三、交货时间</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u w:val="single"/>
          <w:lang w:val="en-US" w:eastAsia="zh-CN"/>
        </w:rPr>
        <w:t xml:space="preserve">150日历天 </w:t>
      </w:r>
      <w:r>
        <w:rPr>
          <w:rFonts w:hint="eastAsia" w:ascii="仿宋" w:hAnsi="仿宋" w:eastAsia="仿宋" w:cs="仿宋"/>
          <w:bCs/>
          <w:color w:val="auto"/>
          <w:sz w:val="24"/>
          <w:lang w:val="en-US" w:eastAsia="zh-CN"/>
        </w:rPr>
        <w:t>供货安装完毕</w:t>
      </w:r>
      <w:r>
        <w:rPr>
          <w:rFonts w:hint="eastAsia" w:ascii="仿宋" w:hAnsi="仿宋" w:eastAsia="仿宋" w:cs="仿宋"/>
          <w:bCs/>
          <w:color w:val="auto"/>
          <w:sz w:val="24"/>
        </w:rPr>
        <w:t>。</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 xml:space="preserve">四、验收   </w:t>
      </w:r>
    </w:p>
    <w:p>
      <w:pPr>
        <w:shd w:val="clear" w:color="auto" w:fill="auto"/>
        <w:spacing w:line="360" w:lineRule="auto"/>
        <w:ind w:firstLine="486"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1.货物的技术指标作为交货验收时的依据（采购人按照所投产品的技术规格及商务要求验收货物，如投标人实际应标的标准高于国家标准及招标文件中的要求，则按投标人应标标准验收）。</w:t>
      </w:r>
    </w:p>
    <w:p>
      <w:pPr>
        <w:shd w:val="clear" w:color="auto" w:fill="auto"/>
        <w:spacing w:line="360" w:lineRule="auto"/>
        <w:ind w:firstLine="486"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2、货物到达现场后，供应商应在使用单位人员在场情况下当面共同清点、检查，作出检查记录，双方签字确认。</w:t>
      </w:r>
    </w:p>
    <w:p>
      <w:pPr>
        <w:shd w:val="clear" w:color="auto" w:fill="auto"/>
        <w:spacing w:line="360" w:lineRule="auto"/>
        <w:ind w:firstLine="486"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3、货物验收时，供应商向采购人提供生产厂家出具的验收报告、合格证、厂家资格证件等相关文件及相关单位出具的检测报告。</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color w:val="auto"/>
          <w:sz w:val="24"/>
          <w:szCs w:val="24"/>
          <w:lang w:val="en-US" w:eastAsia="zh-CN"/>
        </w:rPr>
        <w:t>4、供应商提供的货物未达到招标文件规定要求，且对采购人造成损失的，由供应商承担一切责任，并赔偿所造成的损失。</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五、付款方式</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
          <w:bCs/>
          <w:i w:val="0"/>
          <w:iCs w:val="0"/>
          <w:caps w:val="0"/>
          <w:color w:val="auto"/>
          <w:spacing w:val="0"/>
          <w:sz w:val="24"/>
          <w:szCs w:val="24"/>
          <w:lang w:val="en-US" w:eastAsia="zh-CN"/>
        </w:rPr>
      </w:pPr>
      <w:r>
        <w:rPr>
          <w:rFonts w:hint="eastAsia" w:ascii="仿宋" w:hAnsi="仿宋" w:eastAsia="仿宋" w:cs="仿宋"/>
          <w:b/>
          <w:bCs/>
          <w:i w:val="0"/>
          <w:iCs w:val="0"/>
          <w:caps w:val="0"/>
          <w:color w:val="auto"/>
          <w:spacing w:val="0"/>
          <w:sz w:val="24"/>
          <w:szCs w:val="24"/>
          <w:lang w:val="en-US" w:eastAsia="zh-CN"/>
        </w:rPr>
        <w:t>签订合同</w:t>
      </w:r>
      <w:r>
        <w:rPr>
          <w:rFonts w:hint="eastAsia" w:ascii="仿宋" w:hAnsi="仿宋" w:eastAsia="仿宋" w:cs="仿宋"/>
          <w:b/>
          <w:bCs/>
          <w:color w:val="auto"/>
          <w:sz w:val="24"/>
          <w:szCs w:val="24"/>
          <w:highlight w:val="none"/>
          <w:lang w:val="en-US" w:eastAsia="zh-CN"/>
        </w:rPr>
        <w:t>支付</w:t>
      </w:r>
      <w:r>
        <w:rPr>
          <w:rFonts w:hint="eastAsia" w:ascii="仿宋" w:hAnsi="仿宋" w:eastAsia="仿宋" w:cs="仿宋"/>
          <w:b/>
          <w:bCs/>
          <w:i w:val="0"/>
          <w:iCs w:val="0"/>
          <w:caps w:val="0"/>
          <w:color w:val="auto"/>
          <w:spacing w:val="0"/>
          <w:sz w:val="24"/>
          <w:szCs w:val="24"/>
          <w:lang w:val="en-US" w:eastAsia="zh-CN"/>
        </w:rPr>
        <w:t>合同总价的30％，全部到货并</w:t>
      </w:r>
      <w:r>
        <w:rPr>
          <w:rFonts w:hint="eastAsia" w:ascii="仿宋" w:hAnsi="仿宋" w:eastAsia="仿宋" w:cs="仿宋"/>
          <w:b/>
          <w:bCs/>
          <w:color w:val="auto"/>
          <w:sz w:val="24"/>
          <w:szCs w:val="24"/>
          <w:highlight w:val="none"/>
          <w:lang w:val="en-US" w:eastAsia="zh-CN"/>
        </w:rPr>
        <w:t>安装支付</w:t>
      </w:r>
      <w:r>
        <w:rPr>
          <w:rFonts w:hint="eastAsia" w:ascii="仿宋" w:hAnsi="仿宋" w:eastAsia="仿宋" w:cs="仿宋"/>
          <w:b/>
          <w:bCs/>
          <w:i w:val="0"/>
          <w:iCs w:val="0"/>
          <w:caps w:val="0"/>
          <w:color w:val="auto"/>
          <w:spacing w:val="0"/>
          <w:sz w:val="24"/>
          <w:szCs w:val="24"/>
          <w:lang w:val="en-US" w:eastAsia="zh-CN"/>
        </w:rPr>
        <w:t>合同总价的50％，</w:t>
      </w:r>
      <w:r>
        <w:rPr>
          <w:rFonts w:hint="eastAsia" w:ascii="仿宋" w:hAnsi="仿宋" w:eastAsia="仿宋" w:cs="仿宋"/>
          <w:b/>
          <w:bCs/>
          <w:color w:val="auto"/>
          <w:sz w:val="24"/>
          <w:szCs w:val="24"/>
          <w:highlight w:val="none"/>
          <w:lang w:val="en-US" w:eastAsia="zh-CN"/>
        </w:rPr>
        <w:t>调试运行正常后另支付</w:t>
      </w:r>
      <w:r>
        <w:rPr>
          <w:rFonts w:hint="eastAsia" w:ascii="仿宋" w:hAnsi="仿宋" w:eastAsia="仿宋" w:cs="仿宋"/>
          <w:b/>
          <w:bCs/>
          <w:i w:val="0"/>
          <w:iCs w:val="0"/>
          <w:caps w:val="0"/>
          <w:color w:val="auto"/>
          <w:spacing w:val="0"/>
          <w:sz w:val="24"/>
          <w:szCs w:val="24"/>
          <w:lang w:val="en-US" w:eastAsia="zh-CN"/>
        </w:rPr>
        <w:t>合同总价的20％</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bCs/>
          <w:i w:val="0"/>
          <w:iCs w:val="0"/>
          <w:caps w:val="0"/>
          <w:color w:val="auto"/>
          <w:spacing w:val="0"/>
          <w:sz w:val="24"/>
          <w:szCs w:val="24"/>
          <w:lang w:val="en-US" w:eastAsia="zh-CN"/>
        </w:rPr>
        <w:t>具体以实际签订合同为准）</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六、违约责任</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1、违反买卖合同者，应承担违约责任，向对方支付合同金额20﹪的违约金。供应方逾期供货，每逾期一天，按合同金额的0.2﹪向使用方支付违约金，逾期超过十五天时，视为供应方不能交货，需方有权解除合同，供应方应承担违约责任，向需方支付合同金额20﹪的违约金。需方验收完毕后，需方须在五个工作日内按付款方式付款，否则，每逾期一天向供应方支付逾期金额0.2﹪的违约金。</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2、如有质量问题时需方可以按照供应方投标文件的服务承诺从质量保证金款项中扣除相关费用。</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3、其它违约，按《中华人民共和国合同法》的相关条款执行。</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七、解决合同纠纷的方式</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当出现纠纷时，双方协商解决；协商不成时可向当地仲裁机关申请仲裁。</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八、技术协议</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附技术协议（另定）</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九、其它约定事项</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1、本合同壹式叁份，经双方法定代表人或授权代理人签章，</w:t>
      </w:r>
      <w:r>
        <w:rPr>
          <w:rFonts w:hint="eastAsia" w:ascii="仿宋" w:hAnsi="仿宋" w:eastAsia="仿宋" w:cs="仿宋"/>
          <w:bCs/>
          <w:color w:val="auto"/>
          <w:sz w:val="24"/>
          <w:lang w:eastAsia="zh-CN"/>
        </w:rPr>
        <w:t>市</w:t>
      </w:r>
      <w:r>
        <w:rPr>
          <w:rFonts w:hint="eastAsia" w:ascii="仿宋" w:hAnsi="仿宋" w:eastAsia="仿宋" w:cs="仿宋"/>
          <w:bCs/>
          <w:color w:val="auto"/>
          <w:sz w:val="24"/>
        </w:rPr>
        <w:t>政府采购中心鉴证后生效。</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2、本合同一式三份，供应方执一份，需方执一份，鉴证方执一份。</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3、相关招标文件、投标文件与本合同具有同等法律效力。</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供  应  方：                               需     方：</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法定代表人：                               法定代表人：</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授权代理人：                               授权代理人：</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单位 地址：                                 单位 地址：</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联系 电话：                                 联系 电话：</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开户 银行：                                 开户 银行：</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账     号：                                 账     号：</w:t>
      </w:r>
    </w:p>
    <w:p>
      <w:pPr>
        <w:keepNext w:val="0"/>
        <w:keepLines w:val="0"/>
        <w:pageBreakBefore w:val="0"/>
        <w:widowControl w:val="0"/>
        <w:kinsoku/>
        <w:wordWrap/>
        <w:overflowPunct/>
        <w:topLinePunct w:val="0"/>
        <w:autoSpaceDE/>
        <w:autoSpaceDN/>
        <w:bidi w:val="0"/>
        <w:adjustRightInd w:val="0"/>
        <w:snapToGrid w:val="0"/>
        <w:spacing w:line="440" w:lineRule="exact"/>
        <w:ind w:firstLine="243" w:firstLineChars="100"/>
        <w:textAlignment w:val="auto"/>
        <w:rPr>
          <w:rFonts w:hint="eastAsia" w:ascii="仿宋" w:hAnsi="仿宋" w:eastAsia="仿宋" w:cs="仿宋"/>
          <w:bCs/>
          <w:color w:val="auto"/>
          <w:sz w:val="24"/>
        </w:rPr>
      </w:pPr>
      <w:r>
        <w:rPr>
          <w:rFonts w:hint="eastAsia" w:ascii="仿宋" w:hAnsi="仿宋" w:eastAsia="仿宋" w:cs="仿宋"/>
          <w:bCs/>
          <w:color w:val="auto"/>
          <w:sz w:val="24"/>
        </w:rPr>
        <w:t>鉴  证  方（签字盖章）：</w:t>
      </w:r>
    </w:p>
    <w:p>
      <w:pPr>
        <w:adjustRightInd w:val="0"/>
        <w:snapToGrid w:val="0"/>
        <w:spacing w:line="360" w:lineRule="auto"/>
        <w:ind w:firstLine="243" w:firstLineChars="100"/>
        <w:rPr>
          <w:rFonts w:hint="eastAsia" w:ascii="仿宋" w:hAnsi="仿宋" w:eastAsia="仿宋" w:cs="仿宋"/>
          <w:bCs/>
          <w:color w:val="auto"/>
          <w:sz w:val="24"/>
        </w:rPr>
      </w:pPr>
      <w:r>
        <w:rPr>
          <w:rFonts w:hint="eastAsia" w:ascii="仿宋" w:hAnsi="仿宋" w:eastAsia="仿宋" w:cs="仿宋"/>
          <w:bCs/>
          <w:color w:val="auto"/>
          <w:sz w:val="24"/>
        </w:rPr>
        <w:t>签约时间：                                   签约地点：</w:t>
      </w:r>
    </w:p>
    <w:p>
      <w:pPr>
        <w:pStyle w:val="44"/>
        <w:keepNext/>
        <w:keepLines/>
        <w:widowControl w:val="0"/>
        <w:shd w:val="clear" w:color="auto" w:fill="auto"/>
        <w:bidi w:val="0"/>
        <w:spacing w:before="0" w:after="1160" w:line="240" w:lineRule="auto"/>
        <w:ind w:left="0" w:right="0" w:firstLine="0"/>
        <w:jc w:val="left"/>
        <w:rPr>
          <w:rFonts w:hint="eastAsia" w:ascii="仿宋" w:hAnsi="仿宋" w:eastAsia="仿宋" w:cs="仿宋"/>
          <w:b/>
          <w:bCs/>
          <w:color w:val="auto"/>
          <w:spacing w:val="0"/>
          <w:w w:val="100"/>
          <w:position w:val="0"/>
          <w:sz w:val="36"/>
          <w:szCs w:val="36"/>
        </w:rPr>
      </w:pPr>
    </w:p>
    <w:p>
      <w:pPr>
        <w:pStyle w:val="44"/>
        <w:keepNext/>
        <w:keepLines/>
        <w:widowControl w:val="0"/>
        <w:shd w:val="clear" w:color="auto" w:fill="auto"/>
        <w:bidi w:val="0"/>
        <w:spacing w:before="0" w:after="1160" w:line="240" w:lineRule="auto"/>
        <w:ind w:left="0" w:right="0" w:firstLine="0"/>
        <w:jc w:val="left"/>
        <w:rPr>
          <w:rFonts w:hint="eastAsia" w:ascii="仿宋" w:hAnsi="仿宋" w:eastAsia="仿宋" w:cs="仿宋"/>
          <w:b/>
          <w:bCs/>
          <w:color w:val="auto"/>
          <w:spacing w:val="0"/>
          <w:w w:val="100"/>
          <w:position w:val="0"/>
          <w:sz w:val="36"/>
          <w:szCs w:val="36"/>
        </w:rPr>
      </w:pPr>
    </w:p>
    <w:p>
      <w:pPr>
        <w:pStyle w:val="44"/>
        <w:keepNext/>
        <w:keepLines/>
        <w:widowControl w:val="0"/>
        <w:shd w:val="clear" w:color="auto" w:fill="auto"/>
        <w:bidi w:val="0"/>
        <w:spacing w:before="0" w:after="1160" w:line="240" w:lineRule="auto"/>
        <w:ind w:left="0" w:right="0" w:firstLine="0"/>
        <w:jc w:val="left"/>
        <w:rPr>
          <w:rFonts w:hint="eastAsia" w:ascii="仿宋" w:hAnsi="仿宋" w:eastAsia="仿宋" w:cs="仿宋"/>
          <w:b/>
          <w:bCs/>
          <w:color w:val="auto"/>
          <w:spacing w:val="0"/>
          <w:w w:val="100"/>
          <w:position w:val="0"/>
          <w:sz w:val="36"/>
          <w:szCs w:val="36"/>
        </w:rPr>
      </w:pPr>
    </w:p>
    <w:p>
      <w:pPr>
        <w:pStyle w:val="44"/>
        <w:keepNext/>
        <w:keepLines/>
        <w:widowControl w:val="0"/>
        <w:shd w:val="clear" w:color="auto" w:fill="auto"/>
        <w:bidi w:val="0"/>
        <w:spacing w:before="0" w:after="1160" w:line="240" w:lineRule="auto"/>
        <w:ind w:left="0" w:right="0" w:firstLine="0"/>
        <w:jc w:val="left"/>
        <w:rPr>
          <w:rFonts w:hint="eastAsia" w:ascii="仿宋" w:hAnsi="仿宋" w:eastAsia="仿宋" w:cs="仿宋"/>
          <w:b/>
          <w:bCs/>
          <w:color w:val="auto"/>
          <w:spacing w:val="0"/>
          <w:w w:val="100"/>
          <w:position w:val="0"/>
          <w:sz w:val="36"/>
          <w:szCs w:val="36"/>
        </w:rPr>
      </w:pPr>
    </w:p>
    <w:p>
      <w:pPr>
        <w:pStyle w:val="44"/>
        <w:keepNext/>
        <w:keepLines/>
        <w:widowControl w:val="0"/>
        <w:shd w:val="clear" w:color="auto" w:fill="auto"/>
        <w:bidi w:val="0"/>
        <w:spacing w:before="0" w:after="1160" w:line="240" w:lineRule="auto"/>
        <w:ind w:left="0" w:right="0" w:firstLine="0"/>
        <w:jc w:val="left"/>
        <w:rPr>
          <w:rFonts w:hint="eastAsia" w:ascii="仿宋" w:hAnsi="仿宋" w:eastAsia="仿宋" w:cs="仿宋"/>
          <w:b/>
          <w:bCs/>
          <w:color w:val="auto"/>
          <w:spacing w:val="0"/>
          <w:w w:val="100"/>
          <w:position w:val="0"/>
          <w:sz w:val="36"/>
          <w:szCs w:val="36"/>
        </w:rPr>
      </w:pPr>
    </w:p>
    <w:p>
      <w:pPr>
        <w:pStyle w:val="44"/>
        <w:keepNext/>
        <w:keepLines/>
        <w:widowControl w:val="0"/>
        <w:shd w:val="clear" w:color="auto" w:fill="auto"/>
        <w:bidi w:val="0"/>
        <w:spacing w:before="0" w:after="1160" w:line="240" w:lineRule="auto"/>
        <w:ind w:left="0" w:right="0" w:firstLine="0"/>
        <w:jc w:val="left"/>
        <w:rPr>
          <w:rFonts w:hint="eastAsia" w:ascii="仿宋" w:hAnsi="仿宋" w:eastAsia="仿宋" w:cs="仿宋"/>
          <w:b/>
          <w:bCs/>
          <w:color w:val="auto"/>
          <w:spacing w:val="0"/>
          <w:w w:val="100"/>
          <w:position w:val="0"/>
          <w:sz w:val="36"/>
          <w:szCs w:val="36"/>
        </w:rPr>
      </w:pPr>
    </w:p>
    <w:p>
      <w:pPr>
        <w:pStyle w:val="46"/>
        <w:keepNext w:val="0"/>
        <w:keepLines w:val="0"/>
        <w:widowControl w:val="0"/>
        <w:shd w:val="clear" w:color="auto" w:fill="auto"/>
        <w:bidi w:val="0"/>
        <w:spacing w:before="0" w:after="340" w:line="240" w:lineRule="auto"/>
        <w:ind w:left="0" w:right="0" w:firstLine="0"/>
        <w:jc w:val="left"/>
        <w:rPr>
          <w:rFonts w:hint="eastAsia" w:ascii="仿宋" w:hAnsi="仿宋" w:eastAsia="仿宋" w:cs="仿宋"/>
          <w:color w:val="auto"/>
          <w:spacing w:val="0"/>
          <w:w w:val="100"/>
          <w:position w:val="0"/>
        </w:rPr>
      </w:pPr>
      <w:bookmarkStart w:id="93" w:name="bookmark196"/>
    </w:p>
    <w:bookmarkEnd w:id="93"/>
    <w:p>
      <w:pPr>
        <w:pStyle w:val="4"/>
        <w:numPr>
          <w:ilvl w:val="0"/>
          <w:numId w:val="0"/>
        </w:numPr>
        <w:shd w:val="clear" w:color="auto" w:fill="auto"/>
        <w:spacing w:before="0" w:line="240" w:lineRule="atLeast"/>
        <w:rPr>
          <w:rFonts w:hint="eastAsia" w:ascii="仿宋" w:hAnsi="仿宋" w:eastAsia="仿宋" w:cs="仿宋"/>
          <w:b/>
          <w:bCs/>
          <w:color w:val="auto"/>
          <w:sz w:val="24"/>
          <w:highlight w:val="none"/>
        </w:rPr>
      </w:pPr>
      <w:bookmarkStart w:id="94" w:name="_Toc8919"/>
      <w:bookmarkStart w:id="95" w:name="_Toc515647803"/>
      <w:bookmarkStart w:id="96" w:name="_Toc18694"/>
      <w:bookmarkStart w:id="97" w:name="_Toc18974"/>
    </w:p>
    <w:p>
      <w:pPr>
        <w:pStyle w:val="4"/>
        <w:numPr>
          <w:ilvl w:val="0"/>
          <w:numId w:val="0"/>
        </w:numPr>
        <w:shd w:val="clear" w:color="auto" w:fill="auto"/>
        <w:spacing w:before="0" w:line="240" w:lineRule="atLeast"/>
        <w:rPr>
          <w:rFonts w:hint="eastAsia" w:ascii="仿宋" w:hAnsi="仿宋" w:eastAsia="仿宋" w:cs="仿宋"/>
          <w:b/>
          <w:bCs/>
          <w:color w:val="auto"/>
          <w:sz w:val="24"/>
          <w:highlight w:val="none"/>
        </w:rPr>
      </w:pPr>
    </w:p>
    <w:p>
      <w:pPr>
        <w:pStyle w:val="4"/>
        <w:numPr>
          <w:ilvl w:val="0"/>
          <w:numId w:val="0"/>
        </w:numPr>
        <w:shd w:val="clear" w:color="auto" w:fill="auto"/>
        <w:spacing w:before="0" w:line="240" w:lineRule="atLeast"/>
        <w:rPr>
          <w:rFonts w:hint="eastAsia" w:ascii="仿宋" w:hAnsi="仿宋" w:eastAsia="仿宋" w:cs="仿宋"/>
          <w:b/>
          <w:bCs/>
          <w:color w:val="auto"/>
          <w:sz w:val="24"/>
          <w:highlight w:val="none"/>
        </w:rPr>
      </w:pPr>
    </w:p>
    <w:p>
      <w:pPr>
        <w:keepNext/>
        <w:keepLines/>
        <w:widowControl w:val="0"/>
        <w:shd w:val="clear" w:color="auto" w:fill="auto"/>
        <w:bidi w:val="0"/>
        <w:spacing w:before="0" w:after="1160" w:line="240" w:lineRule="auto"/>
        <w:ind w:left="0" w:right="0" w:firstLine="0"/>
        <w:jc w:val="left"/>
        <w:outlineLvl w:val="1"/>
        <w:rPr>
          <w:rFonts w:hint="eastAsia" w:ascii="仿宋" w:hAnsi="仿宋" w:eastAsia="仿宋" w:cs="仿宋"/>
          <w:b/>
          <w:bCs/>
          <w:color w:val="auto"/>
          <w:spacing w:val="0"/>
          <w:w w:val="100"/>
          <w:position w:val="0"/>
          <w:sz w:val="36"/>
          <w:szCs w:val="36"/>
          <w:u w:val="none"/>
          <w:shd w:val="clear" w:color="auto" w:fill="auto"/>
          <w:lang w:val="zh-TW" w:eastAsia="zh-TW" w:bidi="zh-TW"/>
        </w:rPr>
      </w:pPr>
      <w:r>
        <w:rPr>
          <w:rFonts w:hint="eastAsia" w:ascii="仿宋" w:hAnsi="仿宋" w:eastAsia="仿宋" w:cs="仿宋"/>
          <w:b/>
          <w:bCs/>
          <w:color w:val="auto"/>
          <w:spacing w:val="0"/>
          <w:w w:val="100"/>
          <w:position w:val="0"/>
          <w:sz w:val="36"/>
          <w:szCs w:val="36"/>
          <w:u w:val="none"/>
          <w:shd w:val="clear" w:color="auto" w:fill="auto"/>
          <w:lang w:val="zh-TW" w:eastAsia="zh-TW" w:bidi="zh-TW"/>
        </w:rPr>
        <w:t>第</w:t>
      </w:r>
      <w:r>
        <w:rPr>
          <w:rFonts w:hint="eastAsia" w:ascii="仿宋" w:hAnsi="仿宋" w:eastAsia="仿宋" w:cs="仿宋"/>
          <w:b/>
          <w:bCs/>
          <w:color w:val="auto"/>
          <w:spacing w:val="0"/>
          <w:w w:val="100"/>
          <w:position w:val="0"/>
          <w:sz w:val="36"/>
          <w:szCs w:val="36"/>
          <w:u w:val="none"/>
          <w:shd w:val="clear" w:color="auto" w:fill="auto"/>
          <w:lang w:val="zh-TW" w:eastAsia="zh-CN" w:bidi="zh-TW"/>
        </w:rPr>
        <w:t>六</w:t>
      </w:r>
      <w:r>
        <w:rPr>
          <w:rFonts w:hint="eastAsia" w:ascii="仿宋" w:hAnsi="仿宋" w:eastAsia="仿宋" w:cs="仿宋"/>
          <w:b/>
          <w:bCs/>
          <w:color w:val="auto"/>
          <w:spacing w:val="0"/>
          <w:w w:val="100"/>
          <w:position w:val="0"/>
          <w:sz w:val="36"/>
          <w:szCs w:val="36"/>
          <w:u w:val="none"/>
          <w:shd w:val="clear" w:color="auto" w:fill="auto"/>
          <w:lang w:val="zh-TW" w:eastAsia="zh-TW" w:bidi="zh-TW"/>
        </w:rPr>
        <w:t>部分</w:t>
      </w:r>
      <w:r>
        <w:rPr>
          <w:rFonts w:hint="eastAsia" w:ascii="仿宋" w:hAnsi="仿宋" w:eastAsia="仿宋" w:cs="仿宋"/>
          <w:b/>
          <w:bCs/>
          <w:color w:val="auto"/>
          <w:spacing w:val="0"/>
          <w:w w:val="100"/>
          <w:position w:val="0"/>
          <w:sz w:val="36"/>
          <w:szCs w:val="36"/>
          <w:u w:val="none"/>
          <w:shd w:val="clear" w:color="auto" w:fill="auto"/>
          <w:lang w:val="en-US" w:eastAsia="zh-CN" w:bidi="zh-TW"/>
        </w:rPr>
        <w:t xml:space="preserve">  </w:t>
      </w:r>
      <w:r>
        <w:rPr>
          <w:rFonts w:hint="eastAsia" w:ascii="仿宋" w:hAnsi="仿宋" w:eastAsia="仿宋" w:cs="仿宋"/>
          <w:b/>
          <w:bCs/>
          <w:color w:val="auto"/>
          <w:spacing w:val="0"/>
          <w:w w:val="100"/>
          <w:position w:val="0"/>
          <w:sz w:val="36"/>
          <w:szCs w:val="36"/>
          <w:u w:val="none"/>
          <w:shd w:val="clear" w:color="auto" w:fill="auto"/>
          <w:lang w:val="zh-TW" w:eastAsia="zh-TW" w:bidi="zh-TW"/>
        </w:rPr>
        <w:t>投标文件格式</w:t>
      </w:r>
    </w:p>
    <w:p>
      <w:pPr>
        <w:shd w:val="clear" w:color="auto" w:fill="auto"/>
        <w:adjustRightInd w:val="0"/>
        <w:snapToGrid w:val="0"/>
        <w:spacing w:line="360" w:lineRule="auto"/>
        <w:ind w:left="602" w:right="70" w:hanging="602"/>
        <w:jc w:val="right"/>
        <w:rPr>
          <w:rFonts w:hint="eastAsia" w:ascii="仿宋" w:hAnsi="仿宋" w:eastAsia="仿宋" w:cs="仿宋"/>
          <w:b/>
          <w:bCs/>
          <w:color w:val="auto"/>
          <w:sz w:val="28"/>
          <w:szCs w:val="28"/>
          <w:bdr w:val="single" w:color="auto" w:sz="4" w:space="0"/>
        </w:rPr>
      </w:pPr>
      <w:r>
        <w:rPr>
          <w:rFonts w:hint="eastAsia" w:ascii="仿宋" w:hAnsi="仿宋" w:eastAsia="仿宋" w:cs="仿宋"/>
          <w:b/>
          <w:bCs/>
          <w:color w:val="auto"/>
          <w:sz w:val="28"/>
          <w:szCs w:val="28"/>
          <w:bdr w:val="single" w:color="auto" w:sz="4" w:space="0"/>
        </w:rPr>
        <w:t>正/副 本</w:t>
      </w:r>
    </w:p>
    <w:p>
      <w:pPr>
        <w:shd w:val="clear" w:color="auto" w:fill="auto"/>
        <w:adjustRightInd w:val="0"/>
        <w:snapToGrid w:val="0"/>
        <w:spacing w:line="360" w:lineRule="auto"/>
        <w:jc w:val="center"/>
        <w:rPr>
          <w:rFonts w:hint="eastAsia" w:ascii="仿宋" w:hAnsi="仿宋" w:eastAsia="仿宋" w:cs="仿宋"/>
          <w:b/>
          <w:caps/>
          <w:color w:val="auto"/>
          <w:sz w:val="24"/>
          <w:szCs w:val="24"/>
        </w:rPr>
      </w:pPr>
    </w:p>
    <w:p>
      <w:pPr>
        <w:shd w:val="clear" w:color="auto" w:fill="auto"/>
        <w:adjustRightInd w:val="0"/>
        <w:snapToGrid w:val="0"/>
        <w:spacing w:line="360" w:lineRule="auto"/>
        <w:jc w:val="center"/>
        <w:rPr>
          <w:rFonts w:hint="eastAsia" w:ascii="仿宋" w:hAnsi="仿宋" w:eastAsia="仿宋" w:cs="仿宋"/>
          <w:bCs/>
          <w:color w:val="auto"/>
          <w:sz w:val="32"/>
          <w:szCs w:val="32"/>
        </w:rPr>
      </w:pPr>
      <w:r>
        <w:rPr>
          <w:rFonts w:hint="eastAsia" w:ascii="仿宋" w:hAnsi="仿宋" w:eastAsia="仿宋" w:cs="仿宋"/>
          <w:b/>
          <w:caps/>
          <w:color w:val="auto"/>
          <w:sz w:val="32"/>
          <w:szCs w:val="32"/>
        </w:rPr>
        <w:t>（项目名称）</w:t>
      </w:r>
    </w:p>
    <w:p>
      <w:pPr>
        <w:shd w:val="clear" w:color="auto" w:fill="auto"/>
        <w:adjustRightInd w:val="0"/>
        <w:snapToGrid w:val="0"/>
        <w:spacing w:line="360" w:lineRule="auto"/>
        <w:jc w:val="both"/>
        <w:rPr>
          <w:rFonts w:hint="eastAsia" w:ascii="仿宋" w:hAnsi="仿宋" w:eastAsia="仿宋" w:cs="仿宋"/>
          <w:bCs/>
          <w:color w:val="auto"/>
          <w:sz w:val="32"/>
          <w:szCs w:val="32"/>
        </w:rPr>
      </w:pPr>
    </w:p>
    <w:p>
      <w:pPr>
        <w:shd w:val="clear" w:color="auto" w:fill="auto"/>
        <w:adjustRightInd w:val="0"/>
        <w:snapToGrid w:val="0"/>
        <w:spacing w:line="360" w:lineRule="auto"/>
        <w:jc w:val="center"/>
        <w:rPr>
          <w:rFonts w:hint="eastAsia" w:ascii="仿宋" w:hAnsi="仿宋" w:eastAsia="仿宋" w:cs="仿宋"/>
          <w:bCs/>
          <w:color w:val="auto"/>
          <w:sz w:val="32"/>
          <w:szCs w:val="32"/>
        </w:rPr>
      </w:pPr>
    </w:p>
    <w:p>
      <w:pPr>
        <w:shd w:val="clear" w:color="auto" w:fill="auto"/>
        <w:adjustRightInd w:val="0"/>
        <w:snapToGrid w:val="0"/>
        <w:spacing w:line="360" w:lineRule="auto"/>
        <w:jc w:val="center"/>
        <w:rPr>
          <w:rFonts w:hint="eastAsia" w:ascii="仿宋" w:hAnsi="仿宋" w:eastAsia="仿宋" w:cs="仿宋"/>
          <w:bCs/>
          <w:color w:val="auto"/>
          <w:sz w:val="32"/>
          <w:szCs w:val="32"/>
          <w:lang w:eastAsia="zh-CN"/>
        </w:rPr>
      </w:pPr>
      <w:r>
        <w:rPr>
          <w:rFonts w:hint="eastAsia" w:ascii="仿宋" w:hAnsi="仿宋" w:eastAsia="仿宋" w:cs="仿宋"/>
          <w:b/>
          <w:bCs/>
          <w:color w:val="auto"/>
          <w:sz w:val="44"/>
          <w:szCs w:val="44"/>
          <w:lang w:eastAsia="zh-CN"/>
        </w:rPr>
        <w:t>投标文件</w:t>
      </w:r>
    </w:p>
    <w:p>
      <w:pPr>
        <w:shd w:val="clear" w:color="auto" w:fill="auto"/>
        <w:adjustRightInd w:val="0"/>
        <w:snapToGrid w:val="0"/>
        <w:spacing w:line="360" w:lineRule="auto"/>
        <w:jc w:val="center"/>
        <w:rPr>
          <w:rFonts w:hint="eastAsia" w:ascii="仿宋" w:hAnsi="仿宋" w:eastAsia="仿宋" w:cs="仿宋"/>
          <w:bCs/>
          <w:color w:val="auto"/>
          <w:sz w:val="32"/>
          <w:szCs w:val="32"/>
        </w:rPr>
      </w:pPr>
    </w:p>
    <w:p>
      <w:pPr>
        <w:shd w:val="clear" w:color="auto" w:fill="auto"/>
        <w:adjustRightInd w:val="0"/>
        <w:snapToGrid w:val="0"/>
        <w:spacing w:line="360" w:lineRule="auto"/>
        <w:jc w:val="both"/>
        <w:rPr>
          <w:rFonts w:hint="eastAsia" w:ascii="仿宋" w:hAnsi="仿宋" w:eastAsia="仿宋" w:cs="仿宋"/>
          <w:bCs/>
          <w:color w:val="auto"/>
          <w:sz w:val="32"/>
          <w:szCs w:val="32"/>
        </w:rPr>
      </w:pP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0"/>
          <w:kern w:val="0"/>
          <w:sz w:val="28"/>
          <w:szCs w:val="28"/>
          <w:fitText w:val="2810" w:id="582100416"/>
        </w:rPr>
        <w:t>供应商名称（公章）：</w:t>
      </w: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0"/>
          <w:w w:val="77"/>
          <w:kern w:val="0"/>
          <w:sz w:val="28"/>
          <w:szCs w:val="28"/>
          <w:fitText w:val="2810" w:id="797129465"/>
        </w:rPr>
        <w:t>法定代表人（</w:t>
      </w:r>
      <w:r>
        <w:rPr>
          <w:rFonts w:hint="eastAsia" w:ascii="仿宋" w:hAnsi="仿宋" w:eastAsia="仿宋" w:cs="仿宋"/>
          <w:b/>
          <w:caps/>
          <w:color w:val="auto"/>
          <w:spacing w:val="0"/>
          <w:w w:val="77"/>
          <w:kern w:val="0"/>
          <w:sz w:val="28"/>
          <w:szCs w:val="28"/>
          <w:fitText w:val="2810" w:id="797129465"/>
          <w:lang w:eastAsia="zh-CN"/>
        </w:rPr>
        <w:t>签章</w:t>
      </w:r>
      <w:r>
        <w:rPr>
          <w:rFonts w:hint="eastAsia" w:ascii="仿宋" w:hAnsi="仿宋" w:eastAsia="仿宋" w:cs="仿宋"/>
          <w:b/>
          <w:caps/>
          <w:color w:val="auto"/>
          <w:spacing w:val="0"/>
          <w:w w:val="77"/>
          <w:kern w:val="0"/>
          <w:sz w:val="28"/>
          <w:szCs w:val="28"/>
          <w:fitText w:val="2810" w:id="797129465"/>
        </w:rPr>
        <w:t>或盖章）</w:t>
      </w:r>
      <w:r>
        <w:rPr>
          <w:rFonts w:hint="eastAsia" w:ascii="仿宋" w:hAnsi="仿宋" w:eastAsia="仿宋" w:cs="仿宋"/>
          <w:b/>
          <w:caps/>
          <w:color w:val="auto"/>
          <w:spacing w:val="-1"/>
          <w:w w:val="77"/>
          <w:kern w:val="0"/>
          <w:sz w:val="28"/>
          <w:szCs w:val="28"/>
          <w:fitText w:val="2810" w:id="797129465"/>
        </w:rPr>
        <w:t>：</w:t>
      </w: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113"/>
          <w:kern w:val="0"/>
          <w:sz w:val="28"/>
          <w:szCs w:val="28"/>
          <w:fitText w:val="2810" w:id="1138104758"/>
        </w:rPr>
        <w:t>供应商地址</w:t>
      </w:r>
      <w:r>
        <w:rPr>
          <w:rFonts w:hint="eastAsia" w:ascii="仿宋" w:hAnsi="仿宋" w:eastAsia="仿宋" w:cs="仿宋"/>
          <w:b/>
          <w:caps/>
          <w:color w:val="auto"/>
          <w:spacing w:val="0"/>
          <w:kern w:val="0"/>
          <w:sz w:val="28"/>
          <w:szCs w:val="28"/>
          <w:fitText w:val="2810" w:id="1138104758"/>
        </w:rPr>
        <w:t>：</w:t>
      </w: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281"/>
          <w:kern w:val="0"/>
          <w:sz w:val="28"/>
          <w:szCs w:val="28"/>
          <w:fitText w:val="2810" w:id="669649596"/>
        </w:rPr>
        <w:t>联系人</w:t>
      </w:r>
      <w:r>
        <w:rPr>
          <w:rFonts w:hint="eastAsia" w:ascii="仿宋" w:hAnsi="仿宋" w:eastAsia="仿宋" w:cs="仿宋"/>
          <w:b/>
          <w:caps/>
          <w:color w:val="auto"/>
          <w:spacing w:val="2"/>
          <w:kern w:val="0"/>
          <w:sz w:val="28"/>
          <w:szCs w:val="28"/>
          <w:fitText w:val="2810" w:id="669649596"/>
        </w:rPr>
        <w:t>：</w:t>
      </w: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p>
    <w:p>
      <w:pPr>
        <w:shd w:val="clear" w:color="auto" w:fill="auto"/>
        <w:adjustRightInd w:val="0"/>
        <w:snapToGrid w:val="0"/>
        <w:spacing w:line="360" w:lineRule="auto"/>
        <w:ind w:right="-155" w:rightChars="-64"/>
        <w:rPr>
          <w:rFonts w:hint="eastAsia" w:ascii="仿宋" w:hAnsi="仿宋" w:eastAsia="仿宋" w:cs="仿宋"/>
          <w:b/>
          <w:caps/>
          <w:color w:val="auto"/>
          <w:sz w:val="28"/>
          <w:szCs w:val="28"/>
        </w:rPr>
      </w:pPr>
      <w:r>
        <w:rPr>
          <w:rFonts w:hint="eastAsia" w:ascii="仿宋" w:hAnsi="仿宋" w:eastAsia="仿宋" w:cs="仿宋"/>
          <w:b/>
          <w:caps/>
          <w:color w:val="auto"/>
          <w:spacing w:val="176"/>
          <w:kern w:val="0"/>
          <w:sz w:val="28"/>
          <w:szCs w:val="28"/>
          <w:fitText w:val="2810" w:id="1807447467"/>
        </w:rPr>
        <w:t>联系电话</w:t>
      </w:r>
      <w:r>
        <w:rPr>
          <w:rFonts w:hint="eastAsia" w:ascii="仿宋" w:hAnsi="仿宋" w:eastAsia="仿宋" w:cs="仿宋"/>
          <w:b/>
          <w:caps/>
          <w:color w:val="auto"/>
          <w:spacing w:val="1"/>
          <w:kern w:val="0"/>
          <w:sz w:val="28"/>
          <w:szCs w:val="28"/>
          <w:fitText w:val="2810" w:id="1807447467"/>
        </w:rPr>
        <w:t>：</w:t>
      </w:r>
    </w:p>
    <w:p>
      <w:pPr>
        <w:shd w:val="clear" w:color="auto" w:fill="auto"/>
        <w:adjustRightInd w:val="0"/>
        <w:snapToGrid w:val="0"/>
        <w:spacing w:line="360" w:lineRule="auto"/>
        <w:jc w:val="center"/>
        <w:rPr>
          <w:rFonts w:hint="eastAsia" w:ascii="仿宋" w:hAnsi="仿宋" w:eastAsia="仿宋" w:cs="仿宋"/>
          <w:b/>
          <w:caps/>
          <w:color w:val="auto"/>
          <w:sz w:val="28"/>
          <w:szCs w:val="28"/>
        </w:rPr>
      </w:pPr>
    </w:p>
    <w:p>
      <w:pPr>
        <w:shd w:val="clear" w:color="auto" w:fill="auto"/>
        <w:adjustRightInd w:val="0"/>
        <w:snapToGrid w:val="0"/>
        <w:spacing w:line="360" w:lineRule="auto"/>
        <w:jc w:val="center"/>
        <w:rPr>
          <w:rFonts w:hint="eastAsia" w:ascii="仿宋" w:hAnsi="仿宋" w:eastAsia="仿宋" w:cs="仿宋"/>
          <w:b/>
          <w:color w:val="auto"/>
          <w:sz w:val="28"/>
          <w:szCs w:val="28"/>
        </w:rPr>
      </w:pPr>
      <w:r>
        <w:rPr>
          <w:rFonts w:hint="eastAsia" w:ascii="仿宋" w:hAnsi="仿宋" w:eastAsia="仿宋" w:cs="仿宋"/>
          <w:b/>
          <w:color w:val="auto"/>
          <w:sz w:val="28"/>
          <w:szCs w:val="28"/>
        </w:rPr>
        <w:t>_</w:t>
      </w:r>
      <w:r>
        <w:rPr>
          <w:rFonts w:hint="eastAsia" w:ascii="仿宋" w:hAnsi="仿宋" w:eastAsia="仿宋" w:cs="仿宋"/>
          <w:b/>
          <w:color w:val="auto"/>
          <w:sz w:val="28"/>
          <w:szCs w:val="28"/>
          <w:u w:val="single"/>
        </w:rPr>
        <w:t xml:space="preserve">    </w:t>
      </w:r>
      <w:r>
        <w:rPr>
          <w:rFonts w:hint="eastAsia" w:ascii="仿宋" w:hAnsi="仿宋" w:eastAsia="仿宋" w:cs="仿宋"/>
          <w:b/>
          <w:color w:val="auto"/>
          <w:sz w:val="28"/>
          <w:szCs w:val="28"/>
        </w:rPr>
        <w:t>_年__</w:t>
      </w:r>
      <w:r>
        <w:rPr>
          <w:rFonts w:hint="eastAsia" w:ascii="仿宋" w:hAnsi="仿宋" w:eastAsia="仿宋" w:cs="仿宋"/>
          <w:b/>
          <w:color w:val="auto"/>
          <w:sz w:val="28"/>
          <w:szCs w:val="28"/>
          <w:u w:val="single"/>
        </w:rPr>
        <w:t xml:space="preserve">   </w:t>
      </w:r>
      <w:r>
        <w:rPr>
          <w:rFonts w:hint="eastAsia" w:ascii="仿宋" w:hAnsi="仿宋" w:eastAsia="仿宋" w:cs="仿宋"/>
          <w:b/>
          <w:color w:val="auto"/>
          <w:sz w:val="28"/>
          <w:szCs w:val="28"/>
        </w:rPr>
        <w:t>_月__</w:t>
      </w:r>
      <w:r>
        <w:rPr>
          <w:rFonts w:hint="eastAsia" w:ascii="仿宋" w:hAnsi="仿宋" w:eastAsia="仿宋" w:cs="仿宋"/>
          <w:b/>
          <w:color w:val="auto"/>
          <w:sz w:val="28"/>
          <w:szCs w:val="28"/>
          <w:u w:val="single"/>
        </w:rPr>
        <w:t xml:space="preserve">   </w:t>
      </w:r>
      <w:r>
        <w:rPr>
          <w:rFonts w:hint="eastAsia" w:ascii="仿宋" w:hAnsi="仿宋" w:eastAsia="仿宋" w:cs="仿宋"/>
          <w:b/>
          <w:color w:val="auto"/>
          <w:sz w:val="28"/>
          <w:szCs w:val="28"/>
        </w:rPr>
        <w:t>_日</w:t>
      </w:r>
    </w:p>
    <w:p>
      <w:pPr>
        <w:pStyle w:val="4"/>
        <w:numPr>
          <w:ilvl w:val="0"/>
          <w:numId w:val="0"/>
        </w:numPr>
        <w:shd w:val="clear" w:color="auto" w:fill="auto"/>
        <w:spacing w:before="0" w:line="240" w:lineRule="atLeast"/>
        <w:rPr>
          <w:rFonts w:hint="eastAsia" w:ascii="仿宋" w:hAnsi="仿宋" w:eastAsia="仿宋" w:cs="仿宋"/>
          <w:b/>
          <w:bCs/>
          <w:color w:val="auto"/>
          <w:sz w:val="24"/>
          <w:highlight w:val="none"/>
        </w:rPr>
      </w:pPr>
    </w:p>
    <w:p>
      <w:pPr>
        <w:pStyle w:val="4"/>
        <w:numPr>
          <w:ilvl w:val="0"/>
          <w:numId w:val="0"/>
        </w:numPr>
        <w:shd w:val="clear" w:color="auto" w:fill="auto"/>
        <w:spacing w:before="0" w:line="240" w:lineRule="atLeast"/>
        <w:jc w:val="both"/>
        <w:rPr>
          <w:rFonts w:hint="eastAsia" w:ascii="仿宋" w:hAnsi="仿宋" w:eastAsia="仿宋" w:cs="仿宋"/>
          <w:b/>
          <w:bCs/>
          <w:color w:val="auto"/>
          <w:sz w:val="24"/>
          <w:highlight w:val="none"/>
        </w:rPr>
      </w:pPr>
    </w:p>
    <w:p>
      <w:pPr>
        <w:pStyle w:val="4"/>
        <w:numPr>
          <w:ilvl w:val="0"/>
          <w:numId w:val="0"/>
        </w:numPr>
        <w:shd w:val="clear" w:color="auto" w:fill="auto"/>
        <w:spacing w:before="0" w:line="240" w:lineRule="atLeast"/>
        <w:rPr>
          <w:rFonts w:hint="eastAsia" w:ascii="仿宋" w:hAnsi="仿宋" w:eastAsia="仿宋" w:cs="仿宋"/>
          <w:b/>
          <w:bCs/>
          <w:color w:val="auto"/>
          <w:sz w:val="24"/>
          <w:highlight w:val="none"/>
        </w:rPr>
      </w:pPr>
    </w:p>
    <w:p>
      <w:pPr>
        <w:pStyle w:val="4"/>
        <w:numPr>
          <w:ilvl w:val="0"/>
          <w:numId w:val="0"/>
        </w:numPr>
        <w:shd w:val="clear" w:color="auto" w:fill="auto"/>
        <w:spacing w:before="0" w:line="240" w:lineRule="atLeast"/>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highlight w:val="none"/>
        </w:rPr>
        <w:t>第一部分 资格证明文件</w:t>
      </w:r>
      <w:bookmarkEnd w:id="94"/>
      <w:bookmarkEnd w:id="95"/>
      <w:bookmarkEnd w:id="96"/>
      <w:bookmarkEnd w:id="97"/>
    </w:p>
    <w:p>
      <w:pPr>
        <w:shd w:val="clear" w:color="auto" w:fill="auto"/>
        <w:spacing w:line="240" w:lineRule="atLeast"/>
        <w:ind w:left="708" w:hanging="716" w:hangingChars="295"/>
        <w:jc w:val="center"/>
        <w:rPr>
          <w:rFonts w:hint="eastAsia" w:ascii="仿宋" w:hAnsi="仿宋" w:eastAsia="仿宋" w:cs="仿宋"/>
          <w:color w:val="auto"/>
          <w:sz w:val="24"/>
          <w:highlight w:val="none"/>
        </w:rPr>
      </w:pP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（1）具有有效的三证合一营业执照；</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（2）具有授权委托书及被委托人身份证（法人提供法人证明书及法人身份证）；</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（3）投标企业须提供投标人（被授权人）近6个月内任意一个月的社保证明（新公司根据实际情况提供）；</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4）投标企业需提供参加本次采购活动前三年内未被“信用中国”（www.creditchina.gov.cn）、中国政府采购网（www.ccgp.gov.cn）列入失信被执行人、重大税收违法案件当事人名单、政府采购严重违法失信行为记录名单；</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（5）投标单位（供应商）针对本次采购项目《反商业贿赂承诺书》，《采购活动前三年内无重大违规记录承诺书》的书面声明。</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（6）本项目不接受联合体投标</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(7)保证金转账凭证或保函</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r>
        <w:rPr>
          <w:rFonts w:hint="eastAsia" w:ascii="仿宋" w:hAnsi="仿宋" w:eastAsia="仿宋" w:cs="仿宋"/>
          <w:b w:val="0"/>
          <w:bCs w:val="0"/>
          <w:color w:val="auto"/>
          <w:spacing w:val="0"/>
          <w:w w:val="100"/>
          <w:kern w:val="0"/>
          <w:position w:val="0"/>
          <w:sz w:val="21"/>
          <w:szCs w:val="21"/>
          <w:shd w:val="clear" w:color="auto" w:fill="auto"/>
          <w:lang w:val="en-US" w:eastAsia="zh-CN" w:bidi="en-US"/>
        </w:rPr>
        <w:t>(8）投标人须知资料表要求的其他资格证明文件;</w:t>
      </w: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p>
    <w:p>
      <w:pPr>
        <w:pStyle w:val="19"/>
        <w:keepNext w:val="0"/>
        <w:keepLines w:val="0"/>
        <w:widowControl/>
        <w:suppressLineNumbers w:val="0"/>
        <w:pBdr>
          <w:top w:val="none" w:color="auto" w:sz="0" w:space="0"/>
          <w:left w:val="none" w:color="auto" w:sz="0" w:space="0"/>
          <w:bottom w:val="none" w:color="auto" w:sz="0" w:space="0"/>
          <w:right w:val="none" w:color="auto" w:sz="0" w:space="0"/>
        </w:pBdr>
        <w:shd w:val="clear" w:color="auto" w:fill="auto"/>
        <w:spacing w:before="75" w:beforeAutospacing="0" w:after="75" w:afterAutospacing="0" w:line="240" w:lineRule="auto"/>
        <w:ind w:left="0" w:right="0" w:firstLine="420"/>
        <w:jc w:val="left"/>
        <w:rPr>
          <w:rFonts w:hint="eastAsia" w:ascii="仿宋" w:hAnsi="仿宋" w:eastAsia="仿宋" w:cs="仿宋"/>
          <w:b w:val="0"/>
          <w:bCs w:val="0"/>
          <w:color w:val="auto"/>
          <w:spacing w:val="0"/>
          <w:w w:val="100"/>
          <w:kern w:val="0"/>
          <w:position w:val="0"/>
          <w:sz w:val="21"/>
          <w:szCs w:val="21"/>
          <w:shd w:val="clear" w:color="auto" w:fill="auto"/>
          <w:lang w:val="en-US" w:eastAsia="zh-CN" w:bidi="en-US"/>
        </w:rPr>
      </w:pPr>
    </w:p>
    <w:p>
      <w:pPr>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41"/>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shd w:val="clear" w:color="auto" w:fill="auto"/>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lang w:val="en-US" w:eastAsia="zh-CN"/>
        </w:rPr>
      </w:pPr>
      <w:bookmarkStart w:id="98" w:name="_Toc515647805"/>
      <w:bookmarkStart w:id="99" w:name="_Toc4844"/>
      <w:bookmarkStart w:id="100" w:name="_Toc17577"/>
      <w:bookmarkStart w:id="101" w:name="_Toc29899"/>
    </w:p>
    <w:p>
      <w:pPr>
        <w:pStyle w:val="8"/>
        <w:keepNext w:val="0"/>
        <w:keepLines w:val="0"/>
        <w:pageBreakBefore w:val="0"/>
        <w:widowControl w:val="0"/>
        <w:numPr>
          <w:ilvl w:val="0"/>
          <w:numId w:val="0"/>
        </w:numPr>
        <w:shd w:val="clear" w:color="auto" w:fill="auto"/>
        <w:kinsoku w:val="0"/>
        <w:overflowPunct w:val="0"/>
        <w:topLinePunct w:val="0"/>
        <w:autoSpaceDE/>
        <w:autoSpaceDN/>
        <w:bidi w:val="0"/>
        <w:adjustRightInd/>
        <w:snapToGrid/>
        <w:spacing w:before="34" w:line="440" w:lineRule="exact"/>
        <w:ind w:right="126" w:rightChars="0"/>
        <w:jc w:val="both"/>
        <w:textAlignment w:val="auto"/>
        <w:rPr>
          <w:rFonts w:hint="eastAsia" w:ascii="仿宋" w:hAnsi="仿宋" w:eastAsia="仿宋" w:cs="仿宋"/>
          <w:b/>
          <w:bCs/>
          <w:color w:val="auto"/>
          <w:sz w:val="36"/>
          <w:szCs w:val="36"/>
          <w:lang w:val="en-US" w:eastAsia="zh-CN"/>
        </w:rPr>
      </w:pPr>
    </w:p>
    <w:p>
      <w:pPr>
        <w:pStyle w:val="8"/>
        <w:keepNext w:val="0"/>
        <w:keepLines w:val="0"/>
        <w:pageBreakBefore w:val="0"/>
        <w:widowControl w:val="0"/>
        <w:numPr>
          <w:ilvl w:val="0"/>
          <w:numId w:val="0"/>
        </w:numPr>
        <w:shd w:val="clear" w:color="auto" w:fill="auto"/>
        <w:kinsoku w:val="0"/>
        <w:overflowPunct w:val="0"/>
        <w:topLinePunct w:val="0"/>
        <w:autoSpaceDE/>
        <w:autoSpaceDN/>
        <w:bidi w:val="0"/>
        <w:adjustRightInd/>
        <w:snapToGrid/>
        <w:spacing w:before="34" w:line="440" w:lineRule="exact"/>
        <w:ind w:right="126" w:rightChars="0"/>
        <w:jc w:val="both"/>
        <w:textAlignment w:val="auto"/>
        <w:rPr>
          <w:rFonts w:hint="eastAsia" w:ascii="仿宋" w:hAnsi="仿宋" w:eastAsia="仿宋" w:cs="仿宋"/>
          <w:b/>
          <w:bCs/>
          <w:color w:val="auto"/>
          <w:sz w:val="36"/>
          <w:szCs w:val="36"/>
          <w:lang w:val="en-US" w:eastAsia="zh-CN"/>
        </w:rPr>
      </w:pPr>
    </w:p>
    <w:p>
      <w:pPr>
        <w:pStyle w:val="8"/>
        <w:keepNext w:val="0"/>
        <w:keepLines w:val="0"/>
        <w:pageBreakBefore w:val="0"/>
        <w:widowControl w:val="0"/>
        <w:numPr>
          <w:ilvl w:val="0"/>
          <w:numId w:val="0"/>
        </w:numPr>
        <w:shd w:val="clear" w:color="auto" w:fill="auto"/>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lang w:val="en-US" w:eastAsia="zh-CN"/>
        </w:rPr>
      </w:pPr>
    </w:p>
    <w:p>
      <w:pPr>
        <w:pStyle w:val="8"/>
        <w:keepNext w:val="0"/>
        <w:keepLines w:val="0"/>
        <w:pageBreakBefore w:val="0"/>
        <w:widowControl w:val="0"/>
        <w:numPr>
          <w:ilvl w:val="0"/>
          <w:numId w:val="0"/>
        </w:numPr>
        <w:shd w:val="clear" w:color="auto" w:fill="auto"/>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lang w:val="en-US" w:eastAsia="zh-CN"/>
        </w:rPr>
      </w:pPr>
      <w:r>
        <w:rPr>
          <w:rFonts w:hint="eastAsia" w:ascii="仿宋" w:hAnsi="仿宋" w:eastAsia="仿宋" w:cs="仿宋"/>
          <w:b/>
          <w:bCs/>
          <w:color w:val="auto"/>
          <w:sz w:val="36"/>
          <w:szCs w:val="36"/>
          <w:lang w:val="en-US" w:eastAsia="zh-CN"/>
        </w:rPr>
        <w:t>1、 法人或者非法人组织的营业执照等证明文件</w:t>
      </w:r>
      <w:bookmarkEnd w:id="98"/>
      <w:bookmarkStart w:id="102" w:name="_Toc515647806"/>
      <w:r>
        <w:rPr>
          <w:rFonts w:hint="eastAsia" w:ascii="仿宋" w:hAnsi="仿宋" w:eastAsia="仿宋" w:cs="仿宋"/>
          <w:b/>
          <w:bCs/>
          <w:color w:val="auto"/>
          <w:sz w:val="36"/>
          <w:szCs w:val="36"/>
          <w:lang w:val="en-US" w:eastAsia="zh-CN"/>
        </w:rPr>
        <w:t>或自然人的身份证明</w:t>
      </w:r>
      <w:bookmarkEnd w:id="99"/>
      <w:bookmarkEnd w:id="100"/>
      <w:bookmarkEnd w:id="101"/>
      <w:bookmarkEnd w:id="102"/>
    </w:p>
    <w:p>
      <w:pPr>
        <w:pStyle w:val="11"/>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jc w:val="center"/>
        <w:rPr>
          <w:rFonts w:hint="eastAsia" w:ascii="仿宋" w:hAnsi="仿宋" w:eastAsia="仿宋" w:cs="仿宋"/>
          <w:b/>
          <w:color w:val="auto"/>
          <w:sz w:val="24"/>
          <w:highlight w:val="none"/>
        </w:rPr>
      </w:pPr>
    </w:p>
    <w:p>
      <w:pPr>
        <w:pStyle w:val="11"/>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b/>
          <w:color w:val="auto"/>
          <w:sz w:val="24"/>
          <w:highlight w:val="none"/>
        </w:rPr>
      </w:pPr>
    </w:p>
    <w:p>
      <w:pPr>
        <w:pStyle w:val="11"/>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b/>
          <w:color w:val="auto"/>
          <w:sz w:val="24"/>
          <w:highlight w:val="none"/>
        </w:rPr>
      </w:pPr>
    </w:p>
    <w:p>
      <w:pPr>
        <w:pStyle w:val="11"/>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说明：1.提供有效的营业执照等证明文件</w:t>
      </w:r>
      <w:r>
        <w:rPr>
          <w:rFonts w:hint="eastAsia" w:ascii="仿宋" w:hAnsi="仿宋" w:eastAsia="仿宋" w:cs="仿宋"/>
          <w:color w:val="auto"/>
          <w:sz w:val="24"/>
          <w:highlight w:val="none"/>
          <w:lang w:eastAsia="zh-CN"/>
        </w:rPr>
        <w:t>件</w:t>
      </w:r>
      <w:r>
        <w:rPr>
          <w:rFonts w:hint="eastAsia" w:ascii="仿宋" w:hAnsi="仿宋" w:eastAsia="仿宋" w:cs="仿宋"/>
          <w:color w:val="auto"/>
          <w:sz w:val="24"/>
          <w:highlight w:val="none"/>
        </w:rPr>
        <w:t>，应加盖本单位章。</w:t>
      </w:r>
    </w:p>
    <w:p>
      <w:pPr>
        <w:pStyle w:val="11"/>
        <w:pageBreakBefore w:val="0"/>
        <w:widowControl w:val="0"/>
        <w:shd w:val="clear" w:color="auto" w:fill="auto"/>
        <w:tabs>
          <w:tab w:val="left" w:pos="5580"/>
        </w:tabs>
        <w:kinsoku/>
        <w:wordWrap/>
        <w:overflowPunct/>
        <w:topLinePunct w:val="0"/>
        <w:autoSpaceDE/>
        <w:autoSpaceDN/>
        <w:bidi w:val="0"/>
        <w:snapToGrid/>
        <w:spacing w:line="400" w:lineRule="exac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 投标人为自然人的，应提供身份证明的复印件。</w:t>
      </w: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rPr>
          <w:rFonts w:hint="eastAsia" w:ascii="仿宋" w:hAnsi="仿宋" w:eastAsia="仿宋" w:cs="仿宋"/>
          <w:b/>
          <w:bCs/>
          <w:color w:val="auto"/>
          <w:sz w:val="36"/>
          <w:szCs w:val="36"/>
        </w:rPr>
      </w:pPr>
    </w:p>
    <w:p>
      <w:pPr>
        <w:pStyle w:val="13"/>
        <w:rPr>
          <w:rFonts w:hint="eastAsia"/>
          <w:color w:val="auto"/>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right="126" w:rightChars="0"/>
        <w:jc w:val="both"/>
        <w:textAlignment w:val="auto"/>
        <w:rPr>
          <w:rFonts w:hint="eastAsia" w:ascii="仿宋" w:hAnsi="仿宋" w:eastAsia="仿宋" w:cs="仿宋"/>
          <w:b/>
          <w:bCs/>
          <w:color w:val="auto"/>
          <w:sz w:val="36"/>
          <w:szCs w:val="36"/>
        </w:rPr>
      </w:pPr>
    </w:p>
    <w:p>
      <w:pPr>
        <w:rPr>
          <w:rFonts w:hint="eastAsia" w:ascii="仿宋" w:hAnsi="仿宋" w:eastAsia="仿宋" w:cs="仿宋"/>
          <w:b/>
          <w:bCs/>
          <w:color w:val="auto"/>
          <w:sz w:val="36"/>
          <w:szCs w:val="36"/>
        </w:rPr>
      </w:pPr>
    </w:p>
    <w:p>
      <w:pPr>
        <w:pStyle w:val="5"/>
        <w:rPr>
          <w:rFonts w:hint="eastAsia"/>
          <w:color w:val="auto"/>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b/>
          <w:bCs/>
          <w:color w:val="auto"/>
          <w:sz w:val="36"/>
          <w:szCs w:val="36"/>
          <w:lang w:val="en-US" w:eastAsia="zh-CN"/>
        </w:rPr>
      </w:pPr>
    </w:p>
    <w:p>
      <w:pPr>
        <w:pStyle w:val="8"/>
        <w:keepNext w:val="0"/>
        <w:keepLines w:val="0"/>
        <w:pageBreakBefore w:val="0"/>
        <w:widowControl w:val="0"/>
        <w:numPr>
          <w:ilvl w:val="0"/>
          <w:numId w:val="0"/>
        </w:numPr>
        <w:kinsoku w:val="0"/>
        <w:overflowPunct w:val="0"/>
        <w:topLinePunct w:val="0"/>
        <w:autoSpaceDE/>
        <w:autoSpaceDN/>
        <w:bidi w:val="0"/>
        <w:adjustRightInd/>
        <w:snapToGrid/>
        <w:spacing w:before="34" w:line="440" w:lineRule="exact"/>
        <w:ind w:left="480" w:leftChars="0" w:right="126" w:rightChars="0"/>
        <w:jc w:val="center"/>
        <w:textAlignment w:val="auto"/>
        <w:rPr>
          <w:rFonts w:hint="eastAsia" w:ascii="仿宋" w:hAnsi="仿宋" w:eastAsia="仿宋" w:cs="仿宋"/>
          <w:color w:val="auto"/>
          <w:sz w:val="36"/>
          <w:szCs w:val="36"/>
        </w:rPr>
      </w:pPr>
      <w:r>
        <w:rPr>
          <w:rFonts w:hint="eastAsia" w:ascii="仿宋" w:hAnsi="仿宋" w:eastAsia="仿宋" w:cs="仿宋"/>
          <w:b/>
          <w:bCs/>
          <w:color w:val="auto"/>
          <w:sz w:val="36"/>
          <w:szCs w:val="36"/>
          <w:lang w:val="en-US" w:eastAsia="zh-CN"/>
        </w:rPr>
        <w:t>2</w:t>
      </w:r>
      <w:r>
        <w:rPr>
          <w:rFonts w:hint="eastAsia" w:ascii="仿宋" w:hAnsi="仿宋" w:eastAsia="仿宋" w:cs="仿宋"/>
          <w:b/>
          <w:bCs/>
          <w:color w:val="auto"/>
          <w:sz w:val="36"/>
          <w:szCs w:val="36"/>
        </w:rPr>
        <w:t>、法定代表人身份证明</w:t>
      </w:r>
    </w:p>
    <w:p>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投标单位名称：</w:t>
      </w:r>
      <w:r>
        <w:rPr>
          <w:rFonts w:hint="eastAsia" w:ascii="仿宋" w:hAnsi="仿宋" w:eastAsia="仿宋" w:cs="仿宋"/>
          <w:color w:val="auto"/>
          <w:kern w:val="0"/>
          <w:sz w:val="24"/>
          <w:u w:val="single"/>
        </w:rPr>
        <w:t xml:space="preserve">                       </w:t>
      </w:r>
    </w:p>
    <w:p>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单位性质：</w:t>
      </w:r>
      <w:r>
        <w:rPr>
          <w:rFonts w:hint="eastAsia" w:ascii="仿宋" w:hAnsi="仿宋" w:eastAsia="仿宋" w:cs="仿宋"/>
          <w:color w:val="auto"/>
          <w:kern w:val="0"/>
          <w:sz w:val="24"/>
          <w:u w:val="single"/>
        </w:rPr>
        <w:t xml:space="preserve">                           </w:t>
      </w:r>
    </w:p>
    <w:p>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地址：</w:t>
      </w:r>
      <w:r>
        <w:rPr>
          <w:rFonts w:hint="eastAsia" w:ascii="仿宋" w:hAnsi="仿宋" w:eastAsia="仿宋" w:cs="仿宋"/>
          <w:color w:val="auto"/>
          <w:kern w:val="0"/>
          <w:sz w:val="24"/>
          <w:u w:val="single"/>
        </w:rPr>
        <w:t xml:space="preserve">                               </w:t>
      </w:r>
    </w:p>
    <w:p>
      <w:pPr>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成立时间：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日</w:t>
      </w:r>
    </w:p>
    <w:p>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经营期限：</w:t>
      </w:r>
      <w:r>
        <w:rPr>
          <w:rFonts w:hint="eastAsia" w:ascii="仿宋" w:hAnsi="仿宋" w:eastAsia="仿宋" w:cs="仿宋"/>
          <w:color w:val="auto"/>
          <w:kern w:val="0"/>
          <w:sz w:val="24"/>
          <w:u w:val="single"/>
        </w:rPr>
        <w:t xml:space="preserve">             </w:t>
      </w:r>
    </w:p>
    <w:p>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姓名：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性别：</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年龄：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 职务：</w:t>
      </w:r>
      <w:r>
        <w:rPr>
          <w:rFonts w:hint="eastAsia" w:ascii="仿宋" w:hAnsi="仿宋" w:eastAsia="仿宋" w:cs="仿宋"/>
          <w:color w:val="auto"/>
          <w:kern w:val="0"/>
          <w:sz w:val="24"/>
          <w:u w:val="single"/>
        </w:rPr>
        <w:t xml:space="preserve">           </w:t>
      </w:r>
    </w:p>
    <w:p>
      <w:pPr>
        <w:spacing w:line="420" w:lineRule="exact"/>
        <w:ind w:firstLine="486" w:firstLineChars="200"/>
        <w:rPr>
          <w:rFonts w:hint="eastAsia" w:ascii="仿宋" w:hAnsi="仿宋" w:eastAsia="仿宋" w:cs="仿宋"/>
          <w:color w:val="auto"/>
          <w:kern w:val="0"/>
          <w:sz w:val="24"/>
          <w:u w:val="single"/>
        </w:rPr>
      </w:pPr>
      <w:r>
        <w:rPr>
          <w:rFonts w:hint="eastAsia" w:ascii="仿宋" w:hAnsi="仿宋" w:eastAsia="仿宋" w:cs="仿宋"/>
          <w:color w:val="auto"/>
          <w:kern w:val="0"/>
          <w:sz w:val="24"/>
        </w:rPr>
        <w:t>身份证号码：</w:t>
      </w:r>
      <w:r>
        <w:rPr>
          <w:rFonts w:hint="eastAsia" w:ascii="仿宋" w:hAnsi="仿宋" w:eastAsia="仿宋" w:cs="仿宋"/>
          <w:color w:val="auto"/>
          <w:kern w:val="0"/>
          <w:sz w:val="24"/>
          <w:u w:val="single"/>
        </w:rPr>
        <w:t xml:space="preserve">                                  </w:t>
      </w:r>
    </w:p>
    <w:p>
      <w:pPr>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系</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（投标单位名称）的法定代表人。</w:t>
      </w:r>
    </w:p>
    <w:p>
      <w:pPr>
        <w:spacing w:line="420" w:lineRule="exact"/>
        <w:ind w:firstLine="972" w:firstLineChars="400"/>
        <w:rPr>
          <w:rFonts w:hint="eastAsia" w:ascii="仿宋" w:hAnsi="仿宋" w:eastAsia="仿宋" w:cs="仿宋"/>
          <w:color w:val="auto"/>
          <w:kern w:val="0"/>
          <w:sz w:val="24"/>
        </w:rPr>
      </w:pPr>
      <w:r>
        <w:rPr>
          <w:rFonts w:hint="eastAsia" w:ascii="仿宋" w:hAnsi="仿宋" w:eastAsia="仿宋" w:cs="仿宋"/>
          <w:color w:val="auto"/>
          <w:kern w:val="0"/>
          <w:sz w:val="24"/>
        </w:rPr>
        <w:t>特此证明。</w:t>
      </w:r>
    </w:p>
    <w:p>
      <w:pPr>
        <w:pStyle w:val="8"/>
        <w:numPr>
          <w:ilvl w:val="0"/>
          <w:numId w:val="0"/>
        </w:numPr>
        <w:kinsoku w:val="0"/>
        <w:overflowPunct w:val="0"/>
        <w:ind w:leftChars="0" w:right="0" w:rightChars="0"/>
        <w:rPr>
          <w:rFonts w:hint="eastAsia" w:ascii="仿宋" w:hAnsi="仿宋" w:eastAsia="仿宋" w:cs="仿宋"/>
          <w:color w:val="auto"/>
          <w:sz w:val="20"/>
          <w:szCs w:val="20"/>
        </w:rPr>
      </w:pPr>
    </w:p>
    <w:p>
      <w:pPr>
        <w:pStyle w:val="8"/>
        <w:numPr>
          <w:ilvl w:val="0"/>
          <w:numId w:val="0"/>
        </w:numPr>
        <w:kinsoku w:val="0"/>
        <w:overflowPunct w:val="0"/>
        <w:spacing w:before="7"/>
        <w:ind w:leftChars="0" w:right="0" w:rightChars="0"/>
        <w:rPr>
          <w:rFonts w:hint="eastAsia" w:ascii="仿宋" w:hAnsi="仿宋" w:eastAsia="仿宋" w:cs="仿宋"/>
          <w:color w:val="auto"/>
          <w:sz w:val="25"/>
          <w:szCs w:val="25"/>
        </w:rPr>
      </w:pPr>
    </w:p>
    <w:p>
      <w:pPr>
        <w:pStyle w:val="8"/>
        <w:numPr>
          <w:ilvl w:val="0"/>
          <w:numId w:val="0"/>
        </w:numPr>
        <w:kinsoku w:val="0"/>
        <w:overflowPunct w:val="0"/>
        <w:spacing w:line="200" w:lineRule="atLeast"/>
        <w:ind w:right="0" w:rightChars="0"/>
        <w:rPr>
          <w:rFonts w:hint="eastAsia" w:ascii="仿宋" w:hAnsi="仿宋" w:eastAsia="仿宋" w:cs="仿宋"/>
          <w:color w:val="auto"/>
          <w:sz w:val="20"/>
          <w:szCs w:val="20"/>
        </w:rPr>
      </w:pPr>
      <w:r>
        <w:rPr>
          <w:rFonts w:hint="eastAsia" w:ascii="仿宋" w:hAnsi="仿宋" w:eastAsia="仿宋" w:cs="仿宋"/>
          <w:color w:val="auto"/>
          <w:sz w:val="20"/>
          <w:szCs w:val="20"/>
        </w:rPr>
        <mc:AlternateContent>
          <mc:Choice Requires="wpg">
            <w:drawing>
              <wp:inline distT="0" distB="0" distL="114300" distR="114300">
                <wp:extent cx="5136515" cy="1458595"/>
                <wp:effectExtent l="0" t="0" r="8255" b="9525"/>
                <wp:docPr id="34" name="组合 34"/>
                <wp:cNvGraphicFramePr/>
                <a:graphic xmlns:a="http://schemas.openxmlformats.org/drawingml/2006/main">
                  <a:graphicData uri="http://schemas.microsoft.com/office/word/2010/wordprocessingGroup">
                    <wpg:wgp>
                      <wpg:cNvGrpSpPr>
                        <a:grpSpLocks noRot="1"/>
                      </wpg:cNvGrpSpPr>
                      <wpg:grpSpPr>
                        <a:xfrm>
                          <a:off x="0" y="0"/>
                          <a:ext cx="5136515" cy="1458595"/>
                          <a:chOff x="0" y="0"/>
                          <a:chExt cx="8089" cy="2297"/>
                        </a:xfrm>
                      </wpg:grpSpPr>
                      <wps:wsp>
                        <wps:cNvPr id="14" name="任意多边形 14"/>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15" name="任意多边形 15"/>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16" name="任意多边形 16"/>
                        <wps:cNvSpPr/>
                        <wps:spPr>
                          <a:xfrm>
                            <a:off x="24" y="2267"/>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17" name="任意多边形 17"/>
                        <wps:cNvSpPr/>
                        <wps:spPr>
                          <a:xfrm>
                            <a:off x="4" y="2286"/>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19" name="任意多边形 19"/>
                        <wps:cNvSpPr/>
                        <wps:spPr>
                          <a:xfrm>
                            <a:off x="9" y="4"/>
                            <a:ext cx="20" cy="2287"/>
                          </a:xfrm>
                          <a:custGeom>
                            <a:avLst/>
                            <a:gdLst/>
                            <a:ahLst/>
                            <a:cxnLst/>
                            <a:pathLst>
                              <a:path w="20" h="2287">
                                <a:moveTo>
                                  <a:pt x="0" y="0"/>
                                </a:moveTo>
                                <a:lnTo>
                                  <a:pt x="0" y="2286"/>
                                </a:lnTo>
                              </a:path>
                            </a:pathLst>
                          </a:custGeom>
                          <a:noFill/>
                          <a:ln w="6096" cap="flat" cmpd="sng">
                            <a:solidFill>
                              <a:srgbClr val="000000"/>
                            </a:solidFill>
                            <a:prstDash val="solid"/>
                            <a:headEnd type="none" w="med" len="med"/>
                            <a:tailEnd type="none" w="med" len="med"/>
                          </a:ln>
                        </wps:spPr>
                        <wps:bodyPr upright="1"/>
                      </wps:wsp>
                      <wps:wsp>
                        <wps:cNvPr id="20" name="任意多边形 20"/>
                        <wps:cNvSpPr/>
                        <wps:spPr>
                          <a:xfrm>
                            <a:off x="28" y="24"/>
                            <a:ext cx="20" cy="2249"/>
                          </a:xfrm>
                          <a:custGeom>
                            <a:avLst/>
                            <a:gdLst/>
                            <a:ahLst/>
                            <a:cxnLst/>
                            <a:pathLst>
                              <a:path w="20" h="2249">
                                <a:moveTo>
                                  <a:pt x="0" y="0"/>
                                </a:moveTo>
                                <a:lnTo>
                                  <a:pt x="0" y="2248"/>
                                </a:lnTo>
                              </a:path>
                            </a:pathLst>
                          </a:custGeom>
                          <a:noFill/>
                          <a:ln w="6096" cap="flat" cmpd="sng">
                            <a:solidFill>
                              <a:srgbClr val="000000"/>
                            </a:solidFill>
                            <a:prstDash val="solid"/>
                            <a:headEnd type="none" w="med" len="med"/>
                            <a:tailEnd type="none" w="med" len="med"/>
                          </a:ln>
                        </wps:spPr>
                        <wps:bodyPr upright="1"/>
                      </wps:wsp>
                      <wps:wsp>
                        <wps:cNvPr id="21" name="任意多边形 21"/>
                        <wps:cNvSpPr/>
                        <wps:spPr>
                          <a:xfrm>
                            <a:off x="4034"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2" name="任意多边形 22"/>
                        <wps:cNvSpPr/>
                        <wps:spPr>
                          <a:xfrm>
                            <a:off x="4053"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3" name="任意多边形 23"/>
                        <wps:cNvSpPr/>
                        <wps:spPr>
                          <a:xfrm>
                            <a:off x="8059" y="33"/>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24" name="任意多边形 24"/>
                        <wps:cNvSpPr/>
                        <wps:spPr>
                          <a:xfrm>
                            <a:off x="8078" y="14"/>
                            <a:ext cx="20" cy="2278"/>
                          </a:xfrm>
                          <a:custGeom>
                            <a:avLst/>
                            <a:gdLst/>
                            <a:ahLst/>
                            <a:cxnLst/>
                            <a:pathLst>
                              <a:path w="20" h="2278">
                                <a:moveTo>
                                  <a:pt x="0" y="0"/>
                                </a:moveTo>
                                <a:lnTo>
                                  <a:pt x="0" y="2277"/>
                                </a:lnTo>
                              </a:path>
                            </a:pathLst>
                          </a:custGeom>
                          <a:noFill/>
                          <a:ln w="6096" cap="flat" cmpd="sng">
                            <a:solidFill>
                              <a:srgbClr val="000000"/>
                            </a:solidFill>
                            <a:prstDash val="solid"/>
                            <a:headEnd type="none" w="med" len="med"/>
                            <a:tailEnd type="none" w="med" len="med"/>
                          </a:ln>
                        </wps:spPr>
                        <wps:bodyPr upright="1"/>
                      </wps:wsp>
                      <wps:wsp>
                        <wps:cNvPr id="27" name="文本框 27"/>
                        <wps:cNvSpPr txBox="1"/>
                        <wps:spPr>
                          <a:xfrm>
                            <a:off x="19" y="19"/>
                            <a:ext cx="4025" cy="2258"/>
                          </a:xfrm>
                          <a:prstGeom prst="rect">
                            <a:avLst/>
                          </a:prstGeom>
                          <a:noFill/>
                          <a:ln>
                            <a:noFill/>
                          </a:ln>
                        </wps:spPr>
                        <wps:txbx>
                          <w:txbxContent>
                            <w:p>
                              <w:pPr>
                                <w:pStyle w:val="8"/>
                                <w:numPr>
                                  <w:ilvl w:val="0"/>
                                  <w:numId w:val="0"/>
                                </w:numPr>
                                <w:kinsoku w:val="0"/>
                                <w:overflowPunct w:val="0"/>
                                <w:spacing w:before="13"/>
                                <w:ind w:leftChars="0" w:right="0" w:rightChars="0"/>
                                <w:rPr>
                                  <w:rFonts w:hint="eastAsia"/>
                                  <w:sz w:val="28"/>
                                  <w:szCs w:val="28"/>
                                </w:rPr>
                              </w:pPr>
                            </w:p>
                            <w:p>
                              <w:pPr>
                                <w:pStyle w:val="8"/>
                                <w:numPr>
                                  <w:ilvl w:val="0"/>
                                  <w:numId w:val="0"/>
                                </w:numPr>
                                <w:kinsoku w:val="0"/>
                                <w:overflowPunct w:val="0"/>
                                <w:ind w:right="0" w:rightChars="0"/>
                                <w:jc w:val="center"/>
                              </w:pPr>
                              <w:r>
                                <w:rPr>
                                  <w:rFonts w:hint="eastAsia"/>
                                </w:rPr>
                                <w:t>法定代表人身份证复印件（正面）</w:t>
                              </w:r>
                            </w:p>
                          </w:txbxContent>
                        </wps:txbx>
                        <wps:bodyPr lIns="0" tIns="0" rIns="0" bIns="0" upright="1"/>
                      </wps:wsp>
                      <wps:wsp>
                        <wps:cNvPr id="32" name="文本框 32"/>
                        <wps:cNvSpPr txBox="1"/>
                        <wps:spPr>
                          <a:xfrm>
                            <a:off x="4044" y="19"/>
                            <a:ext cx="4025" cy="2258"/>
                          </a:xfrm>
                          <a:prstGeom prst="rect">
                            <a:avLst/>
                          </a:prstGeom>
                          <a:noFill/>
                          <a:ln>
                            <a:noFill/>
                          </a:ln>
                        </wps:spPr>
                        <wps:txbx>
                          <w:txbxContent>
                            <w:p>
                              <w:pPr>
                                <w:pStyle w:val="8"/>
                                <w:numPr>
                                  <w:ilvl w:val="0"/>
                                  <w:numId w:val="0"/>
                                </w:numPr>
                                <w:kinsoku w:val="0"/>
                                <w:overflowPunct w:val="0"/>
                                <w:spacing w:before="13"/>
                                <w:ind w:leftChars="0" w:right="0" w:rightChars="0"/>
                                <w:rPr>
                                  <w:rFonts w:hint="eastAsia"/>
                                  <w:sz w:val="28"/>
                                  <w:szCs w:val="28"/>
                                </w:rPr>
                              </w:pPr>
                            </w:p>
                            <w:p>
                              <w:pPr>
                                <w:pStyle w:val="8"/>
                                <w:numPr>
                                  <w:ilvl w:val="0"/>
                                  <w:numId w:val="0"/>
                                </w:numPr>
                                <w:kinsoku w:val="0"/>
                                <w:overflowPunct w:val="0"/>
                                <w:ind w:right="0" w:rightChars="0"/>
                              </w:pPr>
                              <w:r>
                                <w:rPr>
                                  <w:rFonts w:hint="eastAsia"/>
                                </w:rPr>
                                <w:t>法定代表人身份证复印件（反面）</w:t>
                              </w:r>
                            </w:p>
                          </w:txbxContent>
                        </wps:txbx>
                        <wps:bodyPr lIns="0" tIns="0" rIns="0" bIns="0" upright="1"/>
                      </wps:wsp>
                    </wpg:wgp>
                  </a:graphicData>
                </a:graphic>
              </wp:inline>
            </w:drawing>
          </mc:Choice>
          <mc:Fallback>
            <w:pict>
              <v:group id="_x0000_s1026" o:spid="_x0000_s1026" o:spt="203" style="height:114.85pt;width:404.45pt;" coordsize="8089,2297" o:gfxdata="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">
                <o:lock v:ext="edit" rotation="t" aspectratio="f"/>
                <v:shape id="_x0000_s1026" o:spid="_x0000_s1026" o:spt="100" style="position:absolute;left:4;top:9;height:20;width:8079;" filled="f" stroked="t" coordsize="8079,20" o:gfxdata="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niTFugAAANsA&#10;AAAPAAAAAAAAAAEAIAAAACIAAABkcnMvZG93bnJldi54bWxQSwECFAAUAAAACACHTuJAMy8FnjsA&#10;AAA5AAAAEAAAAAAAAAABACAAAAAJAQAAZHJzL3NoYXBleG1sLnhtbFBLBQYAAAAABgAGAFsBAACz&#10;AwAAAAA=&#10;" path="m0,0l8078,0e">
                  <v:fill on="f" focussize="0,0"/>
                  <v:stroke weight="0.48pt" color="#000000" joinstyle="round"/>
                  <v:imagedata o:title=""/>
                  <o:lock v:ext="edit" aspectratio="f"/>
                </v:shape>
                <v:shape id="_x0000_s1026" o:spid="_x0000_s1026" o:spt="100" style="position:absolute;left:24;top:28;height:20;width:8041;" filled="f" stroked="t" coordsize="8041,20" o:gfxdata="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D7PRO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_x0000_s1026" o:spid="_x0000_s1026" o:spt="100" style="position:absolute;left:24;top:2267;height:20;width:8041;" filled="f" stroked="t" coordsize="8041,20" o:gfxdata="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zPmo5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_x0000_s1026" o:spid="_x0000_s1026" o:spt="100" style="position:absolute;left:4;top:2286;height:20;width:8079;" filled="f" stroked="t" coordsize="8079,20" o:gfxdata="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6TLqyugAAANsA&#10;AAAPAAAAAAAAAAEAIAAAACIAAABkcnMvZG93bnJldi54bWxQSwECFAAUAAAACACHTuJAMy8FnjsA&#10;AAA5AAAAEAAAAAAAAAABACAAAAAJAQAAZHJzL3NoYXBleG1sLnhtbFBLBQYAAAAABgAGAFsBAACz&#10;AwAAAAA=&#10;" path="m0,0l8078,0e">
                  <v:fill on="f" focussize="0,0"/>
                  <v:stroke weight="0.48pt" color="#000000" joinstyle="round"/>
                  <v:imagedata o:title=""/>
                  <o:lock v:ext="edit" aspectratio="f"/>
                </v:shape>
                <v:shape id="_x0000_s1026" o:spid="_x0000_s1026" o:spt="100" style="position:absolute;left:9;top:4;height:2287;width:20;" filled="f" stroked="t" coordsize="20,2287" o:gfxdata="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SEV/JugAAANsA&#10;AAAPAAAAAAAAAAEAIAAAACIAAABkcnMvZG93bnJldi54bWxQSwECFAAUAAAACACHTuJAMy8FnjsA&#10;AAA5AAAAEAAAAAAAAAABACAAAAAJAQAAZHJzL3NoYXBleG1sLnhtbFBLBQYAAAAABgAGAFsBAACz&#10;AwAAAAA=&#10;" path="m0,0l0,2286e">
                  <v:fill on="f" focussize="0,0"/>
                  <v:stroke weight="0.48pt" color="#000000" joinstyle="round"/>
                  <v:imagedata o:title=""/>
                  <o:lock v:ext="edit" aspectratio="f"/>
                </v:shape>
                <v:shape id="_x0000_s1026" o:spid="_x0000_s1026" o:spt="100" style="position:absolute;left:28;top:24;height:2249;width:20;" filled="f" stroked="t" coordsize="20,2249" o:gfxdata="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o0FDO8AAAA&#10;2wAAAA8AAAAAAAAAAQAgAAAAIgAAAGRycy9kb3ducmV2LnhtbFBLAQIUABQAAAAIAIdO4kAzLwWe&#10;OwAAADkAAAAQAAAAAAAAAAEAIAAAAAsBAABkcnMvc2hhcGV4bWwueG1sUEsFBgAAAAAGAAYAWwEA&#10;ALUDAAAAAA==&#10;" path="m0,0l0,2248e">
                  <v:fill on="f" focussize="0,0"/>
                  <v:stroke weight="0.48pt" color="#000000" joinstyle="round"/>
                  <v:imagedata o:title=""/>
                  <o:lock v:ext="edit" aspectratio="f"/>
                </v:shape>
                <v:shape id="_x0000_s1026" o:spid="_x0000_s1026" o:spt="100" style="position:absolute;left:4034;top:24;height:2239;width:20;" filled="f" stroked="t" coordsize="20,2239" o:gfxdata="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M7irbsAAADb&#10;AAAADwAAAAAAAAABACAAAAAiAAAAZHJzL2Rvd25yZXYueG1sUEsBAhQAFAAAAAgAh07iQDMvBZ47&#10;AAAAOQAAABAAAAAAAAAAAQAgAAAACgEAAGRycy9zaGFwZXhtbC54bWxQSwUGAAAAAAYABgBbAQAA&#10;tAMAAAAA&#10;" path="m0,0l0,2238e">
                  <v:fill on="f" focussize="0,0"/>
                  <v:stroke weight="0.48pt" color="#000000" joinstyle="round"/>
                  <v:imagedata o:title=""/>
                  <o:lock v:ext="edit" aspectratio="f"/>
                </v:shape>
                <v:shape id="_x0000_s1026" o:spid="_x0000_s1026" o:spt="100" style="position:absolute;left:4053;top:24;height:2239;width:20;" filled="f" stroked="t" coordsize="20,2239" o:gfxdata="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xBx82rsAAADb&#10;AAAADwAAAAAAAAABACAAAAAiAAAAZHJzL2Rvd25yZXYueG1sUEsBAhQAFAAAAAgAh07iQDMvBZ47&#10;AAAAOQAAABAAAAAAAAAAAQAgAAAACgEAAGRycy9zaGFwZXhtbC54bWxQSwUGAAAAAAYABgBbAQAA&#10;tAMAAAAA&#10;" path="m0,0l0,2238e">
                  <v:fill on="f" focussize="0,0"/>
                  <v:stroke weight="0.48pt" color="#000000" joinstyle="round"/>
                  <v:imagedata o:title=""/>
                  <o:lock v:ext="edit" aspectratio="f"/>
                </v:shape>
                <v:shape id="_x0000_s1026" o:spid="_x0000_s1026" o:spt="100" style="position:absolute;left:8059;top:33;height:2239;width:20;" filled="f" stroked="t" coordsize="20,2239" o:gfxdata="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tQ2UG5AAAA2wAA&#10;AA8AAAAAAAAAAQAgAAAAIgAAAGRycy9kb3ducmV2LnhtbFBLAQIUABQAAAAIAIdO4kAzLwWeOwAA&#10;ADkAAAAQAAAAAAAAAAEAIAAAAAgBAABkcnMvc2hhcGV4bWwueG1sUEsFBgAAAAAGAAYAWwEAALID&#10;AAAAAA==&#10;" path="m0,0l0,2238e">
                  <v:fill on="f" focussize="0,0"/>
                  <v:stroke weight="0.48pt" color="#000000" joinstyle="round"/>
                  <v:imagedata o:title=""/>
                  <o:lock v:ext="edit" aspectratio="f"/>
                </v:shape>
                <v:shape id="_x0000_s1026" o:spid="_x0000_s1026" o:spt="100" style="position:absolute;left:8078;top:14;height:2278;width:20;" filled="f" stroked="t" coordsize="20,2278" o:gfxdata="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xB+w7vQAA&#10;ANsAAAAPAAAAAAAAAAEAIAAAACIAAABkcnMvZG93bnJldi54bWxQSwECFAAUAAAACACHTuJAMy8F&#10;njsAAAA5AAAAEAAAAAAAAAABACAAAAAMAQAAZHJzL3NoYXBleG1sLnhtbFBLBQYAAAAABgAGAFsB&#10;AAC2AwAAAAA=&#10;" path="m0,0l0,2277e">
                  <v:fill on="f" focussize="0,0"/>
                  <v:stroke weight="0.48pt" color="#000000" joinstyle="round"/>
                  <v:imagedata o:title=""/>
                  <o:lock v:ext="edit" aspectratio="f"/>
                </v:shape>
                <v:shape id="_x0000_s1026" o:spid="_x0000_s1026" o:spt="202" type="#_x0000_t202" style="position:absolute;left:19;top:19;height:2258;width:4025;"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pStyle w:val="8"/>
                          <w:numPr>
                            <w:ilvl w:val="0"/>
                            <w:numId w:val="0"/>
                          </w:numPr>
                          <w:kinsoku w:val="0"/>
                          <w:overflowPunct w:val="0"/>
                          <w:spacing w:before="13"/>
                          <w:ind w:leftChars="0" w:right="0" w:rightChars="0"/>
                          <w:rPr>
                            <w:rFonts w:hint="eastAsia"/>
                            <w:sz w:val="28"/>
                            <w:szCs w:val="28"/>
                          </w:rPr>
                        </w:pPr>
                      </w:p>
                      <w:p>
                        <w:pPr>
                          <w:pStyle w:val="8"/>
                          <w:numPr>
                            <w:ilvl w:val="0"/>
                            <w:numId w:val="0"/>
                          </w:numPr>
                          <w:kinsoku w:val="0"/>
                          <w:overflowPunct w:val="0"/>
                          <w:ind w:right="0" w:rightChars="0"/>
                          <w:jc w:val="center"/>
                        </w:pPr>
                        <w:r>
                          <w:rPr>
                            <w:rFonts w:hint="eastAsia"/>
                          </w:rPr>
                          <w:t>法定代表人身份证复印件（正面）</w:t>
                        </w:r>
                      </w:p>
                    </w:txbxContent>
                  </v:textbox>
                </v:shape>
                <v:shape id="_x0000_s1026" o:spid="_x0000_s1026" o:spt="202" type="#_x0000_t202" style="position:absolute;left:4044;top:19;height:2258;width:4025;" filled="f" stroked="f" coordsize="21600,21600" o:gfxdata="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3iGWNL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pStyle w:val="8"/>
                          <w:numPr>
                            <w:ilvl w:val="0"/>
                            <w:numId w:val="0"/>
                          </w:numPr>
                          <w:kinsoku w:val="0"/>
                          <w:overflowPunct w:val="0"/>
                          <w:spacing w:before="13"/>
                          <w:ind w:leftChars="0" w:right="0" w:rightChars="0"/>
                          <w:rPr>
                            <w:rFonts w:hint="eastAsia"/>
                            <w:sz w:val="28"/>
                            <w:szCs w:val="28"/>
                          </w:rPr>
                        </w:pPr>
                      </w:p>
                      <w:p>
                        <w:pPr>
                          <w:pStyle w:val="8"/>
                          <w:numPr>
                            <w:ilvl w:val="0"/>
                            <w:numId w:val="0"/>
                          </w:numPr>
                          <w:kinsoku w:val="0"/>
                          <w:overflowPunct w:val="0"/>
                          <w:ind w:right="0" w:rightChars="0"/>
                        </w:pPr>
                        <w:r>
                          <w:rPr>
                            <w:rFonts w:hint="eastAsia"/>
                          </w:rPr>
                          <w:t>法定代表人身份证复印件（反面）</w:t>
                        </w:r>
                      </w:p>
                    </w:txbxContent>
                  </v:textbox>
                </v:shape>
                <w10:wrap type="none"/>
                <w10:anchorlock/>
              </v:group>
            </w:pict>
          </mc:Fallback>
        </mc:AlternateContent>
      </w:r>
    </w:p>
    <w:p>
      <w:pPr>
        <w:wordWrap w:val="0"/>
        <w:spacing w:line="420" w:lineRule="exact"/>
        <w:ind w:firstLine="486" w:firstLineChars="200"/>
        <w:jc w:val="right"/>
        <w:rPr>
          <w:rFonts w:hint="eastAsia" w:ascii="仿宋" w:hAnsi="仿宋" w:eastAsia="仿宋" w:cs="仿宋"/>
          <w:color w:val="auto"/>
          <w:kern w:val="0"/>
          <w:sz w:val="24"/>
        </w:rPr>
      </w:pPr>
    </w:p>
    <w:p>
      <w:pPr>
        <w:spacing w:line="420" w:lineRule="exact"/>
        <w:ind w:firstLine="486" w:firstLineChars="200"/>
        <w:jc w:val="right"/>
        <w:rPr>
          <w:rFonts w:hint="eastAsia" w:ascii="仿宋" w:hAnsi="仿宋" w:eastAsia="仿宋" w:cs="仿宋"/>
          <w:color w:val="auto"/>
          <w:kern w:val="0"/>
          <w:sz w:val="24"/>
        </w:rPr>
      </w:pPr>
    </w:p>
    <w:p>
      <w:pPr>
        <w:spacing w:line="420" w:lineRule="exact"/>
        <w:ind w:firstLine="486" w:firstLineChars="200"/>
        <w:jc w:val="right"/>
        <w:rPr>
          <w:rFonts w:hint="eastAsia" w:ascii="仿宋" w:hAnsi="仿宋" w:eastAsia="仿宋" w:cs="仿宋"/>
          <w:color w:val="auto"/>
          <w:kern w:val="0"/>
          <w:sz w:val="24"/>
        </w:rPr>
      </w:pPr>
      <w:r>
        <w:rPr>
          <w:rFonts w:hint="eastAsia" w:ascii="仿宋" w:hAnsi="仿宋" w:eastAsia="仿宋" w:cs="仿宋"/>
          <w:color w:val="auto"/>
          <w:kern w:val="0"/>
          <w:sz w:val="24"/>
        </w:rPr>
        <w:t>投标人：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（公章）</w:t>
      </w:r>
    </w:p>
    <w:p>
      <w:pPr>
        <w:wordWrap w:val="0"/>
        <w:spacing w:line="420" w:lineRule="exact"/>
        <w:ind w:right="480" w:firstLine="486" w:firstLineChars="200"/>
        <w:jc w:val="center"/>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日 </w:t>
      </w:r>
    </w:p>
    <w:p>
      <w:pPr>
        <w:pStyle w:val="8"/>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Cs w:val="21"/>
        </w:rPr>
      </w:pPr>
      <w:r>
        <w:rPr>
          <w:rFonts w:hint="eastAsia" w:ascii="仿宋" w:hAnsi="仿宋" w:eastAsia="仿宋" w:cs="仿宋"/>
          <w:color w:val="auto"/>
        </w:rPr>
        <w:br w:type="page"/>
      </w:r>
      <w:r>
        <w:rPr>
          <w:rFonts w:hint="eastAsia" w:ascii="仿宋" w:hAnsi="仿宋" w:eastAsia="仿宋" w:cs="仿宋"/>
          <w:b/>
          <w:bCs/>
          <w:color w:val="auto"/>
          <w:sz w:val="36"/>
          <w:szCs w:val="36"/>
          <w:lang w:val="en-US" w:eastAsia="zh-CN"/>
        </w:rPr>
        <w:t>3</w:t>
      </w:r>
      <w:r>
        <w:rPr>
          <w:rFonts w:hint="eastAsia" w:ascii="仿宋" w:hAnsi="仿宋" w:eastAsia="仿宋" w:cs="仿宋"/>
          <w:b/>
          <w:bCs/>
          <w:color w:val="auto"/>
          <w:sz w:val="36"/>
          <w:szCs w:val="36"/>
        </w:rPr>
        <w:t>、授权委托书</w:t>
      </w:r>
    </w:p>
    <w:p>
      <w:pPr>
        <w:spacing w:line="420" w:lineRule="exact"/>
        <w:rPr>
          <w:rFonts w:hint="eastAsia" w:ascii="仿宋" w:hAnsi="仿宋" w:eastAsia="仿宋" w:cs="仿宋"/>
          <w:color w:val="auto"/>
          <w:kern w:val="0"/>
          <w:sz w:val="24"/>
        </w:rPr>
      </w:pPr>
      <w:r>
        <w:rPr>
          <w:rFonts w:hint="eastAsia" w:ascii="仿宋" w:hAnsi="仿宋" w:eastAsia="仿宋" w:cs="仿宋"/>
          <w:color w:val="auto"/>
          <w:kern w:val="0"/>
          <w:sz w:val="24"/>
        </w:rPr>
        <w:t xml:space="preserve">致：采购人名称 </w:t>
      </w:r>
    </w:p>
    <w:p>
      <w:pPr>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本授权书声明：注册于</w:t>
      </w:r>
      <w:r>
        <w:rPr>
          <w:rFonts w:hint="eastAsia" w:ascii="仿宋" w:hAnsi="仿宋" w:eastAsia="仿宋" w:cs="仿宋"/>
          <w:color w:val="auto"/>
          <w:kern w:val="0"/>
          <w:sz w:val="24"/>
          <w:u w:val="single"/>
        </w:rPr>
        <w:t>（投标人地址）</w:t>
      </w:r>
      <w:r>
        <w:rPr>
          <w:rFonts w:hint="eastAsia" w:ascii="仿宋" w:hAnsi="仿宋" w:eastAsia="仿宋" w:cs="仿宋"/>
          <w:color w:val="auto"/>
          <w:kern w:val="0"/>
          <w:sz w:val="24"/>
        </w:rPr>
        <w:t>的</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法定代表人（负责人）</w:t>
      </w:r>
      <w:r>
        <w:rPr>
          <w:rFonts w:hint="eastAsia" w:ascii="仿宋" w:hAnsi="仿宋" w:eastAsia="仿宋" w:cs="仿宋"/>
          <w:color w:val="auto"/>
          <w:kern w:val="0"/>
          <w:sz w:val="24"/>
          <w:u w:val="single"/>
        </w:rPr>
        <w:t>姓名、职务或职称）</w:t>
      </w:r>
      <w:r>
        <w:rPr>
          <w:rFonts w:hint="eastAsia" w:ascii="仿宋" w:hAnsi="仿宋" w:eastAsia="仿宋" w:cs="仿宋"/>
          <w:color w:val="auto"/>
          <w:kern w:val="0"/>
          <w:sz w:val="24"/>
        </w:rPr>
        <w:t>代表本公司授权</w:t>
      </w:r>
      <w:r>
        <w:rPr>
          <w:rFonts w:hint="eastAsia" w:ascii="仿宋" w:hAnsi="仿宋" w:eastAsia="仿宋" w:cs="仿宋"/>
          <w:color w:val="auto"/>
          <w:kern w:val="0"/>
          <w:sz w:val="24"/>
          <w:u w:val="single"/>
        </w:rPr>
        <w:t>（姓名）</w:t>
      </w:r>
      <w:r>
        <w:rPr>
          <w:rFonts w:hint="eastAsia" w:ascii="仿宋" w:hAnsi="仿宋" w:eastAsia="仿宋" w:cs="仿宋"/>
          <w:color w:val="auto"/>
          <w:kern w:val="0"/>
          <w:sz w:val="24"/>
        </w:rPr>
        <w:t>为本单位的合法代理人，参与贵方组织的</w:t>
      </w:r>
      <w:r>
        <w:rPr>
          <w:rFonts w:hint="eastAsia" w:ascii="仿宋" w:hAnsi="仿宋" w:eastAsia="仿宋" w:cs="仿宋"/>
          <w:color w:val="auto"/>
          <w:kern w:val="0"/>
          <w:sz w:val="24"/>
          <w:u w:val="single"/>
        </w:rPr>
        <w:t>（项目名称及项目编号）</w:t>
      </w:r>
      <w:r>
        <w:rPr>
          <w:rFonts w:hint="eastAsia" w:ascii="仿宋" w:hAnsi="仿宋" w:eastAsia="仿宋" w:cs="仿宋"/>
          <w:color w:val="auto"/>
          <w:kern w:val="0"/>
          <w:sz w:val="24"/>
        </w:rPr>
        <w:t xml:space="preserve"> 的投标、谈判、签约等具体工作，并签署全部有关文件、协议及合同。</w:t>
      </w:r>
    </w:p>
    <w:p>
      <w:pPr>
        <w:adjustRightInd w:val="0"/>
        <w:snapToGrid w:val="0"/>
        <w:spacing w:line="42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我单位对被授权人的上述经济活动负全部责任。在撤销授权的书面通知前，本授权书一直有效。被授权人在授权书有效期内签署的所有文件不因授权的撤消而失效。</w:t>
      </w:r>
    </w:p>
    <w:p>
      <w:pPr>
        <w:pStyle w:val="8"/>
        <w:tabs>
          <w:tab w:val="left" w:pos="780"/>
        </w:tabs>
        <w:kinsoku w:val="0"/>
        <w:overflowPunct w:val="0"/>
        <w:adjustRightInd w:val="0"/>
        <w:snapToGrid w:val="0"/>
        <w:spacing w:before="12"/>
        <w:rPr>
          <w:rFonts w:hint="eastAsia" w:ascii="仿宋" w:hAnsi="仿宋" w:eastAsia="仿宋" w:cs="仿宋"/>
          <w:color w:val="auto"/>
          <w:sz w:val="4"/>
          <w:szCs w:val="4"/>
        </w:rPr>
      </w:pPr>
    </w:p>
    <w:p>
      <w:pPr>
        <w:pStyle w:val="8"/>
        <w:numPr>
          <w:ilvl w:val="0"/>
          <w:numId w:val="0"/>
        </w:numPr>
        <w:kinsoku w:val="0"/>
        <w:overflowPunct w:val="0"/>
        <w:adjustRightInd w:val="0"/>
        <w:snapToGrid w:val="0"/>
        <w:spacing w:line="200" w:lineRule="atLeast"/>
        <w:ind w:right="1931" w:rightChars="795"/>
        <w:jc w:val="center"/>
        <w:rPr>
          <w:rFonts w:hint="eastAsia" w:ascii="仿宋" w:hAnsi="仿宋" w:eastAsia="仿宋" w:cs="仿宋"/>
          <w:color w:val="auto"/>
          <w:sz w:val="18"/>
          <w:szCs w:val="20"/>
        </w:rPr>
      </w:pPr>
      <w:r>
        <w:rPr>
          <w:rFonts w:hint="eastAsia" w:ascii="仿宋" w:hAnsi="仿宋" w:eastAsia="仿宋" w:cs="仿宋"/>
          <w:color w:val="auto"/>
          <w:sz w:val="18"/>
          <w:szCs w:val="20"/>
        </w:rPr>
        <mc:AlternateContent>
          <mc:Choice Requires="wpg">
            <w:drawing>
              <wp:inline distT="0" distB="0" distL="114300" distR="114300">
                <wp:extent cx="5136515" cy="1458595"/>
                <wp:effectExtent l="0" t="0" r="8255" b="9525"/>
                <wp:docPr id="35" name="组合 35"/>
                <wp:cNvGraphicFramePr/>
                <a:graphic xmlns:a="http://schemas.openxmlformats.org/drawingml/2006/main">
                  <a:graphicData uri="http://schemas.microsoft.com/office/word/2010/wordprocessingGroup">
                    <wpg:wgp>
                      <wpg:cNvGrpSpPr>
                        <a:grpSpLocks noRot="1"/>
                      </wpg:cNvGrpSpPr>
                      <wpg:grpSpPr>
                        <a:xfrm>
                          <a:off x="0" y="0"/>
                          <a:ext cx="5136515" cy="1458595"/>
                          <a:chOff x="0" y="0"/>
                          <a:chExt cx="8089" cy="2297"/>
                        </a:xfrm>
                      </wpg:grpSpPr>
                      <wps:wsp>
                        <wps:cNvPr id="28" name="任意多边形 1"/>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2" name="任意多边形 2"/>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3" name="任意多边形 3"/>
                        <wps:cNvSpPr/>
                        <wps:spPr>
                          <a:xfrm>
                            <a:off x="24" y="2267"/>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4" name="任意多边形 4"/>
                        <wps:cNvSpPr/>
                        <wps:spPr>
                          <a:xfrm>
                            <a:off x="4" y="2286"/>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5" name="任意多边形 5"/>
                        <wps:cNvSpPr/>
                        <wps:spPr>
                          <a:xfrm>
                            <a:off x="9" y="4"/>
                            <a:ext cx="20" cy="2287"/>
                          </a:xfrm>
                          <a:custGeom>
                            <a:avLst/>
                            <a:gdLst/>
                            <a:ahLst/>
                            <a:cxnLst/>
                            <a:pathLst>
                              <a:path w="20" h="2287">
                                <a:moveTo>
                                  <a:pt x="0" y="0"/>
                                </a:moveTo>
                                <a:lnTo>
                                  <a:pt x="0" y="2286"/>
                                </a:lnTo>
                              </a:path>
                            </a:pathLst>
                          </a:custGeom>
                          <a:noFill/>
                          <a:ln w="6096" cap="flat" cmpd="sng">
                            <a:solidFill>
                              <a:srgbClr val="000000"/>
                            </a:solidFill>
                            <a:prstDash val="solid"/>
                            <a:headEnd type="none" w="med" len="med"/>
                            <a:tailEnd type="none" w="med" len="med"/>
                          </a:ln>
                        </wps:spPr>
                        <wps:bodyPr upright="1"/>
                      </wps:wsp>
                      <wps:wsp>
                        <wps:cNvPr id="6" name="任意多边形 6"/>
                        <wps:cNvSpPr/>
                        <wps:spPr>
                          <a:xfrm>
                            <a:off x="28" y="24"/>
                            <a:ext cx="20" cy="2249"/>
                          </a:xfrm>
                          <a:custGeom>
                            <a:avLst/>
                            <a:gdLst/>
                            <a:ahLst/>
                            <a:cxnLst/>
                            <a:pathLst>
                              <a:path w="20" h="2249">
                                <a:moveTo>
                                  <a:pt x="0" y="0"/>
                                </a:moveTo>
                                <a:lnTo>
                                  <a:pt x="0" y="2248"/>
                                </a:lnTo>
                              </a:path>
                            </a:pathLst>
                          </a:custGeom>
                          <a:noFill/>
                          <a:ln w="6096" cap="flat" cmpd="sng">
                            <a:solidFill>
                              <a:srgbClr val="000000"/>
                            </a:solidFill>
                            <a:prstDash val="solid"/>
                            <a:headEnd type="none" w="med" len="med"/>
                            <a:tailEnd type="none" w="med" len="med"/>
                          </a:ln>
                        </wps:spPr>
                        <wps:bodyPr upright="1"/>
                      </wps:wsp>
                      <wps:wsp>
                        <wps:cNvPr id="7" name="任意多边形 7"/>
                        <wps:cNvSpPr/>
                        <wps:spPr>
                          <a:xfrm>
                            <a:off x="4034"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8" name="任意多边形 8"/>
                        <wps:cNvSpPr/>
                        <wps:spPr>
                          <a:xfrm>
                            <a:off x="4053" y="24"/>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9" name="任意多边形 9"/>
                        <wps:cNvSpPr/>
                        <wps:spPr>
                          <a:xfrm>
                            <a:off x="8059" y="33"/>
                            <a:ext cx="20" cy="2239"/>
                          </a:xfrm>
                          <a:custGeom>
                            <a:avLst/>
                            <a:gdLst/>
                            <a:ahLst/>
                            <a:cxnLst/>
                            <a:pathLst>
                              <a:path w="20" h="2239">
                                <a:moveTo>
                                  <a:pt x="0" y="0"/>
                                </a:moveTo>
                                <a:lnTo>
                                  <a:pt x="0" y="2238"/>
                                </a:lnTo>
                              </a:path>
                            </a:pathLst>
                          </a:custGeom>
                          <a:noFill/>
                          <a:ln w="6096" cap="flat" cmpd="sng">
                            <a:solidFill>
                              <a:srgbClr val="000000"/>
                            </a:solidFill>
                            <a:prstDash val="solid"/>
                            <a:headEnd type="none" w="med" len="med"/>
                            <a:tailEnd type="none" w="med" len="med"/>
                          </a:ln>
                        </wps:spPr>
                        <wps:bodyPr upright="1"/>
                      </wps:wsp>
                      <wps:wsp>
                        <wps:cNvPr id="10" name="任意多边形 10"/>
                        <wps:cNvSpPr/>
                        <wps:spPr>
                          <a:xfrm>
                            <a:off x="8078" y="14"/>
                            <a:ext cx="20" cy="2278"/>
                          </a:xfrm>
                          <a:custGeom>
                            <a:avLst/>
                            <a:gdLst/>
                            <a:ahLst/>
                            <a:cxnLst/>
                            <a:pathLst>
                              <a:path w="20" h="2278">
                                <a:moveTo>
                                  <a:pt x="0" y="0"/>
                                </a:moveTo>
                                <a:lnTo>
                                  <a:pt x="0" y="2277"/>
                                </a:lnTo>
                              </a:path>
                            </a:pathLst>
                          </a:custGeom>
                          <a:noFill/>
                          <a:ln w="6096" cap="flat" cmpd="sng">
                            <a:solidFill>
                              <a:srgbClr val="000000"/>
                            </a:solidFill>
                            <a:prstDash val="solid"/>
                            <a:headEnd type="none" w="med" len="med"/>
                            <a:tailEnd type="none" w="med" len="med"/>
                          </a:ln>
                        </wps:spPr>
                        <wps:bodyPr upright="1"/>
                      </wps:wsp>
                      <wps:wsp>
                        <wps:cNvPr id="11" name="文本框 11"/>
                        <wps:cNvSpPr txBox="1"/>
                        <wps:spPr>
                          <a:xfrm>
                            <a:off x="19" y="19"/>
                            <a:ext cx="4025" cy="2258"/>
                          </a:xfrm>
                          <a:prstGeom prst="rect">
                            <a:avLst/>
                          </a:prstGeom>
                          <a:noFill/>
                          <a:ln>
                            <a:noFill/>
                          </a:ln>
                        </wps:spPr>
                        <wps:txbx>
                          <w:txbxContent>
                            <w:p>
                              <w:pPr>
                                <w:pStyle w:val="8"/>
                                <w:numPr>
                                  <w:ilvl w:val="0"/>
                                  <w:numId w:val="0"/>
                                </w:numPr>
                                <w:kinsoku w:val="0"/>
                                <w:overflowPunct w:val="0"/>
                                <w:spacing w:before="12"/>
                                <w:ind w:leftChars="0" w:right="0" w:rightChars="0"/>
                                <w:rPr>
                                  <w:rFonts w:hint="eastAsia"/>
                                  <w:sz w:val="28"/>
                                  <w:szCs w:val="28"/>
                                </w:rPr>
                              </w:pPr>
                            </w:p>
                            <w:p>
                              <w:pPr>
                                <w:pStyle w:val="8"/>
                                <w:numPr>
                                  <w:ilvl w:val="0"/>
                                  <w:numId w:val="0"/>
                                </w:numPr>
                                <w:kinsoku w:val="0"/>
                                <w:overflowPunct w:val="0"/>
                                <w:ind w:right="0" w:rightChars="0"/>
                                <w:jc w:val="center"/>
                                <w:rPr>
                                  <w:rFonts w:hint="eastAsia"/>
                                </w:rPr>
                              </w:pPr>
                            </w:p>
                            <w:p>
                              <w:pPr>
                                <w:pStyle w:val="8"/>
                                <w:numPr>
                                  <w:ilvl w:val="0"/>
                                  <w:numId w:val="0"/>
                                </w:numPr>
                                <w:kinsoku w:val="0"/>
                                <w:overflowPunct w:val="0"/>
                                <w:ind w:right="0" w:rightChars="0"/>
                                <w:jc w:val="center"/>
                              </w:pPr>
                              <w:r>
                                <w:rPr>
                                  <w:rFonts w:hint="eastAsia"/>
                                </w:rPr>
                                <w:t>授权人身份证复印件（正面）</w:t>
                              </w:r>
                            </w:p>
                          </w:txbxContent>
                        </wps:txbx>
                        <wps:bodyPr lIns="0" tIns="0" rIns="0" bIns="0" upright="1"/>
                      </wps:wsp>
                      <wps:wsp>
                        <wps:cNvPr id="12" name="文本框 12"/>
                        <wps:cNvSpPr txBox="1"/>
                        <wps:spPr>
                          <a:xfrm>
                            <a:off x="4044" y="19"/>
                            <a:ext cx="4025" cy="2258"/>
                          </a:xfrm>
                          <a:prstGeom prst="rect">
                            <a:avLst/>
                          </a:prstGeom>
                          <a:noFill/>
                          <a:ln>
                            <a:noFill/>
                          </a:ln>
                        </wps:spPr>
                        <wps:txbx>
                          <w:txbxContent>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pPr>
                              <w:r>
                                <w:rPr>
                                  <w:rFonts w:hint="eastAsia"/>
                                </w:rPr>
                                <w:t>授权人身份证复印件（反面）</w:t>
                              </w:r>
                            </w:p>
                          </w:txbxContent>
                        </wps:txbx>
                        <wps:bodyPr lIns="0" tIns="0" rIns="0" bIns="0" upright="1"/>
                      </wps:wsp>
                    </wpg:wgp>
                  </a:graphicData>
                </a:graphic>
              </wp:inline>
            </w:drawing>
          </mc:Choice>
          <mc:Fallback>
            <w:pict>
              <v:group id="_x0000_s1026" o:spid="_x0000_s1026" o:spt="203" style="height:114.85pt;width:404.45pt;" coordsize="8089,2297" o:gfxdata="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">
                <o:lock v:ext="edit" rotation="t" aspectratio="f"/>
                <v:shape id="任意多边形 1" o:spid="_x0000_s1026" o:spt="100" style="position:absolute;left:4;top:9;height:20;width:8079;" filled="f" stroked="t" coordsize="8079,20" o:gfxdata="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MW/5H25AAAA2wAA&#10;AA8AAAAAAAAAAQAgAAAAIgAAAGRycy9kb3ducmV2LnhtbFBLAQIUABQAAAAIAIdO4kAzLwWeOwAA&#10;ADkAAAAQAAAAAAAAAAEAIAAAAAgBAABkcnMvc2hhcGV4bWwueG1sUEsFBgAAAAAGAAYAWwEAALID&#10;AAAAAA==&#10;" path="m0,0l8078,0e">
                  <v:fill on="f" focussize="0,0"/>
                  <v:stroke weight="0.48pt" color="#000000" joinstyle="round"/>
                  <v:imagedata o:title=""/>
                  <o:lock v:ext="edit" aspectratio="f"/>
                </v:shape>
                <v:shape id="_x0000_s1026" o:spid="_x0000_s1026" o:spt="100" style="position:absolute;left:24;top:28;height:20;width:8041;" filled="f" stroked="t" coordsize="8041,20" o:gfxdata="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tvKxbsAAADa&#10;AAAADwAAAAAAAAABACAAAAAiAAAAZHJzL2Rvd25yZXYueG1sUEsBAhQAFAAAAAgAh07iQDMvBZ47&#10;AAAAOQAAABAAAAAAAAAAAQAgAAAACgEAAGRycy9zaGFwZXhtbC54bWxQSwUGAAAAAAYABgBbAQAA&#10;tAMAAAAA&#10;" path="m0,0l8040,0e">
                  <v:fill on="f" focussize="0,0"/>
                  <v:stroke weight="0.48pt" color="#000000" joinstyle="round"/>
                  <v:imagedata o:title=""/>
                  <o:lock v:ext="edit" aspectratio="f"/>
                </v:shape>
                <v:shape id="_x0000_s1026" o:spid="_x0000_s1026" o:spt="100" style="position:absolute;left:24;top:2267;height:20;width:8041;" filled="f" stroked="t" coordsize="8041,20" o:gfxdata="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mXb168AAAA&#10;2gAAAA8AAAAAAAAAAQAgAAAAIgAAAGRycy9kb3ducmV2LnhtbFBLAQIUABQAAAAIAIdO4kAzLwWe&#10;OwAAADkAAAAQAAAAAAAAAAEAIAAAAAsBAABkcnMvc2hhcGV4bWwueG1sUEsFBgAAAAAGAAYAWwEA&#10;ALUDAAAAAA==&#10;" path="m0,0l8040,0e">
                  <v:fill on="f" focussize="0,0"/>
                  <v:stroke weight="0.48pt" color="#000000" joinstyle="round"/>
                  <v:imagedata o:title=""/>
                  <o:lock v:ext="edit" aspectratio="f"/>
                </v:shape>
                <v:shape id="_x0000_s1026" o:spid="_x0000_s1026" o:spt="100" style="position:absolute;left:4;top:2286;height:20;width:8079;" filled="f" stroked="t" coordsize="8079,20" o:gfxdata="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xCs4W8AAAA&#10;2gAAAA8AAAAAAAAAAQAgAAAAIgAAAGRycy9kb3ducmV2LnhtbFBLAQIUABQAAAAIAIdO4kAzLwWe&#10;OwAAADkAAAAQAAAAAAAAAAEAIAAAAAsBAABkcnMvc2hhcGV4bWwueG1sUEsFBgAAAAAGAAYAWwEA&#10;ALUDAAAAAA==&#10;" path="m0,0l8078,0e">
                  <v:fill on="f" focussize="0,0"/>
                  <v:stroke weight="0.48pt" color="#000000" joinstyle="round"/>
                  <v:imagedata o:title=""/>
                  <o:lock v:ext="edit" aspectratio="f"/>
                </v:shape>
                <v:shape id="_x0000_s1026" o:spid="_x0000_s1026" o:spt="100" style="position:absolute;left:9;top:4;height:2287;width:20;" filled="f" stroked="t" coordsize="20,2287" o:gfxdata="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MWGLsAAADa&#10;AAAADwAAAAAAAAABACAAAAAiAAAAZHJzL2Rvd25yZXYueG1sUEsBAhQAFAAAAAgAh07iQDMvBZ47&#10;AAAAOQAAABAAAAAAAAAAAQAgAAAACgEAAGRycy9zaGFwZXhtbC54bWxQSwUGAAAAAAYABgBbAQAA&#10;tAMAAAAA&#10;" path="m0,0l0,2286e">
                  <v:fill on="f" focussize="0,0"/>
                  <v:stroke weight="0.48pt" color="#000000" joinstyle="round"/>
                  <v:imagedata o:title=""/>
                  <o:lock v:ext="edit" aspectratio="f"/>
                </v:shape>
                <v:shape id="_x0000_s1026" o:spid="_x0000_s1026" o:spt="100" style="position:absolute;left:28;top:24;height:2249;width:20;" filled="f" stroked="t" coordsize="20,2249" o:gfxdata="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HZDJ74A&#10;AADaAAAADwAAAAAAAAABACAAAAAiAAAAZHJzL2Rvd25yZXYueG1sUEsBAhQAFAAAAAgAh07iQDMv&#10;BZ47AAAAOQAAABAAAAAAAAAAAQAgAAAADQEAAGRycy9zaGFwZXhtbC54bWxQSwUGAAAAAAYABgBb&#10;AQAAtwMAAAAA&#10;" path="m0,0l0,2248e">
                  <v:fill on="f" focussize="0,0"/>
                  <v:stroke weight="0.48pt" color="#000000" joinstyle="round"/>
                  <v:imagedata o:title=""/>
                  <o:lock v:ext="edit" aspectratio="f"/>
                </v:shape>
                <v:shape id="_x0000_s1026" o:spid="_x0000_s1026" o:spt="100" style="position:absolute;left:4034;top:24;height:2239;width:20;" filled="f" stroked="t" coordsize="20,2239" o:gfxdata="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sqAfvugAAANoA&#10;AAAPAAAAAAAAAAEAIAAAACIAAABkcnMvZG93bnJldi54bWxQSwECFAAUAAAACACHTuJAMy8FnjsA&#10;AAA5AAAAEAAAAAAAAAABACAAAAAJAQAAZHJzL3NoYXBleG1sLnhtbFBLBQYAAAAABgAGAFsBAACz&#10;AwAAAAA=&#10;" path="m0,0l0,2238e">
                  <v:fill on="f" focussize="0,0"/>
                  <v:stroke weight="0.48pt" color="#000000" joinstyle="round"/>
                  <v:imagedata o:title=""/>
                  <o:lock v:ext="edit" aspectratio="f"/>
                </v:shape>
                <v:shape id="_x0000_s1026" o:spid="_x0000_s1026" o:spt="100" style="position:absolute;left:4053;top:24;height:2239;width:20;" filled="f" stroked="t" coordsize="20,2239" o:gfxdata="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J03k522AAAA2gAAAA8A&#10;AAAAAAAAAQAgAAAAIgAAAGRycy9kb3ducmV2LnhtbFBLAQIUABQAAAAIAIdO4kAzLwWeOwAAADkA&#10;AAAQAAAAAAAAAAEAIAAAAAUBAABkcnMvc2hhcGV4bWwueG1sUEsFBgAAAAAGAAYAWwEAAK8DAAAA&#10;AA==&#10;" path="m0,0l0,2238e">
                  <v:fill on="f" focussize="0,0"/>
                  <v:stroke weight="0.48pt" color="#000000" joinstyle="round"/>
                  <v:imagedata o:title=""/>
                  <o:lock v:ext="edit" aspectratio="f"/>
                </v:shape>
                <v:shape id="_x0000_s1026" o:spid="_x0000_s1026" o:spt="100" style="position:absolute;left:8059;top:33;height:2239;width:20;" filled="f" stroked="t" coordsize="20,2239" o:gfxdata="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yezYGugAAANoA&#10;AAAPAAAAAAAAAAEAIAAAACIAAABkcnMvZG93bnJldi54bWxQSwECFAAUAAAACACHTuJAMy8FnjsA&#10;AAA5AAAAEAAAAAAAAAABACAAAAAJAQAAZHJzL3NoYXBleG1sLnhtbFBLBQYAAAAABgAGAFsBAACz&#10;AwAAAAA=&#10;" path="m0,0l0,2238e">
                  <v:fill on="f" focussize="0,0"/>
                  <v:stroke weight="0.48pt" color="#000000" joinstyle="round"/>
                  <v:imagedata o:title=""/>
                  <o:lock v:ext="edit" aspectratio="f"/>
                </v:shape>
                <v:shape id="_x0000_s1026" o:spid="_x0000_s1026" o:spt="100" style="position:absolute;left:8078;top:14;height:2278;width:20;" filled="f" stroked="t" coordsize="20,2278" o:gfxdata="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FAghb4A&#10;AADbAAAADwAAAAAAAAABACAAAAAiAAAAZHJzL2Rvd25yZXYueG1sUEsBAhQAFAAAAAgAh07iQDMv&#10;BZ47AAAAOQAAABAAAAAAAAAAAQAgAAAADQEAAGRycy9zaGFwZXhtbC54bWxQSwUGAAAAAAYABgBb&#10;AQAAtwMAAAAA&#10;" path="m0,0l0,2277e">
                  <v:fill on="f" focussize="0,0"/>
                  <v:stroke weight="0.48pt" color="#000000" joinstyle="round"/>
                  <v:imagedata o:title=""/>
                  <o:lock v:ext="edit" aspectratio="f"/>
                </v:shape>
                <v:shape id="_x0000_s1026" o:spid="_x0000_s1026" o:spt="202" type="#_x0000_t202" style="position:absolute;left:19;top:19;height:2258;width:4025;" filled="f" stroked="f" coordsize="21600,21600" o:gfxdata="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UZUI7sAAADb&#10;AAAADwAAAAAAAAABACAAAAAiAAAAZHJzL2Rvd25yZXYueG1sUEsBAhQAFAAAAAgAh07iQDMvBZ47&#10;AAAAOQAAABAAAAAAAAAAAQAgAAAACgEAAGRycy9zaGFwZXhtbC54bWxQSwUGAAAAAAYABgBbAQAA&#10;tAMAAAAA&#10;">
                  <v:fill on="f" focussize="0,0"/>
                  <v:stroke on="f"/>
                  <v:imagedata o:title=""/>
                  <o:lock v:ext="edit" aspectratio="f"/>
                  <v:textbox inset="0mm,0mm,0mm,0mm">
                    <w:txbxContent>
                      <w:p>
                        <w:pPr>
                          <w:pStyle w:val="8"/>
                          <w:numPr>
                            <w:ilvl w:val="0"/>
                            <w:numId w:val="0"/>
                          </w:numPr>
                          <w:kinsoku w:val="0"/>
                          <w:overflowPunct w:val="0"/>
                          <w:spacing w:before="12"/>
                          <w:ind w:leftChars="0" w:right="0" w:rightChars="0"/>
                          <w:rPr>
                            <w:rFonts w:hint="eastAsia"/>
                            <w:sz w:val="28"/>
                            <w:szCs w:val="28"/>
                          </w:rPr>
                        </w:pPr>
                      </w:p>
                      <w:p>
                        <w:pPr>
                          <w:pStyle w:val="8"/>
                          <w:numPr>
                            <w:ilvl w:val="0"/>
                            <w:numId w:val="0"/>
                          </w:numPr>
                          <w:kinsoku w:val="0"/>
                          <w:overflowPunct w:val="0"/>
                          <w:ind w:right="0" w:rightChars="0"/>
                          <w:jc w:val="center"/>
                          <w:rPr>
                            <w:rFonts w:hint="eastAsia"/>
                          </w:rPr>
                        </w:pPr>
                      </w:p>
                      <w:p>
                        <w:pPr>
                          <w:pStyle w:val="8"/>
                          <w:numPr>
                            <w:ilvl w:val="0"/>
                            <w:numId w:val="0"/>
                          </w:numPr>
                          <w:kinsoku w:val="0"/>
                          <w:overflowPunct w:val="0"/>
                          <w:ind w:right="0" w:rightChars="0"/>
                          <w:jc w:val="center"/>
                        </w:pPr>
                        <w:r>
                          <w:rPr>
                            <w:rFonts w:hint="eastAsia"/>
                          </w:rPr>
                          <w:t>授权人身份证复印件（正面）</w:t>
                        </w:r>
                      </w:p>
                    </w:txbxContent>
                  </v:textbox>
                </v:shape>
                <v:shape id="_x0000_s1026" o:spid="_x0000_s1026" o:spt="202" type="#_x0000_t202" style="position:absolute;left:4044;top:19;height:2258;width:4025;" filled="f" stroked="f" coordsize="21600,21600" o:gfxdata="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WUylS8AAAA&#10;2wAAAA8AAAAAAAAAAQAgAAAAIgAAAGRycy9kb3ducmV2LnhtbFBLAQIUABQAAAAIAIdO4kAzLwWe&#10;OwAAADkAAAAQAAAAAAAAAAEAIAAAAAsBAABkcnMvc2hhcGV4bWwueG1sUEsFBgAAAAAGAAYAWwEA&#10;ALUDAAAAAA==&#10;">
                  <v:fill on="f" focussize="0,0"/>
                  <v:stroke on="f"/>
                  <v:imagedata o:title=""/>
                  <o:lock v:ext="edit" aspectratio="f"/>
                  <v:textbox inset="0mm,0mm,0mm,0mm">
                    <w:txbxContent>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pPr>
                        <w:r>
                          <w:rPr>
                            <w:rFonts w:hint="eastAsia"/>
                          </w:rPr>
                          <w:t>授权人身份证复印件（反面）</w:t>
                        </w:r>
                      </w:p>
                    </w:txbxContent>
                  </v:textbox>
                </v:shape>
                <w10:wrap type="none"/>
                <w10:anchorlock/>
              </v:group>
            </w:pict>
          </mc:Fallback>
        </mc:AlternateContent>
      </w:r>
    </w:p>
    <w:p>
      <w:pPr>
        <w:pStyle w:val="8"/>
        <w:numPr>
          <w:ilvl w:val="0"/>
          <w:numId w:val="0"/>
        </w:numPr>
        <w:kinsoku w:val="0"/>
        <w:overflowPunct w:val="0"/>
        <w:adjustRightInd w:val="0"/>
        <w:snapToGrid w:val="0"/>
        <w:spacing w:line="200" w:lineRule="atLeast"/>
        <w:ind w:right="0" w:rightChars="0"/>
        <w:rPr>
          <w:rFonts w:hint="eastAsia" w:ascii="仿宋" w:hAnsi="仿宋" w:eastAsia="仿宋" w:cs="仿宋"/>
          <w:color w:val="auto"/>
          <w:sz w:val="18"/>
          <w:szCs w:val="20"/>
        </w:rPr>
      </w:pPr>
      <w:r>
        <w:rPr>
          <w:rFonts w:hint="eastAsia" w:ascii="仿宋" w:hAnsi="仿宋" w:eastAsia="仿宋" w:cs="仿宋"/>
          <w:color w:val="auto"/>
          <w:sz w:val="18"/>
          <w:szCs w:val="20"/>
        </w:rPr>
        <mc:AlternateContent>
          <mc:Choice Requires="wpg">
            <w:drawing>
              <wp:inline distT="0" distB="0" distL="114300" distR="114300">
                <wp:extent cx="5136515" cy="1384935"/>
                <wp:effectExtent l="0" t="0" r="7620" b="6985"/>
                <wp:docPr id="36" name="组合 36"/>
                <wp:cNvGraphicFramePr/>
                <a:graphic xmlns:a="http://schemas.openxmlformats.org/drawingml/2006/main">
                  <a:graphicData uri="http://schemas.microsoft.com/office/word/2010/wordprocessingGroup">
                    <wpg:wgp>
                      <wpg:cNvGrpSpPr>
                        <a:grpSpLocks noRot="1"/>
                      </wpg:cNvGrpSpPr>
                      <wpg:grpSpPr>
                        <a:xfrm>
                          <a:off x="0" y="0"/>
                          <a:ext cx="5136515" cy="1384935"/>
                          <a:chOff x="0" y="0"/>
                          <a:chExt cx="8089" cy="2181"/>
                        </a:xfrm>
                      </wpg:grpSpPr>
                      <wps:wsp>
                        <wps:cNvPr id="37" name="任意多边形 34"/>
                        <wps:cNvSpPr/>
                        <wps:spPr>
                          <a:xfrm>
                            <a:off x="4" y="9"/>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38" name="任意多边形 35"/>
                        <wps:cNvSpPr/>
                        <wps:spPr>
                          <a:xfrm>
                            <a:off x="24" y="28"/>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39" name="任意多边形 36"/>
                        <wps:cNvSpPr/>
                        <wps:spPr>
                          <a:xfrm>
                            <a:off x="24" y="2151"/>
                            <a:ext cx="8041" cy="20"/>
                          </a:xfrm>
                          <a:custGeom>
                            <a:avLst/>
                            <a:gdLst/>
                            <a:ahLst/>
                            <a:cxnLst/>
                            <a:pathLst>
                              <a:path w="8041" h="20">
                                <a:moveTo>
                                  <a:pt x="0" y="0"/>
                                </a:moveTo>
                                <a:lnTo>
                                  <a:pt x="8040" y="0"/>
                                </a:lnTo>
                              </a:path>
                            </a:pathLst>
                          </a:custGeom>
                          <a:noFill/>
                          <a:ln w="6096" cap="flat" cmpd="sng">
                            <a:solidFill>
                              <a:srgbClr val="000000"/>
                            </a:solidFill>
                            <a:prstDash val="solid"/>
                            <a:headEnd type="none" w="med" len="med"/>
                            <a:tailEnd type="none" w="med" len="med"/>
                          </a:ln>
                        </wps:spPr>
                        <wps:bodyPr upright="1"/>
                      </wps:wsp>
                      <wps:wsp>
                        <wps:cNvPr id="40" name="任意多边形 37"/>
                        <wps:cNvSpPr/>
                        <wps:spPr>
                          <a:xfrm>
                            <a:off x="4" y="2170"/>
                            <a:ext cx="8079" cy="20"/>
                          </a:xfrm>
                          <a:custGeom>
                            <a:avLst/>
                            <a:gdLst/>
                            <a:ahLst/>
                            <a:cxnLst/>
                            <a:pathLst>
                              <a:path w="8079" h="20">
                                <a:moveTo>
                                  <a:pt x="0" y="0"/>
                                </a:moveTo>
                                <a:lnTo>
                                  <a:pt x="8078" y="0"/>
                                </a:lnTo>
                              </a:path>
                            </a:pathLst>
                          </a:custGeom>
                          <a:noFill/>
                          <a:ln w="6096" cap="flat" cmpd="sng">
                            <a:solidFill>
                              <a:srgbClr val="000000"/>
                            </a:solidFill>
                            <a:prstDash val="solid"/>
                            <a:headEnd type="none" w="med" len="med"/>
                            <a:tailEnd type="none" w="med" len="med"/>
                          </a:ln>
                        </wps:spPr>
                        <wps:bodyPr upright="1"/>
                      </wps:wsp>
                      <wps:wsp>
                        <wps:cNvPr id="41" name="任意多边形 38"/>
                        <wps:cNvSpPr/>
                        <wps:spPr>
                          <a:xfrm>
                            <a:off x="9" y="4"/>
                            <a:ext cx="20" cy="2171"/>
                          </a:xfrm>
                          <a:custGeom>
                            <a:avLst/>
                            <a:gdLst/>
                            <a:ahLst/>
                            <a:cxnLst/>
                            <a:pathLst>
                              <a:path w="20" h="2171">
                                <a:moveTo>
                                  <a:pt x="0" y="0"/>
                                </a:moveTo>
                                <a:lnTo>
                                  <a:pt x="0" y="2170"/>
                                </a:lnTo>
                              </a:path>
                            </a:pathLst>
                          </a:custGeom>
                          <a:noFill/>
                          <a:ln w="6096" cap="flat" cmpd="sng">
                            <a:solidFill>
                              <a:srgbClr val="000000"/>
                            </a:solidFill>
                            <a:prstDash val="solid"/>
                            <a:headEnd type="none" w="med" len="med"/>
                            <a:tailEnd type="none" w="med" len="med"/>
                          </a:ln>
                        </wps:spPr>
                        <wps:bodyPr upright="1"/>
                      </wps:wsp>
                      <wps:wsp>
                        <wps:cNvPr id="42" name="任意多边形 39"/>
                        <wps:cNvSpPr/>
                        <wps:spPr>
                          <a:xfrm>
                            <a:off x="28" y="24"/>
                            <a:ext cx="20" cy="2133"/>
                          </a:xfrm>
                          <a:custGeom>
                            <a:avLst/>
                            <a:gdLst/>
                            <a:ahLst/>
                            <a:cxnLst/>
                            <a:pathLst>
                              <a:path w="20" h="2133">
                                <a:moveTo>
                                  <a:pt x="0" y="0"/>
                                </a:moveTo>
                                <a:lnTo>
                                  <a:pt x="0" y="2132"/>
                                </a:lnTo>
                              </a:path>
                            </a:pathLst>
                          </a:custGeom>
                          <a:noFill/>
                          <a:ln w="6096" cap="flat" cmpd="sng">
                            <a:solidFill>
                              <a:srgbClr val="000000"/>
                            </a:solidFill>
                            <a:prstDash val="solid"/>
                            <a:headEnd type="none" w="med" len="med"/>
                            <a:tailEnd type="none" w="med" len="med"/>
                          </a:ln>
                        </wps:spPr>
                        <wps:bodyPr upright="1"/>
                      </wps:wsp>
                      <wps:wsp>
                        <wps:cNvPr id="43" name="任意多边形 40"/>
                        <wps:cNvSpPr/>
                        <wps:spPr>
                          <a:xfrm>
                            <a:off x="4034" y="24"/>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4" name="任意多边形 41"/>
                        <wps:cNvSpPr/>
                        <wps:spPr>
                          <a:xfrm>
                            <a:off x="4053" y="24"/>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5" name="任意多边形 42"/>
                        <wps:cNvSpPr/>
                        <wps:spPr>
                          <a:xfrm>
                            <a:off x="8059" y="33"/>
                            <a:ext cx="20" cy="2123"/>
                          </a:xfrm>
                          <a:custGeom>
                            <a:avLst/>
                            <a:gdLst/>
                            <a:ahLst/>
                            <a:cxnLst/>
                            <a:pathLst>
                              <a:path w="20" h="2123">
                                <a:moveTo>
                                  <a:pt x="0" y="0"/>
                                </a:moveTo>
                                <a:lnTo>
                                  <a:pt x="0" y="2122"/>
                                </a:lnTo>
                              </a:path>
                            </a:pathLst>
                          </a:custGeom>
                          <a:noFill/>
                          <a:ln w="6096" cap="flat" cmpd="sng">
                            <a:solidFill>
                              <a:srgbClr val="000000"/>
                            </a:solidFill>
                            <a:prstDash val="solid"/>
                            <a:headEnd type="none" w="med" len="med"/>
                            <a:tailEnd type="none" w="med" len="med"/>
                          </a:ln>
                        </wps:spPr>
                        <wps:bodyPr upright="1"/>
                      </wps:wsp>
                      <wps:wsp>
                        <wps:cNvPr id="46" name="任意多边形 43"/>
                        <wps:cNvSpPr/>
                        <wps:spPr>
                          <a:xfrm>
                            <a:off x="8078" y="14"/>
                            <a:ext cx="20" cy="2162"/>
                          </a:xfrm>
                          <a:custGeom>
                            <a:avLst/>
                            <a:gdLst/>
                            <a:ahLst/>
                            <a:cxnLst/>
                            <a:pathLst>
                              <a:path w="20" h="2162">
                                <a:moveTo>
                                  <a:pt x="0" y="0"/>
                                </a:moveTo>
                                <a:lnTo>
                                  <a:pt x="0" y="2161"/>
                                </a:lnTo>
                              </a:path>
                            </a:pathLst>
                          </a:custGeom>
                          <a:noFill/>
                          <a:ln w="6096" cap="flat" cmpd="sng">
                            <a:solidFill>
                              <a:srgbClr val="000000"/>
                            </a:solidFill>
                            <a:prstDash val="solid"/>
                            <a:headEnd type="none" w="med" len="med"/>
                            <a:tailEnd type="none" w="med" len="med"/>
                          </a:ln>
                        </wps:spPr>
                        <wps:bodyPr upright="1"/>
                      </wps:wsp>
                      <wps:wsp>
                        <wps:cNvPr id="47" name="文本框 44"/>
                        <wps:cNvSpPr txBox="1"/>
                        <wps:spPr>
                          <a:xfrm>
                            <a:off x="19" y="19"/>
                            <a:ext cx="4025" cy="2142"/>
                          </a:xfrm>
                          <a:prstGeom prst="rect">
                            <a:avLst/>
                          </a:prstGeom>
                          <a:noFill/>
                          <a:ln>
                            <a:noFill/>
                          </a:ln>
                        </wps:spPr>
                        <wps:txbx>
                          <w:txbxContent>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jc w:val="center"/>
                              </w:pPr>
                              <w:r>
                                <w:rPr>
                                  <w:rFonts w:hint="eastAsia"/>
                                </w:rPr>
                                <w:t>被授权代表身份证复印件（正面）</w:t>
                              </w:r>
                            </w:p>
                          </w:txbxContent>
                        </wps:txbx>
                        <wps:bodyPr lIns="0" tIns="0" rIns="0" bIns="0" upright="1"/>
                      </wps:wsp>
                      <wps:wsp>
                        <wps:cNvPr id="48" name="文本框 45"/>
                        <wps:cNvSpPr txBox="1"/>
                        <wps:spPr>
                          <a:xfrm>
                            <a:off x="4044" y="19"/>
                            <a:ext cx="4025" cy="2142"/>
                          </a:xfrm>
                          <a:prstGeom prst="rect">
                            <a:avLst/>
                          </a:prstGeom>
                          <a:noFill/>
                          <a:ln>
                            <a:noFill/>
                          </a:ln>
                        </wps:spPr>
                        <wps:txbx>
                          <w:txbxContent>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pPr>
                              <w:r>
                                <w:rPr>
                                  <w:rFonts w:hint="eastAsia"/>
                                </w:rPr>
                                <w:t>被授权代表身份证复印件（反面）</w:t>
                              </w:r>
                            </w:p>
                          </w:txbxContent>
                        </wps:txbx>
                        <wps:bodyPr lIns="0" tIns="0" rIns="0" bIns="0" upright="1"/>
                      </wps:wsp>
                    </wpg:wgp>
                  </a:graphicData>
                </a:graphic>
              </wp:inline>
            </w:drawing>
          </mc:Choice>
          <mc:Fallback>
            <w:pict>
              <v:group id="_x0000_s1026" o:spid="_x0000_s1026" o:spt="203" style="height:109.05pt;width:404.45pt;" coordsize="8089,2181" o:gfxdata="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">
                <o:lock v:ext="edit" rotation="t" aspectratio="f"/>
                <v:shape id="任意多边形 34" o:spid="_x0000_s1026" o:spt="100" style="position:absolute;left:4;top:9;height:20;width:8079;" filled="f" stroked="t" coordsize="8079,20" o:gfxdata="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ebSvQAA&#10;ANsAAAAPAAAAAAAAAAEAIAAAACIAAABkcnMvZG93bnJldi54bWxQSwECFAAUAAAACACHTuJAMy8F&#10;njsAAAA5AAAAEAAAAAAAAAABACAAAAAMAQAAZHJzL3NoYXBleG1sLnhtbFBLBQYAAAAABgAGAFsB&#10;AAC2AwAAAAA=&#10;" path="m0,0l8078,0e">
                  <v:fill on="f" focussize="0,0"/>
                  <v:stroke weight="0.48pt" color="#000000" joinstyle="round"/>
                  <v:imagedata o:title=""/>
                  <o:lock v:ext="edit" aspectratio="f"/>
                </v:shape>
                <v:shape id="任意多边形 35" o:spid="_x0000_s1026" o:spt="100" style="position:absolute;left:24;top:28;height:20;width:8041;" filled="f" stroked="t" coordsize="8041,20" o:gfxdata="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mWAewugAAANsA&#10;AAAPAAAAAAAAAAEAIAAAACIAAABkcnMvZG93bnJldi54bWxQSwECFAAUAAAACACHTuJAMy8FnjsA&#10;AAA5AAAAEAAAAAAAAAABACAAAAAJAQAAZHJzL3NoYXBleG1sLnhtbFBLBQYAAAAABgAGAFsBAACz&#10;AwAAAAA=&#10;" path="m0,0l8040,0e">
                  <v:fill on="f" focussize="0,0"/>
                  <v:stroke weight="0.48pt" color="#000000" joinstyle="round"/>
                  <v:imagedata o:title=""/>
                  <o:lock v:ext="edit" aspectratio="f"/>
                </v:shape>
                <v:shape id="任意多边形 36" o:spid="_x0000_s1026" o:spt="100" style="position:absolute;left:24;top:2151;height:20;width:8041;" filled="f" stroked="t" coordsize="8041,20" o:gfxdata="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JFKIrvQAA&#10;ANsAAAAPAAAAAAAAAAEAIAAAACIAAABkcnMvZG93bnJldi54bWxQSwECFAAUAAAACACHTuJAMy8F&#10;njsAAAA5AAAAEAAAAAAAAAABACAAAAAMAQAAZHJzL3NoYXBleG1sLnhtbFBLBQYAAAAABgAGAFsB&#10;AAC2AwAAAAA=&#10;" path="m0,0l8040,0e">
                  <v:fill on="f" focussize="0,0"/>
                  <v:stroke weight="0.48pt" color="#000000" joinstyle="round"/>
                  <v:imagedata o:title=""/>
                  <o:lock v:ext="edit" aspectratio="f"/>
                </v:shape>
                <v:shape id="任意多边形 37" o:spid="_x0000_s1026" o:spt="100" style="position:absolute;left:4;top:2170;height:20;width:8079;" filled="f" stroked="t" coordsize="8079,20" o:gfxdata="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YWDdu5AAAA2wAA&#10;AA8AAAAAAAAAAQAgAAAAIgAAAGRycy9kb3ducmV2LnhtbFBLAQIUABQAAAAIAIdO4kAzLwWeOwAA&#10;ADkAAAAQAAAAAAAAAAEAIAAAAAgBAABkcnMvc2hhcGV4bWwueG1sUEsFBgAAAAAGAAYAWwEAALID&#10;AAAAAA==&#10;" path="m0,0l8078,0e">
                  <v:fill on="f" focussize="0,0"/>
                  <v:stroke weight="0.48pt" color="#000000" joinstyle="round"/>
                  <v:imagedata o:title=""/>
                  <o:lock v:ext="edit" aspectratio="f"/>
                </v:shape>
                <v:shape id="任意多边形 38" o:spid="_x0000_s1026" o:spt="100" style="position:absolute;left:9;top:4;height:2171;width:20;" filled="f" stroked="t" coordsize="20,2171" o:gfxdata="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QGrYT7sAAADb&#10;AAAADwAAAAAAAAABACAAAAAiAAAAZHJzL2Rvd25yZXYueG1sUEsBAhQAFAAAAAgAh07iQDMvBZ47&#10;AAAAOQAAABAAAAAAAAAAAQAgAAAACgEAAGRycy9zaGFwZXhtbC54bWxQSwUGAAAAAAYABgBbAQAA&#10;tAMAAAAA&#10;" path="m0,0l0,2170e">
                  <v:fill on="f" focussize="0,0"/>
                  <v:stroke weight="0.48pt" color="#000000" joinstyle="round"/>
                  <v:imagedata o:title=""/>
                  <o:lock v:ext="edit" aspectratio="f"/>
                </v:shape>
                <v:shape id="任意多边形 39" o:spid="_x0000_s1026" o:spt="100" style="position:absolute;left:28;top:24;height:2133;width:20;" filled="f" stroked="t" coordsize="20,2133" o:gfxdata="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3Uk7y/&#10;AAAA2wAAAA8AAAAAAAAAAQAgAAAAIgAAAGRycy9kb3ducmV2LnhtbFBLAQIUABQAAAAIAIdO4kAz&#10;LwWeOwAAADkAAAAQAAAAAAAAAAEAIAAAAA4BAABkcnMvc2hhcGV4bWwueG1sUEsFBgAAAAAGAAYA&#10;WwEAALgDAAAAAA==&#10;" path="m0,0l0,2132e">
                  <v:fill on="f" focussize="0,0"/>
                  <v:stroke weight="0.48pt" color="#000000" joinstyle="round"/>
                  <v:imagedata o:title=""/>
                  <o:lock v:ext="edit" aspectratio="f"/>
                </v:shape>
                <v:shape id="任意多边形 40" o:spid="_x0000_s1026" o:spt="100" style="position:absolute;left:4034;top:24;height:2123;width:20;" filled="f" stroked="t" coordsize="20,2123" o:gfxdata="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Y1HbS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1" o:spid="_x0000_s1026" o:spt="100" style="position:absolute;left:4053;top:24;height:2123;width:20;" filled="f" stroked="t" coordsize="20,2123" o:gfxdata="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nchcC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2" o:spid="_x0000_s1026" o:spt="100" style="position:absolute;left:8059;top:33;height:2123;width:20;" filled="f" stroked="t" coordsize="20,2123" o:gfxdata="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aQIFu8AAAA&#10;2wAAAA8AAAAAAAAAAQAgAAAAIgAAAGRycy9kb3ducmV2LnhtbFBLAQIUABQAAAAIAIdO4kAzLwWe&#10;OwAAADkAAAAQAAAAAAAAAAEAIAAAAAsBAABkcnMvc2hhcGV4bWwueG1sUEsFBgAAAAAGAAYAWwEA&#10;ALUDAAAAAA==&#10;" path="m0,0l0,2122e">
                  <v:fill on="f" focussize="0,0"/>
                  <v:stroke weight="0.48pt" color="#000000" joinstyle="round"/>
                  <v:imagedata o:title=""/>
                  <o:lock v:ext="edit" aspectratio="f"/>
                </v:shape>
                <v:shape id="任意多边形 43" o:spid="_x0000_s1026" o:spt="100" style="position:absolute;left:8078;top:14;height:2162;width:20;" filled="f" stroked="t" coordsize="20,2162" o:gfxdata="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C2cm0ztwAAANsAAAAP&#10;AAAAAAAAAAEAIAAAACIAAABkcnMvZG93bnJldi54bWxQSwECFAAUAAAACACHTuJAMy8FnjsAAAA5&#10;AAAAEAAAAAAAAAABACAAAAAGAQAAZHJzL3NoYXBleG1sLnhtbFBLBQYAAAAABgAGAFsBAACwAwAA&#10;AAA=&#10;" path="m0,0l0,2161e">
                  <v:fill on="f" focussize="0,0"/>
                  <v:stroke weight="0.48pt" color="#000000" joinstyle="round"/>
                  <v:imagedata o:title=""/>
                  <o:lock v:ext="edit" aspectratio="f"/>
                </v:shape>
                <v:shape id="文本框 44" o:spid="_x0000_s1026" o:spt="202" type="#_x0000_t202" style="position:absolute;left:19;top:19;height:2142;width:4025;" filled="f" stroked="f" coordsize="21600,21600" o:gfxdata="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llBG0b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jc w:val="center"/>
                        </w:pPr>
                        <w:r>
                          <w:rPr>
                            <w:rFonts w:hint="eastAsia"/>
                          </w:rPr>
                          <w:t>被授权代表身份证复印件（正面）</w:t>
                        </w:r>
                      </w:p>
                    </w:txbxContent>
                  </v:textbox>
                </v:shape>
                <v:shape id="文本框 45" o:spid="_x0000_s1026" o:spt="202" type="#_x0000_t202" style="position:absolute;left:4044;top:19;height:2142;width:4025;" filled="f" stroked="f" coordsize="21600,21600" o:gfxdata="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nz9KjugAAANsA&#10;AAAPAAAAAAAAAAEAIAAAACIAAABkcnMvZG93bnJldi54bWxQSwECFAAUAAAACACHTuJAMy8FnjsA&#10;AAA5AAAAEAAAAAAAAAABACAAAAAJAQAAZHJzL3NoYXBleG1sLnhtbFBLBQYAAAAABgAGAFsBAACz&#10;AwAAAAA=&#10;">
                  <v:fill on="f" focussize="0,0"/>
                  <v:stroke on="f"/>
                  <v:imagedata o:title=""/>
                  <o:lock v:ext="edit" aspectratio="f"/>
                  <v:textbox inset="0mm,0mm,0mm,0mm">
                    <w:txbxContent>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rPr>
                            <w:rFonts w:hint="eastAsia"/>
                          </w:rPr>
                        </w:pPr>
                      </w:p>
                      <w:p>
                        <w:pPr>
                          <w:pStyle w:val="8"/>
                          <w:numPr>
                            <w:ilvl w:val="0"/>
                            <w:numId w:val="0"/>
                          </w:numPr>
                          <w:kinsoku w:val="0"/>
                          <w:overflowPunct w:val="0"/>
                          <w:ind w:right="0" w:rightChars="0"/>
                        </w:pPr>
                        <w:r>
                          <w:rPr>
                            <w:rFonts w:hint="eastAsia"/>
                          </w:rPr>
                          <w:t>被授权代表身份证复印件（反面）</w:t>
                        </w:r>
                      </w:p>
                    </w:txbxContent>
                  </v:textbox>
                </v:shape>
                <w10:wrap type="none"/>
                <w10:anchorlock/>
              </v:group>
            </w:pict>
          </mc:Fallback>
        </mc:AlternateContent>
      </w:r>
    </w:p>
    <w:p>
      <w:pPr>
        <w:pStyle w:val="8"/>
        <w:numPr>
          <w:ilvl w:val="0"/>
          <w:numId w:val="0"/>
        </w:numPr>
        <w:tabs>
          <w:tab w:val="left" w:pos="5295"/>
        </w:tabs>
        <w:kinsoku w:val="0"/>
        <w:overflowPunct w:val="0"/>
        <w:adjustRightInd w:val="0"/>
        <w:snapToGrid w:val="0"/>
        <w:spacing w:line="360" w:lineRule="auto"/>
        <w:ind w:left="709" w:leftChars="0" w:right="0" w:rightChars="0"/>
        <w:rPr>
          <w:rFonts w:hint="eastAsia" w:ascii="仿宋" w:hAnsi="仿宋" w:eastAsia="仿宋" w:cs="仿宋"/>
          <w:color w:val="auto"/>
          <w:sz w:val="24"/>
        </w:rPr>
      </w:pPr>
      <w:r>
        <w:rPr>
          <w:rFonts w:hint="eastAsia" w:ascii="仿宋" w:hAnsi="仿宋" w:eastAsia="仿宋" w:cs="仿宋"/>
          <w:color w:val="auto"/>
          <w:sz w:val="24"/>
        </w:rPr>
        <w:t>被授权代表（</w:t>
      </w:r>
      <w:r>
        <w:rPr>
          <w:rFonts w:hint="eastAsia" w:ascii="仿宋" w:hAnsi="仿宋" w:eastAsia="仿宋" w:cs="仿宋"/>
          <w:color w:val="auto"/>
          <w:sz w:val="24"/>
          <w:lang w:eastAsia="zh-CN"/>
        </w:rPr>
        <w:t>签章</w:t>
      </w:r>
      <w:r>
        <w:rPr>
          <w:rFonts w:hint="eastAsia" w:ascii="仿宋" w:hAnsi="仿宋" w:eastAsia="仿宋" w:cs="仿宋"/>
          <w:color w:val="auto"/>
          <w:sz w:val="24"/>
        </w:rPr>
        <w:t>）：</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投标人法定代表人（</w:t>
      </w:r>
      <w:r>
        <w:rPr>
          <w:rFonts w:hint="eastAsia" w:ascii="仿宋" w:hAnsi="仿宋" w:eastAsia="仿宋" w:cs="仿宋"/>
          <w:color w:val="auto"/>
          <w:sz w:val="24"/>
          <w:lang w:eastAsia="zh-CN"/>
        </w:rPr>
        <w:t>签章</w:t>
      </w:r>
      <w:r>
        <w:rPr>
          <w:rFonts w:hint="eastAsia" w:ascii="仿宋" w:hAnsi="仿宋" w:eastAsia="仿宋" w:cs="仿宋"/>
          <w:color w:val="auto"/>
          <w:sz w:val="24"/>
        </w:rPr>
        <w:t>）：</w:t>
      </w:r>
    </w:p>
    <w:p>
      <w:pPr>
        <w:pStyle w:val="8"/>
        <w:numPr>
          <w:ilvl w:val="0"/>
          <w:numId w:val="0"/>
        </w:numPr>
        <w:tabs>
          <w:tab w:val="left" w:pos="1098"/>
          <w:tab w:val="left" w:pos="5298"/>
          <w:tab w:val="left" w:pos="5778"/>
        </w:tabs>
        <w:kinsoku w:val="0"/>
        <w:overflowPunct w:val="0"/>
        <w:adjustRightInd w:val="0"/>
        <w:snapToGrid w:val="0"/>
        <w:spacing w:line="360" w:lineRule="auto"/>
        <w:ind w:left="709" w:leftChars="0" w:right="0" w:rightChars="0"/>
        <w:rPr>
          <w:rFonts w:hint="eastAsia" w:ascii="仿宋" w:hAnsi="仿宋" w:eastAsia="仿宋" w:cs="仿宋"/>
          <w:color w:val="auto"/>
          <w:sz w:val="24"/>
        </w:rPr>
      </w:pPr>
      <w:r>
        <w:rPr>
          <w:rFonts w:hint="eastAsia" w:ascii="仿宋" w:hAnsi="仿宋" w:eastAsia="仿宋" w:cs="仿宋"/>
          <w:color w:val="auto"/>
          <w:sz w:val="24"/>
        </w:rPr>
        <w:t>职</w:t>
      </w:r>
      <w:r>
        <w:rPr>
          <w:rFonts w:hint="eastAsia" w:ascii="仿宋" w:hAnsi="仿宋" w:eastAsia="仿宋" w:cs="仿宋"/>
          <w:color w:val="auto"/>
          <w:sz w:val="24"/>
        </w:rPr>
        <w:tab/>
      </w:r>
      <w:r>
        <w:rPr>
          <w:rFonts w:hint="eastAsia" w:ascii="仿宋" w:hAnsi="仿宋" w:eastAsia="仿宋" w:cs="仿宋"/>
          <w:color w:val="auto"/>
          <w:sz w:val="24"/>
        </w:rPr>
        <w:t>务：</w:t>
      </w:r>
      <w:r>
        <w:rPr>
          <w:rFonts w:hint="eastAsia" w:ascii="仿宋" w:hAnsi="仿宋" w:eastAsia="仿宋" w:cs="仿宋"/>
          <w:color w:val="auto"/>
          <w:sz w:val="24"/>
        </w:rPr>
        <w:tab/>
      </w:r>
      <w:r>
        <w:rPr>
          <w:rFonts w:hint="eastAsia" w:ascii="仿宋" w:hAnsi="仿宋" w:eastAsia="仿宋" w:cs="仿宋"/>
          <w:color w:val="auto"/>
          <w:sz w:val="24"/>
        </w:rPr>
        <w:t>职</w:t>
      </w:r>
      <w:r>
        <w:rPr>
          <w:rFonts w:hint="eastAsia" w:ascii="仿宋" w:hAnsi="仿宋" w:eastAsia="仿宋" w:cs="仿宋"/>
          <w:color w:val="auto"/>
          <w:sz w:val="24"/>
        </w:rPr>
        <w:tab/>
      </w:r>
      <w:r>
        <w:rPr>
          <w:rFonts w:hint="eastAsia" w:ascii="仿宋" w:hAnsi="仿宋" w:eastAsia="仿宋" w:cs="仿宋"/>
          <w:color w:val="auto"/>
          <w:sz w:val="24"/>
        </w:rPr>
        <w:t>务：</w:t>
      </w:r>
    </w:p>
    <w:p>
      <w:pPr>
        <w:pStyle w:val="8"/>
        <w:numPr>
          <w:ilvl w:val="0"/>
          <w:numId w:val="0"/>
        </w:numPr>
        <w:tabs>
          <w:tab w:val="left" w:pos="1098"/>
          <w:tab w:val="left" w:pos="5298"/>
          <w:tab w:val="left" w:pos="5778"/>
        </w:tabs>
        <w:kinsoku w:val="0"/>
        <w:overflowPunct w:val="0"/>
        <w:adjustRightInd w:val="0"/>
        <w:snapToGrid w:val="0"/>
        <w:spacing w:line="360" w:lineRule="auto"/>
        <w:ind w:left="709" w:leftChars="0" w:right="0" w:rightChars="0"/>
        <w:rPr>
          <w:rFonts w:hint="eastAsia" w:ascii="仿宋" w:hAnsi="仿宋" w:eastAsia="仿宋" w:cs="仿宋"/>
          <w:color w:val="auto"/>
          <w:sz w:val="24"/>
        </w:rPr>
      </w:pPr>
      <w:r>
        <w:rPr>
          <w:rFonts w:hint="eastAsia" w:ascii="仿宋" w:hAnsi="仿宋" w:eastAsia="仿宋" w:cs="仿宋"/>
          <w:color w:val="auto"/>
          <w:sz w:val="24"/>
        </w:rPr>
        <w:t>电</w:t>
      </w:r>
      <w:r>
        <w:rPr>
          <w:rFonts w:hint="eastAsia" w:ascii="仿宋" w:hAnsi="仿宋" w:eastAsia="仿宋" w:cs="仿宋"/>
          <w:color w:val="auto"/>
          <w:sz w:val="24"/>
        </w:rPr>
        <w:tab/>
      </w:r>
      <w:r>
        <w:rPr>
          <w:rFonts w:hint="eastAsia" w:ascii="仿宋" w:hAnsi="仿宋" w:eastAsia="仿宋" w:cs="仿宋"/>
          <w:color w:val="auto"/>
          <w:sz w:val="24"/>
        </w:rPr>
        <w:t>话：</w:t>
      </w:r>
      <w:r>
        <w:rPr>
          <w:rFonts w:hint="eastAsia" w:ascii="仿宋" w:hAnsi="仿宋" w:eastAsia="仿宋" w:cs="仿宋"/>
          <w:color w:val="auto"/>
          <w:sz w:val="24"/>
        </w:rPr>
        <w:tab/>
      </w:r>
      <w:r>
        <w:rPr>
          <w:rFonts w:hint="eastAsia" w:ascii="仿宋" w:hAnsi="仿宋" w:eastAsia="仿宋" w:cs="仿宋"/>
          <w:color w:val="auto"/>
          <w:sz w:val="24"/>
        </w:rPr>
        <w:t>电</w:t>
      </w:r>
      <w:r>
        <w:rPr>
          <w:rFonts w:hint="eastAsia" w:ascii="仿宋" w:hAnsi="仿宋" w:eastAsia="仿宋" w:cs="仿宋"/>
          <w:color w:val="auto"/>
          <w:sz w:val="24"/>
        </w:rPr>
        <w:tab/>
      </w:r>
      <w:r>
        <w:rPr>
          <w:rFonts w:hint="eastAsia" w:ascii="仿宋" w:hAnsi="仿宋" w:eastAsia="仿宋" w:cs="仿宋"/>
          <w:color w:val="auto"/>
          <w:sz w:val="24"/>
        </w:rPr>
        <w:t>话：</w:t>
      </w:r>
    </w:p>
    <w:p>
      <w:pPr>
        <w:pStyle w:val="8"/>
        <w:numPr>
          <w:ilvl w:val="0"/>
          <w:numId w:val="0"/>
        </w:numPr>
        <w:tabs>
          <w:tab w:val="left" w:pos="5631"/>
          <w:tab w:val="left" w:pos="6591"/>
          <w:tab w:val="left" w:pos="7191"/>
          <w:tab w:val="left" w:pos="7791"/>
          <w:tab w:val="left" w:pos="8247"/>
        </w:tabs>
        <w:kinsoku w:val="0"/>
        <w:overflowPunct w:val="0"/>
        <w:adjustRightInd w:val="0"/>
        <w:snapToGrid w:val="0"/>
        <w:spacing w:line="360" w:lineRule="auto"/>
        <w:ind w:left="709" w:leftChars="0" w:right="238" w:rightChars="0"/>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u w:val="single"/>
        </w:rPr>
        <w:tab/>
      </w:r>
      <w:r>
        <w:rPr>
          <w:rFonts w:hint="eastAsia" w:ascii="仿宋" w:hAnsi="仿宋" w:eastAsia="仿宋" w:cs="仿宋"/>
          <w:color w:val="auto"/>
          <w:sz w:val="24"/>
          <w:u w:val="single"/>
        </w:rPr>
        <w:tab/>
      </w:r>
      <w:r>
        <w:rPr>
          <w:rFonts w:hint="eastAsia" w:ascii="仿宋" w:hAnsi="仿宋" w:eastAsia="仿宋" w:cs="仿宋"/>
          <w:color w:val="auto"/>
          <w:sz w:val="24"/>
          <w:u w:val="single"/>
        </w:rPr>
        <w:tab/>
      </w:r>
      <w:r>
        <w:rPr>
          <w:rFonts w:hint="eastAsia" w:ascii="仿宋" w:hAnsi="仿宋" w:eastAsia="仿宋" w:cs="仿宋"/>
          <w:color w:val="auto"/>
          <w:sz w:val="24"/>
        </w:rPr>
        <w:t>（盖章）</w:t>
      </w:r>
    </w:p>
    <w:p>
      <w:pPr>
        <w:pStyle w:val="8"/>
        <w:numPr>
          <w:ilvl w:val="0"/>
          <w:numId w:val="0"/>
        </w:numPr>
        <w:tabs>
          <w:tab w:val="left" w:pos="5145"/>
          <w:tab w:val="left" w:pos="6591"/>
          <w:tab w:val="left" w:pos="7191"/>
          <w:tab w:val="left" w:pos="7791"/>
          <w:tab w:val="left" w:pos="8247"/>
        </w:tabs>
        <w:kinsoku w:val="0"/>
        <w:overflowPunct w:val="0"/>
        <w:adjustRightInd w:val="0"/>
        <w:snapToGrid w:val="0"/>
        <w:spacing w:line="360" w:lineRule="auto"/>
        <w:ind w:leftChars="50" w:right="238" w:rightChars="0" w:firstLine="2916" w:firstLineChars="1200"/>
        <w:jc w:val="both"/>
        <w:rPr>
          <w:rFonts w:hint="eastAsia" w:ascii="仿宋" w:hAnsi="仿宋" w:eastAsia="仿宋" w:cs="仿宋"/>
          <w:color w:val="auto"/>
          <w:sz w:val="20"/>
        </w:rPr>
      </w:pPr>
      <w:r>
        <w:rPr>
          <w:rFonts w:hint="eastAsia" w:ascii="仿宋" w:hAnsi="仿宋" w:eastAsia="仿宋" w:cs="仿宋"/>
          <w:color w:val="auto"/>
          <w:sz w:val="24"/>
        </w:rPr>
        <w:t xml:space="preserve"> 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日 </w:t>
      </w:r>
      <w:r>
        <w:rPr>
          <w:rFonts w:hint="eastAsia" w:ascii="仿宋" w:hAnsi="仿宋" w:eastAsia="仿宋" w:cs="仿宋"/>
          <w:color w:val="auto"/>
          <w:sz w:val="20"/>
        </w:rPr>
        <w:t xml:space="preserve">               </w:t>
      </w:r>
    </w:p>
    <w:p>
      <w:pPr>
        <w:pStyle w:val="41"/>
        <w:rPr>
          <w:rFonts w:hint="eastAsia" w:ascii="仿宋" w:hAnsi="仿宋" w:eastAsia="仿宋" w:cs="仿宋"/>
          <w:b/>
          <w:bCs/>
          <w:color w:val="auto"/>
          <w:spacing w:val="0"/>
          <w:w w:val="100"/>
          <w:position w:val="0"/>
          <w:sz w:val="36"/>
          <w:szCs w:val="36"/>
          <w:shd w:val="clear" w:color="auto" w:fill="auto"/>
          <w:lang w:val="en-US" w:eastAsia="zh-CN" w:bidi="en-US"/>
        </w:rPr>
      </w:pPr>
      <w:r>
        <w:rPr>
          <w:rFonts w:hint="eastAsia" w:ascii="仿宋" w:hAnsi="仿宋" w:eastAsia="仿宋" w:cs="仿宋"/>
          <w:color w:val="auto"/>
        </w:rPr>
        <w:br w:type="page"/>
      </w:r>
    </w:p>
    <w:p>
      <w:pPr>
        <w:pStyle w:val="4"/>
        <w:numPr>
          <w:ilvl w:val="0"/>
          <w:numId w:val="0"/>
        </w:numPr>
        <w:shd w:val="clear" w:color="auto" w:fill="auto"/>
        <w:spacing w:before="0" w:line="240" w:lineRule="atLeast"/>
        <w:rPr>
          <w:rFonts w:hint="eastAsia" w:ascii="仿宋" w:hAnsi="仿宋" w:eastAsia="仿宋" w:cs="仿宋"/>
          <w:b/>
          <w:bCs/>
          <w:color w:val="auto"/>
          <w:spacing w:val="0"/>
          <w:w w:val="100"/>
          <w:position w:val="0"/>
          <w:sz w:val="36"/>
          <w:szCs w:val="36"/>
          <w:shd w:val="clear" w:color="auto" w:fill="auto"/>
          <w:lang w:val="en-US" w:eastAsia="en-US" w:bidi="en-US"/>
        </w:rPr>
      </w:pPr>
      <w:r>
        <w:rPr>
          <w:rFonts w:hint="eastAsia" w:ascii="仿宋" w:hAnsi="仿宋" w:eastAsia="仿宋" w:cs="仿宋"/>
          <w:b/>
          <w:bCs/>
          <w:color w:val="auto"/>
          <w:spacing w:val="0"/>
          <w:w w:val="100"/>
          <w:position w:val="0"/>
          <w:sz w:val="36"/>
          <w:szCs w:val="36"/>
          <w:shd w:val="clear" w:color="auto" w:fill="auto"/>
          <w:lang w:val="en-US" w:eastAsia="zh-CN" w:bidi="en-US"/>
        </w:rPr>
        <w:t>4、</w:t>
      </w:r>
      <w:r>
        <w:rPr>
          <w:rFonts w:hint="eastAsia" w:ascii="仿宋" w:hAnsi="仿宋" w:eastAsia="仿宋" w:cs="仿宋"/>
          <w:b/>
          <w:bCs/>
          <w:color w:val="auto"/>
          <w:spacing w:val="0"/>
          <w:w w:val="100"/>
          <w:position w:val="0"/>
          <w:sz w:val="36"/>
          <w:szCs w:val="36"/>
          <w:shd w:val="clear" w:color="auto" w:fill="auto"/>
          <w:lang w:val="en-US" w:eastAsia="en-US" w:bidi="en-US"/>
        </w:rPr>
        <w:t>投标保证金缴纳凭证或投标担保函</w:t>
      </w:r>
    </w:p>
    <w:p>
      <w:pPr>
        <w:shd w:val="clear" w:color="auto" w:fill="auto"/>
        <w:ind w:firstLine="486" w:firstLineChars="200"/>
        <w:rPr>
          <w:rFonts w:hint="eastAsia" w:ascii="仿宋" w:hAnsi="仿宋" w:eastAsia="仿宋" w:cs="仿宋"/>
          <w:color w:val="auto"/>
          <w:sz w:val="24"/>
          <w:highlight w:val="none"/>
        </w:rPr>
      </w:pPr>
      <w:bookmarkStart w:id="103" w:name="_Toc494296991"/>
      <w:bookmarkStart w:id="104" w:name="_Toc494296665"/>
    </w:p>
    <w:bookmarkEnd w:id="103"/>
    <w:bookmarkEnd w:id="104"/>
    <w:p>
      <w:pPr>
        <w:pStyle w:val="6"/>
        <w:shd w:val="clear" w:color="auto" w:fill="auto"/>
        <w:rPr>
          <w:rFonts w:hint="eastAsia" w:ascii="仿宋" w:hAnsi="仿宋" w:eastAsia="仿宋" w:cs="仿宋"/>
          <w:color w:val="auto"/>
          <w:highlight w:val="none"/>
        </w:rPr>
      </w:pPr>
    </w:p>
    <w:tbl>
      <w:tblPr>
        <w:tblStyle w:val="23"/>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noWrap w:val="0"/>
            <w:vAlign w:val="top"/>
          </w:tcPr>
          <w:p>
            <w:pPr>
              <w:shd w:val="clear" w:color="auto" w:fill="auto"/>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投标保证金收据</w:t>
            </w:r>
          </w:p>
        </w:tc>
      </w:tr>
    </w:tbl>
    <w:p>
      <w:pPr>
        <w:pStyle w:val="6"/>
        <w:shd w:val="clear" w:color="auto" w:fill="auto"/>
        <w:rPr>
          <w:rFonts w:hint="eastAsia" w:ascii="仿宋" w:hAnsi="仿宋" w:eastAsia="仿宋" w:cs="仿宋"/>
          <w:color w:val="auto"/>
          <w:highlight w:val="none"/>
        </w:rPr>
      </w:pPr>
    </w:p>
    <w:p>
      <w:pPr>
        <w:shd w:val="clear" w:color="auto" w:fill="auto"/>
        <w:spacing w:line="240" w:lineRule="atLeast"/>
        <w:ind w:left="1164" w:leftChars="257" w:hanging="540"/>
        <w:jc w:val="center"/>
        <w:rPr>
          <w:rFonts w:hint="eastAsia" w:ascii="仿宋" w:hAnsi="仿宋" w:eastAsia="仿宋" w:cs="仿宋"/>
          <w:color w:val="auto"/>
          <w:sz w:val="24"/>
          <w:highlight w:val="none"/>
        </w:rPr>
      </w:pPr>
    </w:p>
    <w:p>
      <w:pPr>
        <w:shd w:val="clear" w:color="auto" w:fill="auto"/>
        <w:rPr>
          <w:rFonts w:hint="eastAsia" w:ascii="仿宋" w:hAnsi="仿宋" w:eastAsia="仿宋" w:cs="仿宋"/>
          <w:color w:val="auto"/>
          <w:sz w:val="28"/>
          <w:szCs w:val="28"/>
          <w:highlight w:val="none"/>
        </w:rPr>
      </w:pPr>
    </w:p>
    <w:tbl>
      <w:tblPr>
        <w:tblStyle w:val="23"/>
        <w:tblpPr w:leftFromText="180" w:rightFromText="180" w:vertAnchor="text" w:horzAnchor="page" w:tblpX="2090" w:tblpY="750"/>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noWrap w:val="0"/>
            <w:vAlign w:val="top"/>
          </w:tcPr>
          <w:p>
            <w:pPr>
              <w:shd w:val="clear" w:color="auto" w:fill="auto"/>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rPr>
            </w:pPr>
          </w:p>
          <w:p>
            <w:pPr>
              <w:shd w:val="clear" w:color="auto" w:fill="auto"/>
              <w:jc w:val="center"/>
              <w:rPr>
                <w:rFonts w:hint="eastAsia" w:ascii="仿宋" w:hAnsi="仿宋" w:eastAsia="仿宋" w:cs="仿宋"/>
                <w:b/>
                <w:bCs/>
                <w:color w:val="auto"/>
                <w:sz w:val="30"/>
                <w:szCs w:val="30"/>
                <w:highlight w:val="none"/>
                <w:lang w:eastAsia="zh-CN"/>
              </w:rPr>
            </w:pPr>
            <w:r>
              <w:rPr>
                <w:rFonts w:hint="eastAsia" w:ascii="仿宋" w:hAnsi="仿宋" w:eastAsia="仿宋" w:cs="仿宋"/>
                <w:b/>
                <w:bCs/>
                <w:color w:val="auto"/>
                <w:sz w:val="30"/>
                <w:szCs w:val="30"/>
                <w:highlight w:val="none"/>
                <w:lang w:eastAsia="zh-CN"/>
              </w:rPr>
              <w:t>打款凭证</w:t>
            </w:r>
          </w:p>
        </w:tc>
      </w:tr>
    </w:tbl>
    <w:p>
      <w:pPr>
        <w:pStyle w:val="6"/>
        <w:shd w:val="clear" w:color="auto" w:fill="auto"/>
        <w:rPr>
          <w:rFonts w:hint="eastAsia" w:ascii="仿宋" w:hAnsi="仿宋" w:eastAsia="仿宋" w:cs="仿宋"/>
          <w:color w:val="auto"/>
          <w:highlight w:val="none"/>
        </w:rPr>
      </w:pPr>
    </w:p>
    <w:p>
      <w:pPr>
        <w:pStyle w:val="6"/>
        <w:shd w:val="clear" w:color="auto" w:fill="auto"/>
        <w:rPr>
          <w:rFonts w:hint="eastAsia" w:ascii="仿宋" w:hAnsi="仿宋" w:eastAsia="仿宋" w:cs="仿宋"/>
          <w:color w:val="auto"/>
          <w:highlight w:val="none"/>
        </w:rPr>
      </w:pPr>
    </w:p>
    <w:p>
      <w:pPr>
        <w:pStyle w:val="6"/>
        <w:shd w:val="clear" w:color="auto" w:fill="auto"/>
        <w:rPr>
          <w:rFonts w:hint="eastAsia" w:ascii="仿宋" w:hAnsi="仿宋" w:eastAsia="仿宋" w:cs="仿宋"/>
          <w:color w:val="auto"/>
          <w:highlight w:val="none"/>
        </w:rPr>
      </w:pPr>
    </w:p>
    <w:p>
      <w:pPr>
        <w:pStyle w:val="6"/>
        <w:shd w:val="clear" w:color="auto" w:fill="auto"/>
        <w:rPr>
          <w:rFonts w:hint="eastAsia" w:ascii="仿宋" w:hAnsi="仿宋" w:eastAsia="仿宋" w:cs="仿宋"/>
          <w:color w:val="auto"/>
          <w:highlight w:val="none"/>
        </w:rPr>
      </w:pPr>
    </w:p>
    <w:p>
      <w:pPr>
        <w:pStyle w:val="6"/>
        <w:shd w:val="clear" w:color="auto" w:fill="auto"/>
        <w:rPr>
          <w:rFonts w:hint="eastAsia" w:ascii="仿宋" w:hAnsi="仿宋" w:eastAsia="仿宋" w:cs="仿宋"/>
          <w:color w:val="auto"/>
          <w:highlight w:val="none"/>
        </w:rPr>
      </w:pPr>
    </w:p>
    <w:p>
      <w:pPr>
        <w:pStyle w:val="6"/>
        <w:shd w:val="clear" w:color="auto" w:fill="auto"/>
        <w:rPr>
          <w:rFonts w:hint="eastAsia" w:ascii="仿宋" w:hAnsi="仿宋" w:eastAsia="仿宋" w:cs="仿宋"/>
          <w:color w:val="auto"/>
          <w:highlight w:val="none"/>
        </w:rPr>
      </w:pPr>
    </w:p>
    <w:p>
      <w:pPr>
        <w:rPr>
          <w:rFonts w:hint="eastAsia" w:ascii="仿宋" w:hAnsi="仿宋" w:eastAsia="仿宋" w:cs="仿宋"/>
          <w:color w:val="auto"/>
        </w:rPr>
      </w:pPr>
    </w:p>
    <w:p>
      <w:pPr>
        <w:pStyle w:val="38"/>
        <w:numPr>
          <w:ilvl w:val="4"/>
          <w:numId w:val="0"/>
        </w:numPr>
        <w:ind w:leftChars="0" w:right="0" w:rightChars="0"/>
        <w:rPr>
          <w:rFonts w:hint="eastAsia"/>
          <w:color w:val="auto"/>
          <w:lang w:eastAsia="zh-CN"/>
        </w:rPr>
      </w:pPr>
    </w:p>
    <w:p>
      <w:pPr>
        <w:pStyle w:val="39"/>
        <w:rPr>
          <w:rFonts w:hint="eastAsia"/>
          <w:color w:val="auto"/>
          <w:lang w:eastAsia="zh-CN"/>
        </w:rPr>
      </w:pPr>
    </w:p>
    <w:p>
      <w:pPr>
        <w:pStyle w:val="39"/>
        <w:rPr>
          <w:rFonts w:hint="eastAsia"/>
          <w:color w:val="auto"/>
          <w:lang w:eastAsia="zh-CN"/>
        </w:rPr>
      </w:pPr>
    </w:p>
    <w:p>
      <w:pPr>
        <w:pStyle w:val="39"/>
        <w:rPr>
          <w:rFonts w:hint="eastAsia"/>
          <w:color w:val="auto"/>
          <w:lang w:eastAsia="zh-CN"/>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720" w:leftChars="0" w:right="0" w:rightChars="0"/>
        <w:jc w:val="left"/>
        <w:textAlignment w:val="auto"/>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5、投标企业需提供参加本次采购活动前三年内未被“信用中国”（www.creditchina.gov.cn）、中国政府采购网（www.ccgp.gov.cn）列入失信被执行人、重大税收违法案件当事人名单、政府采购严重违法失信行为记录名单；</w:t>
      </w: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720" w:leftChars="0" w:right="0" w:rightChars="0"/>
        <w:jc w:val="left"/>
        <w:textAlignment w:val="auto"/>
        <w:rPr>
          <w:rFonts w:hint="eastAsia" w:ascii="仿宋" w:hAnsi="仿宋" w:eastAsia="仿宋" w:cs="仿宋"/>
          <w:b/>
          <w:bCs/>
          <w:color w:val="auto"/>
          <w:lang w:val="en-US" w:eastAsia="zh-CN"/>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720" w:leftChars="0" w:right="0" w:rightChars="0"/>
        <w:jc w:val="left"/>
        <w:textAlignment w:val="auto"/>
        <w:rPr>
          <w:rFonts w:hint="eastAsia" w:ascii="仿宋" w:hAnsi="仿宋" w:eastAsia="仿宋" w:cs="仿宋"/>
          <w:b/>
          <w:bCs/>
          <w:color w:val="auto"/>
          <w:lang w:val="en-US" w:eastAsia="zh-CN"/>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720" w:leftChars="0" w:right="0" w:rightChars="0"/>
        <w:jc w:val="left"/>
        <w:textAlignment w:val="auto"/>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6、投标单位（供应商）针对本次采购项目《反商业贿赂承诺书》，《采购活动前三年内无重大违规记录承诺书》的书面声明</w:t>
      </w:r>
    </w:p>
    <w:p>
      <w:pPr>
        <w:pStyle w:val="5"/>
        <w:rPr>
          <w:rFonts w:hint="eastAsia" w:ascii="仿宋" w:hAnsi="仿宋" w:eastAsia="仿宋" w:cs="仿宋"/>
          <w:b/>
          <w:bCs/>
          <w:color w:val="auto"/>
        </w:rPr>
      </w:pPr>
    </w:p>
    <w:p>
      <w:pPr>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pStyle w:val="41"/>
        <w:rPr>
          <w:rFonts w:hint="eastAsia" w:ascii="仿宋" w:hAnsi="仿宋" w:eastAsia="仿宋" w:cs="仿宋"/>
          <w:b/>
          <w:bCs/>
          <w:color w:val="auto"/>
        </w:rPr>
      </w:pPr>
    </w:p>
    <w:p>
      <w:pPr>
        <w:rPr>
          <w:rFonts w:hint="eastAsia" w:ascii="仿宋" w:hAnsi="仿宋" w:eastAsia="仿宋" w:cs="仿宋"/>
          <w:color w:val="auto"/>
        </w:rPr>
      </w:pPr>
    </w:p>
    <w:p>
      <w:pPr>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line="400" w:lineRule="exact"/>
        <w:ind w:left="720" w:leftChars="0" w:right="0" w:rightChars="0"/>
        <w:jc w:val="left"/>
        <w:textAlignment w:val="auto"/>
        <w:rPr>
          <w:rFonts w:hint="eastAsia" w:ascii="仿宋" w:hAnsi="仿宋" w:eastAsia="仿宋" w:cs="仿宋"/>
          <w:b/>
          <w:bCs/>
          <w:color w:val="auto"/>
          <w:lang w:eastAsia="zh-CN"/>
        </w:rPr>
      </w:pPr>
      <w:r>
        <w:rPr>
          <w:rFonts w:hint="eastAsia" w:ascii="仿宋" w:hAnsi="仿宋" w:eastAsia="仿宋" w:cs="仿宋"/>
          <w:b/>
          <w:bCs/>
          <w:color w:val="auto"/>
          <w:lang w:val="en-US" w:eastAsia="zh-CN"/>
        </w:rPr>
        <w:t>7、</w:t>
      </w:r>
      <w:r>
        <w:rPr>
          <w:rFonts w:hint="eastAsia" w:ascii="仿宋" w:hAnsi="仿宋" w:eastAsia="仿宋" w:cs="仿宋"/>
          <w:b/>
          <w:bCs/>
          <w:color w:val="auto"/>
        </w:rPr>
        <w:t>投标人须知资料表要求的其他资格证明文件</w:t>
      </w:r>
      <w:r>
        <w:rPr>
          <w:rFonts w:hint="eastAsia" w:ascii="仿宋" w:hAnsi="仿宋" w:eastAsia="仿宋" w:cs="仿宋"/>
          <w:b/>
          <w:bCs/>
          <w:color w:val="auto"/>
          <w:lang w:eastAsia="zh-CN"/>
        </w:rPr>
        <w:t>（格式自拟）</w:t>
      </w:r>
    </w:p>
    <w:p>
      <w:pPr>
        <w:pStyle w:val="6"/>
        <w:numPr>
          <w:ilvl w:val="0"/>
          <w:numId w:val="0"/>
        </w:numPr>
        <w:ind w:right="0" w:rightChars="0"/>
        <w:rPr>
          <w:rFonts w:hint="eastAsia"/>
          <w:color w:val="auto"/>
        </w:rPr>
      </w:pPr>
    </w:p>
    <w:p>
      <w:pPr>
        <w:pStyle w:val="5"/>
        <w:rPr>
          <w:rFonts w:hint="eastAsia" w:ascii="仿宋" w:hAnsi="仿宋" w:eastAsia="仿宋" w:cs="仿宋"/>
          <w:b/>
          <w:bCs/>
          <w:color w:val="auto"/>
        </w:rPr>
      </w:pPr>
    </w:p>
    <w:p>
      <w:pPr>
        <w:rPr>
          <w:rFonts w:hint="eastAsia" w:ascii="仿宋" w:hAnsi="仿宋" w:eastAsia="仿宋" w:cs="仿宋"/>
          <w:b/>
          <w:bCs/>
          <w:color w:val="auto"/>
        </w:rPr>
      </w:pPr>
    </w:p>
    <w:p>
      <w:pPr>
        <w:pStyle w:val="38"/>
        <w:rPr>
          <w:rFonts w:hint="eastAsia"/>
          <w:color w:val="auto"/>
        </w:rPr>
      </w:pPr>
    </w:p>
    <w:p>
      <w:pPr>
        <w:pStyle w:val="5"/>
        <w:rPr>
          <w:rFonts w:hint="eastAsia" w:ascii="仿宋" w:hAnsi="仿宋" w:eastAsia="仿宋" w:cs="仿宋"/>
          <w:b/>
          <w:bCs/>
          <w:color w:val="auto"/>
        </w:rPr>
      </w:pPr>
    </w:p>
    <w:p>
      <w:pPr>
        <w:rPr>
          <w:rFonts w:hint="eastAsia" w:ascii="仿宋" w:hAnsi="仿宋" w:eastAsia="仿宋" w:cs="仿宋"/>
          <w:b/>
          <w:bCs/>
          <w:color w:val="auto"/>
        </w:rPr>
      </w:pPr>
    </w:p>
    <w:p>
      <w:pPr>
        <w:pStyle w:val="11"/>
        <w:shd w:val="clear" w:color="auto" w:fill="auto"/>
        <w:tabs>
          <w:tab w:val="left" w:pos="5580"/>
        </w:tabs>
        <w:spacing w:line="240" w:lineRule="atLeast"/>
        <w:rPr>
          <w:rFonts w:hint="eastAsia" w:ascii="仿宋" w:hAnsi="仿宋" w:eastAsia="仿宋" w:cs="仿宋"/>
          <w:color w:val="auto"/>
          <w:sz w:val="24"/>
          <w:highlight w:val="none"/>
        </w:rPr>
      </w:pPr>
    </w:p>
    <w:p>
      <w:pPr>
        <w:rPr>
          <w:rFonts w:hint="eastAsia" w:ascii="仿宋" w:hAnsi="仿宋" w:eastAsia="仿宋" w:cs="仿宋"/>
          <w:color w:val="auto"/>
          <w:sz w:val="32"/>
          <w:szCs w:val="32"/>
          <w:highlight w:val="none"/>
        </w:rPr>
      </w:pPr>
      <w:bookmarkStart w:id="105" w:name="_Toc11180"/>
      <w:bookmarkStart w:id="106" w:name="_Toc5695"/>
      <w:bookmarkStart w:id="107" w:name="_Toc22967"/>
      <w:bookmarkStart w:id="108" w:name="_Toc515647816"/>
      <w:r>
        <w:rPr>
          <w:rFonts w:hint="eastAsia" w:ascii="仿宋" w:hAnsi="仿宋" w:eastAsia="仿宋" w:cs="仿宋"/>
          <w:color w:val="auto"/>
          <w:sz w:val="32"/>
          <w:szCs w:val="32"/>
          <w:highlight w:val="none"/>
        </w:rPr>
        <w:br w:type="page"/>
      </w:r>
    </w:p>
    <w:p>
      <w:pPr>
        <w:rPr>
          <w:rFonts w:hint="eastAsia"/>
          <w:color w:val="auto"/>
        </w:rPr>
      </w:pPr>
    </w:p>
    <w:p>
      <w:pPr>
        <w:pStyle w:val="3"/>
        <w:keepNext/>
        <w:keepLines/>
        <w:pageBreakBefore w:val="0"/>
        <w:widowControl w:val="0"/>
        <w:shd w:val="clear" w:color="auto" w:fill="auto"/>
        <w:kinsoku/>
        <w:wordWrap/>
        <w:overflowPunct/>
        <w:topLinePunct w:val="0"/>
        <w:autoSpaceDE/>
        <w:autoSpaceDN/>
        <w:bidi w:val="0"/>
        <w:adjustRightInd/>
        <w:snapToGrid/>
        <w:spacing w:before="40" w:after="40" w:line="579" w:lineRule="auto"/>
        <w:textAlignment w:val="auto"/>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商务及技术文件</w:t>
      </w:r>
      <w:bookmarkEnd w:id="105"/>
      <w:bookmarkEnd w:id="106"/>
      <w:bookmarkEnd w:id="107"/>
      <w:bookmarkEnd w:id="108"/>
      <w:r>
        <w:rPr>
          <w:rFonts w:hint="eastAsia" w:ascii="仿宋" w:hAnsi="仿宋" w:eastAsia="仿宋" w:cs="仿宋"/>
          <w:b/>
          <w:bCs/>
          <w:color w:val="auto"/>
          <w:sz w:val="24"/>
          <w:highlight w:val="none"/>
          <w:lang w:val="en-US" w:eastAsia="zh-CN"/>
        </w:rPr>
        <w:t>(包括但不限于）</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1、投标</w:t>
      </w:r>
      <w:r>
        <w:rPr>
          <w:rFonts w:hint="eastAsia" w:ascii="仿宋" w:hAnsi="仿宋" w:eastAsia="仿宋" w:cs="仿宋"/>
          <w:color w:val="auto"/>
          <w:sz w:val="24"/>
          <w:highlight w:val="none"/>
          <w:lang w:eastAsia="zh-CN"/>
        </w:rPr>
        <w:t>函</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2、开标一览表</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pacing w:val="0"/>
          <w:w w:val="100"/>
          <w:kern w:val="0"/>
          <w:position w:val="0"/>
          <w:sz w:val="24"/>
          <w:szCs w:val="20"/>
          <w:u w:val="none" w:color="000000"/>
          <w:shd w:val="clear" w:color="auto" w:fill="auto"/>
          <w:lang w:val="en-US" w:eastAsia="zh-CN" w:bidi="en-US"/>
        </w:rPr>
      </w:pPr>
      <w:r>
        <w:rPr>
          <w:rFonts w:hint="eastAsia" w:ascii="仿宋" w:hAnsi="仿宋" w:eastAsia="仿宋" w:cs="仿宋"/>
          <w:color w:val="auto"/>
          <w:spacing w:val="0"/>
          <w:w w:val="100"/>
          <w:kern w:val="0"/>
          <w:position w:val="0"/>
          <w:sz w:val="24"/>
          <w:szCs w:val="20"/>
          <w:u w:val="none" w:color="000000"/>
          <w:shd w:val="clear" w:color="auto" w:fill="auto"/>
          <w:lang w:val="en-US" w:eastAsia="zh-CN" w:bidi="en-US"/>
        </w:rPr>
        <w:t>3、货物说明一览表</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、投标分项报价表</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、技术规格偏离表</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、商务条款偏离表</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1164" w:leftChars="257" w:hanging="540"/>
        <w:textAlignment w:val="auto"/>
        <w:rPr>
          <w:rFonts w:hint="eastAsia" w:ascii="仿宋" w:hAnsi="仿宋" w:eastAsia="仿宋" w:cs="仿宋"/>
          <w:color w:val="auto"/>
          <w:lang w:eastAsia="zh-CN"/>
        </w:rPr>
      </w:pPr>
      <w:r>
        <w:rPr>
          <w:rFonts w:hint="eastAsia" w:ascii="仿宋" w:hAnsi="仿宋" w:eastAsia="仿宋" w:cs="仿宋"/>
          <w:color w:val="auto"/>
          <w:sz w:val="24"/>
          <w:highlight w:val="none"/>
          <w:lang w:val="en-US" w:eastAsia="zh-CN"/>
        </w:rPr>
        <w:t>7、投标人基本情况表</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、中小企业声明函(</w:t>
      </w:r>
      <w:r>
        <w:rPr>
          <w:rFonts w:hint="eastAsia" w:ascii="仿宋" w:hAnsi="仿宋" w:eastAsia="仿宋" w:cs="仿宋"/>
          <w:color w:val="auto"/>
          <w:sz w:val="24"/>
          <w:highlight w:val="none"/>
          <w:lang w:eastAsia="zh-CN"/>
        </w:rPr>
        <w:t>货物</w:t>
      </w:r>
      <w:r>
        <w:rPr>
          <w:rFonts w:hint="eastAsia" w:ascii="仿宋" w:hAnsi="仿宋" w:eastAsia="仿宋" w:cs="仿宋"/>
          <w:color w:val="auto"/>
          <w:sz w:val="24"/>
          <w:highlight w:val="none"/>
        </w:rPr>
        <w:t>)（不符合小微企业无需提供）</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9、</w:t>
      </w:r>
      <w:r>
        <w:rPr>
          <w:rFonts w:hint="eastAsia" w:ascii="仿宋" w:hAnsi="仿宋" w:eastAsia="仿宋" w:cs="仿宋"/>
          <w:color w:val="auto"/>
          <w:sz w:val="24"/>
          <w:highlight w:val="none"/>
        </w:rPr>
        <w:t>《残疾人福利性单位声明函》</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lang w:eastAsia="zh-CN"/>
        </w:rPr>
        <w:t>评分标准和细则中技术部分证明材料</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lang w:eastAsia="zh-CN"/>
        </w:rPr>
        <w:t>评分标准和细则中技术部分证明材料（格式自拟）</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lang w:eastAsia="zh-CN"/>
        </w:rPr>
        <w:t>投标人认为有必要提供的其他证明材料（格式自拟）</w:t>
      </w:r>
    </w:p>
    <w:p>
      <w:pPr>
        <w:pStyle w:val="11"/>
        <w:keepNext w:val="0"/>
        <w:keepLines w:val="0"/>
        <w:pageBreakBefore w:val="0"/>
        <w:widowControl w:val="0"/>
        <w:shd w:val="clear" w:color="auto" w:fill="auto"/>
        <w:kinsoku/>
        <w:wordWrap/>
        <w:overflowPunct/>
        <w:topLinePunct w:val="0"/>
        <w:autoSpaceDE/>
        <w:autoSpaceDN/>
        <w:bidi w:val="0"/>
        <w:adjustRightInd/>
        <w:snapToGrid/>
        <w:spacing w:line="400" w:lineRule="exact"/>
        <w:ind w:left="359" w:leftChars="148" w:firstLine="228"/>
        <w:textAlignment w:val="auto"/>
        <w:rPr>
          <w:rFonts w:hint="eastAsia" w:ascii="仿宋" w:hAnsi="仿宋" w:eastAsia="仿宋" w:cs="仿宋"/>
          <w:color w:val="auto"/>
          <w:sz w:val="24"/>
          <w:highlight w:val="none"/>
          <w:lang w:eastAsia="zh-CN"/>
        </w:rPr>
      </w:pPr>
    </w:p>
    <w:p>
      <w:pPr>
        <w:pStyle w:val="11"/>
        <w:keepNext w:val="0"/>
        <w:keepLines w:val="0"/>
        <w:pageBreakBefore w:val="0"/>
        <w:widowControl w:val="0"/>
        <w:shd w:val="clear" w:color="auto" w:fill="auto"/>
        <w:tabs>
          <w:tab w:val="left" w:pos="5580"/>
        </w:tabs>
        <w:kinsoku/>
        <w:wordWrap/>
        <w:overflowPunct/>
        <w:topLinePunct w:val="0"/>
        <w:autoSpaceDE/>
        <w:autoSpaceDN/>
        <w:bidi w:val="0"/>
        <w:adjustRightInd/>
        <w:snapToGrid/>
        <w:spacing w:line="400" w:lineRule="exact"/>
        <w:ind w:left="648" w:leftChars="267"/>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p>
    <w:p>
      <w:pPr>
        <w:pStyle w:val="8"/>
        <w:numPr>
          <w:ilvl w:val="0"/>
          <w:numId w:val="0"/>
        </w:numPr>
        <w:kinsoku w:val="0"/>
        <w:overflowPunct w:val="0"/>
        <w:spacing w:before="130" w:line="355" w:lineRule="auto"/>
        <w:ind w:left="480" w:leftChars="0" w:right="7" w:rightChars="0"/>
        <w:jc w:val="center"/>
        <w:rPr>
          <w:rFonts w:hint="eastAsia" w:ascii="仿宋" w:hAnsi="仿宋" w:eastAsia="仿宋" w:cs="仿宋"/>
          <w:b/>
          <w:bCs/>
          <w:color w:val="auto"/>
          <w:sz w:val="36"/>
          <w:szCs w:val="36"/>
        </w:rPr>
      </w:pPr>
      <w:r>
        <w:rPr>
          <w:rFonts w:hint="eastAsia" w:ascii="仿宋" w:hAnsi="仿宋" w:eastAsia="仿宋" w:cs="仿宋"/>
          <w:b/>
          <w:bCs/>
          <w:color w:val="auto"/>
          <w:sz w:val="36"/>
          <w:szCs w:val="36"/>
          <w:lang w:val="en-US" w:eastAsia="zh-CN"/>
        </w:rPr>
        <w:t>1</w:t>
      </w:r>
      <w:r>
        <w:rPr>
          <w:rFonts w:hint="eastAsia" w:ascii="仿宋" w:hAnsi="仿宋" w:eastAsia="仿宋" w:cs="仿宋"/>
          <w:b/>
          <w:bCs/>
          <w:color w:val="auto"/>
          <w:sz w:val="36"/>
          <w:szCs w:val="36"/>
        </w:rPr>
        <w:t>、投标函</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u w:val="single"/>
        </w:rPr>
      </w:pPr>
      <w:r>
        <w:rPr>
          <w:rFonts w:hint="eastAsia" w:ascii="仿宋" w:hAnsi="仿宋" w:eastAsia="仿宋" w:cs="仿宋"/>
          <w:color w:val="auto"/>
          <w:kern w:val="0"/>
          <w:sz w:val="24"/>
        </w:rPr>
        <w:t>致：</w:t>
      </w:r>
      <w:r>
        <w:rPr>
          <w:rFonts w:hint="eastAsia" w:ascii="仿宋" w:hAnsi="仿宋" w:eastAsia="仿宋" w:cs="仿宋"/>
          <w:color w:val="auto"/>
          <w:kern w:val="0"/>
          <w:sz w:val="24"/>
          <w:u w:val="single"/>
        </w:rPr>
        <w:t xml:space="preserve">                     </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为响应你方组织的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项目的招标[项目编号为：</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]，我方愿参与投标。</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我方确认收到贵方提供的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none"/>
        </w:rPr>
        <w:t>招标</w:t>
      </w:r>
      <w:r>
        <w:rPr>
          <w:rFonts w:hint="eastAsia" w:ascii="仿宋" w:hAnsi="仿宋" w:eastAsia="仿宋" w:cs="仿宋"/>
          <w:color w:val="auto"/>
          <w:kern w:val="0"/>
          <w:sz w:val="24"/>
        </w:rPr>
        <w:t>文件的全部内容。</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在参与投标前已详细研究了招标文件的所有内容，包括澄清、修改文件（如果有）和所有已提供的参考资料以及有关附件，我方完全明白并认为此招标文件没有倾向性，也不存在排斥潜在报价投标人的内容，我方同意招标文件的相关条款，放弃对招标文件提出误解和质疑的一切权力。</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u w:val="single"/>
        </w:rPr>
        <w:t xml:space="preserve">      (投标人名称)      </w:t>
      </w:r>
      <w:r>
        <w:rPr>
          <w:rFonts w:hint="eastAsia" w:ascii="仿宋" w:hAnsi="仿宋" w:eastAsia="仿宋" w:cs="仿宋"/>
          <w:color w:val="auto"/>
          <w:kern w:val="0"/>
          <w:sz w:val="24"/>
        </w:rPr>
        <w:t>作为投标人正式授权</w:t>
      </w:r>
      <w:r>
        <w:rPr>
          <w:rFonts w:hint="eastAsia" w:ascii="仿宋" w:hAnsi="仿宋" w:eastAsia="仿宋" w:cs="仿宋"/>
          <w:color w:val="auto"/>
          <w:kern w:val="0"/>
          <w:sz w:val="24"/>
          <w:u w:val="single"/>
        </w:rPr>
        <w:t xml:space="preserve">  (授权代表全名, 职务)  </w:t>
      </w:r>
      <w:r>
        <w:rPr>
          <w:rFonts w:hint="eastAsia" w:ascii="仿宋" w:hAnsi="仿宋" w:eastAsia="仿宋" w:cs="仿宋"/>
          <w:color w:val="auto"/>
          <w:kern w:val="0"/>
          <w:sz w:val="24"/>
        </w:rPr>
        <w:t>代表我方全权处理有关本报价的一切事宜。</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我方已完全明白招标文件的所有条款要求，并申明如下：</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（一）按招标文件提供的全部货物与相关服务的投标总价详见《报价一览表》。</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（二）本投标文件的有效期为投标截止时间起</w:t>
      </w:r>
      <w:r>
        <w:rPr>
          <w:rFonts w:hint="eastAsia" w:ascii="仿宋" w:hAnsi="仿宋" w:eastAsia="仿宋" w:cs="仿宋"/>
          <w:color w:val="auto"/>
          <w:kern w:val="0"/>
          <w:sz w:val="24"/>
          <w:u w:val="single"/>
          <w:lang w:val="en-US" w:eastAsia="zh-CN"/>
        </w:rPr>
        <w:t xml:space="preserve">     </w:t>
      </w:r>
      <w:r>
        <w:rPr>
          <w:rFonts w:hint="eastAsia" w:ascii="仿宋" w:hAnsi="仿宋" w:eastAsia="仿宋" w:cs="仿宋"/>
          <w:color w:val="auto"/>
          <w:kern w:val="0"/>
          <w:sz w:val="24"/>
        </w:rPr>
        <w:t>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（三）我方同意按照贵方可能提出的要求而提供与投标有关的任何其它数据、信息或资料。</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四</w:t>
      </w:r>
      <w:r>
        <w:rPr>
          <w:rFonts w:hint="eastAsia" w:ascii="仿宋" w:hAnsi="仿宋" w:eastAsia="仿宋" w:cs="仿宋"/>
          <w:color w:val="auto"/>
          <w:kern w:val="0"/>
          <w:sz w:val="24"/>
        </w:rPr>
        <w:t>）我方理解贵方不一定接受最低投标价或任何贵方可能收到的投标。</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五</w:t>
      </w:r>
      <w:r>
        <w:rPr>
          <w:rFonts w:hint="eastAsia" w:ascii="仿宋" w:hAnsi="仿宋" w:eastAsia="仿宋" w:cs="仿宋"/>
          <w:color w:val="auto"/>
          <w:kern w:val="0"/>
          <w:sz w:val="24"/>
        </w:rPr>
        <w:t>）我方如果中标，将保证履行招标文件及其澄清、修改文件（如果有）中的全部责任和义务，按质、按量、按期完成《招标内容》及《合同书》中的全部任务。</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六</w:t>
      </w:r>
      <w:r>
        <w:rPr>
          <w:rFonts w:hint="eastAsia" w:ascii="仿宋" w:hAnsi="仿宋" w:eastAsia="仿宋" w:cs="仿宋"/>
          <w:color w:val="auto"/>
          <w:kern w:val="0"/>
          <w:sz w:val="24"/>
        </w:rPr>
        <w:t>）如我方被授予合同，我方承诺支付就本次招标应支付或将支付的中标服务费（详见按招标文件要求格式填写的《中标服务费支付承诺书》）。</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七</w:t>
      </w:r>
      <w:r>
        <w:rPr>
          <w:rFonts w:hint="eastAsia" w:ascii="仿宋" w:hAnsi="仿宋" w:eastAsia="仿宋" w:cs="仿宋"/>
          <w:color w:val="auto"/>
          <w:kern w:val="0"/>
          <w:sz w:val="24"/>
        </w:rPr>
        <w:t>）我方作为在法律、财务和运作上独立于采购人、招标代理机构的投标人，在此保证所提交的所有文件和全部说明是真实的和正确的。</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八</w:t>
      </w:r>
      <w:r>
        <w:rPr>
          <w:rFonts w:hint="eastAsia" w:ascii="仿宋" w:hAnsi="仿宋" w:eastAsia="仿宋" w:cs="仿宋"/>
          <w:color w:val="auto"/>
          <w:kern w:val="0"/>
          <w:sz w:val="24"/>
        </w:rPr>
        <w:t>）我方投标报价已包含应向知识产权所有权人支付的所有相关税费，并保证采购人在中国使用我方提供的货物时，如有第三方提出侵犯其知识产权主张的，责任由我方承担。</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九</w:t>
      </w:r>
      <w:r>
        <w:rPr>
          <w:rFonts w:hint="eastAsia" w:ascii="仿宋" w:hAnsi="仿宋" w:eastAsia="仿宋" w:cs="仿宋"/>
          <w:color w:val="auto"/>
          <w:kern w:val="0"/>
          <w:sz w:val="24"/>
        </w:rPr>
        <w:t>）我方与其他投标人不存在单位负责人为同一人或者存在直接控股、管理关系。</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（十）我方承诺未为本项目提供整体设计、规范编制或者项目管理、监理、检测等服务。</w:t>
      </w:r>
    </w:p>
    <w:p>
      <w:pPr>
        <w:spacing w:line="480" w:lineRule="exact"/>
        <w:ind w:firstLine="486" w:firstLineChars="200"/>
        <w:rPr>
          <w:rFonts w:hint="eastAsia" w:ascii="仿宋" w:hAnsi="仿宋" w:eastAsia="仿宋" w:cs="仿宋"/>
          <w:color w:val="auto"/>
          <w:kern w:val="0"/>
          <w:sz w:val="24"/>
        </w:rPr>
      </w:pPr>
      <w:r>
        <w:rPr>
          <w:rFonts w:hint="eastAsia" w:ascii="仿宋" w:hAnsi="仿宋" w:eastAsia="仿宋" w:cs="仿宋"/>
          <w:color w:val="auto"/>
          <w:kern w:val="0"/>
          <w:sz w:val="24"/>
        </w:rPr>
        <w:t>（十</w:t>
      </w:r>
      <w:r>
        <w:rPr>
          <w:rFonts w:hint="eastAsia" w:ascii="仿宋" w:hAnsi="仿宋" w:eastAsia="仿宋" w:cs="仿宋"/>
          <w:color w:val="auto"/>
          <w:kern w:val="0"/>
          <w:sz w:val="24"/>
          <w:lang w:eastAsia="zh-CN"/>
        </w:rPr>
        <w:t>一</w:t>
      </w:r>
      <w:r>
        <w:rPr>
          <w:rFonts w:hint="eastAsia" w:ascii="仿宋" w:hAnsi="仿宋" w:eastAsia="仿宋" w:cs="仿宋"/>
          <w:color w:val="auto"/>
          <w:kern w:val="0"/>
          <w:sz w:val="24"/>
        </w:rPr>
        <w:t>）我方具备《政府采购法》第二十二条规定的条件，承诺如下：</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（1）我方已依法缴纳了各项税费及社会保险费用，如有需要，可随时向采购人提供近三个月内的相关缴费证明，以便核查。</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（2）我方已依法建立健全的财务会计制度，如有需要，可随时向采购人提供相关的证明材料，以便核查。</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（3）我方参加本项目政府采购活动前3年内在经营活动中没有重大违法记录。</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（4）我方具备履行合同所必需的设备和专业技术能力。</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（5）我方符合法律、行政法规规定的其他条件。</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以上内容如有虚假或与事实不符的，评审委员会可将我方做无效投标处理，我方愿意承担相应的法律责任。</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（十三）我方对在本函及投标文件中所作的所有承诺承担法律责任。</w:t>
      </w:r>
    </w:p>
    <w:p>
      <w:pPr>
        <w:keepNext w:val="0"/>
        <w:keepLines w:val="0"/>
        <w:pageBreakBefore w:val="0"/>
        <w:widowControl w:val="0"/>
        <w:topLinePunct w:val="0"/>
        <w:autoSpaceDE/>
        <w:autoSpaceDN/>
        <w:bidi w:val="0"/>
        <w:adjustRightInd/>
        <w:snapToGrid/>
        <w:spacing w:line="440" w:lineRule="exact"/>
        <w:ind w:firstLine="486"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（十四）所有与本招标有关的函件请发往下列地址：</w:t>
      </w:r>
    </w:p>
    <w:p>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地    址：</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.邮政编码：</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电    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传    真：</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keepNext w:val="0"/>
        <w:keepLines w:val="0"/>
        <w:pageBreakBefore w:val="0"/>
        <w:widowControl w:val="0"/>
        <w:topLinePunct w:val="0"/>
        <w:autoSpaceDE/>
        <w:autoSpaceDN/>
        <w:bidi w:val="0"/>
        <w:adjustRightInd/>
        <w:snapToGrid/>
        <w:spacing w:line="440" w:lineRule="exac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代表姓名：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.职    务：</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pPr>
        <w:keepNext w:val="0"/>
        <w:keepLines w:val="0"/>
        <w:pageBreakBefore w:val="0"/>
        <w:widowControl w:val="0"/>
        <w:topLinePunct w:val="0"/>
        <w:autoSpaceDE/>
        <w:autoSpaceDN/>
        <w:bidi w:val="0"/>
        <w:adjustRightInd/>
        <w:snapToGrid/>
        <w:spacing w:line="440" w:lineRule="exact"/>
        <w:ind w:right="48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投标人：</w:t>
      </w:r>
      <w:r>
        <w:rPr>
          <w:rFonts w:hint="eastAsia" w:ascii="仿宋" w:hAnsi="仿宋" w:eastAsia="仿宋" w:cs="仿宋"/>
          <w:color w:val="auto"/>
          <w:kern w:val="0"/>
          <w:sz w:val="24"/>
          <w:u w:val="single"/>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 xml:space="preserve">（公章） </w:t>
      </w:r>
    </w:p>
    <w:p>
      <w:pPr>
        <w:keepNext w:val="0"/>
        <w:keepLines w:val="0"/>
        <w:pageBreakBefore w:val="0"/>
        <w:widowControl w:val="0"/>
        <w:wordWrap w:val="0"/>
        <w:topLinePunct w:val="0"/>
        <w:autoSpaceDE/>
        <w:autoSpaceDN/>
        <w:bidi w:val="0"/>
        <w:adjustRightInd/>
        <w:snapToGrid/>
        <w:spacing w:line="440" w:lineRule="exact"/>
        <w:ind w:firstLine="486" w:firstLineChars="20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法定代表人或委托人：</w:t>
      </w:r>
      <w:r>
        <w:rPr>
          <w:rFonts w:hint="eastAsia" w:ascii="仿宋" w:hAnsi="仿宋" w:eastAsia="仿宋" w:cs="仿宋"/>
          <w:color w:val="auto"/>
          <w:kern w:val="0"/>
          <w:sz w:val="24"/>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r>
        <w:rPr>
          <w:rFonts w:hint="eastAsia" w:ascii="仿宋" w:hAnsi="仿宋" w:eastAsia="仿宋" w:cs="仿宋"/>
          <w:color w:val="auto"/>
          <w:kern w:val="0"/>
          <w:sz w:val="24"/>
          <w:lang w:eastAsia="zh-CN"/>
        </w:rPr>
        <w:t>签章</w:t>
      </w:r>
      <w:r>
        <w:rPr>
          <w:rFonts w:hint="eastAsia" w:ascii="仿宋" w:hAnsi="仿宋" w:eastAsia="仿宋" w:cs="仿宋"/>
          <w:color w:val="auto"/>
          <w:kern w:val="0"/>
          <w:sz w:val="24"/>
        </w:rPr>
        <w:t xml:space="preserve">）  </w:t>
      </w:r>
    </w:p>
    <w:p>
      <w:pPr>
        <w:keepNext w:val="0"/>
        <w:keepLines w:val="0"/>
        <w:pageBreakBefore w:val="0"/>
        <w:widowControl w:val="0"/>
        <w:wordWrap w:val="0"/>
        <w:topLinePunct w:val="0"/>
        <w:autoSpaceDE/>
        <w:autoSpaceDN/>
        <w:bidi w:val="0"/>
        <w:adjustRightInd/>
        <w:snapToGrid/>
        <w:spacing w:line="440" w:lineRule="exact"/>
        <w:ind w:firstLine="486" w:firstLineChars="200"/>
        <w:jc w:val="right"/>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rPr>
        <w:tab/>
      </w:r>
      <w:r>
        <w:rPr>
          <w:rFonts w:hint="eastAsia" w:ascii="仿宋" w:hAnsi="仿宋" w:eastAsia="仿宋" w:cs="仿宋"/>
          <w:color w:val="auto"/>
          <w:kern w:val="0"/>
          <w:sz w:val="24"/>
        </w:rPr>
        <w:t>年</w:t>
      </w:r>
      <w:r>
        <w:rPr>
          <w:rFonts w:hint="eastAsia" w:ascii="仿宋" w:hAnsi="仿宋" w:eastAsia="仿宋" w:cs="仿宋"/>
          <w:color w:val="auto"/>
          <w:kern w:val="0"/>
          <w:sz w:val="24"/>
          <w:u w:val="single"/>
        </w:rPr>
        <w:tab/>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月</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日</w:t>
      </w:r>
    </w:p>
    <w:p>
      <w:pPr>
        <w:pStyle w:val="41"/>
        <w:rPr>
          <w:rFonts w:hint="eastAsia" w:ascii="仿宋" w:hAnsi="仿宋" w:eastAsia="仿宋" w:cs="仿宋"/>
          <w:color w:val="auto"/>
          <w:sz w:val="24"/>
          <w:highlight w:val="none"/>
        </w:rPr>
      </w:pPr>
      <w:r>
        <w:rPr>
          <w:rFonts w:hint="eastAsia" w:ascii="仿宋" w:hAnsi="仿宋" w:eastAsia="仿宋" w:cs="仿宋"/>
          <w:color w:val="auto"/>
        </w:rPr>
        <w:br w:type="page"/>
      </w:r>
    </w:p>
    <w:p>
      <w:pPr>
        <w:pStyle w:val="6"/>
        <w:shd w:val="clear" w:color="auto" w:fill="auto"/>
        <w:tabs>
          <w:tab w:val="left" w:pos="5580"/>
        </w:tabs>
        <w:spacing w:line="240" w:lineRule="atLeast"/>
        <w:ind w:firstLine="3364" w:firstLineChars="927"/>
        <w:jc w:val="both"/>
        <w:rPr>
          <w:rFonts w:hint="eastAsia" w:ascii="仿宋" w:hAnsi="仿宋" w:eastAsia="仿宋" w:cs="仿宋"/>
          <w:color w:val="auto"/>
          <w:highlight w:val="none"/>
        </w:rPr>
      </w:pPr>
      <w:r>
        <w:rPr>
          <w:rFonts w:hint="eastAsia" w:ascii="仿宋" w:hAnsi="仿宋" w:eastAsia="仿宋" w:cs="仿宋"/>
          <w:b w:val="0"/>
          <w:bCs/>
          <w:color w:val="auto"/>
          <w:sz w:val="36"/>
          <w:szCs w:val="24"/>
          <w:highlight w:val="none"/>
          <w:lang w:val="en-US" w:eastAsia="zh-CN"/>
        </w:rPr>
        <w:t>2</w:t>
      </w:r>
      <w:r>
        <w:rPr>
          <w:rFonts w:hint="eastAsia" w:ascii="仿宋" w:hAnsi="仿宋" w:eastAsia="仿宋" w:cs="仿宋"/>
          <w:b w:val="0"/>
          <w:bCs/>
          <w:color w:val="auto"/>
          <w:sz w:val="36"/>
          <w:szCs w:val="24"/>
          <w:highlight w:val="none"/>
          <w:lang w:eastAsia="zh-CN"/>
        </w:rPr>
        <w:t>、</w:t>
      </w:r>
      <w:r>
        <w:rPr>
          <w:rFonts w:hint="eastAsia" w:ascii="仿宋" w:hAnsi="仿宋" w:eastAsia="仿宋" w:cs="仿宋"/>
          <w:b w:val="0"/>
          <w:bCs/>
          <w:color w:val="auto"/>
          <w:sz w:val="36"/>
          <w:szCs w:val="24"/>
          <w:highlight w:val="none"/>
        </w:rPr>
        <w:t>开标一览表</w:t>
      </w:r>
      <w:r>
        <w:rPr>
          <w:rFonts w:hint="eastAsia" w:ascii="仿宋" w:hAnsi="仿宋" w:eastAsia="仿宋" w:cs="仿宋"/>
          <w:b w:val="0"/>
          <w:bCs/>
          <w:color w:val="auto"/>
          <w:sz w:val="36"/>
          <w:szCs w:val="24"/>
          <w:highlight w:val="none"/>
        </w:rPr>
        <w:cr/>
      </w:r>
    </w:p>
    <w:p>
      <w:pPr>
        <w:shd w:val="clear" w:color="auto" w:fill="auto"/>
        <w:adjustRightInd w:val="0"/>
        <w:snapToGrid w:val="0"/>
        <w:spacing w:line="500" w:lineRule="exac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招标项目名称： </w:t>
      </w:r>
      <w:r>
        <w:rPr>
          <w:rFonts w:hint="eastAsia" w:ascii="仿宋" w:hAnsi="仿宋" w:eastAsia="仿宋" w:cs="仿宋"/>
          <w:color w:val="auto"/>
          <w:szCs w:val="21"/>
          <w:highlight w:val="none"/>
          <w:u w:val="single"/>
        </w:rPr>
        <w:t xml:space="preserve">                         </w:t>
      </w:r>
    </w:p>
    <w:p>
      <w:pPr>
        <w:shd w:val="clear" w:color="auto" w:fill="auto"/>
        <w:adjustRightInd w:val="0"/>
        <w:snapToGrid w:val="0"/>
        <w:spacing w:line="500" w:lineRule="exact"/>
        <w:rPr>
          <w:rFonts w:hint="eastAsia" w:ascii="仿宋" w:hAnsi="仿宋" w:eastAsia="仿宋" w:cs="仿宋"/>
          <w:i/>
          <w:iCs/>
          <w:color w:val="auto"/>
          <w:szCs w:val="21"/>
          <w:highlight w:val="none"/>
        </w:rPr>
      </w:pPr>
      <w:r>
        <w:rPr>
          <w:rFonts w:hint="eastAsia" w:ascii="仿宋" w:hAnsi="仿宋" w:eastAsia="仿宋" w:cs="仿宋"/>
          <w:color w:val="auto"/>
          <w:szCs w:val="21"/>
          <w:highlight w:val="none"/>
        </w:rPr>
        <w:t>招标项目编号：</w:t>
      </w:r>
      <w:r>
        <w:rPr>
          <w:rFonts w:hint="eastAsia" w:ascii="仿宋" w:hAnsi="仿宋" w:eastAsia="仿宋" w:cs="仿宋"/>
          <w:i/>
          <w:iCs/>
          <w:color w:val="auto"/>
          <w:szCs w:val="21"/>
          <w:highlight w:val="none"/>
        </w:rPr>
        <w:t xml:space="preserve"> </w:t>
      </w:r>
      <w:r>
        <w:rPr>
          <w:rFonts w:hint="eastAsia" w:ascii="仿宋" w:hAnsi="仿宋" w:eastAsia="仿宋" w:cs="仿宋"/>
          <w:color w:val="auto"/>
          <w:szCs w:val="21"/>
          <w:highlight w:val="none"/>
          <w:u w:val="single"/>
        </w:rPr>
        <w:t xml:space="preserve">                         </w:t>
      </w:r>
    </w:p>
    <w:p>
      <w:pPr>
        <w:shd w:val="clear" w:color="auto" w:fill="auto"/>
        <w:spacing w:line="500" w:lineRule="exac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 xml:space="preserve">                                               单位：元</w:t>
      </w:r>
    </w:p>
    <w:tbl>
      <w:tblPr>
        <w:tblStyle w:val="23"/>
        <w:tblW w:w="8780"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974"/>
        <w:gridCol w:w="6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trPr>
        <w:tc>
          <w:tcPr>
            <w:tcW w:w="2595" w:type="dxa"/>
            <w:gridSpan w:val="2"/>
            <w:noWrap w:val="0"/>
            <w:vAlign w:val="center"/>
          </w:tcPr>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投标项目名称</w:t>
            </w:r>
          </w:p>
        </w:tc>
        <w:tc>
          <w:tcPr>
            <w:tcW w:w="6185" w:type="dxa"/>
            <w:noWrap w:val="0"/>
            <w:vAlign w:val="center"/>
          </w:tcPr>
          <w:p>
            <w:pPr>
              <w:shd w:val="clear" w:color="auto" w:fill="auto"/>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8" w:hRule="atLeast"/>
        </w:trPr>
        <w:tc>
          <w:tcPr>
            <w:tcW w:w="2595" w:type="dxa"/>
            <w:gridSpan w:val="2"/>
            <w:noWrap w:val="0"/>
            <w:vAlign w:val="center"/>
          </w:tcPr>
          <w:p>
            <w:pPr>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供货及安装期</w:t>
            </w:r>
          </w:p>
        </w:tc>
        <w:tc>
          <w:tcPr>
            <w:tcW w:w="6185" w:type="dxa"/>
            <w:noWrap w:val="0"/>
            <w:vAlign w:val="center"/>
          </w:tcPr>
          <w:p>
            <w:pPr>
              <w:shd w:val="clear" w:color="auto" w:fill="auto"/>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noWrap w:val="0"/>
            <w:vAlign w:val="center"/>
          </w:tcPr>
          <w:p>
            <w:pPr>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质保期</w:t>
            </w:r>
          </w:p>
        </w:tc>
        <w:tc>
          <w:tcPr>
            <w:tcW w:w="6185" w:type="dxa"/>
            <w:noWrap w:val="0"/>
            <w:vAlign w:val="center"/>
          </w:tcPr>
          <w:p>
            <w:pPr>
              <w:shd w:val="clear" w:color="auto" w:fill="auto"/>
              <w:jc w:val="center"/>
              <w:rPr>
                <w:rFonts w:hint="eastAsia" w:ascii="仿宋" w:hAnsi="仿宋" w:eastAsia="仿宋" w:cs="仿宋"/>
                <w:color w:val="auto"/>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2595" w:type="dxa"/>
            <w:gridSpan w:val="2"/>
            <w:tcBorders>
              <w:top w:val="single" w:color="auto" w:sz="4" w:space="0"/>
            </w:tcBorders>
            <w:noWrap w:val="0"/>
            <w:vAlign w:val="center"/>
          </w:tcPr>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投标有效期</w:t>
            </w:r>
          </w:p>
        </w:tc>
        <w:tc>
          <w:tcPr>
            <w:tcW w:w="6185" w:type="dxa"/>
            <w:noWrap w:val="0"/>
            <w:vAlign w:val="center"/>
          </w:tcPr>
          <w:p>
            <w:pPr>
              <w:shd w:val="clear" w:color="auto" w:fill="auto"/>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restart"/>
            <w:noWrap w:val="0"/>
            <w:vAlign w:val="center"/>
          </w:tcPr>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投标报价</w:t>
            </w:r>
          </w:p>
          <w:p>
            <w:pPr>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（人民币）</w:t>
            </w:r>
          </w:p>
        </w:tc>
        <w:tc>
          <w:tcPr>
            <w:tcW w:w="974" w:type="dxa"/>
            <w:tcBorders>
              <w:top w:val="single" w:color="auto" w:sz="4" w:space="0"/>
              <w:bottom w:val="single" w:color="auto" w:sz="4" w:space="0"/>
            </w:tcBorders>
            <w:noWrap w:val="0"/>
            <w:vAlign w:val="center"/>
          </w:tcPr>
          <w:p>
            <w:pPr>
              <w:widowControl/>
              <w:shd w:val="clear" w:color="auto" w:fill="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小写</w:t>
            </w:r>
          </w:p>
        </w:tc>
        <w:tc>
          <w:tcPr>
            <w:tcW w:w="6185" w:type="dxa"/>
            <w:noWrap w:val="0"/>
            <w:vAlign w:val="center"/>
          </w:tcPr>
          <w:p>
            <w:pPr>
              <w:shd w:val="clear" w:color="auto" w:fill="auto"/>
              <w:jc w:val="center"/>
              <w:rPr>
                <w:rFonts w:hint="eastAsia" w:ascii="仿宋" w:hAnsi="仿宋" w:eastAsia="仿宋" w:cs="仿宋"/>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1621" w:type="dxa"/>
            <w:vMerge w:val="continue"/>
            <w:noWrap w:val="0"/>
            <w:vAlign w:val="center"/>
          </w:tcPr>
          <w:p>
            <w:pPr>
              <w:shd w:val="clear" w:color="auto" w:fill="auto"/>
              <w:jc w:val="center"/>
              <w:rPr>
                <w:rFonts w:hint="eastAsia" w:ascii="仿宋" w:hAnsi="仿宋" w:eastAsia="仿宋" w:cs="仿宋"/>
                <w:color w:val="auto"/>
                <w:szCs w:val="21"/>
                <w:highlight w:val="none"/>
              </w:rPr>
            </w:pPr>
          </w:p>
        </w:tc>
        <w:tc>
          <w:tcPr>
            <w:tcW w:w="974" w:type="dxa"/>
            <w:tcBorders>
              <w:top w:val="single" w:color="auto" w:sz="4" w:space="0"/>
              <w:bottom w:val="single" w:color="auto" w:sz="4" w:space="0"/>
            </w:tcBorders>
            <w:noWrap w:val="0"/>
            <w:vAlign w:val="center"/>
          </w:tcPr>
          <w:p>
            <w:pPr>
              <w:widowControl/>
              <w:shd w:val="clear" w:color="auto" w:fill="auto"/>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大写</w:t>
            </w:r>
          </w:p>
        </w:tc>
        <w:tc>
          <w:tcPr>
            <w:tcW w:w="6185" w:type="dxa"/>
            <w:noWrap w:val="0"/>
            <w:vAlign w:val="center"/>
          </w:tcPr>
          <w:p>
            <w:pPr>
              <w:shd w:val="clear" w:color="auto" w:fill="auto"/>
              <w:jc w:val="center"/>
              <w:rPr>
                <w:rFonts w:hint="eastAsia" w:ascii="仿宋" w:hAnsi="仿宋" w:eastAsia="仿宋" w:cs="仿宋"/>
                <w:color w:val="auto"/>
                <w:szCs w:val="21"/>
                <w:highlight w:val="none"/>
              </w:rPr>
            </w:pPr>
          </w:p>
        </w:tc>
      </w:tr>
    </w:tbl>
    <w:p>
      <w:pPr>
        <w:shd w:val="clear" w:color="auto" w:fill="auto"/>
        <w:spacing w:line="500" w:lineRule="exact"/>
        <w:ind w:firstLine="475" w:firstLineChars="196"/>
        <w:rPr>
          <w:rFonts w:hint="eastAsia" w:ascii="仿宋" w:hAnsi="仿宋" w:eastAsia="仿宋" w:cs="仿宋"/>
          <w:color w:val="auto"/>
          <w:szCs w:val="21"/>
          <w:highlight w:val="none"/>
        </w:rPr>
      </w:pPr>
      <w:r>
        <w:rPr>
          <w:rFonts w:hint="eastAsia" w:ascii="仿宋" w:hAnsi="仿宋" w:eastAsia="仿宋" w:cs="仿宋"/>
          <w:color w:val="auto"/>
          <w:szCs w:val="21"/>
          <w:highlight w:val="none"/>
        </w:rPr>
        <w:t>填写说明：</w:t>
      </w:r>
    </w:p>
    <w:p>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开标时，本表中的内容与投标文件中的投标函、货物价格明细表及分项价格表的内容不一致的，以本表为准；大写金额与小写金额不一致的，以大写金额为准；总价金额与按单价汇总金额不一致的，以单价金额计算结果为准；单价金额小数点有明显错位的，应以总价为准，并修改单价。</w:t>
      </w:r>
    </w:p>
    <w:p>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.投标</w:t>
      </w:r>
      <w:r>
        <w:rPr>
          <w:rFonts w:hint="eastAsia" w:ascii="仿宋" w:hAnsi="仿宋" w:eastAsia="仿宋" w:cs="仿宋"/>
          <w:color w:val="auto"/>
          <w:szCs w:val="21"/>
          <w:highlight w:val="none"/>
          <w:lang w:eastAsia="zh-CN"/>
        </w:rPr>
        <w:t>综合</w:t>
      </w:r>
      <w:r>
        <w:rPr>
          <w:rFonts w:hint="eastAsia" w:ascii="仿宋" w:hAnsi="仿宋" w:eastAsia="仿宋" w:cs="仿宋"/>
          <w:color w:val="auto"/>
          <w:szCs w:val="21"/>
          <w:highlight w:val="none"/>
        </w:rPr>
        <w:t>总价为招标范围所列全部招标项目的报价总和，并应与投标报价明细表及分项价格表保持一致。</w:t>
      </w:r>
    </w:p>
    <w:p>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.投标报价不得填报选择性报价。</w:t>
      </w:r>
    </w:p>
    <w:p>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投标人名称：</w:t>
      </w:r>
      <w:r>
        <w:rPr>
          <w:rFonts w:hint="eastAsia" w:ascii="仿宋" w:hAnsi="仿宋" w:eastAsia="仿宋" w:cs="仿宋"/>
          <w:color w:val="auto"/>
          <w:szCs w:val="21"/>
          <w:highlight w:val="none"/>
          <w:u w:val="single"/>
        </w:rPr>
        <w:t xml:space="preserve">    （加盖公章）     </w:t>
      </w:r>
      <w:r>
        <w:rPr>
          <w:rFonts w:hint="eastAsia" w:ascii="仿宋" w:hAnsi="仿宋" w:eastAsia="仿宋" w:cs="仿宋"/>
          <w:color w:val="auto"/>
          <w:szCs w:val="21"/>
          <w:highlight w:val="none"/>
        </w:rPr>
        <w:t xml:space="preserve">       </w:t>
      </w:r>
    </w:p>
    <w:p>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法定代表人签字或盖章：</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授权代表签字或盖章：</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pPr>
        <w:shd w:val="clear" w:color="auto" w:fill="auto"/>
        <w:spacing w:line="500" w:lineRule="exact"/>
        <w:ind w:firstLine="486"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签署日期：</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月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pPr>
        <w:pStyle w:val="4"/>
        <w:numPr>
          <w:ilvl w:val="0"/>
          <w:numId w:val="0"/>
        </w:numPr>
        <w:shd w:val="clear" w:color="auto" w:fill="auto"/>
        <w:spacing w:before="0" w:line="240" w:lineRule="atLeast"/>
        <w:rPr>
          <w:rFonts w:hint="eastAsia" w:ascii="宋体" w:hAnsi="宋体" w:eastAsia="宋体" w:cs="宋体"/>
          <w:b/>
          <w:bCs/>
          <w:color w:val="auto"/>
          <w:sz w:val="24"/>
          <w:highlight w:val="none"/>
        </w:rPr>
      </w:pPr>
    </w:p>
    <w:p>
      <w:pPr>
        <w:rPr>
          <w:rFonts w:hint="eastAsia" w:ascii="宋体" w:hAnsi="宋体" w:eastAsia="宋体" w:cs="宋体"/>
          <w:b/>
          <w:bCs/>
          <w:color w:val="auto"/>
          <w:sz w:val="24"/>
          <w:highlight w:val="none"/>
        </w:rPr>
      </w:pPr>
    </w:p>
    <w:p>
      <w:pPr>
        <w:pStyle w:val="6"/>
        <w:rPr>
          <w:rFonts w:hint="eastAsia"/>
          <w:color w:val="auto"/>
        </w:rPr>
      </w:pPr>
    </w:p>
    <w:p>
      <w:pPr>
        <w:pStyle w:val="4"/>
        <w:numPr>
          <w:ilvl w:val="0"/>
          <w:numId w:val="0"/>
        </w:numPr>
        <w:shd w:val="clear" w:color="auto" w:fill="auto"/>
        <w:spacing w:before="0" w:line="240" w:lineRule="atLeast"/>
        <w:rPr>
          <w:rFonts w:hint="eastAsia" w:ascii="宋体" w:hAnsi="宋体" w:eastAsia="宋体" w:cs="宋体"/>
          <w:b/>
          <w:bCs/>
          <w:color w:val="auto"/>
          <w:sz w:val="24"/>
          <w:highlight w:val="none"/>
        </w:rPr>
      </w:pPr>
    </w:p>
    <w:p>
      <w:pPr>
        <w:pStyle w:val="44"/>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color w:val="auto"/>
          <w:spacing w:val="0"/>
          <w:w w:val="100"/>
          <w:position w:val="0"/>
          <w:lang w:val="en-US" w:eastAsia="zh-CN"/>
        </w:rPr>
      </w:pPr>
      <w:r>
        <w:rPr>
          <w:rFonts w:hint="eastAsia" w:ascii="仿宋" w:hAnsi="仿宋" w:eastAsia="仿宋" w:cs="仿宋"/>
          <w:color w:val="auto"/>
          <w:spacing w:val="0"/>
          <w:w w:val="100"/>
          <w:position w:val="0"/>
          <w:lang w:val="en-US" w:eastAsia="zh-CN"/>
        </w:rPr>
        <w:t>3、货物说明一览表</w:t>
      </w:r>
    </w:p>
    <w:p>
      <w:pPr>
        <w:pStyle w:val="11"/>
        <w:shd w:val="clear" w:color="auto" w:fill="auto"/>
        <w:spacing w:line="240" w:lineRule="atLeast"/>
        <w:ind w:left="1164" w:leftChars="257" w:hanging="540"/>
        <w:rPr>
          <w:rFonts w:hint="eastAsia" w:ascii="仿宋" w:hAnsi="仿宋" w:eastAsia="仿宋" w:cs="仿宋"/>
          <w:color w:val="auto"/>
          <w:sz w:val="24"/>
          <w:highlight w:val="none"/>
        </w:rPr>
      </w:pPr>
    </w:p>
    <w:p>
      <w:pPr>
        <w:pStyle w:val="11"/>
        <w:shd w:val="clear" w:color="auto" w:fill="auto"/>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pPr>
        <w:pStyle w:val="11"/>
        <w:shd w:val="clear" w:color="auto" w:fill="auto"/>
        <w:spacing w:line="240" w:lineRule="atLeast"/>
        <w:ind w:left="1164"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招标编号:                       包号:                      </w:t>
      </w:r>
    </w:p>
    <w:p>
      <w:pPr>
        <w:pStyle w:val="11"/>
        <w:shd w:val="clear" w:color="auto" w:fill="auto"/>
        <w:spacing w:line="240" w:lineRule="atLeast"/>
        <w:ind w:left="1164" w:leftChars="257" w:hanging="540"/>
        <w:rPr>
          <w:rFonts w:hint="eastAsia" w:ascii="仿宋" w:hAnsi="仿宋" w:eastAsia="仿宋" w:cs="仿宋"/>
          <w:color w:val="auto"/>
          <w:sz w:val="24"/>
          <w:highlight w:val="none"/>
        </w:rPr>
      </w:pPr>
    </w:p>
    <w:tbl>
      <w:tblPr>
        <w:tblStyle w:val="23"/>
        <w:tblW w:w="8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6"/>
        <w:gridCol w:w="661"/>
        <w:gridCol w:w="988"/>
        <w:gridCol w:w="639"/>
        <w:gridCol w:w="485"/>
        <w:gridCol w:w="567"/>
        <w:gridCol w:w="738"/>
        <w:gridCol w:w="840"/>
        <w:gridCol w:w="937"/>
        <w:gridCol w:w="1104"/>
        <w:gridCol w:w="11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jc w:val="center"/>
        </w:trPr>
        <w:tc>
          <w:tcPr>
            <w:tcW w:w="456"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序号</w:t>
            </w:r>
          </w:p>
        </w:tc>
        <w:tc>
          <w:tcPr>
            <w:tcW w:w="661"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货物名称</w:t>
            </w:r>
          </w:p>
        </w:tc>
        <w:tc>
          <w:tcPr>
            <w:tcW w:w="988"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品牌</w:t>
            </w:r>
          </w:p>
        </w:tc>
        <w:tc>
          <w:tcPr>
            <w:tcW w:w="639"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主要规格</w:t>
            </w:r>
          </w:p>
        </w:tc>
        <w:tc>
          <w:tcPr>
            <w:tcW w:w="485"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数量</w:t>
            </w:r>
          </w:p>
        </w:tc>
        <w:tc>
          <w:tcPr>
            <w:tcW w:w="567"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单位</w:t>
            </w:r>
          </w:p>
        </w:tc>
        <w:tc>
          <w:tcPr>
            <w:tcW w:w="738" w:type="dxa"/>
            <w:noWrap w:val="0"/>
            <w:vAlign w:val="center"/>
          </w:tcPr>
          <w:p>
            <w:pPr>
              <w:shd w:val="clear" w:color="auto" w:fill="auto"/>
              <w:ind w:left="0" w:leftChars="0" w:right="0" w:rightChars="0" w:firstLine="0" w:firstLineChars="0"/>
              <w:jc w:val="center"/>
              <w:rPr>
                <w:rFonts w:hint="eastAsia" w:ascii="仿宋" w:hAnsi="仿宋" w:eastAsia="仿宋" w:cs="仿宋"/>
                <w:color w:val="auto"/>
                <w:spacing w:val="0"/>
                <w:w w:val="100"/>
                <w:kern w:val="2"/>
                <w:position w:val="0"/>
                <w:sz w:val="24"/>
                <w:szCs w:val="20"/>
                <w:highlight w:val="none"/>
                <w:u w:val="none" w:color="000000"/>
                <w:shd w:val="clear" w:color="auto" w:fill="auto"/>
                <w:lang w:val="en-US" w:eastAsia="zh-CN" w:bidi="ar-SA"/>
              </w:rPr>
            </w:pPr>
            <w:r>
              <w:rPr>
                <w:rFonts w:hint="eastAsia" w:ascii="仿宋" w:hAnsi="仿宋" w:eastAsia="仿宋" w:cs="仿宋"/>
                <w:color w:val="auto"/>
                <w:kern w:val="2"/>
                <w:sz w:val="24"/>
                <w:szCs w:val="20"/>
                <w:highlight w:val="none"/>
                <w:u w:val="none" w:color="000000"/>
                <w:lang w:val="en-US" w:eastAsia="zh-CN" w:bidi="ar-SA"/>
              </w:rPr>
              <w:t>交货时间</w:t>
            </w:r>
          </w:p>
        </w:tc>
        <w:tc>
          <w:tcPr>
            <w:tcW w:w="840" w:type="dxa"/>
            <w:noWrap w:val="0"/>
            <w:vAlign w:val="center"/>
          </w:tcPr>
          <w:p>
            <w:pPr>
              <w:shd w:val="clear" w:color="auto" w:fill="auto"/>
              <w:ind w:left="0" w:leftChars="0" w:right="0" w:rightChars="0" w:firstLine="0" w:firstLineChars="0"/>
              <w:jc w:val="center"/>
              <w:rPr>
                <w:rFonts w:hint="eastAsia" w:ascii="仿宋" w:hAnsi="仿宋" w:eastAsia="仿宋" w:cs="仿宋"/>
                <w:color w:val="auto"/>
                <w:spacing w:val="0"/>
                <w:w w:val="100"/>
                <w:kern w:val="2"/>
                <w:position w:val="0"/>
                <w:sz w:val="24"/>
                <w:szCs w:val="20"/>
                <w:highlight w:val="none"/>
                <w:u w:val="none" w:color="000000"/>
                <w:shd w:val="clear" w:color="auto" w:fill="auto"/>
                <w:lang w:val="en-US" w:eastAsia="zh-CN" w:bidi="ar-SA"/>
              </w:rPr>
            </w:pPr>
            <w:r>
              <w:rPr>
                <w:rFonts w:hint="eastAsia" w:ascii="仿宋" w:hAnsi="仿宋" w:eastAsia="仿宋" w:cs="仿宋"/>
                <w:color w:val="auto"/>
                <w:kern w:val="2"/>
                <w:sz w:val="24"/>
                <w:szCs w:val="20"/>
                <w:highlight w:val="none"/>
                <w:u w:val="none" w:color="000000"/>
                <w:lang w:val="en-US" w:eastAsia="zh-CN" w:bidi="ar-SA"/>
              </w:rPr>
              <w:t>交货地点</w:t>
            </w:r>
          </w:p>
        </w:tc>
        <w:tc>
          <w:tcPr>
            <w:tcW w:w="937" w:type="dxa"/>
            <w:noWrap w:val="0"/>
            <w:vAlign w:val="center"/>
          </w:tcPr>
          <w:p>
            <w:pPr>
              <w:shd w:val="clear" w:color="auto" w:fill="auto"/>
              <w:ind w:left="0" w:leftChars="0" w:right="0" w:rightChars="0" w:firstLine="0" w:firstLineChars="0"/>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质保</w:t>
            </w:r>
          </w:p>
        </w:tc>
        <w:tc>
          <w:tcPr>
            <w:tcW w:w="1104"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样品图片</w:t>
            </w:r>
          </w:p>
        </w:tc>
        <w:tc>
          <w:tcPr>
            <w:tcW w:w="1105" w:type="dxa"/>
            <w:noWrap w:val="0"/>
            <w:vAlign w:val="center"/>
          </w:tcPr>
          <w:p>
            <w:pPr>
              <w:shd w:val="clear" w:color="auto" w:fill="auto"/>
              <w:jc w:val="center"/>
              <w:rPr>
                <w:rFonts w:hint="eastAsia" w:ascii="仿宋" w:hAnsi="仿宋" w:eastAsia="仿宋" w:cs="仿宋"/>
                <w:color w:val="auto"/>
                <w:kern w:val="2"/>
                <w:sz w:val="24"/>
                <w:szCs w:val="20"/>
                <w:highlight w:val="none"/>
                <w:u w:val="none" w:color="000000"/>
                <w:lang w:val="en-US" w:eastAsia="zh-CN" w:bidi="ar-SA"/>
              </w:rPr>
            </w:pPr>
            <w:r>
              <w:rPr>
                <w:rFonts w:hint="eastAsia" w:ascii="仿宋" w:hAnsi="仿宋" w:eastAsia="仿宋" w:cs="仿宋"/>
                <w:color w:val="auto"/>
                <w:kern w:val="2"/>
                <w:sz w:val="24"/>
                <w:szCs w:val="20"/>
                <w:highlight w:val="none"/>
                <w:u w:val="none" w:color="000000"/>
                <w:lang w:val="en-US" w:eastAsia="zh-CN" w:bidi="ar-SA"/>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456"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61"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8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639"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48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56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738"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840"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937"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4"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c>
          <w:tcPr>
            <w:tcW w:w="1105" w:type="dxa"/>
            <w:noWrap w:val="0"/>
            <w:vAlign w:val="top"/>
          </w:tcPr>
          <w:p>
            <w:pPr>
              <w:pStyle w:val="11"/>
              <w:shd w:val="clear" w:color="auto" w:fill="auto"/>
              <w:spacing w:line="240" w:lineRule="atLeast"/>
              <w:ind w:left="1164" w:leftChars="257" w:hanging="540"/>
              <w:rPr>
                <w:rFonts w:hint="eastAsia" w:ascii="仿宋" w:hAnsi="仿宋" w:eastAsia="仿宋" w:cs="仿宋"/>
                <w:color w:val="auto"/>
                <w:sz w:val="24"/>
                <w:highlight w:val="none"/>
                <w:lang w:val="en-US" w:eastAsia="zh-CN"/>
              </w:rPr>
            </w:pPr>
          </w:p>
        </w:tc>
      </w:tr>
    </w:tbl>
    <w:p>
      <w:pPr>
        <w:pStyle w:val="11"/>
        <w:shd w:val="clear" w:color="auto" w:fill="auto"/>
        <w:spacing w:line="240" w:lineRule="atLeast"/>
        <w:ind w:left="1164" w:leftChars="257" w:hanging="540"/>
        <w:rPr>
          <w:rFonts w:hint="eastAsia" w:ascii="仿宋" w:hAnsi="仿宋" w:eastAsia="仿宋" w:cs="仿宋"/>
          <w:color w:val="auto"/>
          <w:sz w:val="24"/>
          <w:highlight w:val="none"/>
        </w:rPr>
      </w:pPr>
    </w:p>
    <w:p>
      <w:pPr>
        <w:pStyle w:val="11"/>
        <w:shd w:val="clear" w:color="auto" w:fill="auto"/>
        <w:spacing w:line="240" w:lineRule="atLeast"/>
        <w:ind w:left="1164" w:leftChars="257" w:hanging="540"/>
        <w:rPr>
          <w:rFonts w:hint="eastAsia" w:ascii="宋体" w:hAnsi="宋体" w:eastAsia="宋体" w:cs="宋体"/>
          <w:color w:val="auto"/>
          <w:sz w:val="24"/>
          <w:highlight w:val="none"/>
        </w:rPr>
      </w:pPr>
      <w:r>
        <w:rPr>
          <w:rFonts w:hint="eastAsia" w:ascii="仿宋" w:hAnsi="仿宋" w:eastAsia="仿宋" w:cs="仿宋"/>
          <w:color w:val="auto"/>
          <w:sz w:val="24"/>
          <w:highlight w:val="none"/>
        </w:rPr>
        <w:t>法定代表人或其委托代理人签字:</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宋体" w:hAnsi="宋体" w:eastAsia="宋体" w:cs="宋体"/>
          <w:color w:val="auto"/>
          <w:sz w:val="24"/>
          <w:highlight w:val="none"/>
          <w:u w:val="single"/>
        </w:rPr>
        <w:t xml:space="preserve">         </w:t>
      </w:r>
    </w:p>
    <w:p>
      <w:pPr>
        <w:pStyle w:val="11"/>
        <w:shd w:val="clear" w:color="auto" w:fill="auto"/>
        <w:tabs>
          <w:tab w:val="left" w:pos="5370"/>
        </w:tabs>
        <w:spacing w:line="240" w:lineRule="atLeast"/>
        <w:ind w:left="1164" w:leftChars="257" w:hanging="54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投标人(盖单位章):</w:t>
      </w:r>
      <w:r>
        <w:rPr>
          <w:rFonts w:hint="eastAsia" w:ascii="宋体" w:hAnsi="宋体" w:eastAsia="宋体" w:cs="宋体"/>
          <w:color w:val="auto"/>
          <w:sz w:val="24"/>
          <w:highlight w:val="none"/>
          <w:u w:val="single"/>
        </w:rPr>
        <w:tab/>
      </w:r>
    </w:p>
    <w:p>
      <w:pPr>
        <w:pStyle w:val="11"/>
        <w:shd w:val="clear" w:color="auto" w:fill="auto"/>
        <w:spacing w:line="240" w:lineRule="atLeast"/>
        <w:ind w:left="1164" w:leftChars="257" w:hanging="540"/>
        <w:rPr>
          <w:rFonts w:hint="eastAsia" w:ascii="宋体" w:hAnsi="宋体" w:eastAsia="宋体" w:cs="宋体"/>
          <w:color w:val="auto"/>
          <w:sz w:val="24"/>
          <w:highlight w:val="none"/>
        </w:rPr>
      </w:pPr>
    </w:p>
    <w:p>
      <w:pPr>
        <w:pStyle w:val="11"/>
        <w:shd w:val="clear" w:color="auto" w:fill="auto"/>
        <w:spacing w:line="240" w:lineRule="atLeast"/>
        <w:ind w:left="1164" w:leftChars="257" w:hanging="540"/>
        <w:rPr>
          <w:rFonts w:hint="eastAsia" w:ascii="宋体" w:hAnsi="宋体" w:eastAsia="宋体" w:cs="宋体"/>
          <w:color w:val="auto"/>
          <w:sz w:val="24"/>
          <w:highlight w:val="none"/>
        </w:rPr>
      </w:pPr>
      <w:r>
        <w:rPr>
          <w:rFonts w:hint="eastAsia" w:ascii="宋体" w:hAnsi="宋体" w:eastAsia="宋体" w:cs="宋体"/>
          <w:color w:val="auto"/>
          <w:sz w:val="24"/>
          <w:highlight w:val="none"/>
        </w:rPr>
        <w:t>注: 各项货物详细技术性能应另页描述。</w:t>
      </w:r>
    </w:p>
    <w:p>
      <w:pPr>
        <w:pStyle w:val="11"/>
        <w:shd w:val="clear" w:color="auto" w:fill="auto"/>
        <w:spacing w:line="240" w:lineRule="atLeast"/>
        <w:ind w:left="1164" w:leftChars="257" w:hanging="540"/>
        <w:jc w:val="center"/>
        <w:rPr>
          <w:rFonts w:hint="eastAsia" w:ascii="宋体" w:hAnsi="宋体" w:eastAsia="宋体" w:cs="宋体"/>
          <w:color w:val="auto"/>
          <w:sz w:val="24"/>
          <w:highlight w:val="none"/>
        </w:rPr>
      </w:pPr>
    </w:p>
    <w:p>
      <w:pPr>
        <w:pStyle w:val="11"/>
        <w:shd w:val="clear" w:color="auto" w:fill="auto"/>
        <w:spacing w:line="240" w:lineRule="atLeast"/>
        <w:ind w:left="1164" w:leftChars="257" w:hanging="540"/>
        <w:jc w:val="center"/>
        <w:rPr>
          <w:rFonts w:hint="eastAsia" w:ascii="宋体" w:hAnsi="宋体" w:eastAsia="宋体" w:cs="宋体"/>
          <w:color w:val="auto"/>
          <w:sz w:val="24"/>
          <w:highlight w:val="none"/>
        </w:rPr>
        <w:sectPr>
          <w:headerReference r:id="rId7" w:type="default"/>
          <w:footerReference r:id="rId8" w:type="default"/>
          <w:pgSz w:w="11905" w:h="16838"/>
          <w:pgMar w:top="1440" w:right="1797" w:bottom="1440" w:left="1797" w:header="850" w:footer="992" w:gutter="0"/>
          <w:pgNumType w:fmt="decimal"/>
          <w:cols w:space="720" w:num="1"/>
          <w:rtlGutter w:val="0"/>
          <w:docGrid w:type="linesAndChars" w:linePitch="325" w:charSpace="635"/>
        </w:sectPr>
      </w:pPr>
    </w:p>
    <w:p>
      <w:pPr>
        <w:pStyle w:val="44"/>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color w:val="auto"/>
          <w:spacing w:val="0"/>
          <w:w w:val="100"/>
          <w:position w:val="0"/>
        </w:rPr>
      </w:pPr>
      <w:r>
        <w:rPr>
          <w:rFonts w:hint="eastAsia" w:ascii="仿宋" w:hAnsi="仿宋" w:eastAsia="仿宋" w:cs="仿宋"/>
          <w:color w:val="auto"/>
          <w:spacing w:val="0"/>
          <w:w w:val="100"/>
          <w:position w:val="0"/>
          <w:lang w:val="en-US" w:eastAsia="zh-CN"/>
        </w:rPr>
        <w:t>4</w:t>
      </w:r>
      <w:r>
        <w:rPr>
          <w:rFonts w:hint="eastAsia" w:ascii="仿宋" w:hAnsi="仿宋" w:eastAsia="仿宋" w:cs="仿宋"/>
          <w:color w:val="auto"/>
          <w:spacing w:val="0"/>
          <w:w w:val="100"/>
          <w:position w:val="0"/>
          <w:lang w:eastAsia="zh-CN"/>
        </w:rPr>
        <w:t>、</w:t>
      </w:r>
      <w:r>
        <w:rPr>
          <w:rFonts w:hint="eastAsia" w:ascii="仿宋" w:hAnsi="仿宋" w:eastAsia="仿宋" w:cs="仿宋"/>
          <w:color w:val="auto"/>
          <w:spacing w:val="0"/>
          <w:w w:val="100"/>
          <w:position w:val="0"/>
        </w:rPr>
        <w:t>投标报价明细表</w:t>
      </w:r>
    </w:p>
    <w:p>
      <w:pPr>
        <w:pStyle w:val="44"/>
        <w:keepNext/>
        <w:keepLines/>
        <w:widowControl w:val="0"/>
        <w:numPr>
          <w:ilvl w:val="0"/>
          <w:numId w:val="0"/>
        </w:numPr>
        <w:shd w:val="clear" w:color="auto" w:fill="auto"/>
        <w:bidi w:val="0"/>
        <w:spacing w:before="0" w:after="220" w:line="240" w:lineRule="auto"/>
        <w:ind w:right="0" w:rightChars="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项目名称:                      </w:t>
      </w:r>
    </w:p>
    <w:p>
      <w:pPr>
        <w:pStyle w:val="44"/>
        <w:keepNext/>
        <w:keepLines/>
        <w:widowControl w:val="0"/>
        <w:numPr>
          <w:ilvl w:val="0"/>
          <w:numId w:val="0"/>
        </w:numPr>
        <w:shd w:val="clear" w:color="auto" w:fill="auto"/>
        <w:bidi w:val="0"/>
        <w:spacing w:before="0" w:after="220" w:line="240" w:lineRule="auto"/>
        <w:ind w:right="0" w:rightChars="0"/>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招标编号: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包号: 　 </w:t>
      </w:r>
    </w:p>
    <w:p>
      <w:pPr>
        <w:pStyle w:val="11"/>
        <w:shd w:val="clear" w:color="auto" w:fill="auto"/>
        <w:spacing w:line="240" w:lineRule="atLeast"/>
        <w:ind w:left="1157" w:leftChars="257" w:hanging="54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单位：</w:t>
      </w:r>
      <w:r>
        <w:rPr>
          <w:rFonts w:hint="eastAsia" w:ascii="仿宋" w:hAnsi="仿宋" w:eastAsia="仿宋" w:cs="仿宋"/>
          <w:color w:val="auto"/>
          <w:szCs w:val="21"/>
        </w:rPr>
        <w:t>元</w:t>
      </w:r>
    </w:p>
    <w:tbl>
      <w:tblPr>
        <w:tblStyle w:val="23"/>
        <w:tblW w:w="1052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95"/>
        <w:gridCol w:w="872"/>
        <w:gridCol w:w="986"/>
        <w:gridCol w:w="1267"/>
        <w:gridCol w:w="833"/>
        <w:gridCol w:w="1336"/>
        <w:gridCol w:w="751"/>
        <w:gridCol w:w="664"/>
        <w:gridCol w:w="664"/>
        <w:gridCol w:w="819"/>
        <w:gridCol w:w="818"/>
        <w:gridCol w:w="81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12"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序号</w:t>
            </w:r>
          </w:p>
        </w:tc>
        <w:tc>
          <w:tcPr>
            <w:tcW w:w="872" w:type="dxa"/>
            <w:tcBorders>
              <w:top w:val="single" w:color="auto" w:sz="12"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产品名称</w:t>
            </w:r>
          </w:p>
        </w:tc>
        <w:tc>
          <w:tcPr>
            <w:tcW w:w="986" w:type="dxa"/>
            <w:tcBorders>
              <w:top w:val="single" w:color="auto" w:sz="12"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规格</w:t>
            </w:r>
          </w:p>
        </w:tc>
        <w:tc>
          <w:tcPr>
            <w:tcW w:w="1267" w:type="dxa"/>
            <w:tcBorders>
              <w:top w:val="single" w:color="auto" w:sz="12"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交货时间</w:t>
            </w:r>
          </w:p>
        </w:tc>
        <w:tc>
          <w:tcPr>
            <w:tcW w:w="833" w:type="dxa"/>
            <w:tcBorders>
              <w:top w:val="single" w:color="auto" w:sz="12"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r>
              <w:rPr>
                <w:rFonts w:hint="eastAsia" w:ascii="仿宋" w:hAnsi="仿宋" w:eastAsia="仿宋" w:cs="仿宋"/>
                <w:color w:val="auto"/>
                <w:szCs w:val="21"/>
              </w:rPr>
              <w:t>交货地点</w:t>
            </w:r>
          </w:p>
        </w:tc>
        <w:tc>
          <w:tcPr>
            <w:tcW w:w="1336" w:type="dxa"/>
            <w:tcBorders>
              <w:top w:val="single" w:color="auto" w:sz="12" w:space="0"/>
              <w:left w:val="single" w:color="auto" w:sz="4" w:space="0"/>
              <w:bottom w:val="single" w:color="auto" w:sz="6" w:space="0"/>
              <w:right w:val="single" w:color="auto" w:sz="6" w:space="0"/>
            </w:tcBorders>
            <w:noWrap w:val="0"/>
            <w:vAlign w:val="center"/>
          </w:tcPr>
          <w:p>
            <w:pPr>
              <w:spacing w:line="500" w:lineRule="exact"/>
              <w:ind w:left="0" w:leftChars="0" w:right="0" w:rightChars="0" w:firstLine="0" w:firstLineChars="0"/>
              <w:jc w:val="center"/>
              <w:rPr>
                <w:rFonts w:hint="eastAsia" w:ascii="仿宋" w:hAnsi="仿宋" w:eastAsia="仿宋" w:cs="仿宋"/>
                <w:color w:val="auto"/>
                <w:spacing w:val="0"/>
                <w:w w:val="100"/>
                <w:position w:val="0"/>
                <w:sz w:val="24"/>
                <w:szCs w:val="21"/>
                <w:shd w:val="clear" w:color="auto" w:fill="auto"/>
                <w:lang w:val="en-US" w:eastAsia="en-US" w:bidi="en-US"/>
              </w:rPr>
            </w:pPr>
            <w:r>
              <w:rPr>
                <w:rFonts w:hint="eastAsia" w:ascii="仿宋" w:hAnsi="仿宋" w:eastAsia="仿宋" w:cs="仿宋"/>
                <w:color w:val="auto"/>
                <w:szCs w:val="21"/>
              </w:rPr>
              <w:t>数量</w:t>
            </w:r>
          </w:p>
        </w:tc>
        <w:tc>
          <w:tcPr>
            <w:tcW w:w="751" w:type="dxa"/>
            <w:tcBorders>
              <w:top w:val="single" w:color="auto" w:sz="12" w:space="0"/>
              <w:left w:val="single" w:color="auto" w:sz="6" w:space="0"/>
              <w:bottom w:val="single" w:color="auto" w:sz="6" w:space="0"/>
              <w:right w:val="single" w:color="auto" w:sz="6" w:space="0"/>
            </w:tcBorders>
            <w:noWrap w:val="0"/>
            <w:vAlign w:val="center"/>
          </w:tcPr>
          <w:p>
            <w:pPr>
              <w:spacing w:line="500" w:lineRule="exact"/>
              <w:ind w:left="0" w:leftChars="0" w:right="0" w:rightChars="0" w:firstLine="0" w:firstLineChars="0"/>
              <w:jc w:val="center"/>
              <w:rPr>
                <w:rFonts w:hint="eastAsia" w:ascii="仿宋" w:hAnsi="仿宋" w:eastAsia="仿宋" w:cs="仿宋"/>
                <w:color w:val="auto"/>
                <w:spacing w:val="0"/>
                <w:w w:val="100"/>
                <w:position w:val="0"/>
                <w:sz w:val="24"/>
                <w:szCs w:val="21"/>
                <w:shd w:val="clear" w:color="auto" w:fill="auto"/>
                <w:lang w:val="en-US" w:eastAsia="zh-CN" w:bidi="en-US"/>
              </w:rPr>
            </w:pPr>
            <w:r>
              <w:rPr>
                <w:rFonts w:hint="eastAsia" w:ascii="仿宋" w:hAnsi="仿宋" w:eastAsia="仿宋" w:cs="仿宋"/>
                <w:color w:val="auto"/>
                <w:szCs w:val="21"/>
                <w:lang w:eastAsia="zh-CN"/>
              </w:rPr>
              <w:t>单位</w:t>
            </w:r>
          </w:p>
        </w:tc>
        <w:tc>
          <w:tcPr>
            <w:tcW w:w="664" w:type="dxa"/>
            <w:tcBorders>
              <w:top w:val="single" w:color="auto" w:sz="12" w:space="0"/>
              <w:left w:val="single" w:color="auto" w:sz="6" w:space="0"/>
              <w:bottom w:val="single" w:color="auto" w:sz="6" w:space="0"/>
              <w:right w:val="single" w:color="auto" w:sz="6" w:space="0"/>
            </w:tcBorders>
            <w:noWrap w:val="0"/>
            <w:vAlign w:val="center"/>
          </w:tcPr>
          <w:p>
            <w:pPr>
              <w:spacing w:line="500" w:lineRule="exact"/>
              <w:ind w:left="0" w:leftChars="0" w:right="0" w:rightChars="0" w:firstLine="0" w:firstLineChars="0"/>
              <w:jc w:val="center"/>
              <w:rPr>
                <w:rFonts w:hint="eastAsia" w:ascii="仿宋" w:hAnsi="仿宋" w:eastAsia="仿宋" w:cs="仿宋"/>
                <w:color w:val="auto"/>
                <w:spacing w:val="0"/>
                <w:w w:val="100"/>
                <w:position w:val="0"/>
                <w:sz w:val="24"/>
                <w:szCs w:val="21"/>
                <w:shd w:val="clear" w:color="auto" w:fill="auto"/>
                <w:lang w:val="en-US" w:eastAsia="zh-CN" w:bidi="en-US"/>
              </w:rPr>
            </w:pPr>
            <w:r>
              <w:rPr>
                <w:rFonts w:hint="eastAsia" w:ascii="仿宋" w:hAnsi="仿宋" w:eastAsia="仿宋" w:cs="仿宋"/>
                <w:color w:val="auto"/>
                <w:szCs w:val="21"/>
              </w:rPr>
              <w:t>单价</w:t>
            </w:r>
          </w:p>
        </w:tc>
        <w:tc>
          <w:tcPr>
            <w:tcW w:w="664" w:type="dxa"/>
            <w:tcBorders>
              <w:top w:val="single" w:color="auto" w:sz="12" w:space="0"/>
              <w:left w:val="single" w:color="auto" w:sz="6" w:space="0"/>
              <w:bottom w:val="single" w:color="auto" w:sz="6" w:space="0"/>
              <w:right w:val="single" w:color="auto" w:sz="6" w:space="0"/>
            </w:tcBorders>
            <w:noWrap w:val="0"/>
            <w:vAlign w:val="center"/>
          </w:tcPr>
          <w:p>
            <w:pPr>
              <w:spacing w:line="500" w:lineRule="exact"/>
              <w:ind w:left="0" w:leftChars="0" w:right="0" w:rightChars="0" w:firstLine="0" w:firstLineChars="0"/>
              <w:jc w:val="center"/>
              <w:rPr>
                <w:rFonts w:hint="eastAsia" w:ascii="仿宋" w:hAnsi="仿宋" w:eastAsia="仿宋" w:cs="仿宋"/>
                <w:color w:val="auto"/>
                <w:spacing w:val="0"/>
                <w:w w:val="100"/>
                <w:position w:val="0"/>
                <w:sz w:val="24"/>
                <w:szCs w:val="21"/>
                <w:shd w:val="clear" w:color="auto" w:fill="auto"/>
                <w:lang w:val="en-US" w:eastAsia="en-US" w:bidi="en-US"/>
              </w:rPr>
            </w:pPr>
            <w:r>
              <w:rPr>
                <w:rFonts w:hint="eastAsia" w:ascii="仿宋" w:hAnsi="仿宋" w:eastAsia="仿宋" w:cs="仿宋"/>
                <w:color w:val="auto"/>
                <w:szCs w:val="21"/>
              </w:rPr>
              <w:t>总价</w:t>
            </w:r>
          </w:p>
        </w:tc>
        <w:tc>
          <w:tcPr>
            <w:tcW w:w="819" w:type="dxa"/>
            <w:tcBorders>
              <w:top w:val="single" w:color="auto" w:sz="12" w:space="0"/>
              <w:left w:val="single" w:color="auto" w:sz="6" w:space="0"/>
              <w:bottom w:val="single" w:color="auto" w:sz="6" w:space="0"/>
              <w:right w:val="single" w:color="auto" w:sz="12" w:space="0"/>
            </w:tcBorders>
            <w:noWrap w:val="0"/>
            <w:vAlign w:val="center"/>
          </w:tcPr>
          <w:p>
            <w:pPr>
              <w:spacing w:line="500" w:lineRule="exact"/>
              <w:ind w:left="0" w:leftChars="0" w:right="0" w:rightChars="0" w:firstLine="0" w:firstLineChars="0"/>
              <w:jc w:val="center"/>
              <w:rPr>
                <w:rFonts w:hint="eastAsia" w:ascii="仿宋" w:hAnsi="仿宋" w:eastAsia="仿宋" w:cs="仿宋"/>
                <w:color w:val="auto"/>
                <w:spacing w:val="0"/>
                <w:w w:val="100"/>
                <w:position w:val="0"/>
                <w:sz w:val="24"/>
                <w:szCs w:val="21"/>
                <w:shd w:val="clear" w:color="auto" w:fill="auto"/>
                <w:lang w:val="en-US" w:eastAsia="zh-CN" w:bidi="en-US"/>
              </w:rPr>
            </w:pPr>
            <w:r>
              <w:rPr>
                <w:rFonts w:hint="eastAsia" w:ascii="仿宋" w:hAnsi="仿宋" w:eastAsia="仿宋" w:cs="仿宋"/>
                <w:color w:val="auto"/>
                <w:szCs w:val="21"/>
                <w:lang w:eastAsia="zh-CN"/>
              </w:rPr>
              <w:t>质保</w:t>
            </w:r>
          </w:p>
        </w:tc>
        <w:tc>
          <w:tcPr>
            <w:tcW w:w="818" w:type="dxa"/>
            <w:tcBorders>
              <w:top w:val="single" w:color="auto" w:sz="12"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lang w:eastAsia="zh-CN"/>
              </w:rPr>
            </w:pPr>
            <w:r>
              <w:rPr>
                <w:rFonts w:hint="eastAsia" w:ascii="仿宋" w:hAnsi="仿宋" w:eastAsia="仿宋" w:cs="仿宋"/>
                <w:color w:val="auto"/>
                <w:szCs w:val="21"/>
                <w:lang w:eastAsia="zh-CN"/>
              </w:rPr>
              <w:t>品牌</w:t>
            </w:r>
          </w:p>
        </w:tc>
        <w:tc>
          <w:tcPr>
            <w:tcW w:w="818" w:type="dxa"/>
            <w:tcBorders>
              <w:top w:val="single" w:color="auto" w:sz="12"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lang w:eastAsia="zh-CN"/>
              </w:rPr>
            </w:pPr>
            <w:r>
              <w:rPr>
                <w:rFonts w:hint="eastAsia" w:ascii="仿宋" w:hAnsi="仿宋" w:eastAsia="仿宋" w:cs="仿宋"/>
                <w:color w:val="auto"/>
                <w:szCs w:val="21"/>
                <w:lang w:eastAsia="zh-CN"/>
              </w:rPr>
              <w:t>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695" w:type="dxa"/>
            <w:tcBorders>
              <w:top w:val="single" w:color="auto" w:sz="6" w:space="0"/>
              <w:left w:val="single" w:color="auto" w:sz="12"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72"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986"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1267"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833" w:type="dxa"/>
            <w:tcBorders>
              <w:top w:val="single" w:color="auto" w:sz="6" w:space="0"/>
              <w:left w:val="single" w:color="auto" w:sz="6" w:space="0"/>
              <w:bottom w:val="single" w:color="auto" w:sz="6" w:space="0"/>
              <w:right w:val="single" w:color="auto" w:sz="4" w:space="0"/>
            </w:tcBorders>
            <w:noWrap w:val="0"/>
            <w:vAlign w:val="center"/>
          </w:tcPr>
          <w:p>
            <w:pPr>
              <w:spacing w:line="500" w:lineRule="exact"/>
              <w:jc w:val="center"/>
              <w:rPr>
                <w:rFonts w:hint="eastAsia" w:ascii="仿宋" w:hAnsi="仿宋" w:eastAsia="仿宋" w:cs="仿宋"/>
                <w:color w:val="auto"/>
                <w:szCs w:val="21"/>
              </w:rPr>
            </w:pPr>
          </w:p>
        </w:tc>
        <w:tc>
          <w:tcPr>
            <w:tcW w:w="1336" w:type="dxa"/>
            <w:tcBorders>
              <w:top w:val="single" w:color="auto" w:sz="6" w:space="0"/>
              <w:left w:val="single" w:color="auto" w:sz="4"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751"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664" w:type="dxa"/>
            <w:tcBorders>
              <w:top w:val="single" w:color="auto" w:sz="6" w:space="0"/>
              <w:left w:val="single" w:color="auto" w:sz="6" w:space="0"/>
              <w:bottom w:val="single" w:color="auto" w:sz="6" w:space="0"/>
              <w:right w:val="single" w:color="auto" w:sz="6" w:space="0"/>
            </w:tcBorders>
            <w:noWrap w:val="0"/>
            <w:vAlign w:val="center"/>
          </w:tcPr>
          <w:p>
            <w:pPr>
              <w:spacing w:line="500" w:lineRule="exact"/>
              <w:jc w:val="center"/>
              <w:rPr>
                <w:rFonts w:hint="eastAsia" w:ascii="仿宋" w:hAnsi="仿宋" w:eastAsia="仿宋" w:cs="仿宋"/>
                <w:color w:val="auto"/>
                <w:szCs w:val="21"/>
              </w:rPr>
            </w:pPr>
          </w:p>
        </w:tc>
        <w:tc>
          <w:tcPr>
            <w:tcW w:w="819"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c>
          <w:tcPr>
            <w:tcW w:w="818" w:type="dxa"/>
            <w:tcBorders>
              <w:top w:val="single" w:color="auto" w:sz="6" w:space="0"/>
              <w:left w:val="single" w:color="auto" w:sz="6"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0" w:hRule="atLeast"/>
          <w:jc w:val="center"/>
        </w:trPr>
        <w:tc>
          <w:tcPr>
            <w:tcW w:w="9705" w:type="dxa"/>
            <w:gridSpan w:val="11"/>
            <w:tcBorders>
              <w:top w:val="single" w:color="auto" w:sz="6" w:space="0"/>
              <w:left w:val="single" w:color="auto" w:sz="12"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lang w:val="en-US" w:eastAsia="zh-CN"/>
              </w:rPr>
            </w:pPr>
            <w:r>
              <w:rPr>
                <w:rFonts w:hint="eastAsia" w:ascii="仿宋" w:hAnsi="仿宋" w:eastAsia="仿宋" w:cs="仿宋"/>
                <w:color w:val="auto"/>
                <w:szCs w:val="21"/>
              </w:rPr>
              <w:t>合计</w:t>
            </w:r>
            <w:r>
              <w:rPr>
                <w:rFonts w:hint="eastAsia" w:ascii="仿宋" w:hAnsi="仿宋" w:eastAsia="仿宋" w:cs="仿宋"/>
                <w:color w:val="auto"/>
                <w:szCs w:val="21"/>
                <w:lang w:eastAsia="zh-CN"/>
              </w:rPr>
              <w:t>：</w:t>
            </w:r>
            <w:r>
              <w:rPr>
                <w:rFonts w:hint="eastAsia" w:ascii="仿宋" w:hAnsi="仿宋" w:eastAsia="仿宋" w:cs="仿宋"/>
                <w:color w:val="auto"/>
                <w:szCs w:val="21"/>
              </w:rPr>
              <w:t>（</w:t>
            </w:r>
            <w:r>
              <w:rPr>
                <w:rFonts w:hint="eastAsia" w:ascii="仿宋" w:hAnsi="仿宋" w:eastAsia="仿宋" w:cs="仿宋"/>
                <w:color w:val="auto"/>
                <w:szCs w:val="21"/>
                <w:lang w:eastAsia="zh-CN"/>
              </w:rPr>
              <w:t>元</w:t>
            </w:r>
            <w:r>
              <w:rPr>
                <w:rFonts w:hint="eastAsia" w:ascii="仿宋" w:hAnsi="仿宋" w:eastAsia="仿宋" w:cs="仿宋"/>
                <w:color w:val="auto"/>
                <w:szCs w:val="21"/>
              </w:rPr>
              <w:t>）</w:t>
            </w:r>
          </w:p>
        </w:tc>
        <w:tc>
          <w:tcPr>
            <w:tcW w:w="818" w:type="dxa"/>
            <w:tcBorders>
              <w:top w:val="single" w:color="auto" w:sz="6" w:space="0"/>
              <w:left w:val="single" w:color="auto" w:sz="12" w:space="0"/>
              <w:bottom w:val="single" w:color="auto" w:sz="6" w:space="0"/>
              <w:right w:val="single" w:color="auto" w:sz="12" w:space="0"/>
            </w:tcBorders>
            <w:noWrap w:val="0"/>
            <w:vAlign w:val="center"/>
          </w:tcPr>
          <w:p>
            <w:pPr>
              <w:spacing w:line="500" w:lineRule="exact"/>
              <w:jc w:val="center"/>
              <w:rPr>
                <w:rFonts w:hint="eastAsia" w:ascii="仿宋" w:hAnsi="仿宋" w:eastAsia="仿宋" w:cs="仿宋"/>
                <w:color w:val="auto"/>
                <w:szCs w:val="21"/>
              </w:rPr>
            </w:pPr>
          </w:p>
        </w:tc>
      </w:tr>
    </w:tbl>
    <w:p>
      <w:pPr>
        <w:pStyle w:val="48"/>
        <w:keepNext w:val="0"/>
        <w:keepLines w:val="0"/>
        <w:widowControl w:val="0"/>
        <w:shd w:val="clear" w:color="auto" w:fill="auto"/>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说明：</w:t>
      </w:r>
      <w:r>
        <w:rPr>
          <w:rFonts w:hint="eastAsia" w:ascii="仿宋" w:hAnsi="仿宋" w:eastAsia="仿宋" w:cs="仿宋"/>
          <w:color w:val="auto"/>
          <w:spacing w:val="0"/>
          <w:w w:val="100"/>
          <w:position w:val="0"/>
          <w:sz w:val="24"/>
          <w:szCs w:val="24"/>
          <w:lang w:val="en-US" w:eastAsia="en-US" w:bidi="en-US"/>
        </w:rPr>
        <w:t>1.</w:t>
      </w:r>
      <w:r>
        <w:rPr>
          <w:rFonts w:hint="eastAsia" w:ascii="仿宋" w:hAnsi="仿宋" w:eastAsia="仿宋" w:cs="仿宋"/>
          <w:color w:val="auto"/>
          <w:spacing w:val="0"/>
          <w:w w:val="100"/>
          <w:position w:val="0"/>
          <w:sz w:val="24"/>
          <w:szCs w:val="24"/>
        </w:rPr>
        <w:t>所有价格均用人民币表示，单位为元。</w:t>
      </w:r>
    </w:p>
    <w:p>
      <w:pPr>
        <w:pStyle w:val="48"/>
        <w:keepNext w:val="0"/>
        <w:keepLines w:val="0"/>
        <w:widowControl w:val="0"/>
        <w:numPr>
          <w:ilvl w:val="0"/>
          <w:numId w:val="9"/>
        </w:numPr>
        <w:shd w:val="clear" w:color="auto" w:fill="auto"/>
        <w:tabs>
          <w:tab w:val="left" w:pos="378"/>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报价总计价格必须与《</w:t>
      </w:r>
      <w:r>
        <w:rPr>
          <w:rFonts w:hint="eastAsia" w:ascii="仿宋" w:hAnsi="仿宋" w:eastAsia="仿宋" w:cs="仿宋"/>
          <w:color w:val="auto"/>
          <w:spacing w:val="0"/>
          <w:w w:val="100"/>
          <w:position w:val="0"/>
          <w:sz w:val="24"/>
          <w:szCs w:val="24"/>
          <w:lang w:eastAsia="zh-CN"/>
        </w:rPr>
        <w:t>投标报价单</w:t>
      </w:r>
      <w:r>
        <w:rPr>
          <w:rFonts w:hint="eastAsia" w:ascii="仿宋" w:hAnsi="仿宋" w:eastAsia="仿宋" w:cs="仿宋"/>
          <w:color w:val="auto"/>
          <w:spacing w:val="0"/>
          <w:w w:val="100"/>
          <w:position w:val="0"/>
          <w:sz w:val="24"/>
          <w:szCs w:val="24"/>
        </w:rPr>
        <w:t>》报价一致。</w:t>
      </w:r>
    </w:p>
    <w:p>
      <w:pPr>
        <w:pStyle w:val="48"/>
        <w:keepNext w:val="0"/>
        <w:keepLines w:val="0"/>
        <w:widowControl w:val="0"/>
        <w:numPr>
          <w:ilvl w:val="0"/>
          <w:numId w:val="9"/>
        </w:numPr>
        <w:shd w:val="clear" w:color="auto" w:fill="auto"/>
        <w:tabs>
          <w:tab w:val="left" w:pos="490"/>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如果不提供详细的分项报价表将被视为没有实质性</w:t>
      </w:r>
      <w:r>
        <w:rPr>
          <w:rFonts w:hint="eastAsia" w:ascii="仿宋" w:hAnsi="仿宋" w:eastAsia="仿宋" w:cs="仿宋"/>
          <w:color w:val="auto"/>
          <w:spacing w:val="0"/>
          <w:w w:val="100"/>
          <w:position w:val="0"/>
          <w:sz w:val="24"/>
          <w:szCs w:val="24"/>
          <w:lang w:eastAsia="zh-CN"/>
        </w:rPr>
        <w:t>投标文件</w:t>
      </w:r>
      <w:r>
        <w:rPr>
          <w:rFonts w:hint="eastAsia" w:ascii="仿宋" w:hAnsi="仿宋" w:eastAsia="仿宋" w:cs="仿宋"/>
          <w:color w:val="auto"/>
          <w:spacing w:val="0"/>
          <w:w w:val="100"/>
          <w:position w:val="0"/>
          <w:sz w:val="24"/>
          <w:szCs w:val="24"/>
        </w:rPr>
        <w:t>。</w:t>
      </w:r>
    </w:p>
    <w:p>
      <w:pPr>
        <w:pStyle w:val="48"/>
        <w:keepNext w:val="0"/>
        <w:keepLines w:val="0"/>
        <w:widowControl w:val="0"/>
        <w:numPr>
          <w:ilvl w:val="0"/>
          <w:numId w:val="9"/>
        </w:numPr>
        <w:shd w:val="clear" w:color="auto" w:fill="auto"/>
        <w:tabs>
          <w:tab w:val="left" w:pos="493"/>
        </w:tabs>
        <w:bidi w:val="0"/>
        <w:spacing w:before="0" w:after="0" w:line="317" w:lineRule="exact"/>
        <w:ind w:left="176" w:right="0" w:firstLine="0"/>
        <w:jc w:val="left"/>
        <w:rPr>
          <w:rFonts w:hint="eastAsia" w:ascii="仿宋" w:hAnsi="仿宋" w:eastAsia="仿宋" w:cs="仿宋"/>
          <w:color w:val="auto"/>
          <w:sz w:val="24"/>
          <w:szCs w:val="24"/>
        </w:rPr>
      </w:pPr>
      <w:r>
        <w:rPr>
          <w:rFonts w:hint="eastAsia" w:ascii="仿宋" w:hAnsi="仿宋" w:eastAsia="仿宋" w:cs="仿宋"/>
          <w:color w:val="auto"/>
          <w:spacing w:val="0"/>
          <w:w w:val="100"/>
          <w:position w:val="0"/>
          <w:sz w:val="24"/>
          <w:szCs w:val="24"/>
        </w:rPr>
        <w:t>投标人必须按此表格式中的对应栏目内容填写，若需增加栏目，请在栏目</w:t>
      </w:r>
      <w:r>
        <w:rPr>
          <w:rFonts w:hint="eastAsia" w:ascii="仿宋" w:hAnsi="仿宋" w:eastAsia="仿宋" w:cs="仿宋"/>
          <w:color w:val="auto"/>
          <w:spacing w:val="0"/>
          <w:w w:val="100"/>
          <w:position w:val="0"/>
          <w:sz w:val="24"/>
          <w:szCs w:val="24"/>
          <w:lang w:val="zh-CN" w:eastAsia="zh-CN" w:bidi="zh-CN"/>
        </w:rPr>
        <w:t>“其</w:t>
      </w:r>
      <w:r>
        <w:rPr>
          <w:rFonts w:hint="eastAsia" w:ascii="仿宋" w:hAnsi="仿宋" w:eastAsia="仿宋" w:cs="仿宋"/>
          <w:color w:val="auto"/>
          <w:spacing w:val="0"/>
          <w:w w:val="100"/>
          <w:position w:val="0"/>
          <w:sz w:val="24"/>
          <w:szCs w:val="24"/>
        </w:rPr>
        <w:t>它”中填写，并作详细说明。</w:t>
      </w:r>
    </w:p>
    <w:p>
      <w:pPr>
        <w:pStyle w:val="48"/>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auto"/>
          <w:spacing w:val="0"/>
          <w:w w:val="100"/>
          <w:position w:val="0"/>
          <w:sz w:val="20"/>
          <w:szCs w:val="20"/>
        </w:rPr>
      </w:pPr>
    </w:p>
    <w:p>
      <w:pPr>
        <w:pStyle w:val="48"/>
        <w:keepNext w:val="0"/>
        <w:keepLines w:val="0"/>
        <w:widowControl w:val="0"/>
        <w:numPr>
          <w:ilvl w:val="0"/>
          <w:numId w:val="0"/>
        </w:numPr>
        <w:shd w:val="clear" w:color="auto" w:fill="auto"/>
        <w:tabs>
          <w:tab w:val="left" w:pos="493"/>
        </w:tabs>
        <w:bidi w:val="0"/>
        <w:spacing w:before="0" w:after="0" w:line="317" w:lineRule="exact"/>
        <w:ind w:left="176" w:leftChars="0" w:right="0" w:rightChars="0"/>
        <w:jc w:val="left"/>
        <w:rPr>
          <w:rFonts w:hint="eastAsia" w:ascii="仿宋" w:hAnsi="仿宋" w:eastAsia="仿宋" w:cs="仿宋"/>
          <w:color w:val="auto"/>
          <w:spacing w:val="0"/>
          <w:w w:val="100"/>
          <w:position w:val="0"/>
          <w:sz w:val="20"/>
          <w:szCs w:val="20"/>
        </w:rPr>
      </w:pPr>
    </w:p>
    <w:p>
      <w:pPr>
        <w:pStyle w:val="8"/>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r>
        <w:rPr>
          <w:rFonts w:hint="eastAsia" w:ascii="仿宋" w:hAnsi="仿宋" w:eastAsia="仿宋" w:cs="仿宋"/>
          <w:color w:val="auto"/>
          <w:sz w:val="24"/>
          <w:szCs w:val="24"/>
        </w:rPr>
        <w:t>投标人：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（盖章）</w:t>
      </w:r>
      <w:r>
        <w:rPr>
          <w:rFonts w:hint="eastAsia" w:ascii="仿宋" w:hAnsi="仿宋" w:eastAsia="仿宋" w:cs="仿宋"/>
          <w:color w:val="auto"/>
          <w:sz w:val="24"/>
          <w:szCs w:val="24"/>
        </w:rPr>
        <w:t xml:space="preserve"> </w:t>
      </w:r>
    </w:p>
    <w:p>
      <w:pPr>
        <w:pStyle w:val="8"/>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w w:val="95"/>
          <w:sz w:val="24"/>
          <w:szCs w:val="24"/>
        </w:rPr>
      </w:pPr>
      <w:r>
        <w:rPr>
          <w:rFonts w:hint="eastAsia" w:ascii="仿宋" w:hAnsi="仿宋" w:eastAsia="仿宋" w:cs="仿宋"/>
          <w:color w:val="auto"/>
          <w:sz w:val="24"/>
          <w:szCs w:val="24"/>
        </w:rPr>
        <w:t>法定代表人或被授权人：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w:t>
      </w:r>
      <w:r>
        <w:rPr>
          <w:rFonts w:hint="eastAsia" w:ascii="仿宋" w:hAnsi="仿宋" w:eastAsia="仿宋" w:cs="仿宋"/>
          <w:color w:val="auto"/>
          <w:w w:val="95"/>
          <w:sz w:val="24"/>
          <w:szCs w:val="24"/>
          <w:lang w:eastAsia="zh-CN"/>
        </w:rPr>
        <w:t>签章</w:t>
      </w:r>
      <w:r>
        <w:rPr>
          <w:rFonts w:hint="eastAsia" w:ascii="仿宋" w:hAnsi="仿宋" w:eastAsia="仿宋" w:cs="仿宋"/>
          <w:color w:val="auto"/>
          <w:w w:val="95"/>
          <w:sz w:val="24"/>
          <w:szCs w:val="24"/>
        </w:rPr>
        <w:t>）</w:t>
      </w:r>
    </w:p>
    <w:p>
      <w:pPr>
        <w:pStyle w:val="8"/>
        <w:numPr>
          <w:ilvl w:val="0"/>
          <w:numId w:val="0"/>
        </w:numPr>
        <w:tabs>
          <w:tab w:val="left" w:pos="5551"/>
          <w:tab w:val="left" w:pos="6511"/>
          <w:tab w:val="left" w:pos="7111"/>
          <w:tab w:val="left" w:pos="7711"/>
        </w:tabs>
        <w:kinsoku w:val="0"/>
        <w:overflowPunct w:val="0"/>
        <w:spacing w:before="46"/>
        <w:ind w:left="3928" w:leftChars="0" w:right="0" w:rightChars="0"/>
        <w:rPr>
          <w:rFonts w:hint="eastAsia" w:ascii="仿宋" w:hAnsi="仿宋" w:eastAsia="仿宋" w:cs="仿宋"/>
          <w:color w:val="auto"/>
          <w:sz w:val="24"/>
          <w:szCs w:val="24"/>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日</w:t>
      </w:r>
    </w:p>
    <w:p>
      <w:pPr>
        <w:pStyle w:val="8"/>
        <w:numPr>
          <w:ilvl w:val="0"/>
          <w:numId w:val="0"/>
        </w:numPr>
        <w:kinsoku w:val="0"/>
        <w:overflowPunct w:val="0"/>
        <w:spacing w:before="34" w:line="357" w:lineRule="auto"/>
        <w:ind w:left="480" w:leftChars="0" w:right="126" w:rightChars="0"/>
        <w:jc w:val="center"/>
        <w:rPr>
          <w:rFonts w:hint="eastAsia" w:ascii="仿宋" w:hAnsi="仿宋" w:eastAsia="仿宋" w:cs="仿宋"/>
          <w:b/>
          <w:bCs/>
          <w:color w:val="auto"/>
          <w:sz w:val="36"/>
          <w:szCs w:val="36"/>
          <w:lang w:eastAsia="zh-CN"/>
        </w:rPr>
      </w:pPr>
    </w:p>
    <w:p>
      <w:pPr>
        <w:pStyle w:val="44"/>
        <w:keepNext/>
        <w:keepLines/>
        <w:widowControl w:val="0"/>
        <w:numPr>
          <w:ilvl w:val="0"/>
          <w:numId w:val="0"/>
        </w:numPr>
        <w:shd w:val="clear" w:color="auto" w:fill="auto"/>
        <w:bidi w:val="0"/>
        <w:spacing w:before="0" w:after="220" w:line="240" w:lineRule="auto"/>
        <w:ind w:right="0" w:rightChars="0"/>
        <w:jc w:val="center"/>
        <w:rPr>
          <w:rFonts w:hint="eastAsia" w:ascii="仿宋" w:hAnsi="仿宋" w:eastAsia="仿宋" w:cs="仿宋"/>
          <w:color w:val="auto"/>
          <w:spacing w:val="0"/>
          <w:w w:val="100"/>
          <w:position w:val="0"/>
          <w:lang w:val="en-US" w:eastAsia="zh-CN"/>
        </w:rPr>
      </w:pPr>
      <w:r>
        <w:rPr>
          <w:rFonts w:hint="eastAsia" w:ascii="仿宋" w:hAnsi="仿宋" w:eastAsia="仿宋" w:cs="仿宋"/>
          <w:color w:val="auto"/>
          <w:spacing w:val="0"/>
          <w:w w:val="100"/>
          <w:position w:val="0"/>
          <w:lang w:val="en-US" w:eastAsia="zh-CN"/>
        </w:rPr>
        <w:t>5、技术条款偏离表</w:t>
      </w:r>
    </w:p>
    <w:tbl>
      <w:tblPr>
        <w:tblStyle w:val="23"/>
        <w:tblW w:w="89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66"/>
        <w:gridCol w:w="1200"/>
        <w:gridCol w:w="2155"/>
        <w:gridCol w:w="1326"/>
        <w:gridCol w:w="2335"/>
        <w:gridCol w:w="107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7" w:hRule="atLeast"/>
          <w:jc w:val="center"/>
        </w:trPr>
        <w:tc>
          <w:tcPr>
            <w:tcW w:w="866" w:type="dxa"/>
            <w:noWrap w:val="0"/>
            <w:vAlign w:val="center"/>
          </w:tcPr>
          <w:p>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序号</w:t>
            </w:r>
          </w:p>
        </w:tc>
        <w:tc>
          <w:tcPr>
            <w:tcW w:w="1200" w:type="dxa"/>
            <w:noWrap w:val="0"/>
            <w:vAlign w:val="center"/>
          </w:tcPr>
          <w:p>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货物名称</w:t>
            </w:r>
          </w:p>
        </w:tc>
        <w:tc>
          <w:tcPr>
            <w:tcW w:w="2155" w:type="dxa"/>
            <w:noWrap w:val="0"/>
            <w:vAlign w:val="center"/>
          </w:tcPr>
          <w:p>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招标文件要求规格</w:t>
            </w:r>
          </w:p>
        </w:tc>
        <w:tc>
          <w:tcPr>
            <w:tcW w:w="1326" w:type="dxa"/>
            <w:noWrap w:val="0"/>
            <w:vAlign w:val="center"/>
          </w:tcPr>
          <w:p>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投标规格</w:t>
            </w:r>
          </w:p>
        </w:tc>
        <w:tc>
          <w:tcPr>
            <w:tcW w:w="2335" w:type="dxa"/>
            <w:noWrap w:val="0"/>
            <w:vAlign w:val="center"/>
          </w:tcPr>
          <w:p>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偏离</w:t>
            </w:r>
          </w:p>
        </w:tc>
        <w:tc>
          <w:tcPr>
            <w:tcW w:w="1073" w:type="dxa"/>
            <w:noWrap w:val="0"/>
            <w:vAlign w:val="center"/>
          </w:tcPr>
          <w:p>
            <w:pPr>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66" w:type="dxa"/>
            <w:noWrap w:val="0"/>
            <w:vAlign w:val="top"/>
          </w:tcPr>
          <w:p>
            <w:pPr>
              <w:jc w:val="center"/>
              <w:rPr>
                <w:rFonts w:hint="eastAsia" w:ascii="仿宋" w:hAnsi="仿宋" w:eastAsia="仿宋" w:cs="仿宋"/>
                <w:b/>
                <w:bCs/>
                <w:color w:val="auto"/>
                <w:sz w:val="24"/>
                <w:szCs w:val="24"/>
              </w:rPr>
            </w:pPr>
          </w:p>
        </w:tc>
        <w:tc>
          <w:tcPr>
            <w:tcW w:w="1200" w:type="dxa"/>
            <w:noWrap w:val="0"/>
            <w:vAlign w:val="top"/>
          </w:tcPr>
          <w:p>
            <w:pPr>
              <w:jc w:val="center"/>
              <w:rPr>
                <w:rFonts w:hint="eastAsia" w:ascii="仿宋" w:hAnsi="仿宋" w:eastAsia="仿宋" w:cs="仿宋"/>
                <w:b/>
                <w:bCs/>
                <w:color w:val="auto"/>
                <w:sz w:val="24"/>
                <w:szCs w:val="24"/>
              </w:rPr>
            </w:pPr>
          </w:p>
        </w:tc>
        <w:tc>
          <w:tcPr>
            <w:tcW w:w="2155" w:type="dxa"/>
            <w:noWrap w:val="0"/>
            <w:vAlign w:val="top"/>
          </w:tcPr>
          <w:p>
            <w:pPr>
              <w:jc w:val="center"/>
              <w:rPr>
                <w:rFonts w:hint="eastAsia" w:ascii="仿宋" w:hAnsi="仿宋" w:eastAsia="仿宋" w:cs="仿宋"/>
                <w:b/>
                <w:bCs/>
                <w:color w:val="auto"/>
                <w:sz w:val="24"/>
                <w:szCs w:val="24"/>
              </w:rPr>
            </w:pPr>
          </w:p>
        </w:tc>
        <w:tc>
          <w:tcPr>
            <w:tcW w:w="1326" w:type="dxa"/>
            <w:noWrap w:val="0"/>
            <w:vAlign w:val="top"/>
          </w:tcPr>
          <w:p>
            <w:pPr>
              <w:jc w:val="center"/>
              <w:rPr>
                <w:rFonts w:hint="eastAsia" w:ascii="仿宋" w:hAnsi="仿宋" w:eastAsia="仿宋" w:cs="仿宋"/>
                <w:b/>
                <w:bCs/>
                <w:color w:val="auto"/>
                <w:sz w:val="24"/>
                <w:szCs w:val="24"/>
              </w:rPr>
            </w:pPr>
          </w:p>
        </w:tc>
        <w:tc>
          <w:tcPr>
            <w:tcW w:w="2335" w:type="dxa"/>
            <w:noWrap w:val="0"/>
            <w:vAlign w:val="top"/>
          </w:tcPr>
          <w:p>
            <w:pPr>
              <w:jc w:val="center"/>
              <w:rPr>
                <w:rFonts w:hint="eastAsia" w:ascii="仿宋" w:hAnsi="仿宋" w:eastAsia="仿宋" w:cs="仿宋"/>
                <w:b/>
                <w:bCs/>
                <w:color w:val="auto"/>
                <w:sz w:val="24"/>
                <w:szCs w:val="24"/>
              </w:rPr>
            </w:pPr>
            <w:r>
              <w:rPr>
                <w:rFonts w:hint="eastAsia" w:ascii="仿宋" w:hAnsi="仿宋" w:eastAsia="仿宋" w:cs="仿宋"/>
                <w:bCs/>
                <w:color w:val="auto"/>
                <w:sz w:val="24"/>
                <w:szCs w:val="24"/>
                <w:lang w:val="en-US" w:eastAsia="zh-CN"/>
              </w:rPr>
              <w:t>如有正偏离需提供证明材料，证明材料附后(并注明页码)</w:t>
            </w:r>
          </w:p>
        </w:tc>
        <w:tc>
          <w:tcPr>
            <w:tcW w:w="1073" w:type="dxa"/>
            <w:noWrap w:val="0"/>
            <w:vAlign w:val="top"/>
          </w:tcPr>
          <w:p>
            <w:pPr>
              <w:jc w:val="center"/>
              <w:rPr>
                <w:rFonts w:hint="eastAsia" w:ascii="仿宋" w:hAnsi="仿宋" w:eastAsia="仿宋" w:cs="仿宋"/>
                <w:b/>
                <w:bCs/>
                <w:color w:val="auto"/>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7" w:hRule="atLeast"/>
          <w:jc w:val="center"/>
        </w:trPr>
        <w:tc>
          <w:tcPr>
            <w:tcW w:w="866" w:type="dxa"/>
            <w:noWrap w:val="0"/>
            <w:vAlign w:val="top"/>
          </w:tcPr>
          <w:p>
            <w:pPr>
              <w:jc w:val="center"/>
              <w:rPr>
                <w:rFonts w:hint="eastAsia" w:ascii="仿宋" w:hAnsi="仿宋" w:eastAsia="仿宋" w:cs="仿宋"/>
                <w:b/>
                <w:bCs/>
                <w:color w:val="auto"/>
                <w:sz w:val="24"/>
                <w:szCs w:val="24"/>
              </w:rPr>
            </w:pPr>
          </w:p>
        </w:tc>
        <w:tc>
          <w:tcPr>
            <w:tcW w:w="1200" w:type="dxa"/>
            <w:noWrap w:val="0"/>
            <w:vAlign w:val="top"/>
          </w:tcPr>
          <w:p>
            <w:pPr>
              <w:jc w:val="center"/>
              <w:rPr>
                <w:rFonts w:hint="eastAsia" w:ascii="仿宋" w:hAnsi="仿宋" w:eastAsia="仿宋" w:cs="仿宋"/>
                <w:b/>
                <w:bCs/>
                <w:color w:val="auto"/>
                <w:sz w:val="24"/>
                <w:szCs w:val="24"/>
              </w:rPr>
            </w:pPr>
          </w:p>
        </w:tc>
        <w:tc>
          <w:tcPr>
            <w:tcW w:w="2155" w:type="dxa"/>
            <w:noWrap w:val="0"/>
            <w:vAlign w:val="top"/>
          </w:tcPr>
          <w:p>
            <w:pPr>
              <w:jc w:val="center"/>
              <w:rPr>
                <w:rFonts w:hint="eastAsia" w:ascii="仿宋" w:hAnsi="仿宋" w:eastAsia="仿宋" w:cs="仿宋"/>
                <w:b/>
                <w:bCs/>
                <w:color w:val="auto"/>
                <w:sz w:val="24"/>
                <w:szCs w:val="24"/>
              </w:rPr>
            </w:pPr>
          </w:p>
        </w:tc>
        <w:tc>
          <w:tcPr>
            <w:tcW w:w="1326" w:type="dxa"/>
            <w:noWrap w:val="0"/>
            <w:vAlign w:val="top"/>
          </w:tcPr>
          <w:p>
            <w:pPr>
              <w:jc w:val="center"/>
              <w:rPr>
                <w:rFonts w:hint="eastAsia" w:ascii="仿宋" w:hAnsi="仿宋" w:eastAsia="仿宋" w:cs="仿宋"/>
                <w:b/>
                <w:bCs/>
                <w:color w:val="auto"/>
                <w:sz w:val="24"/>
                <w:szCs w:val="24"/>
              </w:rPr>
            </w:pPr>
          </w:p>
        </w:tc>
        <w:tc>
          <w:tcPr>
            <w:tcW w:w="2335" w:type="dxa"/>
            <w:noWrap w:val="0"/>
            <w:vAlign w:val="top"/>
          </w:tcPr>
          <w:p>
            <w:pPr>
              <w:jc w:val="center"/>
              <w:rPr>
                <w:rFonts w:hint="eastAsia" w:ascii="仿宋" w:hAnsi="仿宋" w:eastAsia="仿宋" w:cs="仿宋"/>
                <w:b/>
                <w:bCs/>
                <w:color w:val="auto"/>
                <w:sz w:val="24"/>
                <w:szCs w:val="24"/>
              </w:rPr>
            </w:pPr>
          </w:p>
        </w:tc>
        <w:tc>
          <w:tcPr>
            <w:tcW w:w="1073" w:type="dxa"/>
            <w:noWrap w:val="0"/>
            <w:vAlign w:val="top"/>
          </w:tcPr>
          <w:p>
            <w:pPr>
              <w:jc w:val="center"/>
              <w:rPr>
                <w:rFonts w:hint="eastAsia" w:ascii="仿宋" w:hAnsi="仿宋" w:eastAsia="仿宋" w:cs="仿宋"/>
                <w:b/>
                <w:bCs/>
                <w:color w:val="auto"/>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4" w:hRule="atLeast"/>
          <w:jc w:val="center"/>
        </w:trPr>
        <w:tc>
          <w:tcPr>
            <w:tcW w:w="866" w:type="dxa"/>
            <w:noWrap w:val="0"/>
            <w:vAlign w:val="top"/>
          </w:tcPr>
          <w:p>
            <w:pPr>
              <w:jc w:val="center"/>
              <w:rPr>
                <w:rFonts w:hint="eastAsia" w:ascii="仿宋" w:hAnsi="仿宋" w:eastAsia="仿宋" w:cs="仿宋"/>
                <w:b/>
                <w:bCs/>
                <w:color w:val="auto"/>
                <w:sz w:val="24"/>
                <w:szCs w:val="24"/>
              </w:rPr>
            </w:pPr>
          </w:p>
        </w:tc>
        <w:tc>
          <w:tcPr>
            <w:tcW w:w="1200" w:type="dxa"/>
            <w:noWrap w:val="0"/>
            <w:vAlign w:val="top"/>
          </w:tcPr>
          <w:p>
            <w:pPr>
              <w:jc w:val="center"/>
              <w:rPr>
                <w:rFonts w:hint="eastAsia" w:ascii="仿宋" w:hAnsi="仿宋" w:eastAsia="仿宋" w:cs="仿宋"/>
                <w:b/>
                <w:bCs/>
                <w:color w:val="auto"/>
                <w:sz w:val="24"/>
                <w:szCs w:val="24"/>
              </w:rPr>
            </w:pPr>
          </w:p>
        </w:tc>
        <w:tc>
          <w:tcPr>
            <w:tcW w:w="2155" w:type="dxa"/>
            <w:noWrap w:val="0"/>
            <w:vAlign w:val="top"/>
          </w:tcPr>
          <w:p>
            <w:pPr>
              <w:jc w:val="center"/>
              <w:rPr>
                <w:rFonts w:hint="eastAsia" w:ascii="仿宋" w:hAnsi="仿宋" w:eastAsia="仿宋" w:cs="仿宋"/>
                <w:b/>
                <w:bCs/>
                <w:color w:val="auto"/>
                <w:sz w:val="24"/>
                <w:szCs w:val="24"/>
              </w:rPr>
            </w:pPr>
          </w:p>
        </w:tc>
        <w:tc>
          <w:tcPr>
            <w:tcW w:w="1326" w:type="dxa"/>
            <w:noWrap w:val="0"/>
            <w:vAlign w:val="top"/>
          </w:tcPr>
          <w:p>
            <w:pPr>
              <w:jc w:val="center"/>
              <w:rPr>
                <w:rFonts w:hint="eastAsia" w:ascii="仿宋" w:hAnsi="仿宋" w:eastAsia="仿宋" w:cs="仿宋"/>
                <w:b/>
                <w:bCs/>
                <w:color w:val="auto"/>
                <w:sz w:val="24"/>
                <w:szCs w:val="24"/>
              </w:rPr>
            </w:pPr>
          </w:p>
        </w:tc>
        <w:tc>
          <w:tcPr>
            <w:tcW w:w="2335" w:type="dxa"/>
            <w:noWrap w:val="0"/>
            <w:vAlign w:val="top"/>
          </w:tcPr>
          <w:p>
            <w:pPr>
              <w:jc w:val="center"/>
              <w:rPr>
                <w:rFonts w:hint="eastAsia" w:ascii="仿宋" w:hAnsi="仿宋" w:eastAsia="仿宋" w:cs="仿宋"/>
                <w:b/>
                <w:bCs/>
                <w:color w:val="auto"/>
                <w:sz w:val="24"/>
                <w:szCs w:val="24"/>
              </w:rPr>
            </w:pPr>
          </w:p>
        </w:tc>
        <w:tc>
          <w:tcPr>
            <w:tcW w:w="1073" w:type="dxa"/>
            <w:noWrap w:val="0"/>
            <w:vAlign w:val="top"/>
          </w:tcPr>
          <w:p>
            <w:pPr>
              <w:jc w:val="center"/>
              <w:rPr>
                <w:rFonts w:hint="eastAsia" w:ascii="仿宋" w:hAnsi="仿宋" w:eastAsia="仿宋" w:cs="仿宋"/>
                <w:b/>
                <w:bCs/>
                <w:color w:val="auto"/>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0" w:hRule="atLeast"/>
          <w:jc w:val="center"/>
        </w:trPr>
        <w:tc>
          <w:tcPr>
            <w:tcW w:w="866" w:type="dxa"/>
            <w:noWrap w:val="0"/>
            <w:vAlign w:val="top"/>
          </w:tcPr>
          <w:p>
            <w:pPr>
              <w:jc w:val="center"/>
              <w:rPr>
                <w:rFonts w:hint="eastAsia" w:ascii="仿宋" w:hAnsi="仿宋" w:eastAsia="仿宋" w:cs="仿宋"/>
                <w:b/>
                <w:bCs/>
                <w:color w:val="auto"/>
                <w:sz w:val="24"/>
                <w:szCs w:val="24"/>
              </w:rPr>
            </w:pPr>
          </w:p>
        </w:tc>
        <w:tc>
          <w:tcPr>
            <w:tcW w:w="1200" w:type="dxa"/>
            <w:noWrap w:val="0"/>
            <w:vAlign w:val="top"/>
          </w:tcPr>
          <w:p>
            <w:pPr>
              <w:jc w:val="center"/>
              <w:rPr>
                <w:rFonts w:hint="eastAsia" w:ascii="仿宋" w:hAnsi="仿宋" w:eastAsia="仿宋" w:cs="仿宋"/>
                <w:b/>
                <w:bCs/>
                <w:color w:val="auto"/>
                <w:sz w:val="24"/>
                <w:szCs w:val="24"/>
              </w:rPr>
            </w:pPr>
          </w:p>
        </w:tc>
        <w:tc>
          <w:tcPr>
            <w:tcW w:w="2155" w:type="dxa"/>
            <w:noWrap w:val="0"/>
            <w:vAlign w:val="top"/>
          </w:tcPr>
          <w:p>
            <w:pPr>
              <w:jc w:val="center"/>
              <w:rPr>
                <w:rFonts w:hint="eastAsia" w:ascii="仿宋" w:hAnsi="仿宋" w:eastAsia="仿宋" w:cs="仿宋"/>
                <w:b/>
                <w:bCs/>
                <w:color w:val="auto"/>
                <w:sz w:val="24"/>
                <w:szCs w:val="24"/>
              </w:rPr>
            </w:pPr>
          </w:p>
        </w:tc>
        <w:tc>
          <w:tcPr>
            <w:tcW w:w="1326" w:type="dxa"/>
            <w:noWrap w:val="0"/>
            <w:vAlign w:val="top"/>
          </w:tcPr>
          <w:p>
            <w:pPr>
              <w:jc w:val="center"/>
              <w:rPr>
                <w:rFonts w:hint="eastAsia" w:ascii="仿宋" w:hAnsi="仿宋" w:eastAsia="仿宋" w:cs="仿宋"/>
                <w:b/>
                <w:bCs/>
                <w:color w:val="auto"/>
                <w:sz w:val="24"/>
                <w:szCs w:val="24"/>
              </w:rPr>
            </w:pPr>
          </w:p>
        </w:tc>
        <w:tc>
          <w:tcPr>
            <w:tcW w:w="2335" w:type="dxa"/>
            <w:noWrap w:val="0"/>
            <w:vAlign w:val="top"/>
          </w:tcPr>
          <w:p>
            <w:pPr>
              <w:jc w:val="center"/>
              <w:rPr>
                <w:rFonts w:hint="eastAsia" w:ascii="仿宋" w:hAnsi="仿宋" w:eastAsia="仿宋" w:cs="仿宋"/>
                <w:b/>
                <w:bCs/>
                <w:color w:val="auto"/>
                <w:sz w:val="24"/>
                <w:szCs w:val="24"/>
              </w:rPr>
            </w:pPr>
          </w:p>
        </w:tc>
        <w:tc>
          <w:tcPr>
            <w:tcW w:w="1073" w:type="dxa"/>
            <w:noWrap w:val="0"/>
            <w:vAlign w:val="top"/>
          </w:tcPr>
          <w:p>
            <w:pPr>
              <w:jc w:val="center"/>
              <w:rPr>
                <w:rFonts w:hint="eastAsia" w:ascii="仿宋" w:hAnsi="仿宋" w:eastAsia="仿宋" w:cs="仿宋"/>
                <w:b/>
                <w:bCs/>
                <w:color w:val="auto"/>
                <w:sz w:val="24"/>
                <w:szCs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0" w:hRule="atLeast"/>
          <w:jc w:val="center"/>
        </w:trPr>
        <w:tc>
          <w:tcPr>
            <w:tcW w:w="866" w:type="dxa"/>
            <w:noWrap w:val="0"/>
            <w:vAlign w:val="top"/>
          </w:tcPr>
          <w:p>
            <w:pPr>
              <w:jc w:val="center"/>
              <w:rPr>
                <w:rFonts w:hint="eastAsia" w:ascii="仿宋" w:hAnsi="仿宋" w:eastAsia="仿宋" w:cs="仿宋"/>
                <w:b/>
                <w:bCs/>
                <w:color w:val="auto"/>
                <w:sz w:val="24"/>
                <w:szCs w:val="24"/>
              </w:rPr>
            </w:pPr>
          </w:p>
        </w:tc>
        <w:tc>
          <w:tcPr>
            <w:tcW w:w="1200" w:type="dxa"/>
            <w:noWrap w:val="0"/>
            <w:vAlign w:val="top"/>
          </w:tcPr>
          <w:p>
            <w:pPr>
              <w:jc w:val="center"/>
              <w:rPr>
                <w:rFonts w:hint="eastAsia" w:ascii="仿宋" w:hAnsi="仿宋" w:eastAsia="仿宋" w:cs="仿宋"/>
                <w:b/>
                <w:bCs/>
                <w:color w:val="auto"/>
                <w:sz w:val="24"/>
                <w:szCs w:val="24"/>
              </w:rPr>
            </w:pPr>
          </w:p>
        </w:tc>
        <w:tc>
          <w:tcPr>
            <w:tcW w:w="2155" w:type="dxa"/>
            <w:noWrap w:val="0"/>
            <w:vAlign w:val="top"/>
          </w:tcPr>
          <w:p>
            <w:pPr>
              <w:jc w:val="center"/>
              <w:rPr>
                <w:rFonts w:hint="eastAsia" w:ascii="仿宋" w:hAnsi="仿宋" w:eastAsia="仿宋" w:cs="仿宋"/>
                <w:b/>
                <w:bCs/>
                <w:color w:val="auto"/>
                <w:sz w:val="24"/>
                <w:szCs w:val="24"/>
              </w:rPr>
            </w:pPr>
          </w:p>
        </w:tc>
        <w:tc>
          <w:tcPr>
            <w:tcW w:w="1326" w:type="dxa"/>
            <w:noWrap w:val="0"/>
            <w:vAlign w:val="top"/>
          </w:tcPr>
          <w:p>
            <w:pPr>
              <w:jc w:val="center"/>
              <w:rPr>
                <w:rFonts w:hint="eastAsia" w:ascii="仿宋" w:hAnsi="仿宋" w:eastAsia="仿宋" w:cs="仿宋"/>
                <w:b/>
                <w:bCs/>
                <w:color w:val="auto"/>
                <w:sz w:val="24"/>
                <w:szCs w:val="24"/>
              </w:rPr>
            </w:pPr>
          </w:p>
        </w:tc>
        <w:tc>
          <w:tcPr>
            <w:tcW w:w="2335" w:type="dxa"/>
            <w:noWrap w:val="0"/>
            <w:vAlign w:val="top"/>
          </w:tcPr>
          <w:p>
            <w:pPr>
              <w:jc w:val="center"/>
              <w:rPr>
                <w:rFonts w:hint="eastAsia" w:ascii="仿宋" w:hAnsi="仿宋" w:eastAsia="仿宋" w:cs="仿宋"/>
                <w:b/>
                <w:bCs/>
                <w:color w:val="auto"/>
                <w:sz w:val="24"/>
                <w:szCs w:val="24"/>
              </w:rPr>
            </w:pPr>
          </w:p>
        </w:tc>
        <w:tc>
          <w:tcPr>
            <w:tcW w:w="1073" w:type="dxa"/>
            <w:noWrap w:val="0"/>
            <w:vAlign w:val="top"/>
          </w:tcPr>
          <w:p>
            <w:pPr>
              <w:jc w:val="center"/>
              <w:rPr>
                <w:rFonts w:hint="eastAsia" w:ascii="仿宋" w:hAnsi="仿宋" w:eastAsia="仿宋" w:cs="仿宋"/>
                <w:b/>
                <w:bCs/>
                <w:color w:val="auto"/>
                <w:sz w:val="24"/>
                <w:szCs w:val="24"/>
              </w:rPr>
            </w:pPr>
          </w:p>
        </w:tc>
      </w:tr>
    </w:tbl>
    <w:p>
      <w:pPr>
        <w:spacing w:line="360" w:lineRule="auto"/>
        <w:ind w:firstLine="475" w:firstLineChars="198"/>
        <w:jc w:val="left"/>
        <w:rPr>
          <w:rFonts w:hint="eastAsia" w:ascii="仿宋" w:hAnsi="仿宋" w:eastAsia="仿宋" w:cs="仿宋"/>
          <w:color w:val="auto"/>
          <w:sz w:val="24"/>
          <w:szCs w:val="24"/>
        </w:rPr>
      </w:pPr>
      <w:r>
        <w:rPr>
          <w:rFonts w:hint="eastAsia" w:ascii="仿宋" w:hAnsi="仿宋" w:eastAsia="仿宋" w:cs="仿宋"/>
          <w:color w:val="auto"/>
          <w:sz w:val="24"/>
          <w:szCs w:val="24"/>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pPr>
        <w:pStyle w:val="11"/>
        <w:tabs>
          <w:tab w:val="left" w:pos="5580"/>
        </w:tabs>
        <w:spacing w:line="360" w:lineRule="auto"/>
        <w:ind w:firstLine="3120" w:firstLineChars="1300"/>
        <w:rPr>
          <w:rFonts w:hint="eastAsia" w:ascii="仿宋" w:hAnsi="仿宋" w:eastAsia="仿宋" w:cs="仿宋"/>
          <w:color w:val="auto"/>
          <w:sz w:val="24"/>
        </w:rPr>
      </w:pPr>
    </w:p>
    <w:p>
      <w:pPr>
        <w:pStyle w:val="11"/>
        <w:tabs>
          <w:tab w:val="left" w:pos="5580"/>
        </w:tabs>
        <w:spacing w:line="360" w:lineRule="auto"/>
        <w:ind w:firstLine="3120" w:firstLineChars="1300"/>
        <w:rPr>
          <w:rFonts w:hint="eastAsia" w:ascii="仿宋" w:hAnsi="仿宋" w:eastAsia="仿宋" w:cs="仿宋"/>
          <w:color w:val="auto"/>
          <w:sz w:val="24"/>
        </w:rPr>
      </w:pPr>
      <w:r>
        <w:rPr>
          <w:rFonts w:hint="eastAsia" w:ascii="仿宋" w:hAnsi="仿宋" w:eastAsia="仿宋" w:cs="仿宋"/>
          <w:color w:val="auto"/>
          <w:sz w:val="24"/>
        </w:rPr>
        <w:t>投标人（盖章）：</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pPr>
        <w:pStyle w:val="11"/>
        <w:tabs>
          <w:tab w:val="left" w:pos="5580"/>
        </w:tabs>
        <w:spacing w:line="360" w:lineRule="auto"/>
        <w:ind w:firstLine="3120" w:firstLineChars="1300"/>
        <w:rPr>
          <w:rFonts w:hint="eastAsia" w:ascii="仿宋" w:hAnsi="仿宋" w:eastAsia="仿宋" w:cs="仿宋"/>
          <w:color w:val="auto"/>
          <w:kern w:val="0"/>
          <w:sz w:val="24"/>
          <w:szCs w:val="24"/>
          <w:u w:val="single"/>
          <w:lang w:val="en-US" w:eastAsia="zh-CN"/>
        </w:rPr>
      </w:pPr>
      <w:r>
        <w:rPr>
          <w:rFonts w:hint="eastAsia" w:ascii="仿宋" w:hAnsi="仿宋" w:eastAsia="仿宋" w:cs="仿宋"/>
          <w:color w:val="auto"/>
          <w:sz w:val="24"/>
          <w:lang w:eastAsia="zh-CN"/>
        </w:rPr>
        <w:t>法定代表人或</w:t>
      </w:r>
      <w:r>
        <w:rPr>
          <w:rFonts w:hint="eastAsia" w:ascii="仿宋" w:hAnsi="仿宋" w:eastAsia="仿宋" w:cs="仿宋"/>
          <w:color w:val="auto"/>
          <w:kern w:val="0"/>
          <w:sz w:val="24"/>
          <w:szCs w:val="24"/>
        </w:rPr>
        <w:t>委托代理人</w:t>
      </w:r>
      <w:r>
        <w:rPr>
          <w:rFonts w:hint="eastAsia" w:ascii="仿宋" w:hAnsi="仿宋" w:eastAsia="仿宋" w:cs="仿宋"/>
          <w:color w:val="auto"/>
          <w:sz w:val="24"/>
          <w:lang w:eastAsia="zh-CN"/>
        </w:rPr>
        <w:t>（签章）</w:t>
      </w:r>
      <w:r>
        <w:rPr>
          <w:rFonts w:hint="eastAsia" w:ascii="仿宋" w:hAnsi="仿宋" w:eastAsia="仿宋" w:cs="仿宋"/>
          <w:color w:val="auto"/>
          <w:kern w:val="0"/>
          <w:sz w:val="24"/>
          <w:szCs w:val="24"/>
          <w:lang w:eastAsia="zh-CN"/>
        </w:rPr>
        <w:t>：</w:t>
      </w:r>
      <w:r>
        <w:rPr>
          <w:rFonts w:hint="eastAsia" w:ascii="仿宋" w:hAnsi="仿宋" w:eastAsia="仿宋" w:cs="仿宋"/>
          <w:color w:val="auto"/>
          <w:kern w:val="0"/>
          <w:sz w:val="24"/>
          <w:szCs w:val="24"/>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3120" w:firstLineChars="1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日期：       年   月   日</w:t>
      </w:r>
    </w:p>
    <w:p>
      <w:pPr>
        <w:pStyle w:val="5"/>
        <w:rPr>
          <w:rFonts w:hint="eastAsia" w:ascii="仿宋" w:hAnsi="仿宋" w:eastAsia="仿宋" w:cs="仿宋"/>
          <w:b/>
          <w:bCs/>
          <w:color w:val="auto"/>
          <w:sz w:val="36"/>
          <w:szCs w:val="36"/>
        </w:rPr>
      </w:pPr>
    </w:p>
    <w:p>
      <w:pPr>
        <w:rPr>
          <w:rFonts w:hint="eastAsia" w:ascii="仿宋" w:hAnsi="仿宋" w:eastAsia="仿宋" w:cs="仿宋"/>
          <w:color w:val="auto"/>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eastAsia="zh-CN"/>
        </w:rPr>
      </w:pPr>
      <w:r>
        <w:rPr>
          <w:rFonts w:hint="eastAsia" w:ascii="仿宋" w:hAnsi="仿宋" w:eastAsia="仿宋" w:cs="仿宋"/>
          <w:color w:val="auto"/>
          <w:spacing w:val="0"/>
          <w:w w:val="100"/>
          <w:position w:val="0"/>
          <w:sz w:val="36"/>
          <w:szCs w:val="36"/>
          <w:lang w:val="en-US" w:eastAsia="zh-CN"/>
        </w:rPr>
        <w:t>6</w:t>
      </w:r>
      <w:r>
        <w:rPr>
          <w:rFonts w:hint="eastAsia" w:ascii="仿宋" w:hAnsi="仿宋" w:eastAsia="仿宋" w:cs="仿宋"/>
          <w:color w:val="auto"/>
          <w:spacing w:val="0"/>
          <w:w w:val="100"/>
          <w:position w:val="0"/>
          <w:sz w:val="36"/>
          <w:szCs w:val="36"/>
        </w:rPr>
        <w:t>、</w:t>
      </w:r>
      <w:r>
        <w:rPr>
          <w:rFonts w:hint="eastAsia" w:ascii="仿宋" w:hAnsi="仿宋" w:eastAsia="仿宋" w:cs="仿宋"/>
          <w:color w:val="auto"/>
          <w:spacing w:val="0"/>
          <w:w w:val="100"/>
          <w:position w:val="0"/>
          <w:sz w:val="36"/>
          <w:szCs w:val="36"/>
          <w:lang w:eastAsia="zh-CN"/>
        </w:rPr>
        <w:t>商务条款偏离表</w:t>
      </w:r>
    </w:p>
    <w:tbl>
      <w:tblPr>
        <w:tblStyle w:val="23"/>
        <w:tblW w:w="90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8"/>
        <w:gridCol w:w="2154"/>
        <w:gridCol w:w="2477"/>
        <w:gridCol w:w="2454"/>
        <w:gridCol w:w="1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序号</w:t>
            </w:r>
          </w:p>
        </w:tc>
        <w:tc>
          <w:tcPr>
            <w:tcW w:w="2154" w:type="dxa"/>
            <w:noWrap w:val="0"/>
            <w:vAlign w:val="top"/>
          </w:tcPr>
          <w:p>
            <w:pPr>
              <w:pStyle w:val="11"/>
              <w:shd w:val="clear" w:color="auto" w:fill="auto"/>
              <w:spacing w:line="240" w:lineRule="atLeast"/>
              <w:ind w:left="0" w:leftChars="0" w:right="0" w:rightChars="0" w:firstLine="0" w:firstLineChars="0"/>
              <w:jc w:val="center"/>
              <w:rPr>
                <w:rFonts w:hint="eastAsia" w:ascii="仿宋" w:hAnsi="仿宋" w:eastAsia="仿宋" w:cs="仿宋"/>
                <w:color w:val="auto"/>
                <w:spacing w:val="-1"/>
                <w:kern w:val="0"/>
                <w:sz w:val="24"/>
              </w:rPr>
            </w:pPr>
            <w:r>
              <w:rPr>
                <w:rFonts w:hint="eastAsia" w:ascii="仿宋" w:hAnsi="仿宋" w:eastAsia="仿宋" w:cs="仿宋"/>
                <w:color w:val="auto"/>
                <w:sz w:val="24"/>
                <w:highlight w:val="none"/>
                <w:lang w:val="en-US" w:eastAsia="zh-CN"/>
              </w:rPr>
              <w:t>招标文件的商务条款</w:t>
            </w:r>
          </w:p>
        </w:tc>
        <w:tc>
          <w:tcPr>
            <w:tcW w:w="2477" w:type="dxa"/>
            <w:noWrap w:val="0"/>
            <w:vAlign w:val="top"/>
          </w:tcPr>
          <w:p>
            <w:pPr>
              <w:pStyle w:val="11"/>
              <w:shd w:val="clear" w:color="auto" w:fill="auto"/>
              <w:spacing w:line="240" w:lineRule="atLeast"/>
              <w:ind w:left="0" w:leftChars="0" w:right="0" w:rightChars="0" w:firstLine="0" w:firstLineChars="0"/>
              <w:jc w:val="center"/>
              <w:rPr>
                <w:rFonts w:hint="eastAsia" w:ascii="仿宋" w:hAnsi="仿宋" w:eastAsia="仿宋" w:cs="仿宋"/>
                <w:color w:val="auto"/>
                <w:spacing w:val="-1"/>
                <w:kern w:val="0"/>
                <w:sz w:val="24"/>
              </w:rPr>
            </w:pPr>
            <w:r>
              <w:rPr>
                <w:rFonts w:hint="eastAsia" w:ascii="仿宋" w:hAnsi="仿宋" w:eastAsia="仿宋" w:cs="仿宋"/>
                <w:color w:val="auto"/>
                <w:sz w:val="24"/>
                <w:highlight w:val="none"/>
                <w:lang w:val="en-US" w:eastAsia="zh-CN"/>
              </w:rPr>
              <w:t>投标文件的商务条款</w:t>
            </w:r>
          </w:p>
        </w:tc>
        <w:tc>
          <w:tcPr>
            <w:tcW w:w="2454" w:type="dxa"/>
            <w:noWrap w:val="0"/>
            <w:vAlign w:val="top"/>
          </w:tcPr>
          <w:p>
            <w:pPr>
              <w:pStyle w:val="11"/>
              <w:shd w:val="clear" w:color="auto" w:fill="auto"/>
              <w:spacing w:line="240" w:lineRule="atLeast"/>
              <w:ind w:left="0" w:leftChars="0" w:right="0" w:rightChars="0" w:firstLine="0" w:firstLineChars="0"/>
              <w:jc w:val="center"/>
              <w:rPr>
                <w:rFonts w:hint="eastAsia" w:ascii="仿宋" w:hAnsi="仿宋" w:eastAsia="仿宋" w:cs="仿宋"/>
                <w:color w:val="auto"/>
                <w:spacing w:val="-1"/>
                <w:kern w:val="0"/>
                <w:sz w:val="24"/>
              </w:rPr>
            </w:pPr>
            <w:r>
              <w:rPr>
                <w:rFonts w:hint="eastAsia" w:ascii="仿宋" w:hAnsi="仿宋" w:eastAsia="仿宋" w:cs="仿宋"/>
                <w:bCs/>
                <w:color w:val="auto"/>
                <w:sz w:val="24"/>
                <w:szCs w:val="24"/>
              </w:rPr>
              <w:t>偏离</w:t>
            </w:r>
          </w:p>
        </w:tc>
        <w:tc>
          <w:tcPr>
            <w:tcW w:w="1130" w:type="dxa"/>
            <w:noWrap w:val="0"/>
            <w:vAlign w:val="top"/>
          </w:tcPr>
          <w:p>
            <w:pPr>
              <w:pStyle w:val="11"/>
              <w:shd w:val="clear" w:color="auto" w:fill="auto"/>
              <w:spacing w:line="240" w:lineRule="atLeast"/>
              <w:ind w:left="0" w:leftChars="0" w:right="0" w:rightChars="0" w:firstLine="0" w:firstLineChars="0"/>
              <w:jc w:val="center"/>
              <w:rPr>
                <w:rFonts w:hint="eastAsia" w:ascii="仿宋" w:hAnsi="仿宋" w:eastAsia="仿宋" w:cs="仿宋"/>
                <w:color w:val="auto"/>
                <w:spacing w:val="-1"/>
                <w:kern w:val="0"/>
                <w:sz w:val="24"/>
              </w:rPr>
            </w:pPr>
            <w:r>
              <w:rPr>
                <w:rFonts w:hint="eastAsia" w:ascii="仿宋" w:hAnsi="仿宋" w:eastAsia="仿宋" w:cs="仿宋"/>
                <w:color w:val="auto"/>
                <w:sz w:val="24"/>
                <w:highlight w:val="none"/>
                <w:lang w:val="en-US" w:eastAsia="zh-CN"/>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2</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3</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4</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5</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6</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7</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8</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9</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10</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11</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12</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13</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14</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88" w:type="dxa"/>
            <w:noWrap w:val="0"/>
            <w:vAlign w:val="center"/>
          </w:tcPr>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15</w:t>
            </w:r>
          </w:p>
        </w:tc>
        <w:tc>
          <w:tcPr>
            <w:tcW w:w="2154" w:type="dxa"/>
            <w:noWrap w:val="0"/>
            <w:vAlign w:val="center"/>
          </w:tcPr>
          <w:p>
            <w:pPr>
              <w:rPr>
                <w:rFonts w:hint="eastAsia" w:ascii="仿宋" w:hAnsi="仿宋" w:eastAsia="仿宋" w:cs="仿宋"/>
                <w:color w:val="auto"/>
                <w:spacing w:val="-1"/>
                <w:kern w:val="0"/>
                <w:sz w:val="24"/>
              </w:rPr>
            </w:pPr>
          </w:p>
        </w:tc>
        <w:tc>
          <w:tcPr>
            <w:tcW w:w="2477" w:type="dxa"/>
            <w:noWrap w:val="0"/>
            <w:vAlign w:val="center"/>
          </w:tcPr>
          <w:p>
            <w:pPr>
              <w:rPr>
                <w:rFonts w:hint="eastAsia" w:ascii="仿宋" w:hAnsi="仿宋" w:eastAsia="仿宋" w:cs="仿宋"/>
                <w:color w:val="auto"/>
                <w:spacing w:val="-1"/>
                <w:kern w:val="0"/>
                <w:sz w:val="24"/>
              </w:rPr>
            </w:pPr>
          </w:p>
        </w:tc>
        <w:tc>
          <w:tcPr>
            <w:tcW w:w="2454" w:type="dxa"/>
            <w:noWrap w:val="0"/>
            <w:vAlign w:val="center"/>
          </w:tcPr>
          <w:p>
            <w:pPr>
              <w:rPr>
                <w:rFonts w:hint="eastAsia" w:ascii="仿宋" w:hAnsi="仿宋" w:eastAsia="仿宋" w:cs="仿宋"/>
                <w:color w:val="auto"/>
                <w:spacing w:val="-1"/>
                <w:kern w:val="0"/>
                <w:sz w:val="24"/>
              </w:rPr>
            </w:pPr>
          </w:p>
        </w:tc>
        <w:tc>
          <w:tcPr>
            <w:tcW w:w="1130" w:type="dxa"/>
            <w:noWrap w:val="0"/>
            <w:vAlign w:val="center"/>
          </w:tcPr>
          <w:p>
            <w:pPr>
              <w:rPr>
                <w:rFonts w:hint="eastAsia" w:ascii="仿宋" w:hAnsi="仿宋" w:eastAsia="仿宋" w:cs="仿宋"/>
                <w:color w:val="auto"/>
                <w:spacing w:val="-1"/>
                <w:kern w:val="0"/>
                <w:sz w:val="24"/>
              </w:rPr>
            </w:pPr>
          </w:p>
        </w:tc>
      </w:tr>
    </w:tbl>
    <w:p>
      <w:pPr>
        <w:rPr>
          <w:rFonts w:hint="eastAsia" w:ascii="仿宋" w:hAnsi="仿宋" w:eastAsia="仿宋" w:cs="仿宋"/>
          <w:color w:val="auto"/>
          <w:spacing w:val="-1"/>
          <w:kern w:val="0"/>
          <w:sz w:val="24"/>
        </w:rPr>
      </w:pPr>
      <w:r>
        <w:rPr>
          <w:rFonts w:hint="eastAsia" w:ascii="仿宋" w:hAnsi="仿宋" w:eastAsia="仿宋" w:cs="仿宋"/>
          <w:color w:val="auto"/>
          <w:spacing w:val="-1"/>
          <w:kern w:val="0"/>
          <w:sz w:val="24"/>
        </w:rPr>
        <w:t>注：请在“偏离说明”栏内扼要说明偏离情况，如无偏离则不需列明。</w:t>
      </w:r>
    </w:p>
    <w:p>
      <w:pPr>
        <w:pStyle w:val="8"/>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rPr>
      </w:pPr>
    </w:p>
    <w:p>
      <w:pPr>
        <w:pStyle w:val="8"/>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rPr>
      </w:pPr>
    </w:p>
    <w:p>
      <w:pPr>
        <w:pStyle w:val="8"/>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p>
    <w:p>
      <w:pPr>
        <w:pStyle w:val="8"/>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sz w:val="24"/>
          <w:szCs w:val="24"/>
        </w:rPr>
      </w:pPr>
      <w:r>
        <w:rPr>
          <w:rFonts w:hint="eastAsia" w:ascii="仿宋" w:hAnsi="仿宋" w:eastAsia="仿宋" w:cs="仿宋"/>
          <w:color w:val="auto"/>
          <w:sz w:val="24"/>
          <w:szCs w:val="24"/>
        </w:rPr>
        <w:t>投标人：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（盖章）</w:t>
      </w:r>
      <w:r>
        <w:rPr>
          <w:rFonts w:hint="eastAsia" w:ascii="仿宋" w:hAnsi="仿宋" w:eastAsia="仿宋" w:cs="仿宋"/>
          <w:color w:val="auto"/>
          <w:sz w:val="24"/>
          <w:szCs w:val="24"/>
        </w:rPr>
        <w:t xml:space="preserve"> </w:t>
      </w:r>
    </w:p>
    <w:p>
      <w:pPr>
        <w:pStyle w:val="8"/>
        <w:numPr>
          <w:ilvl w:val="0"/>
          <w:numId w:val="0"/>
        </w:numPr>
        <w:tabs>
          <w:tab w:val="left" w:pos="8227"/>
        </w:tabs>
        <w:kinsoku w:val="0"/>
        <w:overflowPunct w:val="0"/>
        <w:spacing w:line="381" w:lineRule="auto"/>
        <w:ind w:left="1680" w:leftChars="0" w:right="118" w:rightChars="0"/>
        <w:rPr>
          <w:rFonts w:hint="eastAsia" w:ascii="仿宋" w:hAnsi="仿宋" w:eastAsia="仿宋" w:cs="仿宋"/>
          <w:color w:val="auto"/>
          <w:w w:val="95"/>
          <w:sz w:val="24"/>
          <w:szCs w:val="24"/>
        </w:rPr>
      </w:pPr>
      <w:r>
        <w:rPr>
          <w:rFonts w:hint="eastAsia" w:ascii="仿宋" w:hAnsi="仿宋" w:eastAsia="仿宋" w:cs="仿宋"/>
          <w:color w:val="auto"/>
          <w:sz w:val="24"/>
          <w:szCs w:val="24"/>
        </w:rPr>
        <w:t>法定代表人或被授权人：</w:t>
      </w:r>
      <w:r>
        <w:rPr>
          <w:rFonts w:hint="eastAsia" w:ascii="仿宋" w:hAnsi="仿宋" w:eastAsia="仿宋" w:cs="仿宋"/>
          <w:color w:val="auto"/>
          <w:sz w:val="24"/>
          <w:szCs w:val="24"/>
          <w:u w:val="single"/>
        </w:rPr>
        <w:tab/>
      </w:r>
      <w:r>
        <w:rPr>
          <w:rFonts w:hint="eastAsia" w:ascii="仿宋" w:hAnsi="仿宋" w:eastAsia="仿宋" w:cs="仿宋"/>
          <w:color w:val="auto"/>
          <w:w w:val="95"/>
          <w:sz w:val="24"/>
          <w:szCs w:val="24"/>
        </w:rPr>
        <w:t>（</w:t>
      </w:r>
      <w:r>
        <w:rPr>
          <w:rFonts w:hint="eastAsia" w:ascii="仿宋" w:hAnsi="仿宋" w:eastAsia="仿宋" w:cs="仿宋"/>
          <w:color w:val="auto"/>
          <w:w w:val="95"/>
          <w:sz w:val="24"/>
          <w:szCs w:val="24"/>
          <w:lang w:eastAsia="zh-CN"/>
        </w:rPr>
        <w:t>签章</w:t>
      </w:r>
      <w:r>
        <w:rPr>
          <w:rFonts w:hint="eastAsia" w:ascii="仿宋" w:hAnsi="仿宋" w:eastAsia="仿宋" w:cs="仿宋"/>
          <w:color w:val="auto"/>
          <w:w w:val="95"/>
          <w:sz w:val="24"/>
          <w:szCs w:val="24"/>
        </w:rPr>
        <w:t>）</w:t>
      </w: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rPr>
      </w:pPr>
      <w:r>
        <w:rPr>
          <w:rFonts w:hint="eastAsia" w:ascii="仿宋" w:hAnsi="仿宋" w:eastAsia="仿宋" w:cs="仿宋"/>
          <w:color w:val="auto"/>
          <w:sz w:val="24"/>
          <w:szCs w:val="24"/>
        </w:rPr>
        <w:t>日期：</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月</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日</w:t>
      </w: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rPr>
      </w:pPr>
    </w:p>
    <w:p>
      <w:pPr>
        <w:pStyle w:val="46"/>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pPr>
        <w:pStyle w:val="46"/>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pPr>
        <w:pStyle w:val="46"/>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pPr>
        <w:pStyle w:val="46"/>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pPr>
        <w:pStyle w:val="46"/>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pPr>
        <w:pStyle w:val="46"/>
        <w:keepNext w:val="0"/>
        <w:keepLines w:val="0"/>
        <w:widowControl w:val="0"/>
        <w:shd w:val="clear" w:color="auto" w:fill="auto"/>
        <w:tabs>
          <w:tab w:val="left" w:pos="826"/>
        </w:tabs>
        <w:bidi w:val="0"/>
        <w:spacing w:before="0" w:after="0" w:line="470" w:lineRule="exact"/>
        <w:ind w:left="0" w:leftChars="0" w:right="0" w:firstLine="0" w:firstLineChars="0"/>
        <w:jc w:val="center"/>
        <w:rPr>
          <w:rFonts w:hint="eastAsia" w:ascii="仿宋" w:hAnsi="仿宋" w:eastAsia="仿宋" w:cs="仿宋"/>
          <w:color w:val="auto"/>
          <w:spacing w:val="0"/>
          <w:w w:val="100"/>
          <w:position w:val="0"/>
          <w:sz w:val="21"/>
          <w:szCs w:val="21"/>
        </w:rPr>
      </w:pPr>
    </w:p>
    <w:p>
      <w:pPr>
        <w:pStyle w:val="45"/>
        <w:keepNext w:val="0"/>
        <w:keepLines w:val="0"/>
        <w:widowControl w:val="0"/>
        <w:shd w:val="clear" w:color="auto" w:fill="auto"/>
        <w:bidi w:val="0"/>
        <w:spacing w:before="0" w:after="0" w:line="240" w:lineRule="auto"/>
        <w:ind w:left="0" w:right="0" w:firstLine="420"/>
        <w:jc w:val="center"/>
        <w:rPr>
          <w:rFonts w:hint="eastAsia" w:ascii="仿宋" w:hAnsi="仿宋" w:eastAsia="仿宋" w:cs="仿宋"/>
          <w:color w:val="auto"/>
          <w:spacing w:val="0"/>
          <w:w w:val="100"/>
          <w:position w:val="0"/>
          <w:sz w:val="36"/>
          <w:szCs w:val="36"/>
          <w:lang w:val="en-US" w:eastAsia="zh-CN"/>
        </w:rPr>
      </w:pPr>
      <w:r>
        <w:rPr>
          <w:rFonts w:hint="eastAsia" w:ascii="仿宋" w:hAnsi="仿宋" w:eastAsia="仿宋" w:cs="仿宋"/>
          <w:color w:val="auto"/>
          <w:spacing w:val="0"/>
          <w:w w:val="100"/>
          <w:position w:val="0"/>
          <w:sz w:val="36"/>
          <w:szCs w:val="36"/>
          <w:lang w:val="en-US" w:eastAsia="zh-CN"/>
        </w:rPr>
        <w:t>7、投标人基本情况表</w:t>
      </w:r>
    </w:p>
    <w:p>
      <w:pPr>
        <w:pStyle w:val="8"/>
        <w:numPr>
          <w:ilvl w:val="0"/>
          <w:numId w:val="0"/>
        </w:numPr>
        <w:kinsoku w:val="0"/>
        <w:overflowPunct w:val="0"/>
        <w:spacing w:before="5"/>
        <w:ind w:leftChars="0" w:right="0" w:rightChars="0"/>
        <w:rPr>
          <w:rFonts w:hint="eastAsia" w:ascii="仿宋" w:hAnsi="仿宋" w:eastAsia="仿宋" w:cs="仿宋"/>
          <w:b/>
          <w:bCs/>
          <w:color w:val="auto"/>
          <w:sz w:val="6"/>
          <w:szCs w:val="6"/>
        </w:rPr>
      </w:pPr>
    </w:p>
    <w:tbl>
      <w:tblPr>
        <w:tblStyle w:val="23"/>
        <w:tblW w:w="8714" w:type="dxa"/>
        <w:jc w:val="center"/>
        <w:tblLayout w:type="fixed"/>
        <w:tblCellMar>
          <w:top w:w="0" w:type="dxa"/>
          <w:left w:w="0" w:type="dxa"/>
          <w:bottom w:w="0" w:type="dxa"/>
          <w:right w:w="0" w:type="dxa"/>
        </w:tblCellMar>
      </w:tblPr>
      <w:tblGrid>
        <w:gridCol w:w="1242"/>
        <w:gridCol w:w="1445"/>
        <w:gridCol w:w="849"/>
        <w:gridCol w:w="493"/>
        <w:gridCol w:w="655"/>
        <w:gridCol w:w="688"/>
        <w:gridCol w:w="458"/>
        <w:gridCol w:w="367"/>
        <w:gridCol w:w="552"/>
        <w:gridCol w:w="1965"/>
      </w:tblGrid>
      <w:tr>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单位名称</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单位地址</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主管部门</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137"/>
              <w:rPr>
                <w:rFonts w:hint="eastAsia" w:ascii="仿宋" w:hAnsi="仿宋" w:eastAsia="仿宋" w:cs="仿宋"/>
                <w:color w:val="auto"/>
              </w:rPr>
            </w:pPr>
            <w:r>
              <w:rPr>
                <w:rFonts w:hint="eastAsia" w:ascii="仿宋" w:hAnsi="仿宋" w:eastAsia="仿宋" w:cs="仿宋"/>
                <w:color w:val="auto"/>
              </w:rPr>
              <w:t>成立时间</w:t>
            </w:r>
          </w:p>
        </w:tc>
        <w:tc>
          <w:tcPr>
            <w:tcW w:w="2294"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2294" w:type="dxa"/>
            <w:gridSpan w:val="4"/>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181"/>
              <w:rPr>
                <w:rFonts w:hint="eastAsia" w:ascii="仿宋" w:hAnsi="仿宋" w:eastAsia="仿宋" w:cs="仿宋"/>
                <w:color w:val="auto"/>
              </w:rPr>
            </w:pPr>
            <w:r>
              <w:rPr>
                <w:rFonts w:hint="eastAsia" w:ascii="仿宋" w:hAnsi="仿宋" w:eastAsia="仿宋" w:cs="仿宋"/>
                <w:color w:val="auto"/>
              </w:rPr>
              <w:t>注册资金（万元）</w:t>
            </w:r>
          </w:p>
        </w:tc>
        <w:tc>
          <w:tcPr>
            <w:tcW w:w="2884" w:type="dxa"/>
            <w:gridSpan w:val="3"/>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691"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6"/>
              <w:ind w:left="137"/>
              <w:rPr>
                <w:rFonts w:hint="eastAsia" w:ascii="仿宋" w:hAnsi="仿宋" w:eastAsia="仿宋" w:cs="仿宋"/>
                <w:color w:val="auto"/>
              </w:rPr>
            </w:pPr>
            <w:r>
              <w:rPr>
                <w:rFonts w:hint="eastAsia" w:ascii="仿宋" w:hAnsi="仿宋" w:eastAsia="仿宋" w:cs="仿宋"/>
                <w:color w:val="auto"/>
              </w:rPr>
              <w:t>单位性质</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933"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1" w:line="312" w:lineRule="exact"/>
              <w:ind w:left="257" w:right="133" w:hanging="120"/>
              <w:rPr>
                <w:rFonts w:hint="eastAsia" w:ascii="仿宋" w:hAnsi="仿宋" w:eastAsia="仿宋" w:cs="仿宋"/>
                <w:color w:val="auto"/>
              </w:rPr>
            </w:pPr>
            <w:r>
              <w:rPr>
                <w:rFonts w:hint="eastAsia" w:ascii="仿宋" w:hAnsi="仿宋" w:eastAsia="仿宋" w:cs="仿宋"/>
                <w:color w:val="auto"/>
              </w:rPr>
              <w:t>投标期间 联系人</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4"/>
              <w:rPr>
                <w:rFonts w:hint="eastAsia" w:ascii="仿宋" w:hAnsi="仿宋" w:eastAsia="仿宋" w:cs="仿宋"/>
                <w:b/>
                <w:bCs/>
                <w:color w:val="auto"/>
                <w:sz w:val="20"/>
                <w:szCs w:val="20"/>
              </w:rPr>
            </w:pPr>
          </w:p>
          <w:p>
            <w:pPr>
              <w:pStyle w:val="49"/>
              <w:kinsoku w:val="0"/>
              <w:overflowPunct w:val="0"/>
              <w:ind w:left="366"/>
              <w:rPr>
                <w:rFonts w:hint="eastAsia" w:ascii="仿宋" w:hAnsi="仿宋" w:eastAsia="仿宋" w:cs="仿宋"/>
                <w:color w:val="auto"/>
              </w:rPr>
            </w:pPr>
            <w:r>
              <w:rPr>
                <w:rFonts w:hint="eastAsia" w:ascii="仿宋" w:hAnsi="仿宋" w:eastAsia="仿宋" w:cs="仿宋"/>
                <w:color w:val="auto"/>
              </w:rPr>
              <w:t>电 话</w:t>
            </w:r>
          </w:p>
        </w:tc>
        <w:tc>
          <w:tcPr>
            <w:tcW w:w="1343"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377" w:type="dxa"/>
            <w:gridSpan w:val="3"/>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4"/>
              <w:rPr>
                <w:rFonts w:hint="eastAsia" w:ascii="仿宋" w:hAnsi="仿宋" w:eastAsia="仿宋" w:cs="仿宋"/>
                <w:b/>
                <w:bCs/>
                <w:color w:val="auto"/>
                <w:sz w:val="20"/>
                <w:szCs w:val="20"/>
              </w:rPr>
            </w:pPr>
          </w:p>
          <w:p>
            <w:pPr>
              <w:pStyle w:val="49"/>
              <w:kinsoku w:val="0"/>
              <w:overflowPunct w:val="0"/>
              <w:ind w:left="383"/>
              <w:rPr>
                <w:rFonts w:hint="eastAsia" w:ascii="仿宋" w:hAnsi="仿宋" w:eastAsia="仿宋" w:cs="仿宋"/>
                <w:color w:val="auto"/>
              </w:rPr>
            </w:pPr>
            <w:r>
              <w:rPr>
                <w:rFonts w:hint="eastAsia" w:ascii="仿宋" w:hAnsi="仿宋" w:eastAsia="仿宋" w:cs="仿宋"/>
                <w:color w:val="auto"/>
              </w:rPr>
              <w:t>传 真</w:t>
            </w:r>
          </w:p>
        </w:tc>
        <w:tc>
          <w:tcPr>
            <w:tcW w:w="1965"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691" w:hRule="exact"/>
          <w:jc w:val="center"/>
        </w:trPr>
        <w:tc>
          <w:tcPr>
            <w:tcW w:w="1242" w:type="dxa"/>
            <w:vMerge w:val="restart"/>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rPr>
                <w:rFonts w:hint="eastAsia" w:ascii="仿宋" w:hAnsi="仿宋" w:eastAsia="仿宋" w:cs="仿宋"/>
                <w:b/>
                <w:bCs/>
                <w:color w:val="auto"/>
              </w:rPr>
            </w:pPr>
          </w:p>
          <w:p>
            <w:pPr>
              <w:pStyle w:val="49"/>
              <w:kinsoku w:val="0"/>
              <w:overflowPunct w:val="0"/>
              <w:rPr>
                <w:rFonts w:hint="eastAsia" w:ascii="仿宋" w:hAnsi="仿宋" w:eastAsia="仿宋" w:cs="仿宋"/>
                <w:b/>
                <w:bCs/>
                <w:color w:val="auto"/>
              </w:rPr>
            </w:pPr>
          </w:p>
          <w:p>
            <w:pPr>
              <w:pStyle w:val="49"/>
              <w:kinsoku w:val="0"/>
              <w:overflowPunct w:val="0"/>
              <w:rPr>
                <w:rFonts w:hint="eastAsia" w:ascii="仿宋" w:hAnsi="仿宋" w:eastAsia="仿宋" w:cs="仿宋"/>
                <w:b/>
                <w:bCs/>
                <w:color w:val="auto"/>
              </w:rPr>
            </w:pPr>
          </w:p>
          <w:p>
            <w:pPr>
              <w:pStyle w:val="49"/>
              <w:kinsoku w:val="0"/>
              <w:overflowPunct w:val="0"/>
              <w:spacing w:line="475" w:lineRule="auto"/>
              <w:ind w:left="497" w:right="493"/>
              <w:jc w:val="both"/>
              <w:rPr>
                <w:rFonts w:hint="eastAsia" w:ascii="仿宋" w:hAnsi="仿宋" w:eastAsia="仿宋" w:cs="仿宋"/>
                <w:color w:val="auto"/>
              </w:rPr>
            </w:pPr>
            <w:r>
              <w:rPr>
                <w:rFonts w:hint="eastAsia" w:ascii="仿宋" w:hAnsi="仿宋" w:eastAsia="仿宋" w:cs="仿宋"/>
                <w:color w:val="auto"/>
              </w:rPr>
              <w:t>职 工 概 况</w:t>
            </w:r>
          </w:p>
        </w:tc>
        <w:tc>
          <w:tcPr>
            <w:tcW w:w="1445"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4"/>
              <w:ind w:left="236"/>
              <w:rPr>
                <w:rFonts w:hint="eastAsia" w:ascii="仿宋" w:hAnsi="仿宋" w:eastAsia="仿宋" w:cs="仿宋"/>
                <w:color w:val="auto"/>
              </w:rPr>
            </w:pPr>
            <w:r>
              <w:rPr>
                <w:rFonts w:hint="eastAsia" w:ascii="仿宋" w:hAnsi="仿宋" w:eastAsia="仿宋" w:cs="仿宋"/>
                <w:color w:val="auto"/>
              </w:rPr>
              <w:t>职工总数</w:t>
            </w:r>
          </w:p>
        </w:tc>
        <w:tc>
          <w:tcPr>
            <w:tcW w:w="1342"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2168" w:type="dxa"/>
            <w:gridSpan w:val="4"/>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4"/>
              <w:ind w:left="118"/>
              <w:rPr>
                <w:rFonts w:hint="eastAsia" w:ascii="仿宋" w:hAnsi="仿宋" w:eastAsia="仿宋" w:cs="仿宋"/>
                <w:color w:val="auto"/>
              </w:rPr>
            </w:pPr>
            <w:r>
              <w:rPr>
                <w:rFonts w:hint="eastAsia" w:ascii="仿宋" w:hAnsi="仿宋" w:eastAsia="仿宋" w:cs="仿宋"/>
                <w:color w:val="auto"/>
              </w:rPr>
              <w:t>其中：技术人员数</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jc w:val="center"/>
              <w:rPr>
                <w:rFonts w:hint="eastAsia" w:ascii="仿宋" w:hAnsi="仿宋" w:eastAsia="仿宋" w:cs="仿宋"/>
                <w:color w:val="auto"/>
              </w:rPr>
            </w:pPr>
            <w:r>
              <w:rPr>
                <w:rFonts w:hint="eastAsia" w:ascii="仿宋" w:hAnsi="仿宋" w:eastAsia="仿宋" w:cs="仿宋"/>
                <w:color w:val="auto"/>
              </w:rPr>
              <w:t>单位行政和技术负责人</w:t>
            </w:r>
          </w:p>
        </w:tc>
      </w:tr>
      <w:tr>
        <w:tblPrEx>
          <w:tblCellMar>
            <w:top w:w="0" w:type="dxa"/>
            <w:left w:w="0" w:type="dxa"/>
            <w:bottom w:w="0" w:type="dxa"/>
            <w:right w:w="0" w:type="dxa"/>
          </w:tblCellMar>
        </w:tblPrEx>
        <w:trPr>
          <w:trHeight w:val="69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jc w:val="cente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416"/>
              <w:rPr>
                <w:rFonts w:hint="eastAsia" w:ascii="仿宋" w:hAnsi="仿宋" w:eastAsia="仿宋" w:cs="仿宋"/>
                <w:color w:val="auto"/>
              </w:rPr>
            </w:pPr>
            <w:r>
              <w:rPr>
                <w:rFonts w:hint="eastAsia" w:ascii="仿宋" w:hAnsi="仿宋" w:eastAsia="仿宋" w:cs="仿宋"/>
                <w:color w:val="auto"/>
              </w:rPr>
              <w:t>姓 名</w:t>
            </w: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452"/>
              <w:rPr>
                <w:rFonts w:hint="eastAsia" w:ascii="仿宋" w:hAnsi="仿宋" w:eastAsia="仿宋" w:cs="仿宋"/>
                <w:color w:val="auto"/>
              </w:rPr>
            </w:pPr>
            <w:r>
              <w:rPr>
                <w:rFonts w:hint="eastAsia" w:ascii="仿宋" w:hAnsi="仿宋" w:eastAsia="仿宋" w:cs="仿宋"/>
                <w:color w:val="auto"/>
              </w:rPr>
              <w:t>职务/职称</w:t>
            </w: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45"/>
              <w:ind w:left="450"/>
              <w:rPr>
                <w:rFonts w:hint="eastAsia" w:ascii="仿宋" w:hAnsi="仿宋" w:eastAsia="仿宋" w:cs="仿宋"/>
                <w:color w:val="auto"/>
              </w:rPr>
            </w:pPr>
            <w:r>
              <w:rPr>
                <w:rFonts w:hint="eastAsia" w:ascii="仿宋" w:hAnsi="仿宋" w:eastAsia="仿宋" w:cs="仿宋"/>
                <w:color w:val="auto"/>
              </w:rPr>
              <w:t>年 龄</w:t>
            </w: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pPr>
              <w:pStyle w:val="49"/>
              <w:tabs>
                <w:tab w:val="left" w:pos="479"/>
              </w:tabs>
              <w:kinsoku w:val="0"/>
              <w:overflowPunct w:val="0"/>
              <w:spacing w:before="145"/>
              <w:ind w:right="1"/>
              <w:jc w:val="center"/>
              <w:rPr>
                <w:rFonts w:hint="eastAsia" w:ascii="仿宋" w:hAnsi="仿宋" w:eastAsia="仿宋" w:cs="仿宋"/>
                <w:color w:val="auto"/>
              </w:rPr>
            </w:pPr>
            <w:r>
              <w:rPr>
                <w:rFonts w:hint="eastAsia" w:ascii="仿宋" w:hAnsi="仿宋" w:eastAsia="仿宋" w:cs="仿宋"/>
                <w:color w:val="auto"/>
              </w:rPr>
              <w:t>专</w:t>
            </w:r>
            <w:r>
              <w:rPr>
                <w:rFonts w:hint="eastAsia" w:ascii="仿宋" w:hAnsi="仿宋" w:eastAsia="仿宋" w:cs="仿宋"/>
                <w:color w:val="auto"/>
              </w:rPr>
              <w:tab/>
            </w:r>
            <w:r>
              <w:rPr>
                <w:rFonts w:hint="eastAsia" w:ascii="仿宋" w:hAnsi="仿宋" w:eastAsia="仿宋" w:cs="仿宋"/>
                <w:color w:val="auto"/>
              </w:rPr>
              <w:t>业</w:t>
            </w:r>
          </w:p>
        </w:tc>
      </w:tr>
      <w:tr>
        <w:tblPrEx>
          <w:tblCellMar>
            <w:top w:w="0" w:type="dxa"/>
            <w:left w:w="0" w:type="dxa"/>
            <w:bottom w:w="0" w:type="dxa"/>
            <w:right w:w="0" w:type="dxa"/>
          </w:tblCellMar>
        </w:tblPrEx>
        <w:trPr>
          <w:trHeight w:val="425"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pPr>
              <w:pStyle w:val="49"/>
              <w:tabs>
                <w:tab w:val="left" w:pos="479"/>
              </w:tabs>
              <w:kinsoku w:val="0"/>
              <w:overflowPunct w:val="0"/>
              <w:spacing w:before="145"/>
              <w:ind w:right="1"/>
              <w:jc w:val="cente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371"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439" w:hRule="exact"/>
          <w:jc w:val="center"/>
        </w:trPr>
        <w:tc>
          <w:tcPr>
            <w:tcW w:w="1242" w:type="dxa"/>
            <w:vMerge w:val="continue"/>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445" w:type="dxa"/>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997" w:type="dxa"/>
            <w:gridSpan w:val="3"/>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1513" w:type="dxa"/>
            <w:gridSpan w:val="3"/>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c>
          <w:tcPr>
            <w:tcW w:w="2517" w:type="dxa"/>
            <w:gridSpan w:val="2"/>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r>
        <w:tblPrEx>
          <w:tblCellMar>
            <w:top w:w="0" w:type="dxa"/>
            <w:left w:w="0" w:type="dxa"/>
            <w:bottom w:w="0" w:type="dxa"/>
            <w:right w:w="0" w:type="dxa"/>
          </w:tblCellMar>
        </w:tblPrEx>
        <w:trPr>
          <w:trHeight w:val="1620" w:hRule="exact"/>
          <w:jc w:val="center"/>
        </w:trPr>
        <w:tc>
          <w:tcPr>
            <w:tcW w:w="1242" w:type="dxa"/>
            <w:tcBorders>
              <w:top w:val="single" w:color="000000" w:sz="4" w:space="0"/>
              <w:left w:val="single" w:color="000000" w:sz="4" w:space="0"/>
              <w:bottom w:val="single" w:color="000000" w:sz="4" w:space="0"/>
              <w:right w:val="single" w:color="000000" w:sz="4" w:space="0"/>
            </w:tcBorders>
            <w:noWrap w:val="0"/>
            <w:vAlign w:val="top"/>
          </w:tcPr>
          <w:p>
            <w:pPr>
              <w:pStyle w:val="49"/>
              <w:kinsoku w:val="0"/>
              <w:overflowPunct w:val="0"/>
              <w:spacing w:before="1"/>
              <w:rPr>
                <w:rFonts w:hint="eastAsia" w:ascii="仿宋" w:hAnsi="仿宋" w:eastAsia="仿宋" w:cs="仿宋"/>
                <w:b/>
                <w:bCs/>
                <w:color w:val="auto"/>
                <w:sz w:val="23"/>
                <w:szCs w:val="23"/>
              </w:rPr>
            </w:pPr>
          </w:p>
          <w:p>
            <w:pPr>
              <w:pStyle w:val="49"/>
              <w:kinsoku w:val="0"/>
              <w:overflowPunct w:val="0"/>
              <w:spacing w:line="237" w:lineRule="auto"/>
              <w:ind w:left="497" w:right="493"/>
              <w:jc w:val="both"/>
              <w:rPr>
                <w:rFonts w:hint="eastAsia" w:ascii="仿宋" w:hAnsi="仿宋" w:eastAsia="仿宋" w:cs="仿宋"/>
                <w:color w:val="auto"/>
              </w:rPr>
            </w:pPr>
            <w:r>
              <w:rPr>
                <w:rFonts w:hint="eastAsia" w:ascii="仿宋" w:hAnsi="仿宋" w:eastAsia="仿宋" w:cs="仿宋"/>
                <w:color w:val="auto"/>
              </w:rPr>
              <w:t>单 位 概 况</w:t>
            </w:r>
          </w:p>
        </w:tc>
        <w:tc>
          <w:tcPr>
            <w:tcW w:w="7472" w:type="dxa"/>
            <w:gridSpan w:val="9"/>
            <w:tcBorders>
              <w:top w:val="single" w:color="000000" w:sz="4" w:space="0"/>
              <w:left w:val="single" w:color="000000" w:sz="4" w:space="0"/>
              <w:bottom w:val="single" w:color="000000" w:sz="4" w:space="0"/>
              <w:right w:val="single" w:color="000000" w:sz="4" w:space="0"/>
            </w:tcBorders>
            <w:noWrap w:val="0"/>
            <w:vAlign w:val="top"/>
          </w:tcPr>
          <w:p>
            <w:pPr>
              <w:rPr>
                <w:rFonts w:hint="eastAsia" w:ascii="仿宋" w:hAnsi="仿宋" w:eastAsia="仿宋" w:cs="仿宋"/>
                <w:color w:val="auto"/>
              </w:rPr>
            </w:pPr>
          </w:p>
        </w:tc>
      </w:tr>
    </w:tbl>
    <w:p>
      <w:pPr>
        <w:pStyle w:val="8"/>
        <w:numPr>
          <w:ilvl w:val="0"/>
          <w:numId w:val="0"/>
        </w:numPr>
        <w:kinsoku w:val="0"/>
        <w:overflowPunct w:val="0"/>
        <w:spacing w:before="34" w:line="357" w:lineRule="auto"/>
        <w:ind w:left="480" w:leftChars="0" w:right="126" w:rightChars="0"/>
        <w:jc w:val="center"/>
        <w:rPr>
          <w:rFonts w:hint="eastAsia" w:ascii="仿宋" w:hAnsi="仿宋" w:eastAsia="仿宋" w:cs="仿宋"/>
          <w:b w:val="0"/>
          <w:bCs/>
          <w:color w:val="auto"/>
          <w:kern w:val="0"/>
          <w:sz w:val="36"/>
          <w:szCs w:val="36"/>
          <w:lang w:val="en-US" w:eastAsia="zh-CN"/>
        </w:rPr>
      </w:pPr>
    </w:p>
    <w:p>
      <w:pPr>
        <w:pStyle w:val="5"/>
        <w:rPr>
          <w:rFonts w:hint="eastAsia"/>
          <w:color w:val="auto"/>
          <w:lang w:val="en-US" w:eastAsia="zh-CN"/>
        </w:rPr>
      </w:pPr>
    </w:p>
    <w:p>
      <w:pPr>
        <w:shd w:val="clear" w:color="auto" w:fill="auto"/>
        <w:spacing w:line="360" w:lineRule="auto"/>
        <w:jc w:val="both"/>
        <w:rPr>
          <w:rFonts w:hint="eastAsia" w:ascii="仿宋" w:hAnsi="仿宋" w:eastAsia="仿宋" w:cs="仿宋"/>
          <w:b w:val="0"/>
          <w:bCs/>
          <w:color w:val="auto"/>
          <w:kern w:val="0"/>
          <w:sz w:val="36"/>
          <w:szCs w:val="36"/>
          <w:lang w:val="en-US" w:eastAsia="zh-CN"/>
        </w:rPr>
      </w:pP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pPr>
        <w:keepNext/>
        <w:keepLines/>
        <w:pageBreakBefore/>
        <w:adjustRightInd w:val="0"/>
        <w:snapToGrid w:val="0"/>
        <w:spacing w:line="360" w:lineRule="auto"/>
        <w:jc w:val="center"/>
        <w:textAlignment w:val="baseline"/>
        <w:outlineLvl w:val="3"/>
        <w:rPr>
          <w:rFonts w:hint="eastAsia" w:ascii="仿宋" w:hAnsi="仿宋" w:eastAsia="仿宋" w:cs="仿宋"/>
          <w:b/>
          <w:bCs/>
          <w:color w:val="auto"/>
          <w:sz w:val="36"/>
          <w:szCs w:val="36"/>
          <w:lang w:eastAsia="zh-CN"/>
        </w:rPr>
      </w:pPr>
      <w:r>
        <w:rPr>
          <w:rFonts w:hint="eastAsia" w:ascii="仿宋" w:hAnsi="仿宋" w:eastAsia="仿宋" w:cs="仿宋"/>
          <w:b/>
          <w:bCs/>
          <w:color w:val="auto"/>
          <w:sz w:val="36"/>
          <w:szCs w:val="36"/>
        </w:rPr>
        <w:t>政府采购优惠政策</w:t>
      </w:r>
      <w:r>
        <w:rPr>
          <w:rFonts w:hint="eastAsia" w:ascii="仿宋" w:hAnsi="仿宋" w:eastAsia="仿宋" w:cs="仿宋"/>
          <w:b/>
          <w:bCs/>
          <w:color w:val="auto"/>
          <w:sz w:val="36"/>
          <w:szCs w:val="36"/>
          <w:lang w:eastAsia="zh-CN"/>
        </w:rPr>
        <w:t>声明函</w:t>
      </w:r>
    </w:p>
    <w:p>
      <w:pPr>
        <w:snapToGrid w:val="0"/>
        <w:outlineLvl w:val="4"/>
        <w:rPr>
          <w:rFonts w:hint="eastAsia" w:ascii="仿宋" w:hAnsi="仿宋" w:eastAsia="仿宋" w:cs="仿宋"/>
          <w:b/>
          <w:bCs/>
          <w:color w:val="auto"/>
          <w:sz w:val="24"/>
          <w:szCs w:val="24"/>
        </w:rPr>
      </w:pPr>
      <w:r>
        <w:rPr>
          <w:rFonts w:hint="eastAsia" w:ascii="仿宋" w:hAnsi="仿宋" w:eastAsia="仿宋" w:cs="仿宋"/>
          <w:b/>
          <w:bCs/>
          <w:color w:val="auto"/>
          <w:sz w:val="24"/>
          <w:szCs w:val="24"/>
        </w:rPr>
        <w:t>填写</w:t>
      </w:r>
      <w:r>
        <w:rPr>
          <w:rFonts w:hint="eastAsia" w:ascii="仿宋" w:hAnsi="仿宋" w:eastAsia="仿宋" w:cs="仿宋"/>
          <w:b/>
          <w:bCs/>
          <w:color w:val="auto"/>
          <w:sz w:val="24"/>
          <w:szCs w:val="24"/>
          <w:lang w:val="en-US" w:eastAsia="zh-CN"/>
        </w:rPr>
        <w:t>提示</w:t>
      </w:r>
      <w:r>
        <w:rPr>
          <w:rFonts w:hint="eastAsia" w:ascii="仿宋" w:hAnsi="仿宋" w:eastAsia="仿宋" w:cs="仿宋"/>
          <w:b/>
          <w:bCs/>
          <w:color w:val="auto"/>
          <w:sz w:val="24"/>
          <w:szCs w:val="24"/>
        </w:rPr>
        <w:t>：</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1、该部分内容由投标人根据自身实际情况</w:t>
      </w:r>
      <w:r>
        <w:rPr>
          <w:rFonts w:hint="eastAsia" w:ascii="仿宋" w:hAnsi="仿宋" w:eastAsia="仿宋" w:cs="仿宋"/>
          <w:color w:val="auto"/>
          <w:sz w:val="24"/>
          <w:szCs w:val="24"/>
          <w:lang w:val="en-US" w:eastAsia="zh-CN"/>
        </w:rPr>
        <w:t>选取并</w:t>
      </w:r>
      <w:r>
        <w:rPr>
          <w:rFonts w:hint="eastAsia" w:ascii="仿宋" w:hAnsi="仿宋" w:eastAsia="仿宋" w:cs="仿宋"/>
          <w:color w:val="auto"/>
          <w:sz w:val="24"/>
          <w:szCs w:val="24"/>
        </w:rPr>
        <w:t>填写。投标人提供的声明函不属实的，属于提供虚假资料谋取中标，</w:t>
      </w:r>
      <w:r>
        <w:rPr>
          <w:rFonts w:hint="eastAsia" w:ascii="仿宋" w:hAnsi="仿宋" w:eastAsia="仿宋" w:cs="仿宋"/>
          <w:color w:val="auto"/>
          <w:sz w:val="24"/>
          <w:szCs w:val="24"/>
          <w:lang w:val="en-US" w:eastAsia="zh-CN"/>
        </w:rPr>
        <w:t>将</w:t>
      </w:r>
      <w:r>
        <w:rPr>
          <w:rFonts w:hint="eastAsia" w:ascii="仿宋" w:hAnsi="仿宋" w:eastAsia="仿宋" w:cs="仿宋"/>
          <w:color w:val="auto"/>
          <w:sz w:val="24"/>
          <w:szCs w:val="24"/>
        </w:rPr>
        <w:t>依照《中华人民共和国政府采购法》等国家有关规定追究相应责任。</w:t>
      </w:r>
    </w:p>
    <w:p>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2、该部分内容填写需要参考的相关文件</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包括但不限于</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w:t>
      </w:r>
    </w:p>
    <w:p>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(1)《政府采购促进中小企业发展管理办法》（财库〔2020〕46号），链接：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"http://www.ccgp.gov.cn/news/202012/t20201229_15715888.htm"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www.ccgp.gov.cn/news/202012/t20201229_15715888.htm</w:t>
      </w:r>
      <w:r>
        <w:rPr>
          <w:rFonts w:hint="eastAsia" w:ascii="仿宋" w:hAnsi="仿宋" w:eastAsia="仿宋" w:cs="仿宋"/>
          <w:color w:val="auto"/>
          <w:sz w:val="24"/>
          <w:szCs w:val="24"/>
          <w:u w:val="single"/>
        </w:rPr>
        <w:fldChar w:fldCharType="end"/>
      </w:r>
    </w:p>
    <w:p>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(2)</w:t>
      </w:r>
      <w:bookmarkStart w:id="109" w:name="_Hlk71925120"/>
      <w:r>
        <w:rPr>
          <w:rFonts w:hint="eastAsia" w:ascii="仿宋" w:hAnsi="仿宋" w:eastAsia="仿宋" w:cs="仿宋"/>
          <w:color w:val="auto"/>
          <w:sz w:val="24"/>
          <w:szCs w:val="24"/>
        </w:rPr>
        <w:t>《关于印发中小企业划型标准规定的通知》（工信部联企业〔2011〕300 号</w:t>
      </w:r>
      <w:bookmarkEnd w:id="109"/>
      <w:r>
        <w:rPr>
          <w:rFonts w:hint="eastAsia" w:ascii="仿宋" w:hAnsi="仿宋" w:eastAsia="仿宋" w:cs="仿宋"/>
          <w:color w:val="auto"/>
          <w:sz w:val="24"/>
          <w:szCs w:val="24"/>
        </w:rPr>
        <w:t>），链接：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"http://www.gov.cn/zwgk/2011-07/04/content_1898747.htm"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www.gov.cn/zwgk/2011-07/04/content_1898747.htm</w:t>
      </w:r>
      <w:r>
        <w:rPr>
          <w:rFonts w:hint="eastAsia" w:ascii="仿宋" w:hAnsi="仿宋" w:eastAsia="仿宋" w:cs="仿宋"/>
          <w:color w:val="auto"/>
          <w:sz w:val="24"/>
          <w:szCs w:val="24"/>
          <w:u w:val="single"/>
        </w:rPr>
        <w:fldChar w:fldCharType="end"/>
      </w:r>
    </w:p>
    <w:p>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(3)《统计上大中小微型企业划分办法(2017)》（国统字〔2017〕213 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"http://www.stats.gov.cn/tjsj/tjbz/201801/t20180103_1569357.html"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www.stats.gov.cn/tjsj/tjbz/201801/t20180103_1569357.html</w:t>
      </w:r>
      <w:r>
        <w:rPr>
          <w:rFonts w:hint="eastAsia" w:ascii="仿宋" w:hAnsi="仿宋" w:eastAsia="仿宋" w:cs="仿宋"/>
          <w:color w:val="auto"/>
          <w:sz w:val="24"/>
          <w:szCs w:val="24"/>
          <w:u w:val="single"/>
        </w:rPr>
        <w:fldChar w:fldCharType="end"/>
      </w:r>
    </w:p>
    <w:p>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(4)《关于促进残疾人就业政府采购政策的通知》（财库〔2017〕141号），链接：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"http://www.ccgp.gov.cn/zcfg/mof/201709/t20170904_8787205.shtml"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www.ccgp.gov.cn/zcfg/mof/201709/t20170904_8787205.shtml</w:t>
      </w:r>
      <w:r>
        <w:rPr>
          <w:rFonts w:hint="eastAsia" w:ascii="仿宋" w:hAnsi="仿宋" w:eastAsia="仿宋" w:cs="仿宋"/>
          <w:color w:val="auto"/>
          <w:sz w:val="24"/>
          <w:szCs w:val="24"/>
          <w:u w:val="single"/>
        </w:rPr>
        <w:fldChar w:fldCharType="end"/>
      </w:r>
    </w:p>
    <w:p>
      <w:pPr>
        <w:snapToGrid w:val="0"/>
        <w:ind w:firstLine="555"/>
        <w:rPr>
          <w:rFonts w:hint="eastAsia" w:ascii="仿宋" w:hAnsi="仿宋" w:eastAsia="仿宋" w:cs="仿宋"/>
          <w:color w:val="auto"/>
          <w:sz w:val="24"/>
          <w:szCs w:val="24"/>
        </w:rPr>
      </w:pPr>
      <w:r>
        <w:rPr>
          <w:rFonts w:hint="eastAsia" w:ascii="仿宋" w:hAnsi="仿宋" w:eastAsia="仿宋" w:cs="仿宋"/>
          <w:color w:val="auto"/>
          <w:sz w:val="24"/>
          <w:szCs w:val="24"/>
        </w:rPr>
        <w:t>(5)《关于政府采购支持监狱企业发展有关问题的通知》（财库〔2014〕68号），链接：</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"http://www.ccgp.gov.cn/zcfg/mof/201406/t20140616_4619272.htm" </w:instrText>
      </w:r>
      <w:r>
        <w:rPr>
          <w:rFonts w:hint="eastAsia" w:ascii="仿宋" w:hAnsi="仿宋" w:eastAsia="仿宋" w:cs="仿宋"/>
          <w:color w:val="auto"/>
          <w:sz w:val="24"/>
          <w:szCs w:val="24"/>
        </w:rPr>
        <w:fldChar w:fldCharType="separate"/>
      </w:r>
      <w:r>
        <w:rPr>
          <w:rFonts w:hint="eastAsia" w:ascii="仿宋" w:hAnsi="仿宋" w:eastAsia="仿宋" w:cs="仿宋"/>
          <w:color w:val="auto"/>
          <w:sz w:val="24"/>
          <w:szCs w:val="24"/>
          <w:u w:val="single"/>
        </w:rPr>
        <w:t>www.ccgp.gov.cn/zcfg/mof/201406/t20140616_4619272.htm</w:t>
      </w:r>
      <w:r>
        <w:rPr>
          <w:rFonts w:hint="eastAsia" w:ascii="仿宋" w:hAnsi="仿宋" w:eastAsia="仿宋" w:cs="仿宋"/>
          <w:color w:val="auto"/>
          <w:sz w:val="24"/>
          <w:szCs w:val="24"/>
          <w:u w:val="single"/>
        </w:rPr>
        <w:fldChar w:fldCharType="end"/>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3、请依照招标文件提供的格式和内容填写声明函，</w:t>
      </w:r>
      <w:r>
        <w:rPr>
          <w:rFonts w:hint="eastAsia" w:ascii="仿宋" w:hAnsi="仿宋" w:eastAsia="仿宋" w:cs="仿宋"/>
          <w:color w:val="auto"/>
          <w:sz w:val="24"/>
          <w:szCs w:val="24"/>
          <w:lang w:eastAsia="zh-CN"/>
        </w:rPr>
        <w:t>内容完整、</w:t>
      </w:r>
      <w:r>
        <w:rPr>
          <w:rFonts w:hint="eastAsia" w:ascii="仿宋" w:hAnsi="仿宋" w:eastAsia="仿宋" w:cs="仿宋"/>
          <w:color w:val="auto"/>
          <w:sz w:val="24"/>
          <w:szCs w:val="24"/>
        </w:rPr>
        <w:t>不</w:t>
      </w:r>
      <w:r>
        <w:rPr>
          <w:rFonts w:hint="eastAsia" w:ascii="仿宋" w:hAnsi="仿宋" w:eastAsia="仿宋" w:cs="仿宋"/>
          <w:color w:val="auto"/>
          <w:sz w:val="24"/>
          <w:szCs w:val="24"/>
          <w:lang w:val="en-US" w:eastAsia="zh-CN"/>
        </w:rPr>
        <w:t>得更改</w:t>
      </w:r>
      <w:r>
        <w:rPr>
          <w:rFonts w:hint="eastAsia" w:ascii="仿宋" w:hAnsi="仿宋" w:eastAsia="仿宋" w:cs="仿宋"/>
          <w:color w:val="auto"/>
          <w:sz w:val="24"/>
          <w:szCs w:val="24"/>
        </w:rPr>
        <w:t>格式；满足多项优惠政策的投标人，不重复享受多项价格扣除政策。</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4、声明函具体填写要求：</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（1）声明是</w:t>
      </w:r>
      <w:r>
        <w:rPr>
          <w:rFonts w:hint="eastAsia" w:ascii="仿宋" w:hAnsi="仿宋" w:eastAsia="仿宋" w:cs="仿宋"/>
          <w:color w:val="auto"/>
          <w:sz w:val="24"/>
          <w:szCs w:val="24"/>
          <w:lang w:val="en-US" w:eastAsia="zh-CN"/>
        </w:rPr>
        <w:t>符合条件的</w:t>
      </w:r>
      <w:r>
        <w:rPr>
          <w:rFonts w:hint="eastAsia" w:ascii="仿宋" w:hAnsi="仿宋" w:eastAsia="仿宋" w:cs="仿宋"/>
          <w:color w:val="auto"/>
          <w:sz w:val="24"/>
          <w:szCs w:val="24"/>
        </w:rPr>
        <w:t>中小企业须填写《中小企业声明函》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内容</w:t>
      </w:r>
      <w:r>
        <w:rPr>
          <w:rFonts w:hint="eastAsia" w:ascii="仿宋" w:hAnsi="仿宋" w:eastAsia="仿宋" w:cs="仿宋"/>
          <w:color w:val="auto"/>
          <w:sz w:val="24"/>
          <w:szCs w:val="24"/>
          <w:lang w:val="en-US" w:eastAsia="zh-CN"/>
        </w:rPr>
        <w:t>如下</w:t>
      </w:r>
      <w:r>
        <w:rPr>
          <w:rFonts w:hint="eastAsia" w:ascii="仿宋" w:hAnsi="仿宋" w:eastAsia="仿宋" w:cs="仿宋"/>
          <w:color w:val="auto"/>
          <w:sz w:val="24"/>
          <w:szCs w:val="24"/>
        </w:rPr>
        <w:t>：</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第一处，在“单位名称”下划线处如实填写采购人名称；</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第二处，在“项目名称”下划线处如实填写采购项目名称；</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第三处，在“标的名称”下划线处填写所采购标的（货物或服务）的具体名称；如果涉及多项标的（货物或服务）为同一企业制造或承接，“标的名称”下划线处可以如实填写多项标的名称；</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第四处，在“招标文件中明确的所属行业”下划线处填写采购标的对应的中小企业划分标准所属行业；</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第五处，在“企业名称”下划线处如实填写制造商或承接企业名称；在“从业人员”、“营业收入”、“资产总额”下划线处如实填写从业人员、营业收入、资产总额；在“中型企业、小型企业、微型企业”下划线处如实依照工信部联企业〔2011〕300号文填写相应的企业类型；从业人员、营业收入、资产总额填报上一年度数据，无上一年度数据的新成立企业可以不填报。</w:t>
      </w:r>
    </w:p>
    <w:p>
      <w:pPr>
        <w:snapToGrid w:val="0"/>
        <w:rPr>
          <w:rFonts w:hint="eastAsia" w:ascii="仿宋" w:hAnsi="仿宋" w:eastAsia="仿宋" w:cs="仿宋"/>
          <w:color w:val="auto"/>
          <w:sz w:val="24"/>
          <w:szCs w:val="24"/>
        </w:rPr>
      </w:pPr>
      <w:r>
        <w:rPr>
          <w:rFonts w:hint="eastAsia" w:ascii="仿宋" w:hAnsi="仿宋" w:eastAsia="仿宋" w:cs="仿宋"/>
          <w:color w:val="auto"/>
          <w:sz w:val="24"/>
          <w:szCs w:val="24"/>
        </w:rPr>
        <w:t xml:space="preserve">    （2）声明是残疾人福利性单位须填写《残疾人福利性单位声明函》的相关内容，具体参照以上《中小企业声明函》填写要求执行。</w:t>
      </w:r>
    </w:p>
    <w:p>
      <w:pPr>
        <w:snapToGrid w:val="0"/>
        <w:rPr>
          <w:rFonts w:ascii="仿宋" w:hAnsi="仿宋" w:eastAsia="仿宋"/>
          <w:color w:val="auto"/>
          <w:sz w:val="25"/>
          <w:szCs w:val="25"/>
        </w:rPr>
      </w:pPr>
      <w:r>
        <w:rPr>
          <w:rFonts w:hint="eastAsia" w:ascii="仿宋" w:hAnsi="仿宋" w:eastAsia="仿宋" w:cs="仿宋"/>
          <w:color w:val="auto"/>
          <w:sz w:val="24"/>
          <w:szCs w:val="24"/>
        </w:rPr>
        <w:t xml:space="preserve">    （3）声明是监狱企业须填写《监狱企业声明函》的</w:t>
      </w:r>
      <w:r>
        <w:rPr>
          <w:rFonts w:hint="eastAsia" w:ascii="仿宋" w:hAnsi="仿宋" w:eastAsia="仿宋" w:cs="仿宋"/>
          <w:color w:val="auto"/>
          <w:sz w:val="24"/>
          <w:szCs w:val="24"/>
          <w:lang w:val="en-US" w:eastAsia="zh-CN"/>
        </w:rPr>
        <w:t>相关</w:t>
      </w:r>
      <w:r>
        <w:rPr>
          <w:rFonts w:hint="eastAsia" w:ascii="仿宋" w:hAnsi="仿宋" w:eastAsia="仿宋" w:cs="仿宋"/>
          <w:color w:val="auto"/>
          <w:sz w:val="24"/>
          <w:szCs w:val="24"/>
        </w:rPr>
        <w:t>内容（填写位置的字体已加粗），具体参照以上《中小企业声明函》填写要求执行。</w:t>
      </w:r>
    </w:p>
    <w:p>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pPr>
        <w:shd w:val="clear" w:color="auto" w:fill="auto"/>
        <w:spacing w:line="360" w:lineRule="auto"/>
        <w:jc w:val="center"/>
        <w:rPr>
          <w:rFonts w:hint="eastAsia" w:ascii="仿宋" w:hAnsi="仿宋" w:eastAsia="仿宋" w:cs="仿宋"/>
          <w:b w:val="0"/>
          <w:bCs/>
          <w:color w:val="auto"/>
          <w:kern w:val="0"/>
          <w:sz w:val="36"/>
          <w:szCs w:val="36"/>
          <w:lang w:val="en-US" w:eastAsia="zh-CN"/>
        </w:rPr>
      </w:pPr>
    </w:p>
    <w:p>
      <w:pPr>
        <w:shd w:val="clear" w:color="auto" w:fill="auto"/>
        <w:spacing w:line="360" w:lineRule="auto"/>
        <w:jc w:val="center"/>
        <w:rPr>
          <w:rFonts w:hint="eastAsia" w:ascii="仿宋" w:hAnsi="仿宋" w:eastAsia="仿宋" w:cs="仿宋"/>
          <w:b w:val="0"/>
          <w:bCs/>
          <w:color w:val="auto"/>
          <w:kern w:val="0"/>
          <w:sz w:val="36"/>
          <w:szCs w:val="36"/>
        </w:rPr>
      </w:pPr>
      <w:r>
        <w:rPr>
          <w:rFonts w:hint="eastAsia" w:ascii="仿宋" w:hAnsi="仿宋" w:eastAsia="仿宋" w:cs="仿宋"/>
          <w:b w:val="0"/>
          <w:bCs/>
          <w:color w:val="auto"/>
          <w:kern w:val="0"/>
          <w:sz w:val="36"/>
          <w:szCs w:val="36"/>
          <w:lang w:val="en-US" w:eastAsia="zh-CN"/>
        </w:rPr>
        <w:t>9</w:t>
      </w:r>
      <w:r>
        <w:rPr>
          <w:rFonts w:hint="eastAsia" w:ascii="仿宋" w:hAnsi="仿宋" w:eastAsia="仿宋" w:cs="仿宋"/>
          <w:b w:val="0"/>
          <w:bCs/>
          <w:color w:val="auto"/>
          <w:kern w:val="0"/>
          <w:sz w:val="36"/>
          <w:szCs w:val="36"/>
        </w:rPr>
        <w:t>、中小企业声明函(</w:t>
      </w:r>
      <w:r>
        <w:rPr>
          <w:rFonts w:hint="eastAsia" w:ascii="仿宋" w:hAnsi="仿宋" w:eastAsia="仿宋" w:cs="仿宋"/>
          <w:b w:val="0"/>
          <w:bCs/>
          <w:color w:val="auto"/>
          <w:kern w:val="0"/>
          <w:sz w:val="36"/>
          <w:szCs w:val="36"/>
          <w:lang w:eastAsia="zh-CN"/>
        </w:rPr>
        <w:t>货物</w:t>
      </w:r>
      <w:r>
        <w:rPr>
          <w:rFonts w:hint="eastAsia" w:ascii="仿宋" w:hAnsi="仿宋" w:eastAsia="仿宋" w:cs="仿宋"/>
          <w:b w:val="0"/>
          <w:bCs/>
          <w:color w:val="auto"/>
          <w:kern w:val="0"/>
          <w:sz w:val="36"/>
          <w:szCs w:val="36"/>
        </w:rPr>
        <w:t>)</w:t>
      </w:r>
    </w:p>
    <w:p>
      <w:pPr>
        <w:ind w:left="1280"/>
        <w:rPr>
          <w:rFonts w:hint="eastAsia" w:ascii="仿宋" w:hAnsi="仿宋" w:eastAsia="仿宋" w:cs="仿宋"/>
          <w:color w:val="auto"/>
          <w:sz w:val="32"/>
          <w:szCs w:val="32"/>
        </w:rPr>
      </w:pP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本公司（联合体）郑重声明，根据《政府采购促进中小企业发展管理办法》（财库[2020]46号）的规定，本公司（</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）参加（</w:t>
      </w:r>
      <w:r>
        <w:rPr>
          <w:rFonts w:hint="eastAsia" w:ascii="仿宋" w:hAnsi="仿宋" w:eastAsia="仿宋" w:cs="仿宋"/>
          <w:color w:val="auto"/>
          <w:kern w:val="0"/>
          <w:sz w:val="24"/>
          <w:szCs w:val="24"/>
          <w:lang w:eastAsia="zh-CN"/>
        </w:rPr>
        <w:t>采购单位</w:t>
      </w:r>
      <w:r>
        <w:rPr>
          <w:rFonts w:hint="eastAsia" w:ascii="仿宋" w:hAnsi="仿宋" w:eastAsia="仿宋" w:cs="仿宋"/>
          <w:color w:val="auto"/>
          <w:kern w:val="0"/>
          <w:sz w:val="24"/>
          <w:szCs w:val="24"/>
        </w:rPr>
        <w:t>）的（</w:t>
      </w:r>
      <w:r>
        <w:rPr>
          <w:rFonts w:hint="eastAsia" w:ascii="仿宋" w:hAnsi="仿宋" w:eastAsia="仿宋" w:cs="仿宋"/>
          <w:color w:val="auto"/>
          <w:kern w:val="0"/>
          <w:sz w:val="24"/>
          <w:szCs w:val="24"/>
          <w:lang w:eastAsia="zh-CN"/>
        </w:rPr>
        <w:t>项目名称</w:t>
      </w:r>
      <w:r>
        <w:rPr>
          <w:rFonts w:hint="eastAsia" w:ascii="仿宋" w:hAnsi="仿宋" w:eastAsia="仿宋" w:cs="仿宋"/>
          <w:color w:val="auto"/>
          <w:kern w:val="0"/>
          <w:sz w:val="24"/>
          <w:szCs w:val="24"/>
        </w:rPr>
        <w:t>）采购活动，提供的货物全部由符合政策要求的中小企业制造。相关企业（含联合体中的中小企业、签订分包意向协议的中小企业）的具体情况如下：</w:t>
      </w: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w:t>
      </w:r>
      <w:r>
        <w:rPr>
          <w:rFonts w:hint="eastAsia" w:ascii="仿宋" w:hAnsi="仿宋" w:eastAsia="仿宋" w:cs="仿宋"/>
          <w:color w:val="auto"/>
          <w:kern w:val="0"/>
          <w:sz w:val="24"/>
          <w:szCs w:val="24"/>
          <w:u w:val="single"/>
        </w:rPr>
        <w:t>（标的名称）</w:t>
      </w:r>
      <w:r>
        <w:rPr>
          <w:rFonts w:hint="eastAsia" w:ascii="仿宋" w:hAnsi="仿宋" w:eastAsia="仿宋" w:cs="仿宋"/>
          <w:color w:val="auto"/>
          <w:kern w:val="0"/>
          <w:sz w:val="24"/>
          <w:szCs w:val="24"/>
        </w:rPr>
        <w:t>，属于</w:t>
      </w:r>
      <w:r>
        <w:rPr>
          <w:rFonts w:hint="eastAsia" w:ascii="仿宋" w:hAnsi="仿宋" w:eastAsia="仿宋" w:cs="仿宋"/>
          <w:color w:val="auto"/>
          <w:kern w:val="0"/>
          <w:sz w:val="24"/>
          <w:szCs w:val="24"/>
          <w:u w:val="single"/>
        </w:rPr>
        <w:t>（</w:t>
      </w:r>
      <w:r>
        <w:rPr>
          <w:rFonts w:hint="eastAsia" w:ascii="仿宋" w:hAnsi="仿宋" w:eastAsia="仿宋" w:cs="仿宋"/>
          <w:color w:val="auto"/>
          <w:kern w:val="0"/>
          <w:sz w:val="24"/>
          <w:szCs w:val="24"/>
          <w:u w:val="single"/>
          <w:lang w:val="en-US" w:eastAsia="zh-CN"/>
        </w:rPr>
        <w:t xml:space="preserve"> </w:t>
      </w:r>
      <w:r>
        <w:rPr>
          <w:rFonts w:hint="eastAsia" w:ascii="仿宋" w:hAnsi="仿宋" w:eastAsia="仿宋" w:cs="仿宋"/>
          <w:i w:val="0"/>
          <w:iCs w:val="0"/>
          <w:color w:val="auto"/>
          <w:kern w:val="0"/>
          <w:sz w:val="24"/>
          <w:szCs w:val="24"/>
          <w:u w:val="single"/>
        </w:rPr>
        <w:t>采购文件中明确的所属行业</w:t>
      </w:r>
      <w:r>
        <w:rPr>
          <w:rFonts w:hint="eastAsia" w:ascii="仿宋" w:hAnsi="仿宋" w:eastAsia="仿宋" w:cs="仿宋"/>
          <w:color w:val="auto"/>
          <w:kern w:val="0"/>
          <w:sz w:val="24"/>
          <w:szCs w:val="24"/>
          <w:u w:val="single"/>
        </w:rPr>
        <w:t>）</w:t>
      </w:r>
      <w:r>
        <w:rPr>
          <w:rFonts w:hint="eastAsia" w:ascii="仿宋" w:hAnsi="仿宋" w:eastAsia="仿宋" w:cs="仿宋"/>
          <w:color w:val="auto"/>
          <w:kern w:val="0"/>
          <w:sz w:val="24"/>
          <w:szCs w:val="24"/>
        </w:rPr>
        <w:t>；制造商为</w:t>
      </w:r>
      <w:r>
        <w:rPr>
          <w:rFonts w:hint="eastAsia" w:ascii="仿宋" w:hAnsi="仿宋" w:eastAsia="仿宋" w:cs="仿宋"/>
          <w:color w:val="auto"/>
          <w:kern w:val="0"/>
          <w:sz w:val="24"/>
          <w:szCs w:val="24"/>
          <w:u w:val="single"/>
        </w:rPr>
        <w:t>（企业名称）</w:t>
      </w:r>
      <w:r>
        <w:rPr>
          <w:rFonts w:hint="eastAsia" w:ascii="仿宋" w:hAnsi="仿宋" w:eastAsia="仿宋" w:cs="仿宋"/>
          <w:color w:val="auto"/>
          <w:kern w:val="0"/>
          <w:sz w:val="24"/>
          <w:szCs w:val="24"/>
        </w:rPr>
        <w:t>，从业人员</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人，营业收入为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万元，资产总额为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万元，属于</w:t>
      </w:r>
      <w:r>
        <w:rPr>
          <w:rFonts w:hint="eastAsia" w:ascii="仿宋" w:hAnsi="仿宋" w:eastAsia="仿宋" w:cs="仿宋"/>
          <w:color w:val="auto"/>
          <w:kern w:val="0"/>
          <w:sz w:val="24"/>
          <w:szCs w:val="24"/>
          <w:u w:val="single"/>
        </w:rPr>
        <w:t>（中型企业、小型企业、微型企业）</w:t>
      </w:r>
      <w:r>
        <w:rPr>
          <w:rFonts w:hint="eastAsia" w:ascii="仿宋" w:hAnsi="仿宋" w:eastAsia="仿宋" w:cs="仿宋"/>
          <w:color w:val="auto"/>
          <w:kern w:val="0"/>
          <w:sz w:val="24"/>
          <w:szCs w:val="24"/>
        </w:rPr>
        <w:t>；</w:t>
      </w: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2. </w:t>
      </w:r>
      <w:r>
        <w:rPr>
          <w:rFonts w:hint="eastAsia" w:ascii="仿宋" w:hAnsi="仿宋" w:eastAsia="仿宋" w:cs="仿宋"/>
          <w:color w:val="auto"/>
          <w:kern w:val="0"/>
          <w:sz w:val="24"/>
          <w:szCs w:val="24"/>
          <w:u w:val="single"/>
        </w:rPr>
        <w:t>（标的名称）</w:t>
      </w:r>
      <w:r>
        <w:rPr>
          <w:rFonts w:hint="eastAsia" w:ascii="仿宋" w:hAnsi="仿宋" w:eastAsia="仿宋" w:cs="仿宋"/>
          <w:color w:val="auto"/>
          <w:kern w:val="0"/>
          <w:sz w:val="24"/>
          <w:szCs w:val="24"/>
        </w:rPr>
        <w:t>，属于</w:t>
      </w:r>
      <w:r>
        <w:rPr>
          <w:rFonts w:hint="eastAsia" w:ascii="仿宋" w:hAnsi="仿宋" w:eastAsia="仿宋" w:cs="仿宋"/>
          <w:i w:val="0"/>
          <w:iCs w:val="0"/>
          <w:color w:val="auto"/>
          <w:kern w:val="0"/>
          <w:sz w:val="24"/>
          <w:szCs w:val="24"/>
          <w:u w:val="single"/>
        </w:rPr>
        <w:t>（采购文件中明确的所属行业）</w:t>
      </w:r>
      <w:r>
        <w:rPr>
          <w:rFonts w:hint="eastAsia" w:ascii="仿宋" w:hAnsi="仿宋" w:eastAsia="仿宋" w:cs="仿宋"/>
          <w:color w:val="auto"/>
          <w:kern w:val="0"/>
          <w:sz w:val="24"/>
          <w:szCs w:val="24"/>
        </w:rPr>
        <w:t>；制造商为</w:t>
      </w:r>
      <w:r>
        <w:rPr>
          <w:rFonts w:hint="eastAsia" w:ascii="仿宋" w:hAnsi="仿宋" w:eastAsia="仿宋" w:cs="仿宋"/>
          <w:color w:val="auto"/>
          <w:kern w:val="0"/>
          <w:sz w:val="24"/>
          <w:szCs w:val="24"/>
          <w:u w:val="single"/>
        </w:rPr>
        <w:t>（企业名称）</w:t>
      </w:r>
      <w:r>
        <w:rPr>
          <w:rFonts w:hint="eastAsia" w:ascii="仿宋" w:hAnsi="仿宋" w:eastAsia="仿宋" w:cs="仿宋"/>
          <w:color w:val="auto"/>
          <w:kern w:val="0"/>
          <w:sz w:val="24"/>
          <w:szCs w:val="24"/>
        </w:rPr>
        <w:t>，从业人员</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人，营业收入为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万元，资产总额为</w:t>
      </w:r>
      <w:r>
        <w:rPr>
          <w:rFonts w:hint="eastAsia" w:ascii="仿宋" w:hAnsi="仿宋" w:eastAsia="仿宋" w:cs="仿宋"/>
          <w:color w:val="auto"/>
          <w:kern w:val="0"/>
          <w:sz w:val="24"/>
          <w:szCs w:val="24"/>
          <w:u w:val="single"/>
        </w:rPr>
        <w:t xml:space="preserve">  </w:t>
      </w:r>
      <w:r>
        <w:rPr>
          <w:rFonts w:hint="eastAsia" w:ascii="仿宋" w:hAnsi="仿宋" w:eastAsia="仿宋" w:cs="仿宋"/>
          <w:color w:val="auto"/>
          <w:kern w:val="0"/>
          <w:sz w:val="24"/>
          <w:szCs w:val="24"/>
        </w:rPr>
        <w:t>万元，属于</w:t>
      </w:r>
      <w:r>
        <w:rPr>
          <w:rFonts w:hint="eastAsia" w:ascii="仿宋" w:hAnsi="仿宋" w:eastAsia="仿宋" w:cs="仿宋"/>
          <w:color w:val="auto"/>
          <w:kern w:val="0"/>
          <w:sz w:val="24"/>
          <w:szCs w:val="24"/>
          <w:u w:val="single"/>
        </w:rPr>
        <w:t>（中型企业、小型企业、微型企业）</w:t>
      </w:r>
      <w:r>
        <w:rPr>
          <w:rFonts w:hint="eastAsia" w:ascii="仿宋" w:hAnsi="仿宋" w:eastAsia="仿宋" w:cs="仿宋"/>
          <w:color w:val="auto"/>
          <w:kern w:val="0"/>
          <w:sz w:val="24"/>
          <w:szCs w:val="24"/>
        </w:rPr>
        <w:t>；</w:t>
      </w: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以上企业，不属于大企业的分支机构，不存在控股股东为大企业的情形，也不存在与大企业的负责人为同一人的情形。</w:t>
      </w:r>
    </w:p>
    <w:p>
      <w:pPr>
        <w:shd w:val="clear" w:color="auto" w:fill="auto"/>
        <w:spacing w:line="360" w:lineRule="auto"/>
        <w:ind w:firstLine="480" w:firstLineChars="200"/>
        <w:rPr>
          <w:rFonts w:hint="eastAsia" w:ascii="仿宋" w:hAnsi="仿宋" w:eastAsia="仿宋" w:cs="仿宋"/>
          <w:color w:val="auto"/>
          <w:kern w:val="0"/>
          <w:sz w:val="24"/>
          <w:szCs w:val="24"/>
        </w:rPr>
      </w:pP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本企业对上述声明内容的真实性负责。如有虚假，将依法承担相应责任。</w:t>
      </w: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p>
    <w:p>
      <w:pPr>
        <w:shd w:val="clear" w:color="auto" w:fill="auto"/>
        <w:spacing w:line="360" w:lineRule="auto"/>
        <w:ind w:firstLine="480" w:firstLineChars="200"/>
        <w:rPr>
          <w:rFonts w:hint="eastAsia" w:ascii="仿宋" w:hAnsi="仿宋" w:eastAsia="仿宋" w:cs="仿宋"/>
          <w:color w:val="auto"/>
          <w:kern w:val="0"/>
          <w:sz w:val="24"/>
          <w:szCs w:val="24"/>
        </w:rPr>
      </w:pPr>
    </w:p>
    <w:p>
      <w:pPr>
        <w:shd w:val="clear" w:color="auto" w:fill="auto"/>
        <w:spacing w:line="360" w:lineRule="auto"/>
        <w:ind w:firstLine="4560" w:firstLineChars="19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企业名称（盖章）：</w:t>
      </w:r>
    </w:p>
    <w:p>
      <w:pPr>
        <w:shd w:val="clear" w:color="auto" w:fill="auto"/>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xml:space="preserve">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 xml:space="preserve"> 日期：</w:t>
      </w: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pStyle w:val="16"/>
        <w:rPr>
          <w:rFonts w:hint="eastAsia" w:ascii="仿宋" w:hAnsi="仿宋" w:eastAsia="仿宋" w:cs="仿宋"/>
          <w:color w:val="auto"/>
        </w:rPr>
      </w:pPr>
    </w:p>
    <w:p>
      <w:pPr>
        <w:tabs>
          <w:tab w:val="left" w:pos="3600"/>
        </w:tabs>
        <w:adjustRightInd w:val="0"/>
        <w:snapToGrid w:val="0"/>
        <w:spacing w:line="440" w:lineRule="exact"/>
        <w:jc w:val="both"/>
        <w:rPr>
          <w:rFonts w:hint="eastAsia" w:ascii="仿宋" w:hAnsi="仿宋" w:eastAsia="仿宋" w:cs="仿宋"/>
          <w:color w:val="auto"/>
          <w:spacing w:val="0"/>
          <w:w w:val="100"/>
          <w:position w:val="0"/>
          <w:sz w:val="36"/>
          <w:szCs w:val="36"/>
          <w:lang w:val="en-US" w:eastAsia="zh-CN"/>
        </w:rPr>
      </w:pPr>
    </w:p>
    <w:p>
      <w:pPr>
        <w:spacing w:after="60" w:afterLines="25" w:line="300" w:lineRule="auto"/>
        <w:jc w:val="center"/>
        <w:outlineLvl w:val="4"/>
        <w:rPr>
          <w:rFonts w:ascii="宋体" w:hAnsi="宋体"/>
          <w:color w:val="auto"/>
          <w:szCs w:val="21"/>
        </w:rPr>
      </w:pPr>
      <w:r>
        <w:rPr>
          <w:rFonts w:hint="eastAsia" w:ascii="仿宋" w:hAnsi="仿宋" w:eastAsia="仿宋" w:cs="仿宋"/>
          <w:color w:val="auto"/>
          <w:spacing w:val="0"/>
          <w:w w:val="100"/>
          <w:position w:val="0"/>
          <w:sz w:val="36"/>
          <w:szCs w:val="36"/>
          <w:lang w:val="en-US" w:eastAsia="zh-CN"/>
        </w:rPr>
        <w:t>10</w:t>
      </w:r>
      <w:r>
        <w:rPr>
          <w:rFonts w:hint="eastAsia" w:ascii="仿宋" w:hAnsi="仿宋" w:eastAsia="仿宋" w:cs="仿宋"/>
          <w:color w:val="auto"/>
          <w:spacing w:val="0"/>
          <w:w w:val="100"/>
          <w:position w:val="0"/>
          <w:sz w:val="36"/>
          <w:szCs w:val="36"/>
          <w:lang w:eastAsia="zh-CN"/>
        </w:rPr>
        <w:t>、</w:t>
      </w:r>
      <w:r>
        <w:rPr>
          <w:rFonts w:hint="eastAsia" w:ascii="仿宋" w:hAnsi="仿宋" w:eastAsia="仿宋" w:cs="仿宋"/>
          <w:b/>
          <w:color w:val="auto"/>
          <w:sz w:val="36"/>
          <w:szCs w:val="36"/>
        </w:rPr>
        <w:t>残疾人福利性单位声明函（货物）</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本投标人郑重声明，根据《财政部民政部中国残疾人联合会关于促进残疾人就业政府采购政策的通知》（财库〔2017〕141 号）的规定，本投标人参加</w:t>
      </w:r>
      <w:r>
        <w:rPr>
          <w:rFonts w:hint="eastAsia" w:ascii="仿宋" w:hAnsi="仿宋" w:eastAsia="仿宋" w:cs="仿宋"/>
          <w:b/>
          <w:bCs/>
          <w:color w:val="auto"/>
          <w:szCs w:val="21"/>
          <w:u w:val="single"/>
        </w:rPr>
        <w:t>（采购人名称）</w:t>
      </w:r>
      <w:r>
        <w:rPr>
          <w:rFonts w:hint="eastAsia" w:ascii="仿宋" w:hAnsi="仿宋" w:eastAsia="仿宋" w:cs="仿宋"/>
          <w:color w:val="auto"/>
          <w:szCs w:val="21"/>
        </w:rPr>
        <w:t>的</w:t>
      </w:r>
      <w:r>
        <w:rPr>
          <w:rFonts w:hint="eastAsia" w:ascii="仿宋" w:hAnsi="仿宋" w:eastAsia="仿宋" w:cs="仿宋"/>
          <w:b/>
          <w:bCs/>
          <w:color w:val="auto"/>
          <w:szCs w:val="21"/>
          <w:u w:val="single"/>
        </w:rPr>
        <w:t>（项目名称）</w:t>
      </w:r>
      <w:r>
        <w:rPr>
          <w:rFonts w:hint="eastAsia" w:ascii="仿宋" w:hAnsi="仿宋" w:eastAsia="仿宋" w:cs="仿宋"/>
          <w:color w:val="auto"/>
          <w:szCs w:val="21"/>
        </w:rPr>
        <w:t>采购活动，提供的货物全部由符合政策要求的残疾人福利性单位制造。相关残疾人福利性单位的具体情况如下：</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b/>
          <w:bCs/>
          <w:color w:val="auto"/>
          <w:szCs w:val="21"/>
          <w:u w:val="single"/>
        </w:rPr>
        <w:t xml:space="preserve"> （标的名称）</w:t>
      </w:r>
      <w:r>
        <w:rPr>
          <w:rFonts w:hint="eastAsia" w:ascii="仿宋" w:hAnsi="仿宋" w:eastAsia="仿宋" w:cs="仿宋"/>
          <w:color w:val="auto"/>
          <w:szCs w:val="21"/>
        </w:rPr>
        <w:t>，制造商为</w:t>
      </w:r>
      <w:r>
        <w:rPr>
          <w:rFonts w:hint="eastAsia" w:ascii="仿宋" w:hAnsi="仿宋" w:eastAsia="仿宋" w:cs="仿宋"/>
          <w:b/>
          <w:bCs/>
          <w:color w:val="auto"/>
          <w:szCs w:val="21"/>
          <w:u w:val="single"/>
        </w:rPr>
        <w:t>（单位名称）</w:t>
      </w:r>
      <w:r>
        <w:rPr>
          <w:rFonts w:hint="eastAsia" w:ascii="仿宋" w:hAnsi="仿宋" w:eastAsia="仿宋" w:cs="仿宋"/>
          <w:color w:val="auto"/>
          <w:szCs w:val="21"/>
        </w:rPr>
        <w:t>，属于</w:t>
      </w:r>
      <w:r>
        <w:rPr>
          <w:rFonts w:hint="eastAsia" w:ascii="仿宋" w:hAnsi="仿宋" w:eastAsia="仿宋" w:cs="仿宋"/>
          <w:b/>
          <w:bCs/>
          <w:color w:val="auto"/>
          <w:szCs w:val="21"/>
          <w:u w:val="single"/>
        </w:rPr>
        <w:t>残疾人福利性单位</w:t>
      </w:r>
      <w:r>
        <w:rPr>
          <w:rFonts w:hint="eastAsia" w:ascii="仿宋" w:hAnsi="仿宋" w:eastAsia="仿宋" w:cs="仿宋"/>
          <w:color w:val="auto"/>
          <w:szCs w:val="21"/>
        </w:rPr>
        <w:t>；</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2.</w:t>
      </w:r>
      <w:r>
        <w:rPr>
          <w:rFonts w:hint="eastAsia" w:ascii="仿宋" w:hAnsi="仿宋" w:eastAsia="仿宋" w:cs="仿宋"/>
          <w:b/>
          <w:bCs/>
          <w:color w:val="auto"/>
          <w:szCs w:val="21"/>
          <w:u w:val="single"/>
        </w:rPr>
        <w:t xml:space="preserve"> （标的名称）</w:t>
      </w:r>
      <w:r>
        <w:rPr>
          <w:rFonts w:hint="eastAsia" w:ascii="仿宋" w:hAnsi="仿宋" w:eastAsia="仿宋" w:cs="仿宋"/>
          <w:color w:val="auto"/>
          <w:szCs w:val="21"/>
        </w:rPr>
        <w:t>，制造商为</w:t>
      </w:r>
      <w:r>
        <w:rPr>
          <w:rFonts w:hint="eastAsia" w:ascii="仿宋" w:hAnsi="仿宋" w:eastAsia="仿宋" w:cs="仿宋"/>
          <w:b/>
          <w:bCs/>
          <w:color w:val="auto"/>
          <w:szCs w:val="21"/>
          <w:u w:val="single"/>
        </w:rPr>
        <w:t>（单位名称）</w:t>
      </w:r>
      <w:r>
        <w:rPr>
          <w:rFonts w:hint="eastAsia" w:ascii="仿宋" w:hAnsi="仿宋" w:eastAsia="仿宋" w:cs="仿宋"/>
          <w:color w:val="auto"/>
          <w:szCs w:val="21"/>
        </w:rPr>
        <w:t>，属于</w:t>
      </w:r>
      <w:r>
        <w:rPr>
          <w:rFonts w:hint="eastAsia" w:ascii="仿宋" w:hAnsi="仿宋" w:eastAsia="仿宋" w:cs="仿宋"/>
          <w:b/>
          <w:bCs/>
          <w:color w:val="auto"/>
          <w:szCs w:val="21"/>
          <w:u w:val="single"/>
        </w:rPr>
        <w:t>残疾人福利性单位</w:t>
      </w:r>
      <w:r>
        <w:rPr>
          <w:rFonts w:hint="eastAsia" w:ascii="仿宋" w:hAnsi="仿宋" w:eastAsia="仿宋" w:cs="仿宋"/>
          <w:color w:val="auto"/>
          <w:szCs w:val="21"/>
        </w:rPr>
        <w:t>。</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 xml:space="preserve">…… </w:t>
      </w:r>
    </w:p>
    <w:p>
      <w:pPr>
        <w:spacing w:after="60" w:afterLines="25" w:line="300" w:lineRule="auto"/>
        <w:ind w:firstLine="480" w:firstLineChars="200"/>
        <w:rPr>
          <w:rFonts w:hint="eastAsia" w:ascii="仿宋" w:hAnsi="仿宋" w:eastAsia="仿宋" w:cs="仿宋"/>
          <w:color w:val="auto"/>
          <w:szCs w:val="21"/>
        </w:rPr>
      </w:pPr>
      <w:bookmarkStart w:id="110" w:name="_Hlk73562331"/>
      <w:r>
        <w:rPr>
          <w:rFonts w:hint="eastAsia" w:ascii="仿宋" w:hAnsi="仿宋" w:eastAsia="仿宋" w:cs="仿宋"/>
          <w:color w:val="auto"/>
          <w:szCs w:val="21"/>
        </w:rPr>
        <w:t>本投标人已知悉《财政部民政部中国残疾人联合会关于促进残疾人就业政府采购政策的通知》（财库〔2017〕141 号）的规定，承诺提供的声明函内容是真实的，如提供声明函内容不实，则依法追究相关法律责任。</w:t>
      </w:r>
      <w:bookmarkEnd w:id="110"/>
    </w:p>
    <w:p>
      <w:pPr>
        <w:spacing w:after="60" w:afterLines="25" w:line="240" w:lineRule="auto"/>
        <w:ind w:right="420" w:firstLine="3840" w:firstLineChars="1600"/>
        <w:rPr>
          <w:rFonts w:hint="default" w:ascii="仿宋" w:hAnsi="仿宋" w:eastAsia="仿宋" w:cs="仿宋"/>
          <w:color w:val="auto"/>
          <w:szCs w:val="21"/>
          <w:u w:val="single"/>
          <w:lang w:val="en-US" w:eastAsia="zh-CN"/>
        </w:rPr>
      </w:pPr>
      <w:r>
        <w:rPr>
          <w:rFonts w:hint="eastAsia" w:ascii="仿宋" w:hAnsi="仿宋" w:eastAsia="仿宋" w:cs="仿宋"/>
          <w:color w:val="auto"/>
          <w:szCs w:val="21"/>
        </w:rPr>
        <w:t>投标人</w:t>
      </w:r>
      <w:r>
        <w:rPr>
          <w:rFonts w:hint="eastAsia" w:ascii="仿宋" w:hAnsi="仿宋" w:eastAsia="仿宋" w:cs="仿宋"/>
          <w:color w:val="auto"/>
          <w:szCs w:val="21"/>
          <w:lang w:val="en-US" w:eastAsia="zh-CN"/>
        </w:rPr>
        <w:t>名称</w:t>
      </w:r>
      <w:r>
        <w:rPr>
          <w:rFonts w:hint="eastAsia" w:ascii="仿宋" w:hAnsi="仿宋" w:eastAsia="仿宋" w:cs="仿宋"/>
          <w:color w:val="auto"/>
          <w:szCs w:val="21"/>
        </w:rPr>
        <w:t>（</w:t>
      </w:r>
      <w:r>
        <w:rPr>
          <w:rFonts w:hint="eastAsia" w:ascii="仿宋" w:hAnsi="仿宋" w:eastAsia="仿宋" w:cs="仿宋"/>
          <w:color w:val="auto"/>
          <w:szCs w:val="21"/>
          <w:lang w:val="en-US" w:eastAsia="zh-CN"/>
        </w:rPr>
        <w:t>盖章</w:t>
      </w:r>
      <w:r>
        <w:rPr>
          <w:rFonts w:hint="eastAsia" w:ascii="仿宋" w:hAnsi="仿宋" w:eastAsia="仿宋" w:cs="仿宋"/>
          <w:color w:val="auto"/>
          <w:szCs w:val="21"/>
        </w:rPr>
        <w:t>）：</w:t>
      </w:r>
      <w:r>
        <w:rPr>
          <w:rFonts w:hint="eastAsia" w:ascii="仿宋" w:hAnsi="仿宋" w:eastAsia="仿宋" w:cs="仿宋"/>
          <w:color w:val="auto"/>
          <w:szCs w:val="21"/>
          <w:u w:val="single"/>
          <w:lang w:val="en-US" w:eastAsia="zh-CN"/>
        </w:rPr>
        <w:t xml:space="preserve">                   </w:t>
      </w:r>
    </w:p>
    <w:p>
      <w:pPr>
        <w:pStyle w:val="61"/>
        <w:spacing w:line="240" w:lineRule="auto"/>
        <w:ind w:firstLine="3840" w:firstLineChars="1600"/>
        <w:rPr>
          <w:rFonts w:hint="eastAsia" w:ascii="仿宋" w:hAnsi="仿宋" w:eastAsia="仿宋" w:cs="仿宋"/>
          <w:b w:val="0"/>
          <w:bCs/>
          <w:color w:val="auto"/>
        </w:rPr>
      </w:pPr>
      <w:r>
        <w:rPr>
          <w:rFonts w:hint="eastAsia" w:ascii="仿宋" w:hAnsi="仿宋" w:eastAsia="仿宋" w:cs="仿宋"/>
          <w:b w:val="0"/>
          <w:bCs/>
          <w:color w:val="auto"/>
          <w:u w:val="none"/>
          <w:lang w:val="zh-CN"/>
        </w:rPr>
        <w:t>法定代表人（签章）：</w:t>
      </w:r>
      <w:r>
        <w:rPr>
          <w:rFonts w:hint="eastAsia" w:ascii="仿宋" w:hAnsi="仿宋" w:eastAsia="仿宋" w:cs="仿宋"/>
          <w:b w:val="0"/>
          <w:bCs/>
          <w:color w:val="auto"/>
        </w:rPr>
        <w:t xml:space="preserve">           </w:t>
      </w:r>
      <w:r>
        <w:rPr>
          <w:rFonts w:hint="eastAsia" w:ascii="仿宋" w:hAnsi="仿宋" w:eastAsia="仿宋" w:cs="仿宋"/>
          <w:b w:val="0"/>
          <w:bCs/>
          <w:color w:val="auto"/>
          <w:lang w:val="en-US" w:eastAsia="zh-CN"/>
        </w:rPr>
        <w:t xml:space="preserve">   </w:t>
      </w:r>
    </w:p>
    <w:p>
      <w:pPr>
        <w:spacing w:after="60" w:afterLines="25" w:line="240" w:lineRule="auto"/>
        <w:ind w:right="420" w:firstLine="5520" w:firstLineChars="2300"/>
        <w:rPr>
          <w:rFonts w:hint="eastAsia" w:ascii="仿宋" w:hAnsi="仿宋" w:eastAsia="仿宋" w:cs="仿宋"/>
          <w:color w:val="auto"/>
          <w:szCs w:val="21"/>
        </w:rPr>
      </w:pPr>
      <w:r>
        <w:rPr>
          <w:rFonts w:hint="eastAsia" w:ascii="仿宋" w:hAnsi="仿宋" w:eastAsia="仿宋" w:cs="仿宋"/>
          <w:color w:val="auto"/>
          <w:szCs w:val="21"/>
        </w:rPr>
        <w:t>日期：</w:t>
      </w:r>
    </w:p>
    <w:p>
      <w:pPr>
        <w:spacing w:after="60" w:afterLines="25" w:line="300" w:lineRule="auto"/>
        <w:ind w:firstLine="480" w:firstLineChars="200"/>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说明：根据财库〔2017〕141号文件的规定,享受政府采购</w:t>
      </w:r>
      <w:r>
        <w:rPr>
          <w:rFonts w:hint="eastAsia" w:ascii="仿宋" w:hAnsi="仿宋" w:eastAsia="仿宋" w:cs="仿宋"/>
          <w:b w:val="0"/>
          <w:bCs/>
          <w:color w:val="auto"/>
          <w:szCs w:val="21"/>
          <w:highlight w:val="none"/>
          <w:lang w:val="en-US" w:eastAsia="zh-CN"/>
        </w:rPr>
        <w:t>扶持</w:t>
      </w:r>
      <w:r>
        <w:rPr>
          <w:rFonts w:hint="eastAsia" w:ascii="仿宋" w:hAnsi="仿宋" w:eastAsia="仿宋" w:cs="仿宋"/>
          <w:b w:val="0"/>
          <w:bCs/>
          <w:color w:val="auto"/>
          <w:szCs w:val="21"/>
          <w:highlight w:val="none"/>
        </w:rPr>
        <w:t>政策的残疾人福利性单位应当同时满足以下条件：</w:t>
      </w:r>
    </w:p>
    <w:p>
      <w:pPr>
        <w:spacing w:after="60" w:afterLines="25" w:line="300" w:lineRule="auto"/>
        <w:ind w:firstLine="480" w:firstLineChars="200"/>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（一）安置的残疾人占本单位在职职工人数的比例不低于25%（含25%），并且安置的残疾人人数不少于10人（含10人）；</w:t>
      </w:r>
    </w:p>
    <w:p>
      <w:pPr>
        <w:spacing w:after="60" w:afterLines="25" w:line="300" w:lineRule="auto"/>
        <w:ind w:firstLine="480" w:firstLineChars="200"/>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（二）依法与安置的每位残疾人签订了一年以上（含一年）的劳动合同或服务协议；</w:t>
      </w:r>
    </w:p>
    <w:p>
      <w:pPr>
        <w:spacing w:after="60" w:afterLines="25" w:line="300" w:lineRule="auto"/>
        <w:ind w:firstLine="480" w:firstLineChars="200"/>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（三）为安置的每位残疾人按月足额缴纳了基本养老保险、基本医疗保险、失业保险、工伤保险和生育保险等社会保险费；</w:t>
      </w:r>
    </w:p>
    <w:p>
      <w:pPr>
        <w:spacing w:after="60" w:afterLines="25" w:line="300" w:lineRule="auto"/>
        <w:ind w:firstLine="480" w:firstLineChars="200"/>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（四）通过银行等金融机构向安置的每位残疾人，按月支付了不低于单位所在区县适用的经省级人民政府批准的月最低工资标准的工资；</w:t>
      </w:r>
    </w:p>
    <w:p>
      <w:pPr>
        <w:widowControl/>
        <w:adjustRightInd w:val="0"/>
        <w:snapToGrid w:val="0"/>
        <w:spacing w:line="440" w:lineRule="exact"/>
        <w:ind w:firstLine="480" w:firstLineChars="200"/>
        <w:jc w:val="left"/>
        <w:rPr>
          <w:rFonts w:hint="eastAsia" w:ascii="仿宋" w:hAnsi="仿宋" w:eastAsia="仿宋" w:cs="仿宋"/>
          <w:color w:val="auto"/>
          <w:spacing w:val="6"/>
          <w:kern w:val="0"/>
          <w:sz w:val="24"/>
          <w:szCs w:val="24"/>
        </w:rPr>
      </w:pPr>
      <w:r>
        <w:rPr>
          <w:rFonts w:hint="eastAsia" w:ascii="仿宋" w:hAnsi="仿宋" w:eastAsia="仿宋" w:cs="仿宋"/>
          <w:b w:val="0"/>
          <w:bCs/>
          <w:color w:val="auto"/>
          <w:szCs w:val="21"/>
          <w:highlight w:val="none"/>
        </w:rPr>
        <w:t>（五）提供本单位制造的货物、承担的工程或者服务（以下简称产品），或者提供其他残疾人福利性单位制造的</w:t>
      </w:r>
      <w:r>
        <w:rPr>
          <w:rFonts w:hint="eastAsia" w:ascii="仿宋" w:hAnsi="仿宋" w:eastAsia="仿宋" w:cs="仿宋"/>
          <w:b w:val="0"/>
          <w:bCs/>
          <w:color w:val="auto"/>
          <w:szCs w:val="21"/>
          <w:highlight w:val="none"/>
          <w:lang w:val="en-US" w:eastAsia="zh-CN"/>
        </w:rPr>
        <w:t>产品</w:t>
      </w:r>
      <w:r>
        <w:rPr>
          <w:rFonts w:hint="eastAsia" w:ascii="仿宋" w:hAnsi="仿宋" w:eastAsia="仿宋" w:cs="仿宋"/>
          <w:b w:val="0"/>
          <w:bCs/>
          <w:color w:val="auto"/>
          <w:szCs w:val="21"/>
          <w:highlight w:val="none"/>
        </w:rPr>
        <w:t>（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jc w:val="center"/>
        <w:outlineLvl w:val="4"/>
        <w:rPr>
          <w:rFonts w:hint="eastAsia" w:ascii="Arial" w:hAnsi="Arial" w:eastAsia="宋体"/>
          <w:b/>
          <w:color w:val="auto"/>
        </w:rPr>
      </w:pPr>
      <w:r>
        <w:rPr>
          <w:rFonts w:hint="eastAsia" w:ascii="仿宋" w:hAnsi="仿宋" w:eastAsia="仿宋" w:cs="仿宋"/>
          <w:b/>
          <w:bCs/>
          <w:color w:val="auto"/>
          <w:sz w:val="36"/>
          <w:szCs w:val="36"/>
          <w:lang w:val="en-US" w:eastAsia="zh-CN"/>
        </w:rPr>
        <w:t>11、</w:t>
      </w:r>
      <w:r>
        <w:rPr>
          <w:rFonts w:hint="eastAsia" w:ascii="仿宋" w:hAnsi="仿宋" w:eastAsia="仿宋" w:cs="仿宋"/>
          <w:b/>
          <w:bCs/>
          <w:color w:val="auto"/>
          <w:sz w:val="36"/>
          <w:szCs w:val="36"/>
        </w:rPr>
        <w:t>监狱企业声明函（货物）</w:t>
      </w:r>
    </w:p>
    <w:p>
      <w:pPr>
        <w:pStyle w:val="62"/>
        <w:numPr>
          <w:ilvl w:val="0"/>
          <w:numId w:val="0"/>
        </w:numPr>
        <w:ind w:left="3600" w:leftChars="0"/>
        <w:jc w:val="both"/>
        <w:rPr>
          <w:color w:val="auto"/>
        </w:rPr>
      </w:pP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本投标人郑重声明，根据《财政部司法部关于政府采购支持监狱企业发展有关问题的通知》（财库〔2014〕68号）的规定，本投标人参加</w:t>
      </w:r>
      <w:r>
        <w:rPr>
          <w:rFonts w:hint="eastAsia" w:ascii="仿宋" w:hAnsi="仿宋" w:eastAsia="仿宋" w:cs="仿宋"/>
          <w:b/>
          <w:bCs/>
          <w:color w:val="auto"/>
          <w:szCs w:val="21"/>
          <w:u w:val="single"/>
        </w:rPr>
        <w:t>（采购人名称）</w:t>
      </w:r>
      <w:r>
        <w:rPr>
          <w:rFonts w:hint="eastAsia" w:ascii="仿宋" w:hAnsi="仿宋" w:eastAsia="仿宋" w:cs="仿宋"/>
          <w:color w:val="auto"/>
          <w:szCs w:val="21"/>
        </w:rPr>
        <w:t>的</w:t>
      </w:r>
      <w:r>
        <w:rPr>
          <w:rFonts w:hint="eastAsia" w:ascii="仿宋" w:hAnsi="仿宋" w:eastAsia="仿宋" w:cs="仿宋"/>
          <w:b/>
          <w:bCs/>
          <w:color w:val="auto"/>
          <w:szCs w:val="21"/>
          <w:u w:val="single"/>
        </w:rPr>
        <w:t>（项目名称）</w:t>
      </w:r>
      <w:r>
        <w:rPr>
          <w:rFonts w:hint="eastAsia" w:ascii="仿宋" w:hAnsi="仿宋" w:eastAsia="仿宋" w:cs="仿宋"/>
          <w:color w:val="auto"/>
          <w:szCs w:val="21"/>
        </w:rPr>
        <w:t>采购活动，提供的货物全部由符合政策要求的监狱企业制造。相关监狱企业的具体情况如下：</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b/>
          <w:bCs/>
          <w:color w:val="auto"/>
          <w:szCs w:val="21"/>
          <w:u w:val="single"/>
        </w:rPr>
        <w:t>（标的名称）</w:t>
      </w:r>
      <w:r>
        <w:rPr>
          <w:rFonts w:hint="eastAsia" w:ascii="仿宋" w:hAnsi="仿宋" w:eastAsia="仿宋" w:cs="仿宋"/>
          <w:color w:val="auto"/>
          <w:szCs w:val="21"/>
        </w:rPr>
        <w:t>，制造商为</w:t>
      </w:r>
      <w:r>
        <w:rPr>
          <w:rFonts w:hint="eastAsia" w:ascii="仿宋" w:hAnsi="仿宋" w:eastAsia="仿宋" w:cs="仿宋"/>
          <w:b/>
          <w:bCs/>
          <w:color w:val="auto"/>
          <w:szCs w:val="21"/>
          <w:u w:val="single"/>
        </w:rPr>
        <w:t>（企业名称）</w:t>
      </w:r>
      <w:r>
        <w:rPr>
          <w:rFonts w:hint="eastAsia" w:ascii="仿宋" w:hAnsi="仿宋" w:eastAsia="仿宋" w:cs="仿宋"/>
          <w:color w:val="auto"/>
          <w:szCs w:val="21"/>
        </w:rPr>
        <w:t>，属于</w:t>
      </w:r>
      <w:r>
        <w:rPr>
          <w:rFonts w:hint="eastAsia" w:ascii="仿宋" w:hAnsi="仿宋" w:eastAsia="仿宋" w:cs="仿宋"/>
          <w:b/>
          <w:bCs/>
          <w:color w:val="auto"/>
          <w:szCs w:val="21"/>
          <w:u w:val="single"/>
        </w:rPr>
        <w:t>监狱企业</w:t>
      </w:r>
      <w:r>
        <w:rPr>
          <w:rFonts w:hint="eastAsia" w:ascii="仿宋" w:hAnsi="仿宋" w:eastAsia="仿宋" w:cs="仿宋"/>
          <w:color w:val="auto"/>
          <w:szCs w:val="21"/>
        </w:rPr>
        <w:t>；</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2.</w:t>
      </w:r>
      <w:r>
        <w:rPr>
          <w:rFonts w:hint="eastAsia" w:ascii="仿宋" w:hAnsi="仿宋" w:eastAsia="仿宋" w:cs="仿宋"/>
          <w:b/>
          <w:bCs/>
          <w:color w:val="auto"/>
          <w:szCs w:val="21"/>
          <w:u w:val="single"/>
        </w:rPr>
        <w:t>（标的名称）</w:t>
      </w:r>
      <w:r>
        <w:rPr>
          <w:rFonts w:hint="eastAsia" w:ascii="仿宋" w:hAnsi="仿宋" w:eastAsia="仿宋" w:cs="仿宋"/>
          <w:color w:val="auto"/>
          <w:szCs w:val="21"/>
        </w:rPr>
        <w:t>，制造商为</w:t>
      </w:r>
      <w:r>
        <w:rPr>
          <w:rFonts w:hint="eastAsia" w:ascii="仿宋" w:hAnsi="仿宋" w:eastAsia="仿宋" w:cs="仿宋"/>
          <w:b/>
          <w:bCs/>
          <w:color w:val="auto"/>
          <w:szCs w:val="21"/>
          <w:u w:val="single"/>
        </w:rPr>
        <w:t>（企业名称）</w:t>
      </w:r>
      <w:r>
        <w:rPr>
          <w:rFonts w:hint="eastAsia" w:ascii="仿宋" w:hAnsi="仿宋" w:eastAsia="仿宋" w:cs="仿宋"/>
          <w:color w:val="auto"/>
          <w:szCs w:val="21"/>
        </w:rPr>
        <w:t>，属于</w:t>
      </w:r>
      <w:r>
        <w:rPr>
          <w:rFonts w:hint="eastAsia" w:ascii="仿宋" w:hAnsi="仿宋" w:eastAsia="仿宋" w:cs="仿宋"/>
          <w:b/>
          <w:bCs/>
          <w:color w:val="auto"/>
          <w:szCs w:val="21"/>
          <w:u w:val="single"/>
        </w:rPr>
        <w:t>监狱企业</w:t>
      </w:r>
      <w:r>
        <w:rPr>
          <w:rFonts w:hint="eastAsia" w:ascii="仿宋" w:hAnsi="仿宋" w:eastAsia="仿宋" w:cs="仿宋"/>
          <w:color w:val="auto"/>
          <w:szCs w:val="21"/>
        </w:rPr>
        <w:t>。</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 xml:space="preserve">…… </w:t>
      </w:r>
    </w:p>
    <w:p>
      <w:pPr>
        <w:spacing w:after="60" w:afterLines="25" w:line="300" w:lineRule="auto"/>
        <w:ind w:firstLine="480" w:firstLineChars="200"/>
        <w:rPr>
          <w:rFonts w:hint="eastAsia" w:ascii="仿宋" w:hAnsi="仿宋" w:eastAsia="仿宋" w:cs="仿宋"/>
          <w:color w:val="auto"/>
          <w:szCs w:val="21"/>
        </w:rPr>
      </w:pPr>
      <w:r>
        <w:rPr>
          <w:rFonts w:hint="eastAsia" w:ascii="仿宋" w:hAnsi="仿宋" w:eastAsia="仿宋" w:cs="仿宋"/>
          <w:color w:val="auto"/>
          <w:szCs w:val="21"/>
        </w:rPr>
        <w:t>本投标人对上述声明内容的真实性负责。如有虚假，将依法承担相应责任。</w:t>
      </w:r>
    </w:p>
    <w:p>
      <w:pPr>
        <w:spacing w:after="60" w:afterLines="25" w:line="300" w:lineRule="auto"/>
        <w:ind w:firstLine="482" w:firstLineChars="200"/>
        <w:rPr>
          <w:rFonts w:hint="eastAsia" w:ascii="仿宋" w:hAnsi="仿宋" w:eastAsia="仿宋" w:cs="仿宋"/>
          <w:b/>
          <w:color w:val="auto"/>
          <w:szCs w:val="21"/>
        </w:rPr>
      </w:pPr>
    </w:p>
    <w:p>
      <w:pPr>
        <w:spacing w:after="60" w:afterLines="25" w:line="300" w:lineRule="auto"/>
        <w:ind w:firstLine="482" w:firstLineChars="200"/>
        <w:rPr>
          <w:rFonts w:hint="eastAsia" w:ascii="仿宋" w:hAnsi="仿宋" w:eastAsia="仿宋" w:cs="仿宋"/>
          <w:b/>
          <w:color w:val="auto"/>
          <w:szCs w:val="21"/>
        </w:rPr>
      </w:pPr>
      <w:r>
        <w:rPr>
          <w:rFonts w:hint="eastAsia" w:ascii="仿宋" w:hAnsi="仿宋" w:eastAsia="仿宋" w:cs="仿宋"/>
          <w:b/>
          <w:color w:val="auto"/>
          <w:szCs w:val="21"/>
        </w:rPr>
        <w:t>附：省级以上监狱管理局、戒毒管理局（含新疆生产建设兵团）出具的监狱企业证明文件。</w:t>
      </w:r>
    </w:p>
    <w:p>
      <w:pPr>
        <w:spacing w:after="60" w:afterLines="25" w:line="300" w:lineRule="auto"/>
        <w:ind w:firstLine="482" w:firstLineChars="200"/>
        <w:rPr>
          <w:rFonts w:hint="eastAsia" w:ascii="仿宋" w:hAnsi="仿宋" w:eastAsia="仿宋" w:cs="仿宋"/>
          <w:b/>
          <w:color w:val="auto"/>
          <w:szCs w:val="21"/>
        </w:rPr>
      </w:pPr>
    </w:p>
    <w:p>
      <w:pPr>
        <w:spacing w:after="60" w:afterLines="25" w:line="300" w:lineRule="auto"/>
        <w:ind w:firstLine="482" w:firstLineChars="200"/>
        <w:rPr>
          <w:rFonts w:hint="eastAsia" w:ascii="仿宋" w:hAnsi="仿宋" w:eastAsia="仿宋" w:cs="仿宋"/>
          <w:b/>
          <w:color w:val="auto"/>
          <w:szCs w:val="21"/>
        </w:rPr>
      </w:pPr>
    </w:p>
    <w:p>
      <w:pPr>
        <w:spacing w:after="60" w:afterLines="25" w:line="360" w:lineRule="auto"/>
        <w:ind w:right="420" w:firstLine="3840" w:firstLineChars="1600"/>
        <w:rPr>
          <w:rFonts w:hint="default" w:ascii="仿宋" w:hAnsi="仿宋" w:eastAsia="仿宋" w:cs="仿宋"/>
          <w:color w:val="auto"/>
          <w:szCs w:val="21"/>
          <w:u w:val="single"/>
          <w:lang w:val="en-US" w:eastAsia="zh-CN"/>
        </w:rPr>
      </w:pPr>
      <w:r>
        <w:rPr>
          <w:rFonts w:hint="eastAsia" w:ascii="仿宋" w:hAnsi="仿宋" w:eastAsia="仿宋" w:cs="仿宋"/>
          <w:color w:val="auto"/>
          <w:szCs w:val="21"/>
        </w:rPr>
        <w:t>投标人</w:t>
      </w:r>
      <w:r>
        <w:rPr>
          <w:rFonts w:hint="eastAsia" w:ascii="仿宋" w:hAnsi="仿宋" w:eastAsia="仿宋" w:cs="仿宋"/>
          <w:color w:val="auto"/>
          <w:szCs w:val="21"/>
          <w:lang w:val="en-US" w:eastAsia="zh-CN"/>
        </w:rPr>
        <w:t>名称</w:t>
      </w:r>
      <w:r>
        <w:rPr>
          <w:rFonts w:hint="eastAsia" w:ascii="仿宋" w:hAnsi="仿宋" w:eastAsia="仿宋" w:cs="仿宋"/>
          <w:color w:val="auto"/>
          <w:szCs w:val="21"/>
        </w:rPr>
        <w:t>（</w:t>
      </w:r>
      <w:r>
        <w:rPr>
          <w:rFonts w:hint="eastAsia" w:ascii="仿宋" w:hAnsi="仿宋" w:eastAsia="仿宋" w:cs="仿宋"/>
          <w:color w:val="auto"/>
          <w:szCs w:val="21"/>
          <w:lang w:val="en-US" w:eastAsia="zh-CN"/>
        </w:rPr>
        <w:t>盖章</w:t>
      </w:r>
      <w:r>
        <w:rPr>
          <w:rFonts w:hint="eastAsia" w:ascii="仿宋" w:hAnsi="仿宋" w:eastAsia="仿宋" w:cs="仿宋"/>
          <w:color w:val="auto"/>
          <w:szCs w:val="21"/>
        </w:rPr>
        <w:t>）：</w:t>
      </w:r>
      <w:r>
        <w:rPr>
          <w:rFonts w:hint="eastAsia" w:ascii="仿宋" w:hAnsi="仿宋" w:eastAsia="仿宋" w:cs="仿宋"/>
          <w:color w:val="auto"/>
          <w:szCs w:val="21"/>
          <w:u w:val="single"/>
          <w:lang w:val="en-US" w:eastAsia="zh-CN"/>
        </w:rPr>
        <w:t xml:space="preserve">                   </w:t>
      </w:r>
    </w:p>
    <w:p>
      <w:pPr>
        <w:pStyle w:val="61"/>
        <w:spacing w:line="360" w:lineRule="auto"/>
        <w:ind w:firstLine="3840" w:firstLineChars="1600"/>
        <w:rPr>
          <w:rFonts w:hint="eastAsia" w:ascii="仿宋" w:hAnsi="仿宋" w:eastAsia="仿宋" w:cs="仿宋"/>
          <w:b w:val="0"/>
          <w:bCs/>
          <w:color w:val="auto"/>
        </w:rPr>
      </w:pPr>
      <w:r>
        <w:rPr>
          <w:rFonts w:hint="eastAsia" w:ascii="仿宋" w:hAnsi="仿宋" w:eastAsia="仿宋" w:cs="仿宋"/>
          <w:b w:val="0"/>
          <w:bCs/>
          <w:color w:val="auto"/>
          <w:u w:val="none"/>
          <w:lang w:val="zh-CN"/>
        </w:rPr>
        <w:t>法定代表人（签章）：</w:t>
      </w:r>
      <w:r>
        <w:rPr>
          <w:rFonts w:hint="eastAsia" w:ascii="仿宋" w:hAnsi="仿宋" w:eastAsia="仿宋" w:cs="仿宋"/>
          <w:b w:val="0"/>
          <w:bCs/>
          <w:color w:val="auto"/>
        </w:rPr>
        <w:t xml:space="preserve">           </w:t>
      </w:r>
      <w:r>
        <w:rPr>
          <w:rFonts w:hint="eastAsia" w:ascii="仿宋" w:hAnsi="仿宋" w:eastAsia="仿宋" w:cs="仿宋"/>
          <w:b w:val="0"/>
          <w:bCs/>
          <w:color w:val="auto"/>
          <w:lang w:val="en-US" w:eastAsia="zh-CN"/>
        </w:rPr>
        <w:t xml:space="preserve">   </w:t>
      </w: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r>
        <w:rPr>
          <w:rFonts w:hint="eastAsia" w:ascii="仿宋" w:hAnsi="仿宋" w:eastAsia="仿宋" w:cs="仿宋"/>
          <w:color w:val="auto"/>
          <w:szCs w:val="21"/>
        </w:rPr>
        <w:t>日期：</w:t>
      </w: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100"/>
          <w:position w:val="0"/>
          <w:sz w:val="36"/>
          <w:szCs w:val="36"/>
          <w:lang w:val="en-US" w:eastAsia="zh-CN"/>
        </w:rPr>
      </w:pPr>
    </w:p>
    <w:p>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100"/>
          <w:position w:val="0"/>
          <w:sz w:val="36"/>
          <w:szCs w:val="36"/>
          <w:lang w:val="en-US" w:eastAsia="zh-CN"/>
        </w:rPr>
      </w:pPr>
    </w:p>
    <w:p>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100"/>
          <w:position w:val="0"/>
          <w:sz w:val="36"/>
          <w:szCs w:val="36"/>
          <w:lang w:val="en-US" w:eastAsia="zh-CN"/>
        </w:rPr>
      </w:pPr>
    </w:p>
    <w:p>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100"/>
          <w:position w:val="0"/>
          <w:sz w:val="36"/>
          <w:szCs w:val="36"/>
          <w:lang w:val="en-US" w:eastAsia="zh-CN"/>
        </w:rPr>
      </w:pPr>
    </w:p>
    <w:p>
      <w:pPr>
        <w:pStyle w:val="13"/>
        <w:rPr>
          <w:rFonts w:hint="eastAsia" w:ascii="仿宋" w:hAnsi="仿宋" w:eastAsia="仿宋" w:cs="仿宋"/>
          <w:b/>
          <w:bCs/>
          <w:color w:val="auto"/>
          <w:spacing w:val="0"/>
          <w:w w:val="100"/>
          <w:position w:val="0"/>
          <w:sz w:val="36"/>
          <w:szCs w:val="36"/>
          <w:lang w:val="en-US" w:eastAsia="zh-CN"/>
        </w:rPr>
      </w:pPr>
    </w:p>
    <w:p>
      <w:pPr>
        <w:pStyle w:val="13"/>
        <w:rPr>
          <w:rFonts w:hint="eastAsia" w:ascii="仿宋" w:hAnsi="仿宋" w:eastAsia="仿宋" w:cs="仿宋"/>
          <w:b/>
          <w:bCs/>
          <w:color w:val="auto"/>
          <w:spacing w:val="0"/>
          <w:w w:val="100"/>
          <w:position w:val="0"/>
          <w:sz w:val="36"/>
          <w:szCs w:val="36"/>
          <w:lang w:val="en-US" w:eastAsia="zh-CN"/>
        </w:rPr>
      </w:pPr>
    </w:p>
    <w:p>
      <w:pPr>
        <w:pStyle w:val="13"/>
        <w:rPr>
          <w:rFonts w:hint="eastAsia" w:ascii="仿宋" w:hAnsi="仿宋" w:eastAsia="仿宋" w:cs="仿宋"/>
          <w:b/>
          <w:bCs/>
          <w:color w:val="auto"/>
          <w:spacing w:val="0"/>
          <w:w w:val="100"/>
          <w:position w:val="0"/>
          <w:sz w:val="36"/>
          <w:szCs w:val="36"/>
          <w:lang w:val="en-US" w:eastAsia="zh-CN"/>
        </w:rPr>
      </w:pPr>
    </w:p>
    <w:p>
      <w:pPr>
        <w:pStyle w:val="13"/>
        <w:rPr>
          <w:rFonts w:hint="eastAsia" w:ascii="仿宋" w:hAnsi="仿宋" w:eastAsia="仿宋" w:cs="仿宋"/>
          <w:b/>
          <w:bCs/>
          <w:color w:val="auto"/>
          <w:spacing w:val="0"/>
          <w:w w:val="100"/>
          <w:position w:val="0"/>
          <w:sz w:val="36"/>
          <w:szCs w:val="36"/>
          <w:lang w:val="en-US" w:eastAsia="zh-CN"/>
        </w:rPr>
      </w:pPr>
    </w:p>
    <w:p>
      <w:pPr>
        <w:pStyle w:val="13"/>
        <w:rPr>
          <w:rFonts w:hint="eastAsia" w:ascii="仿宋" w:hAnsi="仿宋" w:eastAsia="仿宋" w:cs="仿宋"/>
          <w:b/>
          <w:bCs/>
          <w:color w:val="auto"/>
          <w:spacing w:val="0"/>
          <w:w w:val="100"/>
          <w:position w:val="0"/>
          <w:sz w:val="36"/>
          <w:szCs w:val="36"/>
          <w:lang w:val="en-US" w:eastAsia="zh-CN"/>
        </w:rPr>
      </w:pPr>
    </w:p>
    <w:p>
      <w:pPr>
        <w:shd w:val="clear" w:color="auto" w:fill="auto"/>
        <w:tabs>
          <w:tab w:val="left" w:pos="3600"/>
        </w:tabs>
        <w:adjustRightInd w:val="0"/>
        <w:snapToGrid w:val="0"/>
        <w:spacing w:line="440" w:lineRule="exact"/>
        <w:jc w:val="center"/>
        <w:rPr>
          <w:rFonts w:hint="eastAsia" w:ascii="仿宋" w:hAnsi="仿宋" w:eastAsia="仿宋" w:cs="仿宋"/>
          <w:color w:val="auto"/>
          <w:spacing w:val="0"/>
          <w:w w:val="10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12、评分标准和细则中技术部分证明材料（格式自拟</w:t>
      </w:r>
      <w:r>
        <w:rPr>
          <w:rFonts w:hint="eastAsia" w:ascii="仿宋" w:hAnsi="仿宋" w:eastAsia="仿宋" w:cs="仿宋"/>
          <w:color w:val="auto"/>
          <w:spacing w:val="0"/>
          <w:w w:val="100"/>
          <w:position w:val="0"/>
          <w:sz w:val="36"/>
          <w:szCs w:val="36"/>
          <w:lang w:val="en-US" w:eastAsia="zh-CN"/>
        </w:rPr>
        <w:t>）</w:t>
      </w:r>
    </w:p>
    <w:p>
      <w:pPr>
        <w:pStyle w:val="4"/>
        <w:numPr>
          <w:ilvl w:val="1"/>
          <w:numId w:val="0"/>
        </w:numPr>
        <w:shd w:val="clear" w:color="auto" w:fill="auto"/>
        <w:spacing w:before="0" w:line="240" w:lineRule="atLeast"/>
        <w:ind w:leftChars="257"/>
        <w:jc w:val="center"/>
        <w:rPr>
          <w:rFonts w:hint="eastAsia" w:ascii="仿宋" w:hAnsi="仿宋" w:eastAsia="仿宋" w:cs="仿宋"/>
          <w:color w:val="auto"/>
          <w:sz w:val="24"/>
          <w:highlight w:val="none"/>
          <w:lang w:val="en-US" w:eastAsia="zh-CN"/>
        </w:rPr>
      </w:pPr>
    </w:p>
    <w:p>
      <w:pPr>
        <w:pStyle w:val="11"/>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说明：1.应提供</w:t>
      </w:r>
      <w:r>
        <w:rPr>
          <w:rFonts w:hint="eastAsia" w:ascii="仿宋" w:hAnsi="仿宋" w:eastAsia="仿宋" w:cs="仿宋"/>
          <w:color w:val="auto"/>
          <w:sz w:val="24"/>
          <w:highlight w:val="none"/>
          <w:u w:val="single" w:color="auto"/>
          <w:lang w:eastAsia="zh-CN"/>
        </w:rPr>
        <w:t>评分标准和细则中技术部分</w:t>
      </w:r>
      <w:r>
        <w:rPr>
          <w:rFonts w:hint="eastAsia" w:ascii="仿宋" w:hAnsi="仿宋" w:eastAsia="仿宋" w:cs="仿宋"/>
          <w:color w:val="auto"/>
          <w:sz w:val="24"/>
          <w:highlight w:val="none"/>
        </w:rPr>
        <w:t>要求的其他资格证明文件。</w:t>
      </w:r>
    </w:p>
    <w:p>
      <w:pPr>
        <w:pStyle w:val="11"/>
        <w:shd w:val="clear" w:color="auto" w:fill="auto"/>
        <w:tabs>
          <w:tab w:val="left" w:pos="5580"/>
        </w:tabs>
        <w:spacing w:line="240" w:lineRule="atLeast"/>
        <w:ind w:firstLine="1200" w:firstLineChars="500"/>
        <w:rPr>
          <w:rFonts w:hint="eastAsia" w:ascii="仿宋" w:hAnsi="仿宋" w:eastAsia="仿宋" w:cs="仿宋"/>
          <w:color w:val="auto"/>
          <w:sz w:val="24"/>
          <w:highlight w:val="none"/>
        </w:rPr>
      </w:pPr>
      <w:r>
        <w:rPr>
          <w:rFonts w:hint="eastAsia" w:ascii="仿宋" w:hAnsi="仿宋" w:eastAsia="仿宋" w:cs="仿宋"/>
          <w:color w:val="auto"/>
          <w:sz w:val="24"/>
          <w:highlight w:val="none"/>
        </w:rPr>
        <w:t>2.复印件上应加盖本单位章（自然人投标的无需盖章，需要签字）。</w:t>
      </w:r>
    </w:p>
    <w:p>
      <w:pPr>
        <w:pStyle w:val="5"/>
        <w:shd w:val="clear" w:color="auto" w:fil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rPr>
          <w:rFonts w:hint="eastAsia" w:ascii="仿宋" w:hAnsi="仿宋" w:eastAsia="仿宋" w:cs="仿宋"/>
          <w:color w:val="auto"/>
          <w:lang w:val="en-US" w:eastAsia="zh-CN"/>
        </w:rPr>
      </w:pPr>
    </w:p>
    <w:p>
      <w:pPr>
        <w:pStyle w:val="4"/>
        <w:numPr>
          <w:ilvl w:val="1"/>
          <w:numId w:val="0"/>
        </w:numPr>
        <w:shd w:val="clear" w:color="auto" w:fill="auto"/>
        <w:spacing w:before="0" w:line="240" w:lineRule="atLeast"/>
        <w:ind w:leftChars="257"/>
        <w:jc w:val="center"/>
        <w:rPr>
          <w:rFonts w:hint="eastAsia" w:ascii="仿宋" w:hAnsi="仿宋" w:eastAsia="仿宋" w:cs="仿宋"/>
          <w:color w:val="auto"/>
          <w:sz w:val="24"/>
          <w:highlight w:val="none"/>
          <w:lang w:val="en-US" w:eastAsia="zh-CN"/>
        </w:rPr>
      </w:pPr>
    </w:p>
    <w:p>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10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13、评分标准和细则中商务部分证明材料（格式自拟）</w:t>
      </w:r>
    </w:p>
    <w:p>
      <w:pPr>
        <w:pStyle w:val="11"/>
        <w:shd w:val="clear" w:color="auto" w:fill="auto"/>
        <w:tabs>
          <w:tab w:val="left" w:pos="5580"/>
        </w:tabs>
        <w:spacing w:line="240" w:lineRule="atLeast"/>
        <w:rPr>
          <w:rFonts w:hint="eastAsia" w:ascii="仿宋" w:hAnsi="仿宋" w:eastAsia="仿宋" w:cs="仿宋"/>
          <w:color w:val="auto"/>
          <w:sz w:val="24"/>
          <w:highlight w:val="none"/>
        </w:rPr>
      </w:pPr>
    </w:p>
    <w:p>
      <w:pPr>
        <w:pStyle w:val="11"/>
        <w:shd w:val="clear" w:color="auto" w:fill="auto"/>
        <w:tabs>
          <w:tab w:val="left" w:pos="5580"/>
        </w:tabs>
        <w:spacing w:line="240" w:lineRule="atLeast"/>
        <w:ind w:left="1157"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说明：1.应提供</w:t>
      </w:r>
      <w:r>
        <w:rPr>
          <w:rFonts w:hint="eastAsia" w:ascii="仿宋" w:hAnsi="仿宋" w:eastAsia="仿宋" w:cs="仿宋"/>
          <w:color w:val="auto"/>
          <w:sz w:val="24"/>
          <w:highlight w:val="none"/>
          <w:u w:val="single" w:color="auto"/>
          <w:lang w:eastAsia="zh-CN"/>
        </w:rPr>
        <w:t>评分标准和细则中商务部分</w:t>
      </w:r>
      <w:r>
        <w:rPr>
          <w:rFonts w:hint="eastAsia" w:ascii="仿宋" w:hAnsi="仿宋" w:eastAsia="仿宋" w:cs="仿宋"/>
          <w:color w:val="auto"/>
          <w:sz w:val="24"/>
          <w:highlight w:val="none"/>
        </w:rPr>
        <w:t>要求的其他资格证明文件。</w:t>
      </w:r>
    </w:p>
    <w:p>
      <w:pPr>
        <w:pStyle w:val="11"/>
        <w:shd w:val="clear" w:color="auto" w:fill="auto"/>
        <w:tabs>
          <w:tab w:val="left" w:pos="5580"/>
        </w:tabs>
        <w:spacing w:line="240" w:lineRule="atLeast"/>
        <w:ind w:firstLine="1200" w:firstLineChars="500"/>
        <w:rPr>
          <w:rFonts w:hint="eastAsia" w:ascii="仿宋" w:hAnsi="仿宋" w:eastAsia="仿宋" w:cs="仿宋"/>
          <w:color w:val="auto"/>
          <w:sz w:val="24"/>
          <w:highlight w:val="none"/>
        </w:rPr>
      </w:pPr>
      <w:r>
        <w:rPr>
          <w:rFonts w:hint="eastAsia" w:ascii="仿宋" w:hAnsi="仿宋" w:eastAsia="仿宋" w:cs="仿宋"/>
          <w:color w:val="auto"/>
          <w:sz w:val="24"/>
          <w:highlight w:val="none"/>
        </w:rPr>
        <w:t>2.复印件上应加盖本单位章（自然人投标的无需盖章，需要签字）。</w:t>
      </w: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rPr>
        <w:t xml:space="preserve">    </w:t>
      </w: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pPr>
        <w:rPr>
          <w:rFonts w:hint="eastAsia" w:ascii="仿宋" w:hAnsi="仿宋" w:eastAsia="仿宋" w:cs="仿宋"/>
          <w:color w:val="auto"/>
          <w:lang w:val="en-US" w:eastAsia="zh-CN"/>
        </w:rPr>
      </w:pP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pPr>
        <w:pStyle w:val="4"/>
        <w:numPr>
          <w:ilvl w:val="1"/>
          <w:numId w:val="0"/>
        </w:numPr>
        <w:shd w:val="clear" w:color="auto" w:fill="auto"/>
        <w:spacing w:before="0" w:line="240" w:lineRule="atLeast"/>
        <w:jc w:val="left"/>
        <w:rPr>
          <w:rFonts w:hint="eastAsia" w:ascii="仿宋" w:hAnsi="仿宋" w:eastAsia="仿宋" w:cs="仿宋"/>
          <w:b/>
          <w:bCs/>
          <w:color w:val="auto"/>
          <w:sz w:val="24"/>
          <w:highlight w:val="none"/>
          <w:lang w:val="en-US" w:eastAsia="zh-CN"/>
        </w:rPr>
      </w:pPr>
    </w:p>
    <w:p>
      <w:pPr>
        <w:shd w:val="clear" w:color="auto" w:fill="auto"/>
        <w:tabs>
          <w:tab w:val="left" w:pos="3600"/>
        </w:tabs>
        <w:adjustRightInd w:val="0"/>
        <w:snapToGrid w:val="0"/>
        <w:spacing w:line="440" w:lineRule="exact"/>
        <w:jc w:val="center"/>
        <w:rPr>
          <w:rFonts w:hint="eastAsia" w:ascii="仿宋" w:hAnsi="仿宋" w:eastAsia="仿宋" w:cs="仿宋"/>
          <w:b/>
          <w:bCs/>
          <w:color w:val="auto"/>
          <w:spacing w:val="0"/>
          <w:w w:val="90"/>
          <w:position w:val="0"/>
          <w:sz w:val="36"/>
          <w:szCs w:val="36"/>
          <w:lang w:val="en-US" w:eastAsia="zh-CN"/>
        </w:rPr>
      </w:pPr>
      <w:r>
        <w:rPr>
          <w:rFonts w:hint="eastAsia" w:ascii="仿宋" w:hAnsi="仿宋" w:eastAsia="仿宋" w:cs="仿宋"/>
          <w:b/>
          <w:bCs/>
          <w:color w:val="auto"/>
          <w:spacing w:val="0"/>
          <w:w w:val="100"/>
          <w:position w:val="0"/>
          <w:sz w:val="36"/>
          <w:szCs w:val="36"/>
          <w:lang w:val="en-US" w:eastAsia="zh-CN"/>
        </w:rPr>
        <w:t>14、</w:t>
      </w:r>
      <w:r>
        <w:rPr>
          <w:rFonts w:hint="eastAsia" w:ascii="仿宋" w:hAnsi="仿宋" w:eastAsia="仿宋" w:cs="仿宋"/>
          <w:b/>
          <w:bCs/>
          <w:color w:val="auto"/>
          <w:spacing w:val="0"/>
          <w:w w:val="90"/>
          <w:position w:val="0"/>
          <w:sz w:val="36"/>
          <w:szCs w:val="36"/>
          <w:lang w:val="en-US" w:eastAsia="zh-CN"/>
        </w:rPr>
        <w:t>投标人认为有必要提供的其他证明材料（格式自拟）</w:t>
      </w:r>
    </w:p>
    <w:p>
      <w:pPr>
        <w:pStyle w:val="11"/>
        <w:shd w:val="clear" w:color="auto" w:fill="auto"/>
        <w:tabs>
          <w:tab w:val="left" w:pos="5580"/>
        </w:tabs>
        <w:spacing w:line="240" w:lineRule="atLeast"/>
        <w:ind w:firstLine="480" w:firstLineChars="200"/>
        <w:rPr>
          <w:rFonts w:hint="eastAsia" w:ascii="仿宋" w:hAnsi="仿宋" w:eastAsia="仿宋" w:cs="仿宋"/>
          <w:color w:val="auto"/>
          <w:sz w:val="24"/>
          <w:highlight w:val="none"/>
        </w:rPr>
      </w:pPr>
    </w:p>
    <w:p>
      <w:pPr>
        <w:pStyle w:val="11"/>
        <w:shd w:val="clear" w:color="auto" w:fill="auto"/>
        <w:tabs>
          <w:tab w:val="left" w:pos="5580"/>
        </w:tabs>
        <w:spacing w:line="240" w:lineRule="atLeas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说明：复印件上应加盖本单位章（自然人投标的无需盖章，需要签字）。</w:t>
      </w:r>
    </w:p>
    <w:p>
      <w:pPr>
        <w:pStyle w:val="12"/>
        <w:rPr>
          <w:rFonts w:hint="eastAsia" w:ascii="仿宋" w:hAnsi="仿宋" w:eastAsia="仿宋" w:cs="仿宋"/>
          <w:color w:val="auto"/>
          <w:sz w:val="24"/>
          <w:highlight w:val="none"/>
        </w:rPr>
      </w:pPr>
    </w:p>
    <w:p>
      <w:pPr>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rPr>
      </w:pPr>
    </w:p>
    <w:p>
      <w:pPr>
        <w:pStyle w:val="13"/>
        <w:rPr>
          <w:rFonts w:hint="eastAsia" w:ascii="仿宋" w:hAnsi="仿宋" w:eastAsia="仿宋" w:cs="仿宋"/>
          <w:color w:val="auto"/>
          <w:sz w:val="24"/>
          <w:highlight w:val="none"/>
          <w:lang w:val="en-US" w:eastAsia="zh-CN"/>
        </w:rPr>
      </w:pPr>
    </w:p>
    <w:tbl>
      <w:tblPr>
        <w:tblStyle w:val="23"/>
        <w:tblW w:w="1093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925"/>
        <w:gridCol w:w="606"/>
        <w:gridCol w:w="835"/>
        <w:gridCol w:w="843"/>
        <w:gridCol w:w="766"/>
        <w:gridCol w:w="936"/>
        <w:gridCol w:w="740"/>
        <w:gridCol w:w="785"/>
        <w:gridCol w:w="785"/>
        <w:gridCol w:w="704"/>
        <w:gridCol w:w="798"/>
        <w:gridCol w:w="714"/>
        <w:gridCol w:w="50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9" w:hRule="atLeast"/>
          <w:jc w:val="center"/>
        </w:trPr>
        <w:tc>
          <w:tcPr>
            <w:tcW w:w="1925" w:type="dxa"/>
            <w:vMerge w:val="restart"/>
            <w:tcBorders>
              <w:top w:val="single" w:color="000000" w:sz="12"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行业</w:t>
            </w:r>
          </w:p>
        </w:tc>
        <w:tc>
          <w:tcPr>
            <w:tcW w:w="2284" w:type="dxa"/>
            <w:gridSpan w:val="3"/>
            <w:tcBorders>
              <w:top w:val="single" w:color="000000" w:sz="12"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中小微型企业（</w:t>
            </w:r>
            <w:r>
              <w:rPr>
                <w:rFonts w:hint="eastAsia" w:ascii="仿宋" w:hAnsi="仿宋" w:eastAsia="仿宋" w:cs="仿宋"/>
                <w:b/>
                <w:i w:val="0"/>
                <w:color w:val="auto"/>
                <w:kern w:val="0"/>
                <w:sz w:val="11"/>
                <w:szCs w:val="11"/>
                <w:u w:val="none"/>
                <w:lang w:val="en-US" w:eastAsia="zh-CN" w:bidi="ar"/>
              </w:rPr>
              <w:t>或</w:t>
            </w:r>
            <w:r>
              <w:rPr>
                <w:rStyle w:val="59"/>
                <w:color w:val="auto"/>
                <w:sz w:val="11"/>
                <w:szCs w:val="11"/>
                <w:lang w:val="en-US" w:eastAsia="zh-CN" w:bidi="ar"/>
              </w:rPr>
              <w:t>）</w:t>
            </w:r>
          </w:p>
        </w:tc>
        <w:tc>
          <w:tcPr>
            <w:tcW w:w="2442" w:type="dxa"/>
            <w:gridSpan w:val="3"/>
            <w:tcBorders>
              <w:top w:val="single" w:color="000000" w:sz="12"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中型企业（</w:t>
            </w:r>
            <w:r>
              <w:rPr>
                <w:rFonts w:hint="eastAsia" w:ascii="仿宋" w:hAnsi="仿宋" w:eastAsia="仿宋" w:cs="仿宋"/>
                <w:b/>
                <w:i w:val="0"/>
                <w:color w:val="auto"/>
                <w:kern w:val="0"/>
                <w:sz w:val="11"/>
                <w:szCs w:val="11"/>
                <w:u w:val="none"/>
                <w:lang w:val="en-US" w:eastAsia="zh-CN" w:bidi="ar"/>
              </w:rPr>
              <w:t>且</w:t>
            </w:r>
            <w:r>
              <w:rPr>
                <w:rStyle w:val="59"/>
                <w:color w:val="auto"/>
                <w:sz w:val="11"/>
                <w:szCs w:val="11"/>
                <w:lang w:val="en-US" w:eastAsia="zh-CN" w:bidi="ar"/>
              </w:rPr>
              <w:t>）</w:t>
            </w:r>
          </w:p>
        </w:tc>
        <w:tc>
          <w:tcPr>
            <w:tcW w:w="2274" w:type="dxa"/>
            <w:gridSpan w:val="3"/>
            <w:tcBorders>
              <w:top w:val="single" w:color="000000" w:sz="12"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小型企业（</w:t>
            </w:r>
            <w:r>
              <w:rPr>
                <w:rFonts w:hint="eastAsia" w:ascii="仿宋" w:hAnsi="仿宋" w:eastAsia="仿宋" w:cs="仿宋"/>
                <w:b/>
                <w:i w:val="0"/>
                <w:color w:val="auto"/>
                <w:kern w:val="0"/>
                <w:sz w:val="11"/>
                <w:szCs w:val="11"/>
                <w:u w:val="none"/>
                <w:lang w:val="en-US" w:eastAsia="zh-CN" w:bidi="ar"/>
              </w:rPr>
              <w:t>且</w:t>
            </w:r>
            <w:r>
              <w:rPr>
                <w:rStyle w:val="59"/>
                <w:color w:val="auto"/>
                <w:sz w:val="11"/>
                <w:szCs w:val="11"/>
                <w:lang w:val="en-US" w:eastAsia="zh-CN" w:bidi="ar"/>
              </w:rPr>
              <w:t>）</w:t>
            </w:r>
          </w:p>
        </w:tc>
        <w:tc>
          <w:tcPr>
            <w:tcW w:w="2013" w:type="dxa"/>
            <w:gridSpan w:val="3"/>
            <w:tcBorders>
              <w:top w:val="single" w:color="000000" w:sz="12" w:space="0"/>
              <w:left w:val="single" w:color="000000" w:sz="4" w:space="0"/>
              <w:bottom w:val="single" w:color="000000" w:sz="4" w:space="0"/>
              <w:right w:val="single" w:color="000000" w:sz="12" w:space="0"/>
            </w:tcBorders>
            <w:noWrap w:val="0"/>
            <w:vAlign w:val="center"/>
          </w:tcPr>
          <w:p>
            <w:pPr>
              <w:keepNext w:val="0"/>
              <w:keepLines w:val="0"/>
              <w:widowControl/>
              <w:suppressLineNumbers w:val="0"/>
              <w:ind w:right="-113" w:rightChars="-47"/>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微型企业（</w:t>
            </w:r>
            <w:r>
              <w:rPr>
                <w:rFonts w:hint="eastAsia" w:ascii="仿宋" w:hAnsi="仿宋" w:eastAsia="仿宋" w:cs="仿宋"/>
                <w:b/>
                <w:i w:val="0"/>
                <w:color w:val="auto"/>
                <w:kern w:val="0"/>
                <w:sz w:val="11"/>
                <w:szCs w:val="11"/>
                <w:u w:val="none"/>
                <w:lang w:val="en-US" w:eastAsia="zh-CN" w:bidi="ar"/>
              </w:rPr>
              <w:t>或</w:t>
            </w:r>
            <w:r>
              <w:rPr>
                <w:rStyle w:val="59"/>
                <w:color w:val="auto"/>
                <w:sz w:val="11"/>
                <w:szCs w:val="11"/>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29" w:hRule="atLeast"/>
          <w:jc w:val="center"/>
        </w:trPr>
        <w:tc>
          <w:tcPr>
            <w:tcW w:w="1925" w:type="dxa"/>
            <w:vMerge w:val="continue"/>
            <w:tcBorders>
              <w:top w:val="single" w:color="000000" w:sz="12" w:space="0"/>
              <w:left w:val="single" w:color="000000" w:sz="12" w:space="0"/>
              <w:bottom w:val="single" w:color="000000" w:sz="4" w:space="0"/>
              <w:right w:val="single" w:color="000000" w:sz="4" w:space="0"/>
            </w:tcBorders>
            <w:noWrap w:val="0"/>
            <w:vAlign w:val="center"/>
          </w:tcPr>
          <w:p>
            <w:pPr>
              <w:jc w:val="center"/>
              <w:rPr>
                <w:rFonts w:hint="eastAsia" w:ascii="仿宋" w:hAnsi="仿宋" w:eastAsia="仿宋" w:cs="仿宋"/>
                <w:i w:val="0"/>
                <w:color w:val="auto"/>
                <w:sz w:val="11"/>
                <w:szCs w:val="11"/>
                <w:u w:val="none"/>
              </w:rPr>
            </w:pP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从业人员</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营业收入</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资产总额</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从业人员</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营业收入</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资产总额</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从业人员</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营业收入</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资产总额</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从业人员</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营业收入</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keepNext w:val="0"/>
              <w:keepLines w:val="0"/>
              <w:widowControl/>
              <w:suppressLineNumbers w:val="0"/>
              <w:jc w:val="center"/>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资产总额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农、林、牧、渔业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kern w:val="0"/>
                <w:sz w:val="11"/>
                <w:szCs w:val="11"/>
                <w:u w:val="none"/>
                <w:lang w:val="en-US" w:eastAsia="zh-CN" w:bidi="ar"/>
              </w:rPr>
            </w:pPr>
            <w:r>
              <w:rPr>
                <w:rFonts w:hint="eastAsia" w:ascii="仿宋" w:hAnsi="仿宋" w:eastAsia="仿宋" w:cs="仿宋"/>
                <w:i w:val="0"/>
                <w:color w:val="auto"/>
                <w:kern w:val="0"/>
                <w:sz w:val="11"/>
                <w:szCs w:val="11"/>
                <w:u w:val="none"/>
                <w:lang w:val="en-US" w:eastAsia="zh-CN" w:bidi="ar"/>
              </w:rPr>
              <w:t>20000万元</w:t>
            </w:r>
          </w:p>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工业（包括采矿业，制造业，电力、热力、燃气及水生产和供应业）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kern w:val="0"/>
                <w:sz w:val="11"/>
                <w:szCs w:val="11"/>
                <w:u w:val="none"/>
                <w:lang w:val="en-US" w:eastAsia="zh-CN" w:bidi="ar"/>
              </w:rPr>
            </w:pPr>
            <w:r>
              <w:rPr>
                <w:rFonts w:hint="eastAsia" w:ascii="仿宋" w:hAnsi="仿宋" w:eastAsia="仿宋" w:cs="仿宋"/>
                <w:i w:val="0"/>
                <w:color w:val="auto"/>
                <w:kern w:val="0"/>
                <w:sz w:val="11"/>
                <w:szCs w:val="11"/>
                <w:u w:val="none"/>
                <w:lang w:val="en-US" w:eastAsia="zh-CN" w:bidi="ar"/>
              </w:rPr>
              <w:t>40000万元</w:t>
            </w:r>
          </w:p>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建筑业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kern w:val="0"/>
                <w:sz w:val="11"/>
                <w:szCs w:val="11"/>
                <w:u w:val="none"/>
                <w:lang w:val="en-US" w:eastAsia="zh-CN" w:bidi="ar"/>
              </w:rPr>
            </w:pPr>
            <w:r>
              <w:rPr>
                <w:rFonts w:hint="eastAsia" w:ascii="仿宋" w:hAnsi="仿宋" w:eastAsia="仿宋" w:cs="仿宋"/>
                <w:i w:val="0"/>
                <w:color w:val="auto"/>
                <w:kern w:val="0"/>
                <w:sz w:val="11"/>
                <w:szCs w:val="11"/>
                <w:u w:val="none"/>
                <w:lang w:val="en-US" w:eastAsia="zh-CN" w:bidi="ar"/>
              </w:rPr>
              <w:t>80000万元</w:t>
            </w:r>
          </w:p>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80000万元以下</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6000万元及以上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5000万元及以上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300万元及以上</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300万元以下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批发业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kern w:val="0"/>
                <w:sz w:val="11"/>
                <w:szCs w:val="11"/>
                <w:u w:val="none"/>
                <w:lang w:val="en-US" w:eastAsia="zh-CN" w:bidi="ar"/>
              </w:rPr>
            </w:pPr>
            <w:r>
              <w:rPr>
                <w:rFonts w:hint="eastAsia" w:ascii="仿宋" w:hAnsi="仿宋" w:eastAsia="仿宋" w:cs="仿宋"/>
                <w:i w:val="0"/>
                <w:color w:val="auto"/>
                <w:kern w:val="0"/>
                <w:sz w:val="11"/>
                <w:szCs w:val="11"/>
                <w:u w:val="none"/>
                <w:lang w:val="en-US" w:eastAsia="zh-CN" w:bidi="ar"/>
              </w:rPr>
              <w:t>40000万元</w:t>
            </w:r>
          </w:p>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零售业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kern w:val="0"/>
                <w:sz w:val="11"/>
                <w:szCs w:val="11"/>
                <w:u w:val="none"/>
                <w:lang w:val="en-US" w:eastAsia="zh-CN" w:bidi="ar"/>
              </w:rPr>
            </w:pPr>
            <w:r>
              <w:rPr>
                <w:rFonts w:hint="eastAsia" w:ascii="仿宋" w:hAnsi="仿宋" w:eastAsia="仿宋" w:cs="仿宋"/>
                <w:i w:val="0"/>
                <w:color w:val="auto"/>
                <w:kern w:val="0"/>
                <w:sz w:val="11"/>
                <w:szCs w:val="11"/>
                <w:u w:val="none"/>
                <w:lang w:val="en-US" w:eastAsia="zh-CN" w:bidi="ar"/>
              </w:rPr>
              <w:t>20000万元</w:t>
            </w:r>
          </w:p>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交通运输业（不含铁路运输业）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kern w:val="0"/>
                <w:sz w:val="11"/>
                <w:szCs w:val="11"/>
                <w:u w:val="none"/>
                <w:lang w:val="en-US" w:eastAsia="zh-CN" w:bidi="ar"/>
              </w:rPr>
            </w:pPr>
            <w:r>
              <w:rPr>
                <w:rFonts w:hint="eastAsia" w:ascii="仿宋" w:hAnsi="仿宋" w:eastAsia="仿宋" w:cs="仿宋"/>
                <w:i w:val="0"/>
                <w:color w:val="auto"/>
                <w:kern w:val="0"/>
                <w:sz w:val="11"/>
                <w:szCs w:val="11"/>
                <w:u w:val="none"/>
                <w:lang w:val="en-US" w:eastAsia="zh-CN" w:bidi="ar"/>
              </w:rPr>
              <w:t>30000万元</w:t>
            </w:r>
          </w:p>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仓储业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邮政业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住宿业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餐饮业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信息传输业（包括电信、互联网和相关服务）</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软件和信息技术服务业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房地产开发经营</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200000万元以下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5000万元及以上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2000万元及以上</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2000万元以下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7"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物业管理</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5000万元以下</w:t>
            </w: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1000万元及以上</w:t>
            </w: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500万元及以上</w:t>
            </w: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500万元以下</w:t>
            </w: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rPr>
                <w:rFonts w:hint="eastAsia" w:ascii="仿宋" w:hAnsi="仿宋" w:eastAsia="仿宋" w:cs="仿宋"/>
                <w:i w:val="0"/>
                <w:color w:val="auto"/>
                <w:sz w:val="11"/>
                <w:szCs w:val="1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68" w:hRule="atLeast"/>
          <w:jc w:val="center"/>
        </w:trPr>
        <w:tc>
          <w:tcPr>
            <w:tcW w:w="1925" w:type="dxa"/>
            <w:tcBorders>
              <w:top w:val="single" w:color="000000" w:sz="4" w:space="0"/>
              <w:left w:val="single" w:color="000000" w:sz="12"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租赁和商务服务业</w:t>
            </w:r>
          </w:p>
        </w:tc>
        <w:tc>
          <w:tcPr>
            <w:tcW w:w="60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300人以下</w:t>
            </w:r>
          </w:p>
        </w:tc>
        <w:tc>
          <w:tcPr>
            <w:tcW w:w="83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84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120000万元以下</w:t>
            </w:r>
          </w:p>
        </w:tc>
        <w:tc>
          <w:tcPr>
            <w:tcW w:w="76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4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8000万元及以上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0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100万元及以上</w:t>
            </w:r>
          </w:p>
        </w:tc>
        <w:tc>
          <w:tcPr>
            <w:tcW w:w="79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10人以下</w:t>
            </w:r>
          </w:p>
        </w:tc>
        <w:tc>
          <w:tcPr>
            <w:tcW w:w="714"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501" w:type="dxa"/>
            <w:tcBorders>
              <w:top w:val="single" w:color="000000" w:sz="4" w:space="0"/>
              <w:left w:val="single" w:color="000000" w:sz="4" w:space="0"/>
              <w:bottom w:val="single" w:color="000000" w:sz="4" w:space="0"/>
              <w:right w:val="single" w:color="000000" w:sz="12"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100万元以下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525" w:hRule="atLeast"/>
          <w:jc w:val="center"/>
        </w:trPr>
        <w:tc>
          <w:tcPr>
            <w:tcW w:w="1925" w:type="dxa"/>
            <w:tcBorders>
              <w:top w:val="single" w:color="000000" w:sz="4" w:space="0"/>
              <w:left w:val="single" w:color="000000" w:sz="12" w:space="0"/>
              <w:bottom w:val="single" w:color="000000" w:sz="12"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其他未列明行业（包括科学研究和技术服务业，水利、环境和公共设施管理业，居民服务、修理和其他服务业，社会工作，文化、体育和娱乐业等）</w:t>
            </w:r>
          </w:p>
        </w:tc>
        <w:tc>
          <w:tcPr>
            <w:tcW w:w="606" w:type="dxa"/>
            <w:tcBorders>
              <w:top w:val="single" w:color="000000" w:sz="4" w:space="0"/>
              <w:left w:val="single" w:color="000000" w:sz="4" w:space="0"/>
              <w:bottom w:val="single" w:color="000000" w:sz="12"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300人以下</w:t>
            </w:r>
          </w:p>
        </w:tc>
        <w:tc>
          <w:tcPr>
            <w:tcW w:w="835" w:type="dxa"/>
            <w:tcBorders>
              <w:top w:val="single" w:color="000000" w:sz="4" w:space="0"/>
              <w:left w:val="single" w:color="000000" w:sz="4" w:space="0"/>
              <w:bottom w:val="single" w:color="000000" w:sz="12"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843" w:type="dxa"/>
            <w:tcBorders>
              <w:top w:val="single" w:color="000000" w:sz="4" w:space="0"/>
              <w:left w:val="single" w:color="000000" w:sz="4" w:space="0"/>
              <w:bottom w:val="single" w:color="000000" w:sz="12"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66" w:type="dxa"/>
            <w:tcBorders>
              <w:top w:val="single" w:color="000000" w:sz="4" w:space="0"/>
              <w:left w:val="single" w:color="000000" w:sz="4" w:space="0"/>
              <w:bottom w:val="single" w:color="000000" w:sz="12"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100人及以上</w:t>
            </w:r>
          </w:p>
        </w:tc>
        <w:tc>
          <w:tcPr>
            <w:tcW w:w="936" w:type="dxa"/>
            <w:tcBorders>
              <w:top w:val="single" w:color="000000" w:sz="4" w:space="0"/>
              <w:left w:val="single" w:color="000000" w:sz="4" w:space="0"/>
              <w:bottom w:val="single" w:color="000000" w:sz="12"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40" w:type="dxa"/>
            <w:tcBorders>
              <w:top w:val="single" w:color="000000" w:sz="4" w:space="0"/>
              <w:left w:val="single" w:color="000000" w:sz="4" w:space="0"/>
              <w:bottom w:val="single" w:color="000000" w:sz="12"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85" w:type="dxa"/>
            <w:tcBorders>
              <w:top w:val="single" w:color="000000" w:sz="4" w:space="0"/>
              <w:left w:val="single" w:color="000000" w:sz="4" w:space="0"/>
              <w:bottom w:val="single" w:color="000000" w:sz="12"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10人及以上</w:t>
            </w:r>
          </w:p>
        </w:tc>
        <w:tc>
          <w:tcPr>
            <w:tcW w:w="785" w:type="dxa"/>
            <w:tcBorders>
              <w:top w:val="single" w:color="000000" w:sz="4" w:space="0"/>
              <w:left w:val="single" w:color="000000" w:sz="4" w:space="0"/>
              <w:bottom w:val="single" w:color="000000" w:sz="12"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04" w:type="dxa"/>
            <w:tcBorders>
              <w:top w:val="single" w:color="000000" w:sz="4" w:space="0"/>
              <w:left w:val="single" w:color="000000" w:sz="4" w:space="0"/>
              <w:bottom w:val="single" w:color="000000" w:sz="12"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798" w:type="dxa"/>
            <w:tcBorders>
              <w:top w:val="single" w:color="000000" w:sz="4" w:space="0"/>
              <w:left w:val="single" w:color="000000" w:sz="4" w:space="0"/>
              <w:bottom w:val="single" w:color="000000" w:sz="12" w:space="0"/>
              <w:right w:val="single" w:color="000000" w:sz="4" w:space="0"/>
            </w:tcBorders>
            <w:noWrap w:val="0"/>
            <w:vAlign w:val="center"/>
          </w:tcPr>
          <w:p>
            <w:pPr>
              <w:keepNext w:val="0"/>
              <w:keepLines w:val="0"/>
              <w:widowControl/>
              <w:suppressLineNumbers w:val="0"/>
              <w:jc w:val="left"/>
              <w:textAlignment w:val="center"/>
              <w:rPr>
                <w:rFonts w:hint="eastAsia" w:ascii="仿宋" w:hAnsi="仿宋" w:eastAsia="仿宋" w:cs="仿宋"/>
                <w:i w:val="0"/>
                <w:color w:val="auto"/>
                <w:sz w:val="11"/>
                <w:szCs w:val="11"/>
                <w:u w:val="none"/>
              </w:rPr>
            </w:pPr>
            <w:r>
              <w:rPr>
                <w:rFonts w:hint="eastAsia" w:ascii="仿宋" w:hAnsi="仿宋" w:eastAsia="仿宋" w:cs="仿宋"/>
                <w:i w:val="0"/>
                <w:color w:val="auto"/>
                <w:kern w:val="0"/>
                <w:sz w:val="11"/>
                <w:szCs w:val="11"/>
                <w:u w:val="none"/>
                <w:lang w:val="en-US" w:eastAsia="zh-CN" w:bidi="ar"/>
              </w:rPr>
              <w:t>10人以下</w:t>
            </w:r>
          </w:p>
        </w:tc>
        <w:tc>
          <w:tcPr>
            <w:tcW w:w="714" w:type="dxa"/>
            <w:tcBorders>
              <w:top w:val="single" w:color="000000" w:sz="4" w:space="0"/>
              <w:left w:val="single" w:color="000000" w:sz="4" w:space="0"/>
              <w:bottom w:val="single" w:color="000000" w:sz="12" w:space="0"/>
              <w:right w:val="single" w:color="000000" w:sz="4" w:space="0"/>
            </w:tcBorders>
            <w:noWrap w:val="0"/>
            <w:vAlign w:val="center"/>
          </w:tcPr>
          <w:p>
            <w:pPr>
              <w:rPr>
                <w:rFonts w:hint="eastAsia" w:ascii="仿宋" w:hAnsi="仿宋" w:eastAsia="仿宋" w:cs="仿宋"/>
                <w:i w:val="0"/>
                <w:color w:val="auto"/>
                <w:sz w:val="11"/>
                <w:szCs w:val="11"/>
                <w:u w:val="none"/>
              </w:rPr>
            </w:pPr>
          </w:p>
        </w:tc>
        <w:tc>
          <w:tcPr>
            <w:tcW w:w="501" w:type="dxa"/>
            <w:tcBorders>
              <w:top w:val="single" w:color="000000" w:sz="4" w:space="0"/>
              <w:left w:val="single" w:color="000000" w:sz="4" w:space="0"/>
              <w:bottom w:val="single" w:color="000000" w:sz="12" w:space="0"/>
              <w:right w:val="single" w:color="000000" w:sz="12" w:space="0"/>
            </w:tcBorders>
            <w:noWrap w:val="0"/>
            <w:vAlign w:val="center"/>
          </w:tcPr>
          <w:p>
            <w:pPr>
              <w:rPr>
                <w:rFonts w:hint="eastAsia" w:ascii="仿宋" w:hAnsi="仿宋" w:eastAsia="仿宋" w:cs="仿宋"/>
                <w:i w:val="0"/>
                <w:color w:val="auto"/>
                <w:sz w:val="11"/>
                <w:szCs w:val="11"/>
                <w:u w:val="none"/>
              </w:rPr>
            </w:pPr>
          </w:p>
        </w:tc>
      </w:tr>
    </w:tbl>
    <w:p>
      <w:pPr>
        <w:rPr>
          <w:rFonts w:hint="eastAsia"/>
          <w:color w:val="auto"/>
        </w:rPr>
      </w:pPr>
    </w:p>
    <w:sectPr>
      <w:headerReference r:id="rId9" w:type="default"/>
      <w:footerReference r:id="rId10"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_x000B__x000C_">
    <w:altName w:val="Courier New"/>
    <w:panose1 w:val="00000000000000000000"/>
    <w:charset w:val="00"/>
    <w:family w:val="roman"/>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both"/>
      <w:rPr>
        <w:rFonts w:hint="eastAsia"/>
      </w:rPr>
    </w:pPr>
    <w:r>
      <w:rPr>
        <w:sz w:val="16"/>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C9Wmv1rgEAAE0D&#10;AAAOAAAAAAAAAAEAIAAAAB4BAABkcnMvZTJvRG9jLnhtbFBLBQYAAAAABgAGAFkBAAA+BQAAAAA=&#10;">
              <v:fill on="f" focussize="0,0"/>
              <v:stroke on="f"/>
              <v:imagedata o:title=""/>
              <o:lock v:ext="edit" aspectratio="f"/>
              <v:textbox inset="0mm,0mm,0mm,0mm" style="mso-fit-shape-to-text:t;">
                <w:txbxContent>
                  <w:p/>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both"/>
      <w:rPr>
        <w:rFonts w:hint="eastAsia"/>
      </w:rPr>
    </w:pPr>
    <w:r>
      <w:rPr>
        <w:sz w:val="16"/>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COVYUNrgEAAE0D&#10;AAAOAAAAAAAAAAEAIAAAAB4BAABkcnMvZTJvRG9jLnhtbFBLBQYAAAAABgAGAFkBAAA+BQAAAAA=&#10;">
              <v:fill on="f" focussize="0,0"/>
              <v:stroke on="f"/>
              <v:imagedata o:title=""/>
              <o:lock v:ext="edit" aspectratio="f"/>
              <v:textbox inset="0mm,0mm,0mm,0mm" style="mso-fit-shape-to-text:t;">
                <w:txbxContent>
                  <w:p>
                    <w:pPr>
                      <w:pStyle w:val="14"/>
                    </w:pPr>
                  </w:p>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both"/>
      <w:rPr>
        <w:rFonts w:hint="eastAsia"/>
      </w:rPr>
    </w:pPr>
    <w:r>
      <w:rPr>
        <w:sz w:val="16"/>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bpOhgVAgAAFQQAAA4AAABkcnMvZTJvRG9jLnhtbK1Ty47TMBTdI/EP&#10;lvc0aRGjUj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KbpOhgVAgAAFQQAAA4AAAAAAAAA&#10;AQAgAAAAHwEAAGRycy9lMm9Eb2MueG1sUEsFBgAAAAAGAAYAWQEAAKY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r>
      <w:rPr>
        <w:sz w:val="16"/>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N/e7pK8BAABN&#10;AwAADgAAAAAAAAABACAAAAAeAQAAZHJzL2Uyb0RvYy54bWxQSwUGAAAAAAYABgBZAQAAPwUAAAAA&#10;">
              <v:fill on="f" focussize="0,0"/>
              <v:stroke on="f"/>
              <v:imagedata o:title=""/>
              <o:lock v:ext="edit" aspectratio="f"/>
              <v:textbox inset="0mm,0mm,0mm,0mm" style="mso-fit-shape-to-text:t;">
                <w:txbxContent>
                  <w:p>
                    <w:pPr>
                      <w:pStyle w:val="14"/>
                    </w:pPr>
                  </w:p>
                </w:txbxContent>
              </v:textbox>
            </v:shape>
          </w:pict>
        </mc:Fallback>
      </mc:AlternateContent>
    </w:r>
    <w:r>
      <w:rPr>
        <w:rFonts w:hint="eastAsia"/>
        <w:sz w:val="16"/>
        <w:szCs w:val="16"/>
      </w:rPr>
      <w:t xml:space="preserve"> </w:t>
    </w:r>
    <w:r>
      <w:rPr>
        <w:rFonts w:hint="eastAsia"/>
        <w:color w:val="800000"/>
        <w:sz w:val="16"/>
        <w:szCs w:val="20"/>
        <w:lang w:val="en-US" w:eastAsia="zh-CN"/>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both"/>
      <w:rPr>
        <w:rFonts w:hint="eastAsia"/>
      </w:rPr>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pPr>
                          <w:r>
                            <w:fldChar w:fldCharType="begin"/>
                          </w:r>
                          <w:r>
                            <w:instrText xml:space="preserve"> PAGE  \* MERGEFORMAT </w:instrText>
                          </w:r>
                          <w:r>
                            <w:fldChar w:fldCharType="separate"/>
                          </w:r>
                          <w:r>
                            <w:t>13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FTmuJK8BAABN&#10;AwAADgAAAAAAAAABACAAAAAeAQAAZHJzL2Uyb0RvYy54bWxQSwUGAAAAAAYABgBZAQAAPwU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13</w:t>
                    </w:r>
                    <w:r>
                      <w:fldChar w:fldCharType="end"/>
                    </w:r>
                  </w:p>
                </w:txbxContent>
              </v:textbox>
            </v:shape>
          </w:pict>
        </mc:Fallback>
      </mc:AlternateContent>
    </w:r>
    <w:r>
      <w:rPr>
        <w:rFonts w:hint="eastAsia" w:ascii="宋体" w:hAnsi="宋体" w:eastAsia="宋体" w:cs="宋体"/>
        <w:b w:val="0"/>
        <w:bCs w:val="0"/>
        <w:color w:val="auto"/>
        <w:sz w:val="24"/>
        <w:szCs w:val="24"/>
        <w:u w:val="none"/>
        <w:lang w:val="en-US" w:eastAsia="zh-CN"/>
      </w:rPr>
      <w:t xml:space="preserve">  </w:t>
    </w:r>
    <w:r>
      <w:rPr>
        <w:rFonts w:hint="eastAsia"/>
        <w:sz w:val="13"/>
        <w:szCs w:val="13"/>
      </w:rPr>
      <w:t xml:space="preserve"> </w:t>
    </w:r>
    <w:r>
      <w:rPr>
        <w:rFonts w:hint="eastAsia"/>
      </w:rPr>
      <w:t xml:space="preserve"> </w:t>
    </w:r>
    <w:r>
      <w:rPr>
        <w:rFonts w:hint="eastAsia"/>
        <w:color w:val="800000"/>
        <w:sz w:val="16"/>
        <w:szCs w:val="20"/>
        <w:lang w:val="en-US" w:eastAsia="zh-CN"/>
      </w:rPr>
      <w:t xml:space="preserve">      </w:t>
    </w:r>
  </w:p>
  <w:p>
    <w:pPr>
      <w:pStyle w:val="14"/>
      <w:keepNext w:val="0"/>
      <w:keepLines w:val="0"/>
      <w:pageBreakBefore w:val="0"/>
      <w:widowControl w:val="0"/>
      <w:kinsoku/>
      <w:wordWrap/>
      <w:overflowPunct/>
      <w:topLinePunct w:val="0"/>
      <w:autoSpaceDE w:val="0"/>
      <w:autoSpaceDN w:val="0"/>
      <w:bidi w:val="0"/>
      <w:adjustRightInd w:val="0"/>
      <w:snapToGrid w:val="0"/>
      <w:spacing w:line="240" w:lineRule="auto"/>
      <w:ind w:left="7200" w:hanging="7200" w:hangingChars="4000"/>
      <w:jc w:val="both"/>
      <w:textAlignment w:val="auto"/>
      <w:rPr>
        <w:rFonts w:hint="default"/>
        <w:lang w:val="en-US"/>
      </w:rPr>
    </w:pPr>
  </w:p>
  <w:p>
    <w:pPr>
      <w:pStyle w:val="14"/>
      <w:ind w:right="360"/>
      <w:jc w:val="right"/>
      <w:rPr>
        <w:rFonts w:hint="eastAsi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7Kn4UAgAAFQQAAA4AAABkcnMvZTJvRG9jLnhtbK1Ty47TMBTdI/EP&#10;lvc0aUe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Xb/M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CjsqfhQCAAAVBAAADgAAAAAAAAAB&#10;ACAAAAAfAQAAZHJzL2Uyb0RvYy54bWxQSwUGAAAAAAYABgBZAQAApQ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tabs>
        <w:tab w:val="clear" w:pos="4153"/>
        <w:tab w:val="clear" w:pos="8306"/>
      </w:tabs>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both"/>
      <w:rPr>
        <w:rFonts w:hint="eastAsia" w:ascii="宋体" w:hAnsi="宋体" w:eastAsia="宋体" w:cs="宋体"/>
        <w:sz w:val="20"/>
        <w:szCs w:val="20"/>
        <w:lang w:val="en-US"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jc w:val="both"/>
      <w:rPr>
        <w:rFonts w:hint="eastAsia" w:ascii="宋体" w:hAnsi="宋体" w:eastAsia="宋体" w:cs="宋体"/>
        <w:sz w:val="20"/>
        <w:szCs w:val="20"/>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0F1ACD9"/>
    <w:multiLevelType w:val="singleLevel"/>
    <w:tmpl w:val="B0F1ACD9"/>
    <w:lvl w:ilvl="0" w:tentative="0">
      <w:start w:val="2"/>
      <w:numFmt w:val="decimal"/>
      <w:lvlText w:val="%1."/>
      <w:lvlJc w:val="left"/>
      <w:rPr>
        <w:rFonts w:ascii="Times New Roman" w:hAnsi="Times New Roman" w:eastAsia="Times New Roman" w:cs="Times New Roman"/>
        <w:b w:val="0"/>
        <w:bCs w:val="0"/>
        <w:i w:val="0"/>
        <w:iCs w:val="0"/>
        <w:smallCaps w:val="0"/>
        <w:strike w:val="0"/>
        <w:color w:val="000000"/>
        <w:spacing w:val="0"/>
        <w:w w:val="100"/>
        <w:position w:val="0"/>
        <w:sz w:val="20"/>
        <w:szCs w:val="20"/>
        <w:u w:val="none"/>
        <w:shd w:val="clear" w:color="auto" w:fill="auto"/>
        <w:lang w:val="en-US" w:eastAsia="en-US" w:bidi="en-US"/>
      </w:rPr>
    </w:lvl>
  </w:abstractNum>
  <w:abstractNum w:abstractNumId="1">
    <w:nsid w:val="0000000D"/>
    <w:multiLevelType w:val="multilevel"/>
    <w:tmpl w:val="0000000D"/>
    <w:lvl w:ilvl="0" w:tentative="0">
      <w:start w:val="1"/>
      <w:numFmt w:val="decimal"/>
      <w:pStyle w:val="8"/>
      <w:lvlText w:val="%1."/>
      <w:lvlJc w:val="left"/>
      <w:pPr>
        <w:tabs>
          <w:tab w:val="left" w:pos="780"/>
        </w:tabs>
        <w:ind w:left="790" w:hanging="430"/>
      </w:pPr>
      <w:rPr>
        <w:rFonts w:hint="eastAsia"/>
      </w:rPr>
    </w:lvl>
    <w:lvl w:ilvl="1" w:tentative="0">
      <w:start w:val="1"/>
      <w:numFmt w:val="decimal"/>
      <w:lvlText w:val="%1.%2"/>
      <w:lvlJc w:val="left"/>
      <w:pPr>
        <w:tabs>
          <w:tab w:val="left" w:pos="880"/>
        </w:tabs>
        <w:ind w:left="880" w:hanging="700"/>
      </w:pPr>
      <w:rPr>
        <w:rFonts w:ascii="宋体" w:hAnsi="宋体" w:eastAsia="宋体" w:cs="Times New Roman"/>
        <w:lang w:val="en-US"/>
      </w:rPr>
    </w:lvl>
    <w:lvl w:ilvl="2" w:tentative="0">
      <w:start w:val="1"/>
      <w:numFmt w:val="decimal"/>
      <w:lvlText w:val="%1.%2.%3"/>
      <w:lvlJc w:val="left"/>
      <w:pPr>
        <w:tabs>
          <w:tab w:val="left" w:pos="1360"/>
        </w:tabs>
        <w:ind w:left="1360" w:hanging="1000"/>
      </w:pPr>
      <w:rPr>
        <w:rFonts w:hint="eastAsia"/>
      </w:rPr>
    </w:lvl>
    <w:lvl w:ilvl="3" w:tentative="0">
      <w:start w:val="1"/>
      <w:numFmt w:val="decimal"/>
      <w:lvlText w:val="%1.%2.%3.%4"/>
      <w:lvlJc w:val="left"/>
      <w:pPr>
        <w:tabs>
          <w:tab w:val="left" w:pos="360"/>
        </w:tabs>
        <w:ind w:left="2344" w:hanging="1984"/>
      </w:pPr>
      <w:rPr>
        <w:rFonts w:hint="eastAsia"/>
      </w:rPr>
    </w:lvl>
    <w:lvl w:ilvl="4" w:tentative="0">
      <w:start w:val="1"/>
      <w:numFmt w:val="decimal"/>
      <w:lvlText w:val="%1.%2.%3.%4.%5"/>
      <w:lvlJc w:val="left"/>
      <w:pPr>
        <w:tabs>
          <w:tab w:val="left" w:pos="2911"/>
        </w:tabs>
        <w:ind w:left="2911" w:hanging="850"/>
      </w:pPr>
      <w:rPr>
        <w:rFonts w:hint="eastAsia"/>
      </w:rPr>
    </w:lvl>
    <w:lvl w:ilvl="5" w:tentative="0">
      <w:start w:val="1"/>
      <w:numFmt w:val="decimal"/>
      <w:lvlText w:val="%1.%2.%3.%4.%5.%6"/>
      <w:lvlJc w:val="left"/>
      <w:pPr>
        <w:tabs>
          <w:tab w:val="left" w:pos="3620"/>
        </w:tabs>
        <w:ind w:left="3620" w:hanging="1134"/>
      </w:pPr>
      <w:rPr>
        <w:rFonts w:hint="eastAsia"/>
      </w:rPr>
    </w:lvl>
    <w:lvl w:ilvl="6" w:tentative="0">
      <w:start w:val="1"/>
      <w:numFmt w:val="decimal"/>
      <w:lvlText w:val="%1.%2.%3.%4.%5.%6.%7"/>
      <w:lvlJc w:val="left"/>
      <w:pPr>
        <w:tabs>
          <w:tab w:val="left" w:pos="4187"/>
        </w:tabs>
        <w:ind w:left="4187" w:hanging="1276"/>
      </w:pPr>
      <w:rPr>
        <w:rFonts w:hint="eastAsia"/>
      </w:rPr>
    </w:lvl>
    <w:lvl w:ilvl="7" w:tentative="0">
      <w:start w:val="1"/>
      <w:numFmt w:val="decimal"/>
      <w:lvlText w:val="%1.%2.%3.%4.%5.%6.%7.%8"/>
      <w:lvlJc w:val="left"/>
      <w:pPr>
        <w:tabs>
          <w:tab w:val="left" w:pos="4754"/>
        </w:tabs>
        <w:ind w:left="4754" w:hanging="1418"/>
      </w:pPr>
      <w:rPr>
        <w:rFonts w:hint="eastAsia"/>
      </w:rPr>
    </w:lvl>
    <w:lvl w:ilvl="8" w:tentative="0">
      <w:start w:val="1"/>
      <w:numFmt w:val="decimal"/>
      <w:lvlText w:val="%1.%2.%3.%4.%5.%6.%7.%8.%9"/>
      <w:lvlJc w:val="left"/>
      <w:pPr>
        <w:tabs>
          <w:tab w:val="left" w:pos="5462"/>
        </w:tabs>
        <w:ind w:left="5462" w:hanging="1700"/>
      </w:pPr>
      <w:rPr>
        <w:rFonts w:hint="eastAsia"/>
      </w:rPr>
    </w:lvl>
  </w:abstractNum>
  <w:abstractNum w:abstractNumId="2">
    <w:nsid w:val="03EF8FC6"/>
    <w:multiLevelType w:val="singleLevel"/>
    <w:tmpl w:val="03EF8FC6"/>
    <w:lvl w:ilvl="0" w:tentative="0">
      <w:start w:val="1"/>
      <w:numFmt w:val="chineseCounting"/>
      <w:suff w:val="nothing"/>
      <w:lvlText w:val="%1、"/>
      <w:lvlJc w:val="left"/>
      <w:rPr>
        <w:rFonts w:hint="eastAsia"/>
      </w:rPr>
    </w:lvl>
  </w:abstractNum>
  <w:abstractNum w:abstractNumId="3">
    <w:nsid w:val="11715540"/>
    <w:multiLevelType w:val="multilevel"/>
    <w:tmpl w:val="11715540"/>
    <w:lvl w:ilvl="0" w:tentative="0">
      <w:start w:val="1"/>
      <w:numFmt w:val="japaneseCounting"/>
      <w:lvlText w:val="（%1）"/>
      <w:lvlJc w:val="left"/>
      <w:pPr>
        <w:tabs>
          <w:tab w:val="left" w:pos="1725"/>
        </w:tabs>
        <w:ind w:left="1725" w:hanging="108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4">
    <w:nsid w:val="24E409BB"/>
    <w:multiLevelType w:val="multilevel"/>
    <w:tmpl w:val="24E409BB"/>
    <w:lvl w:ilvl="0" w:tentative="0">
      <w:start w:val="1"/>
      <w:numFmt w:val="decimal"/>
      <w:pStyle w:val="62"/>
      <w:lvlText w:val="表%1："/>
      <w:lvlJc w:val="left"/>
      <w:pPr>
        <w:ind w:left="900" w:hanging="420"/>
      </w:pPr>
      <w:rPr>
        <w:rFonts w:hint="eastAsia"/>
        <w:b w:val="0"/>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5">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6">
    <w:nsid w:val="55CD4C99"/>
    <w:multiLevelType w:val="singleLevel"/>
    <w:tmpl w:val="55CD4C99"/>
    <w:lvl w:ilvl="0" w:tentative="0">
      <w:start w:val="1"/>
      <w:numFmt w:val="chineseCounting"/>
      <w:suff w:val="nothing"/>
      <w:lvlText w:val="%1、"/>
      <w:lvlJc w:val="left"/>
    </w:lvl>
  </w:abstractNum>
  <w:abstractNum w:abstractNumId="7">
    <w:nsid w:val="78AA6554"/>
    <w:multiLevelType w:val="multilevel"/>
    <w:tmpl w:val="78AA6554"/>
    <w:lvl w:ilvl="0" w:tentative="0">
      <w:start w:val="1"/>
      <w:numFmt w:val="japaneseCounting"/>
      <w:lvlText w:val="（%1）"/>
      <w:lvlJc w:val="left"/>
      <w:pPr>
        <w:tabs>
          <w:tab w:val="left" w:pos="1725"/>
        </w:tabs>
        <w:ind w:left="1725" w:hanging="1080"/>
      </w:pPr>
      <w:rPr>
        <w:rFonts w:hint="default"/>
        <w:lang w:val="en-US"/>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8">
    <w:nsid w:val="796A1B45"/>
    <w:multiLevelType w:val="singleLevel"/>
    <w:tmpl w:val="796A1B45"/>
    <w:lvl w:ilvl="0" w:tentative="0">
      <w:start w:val="5"/>
      <w:numFmt w:val="chineseCounting"/>
      <w:suff w:val="space"/>
      <w:lvlText w:val="第%1章"/>
      <w:lvlJc w:val="left"/>
      <w:rPr>
        <w:rFonts w:hint="eastAsia"/>
      </w:rPr>
    </w:lvl>
  </w:abstractNum>
  <w:num w:numId="1">
    <w:abstractNumId w:val="1"/>
  </w:num>
  <w:num w:numId="2">
    <w:abstractNumId w:val="5"/>
  </w:num>
  <w:num w:numId="3">
    <w:abstractNumId w:val="4"/>
  </w:num>
  <w:num w:numId="4">
    <w:abstractNumId w:val="2"/>
  </w:num>
  <w:num w:numId="5">
    <w:abstractNumId w:val="6"/>
  </w:num>
  <w:num w:numId="6">
    <w:abstractNumId w:val="3"/>
  </w:num>
  <w:num w:numId="7">
    <w:abstractNumId w:val="7"/>
  </w:num>
  <w:num w:numId="8">
    <w:abstractNumId w:val="8"/>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iNWFhZjMyNTM3N2ZmN2I0NjJiYmJiYWE0ZDE4YjUifQ=="/>
  </w:docVars>
  <w:rsids>
    <w:rsidRoot w:val="430832B2"/>
    <w:rsid w:val="00036274"/>
    <w:rsid w:val="009E5347"/>
    <w:rsid w:val="00D87C1C"/>
    <w:rsid w:val="00FD7651"/>
    <w:rsid w:val="0123584C"/>
    <w:rsid w:val="012B1C39"/>
    <w:rsid w:val="013439C6"/>
    <w:rsid w:val="014E3C79"/>
    <w:rsid w:val="01564D90"/>
    <w:rsid w:val="01624898"/>
    <w:rsid w:val="01845C39"/>
    <w:rsid w:val="01845F4F"/>
    <w:rsid w:val="01A26771"/>
    <w:rsid w:val="01E44B68"/>
    <w:rsid w:val="0201160A"/>
    <w:rsid w:val="02857679"/>
    <w:rsid w:val="02C1356F"/>
    <w:rsid w:val="02C20569"/>
    <w:rsid w:val="02D00640"/>
    <w:rsid w:val="03120DC1"/>
    <w:rsid w:val="031511C4"/>
    <w:rsid w:val="035A77EC"/>
    <w:rsid w:val="042A106A"/>
    <w:rsid w:val="043F299D"/>
    <w:rsid w:val="04503042"/>
    <w:rsid w:val="047A5DAD"/>
    <w:rsid w:val="04D07890"/>
    <w:rsid w:val="04F83679"/>
    <w:rsid w:val="05782849"/>
    <w:rsid w:val="05925A9A"/>
    <w:rsid w:val="05CE725F"/>
    <w:rsid w:val="05E47398"/>
    <w:rsid w:val="06141E47"/>
    <w:rsid w:val="063B7194"/>
    <w:rsid w:val="06500E91"/>
    <w:rsid w:val="065A2827"/>
    <w:rsid w:val="06AC21D0"/>
    <w:rsid w:val="06E415DA"/>
    <w:rsid w:val="070C2BA5"/>
    <w:rsid w:val="071836A4"/>
    <w:rsid w:val="072B5291"/>
    <w:rsid w:val="07510DD4"/>
    <w:rsid w:val="07A174CB"/>
    <w:rsid w:val="07C763C4"/>
    <w:rsid w:val="08002443"/>
    <w:rsid w:val="080F08D8"/>
    <w:rsid w:val="08314CF2"/>
    <w:rsid w:val="08323FEC"/>
    <w:rsid w:val="085D5AE7"/>
    <w:rsid w:val="08AD661F"/>
    <w:rsid w:val="091D420B"/>
    <w:rsid w:val="09231976"/>
    <w:rsid w:val="093F2ABC"/>
    <w:rsid w:val="096B5FE2"/>
    <w:rsid w:val="099F034B"/>
    <w:rsid w:val="09A6701A"/>
    <w:rsid w:val="09B03D19"/>
    <w:rsid w:val="09B26718"/>
    <w:rsid w:val="0A544CC8"/>
    <w:rsid w:val="0A900CFB"/>
    <w:rsid w:val="0A982D0F"/>
    <w:rsid w:val="0AEC1713"/>
    <w:rsid w:val="0B213EE8"/>
    <w:rsid w:val="0B2A4806"/>
    <w:rsid w:val="0B2F3756"/>
    <w:rsid w:val="0B9E39F1"/>
    <w:rsid w:val="0BF26C44"/>
    <w:rsid w:val="0C0F70F9"/>
    <w:rsid w:val="0C3E5EA2"/>
    <w:rsid w:val="0CB211CB"/>
    <w:rsid w:val="0CD70ACB"/>
    <w:rsid w:val="0D9D78AF"/>
    <w:rsid w:val="0E4A4418"/>
    <w:rsid w:val="0E547045"/>
    <w:rsid w:val="0EC20452"/>
    <w:rsid w:val="0F957915"/>
    <w:rsid w:val="0FC53D5B"/>
    <w:rsid w:val="0FCE1079"/>
    <w:rsid w:val="1008458B"/>
    <w:rsid w:val="10685029"/>
    <w:rsid w:val="1079177B"/>
    <w:rsid w:val="108673FD"/>
    <w:rsid w:val="11140D0D"/>
    <w:rsid w:val="111B209C"/>
    <w:rsid w:val="11A91EAF"/>
    <w:rsid w:val="11DC5CCF"/>
    <w:rsid w:val="11E12CB7"/>
    <w:rsid w:val="120510DA"/>
    <w:rsid w:val="1245580B"/>
    <w:rsid w:val="125E7697"/>
    <w:rsid w:val="12B075EE"/>
    <w:rsid w:val="12D12991"/>
    <w:rsid w:val="130308CA"/>
    <w:rsid w:val="130578F4"/>
    <w:rsid w:val="131E2200"/>
    <w:rsid w:val="13725EDE"/>
    <w:rsid w:val="138C6930"/>
    <w:rsid w:val="13F37300"/>
    <w:rsid w:val="147A17CF"/>
    <w:rsid w:val="147E7F5B"/>
    <w:rsid w:val="148443FC"/>
    <w:rsid w:val="148A7494"/>
    <w:rsid w:val="15072771"/>
    <w:rsid w:val="1525173B"/>
    <w:rsid w:val="153C6A85"/>
    <w:rsid w:val="15E839EB"/>
    <w:rsid w:val="15F01C71"/>
    <w:rsid w:val="167B61DA"/>
    <w:rsid w:val="168E11C7"/>
    <w:rsid w:val="171F0B4E"/>
    <w:rsid w:val="17C75FE2"/>
    <w:rsid w:val="17EB3771"/>
    <w:rsid w:val="181F6553"/>
    <w:rsid w:val="186043DF"/>
    <w:rsid w:val="18807179"/>
    <w:rsid w:val="189866C8"/>
    <w:rsid w:val="18FE29CF"/>
    <w:rsid w:val="1910625E"/>
    <w:rsid w:val="1915344D"/>
    <w:rsid w:val="19314B52"/>
    <w:rsid w:val="195A0A29"/>
    <w:rsid w:val="19791440"/>
    <w:rsid w:val="198D3D53"/>
    <w:rsid w:val="19962C07"/>
    <w:rsid w:val="1AA03612"/>
    <w:rsid w:val="1AA14F3E"/>
    <w:rsid w:val="1B0B7AA5"/>
    <w:rsid w:val="1B1A36EF"/>
    <w:rsid w:val="1B735BA6"/>
    <w:rsid w:val="1BE65325"/>
    <w:rsid w:val="1C752FA8"/>
    <w:rsid w:val="1C940F54"/>
    <w:rsid w:val="1CDF48C5"/>
    <w:rsid w:val="1D2C3D70"/>
    <w:rsid w:val="1D320E99"/>
    <w:rsid w:val="1D5319AE"/>
    <w:rsid w:val="1D790876"/>
    <w:rsid w:val="1DCE13A6"/>
    <w:rsid w:val="1DE30541"/>
    <w:rsid w:val="1E1E766F"/>
    <w:rsid w:val="1E6813A9"/>
    <w:rsid w:val="1E6B3769"/>
    <w:rsid w:val="1E9662D3"/>
    <w:rsid w:val="1ECE4F82"/>
    <w:rsid w:val="1EE5064C"/>
    <w:rsid w:val="1F232690"/>
    <w:rsid w:val="1F5B26D6"/>
    <w:rsid w:val="1F6007D8"/>
    <w:rsid w:val="1F9F560E"/>
    <w:rsid w:val="206550E2"/>
    <w:rsid w:val="206D09D6"/>
    <w:rsid w:val="207424A7"/>
    <w:rsid w:val="207672EF"/>
    <w:rsid w:val="20846D9A"/>
    <w:rsid w:val="21A0314F"/>
    <w:rsid w:val="22082608"/>
    <w:rsid w:val="224D06F7"/>
    <w:rsid w:val="22965E6B"/>
    <w:rsid w:val="22A87B2E"/>
    <w:rsid w:val="22E4756A"/>
    <w:rsid w:val="22F917C9"/>
    <w:rsid w:val="23001A0F"/>
    <w:rsid w:val="236A6D03"/>
    <w:rsid w:val="23781A8E"/>
    <w:rsid w:val="23874BA3"/>
    <w:rsid w:val="24392B0D"/>
    <w:rsid w:val="247B2157"/>
    <w:rsid w:val="24C745BD"/>
    <w:rsid w:val="24F20F0E"/>
    <w:rsid w:val="25002F8D"/>
    <w:rsid w:val="25546BA5"/>
    <w:rsid w:val="25550156"/>
    <w:rsid w:val="26467763"/>
    <w:rsid w:val="26655E3B"/>
    <w:rsid w:val="267D2FA7"/>
    <w:rsid w:val="26D37563"/>
    <w:rsid w:val="26FA0621"/>
    <w:rsid w:val="26FE4023"/>
    <w:rsid w:val="276D1063"/>
    <w:rsid w:val="27D6235B"/>
    <w:rsid w:val="27DD0E3E"/>
    <w:rsid w:val="27DF7829"/>
    <w:rsid w:val="283D072F"/>
    <w:rsid w:val="285C7E68"/>
    <w:rsid w:val="285D3EC5"/>
    <w:rsid w:val="28667C49"/>
    <w:rsid w:val="286B44D3"/>
    <w:rsid w:val="28D154E2"/>
    <w:rsid w:val="291C049E"/>
    <w:rsid w:val="29277EE7"/>
    <w:rsid w:val="292A6EC8"/>
    <w:rsid w:val="293F68AF"/>
    <w:rsid w:val="29973AC1"/>
    <w:rsid w:val="29D358D6"/>
    <w:rsid w:val="29FE59E2"/>
    <w:rsid w:val="2A2953D2"/>
    <w:rsid w:val="2A5276B0"/>
    <w:rsid w:val="2A6F2C28"/>
    <w:rsid w:val="2AB303AA"/>
    <w:rsid w:val="2AE91A2D"/>
    <w:rsid w:val="2AF552B4"/>
    <w:rsid w:val="2AF7727E"/>
    <w:rsid w:val="2B1240B8"/>
    <w:rsid w:val="2B762634"/>
    <w:rsid w:val="2BA72AC0"/>
    <w:rsid w:val="2C061FF9"/>
    <w:rsid w:val="2C412934"/>
    <w:rsid w:val="2C9D33DE"/>
    <w:rsid w:val="2D0472D7"/>
    <w:rsid w:val="2D1B0C53"/>
    <w:rsid w:val="2D353E80"/>
    <w:rsid w:val="2D567383"/>
    <w:rsid w:val="2D6A0F15"/>
    <w:rsid w:val="2DF1140A"/>
    <w:rsid w:val="2E0368EC"/>
    <w:rsid w:val="2E1B0C2F"/>
    <w:rsid w:val="2E7035CF"/>
    <w:rsid w:val="2E764B34"/>
    <w:rsid w:val="2EE159A7"/>
    <w:rsid w:val="2F563B1F"/>
    <w:rsid w:val="2F666780"/>
    <w:rsid w:val="2F8D0CD0"/>
    <w:rsid w:val="2FA50B1C"/>
    <w:rsid w:val="2FCA119B"/>
    <w:rsid w:val="2FCA5339"/>
    <w:rsid w:val="30803872"/>
    <w:rsid w:val="30A25C95"/>
    <w:rsid w:val="318E104D"/>
    <w:rsid w:val="31C54436"/>
    <w:rsid w:val="32132826"/>
    <w:rsid w:val="3276317E"/>
    <w:rsid w:val="32C747F0"/>
    <w:rsid w:val="335C76C1"/>
    <w:rsid w:val="335D0CAA"/>
    <w:rsid w:val="33AD4708"/>
    <w:rsid w:val="33C54337"/>
    <w:rsid w:val="342D46E0"/>
    <w:rsid w:val="3464452F"/>
    <w:rsid w:val="34711E4F"/>
    <w:rsid w:val="347B5013"/>
    <w:rsid w:val="348C46C9"/>
    <w:rsid w:val="34AC63E7"/>
    <w:rsid w:val="34E90F29"/>
    <w:rsid w:val="35286B09"/>
    <w:rsid w:val="35427B0F"/>
    <w:rsid w:val="35470E02"/>
    <w:rsid w:val="35984102"/>
    <w:rsid w:val="35A52F57"/>
    <w:rsid w:val="36104FF7"/>
    <w:rsid w:val="3613612C"/>
    <w:rsid w:val="36203B2D"/>
    <w:rsid w:val="363E006C"/>
    <w:rsid w:val="36656C56"/>
    <w:rsid w:val="36A84DB7"/>
    <w:rsid w:val="36AA5E0A"/>
    <w:rsid w:val="36C76BED"/>
    <w:rsid w:val="37AE443E"/>
    <w:rsid w:val="37D44BCF"/>
    <w:rsid w:val="37F20D9B"/>
    <w:rsid w:val="380723E4"/>
    <w:rsid w:val="38083993"/>
    <w:rsid w:val="381B7B32"/>
    <w:rsid w:val="38A833C8"/>
    <w:rsid w:val="38C56C0D"/>
    <w:rsid w:val="38D8647A"/>
    <w:rsid w:val="39AF4D5C"/>
    <w:rsid w:val="3A1273C6"/>
    <w:rsid w:val="3A306308"/>
    <w:rsid w:val="3A4D1B8A"/>
    <w:rsid w:val="3A6217C8"/>
    <w:rsid w:val="3A6E55C5"/>
    <w:rsid w:val="3A7601BF"/>
    <w:rsid w:val="3AE06945"/>
    <w:rsid w:val="3B446882"/>
    <w:rsid w:val="3C3C047F"/>
    <w:rsid w:val="3C756255"/>
    <w:rsid w:val="3CA827C1"/>
    <w:rsid w:val="3CAD59EE"/>
    <w:rsid w:val="3D056B6D"/>
    <w:rsid w:val="3D1C4922"/>
    <w:rsid w:val="3D5347E8"/>
    <w:rsid w:val="3D751F42"/>
    <w:rsid w:val="3DB66B25"/>
    <w:rsid w:val="3DBF59D9"/>
    <w:rsid w:val="3DF75A9A"/>
    <w:rsid w:val="3E2A2439"/>
    <w:rsid w:val="3EA13331"/>
    <w:rsid w:val="3F8E15FB"/>
    <w:rsid w:val="3FE31187"/>
    <w:rsid w:val="400E3ED6"/>
    <w:rsid w:val="40585F6D"/>
    <w:rsid w:val="4059257C"/>
    <w:rsid w:val="408D6263"/>
    <w:rsid w:val="408E72C3"/>
    <w:rsid w:val="408E7BCF"/>
    <w:rsid w:val="40B26236"/>
    <w:rsid w:val="40C61775"/>
    <w:rsid w:val="40E84EB0"/>
    <w:rsid w:val="40ED175B"/>
    <w:rsid w:val="41310557"/>
    <w:rsid w:val="41477586"/>
    <w:rsid w:val="41681350"/>
    <w:rsid w:val="416F668A"/>
    <w:rsid w:val="417E1176"/>
    <w:rsid w:val="419F6662"/>
    <w:rsid w:val="41A72D03"/>
    <w:rsid w:val="41AF045B"/>
    <w:rsid w:val="41BC55E0"/>
    <w:rsid w:val="420B7389"/>
    <w:rsid w:val="421F738E"/>
    <w:rsid w:val="423563C7"/>
    <w:rsid w:val="424C5E88"/>
    <w:rsid w:val="425E5109"/>
    <w:rsid w:val="425F778B"/>
    <w:rsid w:val="426D0C07"/>
    <w:rsid w:val="42C57370"/>
    <w:rsid w:val="430832B2"/>
    <w:rsid w:val="431762B8"/>
    <w:rsid w:val="435C6FF2"/>
    <w:rsid w:val="43CC2324"/>
    <w:rsid w:val="43EE2B41"/>
    <w:rsid w:val="44254A04"/>
    <w:rsid w:val="445769C9"/>
    <w:rsid w:val="446449E3"/>
    <w:rsid w:val="44740DA7"/>
    <w:rsid w:val="45160181"/>
    <w:rsid w:val="454815E5"/>
    <w:rsid w:val="455200F2"/>
    <w:rsid w:val="45696394"/>
    <w:rsid w:val="457C2033"/>
    <w:rsid w:val="45C358D0"/>
    <w:rsid w:val="46195EA3"/>
    <w:rsid w:val="463B1735"/>
    <w:rsid w:val="466435C2"/>
    <w:rsid w:val="46914348"/>
    <w:rsid w:val="46A95479"/>
    <w:rsid w:val="46F77B89"/>
    <w:rsid w:val="471A7CE9"/>
    <w:rsid w:val="4743767B"/>
    <w:rsid w:val="47503B46"/>
    <w:rsid w:val="47E2253F"/>
    <w:rsid w:val="47E77823"/>
    <w:rsid w:val="48154BE8"/>
    <w:rsid w:val="48602451"/>
    <w:rsid w:val="4876582E"/>
    <w:rsid w:val="4891193E"/>
    <w:rsid w:val="49726A4B"/>
    <w:rsid w:val="497423E9"/>
    <w:rsid w:val="497F0713"/>
    <w:rsid w:val="49971F00"/>
    <w:rsid w:val="4A054DD0"/>
    <w:rsid w:val="4AA22D0B"/>
    <w:rsid w:val="4AE7284A"/>
    <w:rsid w:val="4B085898"/>
    <w:rsid w:val="4BB73B85"/>
    <w:rsid w:val="4BF478AD"/>
    <w:rsid w:val="4C17384D"/>
    <w:rsid w:val="4C257A37"/>
    <w:rsid w:val="4C472193"/>
    <w:rsid w:val="4C5E2925"/>
    <w:rsid w:val="4C8101C3"/>
    <w:rsid w:val="4C82766A"/>
    <w:rsid w:val="4C883D82"/>
    <w:rsid w:val="4CA834BF"/>
    <w:rsid w:val="4CD36CBE"/>
    <w:rsid w:val="4CD6525A"/>
    <w:rsid w:val="4DF50B78"/>
    <w:rsid w:val="4E6938E7"/>
    <w:rsid w:val="4E701DC0"/>
    <w:rsid w:val="4F006719"/>
    <w:rsid w:val="4F2E489B"/>
    <w:rsid w:val="4F5166AD"/>
    <w:rsid w:val="4F5D25FD"/>
    <w:rsid w:val="4F6050C6"/>
    <w:rsid w:val="4F6E7BF4"/>
    <w:rsid w:val="4F834795"/>
    <w:rsid w:val="4FB41D44"/>
    <w:rsid w:val="4FBA0341"/>
    <w:rsid w:val="4FF8133B"/>
    <w:rsid w:val="50834F8C"/>
    <w:rsid w:val="509A3769"/>
    <w:rsid w:val="50BF6E81"/>
    <w:rsid w:val="51206F38"/>
    <w:rsid w:val="51396579"/>
    <w:rsid w:val="513F080C"/>
    <w:rsid w:val="519E7127"/>
    <w:rsid w:val="51A04E60"/>
    <w:rsid w:val="51F35D7E"/>
    <w:rsid w:val="52195BA8"/>
    <w:rsid w:val="524364A8"/>
    <w:rsid w:val="525F69D2"/>
    <w:rsid w:val="52654DCD"/>
    <w:rsid w:val="52CD0741"/>
    <w:rsid w:val="5306542C"/>
    <w:rsid w:val="533238C8"/>
    <w:rsid w:val="533662E6"/>
    <w:rsid w:val="53390376"/>
    <w:rsid w:val="53957A8E"/>
    <w:rsid w:val="539D7E0F"/>
    <w:rsid w:val="53E61D59"/>
    <w:rsid w:val="54007553"/>
    <w:rsid w:val="54AB4AB2"/>
    <w:rsid w:val="54B5309D"/>
    <w:rsid w:val="54ED50CA"/>
    <w:rsid w:val="552305BD"/>
    <w:rsid w:val="553813F1"/>
    <w:rsid w:val="55616678"/>
    <w:rsid w:val="55905B9F"/>
    <w:rsid w:val="55BD7B2D"/>
    <w:rsid w:val="561661F5"/>
    <w:rsid w:val="56461F01"/>
    <w:rsid w:val="56493792"/>
    <w:rsid w:val="56B85046"/>
    <w:rsid w:val="56CB744A"/>
    <w:rsid w:val="57FE2E05"/>
    <w:rsid w:val="58174014"/>
    <w:rsid w:val="58417C95"/>
    <w:rsid w:val="58AF7528"/>
    <w:rsid w:val="58B101BD"/>
    <w:rsid w:val="58E42340"/>
    <w:rsid w:val="59622E18"/>
    <w:rsid w:val="59A73423"/>
    <w:rsid w:val="59BD150F"/>
    <w:rsid w:val="59CD5363"/>
    <w:rsid w:val="59FB5B93"/>
    <w:rsid w:val="5A5A4FB0"/>
    <w:rsid w:val="5AE0581C"/>
    <w:rsid w:val="5B073F02"/>
    <w:rsid w:val="5B3D1283"/>
    <w:rsid w:val="5B5A5BA7"/>
    <w:rsid w:val="5BE43388"/>
    <w:rsid w:val="5C2A62A9"/>
    <w:rsid w:val="5C5B500F"/>
    <w:rsid w:val="5CA70C84"/>
    <w:rsid w:val="5CBD7585"/>
    <w:rsid w:val="5CD3424E"/>
    <w:rsid w:val="5CD53D28"/>
    <w:rsid w:val="5D213B63"/>
    <w:rsid w:val="5D2366CB"/>
    <w:rsid w:val="5D3331A6"/>
    <w:rsid w:val="5D7E7207"/>
    <w:rsid w:val="5DA87520"/>
    <w:rsid w:val="5E135BA1"/>
    <w:rsid w:val="5E1D1079"/>
    <w:rsid w:val="5E455DA7"/>
    <w:rsid w:val="5E620D5D"/>
    <w:rsid w:val="5EDA6373"/>
    <w:rsid w:val="5EF56042"/>
    <w:rsid w:val="5F96233B"/>
    <w:rsid w:val="601F4136"/>
    <w:rsid w:val="6033726D"/>
    <w:rsid w:val="614E32C1"/>
    <w:rsid w:val="61EA6069"/>
    <w:rsid w:val="622568AB"/>
    <w:rsid w:val="62C5683B"/>
    <w:rsid w:val="62CC631F"/>
    <w:rsid w:val="62F37D50"/>
    <w:rsid w:val="63035805"/>
    <w:rsid w:val="634A483E"/>
    <w:rsid w:val="638D2353"/>
    <w:rsid w:val="63A644F3"/>
    <w:rsid w:val="642B45E0"/>
    <w:rsid w:val="64604EAC"/>
    <w:rsid w:val="64740A1C"/>
    <w:rsid w:val="6484198E"/>
    <w:rsid w:val="6501067A"/>
    <w:rsid w:val="650A4AD0"/>
    <w:rsid w:val="651F1489"/>
    <w:rsid w:val="652855EC"/>
    <w:rsid w:val="65297A59"/>
    <w:rsid w:val="654A79CF"/>
    <w:rsid w:val="659B647C"/>
    <w:rsid w:val="65B85280"/>
    <w:rsid w:val="65F1704F"/>
    <w:rsid w:val="66015753"/>
    <w:rsid w:val="66457796"/>
    <w:rsid w:val="665412EB"/>
    <w:rsid w:val="66616510"/>
    <w:rsid w:val="66A10559"/>
    <w:rsid w:val="66A5387A"/>
    <w:rsid w:val="66CE1912"/>
    <w:rsid w:val="67656B1B"/>
    <w:rsid w:val="67850016"/>
    <w:rsid w:val="679F3D1A"/>
    <w:rsid w:val="67AE419D"/>
    <w:rsid w:val="67B22635"/>
    <w:rsid w:val="67D77C40"/>
    <w:rsid w:val="67F746C9"/>
    <w:rsid w:val="683769EB"/>
    <w:rsid w:val="684E5A28"/>
    <w:rsid w:val="687B73D6"/>
    <w:rsid w:val="68D35518"/>
    <w:rsid w:val="68DB72BC"/>
    <w:rsid w:val="68EB4DA6"/>
    <w:rsid w:val="68F6190A"/>
    <w:rsid w:val="691E7D01"/>
    <w:rsid w:val="698C50B9"/>
    <w:rsid w:val="69D47128"/>
    <w:rsid w:val="6A6E06AA"/>
    <w:rsid w:val="6ADE7537"/>
    <w:rsid w:val="6B221B0E"/>
    <w:rsid w:val="6B2F38EF"/>
    <w:rsid w:val="6B361121"/>
    <w:rsid w:val="6B715688"/>
    <w:rsid w:val="6BC71D79"/>
    <w:rsid w:val="6C180643"/>
    <w:rsid w:val="6C7543E1"/>
    <w:rsid w:val="6C963B87"/>
    <w:rsid w:val="6CA96079"/>
    <w:rsid w:val="6CAC1F8A"/>
    <w:rsid w:val="6CC81EA4"/>
    <w:rsid w:val="6D37776E"/>
    <w:rsid w:val="6D5726BE"/>
    <w:rsid w:val="6DA94D04"/>
    <w:rsid w:val="6DCC160A"/>
    <w:rsid w:val="6E2E1166"/>
    <w:rsid w:val="6E4476B1"/>
    <w:rsid w:val="6E4D43F7"/>
    <w:rsid w:val="6EE36ECA"/>
    <w:rsid w:val="6F0D0357"/>
    <w:rsid w:val="6F743FC6"/>
    <w:rsid w:val="6F783404"/>
    <w:rsid w:val="6FD902CD"/>
    <w:rsid w:val="6FEC0000"/>
    <w:rsid w:val="6FFC5967"/>
    <w:rsid w:val="704838FD"/>
    <w:rsid w:val="709119F6"/>
    <w:rsid w:val="70F85E07"/>
    <w:rsid w:val="711F4749"/>
    <w:rsid w:val="71AA0173"/>
    <w:rsid w:val="71F7318A"/>
    <w:rsid w:val="72125FA3"/>
    <w:rsid w:val="721A3870"/>
    <w:rsid w:val="724438D7"/>
    <w:rsid w:val="726447C6"/>
    <w:rsid w:val="72760055"/>
    <w:rsid w:val="72DB435C"/>
    <w:rsid w:val="73025D8D"/>
    <w:rsid w:val="739641CD"/>
    <w:rsid w:val="74BF428E"/>
    <w:rsid w:val="74C74814"/>
    <w:rsid w:val="74CE4179"/>
    <w:rsid w:val="74F02341"/>
    <w:rsid w:val="750A2CD7"/>
    <w:rsid w:val="751D2638"/>
    <w:rsid w:val="751D4246"/>
    <w:rsid w:val="756731FE"/>
    <w:rsid w:val="75AB1C93"/>
    <w:rsid w:val="75CA224A"/>
    <w:rsid w:val="761B163F"/>
    <w:rsid w:val="76810114"/>
    <w:rsid w:val="76A71125"/>
    <w:rsid w:val="76E41762"/>
    <w:rsid w:val="7717316E"/>
    <w:rsid w:val="771E4452"/>
    <w:rsid w:val="77476464"/>
    <w:rsid w:val="774D403C"/>
    <w:rsid w:val="77514BED"/>
    <w:rsid w:val="77603777"/>
    <w:rsid w:val="77644920"/>
    <w:rsid w:val="77901BB9"/>
    <w:rsid w:val="77C7479C"/>
    <w:rsid w:val="77E35C7F"/>
    <w:rsid w:val="77E37F3B"/>
    <w:rsid w:val="78092ADA"/>
    <w:rsid w:val="788E3223"/>
    <w:rsid w:val="789675EF"/>
    <w:rsid w:val="78B869E4"/>
    <w:rsid w:val="78E06AB0"/>
    <w:rsid w:val="78EC5C04"/>
    <w:rsid w:val="798E0318"/>
    <w:rsid w:val="7A0D5743"/>
    <w:rsid w:val="7A1A7F05"/>
    <w:rsid w:val="7A601D17"/>
    <w:rsid w:val="7A9D63E6"/>
    <w:rsid w:val="7AD93877"/>
    <w:rsid w:val="7B183CA0"/>
    <w:rsid w:val="7B2C19C7"/>
    <w:rsid w:val="7BA479E1"/>
    <w:rsid w:val="7BAB5214"/>
    <w:rsid w:val="7BB35B1D"/>
    <w:rsid w:val="7BC12D50"/>
    <w:rsid w:val="7BE70371"/>
    <w:rsid w:val="7BFC0690"/>
    <w:rsid w:val="7C3C7968"/>
    <w:rsid w:val="7C570EF7"/>
    <w:rsid w:val="7CC540BD"/>
    <w:rsid w:val="7CF42F0C"/>
    <w:rsid w:val="7D423759"/>
    <w:rsid w:val="7D695F1A"/>
    <w:rsid w:val="7D951CD7"/>
    <w:rsid w:val="7D9D0B8C"/>
    <w:rsid w:val="7DD956AA"/>
    <w:rsid w:val="7DF23E0D"/>
    <w:rsid w:val="7E207DCE"/>
    <w:rsid w:val="7E2D5B39"/>
    <w:rsid w:val="7E625D1A"/>
    <w:rsid w:val="7ED160D1"/>
    <w:rsid w:val="7EF26A8A"/>
    <w:rsid w:val="7EF716E0"/>
    <w:rsid w:val="7F410AE2"/>
    <w:rsid w:val="7FA829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eepNext w:val="0"/>
      <w:keepLines w:val="0"/>
      <w:widowControl w:val="0"/>
      <w:shd w:val="clear" w:color="auto" w:fill="auto"/>
      <w:bidi w:val="0"/>
      <w:spacing w:before="0" w:after="0" w:line="240" w:lineRule="auto"/>
      <w:ind w:left="0" w:right="0" w:firstLine="0"/>
      <w:jc w:val="left"/>
    </w:pPr>
    <w:rPr>
      <w:rFonts w:ascii="Times New Roman" w:hAnsi="Times New Roman" w:eastAsia="Times New Roman" w:cs="Times New Roman"/>
      <w:color w:val="000000"/>
      <w:spacing w:val="0"/>
      <w:w w:val="100"/>
      <w:position w:val="0"/>
      <w:sz w:val="24"/>
      <w:szCs w:val="24"/>
      <w:shd w:val="clear" w:color="auto" w:fill="auto"/>
      <w:lang w:val="en-US" w:eastAsia="en-US" w:bidi="en-US"/>
    </w:rPr>
  </w:style>
  <w:style w:type="paragraph" w:styleId="3">
    <w:name w:val="heading 1"/>
    <w:basedOn w:val="1"/>
    <w:next w:val="1"/>
    <w:qFormat/>
    <w:uiPriority w:val="0"/>
    <w:pPr>
      <w:keepNext/>
      <w:keepLines/>
      <w:spacing w:line="360" w:lineRule="auto"/>
      <w:jc w:val="center"/>
      <w:outlineLvl w:val="0"/>
    </w:pPr>
    <w:rPr>
      <w:b/>
      <w:bCs/>
      <w:kern w:val="44"/>
      <w:sz w:val="44"/>
      <w:szCs w:val="44"/>
    </w:rPr>
  </w:style>
  <w:style w:type="paragraph" w:styleId="4">
    <w:name w:val="heading 2"/>
    <w:basedOn w:val="1"/>
    <w:next w:val="1"/>
    <w:qFormat/>
    <w:uiPriority w:val="0"/>
    <w:pPr>
      <w:tabs>
        <w:tab w:val="left" w:pos="540"/>
      </w:tabs>
      <w:adjustRightInd w:val="0"/>
      <w:snapToGrid w:val="0"/>
      <w:spacing w:line="360" w:lineRule="auto"/>
      <w:jc w:val="center"/>
      <w:outlineLvl w:val="1"/>
    </w:pPr>
    <w:rPr>
      <w:rFonts w:ascii="Arial" w:hAnsi="Arial"/>
      <w:b/>
      <w:sz w:val="28"/>
      <w:szCs w:val="20"/>
    </w:rPr>
  </w:style>
  <w:style w:type="paragraph" w:styleId="5">
    <w:name w:val="heading 3"/>
    <w:basedOn w:val="1"/>
    <w:next w:val="1"/>
    <w:qFormat/>
    <w:uiPriority w:val="9"/>
    <w:pPr>
      <w:keepNext/>
      <w:keepLines/>
      <w:spacing w:before="260" w:after="260" w:line="416" w:lineRule="auto"/>
      <w:outlineLvl w:val="2"/>
    </w:pPr>
    <w:rPr>
      <w:b/>
      <w:bCs/>
      <w:sz w:val="32"/>
      <w:szCs w:val="32"/>
    </w:rPr>
  </w:style>
  <w:style w:type="character" w:default="1" w:styleId="25">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2">
    <w:name w:val="No Spacing"/>
    <w:basedOn w:val="1"/>
    <w:qFormat/>
    <w:uiPriority w:val="1"/>
    <w:rPr>
      <w:rFonts w:ascii="Times New Roman" w:hAnsi="Times New Roman" w:eastAsia="宋体" w:cs="Times New Roman"/>
      <w:sz w:val="22"/>
      <w:szCs w:val="22"/>
      <w:lang w:val="en-US" w:eastAsia="zh-CN" w:bidi="ar-SA"/>
    </w:rPr>
  </w:style>
  <w:style w:type="paragraph" w:styleId="6">
    <w:name w:val="Normal Indent"/>
    <w:basedOn w:val="1"/>
    <w:next w:val="1"/>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qFormat/>
    <w:uiPriority w:val="0"/>
    <w:pPr>
      <w:spacing w:before="120"/>
    </w:pPr>
    <w:rPr>
      <w:rFonts w:ascii="Cambria" w:hAnsi="Cambria"/>
      <w:sz w:val="24"/>
      <w:szCs w:val="20"/>
    </w:rPr>
  </w:style>
  <w:style w:type="paragraph" w:styleId="8">
    <w:name w:val="Body Text"/>
    <w:basedOn w:val="1"/>
    <w:next w:val="1"/>
    <w:qFormat/>
    <w:uiPriority w:val="99"/>
    <w:pPr>
      <w:numPr>
        <w:ilvl w:val="0"/>
        <w:numId w:val="1"/>
      </w:numPr>
      <w:tabs>
        <w:tab w:val="clear" w:pos="780"/>
      </w:tabs>
      <w:ind w:left="0" w:firstLine="0"/>
    </w:pPr>
    <w:rPr>
      <w:rFonts w:ascii="黑体" w:eastAsia="黑体"/>
      <w:sz w:val="22"/>
    </w:rPr>
  </w:style>
  <w:style w:type="paragraph" w:styleId="9">
    <w:name w:val="Body Text Indent"/>
    <w:basedOn w:val="1"/>
    <w:next w:val="10"/>
    <w:qFormat/>
    <w:uiPriority w:val="0"/>
    <w:pPr>
      <w:spacing w:after="120"/>
      <w:ind w:left="200" w:leftChars="200"/>
    </w:pPr>
  </w:style>
  <w:style w:type="paragraph" w:customStyle="1" w:styleId="1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11">
    <w:name w:val="Plain Text"/>
    <w:basedOn w:val="1"/>
    <w:next w:val="12"/>
    <w:qFormat/>
    <w:uiPriority w:val="0"/>
    <w:rPr>
      <w:rFonts w:ascii="宋体"/>
      <w:color w:val="000000"/>
      <w:szCs w:val="20"/>
      <w:u w:val="none" w:color="000000"/>
    </w:rPr>
  </w:style>
  <w:style w:type="paragraph" w:styleId="12">
    <w:name w:val="index 7"/>
    <w:basedOn w:val="1"/>
    <w:next w:val="1"/>
    <w:qFormat/>
    <w:uiPriority w:val="0"/>
    <w:pPr>
      <w:autoSpaceDE/>
      <w:autoSpaceDN/>
      <w:adjustRightInd/>
      <w:ind w:left="1200" w:leftChars="1200"/>
    </w:pPr>
    <w:rPr>
      <w:color w:val="auto"/>
      <w:kern w:val="2"/>
      <w:szCs w:val="24"/>
    </w:rPr>
  </w:style>
  <w:style w:type="paragraph" w:styleId="13">
    <w:name w:val="Body Text Indent 2"/>
    <w:basedOn w:val="1"/>
    <w:qFormat/>
    <w:uiPriority w:val="0"/>
    <w:pPr>
      <w:ind w:firstLine="630"/>
    </w:pPr>
    <w:rPr>
      <w:sz w:val="32"/>
    </w:rPr>
  </w:style>
  <w:style w:type="paragraph" w:styleId="14">
    <w:name w:val="footer"/>
    <w:basedOn w:val="1"/>
    <w:qFormat/>
    <w:uiPriority w:val="0"/>
    <w:pPr>
      <w:tabs>
        <w:tab w:val="center" w:pos="4153"/>
        <w:tab w:val="right" w:pos="8306"/>
      </w:tabs>
      <w:snapToGrid w:val="0"/>
      <w:jc w:val="left"/>
    </w:pPr>
    <w:rPr>
      <w:sz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footnote text"/>
    <w:basedOn w:val="1"/>
    <w:semiHidden/>
    <w:unhideWhenUsed/>
    <w:qFormat/>
    <w:uiPriority w:val="99"/>
    <w:pPr>
      <w:snapToGrid w:val="0"/>
      <w:jc w:val="left"/>
    </w:pPr>
    <w:rPr>
      <w:sz w:val="18"/>
      <w:szCs w:val="18"/>
    </w:rPr>
  </w:style>
  <w:style w:type="paragraph" w:styleId="17">
    <w:name w:val="toc 6"/>
    <w:basedOn w:val="1"/>
    <w:next w:val="1"/>
    <w:qFormat/>
    <w:uiPriority w:val="0"/>
    <w:pPr>
      <w:ind w:left="2100" w:leftChars="1000"/>
    </w:pPr>
  </w:style>
  <w:style w:type="paragraph" w:styleId="18">
    <w:name w:val="Body Text 2"/>
    <w:basedOn w:val="1"/>
    <w:qFormat/>
    <w:uiPriority w:val="0"/>
    <w:pPr>
      <w:tabs>
        <w:tab w:val="left" w:pos="0"/>
      </w:tabs>
      <w:spacing w:line="400" w:lineRule="atLeast"/>
    </w:pPr>
    <w:rPr>
      <w:rFonts w:ascii="Arial" w:hAnsi="Arial"/>
      <w:color w:val="000000"/>
    </w:rPr>
  </w:style>
  <w:style w:type="paragraph" w:styleId="19">
    <w:name w:val="Normal (Web)"/>
    <w:basedOn w:val="1"/>
    <w:next w:val="20"/>
    <w:qFormat/>
    <w:uiPriority w:val="99"/>
    <w:pPr>
      <w:widowControl/>
      <w:jc w:val="left"/>
    </w:pPr>
    <w:rPr>
      <w:rFonts w:ascii="宋体" w:hAnsi="宋体" w:eastAsia="宋体" w:cs="宋体"/>
      <w:kern w:val="0"/>
      <w:sz w:val="24"/>
      <w:szCs w:val="24"/>
    </w:rPr>
  </w:style>
  <w:style w:type="paragraph" w:customStyle="1" w:styleId="20">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styleId="21">
    <w:name w:val="Body Text First Indent"/>
    <w:basedOn w:val="8"/>
    <w:next w:val="17"/>
    <w:qFormat/>
    <w:uiPriority w:val="0"/>
    <w:pPr>
      <w:tabs>
        <w:tab w:val="left" w:pos="780"/>
      </w:tabs>
      <w:spacing w:line="360" w:lineRule="auto"/>
      <w:ind w:firstLine="200" w:firstLineChars="200"/>
    </w:pPr>
    <w:rPr>
      <w:rFonts w:ascii="仿宋_GB2312" w:eastAsia="仿宋_GB2312"/>
      <w:sz w:val="30"/>
      <w:szCs w:val="30"/>
    </w:rPr>
  </w:style>
  <w:style w:type="paragraph" w:styleId="22">
    <w:name w:val="Body Text First Indent 2"/>
    <w:basedOn w:val="9"/>
    <w:qFormat/>
    <w:uiPriority w:val="0"/>
    <w:pPr>
      <w:ind w:left="1588" w:leftChars="832" w:firstLine="433"/>
    </w:pPr>
    <w:rPr>
      <w:rFonts w:eastAsia="仿宋_GB2312"/>
      <w:spacing w:val="15"/>
      <w:kern w:val="10"/>
      <w:sz w:val="24"/>
      <w:szCs w:val="24"/>
    </w:r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bCs/>
    </w:rPr>
  </w:style>
  <w:style w:type="character" w:styleId="27">
    <w:name w:val="FollowedHyperlink"/>
    <w:basedOn w:val="25"/>
    <w:qFormat/>
    <w:uiPriority w:val="0"/>
    <w:rPr>
      <w:color w:val="800080"/>
      <w:u w:val="none"/>
    </w:rPr>
  </w:style>
  <w:style w:type="character" w:styleId="28">
    <w:name w:val="HTML Definition"/>
    <w:basedOn w:val="25"/>
    <w:qFormat/>
    <w:uiPriority w:val="0"/>
  </w:style>
  <w:style w:type="character" w:styleId="29">
    <w:name w:val="HTML Typewriter"/>
    <w:basedOn w:val="25"/>
    <w:qFormat/>
    <w:uiPriority w:val="0"/>
    <w:rPr>
      <w:rFonts w:hint="default" w:ascii="monospace" w:hAnsi="monospace" w:eastAsia="monospace" w:cs="monospace"/>
      <w:sz w:val="20"/>
    </w:rPr>
  </w:style>
  <w:style w:type="character" w:styleId="30">
    <w:name w:val="HTML Acronym"/>
    <w:basedOn w:val="25"/>
    <w:qFormat/>
    <w:uiPriority w:val="0"/>
  </w:style>
  <w:style w:type="character" w:styleId="31">
    <w:name w:val="HTML Variable"/>
    <w:basedOn w:val="25"/>
    <w:qFormat/>
    <w:uiPriority w:val="0"/>
  </w:style>
  <w:style w:type="character" w:styleId="32">
    <w:name w:val="Hyperlink"/>
    <w:basedOn w:val="25"/>
    <w:qFormat/>
    <w:uiPriority w:val="99"/>
    <w:rPr>
      <w:color w:val="0000FF"/>
      <w:u w:val="single"/>
    </w:rPr>
  </w:style>
  <w:style w:type="character" w:styleId="33">
    <w:name w:val="HTML Code"/>
    <w:basedOn w:val="25"/>
    <w:qFormat/>
    <w:uiPriority w:val="0"/>
    <w:rPr>
      <w:rFonts w:hint="default" w:ascii="monospace" w:hAnsi="monospace" w:eastAsia="monospace" w:cs="monospace"/>
      <w:sz w:val="20"/>
    </w:rPr>
  </w:style>
  <w:style w:type="character" w:styleId="34">
    <w:name w:val="HTML Cite"/>
    <w:basedOn w:val="25"/>
    <w:qFormat/>
    <w:uiPriority w:val="0"/>
  </w:style>
  <w:style w:type="character" w:styleId="35">
    <w:name w:val="footnote reference"/>
    <w:basedOn w:val="25"/>
    <w:semiHidden/>
    <w:unhideWhenUsed/>
    <w:qFormat/>
    <w:uiPriority w:val="99"/>
    <w:rPr>
      <w:vertAlign w:val="superscript"/>
    </w:rPr>
  </w:style>
  <w:style w:type="character" w:styleId="36">
    <w:name w:val="HTML Keyboard"/>
    <w:basedOn w:val="25"/>
    <w:qFormat/>
    <w:uiPriority w:val="0"/>
    <w:rPr>
      <w:rFonts w:ascii="monospace" w:hAnsi="monospace" w:eastAsia="monospace" w:cs="monospace"/>
      <w:sz w:val="20"/>
    </w:rPr>
  </w:style>
  <w:style w:type="character" w:styleId="37">
    <w:name w:val="HTML Sample"/>
    <w:basedOn w:val="25"/>
    <w:qFormat/>
    <w:uiPriority w:val="0"/>
    <w:rPr>
      <w:rFonts w:hint="default" w:ascii="monospace" w:hAnsi="monospace" w:eastAsia="monospace" w:cs="monospace"/>
    </w:rPr>
  </w:style>
  <w:style w:type="paragraph" w:customStyle="1" w:styleId="38">
    <w:name w:val="标题 5（有编号）（绿盟科技）"/>
    <w:basedOn w:val="1"/>
    <w:next w:val="39"/>
    <w:qFormat/>
    <w:uiPriority w:val="0"/>
    <w:pPr>
      <w:keepNext/>
      <w:keepLines/>
      <w:numPr>
        <w:ilvl w:val="4"/>
        <w:numId w:val="2"/>
      </w:numPr>
      <w:spacing w:before="280" w:after="156" w:line="377" w:lineRule="auto"/>
      <w:jc w:val="left"/>
      <w:outlineLvl w:val="4"/>
    </w:pPr>
    <w:rPr>
      <w:rFonts w:ascii="Arial" w:hAnsi="Arial" w:eastAsia="黑体"/>
      <w:b/>
      <w:sz w:val="24"/>
      <w:szCs w:val="28"/>
    </w:rPr>
  </w:style>
  <w:style w:type="paragraph" w:customStyle="1" w:styleId="39">
    <w:name w:val="正文（绿盟科技）"/>
    <w:qFormat/>
    <w:uiPriority w:val="0"/>
    <w:pPr>
      <w:spacing w:line="300" w:lineRule="auto"/>
    </w:pPr>
    <w:rPr>
      <w:rFonts w:ascii="Arial" w:hAnsi="Arial" w:eastAsia="宋体" w:cs="黑体"/>
      <w:sz w:val="21"/>
      <w:szCs w:val="21"/>
      <w:lang w:val="en-US" w:eastAsia="zh-CN" w:bidi="ar-SA"/>
    </w:rPr>
  </w:style>
  <w:style w:type="paragraph" w:customStyle="1" w:styleId="40">
    <w:name w:val="正文1"/>
    <w:basedOn w:val="1"/>
    <w:next w:val="1"/>
    <w:qFormat/>
    <w:uiPriority w:val="0"/>
    <w:pPr>
      <w:ind w:firstLine="880"/>
      <w:jc w:val="left"/>
    </w:pPr>
    <w:rPr>
      <w:kern w:val="0"/>
      <w:szCs w:val="20"/>
    </w:rPr>
  </w:style>
  <w:style w:type="paragraph" w:customStyle="1" w:styleId="41">
    <w:name w:val="正文格式"/>
    <w:basedOn w:val="1"/>
    <w:qFormat/>
    <w:uiPriority w:val="99"/>
    <w:pPr>
      <w:widowControl/>
      <w:adjustRightInd w:val="0"/>
      <w:snapToGrid w:val="0"/>
      <w:spacing w:line="400" w:lineRule="atLeast"/>
      <w:ind w:firstLine="482"/>
      <w:textAlignment w:val="baseline"/>
    </w:pPr>
    <w:rPr>
      <w:rFonts w:ascii="Times New Roman" w:hAnsi="Times New Roman"/>
      <w:kern w:val="0"/>
      <w:sz w:val="24"/>
    </w:rPr>
  </w:style>
  <w:style w:type="paragraph" w:customStyle="1" w:styleId="42">
    <w:name w:val="文档正文"/>
    <w:basedOn w:val="6"/>
    <w:qFormat/>
    <w:uiPriority w:val="0"/>
    <w:pPr>
      <w:spacing w:line="360" w:lineRule="auto"/>
    </w:pPr>
    <w:rPr>
      <w:rFonts w:ascii="宋体" w:hAnsi="宋体"/>
      <w:b/>
      <w:bCs/>
    </w:rPr>
  </w:style>
  <w:style w:type="paragraph" w:customStyle="1" w:styleId="43">
    <w:name w:val="_Style 2"/>
    <w:basedOn w:val="3"/>
    <w:next w:val="1"/>
    <w:qFormat/>
    <w:uiPriority w:val="39"/>
    <w:pPr>
      <w:widowControl/>
      <w:tabs>
        <w:tab w:val="left" w:pos="715"/>
      </w:tabs>
      <w:spacing w:before="480" w:after="0" w:line="276" w:lineRule="auto"/>
      <w:jc w:val="left"/>
      <w:outlineLvl w:val="9"/>
    </w:pPr>
    <w:rPr>
      <w:rFonts w:ascii="Cambria" w:hAnsi="Cambria" w:eastAsia="宋体" w:cs="Times New Roman"/>
      <w:color w:val="365F91"/>
      <w:kern w:val="0"/>
      <w:sz w:val="28"/>
      <w:szCs w:val="28"/>
    </w:rPr>
  </w:style>
  <w:style w:type="paragraph" w:customStyle="1" w:styleId="44">
    <w:name w:val="Heading #2|1"/>
    <w:basedOn w:val="1"/>
    <w:qFormat/>
    <w:uiPriority w:val="0"/>
    <w:pPr>
      <w:widowControl w:val="0"/>
      <w:shd w:val="clear" w:color="auto" w:fill="auto"/>
      <w:spacing w:before="60" w:after="270"/>
      <w:jc w:val="center"/>
      <w:outlineLvl w:val="1"/>
    </w:pPr>
    <w:rPr>
      <w:rFonts w:ascii="宋体" w:hAnsi="宋体" w:eastAsia="宋体" w:cs="宋体"/>
      <w:sz w:val="36"/>
      <w:szCs w:val="36"/>
      <w:u w:val="none"/>
      <w:shd w:val="clear" w:color="auto" w:fill="auto"/>
      <w:lang w:val="zh-TW" w:eastAsia="zh-TW" w:bidi="zh-TW"/>
    </w:rPr>
  </w:style>
  <w:style w:type="paragraph" w:customStyle="1" w:styleId="45">
    <w:name w:val="Body text|2"/>
    <w:basedOn w:val="1"/>
    <w:qFormat/>
    <w:uiPriority w:val="0"/>
    <w:pPr>
      <w:widowControl w:val="0"/>
      <w:shd w:val="clear" w:color="auto" w:fill="auto"/>
      <w:spacing w:after="260"/>
      <w:ind w:firstLine="140"/>
    </w:pPr>
    <w:rPr>
      <w:rFonts w:ascii="宋体" w:hAnsi="宋体" w:eastAsia="宋体" w:cs="宋体"/>
      <w:sz w:val="30"/>
      <w:szCs w:val="30"/>
      <w:u w:val="none"/>
      <w:shd w:val="clear" w:color="auto" w:fill="auto"/>
      <w:lang w:val="zh-TW" w:eastAsia="zh-TW" w:bidi="zh-TW"/>
    </w:rPr>
  </w:style>
  <w:style w:type="paragraph" w:customStyle="1" w:styleId="46">
    <w:name w:val="Body text|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47">
    <w:name w:val="Other|1"/>
    <w:basedOn w:val="1"/>
    <w:qFormat/>
    <w:uiPriority w:val="0"/>
    <w:pPr>
      <w:widowControl w:val="0"/>
      <w:shd w:val="clear" w:color="auto" w:fill="auto"/>
      <w:spacing w:line="454" w:lineRule="auto"/>
      <w:ind w:firstLine="140"/>
    </w:pPr>
    <w:rPr>
      <w:rFonts w:ascii="宋体" w:hAnsi="宋体" w:eastAsia="宋体" w:cs="宋体"/>
      <w:sz w:val="22"/>
      <w:szCs w:val="22"/>
      <w:u w:val="none"/>
      <w:shd w:val="clear" w:color="auto" w:fill="auto"/>
      <w:lang w:val="zh-TW" w:eastAsia="zh-TW" w:bidi="zh-TW"/>
    </w:rPr>
  </w:style>
  <w:style w:type="paragraph" w:customStyle="1" w:styleId="48">
    <w:name w:val="Table caption|1"/>
    <w:basedOn w:val="1"/>
    <w:qFormat/>
    <w:uiPriority w:val="0"/>
    <w:pPr>
      <w:widowControl w:val="0"/>
      <w:shd w:val="clear" w:color="auto" w:fill="auto"/>
    </w:pPr>
    <w:rPr>
      <w:rFonts w:ascii="宋体" w:hAnsi="宋体" w:eastAsia="宋体" w:cs="宋体"/>
      <w:sz w:val="22"/>
      <w:szCs w:val="22"/>
      <w:u w:val="none"/>
      <w:shd w:val="clear" w:color="auto" w:fill="auto"/>
      <w:lang w:val="zh-TW" w:eastAsia="zh-TW" w:bidi="zh-TW"/>
    </w:rPr>
  </w:style>
  <w:style w:type="paragraph" w:customStyle="1" w:styleId="49">
    <w:name w:val="Table Paragraph"/>
    <w:basedOn w:val="1"/>
    <w:qFormat/>
    <w:uiPriority w:val="1"/>
    <w:pPr>
      <w:autoSpaceDE w:val="0"/>
      <w:autoSpaceDN w:val="0"/>
      <w:adjustRightInd w:val="0"/>
      <w:jc w:val="left"/>
    </w:pPr>
    <w:rPr>
      <w:rFonts w:ascii="Times New Roman" w:hAnsi="Times New Roman" w:eastAsia="宋体" w:cs="Times New Roman"/>
      <w:kern w:val="0"/>
      <w:sz w:val="24"/>
      <w:szCs w:val="24"/>
    </w:rPr>
  </w:style>
  <w:style w:type="paragraph" w:customStyle="1" w:styleId="50">
    <w:name w:val="black1"/>
    <w:basedOn w:val="1"/>
    <w:qFormat/>
    <w:uiPriority w:val="0"/>
    <w:pPr>
      <w:widowControl/>
      <w:spacing w:before="100" w:beforeLines="0" w:beforeAutospacing="1" w:after="100" w:afterLines="0" w:afterAutospacing="1" w:line="280" w:lineRule="atLeast"/>
      <w:jc w:val="left"/>
    </w:pPr>
    <w:rPr>
      <w:rFonts w:ascii="_x000B__x000C_" w:hAnsi="_x000B__x000C_"/>
      <w:color w:val="000000"/>
      <w:kern w:val="0"/>
      <w:sz w:val="18"/>
      <w:szCs w:val="18"/>
    </w:rPr>
  </w:style>
  <w:style w:type="paragraph" w:customStyle="1" w:styleId="51">
    <w:name w:val="图例"/>
    <w:basedOn w:val="1"/>
    <w:qFormat/>
    <w:uiPriority w:val="0"/>
    <w:pPr>
      <w:spacing w:before="120" w:beforeLines="0" w:after="120" w:afterLines="0" w:line="360" w:lineRule="auto"/>
      <w:jc w:val="center"/>
    </w:pPr>
    <w:rPr>
      <w:rFonts w:eastAsia="仿宋_GB2312"/>
      <w:b/>
      <w:sz w:val="24"/>
    </w:rPr>
  </w:style>
  <w:style w:type="paragraph" w:customStyle="1" w:styleId="52">
    <w:name w:val="WPS Plain"/>
    <w:qFormat/>
    <w:uiPriority w:val="0"/>
    <w:rPr>
      <w:rFonts w:ascii="Times New Roman" w:hAnsi="Times New Roman" w:eastAsia="宋体" w:cs="Times New Roman"/>
      <w:lang w:val="en-US" w:eastAsia="zh-CN" w:bidi="ar-SA"/>
    </w:rPr>
  </w:style>
  <w:style w:type="paragraph" w:customStyle="1" w:styleId="53">
    <w:name w:val="样式 左侧:  0 厘米 悬挂缩进: 2.5 字符"/>
    <w:basedOn w:val="1"/>
    <w:qFormat/>
    <w:uiPriority w:val="0"/>
    <w:pPr>
      <w:ind w:left="525" w:hanging="525" w:hangingChars="250"/>
    </w:pPr>
    <w:rPr>
      <w:szCs w:val="20"/>
    </w:rPr>
  </w:style>
  <w:style w:type="character" w:customStyle="1" w:styleId="54">
    <w:name w:val="font11"/>
    <w:basedOn w:val="25"/>
    <w:qFormat/>
    <w:uiPriority w:val="0"/>
    <w:rPr>
      <w:rFonts w:ascii="Calibri" w:hAnsi="Calibri" w:cs="Calibri"/>
      <w:color w:val="000000"/>
      <w:sz w:val="20"/>
      <w:szCs w:val="20"/>
      <w:u w:val="none"/>
    </w:rPr>
  </w:style>
  <w:style w:type="paragraph" w:customStyle="1" w:styleId="55">
    <w:name w:val="正文缩进1"/>
    <w:basedOn w:val="1"/>
    <w:qFormat/>
    <w:uiPriority w:val="0"/>
    <w:pPr>
      <w:autoSpaceDE w:val="0"/>
      <w:autoSpaceDN w:val="0"/>
      <w:ind w:firstLine="420" w:firstLineChars="200"/>
      <w:jc w:val="left"/>
    </w:pPr>
    <w:rPr>
      <w:rFonts w:ascii="宋体" w:hAnsi="宋体" w:cs="宋体"/>
      <w:kern w:val="0"/>
      <w:sz w:val="22"/>
      <w:szCs w:val="22"/>
      <w:lang w:val="zh-CN" w:bidi="zh-CN"/>
    </w:rPr>
  </w:style>
  <w:style w:type="character" w:customStyle="1" w:styleId="56">
    <w:name w:val="font21"/>
    <w:basedOn w:val="25"/>
    <w:qFormat/>
    <w:uiPriority w:val="0"/>
    <w:rPr>
      <w:rFonts w:hint="eastAsia" w:ascii="宋体" w:hAnsi="宋体" w:eastAsia="宋体" w:cs="宋体"/>
      <w:color w:val="000000"/>
      <w:sz w:val="21"/>
      <w:szCs w:val="21"/>
      <w:u w:val="none"/>
    </w:rPr>
  </w:style>
  <w:style w:type="character" w:customStyle="1" w:styleId="57">
    <w:name w:val="layui-layer-tabnow"/>
    <w:basedOn w:val="25"/>
    <w:qFormat/>
    <w:uiPriority w:val="0"/>
    <w:rPr>
      <w:bdr w:val="single" w:color="CCCCCC" w:sz="6" w:space="0"/>
      <w:shd w:val="clear" w:fill="FFFFFF"/>
    </w:rPr>
  </w:style>
  <w:style w:type="character" w:customStyle="1" w:styleId="58">
    <w:name w:val="first-child"/>
    <w:basedOn w:val="25"/>
    <w:qFormat/>
    <w:uiPriority w:val="0"/>
  </w:style>
  <w:style w:type="character" w:customStyle="1" w:styleId="59">
    <w:name w:val="font61"/>
    <w:basedOn w:val="25"/>
    <w:qFormat/>
    <w:uiPriority w:val="0"/>
    <w:rPr>
      <w:rFonts w:hint="eastAsia" w:ascii="仿宋" w:hAnsi="仿宋" w:eastAsia="仿宋" w:cs="仿宋"/>
      <w:color w:val="000000"/>
      <w:sz w:val="16"/>
      <w:szCs w:val="16"/>
      <w:u w:val="none"/>
    </w:rPr>
  </w:style>
  <w:style w:type="paragraph" w:customStyle="1" w:styleId="60">
    <w:name w:val="样式 样式 样式 左侧:  2 字符1 + 首行缩进:  2 字符1 + 首行缩进:  2 字符"/>
    <w:basedOn w:val="1"/>
    <w:qFormat/>
    <w:uiPriority w:val="0"/>
    <w:pPr>
      <w:widowControl/>
      <w:adjustRightInd w:val="0"/>
      <w:spacing w:before="60" w:beforeLines="0" w:after="120" w:afterLines="0" w:line="440" w:lineRule="atLeast"/>
      <w:ind w:firstLine="480"/>
      <w:textAlignment w:val="baseline"/>
    </w:pPr>
    <w:rPr>
      <w:sz w:val="24"/>
      <w:szCs w:val="20"/>
    </w:rPr>
  </w:style>
  <w:style w:type="paragraph" w:customStyle="1" w:styleId="61">
    <w:name w:val="Heading3"/>
    <w:basedOn w:val="1"/>
    <w:next w:val="1"/>
    <w:qFormat/>
    <w:uiPriority w:val="0"/>
    <w:pPr>
      <w:keepNext/>
      <w:keepLines/>
      <w:spacing w:before="360" w:after="120"/>
      <w:jc w:val="left"/>
      <w:textAlignment w:val="baseline"/>
    </w:pPr>
    <w:rPr>
      <w:rFonts w:ascii="宋体"/>
      <w:b/>
      <w:kern w:val="0"/>
      <w:sz w:val="24"/>
      <w:szCs w:val="20"/>
      <w:u w:val="single"/>
      <w:lang w:val="en-US" w:eastAsia="zh-CN" w:bidi="ar-SA"/>
    </w:rPr>
  </w:style>
  <w:style w:type="paragraph" w:customStyle="1" w:styleId="62">
    <w:name w:val="表名称"/>
    <w:basedOn w:val="6"/>
    <w:qFormat/>
    <w:uiPriority w:val="0"/>
    <w:pPr>
      <w:numPr>
        <w:ilvl w:val="0"/>
        <w:numId w:val="3"/>
      </w:numPr>
      <w:ind w:firstLine="0" w:firstLineChars="0"/>
      <w:jc w:val="center"/>
    </w:pPr>
  </w:style>
  <w:style w:type="paragraph" w:customStyle="1" w:styleId="63">
    <w:name w:val="列出段落1"/>
    <w:basedOn w:val="1"/>
    <w:qFormat/>
    <w:uiPriority w:val="34"/>
    <w:pPr>
      <w:ind w:firstLine="420"/>
    </w:pPr>
  </w:style>
  <w:style w:type="paragraph" w:customStyle="1" w:styleId="64">
    <w:name w:val="Table Text"/>
    <w:qFormat/>
    <w:uiPriority w:val="0"/>
    <w:pPr>
      <w:suppressAutoHyphens/>
      <w:snapToGrid w:val="0"/>
      <w:spacing w:before="80" w:after="80"/>
    </w:pPr>
    <w:rPr>
      <w:rFonts w:ascii="Arial" w:hAnsi="Arial" w:eastAsia="宋体" w:cs="Arial"/>
      <w:kern w:val="1"/>
      <w:sz w:val="18"/>
      <w:lang w:val="en-US" w:eastAsia="zh-CN" w:bidi="ar-SA"/>
    </w:rPr>
  </w:style>
  <w:style w:type="paragraph" w:customStyle="1" w:styleId="65">
    <w:name w:val="GW-正文"/>
    <w:basedOn w:val="1"/>
    <w:qFormat/>
    <w:uiPriority w:val="99"/>
    <w:pPr>
      <w:spacing w:line="360" w:lineRule="auto"/>
      <w:ind w:firstLine="200" w:firstLineChars="200"/>
    </w:pPr>
    <w:rPr>
      <w:rFonts w:ascii="Times New Roman" w:hAnsi="Times New Roman" w:eastAsia="仿宋_GB2312"/>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90</Pages>
  <Words>9033</Words>
  <Characters>10132</Characters>
  <Lines>0</Lines>
  <Paragraphs>0</Paragraphs>
  <TotalTime>6</TotalTime>
  <ScaleCrop>false</ScaleCrop>
  <LinksUpToDate>false</LinksUpToDate>
  <CharactersWithSpaces>10468</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2021-12-16T05:31:00Z</dcterms:created>
  <dc:creator>梦花雨   甘安莉</dc:creator>
  <cp:lastModifiedBy>Administrator</cp:lastModifiedBy>
  <cp:lastPrinted>2024-08-09T02:13:00Z</cp:lastPrinted>
  <dcterms:modified xsi:type="dcterms:W3CDTF">2025-01-06T08:19:27Z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y fmtid="{D5CDD505-2E9C-101B-9397-08002B2CF9AE}" pid="3" name="ICV">
    <vt:lpwstr>FDC25A18BCAB455DB4A761C565E4F536</vt:lpwstr>
  </property>
  <property fmtid="{D5CDD505-2E9C-101B-9397-08002B2CF9AE}" pid="4" name="KSOTemplateDocerSaveRecord">
    <vt:lpwstr>eyJoZGlkIjoiMzkzYTk5MzI1ZTQzYWY5ODdiNmJkNDQ4MGJiMDQ2N2MiLCJ1c2VySWQiOiIxMjAxMjQ1NzEzIn0=</vt:lpwstr>
  </property>
</Properties>
</file>